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46095">
        <w:rPr>
          <w:rFonts w:ascii="Palatino Linotype" w:hAnsi="Palatino Linotype"/>
          <w:sz w:val="24"/>
          <w:szCs w:val="24"/>
          <w:lang w:eastAsia="es-MX"/>
        </w:rPr>
        <w:t>quince de enero de dos mil veinte</w:t>
      </w:r>
      <w:r w:rsidR="00DA1B7C">
        <w:rPr>
          <w:rFonts w:ascii="Palatino Linotype" w:hAnsi="Palatino Linotype"/>
          <w:sz w:val="24"/>
          <w:szCs w:val="24"/>
          <w:lang w:eastAsia="es-MX"/>
        </w:rPr>
        <w:t>.</w:t>
      </w:r>
    </w:p>
    <w:p w:rsidR="001D0F61" w:rsidRDefault="001D0F61" w:rsidP="0014447C">
      <w:pPr>
        <w:pStyle w:val="Sinespaciado"/>
        <w:spacing w:line="360" w:lineRule="auto"/>
        <w:jc w:val="both"/>
        <w:rPr>
          <w:rFonts w:ascii="Palatino Linotype" w:hAnsi="Palatino Linotype"/>
          <w:b/>
          <w:sz w:val="24"/>
          <w:szCs w:val="24"/>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8E7522">
        <w:rPr>
          <w:rFonts w:ascii="Palatino Linotype" w:hAnsi="Palatino Linotype"/>
          <w:b/>
          <w:bCs/>
          <w:sz w:val="24"/>
          <w:szCs w:val="24"/>
          <w:lang w:eastAsia="es-MX"/>
        </w:rPr>
        <w:t>8</w:t>
      </w:r>
      <w:r w:rsidR="009954B4">
        <w:rPr>
          <w:rFonts w:ascii="Palatino Linotype" w:hAnsi="Palatino Linotype"/>
          <w:b/>
          <w:bCs/>
          <w:sz w:val="24"/>
          <w:szCs w:val="24"/>
          <w:lang w:eastAsia="es-MX"/>
        </w:rPr>
        <w:t>74</w:t>
      </w:r>
      <w:r w:rsidR="00E3420A">
        <w:rPr>
          <w:rFonts w:ascii="Palatino Linotype" w:hAnsi="Palatino Linotype"/>
          <w:b/>
          <w:bCs/>
          <w:sz w:val="24"/>
          <w:szCs w:val="24"/>
          <w:lang w:eastAsia="es-MX"/>
        </w:rPr>
        <w:t>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w:t>
      </w:r>
      <w:r w:rsidR="00847F5A">
        <w:rPr>
          <w:rFonts w:ascii="Palatino Linotype" w:hAnsi="Palatino Linotype" w:cs="Arial"/>
          <w:b/>
          <w:sz w:val="24"/>
          <w:szCs w:val="24"/>
        </w:rPr>
        <w:t xml:space="preserve">   </w:t>
      </w:r>
      <w:r w:rsidR="006068D1">
        <w:rPr>
          <w:rFonts w:ascii="Palatino Linotype" w:hAnsi="Palatino Linotype" w:cs="Arial"/>
          <w:b/>
          <w:sz w:val="24"/>
          <w:szCs w:val="24"/>
        </w:rPr>
        <w:t>xxxxx</w:t>
      </w:r>
      <w:bookmarkStart w:id="0" w:name="_GoBack"/>
      <w:bookmarkEnd w:id="0"/>
      <w:r w:rsidR="00847F5A">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E3420A" w:rsidRPr="00E3420A">
        <w:rPr>
          <w:rFonts w:ascii="Palatino Linotype" w:hAnsi="Palatino Linotype"/>
          <w:b/>
          <w:sz w:val="24"/>
          <w:szCs w:val="24"/>
        </w:rPr>
        <w:t xml:space="preserve">Ayuntamiento de </w:t>
      </w:r>
      <w:r w:rsidR="00847F5A">
        <w:rPr>
          <w:rFonts w:ascii="Palatino Linotype" w:hAnsi="Palatino Linotype"/>
          <w:b/>
          <w:sz w:val="24"/>
          <w:szCs w:val="24"/>
        </w:rPr>
        <w:t>Lerma</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8609E">
        <w:rPr>
          <w:rFonts w:ascii="Palatino Linotype" w:hAnsi="Palatino Linotype"/>
          <w:sz w:val="24"/>
          <w:szCs w:val="24"/>
        </w:rPr>
        <w:t>ocho</w:t>
      </w:r>
      <w:r w:rsidR="003938B0">
        <w:rPr>
          <w:rFonts w:ascii="Palatino Linotype" w:hAnsi="Palatino Linotype"/>
          <w:sz w:val="24"/>
          <w:szCs w:val="24"/>
        </w:rPr>
        <w:t xml:space="preserve"> de </w:t>
      </w:r>
      <w:r w:rsidR="00E3420A">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w:t>
      </w:r>
      <w:r w:rsidR="00E3420A" w:rsidRPr="00E3420A">
        <w:rPr>
          <w:rFonts w:ascii="Palatino Linotype" w:hAnsi="Palatino Linotype"/>
          <w:b/>
          <w:sz w:val="24"/>
          <w:szCs w:val="24"/>
        </w:rPr>
        <w:t>00</w:t>
      </w:r>
      <w:r w:rsidR="0098609E">
        <w:rPr>
          <w:rFonts w:ascii="Palatino Linotype" w:hAnsi="Palatino Linotype"/>
          <w:b/>
          <w:sz w:val="24"/>
          <w:szCs w:val="24"/>
        </w:rPr>
        <w:t>230</w:t>
      </w:r>
      <w:r w:rsidR="00E3420A" w:rsidRPr="00E3420A">
        <w:rPr>
          <w:rFonts w:ascii="Palatino Linotype" w:hAnsi="Palatino Linotype"/>
          <w:b/>
          <w:sz w:val="24"/>
          <w:szCs w:val="24"/>
        </w:rPr>
        <w:t>/</w:t>
      </w:r>
      <w:r w:rsidR="0098609E">
        <w:rPr>
          <w:rFonts w:ascii="Palatino Linotype" w:hAnsi="Palatino Linotype"/>
          <w:b/>
          <w:sz w:val="24"/>
          <w:szCs w:val="24"/>
        </w:rPr>
        <w:t>LERMA</w:t>
      </w:r>
      <w:r w:rsidR="00E3420A" w:rsidRPr="00E3420A">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542DC1" w:rsidRPr="006B4698" w:rsidRDefault="007E2E80" w:rsidP="00542DC1">
      <w:pPr>
        <w:pStyle w:val="Sinespaciado"/>
        <w:ind w:left="567" w:right="567"/>
        <w:jc w:val="both"/>
        <w:rPr>
          <w:rFonts w:ascii="Palatino Linotype" w:hAnsi="Palatino Linotype"/>
          <w:i/>
          <w:sz w:val="24"/>
          <w:szCs w:val="24"/>
        </w:rPr>
      </w:pPr>
      <w:r w:rsidRPr="006B4698">
        <w:rPr>
          <w:rFonts w:ascii="Palatino Linotype" w:hAnsi="Palatino Linotype"/>
          <w:i/>
          <w:sz w:val="24"/>
          <w:szCs w:val="24"/>
        </w:rPr>
        <w:t>“</w:t>
      </w:r>
      <w:r w:rsidR="0098609E" w:rsidRPr="006B4698">
        <w:rPr>
          <w:rFonts w:ascii="Palatino Linotype" w:hAnsi="Palatino Linotype"/>
          <w:i/>
          <w:sz w:val="24"/>
          <w:szCs w:val="24"/>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w:t>
      </w:r>
      <w:r w:rsidR="0098609E" w:rsidRPr="006B4698">
        <w:rPr>
          <w:rFonts w:ascii="Palatino Linotype" w:hAnsi="Palatino Linotype"/>
          <w:i/>
          <w:sz w:val="24"/>
          <w:szCs w:val="24"/>
        </w:rPr>
        <w:lastRenderedPageBreak/>
        <w:t>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0A7989" w:rsidRPr="006B4698">
        <w:rPr>
          <w:rFonts w:ascii="Palatino Linotype" w:hAnsi="Palatino Linotype"/>
          <w:i/>
          <w:sz w:val="24"/>
          <w:szCs w:val="24"/>
        </w:rPr>
        <w:t>.</w:t>
      </w:r>
      <w:r w:rsidRPr="006B4698">
        <w:rPr>
          <w:rFonts w:ascii="Palatino Linotype" w:hAnsi="Palatino Linotype"/>
          <w:i/>
          <w:sz w:val="24"/>
          <w:szCs w:val="24"/>
        </w:rPr>
        <w:t>” [Sic]</w:t>
      </w:r>
    </w:p>
    <w:p w:rsidR="0098609E" w:rsidRDefault="0098609E"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rsidR="007E2E80" w:rsidRPr="00C35F18"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Especificando como m</w:t>
      </w:r>
      <w:r w:rsidR="007E2E80" w:rsidRPr="00C35F18">
        <w:rPr>
          <w:rFonts w:ascii="Palatino Linotype" w:eastAsia="Times New Roman" w:hAnsi="Palatino Linotype" w:cs="Times New Roman"/>
          <w:sz w:val="24"/>
          <w:szCs w:val="24"/>
          <w:lang w:val="es-ES_tradnl" w:eastAsia="es-ES"/>
        </w:rPr>
        <w:t xml:space="preserve">odalidad de entrega: </w:t>
      </w:r>
      <w:r>
        <w:rPr>
          <w:rFonts w:ascii="Palatino Linotype" w:eastAsia="Times New Roman" w:hAnsi="Palatino Linotype" w:cs="Times New Roman"/>
          <w:sz w:val="24"/>
          <w:szCs w:val="24"/>
          <w:lang w:val="es-ES_tradnl" w:eastAsia="es-ES"/>
        </w:rPr>
        <w:t>“</w:t>
      </w:r>
      <w:r w:rsidR="007E2E80" w:rsidRPr="008C0E72">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b/>
          <w:sz w:val="24"/>
          <w:szCs w:val="24"/>
          <w:lang w:val="es-ES_tradnl" w:eastAsia="es-ES"/>
        </w:rPr>
        <w:t>”</w:t>
      </w:r>
      <w:r w:rsidR="007E2E80" w:rsidRPr="008C0E72">
        <w:rPr>
          <w:rFonts w:ascii="Palatino Linotype" w:eastAsia="Times New Roman" w:hAnsi="Palatino Linotype" w:cs="Times New Roman"/>
          <w:b/>
          <w:sz w:val="24"/>
          <w:szCs w:val="24"/>
          <w:lang w:val="es-ES_tradnl" w:eastAsia="es-ES"/>
        </w:rPr>
        <w:t>.</w:t>
      </w:r>
    </w:p>
    <w:p w:rsidR="00516BA8" w:rsidRDefault="00516BA8" w:rsidP="00E3420A">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0B377B" w:rsidRDefault="0098609E" w:rsidP="0014447C">
      <w:pPr>
        <w:pStyle w:val="Sinespaciado"/>
        <w:spacing w:line="360" w:lineRule="auto"/>
        <w:jc w:val="both"/>
        <w:rPr>
          <w:rFonts w:ascii="Palatino Linotype" w:hAnsi="Palatino Linotype"/>
          <w:sz w:val="24"/>
        </w:rPr>
      </w:pPr>
      <w:r>
        <w:rPr>
          <w:rFonts w:ascii="Palatino Linotype" w:hAnsi="Palatino Linotype"/>
          <w:sz w:val="24"/>
        </w:rPr>
        <w:t xml:space="preserve">En la misma fecha de la solicitud, </w:t>
      </w:r>
      <w:r w:rsidR="006B4698">
        <w:rPr>
          <w:rFonts w:ascii="Palatino Linotype" w:hAnsi="Palatino Linotype"/>
          <w:sz w:val="24"/>
        </w:rPr>
        <w:t>es decir, el ocho</w:t>
      </w:r>
      <w:r w:rsidR="00E915B8">
        <w:rPr>
          <w:rFonts w:ascii="Palatino Linotype" w:hAnsi="Palatino Linotype"/>
          <w:sz w:val="24"/>
        </w:rPr>
        <w:t xml:space="preserve"> de </w:t>
      </w:r>
      <w:r w:rsidR="00717FEF">
        <w:rPr>
          <w:rFonts w:ascii="Palatino Linotype" w:hAnsi="Palatino Linotype"/>
          <w:sz w:val="24"/>
        </w:rPr>
        <w:t>noviembre</w:t>
      </w:r>
      <w:r w:rsidR="00E915B8">
        <w:rPr>
          <w:rFonts w:ascii="Palatino Linotype" w:hAnsi="Palatino Linotype"/>
          <w:sz w:val="24"/>
        </w:rPr>
        <w:t xml:space="preserve"> de dos mil diecinueve el sujeto obligado </w:t>
      </w:r>
      <w:r w:rsidR="00542DC1">
        <w:rPr>
          <w:rFonts w:ascii="Palatino Linotype" w:hAnsi="Palatino Linotype"/>
          <w:sz w:val="24"/>
        </w:rPr>
        <w:t>manifestó:</w:t>
      </w:r>
    </w:p>
    <w:p w:rsidR="000B377B" w:rsidRDefault="000B377B" w:rsidP="0014447C">
      <w:pPr>
        <w:pStyle w:val="Sinespaciado"/>
        <w:spacing w:line="360" w:lineRule="auto"/>
        <w:jc w:val="both"/>
        <w:rPr>
          <w:rFonts w:ascii="Palatino Linotype" w:hAnsi="Palatino Linotype"/>
          <w:sz w:val="24"/>
        </w:rPr>
      </w:pPr>
    </w:p>
    <w:p w:rsidR="006B4698" w:rsidRDefault="00542DC1" w:rsidP="000B377B">
      <w:pPr>
        <w:pStyle w:val="Sinespaciado"/>
        <w:ind w:left="567" w:right="567"/>
        <w:jc w:val="both"/>
        <w:rPr>
          <w:rFonts w:ascii="Palatino Linotype" w:hAnsi="Palatino Linotype"/>
          <w:i/>
          <w:sz w:val="24"/>
          <w:szCs w:val="24"/>
        </w:rPr>
      </w:pPr>
      <w:r w:rsidRPr="006B4698">
        <w:rPr>
          <w:rFonts w:ascii="Palatino Linotype" w:hAnsi="Palatino Linotype"/>
          <w:i/>
          <w:sz w:val="24"/>
          <w:szCs w:val="24"/>
        </w:rPr>
        <w:t>“</w:t>
      </w:r>
      <w:r w:rsidR="006B4698" w:rsidRPr="006B4698">
        <w:rPr>
          <w:rFonts w:ascii="Palatino Linotype" w:hAnsi="Palatino Linotype"/>
          <w:i/>
          <w:sz w:val="24"/>
          <w:szCs w:val="24"/>
        </w:rPr>
        <w:t>Por este medio reciba un cordial saludo y al mismo tiempo le informo que su solicitud no cumple con los requisitos establecidos en el artículo 155 de la Ley de Transparencia</w:t>
      </w:r>
    </w:p>
    <w:p w:rsidR="006B4698" w:rsidRDefault="006B4698" w:rsidP="000B377B">
      <w:pPr>
        <w:pStyle w:val="Sinespaciado"/>
        <w:ind w:left="567" w:right="567"/>
        <w:jc w:val="both"/>
        <w:rPr>
          <w:rFonts w:ascii="Palatino Linotype" w:hAnsi="Palatino Linotype"/>
          <w:i/>
          <w:sz w:val="24"/>
          <w:szCs w:val="24"/>
        </w:rPr>
      </w:pPr>
    </w:p>
    <w:p w:rsidR="000B377B" w:rsidRPr="006B4698" w:rsidRDefault="006B4698" w:rsidP="000B377B">
      <w:pPr>
        <w:pStyle w:val="Sinespaciado"/>
        <w:ind w:left="567" w:right="567"/>
        <w:jc w:val="both"/>
        <w:rPr>
          <w:rFonts w:ascii="Palatino Linotype" w:hAnsi="Palatino Linotype"/>
          <w:i/>
          <w:sz w:val="24"/>
          <w:szCs w:val="24"/>
        </w:rPr>
      </w:pPr>
      <w:r w:rsidRPr="006B4698">
        <w:rPr>
          <w:rFonts w:ascii="Palatino Linotype" w:hAnsi="Palatino Linotype"/>
          <w:i/>
          <w:sz w:val="24"/>
          <w:szCs w:val="24"/>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Pr>
          <w:rFonts w:ascii="Palatino Linotype" w:hAnsi="Palatino Linotype"/>
          <w:i/>
          <w:sz w:val="24"/>
          <w:szCs w:val="24"/>
        </w:rPr>
        <w:t>” (sic)</w:t>
      </w:r>
    </w:p>
    <w:p w:rsidR="000B377B" w:rsidRDefault="000B377B"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035D0">
        <w:rPr>
          <w:rFonts w:ascii="Palatino Linotype" w:hAnsi="Palatino Linotype"/>
          <w:b/>
          <w:sz w:val="24"/>
          <w:szCs w:val="24"/>
        </w:rPr>
        <w:t>quince</w:t>
      </w:r>
      <w:r w:rsidR="00BA6922" w:rsidRPr="001F4BD9">
        <w:rPr>
          <w:rFonts w:ascii="Palatino Linotype" w:hAnsi="Palatino Linotype"/>
          <w:b/>
          <w:sz w:val="24"/>
          <w:szCs w:val="24"/>
        </w:rPr>
        <w:t xml:space="preserve"> de </w:t>
      </w:r>
      <w:r w:rsidR="000B377B">
        <w:rPr>
          <w:rFonts w:ascii="Palatino Linotype" w:hAnsi="Palatino Linotype"/>
          <w:b/>
          <w:sz w:val="24"/>
          <w:szCs w:val="24"/>
        </w:rPr>
        <w:t>noviembre</w:t>
      </w:r>
      <w:r w:rsidR="0065519D" w:rsidRPr="001F4BD9">
        <w:rPr>
          <w:rFonts w:ascii="Palatino Linotype" w:hAnsi="Palatino Linotype"/>
          <w:b/>
          <w:sz w:val="24"/>
          <w:szCs w:val="24"/>
        </w:rPr>
        <w:t xml:space="preserve"> de dos mil diecinueve</w:t>
      </w:r>
      <w:r w:rsidRPr="00D04234">
        <w:rPr>
          <w:rFonts w:ascii="Palatino Linotype" w:hAnsi="Palatino Linotype"/>
          <w:sz w:val="24"/>
          <w:szCs w:val="24"/>
        </w:rPr>
        <w:t xml:space="preserve">, </w:t>
      </w:r>
      <w:r w:rsidRPr="00D04234">
        <w:rPr>
          <w:rFonts w:ascii="Palatino Linotype" w:hAnsi="Palatino Linotype"/>
          <w:sz w:val="24"/>
          <w:szCs w:val="24"/>
        </w:rPr>
        <w:lastRenderedPageBreak/>
        <w:t xml:space="preserve">en el sistema electrónico con el expediente número </w:t>
      </w:r>
      <w:r w:rsidR="00CF505E">
        <w:rPr>
          <w:rFonts w:ascii="Palatino Linotype" w:hAnsi="Palatino Linotype"/>
          <w:b/>
          <w:bCs/>
          <w:sz w:val="24"/>
          <w:szCs w:val="24"/>
          <w:lang w:eastAsia="es-MX"/>
        </w:rPr>
        <w:t>0</w:t>
      </w:r>
      <w:r w:rsidR="000A7989">
        <w:rPr>
          <w:rFonts w:ascii="Palatino Linotype" w:hAnsi="Palatino Linotype"/>
          <w:b/>
          <w:bCs/>
          <w:sz w:val="24"/>
          <w:szCs w:val="24"/>
          <w:lang w:eastAsia="es-MX"/>
        </w:rPr>
        <w:t>8</w:t>
      </w:r>
      <w:r w:rsidR="00B035D0">
        <w:rPr>
          <w:rFonts w:ascii="Palatino Linotype" w:hAnsi="Palatino Linotype"/>
          <w:b/>
          <w:bCs/>
          <w:sz w:val="24"/>
          <w:szCs w:val="24"/>
          <w:lang w:eastAsia="es-MX"/>
        </w:rPr>
        <w:t>745</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rsidR="001F4BD9" w:rsidRDefault="001F4BD9" w:rsidP="00227096">
      <w:pPr>
        <w:pStyle w:val="Sinespaciado"/>
        <w:spacing w:line="360" w:lineRule="auto"/>
        <w:jc w:val="both"/>
        <w:rPr>
          <w:rFonts w:ascii="Palatino Linotype" w:hAnsi="Palatino Linotype"/>
          <w:sz w:val="24"/>
          <w:szCs w:val="24"/>
        </w:rPr>
      </w:pPr>
    </w:p>
    <w:p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rsidR="00B035D0" w:rsidRDefault="00B035D0" w:rsidP="000B377B">
      <w:pPr>
        <w:pStyle w:val="Sinespaciado"/>
        <w:spacing w:line="360" w:lineRule="auto"/>
        <w:ind w:left="993" w:right="850"/>
        <w:jc w:val="both"/>
        <w:rPr>
          <w:rFonts w:ascii="Palatino Linotype" w:hAnsi="Palatino Linotype"/>
          <w:i/>
          <w:sz w:val="24"/>
          <w:szCs w:val="24"/>
        </w:rPr>
      </w:pPr>
    </w:p>
    <w:p w:rsidR="001F4BD9" w:rsidRPr="000A798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B035D0" w:rsidRPr="00B035D0">
        <w:rPr>
          <w:rFonts w:ascii="Palatino Linotype" w:hAnsi="Palatino Linotype"/>
          <w:i/>
          <w:sz w:val="24"/>
          <w:szCs w:val="24"/>
        </w:rPr>
        <w:t>FALTA DE RESPUESTA EN LA SOLICITUD DE LA INFORMACIÓN, DERIVADO QUE VULNERA MI DERECHO DE ACCESO A LA INFORMACIÓN</w:t>
      </w:r>
      <w:r w:rsidRPr="000A7989">
        <w:rPr>
          <w:rFonts w:ascii="Palatino Linotype" w:hAnsi="Palatino Linotype"/>
          <w:i/>
          <w:sz w:val="24"/>
          <w:szCs w:val="24"/>
        </w:rPr>
        <w:t xml:space="preserve">” </w:t>
      </w:r>
      <w:r w:rsidR="000B377B">
        <w:rPr>
          <w:rFonts w:ascii="Palatino Linotype" w:hAnsi="Palatino Linotype"/>
          <w:i/>
          <w:sz w:val="24"/>
          <w:szCs w:val="24"/>
        </w:rPr>
        <w:t>(sic)</w:t>
      </w:r>
    </w:p>
    <w:p w:rsidR="00FB767E" w:rsidRDefault="00FB767E" w:rsidP="00227096">
      <w:pPr>
        <w:pStyle w:val="Sinespaciado"/>
        <w:spacing w:line="360" w:lineRule="auto"/>
        <w:jc w:val="both"/>
        <w:rPr>
          <w:rFonts w:ascii="Palatino Linotype" w:hAnsi="Palatino Linotype"/>
          <w:sz w:val="24"/>
          <w:szCs w:val="24"/>
        </w:rPr>
      </w:pPr>
    </w:p>
    <w:p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402B8" w:rsidRDefault="002402B8" w:rsidP="00227096">
      <w:pPr>
        <w:pStyle w:val="Sinespaciado"/>
        <w:spacing w:line="360" w:lineRule="auto"/>
        <w:jc w:val="both"/>
        <w:rPr>
          <w:rFonts w:ascii="Palatino Linotype" w:hAnsi="Palatino Linotype" w:cs="Arial"/>
          <w:sz w:val="24"/>
          <w:szCs w:val="24"/>
        </w:rPr>
      </w:pPr>
    </w:p>
    <w:p w:rsidR="007E2E80" w:rsidRPr="001F4BD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B035D0" w:rsidRPr="00B035D0">
        <w:rPr>
          <w:rFonts w:ascii="Palatino Linotype" w:hAnsi="Palatino Linotype"/>
          <w:i/>
          <w:sz w:val="24"/>
          <w:szCs w:val="24"/>
        </w:rPr>
        <w:t xml:space="preserve">POR REQUERIMIENTOS ABSURDOS TODA VEZ QUE EN EL ARTICULO 155 DE LA LEY COMPETENTE EN SU PENULTIMO PARRAFO QUE A LA LETRA DICE: … LAS SOLICITUDES ANONIMAS, CON NOMBRE INCOMPLETO O SEUDONIMO SERAN PROCEDENTES PARA SU TRAMITE POR PARTE DEL SUJETO OBLIGADO ANTE QUIEN SE PRESENTE. NO PODRA REQUERIRSE INFORMACIÓN ADICIONAL CON MOTIVO DEL NOMBRE PROPORCIONADO POR EL SOLICITANTE. POR LO QUE SOLICITO SEA PROPORCIONADA LA INFORMACIÓN REQUERIDA Y A SU VEZ SOLICITO SEA REVISADA LA CERTIFICACIÓN DEL TITULAR DE LA UNIDAD DE TRANSPARENCIA DEBIDO A QUE LA RESPUESTA PROPORCIONADA POR LA MISMA NO ESTA DEBIDAMENTE </w:t>
      </w:r>
      <w:r w:rsidR="00B035D0" w:rsidRPr="00B035D0">
        <w:rPr>
          <w:rFonts w:ascii="Palatino Linotype" w:hAnsi="Palatino Linotype"/>
          <w:i/>
          <w:sz w:val="24"/>
          <w:szCs w:val="24"/>
        </w:rPr>
        <w:lastRenderedPageBreak/>
        <w:t>FUNDAMENTADA Y VULNERA MI DERECHO A LA INFORMACIÓN, Y SI LA MISMA LA TUVIERA SEA CONSIDERADO EL RETIRARLE LA MISMA. AUNADO A QUE EN EL ARTICULO 222 DE LAS RESPONSABILIDADES Y SANCIONES SE DESPRENDE QUE CUALQUIER ACTO U OMISIÓN QUE PROVOQUE LA SUSPENSIÓN O DEFICIENCIA EN LA ATENCIÓN DE LAS SOLICITUDES DE INFORMACIÓN; SON ACREEDORES A UNA SANCIÓN.</w:t>
      </w:r>
      <w:r w:rsidRPr="001F4BD9">
        <w:rPr>
          <w:rFonts w:ascii="Palatino Linotype" w:hAnsi="Palatino Linotype"/>
          <w:i/>
          <w:sz w:val="24"/>
          <w:szCs w:val="24"/>
        </w:rPr>
        <w:t>”</w:t>
      </w:r>
      <w:r w:rsidR="006A729B" w:rsidRPr="001F4BD9">
        <w:rPr>
          <w:rFonts w:ascii="Palatino Linotype" w:hAnsi="Palatino Linotype"/>
          <w:i/>
          <w:sz w:val="24"/>
          <w:szCs w:val="24"/>
        </w:rPr>
        <w:t>.</w:t>
      </w:r>
      <w:r w:rsidR="000B377B">
        <w:rPr>
          <w:rFonts w:ascii="Palatino Linotype" w:hAnsi="Palatino Linotype"/>
          <w:i/>
          <w:sz w:val="24"/>
          <w:szCs w:val="24"/>
        </w:rPr>
        <w:t xml:space="preserve"> (sic)</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B035D0">
        <w:rPr>
          <w:rFonts w:ascii="Palatino Linotype" w:hAnsi="Palatino Linotype"/>
          <w:b/>
          <w:sz w:val="24"/>
          <w:szCs w:val="24"/>
        </w:rPr>
        <w:t xml:space="preserve">veintidós </w:t>
      </w:r>
      <w:r w:rsidR="00CF505E" w:rsidRPr="006A729B">
        <w:rPr>
          <w:rFonts w:ascii="Palatino Linotype" w:hAnsi="Palatino Linotype"/>
          <w:b/>
          <w:sz w:val="24"/>
          <w:szCs w:val="24"/>
        </w:rPr>
        <w:t xml:space="preserve">de </w:t>
      </w:r>
      <w:r w:rsidR="000B377B">
        <w:rPr>
          <w:rFonts w:ascii="Palatino Linotype" w:hAnsi="Palatino Linotype"/>
          <w:b/>
          <w:sz w:val="24"/>
          <w:szCs w:val="24"/>
        </w:rPr>
        <w:t>noviembre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2402B8" w:rsidRPr="002F47D7" w:rsidRDefault="002402B8"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Pr="002F47D7" w:rsidRDefault="002402B8" w:rsidP="0014447C">
      <w:pPr>
        <w:pStyle w:val="Sinespaciado"/>
        <w:spacing w:line="360" w:lineRule="auto"/>
        <w:jc w:val="both"/>
        <w:rPr>
          <w:rFonts w:ascii="Palatino Linotype" w:hAnsi="Palatino Linotype"/>
          <w:sz w:val="24"/>
          <w:szCs w:val="24"/>
        </w:rPr>
      </w:pPr>
      <w:r w:rsidRPr="00D23F59">
        <w:rPr>
          <w:rFonts w:ascii="Palatino Linotype" w:hAnsi="Palatino Linotype" w:cs="Arial"/>
          <w:sz w:val="24"/>
          <w:szCs w:val="24"/>
        </w:rPr>
        <w:t xml:space="preserve">Así, una vez transcurrido el término legal referido se destaca que el Sujeto Obligado </w:t>
      </w:r>
      <w:r>
        <w:rPr>
          <w:rFonts w:ascii="Palatino Linotype" w:hAnsi="Palatino Linotype" w:cs="Arial"/>
          <w:sz w:val="24"/>
          <w:szCs w:val="24"/>
        </w:rPr>
        <w:t>no ofreció prueba ni manifestó lo que a su derecho conviniera, también se hizo constar que el Recurrente no emitió manifestaciones, ni ofreció pruebas de su parte.</w:t>
      </w:r>
    </w:p>
    <w:p w:rsidR="00943711" w:rsidRPr="00136A4D" w:rsidRDefault="00943711" w:rsidP="0014447C">
      <w:pPr>
        <w:pStyle w:val="Sinespaciado"/>
        <w:spacing w:line="360" w:lineRule="auto"/>
        <w:jc w:val="both"/>
        <w:rPr>
          <w:rFonts w:ascii="Palatino Linotype" w:hAnsi="Palatino Linotype"/>
          <w:sz w:val="24"/>
          <w:szCs w:val="24"/>
        </w:rPr>
      </w:pP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B035D0">
        <w:rPr>
          <w:rFonts w:ascii="Palatino Linotype" w:hAnsi="Palatino Linotype"/>
          <w:b/>
          <w:sz w:val="24"/>
          <w:szCs w:val="24"/>
        </w:rPr>
        <w:t>seis</w:t>
      </w:r>
      <w:r w:rsidR="000A7989">
        <w:rPr>
          <w:rFonts w:ascii="Palatino Linotype" w:hAnsi="Palatino Linotype"/>
          <w:b/>
          <w:sz w:val="24"/>
          <w:szCs w:val="24"/>
        </w:rPr>
        <w:t xml:space="preserve"> </w:t>
      </w:r>
      <w:r w:rsidR="00B40D19" w:rsidRPr="002402B8">
        <w:rPr>
          <w:rFonts w:ascii="Palatino Linotype" w:hAnsi="Palatino Linotype"/>
          <w:b/>
          <w:sz w:val="24"/>
          <w:szCs w:val="24"/>
        </w:rPr>
        <w:t xml:space="preserve">de </w:t>
      </w:r>
      <w:r w:rsidR="00B035D0">
        <w:rPr>
          <w:rFonts w:ascii="Palatino Linotype" w:hAnsi="Palatino Linotype"/>
          <w:b/>
          <w:sz w:val="24"/>
          <w:szCs w:val="24"/>
        </w:rPr>
        <w:t>diciembre</w:t>
      </w:r>
      <w:r w:rsidR="0065519D" w:rsidRPr="002402B8">
        <w:rPr>
          <w:rFonts w:ascii="Palatino Linotype" w:hAnsi="Palatino Linotype"/>
          <w:b/>
          <w:sz w:val="24"/>
          <w:szCs w:val="24"/>
        </w:rPr>
        <w:t xml:space="preserve"> de dos mil diecinueve</w:t>
      </w:r>
      <w:r w:rsidRPr="00136A4D">
        <w:rPr>
          <w:rFonts w:ascii="Palatino Linotype" w:hAnsi="Palatino Linotype"/>
          <w:sz w:val="24"/>
          <w:szCs w:val="24"/>
        </w:rPr>
        <w:t xml:space="preserve">, en términos del artículo 185 Fracción VI de </w:t>
      </w:r>
      <w:r w:rsidRPr="00136A4D">
        <w:rPr>
          <w:rFonts w:ascii="Palatino Linotype" w:hAnsi="Palatino Linotype"/>
          <w:sz w:val="24"/>
          <w:szCs w:val="24"/>
        </w:rPr>
        <w:lastRenderedPageBreak/>
        <w:t>la Ley de Transparencia y Acceso a la Información Pública del Estado de México y Municipios, iniciando el término legal para dictar resolución definitiva del asunto.</w:t>
      </w:r>
    </w:p>
    <w:p w:rsidR="00FB767E" w:rsidRDefault="00FB767E"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724F5C"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En</w:t>
      </w:r>
      <w:r w:rsidR="000B377B">
        <w:rPr>
          <w:rFonts w:ascii="Palatino Linotype" w:hAnsi="Palatino Linotype"/>
          <w:sz w:val="24"/>
          <w:szCs w:val="24"/>
        </w:rPr>
        <w:t xml:space="preserve"> fecha </w:t>
      </w:r>
      <w:r w:rsidR="00B035D0">
        <w:rPr>
          <w:rFonts w:ascii="Palatino Linotype" w:hAnsi="Palatino Linotype"/>
          <w:b/>
          <w:sz w:val="24"/>
          <w:szCs w:val="24"/>
        </w:rPr>
        <w:t>veintiuno</w:t>
      </w:r>
      <w:r>
        <w:rPr>
          <w:rFonts w:ascii="Palatino Linotype" w:hAnsi="Palatino Linotype"/>
          <w:b/>
          <w:sz w:val="24"/>
          <w:szCs w:val="24"/>
        </w:rPr>
        <w:t xml:space="preserve"> </w:t>
      </w:r>
      <w:r w:rsidR="005D6173" w:rsidRPr="002B4E64">
        <w:rPr>
          <w:rFonts w:ascii="Palatino Linotype" w:hAnsi="Palatino Linotype"/>
          <w:b/>
          <w:sz w:val="24"/>
          <w:szCs w:val="24"/>
        </w:rPr>
        <w:t>d</w:t>
      </w:r>
      <w:r w:rsidR="00B40D19" w:rsidRPr="002B4E64">
        <w:rPr>
          <w:rFonts w:ascii="Palatino Linotype" w:hAnsi="Palatino Linotype"/>
          <w:b/>
          <w:sz w:val="24"/>
          <w:szCs w:val="24"/>
        </w:rPr>
        <w:t xml:space="preserve">e </w:t>
      </w:r>
      <w:r w:rsidR="00F464D3">
        <w:rPr>
          <w:rFonts w:ascii="Palatino Linotype" w:hAnsi="Palatino Linotype"/>
          <w:b/>
          <w:sz w:val="24"/>
          <w:szCs w:val="24"/>
        </w:rPr>
        <w:t>enero</w:t>
      </w:r>
      <w:r w:rsidR="00136A4D" w:rsidRPr="002B4E64">
        <w:rPr>
          <w:rFonts w:ascii="Palatino Linotype" w:hAnsi="Palatino Linotype"/>
          <w:b/>
          <w:sz w:val="24"/>
          <w:szCs w:val="24"/>
        </w:rPr>
        <w:t xml:space="preserve"> </w:t>
      </w:r>
      <w:r w:rsidR="0065519D" w:rsidRPr="002B4E64">
        <w:rPr>
          <w:rFonts w:ascii="Palatino Linotype" w:hAnsi="Palatino Linotype"/>
          <w:b/>
          <w:sz w:val="24"/>
          <w:szCs w:val="24"/>
        </w:rPr>
        <w:t xml:space="preserve">de dos mil </w:t>
      </w:r>
      <w:r w:rsidR="00F464D3">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344583">
        <w:rPr>
          <w:rFonts w:ascii="Palatino Linotype" w:hAnsi="Palatino Linotype" w:cs="Aria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w:t>
      </w:r>
      <w:r w:rsidRPr="00344583">
        <w:rPr>
          <w:rFonts w:ascii="Palatino Linotype" w:hAnsi="Palatino Linotype" w:cs="Arial"/>
          <w:sz w:val="24"/>
          <w:szCs w:val="24"/>
        </w:rPr>
        <w:lastRenderedPageBreak/>
        <w:t>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E44BD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E44BD3">
        <w:rPr>
          <w:rFonts w:ascii="Palatino Linotype" w:hAnsi="Palatino Linotype" w:cs="Arial"/>
          <w:b/>
        </w:rPr>
        <w:t>CUARTO.</w:t>
      </w:r>
      <w:r w:rsidRPr="00E44BD3">
        <w:rPr>
          <w:rFonts w:ascii="Palatino Linotype" w:hAnsi="Palatino Linotype" w:cs="Arial"/>
        </w:rPr>
        <w:t xml:space="preserve"> </w:t>
      </w:r>
      <w:r w:rsidRPr="00E44BD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E44BD3">
        <w:rPr>
          <w:rFonts w:ascii="Palatino Linotype" w:hAnsi="Palatino Linotype"/>
          <w:sz w:val="24"/>
          <w:szCs w:val="24"/>
        </w:rPr>
        <w:t>Este Órgano Garante considera pertinente</w:t>
      </w:r>
      <w:r w:rsidRPr="00344583">
        <w:rPr>
          <w:rFonts w:ascii="Palatino Linotype" w:hAnsi="Palatino Linotype"/>
          <w:sz w:val="24"/>
          <w:szCs w:val="24"/>
        </w:rPr>
        <w:t xml:space="preserv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e la Ley de Transparencia local, es así que el recurrente solicitó:</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E44BD3" w:rsidRPr="0029694E" w:rsidRDefault="005035B2" w:rsidP="0029694E">
      <w:pPr>
        <w:pStyle w:val="Sinespaciado"/>
        <w:ind w:left="567" w:right="567"/>
        <w:jc w:val="both"/>
        <w:rPr>
          <w:rFonts w:ascii="Palatino Linotype" w:hAnsi="Palatino Linotype"/>
          <w:i/>
        </w:rPr>
      </w:pPr>
      <w:r>
        <w:rPr>
          <w:rFonts w:ascii="Palatino Linotype" w:hAnsi="Palatino Linotype"/>
          <w:i/>
          <w:sz w:val="24"/>
          <w:szCs w:val="24"/>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w:t>
      </w:r>
      <w:r>
        <w:rPr>
          <w:rFonts w:ascii="Palatino Linotype" w:hAnsi="Palatino Linotype"/>
          <w:i/>
          <w:sz w:val="24"/>
          <w:szCs w:val="24"/>
        </w:rPr>
        <w:lastRenderedPageBreak/>
        <w:t>proporcionen el acuerdo mediante el cual fue aprobado y la gaceta donde haya sido publicado?</w:t>
      </w:r>
      <w:r>
        <w:rPr>
          <w:rFonts w:ascii="Times New Roman" w:hAnsi="Times New Roman" w:cs="Times New Roman"/>
          <w:i/>
          <w:sz w:val="24"/>
          <w:szCs w:val="24"/>
          <w:lang w:eastAsia="es-MX"/>
        </w:rPr>
        <w:t>.” [Sic]</w:t>
      </w:r>
      <w:r>
        <w:rPr>
          <w:rFonts w:ascii="Palatino Linotype" w:hAnsi="Palatino Linotype"/>
          <w:i/>
        </w:rPr>
        <w:t>.</w:t>
      </w:r>
    </w:p>
    <w:p w:rsidR="00584792" w:rsidRDefault="00584792" w:rsidP="00DF1643">
      <w:pPr>
        <w:spacing w:after="0" w:line="360" w:lineRule="auto"/>
        <w:jc w:val="both"/>
        <w:rPr>
          <w:rFonts w:ascii="Palatino Linotype" w:hAnsi="Palatino Linotype" w:cs="Arial"/>
          <w:sz w:val="24"/>
          <w:szCs w:val="24"/>
        </w:rPr>
      </w:pPr>
    </w:p>
    <w:p w:rsidR="006E40E1" w:rsidRDefault="0081117B" w:rsidP="000B0485">
      <w:pPr>
        <w:spacing w:after="0" w:line="360" w:lineRule="auto"/>
        <w:jc w:val="both"/>
        <w:rPr>
          <w:rFonts w:ascii="Palatino Linotype" w:hAnsi="Palatino Linotype" w:cs="Arial"/>
          <w:sz w:val="24"/>
          <w:szCs w:val="24"/>
        </w:rPr>
      </w:pPr>
      <w:r w:rsidRPr="002B5C2A">
        <w:rPr>
          <w:rFonts w:ascii="Palatino Linotype" w:hAnsi="Palatino Linotype" w:cs="Arial"/>
          <w:sz w:val="24"/>
          <w:szCs w:val="24"/>
        </w:rPr>
        <w:t>P</w:t>
      </w:r>
      <w:r w:rsidR="00D12B3C" w:rsidRPr="002B5C2A">
        <w:rPr>
          <w:rFonts w:ascii="Palatino Linotype" w:hAnsi="Palatino Linotype" w:cs="Arial"/>
          <w:sz w:val="24"/>
          <w:szCs w:val="24"/>
        </w:rPr>
        <w:t xml:space="preserve">ara este Órgano Garante la solicitud es bastante clara, por lo que el Titular de la Unidad de Transparencia en uso de sus funciones debió turnar la solicitud de información a las unidades </w:t>
      </w:r>
      <w:r w:rsidR="00910396" w:rsidRPr="002B5C2A">
        <w:rPr>
          <w:rFonts w:ascii="Palatino Linotype" w:hAnsi="Palatino Linotype" w:cs="Arial"/>
          <w:sz w:val="24"/>
          <w:szCs w:val="24"/>
        </w:rPr>
        <w:t>administrativas</w:t>
      </w:r>
      <w:r w:rsidR="00D12B3C" w:rsidRPr="002B5C2A">
        <w:rPr>
          <w:rFonts w:ascii="Palatino Linotype" w:hAnsi="Palatino Linotype" w:cs="Arial"/>
          <w:sz w:val="24"/>
          <w:szCs w:val="24"/>
        </w:rPr>
        <w:t xml:space="preserve"> que por razón de sus </w:t>
      </w:r>
      <w:r w:rsidR="00910396" w:rsidRPr="002B5C2A">
        <w:rPr>
          <w:rFonts w:ascii="Palatino Linotype" w:hAnsi="Palatino Linotype" w:cs="Arial"/>
          <w:sz w:val="24"/>
          <w:szCs w:val="24"/>
        </w:rPr>
        <w:t>atribuciones</w:t>
      </w:r>
      <w:r w:rsidR="00D12B3C" w:rsidRPr="002B5C2A">
        <w:rPr>
          <w:rFonts w:ascii="Palatino Linotype" w:hAnsi="Palatino Linotype" w:cs="Arial"/>
          <w:sz w:val="24"/>
          <w:szCs w:val="24"/>
        </w:rPr>
        <w:t xml:space="preserve"> </w:t>
      </w:r>
      <w:r w:rsidR="00DC1E65" w:rsidRPr="002B5C2A">
        <w:rPr>
          <w:rFonts w:ascii="Palatino Linotype" w:hAnsi="Palatino Linotype" w:cs="Arial"/>
          <w:sz w:val="24"/>
          <w:szCs w:val="24"/>
        </w:rPr>
        <w:t>pudieran</w:t>
      </w:r>
      <w:r w:rsidR="00D12B3C" w:rsidRPr="002B5C2A">
        <w:rPr>
          <w:rFonts w:ascii="Palatino Linotype" w:hAnsi="Palatino Linotype" w:cs="Arial"/>
          <w:sz w:val="24"/>
          <w:szCs w:val="24"/>
        </w:rPr>
        <w:t xml:space="preserve"> contar con la información solicitada.</w:t>
      </w:r>
    </w:p>
    <w:p w:rsidR="006E40E1" w:rsidRDefault="006E40E1" w:rsidP="000B0485">
      <w:pPr>
        <w:spacing w:after="0" w:line="360" w:lineRule="auto"/>
        <w:jc w:val="both"/>
        <w:rPr>
          <w:rFonts w:ascii="Palatino Linotype" w:hAnsi="Palatino Linotype" w:cs="Arial"/>
          <w:sz w:val="24"/>
          <w:szCs w:val="24"/>
        </w:rPr>
      </w:pPr>
    </w:p>
    <w:p w:rsidR="00B74CBF" w:rsidRPr="00854307" w:rsidRDefault="00D5599E" w:rsidP="00A10DEC">
      <w:pPr>
        <w:spacing w:after="0" w:line="360" w:lineRule="auto"/>
        <w:jc w:val="both"/>
        <w:rPr>
          <w:rFonts w:ascii="Palatino Linotype" w:hAnsi="Palatino Linotype" w:cs="Arial"/>
          <w:sz w:val="24"/>
          <w:szCs w:val="24"/>
        </w:rPr>
      </w:pPr>
      <w:r w:rsidRPr="00854307">
        <w:rPr>
          <w:rFonts w:ascii="Palatino Linotype" w:hAnsi="Palatino Linotype" w:cs="Arial"/>
          <w:sz w:val="24"/>
          <w:szCs w:val="24"/>
        </w:rPr>
        <w:t>Aunado a lo anterior es necesario que se pronuncie el Secretario de Ayuntamiento</w:t>
      </w:r>
      <w:r w:rsidR="00B05A6A">
        <w:rPr>
          <w:rFonts w:ascii="Palatino Linotype" w:hAnsi="Palatino Linotype" w:cs="Arial"/>
          <w:sz w:val="24"/>
          <w:szCs w:val="24"/>
        </w:rPr>
        <w:t xml:space="preserve">, Director de Administración, </w:t>
      </w:r>
      <w:r w:rsidR="00A10DEC">
        <w:rPr>
          <w:rFonts w:ascii="Palatino Linotype" w:hAnsi="Palatino Linotype" w:cs="Arial"/>
          <w:sz w:val="24"/>
          <w:szCs w:val="24"/>
        </w:rPr>
        <w:t xml:space="preserve">Tesorero, </w:t>
      </w:r>
      <w:r w:rsidR="00B05A6A">
        <w:rPr>
          <w:rFonts w:ascii="Palatino Linotype" w:hAnsi="Palatino Linotype" w:cs="Arial"/>
          <w:sz w:val="24"/>
          <w:szCs w:val="24"/>
        </w:rPr>
        <w:t xml:space="preserve">la propia </w:t>
      </w:r>
      <w:r w:rsidR="00A10DEC">
        <w:rPr>
          <w:rFonts w:ascii="Palatino Linotype" w:hAnsi="Palatino Linotype" w:cs="Arial"/>
          <w:sz w:val="24"/>
          <w:szCs w:val="24"/>
        </w:rPr>
        <w:t xml:space="preserve">Oficina </w:t>
      </w:r>
      <w:r w:rsidR="00B05A6A">
        <w:rPr>
          <w:rFonts w:ascii="Palatino Linotype" w:hAnsi="Palatino Linotype" w:cs="Arial"/>
          <w:sz w:val="24"/>
          <w:szCs w:val="24"/>
        </w:rPr>
        <w:t xml:space="preserve">de la </w:t>
      </w:r>
      <w:r w:rsidR="00A10DEC">
        <w:rPr>
          <w:rFonts w:ascii="Palatino Linotype" w:hAnsi="Palatino Linotype" w:cs="Arial"/>
          <w:sz w:val="24"/>
          <w:szCs w:val="24"/>
        </w:rPr>
        <w:t>Presidencia</w:t>
      </w:r>
      <w:r w:rsidR="00B05A6A">
        <w:rPr>
          <w:rFonts w:ascii="Palatino Linotype" w:hAnsi="Palatino Linotype" w:cs="Arial"/>
          <w:sz w:val="24"/>
          <w:szCs w:val="24"/>
        </w:rPr>
        <w:t>,</w:t>
      </w:r>
      <w:r w:rsidR="00DC1E65">
        <w:rPr>
          <w:rFonts w:ascii="Palatino Linotype" w:hAnsi="Palatino Linotype" w:cs="Arial"/>
          <w:sz w:val="24"/>
          <w:szCs w:val="24"/>
        </w:rPr>
        <w:t xml:space="preserve"> </w:t>
      </w:r>
      <w:r w:rsidR="002B5C2A">
        <w:rPr>
          <w:rFonts w:ascii="Palatino Linotype" w:hAnsi="Palatino Linotype" w:cs="Arial"/>
          <w:sz w:val="24"/>
          <w:szCs w:val="24"/>
        </w:rPr>
        <w:t>el DIF</w:t>
      </w:r>
      <w:r w:rsidR="00B05A6A">
        <w:rPr>
          <w:rFonts w:ascii="Palatino Linotype" w:hAnsi="Palatino Linotype" w:cs="Arial"/>
          <w:sz w:val="24"/>
          <w:szCs w:val="24"/>
        </w:rPr>
        <w:t xml:space="preserve"> etc.</w:t>
      </w:r>
      <w:r w:rsidR="00B926B6" w:rsidRPr="00854307">
        <w:rPr>
          <w:rFonts w:ascii="Palatino Linotype" w:hAnsi="Palatino Linotype" w:cs="Arial"/>
          <w:sz w:val="24"/>
          <w:szCs w:val="24"/>
        </w:rPr>
        <w:t xml:space="preserve">, </w:t>
      </w:r>
      <w:r w:rsidR="00A10DEC">
        <w:rPr>
          <w:rFonts w:ascii="Palatino Linotype" w:hAnsi="Palatino Linotype" w:cs="Arial"/>
          <w:sz w:val="24"/>
          <w:szCs w:val="24"/>
        </w:rPr>
        <w:t>las unidades administrativas que pudieran dar atención</w:t>
      </w:r>
      <w:r w:rsidR="00B53B46" w:rsidRPr="00854307">
        <w:rPr>
          <w:rFonts w:ascii="Palatino Linotype" w:hAnsi="Palatino Linotype" w:cs="Arial"/>
          <w:sz w:val="24"/>
          <w:szCs w:val="24"/>
        </w:rPr>
        <w:t>, no sup</w:t>
      </w:r>
      <w:r w:rsidR="00A10DEC">
        <w:rPr>
          <w:rFonts w:ascii="Palatino Linotype" w:hAnsi="Palatino Linotype" w:cs="Arial"/>
          <w:sz w:val="24"/>
          <w:szCs w:val="24"/>
        </w:rPr>
        <w:t>ieron</w:t>
      </w:r>
      <w:r w:rsidR="00B53B46" w:rsidRPr="00854307">
        <w:rPr>
          <w:rFonts w:ascii="Palatino Linotype" w:hAnsi="Palatino Linotype" w:cs="Arial"/>
          <w:sz w:val="24"/>
          <w:szCs w:val="24"/>
        </w:rPr>
        <w:t xml:space="preserve"> de la solicitud de información porque </w:t>
      </w:r>
      <w:r w:rsidR="00A10DEC">
        <w:rPr>
          <w:rFonts w:ascii="Palatino Linotype" w:hAnsi="Palatino Linotype" w:cs="Arial"/>
          <w:sz w:val="24"/>
          <w:szCs w:val="24"/>
        </w:rPr>
        <w:t>e</w:t>
      </w:r>
      <w:r w:rsidR="00B53B46" w:rsidRPr="00854307">
        <w:rPr>
          <w:rFonts w:ascii="Palatino Linotype" w:hAnsi="Palatino Linotype" w:cs="Arial"/>
          <w:sz w:val="24"/>
          <w:szCs w:val="24"/>
        </w:rPr>
        <w:t>l Titular de la Unidad de Transparencia no se la</w:t>
      </w:r>
      <w:r w:rsidR="00A10DEC">
        <w:rPr>
          <w:rFonts w:ascii="Palatino Linotype" w:hAnsi="Palatino Linotype" w:cs="Arial"/>
          <w:sz w:val="24"/>
          <w:szCs w:val="24"/>
        </w:rPr>
        <w:t>s</w:t>
      </w:r>
      <w:r w:rsidR="00B53B46" w:rsidRPr="00854307">
        <w:rPr>
          <w:rFonts w:ascii="Palatino Linotype" w:hAnsi="Palatino Linotype" w:cs="Arial"/>
          <w:sz w:val="24"/>
          <w:szCs w:val="24"/>
        </w:rPr>
        <w:t xml:space="preserve"> giró a pesar de ser quien</w:t>
      </w:r>
      <w:r w:rsidR="00A10DEC">
        <w:rPr>
          <w:rFonts w:ascii="Palatino Linotype" w:hAnsi="Palatino Linotype" w:cs="Arial"/>
          <w:sz w:val="24"/>
          <w:szCs w:val="24"/>
        </w:rPr>
        <w:t xml:space="preserve">es </w:t>
      </w:r>
      <w:r w:rsidR="002B5C2A">
        <w:rPr>
          <w:rFonts w:ascii="Palatino Linotype" w:hAnsi="Palatino Linotype" w:cs="Arial"/>
          <w:sz w:val="24"/>
          <w:szCs w:val="24"/>
        </w:rPr>
        <w:t xml:space="preserve">pudieran </w:t>
      </w:r>
      <w:r w:rsidR="00A10DEC">
        <w:rPr>
          <w:rFonts w:ascii="Palatino Linotype" w:hAnsi="Palatino Linotype" w:cs="Arial"/>
          <w:sz w:val="24"/>
          <w:szCs w:val="24"/>
        </w:rPr>
        <w:t>contar con dicha</w:t>
      </w:r>
      <w:r w:rsidR="002B5C2A">
        <w:rPr>
          <w:rFonts w:ascii="Palatino Linotype" w:hAnsi="Palatino Linotype" w:cs="Arial"/>
          <w:sz w:val="24"/>
          <w:szCs w:val="24"/>
        </w:rPr>
        <w:t xml:space="preserve"> información</w:t>
      </w:r>
      <w:r w:rsidR="00B53B46" w:rsidRPr="00854307">
        <w:rPr>
          <w:rFonts w:ascii="Palatino Linotype" w:hAnsi="Palatino Linotype" w:cs="Arial"/>
          <w:sz w:val="24"/>
          <w:szCs w:val="24"/>
        </w:rPr>
        <w:t>.</w:t>
      </w:r>
    </w:p>
    <w:p w:rsidR="00840BAD" w:rsidRPr="00854307" w:rsidRDefault="00840BAD" w:rsidP="000B0485">
      <w:pPr>
        <w:tabs>
          <w:tab w:val="left" w:pos="7938"/>
        </w:tabs>
        <w:spacing w:after="0" w:line="360" w:lineRule="auto"/>
        <w:jc w:val="both"/>
        <w:rPr>
          <w:rFonts w:ascii="Palatino Linotype" w:hAnsi="Palatino Linotype" w:cs="Arial"/>
          <w:sz w:val="24"/>
          <w:szCs w:val="24"/>
        </w:rPr>
      </w:pPr>
    </w:p>
    <w:p w:rsidR="00840BAD" w:rsidRPr="00854307" w:rsidRDefault="00840BAD" w:rsidP="000B0485">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840BAD" w:rsidRPr="00854307"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p>
    <w:p w:rsidR="00840BAD" w:rsidRPr="002B5C2A" w:rsidRDefault="00840BAD" w:rsidP="000B0485">
      <w:pPr>
        <w:tabs>
          <w:tab w:val="left" w:pos="709"/>
        </w:tabs>
        <w:spacing w:after="0" w:line="360" w:lineRule="auto"/>
        <w:ind w:left="851" w:right="760"/>
        <w:jc w:val="center"/>
        <w:rPr>
          <w:rFonts w:ascii="Palatino Linotype" w:hAnsi="Palatino Linotype" w:cs="Arial"/>
          <w:b/>
          <w:i/>
          <w:sz w:val="24"/>
          <w:szCs w:val="24"/>
          <w:lang w:eastAsia="es-MX"/>
        </w:rPr>
      </w:pPr>
      <w:r w:rsidRPr="002B5C2A">
        <w:rPr>
          <w:rFonts w:ascii="Palatino Linotype" w:hAnsi="Palatino Linotype" w:cs="Arial"/>
          <w:b/>
          <w:sz w:val="24"/>
          <w:szCs w:val="24"/>
        </w:rPr>
        <w:lastRenderedPageBreak/>
        <w:t>Ley de Transparencia y Acceso a la Información Pública del Estado de México y Municipios</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 xml:space="preserve">“Artículo 50. Los sujetos obligados contarán con un área responsable para la atención de las solicitudes de información, a la que se le denominará Unidad de Transparencia. </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 xml:space="preserve">Artículo 51. Los sujetos obligados designaran a un responsable para atender la Unidad de Transparencia, quien fungirá como enlace entre éstos y los solicitantes. </w:t>
      </w:r>
      <w:r w:rsidRPr="002B5C2A">
        <w:rPr>
          <w:rFonts w:ascii="Palatino Linotype" w:hAnsi="Palatino Linotype" w:cs="Arial"/>
          <w:b/>
          <w:i/>
          <w:sz w:val="24"/>
          <w:szCs w:val="24"/>
          <w:u w:val="single"/>
          <w:lang w:eastAsia="es-MX"/>
        </w:rPr>
        <w:t>Dicha Unidad será la encargada de tramitar internamente la solicitud de información</w:t>
      </w:r>
      <w:r w:rsidRPr="002B5C2A">
        <w:rPr>
          <w:rFonts w:ascii="Palatino Linotype" w:hAnsi="Palatino Linotype" w:cs="Arial"/>
          <w:i/>
          <w:sz w:val="24"/>
          <w:szCs w:val="24"/>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Artículo 53. Las Unidades de Transparencia tendrán las siguientes funciones:</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 xml:space="preserve">II. Recibir, tramitar y dar respuesta a las solicitudes de acceso a la información; </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w:t>
      </w:r>
    </w:p>
    <w:p w:rsidR="00840BAD" w:rsidRPr="002B5C2A" w:rsidRDefault="00840BAD" w:rsidP="000B0485">
      <w:pPr>
        <w:tabs>
          <w:tab w:val="left" w:pos="709"/>
        </w:tabs>
        <w:spacing w:after="0" w:line="360" w:lineRule="auto"/>
        <w:ind w:left="851" w:right="760"/>
        <w:jc w:val="both"/>
        <w:rPr>
          <w:rFonts w:ascii="Palatino Linotype" w:hAnsi="Palatino Linotype" w:cs="Arial"/>
          <w:b/>
          <w:i/>
          <w:sz w:val="24"/>
          <w:szCs w:val="24"/>
          <w:u w:val="single"/>
          <w:lang w:eastAsia="es-MX"/>
        </w:rPr>
      </w:pPr>
      <w:r w:rsidRPr="002B5C2A">
        <w:rPr>
          <w:rFonts w:ascii="Palatino Linotype" w:hAnsi="Palatino Linotype" w:cs="Arial"/>
          <w:b/>
          <w:i/>
          <w:sz w:val="24"/>
          <w:szCs w:val="24"/>
          <w:u w:val="single"/>
          <w:lang w:eastAsia="es-MX"/>
        </w:rPr>
        <w:t xml:space="preserve">IV. Realizar, con efectividad, los trámites internos necesarios para la atención de las solicitudes de acceso a la información; </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 xml:space="preserve">V. Entregar, en su caso, a los particulares la información solicitada; </w:t>
      </w:r>
    </w:p>
    <w:p w:rsidR="00840BAD" w:rsidRPr="002B5C2A"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r w:rsidRPr="002B5C2A">
        <w:rPr>
          <w:rFonts w:ascii="Palatino Linotype" w:hAnsi="Palatino Linotype" w:cs="Arial"/>
          <w:i/>
          <w:sz w:val="24"/>
          <w:szCs w:val="24"/>
          <w:lang w:eastAsia="es-MX"/>
        </w:rPr>
        <w:t>VI. Efectuar las notificaciones a los solicitantes;”</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Default="00840BAD"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lastRenderedPageBreak/>
        <w:t xml:space="preserve">Lo </w:t>
      </w:r>
      <w:r w:rsidRPr="00DD2DB7">
        <w:rPr>
          <w:rFonts w:ascii="Palatino Linotype" w:hAnsi="Palatino Linotype" w:cs="Arial"/>
          <w:sz w:val="24"/>
          <w:szCs w:val="24"/>
        </w:rPr>
        <w:t xml:space="preserve">anterior es así ya que derivado de la solicitud número </w:t>
      </w:r>
      <w:r w:rsidR="00DD2DB7" w:rsidRPr="00DD2DB7">
        <w:rPr>
          <w:rFonts w:ascii="Palatino Linotype" w:hAnsi="Palatino Linotype"/>
          <w:b/>
          <w:sz w:val="24"/>
          <w:szCs w:val="24"/>
        </w:rPr>
        <w:t>00230/LERMA/IP/2019</w:t>
      </w:r>
      <w:r w:rsidRPr="00DD2DB7">
        <w:rPr>
          <w:rFonts w:ascii="Palatino Linotype" w:hAnsi="Palatino Linotype" w:cs="Arial"/>
          <w:sz w:val="24"/>
          <w:szCs w:val="24"/>
        </w:rPr>
        <w:t xml:space="preserve"> (en la que se resuelve), se aprecia en el sistema SAIMEX, que la servidora pública en comento, no tramitó ante</w:t>
      </w:r>
      <w:r w:rsidR="002667B2" w:rsidRPr="00DD2DB7">
        <w:rPr>
          <w:rFonts w:ascii="Palatino Linotype" w:hAnsi="Palatino Linotype" w:cs="Arial"/>
          <w:sz w:val="24"/>
          <w:szCs w:val="24"/>
        </w:rPr>
        <w:t xml:space="preserve"> todas</w:t>
      </w:r>
      <w:r w:rsidRPr="00DD2DB7">
        <w:rPr>
          <w:rFonts w:ascii="Palatino Linotype" w:hAnsi="Palatino Linotype" w:cs="Arial"/>
          <w:sz w:val="24"/>
          <w:szCs w:val="24"/>
        </w:rPr>
        <w:t xml:space="preserve"> las instancias del Ayuntamiento, que pudieran tener lo solicitado (derivado de sus funciones)</w:t>
      </w:r>
      <w:r w:rsidRPr="00854307">
        <w:rPr>
          <w:rFonts w:ascii="Palatino Linotype" w:hAnsi="Palatino Linotype" w:cs="Arial"/>
          <w:sz w:val="24"/>
          <w:szCs w:val="24"/>
        </w:rPr>
        <w:t xml:space="preserve"> lo requerido por el particular</w:t>
      </w:r>
      <w:r w:rsidR="00544D3F">
        <w:rPr>
          <w:rFonts w:ascii="Palatino Linotype" w:hAnsi="Palatino Linotype" w:cs="Arial"/>
          <w:sz w:val="24"/>
          <w:szCs w:val="24"/>
        </w:rPr>
        <w:t>.</w:t>
      </w:r>
    </w:p>
    <w:p w:rsidR="00025CE7" w:rsidRPr="00854307" w:rsidRDefault="00025CE7" w:rsidP="00854307">
      <w:pPr>
        <w:tabs>
          <w:tab w:val="left" w:pos="7938"/>
        </w:tabs>
        <w:spacing w:after="0" w:line="360" w:lineRule="auto"/>
        <w:jc w:val="both"/>
        <w:rPr>
          <w:rFonts w:ascii="Palatino Linotype" w:hAnsi="Palatino Linotype" w:cs="Arial"/>
          <w:sz w:val="24"/>
          <w:szCs w:val="24"/>
        </w:rPr>
      </w:pPr>
    </w:p>
    <w:p w:rsidR="00840BAD" w:rsidRPr="00854307" w:rsidRDefault="00544D3F"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w:t>
      </w:r>
      <w:r w:rsidR="00840BAD" w:rsidRPr="00854307">
        <w:rPr>
          <w:rFonts w:ascii="Palatino Linotype" w:hAnsi="Palatino Linotype" w:cs="Arial"/>
          <w:sz w:val="24"/>
          <w:szCs w:val="24"/>
        </w:rPr>
        <w:t>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854307" w:rsidRDefault="00854307" w:rsidP="00854307">
      <w:pPr>
        <w:tabs>
          <w:tab w:val="left" w:pos="7938"/>
        </w:tabs>
        <w:spacing w:after="0" w:line="360" w:lineRule="auto"/>
        <w:jc w:val="both"/>
        <w:rPr>
          <w:rFonts w:ascii="Palatino Linotype" w:hAnsi="Palatino Linotype" w:cs="Arial"/>
          <w:sz w:val="24"/>
          <w:szCs w:val="24"/>
        </w:rPr>
      </w:pPr>
    </w:p>
    <w:p w:rsidR="00187B39" w:rsidRDefault="00025CE7"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 bien la Unidad de Transparencia es la encargada de </w:t>
      </w:r>
      <w:r w:rsidR="00DD2DB7">
        <w:rPr>
          <w:rFonts w:ascii="Palatino Linotype" w:hAnsi="Palatino Linotype" w:cs="Arial"/>
          <w:sz w:val="24"/>
          <w:szCs w:val="24"/>
        </w:rPr>
        <w:t>dar contestación</w:t>
      </w:r>
      <w:r>
        <w:rPr>
          <w:rFonts w:ascii="Palatino Linotype" w:hAnsi="Palatino Linotype" w:cs="Arial"/>
          <w:sz w:val="24"/>
          <w:szCs w:val="24"/>
        </w:rPr>
        <w:t xml:space="preserve"> a los particulares, también lo es que no es una notoria incompetencia ya que se trata de</w:t>
      </w:r>
      <w:r w:rsidR="00187B39">
        <w:rPr>
          <w:rFonts w:ascii="Palatino Linotype" w:hAnsi="Palatino Linotype" w:cs="Arial"/>
          <w:sz w:val="24"/>
          <w:szCs w:val="24"/>
        </w:rPr>
        <w:t xml:space="preserve"> una unidad administrativa que debe existir en el Ayuntamiento</w:t>
      </w:r>
      <w:r w:rsidR="001055A6">
        <w:rPr>
          <w:rFonts w:ascii="Palatino Linotype" w:hAnsi="Palatino Linotype" w:cs="Arial"/>
          <w:sz w:val="24"/>
          <w:szCs w:val="24"/>
        </w:rPr>
        <w:t xml:space="preserve">, lo anterior es así pues efectivamente como lo refiere el hoy Recurrente en su solicitud de información, mediante el Decreto 309 publicado en el periódico oficial “Gaceta de Gobierno” en fecha 10 de mayo de 2018, se modificó la </w:t>
      </w:r>
      <w:r w:rsidR="001055A6" w:rsidRPr="001055A6">
        <w:rPr>
          <w:rFonts w:ascii="Palatino Linotype" w:hAnsi="Palatino Linotype" w:cs="Arial"/>
          <w:b/>
          <w:sz w:val="24"/>
          <w:szCs w:val="24"/>
          <w:u w:val="single"/>
        </w:rPr>
        <w:t>Ley de Acceso de las Mujeres a una Vida Libre de Violencia del Estado de México</w:t>
      </w:r>
      <w:r w:rsidR="001055A6">
        <w:rPr>
          <w:rFonts w:ascii="Palatino Linotype" w:hAnsi="Palatino Linotype" w:cs="Arial"/>
          <w:sz w:val="24"/>
          <w:szCs w:val="24"/>
        </w:rPr>
        <w:t>, la cual a partir de esa fecha establece:</w:t>
      </w:r>
    </w:p>
    <w:p w:rsidR="001055A6" w:rsidRDefault="001055A6" w:rsidP="00854307">
      <w:pPr>
        <w:tabs>
          <w:tab w:val="left" w:pos="7938"/>
        </w:tabs>
        <w:spacing w:after="0" w:line="360" w:lineRule="auto"/>
        <w:jc w:val="both"/>
        <w:rPr>
          <w:rFonts w:ascii="Palatino Linotype" w:hAnsi="Palatino Linotype" w:cs="Arial"/>
          <w:sz w:val="24"/>
          <w:szCs w:val="24"/>
        </w:rPr>
      </w:pPr>
    </w:p>
    <w:p w:rsidR="001055A6" w:rsidRDefault="001055A6" w:rsidP="001055A6">
      <w:pPr>
        <w:tabs>
          <w:tab w:val="left" w:pos="709"/>
        </w:tabs>
        <w:spacing w:after="0" w:line="360" w:lineRule="auto"/>
        <w:ind w:left="851" w:right="760"/>
        <w:jc w:val="both"/>
        <w:rPr>
          <w:rFonts w:ascii="Palatino Linotype" w:hAnsi="Palatino Linotype" w:cs="Arial"/>
          <w:i/>
          <w:sz w:val="24"/>
          <w:szCs w:val="24"/>
          <w:lang w:eastAsia="es-MX"/>
        </w:rPr>
      </w:pPr>
      <w:r w:rsidRPr="001055A6">
        <w:rPr>
          <w:rFonts w:ascii="Palatino Linotype" w:hAnsi="Palatino Linotype" w:cs="Arial"/>
          <w:b/>
          <w:i/>
          <w:sz w:val="24"/>
          <w:szCs w:val="24"/>
          <w:lang w:eastAsia="es-MX"/>
        </w:rPr>
        <w:t>Artículo 1.-</w:t>
      </w:r>
      <w:r w:rsidRPr="001055A6">
        <w:rPr>
          <w:rFonts w:ascii="Palatino Linotype" w:hAnsi="Palatino Linotype" w:cs="Arial"/>
          <w:i/>
          <w:sz w:val="24"/>
          <w:szCs w:val="24"/>
          <w:lang w:eastAsia="es-MX"/>
        </w:rPr>
        <w:t xml:space="preserve"> La presente Ley </w:t>
      </w:r>
      <w:r w:rsidRPr="001055A6">
        <w:rPr>
          <w:rFonts w:ascii="Palatino Linotype" w:hAnsi="Palatino Linotype" w:cs="Arial"/>
          <w:b/>
          <w:i/>
          <w:sz w:val="24"/>
          <w:szCs w:val="24"/>
          <w:u w:val="single"/>
          <w:lang w:eastAsia="es-MX"/>
        </w:rPr>
        <w:t>es de orden público, interés social y de observancia general y obligatoria en todo el Estado de México</w:t>
      </w:r>
      <w:r w:rsidRPr="001055A6">
        <w:rPr>
          <w:rFonts w:ascii="Palatino Linotype" w:hAnsi="Palatino Linotype" w:cs="Arial"/>
          <w:i/>
          <w:sz w:val="24"/>
          <w:szCs w:val="24"/>
          <w:lang w:eastAsia="es-MX"/>
        </w:rPr>
        <w:t xml:space="preserve"> y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w:t>
      </w:r>
      <w:r w:rsidRPr="001055A6">
        <w:rPr>
          <w:rFonts w:ascii="Palatino Linotype" w:hAnsi="Palatino Linotype" w:cs="Arial"/>
          <w:i/>
          <w:sz w:val="24"/>
          <w:szCs w:val="24"/>
          <w:lang w:eastAsia="es-MX"/>
        </w:rPr>
        <w:lastRenderedPageBreak/>
        <w:t>violencia que favorezca su desarrollo y bienestar conforme a los principios de igualdad y de no discriminación, que garanticen el desarrollo integral de las mujeres.</w:t>
      </w:r>
    </w:p>
    <w:p w:rsidR="001055A6" w:rsidRDefault="001055A6" w:rsidP="001055A6">
      <w:pPr>
        <w:tabs>
          <w:tab w:val="left" w:pos="709"/>
        </w:tabs>
        <w:spacing w:after="0" w:line="360" w:lineRule="auto"/>
        <w:ind w:left="851" w:right="760"/>
        <w:jc w:val="both"/>
        <w:rPr>
          <w:rFonts w:ascii="Palatino Linotype" w:hAnsi="Palatino Linotype" w:cs="Arial"/>
          <w:i/>
          <w:sz w:val="24"/>
          <w:szCs w:val="24"/>
          <w:lang w:eastAsia="es-MX"/>
        </w:rPr>
      </w:pPr>
      <w:r>
        <w:rPr>
          <w:rFonts w:ascii="Palatino Linotype" w:hAnsi="Palatino Linotype" w:cs="Arial"/>
          <w:b/>
          <w:i/>
          <w:sz w:val="24"/>
          <w:szCs w:val="24"/>
          <w:lang w:eastAsia="es-MX"/>
        </w:rPr>
        <w:t>…</w:t>
      </w:r>
    </w:p>
    <w:p w:rsidR="001055A6" w:rsidRDefault="001055A6" w:rsidP="001055A6">
      <w:pPr>
        <w:tabs>
          <w:tab w:val="left" w:pos="709"/>
        </w:tabs>
        <w:spacing w:after="0" w:line="360" w:lineRule="auto"/>
        <w:ind w:left="851" w:right="760"/>
        <w:jc w:val="both"/>
        <w:rPr>
          <w:rFonts w:ascii="Palatino Linotype" w:hAnsi="Palatino Linotype" w:cs="Arial"/>
          <w:i/>
          <w:sz w:val="24"/>
          <w:szCs w:val="24"/>
          <w:lang w:eastAsia="es-MX"/>
        </w:rPr>
      </w:pPr>
      <w:r w:rsidRPr="001055A6">
        <w:rPr>
          <w:rFonts w:ascii="Palatino Linotype" w:hAnsi="Palatino Linotype" w:cs="Arial"/>
          <w:i/>
          <w:sz w:val="24"/>
          <w:szCs w:val="24"/>
          <w:lang w:eastAsia="es-MX"/>
        </w:rPr>
        <w:t xml:space="preserve">Artículo 54.- </w:t>
      </w:r>
      <w:r w:rsidRPr="001055A6">
        <w:rPr>
          <w:rFonts w:ascii="Palatino Linotype" w:hAnsi="Palatino Linotype" w:cs="Arial"/>
          <w:b/>
          <w:i/>
          <w:sz w:val="24"/>
          <w:szCs w:val="24"/>
          <w:u w:val="single"/>
          <w:lang w:eastAsia="es-MX"/>
        </w:rPr>
        <w:t>Corresponde a los municipios</w:t>
      </w:r>
      <w:r w:rsidRPr="001055A6">
        <w:rPr>
          <w:rFonts w:ascii="Palatino Linotype" w:hAnsi="Palatino Linotype" w:cs="Arial"/>
          <w:i/>
          <w:sz w:val="24"/>
          <w:szCs w:val="24"/>
          <w:lang w:eastAsia="es-MX"/>
        </w:rPr>
        <w:t>, en materia de prevención, atención, sanción y erradicación de la violencia de género:</w:t>
      </w:r>
    </w:p>
    <w:p w:rsidR="001055A6" w:rsidRDefault="001055A6" w:rsidP="001055A6">
      <w:pPr>
        <w:tabs>
          <w:tab w:val="left" w:pos="709"/>
        </w:tabs>
        <w:spacing w:after="0" w:line="360" w:lineRule="auto"/>
        <w:ind w:left="851" w:right="760"/>
        <w:jc w:val="both"/>
        <w:rPr>
          <w:rFonts w:ascii="Palatino Linotype" w:hAnsi="Palatino Linotype" w:cs="Arial"/>
          <w:i/>
          <w:sz w:val="24"/>
          <w:szCs w:val="24"/>
          <w:lang w:eastAsia="es-MX"/>
        </w:rPr>
      </w:pPr>
      <w:r>
        <w:rPr>
          <w:rFonts w:ascii="Palatino Linotype" w:hAnsi="Palatino Linotype" w:cs="Arial"/>
          <w:i/>
          <w:sz w:val="24"/>
          <w:szCs w:val="24"/>
          <w:lang w:eastAsia="es-MX"/>
        </w:rPr>
        <w:t>…</w:t>
      </w:r>
    </w:p>
    <w:p w:rsidR="001055A6" w:rsidRDefault="001055A6" w:rsidP="001055A6">
      <w:pPr>
        <w:tabs>
          <w:tab w:val="left" w:pos="709"/>
        </w:tabs>
        <w:spacing w:after="0" w:line="360" w:lineRule="auto"/>
        <w:ind w:left="851" w:right="760"/>
        <w:jc w:val="both"/>
        <w:rPr>
          <w:rFonts w:ascii="Palatino Linotype" w:hAnsi="Palatino Linotype" w:cs="Arial"/>
          <w:i/>
          <w:sz w:val="24"/>
          <w:szCs w:val="24"/>
          <w:lang w:eastAsia="es-MX"/>
        </w:rPr>
      </w:pPr>
      <w:r w:rsidRPr="001055A6">
        <w:rPr>
          <w:rFonts w:ascii="Palatino Linotype" w:hAnsi="Palatino Linotype" w:cs="Arial"/>
          <w:i/>
          <w:sz w:val="24"/>
          <w:szCs w:val="24"/>
          <w:lang w:eastAsia="es-MX"/>
        </w:rPr>
        <w:t xml:space="preserve">X Bis. </w:t>
      </w:r>
      <w:r w:rsidRPr="001055A6">
        <w:rPr>
          <w:rFonts w:ascii="Palatino Linotype" w:hAnsi="Palatino Linotype" w:cs="Arial"/>
          <w:b/>
          <w:i/>
          <w:sz w:val="24"/>
          <w:szCs w:val="24"/>
          <w:u w:val="single"/>
          <w:lang w:eastAsia="es-MX"/>
        </w:rPr>
        <w:t>Crear Unidades de Igualdad de Género y Erradicación de la Violencia, en términos de lo previsto en el Capítulo Noveno Bis de la Ley de Igualdad de Trato y Oportunidades entre Mujeres y Hombres del Estado de México</w:t>
      </w:r>
      <w:r w:rsidRPr="001055A6">
        <w:rPr>
          <w:rFonts w:ascii="Palatino Linotype" w:hAnsi="Palatino Linotype" w:cs="Arial"/>
          <w:i/>
          <w:sz w:val="24"/>
          <w:szCs w:val="24"/>
          <w:lang w:eastAsia="es-MX"/>
        </w:rPr>
        <w:t>;</w:t>
      </w:r>
    </w:p>
    <w:p w:rsidR="001055A6" w:rsidRPr="001055A6" w:rsidRDefault="001055A6" w:rsidP="001055A6">
      <w:pPr>
        <w:tabs>
          <w:tab w:val="left" w:pos="709"/>
        </w:tabs>
        <w:spacing w:after="0" w:line="360" w:lineRule="auto"/>
        <w:ind w:left="851" w:right="760"/>
        <w:jc w:val="both"/>
        <w:rPr>
          <w:rFonts w:ascii="Palatino Linotype" w:hAnsi="Palatino Linotype" w:cs="Arial"/>
          <w:sz w:val="24"/>
          <w:szCs w:val="24"/>
          <w:lang w:eastAsia="es-MX"/>
        </w:rPr>
      </w:pPr>
      <w:r w:rsidRPr="001055A6">
        <w:rPr>
          <w:rFonts w:ascii="Palatino Linotype" w:hAnsi="Palatino Linotype" w:cs="Arial"/>
          <w:sz w:val="24"/>
          <w:szCs w:val="24"/>
          <w:lang w:eastAsia="es-MX"/>
        </w:rPr>
        <w:t>(Énfasis añadido).</w:t>
      </w:r>
    </w:p>
    <w:p w:rsidR="00187B39" w:rsidRDefault="00187B39" w:rsidP="00854307">
      <w:pPr>
        <w:tabs>
          <w:tab w:val="left" w:pos="7938"/>
        </w:tabs>
        <w:spacing w:after="0" w:line="360" w:lineRule="auto"/>
        <w:jc w:val="both"/>
        <w:rPr>
          <w:rFonts w:ascii="Palatino Linotype" w:hAnsi="Palatino Linotype" w:cs="Arial"/>
          <w:sz w:val="24"/>
          <w:szCs w:val="24"/>
        </w:rPr>
      </w:pPr>
    </w:p>
    <w:p w:rsidR="00187B39" w:rsidRDefault="001055A6"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Ese mismo Decreto </w:t>
      </w:r>
      <w:r w:rsidR="00134C6E">
        <w:rPr>
          <w:rFonts w:ascii="Palatino Linotype" w:hAnsi="Palatino Linotype" w:cs="Arial"/>
          <w:sz w:val="24"/>
          <w:szCs w:val="24"/>
        </w:rPr>
        <w:t xml:space="preserve">309, también modificó </w:t>
      </w:r>
      <w:r w:rsidR="00134C6E" w:rsidRPr="00134C6E">
        <w:rPr>
          <w:rFonts w:ascii="Palatino Linotype" w:hAnsi="Palatino Linotype" w:cs="Arial"/>
          <w:sz w:val="24"/>
          <w:szCs w:val="24"/>
        </w:rPr>
        <w:t xml:space="preserve">la </w:t>
      </w:r>
      <w:r w:rsidR="00134C6E" w:rsidRPr="00AA0B7D">
        <w:rPr>
          <w:rFonts w:ascii="Palatino Linotype" w:hAnsi="Palatino Linotype" w:cs="Arial"/>
          <w:b/>
          <w:sz w:val="24"/>
          <w:szCs w:val="24"/>
        </w:rPr>
        <w:t>Ley de Igualdad de Trato y Oportunidades entre Mujeres y Hombres del Estado de México</w:t>
      </w:r>
      <w:r w:rsidR="00134C6E">
        <w:rPr>
          <w:rFonts w:ascii="Palatino Linotype" w:hAnsi="Palatino Linotype" w:cs="Arial"/>
          <w:sz w:val="24"/>
          <w:szCs w:val="24"/>
        </w:rPr>
        <w:t>, que a partir de la publicación del citado Decreto, establece:</w:t>
      </w:r>
    </w:p>
    <w:p w:rsidR="00187B39" w:rsidRDefault="00187B39" w:rsidP="00854307">
      <w:pPr>
        <w:tabs>
          <w:tab w:val="left" w:pos="7938"/>
        </w:tabs>
        <w:spacing w:after="0" w:line="360" w:lineRule="auto"/>
        <w:jc w:val="both"/>
        <w:rPr>
          <w:rFonts w:ascii="Palatino Linotype" w:hAnsi="Palatino Linotype" w:cs="Arial"/>
          <w:sz w:val="24"/>
          <w:szCs w:val="24"/>
        </w:rPr>
      </w:pPr>
    </w:p>
    <w:p w:rsidR="00AA0B7D" w:rsidRDefault="00AA0B7D" w:rsidP="00AA0B7D">
      <w:pPr>
        <w:tabs>
          <w:tab w:val="left" w:pos="709"/>
        </w:tabs>
        <w:spacing w:after="0" w:line="360" w:lineRule="auto"/>
        <w:ind w:left="851" w:right="760"/>
        <w:jc w:val="center"/>
        <w:rPr>
          <w:rFonts w:ascii="Palatino Linotype" w:hAnsi="Palatino Linotype" w:cs="Arial"/>
          <w:i/>
          <w:sz w:val="24"/>
          <w:szCs w:val="24"/>
          <w:lang w:eastAsia="es-MX"/>
        </w:rPr>
      </w:pPr>
      <w:r w:rsidRPr="00AA0B7D">
        <w:rPr>
          <w:rFonts w:ascii="Palatino Linotype" w:hAnsi="Palatino Linotype" w:cs="Arial"/>
          <w:i/>
          <w:sz w:val="24"/>
          <w:szCs w:val="24"/>
          <w:lang w:eastAsia="es-MX"/>
        </w:rPr>
        <w:t>CAPÍTULO NOVENO BIS</w:t>
      </w:r>
    </w:p>
    <w:p w:rsidR="00187B39" w:rsidRPr="00AA0B7D" w:rsidRDefault="00AA0B7D" w:rsidP="00AA0B7D">
      <w:pPr>
        <w:tabs>
          <w:tab w:val="left" w:pos="709"/>
        </w:tabs>
        <w:spacing w:after="0" w:line="360" w:lineRule="auto"/>
        <w:ind w:left="851" w:right="760"/>
        <w:jc w:val="center"/>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DE LAS UNIDADES DE IGUALDAD DE GÉNERO Y </w:t>
      </w:r>
      <w:r>
        <w:rPr>
          <w:rFonts w:ascii="Palatino Linotype" w:hAnsi="Palatino Linotype" w:cs="Arial"/>
          <w:i/>
          <w:sz w:val="24"/>
          <w:szCs w:val="24"/>
          <w:lang w:eastAsia="es-MX"/>
        </w:rPr>
        <w:t>E</w:t>
      </w:r>
      <w:r w:rsidRPr="00AA0B7D">
        <w:rPr>
          <w:rFonts w:ascii="Palatino Linotype" w:hAnsi="Palatino Linotype" w:cs="Arial"/>
          <w:i/>
          <w:sz w:val="24"/>
          <w:szCs w:val="24"/>
          <w:lang w:eastAsia="es-MX"/>
        </w:rPr>
        <w:t>RRADICACIÓN DE LA VIOLENCIA</w:t>
      </w:r>
    </w:p>
    <w:p w:rsidR="00187B39"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Artículo 34 Bis.- Las dependencias del Ejecutivo, sus organismos auxiliares, los Poderes Legislativo y Judicial, organismos autónomos y </w:t>
      </w:r>
      <w:r w:rsidRPr="00AA0B7D">
        <w:rPr>
          <w:rFonts w:ascii="Palatino Linotype" w:hAnsi="Palatino Linotype" w:cs="Arial"/>
          <w:b/>
          <w:i/>
          <w:sz w:val="24"/>
          <w:szCs w:val="24"/>
          <w:u w:val="single"/>
          <w:lang w:eastAsia="es-MX"/>
        </w:rPr>
        <w:t>municipios crearán Unidades de Igualdad de Género y Erradicación de la Violencia</w:t>
      </w:r>
      <w:r w:rsidRPr="00AA0B7D">
        <w:rPr>
          <w:rFonts w:ascii="Palatino Linotype" w:hAnsi="Palatino Linotype" w:cs="Arial"/>
          <w:i/>
          <w:sz w:val="24"/>
          <w:szCs w:val="24"/>
          <w:lang w:eastAsia="es-MX"/>
        </w:rPr>
        <w:t xml:space="preserve">, mediante criterios transversales, que tengan por objeto </w:t>
      </w:r>
      <w:r w:rsidRPr="00AA0B7D">
        <w:rPr>
          <w:rFonts w:ascii="Palatino Linotype" w:hAnsi="Palatino Linotype" w:cs="Arial"/>
          <w:i/>
          <w:sz w:val="24"/>
          <w:szCs w:val="24"/>
          <w:lang w:eastAsia="es-MX"/>
        </w:rPr>
        <w:lastRenderedPageBreak/>
        <w:t>implementar e institucionalizar la perspectiva de género y fungir como órgano de consulta y asesoría en la instancia correspondiente.</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Artículo 34 Ter.- </w:t>
      </w:r>
      <w:r w:rsidRPr="00AA0B7D">
        <w:rPr>
          <w:rFonts w:ascii="Palatino Linotype" w:hAnsi="Palatino Linotype" w:cs="Arial"/>
          <w:b/>
          <w:i/>
          <w:sz w:val="24"/>
          <w:szCs w:val="24"/>
          <w:u w:val="single"/>
          <w:lang w:eastAsia="es-MX"/>
        </w:rPr>
        <w:t>Son atribuciones de las Unidades de Igualdad de Género y Erradicación de la Violencia, las siguientes</w:t>
      </w:r>
      <w:r w:rsidRPr="00AA0B7D">
        <w:rPr>
          <w:rFonts w:ascii="Palatino Linotype" w:hAnsi="Palatino Linotype" w:cs="Arial"/>
          <w:i/>
          <w:sz w:val="24"/>
          <w:szCs w:val="24"/>
          <w:lang w:eastAsia="es-MX"/>
        </w:rPr>
        <w:t xml:space="preserve">: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I. Promover y vigilar que sus planes, programas y acciones sean realizados con perspectiva de género;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ll. Generar acciones con perspectiva de género que garanticen el acceso de las mujeres a una vida libre de violencia, promuevan la igualdad, el empoderamiento de las mujeres, el respeto a los derechos humanos y la eliminación de la discriminación;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IV. Coadyuvar en la elaboración de sus presupuestos con perspectiva de género, con la finalidad de incorporar acciones relacionadas con la materia;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V. Informar periódicamente, en el marco del Sistema Estatal, los resultados de la ejecución de sus planes y programas, con el propósito de integrar y rendir el informe anual correspondiente; </w:t>
      </w:r>
    </w:p>
    <w:p w:rsid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 xml:space="preserve">VI. Ser el primer punto de contacto para los casos de acoso y hostigamiento sexual; y </w:t>
      </w:r>
    </w:p>
    <w:p w:rsidR="00AA0B7D" w:rsidRP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AA0B7D">
        <w:rPr>
          <w:rFonts w:ascii="Palatino Linotype" w:hAnsi="Palatino Linotype" w:cs="Arial"/>
          <w:i/>
          <w:sz w:val="24"/>
          <w:szCs w:val="24"/>
          <w:lang w:eastAsia="es-MX"/>
        </w:rPr>
        <w:t>VII. Las demás que se establezcan en otras disposiciones jurídicas.</w:t>
      </w:r>
      <w:r>
        <w:rPr>
          <w:rFonts w:ascii="Palatino Linotype" w:hAnsi="Palatino Linotype" w:cs="Arial"/>
          <w:i/>
          <w:sz w:val="24"/>
          <w:szCs w:val="24"/>
          <w:lang w:eastAsia="es-MX"/>
        </w:rPr>
        <w:t>”</w:t>
      </w:r>
    </w:p>
    <w:p w:rsidR="00187B39" w:rsidRPr="00AA0B7D" w:rsidRDefault="00AA0B7D" w:rsidP="00AA0B7D">
      <w:pPr>
        <w:tabs>
          <w:tab w:val="left" w:pos="709"/>
        </w:tabs>
        <w:spacing w:after="0" w:line="360" w:lineRule="auto"/>
        <w:ind w:left="851" w:right="760"/>
        <w:jc w:val="both"/>
        <w:rPr>
          <w:rFonts w:ascii="Palatino Linotype" w:hAnsi="Palatino Linotype" w:cs="Arial"/>
          <w:i/>
          <w:sz w:val="24"/>
          <w:szCs w:val="24"/>
          <w:lang w:eastAsia="es-MX"/>
        </w:rPr>
      </w:pPr>
      <w:r w:rsidRPr="001055A6">
        <w:rPr>
          <w:rFonts w:ascii="Palatino Linotype" w:hAnsi="Palatino Linotype" w:cs="Arial"/>
          <w:sz w:val="24"/>
          <w:szCs w:val="24"/>
          <w:lang w:eastAsia="es-MX"/>
        </w:rPr>
        <w:t>(Énfasis añadido).</w:t>
      </w:r>
    </w:p>
    <w:p w:rsidR="00AA0B7D" w:rsidRDefault="00AA0B7D"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No obstante lo anterior, </w:t>
      </w:r>
      <w:r w:rsidR="00FB1DCE">
        <w:rPr>
          <w:rFonts w:ascii="Palatino Linotype" w:hAnsi="Palatino Linotype" w:cs="Arial"/>
          <w:sz w:val="24"/>
          <w:szCs w:val="24"/>
        </w:rPr>
        <w:t xml:space="preserve">a consideración </w:t>
      </w:r>
      <w:r w:rsidR="009A4A97">
        <w:rPr>
          <w:rFonts w:ascii="Palatino Linotype" w:hAnsi="Palatino Linotype" w:cs="Arial"/>
          <w:sz w:val="24"/>
          <w:szCs w:val="24"/>
        </w:rPr>
        <w:t>del Titular de la Unidad de Transparencia</w:t>
      </w:r>
      <w:r>
        <w:rPr>
          <w:rFonts w:ascii="Palatino Linotype" w:hAnsi="Palatino Linotype" w:cs="Arial"/>
          <w:sz w:val="24"/>
          <w:szCs w:val="24"/>
        </w:rPr>
        <w:t xml:space="preserve"> y de forma inexplicable manifestó que la solicitud de información no cumple con los requisitos establecidos en el artículo 155 de la Ley de Transparencia local.</w:t>
      </w:r>
    </w:p>
    <w:p w:rsidR="00AA0B7D" w:rsidRDefault="00AA0B7D" w:rsidP="00854307">
      <w:pPr>
        <w:tabs>
          <w:tab w:val="left" w:pos="7938"/>
        </w:tabs>
        <w:spacing w:after="0" w:line="360" w:lineRule="auto"/>
        <w:jc w:val="both"/>
        <w:rPr>
          <w:rFonts w:ascii="Palatino Linotype" w:hAnsi="Palatino Linotype" w:cs="Arial"/>
          <w:sz w:val="24"/>
          <w:szCs w:val="24"/>
        </w:rPr>
      </w:pPr>
    </w:p>
    <w:p w:rsidR="00AA0B7D" w:rsidRDefault="00AA0B7D"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Manifestaciones por parte del sujeto obligado infundadas, el artículo 155 </w:t>
      </w:r>
      <w:r w:rsidR="00FF270B">
        <w:rPr>
          <w:rFonts w:ascii="Palatino Linotype" w:hAnsi="Palatino Linotype" w:cs="Arial"/>
          <w:sz w:val="24"/>
          <w:szCs w:val="24"/>
        </w:rPr>
        <w:t xml:space="preserve">de la </w:t>
      </w:r>
      <w:r w:rsidR="00FF270B" w:rsidRPr="00FF270B">
        <w:rPr>
          <w:rFonts w:ascii="Palatino Linotype" w:hAnsi="Palatino Linotype" w:cs="Arial"/>
          <w:sz w:val="24"/>
          <w:szCs w:val="24"/>
        </w:rPr>
        <w:t>Ley de Transparencia y Acceso a la Información Pública del Estado de México y Municipios</w:t>
      </w:r>
      <w:r w:rsidR="00FF270B">
        <w:rPr>
          <w:rFonts w:ascii="Palatino Linotype" w:hAnsi="Palatino Linotype" w:cs="Arial"/>
          <w:sz w:val="24"/>
          <w:szCs w:val="24"/>
        </w:rPr>
        <w:t>, establece:</w:t>
      </w:r>
    </w:p>
    <w:p w:rsidR="00FF270B" w:rsidRDefault="00FF270B" w:rsidP="00854307">
      <w:pPr>
        <w:tabs>
          <w:tab w:val="left" w:pos="7938"/>
        </w:tabs>
        <w:spacing w:after="0" w:line="360" w:lineRule="auto"/>
        <w:jc w:val="both"/>
        <w:rPr>
          <w:rFonts w:ascii="Palatino Linotype" w:hAnsi="Palatino Linotype" w:cs="Arial"/>
          <w:sz w:val="24"/>
          <w:szCs w:val="24"/>
        </w:rPr>
      </w:pPr>
    </w:p>
    <w:p w:rsidR="003E0C9D" w:rsidRPr="003E0C9D" w:rsidRDefault="003E0C9D" w:rsidP="003E0C9D">
      <w:pPr>
        <w:tabs>
          <w:tab w:val="left" w:pos="709"/>
        </w:tabs>
        <w:spacing w:after="0" w:line="360" w:lineRule="auto"/>
        <w:ind w:left="851" w:right="760"/>
        <w:jc w:val="both"/>
        <w:rPr>
          <w:rFonts w:ascii="Palatino Linotype" w:hAnsi="Palatino Linotype" w:cs="Arial"/>
          <w:i/>
          <w:sz w:val="24"/>
          <w:szCs w:val="24"/>
          <w:lang w:eastAsia="es-MX"/>
        </w:rPr>
      </w:pPr>
      <w:r>
        <w:rPr>
          <w:rFonts w:ascii="Palatino Linotype" w:hAnsi="Palatino Linotype" w:cs="Arial"/>
          <w:i/>
          <w:sz w:val="24"/>
          <w:szCs w:val="24"/>
          <w:lang w:eastAsia="es-MX"/>
        </w:rPr>
        <w:t>“</w:t>
      </w:r>
      <w:r w:rsidR="00FF270B" w:rsidRPr="003E0C9D">
        <w:rPr>
          <w:rFonts w:ascii="Palatino Linotype" w:hAnsi="Palatino Linotype" w:cs="Arial"/>
          <w:i/>
          <w:sz w:val="24"/>
          <w:szCs w:val="24"/>
          <w:lang w:eastAsia="es-MX"/>
        </w:rPr>
        <w:t xml:space="preserve">Artículo 155. Para presentar una solicitud </w:t>
      </w:r>
      <w:r w:rsidR="00FF270B" w:rsidRPr="00684DCF">
        <w:rPr>
          <w:rFonts w:ascii="Palatino Linotype" w:hAnsi="Palatino Linotype" w:cs="Arial"/>
          <w:b/>
          <w:i/>
          <w:sz w:val="24"/>
          <w:szCs w:val="24"/>
          <w:u w:val="single"/>
          <w:lang w:eastAsia="es-MX"/>
        </w:rPr>
        <w:t>por escrito</w:t>
      </w:r>
      <w:r w:rsidR="00FF270B" w:rsidRPr="003E0C9D">
        <w:rPr>
          <w:rFonts w:ascii="Palatino Linotype" w:hAnsi="Palatino Linotype" w:cs="Arial"/>
          <w:i/>
          <w:sz w:val="24"/>
          <w:szCs w:val="24"/>
          <w:lang w:eastAsia="es-MX"/>
        </w:rPr>
        <w:t xml:space="preserve">, no se podrán exigir mayores requisitos que los siguientes: </w:t>
      </w:r>
    </w:p>
    <w:p w:rsidR="003E0C9D"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I. Nombre del solicitante, o en su caso, los datos generales de su representante; </w:t>
      </w:r>
    </w:p>
    <w:p w:rsidR="00FF270B"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II. Domicilio o en su caso correo electrónico para recibir notificaciones; </w:t>
      </w:r>
    </w:p>
    <w:p w:rsidR="00FF270B"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III. La descripción de la información solicitada; </w:t>
      </w:r>
    </w:p>
    <w:p w:rsidR="00FF270B"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IV. Cualquier otro dato que facilite la búsqueda y eventual localización de la información; y </w:t>
      </w:r>
    </w:p>
    <w:p w:rsidR="003E0C9D"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3E0C9D" w:rsidRPr="003E0C9D" w:rsidRDefault="003E0C9D" w:rsidP="003E0C9D">
      <w:pPr>
        <w:tabs>
          <w:tab w:val="left" w:pos="709"/>
        </w:tabs>
        <w:spacing w:after="0" w:line="360" w:lineRule="auto"/>
        <w:ind w:left="851" w:right="760"/>
        <w:jc w:val="both"/>
        <w:rPr>
          <w:rFonts w:ascii="Palatino Linotype" w:hAnsi="Palatino Linotype" w:cs="Arial"/>
          <w:i/>
          <w:sz w:val="24"/>
          <w:szCs w:val="24"/>
          <w:lang w:eastAsia="es-MX"/>
        </w:rPr>
      </w:pPr>
    </w:p>
    <w:p w:rsidR="003E0C9D"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 xml:space="preserve">Queda prohibido para los sujetos obligados recabar datos que den lugar a indagatorias sobre las motivaciones de la solicitud de información y su uso posterior. </w:t>
      </w:r>
    </w:p>
    <w:p w:rsidR="003E0C9D" w:rsidRPr="003E0C9D" w:rsidRDefault="003E0C9D" w:rsidP="003E0C9D">
      <w:pPr>
        <w:tabs>
          <w:tab w:val="left" w:pos="709"/>
        </w:tabs>
        <w:spacing w:after="0" w:line="360" w:lineRule="auto"/>
        <w:ind w:left="851" w:right="760"/>
        <w:jc w:val="both"/>
        <w:rPr>
          <w:rFonts w:ascii="Palatino Linotype" w:hAnsi="Palatino Linotype" w:cs="Arial"/>
          <w:i/>
          <w:sz w:val="24"/>
          <w:szCs w:val="24"/>
          <w:lang w:eastAsia="es-MX"/>
        </w:rPr>
      </w:pPr>
    </w:p>
    <w:p w:rsidR="003E0C9D"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rsidR="003E0C9D" w:rsidRPr="003E0C9D" w:rsidRDefault="003E0C9D" w:rsidP="003E0C9D">
      <w:pPr>
        <w:tabs>
          <w:tab w:val="left" w:pos="709"/>
        </w:tabs>
        <w:spacing w:after="0" w:line="360" w:lineRule="auto"/>
        <w:ind w:left="851" w:right="760"/>
        <w:jc w:val="both"/>
        <w:rPr>
          <w:rFonts w:ascii="Palatino Linotype" w:hAnsi="Palatino Linotype" w:cs="Arial"/>
          <w:i/>
          <w:sz w:val="24"/>
          <w:szCs w:val="24"/>
          <w:lang w:eastAsia="es-MX"/>
        </w:rPr>
      </w:pPr>
    </w:p>
    <w:p w:rsidR="00FF270B" w:rsidRPr="003E0C9D" w:rsidRDefault="00FF270B" w:rsidP="003E0C9D">
      <w:pPr>
        <w:tabs>
          <w:tab w:val="left" w:pos="709"/>
        </w:tabs>
        <w:spacing w:after="0" w:line="360" w:lineRule="auto"/>
        <w:ind w:left="851" w:right="760"/>
        <w:jc w:val="both"/>
        <w:rPr>
          <w:rFonts w:ascii="Palatino Linotype" w:hAnsi="Palatino Linotype" w:cs="Arial"/>
          <w:i/>
          <w:sz w:val="24"/>
          <w:szCs w:val="24"/>
          <w:lang w:eastAsia="es-MX"/>
        </w:rPr>
      </w:pPr>
      <w:r w:rsidRPr="003E0C9D">
        <w:rPr>
          <w:rFonts w:ascii="Palatino Linotype" w:hAnsi="Palatino Linotype" w:cs="Arial"/>
          <w:i/>
          <w:sz w:val="24"/>
          <w:szCs w:val="24"/>
          <w:lang w:eastAsia="es-MX"/>
        </w:rPr>
        <w:t>La información de las fracciones I y IV será proporcionada por el solicitante de manera opcional y, en ningún caso, podrá ser un requisito indispensable para la procedencia de la solicitud.</w:t>
      </w:r>
    </w:p>
    <w:p w:rsidR="00AA0B7D" w:rsidRDefault="00AA0B7D" w:rsidP="00854307">
      <w:pPr>
        <w:tabs>
          <w:tab w:val="left" w:pos="7938"/>
        </w:tabs>
        <w:spacing w:after="0" w:line="360" w:lineRule="auto"/>
        <w:jc w:val="both"/>
        <w:rPr>
          <w:rFonts w:ascii="Palatino Linotype" w:hAnsi="Palatino Linotype" w:cs="Arial"/>
          <w:sz w:val="24"/>
          <w:szCs w:val="24"/>
        </w:rPr>
      </w:pPr>
    </w:p>
    <w:p w:rsidR="002C3A77" w:rsidRDefault="003E0C9D" w:rsidP="00854307">
      <w:pPr>
        <w:tabs>
          <w:tab w:val="left" w:pos="7938"/>
        </w:tabs>
        <w:spacing w:after="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Como podemos apreciar </w:t>
      </w:r>
      <w:r w:rsidR="002C3A77">
        <w:rPr>
          <w:rFonts w:ascii="Palatino Linotype" w:hAnsi="Palatino Linotype" w:cs="Arial"/>
          <w:sz w:val="24"/>
          <w:szCs w:val="24"/>
        </w:rPr>
        <w:t>son 5 los requisitos para hacer una solicitud de información, en el presente caso el hoy recurrente colmó los requisitos establecidos, pues colocó de forma muy clara “</w:t>
      </w:r>
      <w:r w:rsidR="002C3A77" w:rsidRPr="003E0C9D">
        <w:rPr>
          <w:rFonts w:ascii="Palatino Linotype" w:hAnsi="Palatino Linotype" w:cs="Arial"/>
          <w:i/>
          <w:sz w:val="24"/>
          <w:szCs w:val="24"/>
          <w:lang w:eastAsia="es-MX"/>
        </w:rPr>
        <w:t>La descripción de la información solicitada</w:t>
      </w:r>
      <w:r w:rsidR="002C3A77">
        <w:rPr>
          <w:rFonts w:ascii="Palatino Linotype" w:hAnsi="Palatino Linotype" w:cs="Arial"/>
          <w:sz w:val="24"/>
          <w:szCs w:val="24"/>
          <w:lang w:eastAsia="es-MX"/>
        </w:rPr>
        <w:t xml:space="preserve">”, siendo opcionales lo contenido en la fracción I y IV, ahora bien, hemos de decir que dicho artículo prevé el ingreso de solicitudes de </w:t>
      </w:r>
      <w:r w:rsidR="00684DCF">
        <w:rPr>
          <w:rFonts w:ascii="Palatino Linotype" w:hAnsi="Palatino Linotype" w:cs="Arial"/>
          <w:sz w:val="24"/>
          <w:szCs w:val="24"/>
          <w:lang w:eastAsia="es-MX"/>
        </w:rPr>
        <w:t xml:space="preserve">información </w:t>
      </w:r>
      <w:r w:rsidR="007D1B1B" w:rsidRPr="007D1B1B">
        <w:rPr>
          <w:rFonts w:ascii="Palatino Linotype" w:hAnsi="Palatino Linotype" w:cs="Arial"/>
          <w:b/>
          <w:sz w:val="24"/>
          <w:szCs w:val="24"/>
          <w:u w:val="single"/>
          <w:lang w:eastAsia="es-MX"/>
        </w:rPr>
        <w:t xml:space="preserve">pero por </w:t>
      </w:r>
      <w:r w:rsidR="00684DCF" w:rsidRPr="007D1B1B">
        <w:rPr>
          <w:rFonts w:ascii="Palatino Linotype" w:hAnsi="Palatino Linotype" w:cs="Arial"/>
          <w:b/>
          <w:sz w:val="24"/>
          <w:szCs w:val="24"/>
          <w:u w:val="single"/>
          <w:lang w:eastAsia="es-MX"/>
        </w:rPr>
        <w:t>escrit</w:t>
      </w:r>
      <w:r w:rsidR="007D1B1B" w:rsidRPr="007D1B1B">
        <w:rPr>
          <w:rFonts w:ascii="Palatino Linotype" w:hAnsi="Palatino Linotype" w:cs="Arial"/>
          <w:b/>
          <w:sz w:val="24"/>
          <w:szCs w:val="24"/>
          <w:u w:val="single"/>
          <w:lang w:eastAsia="es-MX"/>
        </w:rPr>
        <w:t>o</w:t>
      </w:r>
      <w:r w:rsidR="00684DCF">
        <w:rPr>
          <w:rFonts w:ascii="Palatino Linotype" w:hAnsi="Palatino Linotype" w:cs="Arial"/>
          <w:sz w:val="24"/>
          <w:szCs w:val="24"/>
          <w:lang w:eastAsia="es-MX"/>
        </w:rPr>
        <w:t>, el artículo 156 establece:</w:t>
      </w:r>
    </w:p>
    <w:p w:rsidR="00684DCF" w:rsidRDefault="00684DCF" w:rsidP="00854307">
      <w:pPr>
        <w:tabs>
          <w:tab w:val="left" w:pos="7938"/>
        </w:tabs>
        <w:spacing w:after="0" w:line="360" w:lineRule="auto"/>
        <w:jc w:val="both"/>
        <w:rPr>
          <w:rFonts w:ascii="Palatino Linotype" w:hAnsi="Palatino Linotype" w:cs="Arial"/>
          <w:sz w:val="24"/>
          <w:szCs w:val="24"/>
          <w:lang w:eastAsia="es-MX"/>
        </w:rPr>
      </w:pPr>
    </w:p>
    <w:p w:rsidR="00684DCF" w:rsidRPr="00684DCF" w:rsidRDefault="00684DCF" w:rsidP="00684DCF">
      <w:pPr>
        <w:tabs>
          <w:tab w:val="left" w:pos="709"/>
        </w:tabs>
        <w:spacing w:after="0" w:line="360" w:lineRule="auto"/>
        <w:ind w:left="851" w:right="760"/>
        <w:jc w:val="both"/>
        <w:rPr>
          <w:rFonts w:ascii="Palatino Linotype" w:hAnsi="Palatino Linotype" w:cs="Arial"/>
          <w:i/>
          <w:sz w:val="24"/>
          <w:szCs w:val="24"/>
          <w:lang w:eastAsia="es-MX"/>
        </w:rPr>
      </w:pPr>
      <w:r>
        <w:rPr>
          <w:rFonts w:ascii="Palatino Linotype" w:hAnsi="Palatino Linotype" w:cs="Arial"/>
          <w:i/>
          <w:sz w:val="24"/>
          <w:szCs w:val="24"/>
          <w:lang w:eastAsia="es-MX"/>
        </w:rPr>
        <w:t>“</w:t>
      </w:r>
      <w:r w:rsidRPr="00684DCF">
        <w:rPr>
          <w:rFonts w:ascii="Palatino Linotype" w:hAnsi="Palatino Linotype" w:cs="Arial"/>
          <w:i/>
          <w:sz w:val="24"/>
          <w:szCs w:val="24"/>
          <w:lang w:eastAsia="es-MX"/>
        </w:rPr>
        <w:t xml:space="preserve">Artículo 156. Cuando el particular presente su solicitud por medios electrónicos a través de la Plataforma Nacional o la plataforma que para tales efectos habilite el Instituto, </w:t>
      </w:r>
      <w:r w:rsidRPr="00684DCF">
        <w:rPr>
          <w:rFonts w:ascii="Palatino Linotype" w:hAnsi="Palatino Linotype" w:cs="Arial"/>
          <w:b/>
          <w:i/>
          <w:sz w:val="24"/>
          <w:szCs w:val="24"/>
          <w:u w:val="single"/>
          <w:lang w:eastAsia="es-MX"/>
        </w:rPr>
        <w:t>se entenderá que acepta que las notificaciones le sean efectuadas por dicho sistema</w:t>
      </w:r>
      <w:r w:rsidRPr="00684DCF">
        <w:rPr>
          <w:rFonts w:ascii="Palatino Linotype" w:hAnsi="Palatino Linotype" w:cs="Arial"/>
          <w:i/>
          <w:sz w:val="24"/>
          <w:szCs w:val="24"/>
          <w:lang w:eastAsia="es-MX"/>
        </w:rPr>
        <w:t>, salvo que señale un medio distinto para efectos de las notificaciones.</w:t>
      </w:r>
      <w:r>
        <w:rPr>
          <w:rFonts w:ascii="Palatino Linotype" w:hAnsi="Palatino Linotype" w:cs="Arial"/>
          <w:i/>
          <w:sz w:val="24"/>
          <w:szCs w:val="24"/>
          <w:lang w:eastAsia="es-MX"/>
        </w:rPr>
        <w:t>”</w:t>
      </w:r>
    </w:p>
    <w:p w:rsidR="003E0C9D" w:rsidRDefault="003E0C9D" w:rsidP="00854307">
      <w:pPr>
        <w:tabs>
          <w:tab w:val="left" w:pos="7938"/>
        </w:tabs>
        <w:spacing w:after="0" w:line="360" w:lineRule="auto"/>
        <w:jc w:val="both"/>
        <w:rPr>
          <w:rFonts w:ascii="Palatino Linotype" w:hAnsi="Palatino Linotype" w:cs="Arial"/>
          <w:sz w:val="24"/>
          <w:szCs w:val="24"/>
        </w:rPr>
      </w:pPr>
    </w:p>
    <w:p w:rsidR="00025CE7" w:rsidRDefault="007D1B1B"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hace a la fracción III del 155, se pide que en el escrito de solicitud, el recurrente proporcione un domicilio para que se le hagan las notificaciones, sin embargo, en el 156 se establece que dichas notificaciones se harán mediante el sistema </w:t>
      </w:r>
      <w:r>
        <w:rPr>
          <w:rFonts w:ascii="Palatino Linotype" w:hAnsi="Palatino Linotype" w:cs="Arial"/>
          <w:sz w:val="24"/>
          <w:szCs w:val="24"/>
        </w:rPr>
        <w:lastRenderedPageBreak/>
        <w:t>que para el caso que nos ocupa es el SAIMEX, por ende dicho requisito quedó colmado</w:t>
      </w:r>
      <w:r w:rsidR="006D32A7">
        <w:rPr>
          <w:rFonts w:ascii="Palatino Linotype" w:hAnsi="Palatino Linotype" w:cs="Arial"/>
          <w:sz w:val="24"/>
          <w:szCs w:val="24"/>
        </w:rPr>
        <w:t>,</w:t>
      </w:r>
      <w:r>
        <w:rPr>
          <w:rFonts w:ascii="Palatino Linotype" w:hAnsi="Palatino Linotype" w:cs="Arial"/>
          <w:sz w:val="24"/>
          <w:szCs w:val="24"/>
        </w:rPr>
        <w:t xml:space="preserve"> y respecto de la fracción V </w:t>
      </w:r>
      <w:r w:rsidR="006D32A7">
        <w:rPr>
          <w:rFonts w:ascii="Palatino Linotype" w:hAnsi="Palatino Linotype" w:cs="Arial"/>
          <w:sz w:val="24"/>
          <w:szCs w:val="24"/>
        </w:rPr>
        <w:t xml:space="preserve">del citado 155, </w:t>
      </w:r>
      <w:r>
        <w:rPr>
          <w:rFonts w:ascii="Palatino Linotype" w:hAnsi="Palatino Linotype" w:cs="Arial"/>
          <w:sz w:val="24"/>
          <w:szCs w:val="24"/>
        </w:rPr>
        <w:t xml:space="preserve">el recurrente en su solicitud de información claro que </w:t>
      </w:r>
      <w:r w:rsidR="006D32A7">
        <w:rPr>
          <w:rFonts w:ascii="Palatino Linotype" w:hAnsi="Palatino Linotype" w:cs="Arial"/>
          <w:sz w:val="24"/>
          <w:szCs w:val="24"/>
        </w:rPr>
        <w:t xml:space="preserve">estableció la modalidad de entrega, como se puede apreciar muy </w:t>
      </w:r>
      <w:r w:rsidR="006D32A7">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simplePos x="0" y="0"/>
                <wp:positionH relativeFrom="column">
                  <wp:posOffset>1748790</wp:posOffset>
                </wp:positionH>
                <wp:positionV relativeFrom="paragraph">
                  <wp:posOffset>1203959</wp:posOffset>
                </wp:positionV>
                <wp:extent cx="4486275" cy="2371725"/>
                <wp:effectExtent l="38100" t="38100" r="28575" b="47625"/>
                <wp:wrapNone/>
                <wp:docPr id="3" name="Conector recto de flecha 3"/>
                <wp:cNvGraphicFramePr/>
                <a:graphic xmlns:a="http://schemas.openxmlformats.org/drawingml/2006/main">
                  <a:graphicData uri="http://schemas.microsoft.com/office/word/2010/wordprocessingShape">
                    <wps:wsp>
                      <wps:cNvCnPr/>
                      <wps:spPr>
                        <a:xfrm flipH="1">
                          <a:off x="0" y="0"/>
                          <a:ext cx="4486275" cy="237172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9453A7" id="_x0000_t32" coordsize="21600,21600" o:spt="32" o:oned="t" path="m,l21600,21600e" filled="f">
                <v:path arrowok="t" fillok="f" o:connecttype="none"/>
                <o:lock v:ext="edit" shapetype="t"/>
              </v:shapetype>
              <v:shape id="Conector recto de flecha 3" o:spid="_x0000_s1026" type="#_x0000_t32" style="position:absolute;margin-left:137.7pt;margin-top:94.8pt;width:353.25pt;height:186.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" strokecolor="black [3213]" strokeweight="6pt">
                <v:stroke endarrow="block" joinstyle="miter"/>
              </v:shape>
            </w:pict>
          </mc:Fallback>
        </mc:AlternateContent>
      </w:r>
      <w:r w:rsidR="006D32A7">
        <w:rPr>
          <w:rFonts w:ascii="Palatino Linotype" w:hAnsi="Palatino Linotype" w:cs="Arial"/>
          <w:sz w:val="24"/>
          <w:szCs w:val="24"/>
        </w:rPr>
        <w:t>notoriamente:</w:t>
      </w:r>
    </w:p>
    <w:p w:rsidR="006D32A7" w:rsidRDefault="006D32A7" w:rsidP="00854307">
      <w:pPr>
        <w:tabs>
          <w:tab w:val="left" w:pos="7938"/>
        </w:tabs>
        <w:spacing w:after="0" w:line="360" w:lineRule="auto"/>
        <w:jc w:val="both"/>
        <w:rPr>
          <w:rFonts w:ascii="Palatino Linotype" w:hAnsi="Palatino Linotype" w:cs="Arial"/>
          <w:sz w:val="24"/>
          <w:szCs w:val="24"/>
        </w:rPr>
      </w:pPr>
    </w:p>
    <w:p w:rsidR="006D32A7" w:rsidRDefault="006D32A7" w:rsidP="00854307">
      <w:pPr>
        <w:tabs>
          <w:tab w:val="left" w:pos="7938"/>
        </w:tabs>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8720" behindDoc="0" locked="0" layoutInCell="1" allowOverlap="1">
                <wp:simplePos x="0" y="0"/>
                <wp:positionH relativeFrom="column">
                  <wp:posOffset>-108585</wp:posOffset>
                </wp:positionH>
                <wp:positionV relativeFrom="paragraph">
                  <wp:posOffset>1985646</wp:posOffset>
                </wp:positionV>
                <wp:extent cx="1790700" cy="457200"/>
                <wp:effectExtent l="19050" t="19050" r="38100" b="38100"/>
                <wp:wrapNone/>
                <wp:docPr id="2" name="Rectángulo 2"/>
                <wp:cNvGraphicFramePr/>
                <a:graphic xmlns:a="http://schemas.openxmlformats.org/drawingml/2006/main">
                  <a:graphicData uri="http://schemas.microsoft.com/office/word/2010/wordprocessingShape">
                    <wps:wsp>
                      <wps:cNvSpPr/>
                      <wps:spPr>
                        <a:xfrm>
                          <a:off x="0" y="0"/>
                          <a:ext cx="1790700" cy="4572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F3B64" id="Rectángulo 2" o:spid="_x0000_s1026" style="position:absolute;margin-left:-8.55pt;margin-top:156.35pt;width:141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" filled="f" strokecolor="red" strokeweight="4.5pt"/>
            </w:pict>
          </mc:Fallback>
        </mc:AlternateContent>
      </w:r>
      <w:r>
        <w:rPr>
          <w:noProof/>
          <w:lang w:eastAsia="es-MX"/>
        </w:rPr>
        <w:drawing>
          <wp:inline distT="0" distB="0" distL="0" distR="0" wp14:anchorId="44BC1696" wp14:editId="2D937D33">
            <wp:extent cx="5857875" cy="2876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57" t="6467" r="6581" b="37096"/>
                    <a:stretch/>
                  </pic:blipFill>
                  <pic:spPr bwMode="auto">
                    <a:xfrm>
                      <a:off x="0" y="0"/>
                      <a:ext cx="5857875" cy="2876550"/>
                    </a:xfrm>
                    <a:prstGeom prst="rect">
                      <a:avLst/>
                    </a:prstGeom>
                    <a:ln>
                      <a:noFill/>
                    </a:ln>
                    <a:extLst>
                      <a:ext uri="{53640926-AAD7-44D8-BBD7-CCE9431645EC}">
                        <a14:shadowObscured xmlns:a14="http://schemas.microsoft.com/office/drawing/2010/main"/>
                      </a:ext>
                    </a:extLst>
                  </pic:spPr>
                </pic:pic>
              </a:graphicData>
            </a:graphic>
          </wp:inline>
        </w:drawing>
      </w:r>
    </w:p>
    <w:p w:rsidR="003E0C9D" w:rsidRDefault="003E0C9D" w:rsidP="00854307">
      <w:pPr>
        <w:tabs>
          <w:tab w:val="left" w:pos="7938"/>
        </w:tabs>
        <w:spacing w:after="0" w:line="360" w:lineRule="auto"/>
        <w:jc w:val="both"/>
        <w:rPr>
          <w:rFonts w:ascii="Palatino Linotype" w:hAnsi="Palatino Linotype" w:cs="Arial"/>
          <w:sz w:val="24"/>
          <w:szCs w:val="24"/>
        </w:rPr>
      </w:pPr>
    </w:p>
    <w:p w:rsidR="00840BAD" w:rsidRPr="00854307" w:rsidRDefault="00025CE7"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suma </w:t>
      </w:r>
      <w:r w:rsidR="006D32A7">
        <w:rPr>
          <w:rFonts w:ascii="Palatino Linotype" w:hAnsi="Palatino Linotype" w:cs="Arial"/>
          <w:sz w:val="24"/>
          <w:szCs w:val="24"/>
        </w:rPr>
        <w:t>en el presente caso se inobservó</w:t>
      </w:r>
      <w:r w:rsidR="00840BAD" w:rsidRPr="00854307">
        <w:rPr>
          <w:rFonts w:ascii="Palatino Linotype" w:hAnsi="Palatino Linotype" w:cs="Arial"/>
          <w:sz w:val="24"/>
          <w:szCs w:val="24"/>
        </w:rPr>
        <w:t xml:space="preserve"> el procedimiento de acceso a la información por parte de la Titular de la Unidad de Transparencia del Sujeto Obligado; </w:t>
      </w:r>
      <w:r w:rsidR="006D32A7">
        <w:rPr>
          <w:rFonts w:ascii="Palatino Linotype" w:hAnsi="Palatino Linotype" w:cs="Arial"/>
          <w:sz w:val="24"/>
          <w:szCs w:val="24"/>
        </w:rPr>
        <w:t>es decir,</w:t>
      </w:r>
      <w:r w:rsidR="00840BAD" w:rsidRPr="00854307">
        <w:rPr>
          <w:rFonts w:ascii="Palatino Linotype" w:hAnsi="Palatino Linotype" w:cs="Arial"/>
          <w:sz w:val="24"/>
          <w:szCs w:val="24"/>
        </w:rPr>
        <w:t xml:space="preserve"> </w:t>
      </w:r>
      <w:r w:rsidR="006D32A7" w:rsidRPr="00854307">
        <w:rPr>
          <w:rFonts w:ascii="Palatino Linotype" w:hAnsi="Palatino Linotype" w:cs="Arial"/>
          <w:sz w:val="24"/>
          <w:szCs w:val="24"/>
        </w:rPr>
        <w:t>omit</w:t>
      </w:r>
      <w:r w:rsidR="006D32A7">
        <w:rPr>
          <w:rFonts w:ascii="Palatino Linotype" w:hAnsi="Palatino Linotype" w:cs="Arial"/>
          <w:sz w:val="24"/>
          <w:szCs w:val="24"/>
        </w:rPr>
        <w:t xml:space="preserve">ió </w:t>
      </w:r>
      <w:r w:rsidR="00840BAD" w:rsidRPr="00854307">
        <w:rPr>
          <w:rFonts w:ascii="Palatino Linotype" w:hAnsi="Palatino Linotype" w:cs="Arial"/>
          <w:sz w:val="24"/>
          <w:szCs w:val="24"/>
        </w:rPr>
        <w:t>llevar a cabo sus funciones de acuerdo a los artículos 50 y 53 fracciones II, V y VI de la Ley en la materia antes citada.</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Pr="00E820A0" w:rsidRDefault="00840BAD" w:rsidP="00E820A0">
      <w:pPr>
        <w:tabs>
          <w:tab w:val="left" w:pos="7938"/>
        </w:tabs>
        <w:spacing w:after="0" w:line="360" w:lineRule="auto"/>
        <w:jc w:val="both"/>
        <w:rPr>
          <w:rFonts w:ascii="Palatino Linotype" w:hAnsi="Palatino Linotype" w:cs="Arial"/>
          <w:sz w:val="24"/>
          <w:szCs w:val="24"/>
        </w:rPr>
      </w:pPr>
      <w:r w:rsidRPr="00E820A0">
        <w:rPr>
          <w:rFonts w:ascii="Palatino Linotype" w:hAnsi="Palatino Linotype" w:cs="Arial"/>
          <w:sz w:val="24"/>
          <w:szCs w:val="24"/>
        </w:rPr>
        <w:t xml:space="preserve">Por ello es que se reitera, que la Titular de la Unidad de Transparencia debió llevar a cabo los pasos que le conmina sus funciones, de acuerdo con la Ley de Transparencia y Acceso a la Información Pública del Estado de México y Municipios, es decir, solicitar </w:t>
      </w:r>
      <w:r w:rsidRPr="00E820A0">
        <w:rPr>
          <w:rFonts w:ascii="Palatino Linotype" w:hAnsi="Palatino Linotype" w:cs="Arial"/>
          <w:sz w:val="24"/>
          <w:szCs w:val="24"/>
        </w:rPr>
        <w:lastRenderedPageBreak/>
        <w:t>la información a la</w:t>
      </w:r>
      <w:r w:rsidR="00E820A0">
        <w:rPr>
          <w:rFonts w:ascii="Palatino Linotype" w:hAnsi="Palatino Linotype" w:cs="Arial"/>
          <w:sz w:val="24"/>
          <w:szCs w:val="24"/>
        </w:rPr>
        <w:t>s</w:t>
      </w:r>
      <w:r w:rsidRPr="00E820A0">
        <w:rPr>
          <w:rFonts w:ascii="Palatino Linotype" w:hAnsi="Palatino Linotype" w:cs="Arial"/>
          <w:sz w:val="24"/>
          <w:szCs w:val="24"/>
        </w:rPr>
        <w:t xml:space="preserve"> unidad</w:t>
      </w:r>
      <w:r w:rsidR="00E820A0">
        <w:rPr>
          <w:rFonts w:ascii="Palatino Linotype" w:hAnsi="Palatino Linotype" w:cs="Arial"/>
          <w:sz w:val="24"/>
          <w:szCs w:val="24"/>
        </w:rPr>
        <w:t>es</w:t>
      </w:r>
      <w:r w:rsidRPr="00E820A0">
        <w:rPr>
          <w:rFonts w:ascii="Palatino Linotype" w:hAnsi="Palatino Linotype" w:cs="Arial"/>
          <w:sz w:val="24"/>
          <w:szCs w:val="24"/>
        </w:rPr>
        <w:t xml:space="preserve"> administrativa</w:t>
      </w:r>
      <w:r w:rsidR="00E820A0">
        <w:rPr>
          <w:rFonts w:ascii="Palatino Linotype" w:hAnsi="Palatino Linotype" w:cs="Arial"/>
          <w:sz w:val="24"/>
          <w:szCs w:val="24"/>
        </w:rPr>
        <w:t>s</w:t>
      </w:r>
      <w:r w:rsidRPr="00E820A0">
        <w:rPr>
          <w:rFonts w:ascii="Palatino Linotype" w:hAnsi="Palatino Linotype" w:cs="Arial"/>
          <w:sz w:val="24"/>
          <w:szCs w:val="24"/>
        </w:rPr>
        <w:t xml:space="preserve"> que por obligación le corresponden dar atención a la misma.</w:t>
      </w:r>
    </w:p>
    <w:p w:rsidR="00840BAD" w:rsidRDefault="00840BAD" w:rsidP="00E820A0">
      <w:pPr>
        <w:tabs>
          <w:tab w:val="left" w:pos="7938"/>
        </w:tabs>
        <w:spacing w:after="0" w:line="360" w:lineRule="auto"/>
        <w:jc w:val="both"/>
        <w:rPr>
          <w:rFonts w:ascii="Palatino Linotype" w:hAnsi="Palatino Linotype" w:cs="Arial"/>
          <w:sz w:val="24"/>
          <w:szCs w:val="24"/>
        </w:rPr>
      </w:pPr>
    </w:p>
    <w:p w:rsidR="00840BAD" w:rsidRDefault="00840BAD" w:rsidP="00840BAD">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respuesta del sujeto obligado a efecto que dé atención a la solitud de información número </w:t>
      </w:r>
      <w:r w:rsidR="00604FFE" w:rsidRPr="00604FFE">
        <w:rPr>
          <w:rFonts w:ascii="Palatino Linotype" w:hAnsi="Palatino Linotype" w:cs="Arial"/>
          <w:b/>
          <w:lang w:eastAsia="es-MX"/>
        </w:rPr>
        <w:t>00807/ECATEPEC/IP/2019</w:t>
      </w:r>
      <w:r w:rsidRPr="00604FFE">
        <w:rPr>
          <w:rFonts w:ascii="Palatino Linotype" w:hAnsi="Palatino Linotype" w:cs="Arial"/>
          <w:lang w:eastAsia="es-MX"/>
        </w:rPr>
        <w:t xml:space="preserve">, </w:t>
      </w:r>
      <w:r>
        <w:rPr>
          <w:rFonts w:ascii="Palatino Linotype" w:hAnsi="Palatino Linotype" w:cs="Arial"/>
          <w:lang w:eastAsia="es-MX"/>
        </w:rPr>
        <w:t>con fundamento en los artículos 50, 51, 53 fracción IV, 162 y 165, de la Ley de Transparencia y Acceso</w:t>
      </w:r>
      <w:r>
        <w:rPr>
          <w:rFonts w:ascii="Palatino Linotype" w:hAnsi="Palatino Linotype" w:cs="Arial"/>
        </w:rPr>
        <w:t xml:space="preserve"> a la Información Pública del Estado de México y Municipios, el artículo 162 es muy categórico al establecer: </w:t>
      </w:r>
    </w:p>
    <w:p w:rsidR="00840BAD" w:rsidRDefault="00840BAD" w:rsidP="00840BAD">
      <w:pPr>
        <w:pStyle w:val="Prrafodelista"/>
        <w:spacing w:line="360" w:lineRule="auto"/>
        <w:ind w:left="0"/>
        <w:jc w:val="both"/>
        <w:rPr>
          <w:rFonts w:ascii="Palatino Linotype" w:hAnsi="Palatino Linotype" w:cs="Arial"/>
        </w:rPr>
      </w:pPr>
    </w:p>
    <w:p w:rsidR="00840BAD" w:rsidRPr="00A9102C" w:rsidRDefault="00840BAD" w:rsidP="00A9102C">
      <w:pPr>
        <w:tabs>
          <w:tab w:val="left" w:pos="7938"/>
        </w:tabs>
        <w:spacing w:after="0" w:line="360" w:lineRule="auto"/>
        <w:ind w:left="851" w:right="902"/>
        <w:jc w:val="both"/>
        <w:rPr>
          <w:rFonts w:ascii="Palatino Linotype" w:hAnsi="Palatino Linotype"/>
          <w:i/>
          <w:sz w:val="24"/>
          <w:szCs w:val="24"/>
        </w:rPr>
      </w:pPr>
      <w:r w:rsidRPr="00A9102C">
        <w:rPr>
          <w:rFonts w:ascii="Palatino Linotype" w:hAnsi="Palatino Linotype"/>
          <w:i/>
          <w:sz w:val="24"/>
          <w:szCs w:val="24"/>
        </w:rPr>
        <w:t xml:space="preserve">“Artículo 162. Las unidades de transparencia deberán garantizar que las solicitudes </w:t>
      </w:r>
      <w:r w:rsidRPr="00A9102C">
        <w:rPr>
          <w:rFonts w:ascii="Palatino Linotype" w:hAnsi="Palatino Linotype"/>
          <w:b/>
          <w:i/>
          <w:sz w:val="24"/>
          <w:szCs w:val="24"/>
          <w:u w:val="single"/>
        </w:rPr>
        <w:t>se turnen a todas las Áreas</w:t>
      </w:r>
      <w:r w:rsidRPr="00A9102C">
        <w:rPr>
          <w:rFonts w:ascii="Palatino Linotype" w:hAnsi="Palatino Linotype"/>
          <w:i/>
          <w:sz w:val="24"/>
          <w:szCs w:val="24"/>
        </w:rPr>
        <w:t xml:space="preserve"> competentes que cuenten con la información o deban tenerla de acuerdo a sus facultades, competencias y funciones, </w:t>
      </w:r>
      <w:r w:rsidRPr="00A9102C">
        <w:rPr>
          <w:rFonts w:ascii="Palatino Linotype" w:hAnsi="Palatino Linotype"/>
          <w:b/>
          <w:i/>
          <w:sz w:val="24"/>
          <w:szCs w:val="24"/>
          <w:u w:val="single"/>
        </w:rPr>
        <w:t>con el objeto de que realicen una búsqueda exhaustiva y razonable</w:t>
      </w:r>
      <w:r w:rsidRPr="00A9102C">
        <w:rPr>
          <w:rFonts w:ascii="Palatino Linotype" w:hAnsi="Palatino Linotype"/>
          <w:i/>
          <w:sz w:val="24"/>
          <w:szCs w:val="24"/>
        </w:rPr>
        <w:t xml:space="preserve"> de la información solicitada.”(Énfasis añadido)</w:t>
      </w:r>
    </w:p>
    <w:p w:rsidR="00840BAD" w:rsidRDefault="00840BAD" w:rsidP="00840BAD">
      <w:pPr>
        <w:pStyle w:val="Prrafodelista"/>
        <w:spacing w:line="360" w:lineRule="auto"/>
        <w:ind w:left="0"/>
        <w:jc w:val="both"/>
        <w:rPr>
          <w:rFonts w:ascii="Palatino Linotype" w:hAnsi="Palatino Linotype" w:cs="Arial"/>
          <w:lang w:eastAsia="es-MX"/>
        </w:rPr>
      </w:pPr>
    </w:p>
    <w:p w:rsidR="00E820A0" w:rsidRDefault="00840BAD" w:rsidP="00840BAD">
      <w:pPr>
        <w:pStyle w:val="Prrafodelista"/>
        <w:spacing w:line="360" w:lineRule="auto"/>
        <w:ind w:left="0"/>
        <w:jc w:val="both"/>
        <w:rPr>
          <w:rFonts w:ascii="Palatino Linotype" w:hAnsi="Palatino Linotype" w:cs="Arial"/>
          <w:b/>
          <w:u w:val="single"/>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quienes a su vez deberán realizar una búsqueda exhaustiva y razonable de la información solicitada en los archivos de las unidades administ</w:t>
      </w:r>
      <w:r w:rsidR="00A9102C">
        <w:rPr>
          <w:rFonts w:ascii="Palatino Linotype" w:hAnsi="Palatino Linotype" w:cs="Arial"/>
          <w:lang w:eastAsia="es-MX"/>
        </w:rPr>
        <w:t xml:space="preserve">rativas de las que formen parte, por lo que el sujeto obligado deberá </w:t>
      </w:r>
      <w:r w:rsidR="00A27EF6" w:rsidRPr="00A27EF6">
        <w:rPr>
          <w:rFonts w:ascii="Palatino Linotype" w:hAnsi="Palatino Linotype" w:cs="Arial"/>
          <w:lang w:eastAsia="es-MX"/>
        </w:rPr>
        <w:t>entregar</w:t>
      </w:r>
      <w:r w:rsidR="00A27EF6">
        <w:rPr>
          <w:rFonts w:ascii="Palatino Linotype" w:hAnsi="Palatino Linotype" w:cs="Arial"/>
          <w:lang w:eastAsia="es-MX"/>
        </w:rPr>
        <w:t xml:space="preserve"> el documento donde conste</w:t>
      </w:r>
      <w:r w:rsidR="0013615C">
        <w:rPr>
          <w:rFonts w:ascii="Palatino Linotype" w:hAnsi="Palatino Linotype" w:cs="Arial"/>
          <w:lang w:eastAsia="es-MX"/>
        </w:rPr>
        <w:t>:</w:t>
      </w:r>
      <w:r w:rsidR="00A27EF6" w:rsidRPr="00A27EF6">
        <w:rPr>
          <w:rFonts w:ascii="Palatino Linotype" w:hAnsi="Palatino Linotype" w:cs="Arial"/>
          <w:b/>
          <w:lang w:eastAsia="es-MX"/>
        </w:rPr>
        <w:t xml:space="preserve"> </w:t>
      </w:r>
    </w:p>
    <w:p w:rsidR="006D32A7" w:rsidRDefault="006D32A7" w:rsidP="00E323DF">
      <w:pPr>
        <w:spacing w:after="0" w:line="360" w:lineRule="auto"/>
        <w:ind w:right="51"/>
        <w:jc w:val="both"/>
        <w:rPr>
          <w:rFonts w:ascii="Palatino Linotype" w:hAnsi="Palatino Linotype"/>
          <w:sz w:val="24"/>
          <w:szCs w:val="24"/>
        </w:rPr>
      </w:pPr>
    </w:p>
    <w:p w:rsidR="006D32A7" w:rsidRDefault="00E56B2F" w:rsidP="00E323DF">
      <w:pPr>
        <w:spacing w:after="0" w:line="360" w:lineRule="auto"/>
        <w:ind w:right="51"/>
        <w:jc w:val="both"/>
        <w:rPr>
          <w:rFonts w:ascii="Palatino Linotype" w:hAnsi="Palatino Linotype"/>
          <w:i/>
          <w:sz w:val="24"/>
          <w:szCs w:val="24"/>
        </w:rPr>
      </w:pPr>
      <w:r>
        <w:rPr>
          <w:rFonts w:ascii="Palatino Linotype" w:hAnsi="Palatino Linotype"/>
          <w:i/>
          <w:sz w:val="24"/>
          <w:szCs w:val="24"/>
        </w:rPr>
        <w:lastRenderedPageBreak/>
        <w:t>1</w:t>
      </w:r>
      <w:r w:rsidR="006D32A7">
        <w:rPr>
          <w:rFonts w:ascii="Palatino Linotype" w:hAnsi="Palatino Linotype"/>
          <w:i/>
          <w:sz w:val="24"/>
          <w:szCs w:val="24"/>
        </w:rPr>
        <w:t xml:space="preserve">.- </w:t>
      </w:r>
      <w:r w:rsidR="00985233">
        <w:rPr>
          <w:rFonts w:ascii="Palatino Linotype" w:hAnsi="Palatino Linotype"/>
          <w:i/>
          <w:sz w:val="24"/>
          <w:szCs w:val="24"/>
        </w:rPr>
        <w:t>La</w:t>
      </w:r>
      <w:r w:rsidR="006D32A7">
        <w:rPr>
          <w:rFonts w:ascii="Palatino Linotype" w:hAnsi="Palatino Linotype"/>
          <w:i/>
          <w:sz w:val="24"/>
          <w:szCs w:val="24"/>
        </w:rPr>
        <w:t xml:space="preserve"> fech</w:t>
      </w:r>
      <w:r w:rsidR="00541B19">
        <w:rPr>
          <w:rFonts w:ascii="Palatino Linotype" w:hAnsi="Palatino Linotype"/>
          <w:i/>
          <w:sz w:val="24"/>
          <w:szCs w:val="24"/>
        </w:rPr>
        <w:t>a</w:t>
      </w:r>
      <w:r w:rsidR="00985233">
        <w:rPr>
          <w:rFonts w:ascii="Palatino Linotype" w:hAnsi="Palatino Linotype"/>
          <w:i/>
          <w:sz w:val="24"/>
          <w:szCs w:val="24"/>
        </w:rPr>
        <w:t xml:space="preserve"> en que</w:t>
      </w:r>
      <w:r w:rsidR="00541B19">
        <w:rPr>
          <w:rFonts w:ascii="Palatino Linotype" w:hAnsi="Palatino Linotype"/>
          <w:i/>
          <w:sz w:val="24"/>
          <w:szCs w:val="24"/>
        </w:rPr>
        <w:t xml:space="preserve"> se creó </w:t>
      </w:r>
      <w:r>
        <w:rPr>
          <w:rFonts w:ascii="Palatino Linotype" w:hAnsi="Palatino Linotype"/>
          <w:i/>
          <w:sz w:val="24"/>
          <w:szCs w:val="24"/>
        </w:rPr>
        <w:t xml:space="preserve">la </w:t>
      </w:r>
      <w:r w:rsidRPr="006D32A7">
        <w:rPr>
          <w:rFonts w:ascii="Palatino Linotype" w:hAnsi="Palatino Linotype"/>
          <w:i/>
          <w:sz w:val="24"/>
          <w:szCs w:val="24"/>
        </w:rPr>
        <w:t>Unidad de Igualdad de Género y Erradicación de la Violencia</w:t>
      </w:r>
      <w:r>
        <w:rPr>
          <w:rFonts w:ascii="Palatino Linotype" w:hAnsi="Palatino Linotype"/>
          <w:i/>
          <w:sz w:val="24"/>
          <w:szCs w:val="24"/>
        </w:rPr>
        <w:t xml:space="preserve"> </w:t>
      </w:r>
      <w:r w:rsidR="00541B19">
        <w:rPr>
          <w:rFonts w:ascii="Palatino Linotype" w:hAnsi="Palatino Linotype"/>
          <w:i/>
          <w:sz w:val="24"/>
          <w:szCs w:val="24"/>
        </w:rPr>
        <w:t>y como está integrada</w:t>
      </w:r>
      <w:r w:rsidR="00985233">
        <w:rPr>
          <w:rFonts w:ascii="Palatino Linotype" w:hAnsi="Palatino Linotype"/>
          <w:i/>
          <w:sz w:val="24"/>
          <w:szCs w:val="24"/>
        </w:rPr>
        <w:t>, es decir, su estructura orgánica,</w:t>
      </w:r>
      <w:r>
        <w:rPr>
          <w:rFonts w:ascii="Palatino Linotype" w:hAnsi="Palatino Linotype"/>
          <w:i/>
          <w:sz w:val="24"/>
          <w:szCs w:val="24"/>
        </w:rPr>
        <w:t xml:space="preserve"> organigrama,</w:t>
      </w:r>
      <w:r w:rsidR="00985233">
        <w:rPr>
          <w:rFonts w:ascii="Palatino Linotype" w:hAnsi="Palatino Linotype"/>
          <w:i/>
          <w:sz w:val="24"/>
          <w:szCs w:val="24"/>
        </w:rPr>
        <w:t xml:space="preserve"> directorio</w:t>
      </w:r>
      <w:r w:rsidR="009339EA">
        <w:rPr>
          <w:rFonts w:ascii="Palatino Linotype" w:hAnsi="Palatino Linotype"/>
          <w:i/>
          <w:sz w:val="24"/>
          <w:szCs w:val="24"/>
        </w:rPr>
        <w:t xml:space="preserve"> o en donde conste como </w:t>
      </w:r>
      <w:r>
        <w:rPr>
          <w:rFonts w:ascii="Palatino Linotype" w:hAnsi="Palatino Linotype"/>
          <w:i/>
          <w:sz w:val="24"/>
          <w:szCs w:val="24"/>
        </w:rPr>
        <w:t>está</w:t>
      </w:r>
      <w:r w:rsidR="009339EA">
        <w:rPr>
          <w:rFonts w:ascii="Palatino Linotype" w:hAnsi="Palatino Linotype"/>
          <w:i/>
          <w:sz w:val="24"/>
          <w:szCs w:val="24"/>
        </w:rPr>
        <w:t xml:space="preserve"> conformada dicha Unidad.</w:t>
      </w:r>
    </w:p>
    <w:p w:rsidR="00541B19" w:rsidRDefault="00E56B2F" w:rsidP="00E323DF">
      <w:pPr>
        <w:spacing w:after="0" w:line="360" w:lineRule="auto"/>
        <w:ind w:right="51"/>
        <w:jc w:val="both"/>
        <w:rPr>
          <w:rFonts w:ascii="Palatino Linotype" w:hAnsi="Palatino Linotype"/>
          <w:i/>
          <w:sz w:val="24"/>
          <w:szCs w:val="24"/>
        </w:rPr>
      </w:pPr>
      <w:r>
        <w:rPr>
          <w:rFonts w:ascii="Palatino Linotype" w:hAnsi="Palatino Linotype"/>
          <w:i/>
          <w:sz w:val="24"/>
          <w:szCs w:val="24"/>
        </w:rPr>
        <w:t>2</w:t>
      </w:r>
      <w:r w:rsidR="006D32A7">
        <w:rPr>
          <w:rFonts w:ascii="Palatino Linotype" w:hAnsi="Palatino Linotype"/>
          <w:i/>
          <w:sz w:val="24"/>
          <w:szCs w:val="24"/>
        </w:rPr>
        <w:t>.- Protocolo para la prevención y atención a víctimas de acoso y hostigamiento sexual en la Administración Pública Municipal</w:t>
      </w:r>
      <w:r w:rsidR="00985233">
        <w:rPr>
          <w:rFonts w:ascii="Palatino Linotype" w:hAnsi="Palatino Linotype"/>
          <w:i/>
          <w:sz w:val="24"/>
          <w:szCs w:val="24"/>
        </w:rPr>
        <w:t>.</w:t>
      </w:r>
    </w:p>
    <w:p w:rsidR="006D32A7" w:rsidRDefault="00E56B2F" w:rsidP="00E323DF">
      <w:pPr>
        <w:spacing w:after="0" w:line="360" w:lineRule="auto"/>
        <w:ind w:right="51"/>
        <w:jc w:val="both"/>
        <w:rPr>
          <w:rFonts w:ascii="Palatino Linotype" w:hAnsi="Palatino Linotype"/>
          <w:sz w:val="24"/>
          <w:szCs w:val="24"/>
        </w:rPr>
      </w:pPr>
      <w:r>
        <w:rPr>
          <w:rFonts w:ascii="Palatino Linotype" w:hAnsi="Palatino Linotype"/>
          <w:i/>
          <w:sz w:val="24"/>
          <w:szCs w:val="24"/>
        </w:rPr>
        <w:t>3</w:t>
      </w:r>
      <w:r w:rsidR="00541B19">
        <w:rPr>
          <w:rFonts w:ascii="Palatino Linotype" w:hAnsi="Palatino Linotype"/>
          <w:i/>
          <w:sz w:val="24"/>
          <w:szCs w:val="24"/>
        </w:rPr>
        <w:t>.- E</w:t>
      </w:r>
      <w:r w:rsidR="006D32A7">
        <w:rPr>
          <w:rFonts w:ascii="Palatino Linotype" w:hAnsi="Palatino Linotype"/>
          <w:i/>
          <w:sz w:val="24"/>
          <w:szCs w:val="24"/>
        </w:rPr>
        <w:t xml:space="preserve">l acuerdo </w:t>
      </w:r>
      <w:r w:rsidR="00985233">
        <w:rPr>
          <w:rFonts w:ascii="Palatino Linotype" w:hAnsi="Palatino Linotype"/>
          <w:i/>
          <w:sz w:val="24"/>
          <w:szCs w:val="24"/>
        </w:rPr>
        <w:t xml:space="preserve">de cabildo </w:t>
      </w:r>
      <w:r w:rsidR="006D32A7">
        <w:rPr>
          <w:rFonts w:ascii="Palatino Linotype" w:hAnsi="Palatino Linotype"/>
          <w:i/>
          <w:sz w:val="24"/>
          <w:szCs w:val="24"/>
        </w:rPr>
        <w:t>mediante el cual fue aprobado</w:t>
      </w:r>
      <w:r w:rsidR="00985233">
        <w:rPr>
          <w:rFonts w:ascii="Palatino Linotype" w:hAnsi="Palatino Linotype"/>
          <w:i/>
          <w:sz w:val="24"/>
          <w:szCs w:val="24"/>
        </w:rPr>
        <w:t xml:space="preserve"> el Protocolo antes citado</w:t>
      </w:r>
      <w:r w:rsidR="006D32A7">
        <w:rPr>
          <w:rFonts w:ascii="Palatino Linotype" w:hAnsi="Palatino Linotype"/>
          <w:i/>
          <w:sz w:val="24"/>
          <w:szCs w:val="24"/>
        </w:rPr>
        <w:t xml:space="preserve"> y la gaceta </w:t>
      </w:r>
      <w:r w:rsidR="00985233">
        <w:rPr>
          <w:rFonts w:ascii="Palatino Linotype" w:hAnsi="Palatino Linotype"/>
          <w:i/>
          <w:sz w:val="24"/>
          <w:szCs w:val="24"/>
        </w:rPr>
        <w:t xml:space="preserve">de gobierno </w:t>
      </w:r>
      <w:r w:rsidR="006D32A7">
        <w:rPr>
          <w:rFonts w:ascii="Palatino Linotype" w:hAnsi="Palatino Linotype"/>
          <w:i/>
          <w:sz w:val="24"/>
          <w:szCs w:val="24"/>
        </w:rPr>
        <w:t>do</w:t>
      </w:r>
      <w:r w:rsidR="00985233">
        <w:rPr>
          <w:rFonts w:ascii="Palatino Linotype" w:hAnsi="Palatino Linotype"/>
          <w:i/>
          <w:sz w:val="24"/>
          <w:szCs w:val="24"/>
        </w:rPr>
        <w:t>nde haya sido publicado.</w:t>
      </w:r>
    </w:p>
    <w:p w:rsidR="006D32A7" w:rsidRPr="00E322DC" w:rsidRDefault="006D32A7" w:rsidP="00E323DF">
      <w:pPr>
        <w:spacing w:after="0" w:line="360" w:lineRule="auto"/>
        <w:ind w:right="51"/>
        <w:jc w:val="both"/>
        <w:rPr>
          <w:rFonts w:ascii="Palatino Linotype" w:hAnsi="Palatino Linotype" w:cs="Arial"/>
          <w:sz w:val="24"/>
          <w:szCs w:val="24"/>
        </w:rPr>
      </w:pP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b/>
          <w:bCs/>
          <w:i/>
          <w:iCs/>
          <w:color w:val="222222"/>
          <w:sz w:val="24"/>
          <w:szCs w:val="24"/>
          <w:lang w:eastAsia="es-MX"/>
        </w:rPr>
        <w:t>De la versión pública.</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color w:val="222222"/>
          <w:sz w:val="24"/>
          <w:szCs w:val="24"/>
          <w:lang w:eastAsia="es-MX"/>
        </w:rPr>
        <w:t>Derivado de que la información requerida</w:t>
      </w:r>
      <w:r w:rsidR="00932791">
        <w:rPr>
          <w:rFonts w:ascii="Palatino Linotype" w:hAnsi="Palatino Linotype"/>
          <w:color w:val="222222"/>
          <w:sz w:val="24"/>
          <w:szCs w:val="24"/>
          <w:lang w:eastAsia="es-MX"/>
        </w:rPr>
        <w:t xml:space="preserve"> consistente en los documentos donde </w:t>
      </w:r>
      <w:r w:rsidR="00486296">
        <w:rPr>
          <w:rFonts w:ascii="Palatino Linotype" w:hAnsi="Palatino Linotype"/>
          <w:color w:val="222222"/>
          <w:sz w:val="24"/>
          <w:szCs w:val="24"/>
          <w:lang w:eastAsia="es-MX"/>
        </w:rPr>
        <w:t>conste</w:t>
      </w:r>
      <w:r w:rsidR="00932791">
        <w:rPr>
          <w:rFonts w:ascii="Palatino Linotype" w:hAnsi="Palatino Linotype"/>
          <w:color w:val="222222"/>
          <w:sz w:val="24"/>
          <w:szCs w:val="24"/>
          <w:lang w:eastAsia="es-MX"/>
        </w:rPr>
        <w:t xml:space="preserve"> </w:t>
      </w:r>
      <w:r w:rsidR="00932791" w:rsidRPr="00932791">
        <w:rPr>
          <w:rFonts w:ascii="Palatino Linotype" w:hAnsi="Palatino Linotype"/>
          <w:color w:val="222222"/>
          <w:sz w:val="24"/>
          <w:szCs w:val="24"/>
          <w:lang w:eastAsia="es-MX"/>
        </w:rPr>
        <w:t>la recaudación por expedición de constancias domiciliarias, identidad y residencia por el periodo enero - septiembre de 2019</w:t>
      </w:r>
      <w:r w:rsidRPr="00932791">
        <w:rPr>
          <w:rFonts w:ascii="Palatino Linotype" w:hAnsi="Palatino Linotype"/>
          <w:color w:val="222222"/>
          <w:sz w:val="24"/>
          <w:szCs w:val="24"/>
          <w:lang w:eastAsia="es-MX"/>
        </w:rPr>
        <w:t>”</w:t>
      </w:r>
      <w:r w:rsidRPr="00E323DF">
        <w:rPr>
          <w:rFonts w:ascii="Palatino Linotype" w:hAnsi="Palatino Linotype"/>
          <w:color w:val="222222"/>
          <w:sz w:val="24"/>
          <w:szCs w:val="24"/>
          <w:lang w:eastAsia="es-MX"/>
        </w:rPr>
        <w:t xml:space="preserve"> pudiera ser el caso que el sujeto obligado pretenda dar cumplimiento entregando algún documento donde consten otros datos, como recibo</w:t>
      </w:r>
      <w:r w:rsidR="00932791">
        <w:rPr>
          <w:rFonts w:ascii="Palatino Linotype" w:hAnsi="Palatino Linotype"/>
          <w:color w:val="222222"/>
          <w:sz w:val="24"/>
          <w:szCs w:val="24"/>
          <w:lang w:eastAsia="es-MX"/>
        </w:rPr>
        <w:t>s</w:t>
      </w:r>
      <w:r w:rsidRPr="00E323DF">
        <w:rPr>
          <w:rFonts w:ascii="Palatino Linotype" w:hAnsi="Palatino Linotype"/>
          <w:color w:val="222222"/>
          <w:sz w:val="24"/>
          <w:szCs w:val="24"/>
          <w:lang w:eastAsia="es-MX"/>
        </w:rPr>
        <w:t xml:space="preserve"> de </w:t>
      </w:r>
      <w:r w:rsidR="00932791">
        <w:rPr>
          <w:rFonts w:ascii="Palatino Linotype" w:hAnsi="Palatino Linotype"/>
          <w:color w:val="222222"/>
          <w:sz w:val="24"/>
          <w:szCs w:val="24"/>
          <w:lang w:eastAsia="es-MX"/>
        </w:rPr>
        <w:t xml:space="preserve">pago, o cualquier otro donde se contenga datos personales </w:t>
      </w:r>
      <w:r w:rsidRPr="00E323DF">
        <w:rPr>
          <w:rFonts w:ascii="Palatino Linotype" w:hAnsi="Palatino Linotype"/>
          <w:color w:val="222222"/>
          <w:sz w:val="24"/>
          <w:szCs w:val="24"/>
          <w:lang w:eastAsia="es-MX"/>
        </w:rPr>
        <w:t>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E323DF">
        <w:rPr>
          <w:rFonts w:ascii="Palatino Linotype" w:hAnsi="Palatino Linotype"/>
          <w:b/>
          <w:bCs/>
          <w:color w:val="222222"/>
          <w:sz w:val="24"/>
          <w:szCs w:val="24"/>
          <w:lang w:eastAsia="es-MX"/>
        </w:rPr>
        <w:t>su entrega deberá ser en versión pública;</w:t>
      </w:r>
      <w:r w:rsidRPr="00E323DF">
        <w:rPr>
          <w:rFonts w:ascii="Palatino Linotype" w:hAnsi="Palatino Linotype"/>
          <w:color w:val="222222"/>
          <w:sz w:val="24"/>
          <w:szCs w:val="24"/>
          <w:lang w:eastAsia="es-MX"/>
        </w:rPr>
        <w:t> referencia cuyo fundamento legal aplicable se encuentra inmerso en los numerales de la Ley de la materia, que a la letra esgrimen:</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IX. Datos personales: La información concerniente a una persona, identificada o identificable según lo dispuesto por la Ley de Protección de Datos Personales del Estado de México;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323DF" w:rsidRPr="00932791" w:rsidRDefault="00E323DF" w:rsidP="00932791">
      <w:pPr>
        <w:shd w:val="clear" w:color="auto" w:fill="FFFFFF"/>
        <w:spacing w:after="0" w:line="360" w:lineRule="auto"/>
        <w:ind w:left="567" w:right="567"/>
        <w:jc w:val="both"/>
        <w:rPr>
          <w:rFonts w:ascii="Palatino Linotype" w:hAnsi="Palatino Linotype"/>
          <w:color w:val="222222"/>
          <w:sz w:val="24"/>
          <w:szCs w:val="24"/>
          <w:lang w:eastAsia="es-MX"/>
        </w:rPr>
      </w:pPr>
      <w:r w:rsidRPr="005A0459">
        <w:rPr>
          <w:rFonts w:ascii="Palatino Linotype" w:hAnsi="Palatino Linotype"/>
          <w:color w:val="222222"/>
          <w:lang w:eastAsia="es-MX"/>
        </w:rPr>
        <w:t>(</w:t>
      </w:r>
      <w:r w:rsidRPr="00932791">
        <w:rPr>
          <w:rFonts w:ascii="Palatino Linotype" w:hAnsi="Palatino Linotype"/>
          <w:color w:val="222222"/>
          <w:sz w:val="24"/>
          <w:szCs w:val="24"/>
          <w:lang w:eastAsia="es-MX"/>
        </w:rPr>
        <w:t>Énfasis añadido)</w:t>
      </w:r>
    </w:p>
    <w:p w:rsidR="00E323DF" w:rsidRPr="00932791" w:rsidRDefault="00E323DF" w:rsidP="00932791">
      <w:pPr>
        <w:shd w:val="clear" w:color="auto" w:fill="FFFFFF"/>
        <w:spacing w:after="0" w:line="360" w:lineRule="auto"/>
        <w:ind w:left="851" w:right="8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Verbigracia, previo a poner a disposición la información correspondiente debe considerarse que tiene carácter de confidencial</w:t>
      </w:r>
      <w:r w:rsidR="00932791">
        <w:rPr>
          <w:rFonts w:ascii="Palatino Linotype" w:hAnsi="Palatino Linotype"/>
          <w:color w:val="222222"/>
          <w:sz w:val="24"/>
          <w:szCs w:val="24"/>
          <w:lang w:eastAsia="es-MX"/>
        </w:rPr>
        <w:t xml:space="preserve"> </w:t>
      </w:r>
      <w:r w:rsidRPr="00932791">
        <w:rPr>
          <w:rFonts w:ascii="Palatino Linotype" w:hAnsi="Palatino Linotype"/>
          <w:color w:val="222222"/>
          <w:sz w:val="24"/>
          <w:szCs w:val="24"/>
          <w:lang w:eastAsia="es-MX"/>
        </w:rPr>
        <w:t>el Registro Federal de Contribuyentes</w:t>
      </w:r>
      <w:r w:rsidR="00932791">
        <w:rPr>
          <w:rFonts w:ascii="Palatino Linotype" w:hAnsi="Palatino Linotype"/>
          <w:color w:val="222222"/>
          <w:sz w:val="24"/>
          <w:szCs w:val="24"/>
          <w:lang w:eastAsia="es-MX"/>
        </w:rPr>
        <w:t xml:space="preserve"> </w:t>
      </w:r>
      <w:r w:rsidRPr="00932791">
        <w:rPr>
          <w:rFonts w:ascii="Palatino Linotype" w:hAnsi="Palatino Linotype"/>
          <w:b/>
          <w:bCs/>
          <w:color w:val="222222"/>
          <w:sz w:val="24"/>
          <w:szCs w:val="24"/>
          <w:lang w:eastAsia="es-MX"/>
        </w:rPr>
        <w:t>(RFC)</w:t>
      </w:r>
      <w:r w:rsidR="00932791">
        <w:rPr>
          <w:rFonts w:ascii="Palatino Linotype" w:hAnsi="Palatino Linotype"/>
          <w:b/>
          <w:bCs/>
          <w:color w:val="222222"/>
          <w:sz w:val="24"/>
          <w:szCs w:val="24"/>
          <w:lang w:eastAsia="es-MX"/>
        </w:rPr>
        <w:t xml:space="preserve"> </w:t>
      </w:r>
      <w:r w:rsidRPr="00932791">
        <w:rPr>
          <w:rFonts w:ascii="Palatino Linotype" w:hAnsi="Palatino Linotype"/>
          <w:color w:val="222222"/>
          <w:sz w:val="24"/>
          <w:szCs w:val="24"/>
          <w:lang w:eastAsia="es-MX"/>
        </w:rPr>
        <w:t>que no sean de proveedores, cuenta bancaria, la Clave Única de Registro de Población (</w:t>
      </w:r>
      <w:r w:rsidRPr="00932791">
        <w:rPr>
          <w:rFonts w:ascii="Palatino Linotype" w:hAnsi="Palatino Linotype"/>
          <w:b/>
          <w:bCs/>
          <w:color w:val="222222"/>
          <w:sz w:val="24"/>
          <w:szCs w:val="24"/>
          <w:lang w:eastAsia="es-MX"/>
        </w:rPr>
        <w:t>CURP</w:t>
      </w:r>
      <w:r w:rsidRPr="00932791">
        <w:rPr>
          <w:rFonts w:ascii="Palatino Linotype" w:hAnsi="Palatino Linotype"/>
          <w:color w:val="222222"/>
          <w:sz w:val="24"/>
          <w:szCs w:val="24"/>
          <w:lang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323DF" w:rsidRPr="00932791" w:rsidRDefault="00E323DF" w:rsidP="00932791">
      <w:pPr>
        <w:shd w:val="clear" w:color="auto" w:fill="FFFFFF"/>
        <w:spacing w:after="0" w:line="360" w:lineRule="auto"/>
        <w:ind w:left="567" w:right="850"/>
        <w:jc w:val="both"/>
        <w:rPr>
          <w:rFonts w:ascii="Palatino Linotype" w:hAnsi="Palatino Linotype"/>
          <w:color w:val="222222"/>
          <w:sz w:val="24"/>
          <w:szCs w:val="24"/>
          <w:lang w:eastAsia="es-MX"/>
        </w:rPr>
      </w:pPr>
      <w:r w:rsidRPr="005A0459">
        <w:rPr>
          <w:rFonts w:ascii="Palatino Linotype" w:hAnsi="Palatino Linotype"/>
          <w:i/>
          <w:iCs/>
          <w:color w:val="222222"/>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932791">
        <w:rPr>
          <w:rFonts w:ascii="Palatino Linotype" w:hAnsi="Palatino Linotype"/>
          <w:color w:val="222222"/>
          <w:sz w:val="24"/>
          <w:szCs w:val="24"/>
          <w:lang w:eastAsia="es-MX"/>
        </w:rPr>
        <w:lastRenderedPageBreak/>
        <w:t>que éste constituye un dato personal que concierne a una persona física identificada e identificable.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Argumento que es compartido por el </w:t>
      </w:r>
      <w:r w:rsidRPr="00932791">
        <w:rPr>
          <w:rFonts w:ascii="Palatino Linotype" w:hAnsi="Palatino Linotype"/>
          <w:b/>
          <w:bCs/>
          <w:color w:val="222222"/>
          <w:sz w:val="24"/>
          <w:szCs w:val="24"/>
          <w:lang w:eastAsia="es-MX"/>
        </w:rPr>
        <w:t>Instituto Nacional de Transparencia, Acceso a la Información Pública y Protección de Datos Personales, conforme al</w:t>
      </w:r>
      <w:r w:rsidRPr="00932791">
        <w:rPr>
          <w:rFonts w:ascii="Palatino Linotype" w:hAnsi="Palatino Linotype"/>
          <w:color w:val="222222"/>
          <w:sz w:val="24"/>
          <w:szCs w:val="24"/>
          <w:lang w:eastAsia="es-MX"/>
        </w:rPr>
        <w:t>criterio número 18/17 de la segunda época, el cual refiere: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SEGUNDO TRIBUNAL COLEGIADO DEL SEXTO CIRCUITO.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en revisión 333/88. Adilia Romero. 26 de octubre de 1988. Unanimidad de votos. Ponente: Arnoldo Nájera Virgen. Secretario: Enrique Crispín Campos Ramírez.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En este sentido, el numeral trigésimo tercero fracción V de los Lineamientos Generales, precisa que para motivar la clasificación se deben acreditar las circunstancias de tiempo, modo y lugar.</w:t>
      </w:r>
    </w:p>
    <w:p w:rsidR="00E323DF" w:rsidRPr="00932791" w:rsidRDefault="00E323DF" w:rsidP="00932791">
      <w:pPr>
        <w:spacing w:after="0" w:line="360" w:lineRule="auto"/>
        <w:ind w:right="51"/>
        <w:jc w:val="both"/>
        <w:rPr>
          <w:rFonts w:ascii="Palatino Linotype" w:hAnsi="Palatino Linotype" w:cs="Arial"/>
          <w:sz w:val="24"/>
          <w:szCs w:val="24"/>
        </w:rPr>
      </w:pPr>
    </w:p>
    <w:p w:rsidR="00E323DF" w:rsidRPr="00932791" w:rsidRDefault="00E323DF" w:rsidP="00932791">
      <w:pPr>
        <w:spacing w:after="0" w:line="360" w:lineRule="auto"/>
        <w:ind w:right="51"/>
        <w:jc w:val="both"/>
        <w:rPr>
          <w:rFonts w:ascii="Palatino Linotype" w:hAnsi="Palatino Linotype" w:cs="Arial"/>
          <w:sz w:val="24"/>
          <w:szCs w:val="24"/>
        </w:rPr>
      </w:pPr>
      <w:r w:rsidRPr="00932791">
        <w:rPr>
          <w:rFonts w:ascii="Palatino Linotype" w:hAnsi="Palatino Linotype" w:cs="Arial"/>
          <w:sz w:val="24"/>
          <w:szCs w:val="24"/>
        </w:rPr>
        <w:lastRenderedPageBreak/>
        <w:t>Por último, hemos de decir que las razones o motivos de inconformidad son fundadas por las razones y motivos anteriormente expuestos en el cuerpo de la presente resolución.</w:t>
      </w:r>
    </w:p>
    <w:p w:rsidR="00E323DF" w:rsidRPr="00932791" w:rsidRDefault="00E323DF" w:rsidP="00932791">
      <w:pPr>
        <w:spacing w:after="0" w:line="360" w:lineRule="auto"/>
        <w:ind w:right="51"/>
        <w:jc w:val="both"/>
        <w:rPr>
          <w:rFonts w:ascii="Palatino Linotype" w:hAnsi="Palatino Linotype" w:cs="Arial"/>
          <w:sz w:val="24"/>
          <w:szCs w:val="24"/>
        </w:rPr>
      </w:pP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32791">
        <w:rPr>
          <w:rFonts w:ascii="Palatino Linotype" w:hAnsi="Palatino Linotype" w:cs="Arial"/>
        </w:rPr>
        <w:t xml:space="preserve">En razón de lo anteriormente expuesto, este Instituto estima que las razones o motivos de inconformidad hechos valer por </w:t>
      </w:r>
      <w:r w:rsidRPr="00932791">
        <w:rPr>
          <w:rFonts w:ascii="Palatino Linotype" w:hAnsi="Palatino Linotype" w:cs="Arial"/>
          <w:b/>
        </w:rPr>
        <w:t>LA RECURRENTE</w:t>
      </w:r>
      <w:r w:rsidRPr="00932791">
        <w:rPr>
          <w:rFonts w:ascii="Palatino Linotype" w:hAnsi="Palatino Linotype" w:cs="Arial"/>
        </w:rPr>
        <w:t xml:space="preserve"> devienen </w:t>
      </w:r>
      <w:r w:rsidRPr="00932791">
        <w:rPr>
          <w:rFonts w:ascii="Palatino Linotype" w:hAnsi="Palatino Linotype" w:cs="Arial"/>
          <w:b/>
        </w:rPr>
        <w:t>fundados</w:t>
      </w:r>
      <w:r w:rsidRPr="00932791">
        <w:rPr>
          <w:rFonts w:ascii="Palatino Linotype" w:hAnsi="Palatino Linotype" w:cs="Arial"/>
        </w:rPr>
        <w:t xml:space="preserve"> y suficientes para </w:t>
      </w:r>
      <w:r w:rsidRPr="00932791">
        <w:rPr>
          <w:rFonts w:ascii="Palatino Linotype" w:hAnsi="Palatino Linotype" w:cs="Arial"/>
          <w:b/>
        </w:rPr>
        <w:t>REVOCAR</w:t>
      </w:r>
      <w:r w:rsidRPr="00932791">
        <w:rPr>
          <w:rFonts w:ascii="Palatino Linotype" w:hAnsi="Palatino Linotype" w:cs="Arial"/>
        </w:rPr>
        <w:t xml:space="preserve"> la respuesta del </w:t>
      </w:r>
      <w:r w:rsidRPr="00932791">
        <w:rPr>
          <w:rFonts w:ascii="Palatino Linotype" w:hAnsi="Palatino Linotype" w:cs="Arial"/>
          <w:b/>
        </w:rPr>
        <w:t>SUJETO OBLIGADO</w:t>
      </w:r>
      <w:r w:rsidRPr="00932791">
        <w:rPr>
          <w:rFonts w:ascii="Palatino Linotype" w:hAnsi="Palatino Linotype" w:cs="Arial"/>
        </w:rPr>
        <w:t xml:space="preserve"> y ordenarle haga entrega de la información descr</w:t>
      </w:r>
      <w:r w:rsidR="00290E5F" w:rsidRPr="00932791">
        <w:rPr>
          <w:rFonts w:ascii="Palatino Linotype" w:hAnsi="Palatino Linotype" w:cs="Arial"/>
        </w:rPr>
        <w:t>ita en el presente Considerando, por lo que se:</w:t>
      </w: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r w:rsidRPr="008F1FE6">
        <w:rPr>
          <w:rFonts w:ascii="Palatino Linotype" w:eastAsia="Times New Roman" w:hAnsi="Palatino Linotype"/>
          <w:b/>
          <w:bCs/>
          <w:spacing w:val="60"/>
          <w:sz w:val="24"/>
          <w:szCs w:val="24"/>
          <w:lang w:val="es-ES_tradnl"/>
        </w:rPr>
        <w:t>RESUELVE</w:t>
      </w: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p>
    <w:p w:rsidR="00402DCD" w:rsidRDefault="00402DCD" w:rsidP="00402DCD">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Pr>
          <w:rFonts w:ascii="Palatino Linotype" w:hAnsi="Palatino Linotype" w:cs="Arial"/>
          <w:b/>
          <w:sz w:val="24"/>
          <w:szCs w:val="24"/>
          <w:lang w:val="es-ES_tradnl"/>
        </w:rPr>
        <w:t xml:space="preserve">REVOCA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w:t>
      </w:r>
      <w:r w:rsidRPr="00E322DC">
        <w:rPr>
          <w:rFonts w:ascii="Palatino Linotype" w:eastAsia="Arial Unicode MS" w:hAnsi="Palatino Linotype" w:cs="Arial"/>
          <w:sz w:val="24"/>
          <w:szCs w:val="24"/>
        </w:rPr>
        <w:t xml:space="preserve">información número </w:t>
      </w:r>
      <w:r w:rsidR="00E56B2F">
        <w:rPr>
          <w:rFonts w:ascii="Palatino Linotype" w:hAnsi="Palatino Linotype"/>
          <w:b/>
          <w:sz w:val="24"/>
          <w:szCs w:val="24"/>
        </w:rPr>
        <w:t>00230/LERMA/IP/2019</w:t>
      </w:r>
      <w:r w:rsidRPr="00E322DC">
        <w:rPr>
          <w:rFonts w:ascii="Palatino Linotype" w:hAnsi="Palatino Linotype" w:cs="Arial"/>
          <w:sz w:val="24"/>
          <w:szCs w:val="24"/>
        </w:rPr>
        <w:t xml:space="preserve">, ya que </w:t>
      </w:r>
      <w:r w:rsidRPr="00E322DC">
        <w:rPr>
          <w:rFonts w:ascii="Palatino Linotype" w:hAnsi="Palatino Linotype" w:cs="Arial"/>
          <w:sz w:val="24"/>
          <w:szCs w:val="24"/>
          <w:lang w:val="es-ES_tradnl"/>
        </w:rPr>
        <w:t>resultan fundadas</w:t>
      </w:r>
      <w:r>
        <w:rPr>
          <w:rFonts w:ascii="Palatino Linotype" w:hAnsi="Palatino Linotype" w:cs="Arial"/>
          <w:sz w:val="24"/>
          <w:szCs w:val="24"/>
          <w:lang w:val="es-ES_tradnl"/>
        </w:rPr>
        <w:t xml:space="preserve"> las 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402DCD" w:rsidRDefault="00402DCD" w:rsidP="00402DCD">
      <w:pPr>
        <w:spacing w:after="0" w:line="360" w:lineRule="auto"/>
        <w:jc w:val="both"/>
        <w:rPr>
          <w:rFonts w:ascii="Palatino Linotype" w:hAnsi="Palatino Linotype" w:cs="Arial"/>
          <w:sz w:val="24"/>
          <w:szCs w:val="24"/>
        </w:rPr>
      </w:pPr>
    </w:p>
    <w:p w:rsidR="007C4552" w:rsidRDefault="00402DCD" w:rsidP="007C4552">
      <w:pPr>
        <w:spacing w:after="0" w:line="360" w:lineRule="auto"/>
        <w:jc w:val="both"/>
        <w:rPr>
          <w:rFonts w:ascii="Palatino Linotype" w:hAnsi="Palatino Linotype" w:cs="Arial"/>
          <w:sz w:val="24"/>
          <w:szCs w:val="24"/>
        </w:rPr>
      </w:pPr>
      <w:r>
        <w:rPr>
          <w:rFonts w:ascii="Palatino Linotype" w:hAnsi="Palatino Linotype"/>
          <w:b/>
          <w:sz w:val="24"/>
          <w:szCs w:val="24"/>
        </w:rPr>
        <w:t>SEGUNDO.</w:t>
      </w:r>
      <w:r>
        <w:rPr>
          <w:rFonts w:ascii="Palatino Linotype" w:hAnsi="Palatino Linotype" w:cs="Arial"/>
          <w:sz w:val="24"/>
          <w:szCs w:val="24"/>
        </w:rPr>
        <w:t xml:space="preserve"> Se ordena al Sujeto Obligado</w:t>
      </w:r>
      <w:r w:rsidR="001F7A32">
        <w:rPr>
          <w:rFonts w:ascii="Palatino Linotype" w:hAnsi="Palatino Linotype" w:cs="Arial"/>
          <w:sz w:val="24"/>
          <w:szCs w:val="24"/>
        </w:rPr>
        <w:t xml:space="preserve"> </w:t>
      </w:r>
      <w:r w:rsidR="001F7A32" w:rsidRPr="00AD2F93">
        <w:rPr>
          <w:rFonts w:ascii="Palatino Linotype" w:hAnsi="Palatino Linotype" w:cs="Arial"/>
          <w:sz w:val="23"/>
          <w:szCs w:val="23"/>
        </w:rPr>
        <w:t>previa búsqueda exhaustiva y razonable</w:t>
      </w:r>
      <w:r w:rsidR="001F7A32">
        <w:rPr>
          <w:rFonts w:ascii="Palatino Linotype" w:hAnsi="Palatino Linotype" w:cs="Arial"/>
          <w:sz w:val="23"/>
          <w:szCs w:val="23"/>
        </w:rPr>
        <w:t>,</w:t>
      </w:r>
      <w:r>
        <w:rPr>
          <w:rFonts w:ascii="Palatino Linotype" w:hAnsi="Palatino Linotype" w:cs="Arial"/>
          <w:sz w:val="24"/>
          <w:szCs w:val="24"/>
        </w:rPr>
        <w:t xml:space="preserve"> haga entrega al recurrente en términos del Considerando Cuarto de la presente resolución, a través del SAIMEX, de ser procedente en </w:t>
      </w:r>
      <w:r w:rsidRPr="007C4552">
        <w:rPr>
          <w:rFonts w:ascii="Palatino Linotype" w:hAnsi="Palatino Linotype" w:cs="Arial"/>
          <w:sz w:val="24"/>
          <w:szCs w:val="24"/>
        </w:rPr>
        <w:t xml:space="preserve">versión pública, </w:t>
      </w:r>
      <w:r w:rsidR="0030250D">
        <w:rPr>
          <w:rFonts w:ascii="Palatino Linotype" w:hAnsi="Palatino Linotype" w:cs="Arial"/>
          <w:sz w:val="24"/>
          <w:szCs w:val="24"/>
        </w:rPr>
        <w:t xml:space="preserve">de </w:t>
      </w:r>
      <w:r w:rsidR="00932791">
        <w:rPr>
          <w:rFonts w:ascii="Palatino Linotype" w:hAnsi="Palatino Linotype" w:cs="Arial"/>
          <w:sz w:val="24"/>
          <w:szCs w:val="24"/>
        </w:rPr>
        <w:t>lo siguiente:</w:t>
      </w:r>
    </w:p>
    <w:p w:rsidR="00E56B2F" w:rsidRDefault="00E56B2F" w:rsidP="00E56B2F">
      <w:pPr>
        <w:spacing w:after="0" w:line="360" w:lineRule="auto"/>
        <w:ind w:right="51"/>
        <w:jc w:val="both"/>
        <w:rPr>
          <w:rFonts w:ascii="Palatino Linotype" w:hAnsi="Palatino Linotype"/>
          <w:sz w:val="24"/>
          <w:szCs w:val="24"/>
        </w:rPr>
      </w:pPr>
    </w:p>
    <w:p w:rsidR="005D7BA3" w:rsidRDefault="00293277" w:rsidP="00FF12DC">
      <w:pPr>
        <w:pStyle w:val="Prrafodelista"/>
        <w:numPr>
          <w:ilvl w:val="0"/>
          <w:numId w:val="32"/>
        </w:numPr>
        <w:spacing w:line="360" w:lineRule="auto"/>
        <w:jc w:val="both"/>
        <w:rPr>
          <w:rFonts w:ascii="Palatino Linotype" w:hAnsi="Palatino Linotype"/>
        </w:rPr>
      </w:pPr>
      <w:r>
        <w:rPr>
          <w:rFonts w:ascii="Palatino Linotype" w:hAnsi="Palatino Linotype"/>
        </w:rPr>
        <w:t>Documento donde conste l</w:t>
      </w:r>
      <w:r w:rsidR="00E56B2F" w:rsidRPr="00FF12DC">
        <w:rPr>
          <w:rFonts w:ascii="Palatino Linotype" w:hAnsi="Palatino Linotype"/>
        </w:rPr>
        <w:t>a fecha en que se creó la Unidad de Igualdad de Género y Erradicación de la Violencia</w:t>
      </w:r>
      <w:r w:rsidR="005D7BA3">
        <w:rPr>
          <w:rFonts w:ascii="Palatino Linotype" w:hAnsi="Palatino Linotype"/>
        </w:rPr>
        <w:t>.</w:t>
      </w:r>
    </w:p>
    <w:p w:rsidR="00E56B2F" w:rsidRPr="00FF12DC" w:rsidRDefault="005D7BA3" w:rsidP="00FF12DC">
      <w:pPr>
        <w:pStyle w:val="Prrafodelista"/>
        <w:numPr>
          <w:ilvl w:val="0"/>
          <w:numId w:val="32"/>
        </w:numPr>
        <w:spacing w:line="360" w:lineRule="auto"/>
        <w:jc w:val="both"/>
        <w:rPr>
          <w:rFonts w:ascii="Palatino Linotype" w:hAnsi="Palatino Linotype"/>
        </w:rPr>
      </w:pPr>
      <w:r>
        <w:rPr>
          <w:rFonts w:ascii="Palatino Linotype" w:hAnsi="Palatino Linotype"/>
        </w:rPr>
        <w:t>Documento donde conste la</w:t>
      </w:r>
      <w:r w:rsidRPr="00FF12DC">
        <w:rPr>
          <w:rFonts w:ascii="Palatino Linotype" w:hAnsi="Palatino Linotype"/>
        </w:rPr>
        <w:t xml:space="preserve"> estructura orgánica </w:t>
      </w:r>
      <w:r>
        <w:rPr>
          <w:rFonts w:ascii="Palatino Linotype" w:hAnsi="Palatino Linotype"/>
        </w:rPr>
        <w:t xml:space="preserve">de </w:t>
      </w:r>
      <w:r w:rsidRPr="00FF12DC">
        <w:rPr>
          <w:rFonts w:ascii="Palatino Linotype" w:hAnsi="Palatino Linotype"/>
        </w:rPr>
        <w:t>la Unidad de Igualdad de Género y Erradicación de la Violencia</w:t>
      </w:r>
      <w:r w:rsidR="00E56B2F" w:rsidRPr="00FF12DC">
        <w:rPr>
          <w:rFonts w:ascii="Palatino Linotype" w:hAnsi="Palatino Linotype"/>
        </w:rPr>
        <w:t xml:space="preserve">, </w:t>
      </w:r>
      <w:r>
        <w:rPr>
          <w:rFonts w:ascii="Palatino Linotype" w:hAnsi="Palatino Linotype"/>
        </w:rPr>
        <w:t xml:space="preserve">pudiendo ser de forma enunciativa más </w:t>
      </w:r>
      <w:r>
        <w:rPr>
          <w:rFonts w:ascii="Palatino Linotype" w:hAnsi="Palatino Linotype"/>
        </w:rPr>
        <w:lastRenderedPageBreak/>
        <w:t>no limitativa, el</w:t>
      </w:r>
      <w:r w:rsidR="00E56B2F" w:rsidRPr="00FF12DC">
        <w:rPr>
          <w:rFonts w:ascii="Palatino Linotype" w:hAnsi="Palatino Linotype"/>
        </w:rPr>
        <w:t xml:space="preserve"> organigrama</w:t>
      </w:r>
      <w:r w:rsidR="00785F72">
        <w:rPr>
          <w:rFonts w:ascii="Palatino Linotype" w:hAnsi="Palatino Linotype"/>
        </w:rPr>
        <w:t>, plantilla de personal</w:t>
      </w:r>
      <w:r>
        <w:rPr>
          <w:rFonts w:ascii="Palatino Linotype" w:hAnsi="Palatino Linotype"/>
        </w:rPr>
        <w:t xml:space="preserve"> o</w:t>
      </w:r>
      <w:r w:rsidR="00785F72">
        <w:rPr>
          <w:rFonts w:ascii="Palatino Linotype" w:hAnsi="Palatino Linotype"/>
        </w:rPr>
        <w:t xml:space="preserve"> el</w:t>
      </w:r>
      <w:r w:rsidR="00E56B2F" w:rsidRPr="00FF12DC">
        <w:rPr>
          <w:rFonts w:ascii="Palatino Linotype" w:hAnsi="Palatino Linotype"/>
        </w:rPr>
        <w:t xml:space="preserve"> directorio</w:t>
      </w:r>
      <w:r w:rsidR="00785F72">
        <w:rPr>
          <w:rFonts w:ascii="Palatino Linotype" w:hAnsi="Palatino Linotype"/>
        </w:rPr>
        <w:t xml:space="preserve"> de los servidores públicos</w:t>
      </w:r>
      <w:r>
        <w:rPr>
          <w:rFonts w:ascii="Palatino Linotype" w:hAnsi="Palatino Linotype"/>
        </w:rPr>
        <w:t xml:space="preserve">, información que deberá ser </w:t>
      </w:r>
      <w:r w:rsidR="00785F72">
        <w:rPr>
          <w:rFonts w:ascii="Palatino Linotype" w:hAnsi="Palatino Linotype"/>
        </w:rPr>
        <w:t xml:space="preserve">la </w:t>
      </w:r>
      <w:r>
        <w:rPr>
          <w:rFonts w:ascii="Palatino Linotype" w:hAnsi="Palatino Linotype"/>
        </w:rPr>
        <w:t xml:space="preserve">actualizada a la fecha de la solicitud de información, es decir, al </w:t>
      </w:r>
      <w:r w:rsidR="00A97DE5">
        <w:rPr>
          <w:rFonts w:ascii="Palatino Linotype" w:hAnsi="Palatino Linotype"/>
        </w:rPr>
        <w:t>08 de noviembre de 2019.</w:t>
      </w:r>
    </w:p>
    <w:p w:rsidR="00E56B2F" w:rsidRPr="00FF12DC" w:rsidRDefault="00E56B2F" w:rsidP="00FF12DC">
      <w:pPr>
        <w:pStyle w:val="Prrafodelista"/>
        <w:numPr>
          <w:ilvl w:val="0"/>
          <w:numId w:val="32"/>
        </w:numPr>
        <w:spacing w:line="360" w:lineRule="auto"/>
        <w:jc w:val="both"/>
        <w:rPr>
          <w:rFonts w:ascii="Palatino Linotype" w:hAnsi="Palatino Linotype"/>
        </w:rPr>
      </w:pPr>
      <w:r w:rsidRPr="00FF12DC">
        <w:rPr>
          <w:rFonts w:ascii="Palatino Linotype" w:hAnsi="Palatino Linotype"/>
        </w:rPr>
        <w:t>Protocolo para la prevención y atención a víctimas de acoso y hostigamiento sexual en la Administración Pública Municipal</w:t>
      </w:r>
      <w:r w:rsidR="007E6075">
        <w:rPr>
          <w:rFonts w:ascii="Palatino Linotype" w:hAnsi="Palatino Linotype"/>
        </w:rPr>
        <w:t xml:space="preserve"> vigente a la fecha de la solicitud de información</w:t>
      </w:r>
      <w:r w:rsidRPr="00FF12DC">
        <w:rPr>
          <w:rFonts w:ascii="Palatino Linotype" w:hAnsi="Palatino Linotype"/>
        </w:rPr>
        <w:t>.</w:t>
      </w:r>
    </w:p>
    <w:p w:rsidR="00E56B2F" w:rsidRDefault="00E56B2F" w:rsidP="00FF12DC">
      <w:pPr>
        <w:pStyle w:val="Prrafodelista"/>
        <w:numPr>
          <w:ilvl w:val="0"/>
          <w:numId w:val="32"/>
        </w:numPr>
        <w:spacing w:line="360" w:lineRule="auto"/>
        <w:jc w:val="both"/>
        <w:rPr>
          <w:rFonts w:ascii="Palatino Linotype" w:hAnsi="Palatino Linotype"/>
        </w:rPr>
      </w:pPr>
      <w:r w:rsidRPr="00FF12DC">
        <w:rPr>
          <w:rFonts w:ascii="Palatino Linotype" w:hAnsi="Palatino Linotype"/>
        </w:rPr>
        <w:t>El acuerdo de cabildo mediante el cual fue aprobado el Protocolo antes citado y la gaceta de gobierno donde haya sido publicado.</w:t>
      </w:r>
    </w:p>
    <w:p w:rsidR="006962D9" w:rsidRPr="006962D9" w:rsidRDefault="006962D9" w:rsidP="006962D9">
      <w:pPr>
        <w:spacing w:after="0" w:line="360" w:lineRule="auto"/>
        <w:jc w:val="both"/>
        <w:rPr>
          <w:rFonts w:ascii="Palatino Linotype" w:hAnsi="Palatino Linotype"/>
          <w:sz w:val="24"/>
          <w:szCs w:val="24"/>
        </w:rPr>
      </w:pPr>
    </w:p>
    <w:p w:rsidR="00402DCD" w:rsidRPr="006962D9" w:rsidRDefault="00402DCD" w:rsidP="006962D9">
      <w:pPr>
        <w:spacing w:after="0" w:line="360" w:lineRule="auto"/>
        <w:jc w:val="both"/>
        <w:rPr>
          <w:rFonts w:ascii="Palatino Linotype" w:hAnsi="Palatino Linotype"/>
          <w:sz w:val="24"/>
          <w:szCs w:val="24"/>
        </w:rPr>
      </w:pPr>
      <w:r w:rsidRPr="006962D9">
        <w:rPr>
          <w:rFonts w:ascii="Palatino Linotype" w:hAnsi="Palatino Linotype"/>
          <w:sz w:val="24"/>
          <w:szCs w:val="24"/>
        </w:rPr>
        <w:t>Para el caso de la clasificación de la información, se deberá emitir y notificar a la recurrente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402DCD" w:rsidRPr="006962D9" w:rsidRDefault="00402DCD" w:rsidP="006962D9">
      <w:pPr>
        <w:spacing w:after="0" w:line="360" w:lineRule="auto"/>
        <w:jc w:val="both"/>
        <w:rPr>
          <w:rFonts w:ascii="Palatino Linotype" w:hAnsi="Palatino Linotype"/>
          <w:sz w:val="24"/>
          <w:szCs w:val="24"/>
        </w:rPr>
      </w:pPr>
    </w:p>
    <w:p w:rsidR="006962D9" w:rsidRPr="006962D9" w:rsidRDefault="006962D9" w:rsidP="006962D9">
      <w:pPr>
        <w:spacing w:after="0" w:line="360" w:lineRule="auto"/>
        <w:jc w:val="both"/>
        <w:rPr>
          <w:rFonts w:ascii="Palatino Linotype" w:hAnsi="Palatino Linotype"/>
          <w:sz w:val="24"/>
          <w:szCs w:val="24"/>
        </w:rPr>
      </w:pPr>
      <w:r w:rsidRPr="006962D9">
        <w:rPr>
          <w:rFonts w:ascii="Palatino Linotype" w:hAnsi="Palatino Linotype"/>
          <w:sz w:val="24"/>
          <w:szCs w:val="24"/>
        </w:rPr>
        <w:t>En caso de no contar con la totalidad de la información, el Comité de Transparencia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943C14" w:rsidRPr="006962D9" w:rsidRDefault="00943C14" w:rsidP="00402DCD">
      <w:pPr>
        <w:spacing w:after="0" w:line="360" w:lineRule="auto"/>
        <w:jc w:val="both"/>
        <w:rPr>
          <w:rFonts w:ascii="Palatino Linotype" w:hAnsi="Palatino Linotype"/>
          <w:sz w:val="24"/>
          <w:szCs w:val="24"/>
        </w:rPr>
      </w:pPr>
    </w:p>
    <w:p w:rsidR="00402DCD" w:rsidRPr="00611A7D" w:rsidRDefault="00402DCD" w:rsidP="00402DCD">
      <w:pPr>
        <w:spacing w:after="0" w:line="360" w:lineRule="auto"/>
        <w:jc w:val="both"/>
        <w:rPr>
          <w:rFonts w:ascii="Palatino Linotype" w:eastAsia="Times New Roman" w:hAnsi="Palatino Linotype" w:cs="Arial"/>
          <w:sz w:val="24"/>
          <w:szCs w:val="24"/>
        </w:rPr>
      </w:pPr>
      <w:r w:rsidRPr="00611A7D">
        <w:rPr>
          <w:rFonts w:ascii="Palatino Linotype" w:eastAsia="Times New Roman" w:hAnsi="Palatino Linotype" w:cs="Arial"/>
          <w:b/>
          <w:bCs/>
          <w:sz w:val="24"/>
          <w:szCs w:val="24"/>
        </w:rPr>
        <w:lastRenderedPageBreak/>
        <w:t xml:space="preserve">TERCERO. Notifíquese </w:t>
      </w:r>
      <w:r w:rsidRPr="00611A7D">
        <w:rPr>
          <w:rFonts w:ascii="Palatino Linotype" w:eastAsia="Times New Roman" w:hAnsi="Palatino Linotype" w:cs="Arial"/>
          <w:bCs/>
          <w:sz w:val="24"/>
          <w:szCs w:val="24"/>
        </w:rPr>
        <w:t>la presente resolución vía SAIMEX,</w:t>
      </w:r>
      <w:r w:rsidRPr="00611A7D">
        <w:rPr>
          <w:rFonts w:ascii="Palatino Linotype" w:eastAsia="Times New Roman" w:hAnsi="Palatino Linotype" w:cs="Arial"/>
          <w:sz w:val="24"/>
          <w:szCs w:val="24"/>
        </w:rPr>
        <w:t xml:space="preserve"> </w:t>
      </w:r>
      <w:r w:rsidRPr="00611A7D">
        <w:rPr>
          <w:rFonts w:ascii="Palatino Linotype" w:eastAsia="Times New Roman" w:hAnsi="Palatino Linotype" w:cs="Arial"/>
          <w:bCs/>
          <w:sz w:val="24"/>
          <w:szCs w:val="24"/>
        </w:rPr>
        <w:t>al Titular de la Unidad de Transparencia del</w:t>
      </w:r>
      <w:r w:rsidR="00340ADC">
        <w:rPr>
          <w:rFonts w:ascii="Palatino Linotype" w:eastAsia="Times New Roman" w:hAnsi="Palatino Linotype" w:cs="Arial"/>
          <w:bCs/>
          <w:sz w:val="24"/>
          <w:szCs w:val="24"/>
        </w:rPr>
        <w:t xml:space="preserve"> </w:t>
      </w:r>
      <w:r w:rsidRPr="00611A7D">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611A7D">
        <w:rPr>
          <w:rFonts w:ascii="Palatino Linotype" w:eastAsia="Times New Roman" w:hAnsi="Palatino Linotype" w:cs="Arial"/>
          <w:sz w:val="24"/>
          <w:szCs w:val="24"/>
        </w:rPr>
        <w:t xml:space="preserve"> tal y como lo disponen los artículos 198 y 199 de la citada ley. </w:t>
      </w:r>
    </w:p>
    <w:p w:rsidR="00402DCD" w:rsidRPr="00611A7D" w:rsidRDefault="00402DCD" w:rsidP="00402DCD">
      <w:pPr>
        <w:spacing w:after="0" w:line="360" w:lineRule="auto"/>
        <w:jc w:val="both"/>
        <w:rPr>
          <w:rFonts w:ascii="Palatino Linotype" w:eastAsia="Times New Roman" w:hAnsi="Palatino Linotype" w:cs="Arial"/>
          <w:sz w:val="24"/>
          <w:szCs w:val="24"/>
        </w:rPr>
      </w:pPr>
    </w:p>
    <w:p w:rsidR="00402DCD" w:rsidRPr="00611A7D" w:rsidRDefault="00402DCD" w:rsidP="00402DCD">
      <w:pPr>
        <w:spacing w:after="0" w:line="360" w:lineRule="auto"/>
        <w:jc w:val="both"/>
        <w:rPr>
          <w:rFonts w:ascii="Palatino Linotype" w:hAnsi="Palatino Linotype" w:cs="Arial"/>
          <w:bCs/>
          <w:sz w:val="24"/>
          <w:szCs w:val="24"/>
        </w:rPr>
      </w:pPr>
      <w:r w:rsidRPr="00611A7D">
        <w:rPr>
          <w:rFonts w:ascii="Palatino Linotype" w:eastAsia="Times New Roman" w:hAnsi="Palatino Linotype" w:cs="Arial"/>
          <w:b/>
          <w:sz w:val="24"/>
          <w:szCs w:val="24"/>
        </w:rPr>
        <w:t xml:space="preserve">CUARTO. </w:t>
      </w:r>
      <w:r w:rsidRPr="00611A7D">
        <w:rPr>
          <w:rFonts w:ascii="Palatino Linotype" w:hAnsi="Palatino Linotype" w:cs="Arial"/>
          <w:sz w:val="24"/>
          <w:szCs w:val="24"/>
        </w:rPr>
        <w:t xml:space="preserve">Notifíquese </w:t>
      </w:r>
      <w:r w:rsidRPr="00611A7D">
        <w:rPr>
          <w:rFonts w:ascii="Palatino Linotype" w:hAnsi="Palatino Linotype" w:cs="Arial"/>
          <w:bCs/>
          <w:sz w:val="24"/>
          <w:szCs w:val="24"/>
        </w:rPr>
        <w:t>al Recurrente</w:t>
      </w:r>
      <w:r w:rsidRPr="00611A7D">
        <w:rPr>
          <w:rFonts w:ascii="Palatino Linotype" w:hAnsi="Palatino Linotype" w:cs="Arial"/>
          <w:sz w:val="24"/>
          <w:szCs w:val="24"/>
        </w:rPr>
        <w:t xml:space="preserve"> </w:t>
      </w:r>
      <w:r w:rsidRPr="00611A7D">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7D2A7D" w:rsidRPr="007D2A7D" w:rsidRDefault="007D2A7D" w:rsidP="00402DC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446095">
        <w:rPr>
          <w:rFonts w:ascii="Palatino Linotype" w:hAnsi="Palatino Linotype" w:cs="Arial"/>
          <w:sz w:val="24"/>
          <w:szCs w:val="24"/>
        </w:rPr>
        <w:t xml:space="preserve"> CON VOTO PARTICULAR</w:t>
      </w:r>
      <w:r w:rsidRPr="007D2A7D">
        <w:rPr>
          <w:rFonts w:ascii="Palatino Linotype" w:hAnsi="Palatino Linotype" w:cs="Arial"/>
          <w:sz w:val="24"/>
          <w:szCs w:val="24"/>
        </w:rPr>
        <w:t>, JOSÉ GUADALUPE LUNA HERNÁNDEZ</w:t>
      </w:r>
      <w:r w:rsidR="004C0E2C">
        <w:rPr>
          <w:rFonts w:ascii="Palatino Linotype" w:hAnsi="Palatino Linotype" w:cs="Arial"/>
          <w:sz w:val="24"/>
          <w:szCs w:val="24"/>
        </w:rPr>
        <w:t xml:space="preserve"> CON VOTO PARTICULAR</w:t>
      </w:r>
      <w:r w:rsidRPr="007D2A7D">
        <w:rPr>
          <w:rFonts w:ascii="Palatino Linotype" w:hAnsi="Palatino Linotype" w:cs="Arial"/>
          <w:sz w:val="24"/>
          <w:szCs w:val="24"/>
        </w:rPr>
        <w:t>, JAVIER MARTÍNEZ CRUZ Y LUIS GUSTAVO PARRA NORIEGA</w:t>
      </w:r>
      <w:r w:rsidR="00446095">
        <w:rPr>
          <w:rFonts w:ascii="Palatino Linotype" w:hAnsi="Palatino Linotype" w:cs="Arial"/>
          <w:sz w:val="24"/>
          <w:szCs w:val="24"/>
        </w:rPr>
        <w:t xml:space="preserve"> CON VOTO PARTICULAR</w:t>
      </w:r>
      <w:r w:rsidRPr="007D2A7D">
        <w:rPr>
          <w:rFonts w:ascii="Palatino Linotype" w:hAnsi="Palatino Linotype" w:cs="Arial"/>
          <w:sz w:val="24"/>
          <w:szCs w:val="24"/>
        </w:rPr>
        <w:t xml:space="preserve">, </w:t>
      </w:r>
      <w:r w:rsidR="00446095">
        <w:rPr>
          <w:rFonts w:ascii="Palatino Linotype" w:hAnsi="Palatino Linotype" w:cs="Arial"/>
          <w:sz w:val="24"/>
          <w:szCs w:val="24"/>
        </w:rPr>
        <w:t>EN LA PRIMERA SESIÓN ORDINARIA CELEBRADA EL QUINCE DE ENERO DE DOS MIL VEINTE</w:t>
      </w:r>
      <w:r w:rsidRPr="007D2A7D">
        <w:rPr>
          <w:rFonts w:ascii="Palatino Linotype" w:hAnsi="Palatino Linotype" w:cs="Arial"/>
          <w:sz w:val="24"/>
          <w:szCs w:val="24"/>
        </w:rPr>
        <w:t xml:space="preserve">, ANTE EL SECRETARIO TÉCNICO DEL PLENO, ALEXIS TAPIA RAMÍREZ. </w:t>
      </w:r>
      <w:r w:rsidR="00446095">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lastRenderedPageBreak/>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lastRenderedPageBreak/>
        <w:t>Esta hoja corresponde a la resolución de fecha</w:t>
      </w:r>
      <w:r w:rsidR="004C0E2C">
        <w:rPr>
          <w:rFonts w:ascii="Palatino Linotype" w:hAnsi="Palatino Linotype" w:cs="Arial"/>
          <w:sz w:val="20"/>
          <w:szCs w:val="20"/>
        </w:rPr>
        <w:t xml:space="preserve"> </w:t>
      </w:r>
      <w:r w:rsidR="00446095">
        <w:rPr>
          <w:rFonts w:ascii="Palatino Linotype" w:hAnsi="Palatino Linotype" w:cs="Arial"/>
          <w:sz w:val="20"/>
          <w:szCs w:val="20"/>
        </w:rPr>
        <w:t>quince de enero de dos mil veinte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446095">
        <w:rPr>
          <w:rFonts w:ascii="Palatino Linotype" w:hAnsi="Palatino Linotype" w:cs="Arial"/>
          <w:bCs/>
          <w:sz w:val="20"/>
          <w:szCs w:val="20"/>
          <w:lang w:eastAsia="es-MX"/>
        </w:rPr>
        <w:t>8170</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71" w:rsidRDefault="00720B71" w:rsidP="007E2E80">
      <w:pPr>
        <w:spacing w:after="0" w:line="240" w:lineRule="auto"/>
      </w:pPr>
      <w:r>
        <w:separator/>
      </w:r>
    </w:p>
  </w:endnote>
  <w:endnote w:type="continuationSeparator" w:id="0">
    <w:p w:rsidR="00720B71" w:rsidRDefault="00720B7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68D1">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68D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68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68D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71" w:rsidRDefault="00720B71" w:rsidP="007E2E80">
      <w:pPr>
        <w:spacing w:after="0" w:line="240" w:lineRule="auto"/>
      </w:pPr>
      <w:r>
        <w:separator/>
      </w:r>
    </w:p>
  </w:footnote>
  <w:footnote w:type="continuationSeparator" w:id="0">
    <w:p w:rsidR="00720B71" w:rsidRDefault="00720B71"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1340" w:type="dxa"/>
      <w:tblInd w:w="-851" w:type="dxa"/>
      <w:tblCellMar>
        <w:left w:w="70" w:type="dxa"/>
        <w:right w:w="70" w:type="dxa"/>
      </w:tblCellMar>
      <w:tblLook w:val="04A0" w:firstRow="1" w:lastRow="0" w:firstColumn="1" w:lastColumn="0" w:noHBand="0" w:noVBand="1"/>
    </w:tblPr>
    <w:tblGrid>
      <w:gridCol w:w="7230"/>
      <w:gridCol w:w="4110"/>
    </w:tblGrid>
    <w:tr w:rsidR="00295503" w:rsidTr="008E2042">
      <w:trPr>
        <w:trHeight w:val="227"/>
      </w:trPr>
      <w:tc>
        <w:tcPr>
          <w:tcW w:w="7230"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295503" w:rsidRDefault="00295503" w:rsidP="008E2042">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0A7989">
            <w:rPr>
              <w:rFonts w:ascii="Palatino Linotype" w:hAnsi="Palatino Linotype" w:cs="Arial"/>
              <w:bCs/>
              <w:sz w:val="24"/>
              <w:lang w:eastAsia="es-MX"/>
            </w:rPr>
            <w:t>8</w:t>
          </w:r>
          <w:r w:rsidR="008E2042">
            <w:rPr>
              <w:rFonts w:ascii="Palatino Linotype" w:hAnsi="Palatino Linotype" w:cs="Arial"/>
              <w:bCs/>
              <w:sz w:val="24"/>
              <w:lang w:eastAsia="es-MX"/>
            </w:rPr>
            <w:t>74</w:t>
          </w:r>
          <w:r w:rsidR="00E3420A">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295503" w:rsidTr="008E2042">
      <w:trPr>
        <w:trHeight w:val="242"/>
      </w:trPr>
      <w:tc>
        <w:tcPr>
          <w:tcW w:w="7230"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295503" w:rsidRDefault="00E3420A" w:rsidP="008E2042">
          <w:pPr>
            <w:spacing w:after="120" w:line="256" w:lineRule="auto"/>
            <w:ind w:right="72"/>
            <w:rPr>
              <w:rFonts w:ascii="Palatino Linotype" w:hAnsi="Palatino Linotype" w:cs="Arial"/>
              <w:szCs w:val="20"/>
            </w:rPr>
          </w:pPr>
          <w:r>
            <w:rPr>
              <w:rFonts w:ascii="Palatino Linotype" w:hAnsi="Palatino Linotype" w:cs="Arial"/>
            </w:rPr>
            <w:t xml:space="preserve">Ayuntamiento de </w:t>
          </w:r>
          <w:r w:rsidR="008E2042">
            <w:rPr>
              <w:rFonts w:ascii="Palatino Linotype" w:hAnsi="Palatino Linotype" w:cs="Arial"/>
            </w:rPr>
            <w:t>Lerma</w:t>
          </w:r>
        </w:p>
      </w:tc>
    </w:tr>
    <w:tr w:rsidR="00295503" w:rsidTr="008E2042">
      <w:trPr>
        <w:trHeight w:val="342"/>
      </w:trPr>
      <w:tc>
        <w:tcPr>
          <w:tcW w:w="7230"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jc w:val="center"/>
      <w:tblLayout w:type="fixed"/>
      <w:tblCellMar>
        <w:left w:w="70" w:type="dxa"/>
        <w:right w:w="70" w:type="dxa"/>
      </w:tblCellMar>
      <w:tblLook w:val="04A0" w:firstRow="1" w:lastRow="0" w:firstColumn="1" w:lastColumn="0" w:noHBand="0" w:noVBand="1"/>
    </w:tblPr>
    <w:tblGrid>
      <w:gridCol w:w="6804"/>
      <w:gridCol w:w="4111"/>
    </w:tblGrid>
    <w:tr w:rsidR="00295503" w:rsidTr="008E2042">
      <w:trPr>
        <w:trHeight w:val="227"/>
        <w:jc w:val="center"/>
      </w:trPr>
      <w:tc>
        <w:tcPr>
          <w:tcW w:w="680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295503" w:rsidRPr="00B4142F" w:rsidRDefault="00295503" w:rsidP="008E2042">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1D0F61">
            <w:rPr>
              <w:rFonts w:ascii="Palatino Linotype" w:hAnsi="Palatino Linotype" w:cs="Arial"/>
              <w:bCs/>
              <w:sz w:val="24"/>
              <w:lang w:eastAsia="es-MX"/>
            </w:rPr>
            <w:t>8</w:t>
          </w:r>
          <w:r w:rsidR="008E2042">
            <w:rPr>
              <w:rFonts w:ascii="Palatino Linotype" w:hAnsi="Palatino Linotype" w:cs="Arial"/>
              <w:bCs/>
              <w:sz w:val="24"/>
              <w:lang w:eastAsia="es-MX"/>
            </w:rPr>
            <w:t>74</w:t>
          </w:r>
          <w:r w:rsidR="00E3420A">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295503" w:rsidTr="008E2042">
      <w:trPr>
        <w:trHeight w:val="196"/>
        <w:jc w:val="center"/>
      </w:trPr>
      <w:tc>
        <w:tcPr>
          <w:tcW w:w="6804"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111" w:type="dxa"/>
        </w:tcPr>
        <w:p w:rsidR="00295503" w:rsidRPr="00E3420A" w:rsidRDefault="006068D1" w:rsidP="00E3420A">
          <w:pPr>
            <w:spacing w:after="120" w:line="256" w:lineRule="auto"/>
            <w:ind w:right="72"/>
            <w:rPr>
              <w:rFonts w:ascii="Palatino Linotype" w:hAnsi="Palatino Linotype" w:cs="Arial"/>
            </w:rPr>
          </w:pPr>
          <w:r>
            <w:rPr>
              <w:rFonts w:ascii="Palatino Linotype" w:hAnsi="Palatino Linotype" w:cs="Arial"/>
            </w:rPr>
            <w:t>xxxx</w:t>
          </w:r>
        </w:p>
      </w:tc>
    </w:tr>
    <w:tr w:rsidR="00295503" w:rsidTr="008E2042">
      <w:trPr>
        <w:trHeight w:val="242"/>
        <w:jc w:val="center"/>
      </w:trPr>
      <w:tc>
        <w:tcPr>
          <w:tcW w:w="6804"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295503" w:rsidRPr="0022281E" w:rsidRDefault="00764E46" w:rsidP="008E2042">
          <w:pPr>
            <w:spacing w:after="120" w:line="256" w:lineRule="auto"/>
            <w:ind w:right="72"/>
            <w:rPr>
              <w:rFonts w:ascii="Palatino Linotype" w:hAnsi="Palatino Linotype" w:cs="Arial"/>
            </w:rPr>
          </w:pPr>
          <w:r>
            <w:rPr>
              <w:rFonts w:ascii="Palatino Linotype" w:hAnsi="Palatino Linotype" w:cs="Arial"/>
            </w:rPr>
            <w:t xml:space="preserve">Ayuntamiento de </w:t>
          </w:r>
          <w:r w:rsidR="008E2042">
            <w:rPr>
              <w:rFonts w:ascii="Palatino Linotype" w:hAnsi="Palatino Linotype" w:cs="Arial"/>
            </w:rPr>
            <w:t>Lerma</w:t>
          </w:r>
        </w:p>
      </w:tc>
    </w:tr>
    <w:tr w:rsidR="00295503" w:rsidTr="008E2042">
      <w:trPr>
        <w:trHeight w:val="342"/>
        <w:jc w:val="center"/>
      </w:trPr>
      <w:tc>
        <w:tcPr>
          <w:tcW w:w="6804"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17747"/>
    <w:multiLevelType w:val="hybridMultilevel"/>
    <w:tmpl w:val="F83CC7DA"/>
    <w:lvl w:ilvl="0" w:tplc="332EC2C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E5CF7"/>
    <w:multiLevelType w:val="hybridMultilevel"/>
    <w:tmpl w:val="CE681642"/>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6"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5294B75"/>
    <w:multiLevelType w:val="hybridMultilevel"/>
    <w:tmpl w:val="F6EEC3AA"/>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F06273"/>
    <w:multiLevelType w:val="hybridMultilevel"/>
    <w:tmpl w:val="1EB0C8E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D145B2"/>
    <w:multiLevelType w:val="hybridMultilevel"/>
    <w:tmpl w:val="CE681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2"/>
  </w:num>
  <w:num w:numId="5">
    <w:abstractNumId w:val="6"/>
  </w:num>
  <w:num w:numId="6">
    <w:abstractNumId w:val="5"/>
  </w:num>
  <w:num w:numId="7">
    <w:abstractNumId w:val="21"/>
  </w:num>
  <w:num w:numId="8">
    <w:abstractNumId w:val="19"/>
  </w:num>
  <w:num w:numId="9">
    <w:abstractNumId w:val="29"/>
  </w:num>
  <w:num w:numId="10">
    <w:abstractNumId w:val="7"/>
  </w:num>
  <w:num w:numId="11">
    <w:abstractNumId w:val="30"/>
  </w:num>
  <w:num w:numId="12">
    <w:abstractNumId w:val="23"/>
  </w:num>
  <w:num w:numId="13">
    <w:abstractNumId w:val="22"/>
  </w:num>
  <w:num w:numId="14">
    <w:abstractNumId w:val="14"/>
  </w:num>
  <w:num w:numId="15">
    <w:abstractNumId w:val="4"/>
  </w:num>
  <w:num w:numId="16">
    <w:abstractNumId w:val="9"/>
  </w:num>
  <w:num w:numId="17">
    <w:abstractNumId w:val="18"/>
  </w:num>
  <w:num w:numId="18">
    <w:abstractNumId w:val="27"/>
  </w:num>
  <w:num w:numId="19">
    <w:abstractNumId w:val="25"/>
  </w:num>
  <w:num w:numId="20">
    <w:abstractNumId w:val="16"/>
  </w:num>
  <w:num w:numId="21">
    <w:abstractNumId w:val="11"/>
  </w:num>
  <w:num w:numId="22">
    <w:abstractNumId w:val="17"/>
  </w:num>
  <w:num w:numId="23">
    <w:abstractNumId w:val="13"/>
  </w:num>
  <w:num w:numId="24">
    <w:abstractNumId w:val="20"/>
  </w:num>
  <w:num w:numId="25">
    <w:abstractNumId w:val="12"/>
  </w:num>
  <w:num w:numId="26">
    <w:abstractNumId w:val="10"/>
  </w:num>
  <w:num w:numId="27">
    <w:abstractNumId w:val="31"/>
  </w:num>
  <w:num w:numId="28">
    <w:abstractNumId w:val="2"/>
  </w:num>
  <w:num w:numId="29">
    <w:abstractNumId w:val="15"/>
  </w:num>
  <w:num w:numId="30">
    <w:abstractNumId w:val="24"/>
  </w:num>
  <w:num w:numId="31">
    <w:abstractNumId w:val="28"/>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1A1"/>
    <w:rsid w:val="00011DF7"/>
    <w:rsid w:val="000146A2"/>
    <w:rsid w:val="00014D80"/>
    <w:rsid w:val="000158D7"/>
    <w:rsid w:val="00015A5D"/>
    <w:rsid w:val="000162E3"/>
    <w:rsid w:val="0001668C"/>
    <w:rsid w:val="00020FB0"/>
    <w:rsid w:val="00022E72"/>
    <w:rsid w:val="0002549D"/>
    <w:rsid w:val="00025CE7"/>
    <w:rsid w:val="000276E0"/>
    <w:rsid w:val="00031486"/>
    <w:rsid w:val="00032DBD"/>
    <w:rsid w:val="00033949"/>
    <w:rsid w:val="00033A37"/>
    <w:rsid w:val="000353D4"/>
    <w:rsid w:val="00037385"/>
    <w:rsid w:val="000402BD"/>
    <w:rsid w:val="00041CEC"/>
    <w:rsid w:val="00042292"/>
    <w:rsid w:val="00043018"/>
    <w:rsid w:val="00046BD6"/>
    <w:rsid w:val="00050A9C"/>
    <w:rsid w:val="00051311"/>
    <w:rsid w:val="00053C9B"/>
    <w:rsid w:val="00057570"/>
    <w:rsid w:val="00061447"/>
    <w:rsid w:val="0006592E"/>
    <w:rsid w:val="000674FE"/>
    <w:rsid w:val="0007328F"/>
    <w:rsid w:val="000738E9"/>
    <w:rsid w:val="0008042E"/>
    <w:rsid w:val="0008795C"/>
    <w:rsid w:val="0009497C"/>
    <w:rsid w:val="00095218"/>
    <w:rsid w:val="00095BEB"/>
    <w:rsid w:val="000A27C1"/>
    <w:rsid w:val="000A3FE4"/>
    <w:rsid w:val="000A7188"/>
    <w:rsid w:val="000A7989"/>
    <w:rsid w:val="000B0485"/>
    <w:rsid w:val="000B377B"/>
    <w:rsid w:val="000B6962"/>
    <w:rsid w:val="000B7CC1"/>
    <w:rsid w:val="000C0566"/>
    <w:rsid w:val="000C3FE2"/>
    <w:rsid w:val="000D203E"/>
    <w:rsid w:val="000D47AB"/>
    <w:rsid w:val="000D65BE"/>
    <w:rsid w:val="000D6982"/>
    <w:rsid w:val="000D756B"/>
    <w:rsid w:val="000E48EE"/>
    <w:rsid w:val="000E7C0A"/>
    <w:rsid w:val="000F199E"/>
    <w:rsid w:val="000F3722"/>
    <w:rsid w:val="000F5647"/>
    <w:rsid w:val="000F74DE"/>
    <w:rsid w:val="001001E8"/>
    <w:rsid w:val="0010112C"/>
    <w:rsid w:val="001050A6"/>
    <w:rsid w:val="001055A6"/>
    <w:rsid w:val="00106160"/>
    <w:rsid w:val="001110E1"/>
    <w:rsid w:val="00114C3C"/>
    <w:rsid w:val="00116B4C"/>
    <w:rsid w:val="00117668"/>
    <w:rsid w:val="00122CD0"/>
    <w:rsid w:val="00122FA2"/>
    <w:rsid w:val="0012508A"/>
    <w:rsid w:val="0013112A"/>
    <w:rsid w:val="001324C5"/>
    <w:rsid w:val="00132E9F"/>
    <w:rsid w:val="00134C6E"/>
    <w:rsid w:val="00135494"/>
    <w:rsid w:val="0013562E"/>
    <w:rsid w:val="0013615C"/>
    <w:rsid w:val="001367E5"/>
    <w:rsid w:val="00136A4D"/>
    <w:rsid w:val="00140AE4"/>
    <w:rsid w:val="00140C2F"/>
    <w:rsid w:val="0014191F"/>
    <w:rsid w:val="00143AC6"/>
    <w:rsid w:val="0014447C"/>
    <w:rsid w:val="00147DC5"/>
    <w:rsid w:val="001510E8"/>
    <w:rsid w:val="001552E9"/>
    <w:rsid w:val="00155A17"/>
    <w:rsid w:val="00162176"/>
    <w:rsid w:val="00163A72"/>
    <w:rsid w:val="00165929"/>
    <w:rsid w:val="00166046"/>
    <w:rsid w:val="00166FB7"/>
    <w:rsid w:val="00175D49"/>
    <w:rsid w:val="00180F6B"/>
    <w:rsid w:val="00182616"/>
    <w:rsid w:val="00184156"/>
    <w:rsid w:val="00185B2E"/>
    <w:rsid w:val="0018661B"/>
    <w:rsid w:val="00187B39"/>
    <w:rsid w:val="00195C41"/>
    <w:rsid w:val="001A1418"/>
    <w:rsid w:val="001A17B9"/>
    <w:rsid w:val="001A4700"/>
    <w:rsid w:val="001C08CD"/>
    <w:rsid w:val="001C0CE9"/>
    <w:rsid w:val="001C145C"/>
    <w:rsid w:val="001C48A7"/>
    <w:rsid w:val="001C6BED"/>
    <w:rsid w:val="001D0F61"/>
    <w:rsid w:val="001D1103"/>
    <w:rsid w:val="001D6114"/>
    <w:rsid w:val="001D61D0"/>
    <w:rsid w:val="001E07AC"/>
    <w:rsid w:val="001E1E50"/>
    <w:rsid w:val="001E40B4"/>
    <w:rsid w:val="001E60B7"/>
    <w:rsid w:val="001E6163"/>
    <w:rsid w:val="001F021C"/>
    <w:rsid w:val="001F2BC9"/>
    <w:rsid w:val="001F4BD9"/>
    <w:rsid w:val="001F50B1"/>
    <w:rsid w:val="001F5577"/>
    <w:rsid w:val="001F60B6"/>
    <w:rsid w:val="001F7259"/>
    <w:rsid w:val="001F7A32"/>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3677E"/>
    <w:rsid w:val="002402B8"/>
    <w:rsid w:val="002450D9"/>
    <w:rsid w:val="00247E1F"/>
    <w:rsid w:val="00250E12"/>
    <w:rsid w:val="00254523"/>
    <w:rsid w:val="002572CF"/>
    <w:rsid w:val="0026175D"/>
    <w:rsid w:val="0026191D"/>
    <w:rsid w:val="002667B2"/>
    <w:rsid w:val="00271762"/>
    <w:rsid w:val="00275E42"/>
    <w:rsid w:val="0027680C"/>
    <w:rsid w:val="00280B7B"/>
    <w:rsid w:val="00282690"/>
    <w:rsid w:val="002842C8"/>
    <w:rsid w:val="0028585E"/>
    <w:rsid w:val="00287072"/>
    <w:rsid w:val="00290397"/>
    <w:rsid w:val="00290E5F"/>
    <w:rsid w:val="00293277"/>
    <w:rsid w:val="00295503"/>
    <w:rsid w:val="0029694E"/>
    <w:rsid w:val="00296F49"/>
    <w:rsid w:val="002A1927"/>
    <w:rsid w:val="002A6F1B"/>
    <w:rsid w:val="002B1519"/>
    <w:rsid w:val="002B3CDB"/>
    <w:rsid w:val="002B4E64"/>
    <w:rsid w:val="002B5B14"/>
    <w:rsid w:val="002B5C2A"/>
    <w:rsid w:val="002C2A2E"/>
    <w:rsid w:val="002C2D19"/>
    <w:rsid w:val="002C3A77"/>
    <w:rsid w:val="002C529C"/>
    <w:rsid w:val="002C56B2"/>
    <w:rsid w:val="002D4991"/>
    <w:rsid w:val="002D6110"/>
    <w:rsid w:val="002D68CD"/>
    <w:rsid w:val="002E22D8"/>
    <w:rsid w:val="002E2D4C"/>
    <w:rsid w:val="002E6036"/>
    <w:rsid w:val="002F044A"/>
    <w:rsid w:val="002F0481"/>
    <w:rsid w:val="002F160B"/>
    <w:rsid w:val="002F17FB"/>
    <w:rsid w:val="002F47D7"/>
    <w:rsid w:val="00301348"/>
    <w:rsid w:val="00301A01"/>
    <w:rsid w:val="003021C1"/>
    <w:rsid w:val="0030250D"/>
    <w:rsid w:val="00303FAF"/>
    <w:rsid w:val="00304C91"/>
    <w:rsid w:val="00307784"/>
    <w:rsid w:val="00310760"/>
    <w:rsid w:val="00310802"/>
    <w:rsid w:val="00311191"/>
    <w:rsid w:val="0031181E"/>
    <w:rsid w:val="00312E7E"/>
    <w:rsid w:val="00315192"/>
    <w:rsid w:val="00326D4D"/>
    <w:rsid w:val="00327932"/>
    <w:rsid w:val="00336EDF"/>
    <w:rsid w:val="00340ADC"/>
    <w:rsid w:val="00344583"/>
    <w:rsid w:val="00344AC7"/>
    <w:rsid w:val="00347674"/>
    <w:rsid w:val="00353E3E"/>
    <w:rsid w:val="00360745"/>
    <w:rsid w:val="00363308"/>
    <w:rsid w:val="00365ADF"/>
    <w:rsid w:val="00366574"/>
    <w:rsid w:val="003666BD"/>
    <w:rsid w:val="00366D3F"/>
    <w:rsid w:val="00374450"/>
    <w:rsid w:val="00375FF5"/>
    <w:rsid w:val="0037690F"/>
    <w:rsid w:val="00382724"/>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6B46"/>
    <w:rsid w:val="003C71D4"/>
    <w:rsid w:val="003C74AF"/>
    <w:rsid w:val="003D16FF"/>
    <w:rsid w:val="003D2672"/>
    <w:rsid w:val="003D27CF"/>
    <w:rsid w:val="003D2A1C"/>
    <w:rsid w:val="003D3420"/>
    <w:rsid w:val="003E08B9"/>
    <w:rsid w:val="003E0C9D"/>
    <w:rsid w:val="003E11C8"/>
    <w:rsid w:val="003E4E42"/>
    <w:rsid w:val="003F046E"/>
    <w:rsid w:val="00400852"/>
    <w:rsid w:val="00402DCD"/>
    <w:rsid w:val="0040406E"/>
    <w:rsid w:val="00404F9D"/>
    <w:rsid w:val="00405574"/>
    <w:rsid w:val="00406B61"/>
    <w:rsid w:val="00407282"/>
    <w:rsid w:val="00410A41"/>
    <w:rsid w:val="00411B3E"/>
    <w:rsid w:val="004132B8"/>
    <w:rsid w:val="00417EBD"/>
    <w:rsid w:val="00420EDD"/>
    <w:rsid w:val="00423C27"/>
    <w:rsid w:val="00423E44"/>
    <w:rsid w:val="00424A8A"/>
    <w:rsid w:val="00425199"/>
    <w:rsid w:val="004300C8"/>
    <w:rsid w:val="00432724"/>
    <w:rsid w:val="00435B99"/>
    <w:rsid w:val="00443826"/>
    <w:rsid w:val="004440A9"/>
    <w:rsid w:val="00444E88"/>
    <w:rsid w:val="00446095"/>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296"/>
    <w:rsid w:val="004868ED"/>
    <w:rsid w:val="00487B8B"/>
    <w:rsid w:val="00496755"/>
    <w:rsid w:val="00497B93"/>
    <w:rsid w:val="004A0A0B"/>
    <w:rsid w:val="004A51FF"/>
    <w:rsid w:val="004B05FA"/>
    <w:rsid w:val="004B2C63"/>
    <w:rsid w:val="004B4721"/>
    <w:rsid w:val="004C0E2C"/>
    <w:rsid w:val="004C2C30"/>
    <w:rsid w:val="004C51D1"/>
    <w:rsid w:val="004C5A29"/>
    <w:rsid w:val="004C7E18"/>
    <w:rsid w:val="004D6AB3"/>
    <w:rsid w:val="004E103F"/>
    <w:rsid w:val="004E3718"/>
    <w:rsid w:val="004E6BB7"/>
    <w:rsid w:val="004F239F"/>
    <w:rsid w:val="004F4660"/>
    <w:rsid w:val="004F483E"/>
    <w:rsid w:val="004F4B8F"/>
    <w:rsid w:val="005008B6"/>
    <w:rsid w:val="0050104C"/>
    <w:rsid w:val="005023F4"/>
    <w:rsid w:val="005033CC"/>
    <w:rsid w:val="005035B2"/>
    <w:rsid w:val="0050556D"/>
    <w:rsid w:val="00512824"/>
    <w:rsid w:val="00516BA8"/>
    <w:rsid w:val="005209D1"/>
    <w:rsid w:val="0052393E"/>
    <w:rsid w:val="00524986"/>
    <w:rsid w:val="00525BC2"/>
    <w:rsid w:val="005328FB"/>
    <w:rsid w:val="00533FBC"/>
    <w:rsid w:val="00537419"/>
    <w:rsid w:val="00537D90"/>
    <w:rsid w:val="00541B17"/>
    <w:rsid w:val="00541B19"/>
    <w:rsid w:val="005421C7"/>
    <w:rsid w:val="00542DC1"/>
    <w:rsid w:val="005448FA"/>
    <w:rsid w:val="00544D3F"/>
    <w:rsid w:val="00557A8F"/>
    <w:rsid w:val="00560791"/>
    <w:rsid w:val="005636C7"/>
    <w:rsid w:val="00566699"/>
    <w:rsid w:val="00567185"/>
    <w:rsid w:val="00572DFB"/>
    <w:rsid w:val="005733EB"/>
    <w:rsid w:val="00574300"/>
    <w:rsid w:val="0057534D"/>
    <w:rsid w:val="00577E1C"/>
    <w:rsid w:val="00584792"/>
    <w:rsid w:val="0058697B"/>
    <w:rsid w:val="00590126"/>
    <w:rsid w:val="005904F0"/>
    <w:rsid w:val="00591988"/>
    <w:rsid w:val="00592D52"/>
    <w:rsid w:val="00596856"/>
    <w:rsid w:val="005A117C"/>
    <w:rsid w:val="005A6F55"/>
    <w:rsid w:val="005B2A31"/>
    <w:rsid w:val="005B50EC"/>
    <w:rsid w:val="005B6302"/>
    <w:rsid w:val="005B77F6"/>
    <w:rsid w:val="005B7E58"/>
    <w:rsid w:val="005C04BF"/>
    <w:rsid w:val="005C057C"/>
    <w:rsid w:val="005C5D3C"/>
    <w:rsid w:val="005C76D5"/>
    <w:rsid w:val="005D02A8"/>
    <w:rsid w:val="005D5EEB"/>
    <w:rsid w:val="005D6173"/>
    <w:rsid w:val="005D7BA3"/>
    <w:rsid w:val="005E3F88"/>
    <w:rsid w:val="005F0A37"/>
    <w:rsid w:val="005F698E"/>
    <w:rsid w:val="0060031A"/>
    <w:rsid w:val="00600575"/>
    <w:rsid w:val="00600D67"/>
    <w:rsid w:val="00604FFE"/>
    <w:rsid w:val="0060633A"/>
    <w:rsid w:val="006068D1"/>
    <w:rsid w:val="006073A6"/>
    <w:rsid w:val="006105E0"/>
    <w:rsid w:val="006110C1"/>
    <w:rsid w:val="006149F1"/>
    <w:rsid w:val="00617C09"/>
    <w:rsid w:val="00620FA6"/>
    <w:rsid w:val="00622912"/>
    <w:rsid w:val="00622EBF"/>
    <w:rsid w:val="006246A5"/>
    <w:rsid w:val="00624B90"/>
    <w:rsid w:val="0062686A"/>
    <w:rsid w:val="00627F9C"/>
    <w:rsid w:val="00631F1B"/>
    <w:rsid w:val="00631FF9"/>
    <w:rsid w:val="006333B7"/>
    <w:rsid w:val="00633C3F"/>
    <w:rsid w:val="00634607"/>
    <w:rsid w:val="00640D07"/>
    <w:rsid w:val="00642541"/>
    <w:rsid w:val="00644363"/>
    <w:rsid w:val="006446F7"/>
    <w:rsid w:val="00646CFB"/>
    <w:rsid w:val="00647B4C"/>
    <w:rsid w:val="00650E10"/>
    <w:rsid w:val="00652906"/>
    <w:rsid w:val="00653751"/>
    <w:rsid w:val="0065519D"/>
    <w:rsid w:val="00656672"/>
    <w:rsid w:val="00661204"/>
    <w:rsid w:val="006621E2"/>
    <w:rsid w:val="00664D8F"/>
    <w:rsid w:val="00664EBB"/>
    <w:rsid w:val="0066596B"/>
    <w:rsid w:val="0066610F"/>
    <w:rsid w:val="00673D7C"/>
    <w:rsid w:val="006749FD"/>
    <w:rsid w:val="00676C32"/>
    <w:rsid w:val="006809F5"/>
    <w:rsid w:val="00680D39"/>
    <w:rsid w:val="00684DCF"/>
    <w:rsid w:val="00686046"/>
    <w:rsid w:val="0068613E"/>
    <w:rsid w:val="006866ED"/>
    <w:rsid w:val="00690F01"/>
    <w:rsid w:val="00692BD6"/>
    <w:rsid w:val="006962D9"/>
    <w:rsid w:val="0069776E"/>
    <w:rsid w:val="006A0513"/>
    <w:rsid w:val="006A0ADE"/>
    <w:rsid w:val="006A1F7F"/>
    <w:rsid w:val="006A29C5"/>
    <w:rsid w:val="006A3A54"/>
    <w:rsid w:val="006A561E"/>
    <w:rsid w:val="006A729B"/>
    <w:rsid w:val="006B070F"/>
    <w:rsid w:val="006B169F"/>
    <w:rsid w:val="006B4698"/>
    <w:rsid w:val="006B4DFD"/>
    <w:rsid w:val="006B5E24"/>
    <w:rsid w:val="006C43CE"/>
    <w:rsid w:val="006C6176"/>
    <w:rsid w:val="006C79C8"/>
    <w:rsid w:val="006D01DC"/>
    <w:rsid w:val="006D1136"/>
    <w:rsid w:val="006D254A"/>
    <w:rsid w:val="006D32A7"/>
    <w:rsid w:val="006D4AD4"/>
    <w:rsid w:val="006D780C"/>
    <w:rsid w:val="006E0601"/>
    <w:rsid w:val="006E2D42"/>
    <w:rsid w:val="006E40E1"/>
    <w:rsid w:val="006E546F"/>
    <w:rsid w:val="006E6394"/>
    <w:rsid w:val="006E6C81"/>
    <w:rsid w:val="006F18FD"/>
    <w:rsid w:val="006F2785"/>
    <w:rsid w:val="006F4103"/>
    <w:rsid w:val="006F4A35"/>
    <w:rsid w:val="00700170"/>
    <w:rsid w:val="00702DB6"/>
    <w:rsid w:val="00705D1C"/>
    <w:rsid w:val="00705EC4"/>
    <w:rsid w:val="00707021"/>
    <w:rsid w:val="0070728A"/>
    <w:rsid w:val="0071210D"/>
    <w:rsid w:val="007158BB"/>
    <w:rsid w:val="00717FEF"/>
    <w:rsid w:val="00720B71"/>
    <w:rsid w:val="007218F2"/>
    <w:rsid w:val="00724F5C"/>
    <w:rsid w:val="007256EA"/>
    <w:rsid w:val="00730DE0"/>
    <w:rsid w:val="00732584"/>
    <w:rsid w:val="0073345D"/>
    <w:rsid w:val="0073758D"/>
    <w:rsid w:val="0074093D"/>
    <w:rsid w:val="00751BBC"/>
    <w:rsid w:val="0075676A"/>
    <w:rsid w:val="0076120C"/>
    <w:rsid w:val="007619EE"/>
    <w:rsid w:val="00763D73"/>
    <w:rsid w:val="007640C8"/>
    <w:rsid w:val="00764E46"/>
    <w:rsid w:val="007676AF"/>
    <w:rsid w:val="00767E91"/>
    <w:rsid w:val="007718D6"/>
    <w:rsid w:val="00776087"/>
    <w:rsid w:val="00785145"/>
    <w:rsid w:val="00785F72"/>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4552"/>
    <w:rsid w:val="007C7C37"/>
    <w:rsid w:val="007D0CFF"/>
    <w:rsid w:val="007D1B1B"/>
    <w:rsid w:val="007D2A7D"/>
    <w:rsid w:val="007D4A6F"/>
    <w:rsid w:val="007D79C6"/>
    <w:rsid w:val="007E2E80"/>
    <w:rsid w:val="007E39F7"/>
    <w:rsid w:val="007E6075"/>
    <w:rsid w:val="007E738C"/>
    <w:rsid w:val="007F054B"/>
    <w:rsid w:val="007F1984"/>
    <w:rsid w:val="007F282E"/>
    <w:rsid w:val="007F4CDF"/>
    <w:rsid w:val="007F7846"/>
    <w:rsid w:val="0080248F"/>
    <w:rsid w:val="008041A7"/>
    <w:rsid w:val="008103B2"/>
    <w:rsid w:val="0081117B"/>
    <w:rsid w:val="0081299A"/>
    <w:rsid w:val="00821898"/>
    <w:rsid w:val="00823454"/>
    <w:rsid w:val="00824894"/>
    <w:rsid w:val="00827BAF"/>
    <w:rsid w:val="00830360"/>
    <w:rsid w:val="008307E5"/>
    <w:rsid w:val="00836B75"/>
    <w:rsid w:val="00840BAD"/>
    <w:rsid w:val="0084469C"/>
    <w:rsid w:val="008455DC"/>
    <w:rsid w:val="00847F5A"/>
    <w:rsid w:val="00853CC3"/>
    <w:rsid w:val="00854307"/>
    <w:rsid w:val="008659E5"/>
    <w:rsid w:val="00867D56"/>
    <w:rsid w:val="00870064"/>
    <w:rsid w:val="008725EE"/>
    <w:rsid w:val="00872B5C"/>
    <w:rsid w:val="008731D1"/>
    <w:rsid w:val="008827DE"/>
    <w:rsid w:val="00882E8A"/>
    <w:rsid w:val="0088402D"/>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E2042"/>
    <w:rsid w:val="008E34F3"/>
    <w:rsid w:val="008E572E"/>
    <w:rsid w:val="008E63C2"/>
    <w:rsid w:val="008E7522"/>
    <w:rsid w:val="008F3BD7"/>
    <w:rsid w:val="00903599"/>
    <w:rsid w:val="00905CE1"/>
    <w:rsid w:val="00907584"/>
    <w:rsid w:val="00910396"/>
    <w:rsid w:val="00912536"/>
    <w:rsid w:val="009151CF"/>
    <w:rsid w:val="009272C6"/>
    <w:rsid w:val="00930F68"/>
    <w:rsid w:val="00932791"/>
    <w:rsid w:val="00933415"/>
    <w:rsid w:val="009339EA"/>
    <w:rsid w:val="009339EC"/>
    <w:rsid w:val="00936CE7"/>
    <w:rsid w:val="0093743A"/>
    <w:rsid w:val="00942349"/>
    <w:rsid w:val="00943711"/>
    <w:rsid w:val="00943B37"/>
    <w:rsid w:val="00943C14"/>
    <w:rsid w:val="00950ABA"/>
    <w:rsid w:val="00954DC1"/>
    <w:rsid w:val="009556DD"/>
    <w:rsid w:val="00960D8F"/>
    <w:rsid w:val="0096284F"/>
    <w:rsid w:val="0096359D"/>
    <w:rsid w:val="009664C0"/>
    <w:rsid w:val="00967024"/>
    <w:rsid w:val="00967270"/>
    <w:rsid w:val="0097416D"/>
    <w:rsid w:val="009759F9"/>
    <w:rsid w:val="00984CA8"/>
    <w:rsid w:val="00985233"/>
    <w:rsid w:val="009859B8"/>
    <w:rsid w:val="0098609E"/>
    <w:rsid w:val="0099000E"/>
    <w:rsid w:val="009908A1"/>
    <w:rsid w:val="00992548"/>
    <w:rsid w:val="009949F2"/>
    <w:rsid w:val="00994FE7"/>
    <w:rsid w:val="009954B4"/>
    <w:rsid w:val="009962BD"/>
    <w:rsid w:val="009962CF"/>
    <w:rsid w:val="009A4A97"/>
    <w:rsid w:val="009A778F"/>
    <w:rsid w:val="009A7CBC"/>
    <w:rsid w:val="009B205B"/>
    <w:rsid w:val="009B3592"/>
    <w:rsid w:val="009B3F62"/>
    <w:rsid w:val="009B70C3"/>
    <w:rsid w:val="009B7245"/>
    <w:rsid w:val="009C031E"/>
    <w:rsid w:val="009C0B28"/>
    <w:rsid w:val="009C1EA2"/>
    <w:rsid w:val="009C3FC7"/>
    <w:rsid w:val="009C67FA"/>
    <w:rsid w:val="009D01EE"/>
    <w:rsid w:val="009D1E63"/>
    <w:rsid w:val="009D34B0"/>
    <w:rsid w:val="009D494F"/>
    <w:rsid w:val="009D4DDB"/>
    <w:rsid w:val="009D56AA"/>
    <w:rsid w:val="009E0089"/>
    <w:rsid w:val="009E2FAF"/>
    <w:rsid w:val="009E396D"/>
    <w:rsid w:val="009E43E1"/>
    <w:rsid w:val="009E7128"/>
    <w:rsid w:val="009F223E"/>
    <w:rsid w:val="009F7B22"/>
    <w:rsid w:val="00A01F59"/>
    <w:rsid w:val="00A06551"/>
    <w:rsid w:val="00A066AD"/>
    <w:rsid w:val="00A10000"/>
    <w:rsid w:val="00A1069F"/>
    <w:rsid w:val="00A10775"/>
    <w:rsid w:val="00A10DEC"/>
    <w:rsid w:val="00A112EB"/>
    <w:rsid w:val="00A151AA"/>
    <w:rsid w:val="00A2199B"/>
    <w:rsid w:val="00A22469"/>
    <w:rsid w:val="00A239BB"/>
    <w:rsid w:val="00A25EBC"/>
    <w:rsid w:val="00A26AC5"/>
    <w:rsid w:val="00A27EF6"/>
    <w:rsid w:val="00A3134D"/>
    <w:rsid w:val="00A32F36"/>
    <w:rsid w:val="00A33B3A"/>
    <w:rsid w:val="00A35B31"/>
    <w:rsid w:val="00A4214D"/>
    <w:rsid w:val="00A62727"/>
    <w:rsid w:val="00A65C29"/>
    <w:rsid w:val="00A666CE"/>
    <w:rsid w:val="00A742E5"/>
    <w:rsid w:val="00A74344"/>
    <w:rsid w:val="00A755C6"/>
    <w:rsid w:val="00A80852"/>
    <w:rsid w:val="00A823B0"/>
    <w:rsid w:val="00A854D1"/>
    <w:rsid w:val="00A871F0"/>
    <w:rsid w:val="00A9102C"/>
    <w:rsid w:val="00A9172E"/>
    <w:rsid w:val="00A94B95"/>
    <w:rsid w:val="00A94BF6"/>
    <w:rsid w:val="00A97DE5"/>
    <w:rsid w:val="00AA072F"/>
    <w:rsid w:val="00AA0B7D"/>
    <w:rsid w:val="00AA4CE7"/>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C82"/>
    <w:rsid w:val="00AF1F1C"/>
    <w:rsid w:val="00AF2D17"/>
    <w:rsid w:val="00B035D0"/>
    <w:rsid w:val="00B05A6A"/>
    <w:rsid w:val="00B06A8A"/>
    <w:rsid w:val="00B06F82"/>
    <w:rsid w:val="00B070F5"/>
    <w:rsid w:val="00B1130B"/>
    <w:rsid w:val="00B12CBA"/>
    <w:rsid w:val="00B12ECB"/>
    <w:rsid w:val="00B16CAC"/>
    <w:rsid w:val="00B2541A"/>
    <w:rsid w:val="00B303EA"/>
    <w:rsid w:val="00B31ACE"/>
    <w:rsid w:val="00B31BB2"/>
    <w:rsid w:val="00B33A21"/>
    <w:rsid w:val="00B34950"/>
    <w:rsid w:val="00B36915"/>
    <w:rsid w:val="00B37304"/>
    <w:rsid w:val="00B374EF"/>
    <w:rsid w:val="00B40D19"/>
    <w:rsid w:val="00B501B2"/>
    <w:rsid w:val="00B50E01"/>
    <w:rsid w:val="00B51B2F"/>
    <w:rsid w:val="00B53B46"/>
    <w:rsid w:val="00B549E1"/>
    <w:rsid w:val="00B56587"/>
    <w:rsid w:val="00B649E6"/>
    <w:rsid w:val="00B74CBF"/>
    <w:rsid w:val="00B75842"/>
    <w:rsid w:val="00B80B55"/>
    <w:rsid w:val="00B81C51"/>
    <w:rsid w:val="00B844F7"/>
    <w:rsid w:val="00B87033"/>
    <w:rsid w:val="00B87C53"/>
    <w:rsid w:val="00B926B6"/>
    <w:rsid w:val="00B93C5C"/>
    <w:rsid w:val="00B96006"/>
    <w:rsid w:val="00B97CAC"/>
    <w:rsid w:val="00BA11F9"/>
    <w:rsid w:val="00BA6922"/>
    <w:rsid w:val="00BA69A0"/>
    <w:rsid w:val="00BA79BA"/>
    <w:rsid w:val="00BB038F"/>
    <w:rsid w:val="00BB2359"/>
    <w:rsid w:val="00BB707A"/>
    <w:rsid w:val="00BC55DA"/>
    <w:rsid w:val="00BC64D4"/>
    <w:rsid w:val="00BD174F"/>
    <w:rsid w:val="00BD1DE7"/>
    <w:rsid w:val="00BD20DA"/>
    <w:rsid w:val="00BD2A68"/>
    <w:rsid w:val="00BD6AD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13AF9"/>
    <w:rsid w:val="00C2107B"/>
    <w:rsid w:val="00C2473C"/>
    <w:rsid w:val="00C25822"/>
    <w:rsid w:val="00C25B89"/>
    <w:rsid w:val="00C277F4"/>
    <w:rsid w:val="00C322FF"/>
    <w:rsid w:val="00C337F0"/>
    <w:rsid w:val="00C33986"/>
    <w:rsid w:val="00C34B47"/>
    <w:rsid w:val="00C35F18"/>
    <w:rsid w:val="00C40345"/>
    <w:rsid w:val="00C40AF4"/>
    <w:rsid w:val="00C44F56"/>
    <w:rsid w:val="00C51D29"/>
    <w:rsid w:val="00C60835"/>
    <w:rsid w:val="00C67A59"/>
    <w:rsid w:val="00C8573E"/>
    <w:rsid w:val="00C868EA"/>
    <w:rsid w:val="00C90CE9"/>
    <w:rsid w:val="00C911DE"/>
    <w:rsid w:val="00C921D5"/>
    <w:rsid w:val="00C93EEE"/>
    <w:rsid w:val="00C95F13"/>
    <w:rsid w:val="00CA2ED9"/>
    <w:rsid w:val="00CA3DD3"/>
    <w:rsid w:val="00CA5EC1"/>
    <w:rsid w:val="00CA7274"/>
    <w:rsid w:val="00CB66EA"/>
    <w:rsid w:val="00CD4230"/>
    <w:rsid w:val="00CD5D9E"/>
    <w:rsid w:val="00CE15C8"/>
    <w:rsid w:val="00CE36B2"/>
    <w:rsid w:val="00CF27C6"/>
    <w:rsid w:val="00CF505E"/>
    <w:rsid w:val="00CF66C4"/>
    <w:rsid w:val="00CF7E3D"/>
    <w:rsid w:val="00CF7FF3"/>
    <w:rsid w:val="00D01B24"/>
    <w:rsid w:val="00D020E2"/>
    <w:rsid w:val="00D033C3"/>
    <w:rsid w:val="00D04234"/>
    <w:rsid w:val="00D04E44"/>
    <w:rsid w:val="00D0540D"/>
    <w:rsid w:val="00D0673B"/>
    <w:rsid w:val="00D0685A"/>
    <w:rsid w:val="00D12B3C"/>
    <w:rsid w:val="00D13B83"/>
    <w:rsid w:val="00D14D51"/>
    <w:rsid w:val="00D14E3B"/>
    <w:rsid w:val="00D20888"/>
    <w:rsid w:val="00D23F11"/>
    <w:rsid w:val="00D26FCF"/>
    <w:rsid w:val="00D30AE7"/>
    <w:rsid w:val="00D310C4"/>
    <w:rsid w:val="00D313B5"/>
    <w:rsid w:val="00D31A7C"/>
    <w:rsid w:val="00D32449"/>
    <w:rsid w:val="00D32E6F"/>
    <w:rsid w:val="00D37095"/>
    <w:rsid w:val="00D425F0"/>
    <w:rsid w:val="00D46D29"/>
    <w:rsid w:val="00D50CEC"/>
    <w:rsid w:val="00D50CF7"/>
    <w:rsid w:val="00D5329C"/>
    <w:rsid w:val="00D54889"/>
    <w:rsid w:val="00D5599E"/>
    <w:rsid w:val="00D57072"/>
    <w:rsid w:val="00D57A8D"/>
    <w:rsid w:val="00D57C7A"/>
    <w:rsid w:val="00D61A59"/>
    <w:rsid w:val="00D633B6"/>
    <w:rsid w:val="00D64F6D"/>
    <w:rsid w:val="00D70758"/>
    <w:rsid w:val="00D72377"/>
    <w:rsid w:val="00D75DD0"/>
    <w:rsid w:val="00D760EF"/>
    <w:rsid w:val="00D77F62"/>
    <w:rsid w:val="00D80239"/>
    <w:rsid w:val="00D82C3F"/>
    <w:rsid w:val="00D84D1B"/>
    <w:rsid w:val="00D85C97"/>
    <w:rsid w:val="00D867E7"/>
    <w:rsid w:val="00D91B98"/>
    <w:rsid w:val="00D93EFB"/>
    <w:rsid w:val="00DA0E70"/>
    <w:rsid w:val="00DA1B7C"/>
    <w:rsid w:val="00DA21DB"/>
    <w:rsid w:val="00DA5A00"/>
    <w:rsid w:val="00DA6917"/>
    <w:rsid w:val="00DB01B2"/>
    <w:rsid w:val="00DB07E3"/>
    <w:rsid w:val="00DB3486"/>
    <w:rsid w:val="00DB5FF7"/>
    <w:rsid w:val="00DC0CB0"/>
    <w:rsid w:val="00DC1191"/>
    <w:rsid w:val="00DC1E65"/>
    <w:rsid w:val="00DC46ED"/>
    <w:rsid w:val="00DC4E35"/>
    <w:rsid w:val="00DD0417"/>
    <w:rsid w:val="00DD13E2"/>
    <w:rsid w:val="00DD2781"/>
    <w:rsid w:val="00DD2D53"/>
    <w:rsid w:val="00DD2DB7"/>
    <w:rsid w:val="00DD5971"/>
    <w:rsid w:val="00DD5DC9"/>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08F0"/>
    <w:rsid w:val="00E31685"/>
    <w:rsid w:val="00E322DC"/>
    <w:rsid w:val="00E323DF"/>
    <w:rsid w:val="00E3420A"/>
    <w:rsid w:val="00E35357"/>
    <w:rsid w:val="00E37AA1"/>
    <w:rsid w:val="00E426C9"/>
    <w:rsid w:val="00E4299C"/>
    <w:rsid w:val="00E44BD3"/>
    <w:rsid w:val="00E46554"/>
    <w:rsid w:val="00E50BBA"/>
    <w:rsid w:val="00E50EFF"/>
    <w:rsid w:val="00E50F4B"/>
    <w:rsid w:val="00E51947"/>
    <w:rsid w:val="00E52335"/>
    <w:rsid w:val="00E53096"/>
    <w:rsid w:val="00E543A2"/>
    <w:rsid w:val="00E55D39"/>
    <w:rsid w:val="00E56111"/>
    <w:rsid w:val="00E56B2F"/>
    <w:rsid w:val="00E57725"/>
    <w:rsid w:val="00E60476"/>
    <w:rsid w:val="00E61468"/>
    <w:rsid w:val="00E62416"/>
    <w:rsid w:val="00E65AE8"/>
    <w:rsid w:val="00E70CAE"/>
    <w:rsid w:val="00E70CC2"/>
    <w:rsid w:val="00E70D08"/>
    <w:rsid w:val="00E726BA"/>
    <w:rsid w:val="00E72712"/>
    <w:rsid w:val="00E765F1"/>
    <w:rsid w:val="00E820A0"/>
    <w:rsid w:val="00E83DA0"/>
    <w:rsid w:val="00E915B8"/>
    <w:rsid w:val="00E91A96"/>
    <w:rsid w:val="00E93579"/>
    <w:rsid w:val="00E94CAE"/>
    <w:rsid w:val="00E94ED4"/>
    <w:rsid w:val="00E9538B"/>
    <w:rsid w:val="00EA0886"/>
    <w:rsid w:val="00EA2AAB"/>
    <w:rsid w:val="00EA328E"/>
    <w:rsid w:val="00EA5483"/>
    <w:rsid w:val="00EA5C81"/>
    <w:rsid w:val="00EB2068"/>
    <w:rsid w:val="00EC1776"/>
    <w:rsid w:val="00EC4B6A"/>
    <w:rsid w:val="00EC63B8"/>
    <w:rsid w:val="00EC7387"/>
    <w:rsid w:val="00EC786A"/>
    <w:rsid w:val="00ED4829"/>
    <w:rsid w:val="00ED60C2"/>
    <w:rsid w:val="00ED634A"/>
    <w:rsid w:val="00ED78F3"/>
    <w:rsid w:val="00EE03F5"/>
    <w:rsid w:val="00EE08F5"/>
    <w:rsid w:val="00EE153C"/>
    <w:rsid w:val="00EE30D2"/>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1534"/>
    <w:rsid w:val="00F344ED"/>
    <w:rsid w:val="00F3549C"/>
    <w:rsid w:val="00F44637"/>
    <w:rsid w:val="00F45389"/>
    <w:rsid w:val="00F46398"/>
    <w:rsid w:val="00F464D3"/>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A6706"/>
    <w:rsid w:val="00FB1DCE"/>
    <w:rsid w:val="00FB2F77"/>
    <w:rsid w:val="00FB55E9"/>
    <w:rsid w:val="00FB59DF"/>
    <w:rsid w:val="00FB68FF"/>
    <w:rsid w:val="00FB767E"/>
    <w:rsid w:val="00FC4E72"/>
    <w:rsid w:val="00FC716A"/>
    <w:rsid w:val="00FC7D8B"/>
    <w:rsid w:val="00FD27EA"/>
    <w:rsid w:val="00FD3A3C"/>
    <w:rsid w:val="00FD46F4"/>
    <w:rsid w:val="00FD4EB1"/>
    <w:rsid w:val="00FD7EE2"/>
    <w:rsid w:val="00FE2C5E"/>
    <w:rsid w:val="00FE705A"/>
    <w:rsid w:val="00FF0836"/>
    <w:rsid w:val="00FF12DC"/>
    <w:rsid w:val="00FF27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2F"/>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4602">
      <w:bodyDiv w:val="1"/>
      <w:marLeft w:val="0"/>
      <w:marRight w:val="0"/>
      <w:marTop w:val="0"/>
      <w:marBottom w:val="0"/>
      <w:divBdr>
        <w:top w:val="none" w:sz="0" w:space="0" w:color="auto"/>
        <w:left w:val="none" w:sz="0" w:space="0" w:color="auto"/>
        <w:bottom w:val="none" w:sz="0" w:space="0" w:color="auto"/>
        <w:right w:val="none" w:sz="0" w:space="0" w:color="auto"/>
      </w:divBdr>
    </w:div>
    <w:div w:id="446966668">
      <w:bodyDiv w:val="1"/>
      <w:marLeft w:val="0"/>
      <w:marRight w:val="0"/>
      <w:marTop w:val="0"/>
      <w:marBottom w:val="0"/>
      <w:divBdr>
        <w:top w:val="none" w:sz="0" w:space="0" w:color="auto"/>
        <w:left w:val="none" w:sz="0" w:space="0" w:color="auto"/>
        <w:bottom w:val="none" w:sz="0" w:space="0" w:color="auto"/>
        <w:right w:val="none" w:sz="0" w:space="0" w:color="auto"/>
      </w:divBdr>
    </w:div>
    <w:div w:id="453212118">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55026282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48807208">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33634811">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1461-895D-4F1C-946F-012DD573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6807</Words>
  <Characters>37444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2020-01-16T20:51:00Z</cp:lastPrinted>
  <dcterms:created xsi:type="dcterms:W3CDTF">2020-04-20T16:57:00Z</dcterms:created>
  <dcterms:modified xsi:type="dcterms:W3CDTF">2020-04-20T16:57:00Z</dcterms:modified>
</cp:coreProperties>
</file>