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E84311" w:rsidRDefault="001B26AA" w:rsidP="00E84311">
      <w:pPr>
        <w:tabs>
          <w:tab w:val="left" w:pos="567"/>
        </w:tabs>
        <w:spacing w:line="360" w:lineRule="auto"/>
        <w:jc w:val="center"/>
        <w:rPr>
          <w:rFonts w:ascii="Palatino Linotype" w:eastAsia="Times New Roman" w:hAnsi="Palatino Linotype" w:cs="Times New Roman"/>
          <w:b/>
        </w:rPr>
      </w:pPr>
      <w:r w:rsidRPr="00E84311">
        <w:rPr>
          <w:rFonts w:ascii="Palatino Linotype" w:eastAsia="Times New Roman" w:hAnsi="Palatino Linotype" w:cs="Times New Roman"/>
          <w:b/>
        </w:rPr>
        <w:t>LÍNEAS ARGUMENTATIVAS</w:t>
      </w:r>
    </w:p>
    <w:p w14:paraId="7B893EAF" w14:textId="77777777" w:rsidR="0000092F" w:rsidRPr="00E84311" w:rsidRDefault="0000092F" w:rsidP="00E84311">
      <w:pPr>
        <w:tabs>
          <w:tab w:val="left" w:pos="567"/>
        </w:tabs>
        <w:spacing w:line="360" w:lineRule="auto"/>
        <w:jc w:val="center"/>
        <w:rPr>
          <w:rFonts w:ascii="Palatino Linotype" w:eastAsia="Times New Roman" w:hAnsi="Palatino Linotype" w:cs="Times New Roman"/>
          <w:b/>
        </w:rPr>
      </w:pPr>
    </w:p>
    <w:p w14:paraId="3A0891EB" w14:textId="77777777" w:rsidR="0094711A" w:rsidRPr="00E84311" w:rsidRDefault="0094711A" w:rsidP="00E84311">
      <w:pPr>
        <w:tabs>
          <w:tab w:val="left" w:pos="567"/>
        </w:tabs>
        <w:spacing w:line="360" w:lineRule="auto"/>
        <w:jc w:val="both"/>
        <w:rPr>
          <w:rFonts w:ascii="Palatino Linotype" w:hAnsi="Palatino Linotype"/>
          <w:lang w:eastAsia="es-MX"/>
        </w:rPr>
      </w:pPr>
      <w:r w:rsidRPr="00E84311">
        <w:rPr>
          <w:rFonts w:ascii="Palatino Linotype" w:hAnsi="Palatino Linotype"/>
          <w:b/>
        </w:rPr>
        <w:t xml:space="preserve">RESPUESTAS IMPRECISAS O INCOMPLETAS, DEBER DE REPARACIÓN. </w:t>
      </w:r>
      <w:r w:rsidRPr="00E84311">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AE05047" w14:textId="77777777" w:rsidR="00265381" w:rsidRPr="00E84311" w:rsidRDefault="00265381" w:rsidP="00E84311">
      <w:pPr>
        <w:tabs>
          <w:tab w:val="left" w:pos="567"/>
        </w:tabs>
        <w:spacing w:line="360" w:lineRule="auto"/>
        <w:jc w:val="both"/>
        <w:rPr>
          <w:rFonts w:ascii="Palatino Linotype" w:hAnsi="Palatino Linotype"/>
          <w:b/>
        </w:rPr>
      </w:pPr>
    </w:p>
    <w:p w14:paraId="0932BA97" w14:textId="14EFA12D" w:rsidR="006676E0" w:rsidRPr="00E84311" w:rsidRDefault="00E84311" w:rsidP="00E84311">
      <w:pPr>
        <w:spacing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48070168" wp14:editId="31C1D025">
                <wp:simplePos x="0" y="0"/>
                <wp:positionH relativeFrom="column">
                  <wp:posOffset>-9216</wp:posOffset>
                </wp:positionH>
                <wp:positionV relativeFrom="paragraph">
                  <wp:posOffset>2429870</wp:posOffset>
                </wp:positionV>
                <wp:extent cx="5535827" cy="2224217"/>
                <wp:effectExtent l="76200" t="57150" r="65405" b="81280"/>
                <wp:wrapNone/>
                <wp:docPr id="1" name="Conector recto 1"/>
                <wp:cNvGraphicFramePr/>
                <a:graphic xmlns:a="http://schemas.openxmlformats.org/drawingml/2006/main">
                  <a:graphicData uri="http://schemas.microsoft.com/office/word/2010/wordprocessingShape">
                    <wps:wsp>
                      <wps:cNvCnPr/>
                      <wps:spPr>
                        <a:xfrm flipH="1" flipV="1">
                          <a:off x="0" y="0"/>
                          <a:ext cx="5535827" cy="222421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509153" id="Conector recto 1"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75pt,191.35pt" to="435.1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" strokecolor="#4f81bd [3204]" strokeweight="3pt">
                <v:shadow on="t" color="black" opacity="24903f" origin=",.5" offset="0,.55556mm"/>
              </v:line>
            </w:pict>
          </mc:Fallback>
        </mc:AlternateContent>
      </w:r>
      <w:r w:rsidR="006676E0" w:rsidRPr="00E84311">
        <w:rPr>
          <w:rFonts w:ascii="Palatino Linotype" w:hAnsi="Palatino Linotype"/>
          <w:b/>
        </w:rPr>
        <w:t xml:space="preserve">INFORMACIÓN CONFIDENCIAL, CLASIFICACIÓN DE LA. </w:t>
      </w:r>
      <w:r w:rsidR="006676E0" w:rsidRPr="00E84311">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6AF8061" w14:textId="77777777" w:rsidR="008826F4" w:rsidRPr="00E84311" w:rsidRDefault="008826F4" w:rsidP="00E84311">
      <w:pPr>
        <w:tabs>
          <w:tab w:val="left" w:pos="567"/>
        </w:tabs>
        <w:spacing w:line="360" w:lineRule="auto"/>
        <w:rPr>
          <w:rFonts w:ascii="Palatino Linotype" w:eastAsia="Times New Roman" w:hAnsi="Palatino Linotype" w:cs="Times New Roman"/>
          <w:b/>
        </w:rPr>
      </w:pPr>
    </w:p>
    <w:p w14:paraId="35DCC688" w14:textId="77777777" w:rsidR="008826F4" w:rsidRPr="00E84311" w:rsidRDefault="008826F4" w:rsidP="00E84311">
      <w:pPr>
        <w:tabs>
          <w:tab w:val="left" w:pos="567"/>
        </w:tabs>
        <w:spacing w:line="360" w:lineRule="auto"/>
        <w:rPr>
          <w:rFonts w:ascii="Palatino Linotype" w:eastAsia="Times New Roman" w:hAnsi="Palatino Linotype" w:cs="Times New Roman"/>
          <w:b/>
        </w:rPr>
      </w:pPr>
    </w:p>
    <w:p w14:paraId="276D6D69" w14:textId="77777777" w:rsidR="00743C9C" w:rsidRPr="00E84311" w:rsidRDefault="00743C9C" w:rsidP="00E84311">
      <w:pPr>
        <w:tabs>
          <w:tab w:val="left" w:pos="567"/>
        </w:tabs>
        <w:spacing w:line="360" w:lineRule="auto"/>
        <w:rPr>
          <w:rFonts w:ascii="Palatino Linotype" w:eastAsia="Times New Roman" w:hAnsi="Palatino Linotype" w:cs="Times New Roman"/>
          <w:b/>
        </w:rPr>
      </w:pPr>
    </w:p>
    <w:p w14:paraId="2C0B0C12" w14:textId="77777777" w:rsidR="00743C9C" w:rsidRPr="00E84311" w:rsidRDefault="00743C9C" w:rsidP="00E84311">
      <w:pPr>
        <w:tabs>
          <w:tab w:val="left" w:pos="567"/>
        </w:tabs>
        <w:spacing w:line="360" w:lineRule="auto"/>
        <w:rPr>
          <w:rFonts w:ascii="Palatino Linotype" w:eastAsia="Times New Roman" w:hAnsi="Palatino Linotype" w:cs="Times New Roman"/>
          <w:b/>
        </w:rPr>
      </w:pPr>
    </w:p>
    <w:p w14:paraId="5863F2D0" w14:textId="77777777" w:rsidR="00265381" w:rsidRPr="00E84311" w:rsidRDefault="00265381" w:rsidP="00E84311">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E84311" w:rsidRDefault="0011338C" w:rsidP="00E84311">
          <w:pPr>
            <w:pStyle w:val="TtulodeTDC"/>
            <w:spacing w:line="360" w:lineRule="auto"/>
            <w:jc w:val="center"/>
            <w:rPr>
              <w:szCs w:val="24"/>
              <w:lang w:val="es-ES"/>
            </w:rPr>
          </w:pPr>
          <w:r w:rsidRPr="00E84311">
            <w:rPr>
              <w:szCs w:val="24"/>
              <w:lang w:val="es-ES"/>
            </w:rPr>
            <w:t>ÍNDICE</w:t>
          </w:r>
        </w:p>
        <w:p w14:paraId="54D7BD84" w14:textId="77777777" w:rsidR="008826F4" w:rsidRPr="00E84311" w:rsidRDefault="008826F4" w:rsidP="00E84311">
          <w:pPr>
            <w:spacing w:before="240" w:line="360" w:lineRule="auto"/>
            <w:rPr>
              <w:rFonts w:ascii="Palatino Linotype" w:hAnsi="Palatino Linotype"/>
              <w:lang w:val="es-ES" w:eastAsia="es-MX"/>
            </w:rPr>
          </w:pPr>
        </w:p>
        <w:p w14:paraId="3999D0C3" w14:textId="77777777" w:rsidR="006676E0" w:rsidRPr="00E84311" w:rsidRDefault="0011338C" w:rsidP="00E84311">
          <w:pPr>
            <w:pStyle w:val="TDC1"/>
            <w:spacing w:before="240"/>
            <w:rPr>
              <w:rFonts w:ascii="Palatino Linotype" w:hAnsi="Palatino Linotype"/>
              <w:noProof/>
              <w:lang w:val="es-MX" w:eastAsia="es-MX"/>
            </w:rPr>
          </w:pPr>
          <w:r w:rsidRPr="00E84311">
            <w:rPr>
              <w:rFonts w:ascii="Palatino Linotype" w:hAnsi="Palatino Linotype"/>
            </w:rPr>
            <w:fldChar w:fldCharType="begin"/>
          </w:r>
          <w:r w:rsidRPr="00E84311">
            <w:rPr>
              <w:rFonts w:ascii="Palatino Linotype" w:hAnsi="Palatino Linotype"/>
            </w:rPr>
            <w:instrText xml:space="preserve"> TOC \o "1-3" \h \z \u </w:instrText>
          </w:r>
          <w:r w:rsidRPr="00E84311">
            <w:rPr>
              <w:rFonts w:ascii="Palatino Linotype" w:hAnsi="Palatino Linotype"/>
            </w:rPr>
            <w:fldChar w:fldCharType="separate"/>
          </w:r>
          <w:hyperlink w:anchor="_Toc21626000" w:history="1">
            <w:r w:rsidR="006676E0" w:rsidRPr="00E84311">
              <w:rPr>
                <w:rStyle w:val="Hipervnculo"/>
                <w:rFonts w:ascii="Palatino Linotype" w:hAnsi="Palatino Linotype"/>
                <w:noProof/>
              </w:rPr>
              <w:t>ANTECEDENTES</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_Toc21626000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4</w:t>
            </w:r>
            <w:r w:rsidR="006676E0" w:rsidRPr="00E84311">
              <w:rPr>
                <w:rFonts w:ascii="Palatino Linotype" w:hAnsi="Palatino Linotype"/>
                <w:noProof/>
                <w:webHidden/>
              </w:rPr>
              <w:fldChar w:fldCharType="end"/>
            </w:r>
          </w:hyperlink>
        </w:p>
        <w:p w14:paraId="5CEAA274" w14:textId="77777777" w:rsidR="006676E0" w:rsidRPr="00E84311" w:rsidRDefault="000D65B0" w:rsidP="00E84311">
          <w:pPr>
            <w:pStyle w:val="TDC2"/>
            <w:spacing w:before="240" w:line="360" w:lineRule="auto"/>
            <w:rPr>
              <w:rFonts w:ascii="Palatino Linotype" w:hAnsi="Palatino Linotype"/>
              <w:noProof/>
              <w:lang w:val="es-MX" w:eastAsia="es-MX"/>
            </w:rPr>
          </w:pPr>
          <w:hyperlink w:anchor="_Toc21626001" w:history="1">
            <w:r w:rsidR="006676E0" w:rsidRPr="00E84311">
              <w:rPr>
                <w:rStyle w:val="Hipervnculo"/>
                <w:rFonts w:ascii="Palatino Linotype" w:hAnsi="Palatino Linotype"/>
                <w:noProof/>
                <w:lang w:val="es-ES"/>
              </w:rPr>
              <w:t>a) Acto impugnado:</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_Toc21626001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6</w:t>
            </w:r>
            <w:r w:rsidR="006676E0" w:rsidRPr="00E84311">
              <w:rPr>
                <w:rFonts w:ascii="Palatino Linotype" w:hAnsi="Palatino Linotype"/>
                <w:noProof/>
                <w:webHidden/>
              </w:rPr>
              <w:fldChar w:fldCharType="end"/>
            </w:r>
          </w:hyperlink>
        </w:p>
        <w:p w14:paraId="30671F46" w14:textId="77777777" w:rsidR="006676E0" w:rsidRPr="00E84311" w:rsidRDefault="000D65B0" w:rsidP="00E84311">
          <w:pPr>
            <w:pStyle w:val="TDC2"/>
            <w:spacing w:before="240" w:line="360" w:lineRule="auto"/>
            <w:rPr>
              <w:rFonts w:ascii="Palatino Linotype" w:hAnsi="Palatino Linotype"/>
              <w:noProof/>
              <w:lang w:val="es-MX" w:eastAsia="es-MX"/>
            </w:rPr>
          </w:pPr>
          <w:hyperlink w:anchor="_Toc21626002" w:history="1">
            <w:r w:rsidR="006676E0" w:rsidRPr="00E84311">
              <w:rPr>
                <w:rStyle w:val="Hipervnculo"/>
                <w:rFonts w:ascii="Palatino Linotype" w:hAnsi="Palatino Linotype"/>
                <w:noProof/>
                <w:lang w:val="es-ES"/>
              </w:rPr>
              <w:t>b) Razones o Motivos de inconformidad:</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_Toc21626002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7</w:t>
            </w:r>
            <w:r w:rsidR="006676E0" w:rsidRPr="00E84311">
              <w:rPr>
                <w:rFonts w:ascii="Palatino Linotype" w:hAnsi="Palatino Linotype"/>
                <w:noProof/>
                <w:webHidden/>
              </w:rPr>
              <w:fldChar w:fldCharType="end"/>
            </w:r>
          </w:hyperlink>
        </w:p>
        <w:p w14:paraId="7F277FD1" w14:textId="77777777" w:rsidR="006676E0" w:rsidRPr="00E84311" w:rsidRDefault="000D65B0" w:rsidP="00E84311">
          <w:pPr>
            <w:pStyle w:val="TDC1"/>
            <w:spacing w:before="240"/>
            <w:rPr>
              <w:rFonts w:ascii="Palatino Linotype" w:hAnsi="Palatino Linotype"/>
              <w:noProof/>
              <w:lang w:val="es-MX" w:eastAsia="es-MX"/>
            </w:rPr>
          </w:pPr>
          <w:hyperlink w:anchor="_Toc21626003" w:history="1">
            <w:r w:rsidR="006676E0" w:rsidRPr="00E84311">
              <w:rPr>
                <w:rStyle w:val="Hipervnculo"/>
                <w:rFonts w:ascii="Palatino Linotype" w:hAnsi="Palatino Linotype"/>
                <w:noProof/>
              </w:rPr>
              <w:t>CONSIDERANDO</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_Toc21626003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9</w:t>
            </w:r>
            <w:r w:rsidR="006676E0" w:rsidRPr="00E84311">
              <w:rPr>
                <w:rFonts w:ascii="Palatino Linotype" w:hAnsi="Palatino Linotype"/>
                <w:noProof/>
                <w:webHidden/>
              </w:rPr>
              <w:fldChar w:fldCharType="end"/>
            </w:r>
          </w:hyperlink>
        </w:p>
        <w:p w14:paraId="295F6864" w14:textId="77777777" w:rsidR="006676E0" w:rsidRPr="00E84311" w:rsidRDefault="000D65B0" w:rsidP="00E84311">
          <w:pPr>
            <w:pStyle w:val="TDC1"/>
            <w:spacing w:before="240"/>
            <w:rPr>
              <w:rFonts w:ascii="Palatino Linotype" w:hAnsi="Palatino Linotype"/>
              <w:noProof/>
              <w:lang w:val="es-MX" w:eastAsia="es-MX"/>
            </w:rPr>
          </w:pPr>
          <w:hyperlink w:anchor="_Toc21626004" w:history="1">
            <w:r w:rsidR="006676E0" w:rsidRPr="00E84311">
              <w:rPr>
                <w:rStyle w:val="Hipervnculo"/>
                <w:rFonts w:ascii="Palatino Linotype" w:hAnsi="Palatino Linotype"/>
                <w:noProof/>
              </w:rPr>
              <w:t>PRIMERO. De la competencia</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_Toc21626004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9</w:t>
            </w:r>
            <w:r w:rsidR="006676E0" w:rsidRPr="00E84311">
              <w:rPr>
                <w:rFonts w:ascii="Palatino Linotype" w:hAnsi="Palatino Linotype"/>
                <w:noProof/>
                <w:webHidden/>
              </w:rPr>
              <w:fldChar w:fldCharType="end"/>
            </w:r>
          </w:hyperlink>
        </w:p>
        <w:p w14:paraId="4C349AB8" w14:textId="77777777" w:rsidR="006676E0" w:rsidRPr="00E84311" w:rsidRDefault="000D65B0" w:rsidP="00E84311">
          <w:pPr>
            <w:pStyle w:val="TDC1"/>
            <w:spacing w:before="240"/>
            <w:rPr>
              <w:rFonts w:ascii="Palatino Linotype" w:hAnsi="Palatino Linotype"/>
              <w:noProof/>
              <w:lang w:val="es-MX" w:eastAsia="es-MX"/>
            </w:rPr>
          </w:pPr>
          <w:hyperlink w:anchor="_Toc21626005" w:history="1">
            <w:r w:rsidR="006676E0" w:rsidRPr="00E84311">
              <w:rPr>
                <w:rStyle w:val="Hipervnculo"/>
                <w:rFonts w:ascii="Palatino Linotype" w:hAnsi="Palatino Linotype"/>
                <w:noProof/>
              </w:rPr>
              <w:t>SEGUNDO. De la oportunidad y procedencia.</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_Toc21626005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10</w:t>
            </w:r>
            <w:r w:rsidR="006676E0" w:rsidRPr="00E84311">
              <w:rPr>
                <w:rFonts w:ascii="Palatino Linotype" w:hAnsi="Palatino Linotype"/>
                <w:noProof/>
                <w:webHidden/>
              </w:rPr>
              <w:fldChar w:fldCharType="end"/>
            </w:r>
          </w:hyperlink>
        </w:p>
        <w:p w14:paraId="19206F3F" w14:textId="77777777" w:rsidR="006676E0" w:rsidRPr="00E84311" w:rsidRDefault="000D65B0" w:rsidP="00E84311">
          <w:pPr>
            <w:pStyle w:val="TDC2"/>
            <w:spacing w:before="240" w:line="360" w:lineRule="auto"/>
            <w:rPr>
              <w:rFonts w:ascii="Palatino Linotype" w:hAnsi="Palatino Linotype"/>
              <w:noProof/>
              <w:lang w:val="es-MX" w:eastAsia="es-MX"/>
            </w:rPr>
          </w:pPr>
          <w:hyperlink w:anchor="_Toc21626006" w:history="1">
            <w:r w:rsidR="006676E0" w:rsidRPr="00E84311">
              <w:rPr>
                <w:rStyle w:val="Hipervnculo"/>
                <w:rFonts w:ascii="Palatino Linotype" w:hAnsi="Palatino Linotype"/>
                <w:noProof/>
              </w:rPr>
              <w:t>TERCERO. Del planteamiento de la Litis:</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_Toc21626006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12</w:t>
            </w:r>
            <w:r w:rsidR="006676E0" w:rsidRPr="00E84311">
              <w:rPr>
                <w:rFonts w:ascii="Palatino Linotype" w:hAnsi="Palatino Linotype"/>
                <w:noProof/>
                <w:webHidden/>
              </w:rPr>
              <w:fldChar w:fldCharType="end"/>
            </w:r>
          </w:hyperlink>
        </w:p>
        <w:p w14:paraId="0C5874AB" w14:textId="77777777" w:rsidR="006676E0" w:rsidRPr="00E84311" w:rsidRDefault="000D65B0" w:rsidP="00E84311">
          <w:pPr>
            <w:pStyle w:val="TDC1"/>
            <w:spacing w:before="240"/>
            <w:rPr>
              <w:rFonts w:ascii="Palatino Linotype" w:hAnsi="Palatino Linotype"/>
              <w:noProof/>
              <w:lang w:val="es-MX" w:eastAsia="es-MX"/>
            </w:rPr>
          </w:pPr>
          <w:hyperlink w:anchor="_Toc21626007" w:history="1">
            <w:r w:rsidR="006676E0" w:rsidRPr="00E84311">
              <w:rPr>
                <w:rStyle w:val="Hipervnculo"/>
                <w:rFonts w:ascii="Palatino Linotype" w:hAnsi="Palatino Linotype"/>
                <w:noProof/>
              </w:rPr>
              <w:t>CUARTO. Del Estudio y resolución del Asunto.</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_Toc21626007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13</w:t>
            </w:r>
            <w:r w:rsidR="006676E0" w:rsidRPr="00E84311">
              <w:rPr>
                <w:rFonts w:ascii="Palatino Linotype" w:hAnsi="Palatino Linotype"/>
                <w:noProof/>
                <w:webHidden/>
              </w:rPr>
              <w:fldChar w:fldCharType="end"/>
            </w:r>
          </w:hyperlink>
        </w:p>
        <w:p w14:paraId="3880811D" w14:textId="77777777" w:rsidR="006676E0" w:rsidRPr="00E84311" w:rsidRDefault="000D65B0" w:rsidP="00E84311">
          <w:pPr>
            <w:pStyle w:val="TDC2"/>
            <w:spacing w:before="240" w:line="360" w:lineRule="auto"/>
            <w:rPr>
              <w:rFonts w:ascii="Palatino Linotype" w:hAnsi="Palatino Linotype"/>
              <w:noProof/>
              <w:lang w:val="es-MX" w:eastAsia="es-MX"/>
            </w:rPr>
          </w:pPr>
          <w:hyperlink w:anchor="_Toc21626008" w:history="1">
            <w:r w:rsidR="006676E0" w:rsidRPr="00E84311">
              <w:rPr>
                <w:rStyle w:val="Hipervnculo"/>
                <w:rFonts w:ascii="Palatino Linotype" w:hAnsi="Palatino Linotype"/>
                <w:noProof/>
              </w:rPr>
              <w:t>I. De la respuesta emitida por el SUJETO OBLIGADO.</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_Toc21626008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13</w:t>
            </w:r>
            <w:r w:rsidR="006676E0" w:rsidRPr="00E84311">
              <w:rPr>
                <w:rFonts w:ascii="Palatino Linotype" w:hAnsi="Palatino Linotype"/>
                <w:noProof/>
                <w:webHidden/>
              </w:rPr>
              <w:fldChar w:fldCharType="end"/>
            </w:r>
          </w:hyperlink>
        </w:p>
        <w:p w14:paraId="34E609D5" w14:textId="77777777" w:rsidR="006676E0" w:rsidRPr="00E84311" w:rsidRDefault="000D65B0" w:rsidP="00E84311">
          <w:pPr>
            <w:pStyle w:val="TDC1"/>
            <w:spacing w:before="240"/>
            <w:rPr>
              <w:rFonts w:ascii="Palatino Linotype" w:hAnsi="Palatino Linotype"/>
              <w:noProof/>
              <w:lang w:val="es-MX" w:eastAsia="es-MX"/>
            </w:rPr>
          </w:pPr>
          <w:hyperlink w:anchor="_Toc21626009" w:history="1">
            <w:r w:rsidR="006676E0" w:rsidRPr="00E84311">
              <w:rPr>
                <w:rStyle w:val="Hipervnculo"/>
                <w:rFonts w:ascii="Palatino Linotype" w:hAnsi="Palatino Linotype" w:cs="Arial"/>
                <w:noProof/>
                <w:lang w:val="es-ES"/>
              </w:rPr>
              <w:t>II. De los expedientes laborales.</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_Toc21626009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22</w:t>
            </w:r>
            <w:r w:rsidR="006676E0" w:rsidRPr="00E84311">
              <w:rPr>
                <w:rFonts w:ascii="Palatino Linotype" w:hAnsi="Palatino Linotype"/>
                <w:noProof/>
                <w:webHidden/>
              </w:rPr>
              <w:fldChar w:fldCharType="end"/>
            </w:r>
          </w:hyperlink>
        </w:p>
        <w:p w14:paraId="7813F11D" w14:textId="77777777" w:rsidR="006676E0" w:rsidRPr="00E84311" w:rsidRDefault="000D65B0" w:rsidP="00E84311">
          <w:pPr>
            <w:pStyle w:val="TDC2"/>
            <w:spacing w:before="240" w:line="360" w:lineRule="auto"/>
            <w:rPr>
              <w:rFonts w:ascii="Palatino Linotype" w:hAnsi="Palatino Linotype"/>
              <w:noProof/>
              <w:lang w:val="es-MX" w:eastAsia="es-MX"/>
            </w:rPr>
          </w:pPr>
          <w:hyperlink w:anchor="_Toc21626010" w:history="1">
            <w:r w:rsidR="006676E0" w:rsidRPr="00E84311">
              <w:rPr>
                <w:rStyle w:val="Hipervnculo"/>
                <w:rFonts w:ascii="Palatino Linotype" w:hAnsi="Palatino Linotype"/>
                <w:noProof/>
              </w:rPr>
              <w:t>QUINTO. De la versión pública.</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_Toc21626010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43</w:t>
            </w:r>
            <w:r w:rsidR="006676E0" w:rsidRPr="00E84311">
              <w:rPr>
                <w:rFonts w:ascii="Palatino Linotype" w:hAnsi="Palatino Linotype"/>
                <w:noProof/>
                <w:webHidden/>
              </w:rPr>
              <w:fldChar w:fldCharType="end"/>
            </w:r>
          </w:hyperlink>
        </w:p>
        <w:p w14:paraId="3015E357" w14:textId="77777777" w:rsidR="006676E0" w:rsidRPr="00E84311" w:rsidRDefault="000D65B0" w:rsidP="00E84311">
          <w:pPr>
            <w:pStyle w:val="TDC1"/>
            <w:tabs>
              <w:tab w:val="left" w:pos="660"/>
            </w:tabs>
            <w:spacing w:before="240"/>
            <w:rPr>
              <w:rFonts w:ascii="Palatino Linotype" w:hAnsi="Palatino Linotype"/>
              <w:noProof/>
              <w:lang w:val="es-MX" w:eastAsia="es-MX"/>
            </w:rPr>
          </w:pPr>
          <w:hyperlink w:anchor="_Toc21626011" w:history="1">
            <w:r w:rsidR="006676E0" w:rsidRPr="00E84311">
              <w:rPr>
                <w:rStyle w:val="Hipervnculo"/>
                <w:rFonts w:ascii="Palatino Linotype" w:hAnsi="Palatino Linotype"/>
                <w:noProof/>
              </w:rPr>
              <w:t>I.</w:t>
            </w:r>
            <w:r w:rsidR="006676E0" w:rsidRPr="00E84311">
              <w:rPr>
                <w:rFonts w:ascii="Palatino Linotype" w:hAnsi="Palatino Linotype"/>
                <w:noProof/>
                <w:lang w:val="es-MX" w:eastAsia="es-MX"/>
              </w:rPr>
              <w:tab/>
            </w:r>
            <w:r w:rsidR="006676E0" w:rsidRPr="00E84311">
              <w:rPr>
                <w:rStyle w:val="Hipervnculo"/>
                <w:rFonts w:ascii="Palatino Linotype" w:hAnsi="Palatino Linotype"/>
                <w:noProof/>
              </w:rPr>
              <w:t>Supuestos de clasificación.</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_Toc21626011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44</w:t>
            </w:r>
            <w:r w:rsidR="006676E0" w:rsidRPr="00E84311">
              <w:rPr>
                <w:rFonts w:ascii="Palatino Linotype" w:hAnsi="Palatino Linotype"/>
                <w:noProof/>
                <w:webHidden/>
              </w:rPr>
              <w:fldChar w:fldCharType="end"/>
            </w:r>
          </w:hyperlink>
        </w:p>
        <w:p w14:paraId="52BF598B" w14:textId="77777777" w:rsidR="006676E0" w:rsidRPr="00E84311" w:rsidRDefault="000D65B0" w:rsidP="00E84311">
          <w:pPr>
            <w:pStyle w:val="TDC1"/>
            <w:tabs>
              <w:tab w:val="left" w:pos="880"/>
            </w:tabs>
            <w:spacing w:before="240"/>
            <w:rPr>
              <w:rFonts w:ascii="Palatino Linotype" w:hAnsi="Palatino Linotype"/>
              <w:noProof/>
              <w:lang w:val="es-MX" w:eastAsia="es-MX"/>
            </w:rPr>
          </w:pPr>
          <w:hyperlink w:anchor="_Toc21626012" w:history="1">
            <w:r w:rsidR="006676E0" w:rsidRPr="00E84311">
              <w:rPr>
                <w:rStyle w:val="Hipervnculo"/>
                <w:rFonts w:ascii="Palatino Linotype" w:hAnsi="Palatino Linotype"/>
                <w:noProof/>
              </w:rPr>
              <w:t>II.</w:t>
            </w:r>
            <w:r w:rsidR="006676E0" w:rsidRPr="00E84311">
              <w:rPr>
                <w:rFonts w:ascii="Palatino Linotype" w:hAnsi="Palatino Linotype"/>
                <w:noProof/>
                <w:lang w:val="es-MX" w:eastAsia="es-MX"/>
              </w:rPr>
              <w:tab/>
            </w:r>
            <w:r w:rsidR="006676E0" w:rsidRPr="00E84311">
              <w:rPr>
                <w:rStyle w:val="Hipervnculo"/>
                <w:rFonts w:ascii="Palatino Linotype" w:hAnsi="Palatino Linotype"/>
                <w:noProof/>
              </w:rPr>
              <w:t>Excepciones a los supuestos de clasificación de la información como reservada.</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_Toc21626012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53</w:t>
            </w:r>
            <w:r w:rsidR="006676E0" w:rsidRPr="00E84311">
              <w:rPr>
                <w:rFonts w:ascii="Palatino Linotype" w:hAnsi="Palatino Linotype"/>
                <w:noProof/>
                <w:webHidden/>
              </w:rPr>
              <w:fldChar w:fldCharType="end"/>
            </w:r>
          </w:hyperlink>
        </w:p>
        <w:p w14:paraId="11DB1AA4" w14:textId="77777777" w:rsidR="006676E0" w:rsidRPr="00E84311" w:rsidRDefault="000D65B0" w:rsidP="00E84311">
          <w:pPr>
            <w:pStyle w:val="TDC1"/>
            <w:tabs>
              <w:tab w:val="left" w:pos="880"/>
            </w:tabs>
            <w:spacing w:before="240"/>
            <w:rPr>
              <w:rFonts w:ascii="Palatino Linotype" w:hAnsi="Palatino Linotype"/>
              <w:noProof/>
              <w:lang w:val="es-MX" w:eastAsia="es-MX"/>
            </w:rPr>
          </w:pPr>
          <w:hyperlink w:anchor="_Toc21626013" w:history="1">
            <w:r w:rsidR="006676E0" w:rsidRPr="00E84311">
              <w:rPr>
                <w:rStyle w:val="Hipervnculo"/>
                <w:rFonts w:ascii="Palatino Linotype" w:hAnsi="Palatino Linotype"/>
                <w:noProof/>
              </w:rPr>
              <w:t>III.</w:t>
            </w:r>
            <w:r w:rsidR="006676E0" w:rsidRPr="00E84311">
              <w:rPr>
                <w:rFonts w:ascii="Palatino Linotype" w:hAnsi="Palatino Linotype"/>
                <w:noProof/>
                <w:lang w:val="es-MX" w:eastAsia="es-MX"/>
              </w:rPr>
              <w:tab/>
            </w:r>
            <w:r w:rsidR="006676E0" w:rsidRPr="00E84311">
              <w:rPr>
                <w:rStyle w:val="Hipervnculo"/>
                <w:rFonts w:ascii="Palatino Linotype" w:hAnsi="Palatino Linotype"/>
                <w:noProof/>
              </w:rPr>
              <w:t>La intervención del Comité de Transparencia.</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_Toc21626013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54</w:t>
            </w:r>
            <w:r w:rsidR="006676E0" w:rsidRPr="00E84311">
              <w:rPr>
                <w:rFonts w:ascii="Palatino Linotype" w:hAnsi="Palatino Linotype"/>
                <w:noProof/>
                <w:webHidden/>
              </w:rPr>
              <w:fldChar w:fldCharType="end"/>
            </w:r>
          </w:hyperlink>
        </w:p>
        <w:p w14:paraId="1D99C3B2" w14:textId="77777777" w:rsidR="006676E0" w:rsidRPr="00E84311" w:rsidRDefault="000D65B0" w:rsidP="00E84311">
          <w:pPr>
            <w:pStyle w:val="TDC2"/>
            <w:tabs>
              <w:tab w:val="left" w:pos="880"/>
            </w:tabs>
            <w:spacing w:before="240" w:line="360" w:lineRule="auto"/>
            <w:rPr>
              <w:rFonts w:ascii="Palatino Linotype" w:hAnsi="Palatino Linotype"/>
              <w:noProof/>
              <w:lang w:val="es-MX" w:eastAsia="es-MX"/>
            </w:rPr>
          </w:pPr>
          <w:hyperlink w:anchor="_Toc21626014" w:history="1">
            <w:r w:rsidR="006676E0" w:rsidRPr="00E84311">
              <w:rPr>
                <w:rStyle w:val="Hipervnculo"/>
                <w:rFonts w:ascii="Palatino Linotype" w:hAnsi="Palatino Linotype"/>
                <w:noProof/>
              </w:rPr>
              <w:t>A.</w:t>
            </w:r>
            <w:r w:rsidR="006676E0" w:rsidRPr="00E84311">
              <w:rPr>
                <w:rFonts w:ascii="Palatino Linotype" w:hAnsi="Palatino Linotype"/>
                <w:noProof/>
                <w:lang w:val="es-MX" w:eastAsia="es-MX"/>
              </w:rPr>
              <w:tab/>
            </w:r>
            <w:r w:rsidR="006676E0" w:rsidRPr="00E84311">
              <w:rPr>
                <w:rStyle w:val="Hipervnculo"/>
                <w:rFonts w:ascii="Palatino Linotype" w:hAnsi="Palatino Linotype"/>
                <w:noProof/>
              </w:rPr>
              <w:t>Formalidades para emitir el acuerdo de clasificación.</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_Toc21626014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54</w:t>
            </w:r>
            <w:r w:rsidR="006676E0" w:rsidRPr="00E84311">
              <w:rPr>
                <w:rFonts w:ascii="Palatino Linotype" w:hAnsi="Palatino Linotype"/>
                <w:noProof/>
                <w:webHidden/>
              </w:rPr>
              <w:fldChar w:fldCharType="end"/>
            </w:r>
          </w:hyperlink>
        </w:p>
        <w:p w14:paraId="2EF54D65" w14:textId="77777777" w:rsidR="006676E0" w:rsidRPr="00E84311" w:rsidRDefault="000D65B0" w:rsidP="00E84311">
          <w:pPr>
            <w:pStyle w:val="TDC2"/>
            <w:tabs>
              <w:tab w:val="left" w:pos="880"/>
            </w:tabs>
            <w:spacing w:before="240" w:line="360" w:lineRule="auto"/>
            <w:rPr>
              <w:rFonts w:ascii="Palatino Linotype" w:hAnsi="Palatino Linotype"/>
              <w:noProof/>
              <w:lang w:val="es-MX" w:eastAsia="es-MX"/>
            </w:rPr>
          </w:pPr>
          <w:hyperlink w:anchor="_Toc21626015" w:history="1">
            <w:r w:rsidR="006676E0" w:rsidRPr="00E84311">
              <w:rPr>
                <w:rStyle w:val="Hipervnculo"/>
                <w:rFonts w:ascii="Palatino Linotype" w:hAnsi="Palatino Linotype"/>
                <w:noProof/>
              </w:rPr>
              <w:t>B.</w:t>
            </w:r>
            <w:r w:rsidR="006676E0" w:rsidRPr="00E84311">
              <w:rPr>
                <w:rFonts w:ascii="Palatino Linotype" w:hAnsi="Palatino Linotype"/>
                <w:noProof/>
                <w:lang w:val="es-MX" w:eastAsia="es-MX"/>
              </w:rPr>
              <w:tab/>
            </w:r>
            <w:r w:rsidR="006676E0" w:rsidRPr="00E84311">
              <w:rPr>
                <w:rStyle w:val="Hipervnculo"/>
                <w:rFonts w:ascii="Palatino Linotype" w:hAnsi="Palatino Linotype"/>
                <w:noProof/>
              </w:rPr>
              <w:t>Requisitos de fondo del acuerdo de clasificación.</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_Toc21626015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55</w:t>
            </w:r>
            <w:r w:rsidR="006676E0" w:rsidRPr="00E84311">
              <w:rPr>
                <w:rFonts w:ascii="Palatino Linotype" w:hAnsi="Palatino Linotype"/>
                <w:noProof/>
                <w:webHidden/>
              </w:rPr>
              <w:fldChar w:fldCharType="end"/>
            </w:r>
          </w:hyperlink>
        </w:p>
        <w:p w14:paraId="13A6EB58" w14:textId="77777777" w:rsidR="006676E0" w:rsidRPr="00E84311" w:rsidRDefault="000D65B0" w:rsidP="00E84311">
          <w:pPr>
            <w:pStyle w:val="TDC2"/>
            <w:tabs>
              <w:tab w:val="left" w:pos="880"/>
            </w:tabs>
            <w:spacing w:before="240" w:line="360" w:lineRule="auto"/>
            <w:rPr>
              <w:rFonts w:ascii="Palatino Linotype" w:hAnsi="Palatino Linotype"/>
              <w:noProof/>
              <w:lang w:val="es-MX" w:eastAsia="es-MX"/>
            </w:rPr>
          </w:pPr>
          <w:hyperlink w:anchor="_Toc21626016" w:history="1">
            <w:r w:rsidR="006676E0" w:rsidRPr="00E84311">
              <w:rPr>
                <w:rStyle w:val="Hipervnculo"/>
                <w:rFonts w:ascii="Palatino Linotype" w:hAnsi="Palatino Linotype"/>
                <w:noProof/>
              </w:rPr>
              <w:t>C.</w:t>
            </w:r>
            <w:r w:rsidR="006676E0" w:rsidRPr="00E84311">
              <w:rPr>
                <w:rFonts w:ascii="Palatino Linotype" w:hAnsi="Palatino Linotype"/>
                <w:noProof/>
                <w:lang w:val="es-MX" w:eastAsia="es-MX"/>
              </w:rPr>
              <w:tab/>
            </w:r>
            <w:r w:rsidR="006676E0" w:rsidRPr="00E84311">
              <w:rPr>
                <w:rStyle w:val="Hipervnculo"/>
                <w:rFonts w:ascii="Palatino Linotype" w:hAnsi="Palatino Linotype"/>
                <w:noProof/>
              </w:rPr>
              <w:t>Condiciones especiales de la clasificación de la información como reservada.</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_Toc21626016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59</w:t>
            </w:r>
            <w:r w:rsidR="006676E0" w:rsidRPr="00E84311">
              <w:rPr>
                <w:rFonts w:ascii="Palatino Linotype" w:hAnsi="Palatino Linotype"/>
                <w:noProof/>
                <w:webHidden/>
              </w:rPr>
              <w:fldChar w:fldCharType="end"/>
            </w:r>
          </w:hyperlink>
        </w:p>
        <w:p w14:paraId="059F45AC" w14:textId="77777777" w:rsidR="006676E0" w:rsidRPr="00E84311" w:rsidRDefault="000D65B0" w:rsidP="00E84311">
          <w:pPr>
            <w:pStyle w:val="TDC3"/>
            <w:tabs>
              <w:tab w:val="left" w:pos="1100"/>
              <w:tab w:val="right" w:leader="dot" w:pos="8779"/>
            </w:tabs>
            <w:spacing w:before="240" w:line="360" w:lineRule="auto"/>
            <w:rPr>
              <w:rFonts w:ascii="Palatino Linotype" w:hAnsi="Palatino Linotype"/>
              <w:noProof/>
              <w:lang w:val="es-MX" w:eastAsia="es-MX"/>
            </w:rPr>
          </w:pPr>
          <w:hyperlink w:anchor="_Toc21626017" w:history="1">
            <w:r w:rsidR="006676E0" w:rsidRPr="00E84311">
              <w:rPr>
                <w:rStyle w:val="Hipervnculo"/>
                <w:rFonts w:ascii="Palatino Linotype" w:hAnsi="Palatino Linotype"/>
                <w:b/>
                <w:noProof/>
              </w:rPr>
              <w:t>a)</w:t>
            </w:r>
            <w:r w:rsidR="006676E0" w:rsidRPr="00E84311">
              <w:rPr>
                <w:rFonts w:ascii="Palatino Linotype" w:hAnsi="Palatino Linotype"/>
                <w:noProof/>
                <w:lang w:val="es-MX" w:eastAsia="es-MX"/>
              </w:rPr>
              <w:tab/>
            </w:r>
            <w:r w:rsidR="006676E0" w:rsidRPr="00E84311">
              <w:rPr>
                <w:rStyle w:val="Hipervnculo"/>
                <w:rFonts w:ascii="Palatino Linotype" w:hAnsi="Palatino Linotype"/>
                <w:b/>
                <w:noProof/>
              </w:rPr>
              <w:t>La fundamentación específica.</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_Toc21626017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59</w:t>
            </w:r>
            <w:r w:rsidR="006676E0" w:rsidRPr="00E84311">
              <w:rPr>
                <w:rFonts w:ascii="Palatino Linotype" w:hAnsi="Palatino Linotype"/>
                <w:noProof/>
                <w:webHidden/>
              </w:rPr>
              <w:fldChar w:fldCharType="end"/>
            </w:r>
          </w:hyperlink>
        </w:p>
        <w:p w14:paraId="4A407B86" w14:textId="77777777" w:rsidR="006676E0" w:rsidRPr="00E84311" w:rsidRDefault="000D65B0" w:rsidP="00E84311">
          <w:pPr>
            <w:pStyle w:val="TDC3"/>
            <w:tabs>
              <w:tab w:val="left" w:pos="1100"/>
              <w:tab w:val="right" w:leader="dot" w:pos="8779"/>
            </w:tabs>
            <w:spacing w:before="240" w:line="360" w:lineRule="auto"/>
            <w:rPr>
              <w:rFonts w:ascii="Palatino Linotype" w:hAnsi="Palatino Linotype"/>
              <w:noProof/>
              <w:lang w:val="es-MX" w:eastAsia="es-MX"/>
            </w:rPr>
          </w:pPr>
          <w:hyperlink w:anchor="_Toc21626018" w:history="1">
            <w:r w:rsidR="006676E0" w:rsidRPr="00E84311">
              <w:rPr>
                <w:rStyle w:val="Hipervnculo"/>
                <w:rFonts w:ascii="Palatino Linotype" w:hAnsi="Palatino Linotype"/>
                <w:b/>
                <w:noProof/>
              </w:rPr>
              <w:t>b)</w:t>
            </w:r>
            <w:r w:rsidR="006676E0" w:rsidRPr="00E84311">
              <w:rPr>
                <w:rFonts w:ascii="Palatino Linotype" w:hAnsi="Palatino Linotype"/>
                <w:noProof/>
                <w:lang w:val="es-MX" w:eastAsia="es-MX"/>
              </w:rPr>
              <w:tab/>
            </w:r>
            <w:r w:rsidR="006676E0" w:rsidRPr="00E84311">
              <w:rPr>
                <w:rStyle w:val="Hipervnculo"/>
                <w:rFonts w:ascii="Palatino Linotype" w:hAnsi="Palatino Linotype"/>
                <w:b/>
                <w:noProof/>
              </w:rPr>
              <w:t>La prueba de daño.</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_Toc21626018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60</w:t>
            </w:r>
            <w:r w:rsidR="006676E0" w:rsidRPr="00E84311">
              <w:rPr>
                <w:rFonts w:ascii="Palatino Linotype" w:hAnsi="Palatino Linotype"/>
                <w:noProof/>
                <w:webHidden/>
              </w:rPr>
              <w:fldChar w:fldCharType="end"/>
            </w:r>
          </w:hyperlink>
        </w:p>
        <w:p w14:paraId="26CFABAF" w14:textId="77777777" w:rsidR="006676E0" w:rsidRPr="00E84311" w:rsidRDefault="000D65B0" w:rsidP="00E84311">
          <w:pPr>
            <w:pStyle w:val="TDC1"/>
            <w:tabs>
              <w:tab w:val="left" w:pos="880"/>
            </w:tabs>
            <w:spacing w:before="240"/>
            <w:rPr>
              <w:rFonts w:ascii="Palatino Linotype" w:hAnsi="Palatino Linotype"/>
              <w:noProof/>
              <w:lang w:val="es-MX" w:eastAsia="es-MX"/>
            </w:rPr>
          </w:pPr>
          <w:hyperlink w:anchor="_Toc21626019" w:history="1">
            <w:r w:rsidR="006676E0" w:rsidRPr="00E84311">
              <w:rPr>
                <w:rStyle w:val="Hipervnculo"/>
                <w:rFonts w:ascii="Palatino Linotype" w:hAnsi="Palatino Linotype"/>
                <w:noProof/>
              </w:rPr>
              <w:t>D.</w:t>
            </w:r>
            <w:r w:rsidR="006676E0" w:rsidRPr="00E84311">
              <w:rPr>
                <w:rFonts w:ascii="Palatino Linotype" w:hAnsi="Palatino Linotype"/>
                <w:noProof/>
                <w:lang w:val="es-MX" w:eastAsia="es-MX"/>
              </w:rPr>
              <w:tab/>
            </w:r>
            <w:r w:rsidR="006676E0" w:rsidRPr="00E84311">
              <w:rPr>
                <w:rStyle w:val="Hipervnculo"/>
                <w:rFonts w:ascii="Palatino Linotype" w:hAnsi="Palatino Linotype"/>
                <w:noProof/>
              </w:rPr>
              <w:t>La clasificación de la información reservada debe ser de manera temporal.</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_Toc21626019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64</w:t>
            </w:r>
            <w:r w:rsidR="006676E0" w:rsidRPr="00E84311">
              <w:rPr>
                <w:rFonts w:ascii="Palatino Linotype" w:hAnsi="Palatino Linotype"/>
                <w:noProof/>
                <w:webHidden/>
              </w:rPr>
              <w:fldChar w:fldCharType="end"/>
            </w:r>
          </w:hyperlink>
        </w:p>
        <w:p w14:paraId="07FA108D" w14:textId="77777777" w:rsidR="006676E0" w:rsidRPr="00E84311" w:rsidRDefault="000D65B0" w:rsidP="00E84311">
          <w:pPr>
            <w:pStyle w:val="TDC2"/>
            <w:tabs>
              <w:tab w:val="left" w:pos="880"/>
            </w:tabs>
            <w:spacing w:before="240" w:line="360" w:lineRule="auto"/>
            <w:rPr>
              <w:rFonts w:ascii="Palatino Linotype" w:hAnsi="Palatino Linotype"/>
              <w:noProof/>
              <w:lang w:val="es-MX" w:eastAsia="es-MX"/>
            </w:rPr>
          </w:pPr>
          <w:hyperlink w:anchor="_Toc21626020" w:history="1">
            <w:r w:rsidR="006676E0" w:rsidRPr="00E84311">
              <w:rPr>
                <w:rStyle w:val="Hipervnculo"/>
                <w:rFonts w:ascii="Palatino Linotype" w:hAnsi="Palatino Linotype"/>
                <w:noProof/>
              </w:rPr>
              <w:t>E.</w:t>
            </w:r>
            <w:r w:rsidR="006676E0" w:rsidRPr="00E84311">
              <w:rPr>
                <w:rFonts w:ascii="Palatino Linotype" w:hAnsi="Palatino Linotype"/>
                <w:noProof/>
                <w:lang w:val="es-MX" w:eastAsia="es-MX"/>
              </w:rPr>
              <w:tab/>
            </w:r>
            <w:r w:rsidR="006676E0" w:rsidRPr="00E84311">
              <w:rPr>
                <w:rStyle w:val="Hipervnculo"/>
                <w:rFonts w:ascii="Palatino Linotype" w:hAnsi="Palatino Linotype"/>
                <w:noProof/>
              </w:rPr>
              <w:t>Condiciones especiales de la clasificación de la información como confidencial.</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_Toc21626020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66</w:t>
            </w:r>
            <w:r w:rsidR="006676E0" w:rsidRPr="00E84311">
              <w:rPr>
                <w:rFonts w:ascii="Palatino Linotype" w:hAnsi="Palatino Linotype"/>
                <w:noProof/>
                <w:webHidden/>
              </w:rPr>
              <w:fldChar w:fldCharType="end"/>
            </w:r>
          </w:hyperlink>
        </w:p>
        <w:p w14:paraId="1F5998A3" w14:textId="77777777" w:rsidR="006676E0" w:rsidRPr="00E84311" w:rsidRDefault="000D65B0" w:rsidP="00E84311">
          <w:pPr>
            <w:pStyle w:val="TDC1"/>
            <w:spacing w:before="240"/>
            <w:rPr>
              <w:rFonts w:ascii="Palatino Linotype" w:hAnsi="Palatino Linotype"/>
              <w:noProof/>
              <w:lang w:val="es-MX" w:eastAsia="es-MX"/>
            </w:rPr>
          </w:pPr>
          <w:hyperlink w:anchor="_Toc21626021" w:history="1">
            <w:r w:rsidR="006676E0" w:rsidRPr="00E84311">
              <w:rPr>
                <w:rStyle w:val="Hipervnculo"/>
                <w:rFonts w:ascii="Palatino Linotype" w:eastAsia="Calibri" w:hAnsi="Palatino Linotype"/>
                <w:noProof/>
                <w:lang w:val="es-ES"/>
              </w:rPr>
              <w:t>R E S O L U T I V O S</w:t>
            </w:r>
            <w:r w:rsidR="006676E0" w:rsidRPr="00E84311">
              <w:rPr>
                <w:rFonts w:ascii="Palatino Linotype" w:hAnsi="Palatino Linotype"/>
                <w:noProof/>
                <w:webHidden/>
              </w:rPr>
              <w:tab/>
            </w:r>
            <w:r w:rsidR="006676E0" w:rsidRPr="00E84311">
              <w:rPr>
                <w:rFonts w:ascii="Palatino Linotype" w:hAnsi="Palatino Linotype"/>
                <w:noProof/>
                <w:webHidden/>
              </w:rPr>
              <w:fldChar w:fldCharType="begin"/>
            </w:r>
            <w:r w:rsidR="006676E0" w:rsidRPr="00E84311">
              <w:rPr>
                <w:rFonts w:ascii="Palatino Linotype" w:hAnsi="Palatino Linotype"/>
                <w:noProof/>
                <w:webHidden/>
              </w:rPr>
              <w:instrText xml:space="preserve"> PAGEREF _Toc21626021 \h </w:instrText>
            </w:r>
            <w:r w:rsidR="006676E0" w:rsidRPr="00E84311">
              <w:rPr>
                <w:rFonts w:ascii="Palatino Linotype" w:hAnsi="Palatino Linotype"/>
                <w:noProof/>
                <w:webHidden/>
              </w:rPr>
            </w:r>
            <w:r w:rsidR="006676E0" w:rsidRPr="00E84311">
              <w:rPr>
                <w:rFonts w:ascii="Palatino Linotype" w:hAnsi="Palatino Linotype"/>
                <w:noProof/>
                <w:webHidden/>
              </w:rPr>
              <w:fldChar w:fldCharType="separate"/>
            </w:r>
            <w:r w:rsidR="001B350E">
              <w:rPr>
                <w:rFonts w:ascii="Palatino Linotype" w:hAnsi="Palatino Linotype"/>
                <w:noProof/>
                <w:webHidden/>
              </w:rPr>
              <w:t>68</w:t>
            </w:r>
            <w:r w:rsidR="006676E0" w:rsidRPr="00E84311">
              <w:rPr>
                <w:rFonts w:ascii="Palatino Linotype" w:hAnsi="Palatino Linotype"/>
                <w:noProof/>
                <w:webHidden/>
              </w:rPr>
              <w:fldChar w:fldCharType="end"/>
            </w:r>
          </w:hyperlink>
        </w:p>
        <w:p w14:paraId="5F05C663" w14:textId="7C615D57" w:rsidR="008826F4" w:rsidRPr="00E84311" w:rsidRDefault="0011338C" w:rsidP="00E84311">
          <w:pPr>
            <w:spacing w:before="240" w:line="360" w:lineRule="auto"/>
            <w:rPr>
              <w:rFonts w:ascii="Palatino Linotype" w:hAnsi="Palatino Linotype"/>
              <w:bCs/>
              <w:lang w:val="es-ES"/>
            </w:rPr>
          </w:pPr>
          <w:r w:rsidRPr="00E84311">
            <w:rPr>
              <w:rFonts w:ascii="Palatino Linotype" w:hAnsi="Palatino Linotype"/>
              <w:bCs/>
              <w:lang w:val="es-ES"/>
            </w:rPr>
            <w:fldChar w:fldCharType="end"/>
          </w:r>
        </w:p>
        <w:p w14:paraId="32D2BD27" w14:textId="0CF3A33C" w:rsidR="00F41E88" w:rsidRPr="00E84311" w:rsidRDefault="000D65B0" w:rsidP="00E84311">
          <w:pPr>
            <w:spacing w:before="240" w:line="360" w:lineRule="auto"/>
            <w:rPr>
              <w:rFonts w:ascii="Palatino Linotype" w:hAnsi="Palatino Linotype"/>
              <w:bCs/>
              <w:lang w:val="es-ES"/>
            </w:rPr>
          </w:pPr>
        </w:p>
      </w:sdtContent>
    </w:sdt>
    <w:p w14:paraId="7BA9DE57" w14:textId="56D94A8A" w:rsidR="00EB4847" w:rsidRPr="00E84311" w:rsidRDefault="001B26AA" w:rsidP="00E84311">
      <w:pPr>
        <w:tabs>
          <w:tab w:val="left" w:pos="567"/>
        </w:tabs>
        <w:spacing w:before="240" w:after="240" w:line="360" w:lineRule="auto"/>
        <w:jc w:val="both"/>
        <w:rPr>
          <w:rFonts w:ascii="Palatino Linotype" w:hAnsi="Palatino Linotype"/>
          <w:lang w:val="es-MX"/>
        </w:rPr>
      </w:pPr>
      <w:r w:rsidRPr="00E84311">
        <w:rPr>
          <w:rFonts w:ascii="Palatino Linotype" w:hAnsi="Palatino Linotype"/>
        </w:rPr>
        <w:t>R</w:t>
      </w:r>
      <w:r w:rsidR="00662C69" w:rsidRPr="00E84311">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8169E9">
        <w:rPr>
          <w:rFonts w:ascii="Palatino Linotype" w:hAnsi="Palatino Linotype"/>
          <w:lang w:val="es-MX"/>
        </w:rPr>
        <w:t xml:space="preserve">fecha dieciséis </w:t>
      </w:r>
      <w:r w:rsidR="000E6945" w:rsidRPr="00E84311">
        <w:rPr>
          <w:rFonts w:ascii="Palatino Linotype" w:hAnsi="Palatino Linotype"/>
          <w:lang w:val="es-MX"/>
        </w:rPr>
        <w:t>(</w:t>
      </w:r>
      <w:r w:rsidR="008169E9">
        <w:rPr>
          <w:rFonts w:ascii="Palatino Linotype" w:hAnsi="Palatino Linotype"/>
          <w:lang w:val="es-MX"/>
        </w:rPr>
        <w:t>16</w:t>
      </w:r>
      <w:r w:rsidR="000E6945" w:rsidRPr="00E84311">
        <w:rPr>
          <w:rFonts w:ascii="Palatino Linotype" w:hAnsi="Palatino Linotype"/>
          <w:lang w:val="es-MX"/>
        </w:rPr>
        <w:t>)</w:t>
      </w:r>
      <w:r w:rsidR="007E14CE" w:rsidRPr="00E84311">
        <w:rPr>
          <w:rFonts w:ascii="Palatino Linotype" w:hAnsi="Palatino Linotype"/>
          <w:lang w:val="es-MX"/>
        </w:rPr>
        <w:t xml:space="preserve"> </w:t>
      </w:r>
      <w:r w:rsidR="00D755D6" w:rsidRPr="00E84311">
        <w:rPr>
          <w:rFonts w:ascii="Palatino Linotype" w:hAnsi="Palatino Linotype"/>
          <w:lang w:val="es-MX"/>
        </w:rPr>
        <w:t xml:space="preserve">de </w:t>
      </w:r>
      <w:r w:rsidR="007B5F15" w:rsidRPr="00E84311">
        <w:rPr>
          <w:rFonts w:ascii="Palatino Linotype" w:hAnsi="Palatino Linotype"/>
          <w:lang w:val="es-MX"/>
        </w:rPr>
        <w:t>octubre</w:t>
      </w:r>
      <w:r w:rsidR="008A334C" w:rsidRPr="00E84311">
        <w:rPr>
          <w:rFonts w:ascii="Palatino Linotype" w:hAnsi="Palatino Linotype"/>
          <w:lang w:val="es-MX"/>
        </w:rPr>
        <w:t xml:space="preserve"> </w:t>
      </w:r>
      <w:r w:rsidR="00662C69" w:rsidRPr="00E84311">
        <w:rPr>
          <w:rFonts w:ascii="Palatino Linotype" w:hAnsi="Palatino Linotype"/>
          <w:lang w:val="es-MX"/>
        </w:rPr>
        <w:t xml:space="preserve">de dos mil </w:t>
      </w:r>
      <w:r w:rsidR="00B10987" w:rsidRPr="00E84311">
        <w:rPr>
          <w:rFonts w:ascii="Palatino Linotype" w:hAnsi="Palatino Linotype"/>
          <w:lang w:val="es-MX"/>
        </w:rPr>
        <w:t>dieci</w:t>
      </w:r>
      <w:r w:rsidR="008A334C" w:rsidRPr="00E84311">
        <w:rPr>
          <w:rFonts w:ascii="Palatino Linotype" w:hAnsi="Palatino Linotype"/>
          <w:lang w:val="es-MX"/>
        </w:rPr>
        <w:t>nueve</w:t>
      </w:r>
      <w:r w:rsidR="00662C69" w:rsidRPr="00E84311">
        <w:rPr>
          <w:rFonts w:ascii="Palatino Linotype" w:hAnsi="Palatino Linotype"/>
          <w:lang w:val="es-MX"/>
        </w:rPr>
        <w:t>.</w:t>
      </w:r>
    </w:p>
    <w:p w14:paraId="678D20AB" w14:textId="7C199AF4" w:rsidR="009B359D" w:rsidRPr="00E84311" w:rsidRDefault="00924CEA" w:rsidP="00E84311">
      <w:pPr>
        <w:pStyle w:val="Encabezado"/>
        <w:spacing w:line="360" w:lineRule="auto"/>
        <w:jc w:val="both"/>
        <w:rPr>
          <w:rFonts w:ascii="Palatino Linotype" w:eastAsia="Times New Roman" w:hAnsi="Palatino Linotype" w:cs="Times New Roman"/>
          <w:b/>
        </w:rPr>
      </w:pPr>
      <w:r w:rsidRPr="00E84311">
        <w:rPr>
          <w:rFonts w:ascii="Palatino Linotype" w:eastAsia="Times New Roman" w:hAnsi="Palatino Linotype" w:cs="Times New Roman"/>
          <w:b/>
        </w:rPr>
        <w:t>VISTO</w:t>
      </w:r>
      <w:r w:rsidR="003122CE" w:rsidRPr="00E84311">
        <w:rPr>
          <w:rFonts w:ascii="Palatino Linotype" w:eastAsia="Times New Roman" w:hAnsi="Palatino Linotype" w:cs="Times New Roman"/>
        </w:rPr>
        <w:t xml:space="preserve"> </w:t>
      </w:r>
      <w:r w:rsidRPr="00E84311">
        <w:rPr>
          <w:rFonts w:ascii="Palatino Linotype" w:eastAsia="Times New Roman" w:hAnsi="Palatino Linotype" w:cs="Times New Roman"/>
        </w:rPr>
        <w:t>el expediente</w:t>
      </w:r>
      <w:r w:rsidR="003122CE" w:rsidRPr="00E84311">
        <w:rPr>
          <w:rFonts w:ascii="Palatino Linotype" w:eastAsia="Times New Roman" w:hAnsi="Palatino Linotype" w:cs="Times New Roman"/>
        </w:rPr>
        <w:t xml:space="preserve"> electrón</w:t>
      </w:r>
      <w:r w:rsidRPr="00E84311">
        <w:rPr>
          <w:rFonts w:ascii="Palatino Linotype" w:eastAsia="Times New Roman" w:hAnsi="Palatino Linotype" w:cs="Times New Roman"/>
        </w:rPr>
        <w:t>ico formado</w:t>
      </w:r>
      <w:r w:rsidR="00417E0F" w:rsidRPr="00E84311">
        <w:rPr>
          <w:rFonts w:ascii="Palatino Linotype" w:eastAsia="Times New Roman" w:hAnsi="Palatino Linotype" w:cs="Times New Roman"/>
        </w:rPr>
        <w:t xml:space="preserve"> con motivo del recurso de revisión número</w:t>
      </w:r>
      <w:r w:rsidRPr="00E84311">
        <w:rPr>
          <w:rFonts w:ascii="Palatino Linotype" w:eastAsia="Times New Roman" w:hAnsi="Palatino Linotype" w:cs="Times New Roman"/>
        </w:rPr>
        <w:t xml:space="preserve"> </w:t>
      </w:r>
      <w:r w:rsidR="007B5F15" w:rsidRPr="00E84311">
        <w:rPr>
          <w:rFonts w:ascii="Palatino Linotype" w:hAnsi="Palatino Linotype" w:cs="Arial"/>
          <w:b/>
          <w:bCs/>
          <w:lang w:eastAsia="es-MX"/>
        </w:rPr>
        <w:t>06633/INFOEM/IP/RR/2019</w:t>
      </w:r>
      <w:r w:rsidR="003122CE" w:rsidRPr="00E84311">
        <w:rPr>
          <w:rFonts w:ascii="Palatino Linotype" w:eastAsia="Times New Roman" w:hAnsi="Palatino Linotype" w:cs="Arial"/>
          <w:bCs/>
        </w:rPr>
        <w:t xml:space="preserve">, </w:t>
      </w:r>
      <w:r w:rsidR="00417E0F" w:rsidRPr="00E84311">
        <w:rPr>
          <w:rFonts w:ascii="Palatino Linotype" w:eastAsia="Times New Roman" w:hAnsi="Palatino Linotype" w:cs="Times New Roman"/>
        </w:rPr>
        <w:t>promovido</w:t>
      </w:r>
      <w:r w:rsidR="003122CE" w:rsidRPr="00E84311">
        <w:rPr>
          <w:rFonts w:ascii="Palatino Linotype" w:eastAsia="Times New Roman" w:hAnsi="Palatino Linotype" w:cs="Times New Roman"/>
        </w:rPr>
        <w:t xml:space="preserve"> por</w:t>
      </w:r>
      <w:r w:rsidR="008D6C8D" w:rsidRPr="00E84311">
        <w:rPr>
          <w:rFonts w:ascii="Palatino Linotype" w:eastAsia="Times New Roman" w:hAnsi="Palatino Linotype" w:cs="Times New Roman"/>
        </w:rPr>
        <w:t xml:space="preserve"> </w:t>
      </w:r>
      <w:r w:rsidR="0054223D" w:rsidRPr="0054223D">
        <w:rPr>
          <w:rFonts w:ascii="Palatino Linotype" w:eastAsia="Times New Roman" w:hAnsi="Palatino Linotype" w:cs="Times New Roman"/>
          <w:b/>
          <w:highlight w:val="black"/>
        </w:rPr>
        <w:t>--------------------------</w:t>
      </w:r>
      <w:r w:rsidR="007B5F15" w:rsidRPr="0054223D">
        <w:rPr>
          <w:rFonts w:ascii="Palatino Linotype" w:eastAsia="Times New Roman" w:hAnsi="Palatino Linotype" w:cs="Times New Roman"/>
          <w:b/>
          <w:highlight w:val="black"/>
        </w:rPr>
        <w:t xml:space="preserve"> </w:t>
      </w:r>
      <w:r w:rsidR="0054223D" w:rsidRPr="0054223D">
        <w:rPr>
          <w:rFonts w:ascii="Palatino Linotype" w:eastAsia="Times New Roman" w:hAnsi="Palatino Linotype" w:cs="Times New Roman"/>
          <w:b/>
          <w:highlight w:val="black"/>
        </w:rPr>
        <w:t>------------------------------</w:t>
      </w:r>
      <w:r w:rsidR="003122CE" w:rsidRPr="00E84311">
        <w:rPr>
          <w:rFonts w:ascii="Palatino Linotype" w:eastAsia="Times New Roman" w:hAnsi="Palatino Linotype" w:cs="Times New Roman"/>
          <w:b/>
        </w:rPr>
        <w:t xml:space="preserve">, </w:t>
      </w:r>
      <w:r w:rsidR="003122CE" w:rsidRPr="00E84311">
        <w:rPr>
          <w:rFonts w:ascii="Palatino Linotype" w:eastAsia="Times New Roman" w:hAnsi="Palatino Linotype" w:cs="Arial"/>
        </w:rPr>
        <w:t xml:space="preserve">en su calidad de </w:t>
      </w:r>
      <w:r w:rsidR="003122CE" w:rsidRPr="00E84311">
        <w:rPr>
          <w:rFonts w:ascii="Palatino Linotype" w:eastAsia="Times New Roman" w:hAnsi="Palatino Linotype" w:cs="Arial"/>
          <w:b/>
        </w:rPr>
        <w:t>RECURRENTE</w:t>
      </w:r>
      <w:r w:rsidR="003122CE" w:rsidRPr="00E84311">
        <w:rPr>
          <w:rFonts w:ascii="Palatino Linotype" w:eastAsia="Times New Roman" w:hAnsi="Palatino Linotype" w:cs="Arial"/>
        </w:rPr>
        <w:t>, en contra de la respuesta</w:t>
      </w:r>
      <w:r w:rsidRPr="00E84311">
        <w:rPr>
          <w:rFonts w:ascii="Palatino Linotype" w:eastAsia="Times New Roman" w:hAnsi="Palatino Linotype" w:cs="Arial"/>
        </w:rPr>
        <w:t xml:space="preserve"> </w:t>
      </w:r>
      <w:r w:rsidR="002C30ED" w:rsidRPr="00E84311">
        <w:rPr>
          <w:rFonts w:ascii="Palatino Linotype" w:eastAsia="Times New Roman" w:hAnsi="Palatino Linotype" w:cs="Arial"/>
        </w:rPr>
        <w:t>de</w:t>
      </w:r>
      <w:r w:rsidR="00C575AF" w:rsidRPr="00E84311">
        <w:rPr>
          <w:rFonts w:ascii="Palatino Linotype" w:eastAsia="Times New Roman" w:hAnsi="Palatino Linotype" w:cs="Arial"/>
        </w:rPr>
        <w:t>l</w:t>
      </w:r>
      <w:r w:rsidR="004A4862" w:rsidRPr="00E84311">
        <w:rPr>
          <w:rFonts w:ascii="Palatino Linotype" w:eastAsia="Times New Roman" w:hAnsi="Palatino Linotype" w:cs="Arial"/>
        </w:rPr>
        <w:t xml:space="preserve"> </w:t>
      </w:r>
      <w:r w:rsidR="00C575AF" w:rsidRPr="00E84311">
        <w:rPr>
          <w:rFonts w:ascii="Palatino Linotype" w:hAnsi="Palatino Linotype"/>
          <w:b/>
          <w:bCs/>
          <w:color w:val="000000"/>
        </w:rPr>
        <w:t xml:space="preserve">Ayuntamiento de </w:t>
      </w:r>
      <w:r w:rsidR="007B5F15" w:rsidRPr="00E84311">
        <w:rPr>
          <w:rFonts w:ascii="Palatino Linotype" w:hAnsi="Palatino Linotype"/>
          <w:b/>
          <w:bCs/>
          <w:color w:val="000000"/>
        </w:rPr>
        <w:t>Zumpango</w:t>
      </w:r>
      <w:r w:rsidR="003122CE" w:rsidRPr="00E84311">
        <w:rPr>
          <w:rFonts w:ascii="Palatino Linotype" w:eastAsia="Calibri" w:hAnsi="Palatino Linotype" w:cs="Arial"/>
          <w:lang w:val="es-ES"/>
        </w:rPr>
        <w:t xml:space="preserve">, </w:t>
      </w:r>
      <w:r w:rsidR="003122CE" w:rsidRPr="00E84311">
        <w:rPr>
          <w:rFonts w:ascii="Palatino Linotype" w:eastAsia="Times New Roman" w:hAnsi="Palatino Linotype" w:cs="Times New Roman"/>
        </w:rPr>
        <w:t>en lo sucesivo el</w:t>
      </w:r>
      <w:r w:rsidR="003122CE" w:rsidRPr="00E84311">
        <w:rPr>
          <w:rFonts w:ascii="Palatino Linotype" w:eastAsia="Times New Roman" w:hAnsi="Palatino Linotype" w:cs="Times New Roman"/>
          <w:b/>
        </w:rPr>
        <w:t xml:space="preserve"> SUJETO OBLIGADO, </w:t>
      </w:r>
      <w:r w:rsidR="003122CE" w:rsidRPr="00E84311">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E84311" w:rsidRDefault="00F34201" w:rsidP="00E84311">
      <w:pPr>
        <w:pStyle w:val="Ttulo1"/>
        <w:tabs>
          <w:tab w:val="left" w:pos="567"/>
        </w:tabs>
        <w:spacing w:line="360" w:lineRule="auto"/>
        <w:jc w:val="center"/>
        <w:rPr>
          <w:b w:val="0"/>
          <w:color w:val="auto"/>
          <w:szCs w:val="24"/>
        </w:rPr>
      </w:pPr>
      <w:bookmarkStart w:id="2" w:name="_Toc473812222"/>
      <w:bookmarkStart w:id="3" w:name="_Toc495430765"/>
      <w:bookmarkStart w:id="4" w:name="_Toc21626000"/>
      <w:r w:rsidRPr="00E84311">
        <w:rPr>
          <w:color w:val="auto"/>
          <w:szCs w:val="24"/>
        </w:rPr>
        <w:t>ANTECEDENTES</w:t>
      </w:r>
      <w:bookmarkEnd w:id="2"/>
      <w:bookmarkEnd w:id="3"/>
      <w:bookmarkEnd w:id="4"/>
    </w:p>
    <w:p w14:paraId="54EBC941" w14:textId="77777777" w:rsidR="00F34201" w:rsidRPr="00E84311" w:rsidRDefault="00F34201" w:rsidP="00E84311">
      <w:pPr>
        <w:tabs>
          <w:tab w:val="left" w:pos="567"/>
        </w:tabs>
        <w:spacing w:line="360" w:lineRule="auto"/>
        <w:rPr>
          <w:rFonts w:ascii="Palatino Linotype" w:hAnsi="Palatino Linotype"/>
          <w:lang w:val="es-MX" w:eastAsia="en-US"/>
        </w:rPr>
      </w:pPr>
    </w:p>
    <w:p w14:paraId="749498DB" w14:textId="5275F0E7" w:rsidR="00F34201" w:rsidRPr="00E84311" w:rsidRDefault="00F34201" w:rsidP="00E8431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84311">
        <w:rPr>
          <w:rFonts w:ascii="Palatino Linotype" w:eastAsia="Calibri" w:hAnsi="Palatino Linotype" w:cs="Arial"/>
          <w:color w:val="000000" w:themeColor="text1"/>
          <w:lang w:val="es-ES"/>
        </w:rPr>
        <w:t xml:space="preserve">El día </w:t>
      </w:r>
      <w:r w:rsidR="007B5F15" w:rsidRPr="00E84311">
        <w:rPr>
          <w:rFonts w:ascii="Palatino Linotype" w:eastAsia="Calibri" w:hAnsi="Palatino Linotype" w:cs="Arial"/>
          <w:color w:val="000000" w:themeColor="text1"/>
          <w:lang w:val="es-ES"/>
        </w:rPr>
        <w:t>veinticinco</w:t>
      </w:r>
      <w:r w:rsidR="00027153" w:rsidRPr="00E84311">
        <w:rPr>
          <w:rFonts w:ascii="Palatino Linotype" w:eastAsia="Calibri" w:hAnsi="Palatino Linotype" w:cs="Arial"/>
          <w:color w:val="000000" w:themeColor="text1"/>
          <w:lang w:val="es-ES"/>
        </w:rPr>
        <w:t xml:space="preserve"> </w:t>
      </w:r>
      <w:r w:rsidRPr="00E84311">
        <w:rPr>
          <w:rFonts w:ascii="Palatino Linotype" w:eastAsia="Calibri" w:hAnsi="Palatino Linotype" w:cs="Arial"/>
          <w:color w:val="000000" w:themeColor="text1"/>
          <w:lang w:val="es-ES"/>
        </w:rPr>
        <w:t>(</w:t>
      </w:r>
      <w:r w:rsidR="007B5F15" w:rsidRPr="00E84311">
        <w:rPr>
          <w:rFonts w:ascii="Palatino Linotype" w:eastAsia="Calibri" w:hAnsi="Palatino Linotype" w:cs="Arial"/>
          <w:color w:val="000000" w:themeColor="text1"/>
          <w:lang w:val="es-ES"/>
        </w:rPr>
        <w:t>25</w:t>
      </w:r>
      <w:r w:rsidRPr="00E84311">
        <w:rPr>
          <w:rFonts w:ascii="Palatino Linotype" w:eastAsia="Calibri" w:hAnsi="Palatino Linotype" w:cs="Arial"/>
          <w:color w:val="000000" w:themeColor="text1"/>
          <w:lang w:val="es-ES"/>
        </w:rPr>
        <w:t xml:space="preserve">) de </w:t>
      </w:r>
      <w:r w:rsidR="007B5F15" w:rsidRPr="00E84311">
        <w:rPr>
          <w:rFonts w:ascii="Palatino Linotype" w:eastAsia="Calibri" w:hAnsi="Palatino Linotype" w:cs="Arial"/>
          <w:color w:val="000000" w:themeColor="text1"/>
          <w:lang w:val="es-ES"/>
        </w:rPr>
        <w:t>junio</w:t>
      </w:r>
      <w:r w:rsidRPr="00E84311">
        <w:rPr>
          <w:rFonts w:ascii="Palatino Linotype" w:eastAsia="Calibri" w:hAnsi="Palatino Linotype" w:cs="Arial"/>
          <w:color w:val="000000" w:themeColor="text1"/>
          <w:lang w:val="es-ES"/>
        </w:rPr>
        <w:t xml:space="preserve"> de </w:t>
      </w:r>
      <w:r w:rsidR="00E91B4E" w:rsidRPr="00E84311">
        <w:rPr>
          <w:rFonts w:ascii="Palatino Linotype" w:eastAsia="Calibri" w:hAnsi="Palatino Linotype" w:cs="Arial"/>
          <w:color w:val="000000" w:themeColor="text1"/>
          <w:lang w:val="es-ES"/>
        </w:rPr>
        <w:t>dos mil diecinueve</w:t>
      </w:r>
      <w:r w:rsidRPr="00E84311">
        <w:rPr>
          <w:rFonts w:ascii="Palatino Linotype" w:eastAsia="Calibri" w:hAnsi="Palatino Linotype" w:cs="Arial"/>
          <w:color w:val="000000" w:themeColor="text1"/>
          <w:lang w:val="es-ES"/>
        </w:rPr>
        <w:t>,</w:t>
      </w:r>
      <w:r w:rsidRPr="00E84311">
        <w:rPr>
          <w:rFonts w:ascii="Palatino Linotype" w:eastAsia="Calibri" w:hAnsi="Palatino Linotype" w:cs="Times New Roman"/>
          <w:color w:val="000000" w:themeColor="text1"/>
          <w:lang w:val="es-ES"/>
        </w:rPr>
        <w:t xml:space="preserve"> </w:t>
      </w:r>
      <w:r w:rsidR="00F523D6" w:rsidRPr="00E84311">
        <w:rPr>
          <w:rFonts w:ascii="Palatino Linotype" w:eastAsia="Calibri" w:hAnsi="Palatino Linotype" w:cs="Arial"/>
          <w:lang w:val="es-ES"/>
        </w:rPr>
        <w:t>se</w:t>
      </w:r>
      <w:r w:rsidR="002F768F" w:rsidRPr="00E84311">
        <w:rPr>
          <w:rFonts w:ascii="Palatino Linotype" w:eastAsia="Calibri" w:hAnsi="Palatino Linotype" w:cs="Arial"/>
          <w:b/>
          <w:lang w:val="es-ES"/>
        </w:rPr>
        <w:t xml:space="preserve"> </w:t>
      </w:r>
      <w:r w:rsidRPr="00E84311">
        <w:rPr>
          <w:rFonts w:ascii="Palatino Linotype" w:hAnsi="Palatino Linotype"/>
          <w:color w:val="000000" w:themeColor="text1"/>
        </w:rPr>
        <w:t>presentó</w:t>
      </w:r>
      <w:r w:rsidRPr="00E84311">
        <w:rPr>
          <w:rFonts w:ascii="Palatino Linotype" w:hAnsi="Palatino Linotype"/>
          <w:b/>
          <w:color w:val="000000" w:themeColor="text1"/>
        </w:rPr>
        <w:t xml:space="preserve"> </w:t>
      </w:r>
      <w:r w:rsidRPr="00E84311">
        <w:rPr>
          <w:rFonts w:ascii="Palatino Linotype" w:eastAsia="Calibri" w:hAnsi="Palatino Linotype" w:cs="Arial"/>
          <w:color w:val="000000" w:themeColor="text1"/>
        </w:rPr>
        <w:t xml:space="preserve">vía </w:t>
      </w:r>
      <w:r w:rsidRPr="00E84311">
        <w:rPr>
          <w:rFonts w:ascii="Palatino Linotype" w:eastAsia="Calibri" w:hAnsi="Palatino Linotype" w:cs="Arial"/>
          <w:color w:val="000000" w:themeColor="text1"/>
          <w:lang w:val="es-ES"/>
        </w:rPr>
        <w:t xml:space="preserve">Sistema de Acceso a la Información Mexiquense </w:t>
      </w:r>
      <w:r w:rsidRPr="00E84311">
        <w:rPr>
          <w:rFonts w:ascii="Palatino Linotype" w:eastAsia="Calibri" w:hAnsi="Palatino Linotype" w:cs="Arial"/>
          <w:b/>
          <w:color w:val="000000" w:themeColor="text1"/>
          <w:lang w:val="es-ES"/>
        </w:rPr>
        <w:t>(SAIMEX)</w:t>
      </w:r>
      <w:r w:rsidRPr="00E84311">
        <w:rPr>
          <w:rFonts w:ascii="Palatino Linotype" w:eastAsia="Calibri" w:hAnsi="Palatino Linotype" w:cs="Arial"/>
          <w:color w:val="000000" w:themeColor="text1"/>
          <w:lang w:val="es-ES"/>
        </w:rPr>
        <w:t>, la solicitud de información p</w:t>
      </w:r>
      <w:r w:rsidR="00924CEA" w:rsidRPr="00E84311">
        <w:rPr>
          <w:rFonts w:ascii="Palatino Linotype" w:eastAsia="Calibri" w:hAnsi="Palatino Linotype" w:cs="Arial"/>
          <w:color w:val="000000" w:themeColor="text1"/>
          <w:lang w:val="es-ES"/>
        </w:rPr>
        <w:t>ública registrada con el número</w:t>
      </w:r>
      <w:r w:rsidR="00305279" w:rsidRPr="00E84311">
        <w:rPr>
          <w:rFonts w:ascii="Palatino Linotype" w:hAnsi="Palatino Linotype"/>
          <w:b/>
          <w:bCs/>
          <w:color w:val="000000" w:themeColor="text1"/>
        </w:rPr>
        <w:t xml:space="preserve"> </w:t>
      </w:r>
      <w:r w:rsidR="007B5F15" w:rsidRPr="00E84311">
        <w:rPr>
          <w:rFonts w:ascii="Palatino Linotype" w:eastAsia="Calibri" w:hAnsi="Palatino Linotype" w:cs="Arial"/>
          <w:b/>
          <w:color w:val="000000" w:themeColor="text1"/>
          <w:lang w:val="es-ES"/>
        </w:rPr>
        <w:t>00252/ZUMPANGO/IP/2019</w:t>
      </w:r>
      <w:r w:rsidRPr="00E84311">
        <w:rPr>
          <w:rFonts w:ascii="Palatino Linotype" w:hAnsi="Palatino Linotype"/>
          <w:b/>
          <w:bCs/>
          <w:color w:val="000000" w:themeColor="text1"/>
        </w:rPr>
        <w:t>,</w:t>
      </w:r>
      <w:r w:rsidRPr="00E84311">
        <w:rPr>
          <w:rFonts w:ascii="Palatino Linotype" w:eastAsia="Calibri" w:hAnsi="Palatino Linotype" w:cs="Arial"/>
          <w:color w:val="000000" w:themeColor="text1"/>
          <w:lang w:val="es-ES"/>
        </w:rPr>
        <w:t xml:space="preserve"> mediante la cual </w:t>
      </w:r>
      <w:r w:rsidR="00097D8A" w:rsidRPr="00E84311">
        <w:rPr>
          <w:rFonts w:ascii="Palatino Linotype" w:eastAsia="Calibri" w:hAnsi="Palatino Linotype" w:cs="Arial"/>
          <w:color w:val="000000" w:themeColor="text1"/>
          <w:lang w:val="es-ES"/>
        </w:rPr>
        <w:t xml:space="preserve">se </w:t>
      </w:r>
      <w:r w:rsidR="00924CEA" w:rsidRPr="00E84311">
        <w:rPr>
          <w:rFonts w:ascii="Palatino Linotype" w:eastAsia="Calibri" w:hAnsi="Palatino Linotype" w:cs="Arial"/>
          <w:color w:val="000000" w:themeColor="text1"/>
          <w:lang w:val="es-ES"/>
        </w:rPr>
        <w:t>requirió</w:t>
      </w:r>
      <w:r w:rsidRPr="00E84311">
        <w:rPr>
          <w:rFonts w:ascii="Palatino Linotype" w:eastAsia="Calibri" w:hAnsi="Palatino Linotype" w:cs="Arial"/>
          <w:color w:val="000000" w:themeColor="text1"/>
          <w:lang w:val="es-ES"/>
        </w:rPr>
        <w:t>:</w:t>
      </w:r>
    </w:p>
    <w:p w14:paraId="6D5D1D38" w14:textId="77777777" w:rsidR="00EE5D4F" w:rsidRPr="00E84311" w:rsidRDefault="00EE5D4F" w:rsidP="00E843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20764EC7" w:rsidR="00800647" w:rsidRPr="00E84311" w:rsidRDefault="00252C4D" w:rsidP="00E84311">
      <w:pPr>
        <w:spacing w:line="360" w:lineRule="auto"/>
        <w:ind w:left="567" w:right="567"/>
        <w:jc w:val="both"/>
        <w:rPr>
          <w:rFonts w:ascii="Palatino Linotype" w:eastAsia="Times New Roman" w:hAnsi="Palatino Linotype" w:cs="Times New Roman"/>
          <w:i/>
          <w:lang w:val="es-MX" w:eastAsia="es-MX"/>
        </w:rPr>
      </w:pPr>
      <w:r w:rsidRPr="00E84311">
        <w:rPr>
          <w:rFonts w:ascii="Palatino Linotype" w:hAnsi="Palatino Linotype"/>
          <w:i/>
          <w:color w:val="000000"/>
        </w:rPr>
        <w:t>“</w:t>
      </w:r>
      <w:r w:rsidR="009D2439" w:rsidRPr="00E84311">
        <w:rPr>
          <w:rFonts w:ascii="Palatino Linotype" w:hAnsi="Palatino Linotype"/>
          <w:i/>
          <w:color w:val="000000"/>
        </w:rPr>
        <w:t>Me permito solicitar sea tan amable de proporcionar la información suficiente para atender la siguiente petición: Solicito toda la información que obre en sus archivos sobre todos los servidores públicos que forman parte de la policía municipal adscritos al Municipio de Zumpango. Lo anterior con fundamento en los artículos 1, 6 y 8 de la Constitución Política de los Estados Unidos Mexicanos; y 121, 122, 129 y 131 de la Ley General de Transparencia y Acceso a la Información Pública.</w:t>
      </w:r>
      <w:r w:rsidRPr="00E84311">
        <w:rPr>
          <w:rFonts w:ascii="Palatino Linotype" w:hAnsi="Palatino Linotype"/>
          <w:i/>
          <w:color w:val="000000"/>
        </w:rPr>
        <w:t>”</w:t>
      </w:r>
      <w:r w:rsidR="00F34201" w:rsidRPr="00E84311">
        <w:rPr>
          <w:rFonts w:ascii="Palatino Linotype" w:hAnsi="Palatino Linotype"/>
          <w:i/>
          <w:color w:val="000000"/>
        </w:rPr>
        <w:t xml:space="preserve"> (Sic)</w:t>
      </w:r>
    </w:p>
    <w:p w14:paraId="7410E090" w14:textId="77777777" w:rsidR="007E14CE" w:rsidRPr="00E84311" w:rsidRDefault="007E14CE" w:rsidP="00E84311">
      <w:pPr>
        <w:pStyle w:val="Prrafodelista"/>
        <w:spacing w:line="360" w:lineRule="auto"/>
        <w:ind w:left="0" w:right="567"/>
        <w:jc w:val="both"/>
        <w:rPr>
          <w:rFonts w:ascii="Palatino Linotype" w:eastAsia="Calibri" w:hAnsi="Palatino Linotype" w:cs="Arial"/>
          <w:color w:val="000000" w:themeColor="text1"/>
          <w:lang w:val="es-ES"/>
        </w:rPr>
      </w:pPr>
    </w:p>
    <w:p w14:paraId="55E841F0" w14:textId="2950A43E" w:rsidR="00BE134C" w:rsidRPr="00BE134C" w:rsidRDefault="00916840" w:rsidP="00BE134C">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E84311">
        <w:rPr>
          <w:rFonts w:ascii="Palatino Linotype" w:hAnsi="Palatino Linotype" w:cs="Arial"/>
          <w:color w:val="000000" w:themeColor="text1"/>
        </w:rPr>
        <w:t xml:space="preserve">Se hace constar que </w:t>
      </w:r>
      <w:r w:rsidRPr="00E84311">
        <w:rPr>
          <w:rFonts w:ascii="Palatino Linotype" w:eastAsia="Times New Roman" w:hAnsi="Palatino Linotype" w:cs="Arial"/>
          <w:color w:val="000000" w:themeColor="text1"/>
          <w:lang w:val="es-ES"/>
        </w:rPr>
        <w:t>se señaló como modalidad de entrega de la información</w:t>
      </w:r>
      <w:r w:rsidRPr="00E84311">
        <w:rPr>
          <w:rFonts w:ascii="Palatino Linotype" w:eastAsia="Times New Roman" w:hAnsi="Palatino Linotype" w:cs="Arial"/>
          <w:b/>
          <w:color w:val="000000" w:themeColor="text1"/>
          <w:lang w:val="es-ES"/>
        </w:rPr>
        <w:t>:</w:t>
      </w:r>
      <w:r w:rsidRPr="00E84311">
        <w:rPr>
          <w:rFonts w:ascii="Palatino Linotype" w:eastAsia="Times New Roman" w:hAnsi="Palatino Linotype" w:cs="Arial"/>
          <w:color w:val="000000" w:themeColor="text1"/>
          <w:lang w:val="es-ES"/>
        </w:rPr>
        <w:t xml:space="preserve"> a través </w:t>
      </w:r>
      <w:r w:rsidRPr="00E84311">
        <w:rPr>
          <w:rFonts w:ascii="Palatino Linotype" w:hAnsi="Palatino Linotype"/>
          <w:color w:val="000000" w:themeColor="text1"/>
        </w:rPr>
        <w:t xml:space="preserve">del </w:t>
      </w:r>
      <w:r w:rsidRPr="00E84311">
        <w:rPr>
          <w:rFonts w:ascii="Palatino Linotype" w:eastAsia="Calibri" w:hAnsi="Palatino Linotype" w:cs="Arial"/>
          <w:color w:val="000000" w:themeColor="text1"/>
          <w:lang w:val="es-ES"/>
        </w:rPr>
        <w:t xml:space="preserve">Sistema de Acceso a la Información Mexiquense </w:t>
      </w:r>
      <w:r w:rsidRPr="00E84311">
        <w:rPr>
          <w:rFonts w:ascii="Palatino Linotype" w:eastAsia="Calibri" w:hAnsi="Palatino Linotype" w:cs="Arial"/>
          <w:b/>
          <w:color w:val="000000" w:themeColor="text1"/>
          <w:lang w:val="es-ES"/>
        </w:rPr>
        <w:t>(SAIMEX).</w:t>
      </w:r>
    </w:p>
    <w:p w14:paraId="196D53AB" w14:textId="16F97D8B" w:rsidR="00EB1460" w:rsidRPr="00E84311" w:rsidRDefault="00525822" w:rsidP="00E8431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E84311">
        <w:rPr>
          <w:rFonts w:ascii="Palatino Linotype" w:eastAsia="Calibri" w:hAnsi="Palatino Linotype" w:cs="Arial"/>
          <w:lang w:val="es-AR"/>
        </w:rPr>
        <w:t>El día</w:t>
      </w:r>
      <w:r w:rsidR="00A34054" w:rsidRPr="00E84311">
        <w:rPr>
          <w:rFonts w:ascii="Palatino Linotype" w:eastAsia="Calibri" w:hAnsi="Palatino Linotype" w:cs="Arial"/>
          <w:lang w:val="es-AR"/>
        </w:rPr>
        <w:t xml:space="preserve"> </w:t>
      </w:r>
      <w:r w:rsidR="00770B33" w:rsidRPr="00E84311">
        <w:rPr>
          <w:rFonts w:ascii="Palatino Linotype" w:eastAsia="Calibri" w:hAnsi="Palatino Linotype" w:cs="Arial"/>
          <w:lang w:val="es-AR"/>
        </w:rPr>
        <w:t>(</w:t>
      </w:r>
      <w:r w:rsidR="00AA3E17" w:rsidRPr="00E84311">
        <w:rPr>
          <w:rFonts w:ascii="Palatino Linotype" w:eastAsia="Calibri" w:hAnsi="Palatino Linotype" w:cs="Arial"/>
          <w:lang w:val="es-AR"/>
        </w:rPr>
        <w:t>05</w:t>
      </w:r>
      <w:r w:rsidR="00770B33" w:rsidRPr="00E84311">
        <w:rPr>
          <w:rFonts w:ascii="Palatino Linotype" w:hAnsi="Palatino Linotype"/>
          <w:i/>
        </w:rPr>
        <w:t xml:space="preserve">) </w:t>
      </w:r>
      <w:r w:rsidR="00770B33" w:rsidRPr="00E84311">
        <w:rPr>
          <w:rFonts w:ascii="Palatino Linotype" w:hAnsi="Palatino Linotype"/>
        </w:rPr>
        <w:t xml:space="preserve">de </w:t>
      </w:r>
      <w:r w:rsidR="00AA3E17" w:rsidRPr="00E84311">
        <w:rPr>
          <w:rFonts w:ascii="Palatino Linotype" w:hAnsi="Palatino Linotype"/>
        </w:rPr>
        <w:t>agosto</w:t>
      </w:r>
      <w:r w:rsidR="00770B33" w:rsidRPr="00E84311">
        <w:rPr>
          <w:rFonts w:ascii="Palatino Linotype" w:hAnsi="Palatino Linotype"/>
        </w:rPr>
        <w:t xml:space="preserve"> de </w:t>
      </w:r>
      <w:r w:rsidR="00E91B4E" w:rsidRPr="00E84311">
        <w:rPr>
          <w:rFonts w:ascii="Palatino Linotype" w:hAnsi="Palatino Linotype"/>
        </w:rPr>
        <w:t>dos mil diecinueve</w:t>
      </w:r>
      <w:r w:rsidR="00770B33" w:rsidRPr="00E84311">
        <w:rPr>
          <w:rFonts w:ascii="Palatino Linotype" w:eastAsia="Times New Roman" w:hAnsi="Palatino Linotype" w:cs="Arial"/>
          <w:lang w:val="es-ES"/>
        </w:rPr>
        <w:t xml:space="preserve">, el </w:t>
      </w:r>
      <w:r w:rsidR="00770B33" w:rsidRPr="00E84311">
        <w:rPr>
          <w:rFonts w:ascii="Palatino Linotype" w:eastAsia="Times New Roman" w:hAnsi="Palatino Linotype" w:cs="Arial"/>
          <w:b/>
          <w:lang w:val="es-ES"/>
        </w:rPr>
        <w:t xml:space="preserve">SUJETO OBLIGADO </w:t>
      </w:r>
      <w:r w:rsidR="00B90D3C" w:rsidRPr="00E84311">
        <w:rPr>
          <w:rFonts w:ascii="Palatino Linotype" w:eastAsia="Times New Roman" w:hAnsi="Palatino Linotype" w:cs="Arial"/>
          <w:color w:val="000000" w:themeColor="text1"/>
          <w:lang w:val="es-ES"/>
        </w:rPr>
        <w:t>respondi</w:t>
      </w:r>
      <w:r w:rsidR="00EB1460" w:rsidRPr="00E84311">
        <w:rPr>
          <w:rFonts w:ascii="Palatino Linotype" w:eastAsia="Times New Roman" w:hAnsi="Palatino Linotype" w:cs="Arial"/>
          <w:color w:val="000000" w:themeColor="text1"/>
          <w:lang w:val="es-ES"/>
        </w:rPr>
        <w:t>ó a la solic</w:t>
      </w:r>
      <w:r w:rsidR="001C04DF" w:rsidRPr="00E84311">
        <w:rPr>
          <w:rFonts w:ascii="Palatino Linotype" w:eastAsia="Times New Roman" w:hAnsi="Palatino Linotype" w:cs="Arial"/>
          <w:color w:val="000000" w:themeColor="text1"/>
          <w:lang w:val="es-ES"/>
        </w:rPr>
        <w:t xml:space="preserve">itud de información </w:t>
      </w:r>
      <w:r w:rsidR="00AA3E17" w:rsidRPr="00E84311">
        <w:rPr>
          <w:rFonts w:ascii="Palatino Linotype" w:eastAsia="Times New Roman" w:hAnsi="Palatino Linotype" w:cs="Arial"/>
          <w:color w:val="000000" w:themeColor="text1"/>
          <w:lang w:val="es-ES"/>
        </w:rPr>
        <w:t>en los términos siguientes</w:t>
      </w:r>
      <w:r w:rsidR="00DB16FA" w:rsidRPr="00E84311">
        <w:rPr>
          <w:rFonts w:ascii="Palatino Linotype" w:hAnsi="Palatino Linotype" w:cs="Arial"/>
          <w:color w:val="000000" w:themeColor="text1"/>
        </w:rPr>
        <w:t>.</w:t>
      </w:r>
    </w:p>
    <w:p w14:paraId="4B7B7F1D" w14:textId="77777777" w:rsidR="00DB16FA" w:rsidRDefault="00DB16FA" w:rsidP="00E8431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61EBB73D" w14:textId="77777777" w:rsidR="00BE134C" w:rsidRDefault="00BE134C" w:rsidP="00E8431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9784951" w14:textId="77777777" w:rsidR="00BE134C" w:rsidRPr="00BE134C" w:rsidRDefault="00BE134C" w:rsidP="00E8431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sz w:val="12"/>
        </w:rPr>
      </w:pPr>
    </w:p>
    <w:p w14:paraId="483674FC" w14:textId="231C8D9A" w:rsidR="00AB78DC" w:rsidRPr="00E84311" w:rsidRDefault="00AA3E17" w:rsidP="00E8431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E84311">
        <w:rPr>
          <w:rFonts w:ascii="Palatino Linotype" w:eastAsia="Times New Roman" w:hAnsi="Palatino Linotype" w:cs="Times New Roman"/>
          <w:i/>
          <w:lang w:val="es-MX" w:eastAsia="es-MX"/>
        </w:rPr>
        <w:t>“</w:t>
      </w:r>
      <w:r w:rsidR="00AB78DC" w:rsidRPr="00E84311">
        <w:rPr>
          <w:rFonts w:ascii="Palatino Linotype" w:eastAsia="Times New Roman" w:hAnsi="Palatino Linotype" w:cs="Times New Roman"/>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1D2A48" w14:textId="77777777" w:rsidR="00BE134C" w:rsidRPr="00E84311" w:rsidRDefault="00BE134C" w:rsidP="00E84311">
      <w:pPr>
        <w:pStyle w:val="Prrafodelista"/>
        <w:tabs>
          <w:tab w:val="left" w:pos="567"/>
        </w:tabs>
        <w:spacing w:before="100" w:beforeAutospacing="1" w:after="100" w:afterAutospacing="1" w:line="360" w:lineRule="auto"/>
        <w:ind w:left="567" w:right="567"/>
        <w:jc w:val="both"/>
        <w:rPr>
          <w:rFonts w:ascii="Palatino Linotype" w:hAnsi="Palatino Linotype" w:cs="Arial"/>
          <w:i/>
          <w:color w:val="000000" w:themeColor="text1"/>
        </w:rPr>
      </w:pPr>
    </w:p>
    <w:p w14:paraId="6C32BFE3" w14:textId="7A246E4D" w:rsidR="00AB78DC" w:rsidRPr="00E84311" w:rsidRDefault="00AB78DC" w:rsidP="00E8431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E84311">
        <w:rPr>
          <w:rFonts w:ascii="Palatino Linotype" w:eastAsia="Times New Roman" w:hAnsi="Palatino Linotype" w:cs="Times New Roman"/>
          <w:i/>
          <w:lang w:val="es-MX" w:eastAsia="es-MX"/>
        </w:rPr>
        <w:t>me permito informarle que actualmente la comisaría de Seguridad Pública y Vialidad Municipal cuenta con un total de 256 elementos activos. de igual manera solicito saber que tipo de archivo es lo que requiere. sin mas por el momento quedo de usted. Gracias</w:t>
      </w:r>
    </w:p>
    <w:p w14:paraId="42B01410" w14:textId="77777777" w:rsidR="00AB78DC" w:rsidRDefault="00AB78DC" w:rsidP="00E8431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lang w:val="es-MX" w:eastAsia="es-MX"/>
        </w:rPr>
      </w:pPr>
    </w:p>
    <w:p w14:paraId="15B9AB41" w14:textId="77777777" w:rsidR="00BE134C" w:rsidRDefault="00BE134C" w:rsidP="00E8431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lang w:val="es-MX" w:eastAsia="es-MX"/>
        </w:rPr>
      </w:pPr>
    </w:p>
    <w:p w14:paraId="0EEB9018" w14:textId="77777777" w:rsidR="00BE134C" w:rsidRPr="00E84311" w:rsidRDefault="00BE134C" w:rsidP="00E8431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lang w:val="es-MX" w:eastAsia="es-MX"/>
        </w:rPr>
      </w:pPr>
    </w:p>
    <w:p w14:paraId="62A88545" w14:textId="760D874C" w:rsidR="00AB78DC" w:rsidRPr="00E84311" w:rsidRDefault="00AB78DC" w:rsidP="00E8431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lang w:val="es-MX" w:eastAsia="es-MX"/>
        </w:rPr>
      </w:pPr>
      <w:r w:rsidRPr="00E84311">
        <w:rPr>
          <w:rFonts w:ascii="Palatino Linotype" w:eastAsia="Times New Roman" w:hAnsi="Palatino Linotype" w:cs="Times New Roman"/>
          <w:i/>
          <w:lang w:val="es-MX" w:eastAsia="es-MX"/>
        </w:rPr>
        <w:t>ATENTAMENTE</w:t>
      </w:r>
    </w:p>
    <w:p w14:paraId="1B69293E" w14:textId="6FBC6492" w:rsidR="00AB78DC" w:rsidRPr="00E84311" w:rsidRDefault="00AB78DC" w:rsidP="00E84311">
      <w:pPr>
        <w:pStyle w:val="Prrafodelista"/>
        <w:tabs>
          <w:tab w:val="left" w:pos="567"/>
        </w:tabs>
        <w:spacing w:before="100" w:beforeAutospacing="1" w:after="100" w:afterAutospacing="1" w:line="360" w:lineRule="auto"/>
        <w:ind w:left="567" w:right="567"/>
        <w:jc w:val="both"/>
        <w:rPr>
          <w:rFonts w:ascii="Palatino Linotype" w:hAnsi="Palatino Linotype" w:cs="Arial"/>
          <w:i/>
          <w:color w:val="000000" w:themeColor="text1"/>
        </w:rPr>
      </w:pPr>
      <w:r w:rsidRPr="00E84311">
        <w:rPr>
          <w:rFonts w:ascii="Palatino Linotype" w:eastAsia="Times New Roman" w:hAnsi="Palatino Linotype" w:cs="Times New Roman"/>
          <w:i/>
          <w:lang w:val="es-MX" w:eastAsia="es-MX"/>
        </w:rPr>
        <w:t>M. EN E. JORGE CAJIGA CALDERÓN</w:t>
      </w:r>
      <w:r w:rsidR="00AA3E17" w:rsidRPr="00E84311">
        <w:rPr>
          <w:rFonts w:ascii="Palatino Linotype" w:eastAsia="Times New Roman" w:hAnsi="Palatino Linotype" w:cs="Times New Roman"/>
          <w:i/>
          <w:lang w:val="es-MX" w:eastAsia="es-MX"/>
        </w:rPr>
        <w:t>”</w:t>
      </w:r>
    </w:p>
    <w:p w14:paraId="584D63D3" w14:textId="77777777" w:rsidR="00AB78DC" w:rsidRPr="00E84311" w:rsidRDefault="00AB78DC" w:rsidP="00E8431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07E86AF" w14:textId="18DEEA36" w:rsidR="00F34201" w:rsidRPr="00E84311" w:rsidRDefault="00F34201" w:rsidP="00E8431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E84311">
        <w:rPr>
          <w:rFonts w:ascii="Palatino Linotype" w:eastAsia="Times New Roman" w:hAnsi="Palatino Linotype" w:cs="Arial"/>
          <w:lang w:val="es-ES"/>
        </w:rPr>
        <w:t xml:space="preserve">El día </w:t>
      </w:r>
      <w:r w:rsidR="00AA3E17" w:rsidRPr="00E84311">
        <w:rPr>
          <w:rFonts w:ascii="Palatino Linotype" w:eastAsia="Times New Roman" w:hAnsi="Palatino Linotype" w:cs="Arial"/>
          <w:lang w:val="es-ES"/>
        </w:rPr>
        <w:t>catorce</w:t>
      </w:r>
      <w:r w:rsidR="00280260" w:rsidRPr="00E84311">
        <w:rPr>
          <w:rFonts w:ascii="Palatino Linotype" w:eastAsia="Times New Roman" w:hAnsi="Palatino Linotype" w:cs="Arial"/>
          <w:lang w:val="es-ES"/>
        </w:rPr>
        <w:t xml:space="preserve"> </w:t>
      </w:r>
      <w:r w:rsidR="00E239DF" w:rsidRPr="00E84311">
        <w:rPr>
          <w:rFonts w:ascii="Palatino Linotype" w:eastAsia="Times New Roman" w:hAnsi="Palatino Linotype" w:cs="Arial"/>
          <w:lang w:val="es-ES"/>
        </w:rPr>
        <w:t>(</w:t>
      </w:r>
      <w:r w:rsidR="00AA3E17" w:rsidRPr="00E84311">
        <w:rPr>
          <w:rFonts w:ascii="Palatino Linotype" w:eastAsia="Times New Roman" w:hAnsi="Palatino Linotype" w:cs="Arial"/>
          <w:lang w:val="es-ES"/>
        </w:rPr>
        <w:t>14</w:t>
      </w:r>
      <w:r w:rsidR="00E239DF" w:rsidRPr="00E84311">
        <w:rPr>
          <w:rFonts w:ascii="Palatino Linotype" w:eastAsia="Times New Roman" w:hAnsi="Palatino Linotype" w:cs="Arial"/>
          <w:lang w:val="es-ES"/>
        </w:rPr>
        <w:t xml:space="preserve">) de </w:t>
      </w:r>
      <w:r w:rsidR="00AA3E17" w:rsidRPr="00E84311">
        <w:rPr>
          <w:rFonts w:ascii="Palatino Linotype" w:eastAsia="Times New Roman" w:hAnsi="Palatino Linotype" w:cs="Arial"/>
          <w:lang w:val="es-ES"/>
        </w:rPr>
        <w:t>agost</w:t>
      </w:r>
      <w:r w:rsidR="00027153" w:rsidRPr="00E84311">
        <w:rPr>
          <w:rFonts w:ascii="Palatino Linotype" w:eastAsia="Times New Roman" w:hAnsi="Palatino Linotype" w:cs="Arial"/>
          <w:lang w:val="es-ES"/>
        </w:rPr>
        <w:t>o</w:t>
      </w:r>
      <w:r w:rsidR="00DC6FF3" w:rsidRPr="00E84311">
        <w:rPr>
          <w:rFonts w:ascii="Palatino Linotype" w:eastAsia="Times New Roman" w:hAnsi="Palatino Linotype" w:cs="Arial"/>
          <w:lang w:val="es-ES"/>
        </w:rPr>
        <w:t xml:space="preserve"> </w:t>
      </w:r>
      <w:r w:rsidR="00E239DF" w:rsidRPr="00E84311">
        <w:rPr>
          <w:rFonts w:ascii="Palatino Linotype" w:eastAsia="Times New Roman" w:hAnsi="Palatino Linotype" w:cs="Arial"/>
          <w:lang w:val="es-ES"/>
        </w:rPr>
        <w:t xml:space="preserve">de </w:t>
      </w:r>
      <w:r w:rsidR="00E91B4E" w:rsidRPr="00E84311">
        <w:rPr>
          <w:rFonts w:ascii="Palatino Linotype" w:eastAsia="Times New Roman" w:hAnsi="Palatino Linotype" w:cs="Arial"/>
          <w:lang w:val="es-ES"/>
        </w:rPr>
        <w:t>dos mil diecinueve</w:t>
      </w:r>
      <w:r w:rsidRPr="00E84311">
        <w:rPr>
          <w:rFonts w:ascii="Palatino Linotype" w:eastAsia="Times New Roman" w:hAnsi="Palatino Linotype" w:cs="Arial"/>
          <w:lang w:val="es-ES"/>
        </w:rPr>
        <w:t xml:space="preserve">, en tiempo y forma </w:t>
      </w:r>
      <w:r w:rsidR="00797148" w:rsidRPr="00E84311">
        <w:rPr>
          <w:rFonts w:ascii="Palatino Linotype" w:hAnsi="Palatino Linotype"/>
          <w:color w:val="000000"/>
        </w:rPr>
        <w:t>se</w:t>
      </w:r>
      <w:r w:rsidR="00C15336" w:rsidRPr="00E84311">
        <w:rPr>
          <w:rFonts w:ascii="Palatino Linotype" w:hAnsi="Palatino Linotype"/>
          <w:color w:val="000000"/>
        </w:rPr>
        <w:t xml:space="preserve"> </w:t>
      </w:r>
      <w:r w:rsidRPr="00E84311">
        <w:rPr>
          <w:rFonts w:ascii="Palatino Linotype" w:eastAsia="Times New Roman" w:hAnsi="Palatino Linotype" w:cs="Arial"/>
          <w:lang w:val="es-ES"/>
        </w:rPr>
        <w:t xml:space="preserve">interpuso el recurso de revisión, en contra de la respuesta </w:t>
      </w:r>
      <w:r w:rsidR="00826130" w:rsidRPr="00E84311">
        <w:rPr>
          <w:rFonts w:ascii="Palatino Linotype" w:eastAsia="Times New Roman" w:hAnsi="Palatino Linotype" w:cs="Arial"/>
          <w:lang w:val="es-ES"/>
        </w:rPr>
        <w:t xml:space="preserve">emitida por el </w:t>
      </w:r>
      <w:r w:rsidR="00826130" w:rsidRPr="00E84311">
        <w:rPr>
          <w:rFonts w:ascii="Palatino Linotype" w:eastAsia="Times New Roman" w:hAnsi="Palatino Linotype" w:cs="Arial"/>
          <w:b/>
          <w:lang w:val="es-ES"/>
        </w:rPr>
        <w:t>SUJETO OBLIGADO</w:t>
      </w:r>
      <w:r w:rsidRPr="00E84311">
        <w:rPr>
          <w:rFonts w:ascii="Palatino Linotype" w:eastAsia="Times New Roman" w:hAnsi="Palatino Linotype" w:cs="Arial"/>
          <w:lang w:val="es-ES"/>
        </w:rPr>
        <w:t>, señalando como:</w:t>
      </w:r>
    </w:p>
    <w:p w14:paraId="5D195D9E" w14:textId="77777777" w:rsidR="00C15336" w:rsidRPr="00E84311" w:rsidRDefault="00C15336" w:rsidP="00E84311">
      <w:pPr>
        <w:pStyle w:val="Prrafodelista"/>
        <w:tabs>
          <w:tab w:val="left" w:pos="567"/>
        </w:tabs>
        <w:spacing w:line="360" w:lineRule="auto"/>
        <w:ind w:left="0"/>
        <w:jc w:val="both"/>
        <w:rPr>
          <w:rFonts w:ascii="Palatino Linotype" w:hAnsi="Palatino Linotype"/>
        </w:rPr>
      </w:pPr>
    </w:p>
    <w:p w14:paraId="59970600" w14:textId="533150FF" w:rsidR="00F34201" w:rsidRPr="00E84311" w:rsidRDefault="006711DB" w:rsidP="00E84311">
      <w:pPr>
        <w:spacing w:line="360" w:lineRule="auto"/>
        <w:ind w:left="567" w:right="567"/>
        <w:jc w:val="both"/>
        <w:rPr>
          <w:rFonts w:ascii="Palatino Linotype" w:eastAsia="Calibri" w:hAnsi="Palatino Linotype" w:cs="Arial"/>
          <w:i/>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21626001"/>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E84311">
        <w:rPr>
          <w:rStyle w:val="Ttulo2Car"/>
          <w:color w:val="auto"/>
          <w:szCs w:val="24"/>
          <w:lang w:val="es-ES"/>
        </w:rPr>
        <w:t xml:space="preserve">a) </w:t>
      </w:r>
      <w:r w:rsidR="00F34201" w:rsidRPr="00E84311">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E84311">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E84311">
        <w:rPr>
          <w:rFonts w:ascii="Palatino Linotype" w:hAnsi="Palatino Linotype"/>
          <w:i/>
        </w:rPr>
        <w:t>“</w:t>
      </w:r>
      <w:r w:rsidR="00AA3E17" w:rsidRPr="00E84311">
        <w:rPr>
          <w:rFonts w:ascii="Palatino Linotype" w:hAnsi="Palatino Linotype"/>
          <w:i/>
          <w:color w:val="000000"/>
        </w:rPr>
        <w:t>1. No se proporcionó la información solicitada. 2. Si bien la Constitución Política de los Estados Unidos Mexicanos establece, en su artículo 1, que todas las autoridades, en el ámbito de sus competencias, tienen la obligación de promover, respetar, proteger y garantizar los derechos humanos, y el artículo 4 de la Ley General de Transparencia y Acceso a la Información Pública establece que el derecho humano de acceso a la información comprende solicitar, investigar, difundir, buscar y recibir información en posesión de los sujetos obligados, no se dio acceso a mi derecho humano, derecho que debe garantizar, proteger y respetar la autoridad que tuvo a bien contestar mi solicitud. 3. El artículo 121 de la Ley de General de Transparencia y Acceso a la Información Pública establece que se deberán garantizar las medidas y condiciones de accesibilidad para que toda persona pueda ejercer el derecho de acceso a la información, mediante solicitudes de información. 4. No fundó ni motivó, de conformidad con el artículo 127 de la Ley General mencionada. 5. No se otorgó acceso, violando el artículo 129 de la Ley General mencionada. 6. De conformidad con el artículo 134 de la Ley General mencionada, solicito que se corran los costos de reproducción y envió de la información a la que no se me dio acceso, de conformidad con el artículo 144, párrafo segundo, de la Ley General mencionada.</w:t>
      </w:r>
      <w:r w:rsidR="00451EB6" w:rsidRPr="00E84311">
        <w:rPr>
          <w:rFonts w:ascii="Palatino Linotype" w:eastAsia="Times New Roman" w:hAnsi="Palatino Linotype" w:cs="Times New Roman"/>
          <w:i/>
          <w:lang w:val="es-MX" w:eastAsia="es-MX"/>
        </w:rPr>
        <w:t>"</w:t>
      </w:r>
      <w:r w:rsidR="00451EB6" w:rsidRPr="00E84311">
        <w:rPr>
          <w:rFonts w:ascii="Palatino Linotype" w:eastAsia="Calibri" w:hAnsi="Palatino Linotype" w:cs="Arial"/>
          <w:i/>
          <w:lang w:val="es-ES"/>
        </w:rPr>
        <w:t xml:space="preserve"> </w:t>
      </w:r>
      <w:r w:rsidR="00AC6585" w:rsidRPr="00E84311">
        <w:rPr>
          <w:rFonts w:ascii="Palatino Linotype" w:eastAsia="Calibri" w:hAnsi="Palatino Linotype" w:cs="Arial"/>
          <w:i/>
          <w:lang w:val="es-ES"/>
        </w:rPr>
        <w:t>(Sic)</w:t>
      </w:r>
    </w:p>
    <w:p w14:paraId="49011773" w14:textId="77777777" w:rsidR="009F65DD" w:rsidRPr="00E84311" w:rsidRDefault="009F65DD" w:rsidP="00E84311">
      <w:pPr>
        <w:spacing w:line="360" w:lineRule="auto"/>
        <w:ind w:right="567"/>
        <w:jc w:val="both"/>
        <w:rPr>
          <w:rStyle w:val="Ttulo2Car"/>
          <w:b w:val="0"/>
          <w:color w:val="auto"/>
          <w:szCs w:val="24"/>
          <w:lang w:val="es-ES"/>
        </w:rPr>
      </w:pPr>
    </w:p>
    <w:p w14:paraId="5DF021EB" w14:textId="1D39EF6B" w:rsidR="00B33884" w:rsidRPr="00E84311" w:rsidRDefault="006711DB" w:rsidP="00E84311">
      <w:pPr>
        <w:spacing w:line="360" w:lineRule="auto"/>
        <w:ind w:left="567" w:right="567"/>
        <w:jc w:val="both"/>
        <w:rPr>
          <w:rFonts w:ascii="Palatino Linotype" w:hAnsi="Palatino Linotype"/>
          <w:i/>
          <w:color w:val="000000"/>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1626002"/>
      <w:r w:rsidRPr="00E84311">
        <w:rPr>
          <w:rStyle w:val="Ttulo2Car"/>
          <w:color w:val="auto"/>
          <w:szCs w:val="24"/>
          <w:lang w:val="es-ES"/>
        </w:rPr>
        <w:t xml:space="preserve">b) </w:t>
      </w:r>
      <w:r w:rsidR="00F34201" w:rsidRPr="00E84311">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E84311">
        <w:rPr>
          <w:rFonts w:ascii="Palatino Linotype" w:hAnsi="Palatino Linotype"/>
        </w:rPr>
        <w:t xml:space="preserve"> </w:t>
      </w:r>
      <w:r w:rsidR="00AA3E17" w:rsidRPr="00E84311">
        <w:rPr>
          <w:rFonts w:ascii="Palatino Linotype" w:hAnsi="Palatino Linotype"/>
          <w:i/>
          <w:color w:val="000000"/>
        </w:rPr>
        <w:t>“1. No se proporcionó la información solicitada. 2. Si bien la Constitución Política de los Estados Unidos Mexicanos establece, en su artículo 1, que todas las autoridades, en el ámbito de sus competencias, tienen la obligación de promover, respetar, proteger y garantizar los derechos humanos, y el artículo 4 de la Ley General de Transparencia y Acceso a la Información Pública establece que el derecho humano de acceso a la información comprende solicitar, investigar, difundir, buscar y recibir información en posesión de los sujetos obligados, no se dio acceso a mi derecho humano, derecho que debe garantizar, proteger y respetar la autoridad que tuvo a bien contestar mi solicitud. 3. El artículo 121 de la Ley de General de Transparencia y Acceso a la Información Pública establece que se deberán garantizar las medidas y condiciones de accesibilidad para que toda persona pueda ejercer el derecho de acceso a la información, mediante solicitudes de información. 4. No fundó ni motivó, de conformidad con el artículo 127 de la Ley General mencionada. 5. No se otorgó acceso, violando el artículo 129 de la Ley General mencionada. 6. De conformidad con el artículo 134 de la Ley General mencionada, solicito que se corran los costos de reproducción y envió de la información a la que no se me dio acceso, de conformidad con el artículo 144, párrafo segundo, de la Ley General mencionada.</w:t>
      </w:r>
      <w:r w:rsidR="00F34201" w:rsidRPr="00E84311">
        <w:rPr>
          <w:rFonts w:ascii="Palatino Linotype" w:hAnsi="Palatino Linotype"/>
          <w:i/>
          <w:color w:val="000000"/>
        </w:rPr>
        <w:t>” (Sic)</w:t>
      </w:r>
    </w:p>
    <w:p w14:paraId="6EAD69D3" w14:textId="0EC2B52E" w:rsidR="00F34201" w:rsidRPr="00E84311" w:rsidRDefault="00F34201" w:rsidP="00E8431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84311">
        <w:rPr>
          <w:rFonts w:ascii="Palatino Linotype" w:eastAsia="Times New Roman" w:hAnsi="Palatino Linotype" w:cs="Arial"/>
          <w:lang w:val="es-ES"/>
        </w:rPr>
        <w:t xml:space="preserve">Se registró el recurso de revisión bajo el número de expediente </w:t>
      </w:r>
      <w:r w:rsidRPr="00E84311">
        <w:rPr>
          <w:rFonts w:ascii="Palatino Linotype" w:hAnsi="Palatino Linotype" w:cs="Arial"/>
          <w:bCs/>
        </w:rPr>
        <w:t xml:space="preserve">al rubro indicado, así mismo con fundamento en lo dispuesto por el </w:t>
      </w:r>
      <w:r w:rsidRPr="00E84311">
        <w:rPr>
          <w:rFonts w:ascii="Palatino Linotype" w:eastAsia="Calibri" w:hAnsi="Palatino Linotype" w:cs="Arial"/>
          <w:lang w:val="es-ES"/>
        </w:rPr>
        <w:t xml:space="preserve">artículo 185 fracción I de la </w:t>
      </w:r>
      <w:r w:rsidRPr="00E84311">
        <w:rPr>
          <w:rFonts w:ascii="Palatino Linotype" w:eastAsia="Calibri" w:hAnsi="Palatino Linotype" w:cs="Arial"/>
          <w:b/>
          <w:lang w:val="es-ES"/>
        </w:rPr>
        <w:t xml:space="preserve">Ley de Transparencia y Acceso a la Información Pública del Estado de México y Municipios </w:t>
      </w:r>
      <w:r w:rsidRPr="00E84311">
        <w:rPr>
          <w:rFonts w:ascii="Palatino Linotype" w:eastAsia="Times New Roman" w:hAnsi="Palatino Linotype" w:cs="Arial"/>
          <w:lang w:val="es-ES"/>
        </w:rPr>
        <w:t xml:space="preserve">se turnó al </w:t>
      </w:r>
      <w:r w:rsidRPr="00E84311">
        <w:rPr>
          <w:rFonts w:ascii="Palatino Linotype" w:eastAsia="Times New Roman" w:hAnsi="Palatino Linotype" w:cs="Arial"/>
          <w:b/>
          <w:lang w:val="es-ES"/>
        </w:rPr>
        <w:t xml:space="preserve">Comisionado José Guadalupe Luna Hernández, </w:t>
      </w:r>
      <w:r w:rsidRPr="00E84311">
        <w:rPr>
          <w:rFonts w:ascii="Palatino Linotype" w:eastAsia="Times New Roman" w:hAnsi="Palatino Linotype" w:cs="Arial"/>
          <w:lang w:val="es-ES"/>
        </w:rPr>
        <w:t xml:space="preserve">con el objeto de </w:t>
      </w:r>
      <w:r w:rsidRPr="00E84311">
        <w:rPr>
          <w:rFonts w:ascii="Palatino Linotype" w:eastAsia="Times New Roman" w:hAnsi="Palatino Linotype" w:cs="Arial"/>
          <w:lang w:val="es-MX"/>
        </w:rPr>
        <w:t>su análisis.</w:t>
      </w:r>
    </w:p>
    <w:p w14:paraId="17513FB7" w14:textId="77777777" w:rsidR="003B7B65" w:rsidRPr="00E84311" w:rsidRDefault="003B7B65" w:rsidP="00E84311">
      <w:pPr>
        <w:pStyle w:val="Prrafodelista"/>
        <w:tabs>
          <w:tab w:val="left" w:pos="426"/>
          <w:tab w:val="left" w:pos="567"/>
        </w:tabs>
        <w:spacing w:line="360" w:lineRule="auto"/>
        <w:ind w:left="0"/>
        <w:jc w:val="both"/>
        <w:rPr>
          <w:rFonts w:ascii="Palatino Linotype" w:hAnsi="Palatino Linotype"/>
          <w:color w:val="000000"/>
        </w:rPr>
      </w:pPr>
    </w:p>
    <w:p w14:paraId="27645CCA" w14:textId="60503E3C" w:rsidR="003B187B" w:rsidRPr="00E84311" w:rsidRDefault="00F34201" w:rsidP="00E8431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8431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A3E17" w:rsidRPr="00E84311">
        <w:rPr>
          <w:rFonts w:ascii="Palatino Linotype" w:eastAsia="Calibri" w:hAnsi="Palatino Linotype" w:cs="Arial"/>
          <w:lang w:val="es-ES"/>
        </w:rPr>
        <w:t>veinte</w:t>
      </w:r>
      <w:r w:rsidR="00D170A6" w:rsidRPr="00E84311">
        <w:rPr>
          <w:rFonts w:ascii="Palatino Linotype" w:eastAsia="Calibri" w:hAnsi="Palatino Linotype" w:cs="Arial"/>
          <w:lang w:val="es-ES"/>
        </w:rPr>
        <w:t xml:space="preserve"> </w:t>
      </w:r>
      <w:r w:rsidRPr="00E84311">
        <w:rPr>
          <w:rFonts w:ascii="Palatino Linotype" w:eastAsia="Calibri" w:hAnsi="Palatino Linotype" w:cs="Arial"/>
          <w:lang w:val="es-ES"/>
        </w:rPr>
        <w:t>(</w:t>
      </w:r>
      <w:r w:rsidR="00AA3E17" w:rsidRPr="00E84311">
        <w:rPr>
          <w:rFonts w:ascii="Palatino Linotype" w:eastAsia="Calibri" w:hAnsi="Palatino Linotype" w:cs="Arial"/>
          <w:lang w:val="es-ES"/>
        </w:rPr>
        <w:t>20</w:t>
      </w:r>
      <w:r w:rsidRPr="00E84311">
        <w:rPr>
          <w:rFonts w:ascii="Palatino Linotype" w:eastAsia="Calibri" w:hAnsi="Palatino Linotype" w:cs="Arial"/>
          <w:lang w:val="es-ES"/>
        </w:rPr>
        <w:t xml:space="preserve">) </w:t>
      </w:r>
      <w:r w:rsidR="00AA3E17" w:rsidRPr="00E84311">
        <w:rPr>
          <w:rFonts w:ascii="Palatino Linotype" w:eastAsia="Calibri" w:hAnsi="Palatino Linotype" w:cs="Arial"/>
          <w:lang w:val="es-ES"/>
        </w:rPr>
        <w:t xml:space="preserve">de </w:t>
      </w:r>
      <w:r w:rsidR="0096491E" w:rsidRPr="00E84311">
        <w:rPr>
          <w:rFonts w:ascii="Palatino Linotype" w:eastAsia="Calibri" w:hAnsi="Palatino Linotype" w:cs="Arial"/>
          <w:lang w:val="es-ES"/>
        </w:rPr>
        <w:t xml:space="preserve">agosto </w:t>
      </w:r>
      <w:r w:rsidR="005508E5" w:rsidRPr="00E84311">
        <w:rPr>
          <w:rFonts w:ascii="Palatino Linotype" w:eastAsia="Times New Roman" w:hAnsi="Palatino Linotype" w:cs="Arial"/>
          <w:lang w:val="es-ES"/>
        </w:rPr>
        <w:t>de dos mil diecinueve</w:t>
      </w:r>
      <w:r w:rsidRPr="00E84311">
        <w:rPr>
          <w:rFonts w:ascii="Palatino Linotype" w:eastAsia="Calibri" w:hAnsi="Palatino Linotype" w:cs="Arial"/>
          <w:lang w:val="es-ES"/>
        </w:rPr>
        <w:t xml:space="preserve">, puso a disposición de las partes el expediente electrónico </w:t>
      </w:r>
      <w:r w:rsidRPr="00E84311">
        <w:rPr>
          <w:rFonts w:ascii="Palatino Linotype" w:eastAsia="Calibri" w:hAnsi="Palatino Linotype" w:cs="Arial"/>
        </w:rPr>
        <w:t xml:space="preserve">vía </w:t>
      </w:r>
      <w:r w:rsidRPr="00E84311">
        <w:rPr>
          <w:rFonts w:ascii="Palatino Linotype" w:eastAsia="Calibri" w:hAnsi="Palatino Linotype" w:cs="Arial"/>
          <w:lang w:val="es-ES"/>
        </w:rPr>
        <w:t xml:space="preserve">Sistema de Acceso a la Información Mexiquense </w:t>
      </w:r>
      <w:r w:rsidRPr="00E84311">
        <w:rPr>
          <w:rFonts w:ascii="Palatino Linotype" w:eastAsia="Calibri" w:hAnsi="Palatino Linotype" w:cs="Arial"/>
          <w:b/>
          <w:lang w:val="es-ES"/>
        </w:rPr>
        <w:t xml:space="preserve">(SAIMEX) </w:t>
      </w:r>
      <w:r w:rsidRPr="00E84311">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E84311">
        <w:rPr>
          <w:rFonts w:ascii="Palatino Linotype" w:eastAsia="Calibri" w:hAnsi="Palatino Linotype" w:cs="Arial"/>
          <w:lang w:val="es-ES"/>
        </w:rPr>
        <w:t>.</w:t>
      </w:r>
    </w:p>
    <w:p w14:paraId="14E1BFA9" w14:textId="77777777" w:rsidR="00AA3E17" w:rsidRPr="00E84311" w:rsidRDefault="00AA3E17" w:rsidP="00E84311">
      <w:pPr>
        <w:pStyle w:val="Prrafodelista"/>
        <w:tabs>
          <w:tab w:val="left" w:pos="426"/>
          <w:tab w:val="left" w:pos="567"/>
        </w:tabs>
        <w:spacing w:line="360" w:lineRule="auto"/>
        <w:ind w:left="0"/>
        <w:jc w:val="both"/>
        <w:rPr>
          <w:rFonts w:ascii="Palatino Linotype" w:hAnsi="Palatino Linotype"/>
          <w:color w:val="000000"/>
        </w:rPr>
      </w:pPr>
    </w:p>
    <w:p w14:paraId="040BC260" w14:textId="1AE45E2B" w:rsidR="00232A8D" w:rsidRPr="00E84311" w:rsidRDefault="003B7B65" w:rsidP="00E8431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84311">
        <w:rPr>
          <w:rFonts w:ascii="Palatino Linotype" w:eastAsia="Calibri" w:hAnsi="Palatino Linotype" w:cs="Arial"/>
          <w:lang w:val="es-ES"/>
        </w:rPr>
        <w:t xml:space="preserve">El día </w:t>
      </w:r>
      <w:r w:rsidR="00AA3E17" w:rsidRPr="00E84311">
        <w:rPr>
          <w:rFonts w:ascii="Palatino Linotype" w:eastAsia="Calibri" w:hAnsi="Palatino Linotype" w:cs="Arial"/>
          <w:color w:val="000000" w:themeColor="text1"/>
          <w:lang w:val="es-ES"/>
        </w:rPr>
        <w:t>dos</w:t>
      </w:r>
      <w:r w:rsidR="007F5F5B" w:rsidRPr="00E84311">
        <w:rPr>
          <w:rFonts w:ascii="Palatino Linotype" w:eastAsia="Calibri" w:hAnsi="Palatino Linotype" w:cs="Arial"/>
          <w:color w:val="000000" w:themeColor="text1"/>
          <w:lang w:val="es-ES"/>
        </w:rPr>
        <w:t xml:space="preserve"> (</w:t>
      </w:r>
      <w:r w:rsidR="00AA3E17" w:rsidRPr="00E84311">
        <w:rPr>
          <w:rFonts w:ascii="Palatino Linotype" w:eastAsia="Calibri" w:hAnsi="Palatino Linotype" w:cs="Arial"/>
          <w:color w:val="000000" w:themeColor="text1"/>
          <w:lang w:val="es-ES"/>
        </w:rPr>
        <w:t>02</w:t>
      </w:r>
      <w:r w:rsidR="00E00510" w:rsidRPr="00E84311">
        <w:rPr>
          <w:rFonts w:ascii="Palatino Linotype" w:eastAsia="Calibri" w:hAnsi="Palatino Linotype" w:cs="Arial"/>
          <w:color w:val="000000" w:themeColor="text1"/>
          <w:lang w:val="es-ES"/>
        </w:rPr>
        <w:t xml:space="preserve">) de </w:t>
      </w:r>
      <w:r w:rsidR="00AA3E17" w:rsidRPr="00E84311">
        <w:rPr>
          <w:rFonts w:ascii="Palatino Linotype" w:eastAsia="Calibri" w:hAnsi="Palatino Linotype" w:cs="Arial"/>
          <w:color w:val="000000" w:themeColor="text1"/>
          <w:lang w:val="es-ES"/>
        </w:rPr>
        <w:t>septiembre</w:t>
      </w:r>
      <w:r w:rsidR="00E00510" w:rsidRPr="00E84311">
        <w:rPr>
          <w:rFonts w:ascii="Palatino Linotype" w:eastAsia="Calibri" w:hAnsi="Palatino Linotype" w:cs="Arial"/>
          <w:color w:val="000000" w:themeColor="text1"/>
          <w:lang w:val="es-ES"/>
        </w:rPr>
        <w:t xml:space="preserve"> de dos mil diecinueve</w:t>
      </w:r>
      <w:r w:rsidR="00CD3580" w:rsidRPr="00E84311">
        <w:rPr>
          <w:rFonts w:ascii="Palatino Linotype" w:eastAsia="Calibri" w:hAnsi="Palatino Linotype" w:cs="Arial"/>
          <w:lang w:val="es-ES"/>
        </w:rPr>
        <w:t xml:space="preserve">, el </w:t>
      </w:r>
      <w:r w:rsidR="00CD3580" w:rsidRPr="00E84311">
        <w:rPr>
          <w:rFonts w:ascii="Palatino Linotype" w:eastAsia="Calibri" w:hAnsi="Palatino Linotype" w:cs="Arial"/>
          <w:b/>
          <w:lang w:val="es-ES"/>
        </w:rPr>
        <w:t xml:space="preserve">SUJETO OBLIGADO </w:t>
      </w:r>
      <w:r w:rsidR="00CD3580" w:rsidRPr="00E84311">
        <w:rPr>
          <w:rFonts w:ascii="Palatino Linotype" w:eastAsia="Calibri" w:hAnsi="Palatino Linotype" w:cs="Arial"/>
          <w:lang w:val="es-ES"/>
        </w:rPr>
        <w:t>rindió su informe justificado para manifestar lo que a su derecho le asistiera y</w:t>
      </w:r>
      <w:r w:rsidR="00BE5F02" w:rsidRPr="00E84311">
        <w:rPr>
          <w:rFonts w:ascii="Palatino Linotype" w:eastAsia="Calibri" w:hAnsi="Palatino Linotype" w:cs="Arial"/>
          <w:lang w:val="es-ES"/>
        </w:rPr>
        <w:t xml:space="preserve"> </w:t>
      </w:r>
      <w:r w:rsidR="00CD3580" w:rsidRPr="00E84311">
        <w:rPr>
          <w:rFonts w:ascii="Palatino Linotype" w:eastAsia="Calibri" w:hAnsi="Palatino Linotype" w:cs="Arial"/>
          <w:lang w:val="es-ES"/>
        </w:rPr>
        <w:t xml:space="preserve">conviniera mediante </w:t>
      </w:r>
      <w:r w:rsidR="0096491E" w:rsidRPr="00E84311">
        <w:rPr>
          <w:rFonts w:ascii="Palatino Linotype" w:eastAsia="Calibri" w:hAnsi="Palatino Linotype" w:cs="Arial"/>
          <w:lang w:val="es-ES"/>
        </w:rPr>
        <w:t>el</w:t>
      </w:r>
      <w:r w:rsidR="00B85B1C" w:rsidRPr="00E84311">
        <w:rPr>
          <w:rFonts w:ascii="Palatino Linotype" w:eastAsia="Calibri" w:hAnsi="Palatino Linotype" w:cs="Arial"/>
          <w:lang w:val="es-ES"/>
        </w:rPr>
        <w:t xml:space="preserve"> </w:t>
      </w:r>
      <w:r w:rsidR="00CD3580" w:rsidRPr="00E84311">
        <w:rPr>
          <w:rFonts w:ascii="Palatino Linotype" w:eastAsia="Calibri" w:hAnsi="Palatino Linotype" w:cs="Arial"/>
          <w:lang w:val="es-ES"/>
        </w:rPr>
        <w:t>archivo</w:t>
      </w:r>
      <w:r w:rsidR="007F5F5B" w:rsidRPr="00E84311">
        <w:rPr>
          <w:rFonts w:ascii="Palatino Linotype" w:eastAsia="Calibri" w:hAnsi="Palatino Linotype" w:cs="Arial"/>
          <w:lang w:val="es-ES"/>
        </w:rPr>
        <w:t xml:space="preserve"> electrónico </w:t>
      </w:r>
      <w:r w:rsidR="00D170A6" w:rsidRPr="00E84311">
        <w:rPr>
          <w:rFonts w:ascii="Palatino Linotype" w:eastAsia="Calibri" w:hAnsi="Palatino Linotype" w:cs="Arial"/>
          <w:lang w:val="es-ES"/>
        </w:rPr>
        <w:t>“</w:t>
      </w:r>
      <w:hyperlink r:id="rId8" w:history="1">
        <w:r w:rsidR="00AA3E17" w:rsidRPr="00E84311">
          <w:rPr>
            <w:rStyle w:val="Hipervnculo"/>
            <w:rFonts w:ascii="Palatino Linotype" w:hAnsi="Palatino Linotype" w:cs="Arial"/>
            <w:b/>
            <w:bCs/>
            <w:i/>
            <w:color w:val="000000" w:themeColor="text1"/>
            <w:u w:val="none"/>
          </w:rPr>
          <w:t>RR6633.pdf</w:t>
        </w:r>
      </w:hyperlink>
      <w:r w:rsidR="00D170A6" w:rsidRPr="00E84311">
        <w:rPr>
          <w:rStyle w:val="Hipervnculo"/>
          <w:rFonts w:ascii="Palatino Linotype" w:hAnsi="Palatino Linotype"/>
          <w:b/>
          <w:bCs/>
          <w:i/>
          <w:color w:val="000000" w:themeColor="text1"/>
          <w:u w:val="none"/>
        </w:rPr>
        <w:t>”</w:t>
      </w:r>
      <w:r w:rsidR="00F62E76" w:rsidRPr="00E84311">
        <w:rPr>
          <w:rStyle w:val="Hipervnculo"/>
          <w:rFonts w:ascii="Palatino Linotype" w:hAnsi="Palatino Linotype"/>
          <w:bCs/>
          <w:i/>
          <w:color w:val="000000" w:themeColor="text1"/>
          <w:u w:val="none"/>
        </w:rPr>
        <w:t xml:space="preserve"> </w:t>
      </w:r>
      <w:r w:rsidR="00F62E76" w:rsidRPr="00E84311">
        <w:rPr>
          <w:rStyle w:val="Hipervnculo"/>
          <w:rFonts w:ascii="Palatino Linotype" w:hAnsi="Palatino Linotype"/>
          <w:bCs/>
          <w:color w:val="000000" w:themeColor="text1"/>
          <w:u w:val="none"/>
        </w:rPr>
        <w:t xml:space="preserve">constante en </w:t>
      </w:r>
      <w:r w:rsidR="00AA3E17" w:rsidRPr="00E84311">
        <w:rPr>
          <w:rStyle w:val="Hipervnculo"/>
          <w:rFonts w:ascii="Palatino Linotype" w:hAnsi="Palatino Linotype"/>
          <w:bCs/>
          <w:color w:val="000000" w:themeColor="text1"/>
          <w:u w:val="none"/>
        </w:rPr>
        <w:t>una hoja</w:t>
      </w:r>
      <w:r w:rsidR="00F62E76" w:rsidRPr="00E84311">
        <w:rPr>
          <w:rStyle w:val="Hipervnculo"/>
          <w:rFonts w:ascii="Palatino Linotype" w:hAnsi="Palatino Linotype"/>
          <w:bCs/>
          <w:color w:val="000000" w:themeColor="text1"/>
          <w:u w:val="none"/>
        </w:rPr>
        <w:t xml:space="preserve"> en cuyo contenido se advierte el informe justificado </w:t>
      </w:r>
      <w:r w:rsidR="00030E76" w:rsidRPr="00E84311">
        <w:rPr>
          <w:rStyle w:val="Hipervnculo"/>
          <w:rFonts w:ascii="Palatino Linotype" w:hAnsi="Palatino Linotype"/>
          <w:bCs/>
          <w:color w:val="000000" w:themeColor="text1"/>
          <w:u w:val="none"/>
        </w:rPr>
        <w:t>emitido</w:t>
      </w:r>
      <w:r w:rsidR="00F62E76" w:rsidRPr="00E84311">
        <w:rPr>
          <w:rStyle w:val="Hipervnculo"/>
          <w:rFonts w:ascii="Palatino Linotype" w:hAnsi="Palatino Linotype"/>
          <w:bCs/>
          <w:color w:val="000000" w:themeColor="text1"/>
          <w:u w:val="none"/>
        </w:rPr>
        <w:t xml:space="preserve"> por</w:t>
      </w:r>
      <w:r w:rsidR="00030E76" w:rsidRPr="00E84311">
        <w:rPr>
          <w:rStyle w:val="Hipervnculo"/>
          <w:rFonts w:ascii="Palatino Linotype" w:hAnsi="Palatino Linotype"/>
          <w:bCs/>
          <w:color w:val="000000" w:themeColor="text1"/>
          <w:u w:val="none"/>
        </w:rPr>
        <w:t xml:space="preserve"> el </w:t>
      </w:r>
      <w:r w:rsidR="00030E76" w:rsidRPr="00E84311">
        <w:rPr>
          <w:rStyle w:val="Hipervnculo"/>
          <w:rFonts w:ascii="Palatino Linotype" w:hAnsi="Palatino Linotype"/>
          <w:b/>
          <w:bCs/>
          <w:color w:val="000000" w:themeColor="text1"/>
          <w:u w:val="none"/>
        </w:rPr>
        <w:t>SUJETO OBLIGADO</w:t>
      </w:r>
      <w:r w:rsidR="00030E76" w:rsidRPr="00E84311">
        <w:rPr>
          <w:rFonts w:ascii="Palatino Linotype" w:eastAsia="Calibri" w:hAnsi="Palatino Linotype" w:cs="Arial"/>
          <w:lang w:val="es-ES"/>
        </w:rPr>
        <w:t xml:space="preserve">, </w:t>
      </w:r>
      <w:r w:rsidR="00AA3E17" w:rsidRPr="00E84311">
        <w:rPr>
          <w:rFonts w:ascii="Palatino Linotype" w:hAnsi="Palatino Linotype"/>
          <w:color w:val="000000"/>
          <w:shd w:val="clear" w:color="auto" w:fill="FFFFFF"/>
        </w:rPr>
        <w:t>mismo</w:t>
      </w:r>
      <w:r w:rsidR="00761FF2" w:rsidRPr="00E84311">
        <w:rPr>
          <w:rFonts w:ascii="Palatino Linotype" w:hAnsi="Palatino Linotype"/>
          <w:color w:val="000000"/>
          <w:shd w:val="clear" w:color="auto" w:fill="FFFFFF"/>
        </w:rPr>
        <w:t xml:space="preserve"> que</w:t>
      </w:r>
      <w:r w:rsidR="00270AB9" w:rsidRPr="00E84311">
        <w:rPr>
          <w:rFonts w:ascii="Palatino Linotype" w:hAnsi="Palatino Linotype"/>
          <w:color w:val="000000"/>
          <w:shd w:val="clear" w:color="auto" w:fill="FFFFFF"/>
        </w:rPr>
        <w:t xml:space="preserve"> </w:t>
      </w:r>
      <w:r w:rsidR="00232A8D" w:rsidRPr="00E84311">
        <w:rPr>
          <w:rFonts w:ascii="Palatino Linotype" w:hAnsi="Palatino Linotype"/>
          <w:color w:val="000000"/>
          <w:shd w:val="clear" w:color="auto" w:fill="FFFFFF"/>
        </w:rPr>
        <w:t xml:space="preserve">no </w:t>
      </w:r>
      <w:r w:rsidR="00AA3E17" w:rsidRPr="00E84311">
        <w:rPr>
          <w:rFonts w:ascii="Palatino Linotype" w:hAnsi="Palatino Linotype"/>
          <w:color w:val="000000"/>
          <w:shd w:val="clear" w:color="auto" w:fill="FFFFFF"/>
        </w:rPr>
        <w:t xml:space="preserve">fue puesto a disposición del particular porque no </w:t>
      </w:r>
      <w:r w:rsidR="00641A3E" w:rsidRPr="00E84311">
        <w:rPr>
          <w:rFonts w:ascii="Palatino Linotype" w:hAnsi="Palatino Linotype"/>
          <w:color w:val="000000"/>
          <w:shd w:val="clear" w:color="auto" w:fill="FFFFFF"/>
        </w:rPr>
        <w:t xml:space="preserve">modifica la respuesta inicial y no </w:t>
      </w:r>
      <w:r w:rsidR="00AA3E17" w:rsidRPr="00E84311">
        <w:rPr>
          <w:rFonts w:ascii="Palatino Linotype" w:hAnsi="Palatino Linotype"/>
          <w:color w:val="000000"/>
          <w:shd w:val="clear" w:color="auto" w:fill="FFFFFF"/>
        </w:rPr>
        <w:t>satisface la solicitud de acceso a la información</w:t>
      </w:r>
      <w:r w:rsidR="00641A3E" w:rsidRPr="00E84311">
        <w:rPr>
          <w:rFonts w:ascii="Palatino Linotype" w:hAnsi="Palatino Linotype"/>
          <w:color w:val="000000"/>
          <w:shd w:val="clear" w:color="auto" w:fill="FFFFFF"/>
        </w:rPr>
        <w:t xml:space="preserve"> que hoy nos ocupa, además de que</w:t>
      </w:r>
      <w:r w:rsidR="00232A8D" w:rsidRPr="00E84311">
        <w:rPr>
          <w:rFonts w:ascii="Palatino Linotype" w:hAnsi="Palatino Linotype"/>
          <w:color w:val="000000"/>
          <w:shd w:val="clear" w:color="auto" w:fill="FFFFFF"/>
        </w:rPr>
        <w:t xml:space="preserve"> será motivo de análisis en el cuerpo de la presente resolución.</w:t>
      </w:r>
    </w:p>
    <w:p w14:paraId="45FD555D" w14:textId="77777777" w:rsidR="00641A3E" w:rsidRPr="00E84311" w:rsidRDefault="00641A3E" w:rsidP="00E84311">
      <w:pPr>
        <w:pStyle w:val="Prrafodelista"/>
        <w:tabs>
          <w:tab w:val="left" w:pos="426"/>
          <w:tab w:val="left" w:pos="567"/>
        </w:tabs>
        <w:spacing w:line="360" w:lineRule="auto"/>
        <w:ind w:left="0"/>
        <w:jc w:val="both"/>
        <w:rPr>
          <w:rFonts w:ascii="Palatino Linotype" w:hAnsi="Palatino Linotype"/>
          <w:color w:val="000000"/>
        </w:rPr>
      </w:pPr>
    </w:p>
    <w:p w14:paraId="58BEAC83" w14:textId="5953DEC7" w:rsidR="006900A9" w:rsidRPr="00E84311" w:rsidRDefault="006900A9" w:rsidP="00E84311">
      <w:pPr>
        <w:pStyle w:val="Prrafodelista"/>
        <w:numPr>
          <w:ilvl w:val="0"/>
          <w:numId w:val="1"/>
        </w:numPr>
        <w:tabs>
          <w:tab w:val="left" w:pos="426"/>
        </w:tabs>
        <w:spacing w:line="360" w:lineRule="auto"/>
        <w:ind w:left="0" w:hanging="11"/>
        <w:jc w:val="both"/>
        <w:rPr>
          <w:rFonts w:ascii="Palatino Linotype" w:hAnsi="Palatino Linotype"/>
        </w:rPr>
      </w:pPr>
      <w:r w:rsidRPr="00E84311">
        <w:rPr>
          <w:rFonts w:ascii="Palatino Linotype" w:hAnsi="Palatino Linotype"/>
        </w:rPr>
        <w:t xml:space="preserve">El día </w:t>
      </w:r>
      <w:r w:rsidR="00641A3E" w:rsidRPr="00E84311">
        <w:rPr>
          <w:rFonts w:ascii="Palatino Linotype" w:hAnsi="Palatino Linotype"/>
        </w:rPr>
        <w:t>diez</w:t>
      </w:r>
      <w:r w:rsidRPr="00E84311">
        <w:rPr>
          <w:rFonts w:ascii="Palatino Linotype" w:hAnsi="Palatino Linotype"/>
        </w:rPr>
        <w:t xml:space="preserve"> (</w:t>
      </w:r>
      <w:r w:rsidR="00641A3E" w:rsidRPr="00E84311">
        <w:rPr>
          <w:rFonts w:ascii="Palatino Linotype" w:hAnsi="Palatino Linotype"/>
        </w:rPr>
        <w:t>10</w:t>
      </w:r>
      <w:r w:rsidRPr="00E84311">
        <w:rPr>
          <w:rFonts w:ascii="Palatino Linotype" w:hAnsi="Palatino Linotype"/>
        </w:rPr>
        <w:t xml:space="preserve">) de </w:t>
      </w:r>
      <w:r w:rsidR="00641A3E" w:rsidRPr="00E84311">
        <w:rPr>
          <w:rFonts w:ascii="Palatino Linotype" w:hAnsi="Palatino Linotype"/>
        </w:rPr>
        <w:t>octubre</w:t>
      </w:r>
      <w:r w:rsidRPr="00E84311">
        <w:rPr>
          <w:rFonts w:ascii="Palatino Linotype" w:hAnsi="Palatino Linotype"/>
        </w:rPr>
        <w:t xml:space="preserve"> </w:t>
      </w:r>
      <w:r w:rsidRPr="00E84311">
        <w:rPr>
          <w:rFonts w:ascii="Palatino Linotype" w:eastAsia="Calibri" w:hAnsi="Palatino Linotype" w:cs="Arial"/>
          <w:lang w:val="es-ES"/>
        </w:rPr>
        <w:t xml:space="preserve">de dos mil diecinueve, </w:t>
      </w:r>
      <w:r w:rsidRPr="00E84311">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7DF0DE7F" w14:textId="77777777" w:rsidR="00641A3E" w:rsidRPr="00E84311" w:rsidRDefault="00641A3E" w:rsidP="00E84311">
      <w:pPr>
        <w:pStyle w:val="Prrafodelista"/>
        <w:tabs>
          <w:tab w:val="left" w:pos="426"/>
        </w:tabs>
        <w:spacing w:line="360" w:lineRule="auto"/>
        <w:ind w:left="0"/>
        <w:jc w:val="both"/>
        <w:rPr>
          <w:rFonts w:ascii="Palatino Linotype" w:hAnsi="Palatino Linotype"/>
        </w:rPr>
      </w:pPr>
    </w:p>
    <w:p w14:paraId="7CFDA238" w14:textId="0D281162" w:rsidR="006900A9" w:rsidRPr="00E84311" w:rsidRDefault="006900A9" w:rsidP="00E84311">
      <w:pPr>
        <w:pStyle w:val="Prrafodelista"/>
        <w:numPr>
          <w:ilvl w:val="0"/>
          <w:numId w:val="1"/>
        </w:numPr>
        <w:tabs>
          <w:tab w:val="left" w:pos="426"/>
        </w:tabs>
        <w:spacing w:line="360" w:lineRule="auto"/>
        <w:ind w:left="0" w:hanging="11"/>
        <w:jc w:val="both"/>
        <w:rPr>
          <w:rFonts w:ascii="Palatino Linotype" w:hAnsi="Palatino Linotype"/>
        </w:rPr>
      </w:pPr>
      <w:r w:rsidRPr="00E84311">
        <w:rPr>
          <w:rFonts w:ascii="Palatino Linotype" w:hAnsi="Palatino Linotype"/>
        </w:rPr>
        <w:t>El Comisionado Ponente decretó el cierre de instrucción</w:t>
      </w:r>
      <w:r w:rsidRPr="00E84311">
        <w:rPr>
          <w:rFonts w:ascii="Palatino Linotype" w:hAnsi="Palatino Linotype" w:cs="Arial"/>
        </w:rPr>
        <w:t xml:space="preserve"> </w:t>
      </w:r>
      <w:r w:rsidRPr="00E84311">
        <w:rPr>
          <w:rFonts w:ascii="Palatino Linotype" w:hAnsi="Palatino Linotype"/>
        </w:rPr>
        <w:t xml:space="preserve">mediante acuerdo de fecha </w:t>
      </w:r>
      <w:r w:rsidR="00641A3E" w:rsidRPr="00E84311">
        <w:rPr>
          <w:rFonts w:ascii="Palatino Linotype" w:hAnsi="Palatino Linotype"/>
        </w:rPr>
        <w:t xml:space="preserve">diez (10) de octubre </w:t>
      </w:r>
      <w:r w:rsidR="00641A3E" w:rsidRPr="00E84311">
        <w:rPr>
          <w:rFonts w:ascii="Palatino Linotype" w:eastAsia="Calibri" w:hAnsi="Palatino Linotype" w:cs="Arial"/>
          <w:lang w:val="es-ES"/>
        </w:rPr>
        <w:t>de dos mil diecinueve</w:t>
      </w:r>
      <w:r w:rsidRPr="00E84311">
        <w:rPr>
          <w:rFonts w:ascii="Palatino Linotype" w:hAnsi="Palatino Linotype"/>
        </w:rPr>
        <w:t xml:space="preserve">, </w:t>
      </w:r>
      <w:r w:rsidRPr="00E84311">
        <w:rPr>
          <w:rFonts w:ascii="Palatino Linotype" w:hAnsi="Palatino Linotype" w:cs="Arial"/>
        </w:rPr>
        <w:t>por lo que ordenó turnar el expediente a resolución, misma que ahora se pronuncia.</w:t>
      </w:r>
    </w:p>
    <w:p w14:paraId="3C343A71" w14:textId="77777777" w:rsidR="006900A9" w:rsidRPr="00E84311" w:rsidRDefault="006900A9" w:rsidP="00E84311">
      <w:pPr>
        <w:pStyle w:val="Prrafodelista"/>
        <w:tabs>
          <w:tab w:val="left" w:pos="426"/>
        </w:tabs>
        <w:spacing w:line="360" w:lineRule="auto"/>
        <w:ind w:left="0"/>
        <w:jc w:val="both"/>
        <w:rPr>
          <w:rFonts w:ascii="Palatino Linotype" w:hAnsi="Palatino Linotype"/>
        </w:rPr>
      </w:pPr>
    </w:p>
    <w:p w14:paraId="216E385F" w14:textId="1291F9EE" w:rsidR="00962E79" w:rsidRPr="00E84311" w:rsidRDefault="00962E79" w:rsidP="00E84311">
      <w:pPr>
        <w:pStyle w:val="Ttulo1"/>
        <w:tabs>
          <w:tab w:val="left" w:pos="567"/>
        </w:tabs>
        <w:spacing w:line="360" w:lineRule="auto"/>
        <w:jc w:val="center"/>
        <w:rPr>
          <w:b w:val="0"/>
          <w:szCs w:val="24"/>
        </w:rPr>
      </w:pPr>
      <w:bookmarkStart w:id="56" w:name="_Toc495430768"/>
      <w:bookmarkStart w:id="57" w:name="_Toc21626003"/>
      <w:r w:rsidRPr="00E84311">
        <w:rPr>
          <w:szCs w:val="24"/>
        </w:rPr>
        <w:t>CONSIDERANDO</w:t>
      </w:r>
      <w:bookmarkEnd w:id="56"/>
      <w:bookmarkEnd w:id="57"/>
    </w:p>
    <w:p w14:paraId="1C754B23" w14:textId="77777777" w:rsidR="00962E79" w:rsidRPr="00E84311" w:rsidRDefault="00962E79" w:rsidP="00E84311">
      <w:pPr>
        <w:pStyle w:val="Ttulo1"/>
        <w:tabs>
          <w:tab w:val="left" w:pos="567"/>
        </w:tabs>
        <w:spacing w:line="360" w:lineRule="auto"/>
        <w:rPr>
          <w:b w:val="0"/>
          <w:bCs/>
          <w:spacing w:val="60"/>
          <w:szCs w:val="24"/>
        </w:rPr>
      </w:pPr>
      <w:bookmarkStart w:id="58" w:name="_Toc473812224"/>
      <w:bookmarkStart w:id="59" w:name="_Toc495430769"/>
      <w:bookmarkStart w:id="60" w:name="_Toc21626004"/>
      <w:r w:rsidRPr="00E84311">
        <w:rPr>
          <w:szCs w:val="24"/>
        </w:rPr>
        <w:t>PRIMERO. De la competencia</w:t>
      </w:r>
      <w:bookmarkEnd w:id="58"/>
      <w:bookmarkEnd w:id="59"/>
      <w:bookmarkEnd w:id="60"/>
    </w:p>
    <w:p w14:paraId="5DFB4714" w14:textId="77777777" w:rsidR="00962E79" w:rsidRPr="00E84311" w:rsidRDefault="00962E79" w:rsidP="00E84311">
      <w:pPr>
        <w:pStyle w:val="Prrafodelista"/>
        <w:tabs>
          <w:tab w:val="left" w:pos="567"/>
        </w:tabs>
        <w:spacing w:line="360" w:lineRule="auto"/>
        <w:ind w:left="0"/>
        <w:jc w:val="both"/>
        <w:rPr>
          <w:rFonts w:ascii="Palatino Linotype" w:hAnsi="Palatino Linotype"/>
          <w:color w:val="000000"/>
        </w:rPr>
      </w:pPr>
    </w:p>
    <w:p w14:paraId="0873CBF9" w14:textId="4CE72826" w:rsidR="00DA59C7" w:rsidRPr="00E84311" w:rsidRDefault="00F34201" w:rsidP="00E84311">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E8431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84311">
        <w:rPr>
          <w:rFonts w:ascii="Palatino Linotype" w:eastAsia="Calibri" w:hAnsi="Palatino Linotype" w:cs="Times New Roman"/>
          <w:b/>
          <w:lang w:val="es-ES"/>
        </w:rPr>
        <w:t>Constitución Política de los Estados Unidos Mexicanos</w:t>
      </w:r>
      <w:r w:rsidRPr="00E84311">
        <w:rPr>
          <w:rFonts w:ascii="Palatino Linotype" w:eastAsia="Calibri" w:hAnsi="Palatino Linotype" w:cs="Times New Roman"/>
          <w:lang w:val="es-ES"/>
        </w:rPr>
        <w:t xml:space="preserve">; 5, párrafos </w:t>
      </w:r>
      <w:r w:rsidR="00217B09" w:rsidRPr="00E84311">
        <w:rPr>
          <w:rFonts w:ascii="Palatino Linotype" w:eastAsia="Calibri" w:hAnsi="Palatino Linotype" w:cs="Times New Roman"/>
          <w:color w:val="000000" w:themeColor="text1"/>
          <w:lang w:val="es-ES"/>
        </w:rPr>
        <w:t xml:space="preserve">vigésimo segundo, vigésimo tercero y vigésimo cuarto </w:t>
      </w:r>
      <w:r w:rsidRPr="00E84311">
        <w:rPr>
          <w:rFonts w:ascii="Palatino Linotype" w:eastAsia="Calibri" w:hAnsi="Palatino Linotype" w:cs="Times New Roman"/>
          <w:lang w:val="es-ES"/>
        </w:rPr>
        <w:t xml:space="preserve">fracciones IV y V de la </w:t>
      </w:r>
      <w:r w:rsidRPr="00E84311">
        <w:rPr>
          <w:rFonts w:ascii="Palatino Linotype" w:eastAsia="Calibri" w:hAnsi="Palatino Linotype" w:cs="Times New Roman"/>
          <w:b/>
          <w:lang w:val="es-ES"/>
        </w:rPr>
        <w:t>Constitución Política del Estado Libre y Soberano de México</w:t>
      </w:r>
      <w:r w:rsidRPr="00E84311">
        <w:rPr>
          <w:rFonts w:ascii="Palatino Linotype" w:eastAsia="Calibri" w:hAnsi="Palatino Linotype" w:cs="Times New Roman"/>
          <w:lang w:val="es-ES"/>
        </w:rPr>
        <w:t xml:space="preserve">; artículos 1, 2 fracción II, 13, 29, 36 fracciones I y II, 176, 178, 179, 181 párrafo tercero y 185 </w:t>
      </w:r>
      <w:r w:rsidRPr="00E84311">
        <w:rPr>
          <w:rFonts w:ascii="Palatino Linotype" w:eastAsia="Calibri" w:hAnsi="Palatino Linotype" w:cs="Arial"/>
          <w:lang w:val="es-ES"/>
        </w:rPr>
        <w:t xml:space="preserve">de la </w:t>
      </w:r>
      <w:r w:rsidRPr="00E84311">
        <w:rPr>
          <w:rFonts w:ascii="Palatino Linotype" w:eastAsia="Calibri" w:hAnsi="Palatino Linotype" w:cs="Arial"/>
          <w:b/>
          <w:lang w:val="es-ES"/>
        </w:rPr>
        <w:t>Ley de Transparencia y Acceso a la Información Pública del Estado de México y Municipios</w:t>
      </w:r>
      <w:r w:rsidRPr="00E84311">
        <w:rPr>
          <w:rFonts w:ascii="Palatino Linotype" w:eastAsia="Calibri" w:hAnsi="Palatino Linotype" w:cs="Arial"/>
          <w:lang w:val="es-ES"/>
        </w:rPr>
        <w:t xml:space="preserve">; y </w:t>
      </w:r>
      <w:r w:rsidR="00011036" w:rsidRPr="00E84311">
        <w:rPr>
          <w:rFonts w:ascii="Palatino Linotype" w:eastAsia="Calibri" w:hAnsi="Palatino Linotype" w:cs="Arial"/>
          <w:lang w:val="es-ES"/>
        </w:rPr>
        <w:t xml:space="preserve">10, </w:t>
      </w:r>
      <w:r w:rsidRPr="00E84311">
        <w:rPr>
          <w:rFonts w:ascii="Palatino Linotype" w:eastAsia="Calibri" w:hAnsi="Palatino Linotype" w:cs="Arial"/>
          <w:lang w:val="es-ES"/>
        </w:rPr>
        <w:t xml:space="preserve">7, 9 fracciones I y XXIV, y 11 del </w:t>
      </w:r>
      <w:r w:rsidRPr="00E8431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84311">
        <w:rPr>
          <w:rFonts w:ascii="Palatino Linotype" w:hAnsi="Palatino Linotype"/>
        </w:rPr>
        <w:t>.</w:t>
      </w:r>
    </w:p>
    <w:p w14:paraId="522CEB67" w14:textId="77777777" w:rsidR="002E4871" w:rsidRPr="00E84311" w:rsidRDefault="002E4871" w:rsidP="00E84311">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E84311" w:rsidRDefault="00F34201" w:rsidP="00E84311">
      <w:pPr>
        <w:pStyle w:val="Ttulo1"/>
        <w:tabs>
          <w:tab w:val="left" w:pos="567"/>
        </w:tabs>
        <w:spacing w:before="0" w:line="360" w:lineRule="auto"/>
        <w:rPr>
          <w:szCs w:val="24"/>
        </w:rPr>
      </w:pPr>
      <w:bookmarkStart w:id="61" w:name="_Toc471845444"/>
      <w:bookmarkStart w:id="62" w:name="_Toc473812225"/>
      <w:bookmarkStart w:id="63" w:name="_Toc495430770"/>
      <w:bookmarkStart w:id="64" w:name="_Toc21626005"/>
      <w:r w:rsidRPr="00E84311">
        <w:rPr>
          <w:szCs w:val="24"/>
        </w:rPr>
        <w:t>SEGUNDO. De la oportunidad y proced</w:t>
      </w:r>
      <w:r w:rsidR="00903242" w:rsidRPr="00E84311">
        <w:rPr>
          <w:szCs w:val="24"/>
        </w:rPr>
        <w:t>encia</w:t>
      </w:r>
      <w:r w:rsidRPr="00E84311">
        <w:rPr>
          <w:szCs w:val="24"/>
        </w:rPr>
        <w:t>.</w:t>
      </w:r>
      <w:bookmarkEnd w:id="61"/>
      <w:bookmarkEnd w:id="62"/>
      <w:bookmarkEnd w:id="63"/>
      <w:bookmarkEnd w:id="64"/>
    </w:p>
    <w:p w14:paraId="195EC81A" w14:textId="2891151F" w:rsidR="00F34201" w:rsidRPr="00E84311" w:rsidRDefault="00F34201" w:rsidP="00E84311">
      <w:pPr>
        <w:pStyle w:val="Prrafodelista"/>
        <w:tabs>
          <w:tab w:val="left" w:pos="567"/>
        </w:tabs>
        <w:spacing w:line="360" w:lineRule="auto"/>
        <w:ind w:left="0"/>
        <w:jc w:val="both"/>
        <w:rPr>
          <w:rFonts w:ascii="Palatino Linotype" w:hAnsi="Palatino Linotype"/>
          <w:b/>
          <w:color w:val="000000" w:themeColor="text1"/>
        </w:rPr>
      </w:pPr>
    </w:p>
    <w:p w14:paraId="567B63D7" w14:textId="551370BB" w:rsidR="00BF0D16" w:rsidRPr="00E84311" w:rsidRDefault="00F34201" w:rsidP="00E84311">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E84311">
        <w:rPr>
          <w:rFonts w:ascii="Palatino Linotype" w:eastAsia="Calibri" w:hAnsi="Palatino Linotype" w:cs="Arial"/>
        </w:rPr>
        <w:t>El medio de impugnación fue presentado a través del Sistema de Acceso a la Información Mexiquense (SAIMEX)</w:t>
      </w:r>
      <w:r w:rsidRPr="00E84311">
        <w:rPr>
          <w:rFonts w:ascii="Palatino Linotype" w:eastAsia="Calibri" w:hAnsi="Palatino Linotype" w:cs="Arial"/>
          <w:b/>
        </w:rPr>
        <w:t>,</w:t>
      </w:r>
      <w:r w:rsidRPr="00E84311">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E84311">
        <w:rPr>
          <w:rFonts w:ascii="Palatino Linotype" w:eastAsia="Calibri" w:hAnsi="Palatino Linotype" w:cs="Arial"/>
          <w:b/>
        </w:rPr>
        <w:t>SUJETO OBLIGADO</w:t>
      </w:r>
      <w:r w:rsidRPr="00E84311">
        <w:rPr>
          <w:rFonts w:ascii="Palatino Linotype" w:eastAsia="Calibri" w:hAnsi="Palatino Linotype" w:cs="Arial"/>
        </w:rPr>
        <w:t xml:space="preserve"> entregó respuesta el </w:t>
      </w:r>
      <w:bookmarkStart w:id="66" w:name="_Toc468394898"/>
      <w:r w:rsidR="002E22A4" w:rsidRPr="00E84311">
        <w:rPr>
          <w:rFonts w:ascii="Palatino Linotype" w:eastAsia="Calibri" w:hAnsi="Palatino Linotype" w:cs="Arial"/>
        </w:rPr>
        <w:t xml:space="preserve">día </w:t>
      </w:r>
      <w:r w:rsidR="00641A3E" w:rsidRPr="00E84311">
        <w:rPr>
          <w:rFonts w:ascii="Palatino Linotype" w:eastAsia="Calibri" w:hAnsi="Palatino Linotype" w:cs="Arial"/>
          <w:lang w:val="es-AR"/>
        </w:rPr>
        <w:t>cinco</w:t>
      </w:r>
      <w:r w:rsidR="006900A9" w:rsidRPr="00E84311">
        <w:rPr>
          <w:rFonts w:ascii="Palatino Linotype" w:eastAsia="Calibri" w:hAnsi="Palatino Linotype" w:cs="Arial"/>
          <w:lang w:val="es-AR"/>
        </w:rPr>
        <w:t xml:space="preserve"> </w:t>
      </w:r>
      <w:r w:rsidR="00807ED7" w:rsidRPr="00E84311">
        <w:rPr>
          <w:rFonts w:ascii="Palatino Linotype" w:eastAsia="Calibri" w:hAnsi="Palatino Linotype" w:cs="Arial"/>
          <w:lang w:val="es-AR"/>
        </w:rPr>
        <w:t>(</w:t>
      </w:r>
      <w:r w:rsidR="00641A3E" w:rsidRPr="00E84311">
        <w:rPr>
          <w:rFonts w:ascii="Palatino Linotype" w:eastAsia="Calibri" w:hAnsi="Palatino Linotype" w:cs="Arial"/>
          <w:lang w:val="es-AR"/>
        </w:rPr>
        <w:t>05</w:t>
      </w:r>
      <w:r w:rsidR="00807ED7" w:rsidRPr="00E84311">
        <w:rPr>
          <w:rFonts w:ascii="Palatino Linotype" w:hAnsi="Palatino Linotype"/>
          <w:i/>
        </w:rPr>
        <w:t xml:space="preserve">) </w:t>
      </w:r>
      <w:r w:rsidR="00807ED7" w:rsidRPr="00E84311">
        <w:rPr>
          <w:rFonts w:ascii="Palatino Linotype" w:hAnsi="Palatino Linotype"/>
        </w:rPr>
        <w:t xml:space="preserve">de </w:t>
      </w:r>
      <w:r w:rsidR="00641A3E" w:rsidRPr="00E84311">
        <w:rPr>
          <w:rFonts w:ascii="Palatino Linotype" w:hAnsi="Palatino Linotype"/>
        </w:rPr>
        <w:t>agosto</w:t>
      </w:r>
      <w:r w:rsidR="00807ED7" w:rsidRPr="00E84311">
        <w:rPr>
          <w:rFonts w:ascii="Palatino Linotype" w:hAnsi="Palatino Linotype"/>
        </w:rPr>
        <w:t xml:space="preserve"> de </w:t>
      </w:r>
      <w:r w:rsidR="00E91B4E" w:rsidRPr="00E84311">
        <w:rPr>
          <w:rFonts w:ascii="Palatino Linotype" w:hAnsi="Palatino Linotype"/>
        </w:rPr>
        <w:t>dos mil diecinueve</w:t>
      </w:r>
      <w:r w:rsidR="00807ED7" w:rsidRPr="00E84311">
        <w:rPr>
          <w:rFonts w:ascii="Palatino Linotype" w:eastAsia="Calibri" w:hAnsi="Palatino Linotype" w:cs="Arial"/>
        </w:rPr>
        <w:t xml:space="preserve">, </w:t>
      </w:r>
      <w:r w:rsidR="00807ED7" w:rsidRPr="00E84311">
        <w:rPr>
          <w:rFonts w:ascii="Palatino Linotype" w:hAnsi="Palatino Linotype" w:cs="Arial"/>
        </w:rPr>
        <w:t xml:space="preserve">de tal forma que el plazo para interponer el recurso de revisión transcurrió del día </w:t>
      </w:r>
      <w:r w:rsidR="00641A3E" w:rsidRPr="00E84311">
        <w:rPr>
          <w:rFonts w:ascii="Palatino Linotype" w:eastAsia="Calibri" w:hAnsi="Palatino Linotype" w:cs="Arial"/>
        </w:rPr>
        <w:t>seis</w:t>
      </w:r>
      <w:r w:rsidR="00807ED7" w:rsidRPr="00E84311">
        <w:rPr>
          <w:rFonts w:ascii="Palatino Linotype" w:eastAsia="Calibri" w:hAnsi="Palatino Linotype" w:cs="Arial"/>
        </w:rPr>
        <w:t xml:space="preserve"> (</w:t>
      </w:r>
      <w:r w:rsidR="00641A3E" w:rsidRPr="00E84311">
        <w:rPr>
          <w:rFonts w:ascii="Palatino Linotype" w:eastAsia="Calibri" w:hAnsi="Palatino Linotype" w:cs="Arial"/>
        </w:rPr>
        <w:t>06</w:t>
      </w:r>
      <w:r w:rsidR="00807ED7" w:rsidRPr="00E84311">
        <w:rPr>
          <w:rFonts w:ascii="Palatino Linotype" w:eastAsia="Calibri" w:hAnsi="Palatino Linotype" w:cs="Arial"/>
        </w:rPr>
        <w:t>)</w:t>
      </w:r>
      <w:r w:rsidR="00807ED7" w:rsidRPr="00E84311">
        <w:rPr>
          <w:rFonts w:ascii="Palatino Linotype" w:hAnsi="Palatino Linotype" w:cs="Arial"/>
        </w:rPr>
        <w:t xml:space="preserve"> </w:t>
      </w:r>
      <w:r w:rsidR="002E22A4" w:rsidRPr="00E84311">
        <w:rPr>
          <w:rFonts w:ascii="Palatino Linotype" w:hAnsi="Palatino Linotype"/>
        </w:rPr>
        <w:t xml:space="preserve">de </w:t>
      </w:r>
      <w:r w:rsidR="00641A3E" w:rsidRPr="00E84311">
        <w:rPr>
          <w:rFonts w:ascii="Palatino Linotype" w:hAnsi="Palatino Linotype"/>
        </w:rPr>
        <w:t>agosto</w:t>
      </w:r>
      <w:r w:rsidR="002E22A4" w:rsidRPr="00E84311">
        <w:rPr>
          <w:rFonts w:ascii="Palatino Linotype" w:hAnsi="Palatino Linotype"/>
        </w:rPr>
        <w:t xml:space="preserve"> </w:t>
      </w:r>
      <w:r w:rsidR="00807ED7" w:rsidRPr="00E84311">
        <w:rPr>
          <w:rFonts w:ascii="Palatino Linotype" w:hAnsi="Palatino Linotype" w:cs="Arial"/>
        </w:rPr>
        <w:t xml:space="preserve">al </w:t>
      </w:r>
      <w:r w:rsidR="00641A3E" w:rsidRPr="00E84311">
        <w:rPr>
          <w:rFonts w:ascii="Palatino Linotype" w:hAnsi="Palatino Linotype" w:cs="Arial"/>
        </w:rPr>
        <w:t>veint</w:t>
      </w:r>
      <w:r w:rsidR="00760741" w:rsidRPr="00E84311">
        <w:rPr>
          <w:rFonts w:ascii="Palatino Linotype" w:hAnsi="Palatino Linotype" w:cs="Arial"/>
        </w:rPr>
        <w:t>iséis (</w:t>
      </w:r>
      <w:r w:rsidR="00641A3E" w:rsidRPr="00E84311">
        <w:rPr>
          <w:rFonts w:ascii="Palatino Linotype" w:hAnsi="Palatino Linotype" w:cs="Arial"/>
        </w:rPr>
        <w:t>2</w:t>
      </w:r>
      <w:r w:rsidR="00760741" w:rsidRPr="00E84311">
        <w:rPr>
          <w:rFonts w:ascii="Palatino Linotype" w:hAnsi="Palatino Linotype" w:cs="Arial"/>
        </w:rPr>
        <w:t>6) de agosto</w:t>
      </w:r>
      <w:r w:rsidR="00807ED7" w:rsidRPr="00E84311">
        <w:rPr>
          <w:rFonts w:ascii="Palatino Linotype" w:hAnsi="Palatino Linotype" w:cs="Arial"/>
        </w:rPr>
        <w:t xml:space="preserve"> de dos mil diecinueve;</w:t>
      </w:r>
      <w:r w:rsidR="00807ED7" w:rsidRPr="00E84311">
        <w:rPr>
          <w:rFonts w:ascii="Palatino Linotype" w:eastAsia="Calibri" w:hAnsi="Palatino Linotype" w:cs="Arial"/>
        </w:rPr>
        <w:t xml:space="preserve"> </w:t>
      </w:r>
      <w:r w:rsidR="00760741" w:rsidRPr="00E84311">
        <w:rPr>
          <w:rFonts w:ascii="Palatino Linotype" w:hAnsi="Palatino Linotype" w:cs="Arial"/>
        </w:rPr>
        <w:t xml:space="preserve">por </w:t>
      </w:r>
      <w:r w:rsidR="00807ED7" w:rsidRPr="00E84311">
        <w:rPr>
          <w:rFonts w:ascii="Palatino Linotype" w:hAnsi="Palatino Linotype" w:cs="Arial"/>
        </w:rPr>
        <w:t xml:space="preserve">lo que si presentó su inconformidad el día </w:t>
      </w:r>
      <w:r w:rsidR="00641A3E" w:rsidRPr="00E84311">
        <w:rPr>
          <w:rFonts w:ascii="Palatino Linotype" w:eastAsia="Calibri" w:hAnsi="Palatino Linotype" w:cs="Arial"/>
        </w:rPr>
        <w:t>catorce</w:t>
      </w:r>
      <w:r w:rsidR="00760741" w:rsidRPr="00E84311">
        <w:rPr>
          <w:rFonts w:ascii="Palatino Linotype" w:eastAsia="Calibri" w:hAnsi="Palatino Linotype" w:cs="Arial"/>
        </w:rPr>
        <w:t xml:space="preserve"> (</w:t>
      </w:r>
      <w:r w:rsidR="00641A3E" w:rsidRPr="00E84311">
        <w:rPr>
          <w:rFonts w:ascii="Palatino Linotype" w:eastAsia="Calibri" w:hAnsi="Palatino Linotype" w:cs="Arial"/>
        </w:rPr>
        <w:t>14</w:t>
      </w:r>
      <w:r w:rsidR="00760741" w:rsidRPr="00E84311">
        <w:rPr>
          <w:rFonts w:ascii="Palatino Linotype" w:eastAsia="Calibri" w:hAnsi="Palatino Linotype" w:cs="Arial"/>
        </w:rPr>
        <w:t>)</w:t>
      </w:r>
      <w:r w:rsidR="00760741" w:rsidRPr="00E84311">
        <w:rPr>
          <w:rFonts w:ascii="Palatino Linotype" w:hAnsi="Palatino Linotype" w:cs="Arial"/>
        </w:rPr>
        <w:t xml:space="preserve"> </w:t>
      </w:r>
      <w:r w:rsidR="00760741" w:rsidRPr="00E84311">
        <w:rPr>
          <w:rFonts w:ascii="Palatino Linotype" w:hAnsi="Palatino Linotype"/>
        </w:rPr>
        <w:t xml:space="preserve">de </w:t>
      </w:r>
      <w:r w:rsidR="00641A3E" w:rsidRPr="00E84311">
        <w:rPr>
          <w:rFonts w:ascii="Palatino Linotype" w:hAnsi="Palatino Linotype"/>
        </w:rPr>
        <w:t>agosto</w:t>
      </w:r>
      <w:r w:rsidR="00760741" w:rsidRPr="00E84311">
        <w:rPr>
          <w:rFonts w:ascii="Palatino Linotype" w:hAnsi="Palatino Linotype"/>
        </w:rPr>
        <w:t xml:space="preserve"> </w:t>
      </w:r>
      <w:r w:rsidR="002E22A4" w:rsidRPr="00E84311">
        <w:rPr>
          <w:rFonts w:ascii="Palatino Linotype" w:hAnsi="Palatino Linotype"/>
        </w:rPr>
        <w:t xml:space="preserve">de </w:t>
      </w:r>
      <w:r w:rsidR="00E91B4E" w:rsidRPr="00E84311">
        <w:rPr>
          <w:rFonts w:ascii="Palatino Linotype" w:hAnsi="Palatino Linotype" w:cs="Arial"/>
        </w:rPr>
        <w:t>dos mil diecinueve</w:t>
      </w:r>
      <w:r w:rsidR="00807ED7" w:rsidRPr="00E84311">
        <w:rPr>
          <w:rFonts w:ascii="Palatino Linotype" w:hAnsi="Palatino Linotype" w:cs="Arial"/>
        </w:rPr>
        <w:t xml:space="preserve">, </w:t>
      </w:r>
      <w:bookmarkStart w:id="67" w:name="_Toc495430771"/>
      <w:bookmarkStart w:id="68" w:name="_Toc517976096"/>
      <w:bookmarkStart w:id="69" w:name="_Toc458528990"/>
      <w:bookmarkStart w:id="70" w:name="_Toc473812227"/>
      <w:bookmarkEnd w:id="65"/>
      <w:bookmarkEnd w:id="66"/>
      <w:r w:rsidR="00BF0D16" w:rsidRPr="00E84311">
        <w:rPr>
          <w:rFonts w:ascii="Palatino Linotype" w:hAnsi="Palatino Linotype" w:cs="Arial"/>
          <w:color w:val="000000" w:themeColor="text1"/>
        </w:rPr>
        <w:t xml:space="preserve">éste se encuentra dentro de los márgenes temporales previstos en el artículo 178 de la </w:t>
      </w:r>
      <w:r w:rsidR="00BF0D16" w:rsidRPr="00E84311">
        <w:rPr>
          <w:rFonts w:ascii="Palatino Linotype" w:hAnsi="Palatino Linotype" w:cs="Arial"/>
          <w:b/>
          <w:color w:val="000000" w:themeColor="text1"/>
        </w:rPr>
        <w:t>Ley de Transparencia y Acceso a la Información Pública del Estado de México y Municipios.</w:t>
      </w:r>
    </w:p>
    <w:p w14:paraId="0F7D093B" w14:textId="77777777" w:rsidR="00760741" w:rsidRPr="00E84311" w:rsidRDefault="00760741" w:rsidP="00E84311">
      <w:pPr>
        <w:pStyle w:val="Prrafodelista"/>
        <w:tabs>
          <w:tab w:val="left" w:pos="567"/>
        </w:tabs>
        <w:spacing w:before="240" w:line="360" w:lineRule="auto"/>
        <w:ind w:left="0"/>
        <w:jc w:val="both"/>
        <w:rPr>
          <w:rFonts w:ascii="Palatino Linotype" w:hAnsi="Palatino Linotype"/>
          <w:b/>
          <w:color w:val="000000" w:themeColor="text1"/>
        </w:rPr>
      </w:pPr>
    </w:p>
    <w:p w14:paraId="709204E9" w14:textId="411A7762" w:rsidR="002F6FD7" w:rsidRPr="00E84311" w:rsidRDefault="002F6FD7" w:rsidP="00E8431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84311">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E84311">
        <w:rPr>
          <w:rFonts w:ascii="Palatino Linotype" w:hAnsi="Palatino Linotype" w:cs="Arial"/>
          <w:b/>
          <w:u w:val="single"/>
          <w:lang w:val="es-ES"/>
        </w:rPr>
        <w:t>completo</w:t>
      </w:r>
      <w:r w:rsidRPr="00E84311">
        <w:rPr>
          <w:rFonts w:ascii="Palatino Linotype" w:hAnsi="Palatino Linotype" w:cs="Arial"/>
          <w:lang w:val="es-ES"/>
        </w:rPr>
        <w:t xml:space="preserve"> para que sea identificado, ni se tiene la certeza sobre su identidad, sin embargo, es importante señalar también que </w:t>
      </w:r>
      <w:r w:rsidRPr="00E84311">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84311">
        <w:rPr>
          <w:rFonts w:ascii="Palatino Linotype" w:hAnsi="Palatino Linotype" w:cs="Arial"/>
          <w:lang w:val="es-ES_tradnl"/>
        </w:rPr>
        <w:t>artículo</w:t>
      </w:r>
      <w:r w:rsidRPr="00E84311">
        <w:rPr>
          <w:rFonts w:ascii="Palatino Linotype" w:hAnsi="Palatino Linotype" w:cs="Arial"/>
        </w:rPr>
        <w:t xml:space="preserve"> 180 del mismo ordenamiento.</w:t>
      </w:r>
    </w:p>
    <w:p w14:paraId="2CD346CC" w14:textId="77777777" w:rsidR="002F6FD7" w:rsidRPr="00E84311" w:rsidRDefault="002F6FD7" w:rsidP="00E84311">
      <w:pPr>
        <w:pStyle w:val="Prrafodelista"/>
        <w:tabs>
          <w:tab w:val="left" w:pos="567"/>
        </w:tabs>
        <w:spacing w:line="360" w:lineRule="auto"/>
        <w:ind w:left="0"/>
        <w:jc w:val="both"/>
        <w:rPr>
          <w:rFonts w:ascii="Palatino Linotype" w:hAnsi="Palatino Linotype"/>
          <w:b/>
        </w:rPr>
      </w:pPr>
    </w:p>
    <w:p w14:paraId="404FC62B" w14:textId="77777777" w:rsidR="002F6FD7" w:rsidRPr="00E84311" w:rsidRDefault="002F6FD7" w:rsidP="00E8431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84311">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F723317" w14:textId="77777777" w:rsidR="002F6FD7" w:rsidRPr="00E84311" w:rsidRDefault="002F6FD7" w:rsidP="00E8431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B1EE088" w14:textId="77777777" w:rsidR="002F6FD7" w:rsidRPr="00E84311" w:rsidRDefault="002F6FD7" w:rsidP="00E8431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84311">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A989FD2" w14:textId="77777777" w:rsidR="002F6FD7" w:rsidRPr="00E84311" w:rsidRDefault="002F6FD7" w:rsidP="00E8431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C37E9AB" w14:textId="77777777" w:rsidR="002F6FD7" w:rsidRPr="00E84311" w:rsidRDefault="002F6FD7" w:rsidP="00E8431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84311">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80C2FAC" w14:textId="77777777" w:rsidR="002F6FD7" w:rsidRPr="00E84311" w:rsidRDefault="002F6FD7" w:rsidP="00E8431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468D9859" w14:textId="77777777" w:rsidR="002F6FD7" w:rsidRPr="00E84311" w:rsidRDefault="002F6FD7" w:rsidP="00E84311">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84311">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E84311">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5E53FFE6" w14:textId="77777777" w:rsidR="00F23826" w:rsidRPr="00E84311" w:rsidRDefault="00F23826" w:rsidP="00E84311">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43DC894" w14:textId="77777777" w:rsidR="00F23826" w:rsidRPr="00E84311" w:rsidRDefault="00F23826" w:rsidP="00E84311">
      <w:pPr>
        <w:pStyle w:val="Ttulo2"/>
        <w:tabs>
          <w:tab w:val="left" w:pos="567"/>
        </w:tabs>
        <w:spacing w:before="0" w:line="360" w:lineRule="auto"/>
        <w:rPr>
          <w:b w:val="0"/>
          <w:szCs w:val="24"/>
        </w:rPr>
      </w:pPr>
      <w:bookmarkStart w:id="71" w:name="_Toc19896051"/>
      <w:bookmarkStart w:id="72" w:name="_Toc21626006"/>
      <w:r w:rsidRPr="00E84311">
        <w:rPr>
          <w:szCs w:val="24"/>
        </w:rPr>
        <w:t>TERCERO. Del planteamiento de la Litis:</w:t>
      </w:r>
      <w:bookmarkEnd w:id="71"/>
      <w:bookmarkEnd w:id="72"/>
    </w:p>
    <w:p w14:paraId="3144BFDE" w14:textId="77777777" w:rsidR="00F23826" w:rsidRPr="00E84311" w:rsidRDefault="00F23826" w:rsidP="00E84311">
      <w:pPr>
        <w:pStyle w:val="Prrafodelista"/>
        <w:tabs>
          <w:tab w:val="left" w:pos="567"/>
        </w:tabs>
        <w:spacing w:after="240" w:line="360" w:lineRule="auto"/>
        <w:ind w:left="0"/>
        <w:jc w:val="both"/>
        <w:rPr>
          <w:rFonts w:ascii="Palatino Linotype" w:hAnsi="Palatino Linotype"/>
          <w:b/>
          <w:color w:val="000000" w:themeColor="text1"/>
        </w:rPr>
      </w:pPr>
    </w:p>
    <w:p w14:paraId="358162EB" w14:textId="48CEE2EA" w:rsidR="00F23826" w:rsidRPr="00E84311" w:rsidRDefault="00F23826" w:rsidP="00E84311">
      <w:pPr>
        <w:pStyle w:val="Prrafodelista"/>
        <w:numPr>
          <w:ilvl w:val="0"/>
          <w:numId w:val="1"/>
        </w:numPr>
        <w:tabs>
          <w:tab w:val="left" w:pos="567"/>
        </w:tabs>
        <w:spacing w:before="240" w:after="240" w:line="360" w:lineRule="auto"/>
        <w:ind w:left="0" w:firstLine="0"/>
        <w:jc w:val="both"/>
        <w:rPr>
          <w:rFonts w:ascii="Palatino Linotype" w:hAnsi="Palatino Linotype" w:cs="Arial"/>
          <w:b/>
        </w:rPr>
      </w:pPr>
      <w:r w:rsidRPr="00E84311">
        <w:rPr>
          <w:rFonts w:ascii="Palatino Linotype" w:hAnsi="Palatino Linotype"/>
          <w:color w:val="000000" w:themeColor="text1"/>
        </w:rPr>
        <w:t>En términos generales se manifestó la inconformidad</w:t>
      </w:r>
      <w:r w:rsidRPr="00E84311">
        <w:rPr>
          <w:rFonts w:ascii="Palatino Linotype" w:hAnsi="Palatino Linotype"/>
          <w:b/>
          <w:color w:val="000000" w:themeColor="text1"/>
        </w:rPr>
        <w:t xml:space="preserve"> </w:t>
      </w:r>
      <w:r w:rsidRPr="00E84311">
        <w:rPr>
          <w:rFonts w:ascii="Palatino Linotype" w:hAnsi="Palatino Linotype"/>
          <w:color w:val="000000" w:themeColor="text1"/>
        </w:rPr>
        <w:t>porque en la</w:t>
      </w:r>
      <w:r w:rsidRPr="00E84311">
        <w:rPr>
          <w:rFonts w:ascii="Palatino Linotype" w:eastAsia="Calibri" w:hAnsi="Palatino Linotype" w:cs="Times New Roman"/>
          <w:color w:val="000000" w:themeColor="text1"/>
          <w:lang w:val="es-ES"/>
        </w:rPr>
        <w:t xml:space="preserve"> respuesta a consideración del particular no se entrega la información solicitada</w:t>
      </w:r>
      <w:r w:rsidR="005B3584" w:rsidRPr="00E84311">
        <w:rPr>
          <w:rFonts w:ascii="Palatino Linotype" w:eastAsia="Calibri" w:hAnsi="Palatino Linotype" w:cs="Times New Roman"/>
          <w:color w:val="000000" w:themeColor="text1"/>
          <w:lang w:val="es-ES"/>
        </w:rPr>
        <w:t xml:space="preserve"> </w:t>
      </w:r>
      <w:r w:rsidRPr="00E84311">
        <w:rPr>
          <w:rFonts w:ascii="Palatino Linotype" w:hAnsi="Palatino Linotype" w:cs="Arial"/>
        </w:rPr>
        <w:t>por lo que se actualiza la causa</w:t>
      </w:r>
      <w:r w:rsidR="00BA18E3" w:rsidRPr="00E84311">
        <w:rPr>
          <w:rFonts w:ascii="Palatino Linotype" w:hAnsi="Palatino Linotype" w:cs="Arial"/>
        </w:rPr>
        <w:t>l</w:t>
      </w:r>
      <w:r w:rsidRPr="00E84311">
        <w:rPr>
          <w:rFonts w:ascii="Palatino Linotype" w:hAnsi="Palatino Linotype" w:cs="Arial"/>
        </w:rPr>
        <w:t xml:space="preserve"> de procedencia del recurso de revisión establecida</w:t>
      </w:r>
      <w:r w:rsidR="005B3584" w:rsidRPr="00E84311">
        <w:rPr>
          <w:rFonts w:ascii="Palatino Linotype" w:hAnsi="Palatino Linotype" w:cs="Arial"/>
        </w:rPr>
        <w:t>s</w:t>
      </w:r>
      <w:r w:rsidRPr="00E84311">
        <w:rPr>
          <w:rFonts w:ascii="Palatino Linotype" w:hAnsi="Palatino Linotype" w:cs="Arial"/>
        </w:rPr>
        <w:t xml:space="preserve"> en el artículo 179, fracción I de la </w:t>
      </w:r>
      <w:r w:rsidRPr="00E84311">
        <w:rPr>
          <w:rFonts w:ascii="Palatino Linotype" w:hAnsi="Palatino Linotype" w:cs="Arial"/>
          <w:b/>
        </w:rPr>
        <w:t>Ley de Transparencia y Acceso a la Información Pública del Estado de México y Municipios.</w:t>
      </w:r>
    </w:p>
    <w:p w14:paraId="3DA5C40D" w14:textId="77777777" w:rsidR="005B3584" w:rsidRPr="00E84311" w:rsidRDefault="005B3584" w:rsidP="00E84311">
      <w:pPr>
        <w:pStyle w:val="Prrafodelista"/>
        <w:tabs>
          <w:tab w:val="left" w:pos="567"/>
        </w:tabs>
        <w:spacing w:before="240" w:after="240" w:line="360" w:lineRule="auto"/>
        <w:ind w:left="0"/>
        <w:jc w:val="both"/>
        <w:rPr>
          <w:rFonts w:ascii="Palatino Linotype" w:hAnsi="Palatino Linotype" w:cs="Arial"/>
          <w:b/>
        </w:rPr>
      </w:pPr>
    </w:p>
    <w:p w14:paraId="4226BDA1" w14:textId="02FDB044" w:rsidR="00F23826" w:rsidRPr="00E84311" w:rsidRDefault="005B3584" w:rsidP="00E84311">
      <w:pPr>
        <w:pStyle w:val="Prrafodelista"/>
        <w:numPr>
          <w:ilvl w:val="0"/>
          <w:numId w:val="1"/>
        </w:numPr>
        <w:tabs>
          <w:tab w:val="left" w:pos="567"/>
        </w:tabs>
        <w:spacing w:before="240" w:after="240" w:line="360" w:lineRule="auto"/>
        <w:ind w:left="0" w:firstLine="0"/>
        <w:jc w:val="both"/>
        <w:rPr>
          <w:rFonts w:ascii="Palatino Linotype" w:hAnsi="Palatino Linotype" w:cs="Arial"/>
          <w:b/>
        </w:rPr>
      </w:pPr>
      <w:r w:rsidRPr="00E84311">
        <w:rPr>
          <w:rFonts w:ascii="Palatino Linotype" w:hAnsi="Palatino Linotype" w:cs="Arial"/>
        </w:rPr>
        <w:t>E</w:t>
      </w:r>
      <w:r w:rsidR="00F23826" w:rsidRPr="00E84311">
        <w:rPr>
          <w:rFonts w:ascii="Palatino Linotype" w:hAnsi="Palatino Linotype" w:cs="Arial"/>
        </w:rPr>
        <w:t xml:space="preserve">l </w:t>
      </w:r>
      <w:r w:rsidR="00F23826" w:rsidRPr="00E84311">
        <w:rPr>
          <w:rFonts w:ascii="Palatino Linotype" w:hAnsi="Palatino Linotype" w:cs="Arial"/>
          <w:b/>
        </w:rPr>
        <w:t>SUJETO OBLIGADO</w:t>
      </w:r>
      <w:r w:rsidR="00F23826" w:rsidRPr="00E84311">
        <w:rPr>
          <w:rFonts w:ascii="Palatino Linotype" w:hAnsi="Palatino Linotype" w:cs="Arial"/>
        </w:rPr>
        <w:t xml:space="preserve"> rindió su Informe Justificado </w:t>
      </w:r>
      <w:r w:rsidR="00F23826" w:rsidRPr="00E84311">
        <w:rPr>
          <w:rFonts w:ascii="Palatino Linotype" w:hAnsi="Palatino Linotype"/>
        </w:rPr>
        <w:t xml:space="preserve">para manifestar lo que a Derecho le asistiera y conviniera, </w:t>
      </w:r>
      <w:r w:rsidRPr="00E84311">
        <w:rPr>
          <w:rFonts w:ascii="Palatino Linotype" w:eastAsia="Times New Roman" w:hAnsi="Palatino Linotype" w:cs="Arial"/>
          <w:lang w:eastAsia="es-MX"/>
        </w:rPr>
        <w:t xml:space="preserve">en el cual </w:t>
      </w:r>
      <w:r w:rsidR="00BA18E3" w:rsidRPr="00E84311">
        <w:rPr>
          <w:rFonts w:ascii="Palatino Linotype" w:eastAsia="Times New Roman" w:hAnsi="Palatino Linotype" w:cs="Arial"/>
          <w:lang w:eastAsia="es-MX"/>
        </w:rPr>
        <w:t>no se modifica la respuesta inicial únicamente se indica que la información solicitada fue reservada.</w:t>
      </w:r>
    </w:p>
    <w:p w14:paraId="7F45EC61" w14:textId="77777777" w:rsidR="00F23826" w:rsidRPr="00E84311" w:rsidRDefault="00F23826" w:rsidP="00E84311">
      <w:pPr>
        <w:pStyle w:val="Prrafodelista"/>
        <w:tabs>
          <w:tab w:val="left" w:pos="567"/>
        </w:tabs>
        <w:spacing w:before="240" w:after="240" w:line="360" w:lineRule="auto"/>
        <w:ind w:left="0"/>
        <w:jc w:val="both"/>
        <w:rPr>
          <w:rFonts w:ascii="Palatino Linotype" w:hAnsi="Palatino Linotype" w:cs="Arial"/>
          <w:b/>
        </w:rPr>
      </w:pPr>
    </w:p>
    <w:p w14:paraId="7FF11232" w14:textId="1E439F99" w:rsidR="00F23826" w:rsidRPr="00E84311" w:rsidRDefault="00F23826" w:rsidP="00E84311">
      <w:pPr>
        <w:pStyle w:val="Prrafodelista"/>
        <w:numPr>
          <w:ilvl w:val="0"/>
          <w:numId w:val="1"/>
        </w:numPr>
        <w:tabs>
          <w:tab w:val="left" w:pos="567"/>
        </w:tabs>
        <w:spacing w:before="240" w:after="240" w:line="360" w:lineRule="auto"/>
        <w:ind w:left="0" w:firstLine="0"/>
        <w:jc w:val="both"/>
        <w:rPr>
          <w:rFonts w:ascii="Palatino Linotype" w:hAnsi="Palatino Linotype" w:cs="Arial"/>
          <w:b/>
        </w:rPr>
      </w:pPr>
      <w:r w:rsidRPr="00E84311">
        <w:rPr>
          <w:rFonts w:ascii="Palatino Linotype" w:eastAsia="Times New Roman" w:hAnsi="Palatino Linotype" w:cs="Arial"/>
        </w:rPr>
        <w:t xml:space="preserve">En dichas condiciones, la </w:t>
      </w:r>
      <w:r w:rsidRPr="00E84311">
        <w:rPr>
          <w:rFonts w:ascii="Palatino Linotype" w:eastAsia="Times New Roman" w:hAnsi="Palatino Linotype" w:cs="Arial"/>
          <w:i/>
        </w:rPr>
        <w:t>litis</w:t>
      </w:r>
      <w:r w:rsidRPr="00E84311">
        <w:rPr>
          <w:rFonts w:ascii="Palatino Linotype" w:eastAsia="Times New Roman" w:hAnsi="Palatino Linotype" w:cs="Arial"/>
        </w:rPr>
        <w:t xml:space="preserve"> a resolver en este recurso se circunscribe a determinar si con la información enviada en la respuesta se satisface el Derecho de Acceso a la Información, si son procedentes las raz</w:t>
      </w:r>
      <w:r w:rsidR="00BA18E3" w:rsidRPr="00E84311">
        <w:rPr>
          <w:rFonts w:ascii="Palatino Linotype" w:eastAsia="Times New Roman" w:hAnsi="Palatino Linotype" w:cs="Arial"/>
        </w:rPr>
        <w:t>ones o motivos de inconformidad, y si es dable de ordenar la entrega de información adicional.</w:t>
      </w:r>
    </w:p>
    <w:p w14:paraId="4479AEBF" w14:textId="77777777" w:rsidR="00F23826" w:rsidRPr="00E84311" w:rsidRDefault="00F23826" w:rsidP="00E84311">
      <w:pPr>
        <w:pStyle w:val="Ttulo1"/>
        <w:spacing w:line="360" w:lineRule="auto"/>
        <w:rPr>
          <w:szCs w:val="24"/>
        </w:rPr>
      </w:pPr>
      <w:bookmarkStart w:id="73" w:name="_Toc19896052"/>
      <w:bookmarkStart w:id="74" w:name="_Toc21626007"/>
      <w:r w:rsidRPr="00E84311">
        <w:rPr>
          <w:szCs w:val="24"/>
        </w:rPr>
        <w:t>CUARTO. Del Estudio y resolución del Asunto.</w:t>
      </w:r>
      <w:bookmarkEnd w:id="73"/>
      <w:bookmarkEnd w:id="74"/>
    </w:p>
    <w:p w14:paraId="0B31B812" w14:textId="77777777" w:rsidR="00F23826" w:rsidRPr="00E84311" w:rsidRDefault="00F23826" w:rsidP="00E84311">
      <w:pPr>
        <w:pStyle w:val="Ttulo2"/>
        <w:spacing w:line="360" w:lineRule="auto"/>
        <w:rPr>
          <w:szCs w:val="24"/>
        </w:rPr>
      </w:pPr>
      <w:bookmarkStart w:id="75" w:name="_Toc8387929"/>
      <w:bookmarkStart w:id="76" w:name="_Toc15589984"/>
      <w:bookmarkStart w:id="77" w:name="_Toc19896053"/>
      <w:bookmarkStart w:id="78" w:name="_Toc21626008"/>
      <w:r w:rsidRPr="00E84311">
        <w:rPr>
          <w:szCs w:val="24"/>
        </w:rPr>
        <w:t>I. De la respuesta emitida por el SUJETO OBLIGADO.</w:t>
      </w:r>
      <w:bookmarkEnd w:id="75"/>
      <w:bookmarkEnd w:id="76"/>
      <w:bookmarkEnd w:id="77"/>
      <w:bookmarkEnd w:id="78"/>
    </w:p>
    <w:p w14:paraId="0D6F467C" w14:textId="77777777" w:rsidR="00F23826" w:rsidRPr="00E84311" w:rsidRDefault="00F23826" w:rsidP="00E84311">
      <w:pPr>
        <w:pStyle w:val="Prrafodelista"/>
        <w:tabs>
          <w:tab w:val="left" w:pos="567"/>
        </w:tabs>
        <w:spacing w:after="240" w:line="360" w:lineRule="auto"/>
        <w:ind w:left="0"/>
        <w:jc w:val="both"/>
        <w:rPr>
          <w:rFonts w:ascii="Palatino Linotype" w:hAnsi="Palatino Linotype"/>
        </w:rPr>
      </w:pPr>
    </w:p>
    <w:p w14:paraId="006445BD" w14:textId="7837BC2E" w:rsidR="00F23826" w:rsidRPr="00E84311" w:rsidRDefault="00F23826" w:rsidP="00E84311">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E84311">
        <w:rPr>
          <w:rFonts w:ascii="Palatino Linotype" w:hAnsi="Palatino Linotype" w:cs="Arial"/>
        </w:rPr>
        <w:t xml:space="preserve">En primer término es necesario reiterar que se requirió información </w:t>
      </w:r>
      <w:r w:rsidR="00BA18E3" w:rsidRPr="00E84311">
        <w:rPr>
          <w:rFonts w:ascii="Palatino Linotype" w:hAnsi="Palatino Linotype" w:cs="Arial"/>
        </w:rPr>
        <w:t xml:space="preserve">que obre en los archivos del </w:t>
      </w:r>
      <w:r w:rsidR="00BA18E3" w:rsidRPr="00E84311">
        <w:rPr>
          <w:rFonts w:ascii="Palatino Linotype" w:hAnsi="Palatino Linotype" w:cs="Arial"/>
          <w:b/>
        </w:rPr>
        <w:t>SUJETO OBLIGADO</w:t>
      </w:r>
      <w:r w:rsidR="00BA18E3" w:rsidRPr="00E84311">
        <w:rPr>
          <w:rFonts w:ascii="Palatino Linotype" w:hAnsi="Palatino Linotype" w:cs="Arial"/>
        </w:rPr>
        <w:t xml:space="preserve"> sobre todos los servidores públicos que formen parte de la policía municipal, adscritos al municipio de Zumpango.</w:t>
      </w:r>
    </w:p>
    <w:p w14:paraId="4EEC21AA" w14:textId="77777777" w:rsidR="00911763" w:rsidRPr="00E84311" w:rsidRDefault="00911763" w:rsidP="00E84311">
      <w:pPr>
        <w:pStyle w:val="Prrafodelista"/>
        <w:tabs>
          <w:tab w:val="left" w:pos="567"/>
        </w:tabs>
        <w:spacing w:before="240" w:after="240" w:line="360" w:lineRule="auto"/>
        <w:ind w:left="0"/>
        <w:jc w:val="both"/>
        <w:rPr>
          <w:rFonts w:ascii="Palatino Linotype" w:hAnsi="Palatino Linotype" w:cs="Arial"/>
        </w:rPr>
      </w:pPr>
    </w:p>
    <w:p w14:paraId="40C959A0" w14:textId="77777777" w:rsidR="0026008F" w:rsidRPr="00E84311" w:rsidRDefault="00F64AB9" w:rsidP="00E84311">
      <w:pPr>
        <w:pStyle w:val="Prrafodelista"/>
        <w:numPr>
          <w:ilvl w:val="0"/>
          <w:numId w:val="1"/>
        </w:numPr>
        <w:spacing w:before="240" w:after="240" w:line="360" w:lineRule="auto"/>
        <w:ind w:left="0" w:right="49" w:firstLine="0"/>
        <w:jc w:val="both"/>
        <w:rPr>
          <w:rFonts w:ascii="Palatino Linotype" w:hAnsi="Palatino Linotype" w:cs="Arial"/>
          <w:i/>
          <w:color w:val="000000" w:themeColor="text1"/>
        </w:rPr>
      </w:pPr>
      <w:r w:rsidRPr="00E84311">
        <w:rPr>
          <w:rFonts w:ascii="Palatino Linotype" w:eastAsia="MS Mincho" w:hAnsi="Palatino Linotype" w:cs="Arial"/>
          <w:color w:val="000000"/>
        </w:rPr>
        <w:t xml:space="preserve">En atención a ello </w:t>
      </w:r>
      <w:r w:rsidRPr="00E84311">
        <w:rPr>
          <w:rFonts w:ascii="Palatino Linotype" w:hAnsi="Palatino Linotype" w:cs="Arial"/>
        </w:rPr>
        <w:t xml:space="preserve">en primer término es necesario reiterar que si bien es cierto que se requirió </w:t>
      </w:r>
      <w:r w:rsidRPr="00E84311">
        <w:rPr>
          <w:rFonts w:ascii="Palatino Linotype" w:hAnsi="Palatino Linotype"/>
        </w:rPr>
        <w:t xml:space="preserve">información </w:t>
      </w:r>
      <w:r w:rsidRPr="00E84311">
        <w:rPr>
          <w:rFonts w:ascii="Palatino Linotype" w:hAnsi="Palatino Linotype" w:cs="Arial"/>
        </w:rPr>
        <w:t>sobre todos los servidores públicos que formen parte de la policía municipal, adscritos al</w:t>
      </w:r>
      <w:r w:rsidRPr="00E84311">
        <w:rPr>
          <w:rFonts w:ascii="Palatino Linotype" w:hAnsi="Palatino Linotype"/>
        </w:rPr>
        <w:t xml:space="preserve"> Municipio </w:t>
      </w:r>
      <w:r w:rsidRPr="00E84311">
        <w:rPr>
          <w:rFonts w:ascii="Palatino Linotype" w:eastAsia="Calibri" w:hAnsi="Palatino Linotype" w:cs="Arial"/>
          <w:b/>
          <w:u w:val="single"/>
          <w:lang w:val="es-ES"/>
        </w:rPr>
        <w:t>también lo es</w:t>
      </w:r>
      <w:r w:rsidRPr="00E84311">
        <w:rPr>
          <w:rFonts w:ascii="Palatino Linotype" w:eastAsia="Calibri" w:hAnsi="Palatino Linotype" w:cs="Arial"/>
          <w:i/>
          <w:lang w:val="es-ES"/>
        </w:rPr>
        <w:t xml:space="preserve"> </w:t>
      </w:r>
      <w:r w:rsidRPr="00E84311">
        <w:rPr>
          <w:rFonts w:ascii="Palatino Linotype" w:eastAsia="Calibri" w:hAnsi="Palatino Linotype" w:cs="Arial"/>
          <w:lang w:val="es-ES"/>
        </w:rPr>
        <w:t xml:space="preserve">que </w:t>
      </w:r>
      <w:r w:rsidRPr="00E84311">
        <w:rPr>
          <w:rFonts w:ascii="Palatino Linotype" w:hAnsi="Palatino Linotype"/>
          <w:lang w:eastAsia="es-MX"/>
        </w:rPr>
        <w:t xml:space="preserve">resulta procedente suplir la deficiencia de la queja y asumir que se requiere información de todos los servidores públicos </w:t>
      </w:r>
      <w:r w:rsidRPr="00E84311">
        <w:rPr>
          <w:rFonts w:ascii="Palatino Linotype" w:hAnsi="Palatino Linotype" w:cs="Arial"/>
        </w:rPr>
        <w:t xml:space="preserve">que formen parte de la policía, adscritos a la </w:t>
      </w:r>
      <w:r w:rsidRPr="00E84311">
        <w:rPr>
          <w:rFonts w:ascii="Palatino Linotype" w:hAnsi="Palatino Linotype"/>
          <w:lang w:eastAsia="es-MX"/>
        </w:rPr>
        <w:t xml:space="preserve">Dirección de Seguridad en la presente Administración Pública Municipal toda vez que </w:t>
      </w:r>
      <w:r w:rsidRPr="00E84311">
        <w:rPr>
          <w:rFonts w:ascii="Palatino Linotype" w:hAnsi="Palatino Linotype"/>
          <w:color w:val="000000"/>
          <w:shd w:val="clear" w:color="auto" w:fill="FFFFFF"/>
        </w:rPr>
        <w:t xml:space="preserve">un Municipio es </w:t>
      </w:r>
      <w:r w:rsidRPr="00E84311">
        <w:rPr>
          <w:rFonts w:ascii="Palatino Linotype" w:hAnsi="Palatino Linotype"/>
        </w:rPr>
        <w:t>“</w:t>
      </w:r>
      <w:r w:rsidRPr="00E84311">
        <w:rPr>
          <w:rFonts w:ascii="Palatino Linotype" w:hAnsi="Palatino Linotype"/>
          <w:i/>
        </w:rPr>
        <w:t>una persona jurídica de derecho público, compuesta por un grupo social humano interrelacionado por razones de vecindad al estar asentado permanentemente en un territorio dado, con un gobierno autónomo propio y sometido a un orden jurídico específico, con el fin de mantener el orden público, prestar los servicios públicos indispensables para satisfacer las necesidades elementales de carácter general de sus vecinos y realizar las obras públicas requeridas por la comunidad</w:t>
      </w:r>
      <w:r w:rsidRPr="00E84311">
        <w:rPr>
          <w:rStyle w:val="Refdenotaalpie"/>
          <w:rFonts w:ascii="Palatino Linotype" w:hAnsi="Palatino Linotype"/>
          <w:i/>
        </w:rPr>
        <w:footnoteReference w:id="1"/>
      </w:r>
      <w:r w:rsidRPr="00E84311">
        <w:rPr>
          <w:rFonts w:ascii="Palatino Linotype" w:hAnsi="Palatino Linotype"/>
        </w:rPr>
        <w:t>”</w:t>
      </w:r>
      <w:r w:rsidR="0026008F" w:rsidRPr="00E84311">
        <w:rPr>
          <w:rFonts w:ascii="Palatino Linotype" w:hAnsi="Palatino Linotype"/>
        </w:rPr>
        <w:t>.</w:t>
      </w:r>
    </w:p>
    <w:p w14:paraId="68127EC1" w14:textId="77777777" w:rsidR="003948A2" w:rsidRPr="00E84311" w:rsidRDefault="003948A2" w:rsidP="00E84311">
      <w:pPr>
        <w:pStyle w:val="Prrafodelista"/>
        <w:spacing w:before="240" w:after="240" w:line="360" w:lineRule="auto"/>
        <w:ind w:left="0" w:right="49"/>
        <w:jc w:val="both"/>
        <w:rPr>
          <w:rFonts w:ascii="Palatino Linotype" w:hAnsi="Palatino Linotype" w:cs="Arial"/>
          <w:color w:val="000000" w:themeColor="text1"/>
        </w:rPr>
      </w:pPr>
    </w:p>
    <w:p w14:paraId="2FD92D6F" w14:textId="2648D733" w:rsidR="003948A2" w:rsidRPr="00E84311" w:rsidRDefault="003948A2" w:rsidP="00E84311">
      <w:pPr>
        <w:pStyle w:val="Prrafodelista"/>
        <w:numPr>
          <w:ilvl w:val="0"/>
          <w:numId w:val="1"/>
        </w:numPr>
        <w:spacing w:before="240" w:after="240" w:line="360" w:lineRule="auto"/>
        <w:ind w:left="0" w:right="49" w:firstLine="0"/>
        <w:jc w:val="both"/>
        <w:rPr>
          <w:rFonts w:ascii="Palatino Linotype" w:hAnsi="Palatino Linotype" w:cs="Arial"/>
          <w:i/>
          <w:color w:val="000000" w:themeColor="text1"/>
        </w:rPr>
      </w:pPr>
      <w:r w:rsidRPr="00E84311">
        <w:rPr>
          <w:rFonts w:ascii="Palatino Linotype" w:hAnsi="Palatino Linotype" w:cs="Arial"/>
        </w:rPr>
        <w:t xml:space="preserve">Así mismo en la solicitud de acceso a la información pública que hoy nos ocupa se </w:t>
      </w:r>
      <w:r w:rsidRPr="00E84311">
        <w:rPr>
          <w:rFonts w:ascii="Palatino Linotype" w:hAnsi="Palatino Linotype"/>
          <w:shd w:val="clear" w:color="auto" w:fill="FFFFFF"/>
        </w:rPr>
        <w:t>advierte que</w:t>
      </w:r>
      <w:r w:rsidRPr="00E84311">
        <w:rPr>
          <w:rStyle w:val="apple-converted-space"/>
          <w:rFonts w:ascii="Palatino Linotype" w:hAnsi="Palatino Linotype"/>
          <w:shd w:val="clear" w:color="auto" w:fill="FFFFFF"/>
        </w:rPr>
        <w:t xml:space="preserve"> </w:t>
      </w:r>
      <w:r w:rsidRPr="00E84311">
        <w:rPr>
          <w:rFonts w:ascii="Palatino Linotype" w:hAnsi="Palatino Linotype"/>
          <w:shd w:val="clear" w:color="auto" w:fill="FFFFFF"/>
        </w:rPr>
        <w:t>no se precisó temporalidad alguna sobre la información solicitada, por lo que</w:t>
      </w:r>
      <w:r w:rsidRPr="00E84311">
        <w:rPr>
          <w:rStyle w:val="m1553324590483875794gmail-m8993139698400752374gmail-apple-converted-space"/>
          <w:rFonts w:ascii="Palatino Linotype" w:hAnsi="Palatino Linotype"/>
          <w:shd w:val="clear" w:color="auto" w:fill="FFFFFF"/>
        </w:rPr>
        <w:t xml:space="preserve"> </w:t>
      </w:r>
      <w:r w:rsidRPr="00E84311">
        <w:rPr>
          <w:rFonts w:ascii="Palatino Linotype" w:hAnsi="Palatino Linotype" w:cs="Arial"/>
          <w:shd w:val="clear" w:color="auto" w:fill="FFFFFF"/>
        </w:rPr>
        <w:t xml:space="preserve">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w:t>
      </w:r>
      <w:r w:rsidRPr="00E84311">
        <w:rPr>
          <w:rFonts w:ascii="Palatino Linotype" w:hAnsi="Palatino Linotype" w:cs="Arial"/>
        </w:rPr>
        <w:t>artículos</w:t>
      </w:r>
      <w:r w:rsidRPr="00E84311">
        <w:rPr>
          <w:rFonts w:ascii="Palatino Linotype" w:hAnsi="Palatino Linotype" w:cs="Arial"/>
          <w:shd w:val="clear" w:color="auto" w:fill="FFFFFF"/>
        </w:rPr>
        <w:t xml:space="preserve"> 4 y 8 del mismo ordenamiento legal, y con el fin de garantizar el derecho humano de acceso a la información pública del particular, debe entenderse que el periodo de búsqueda requerido, corresponde al del año inmediato anterior, contado a partir de la fecha en que se presentó la solicitud, es decir, </w:t>
      </w:r>
      <w:r w:rsidRPr="00E84311">
        <w:rPr>
          <w:rFonts w:ascii="Palatino Linotype" w:hAnsi="Palatino Linotype"/>
          <w:b/>
          <w:color w:val="000000"/>
          <w:u w:val="single"/>
        </w:rPr>
        <w:t>del 25 de junio de 2018 al 25 de junio de 2019</w:t>
      </w:r>
      <w:r w:rsidRPr="00E84311">
        <w:rPr>
          <w:rFonts w:ascii="Palatino Linotype" w:hAnsi="Palatino Linotype"/>
          <w:color w:val="000000"/>
        </w:rPr>
        <w:t>.</w:t>
      </w:r>
    </w:p>
    <w:p w14:paraId="4C99AA83" w14:textId="77777777" w:rsidR="003948A2" w:rsidRPr="00E84311" w:rsidRDefault="003948A2" w:rsidP="00E84311">
      <w:pPr>
        <w:pStyle w:val="Prrafodelista"/>
        <w:spacing w:before="240" w:after="240" w:line="360" w:lineRule="auto"/>
        <w:ind w:left="0" w:right="49"/>
        <w:jc w:val="both"/>
        <w:rPr>
          <w:rFonts w:ascii="Palatino Linotype" w:hAnsi="Palatino Linotype" w:cs="Arial"/>
          <w:i/>
          <w:color w:val="000000" w:themeColor="text1"/>
        </w:rPr>
      </w:pPr>
    </w:p>
    <w:p w14:paraId="39B0CB80" w14:textId="77777777" w:rsidR="003948A2" w:rsidRPr="00E84311" w:rsidRDefault="003948A2" w:rsidP="00E84311">
      <w:pPr>
        <w:pStyle w:val="Prrafodelista"/>
        <w:numPr>
          <w:ilvl w:val="0"/>
          <w:numId w:val="1"/>
        </w:numPr>
        <w:spacing w:before="240" w:after="240" w:line="360" w:lineRule="auto"/>
        <w:ind w:left="0" w:right="49" w:firstLine="0"/>
        <w:jc w:val="both"/>
        <w:rPr>
          <w:rFonts w:ascii="Palatino Linotype" w:hAnsi="Palatino Linotype" w:cs="Arial"/>
          <w:i/>
          <w:color w:val="000000" w:themeColor="text1"/>
        </w:rPr>
      </w:pPr>
      <w:r w:rsidRPr="00E84311">
        <w:rPr>
          <w:rFonts w:ascii="Palatino Linotype" w:hAnsi="Palatino Linotype"/>
        </w:rPr>
        <w:t xml:space="preserve">Sirve de apoyo a lo anterior, el criterio orientador 03/19 emitido por el Instituto Nacional de </w:t>
      </w:r>
      <w:r w:rsidRPr="00E84311">
        <w:rPr>
          <w:rFonts w:ascii="Palatino Linotype" w:hAnsi="Palatino Linotype" w:cs="Arial"/>
        </w:rPr>
        <w:t>Transparencia</w:t>
      </w:r>
      <w:r w:rsidRPr="00E84311">
        <w:rPr>
          <w:rFonts w:ascii="Palatino Linotype" w:hAnsi="Palatino Linotype"/>
        </w:rPr>
        <w:t xml:space="preserve">, Acceso a la Información y Protección de Datos Personales (INAI), correspondiente a la Segunda Época, aplicable en términos del artículo 202, segundo párrafo de </w:t>
      </w:r>
      <w:r w:rsidRPr="00E84311">
        <w:rPr>
          <w:rFonts w:ascii="Palatino Linotype" w:hAnsi="Palatino Linotype"/>
          <w:lang w:eastAsia="es-ES_tradnl"/>
        </w:rPr>
        <w:t xml:space="preserve">la Ley de Transparencia y Acceso a la Información Pública del </w:t>
      </w:r>
      <w:r w:rsidRPr="00E84311">
        <w:rPr>
          <w:rFonts w:ascii="Palatino Linotype" w:hAnsi="Palatino Linotype"/>
        </w:rPr>
        <w:t>Estado</w:t>
      </w:r>
      <w:r w:rsidRPr="00E84311">
        <w:rPr>
          <w:rFonts w:ascii="Palatino Linotype" w:hAnsi="Palatino Linotype"/>
          <w:lang w:eastAsia="es-ES_tradnl"/>
        </w:rPr>
        <w:t xml:space="preserve"> de México y Municipios</w:t>
      </w:r>
      <w:r w:rsidRPr="00E84311">
        <w:rPr>
          <w:rStyle w:val="Refdenotaalpie"/>
          <w:rFonts w:ascii="Palatino Linotype" w:hAnsi="Palatino Linotype"/>
          <w:lang w:eastAsia="es-ES_tradnl"/>
        </w:rPr>
        <w:footnoteReference w:id="2"/>
      </w:r>
      <w:r w:rsidRPr="00E84311">
        <w:rPr>
          <w:rFonts w:ascii="Palatino Linotype" w:hAnsi="Palatino Linotype"/>
          <w:lang w:eastAsia="es-ES_tradnl"/>
        </w:rPr>
        <w:t>,</w:t>
      </w:r>
      <w:r w:rsidRPr="00E84311">
        <w:rPr>
          <w:rFonts w:ascii="Palatino Linotype" w:hAnsi="Palatino Linotype"/>
        </w:rPr>
        <w:t xml:space="preserve"> y que a la letra dice:</w:t>
      </w:r>
    </w:p>
    <w:p w14:paraId="4E7BAE9D" w14:textId="77777777" w:rsidR="003948A2" w:rsidRPr="00E84311" w:rsidRDefault="003948A2" w:rsidP="00E84311">
      <w:pPr>
        <w:spacing w:before="160" w:line="360" w:lineRule="auto"/>
        <w:ind w:left="567" w:right="567"/>
        <w:jc w:val="both"/>
        <w:rPr>
          <w:rFonts w:ascii="Palatino Linotype" w:hAnsi="Palatino Linotype"/>
          <w:i/>
        </w:rPr>
      </w:pPr>
      <w:r w:rsidRPr="00E84311">
        <w:rPr>
          <w:rFonts w:ascii="Palatino Linotype" w:hAnsi="Palatino Linotype"/>
          <w:i/>
        </w:rPr>
        <w:t>“</w:t>
      </w:r>
      <w:r w:rsidRPr="00E84311">
        <w:rPr>
          <w:rFonts w:ascii="Palatino Linotype" w:hAnsi="Palatino Linotype"/>
          <w:b/>
          <w:i/>
        </w:rPr>
        <w:t>Periodo de búsqueda de la información</w:t>
      </w:r>
      <w:r w:rsidRPr="00E84311">
        <w:rPr>
          <w:rFonts w:ascii="Palatino Linotype" w:hAnsi="Palatino Linotype"/>
          <w:i/>
        </w:rPr>
        <w:t xml:space="preserve">. En el supuesto de que </w:t>
      </w:r>
      <w:r w:rsidRPr="00E84311">
        <w:rPr>
          <w:rFonts w:ascii="Palatino Linotype" w:hAnsi="Palatino Linotype"/>
          <w:b/>
          <w:i/>
          <w:u w:val="single"/>
        </w:rPr>
        <w:t>el particular no haya señalado el periodo</w:t>
      </w:r>
      <w:r w:rsidRPr="00E84311">
        <w:rPr>
          <w:rFonts w:ascii="Palatino Linotype" w:hAnsi="Palatino Linotype"/>
          <w:i/>
        </w:rPr>
        <w:t xml:space="preserve"> respecto del cual requiere la información, o bien, de la solicitud presentada </w:t>
      </w:r>
      <w:r w:rsidRPr="00E84311">
        <w:rPr>
          <w:rFonts w:ascii="Palatino Linotype" w:hAnsi="Palatino Linotype"/>
          <w:b/>
          <w:i/>
          <w:u w:val="single"/>
        </w:rPr>
        <w:t>no se adviertan elementos que permitan identificarlo, deberá considerarse</w:t>
      </w:r>
      <w:r w:rsidRPr="00E84311">
        <w:rPr>
          <w:rFonts w:ascii="Palatino Linotype" w:hAnsi="Palatino Linotype"/>
          <w:i/>
        </w:rPr>
        <w:t xml:space="preserve">, para efectos de la búsqueda de la información, </w:t>
      </w:r>
      <w:r w:rsidRPr="00E84311">
        <w:rPr>
          <w:rFonts w:ascii="Palatino Linotype" w:hAnsi="Palatino Linotype"/>
          <w:b/>
          <w:i/>
          <w:u w:val="single"/>
        </w:rPr>
        <w:t>que el requerimiento se refiere al año inmediato anterior, contado a partir de la fecha en que se presentó la solicitud</w:t>
      </w:r>
      <w:r w:rsidRPr="00E84311">
        <w:rPr>
          <w:rFonts w:ascii="Palatino Linotype" w:hAnsi="Palatino Linotype"/>
          <w:i/>
        </w:rPr>
        <w:t>.</w:t>
      </w:r>
    </w:p>
    <w:p w14:paraId="79E690F4" w14:textId="77777777" w:rsidR="003948A2" w:rsidRPr="00E84311" w:rsidRDefault="003948A2" w:rsidP="00E84311">
      <w:pPr>
        <w:spacing w:before="160" w:line="360" w:lineRule="auto"/>
        <w:ind w:left="567" w:right="567"/>
        <w:jc w:val="both"/>
        <w:rPr>
          <w:rFonts w:ascii="Palatino Linotype" w:hAnsi="Palatino Linotype"/>
          <w:i/>
        </w:rPr>
      </w:pPr>
      <w:r w:rsidRPr="00E84311">
        <w:rPr>
          <w:rFonts w:ascii="Palatino Linotype" w:hAnsi="Palatino Linotype"/>
          <w:i/>
        </w:rPr>
        <w:t>Resoluciones</w:t>
      </w:r>
    </w:p>
    <w:p w14:paraId="1D53CB44" w14:textId="77777777" w:rsidR="003948A2" w:rsidRPr="00E84311" w:rsidRDefault="003948A2" w:rsidP="00E84311">
      <w:pPr>
        <w:tabs>
          <w:tab w:val="left" w:pos="1134"/>
        </w:tabs>
        <w:spacing w:before="160" w:line="360" w:lineRule="auto"/>
        <w:ind w:left="567" w:right="567"/>
        <w:jc w:val="both"/>
        <w:rPr>
          <w:rFonts w:ascii="Palatino Linotype" w:hAnsi="Palatino Linotype"/>
          <w:i/>
        </w:rPr>
      </w:pPr>
      <w:r w:rsidRPr="00E84311">
        <w:rPr>
          <w:rFonts w:ascii="Palatino Linotype" w:hAnsi="Palatino Linotype"/>
          <w:i/>
        </w:rPr>
        <w:t>•</w:t>
      </w:r>
      <w:r w:rsidRPr="00E84311">
        <w:rPr>
          <w:rFonts w:ascii="Palatino Linotype" w:hAnsi="Palatino Linotype"/>
          <w:i/>
        </w:rPr>
        <w:tab/>
        <w:t>RRA 0022/17. Instituto Mexicano de la Propiedad Industrial. 16 de febrero de 2017. Por unanimidad. Comisionado Ponente Francisco Javier Acuña Llamas.</w:t>
      </w:r>
    </w:p>
    <w:p w14:paraId="32A9B576" w14:textId="77777777" w:rsidR="003948A2" w:rsidRPr="00E84311" w:rsidRDefault="003948A2" w:rsidP="00E84311">
      <w:pPr>
        <w:tabs>
          <w:tab w:val="left" w:pos="1134"/>
        </w:tabs>
        <w:spacing w:before="160" w:line="360" w:lineRule="auto"/>
        <w:ind w:left="567" w:right="567"/>
        <w:jc w:val="both"/>
        <w:rPr>
          <w:rFonts w:ascii="Palatino Linotype" w:hAnsi="Palatino Linotype"/>
          <w:i/>
        </w:rPr>
      </w:pPr>
      <w:r w:rsidRPr="00E84311">
        <w:rPr>
          <w:rFonts w:ascii="Palatino Linotype" w:hAnsi="Palatino Linotype"/>
          <w:i/>
        </w:rPr>
        <w:t>•</w:t>
      </w:r>
      <w:r w:rsidRPr="00E84311">
        <w:rPr>
          <w:rFonts w:ascii="Palatino Linotype" w:hAnsi="Palatino Linotype"/>
          <w:i/>
        </w:rPr>
        <w:tab/>
        <w:t xml:space="preserve">RRA 2536/17. Secretaría de Gobernación. 07 de junio de 2017. Por unanimidad. Comisionada Ponente Areli Cano Guadiana. </w:t>
      </w:r>
    </w:p>
    <w:p w14:paraId="33A34DD4" w14:textId="77777777" w:rsidR="003948A2" w:rsidRPr="00E84311" w:rsidRDefault="003948A2" w:rsidP="00E84311">
      <w:pPr>
        <w:tabs>
          <w:tab w:val="left" w:pos="1134"/>
        </w:tabs>
        <w:spacing w:before="160" w:line="360" w:lineRule="auto"/>
        <w:ind w:left="567" w:right="567"/>
        <w:jc w:val="both"/>
        <w:rPr>
          <w:rFonts w:ascii="Palatino Linotype" w:hAnsi="Palatino Linotype"/>
          <w:i/>
        </w:rPr>
      </w:pPr>
      <w:r w:rsidRPr="00E84311">
        <w:rPr>
          <w:rFonts w:ascii="Palatino Linotype" w:hAnsi="Palatino Linotype"/>
          <w:i/>
        </w:rPr>
        <w:t>•</w:t>
      </w:r>
      <w:r w:rsidRPr="00E84311">
        <w:rPr>
          <w:rFonts w:ascii="Palatino Linotype" w:hAnsi="Palatino Linotype"/>
          <w:i/>
        </w:rPr>
        <w:tab/>
        <w:t>RRA 3482/17. Secretaría de Comunicaciones y Transportes. 02 de agosto de 2017. Por unanimidad. Comisionado Ponente Oscar Mauricio Guerra Ford.”</w:t>
      </w:r>
    </w:p>
    <w:p w14:paraId="1AED8F51" w14:textId="77777777" w:rsidR="003948A2" w:rsidRPr="00E84311" w:rsidRDefault="003948A2" w:rsidP="00E84311">
      <w:pPr>
        <w:spacing w:before="160" w:line="360" w:lineRule="auto"/>
        <w:ind w:left="567" w:right="567"/>
        <w:jc w:val="both"/>
        <w:rPr>
          <w:rFonts w:ascii="Palatino Linotype" w:hAnsi="Palatino Linotype"/>
          <w:i/>
        </w:rPr>
      </w:pPr>
      <w:r w:rsidRPr="00E84311">
        <w:rPr>
          <w:rFonts w:ascii="Palatino Linotype" w:hAnsi="Palatino Linotype"/>
          <w:i/>
        </w:rPr>
        <w:t>(Énfasis añadido)</w:t>
      </w:r>
    </w:p>
    <w:p w14:paraId="2BA43977" w14:textId="4CF03ABA" w:rsidR="00F64AB9" w:rsidRPr="00E84311" w:rsidRDefault="00A40F53" w:rsidP="00E84311">
      <w:pPr>
        <w:pStyle w:val="Prrafodelista"/>
        <w:numPr>
          <w:ilvl w:val="0"/>
          <w:numId w:val="1"/>
        </w:numPr>
        <w:spacing w:before="240" w:after="240" w:line="360" w:lineRule="auto"/>
        <w:ind w:left="0" w:right="49" w:firstLine="0"/>
        <w:jc w:val="both"/>
        <w:rPr>
          <w:rFonts w:ascii="Palatino Linotype" w:hAnsi="Palatino Linotype" w:cs="Arial"/>
          <w:i/>
          <w:color w:val="000000" w:themeColor="text1"/>
        </w:rPr>
      </w:pPr>
      <w:r w:rsidRPr="00E84311">
        <w:rPr>
          <w:rFonts w:ascii="Palatino Linotype" w:hAnsi="Palatino Linotype"/>
          <w:color w:val="000000"/>
          <w:shd w:val="clear" w:color="auto" w:fill="FFFFFF"/>
        </w:rPr>
        <w:t>E</w:t>
      </w:r>
      <w:r w:rsidR="00F64AB9" w:rsidRPr="00E84311">
        <w:rPr>
          <w:rFonts w:ascii="Palatino Linotype" w:hAnsi="Palatino Linotype"/>
          <w:color w:val="000000"/>
          <w:shd w:val="clear" w:color="auto" w:fill="FFFFFF"/>
        </w:rPr>
        <w:t>n ese sentido</w:t>
      </w:r>
      <w:r w:rsidR="00F64AB9" w:rsidRPr="00E84311">
        <w:rPr>
          <w:rFonts w:ascii="Palatino Linotype" w:hAnsi="Palatino Linotype"/>
          <w:lang w:eastAsia="es-MX"/>
        </w:rPr>
        <w:t xml:space="preserve"> en términos de la </w:t>
      </w:r>
      <w:r w:rsidR="00F64AB9" w:rsidRPr="00E84311">
        <w:rPr>
          <w:rFonts w:ascii="Palatino Linotype" w:hAnsi="Palatino Linotype"/>
          <w:b/>
          <w:lang w:eastAsia="es-MX"/>
        </w:rPr>
        <w:t>Ley de Transparencia y Acceso a la Información Pública del Estado de México y Municipios</w:t>
      </w:r>
      <w:r w:rsidR="00F64AB9" w:rsidRPr="00E84311">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14:paraId="563D56E2" w14:textId="77777777" w:rsidR="00F64AB9" w:rsidRPr="00E84311" w:rsidRDefault="00F64AB9" w:rsidP="00E84311">
      <w:pPr>
        <w:shd w:val="clear" w:color="auto" w:fill="FFFFFF"/>
        <w:spacing w:before="240" w:after="240" w:line="360" w:lineRule="auto"/>
        <w:ind w:left="567" w:right="567"/>
        <w:jc w:val="both"/>
        <w:rPr>
          <w:rFonts w:ascii="Palatino Linotype" w:hAnsi="Palatino Linotype"/>
          <w:i/>
          <w:iCs/>
          <w:lang w:eastAsia="es-MX"/>
        </w:rPr>
      </w:pPr>
      <w:r w:rsidRPr="00E84311">
        <w:rPr>
          <w:rFonts w:ascii="Palatino Linotype" w:hAnsi="Palatino Linotype"/>
          <w:b/>
          <w:bCs/>
          <w:i/>
          <w:iCs/>
          <w:lang w:eastAsia="es-MX"/>
        </w:rPr>
        <w:t>Artículo 13</w:t>
      </w:r>
      <w:r w:rsidRPr="00E84311">
        <w:rPr>
          <w:rFonts w:ascii="Palatino Linotype" w:hAnsi="Palatino Linotype"/>
          <w:i/>
          <w:iCs/>
          <w:lang w:eastAsia="es-MX"/>
        </w:rPr>
        <w:t>. El Instituto, en el ámbito de sus atribuciones, deberá suplir cualquier deficiencia para garantizar el ejercicio del derecho de acceso a la información.</w:t>
      </w:r>
    </w:p>
    <w:p w14:paraId="0A3AEEFA" w14:textId="67C27BE3" w:rsidR="00F64AB9" w:rsidRPr="00E84311" w:rsidRDefault="00F64AB9" w:rsidP="00E84311">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E84311">
        <w:rPr>
          <w:rFonts w:ascii="Palatino Linotype" w:hAnsi="Palatino Linotype" w:cs="Arial"/>
        </w:rPr>
        <w:t xml:space="preserve">Por lo tanto, como resultado de observar la solicitud de información, el </w:t>
      </w:r>
      <w:r w:rsidRPr="00E84311">
        <w:rPr>
          <w:rFonts w:ascii="Palatino Linotype" w:hAnsi="Palatino Linotype"/>
        </w:rPr>
        <w:t xml:space="preserve">Pleno de este Instituto como garante del derecho de acceso a la información pública en términos de lo dispuesto por los artículos 13 y 181, penúltimo párrafo de la </w:t>
      </w:r>
      <w:r w:rsidRPr="00E84311">
        <w:rPr>
          <w:rFonts w:ascii="Palatino Linotype" w:hAnsi="Palatino Linotype"/>
          <w:b/>
        </w:rPr>
        <w:t>Ley de Transparencia y Acceso a la Información Pública del Estado de México y Municipios</w:t>
      </w:r>
      <w:r w:rsidRPr="00E84311">
        <w:rPr>
          <w:rFonts w:ascii="Palatino Linotype" w:hAnsi="Palatino Linotype"/>
        </w:rPr>
        <w:t>, aplica la suplencia de la queja en favor del hoy recurrente, a fin de considerar que su requerimiento de información se centra en obtener</w:t>
      </w:r>
      <w:r w:rsidRPr="00E84311">
        <w:rPr>
          <w:rFonts w:ascii="Palatino Linotype" w:hAnsi="Palatino Linotype" w:cs="Arial"/>
        </w:rPr>
        <w:t xml:space="preserve"> </w:t>
      </w:r>
      <w:r w:rsidRPr="00E84311">
        <w:rPr>
          <w:rFonts w:ascii="Palatino Linotype" w:hAnsi="Palatino Linotype"/>
          <w:b/>
          <w:color w:val="000000"/>
          <w:u w:val="single"/>
        </w:rPr>
        <w:t>la información</w:t>
      </w:r>
      <w:r w:rsidRPr="00E84311">
        <w:rPr>
          <w:rFonts w:ascii="Palatino Linotype" w:hAnsi="Palatino Linotype"/>
          <w:color w:val="000000"/>
        </w:rPr>
        <w:t xml:space="preserve"> sobre</w:t>
      </w:r>
      <w:r w:rsidR="00A40F53" w:rsidRPr="00E84311">
        <w:rPr>
          <w:rFonts w:ascii="Palatino Linotype" w:hAnsi="Palatino Linotype" w:cs="Arial"/>
        </w:rPr>
        <w:t xml:space="preserve"> </w:t>
      </w:r>
      <w:r w:rsidR="00A40F53" w:rsidRPr="00E84311">
        <w:rPr>
          <w:rFonts w:ascii="Palatino Linotype" w:hAnsi="Palatino Linotype"/>
          <w:lang w:eastAsia="es-MX"/>
        </w:rPr>
        <w:t xml:space="preserve">todos los </w:t>
      </w:r>
      <w:r w:rsidR="005432AD" w:rsidRPr="00E84311">
        <w:rPr>
          <w:rFonts w:ascii="Palatino Linotype" w:hAnsi="Palatino Linotype"/>
          <w:lang w:eastAsia="es-MX"/>
        </w:rPr>
        <w:t>elementos policiales</w:t>
      </w:r>
      <w:r w:rsidR="00A40F53" w:rsidRPr="00E84311">
        <w:rPr>
          <w:rFonts w:ascii="Palatino Linotype" w:hAnsi="Palatino Linotype" w:cs="Arial"/>
        </w:rPr>
        <w:t xml:space="preserve"> </w:t>
      </w:r>
      <w:r w:rsidR="005432AD" w:rsidRPr="00E84311">
        <w:rPr>
          <w:rFonts w:ascii="Palatino Linotype" w:hAnsi="Palatino Linotype" w:cs="Arial"/>
        </w:rPr>
        <w:t xml:space="preserve">adscritos a </w:t>
      </w:r>
      <w:r w:rsidR="001B1B32" w:rsidRPr="00E84311">
        <w:rPr>
          <w:rFonts w:ascii="Palatino Linotype" w:hAnsi="Palatino Linotype"/>
          <w:color w:val="000000"/>
        </w:rPr>
        <w:t xml:space="preserve">la Comisaría de Seguridad Pública </w:t>
      </w:r>
      <w:r w:rsidR="005432AD" w:rsidRPr="00E84311">
        <w:rPr>
          <w:rFonts w:ascii="Palatino Linotype" w:hAnsi="Palatino Linotype"/>
          <w:color w:val="000000"/>
        </w:rPr>
        <w:t xml:space="preserve">y </w:t>
      </w:r>
      <w:r w:rsidR="001B1B32" w:rsidRPr="00E84311">
        <w:rPr>
          <w:rFonts w:ascii="Palatino Linotype" w:hAnsi="Palatino Linotype"/>
          <w:color w:val="000000"/>
        </w:rPr>
        <w:t xml:space="preserve">Vialidad </w:t>
      </w:r>
      <w:r w:rsidR="001B1B32" w:rsidRPr="00E84311">
        <w:rPr>
          <w:rFonts w:ascii="Palatino Linotype" w:hAnsi="Palatino Linotype" w:cs="Arial"/>
        </w:rPr>
        <w:t>en</w:t>
      </w:r>
      <w:r w:rsidR="00A40F53" w:rsidRPr="00E84311">
        <w:rPr>
          <w:rFonts w:ascii="Palatino Linotype" w:hAnsi="Palatino Linotype" w:cs="Arial"/>
        </w:rPr>
        <w:t xml:space="preserve"> la </w:t>
      </w:r>
      <w:r w:rsidR="001B1B32" w:rsidRPr="00E84311">
        <w:rPr>
          <w:rFonts w:ascii="Palatino Linotype" w:hAnsi="Palatino Linotype" w:cs="Arial"/>
        </w:rPr>
        <w:t xml:space="preserve">presente </w:t>
      </w:r>
      <w:r w:rsidR="00A40F53" w:rsidRPr="00E84311">
        <w:rPr>
          <w:rFonts w:ascii="Palatino Linotype" w:hAnsi="Palatino Linotype"/>
          <w:lang w:eastAsia="es-MX"/>
        </w:rPr>
        <w:t xml:space="preserve">Administración Pública </w:t>
      </w:r>
      <w:r w:rsidR="005432AD" w:rsidRPr="00E84311">
        <w:rPr>
          <w:rFonts w:ascii="Palatino Linotype" w:hAnsi="Palatino Linotype"/>
          <w:lang w:eastAsia="es-MX"/>
        </w:rPr>
        <w:t xml:space="preserve">Municipal </w:t>
      </w:r>
      <w:r w:rsidR="00A40F53" w:rsidRPr="00E84311">
        <w:rPr>
          <w:rFonts w:ascii="Palatino Linotype" w:hAnsi="Palatino Linotype"/>
          <w:lang w:eastAsia="es-MX"/>
        </w:rPr>
        <w:t xml:space="preserve">de Zumpango </w:t>
      </w:r>
      <w:r w:rsidR="00A40F53" w:rsidRPr="00E84311">
        <w:rPr>
          <w:rFonts w:ascii="Palatino Linotype" w:hAnsi="Palatino Linotype"/>
          <w:b/>
          <w:color w:val="000000"/>
          <w:u w:val="single"/>
        </w:rPr>
        <w:t>del 25 de junio de 2018 al 25 de junio de 2019</w:t>
      </w:r>
      <w:r w:rsidRPr="00E84311">
        <w:rPr>
          <w:rFonts w:ascii="Palatino Linotype" w:eastAsia="Times New Roman" w:hAnsi="Palatino Linotype" w:cs="Arial"/>
          <w:color w:val="000000" w:themeColor="text1"/>
          <w:lang w:val="es-ES"/>
        </w:rPr>
        <w:t>.</w:t>
      </w:r>
    </w:p>
    <w:p w14:paraId="115CF739" w14:textId="77777777" w:rsidR="005D5D8C" w:rsidRPr="00E84311" w:rsidRDefault="005D5D8C" w:rsidP="00E84311">
      <w:pPr>
        <w:pStyle w:val="Prrafodelista"/>
        <w:shd w:val="clear" w:color="auto" w:fill="FFFFFF"/>
        <w:tabs>
          <w:tab w:val="left" w:pos="567"/>
        </w:tabs>
        <w:spacing w:line="360" w:lineRule="auto"/>
        <w:ind w:left="0"/>
        <w:jc w:val="both"/>
        <w:rPr>
          <w:rFonts w:ascii="Palatino Linotype" w:eastAsia="Times New Roman" w:hAnsi="Palatino Linotype" w:cs="Times New Roman"/>
          <w:lang w:val="es-MX" w:eastAsia="es-MX"/>
        </w:rPr>
      </w:pPr>
    </w:p>
    <w:p w14:paraId="165FDD8C" w14:textId="77777777" w:rsidR="006676E0" w:rsidRPr="00E84311" w:rsidRDefault="006676E0" w:rsidP="00E84311">
      <w:pPr>
        <w:pStyle w:val="Prrafodelista"/>
        <w:numPr>
          <w:ilvl w:val="0"/>
          <w:numId w:val="1"/>
        </w:numPr>
        <w:spacing w:line="360" w:lineRule="auto"/>
        <w:ind w:left="0" w:right="49" w:firstLine="0"/>
        <w:jc w:val="both"/>
        <w:rPr>
          <w:rFonts w:ascii="Palatino Linotype" w:eastAsia="MS Mincho" w:hAnsi="Palatino Linotype" w:cs="Arial"/>
          <w:color w:val="000000" w:themeColor="text1"/>
        </w:rPr>
      </w:pPr>
      <w:r w:rsidRPr="00E84311">
        <w:rPr>
          <w:rFonts w:ascii="Palatino Linotype" w:eastAsia="MS Mincho" w:hAnsi="Palatino Linotype" w:cs="Arial"/>
          <w:color w:val="000000" w:themeColor="text1"/>
        </w:rPr>
        <w:t xml:space="preserve">Ahora bien, el presupuesto procesal del recurso revisión, es la existencia de una solicitud de información pública, en dicho sentido, información pública es aquella que conste en un documento en cualquiera de sus formas, a saber: </w:t>
      </w:r>
      <w:r w:rsidRPr="00E84311">
        <w:rPr>
          <w:rFonts w:ascii="Palatino Linotype" w:hAnsi="Palatino Linotype"/>
          <w:color w:val="000000" w:themeColor="text1"/>
        </w:rPr>
        <w:t>expedientes, reportes, estudios, actas, resoluciones, oficios, correspondencia, acuerdos, directivas, directrices, circulares, convenios, contratos, instructivos, notas, memorándums, estadísticas</w:t>
      </w:r>
      <w:r w:rsidRPr="00E84311">
        <w:rPr>
          <w:rFonts w:ascii="Palatino Linotype" w:eastAsia="MS Mincho" w:hAnsi="Palatino Linotype" w:cs="Arial"/>
          <w:color w:val="000000" w:themeColor="text1"/>
        </w:rPr>
        <w:t xml:space="preserve"> o bien cualquier registro en posesión de los sujetos obligados, sin importar su fuente o fecha de elaboración; los que podrán estar en medios escritos, impresos, sonoros, visuales, electrónicos, informáticos u holográficos; en términos de lo previsto por el artículo 3 fracción XI de la </w:t>
      </w:r>
      <w:r w:rsidRPr="00E84311">
        <w:rPr>
          <w:rFonts w:ascii="Palatino Linotype" w:hAnsi="Palatino Linotype"/>
          <w:b/>
          <w:color w:val="000000" w:themeColor="text1"/>
        </w:rPr>
        <w:t>Ley General de Transparencia y Acceso a la Información Pública.</w:t>
      </w:r>
    </w:p>
    <w:p w14:paraId="0EED2507" w14:textId="77777777" w:rsidR="006676E0" w:rsidRPr="00E84311" w:rsidRDefault="006676E0" w:rsidP="00E84311">
      <w:pPr>
        <w:pStyle w:val="Prrafodelista"/>
        <w:spacing w:line="360" w:lineRule="auto"/>
        <w:ind w:left="0" w:right="49"/>
        <w:jc w:val="both"/>
        <w:rPr>
          <w:rFonts w:ascii="Palatino Linotype" w:eastAsia="MS Mincho" w:hAnsi="Palatino Linotype" w:cs="Arial"/>
          <w:color w:val="000000" w:themeColor="text1"/>
        </w:rPr>
      </w:pPr>
    </w:p>
    <w:p w14:paraId="76C2EF04" w14:textId="77777777" w:rsidR="006676E0" w:rsidRPr="00E84311" w:rsidRDefault="006676E0" w:rsidP="00E84311">
      <w:pPr>
        <w:pStyle w:val="Sinespaciado"/>
        <w:numPr>
          <w:ilvl w:val="0"/>
          <w:numId w:val="1"/>
        </w:numPr>
        <w:spacing w:before="240" w:after="240" w:line="360" w:lineRule="auto"/>
        <w:ind w:left="0" w:firstLine="0"/>
        <w:jc w:val="both"/>
        <w:rPr>
          <w:rFonts w:ascii="Palatino Linotype" w:hAnsi="Palatino Linotype" w:cs="Arial"/>
          <w:color w:val="000000" w:themeColor="text1"/>
          <w:lang w:val="es-ES"/>
        </w:rPr>
      </w:pPr>
      <w:r w:rsidRPr="00E84311">
        <w:rPr>
          <w:rFonts w:ascii="Palatino Linotype" w:hAnsi="Palatino Linotype"/>
          <w:color w:val="000000" w:themeColor="text1"/>
        </w:rPr>
        <w:t xml:space="preserve">Por otro lado y de conformidad con el artículo 4 de la </w:t>
      </w:r>
      <w:r w:rsidRPr="00E84311">
        <w:rPr>
          <w:rFonts w:ascii="Palatino Linotype" w:hAnsi="Palatino Linotype"/>
          <w:b/>
          <w:color w:val="000000" w:themeColor="text1"/>
        </w:rPr>
        <w:t>Ley de Transparencia del Estado de México y Municipios</w:t>
      </w:r>
      <w:r w:rsidRPr="00E84311">
        <w:rPr>
          <w:rFonts w:ascii="Palatino Linotype" w:hAnsi="Palatino Linotype"/>
          <w:color w:val="000000" w:themeColor="text1"/>
        </w:rPr>
        <w:t>, toda la información pública que sea generada, administrada o se encuentre en posesión de los Sujetos Obligados derivado del ejercicio de sus atribuciones será accesible de manera permanente a cualquier persona, ello en privilegio del principio de máxima publicidad, tal y como se cita a continuación:</w:t>
      </w:r>
    </w:p>
    <w:p w14:paraId="2F585E45" w14:textId="77777777" w:rsidR="006676E0" w:rsidRPr="00E84311" w:rsidRDefault="006676E0" w:rsidP="00E84311">
      <w:pPr>
        <w:pStyle w:val="Sinespaciado"/>
        <w:spacing w:line="360" w:lineRule="auto"/>
        <w:ind w:left="567" w:right="567"/>
        <w:jc w:val="both"/>
        <w:rPr>
          <w:rFonts w:ascii="Palatino Linotype" w:hAnsi="Palatino Linotype" w:cs="Arial"/>
          <w:i/>
          <w:color w:val="000000" w:themeColor="text1"/>
          <w:lang w:val="es-ES"/>
        </w:rPr>
      </w:pPr>
      <w:r w:rsidRPr="00E84311">
        <w:rPr>
          <w:rFonts w:ascii="Palatino Linotype" w:hAnsi="Palatino Linotype" w:cs="Arial"/>
          <w:b/>
          <w:i/>
          <w:color w:val="000000" w:themeColor="text1"/>
          <w:lang w:val="es-ES"/>
        </w:rPr>
        <w:t>Artículo 4.</w:t>
      </w:r>
      <w:r w:rsidRPr="00E84311">
        <w:rPr>
          <w:rFonts w:ascii="Palatino Linotype" w:hAnsi="Palatino Linotype" w:cs="Arial"/>
          <w:i/>
          <w:color w:val="000000" w:themeColor="text1"/>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C25539B" w14:textId="77777777" w:rsidR="006676E0" w:rsidRPr="00E84311" w:rsidRDefault="006676E0" w:rsidP="00E84311">
      <w:pPr>
        <w:pStyle w:val="Sinespaciado"/>
        <w:spacing w:line="360" w:lineRule="auto"/>
        <w:ind w:left="567" w:right="567"/>
        <w:jc w:val="both"/>
        <w:rPr>
          <w:rFonts w:ascii="Palatino Linotype" w:hAnsi="Palatino Linotype" w:cs="Arial"/>
          <w:i/>
          <w:color w:val="000000" w:themeColor="text1"/>
          <w:lang w:val="es-ES"/>
        </w:rPr>
      </w:pPr>
      <w:r w:rsidRPr="00E84311">
        <w:rPr>
          <w:rFonts w:ascii="Palatino Linotype" w:hAnsi="Palatino Linotype" w:cs="Arial"/>
          <w:b/>
          <w:i/>
          <w:color w:val="000000" w:themeColor="text1"/>
          <w:u w:val="single"/>
          <w:lang w:val="es-ES"/>
        </w:rPr>
        <w:t xml:space="preserve">Toda la información generada, </w:t>
      </w:r>
      <w:r w:rsidRPr="00E84311">
        <w:rPr>
          <w:rFonts w:ascii="Palatino Linotype" w:hAnsi="Palatino Linotype" w:cs="Arial"/>
          <w:i/>
          <w:color w:val="000000" w:themeColor="text1"/>
          <w:lang w:val="es-ES"/>
        </w:rPr>
        <w:t xml:space="preserve">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F0559A4" w14:textId="77777777" w:rsidR="006676E0" w:rsidRPr="00E84311" w:rsidRDefault="006676E0" w:rsidP="00E84311">
      <w:pPr>
        <w:pStyle w:val="Sinespaciado"/>
        <w:spacing w:line="360" w:lineRule="auto"/>
        <w:ind w:left="567" w:right="567"/>
        <w:jc w:val="both"/>
        <w:rPr>
          <w:rFonts w:ascii="Palatino Linotype" w:hAnsi="Palatino Linotype" w:cs="Arial"/>
          <w:i/>
          <w:color w:val="000000" w:themeColor="text1"/>
          <w:lang w:val="es-ES"/>
        </w:rPr>
      </w:pPr>
      <w:r w:rsidRPr="00E84311">
        <w:rPr>
          <w:rFonts w:ascii="Palatino Linotype" w:hAnsi="Palatino Linotype" w:cs="Arial"/>
          <w:i/>
          <w:color w:val="000000" w:themeColor="text1"/>
          <w:lang w:val="es-ES"/>
        </w:rPr>
        <w:t>Los sujetos obligados deben poner en práctica, políticas y programas de acceso a la información que se apeguen a criterios de publicidad, veracidad, oportunidad, precisión y suficiencia en beneficio de los solicitantes.</w:t>
      </w:r>
    </w:p>
    <w:p w14:paraId="07850D67" w14:textId="77777777" w:rsidR="006676E0" w:rsidRPr="00E84311" w:rsidRDefault="006676E0" w:rsidP="00E84311">
      <w:pPr>
        <w:pStyle w:val="Prrafodelista"/>
        <w:autoSpaceDE w:val="0"/>
        <w:autoSpaceDN w:val="0"/>
        <w:adjustRightInd w:val="0"/>
        <w:spacing w:line="360" w:lineRule="auto"/>
        <w:ind w:left="0"/>
        <w:jc w:val="both"/>
        <w:rPr>
          <w:rFonts w:ascii="Palatino Linotype" w:hAnsi="Palatino Linotype" w:cs="Arial"/>
        </w:rPr>
      </w:pPr>
    </w:p>
    <w:p w14:paraId="40E28806" w14:textId="6E6A7230" w:rsidR="001B1B32" w:rsidRPr="00E84311" w:rsidRDefault="001B1B32" w:rsidP="00E84311">
      <w:pPr>
        <w:pStyle w:val="Prrafodelista"/>
        <w:numPr>
          <w:ilvl w:val="0"/>
          <w:numId w:val="1"/>
        </w:numPr>
        <w:autoSpaceDE w:val="0"/>
        <w:autoSpaceDN w:val="0"/>
        <w:adjustRightInd w:val="0"/>
        <w:spacing w:line="360" w:lineRule="auto"/>
        <w:ind w:left="0" w:firstLine="0"/>
        <w:jc w:val="both"/>
        <w:rPr>
          <w:rFonts w:ascii="Palatino Linotype" w:hAnsi="Palatino Linotype" w:cs="Arial"/>
        </w:rPr>
      </w:pPr>
      <w:r w:rsidRPr="00E84311">
        <w:rPr>
          <w:rFonts w:ascii="Palatino Linotype" w:hAnsi="Palatino Linotype" w:cs="Arial"/>
        </w:rPr>
        <w:t xml:space="preserve">No se omite mencionar que en la respuesta enviada por </w:t>
      </w:r>
      <w:r w:rsidRPr="00E84311">
        <w:rPr>
          <w:rFonts w:ascii="Palatino Linotype" w:hAnsi="Palatino Linotype"/>
          <w:color w:val="000000"/>
        </w:rPr>
        <w:t>Jorge Cajiga Calderón</w:t>
      </w:r>
      <w:r w:rsidRPr="00E84311">
        <w:rPr>
          <w:rFonts w:ascii="Palatino Linotype" w:eastAsia="Times New Roman" w:hAnsi="Palatino Linotype" w:cs="Arial"/>
          <w:color w:val="000000" w:themeColor="text1"/>
          <w:lang w:val="es-ES"/>
        </w:rPr>
        <w:t xml:space="preserve"> (Titular de la Unidad de Transparencia) </w:t>
      </w:r>
      <w:r w:rsidRPr="00E84311">
        <w:rPr>
          <w:rFonts w:ascii="Palatino Linotype" w:hAnsi="Palatino Linotype" w:cs="Arial"/>
        </w:rPr>
        <w:t xml:space="preserve">pronuncia expresamente </w:t>
      </w:r>
      <w:r w:rsidR="005432AD" w:rsidRPr="00E84311">
        <w:rPr>
          <w:rFonts w:ascii="Palatino Linotype" w:hAnsi="Palatino Linotype" w:cs="Arial"/>
        </w:rPr>
        <w:t>que actualmente la C</w:t>
      </w:r>
      <w:r w:rsidRPr="00E84311">
        <w:rPr>
          <w:rFonts w:ascii="Palatino Linotype" w:hAnsi="Palatino Linotype" w:cs="Arial"/>
        </w:rPr>
        <w:t>omisaría de Seguridad Pública y Vialidad Municipal cuenta con un total de 256 elementos activos</w:t>
      </w:r>
      <w:r w:rsidR="005432AD" w:rsidRPr="00E84311">
        <w:rPr>
          <w:rFonts w:ascii="Palatino Linotype" w:hAnsi="Palatino Linotype" w:cs="Arial"/>
        </w:rPr>
        <w:t xml:space="preserve"> y argumenta </w:t>
      </w:r>
      <w:r w:rsidR="004D3E41" w:rsidRPr="00E84311">
        <w:rPr>
          <w:rFonts w:ascii="Palatino Linotype" w:hAnsi="Palatino Linotype" w:cs="Arial"/>
        </w:rPr>
        <w:t xml:space="preserve">que </w:t>
      </w:r>
      <w:r w:rsidR="005432AD" w:rsidRPr="00E84311">
        <w:rPr>
          <w:rFonts w:ascii="Palatino Linotype" w:hAnsi="Palatino Linotype" w:cs="Arial"/>
        </w:rPr>
        <w:t>“</w:t>
      </w:r>
      <w:r w:rsidR="005432AD" w:rsidRPr="00E84311">
        <w:rPr>
          <w:rFonts w:ascii="Palatino Linotype" w:hAnsi="Palatino Linotype" w:cs="Arial"/>
          <w:i/>
        </w:rPr>
        <w:t xml:space="preserve">solicita </w:t>
      </w:r>
      <w:r w:rsidRPr="00E84311">
        <w:rPr>
          <w:rFonts w:ascii="Palatino Linotype" w:hAnsi="Palatino Linotype" w:cs="Arial"/>
          <w:i/>
        </w:rPr>
        <w:t xml:space="preserve">saber </w:t>
      </w:r>
      <w:r w:rsidR="005432AD" w:rsidRPr="00E84311">
        <w:rPr>
          <w:rFonts w:ascii="Palatino Linotype" w:hAnsi="Palatino Linotype" w:cs="Arial"/>
          <w:i/>
        </w:rPr>
        <w:t>qué</w:t>
      </w:r>
      <w:r w:rsidRPr="00E84311">
        <w:rPr>
          <w:rFonts w:ascii="Palatino Linotype" w:hAnsi="Palatino Linotype" w:cs="Arial"/>
          <w:i/>
        </w:rPr>
        <w:t xml:space="preserve"> tipo de archivo es lo que requiere</w:t>
      </w:r>
      <w:r w:rsidR="005432AD" w:rsidRPr="00E84311">
        <w:rPr>
          <w:rFonts w:ascii="Palatino Linotype" w:hAnsi="Palatino Linotype" w:cs="Arial"/>
        </w:rPr>
        <w:t>”</w:t>
      </w:r>
      <w:r w:rsidR="004D3E41" w:rsidRPr="00E84311">
        <w:rPr>
          <w:rFonts w:ascii="Palatino Linotype" w:hAnsi="Palatino Linotype" w:cs="Arial"/>
        </w:rPr>
        <w:t>.</w:t>
      </w:r>
    </w:p>
    <w:p w14:paraId="52D3C281" w14:textId="77777777" w:rsidR="001B1B32" w:rsidRPr="00E84311" w:rsidRDefault="001B1B32" w:rsidP="00E84311">
      <w:pPr>
        <w:pStyle w:val="Prrafodelista"/>
        <w:autoSpaceDE w:val="0"/>
        <w:autoSpaceDN w:val="0"/>
        <w:adjustRightInd w:val="0"/>
        <w:spacing w:line="360" w:lineRule="auto"/>
        <w:ind w:left="0"/>
        <w:jc w:val="both"/>
        <w:rPr>
          <w:rFonts w:ascii="Palatino Linotype" w:hAnsi="Palatino Linotype" w:cs="Arial"/>
        </w:rPr>
      </w:pPr>
    </w:p>
    <w:p w14:paraId="4004DB72" w14:textId="6C69B5D2" w:rsidR="00AA3E17" w:rsidRPr="00E84311" w:rsidRDefault="004D3E41" w:rsidP="00E84311">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 xml:space="preserve">Atendiendo a ello es de señalarse que </w:t>
      </w:r>
      <w:r w:rsidR="00AA3E17" w:rsidRPr="00E84311">
        <w:rPr>
          <w:rFonts w:ascii="Palatino Linotype" w:hAnsi="Palatino Linotype"/>
          <w:color w:val="000000" w:themeColor="text1"/>
        </w:rPr>
        <w:t xml:space="preserve">el </w:t>
      </w:r>
      <w:r w:rsidR="00AA3E17" w:rsidRPr="00E84311">
        <w:rPr>
          <w:rFonts w:ascii="Palatino Linotype" w:hAnsi="Palatino Linotype"/>
          <w:b/>
          <w:color w:val="000000" w:themeColor="text1"/>
        </w:rPr>
        <w:t>SUJETO OBLIGADO</w:t>
      </w:r>
      <w:r w:rsidR="00AA3E17" w:rsidRPr="00E84311">
        <w:rPr>
          <w:rFonts w:ascii="Palatino Linotype" w:hAnsi="Palatino Linotype"/>
          <w:color w:val="000000" w:themeColor="text1"/>
        </w:rPr>
        <w:t xml:space="preserve"> al percatarse </w:t>
      </w:r>
      <w:r w:rsidRPr="00E84311">
        <w:rPr>
          <w:rFonts w:ascii="Palatino Linotype" w:hAnsi="Palatino Linotype"/>
          <w:color w:val="000000" w:themeColor="text1"/>
        </w:rPr>
        <w:t>que los detalles proporcionados para localizar los documentos resultaban insuficientes o incompletos</w:t>
      </w:r>
      <w:r w:rsidR="00AA3E17" w:rsidRPr="00E84311">
        <w:rPr>
          <w:rFonts w:ascii="Palatino Linotype" w:hAnsi="Palatino Linotype"/>
          <w:color w:val="000000" w:themeColor="text1"/>
        </w:rPr>
        <w:t xml:space="preserve">, para garantizar el Derecho de Acceso a la información debió requerir el desahogo de una aclaración, en términos del artículo 159 de la </w:t>
      </w:r>
      <w:r w:rsidR="00AA3E17" w:rsidRPr="00E84311">
        <w:rPr>
          <w:rFonts w:ascii="Palatino Linotype" w:hAnsi="Palatino Linotype"/>
          <w:b/>
          <w:color w:val="000000" w:themeColor="text1"/>
        </w:rPr>
        <w:t>Ley de Transparencia y Acceso a la Información Pública del Estado de México y Municipios</w:t>
      </w:r>
      <w:r w:rsidR="00AA3E17" w:rsidRPr="00E84311">
        <w:rPr>
          <w:rFonts w:ascii="Palatino Linotype" w:hAnsi="Palatino Linotype"/>
          <w:color w:val="000000" w:themeColor="text1"/>
        </w:rPr>
        <w:t xml:space="preserve"> que a la letra dispone:</w:t>
      </w:r>
    </w:p>
    <w:p w14:paraId="15638154" w14:textId="77777777" w:rsidR="00AA3E17" w:rsidRPr="00E84311" w:rsidRDefault="00AA3E17" w:rsidP="00E84311">
      <w:pPr>
        <w:pStyle w:val="Prrafodelista"/>
        <w:autoSpaceDE w:val="0"/>
        <w:autoSpaceDN w:val="0"/>
        <w:adjustRightInd w:val="0"/>
        <w:spacing w:line="360" w:lineRule="auto"/>
        <w:ind w:left="567" w:right="567"/>
        <w:jc w:val="both"/>
        <w:rPr>
          <w:rFonts w:ascii="Palatino Linotype" w:hAnsi="Palatino Linotype"/>
          <w:b/>
          <w:i/>
          <w:color w:val="000000" w:themeColor="text1"/>
        </w:rPr>
      </w:pPr>
    </w:p>
    <w:p w14:paraId="25652FFC" w14:textId="77777777" w:rsidR="00AA3E17" w:rsidRPr="00E84311" w:rsidRDefault="00AA3E17" w:rsidP="00E84311">
      <w:pPr>
        <w:pStyle w:val="Prrafodelista"/>
        <w:autoSpaceDE w:val="0"/>
        <w:autoSpaceDN w:val="0"/>
        <w:adjustRightInd w:val="0"/>
        <w:spacing w:line="360" w:lineRule="auto"/>
        <w:ind w:left="567" w:right="567"/>
        <w:jc w:val="both"/>
        <w:rPr>
          <w:rFonts w:ascii="Palatino Linotype" w:hAnsi="Palatino Linotype"/>
          <w:i/>
          <w:color w:val="000000" w:themeColor="text1"/>
        </w:rPr>
      </w:pPr>
      <w:r w:rsidRPr="00E84311">
        <w:rPr>
          <w:rFonts w:ascii="Palatino Linotype" w:hAnsi="Palatino Linotype"/>
          <w:b/>
          <w:i/>
          <w:color w:val="000000" w:themeColor="text1"/>
        </w:rPr>
        <w:t>Artículo 159.</w:t>
      </w:r>
      <w:r w:rsidRPr="00E84311">
        <w:rPr>
          <w:rFonts w:ascii="Palatino Linotype" w:hAnsi="Palatino Linotype"/>
          <w:i/>
          <w:color w:val="000000" w:themeColor="text1"/>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w:t>
      </w:r>
      <w:r w:rsidRPr="00E84311">
        <w:rPr>
          <w:rFonts w:ascii="Palatino Linotype" w:hAnsi="Palatino Linotype"/>
          <w:b/>
          <w:i/>
          <w:color w:val="000000" w:themeColor="text1"/>
        </w:rPr>
        <w:t>indique otros elementos que complementen, corrijan o amplíen los datos proporcionados o bien, precise uno o varios requerimientos de información.</w:t>
      </w:r>
    </w:p>
    <w:p w14:paraId="35EEA06D" w14:textId="77777777" w:rsidR="00AA3E17" w:rsidRPr="00E84311" w:rsidRDefault="00AA3E17" w:rsidP="00E84311">
      <w:pPr>
        <w:pStyle w:val="Prrafodelista"/>
        <w:autoSpaceDE w:val="0"/>
        <w:autoSpaceDN w:val="0"/>
        <w:adjustRightInd w:val="0"/>
        <w:spacing w:line="360" w:lineRule="auto"/>
        <w:ind w:left="567" w:right="567"/>
        <w:jc w:val="both"/>
        <w:rPr>
          <w:rFonts w:ascii="Palatino Linotype" w:hAnsi="Palatino Linotype"/>
          <w:i/>
          <w:color w:val="000000" w:themeColor="text1"/>
        </w:rPr>
      </w:pPr>
      <w:r w:rsidRPr="00E84311">
        <w:rPr>
          <w:rFonts w:ascii="Palatino Linotype" w:hAnsi="Palatino Linotype"/>
          <w:i/>
          <w:color w:val="000000" w:themeColor="text1"/>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1E8D532F" w14:textId="77777777" w:rsidR="00AA3E17" w:rsidRPr="00E84311" w:rsidRDefault="00AA3E17" w:rsidP="00E84311">
      <w:pPr>
        <w:pStyle w:val="Prrafodelista"/>
        <w:autoSpaceDE w:val="0"/>
        <w:autoSpaceDN w:val="0"/>
        <w:adjustRightInd w:val="0"/>
        <w:spacing w:line="360" w:lineRule="auto"/>
        <w:ind w:left="567" w:right="567"/>
        <w:jc w:val="both"/>
        <w:rPr>
          <w:rFonts w:ascii="Palatino Linotype" w:hAnsi="Palatino Linotype"/>
          <w:i/>
          <w:color w:val="000000" w:themeColor="text1"/>
        </w:rPr>
      </w:pPr>
      <w:r w:rsidRPr="00E84311">
        <w:rPr>
          <w:rFonts w:ascii="Palatino Linotype" w:hAnsi="Palatino Linotype"/>
          <w:i/>
          <w:color w:val="000000" w:themeColor="text1"/>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2EBD06E5" w14:textId="77777777" w:rsidR="00AA3E17" w:rsidRPr="00E84311" w:rsidRDefault="00AA3E17" w:rsidP="00E84311">
      <w:pPr>
        <w:pStyle w:val="Prrafodelista"/>
        <w:autoSpaceDE w:val="0"/>
        <w:autoSpaceDN w:val="0"/>
        <w:adjustRightInd w:val="0"/>
        <w:spacing w:line="360" w:lineRule="auto"/>
        <w:ind w:left="567" w:right="567"/>
        <w:jc w:val="both"/>
        <w:rPr>
          <w:rFonts w:ascii="Palatino Linotype" w:hAnsi="Palatino Linotype"/>
          <w:i/>
          <w:color w:val="000000" w:themeColor="text1"/>
        </w:rPr>
      </w:pPr>
      <w:r w:rsidRPr="00E84311">
        <w:rPr>
          <w:rFonts w:ascii="Palatino Linotype" w:hAnsi="Palatino Linotype"/>
          <w:i/>
          <w:color w:val="000000" w:themeColor="text1"/>
        </w:rPr>
        <w:t>En el caso de requerimientos parciales no desahogados, se tendrá por presentada la solicitud por lo que respecta a los contenidos de información que no formaron parte del requerimiento.</w:t>
      </w:r>
    </w:p>
    <w:p w14:paraId="24BE4A59" w14:textId="77777777" w:rsidR="00AA3E17" w:rsidRPr="00E84311" w:rsidRDefault="00AA3E17" w:rsidP="00E84311">
      <w:pPr>
        <w:pStyle w:val="Prrafodelista"/>
        <w:autoSpaceDE w:val="0"/>
        <w:autoSpaceDN w:val="0"/>
        <w:adjustRightInd w:val="0"/>
        <w:spacing w:line="360" w:lineRule="auto"/>
        <w:ind w:left="567" w:right="567"/>
        <w:jc w:val="both"/>
        <w:rPr>
          <w:rFonts w:ascii="Palatino Linotype" w:hAnsi="Palatino Linotype"/>
          <w:i/>
          <w:color w:val="000000" w:themeColor="text1"/>
        </w:rPr>
      </w:pPr>
    </w:p>
    <w:p w14:paraId="3336F2ED" w14:textId="16F685F7" w:rsidR="00AA3E17" w:rsidRPr="00E84311" w:rsidRDefault="00AA3E17" w:rsidP="00E84311">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E84311">
        <w:rPr>
          <w:rFonts w:ascii="Palatino Linotype" w:eastAsia="Times New Roman" w:hAnsi="Palatino Linotype" w:cs="Times New Roman"/>
          <w:color w:val="000000" w:themeColor="text1"/>
          <w:lang w:val="es-ES"/>
        </w:rPr>
        <w:t>Es decir, si bien es cierto que en la solicitud inicial se aprecia que existió un</w:t>
      </w:r>
      <w:r w:rsidR="004D3E41" w:rsidRPr="00E84311">
        <w:rPr>
          <w:rFonts w:ascii="Palatino Linotype" w:eastAsia="Times New Roman" w:hAnsi="Palatino Linotype" w:cs="Times New Roman"/>
          <w:color w:val="000000" w:themeColor="text1"/>
          <w:lang w:val="es-ES"/>
        </w:rPr>
        <w:t>a</w:t>
      </w:r>
      <w:r w:rsidRPr="00E84311">
        <w:rPr>
          <w:rFonts w:ascii="Palatino Linotype" w:eastAsia="Times New Roman" w:hAnsi="Palatino Linotype" w:cs="Times New Roman"/>
          <w:color w:val="000000" w:themeColor="text1"/>
          <w:lang w:val="es-ES"/>
        </w:rPr>
        <w:t xml:space="preserve"> </w:t>
      </w:r>
      <w:r w:rsidR="004D3E41" w:rsidRPr="00E84311">
        <w:rPr>
          <w:rFonts w:ascii="Palatino Linotype" w:eastAsia="Times New Roman" w:hAnsi="Palatino Linotype" w:cs="Times New Roman"/>
          <w:color w:val="000000" w:themeColor="text1"/>
          <w:lang w:val="es-ES"/>
        </w:rPr>
        <w:t>imprecisión respecto de la información requerida y el periodo de búsqueda</w:t>
      </w:r>
      <w:r w:rsidRPr="00E84311">
        <w:rPr>
          <w:rFonts w:ascii="Palatino Linotype" w:eastAsia="Times New Roman" w:hAnsi="Palatino Linotype" w:cs="Times New Roman"/>
          <w:color w:val="000000" w:themeColor="text1"/>
          <w:lang w:val="es-ES"/>
        </w:rPr>
        <w:t xml:space="preserve">, también lo es que </w:t>
      </w:r>
      <w:r w:rsidR="004D3E41" w:rsidRPr="00E84311">
        <w:rPr>
          <w:rFonts w:ascii="Palatino Linotype" w:hAnsi="Palatino Linotype"/>
          <w:color w:val="000000" w:themeColor="text1"/>
        </w:rPr>
        <w:t xml:space="preserve">la Unidad de Transparencia podrá requerir al solicitante </w:t>
      </w:r>
      <w:r w:rsidRPr="00E84311">
        <w:rPr>
          <w:rFonts w:ascii="Palatino Linotype" w:hAnsi="Palatino Linotype"/>
          <w:color w:val="000000" w:themeColor="text1"/>
        </w:rPr>
        <w:t xml:space="preserve">cuando los detalles proporcionados para localizar los documentos resulten </w:t>
      </w:r>
      <w:r w:rsidRPr="00E84311">
        <w:rPr>
          <w:rFonts w:ascii="Palatino Linotype" w:hAnsi="Palatino Linotype"/>
          <w:b/>
          <w:color w:val="000000" w:themeColor="text1"/>
          <w:u w:val="single"/>
        </w:rPr>
        <w:t>insuficientes</w:t>
      </w:r>
      <w:r w:rsidRPr="00E84311">
        <w:rPr>
          <w:rFonts w:ascii="Palatino Linotype" w:hAnsi="Palatino Linotype"/>
          <w:color w:val="000000" w:themeColor="text1"/>
        </w:rPr>
        <w:t xml:space="preserve">, incompletos o sean erróneos </w:t>
      </w:r>
      <w:r w:rsidR="004D3E41" w:rsidRPr="00E84311">
        <w:rPr>
          <w:rFonts w:ascii="Palatino Linotype" w:hAnsi="Palatino Linotype" w:cs="Arial"/>
          <w:color w:val="000000" w:themeColor="text1"/>
        </w:rPr>
        <w:t>para que</w:t>
      </w:r>
      <w:r w:rsidRPr="00E84311">
        <w:rPr>
          <w:rFonts w:ascii="Palatino Linotype" w:hAnsi="Palatino Linotype"/>
          <w:color w:val="000000" w:themeColor="text1"/>
        </w:rPr>
        <w:t xml:space="preserve"> indique otros elementos que complementen, corrijan o amplíen los datos proporcionados o bien, precise uno o varios requerimientos de información.</w:t>
      </w:r>
    </w:p>
    <w:p w14:paraId="5D4CF806" w14:textId="77777777" w:rsidR="00AA3E17" w:rsidRPr="00E84311" w:rsidRDefault="00AA3E17" w:rsidP="00E84311">
      <w:pPr>
        <w:pStyle w:val="Prrafodelista"/>
        <w:autoSpaceDE w:val="0"/>
        <w:autoSpaceDN w:val="0"/>
        <w:adjustRightInd w:val="0"/>
        <w:spacing w:line="360" w:lineRule="auto"/>
        <w:ind w:left="0"/>
        <w:jc w:val="both"/>
        <w:rPr>
          <w:rFonts w:ascii="Palatino Linotype" w:hAnsi="Palatino Linotype"/>
          <w:color w:val="000000" w:themeColor="text1"/>
        </w:rPr>
      </w:pPr>
    </w:p>
    <w:p w14:paraId="481B07D3" w14:textId="169A7C58" w:rsidR="00AA3E17" w:rsidRPr="00E84311" w:rsidRDefault="00AA3E17" w:rsidP="00E84311">
      <w:pPr>
        <w:pStyle w:val="Prrafodelista"/>
        <w:numPr>
          <w:ilvl w:val="0"/>
          <w:numId w:val="1"/>
        </w:numPr>
        <w:spacing w:before="240" w:after="360" w:line="360" w:lineRule="auto"/>
        <w:ind w:left="0" w:firstLine="0"/>
        <w:jc w:val="both"/>
        <w:rPr>
          <w:rFonts w:ascii="Palatino Linotype" w:hAnsi="Palatino Linotype" w:cs="Arial"/>
          <w:color w:val="000000" w:themeColor="text1"/>
        </w:rPr>
      </w:pPr>
      <w:r w:rsidRPr="00E84311">
        <w:rPr>
          <w:rFonts w:ascii="Palatino Linotype" w:hAnsi="Palatino Linotype" w:cs="Arial"/>
          <w:color w:val="000000" w:themeColor="text1"/>
        </w:rPr>
        <w:t xml:space="preserve">Así mismo es de observarse que </w:t>
      </w:r>
      <w:r w:rsidR="004D3E41" w:rsidRPr="00E84311">
        <w:rPr>
          <w:rFonts w:ascii="Palatino Linotype" w:hAnsi="Palatino Linotype" w:cs="Arial"/>
          <w:color w:val="000000" w:themeColor="text1"/>
        </w:rPr>
        <w:t xml:space="preserve">tanto en la respuesta como en el informe justificado </w:t>
      </w:r>
      <w:r w:rsidRPr="00E84311">
        <w:rPr>
          <w:rFonts w:ascii="Palatino Linotype" w:hAnsi="Palatino Linotype" w:cs="Arial"/>
          <w:color w:val="000000" w:themeColor="text1"/>
        </w:rPr>
        <w:t xml:space="preserve">el </w:t>
      </w:r>
      <w:r w:rsidRPr="00E84311">
        <w:rPr>
          <w:rFonts w:ascii="Palatino Linotype" w:hAnsi="Palatino Linotype" w:cs="Arial"/>
          <w:b/>
          <w:color w:val="000000" w:themeColor="text1"/>
        </w:rPr>
        <w:t>SUJETO OBLIGADO</w:t>
      </w:r>
      <w:r w:rsidRPr="00E84311">
        <w:rPr>
          <w:rFonts w:ascii="Palatino Linotype" w:hAnsi="Palatino Linotype" w:cs="Arial"/>
          <w:color w:val="000000" w:themeColor="text1"/>
        </w:rPr>
        <w:t xml:space="preserve"> tuvo la oportunidad de manifestar lo que a su derecho le asistiera y conviniera o mejor aún de hacer entrega de la información solicitada sin embargo en el presente asunto no fue así, </w:t>
      </w:r>
      <w:r w:rsidR="00947277" w:rsidRPr="00E84311">
        <w:rPr>
          <w:rFonts w:ascii="Palatino Linotype" w:hAnsi="Palatino Linotype" w:cs="Arial"/>
          <w:color w:val="000000" w:themeColor="text1"/>
        </w:rPr>
        <w:t>causando una afectación al Derecho de Acceso a la Información.</w:t>
      </w:r>
    </w:p>
    <w:p w14:paraId="5007FBA0" w14:textId="77777777" w:rsidR="00AA3E17" w:rsidRPr="00E84311" w:rsidRDefault="00AA3E17" w:rsidP="00E84311">
      <w:pPr>
        <w:pStyle w:val="Prrafodelista"/>
        <w:spacing w:before="240" w:after="360" w:line="360" w:lineRule="auto"/>
        <w:ind w:left="0"/>
        <w:jc w:val="both"/>
        <w:rPr>
          <w:rFonts w:ascii="Palatino Linotype" w:hAnsi="Palatino Linotype" w:cs="Arial"/>
          <w:color w:val="000000" w:themeColor="text1"/>
        </w:rPr>
      </w:pPr>
    </w:p>
    <w:p w14:paraId="4DF0D052" w14:textId="77777777" w:rsidR="00947277" w:rsidRPr="00E84311" w:rsidRDefault="00947277" w:rsidP="00E84311">
      <w:pPr>
        <w:pStyle w:val="Prrafodelista"/>
        <w:numPr>
          <w:ilvl w:val="0"/>
          <w:numId w:val="1"/>
        </w:numPr>
        <w:spacing w:line="360" w:lineRule="auto"/>
        <w:ind w:left="0" w:firstLine="0"/>
        <w:jc w:val="both"/>
        <w:rPr>
          <w:rFonts w:ascii="Palatino Linotype" w:hAnsi="Palatino Linotype" w:cs="Arial"/>
        </w:rPr>
      </w:pPr>
      <w:r w:rsidRPr="00E84311">
        <w:rPr>
          <w:rFonts w:ascii="Palatino Linotype" w:eastAsia="MS Mincho" w:hAnsi="Palatino Linotype" w:cs="Times New Roman"/>
        </w:rPr>
        <w:t>En atención a lo anterior expuesto es pertinente señalar que el párrafo primero del artículo 11 de la</w:t>
      </w:r>
      <w:r w:rsidRPr="00E84311">
        <w:rPr>
          <w:rFonts w:ascii="Palatino Linotype" w:hAnsi="Palatino Linotype"/>
        </w:rPr>
        <w:t xml:space="preserve"> </w:t>
      </w:r>
      <w:r w:rsidRPr="00E84311">
        <w:rPr>
          <w:rFonts w:ascii="Palatino Linotype" w:hAnsi="Palatino Linotype"/>
          <w:b/>
        </w:rPr>
        <w:t>Ley de Transparencia y Acceso a la Información Pública del Estado de México y Municipios</w:t>
      </w:r>
      <w:r w:rsidRPr="00E84311">
        <w:rPr>
          <w:rFonts w:ascii="Palatino Linotype" w:hAnsi="Palatino Linotype"/>
        </w:rPr>
        <w:t xml:space="preserve"> , misma que dispone las formas en que se habrá de generar, publicar y hacer entrega de la información al señalar que </w:t>
      </w:r>
      <w:r w:rsidRPr="00E84311">
        <w:rPr>
          <w:rFonts w:ascii="Palatino Linotype" w:eastAsia="Calibri" w:hAnsi="Palatino Linotype" w:cs="Arial"/>
          <w:lang w:val="es-ES"/>
        </w:rPr>
        <w:t>“</w:t>
      </w:r>
      <w:r w:rsidRPr="00E84311">
        <w:rPr>
          <w:rFonts w:ascii="Palatino Linotype" w:hAnsi="Palatino Linotype"/>
          <w:i/>
        </w:rPr>
        <w:t xml:space="preserve">En la generación, publicación y entrega de información se deberá garantizar que ésta sea </w:t>
      </w:r>
      <w:r w:rsidRPr="00E84311">
        <w:rPr>
          <w:rFonts w:ascii="Palatino Linotype" w:hAnsi="Palatino Linotype"/>
          <w:b/>
          <w:i/>
          <w:u w:val="single"/>
        </w:rPr>
        <w:t>accesible</w:t>
      </w:r>
      <w:r w:rsidRPr="00E84311">
        <w:rPr>
          <w:rFonts w:ascii="Palatino Linotype" w:hAnsi="Palatino Linotype"/>
          <w:i/>
        </w:rPr>
        <w:t xml:space="preserve">, actualizada, completa, congruente, confiable, verificable, veraz, integral, oportuna y expedita, sujeta a un claro régimen de excepciones que deberá estar definido y ser además legítima y estrictamente necesaria en una sociedad democrática, por lo que </w:t>
      </w:r>
      <w:r w:rsidRPr="00E84311">
        <w:rPr>
          <w:rFonts w:ascii="Palatino Linotype" w:hAnsi="Palatino Linotype"/>
          <w:b/>
          <w:i/>
          <w:u w:val="single"/>
        </w:rPr>
        <w:t>atenderá las necesidades del derecho de acceso a la información de toda persona</w:t>
      </w:r>
      <w:r w:rsidRPr="00E84311">
        <w:rPr>
          <w:rFonts w:ascii="Palatino Linotype" w:hAnsi="Palatino Linotype"/>
          <w:i/>
        </w:rPr>
        <w:t>”.</w:t>
      </w:r>
    </w:p>
    <w:p w14:paraId="2A74A89E" w14:textId="77777777" w:rsidR="00947277" w:rsidRPr="00E84311" w:rsidRDefault="00947277" w:rsidP="00E84311">
      <w:pPr>
        <w:pStyle w:val="Prrafodelista"/>
        <w:spacing w:before="240" w:line="360" w:lineRule="auto"/>
        <w:ind w:left="0" w:right="49"/>
        <w:jc w:val="both"/>
        <w:rPr>
          <w:rFonts w:ascii="Palatino Linotype" w:eastAsia="Calibri" w:hAnsi="Palatino Linotype" w:cs="Arial"/>
          <w:lang w:val="es-ES"/>
        </w:rPr>
      </w:pPr>
    </w:p>
    <w:p w14:paraId="58756C2B" w14:textId="450611CF" w:rsidR="00947277" w:rsidRPr="00E84311" w:rsidRDefault="00947277" w:rsidP="00E8431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E84311">
        <w:rPr>
          <w:rFonts w:ascii="Palatino Linotype" w:eastAsia="MS Mincho" w:hAnsi="Palatino Linotype" w:cs="Times New Roman"/>
        </w:rPr>
        <w:t xml:space="preserve">De ello se advierte que la respuesta de todos los Sujetos Obligados a una solicitud de Acceso a la Información Pública debe ser </w:t>
      </w:r>
      <w:r w:rsidRPr="00E84311">
        <w:rPr>
          <w:rFonts w:ascii="Palatino Linotype" w:hAnsi="Palatino Linotype"/>
          <w:b/>
          <w:u w:val="single"/>
        </w:rPr>
        <w:t>accesible</w:t>
      </w:r>
      <w:r w:rsidRPr="00E84311">
        <w:rPr>
          <w:rFonts w:ascii="Palatino Linotype" w:hAnsi="Palatino Linotype"/>
        </w:rPr>
        <w:t>,</w:t>
      </w:r>
      <w:r w:rsidRPr="00E84311">
        <w:rPr>
          <w:rFonts w:ascii="Palatino Linotype" w:hAnsi="Palatino Linotype"/>
          <w:i/>
        </w:rPr>
        <w:t xml:space="preserve"> </w:t>
      </w:r>
      <w:r w:rsidRPr="00E84311">
        <w:rPr>
          <w:rFonts w:ascii="Palatino Linotype" w:eastAsia="MS Mincho" w:hAnsi="Palatino Linotype" w:cs="Times New Roman"/>
          <w:b/>
          <w:u w:val="single"/>
        </w:rPr>
        <w:t>completa</w:t>
      </w:r>
      <w:r w:rsidRPr="00E84311">
        <w:rPr>
          <w:rFonts w:ascii="Palatino Linotype" w:eastAsia="MS Mincho" w:hAnsi="Palatino Linotype" w:cs="Times New Roman"/>
        </w:rPr>
        <w:t xml:space="preserve"> </w:t>
      </w:r>
      <w:r w:rsidRPr="00E84311">
        <w:rPr>
          <w:rFonts w:ascii="Palatino Linotype" w:hAnsi="Palatino Linotype"/>
        </w:rPr>
        <w:t xml:space="preserve">confiable, verificable, veraz, </w:t>
      </w:r>
      <w:r w:rsidRPr="00E84311">
        <w:rPr>
          <w:rFonts w:ascii="Palatino Linotype" w:hAnsi="Palatino Linotype"/>
          <w:b/>
          <w:u w:val="single"/>
        </w:rPr>
        <w:t>integral</w:t>
      </w:r>
      <w:r w:rsidRPr="00E84311">
        <w:rPr>
          <w:rFonts w:ascii="Palatino Linotype" w:eastAsia="MS Mincho" w:hAnsi="Palatino Linotype" w:cs="Times New Roman"/>
        </w:rPr>
        <w:t xml:space="preserve"> y congruente con lo requerido, de lo contrario se contravendría el artículo 11 de la Ley de Transparencia Local.</w:t>
      </w:r>
    </w:p>
    <w:p w14:paraId="2BC3A55C" w14:textId="77777777" w:rsidR="00947277" w:rsidRPr="00E84311" w:rsidRDefault="00947277" w:rsidP="00E84311">
      <w:pPr>
        <w:pStyle w:val="Prrafodelista"/>
        <w:spacing w:line="360" w:lineRule="auto"/>
        <w:rPr>
          <w:rFonts w:ascii="Palatino Linotype" w:eastAsia="Calibri" w:hAnsi="Palatino Linotype" w:cs="Arial"/>
          <w:u w:val="single"/>
          <w:lang w:val="es-ES"/>
        </w:rPr>
      </w:pPr>
    </w:p>
    <w:p w14:paraId="0BAB77F1" w14:textId="77777777" w:rsidR="00947277" w:rsidRPr="00E84311" w:rsidRDefault="00947277" w:rsidP="00E8431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E84311">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sidRPr="00E84311">
        <w:rPr>
          <w:rFonts w:ascii="Palatino Linotype" w:hAnsi="Palatino Linotype"/>
          <w:b/>
          <w:u w:val="single"/>
          <w:lang w:eastAsia="es-MX"/>
        </w:rPr>
        <w:t>generan una afectación inicial susceptible de ser reparada mediante el recurso de revisión</w:t>
      </w:r>
      <w:r w:rsidRPr="00E84311">
        <w:rPr>
          <w:rFonts w:ascii="Palatino Linotype" w:hAnsi="Palatino Linotype"/>
          <w:lang w:eastAsia="es-MX"/>
        </w:rPr>
        <w:t>.</w:t>
      </w:r>
    </w:p>
    <w:p w14:paraId="14E60C44" w14:textId="77777777" w:rsidR="00947277" w:rsidRPr="00E84311" w:rsidRDefault="00947277" w:rsidP="00E84311">
      <w:pPr>
        <w:pStyle w:val="Prrafodelista"/>
        <w:spacing w:before="240" w:after="240" w:line="360" w:lineRule="auto"/>
        <w:ind w:left="0" w:right="49"/>
        <w:jc w:val="both"/>
        <w:rPr>
          <w:rFonts w:ascii="Palatino Linotype" w:eastAsia="Calibri" w:hAnsi="Palatino Linotype" w:cs="Arial"/>
          <w:u w:val="single"/>
          <w:lang w:val="es-ES"/>
        </w:rPr>
      </w:pPr>
    </w:p>
    <w:p w14:paraId="1B180915" w14:textId="3FCB926A" w:rsidR="004A3BBD" w:rsidRPr="00E84311" w:rsidRDefault="00346D31" w:rsidP="00E84311">
      <w:pPr>
        <w:pStyle w:val="Prrafodelista"/>
        <w:numPr>
          <w:ilvl w:val="0"/>
          <w:numId w:val="1"/>
        </w:numPr>
        <w:spacing w:line="360" w:lineRule="auto"/>
        <w:ind w:left="0" w:firstLine="0"/>
        <w:jc w:val="both"/>
        <w:rPr>
          <w:rFonts w:ascii="Palatino Linotype" w:hAnsi="Palatino Linotype" w:cs="Arial"/>
        </w:rPr>
      </w:pPr>
      <w:r w:rsidRPr="00E84311">
        <w:rPr>
          <w:rFonts w:ascii="Palatino Linotype" w:hAnsi="Palatino Linotype"/>
          <w:lang w:eastAsia="es-MX"/>
        </w:rPr>
        <w:t xml:space="preserve">Aunado a lo anteriormente expuesto mediante el informe justificado el </w:t>
      </w:r>
      <w:r w:rsidRPr="00E84311">
        <w:rPr>
          <w:rFonts w:ascii="Palatino Linotype" w:hAnsi="Palatino Linotype"/>
          <w:b/>
          <w:lang w:eastAsia="es-MX"/>
        </w:rPr>
        <w:t>SUJETO OBLIGADO</w:t>
      </w:r>
      <w:r w:rsidRPr="00E84311">
        <w:rPr>
          <w:rFonts w:ascii="Palatino Linotype" w:hAnsi="Palatino Linotype"/>
          <w:lang w:eastAsia="es-MX"/>
        </w:rPr>
        <w:t xml:space="preserve"> </w:t>
      </w:r>
      <w:r w:rsidR="00947277" w:rsidRPr="00E84311">
        <w:rPr>
          <w:rFonts w:ascii="Palatino Linotype" w:hAnsi="Palatino Linotype"/>
          <w:lang w:eastAsia="es-MX"/>
        </w:rPr>
        <w:t xml:space="preserve">pretende reservar la información </w:t>
      </w:r>
      <w:r w:rsidR="00920C7A" w:rsidRPr="00E84311">
        <w:rPr>
          <w:rFonts w:ascii="Palatino Linotype" w:hAnsi="Palatino Linotype"/>
          <w:lang w:eastAsia="es-MX"/>
        </w:rPr>
        <w:t>sin adjuntar el acuerdo emitido por su Comité de transparencia señalando únicamente que “</w:t>
      </w:r>
      <w:r w:rsidR="00920C7A" w:rsidRPr="00E84311">
        <w:rPr>
          <w:rFonts w:ascii="Palatino Linotype" w:hAnsi="Palatino Linotype"/>
          <w:i/>
          <w:lang w:eastAsia="es-MX"/>
        </w:rPr>
        <w:t>mediante acuerdo CT/ZUMPANGO/131/2019, establecido en el acta decima quinta de comité de transparencia celebrada en fecha 29 de agosto del año en curso " ... se aprueba por unanimidad la reserva de la información sobre toda la información que obre en los archivos sobre todos los servidores públicos que forman parte de la policía municipal adscritos al municipio de Zumpango, por un término de cinco años ... ".</w:t>
      </w:r>
      <w:r w:rsidR="00920C7A" w:rsidRPr="00E84311">
        <w:rPr>
          <w:rFonts w:ascii="Palatino Linotype" w:hAnsi="Palatino Linotype"/>
          <w:lang w:eastAsia="es-MX"/>
        </w:rPr>
        <w:t>”</w:t>
      </w:r>
      <w:r w:rsidR="00947277" w:rsidRPr="00E84311">
        <w:rPr>
          <w:rFonts w:ascii="Palatino Linotype" w:hAnsi="Palatino Linotype"/>
          <w:lang w:eastAsia="es-MX"/>
        </w:rPr>
        <w:t xml:space="preserve"> </w:t>
      </w:r>
      <w:r w:rsidR="00920C7A" w:rsidRPr="00E84311">
        <w:rPr>
          <w:rFonts w:ascii="Palatino Linotype" w:hAnsi="Palatino Linotype"/>
          <w:color w:val="000000"/>
        </w:rPr>
        <w:t>.</w:t>
      </w:r>
    </w:p>
    <w:p w14:paraId="5C5629F8" w14:textId="77777777" w:rsidR="00920C7A" w:rsidRPr="00E84311" w:rsidRDefault="00920C7A" w:rsidP="00E84311">
      <w:pPr>
        <w:pStyle w:val="Prrafodelista"/>
        <w:spacing w:line="360" w:lineRule="auto"/>
        <w:ind w:left="0"/>
        <w:jc w:val="both"/>
        <w:rPr>
          <w:rFonts w:ascii="Palatino Linotype" w:hAnsi="Palatino Linotype" w:cs="Arial"/>
        </w:rPr>
      </w:pPr>
    </w:p>
    <w:p w14:paraId="7FBCC632" w14:textId="2D3265B3" w:rsidR="00920C7A" w:rsidRPr="00E84311" w:rsidRDefault="00920C7A" w:rsidP="00E84311">
      <w:pPr>
        <w:pStyle w:val="Prrafodelista"/>
        <w:numPr>
          <w:ilvl w:val="0"/>
          <w:numId w:val="1"/>
        </w:numPr>
        <w:spacing w:line="360" w:lineRule="auto"/>
        <w:ind w:left="0" w:firstLine="0"/>
        <w:jc w:val="both"/>
        <w:rPr>
          <w:rFonts w:ascii="Palatino Linotype" w:hAnsi="Palatino Linotype" w:cs="Arial"/>
        </w:rPr>
      </w:pPr>
      <w:r w:rsidRPr="00E84311">
        <w:rPr>
          <w:rFonts w:ascii="Palatino Linotype" w:hAnsi="Palatino Linotype"/>
          <w:color w:val="000000"/>
        </w:rPr>
        <w:t>Bajo ese contexto cabe aclarar que el informe justificado no fue puesto a disposición del particular al no aportar información novedosa que permitiera satisfacer la pretensión del particular y subsanará así las deficiencias de la respuesta primigenia.</w:t>
      </w:r>
    </w:p>
    <w:p w14:paraId="0FECEDCE" w14:textId="77777777" w:rsidR="002B512C" w:rsidRPr="00E84311" w:rsidRDefault="002B512C" w:rsidP="00E84311">
      <w:pPr>
        <w:spacing w:line="360" w:lineRule="auto"/>
        <w:jc w:val="both"/>
        <w:rPr>
          <w:rFonts w:ascii="Palatino Linotype" w:hAnsi="Palatino Linotype" w:cs="Arial"/>
        </w:rPr>
      </w:pPr>
    </w:p>
    <w:p w14:paraId="43D2BCA1" w14:textId="25EF9EF4" w:rsidR="002B512C" w:rsidRPr="00E84311" w:rsidRDefault="002B512C" w:rsidP="00E84311">
      <w:pPr>
        <w:pStyle w:val="Ttulo1"/>
        <w:spacing w:line="360" w:lineRule="auto"/>
        <w:rPr>
          <w:rFonts w:cs="Arial"/>
          <w:b w:val="0"/>
          <w:color w:val="auto"/>
          <w:szCs w:val="24"/>
          <w:lang w:val="es-ES"/>
        </w:rPr>
      </w:pPr>
      <w:bookmarkStart w:id="79" w:name="_Toc21455385"/>
      <w:bookmarkStart w:id="80" w:name="_Toc21626009"/>
      <w:r w:rsidRPr="00E84311">
        <w:rPr>
          <w:rFonts w:cs="Arial"/>
          <w:color w:val="auto"/>
          <w:szCs w:val="24"/>
          <w:lang w:val="es-ES"/>
        </w:rPr>
        <w:t>II. De los expedientes laborales.</w:t>
      </w:r>
      <w:bookmarkEnd w:id="79"/>
      <w:bookmarkEnd w:id="80"/>
    </w:p>
    <w:p w14:paraId="1C7C25D9" w14:textId="77777777" w:rsidR="00920C7A" w:rsidRPr="00E84311" w:rsidRDefault="00920C7A" w:rsidP="00E84311">
      <w:pPr>
        <w:pStyle w:val="Prrafodelista"/>
        <w:spacing w:line="360" w:lineRule="auto"/>
        <w:ind w:left="0"/>
        <w:jc w:val="both"/>
        <w:rPr>
          <w:rFonts w:ascii="Palatino Linotype" w:hAnsi="Palatino Linotype" w:cs="Arial"/>
        </w:rPr>
      </w:pPr>
    </w:p>
    <w:p w14:paraId="1958E9F7" w14:textId="22804B1D" w:rsidR="00C971E8" w:rsidRPr="00E84311" w:rsidRDefault="00C971E8" w:rsidP="00E84311">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E84311">
        <w:rPr>
          <w:rFonts w:ascii="Palatino Linotype" w:hAnsi="Palatino Linotype"/>
        </w:rPr>
        <w:t xml:space="preserve">Ahora bien al solicitarse información sobre servidores públicos </w:t>
      </w:r>
      <w:r w:rsidRPr="00E84311">
        <w:rPr>
          <w:rFonts w:ascii="Palatino Linotype" w:hAnsi="Palatino Linotype"/>
          <w:lang w:eastAsia="es-MX"/>
        </w:rPr>
        <w:t>policiales</w:t>
      </w:r>
      <w:r w:rsidRPr="00E84311">
        <w:rPr>
          <w:rFonts w:ascii="Palatino Linotype" w:hAnsi="Palatino Linotype" w:cs="Arial"/>
        </w:rPr>
        <w:t xml:space="preserve"> adscritos a </w:t>
      </w:r>
      <w:r w:rsidRPr="00E84311">
        <w:rPr>
          <w:rFonts w:ascii="Palatino Linotype" w:hAnsi="Palatino Linotype"/>
          <w:color w:val="000000"/>
        </w:rPr>
        <w:t>la Comisaría de Seguridad Pública y Vialidad</w:t>
      </w:r>
      <w:r w:rsidRPr="00E84311">
        <w:rPr>
          <w:rFonts w:ascii="Palatino Linotype" w:hAnsi="Palatino Linotype"/>
          <w:lang w:eastAsia="es-MX"/>
        </w:rPr>
        <w:t xml:space="preserve">, </w:t>
      </w:r>
      <w:r w:rsidRPr="00E84311">
        <w:rPr>
          <w:rFonts w:ascii="Palatino Linotype" w:hAnsi="Palatino Linotype"/>
        </w:rPr>
        <w:t xml:space="preserve">es preciso indicar que los Sujetos Obligados entre sus facultades, se encuentra la de integrar los expedientes laborales de los servidores públicos que laboran en el caso concreto en la Administración Pública Municipal, lo anterior está indicado en la fracción XVII del artículo 98 de la </w:t>
      </w:r>
      <w:r w:rsidRPr="00E84311">
        <w:rPr>
          <w:rFonts w:ascii="Palatino Linotype" w:hAnsi="Palatino Linotype" w:cs="Arial"/>
          <w:b/>
        </w:rPr>
        <w:t>Ley del Trabajo de los Servidores Públicos del Estado y Municipios</w:t>
      </w:r>
      <w:r w:rsidRPr="00E84311">
        <w:rPr>
          <w:rFonts w:ascii="Palatino Linotype" w:hAnsi="Palatino Linotype" w:cs="Arial"/>
        </w:rPr>
        <w:t>, que establece lo siguiente:</w:t>
      </w:r>
    </w:p>
    <w:p w14:paraId="03145EE8" w14:textId="77777777" w:rsidR="00C971E8" w:rsidRPr="00E84311" w:rsidRDefault="00C971E8" w:rsidP="00E84311">
      <w:pPr>
        <w:autoSpaceDE w:val="0"/>
        <w:autoSpaceDN w:val="0"/>
        <w:adjustRightInd w:val="0"/>
        <w:spacing w:before="100" w:beforeAutospacing="1" w:after="100" w:afterAutospacing="1" w:line="360" w:lineRule="auto"/>
        <w:ind w:left="567" w:right="567"/>
        <w:jc w:val="both"/>
        <w:rPr>
          <w:rFonts w:ascii="Palatino Linotype" w:hAnsi="Palatino Linotype"/>
          <w:i/>
        </w:rPr>
      </w:pPr>
      <w:r w:rsidRPr="00E84311">
        <w:rPr>
          <w:rFonts w:ascii="Palatino Linotype" w:hAnsi="Palatino Linotype"/>
          <w:i/>
        </w:rPr>
        <w:t>“ARTÍCULO 98. Son obligaciones de las instituciones públicas:</w:t>
      </w:r>
    </w:p>
    <w:p w14:paraId="3F89AA45" w14:textId="77777777" w:rsidR="00C971E8" w:rsidRPr="00E84311" w:rsidRDefault="00C971E8" w:rsidP="00E84311">
      <w:pPr>
        <w:autoSpaceDE w:val="0"/>
        <w:autoSpaceDN w:val="0"/>
        <w:adjustRightInd w:val="0"/>
        <w:spacing w:before="100" w:beforeAutospacing="1" w:after="100" w:afterAutospacing="1" w:line="360" w:lineRule="auto"/>
        <w:ind w:left="567" w:right="567"/>
        <w:jc w:val="both"/>
        <w:rPr>
          <w:rFonts w:ascii="Palatino Linotype" w:hAnsi="Palatino Linotype"/>
          <w:i/>
        </w:rPr>
      </w:pPr>
      <w:r w:rsidRPr="00E84311">
        <w:rPr>
          <w:rFonts w:ascii="Palatino Linotype" w:hAnsi="Palatino Linotype"/>
          <w:i/>
        </w:rPr>
        <w:t>(…)</w:t>
      </w:r>
    </w:p>
    <w:p w14:paraId="1F55F78E" w14:textId="77777777" w:rsidR="00C971E8" w:rsidRPr="00E84311" w:rsidRDefault="00C971E8" w:rsidP="00E84311">
      <w:pPr>
        <w:autoSpaceDE w:val="0"/>
        <w:autoSpaceDN w:val="0"/>
        <w:adjustRightInd w:val="0"/>
        <w:spacing w:before="100" w:beforeAutospacing="1" w:after="100" w:afterAutospacing="1" w:line="360" w:lineRule="auto"/>
        <w:ind w:left="567" w:right="567"/>
        <w:jc w:val="both"/>
        <w:rPr>
          <w:rFonts w:ascii="Palatino Linotype" w:hAnsi="Palatino Linotype"/>
          <w:i/>
        </w:rPr>
      </w:pPr>
      <w:r w:rsidRPr="00E84311">
        <w:rPr>
          <w:rFonts w:ascii="Palatino Linotype" w:hAnsi="Palatino Linotype"/>
          <w:i/>
        </w:rPr>
        <w:t>XVII. Integrar los expedientes de los servidores públicos y proporcionar las constancias que éstos soliciten para el trámite de los asuntos de su interés en los términos que señalen los ordenamientos respectivos (…)”</w:t>
      </w:r>
    </w:p>
    <w:p w14:paraId="71AC41D4" w14:textId="77777777" w:rsidR="00C971E8" w:rsidRPr="00E84311" w:rsidRDefault="00C971E8" w:rsidP="00E84311">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E84311">
        <w:rPr>
          <w:rFonts w:ascii="Palatino Linotype" w:hAnsi="Palatino Linotype" w:cs="Arial"/>
        </w:rPr>
        <w:t xml:space="preserve">Correlacionado con lo arriba señalado, los servidores públicos que ingresan al servicio público, deben de cumplir ciertos requisitos, de los cuales se desprendería la información solicitada, los requisitos se encuentran establecidos en el artículo 47 de la </w:t>
      </w:r>
      <w:r w:rsidRPr="00E84311">
        <w:rPr>
          <w:rFonts w:ascii="Palatino Linotype" w:hAnsi="Palatino Linotype" w:cs="Arial"/>
          <w:b/>
        </w:rPr>
        <w:t>Ley del Trabajo de los Servidores Públicos del Estado y Municipios</w:t>
      </w:r>
      <w:r w:rsidRPr="00E84311">
        <w:rPr>
          <w:rFonts w:ascii="Palatino Linotype" w:hAnsi="Palatino Linotype" w:cs="Arial"/>
        </w:rPr>
        <w:t>, que menciona lo siguiente:</w:t>
      </w:r>
    </w:p>
    <w:p w14:paraId="78665D45" w14:textId="77777777" w:rsidR="00C971E8" w:rsidRPr="00E84311" w:rsidRDefault="00C971E8" w:rsidP="00E84311">
      <w:pPr>
        <w:pStyle w:val="Prrafodelista"/>
        <w:spacing w:before="100" w:beforeAutospacing="1" w:line="360" w:lineRule="auto"/>
        <w:ind w:left="0"/>
        <w:jc w:val="both"/>
        <w:rPr>
          <w:rFonts w:ascii="Palatino Linotype" w:hAnsi="Palatino Linotype" w:cs="Segoe UI"/>
        </w:rPr>
      </w:pPr>
    </w:p>
    <w:p w14:paraId="0A1518A1" w14:textId="77777777" w:rsidR="00C971E8" w:rsidRPr="00E84311" w:rsidRDefault="00C971E8" w:rsidP="00E84311">
      <w:pPr>
        <w:spacing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“ARTÍCULO 47. Para ingresar al servicio público se requiere: </w:t>
      </w:r>
    </w:p>
    <w:p w14:paraId="665E9601"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I. Presentar una solicitud utilizando la forma oficial que se autorice por la institución pública o dependencia correspondiente; </w:t>
      </w:r>
    </w:p>
    <w:p w14:paraId="55AD8312"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II. Ser de nacionalidad mexicana, con la excepción prevista en el artículo 17 de la presente ley; </w:t>
      </w:r>
    </w:p>
    <w:p w14:paraId="7C8A3A27"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III. Estar en pleno ejercicio de sus derechos civiles y políticos, en su caso; </w:t>
      </w:r>
    </w:p>
    <w:p w14:paraId="5DE5EA98"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IV. Acreditar, cuando proceda, el cumplimiento de la Ley del Servicio Militar Nacional; </w:t>
      </w:r>
    </w:p>
    <w:p w14:paraId="5865AFF2"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V. Derogada. </w:t>
      </w:r>
    </w:p>
    <w:p w14:paraId="501BB1E0"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VI. No haber sido separado anteriormente del servicio por las causas previstas en la fracción V del artículo 89 y en el artículo 93 de la presente ley; </w:t>
      </w:r>
    </w:p>
    <w:p w14:paraId="5183CBD8"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VII. Tener buena salud, lo que se comprobará con los certificados médicos correspondientes, en la forma en que se establezca en cada institución pública; </w:t>
      </w:r>
    </w:p>
    <w:p w14:paraId="483005C5"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VIII. Cumplir con los requisitos que se establezcan para los diferentes puestos; </w:t>
      </w:r>
    </w:p>
    <w:p w14:paraId="755A2A69"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IX. Acreditar por medio de los exámenes correspondientes los conocimientos y aptitudes necesarios para el desempeño del puesto; y </w:t>
      </w:r>
    </w:p>
    <w:p w14:paraId="1F19E1CD"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X. No estar inhabilitado para el ejercicio del servicio público. </w:t>
      </w:r>
    </w:p>
    <w:p w14:paraId="3EF83F6D"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XI. Presentar certificado expedido por la Unidad del Registro de Deudores Alimentarios Morosos en el que conste, si se encuentra inscrito o no en el mismo. </w:t>
      </w:r>
    </w:p>
    <w:p w14:paraId="54A61D27"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3B931DF" w14:textId="77777777" w:rsidR="00C971E8" w:rsidRPr="00E84311" w:rsidRDefault="00C971E8" w:rsidP="00E84311">
      <w:pPr>
        <w:spacing w:before="100" w:beforeAutospacing="1" w:after="100" w:afterAutospacing="1" w:line="360" w:lineRule="auto"/>
        <w:ind w:left="567" w:right="567"/>
        <w:jc w:val="both"/>
        <w:rPr>
          <w:rFonts w:ascii="Palatino Linotype" w:hAnsi="Palatino Linotype" w:cs="Arial"/>
        </w:rPr>
      </w:pPr>
    </w:p>
    <w:p w14:paraId="72BADD2C" w14:textId="2E860BF3" w:rsidR="00C971E8" w:rsidRPr="00E84311" w:rsidRDefault="00C971E8" w:rsidP="00E84311">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E84311">
        <w:rPr>
          <w:rFonts w:ascii="Palatino Linotype" w:hAnsi="Palatino Linotype" w:cs="Arial"/>
        </w:rPr>
        <w:t>De los dispositivos arriba señalados se aprecian cuáles son requisitos indispensables para permitir el ingreso al servicio público, los cuales el Sujeto Obligado debe poseer en sus archivos.</w:t>
      </w:r>
    </w:p>
    <w:p w14:paraId="613E01E1" w14:textId="77777777" w:rsidR="002B512C" w:rsidRPr="00E84311" w:rsidRDefault="002B512C" w:rsidP="00E84311">
      <w:pPr>
        <w:pStyle w:val="Prrafodelista"/>
        <w:spacing w:before="100" w:beforeAutospacing="1" w:after="100" w:afterAutospacing="1" w:line="360" w:lineRule="auto"/>
        <w:ind w:left="0"/>
        <w:jc w:val="both"/>
        <w:rPr>
          <w:rFonts w:ascii="Palatino Linotype" w:hAnsi="Palatino Linotype" w:cs="Arial"/>
        </w:rPr>
      </w:pPr>
    </w:p>
    <w:p w14:paraId="6C9D8460" w14:textId="3CC389EA" w:rsidR="002B512C" w:rsidRPr="00E84311" w:rsidRDefault="002B512C" w:rsidP="00E84311">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E84311">
        <w:rPr>
          <w:rFonts w:ascii="Palatino Linotype" w:hAnsi="Palatino Linotype" w:cs="Arial"/>
        </w:rPr>
        <w:t xml:space="preserve">Así mismo </w:t>
      </w:r>
      <w:r w:rsidRPr="00E84311">
        <w:rPr>
          <w:rFonts w:ascii="Palatino Linotype" w:hAnsi="Palatino Linotype"/>
        </w:rPr>
        <w:t>el artículo 92, fracción XXI, de la Ley de Transparencia y Acceso a la Información del Estado de México y Municipios, refiere lo siguiente:</w:t>
      </w:r>
    </w:p>
    <w:p w14:paraId="17F4E6EB" w14:textId="77777777" w:rsidR="002B512C" w:rsidRPr="00E84311" w:rsidRDefault="002B512C" w:rsidP="00E84311">
      <w:pPr>
        <w:spacing w:line="360" w:lineRule="auto"/>
        <w:ind w:left="851" w:right="851"/>
        <w:jc w:val="center"/>
        <w:rPr>
          <w:rFonts w:ascii="Palatino Linotype" w:hAnsi="Palatino Linotype" w:cs="Arial"/>
          <w:b/>
          <w:i/>
        </w:rPr>
      </w:pPr>
    </w:p>
    <w:p w14:paraId="294B87AF" w14:textId="77777777" w:rsidR="002B512C" w:rsidRPr="00E84311" w:rsidRDefault="002B512C" w:rsidP="00E84311">
      <w:pPr>
        <w:spacing w:line="360" w:lineRule="auto"/>
        <w:ind w:left="567" w:right="567"/>
        <w:jc w:val="center"/>
        <w:rPr>
          <w:rFonts w:ascii="Palatino Linotype" w:hAnsi="Palatino Linotype" w:cs="Arial"/>
          <w:b/>
          <w:i/>
        </w:rPr>
      </w:pPr>
      <w:r w:rsidRPr="00E84311">
        <w:rPr>
          <w:rFonts w:ascii="Palatino Linotype" w:hAnsi="Palatino Linotype" w:cs="Arial"/>
          <w:b/>
          <w:i/>
        </w:rPr>
        <w:t>Ley de Transparencia y Acceso a la Información Pública del Estado de México y Municipios</w:t>
      </w:r>
    </w:p>
    <w:p w14:paraId="51A114E6"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i/>
        </w:rPr>
        <w:t>“</w:t>
      </w:r>
      <w:r w:rsidRPr="00E84311">
        <w:rPr>
          <w:rFonts w:ascii="Palatino Linotype" w:hAnsi="Palatino Linotype" w:cs="Arial"/>
          <w:b/>
          <w:i/>
        </w:rPr>
        <w:t>Artículo 92</w:t>
      </w:r>
      <w:r w:rsidRPr="00E84311">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BAB8A9B"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i/>
        </w:rPr>
        <w:t>(…)</w:t>
      </w:r>
    </w:p>
    <w:p w14:paraId="6EF127FC"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b/>
          <w:i/>
        </w:rPr>
        <w:t>XXI.</w:t>
      </w:r>
      <w:r w:rsidRPr="00E84311">
        <w:rPr>
          <w:rFonts w:ascii="Palatino Linotype" w:hAnsi="Palatino Linotype" w:cs="Arial"/>
          <w:i/>
        </w:rPr>
        <w:t xml:space="preserve"> </w:t>
      </w:r>
      <w:r w:rsidRPr="00E84311">
        <w:rPr>
          <w:rFonts w:ascii="Palatino Linotype" w:hAnsi="Palatino Linotype" w:cs="Arial"/>
          <w:b/>
          <w:i/>
          <w:u w:val="single"/>
        </w:rPr>
        <w:t>La información curricular</w:t>
      </w:r>
      <w:r w:rsidRPr="00E84311">
        <w:rPr>
          <w:rFonts w:ascii="Palatino Linotype" w:hAnsi="Palatino Linotype" w:cs="Arial"/>
          <w:i/>
        </w:rPr>
        <w:t xml:space="preserve">, desde el nivel de jefe de departamento o equivalente, hasta el titular del sujeto obligado, así como, en su caso, </w:t>
      </w:r>
      <w:r w:rsidRPr="00E84311">
        <w:rPr>
          <w:rFonts w:ascii="Palatino Linotype" w:hAnsi="Palatino Linotype" w:cs="Arial"/>
          <w:b/>
          <w:i/>
          <w:u w:val="single"/>
        </w:rPr>
        <w:t>las sanciones administrativas de que haya sido objeto</w:t>
      </w:r>
      <w:r w:rsidRPr="00E84311">
        <w:rPr>
          <w:rFonts w:ascii="Palatino Linotype" w:hAnsi="Palatino Linotype" w:cs="Arial"/>
          <w:i/>
        </w:rPr>
        <w:t>;</w:t>
      </w:r>
    </w:p>
    <w:p w14:paraId="3497D9EC" w14:textId="77777777" w:rsidR="002B512C" w:rsidRPr="00E84311" w:rsidRDefault="002B512C" w:rsidP="00E84311">
      <w:pPr>
        <w:spacing w:line="360" w:lineRule="auto"/>
        <w:ind w:left="567" w:right="567"/>
        <w:jc w:val="both"/>
        <w:rPr>
          <w:rFonts w:ascii="Palatino Linotype" w:hAnsi="Palatino Linotype" w:cs="Arial"/>
        </w:rPr>
      </w:pPr>
      <w:r w:rsidRPr="00E84311">
        <w:rPr>
          <w:rFonts w:ascii="Palatino Linotype" w:hAnsi="Palatino Linotype" w:cs="Arial"/>
        </w:rPr>
        <w:t>(Énfasis añadido)”</w:t>
      </w:r>
    </w:p>
    <w:p w14:paraId="408FF173" w14:textId="77777777" w:rsidR="002B512C" w:rsidRPr="00E84311" w:rsidRDefault="002B512C" w:rsidP="00E84311">
      <w:pPr>
        <w:tabs>
          <w:tab w:val="left" w:pos="426"/>
        </w:tabs>
        <w:spacing w:line="360" w:lineRule="auto"/>
        <w:ind w:right="567"/>
        <w:contextualSpacing/>
        <w:jc w:val="both"/>
        <w:rPr>
          <w:rFonts w:ascii="Palatino Linotype" w:hAnsi="Palatino Linotype" w:cs="Arial"/>
          <w:lang w:val="es-ES"/>
        </w:rPr>
      </w:pPr>
    </w:p>
    <w:p w14:paraId="6D2EA3E3" w14:textId="77777777" w:rsidR="002B512C" w:rsidRPr="00E84311" w:rsidRDefault="002B512C" w:rsidP="00E84311">
      <w:pPr>
        <w:pStyle w:val="Prrafodelista"/>
        <w:numPr>
          <w:ilvl w:val="0"/>
          <w:numId w:val="1"/>
        </w:numPr>
        <w:tabs>
          <w:tab w:val="left" w:pos="426"/>
        </w:tabs>
        <w:spacing w:line="360" w:lineRule="auto"/>
        <w:ind w:left="0" w:firstLine="0"/>
        <w:jc w:val="both"/>
        <w:rPr>
          <w:rFonts w:ascii="Palatino Linotype" w:hAnsi="Palatino Linotype" w:cs="Arial"/>
          <w:lang w:val="es-ES"/>
        </w:rPr>
      </w:pPr>
      <w:r w:rsidRPr="00E84311">
        <w:rPr>
          <w:rFonts w:ascii="Palatino Linotype" w:hAnsi="Palatino Linotype"/>
        </w:rPr>
        <w:t xml:space="preserve">De lo anterior se coligue que, </w:t>
      </w:r>
      <w:r w:rsidRPr="00E84311">
        <w:rPr>
          <w:rFonts w:ascii="Palatino Linotype" w:hAnsi="Palatino Linotype"/>
          <w:lang w:val="es-ES"/>
        </w:rPr>
        <w:t xml:space="preserve">para acreditar los requerimientos de ingreso al servicio público y la obligación de transparencia común, deben presentarse una serie de documentos, y proceder a la elaboración de otros, tales como las fichas curriculares, que forman parte de las obligaciones de transparencia común reconocidos en el artículo 92 de la Ley de la materia, en las que se asienta el perfil académico y experiencia profesional de los servidores públicos, así como nombramientos, contratos o </w:t>
      </w:r>
      <w:r w:rsidRPr="00E84311">
        <w:rPr>
          <w:rFonts w:ascii="Palatino Linotype" w:hAnsi="Palatino Linotype"/>
          <w:i/>
          <w:lang w:val="es-ES"/>
        </w:rPr>
        <w:t>Formatos Únicos de Movimientos de Personal</w:t>
      </w:r>
      <w:r w:rsidRPr="00E84311">
        <w:rPr>
          <w:rFonts w:ascii="Palatino Linotype" w:hAnsi="Palatino Linotype"/>
          <w:lang w:val="es-ES"/>
        </w:rPr>
        <w:t>, los cuales constan en los expedientes laborales del personal del servicio público.</w:t>
      </w:r>
    </w:p>
    <w:p w14:paraId="074B72A5" w14:textId="77777777" w:rsidR="002B512C" w:rsidRPr="00E84311" w:rsidRDefault="002B512C" w:rsidP="00E84311">
      <w:pPr>
        <w:pStyle w:val="Prrafodelista"/>
        <w:tabs>
          <w:tab w:val="left" w:pos="426"/>
        </w:tabs>
        <w:spacing w:line="360" w:lineRule="auto"/>
        <w:ind w:left="0"/>
        <w:jc w:val="both"/>
        <w:rPr>
          <w:rFonts w:ascii="Palatino Linotype" w:hAnsi="Palatino Linotype" w:cs="Arial"/>
          <w:lang w:val="es-ES"/>
        </w:rPr>
      </w:pPr>
    </w:p>
    <w:p w14:paraId="6DA43687" w14:textId="1374EA41" w:rsidR="002B512C" w:rsidRPr="00E84311" w:rsidRDefault="002B512C" w:rsidP="00E84311">
      <w:pPr>
        <w:pStyle w:val="Prrafodelista"/>
        <w:numPr>
          <w:ilvl w:val="0"/>
          <w:numId w:val="1"/>
        </w:numPr>
        <w:tabs>
          <w:tab w:val="left" w:pos="426"/>
        </w:tabs>
        <w:spacing w:line="360" w:lineRule="auto"/>
        <w:ind w:left="0" w:firstLine="0"/>
        <w:jc w:val="both"/>
        <w:rPr>
          <w:rFonts w:ascii="Palatino Linotype" w:hAnsi="Palatino Linotype" w:cs="Arial"/>
          <w:lang w:val="es-ES"/>
        </w:rPr>
      </w:pPr>
      <w:r w:rsidRPr="00E84311">
        <w:rPr>
          <w:rFonts w:ascii="Palatino Linotype" w:hAnsi="Palatino Linotype"/>
        </w:rPr>
        <w:t xml:space="preserve">En cuanto a los documentos que pueden acreditar la nacionalidad mexicana, de conformidad con el artículo 3 de la Ley de Nacionalidad, son: el acta de nacimiento; </w:t>
      </w:r>
      <w:r w:rsidRPr="00E84311">
        <w:rPr>
          <w:rFonts w:ascii="Palatino Linotype" w:hAnsi="Palatino Linotype"/>
          <w:lang w:val="es-ES"/>
        </w:rPr>
        <w:t>el</w:t>
      </w:r>
      <w:r w:rsidRPr="00E84311">
        <w:rPr>
          <w:rFonts w:ascii="Palatino Linotype" w:hAnsi="Palatino Linotype"/>
        </w:rPr>
        <w:t xml:space="preserve"> certificado de nacionalidad mexicana; el pasaporte; la carta de naturalización; la cédula de identidad ciudadana, y la matrícula consular que cuente con los siguientes elementos de seguridad (fotografía digitalizada, banda magnética e identificación holográfica).</w:t>
      </w:r>
    </w:p>
    <w:p w14:paraId="3DB3D153" w14:textId="77777777" w:rsidR="002B512C" w:rsidRPr="00E84311" w:rsidRDefault="002B512C" w:rsidP="00E84311">
      <w:pPr>
        <w:pStyle w:val="Prrafodelista"/>
        <w:tabs>
          <w:tab w:val="left" w:pos="426"/>
        </w:tabs>
        <w:spacing w:line="360" w:lineRule="auto"/>
        <w:ind w:left="0"/>
        <w:jc w:val="both"/>
        <w:rPr>
          <w:rFonts w:ascii="Palatino Linotype" w:hAnsi="Palatino Linotype" w:cs="Arial"/>
          <w:lang w:val="es-ES"/>
        </w:rPr>
      </w:pPr>
    </w:p>
    <w:p w14:paraId="7DC31991" w14:textId="23689AD3" w:rsidR="002B512C" w:rsidRPr="00E84311" w:rsidRDefault="000022DC" w:rsidP="00E84311">
      <w:pPr>
        <w:pStyle w:val="Prrafodelista"/>
        <w:numPr>
          <w:ilvl w:val="0"/>
          <w:numId w:val="1"/>
        </w:numPr>
        <w:tabs>
          <w:tab w:val="left" w:pos="426"/>
        </w:tabs>
        <w:spacing w:line="360" w:lineRule="auto"/>
        <w:ind w:left="0" w:firstLine="0"/>
        <w:jc w:val="both"/>
        <w:rPr>
          <w:rFonts w:ascii="Palatino Linotype" w:hAnsi="Palatino Linotype" w:cs="Arial"/>
          <w:lang w:val="es-ES"/>
        </w:rPr>
      </w:pPr>
      <w:r w:rsidRPr="00E84311">
        <w:rPr>
          <w:rFonts w:ascii="Palatino Linotype" w:hAnsi="Palatino Linotype"/>
        </w:rPr>
        <w:t xml:space="preserve">El documento que pudiera acreditar </w:t>
      </w:r>
      <w:r w:rsidR="002B512C" w:rsidRPr="00E84311">
        <w:rPr>
          <w:rFonts w:ascii="Palatino Linotype" w:hAnsi="Palatino Linotype"/>
        </w:rPr>
        <w:t>estar en pleno ejercicio de derechos civiles y políticos, pu</w:t>
      </w:r>
      <w:r w:rsidRPr="00E84311">
        <w:rPr>
          <w:rFonts w:ascii="Palatino Linotype" w:hAnsi="Palatino Linotype"/>
        </w:rPr>
        <w:t xml:space="preserve">diera ser de manera enunciativa más no limitativa </w:t>
      </w:r>
      <w:r w:rsidR="002B512C" w:rsidRPr="00E84311">
        <w:rPr>
          <w:rFonts w:ascii="Palatino Linotype" w:hAnsi="Palatino Linotype"/>
        </w:rPr>
        <w:t xml:space="preserve">el informe o certificado de no antecedentes penales, del que se desprende que los servidores públicos, al ingresar al servicio público, no han sido suspendidos del ejercicio de sus derechos civiles y políticos, como lo precisan el artículo 38, fracciones II, V y VI, de la </w:t>
      </w:r>
      <w:r w:rsidR="002B512C" w:rsidRPr="00E84311">
        <w:rPr>
          <w:rFonts w:ascii="Palatino Linotype" w:hAnsi="Palatino Linotype"/>
          <w:b/>
        </w:rPr>
        <w:t>Constitución Política de los Estados Unidos Mexicanos</w:t>
      </w:r>
      <w:r w:rsidR="002B512C" w:rsidRPr="00E84311">
        <w:rPr>
          <w:rFonts w:ascii="Palatino Linotype" w:hAnsi="Palatino Linotype"/>
        </w:rPr>
        <w:t xml:space="preserve">; el artículo 46, del </w:t>
      </w:r>
      <w:r w:rsidR="002B512C" w:rsidRPr="00E84311">
        <w:rPr>
          <w:rFonts w:ascii="Palatino Linotype" w:hAnsi="Palatino Linotype"/>
          <w:b/>
        </w:rPr>
        <w:t>Código Penal Federal</w:t>
      </w:r>
      <w:r w:rsidR="002B512C" w:rsidRPr="00E84311">
        <w:rPr>
          <w:rFonts w:ascii="Palatino Linotype" w:hAnsi="Palatino Linotype"/>
        </w:rPr>
        <w:t xml:space="preserve">, y los artículos 41 y 44, del </w:t>
      </w:r>
      <w:r w:rsidR="002B512C" w:rsidRPr="00E84311">
        <w:rPr>
          <w:rFonts w:ascii="Palatino Linotype" w:hAnsi="Palatino Linotype"/>
          <w:b/>
        </w:rPr>
        <w:t>Código Penal del Estado de México</w:t>
      </w:r>
      <w:r w:rsidR="002B512C" w:rsidRPr="00E84311">
        <w:rPr>
          <w:rFonts w:ascii="Palatino Linotype" w:hAnsi="Palatino Linotype"/>
        </w:rPr>
        <w:t>:</w:t>
      </w:r>
    </w:p>
    <w:p w14:paraId="40B8D918" w14:textId="77777777" w:rsidR="002B512C" w:rsidRPr="00E84311" w:rsidRDefault="002B512C" w:rsidP="00E84311">
      <w:pPr>
        <w:tabs>
          <w:tab w:val="left" w:pos="426"/>
        </w:tabs>
        <w:spacing w:line="360" w:lineRule="auto"/>
        <w:ind w:right="567"/>
        <w:contextualSpacing/>
        <w:jc w:val="both"/>
        <w:rPr>
          <w:rFonts w:ascii="Palatino Linotype" w:hAnsi="Palatino Linotype" w:cs="Arial"/>
          <w:highlight w:val="cyan"/>
          <w:lang w:val="es-ES"/>
        </w:rPr>
      </w:pPr>
    </w:p>
    <w:p w14:paraId="0E6D4CA8" w14:textId="77777777" w:rsidR="002B512C" w:rsidRPr="00E84311" w:rsidRDefault="002B512C" w:rsidP="00E84311">
      <w:pPr>
        <w:spacing w:line="360" w:lineRule="auto"/>
        <w:ind w:left="567" w:right="567"/>
        <w:jc w:val="center"/>
        <w:rPr>
          <w:rFonts w:ascii="Palatino Linotype" w:hAnsi="Palatino Linotype" w:cs="Arial"/>
          <w:b/>
          <w:i/>
        </w:rPr>
      </w:pPr>
      <w:r w:rsidRPr="00E84311">
        <w:rPr>
          <w:rFonts w:ascii="Palatino Linotype" w:hAnsi="Palatino Linotype" w:cs="Arial"/>
          <w:b/>
          <w:i/>
        </w:rPr>
        <w:t>Constitución Política de los Estados Unidos Mexicanos</w:t>
      </w:r>
    </w:p>
    <w:p w14:paraId="122281D4" w14:textId="77777777" w:rsidR="002B512C" w:rsidRPr="00E84311" w:rsidRDefault="002B512C" w:rsidP="00E84311">
      <w:pPr>
        <w:spacing w:line="360" w:lineRule="auto"/>
        <w:ind w:left="567" w:right="567"/>
        <w:jc w:val="both"/>
        <w:rPr>
          <w:rFonts w:ascii="Palatino Linotype" w:hAnsi="Palatino Linotype" w:cs="Arial"/>
          <w:i/>
        </w:rPr>
      </w:pPr>
      <w:bookmarkStart w:id="81" w:name="Artículo_38"/>
      <w:r w:rsidRPr="00E84311">
        <w:rPr>
          <w:rFonts w:ascii="Palatino Linotype" w:hAnsi="Palatino Linotype" w:cs="Arial"/>
          <w:b/>
          <w:i/>
        </w:rPr>
        <w:t>Artículo 38</w:t>
      </w:r>
      <w:bookmarkEnd w:id="81"/>
      <w:r w:rsidRPr="00E84311">
        <w:rPr>
          <w:rFonts w:ascii="Palatino Linotype" w:hAnsi="Palatino Linotype" w:cs="Arial"/>
          <w:b/>
          <w:i/>
        </w:rPr>
        <w:t xml:space="preserve">. </w:t>
      </w:r>
      <w:r w:rsidRPr="00E84311">
        <w:rPr>
          <w:rFonts w:ascii="Palatino Linotype" w:hAnsi="Palatino Linotype" w:cs="Arial"/>
          <w:b/>
          <w:i/>
          <w:u w:val="single"/>
        </w:rPr>
        <w:t>Los derechos o prerrogativas de los ciudadanos se suspenden</w:t>
      </w:r>
      <w:r w:rsidRPr="00E84311">
        <w:rPr>
          <w:rFonts w:ascii="Palatino Linotype" w:hAnsi="Palatino Linotype" w:cs="Arial"/>
          <w:i/>
        </w:rPr>
        <w:t>:</w:t>
      </w:r>
    </w:p>
    <w:p w14:paraId="50DB6FB7"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i/>
        </w:rPr>
        <w:t>(…)</w:t>
      </w:r>
    </w:p>
    <w:p w14:paraId="0D59A72F"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b/>
          <w:i/>
        </w:rPr>
        <w:t xml:space="preserve">II. </w:t>
      </w:r>
      <w:r w:rsidRPr="00E84311">
        <w:rPr>
          <w:rFonts w:ascii="Palatino Linotype" w:hAnsi="Palatino Linotype" w:cs="Arial"/>
          <w:b/>
          <w:i/>
          <w:u w:val="single"/>
        </w:rPr>
        <w:t>Por estar sujeto a un proceso criminal</w:t>
      </w:r>
      <w:r w:rsidRPr="00E84311">
        <w:rPr>
          <w:rFonts w:ascii="Palatino Linotype" w:hAnsi="Palatino Linotype" w:cs="Arial"/>
          <w:i/>
        </w:rPr>
        <w:t xml:space="preserve"> por delito </w:t>
      </w:r>
      <w:r w:rsidRPr="00E84311">
        <w:rPr>
          <w:rFonts w:ascii="Palatino Linotype" w:hAnsi="Palatino Linotype" w:cs="Arial"/>
          <w:b/>
          <w:i/>
          <w:u w:val="single"/>
        </w:rPr>
        <w:t>que merezca pena corporal</w:t>
      </w:r>
      <w:r w:rsidRPr="00E84311">
        <w:rPr>
          <w:rFonts w:ascii="Palatino Linotype" w:hAnsi="Palatino Linotype" w:cs="Arial"/>
          <w:i/>
        </w:rPr>
        <w:t xml:space="preserve">, a contar </w:t>
      </w:r>
      <w:r w:rsidRPr="00E84311">
        <w:rPr>
          <w:rFonts w:ascii="Palatino Linotype" w:hAnsi="Palatino Linotype" w:cs="Arial"/>
          <w:b/>
          <w:i/>
          <w:u w:val="single"/>
        </w:rPr>
        <w:t>desde la fecha del auto de formal prisión</w:t>
      </w:r>
      <w:r w:rsidRPr="00E84311">
        <w:rPr>
          <w:rFonts w:ascii="Palatino Linotype" w:hAnsi="Palatino Linotype" w:cs="Arial"/>
          <w:i/>
        </w:rPr>
        <w:t>;</w:t>
      </w:r>
    </w:p>
    <w:p w14:paraId="436F7889"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i/>
        </w:rPr>
        <w:t>(…)</w:t>
      </w:r>
    </w:p>
    <w:p w14:paraId="266FFE08"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b/>
          <w:i/>
        </w:rPr>
        <w:t>V.</w:t>
      </w:r>
      <w:r w:rsidRPr="00E84311">
        <w:rPr>
          <w:rFonts w:ascii="Palatino Linotype" w:hAnsi="Palatino Linotype" w:cs="Arial"/>
          <w:i/>
        </w:rPr>
        <w:t xml:space="preserve"> </w:t>
      </w:r>
      <w:r w:rsidRPr="00E84311">
        <w:rPr>
          <w:rFonts w:ascii="Palatino Linotype" w:hAnsi="Palatino Linotype" w:cs="Arial"/>
          <w:b/>
          <w:i/>
          <w:u w:val="single"/>
        </w:rPr>
        <w:t>Por estar prófugo de la justicia, desde que se dicte la orden de aprehensión</w:t>
      </w:r>
      <w:r w:rsidRPr="00E84311">
        <w:rPr>
          <w:rFonts w:ascii="Palatino Linotype" w:hAnsi="Palatino Linotype" w:cs="Arial"/>
          <w:i/>
        </w:rPr>
        <w:t xml:space="preserve"> </w:t>
      </w:r>
      <w:r w:rsidRPr="00E84311">
        <w:rPr>
          <w:rFonts w:ascii="Palatino Linotype" w:hAnsi="Palatino Linotype" w:cs="Arial"/>
          <w:b/>
          <w:i/>
          <w:u w:val="single"/>
        </w:rPr>
        <w:t>hasta que prescriba la acción penal</w:t>
      </w:r>
      <w:r w:rsidRPr="00E84311">
        <w:rPr>
          <w:rFonts w:ascii="Palatino Linotype" w:hAnsi="Palatino Linotype" w:cs="Arial"/>
          <w:i/>
        </w:rPr>
        <w:t>; y</w:t>
      </w:r>
    </w:p>
    <w:p w14:paraId="31713FB7"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b/>
          <w:i/>
        </w:rPr>
        <w:t>VI.</w:t>
      </w:r>
      <w:r w:rsidRPr="00E84311">
        <w:rPr>
          <w:rFonts w:ascii="Palatino Linotype" w:hAnsi="Palatino Linotype" w:cs="Arial"/>
          <w:i/>
        </w:rPr>
        <w:t xml:space="preserve"> </w:t>
      </w:r>
      <w:r w:rsidRPr="00E84311">
        <w:rPr>
          <w:rFonts w:ascii="Palatino Linotype" w:hAnsi="Palatino Linotype" w:cs="Arial"/>
          <w:b/>
          <w:i/>
          <w:u w:val="single"/>
        </w:rPr>
        <w:t>Por sentencia ejecutoria que imponga como pena esa suspensión</w:t>
      </w:r>
      <w:r w:rsidRPr="00E84311">
        <w:rPr>
          <w:rFonts w:ascii="Palatino Linotype" w:hAnsi="Palatino Linotype" w:cs="Arial"/>
          <w:i/>
        </w:rPr>
        <w:t>.”</w:t>
      </w:r>
    </w:p>
    <w:p w14:paraId="60A61BE8" w14:textId="77777777" w:rsidR="002B512C" w:rsidRPr="00E84311" w:rsidRDefault="002B512C" w:rsidP="00E84311">
      <w:pPr>
        <w:spacing w:line="360" w:lineRule="auto"/>
        <w:ind w:left="567" w:right="567"/>
        <w:jc w:val="center"/>
        <w:rPr>
          <w:rFonts w:ascii="Palatino Linotype" w:hAnsi="Palatino Linotype" w:cs="Arial"/>
          <w:b/>
          <w:i/>
        </w:rPr>
      </w:pPr>
      <w:bookmarkStart w:id="82" w:name="Artículo_46"/>
    </w:p>
    <w:p w14:paraId="5F89779C" w14:textId="77777777" w:rsidR="002B512C" w:rsidRPr="00E84311" w:rsidRDefault="002B512C" w:rsidP="00E84311">
      <w:pPr>
        <w:spacing w:line="360" w:lineRule="auto"/>
        <w:ind w:left="567" w:right="567"/>
        <w:jc w:val="center"/>
        <w:rPr>
          <w:rFonts w:ascii="Palatino Linotype" w:hAnsi="Palatino Linotype" w:cs="Arial"/>
          <w:b/>
          <w:i/>
        </w:rPr>
      </w:pPr>
      <w:r w:rsidRPr="00E84311">
        <w:rPr>
          <w:rFonts w:ascii="Palatino Linotype" w:hAnsi="Palatino Linotype" w:cs="Arial"/>
          <w:b/>
          <w:i/>
        </w:rPr>
        <w:t>Código Penal Federal</w:t>
      </w:r>
    </w:p>
    <w:p w14:paraId="37BE7DD4"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i/>
        </w:rPr>
        <w:t>“</w:t>
      </w:r>
      <w:r w:rsidRPr="00E84311">
        <w:rPr>
          <w:rFonts w:ascii="Palatino Linotype" w:hAnsi="Palatino Linotype" w:cs="Arial"/>
          <w:b/>
          <w:i/>
        </w:rPr>
        <w:t>Artículo 46</w:t>
      </w:r>
      <w:bookmarkEnd w:id="82"/>
      <w:r w:rsidRPr="00E84311">
        <w:rPr>
          <w:rFonts w:ascii="Palatino Linotype" w:hAnsi="Palatino Linotype" w:cs="Arial"/>
          <w:b/>
          <w:i/>
        </w:rPr>
        <w:t xml:space="preserve">.- </w:t>
      </w:r>
      <w:r w:rsidRPr="00E84311">
        <w:rPr>
          <w:rFonts w:ascii="Palatino Linotype" w:hAnsi="Palatino Linotype" w:cs="Arial"/>
          <w:b/>
          <w:i/>
          <w:u w:val="single"/>
        </w:rPr>
        <w:t>La pena de prisión produce la suspensión de los derechos políticos</w:t>
      </w:r>
      <w:r w:rsidRPr="00E84311">
        <w:rPr>
          <w:rFonts w:ascii="Palatino Linotype" w:hAnsi="Palatino Linotype" w:cs="Arial"/>
          <w:i/>
        </w:rPr>
        <w:t xml:space="preserve"> </w:t>
      </w:r>
      <w:r w:rsidRPr="00E84311">
        <w:rPr>
          <w:rFonts w:ascii="Palatino Linotype" w:hAnsi="Palatino Linotype" w:cs="Arial"/>
          <w:b/>
          <w:i/>
          <w:u w:val="single"/>
        </w:rPr>
        <w:t>y los de tutela, curatela, ser apoderado, defensor, albacea, perito, depositario o interventor judicial, síndico o interventor en quiebras, árbitro, arbitrador o representante de ausentes</w:t>
      </w:r>
      <w:r w:rsidRPr="00E84311">
        <w:rPr>
          <w:rFonts w:ascii="Palatino Linotype" w:hAnsi="Palatino Linotype" w:cs="Arial"/>
          <w:i/>
        </w:rPr>
        <w:t xml:space="preserve">. La suspensión comenzará </w:t>
      </w:r>
      <w:r w:rsidRPr="00E84311">
        <w:rPr>
          <w:rFonts w:ascii="Palatino Linotype" w:hAnsi="Palatino Linotype" w:cs="Arial"/>
          <w:b/>
          <w:i/>
          <w:u w:val="single"/>
        </w:rPr>
        <w:t>desde que cause ejecutoria la sentencia respectiva y durará todo el tiempo de la condena</w:t>
      </w:r>
      <w:r w:rsidRPr="00E84311">
        <w:rPr>
          <w:rFonts w:ascii="Palatino Linotype" w:hAnsi="Palatino Linotype" w:cs="Arial"/>
          <w:i/>
        </w:rPr>
        <w:t>.”</w:t>
      </w:r>
    </w:p>
    <w:p w14:paraId="21EE05E9" w14:textId="77777777" w:rsidR="002B512C" w:rsidRPr="00E84311" w:rsidRDefault="002B512C" w:rsidP="00E84311">
      <w:pPr>
        <w:spacing w:line="360" w:lineRule="auto"/>
        <w:ind w:left="567" w:right="567"/>
        <w:jc w:val="center"/>
        <w:rPr>
          <w:rFonts w:ascii="Palatino Linotype" w:hAnsi="Palatino Linotype" w:cs="Arial"/>
          <w:b/>
          <w:i/>
        </w:rPr>
      </w:pPr>
    </w:p>
    <w:p w14:paraId="43657198" w14:textId="77777777" w:rsidR="002B512C" w:rsidRPr="00E84311" w:rsidRDefault="002B512C" w:rsidP="00E84311">
      <w:pPr>
        <w:spacing w:line="360" w:lineRule="auto"/>
        <w:ind w:left="567" w:right="567"/>
        <w:jc w:val="center"/>
        <w:rPr>
          <w:rFonts w:ascii="Palatino Linotype" w:hAnsi="Palatino Linotype" w:cs="Arial"/>
          <w:b/>
          <w:i/>
        </w:rPr>
      </w:pPr>
      <w:r w:rsidRPr="00E84311">
        <w:rPr>
          <w:rFonts w:ascii="Palatino Linotype" w:hAnsi="Palatino Linotype" w:cs="Arial"/>
          <w:b/>
          <w:i/>
        </w:rPr>
        <w:t>Código Penal del Estado de México</w:t>
      </w:r>
    </w:p>
    <w:p w14:paraId="25C3A5AB"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i/>
        </w:rPr>
        <w:t>“</w:t>
      </w:r>
      <w:r w:rsidRPr="00E84311">
        <w:rPr>
          <w:rFonts w:ascii="Palatino Linotype" w:hAnsi="Palatino Linotype" w:cs="Arial"/>
          <w:b/>
          <w:i/>
        </w:rPr>
        <w:t xml:space="preserve">Artículo 41.- </w:t>
      </w:r>
      <w:r w:rsidRPr="00E84311">
        <w:rPr>
          <w:rFonts w:ascii="Palatino Linotype" w:hAnsi="Palatino Linotype" w:cs="Arial"/>
          <w:b/>
          <w:i/>
          <w:u w:val="single"/>
        </w:rPr>
        <w:t>La pena de prisión inhabilita para desempeñar toda clase de funciones, empleos y comisiones y suspende el ejercicio de las funciones y empleos</w:t>
      </w:r>
      <w:r w:rsidRPr="00E84311">
        <w:rPr>
          <w:rFonts w:ascii="Palatino Linotype" w:hAnsi="Palatino Linotype" w:cs="Arial"/>
          <w:i/>
        </w:rPr>
        <w:t xml:space="preserve"> que desempeñe el inculpado, aunque se suspendiere la ejecución de la misma.</w:t>
      </w:r>
    </w:p>
    <w:p w14:paraId="5DB7559B"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b/>
          <w:i/>
        </w:rPr>
        <w:t xml:space="preserve">Artículo 44.- </w:t>
      </w:r>
      <w:r w:rsidRPr="00E84311">
        <w:rPr>
          <w:rFonts w:ascii="Palatino Linotype" w:hAnsi="Palatino Linotype" w:cs="Arial"/>
          <w:b/>
          <w:i/>
          <w:u w:val="single"/>
        </w:rPr>
        <w:t>La prisión suspende o interrumpe los derechos políticos y de tutela, curatela, apoderado, defensor, albacea, perito, interventor de quiebra, árbitro y representante de ausentes</w:t>
      </w:r>
      <w:r w:rsidRPr="00E84311">
        <w:rPr>
          <w:rFonts w:ascii="Palatino Linotype" w:hAnsi="Palatino Linotype" w:cs="Arial"/>
          <w:i/>
        </w:rPr>
        <w:t>. Concluido el tiempo o causa de la suspensión de derechos, la rehabilitación operara sin necesidad de declaratoria judicial.”</w:t>
      </w:r>
    </w:p>
    <w:p w14:paraId="5D5BF5E5" w14:textId="77777777" w:rsidR="002B512C" w:rsidRPr="00E84311" w:rsidRDefault="002B512C" w:rsidP="00E84311">
      <w:pPr>
        <w:spacing w:line="360" w:lineRule="auto"/>
        <w:ind w:left="567" w:right="567"/>
        <w:jc w:val="both"/>
        <w:rPr>
          <w:rFonts w:ascii="Palatino Linotype" w:hAnsi="Palatino Linotype" w:cs="Arial"/>
        </w:rPr>
      </w:pPr>
      <w:r w:rsidRPr="00E84311">
        <w:rPr>
          <w:rFonts w:ascii="Palatino Linotype" w:hAnsi="Palatino Linotype" w:cs="Arial"/>
        </w:rPr>
        <w:t>(Énfasis añadido.)</w:t>
      </w:r>
    </w:p>
    <w:p w14:paraId="2BF5432F" w14:textId="77777777" w:rsidR="002B512C" w:rsidRPr="00E84311" w:rsidRDefault="002B512C" w:rsidP="00E84311">
      <w:pPr>
        <w:tabs>
          <w:tab w:val="left" w:pos="426"/>
        </w:tabs>
        <w:spacing w:line="360" w:lineRule="auto"/>
        <w:ind w:right="567"/>
        <w:contextualSpacing/>
        <w:jc w:val="both"/>
        <w:rPr>
          <w:rFonts w:ascii="Palatino Linotype" w:hAnsi="Palatino Linotype" w:cs="Arial"/>
          <w:lang w:val="es-ES"/>
        </w:rPr>
      </w:pPr>
    </w:p>
    <w:p w14:paraId="7B1F389D" w14:textId="6E275B72" w:rsidR="002B512C" w:rsidRPr="00E84311" w:rsidRDefault="000022DC" w:rsidP="00E84311">
      <w:pPr>
        <w:pStyle w:val="Prrafodelista"/>
        <w:numPr>
          <w:ilvl w:val="0"/>
          <w:numId w:val="1"/>
        </w:numPr>
        <w:tabs>
          <w:tab w:val="left" w:pos="426"/>
        </w:tabs>
        <w:spacing w:line="360" w:lineRule="auto"/>
        <w:ind w:left="0" w:firstLine="0"/>
        <w:jc w:val="both"/>
        <w:rPr>
          <w:rFonts w:ascii="Palatino Linotype" w:hAnsi="Palatino Linotype" w:cs="Arial"/>
          <w:lang w:val="es-ES"/>
        </w:rPr>
      </w:pPr>
      <w:r w:rsidRPr="00E84311">
        <w:rPr>
          <w:rFonts w:ascii="Palatino Linotype" w:hAnsi="Palatino Linotype"/>
        </w:rPr>
        <w:t>Así mismo</w:t>
      </w:r>
      <w:r w:rsidR="002B512C" w:rsidRPr="00E84311">
        <w:rPr>
          <w:rFonts w:ascii="Palatino Linotype" w:hAnsi="Palatino Linotype"/>
          <w:i/>
        </w:rPr>
        <w:t xml:space="preserve"> </w:t>
      </w:r>
      <w:r w:rsidR="002B512C" w:rsidRPr="00E84311">
        <w:rPr>
          <w:rFonts w:ascii="Palatino Linotype" w:hAnsi="Palatino Linotype"/>
        </w:rPr>
        <w:t xml:space="preserve">el documento que acreditaría, en su caso, </w:t>
      </w:r>
      <w:r w:rsidRPr="00E84311">
        <w:rPr>
          <w:rFonts w:ascii="Palatino Linotype" w:hAnsi="Palatino Linotype"/>
        </w:rPr>
        <w:t>el cumplimiento de la Ley del Servicio Militar Nacional</w:t>
      </w:r>
      <w:r w:rsidR="002B512C" w:rsidRPr="00E84311">
        <w:rPr>
          <w:rFonts w:ascii="Palatino Linotype" w:hAnsi="Palatino Linotype"/>
        </w:rPr>
        <w:t xml:space="preserve">, tratándose de servidores públicos de sexo masculino, es la Cartilla de Identidad del Servicio Militar Nacional liberada, expedida por la Secretaría de la Defensa Nacional, en cumplimiento a los artículos 5, cuarto párrafo, de la </w:t>
      </w:r>
      <w:r w:rsidR="002B512C" w:rsidRPr="00E84311">
        <w:rPr>
          <w:rFonts w:ascii="Palatino Linotype" w:hAnsi="Palatino Linotype"/>
          <w:b/>
        </w:rPr>
        <w:t>Constitución Política de los Estados Unidos Mexicanos</w:t>
      </w:r>
      <w:r w:rsidR="002B512C" w:rsidRPr="00E84311">
        <w:rPr>
          <w:rFonts w:ascii="Palatino Linotype" w:hAnsi="Palatino Linotype"/>
        </w:rPr>
        <w:t>, y 1º de la Ley del Servicio Militar, que indican:</w:t>
      </w:r>
    </w:p>
    <w:p w14:paraId="77CBD75E" w14:textId="77777777" w:rsidR="002B512C" w:rsidRPr="00E84311" w:rsidRDefault="002B512C" w:rsidP="00E84311">
      <w:pPr>
        <w:tabs>
          <w:tab w:val="left" w:pos="426"/>
        </w:tabs>
        <w:spacing w:line="360" w:lineRule="auto"/>
        <w:ind w:left="567" w:right="567"/>
        <w:contextualSpacing/>
        <w:jc w:val="both"/>
        <w:rPr>
          <w:rFonts w:ascii="Palatino Linotype" w:hAnsi="Palatino Linotype" w:cs="Arial"/>
          <w:lang w:val="es-ES"/>
        </w:rPr>
      </w:pPr>
    </w:p>
    <w:p w14:paraId="6212268F" w14:textId="77777777" w:rsidR="002B512C" w:rsidRPr="00E84311" w:rsidRDefault="002B512C" w:rsidP="00E84311">
      <w:pPr>
        <w:spacing w:line="360" w:lineRule="auto"/>
        <w:ind w:left="567" w:right="851"/>
        <w:jc w:val="center"/>
        <w:rPr>
          <w:rFonts w:ascii="Palatino Linotype" w:hAnsi="Palatino Linotype" w:cs="Arial"/>
          <w:b/>
          <w:i/>
        </w:rPr>
      </w:pPr>
      <w:bookmarkStart w:id="83" w:name="Artículo_5o"/>
      <w:r w:rsidRPr="00E84311">
        <w:rPr>
          <w:rFonts w:ascii="Palatino Linotype" w:hAnsi="Palatino Linotype" w:cs="Arial"/>
          <w:b/>
          <w:i/>
        </w:rPr>
        <w:t>Constitución Política de los Estados Unidos Mexicanos</w:t>
      </w:r>
    </w:p>
    <w:p w14:paraId="6D5E2E10" w14:textId="77777777" w:rsidR="002B512C" w:rsidRPr="00E84311" w:rsidRDefault="002B512C" w:rsidP="00E84311">
      <w:pPr>
        <w:spacing w:line="360" w:lineRule="auto"/>
        <w:ind w:left="567" w:right="851"/>
        <w:jc w:val="both"/>
        <w:rPr>
          <w:rFonts w:ascii="Palatino Linotype" w:hAnsi="Palatino Linotype" w:cs="Arial"/>
          <w:i/>
        </w:rPr>
      </w:pPr>
      <w:r w:rsidRPr="00E84311">
        <w:rPr>
          <w:rFonts w:ascii="Palatino Linotype" w:hAnsi="Palatino Linotype" w:cs="Arial"/>
          <w:i/>
        </w:rPr>
        <w:t>“</w:t>
      </w:r>
      <w:r w:rsidRPr="00E84311">
        <w:rPr>
          <w:rFonts w:ascii="Palatino Linotype" w:hAnsi="Palatino Linotype" w:cs="Arial"/>
          <w:b/>
          <w:i/>
        </w:rPr>
        <w:t>Artículo 5o</w:t>
      </w:r>
      <w:bookmarkEnd w:id="83"/>
      <w:r w:rsidRPr="00E84311">
        <w:rPr>
          <w:rFonts w:ascii="Palatino Linotype" w:hAnsi="Palatino Linotype" w:cs="Arial"/>
          <w:i/>
        </w:rPr>
        <w:t xml:space="preserve">. </w:t>
      </w:r>
    </w:p>
    <w:p w14:paraId="511A0E27" w14:textId="77777777" w:rsidR="002B512C" w:rsidRPr="00E84311" w:rsidRDefault="002B512C" w:rsidP="00E84311">
      <w:pPr>
        <w:spacing w:line="360" w:lineRule="auto"/>
        <w:ind w:left="567" w:right="851"/>
        <w:jc w:val="both"/>
        <w:rPr>
          <w:rFonts w:ascii="Palatino Linotype" w:hAnsi="Palatino Linotype" w:cs="Arial"/>
          <w:i/>
        </w:rPr>
      </w:pPr>
      <w:r w:rsidRPr="00E84311">
        <w:rPr>
          <w:rFonts w:ascii="Palatino Linotype" w:hAnsi="Palatino Linotype" w:cs="Arial"/>
          <w:i/>
        </w:rPr>
        <w:t>(…)</w:t>
      </w:r>
    </w:p>
    <w:p w14:paraId="6F9DCF33" w14:textId="77777777" w:rsidR="002B512C" w:rsidRPr="00E84311" w:rsidRDefault="002B512C" w:rsidP="00E84311">
      <w:pPr>
        <w:spacing w:line="360" w:lineRule="auto"/>
        <w:ind w:left="567" w:right="851"/>
        <w:jc w:val="both"/>
        <w:rPr>
          <w:rFonts w:ascii="Palatino Linotype" w:hAnsi="Palatino Linotype" w:cs="Arial"/>
          <w:i/>
        </w:rPr>
      </w:pPr>
      <w:r w:rsidRPr="00E84311">
        <w:rPr>
          <w:rFonts w:ascii="Palatino Linotype" w:hAnsi="Palatino Linotype" w:cs="Arial"/>
          <w:i/>
        </w:rPr>
        <w:t xml:space="preserve">En cuanto a los servicios públicos, </w:t>
      </w:r>
      <w:r w:rsidRPr="00E84311">
        <w:rPr>
          <w:rFonts w:ascii="Palatino Linotype" w:hAnsi="Palatino Linotype" w:cs="Arial"/>
          <w:b/>
          <w:i/>
          <w:u w:val="single"/>
        </w:rPr>
        <w:t>sólo podrán ser obligatorios, en los términos que establezcan las leyes respectivas, el de las armas</w:t>
      </w:r>
      <w:r w:rsidRPr="00E84311">
        <w:rPr>
          <w:rFonts w:ascii="Palatino Linotype" w:hAnsi="Palatino Linotype" w:cs="Arial"/>
          <w:i/>
        </w:rPr>
        <w:t xml:space="preserve">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p>
    <w:p w14:paraId="1422B9FC" w14:textId="77777777" w:rsidR="002B512C" w:rsidRPr="00E84311" w:rsidRDefault="002B512C" w:rsidP="00E84311">
      <w:pPr>
        <w:spacing w:line="360" w:lineRule="auto"/>
        <w:ind w:left="567" w:right="851"/>
        <w:jc w:val="both"/>
        <w:rPr>
          <w:rFonts w:ascii="Palatino Linotype" w:hAnsi="Palatino Linotype" w:cs="Arial"/>
          <w:i/>
        </w:rPr>
      </w:pPr>
      <w:r w:rsidRPr="00E84311">
        <w:rPr>
          <w:rFonts w:ascii="Palatino Linotype" w:hAnsi="Palatino Linotype" w:cs="Arial"/>
          <w:i/>
        </w:rPr>
        <w:t>(…)”</w:t>
      </w:r>
    </w:p>
    <w:p w14:paraId="1345C61A" w14:textId="77777777" w:rsidR="002B512C" w:rsidRPr="00E84311" w:rsidRDefault="002B512C" w:rsidP="00E84311">
      <w:pPr>
        <w:spacing w:line="360" w:lineRule="auto"/>
        <w:ind w:left="567" w:right="851"/>
        <w:jc w:val="center"/>
        <w:rPr>
          <w:rFonts w:ascii="Palatino Linotype" w:hAnsi="Palatino Linotype" w:cs="Arial"/>
          <w:b/>
          <w:i/>
        </w:rPr>
      </w:pPr>
      <w:bookmarkStart w:id="84" w:name="Artículo_1o"/>
      <w:r w:rsidRPr="00E84311">
        <w:rPr>
          <w:rFonts w:ascii="Palatino Linotype" w:hAnsi="Palatino Linotype" w:cs="Arial"/>
          <w:b/>
          <w:i/>
        </w:rPr>
        <w:t>Ley del Servicio Militar</w:t>
      </w:r>
    </w:p>
    <w:p w14:paraId="76CD86D8" w14:textId="77777777" w:rsidR="002B512C" w:rsidRPr="00E84311" w:rsidRDefault="002B512C" w:rsidP="00E84311">
      <w:pPr>
        <w:spacing w:line="360" w:lineRule="auto"/>
        <w:ind w:left="567" w:right="851"/>
        <w:jc w:val="both"/>
        <w:rPr>
          <w:rFonts w:ascii="Palatino Linotype" w:hAnsi="Palatino Linotype" w:cs="Arial"/>
          <w:i/>
        </w:rPr>
      </w:pPr>
      <w:r w:rsidRPr="00E84311">
        <w:rPr>
          <w:rFonts w:ascii="Palatino Linotype" w:hAnsi="Palatino Linotype" w:cs="Arial"/>
          <w:i/>
        </w:rPr>
        <w:t>“</w:t>
      </w:r>
      <w:r w:rsidRPr="00E84311">
        <w:rPr>
          <w:rFonts w:ascii="Palatino Linotype" w:hAnsi="Palatino Linotype" w:cs="Arial"/>
          <w:b/>
          <w:i/>
        </w:rPr>
        <w:t>ARTICULO 1</w:t>
      </w:r>
      <w:r w:rsidRPr="00E84311">
        <w:rPr>
          <w:rFonts w:ascii="Palatino Linotype" w:hAnsi="Palatino Linotype" w:cs="Arial"/>
          <w:i/>
        </w:rPr>
        <w:t>º</w:t>
      </w:r>
      <w:bookmarkEnd w:id="84"/>
      <w:r w:rsidRPr="00E84311">
        <w:rPr>
          <w:rFonts w:ascii="Palatino Linotype" w:hAnsi="Palatino Linotype" w:cs="Arial"/>
          <w:i/>
        </w:rPr>
        <w:t xml:space="preserve">.- De acuerdo con lo dispuesto en el artículo 5º de la Constitución Política de los Estados Unidos Mexicanos, </w:t>
      </w:r>
      <w:r w:rsidRPr="00E84311">
        <w:rPr>
          <w:rFonts w:ascii="Palatino Linotype" w:hAnsi="Palatino Linotype" w:cs="Arial"/>
          <w:b/>
          <w:i/>
          <w:u w:val="single"/>
        </w:rPr>
        <w:t>se declara obligatorio</w:t>
      </w:r>
      <w:r w:rsidRPr="00E84311">
        <w:rPr>
          <w:rFonts w:ascii="Palatino Linotype" w:hAnsi="Palatino Linotype" w:cs="Arial"/>
          <w:i/>
        </w:rPr>
        <w:t xml:space="preserve"> y de orden público </w:t>
      </w:r>
      <w:r w:rsidRPr="00E84311">
        <w:rPr>
          <w:rFonts w:ascii="Palatino Linotype" w:hAnsi="Palatino Linotype" w:cs="Arial"/>
          <w:b/>
          <w:i/>
          <w:u w:val="single"/>
        </w:rPr>
        <w:t>el servicio de las armas para todos los mexicanos por nacimiento o naturalización</w:t>
      </w:r>
      <w:r w:rsidRPr="00E84311">
        <w:rPr>
          <w:rFonts w:ascii="Palatino Linotype" w:hAnsi="Palatino Linotype" w:cs="Arial"/>
          <w:i/>
        </w:rPr>
        <w:t xml:space="preserve">, quienes lo prestarán en el Ejército o en la Armada, como soldados, clases u oficiales, </w:t>
      </w:r>
      <w:r w:rsidRPr="00E84311">
        <w:rPr>
          <w:rFonts w:ascii="Palatino Linotype" w:hAnsi="Palatino Linotype" w:cs="Arial"/>
          <w:b/>
          <w:i/>
          <w:u w:val="single"/>
        </w:rPr>
        <w:t>de acuerdo con sus capacidades y aptitudes</w:t>
      </w:r>
      <w:r w:rsidRPr="00E84311">
        <w:rPr>
          <w:rFonts w:ascii="Palatino Linotype" w:hAnsi="Palatino Linotype" w:cs="Arial"/>
          <w:i/>
        </w:rPr>
        <w:t>.”</w:t>
      </w:r>
    </w:p>
    <w:p w14:paraId="45BAFD89" w14:textId="77777777" w:rsidR="002B512C" w:rsidRPr="00E84311" w:rsidRDefault="002B512C" w:rsidP="00E84311">
      <w:pPr>
        <w:spacing w:line="360" w:lineRule="auto"/>
        <w:ind w:left="567" w:right="851"/>
        <w:jc w:val="both"/>
        <w:rPr>
          <w:rFonts w:ascii="Palatino Linotype" w:hAnsi="Palatino Linotype" w:cs="Arial"/>
          <w:i/>
        </w:rPr>
      </w:pPr>
      <w:r w:rsidRPr="00E84311">
        <w:rPr>
          <w:rFonts w:ascii="Palatino Linotype" w:hAnsi="Palatino Linotype" w:cs="Arial"/>
          <w:i/>
        </w:rPr>
        <w:t>(Énfasis añadido.)</w:t>
      </w:r>
    </w:p>
    <w:p w14:paraId="319D4E5B" w14:textId="77777777" w:rsidR="002B512C" w:rsidRPr="00E84311" w:rsidRDefault="002B512C" w:rsidP="00E84311">
      <w:pPr>
        <w:tabs>
          <w:tab w:val="left" w:pos="426"/>
        </w:tabs>
        <w:spacing w:line="360" w:lineRule="auto"/>
        <w:ind w:left="567" w:right="567"/>
        <w:contextualSpacing/>
        <w:jc w:val="both"/>
        <w:rPr>
          <w:rFonts w:ascii="Palatino Linotype" w:hAnsi="Palatino Linotype" w:cs="Arial"/>
          <w:lang w:val="es-ES"/>
        </w:rPr>
      </w:pPr>
    </w:p>
    <w:p w14:paraId="7AD3CDE0" w14:textId="555E84BE" w:rsidR="002B512C" w:rsidRPr="00E84311" w:rsidRDefault="00E91C48" w:rsidP="00E84311">
      <w:pPr>
        <w:pStyle w:val="Prrafodelista"/>
        <w:numPr>
          <w:ilvl w:val="0"/>
          <w:numId w:val="1"/>
        </w:numPr>
        <w:tabs>
          <w:tab w:val="left" w:pos="0"/>
        </w:tabs>
        <w:spacing w:line="360" w:lineRule="auto"/>
        <w:ind w:left="0" w:firstLine="0"/>
        <w:jc w:val="both"/>
        <w:rPr>
          <w:rFonts w:ascii="Palatino Linotype" w:hAnsi="Palatino Linotype" w:cs="Arial"/>
          <w:lang w:val="es-ES"/>
        </w:rPr>
      </w:pPr>
      <w:r w:rsidRPr="00E84311">
        <w:rPr>
          <w:rFonts w:ascii="Palatino Linotype" w:hAnsi="Palatino Linotype"/>
        </w:rPr>
        <w:t xml:space="preserve">Los ayuntamientos deben </w:t>
      </w:r>
      <w:r w:rsidR="002B512C" w:rsidRPr="00E84311">
        <w:rPr>
          <w:rFonts w:ascii="Palatino Linotype" w:hAnsi="Palatino Linotype"/>
        </w:rPr>
        <w:t xml:space="preserve">asegurarse </w:t>
      </w:r>
      <w:r w:rsidRPr="00E84311">
        <w:rPr>
          <w:rFonts w:ascii="Palatino Linotype" w:hAnsi="Palatino Linotype"/>
        </w:rPr>
        <w:t>también que</w:t>
      </w:r>
      <w:r w:rsidR="002B512C" w:rsidRPr="00E84311">
        <w:rPr>
          <w:rFonts w:ascii="Palatino Linotype" w:hAnsi="Palatino Linotype"/>
        </w:rPr>
        <w:t xml:space="preserve"> quien ingrese al servicio público no haya sido separado del mismo por las causas previstas en el artículo 93 de la propia </w:t>
      </w:r>
      <w:r w:rsidR="002B512C" w:rsidRPr="00E84311">
        <w:rPr>
          <w:rFonts w:ascii="Palatino Linotype" w:hAnsi="Palatino Linotype"/>
          <w:b/>
        </w:rPr>
        <w:t>Ley del Trabajo de los Servidores Públicos del Estado y Municipios</w:t>
      </w:r>
      <w:r w:rsidR="002B512C" w:rsidRPr="00E84311">
        <w:rPr>
          <w:rFonts w:ascii="Palatino Linotype" w:hAnsi="Palatino Linotype"/>
        </w:rPr>
        <w:t>, el cual establece lo siguiente:</w:t>
      </w:r>
    </w:p>
    <w:p w14:paraId="2A8DFBE5" w14:textId="77777777" w:rsidR="002B512C" w:rsidRPr="00E84311" w:rsidRDefault="002B512C" w:rsidP="00E84311">
      <w:pPr>
        <w:tabs>
          <w:tab w:val="left" w:pos="0"/>
        </w:tabs>
        <w:spacing w:line="360" w:lineRule="auto"/>
        <w:contextualSpacing/>
        <w:jc w:val="both"/>
        <w:rPr>
          <w:rFonts w:ascii="Palatino Linotype" w:hAnsi="Palatino Linotype" w:cs="Arial"/>
          <w:lang w:val="es-ES"/>
        </w:rPr>
      </w:pPr>
    </w:p>
    <w:p w14:paraId="24053ADD"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i/>
        </w:rPr>
        <w:t>“</w:t>
      </w:r>
      <w:r w:rsidRPr="00E84311">
        <w:rPr>
          <w:rFonts w:ascii="Palatino Linotype" w:hAnsi="Palatino Linotype"/>
          <w:b/>
          <w:i/>
        </w:rPr>
        <w:t>ARTÍCULO 93.</w:t>
      </w:r>
      <w:r w:rsidRPr="00E84311">
        <w:rPr>
          <w:rFonts w:ascii="Palatino Linotype" w:hAnsi="Palatino Linotype"/>
          <w:i/>
        </w:rPr>
        <w:t xml:space="preserve"> Son causas de rescisión de la relación laboral, sin responsabilidad para las instituciones públicas: </w:t>
      </w:r>
    </w:p>
    <w:p w14:paraId="77AFEC60"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 xml:space="preserve">I. </w:t>
      </w:r>
      <w:r w:rsidRPr="00E84311">
        <w:rPr>
          <w:rFonts w:ascii="Palatino Linotype" w:hAnsi="Palatino Linotype"/>
          <w:i/>
        </w:rPr>
        <w:t xml:space="preserve">Engañar el servidor público con documentación o referencias falsas que le atribuyan capacidad, aptitudes o grados académicos de los que carezca. Esta causa dejará de tener efecto después de treinta días naturales de conocido el hecho; </w:t>
      </w:r>
    </w:p>
    <w:p w14:paraId="330C12A4"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II.</w:t>
      </w:r>
      <w:r w:rsidRPr="00E84311">
        <w:rPr>
          <w:rFonts w:ascii="Palatino Linotype" w:hAnsi="Palatino Linotype"/>
          <w:i/>
        </w:rPr>
        <w:t xml:space="preserve"> Tener asignada más de una plaza en la misma o en diferentes instituciones públicas o dependencias, con las excepciones que esta ley señala, o bien cobrar un sueldo sin desempeñar funciones; </w:t>
      </w:r>
    </w:p>
    <w:p w14:paraId="7133E97A"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III.</w:t>
      </w:r>
      <w:r w:rsidRPr="00E84311">
        <w:rPr>
          <w:rFonts w:ascii="Palatino Linotype" w:hAnsi="Palatino Linotype"/>
          <w:i/>
        </w:rPr>
        <w:t xml:space="preserve">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6F90ED98"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IV.</w:t>
      </w:r>
      <w:r w:rsidRPr="00E84311">
        <w:rPr>
          <w:rFonts w:ascii="Palatino Linotype" w:hAnsi="Palatino Linotype"/>
          <w:i/>
        </w:rPr>
        <w:t xml:space="preserve"> Incurrir en cuatro o más faltas de asistencia a sus labores sin causa justificada, dentro de un lapso de treinta días; </w:t>
      </w:r>
    </w:p>
    <w:p w14:paraId="25F7DF39"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V.</w:t>
      </w:r>
      <w:r w:rsidRPr="00E84311">
        <w:rPr>
          <w:rFonts w:ascii="Palatino Linotype" w:hAnsi="Palatino Linotype"/>
          <w:i/>
        </w:rPr>
        <w:t xml:space="preserve"> Abandonar las labores sin autorización previa o razón plenamente justificada, en contravención a lo establecido en las condiciones generales de trabajo; </w:t>
      </w:r>
    </w:p>
    <w:p w14:paraId="313B630D"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VI.</w:t>
      </w:r>
      <w:r w:rsidRPr="00E84311">
        <w:rPr>
          <w:rFonts w:ascii="Palatino Linotype" w:hAnsi="Palatino Linotype"/>
          <w:i/>
        </w:rPr>
        <w:t xml:space="preserve"> Causar daños intencionalmente a edificios, obras, equipo, maquinaria, instrumentos, materias primas y demás objetos relacionados con el trabajo, o por sustraerlos en beneficio propio; </w:t>
      </w:r>
    </w:p>
    <w:p w14:paraId="4E53BF4A"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VII.</w:t>
      </w:r>
      <w:r w:rsidRPr="00E84311">
        <w:rPr>
          <w:rFonts w:ascii="Palatino Linotype" w:hAnsi="Palatino Linotype"/>
          <w:i/>
        </w:rPr>
        <w:t xml:space="preserve"> Cometer actos inmorales durante el trabajo; </w:t>
      </w:r>
    </w:p>
    <w:p w14:paraId="7DDE645A"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VIII.</w:t>
      </w:r>
      <w:r w:rsidRPr="00E84311">
        <w:rPr>
          <w:rFonts w:ascii="Palatino Linotype" w:hAnsi="Palatino Linotype"/>
          <w:i/>
        </w:rPr>
        <w:t xml:space="preserve"> Revelar los asuntos confidenciales o reservados así calificados por la institución pública o dependencia donde labore, de los cuales tuviese conocimiento con motivo de su trabajo; </w:t>
      </w:r>
    </w:p>
    <w:p w14:paraId="57BCD52B"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IX.</w:t>
      </w:r>
      <w:r w:rsidRPr="00E84311">
        <w:rPr>
          <w:rFonts w:ascii="Palatino Linotype" w:hAnsi="Palatino Linotype"/>
          <w:i/>
        </w:rPr>
        <w:t xml:space="preserve"> Comprometer por su imprudencia, descuido o negligencia, la seguridad del taller, oficina o dependencia donde preste sus servicios o de las personas que ahí se encuentren; </w:t>
      </w:r>
      <w:r w:rsidRPr="00E84311">
        <w:rPr>
          <w:rFonts w:ascii="Palatino Linotype" w:hAnsi="Palatino Linotype"/>
          <w:b/>
          <w:i/>
        </w:rPr>
        <w:t>X.</w:t>
      </w:r>
      <w:r w:rsidRPr="00E84311">
        <w:rPr>
          <w:rFonts w:ascii="Palatino Linotype" w:hAnsi="Palatino Linotype"/>
          <w:i/>
        </w:rPr>
        <w:t xml:space="preserve"> Desobedecer sin justificación, las órdenes que reciba de sus superiores, en relación al trabajo que desempeñe; </w:t>
      </w:r>
    </w:p>
    <w:p w14:paraId="024AB1DC"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XI.</w:t>
      </w:r>
      <w:r w:rsidRPr="00E84311">
        <w:rPr>
          <w:rFonts w:ascii="Palatino Linotype" w:hAnsi="Palatino Linotype"/>
          <w:i/>
        </w:rPr>
        <w:t xml:space="preserve"> Concurrir al trabajo en estado de embriaguez, o bien bajo la influencia de algún narcótico o droga enervante, salvo que en éste último caso, exista prescripción médica, la que deberá presentar al superior jerárquico antes de iniciar las labores; </w:t>
      </w:r>
    </w:p>
    <w:p w14:paraId="0695F33B"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XII.</w:t>
      </w:r>
      <w:r w:rsidRPr="00E84311">
        <w:rPr>
          <w:rFonts w:ascii="Palatino Linotype" w:hAnsi="Palatino Linotype"/>
          <w:i/>
        </w:rPr>
        <w:t xml:space="preserve"> Portar armas de cualquier clase durante las horas de trabajo, salvo que la naturaleza de éste lo exija; </w:t>
      </w:r>
    </w:p>
    <w:p w14:paraId="41A0DBA7"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XIII.</w:t>
      </w:r>
      <w:r w:rsidRPr="00E84311">
        <w:rPr>
          <w:rFonts w:ascii="Palatino Linotype" w:hAnsi="Palatino Linotype"/>
          <w:i/>
        </w:rPr>
        <w:t xml:space="preserve"> Suspender las labores en el caso previsto en el artículo 176 de esta ley o suspenderlas sin la debida autorización; </w:t>
      </w:r>
    </w:p>
    <w:p w14:paraId="53176F7F"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XIV.</w:t>
      </w:r>
      <w:r w:rsidRPr="00E84311">
        <w:rPr>
          <w:rFonts w:ascii="Palatino Linotype" w:hAnsi="Palatino Linotype"/>
          <w:i/>
        </w:rPr>
        <w:t xml:space="preserve"> Incumplir reiteradamente disposiciones establecidas en las condiciones generales de trabajo de la institución pública o dependencia respectiva que constituyan faltas graves; </w:t>
      </w:r>
    </w:p>
    <w:p w14:paraId="451D43E3"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XV.</w:t>
      </w:r>
      <w:r w:rsidRPr="00E84311">
        <w:rPr>
          <w:rFonts w:ascii="Palatino Linotype" w:hAnsi="Palatino Linotype"/>
          <w:i/>
        </w:rPr>
        <w:t xml:space="preserve"> Ser condenado a prisión como resultado de una sentencia ejecutoriada, que le impida el cumplimiento de la relación de trabajo. </w:t>
      </w:r>
    </w:p>
    <w:p w14:paraId="0EC232C2"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XVI.</w:t>
      </w:r>
      <w:r w:rsidRPr="00E84311">
        <w:rPr>
          <w:rFonts w:ascii="Palatino Linotype" w:hAnsi="Palatino Linotype"/>
          <w:i/>
        </w:rPr>
        <w:t xml:space="preserve"> Portar y hacer uso de credenciales de identificación no autorizadas por la autoridad competente; </w:t>
      </w:r>
    </w:p>
    <w:p w14:paraId="4B220768"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XVII.</w:t>
      </w:r>
      <w:r w:rsidRPr="00E84311">
        <w:rPr>
          <w:rFonts w:ascii="Palatino Linotype" w:hAnsi="Palatino Linotype"/>
          <w:i/>
        </w:rPr>
        <w:t xml:space="preserve">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 </w:t>
      </w:r>
    </w:p>
    <w:p w14:paraId="7382ECD5"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XVIII.</w:t>
      </w:r>
      <w:r w:rsidRPr="00E84311">
        <w:rPr>
          <w:rFonts w:ascii="Palatino Linotype" w:hAnsi="Palatino Linotype"/>
          <w:i/>
        </w:rPr>
        <w:t xml:space="preserve"> Las análogas a las establecidas en las fracciones anteriores, de igual manera graves y de consecuencias semejantes en lo que al trabajo se refiere; e </w:t>
      </w:r>
    </w:p>
    <w:p w14:paraId="00C48F3C"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XIX.</w:t>
      </w:r>
      <w:r w:rsidRPr="00E84311">
        <w:rPr>
          <w:rFonts w:ascii="Palatino Linotype" w:hAnsi="Palatino Linotype"/>
          <w:i/>
        </w:rPr>
        <w:t xml:space="preserve"> Incurrir en actos de violencia laboral, entendiéndose por éstos los relativos a discriminación, acoso u hostigamiento sexual. </w:t>
      </w:r>
    </w:p>
    <w:p w14:paraId="0FB79AFC"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i/>
        </w:rPr>
        <w:t xml:space="preserve">Para los efectos de la presente fracción se entiende por: </w:t>
      </w:r>
    </w:p>
    <w:p w14:paraId="11C17324"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A.</w:t>
      </w:r>
      <w:r w:rsidRPr="00E84311">
        <w:rPr>
          <w:rFonts w:ascii="Palatino Linotype" w:hAnsi="Palatino Linotype"/>
          <w:i/>
        </w:rPr>
        <w:t xml:space="preserve"> Acoso sexual, es una forma de violencia en la que, si bien no existe la subordinación, hay un ejercicio abusivo de poder que conlleva a un estado de indefensión y de riesgo para la víctima, independientemente de que se realice en uno o varios eventos; y </w:t>
      </w:r>
    </w:p>
    <w:p w14:paraId="456AF6E5" w14:textId="77777777" w:rsidR="002B512C" w:rsidRPr="00E84311" w:rsidRDefault="002B512C" w:rsidP="00E84311">
      <w:pPr>
        <w:tabs>
          <w:tab w:val="left" w:pos="426"/>
        </w:tabs>
        <w:spacing w:line="360" w:lineRule="auto"/>
        <w:ind w:left="567" w:right="567"/>
        <w:contextualSpacing/>
        <w:jc w:val="both"/>
        <w:rPr>
          <w:rFonts w:ascii="Palatino Linotype" w:hAnsi="Palatino Linotype"/>
          <w:i/>
        </w:rPr>
      </w:pPr>
      <w:r w:rsidRPr="00E84311">
        <w:rPr>
          <w:rFonts w:ascii="Palatino Linotype" w:hAnsi="Palatino Linotype"/>
          <w:b/>
          <w:i/>
        </w:rPr>
        <w:t>B.</w:t>
      </w:r>
      <w:r w:rsidRPr="00E84311">
        <w:rPr>
          <w:rFonts w:ascii="Palatino Linotype" w:hAnsi="Palatino Linotype"/>
          <w:i/>
        </w:rPr>
        <w:t xml:space="preserve">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 </w:t>
      </w:r>
    </w:p>
    <w:p w14:paraId="338E83F9" w14:textId="77777777" w:rsidR="002B512C" w:rsidRPr="00E84311" w:rsidRDefault="002B512C" w:rsidP="00E84311">
      <w:pPr>
        <w:tabs>
          <w:tab w:val="left" w:pos="426"/>
        </w:tabs>
        <w:spacing w:line="360" w:lineRule="auto"/>
        <w:ind w:left="567" w:right="567"/>
        <w:contextualSpacing/>
        <w:jc w:val="both"/>
        <w:rPr>
          <w:rFonts w:ascii="Palatino Linotype" w:hAnsi="Palatino Linotype" w:cs="Arial"/>
          <w:i/>
          <w:lang w:val="es-ES"/>
        </w:rPr>
      </w:pPr>
      <w:r w:rsidRPr="00E84311">
        <w:rPr>
          <w:rFonts w:ascii="Palatino Linotype" w:hAnsi="Palatino Linotype"/>
          <w:b/>
          <w:i/>
        </w:rPr>
        <w:t>XX.</w:t>
      </w:r>
      <w:r w:rsidRPr="00E84311">
        <w:rPr>
          <w:rFonts w:ascii="Palatino Linotype" w:hAnsi="Palatino Linotype"/>
          <w:i/>
        </w:rPr>
        <w:t xml:space="preserve"> La falta de requisitos que exijan las leyes y reglamentos, necesarios para la prestación del servicio cuando sea imputable al trabajador, desde la fecha en que el patrón tenga conocimiento del hecho, hasta por un periodo de dos meses.”</w:t>
      </w:r>
    </w:p>
    <w:p w14:paraId="7D69C244" w14:textId="77777777" w:rsidR="002B512C" w:rsidRPr="00E84311" w:rsidRDefault="002B512C" w:rsidP="00E84311">
      <w:pPr>
        <w:tabs>
          <w:tab w:val="left" w:pos="426"/>
        </w:tabs>
        <w:spacing w:line="360" w:lineRule="auto"/>
        <w:ind w:right="567"/>
        <w:contextualSpacing/>
        <w:jc w:val="both"/>
        <w:rPr>
          <w:rFonts w:ascii="Palatino Linotype" w:hAnsi="Palatino Linotype" w:cs="Arial"/>
          <w:lang w:val="es-ES"/>
        </w:rPr>
      </w:pPr>
    </w:p>
    <w:p w14:paraId="5D4EB099" w14:textId="7880D316" w:rsidR="002B512C" w:rsidRPr="00E84311" w:rsidRDefault="00E91C48" w:rsidP="00E84311">
      <w:pPr>
        <w:pStyle w:val="Prrafodelista"/>
        <w:numPr>
          <w:ilvl w:val="0"/>
          <w:numId w:val="1"/>
        </w:numPr>
        <w:tabs>
          <w:tab w:val="left" w:pos="426"/>
          <w:tab w:val="left" w:pos="7797"/>
        </w:tabs>
        <w:spacing w:line="360" w:lineRule="auto"/>
        <w:ind w:left="0" w:firstLine="0"/>
        <w:jc w:val="both"/>
        <w:rPr>
          <w:rFonts w:ascii="Palatino Linotype" w:hAnsi="Palatino Linotype" w:cs="Arial"/>
          <w:lang w:val="es-ES"/>
        </w:rPr>
      </w:pPr>
      <w:r w:rsidRPr="00E84311">
        <w:rPr>
          <w:rFonts w:ascii="Palatino Linotype" w:hAnsi="Palatino Linotype"/>
        </w:rPr>
        <w:t>En lo referente a</w:t>
      </w:r>
      <w:r w:rsidR="002B512C" w:rsidRPr="00E84311">
        <w:rPr>
          <w:rFonts w:ascii="Palatino Linotype" w:hAnsi="Palatino Linotype"/>
        </w:rPr>
        <w:t xml:space="preserve"> la buena salud de las personas que se integran al servicio público en la Entidad se acredita mediante certificados médicos emitidos por instituciones públicas.</w:t>
      </w:r>
    </w:p>
    <w:p w14:paraId="2E3552C8" w14:textId="77777777" w:rsidR="00E91C48" w:rsidRPr="00E84311" w:rsidRDefault="00E91C48" w:rsidP="00E84311">
      <w:pPr>
        <w:pStyle w:val="Prrafodelista"/>
        <w:tabs>
          <w:tab w:val="left" w:pos="426"/>
          <w:tab w:val="left" w:pos="7797"/>
        </w:tabs>
        <w:spacing w:line="360" w:lineRule="auto"/>
        <w:ind w:left="0"/>
        <w:jc w:val="both"/>
        <w:rPr>
          <w:rFonts w:ascii="Palatino Linotype" w:hAnsi="Palatino Linotype" w:cs="Arial"/>
          <w:lang w:val="es-ES"/>
        </w:rPr>
      </w:pPr>
    </w:p>
    <w:p w14:paraId="29D5EFC6" w14:textId="6353C0B4" w:rsidR="002B512C" w:rsidRPr="00E84311" w:rsidRDefault="002B512C" w:rsidP="00E84311">
      <w:pPr>
        <w:pStyle w:val="Prrafodelista"/>
        <w:numPr>
          <w:ilvl w:val="0"/>
          <w:numId w:val="1"/>
        </w:numPr>
        <w:tabs>
          <w:tab w:val="left" w:pos="426"/>
          <w:tab w:val="left" w:pos="7797"/>
        </w:tabs>
        <w:spacing w:line="360" w:lineRule="auto"/>
        <w:ind w:left="0" w:firstLine="0"/>
        <w:jc w:val="both"/>
        <w:rPr>
          <w:rFonts w:ascii="Palatino Linotype" w:hAnsi="Palatino Linotype" w:cs="Arial"/>
          <w:i/>
          <w:lang w:val="es-ES"/>
        </w:rPr>
      </w:pPr>
      <w:r w:rsidRPr="00E84311">
        <w:rPr>
          <w:rFonts w:ascii="Palatino Linotype" w:hAnsi="Palatino Linotype"/>
        </w:rPr>
        <w:t xml:space="preserve">Respecto a la fracción VIII, </w:t>
      </w:r>
      <w:r w:rsidRPr="00E84311">
        <w:rPr>
          <w:rFonts w:ascii="Palatino Linotype" w:hAnsi="Palatino Linotype"/>
          <w:i/>
        </w:rPr>
        <w:t>cumplir con los requisitos que se establezcan para los diferentes puestos</w:t>
      </w:r>
      <w:r w:rsidRPr="00E84311">
        <w:rPr>
          <w:rFonts w:ascii="Palatino Linotype" w:hAnsi="Palatino Linotype"/>
        </w:rPr>
        <w:t xml:space="preserve">, la </w:t>
      </w:r>
      <w:r w:rsidRPr="00E84311">
        <w:rPr>
          <w:rFonts w:ascii="Palatino Linotype" w:hAnsi="Palatino Linotype"/>
          <w:b/>
        </w:rPr>
        <w:t>Ley Orgánica Municipal del Estado de México</w:t>
      </w:r>
      <w:r w:rsidRPr="00E84311">
        <w:rPr>
          <w:rFonts w:ascii="Palatino Linotype" w:hAnsi="Palatino Linotype"/>
        </w:rPr>
        <w:t>, establece para algunos cargos en específico, se deberá contar con títulos profesionales y/o documentos que acrediten la experiencia mínima; documentos que acrediten la residencia efectiva en el municipio, así como certificados de competencia laboral, éstos últimos que, aunque deban cumplirse en un plazo posterior al ingresar al cargo, constan en los expedientes laborales. En el caso concreto</w:t>
      </w:r>
      <w:r w:rsidR="00E91C48" w:rsidRPr="00E84311">
        <w:rPr>
          <w:rFonts w:ascii="Palatino Linotype" w:hAnsi="Palatino Linotype"/>
        </w:rPr>
        <w:t xml:space="preserve"> para ser policía no se requiere título profesional.</w:t>
      </w:r>
    </w:p>
    <w:p w14:paraId="7D94B722" w14:textId="77777777" w:rsidR="00E91C48" w:rsidRPr="00E84311" w:rsidRDefault="00E91C48" w:rsidP="00E84311">
      <w:pPr>
        <w:pStyle w:val="Prrafodelista"/>
        <w:tabs>
          <w:tab w:val="left" w:pos="426"/>
          <w:tab w:val="left" w:pos="7797"/>
        </w:tabs>
        <w:spacing w:line="360" w:lineRule="auto"/>
        <w:ind w:left="0"/>
        <w:jc w:val="both"/>
        <w:rPr>
          <w:rFonts w:ascii="Palatino Linotype" w:hAnsi="Palatino Linotype" w:cs="Arial"/>
          <w:i/>
          <w:lang w:val="es-ES"/>
        </w:rPr>
      </w:pPr>
    </w:p>
    <w:p w14:paraId="60CCBD05" w14:textId="77777777" w:rsidR="002B512C" w:rsidRPr="00E84311" w:rsidRDefault="002B512C" w:rsidP="00E84311">
      <w:pPr>
        <w:pStyle w:val="Prrafodelista"/>
        <w:numPr>
          <w:ilvl w:val="0"/>
          <w:numId w:val="1"/>
        </w:numPr>
        <w:tabs>
          <w:tab w:val="left" w:pos="426"/>
          <w:tab w:val="left" w:pos="7797"/>
        </w:tabs>
        <w:spacing w:line="360" w:lineRule="auto"/>
        <w:ind w:left="0" w:firstLine="0"/>
        <w:jc w:val="both"/>
        <w:rPr>
          <w:rFonts w:ascii="Palatino Linotype" w:hAnsi="Palatino Linotype" w:cs="Arial"/>
          <w:i/>
          <w:lang w:val="es-ES"/>
        </w:rPr>
      </w:pPr>
      <w:r w:rsidRPr="00E84311">
        <w:rPr>
          <w:rFonts w:ascii="Palatino Linotype" w:hAnsi="Palatino Linotype"/>
        </w:rPr>
        <w:t xml:space="preserve">La fracción IX, exhibe como requisito para ingresar al servicio público estatal y municipal el </w:t>
      </w:r>
      <w:r w:rsidRPr="00E84311">
        <w:rPr>
          <w:rFonts w:ascii="Palatino Linotype" w:hAnsi="Palatino Linotype"/>
          <w:lang w:val="es-ES"/>
        </w:rPr>
        <w:t>acreditar mediante exámenes los conocimientos y aptitudes para el desempeño de sus puestos, los cuales deberán, naturalmente, adicionarse a los expedientes laborales correspondientes.</w:t>
      </w:r>
    </w:p>
    <w:p w14:paraId="6AFB9563" w14:textId="77777777" w:rsidR="00E91C48" w:rsidRPr="00E84311" w:rsidRDefault="00E91C48" w:rsidP="00E84311">
      <w:pPr>
        <w:pStyle w:val="Prrafodelista"/>
        <w:tabs>
          <w:tab w:val="left" w:pos="426"/>
          <w:tab w:val="left" w:pos="7797"/>
        </w:tabs>
        <w:spacing w:line="360" w:lineRule="auto"/>
        <w:ind w:left="0"/>
        <w:jc w:val="both"/>
        <w:rPr>
          <w:rFonts w:ascii="Palatino Linotype" w:hAnsi="Palatino Linotype" w:cs="Arial"/>
          <w:i/>
          <w:lang w:val="es-ES"/>
        </w:rPr>
      </w:pPr>
    </w:p>
    <w:p w14:paraId="1F2CF7AC" w14:textId="77777777" w:rsidR="002B512C" w:rsidRPr="00E84311" w:rsidRDefault="002B512C" w:rsidP="00E84311">
      <w:pPr>
        <w:pStyle w:val="Prrafodelista"/>
        <w:numPr>
          <w:ilvl w:val="0"/>
          <w:numId w:val="1"/>
        </w:numPr>
        <w:tabs>
          <w:tab w:val="left" w:pos="426"/>
          <w:tab w:val="left" w:pos="7797"/>
        </w:tabs>
        <w:spacing w:line="360" w:lineRule="auto"/>
        <w:ind w:left="0" w:firstLine="0"/>
        <w:jc w:val="both"/>
        <w:rPr>
          <w:rFonts w:ascii="Palatino Linotype" w:hAnsi="Palatino Linotype" w:cs="Arial"/>
          <w:i/>
          <w:lang w:val="es-ES"/>
        </w:rPr>
      </w:pPr>
      <w:r w:rsidRPr="00E84311">
        <w:rPr>
          <w:rFonts w:ascii="Palatino Linotype" w:hAnsi="Palatino Linotype"/>
        </w:rPr>
        <w:t xml:space="preserve">Por lo que hace a la fracción X, </w:t>
      </w:r>
      <w:r w:rsidRPr="00E84311">
        <w:rPr>
          <w:rFonts w:ascii="Palatino Linotype" w:hAnsi="Palatino Linotype"/>
          <w:i/>
        </w:rPr>
        <w:t>no estar inhabilitado para el ejercicio del servicio público,</w:t>
      </w:r>
      <w:r w:rsidRPr="00E84311">
        <w:rPr>
          <w:rFonts w:ascii="Palatino Linotype" w:hAnsi="Palatino Linotype"/>
        </w:rPr>
        <w:t xml:space="preserve"> deben constar en los expedientes laborales, las </w:t>
      </w:r>
      <w:r w:rsidRPr="00E84311">
        <w:rPr>
          <w:rFonts w:ascii="Palatino Linotype" w:hAnsi="Palatino Linotype"/>
          <w:b/>
        </w:rPr>
        <w:t>Constancias de No Inhabilitación</w:t>
      </w:r>
      <w:r w:rsidRPr="00E84311">
        <w:rPr>
          <w:rFonts w:ascii="Palatino Linotype" w:hAnsi="Palatino Linotype"/>
        </w:rPr>
        <w:t xml:space="preserve">, emitidas con base en la consulta en el Sistema Electrónico de la Secretaría de la Contraloría del Gobierno del Estado de México, de conformidad con el artículo 28, último párrafo, de la </w:t>
      </w:r>
      <w:r w:rsidRPr="00E84311">
        <w:rPr>
          <w:rFonts w:ascii="Palatino Linotype" w:hAnsi="Palatino Linotype"/>
          <w:b/>
        </w:rPr>
        <w:t>Ley de Responsabilidades Administrativas del Estado de México y Municipios</w:t>
      </w:r>
      <w:r w:rsidRPr="00E84311">
        <w:rPr>
          <w:rFonts w:ascii="Palatino Linotype" w:hAnsi="Palatino Linotype"/>
        </w:rPr>
        <w:t>, el cual se inserta a continuación:</w:t>
      </w:r>
    </w:p>
    <w:p w14:paraId="1B2639E8" w14:textId="77777777" w:rsidR="002B512C" w:rsidRPr="00E84311" w:rsidRDefault="002B512C" w:rsidP="00E84311">
      <w:pPr>
        <w:tabs>
          <w:tab w:val="left" w:pos="426"/>
        </w:tabs>
        <w:spacing w:line="360" w:lineRule="auto"/>
        <w:ind w:right="567"/>
        <w:contextualSpacing/>
        <w:jc w:val="both"/>
        <w:rPr>
          <w:rFonts w:ascii="Palatino Linotype" w:hAnsi="Palatino Linotype" w:cs="Arial"/>
          <w:lang w:val="es-ES"/>
        </w:rPr>
      </w:pPr>
    </w:p>
    <w:p w14:paraId="24884A81"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i/>
        </w:rPr>
        <w:t>“</w:t>
      </w:r>
      <w:r w:rsidRPr="00E84311">
        <w:rPr>
          <w:rFonts w:ascii="Palatino Linotype" w:hAnsi="Palatino Linotype" w:cs="Arial"/>
          <w:b/>
          <w:i/>
        </w:rPr>
        <w:t>Artículo 28</w:t>
      </w:r>
      <w:r w:rsidRPr="00E84311">
        <w:rPr>
          <w:rFonts w:ascii="Palatino Linotype" w:hAnsi="Palatino Linotype" w:cs="Arial"/>
          <w:i/>
        </w:rPr>
        <w:t xml:space="preserve">. </w:t>
      </w:r>
    </w:p>
    <w:p w14:paraId="1B9F0CCF"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i/>
        </w:rPr>
        <w:t>(…)</w:t>
      </w:r>
    </w:p>
    <w:p w14:paraId="3FBB21CA" w14:textId="77777777" w:rsidR="002B512C" w:rsidRPr="00E84311" w:rsidRDefault="002B512C" w:rsidP="00E84311">
      <w:pPr>
        <w:spacing w:line="360" w:lineRule="auto"/>
        <w:ind w:left="567" w:right="567"/>
        <w:jc w:val="both"/>
        <w:rPr>
          <w:rFonts w:ascii="Palatino Linotype" w:hAnsi="Palatino Linotype" w:cs="Arial"/>
          <w:i/>
        </w:rPr>
      </w:pPr>
      <w:r w:rsidRPr="00E84311">
        <w:rPr>
          <w:rFonts w:ascii="Palatino Linotype" w:hAnsi="Palatino Linotype" w:cs="Arial"/>
          <w:b/>
          <w:i/>
          <w:u w:val="single"/>
        </w:rPr>
        <w:t>Los entes públicos, previo al nombramiento, designación o contratación de quienes pretendan ingresar al servicio público, consultarán los sistemas nacional, estatal y municipal de servidores públicos</w:t>
      </w:r>
      <w:r w:rsidRPr="00E84311">
        <w:rPr>
          <w:rFonts w:ascii="Palatino Linotype" w:hAnsi="Palatino Linotype" w:cs="Arial"/>
          <w:i/>
        </w:rPr>
        <w:t xml:space="preserve"> y particulares sancionados de la plataforma digital nacional y estatal, </w:t>
      </w:r>
      <w:r w:rsidRPr="00E84311">
        <w:rPr>
          <w:rFonts w:ascii="Palatino Linotype" w:hAnsi="Palatino Linotype" w:cs="Arial"/>
          <w:b/>
          <w:i/>
          <w:u w:val="single"/>
        </w:rPr>
        <w:t>con el fin de verificar si existen inhabilitaciones de dichas personas</w:t>
      </w:r>
      <w:r w:rsidRPr="00E84311">
        <w:rPr>
          <w:rFonts w:ascii="Palatino Linotype" w:hAnsi="Palatino Linotype" w:cs="Arial"/>
          <w:i/>
        </w:rPr>
        <w:t>, de no existir se expedirá la constancia correspondiente.</w:t>
      </w:r>
    </w:p>
    <w:p w14:paraId="090C0BE4" w14:textId="77777777" w:rsidR="002B512C" w:rsidRPr="00E84311" w:rsidRDefault="002B512C" w:rsidP="00E84311">
      <w:pPr>
        <w:spacing w:line="360" w:lineRule="auto"/>
        <w:ind w:left="567" w:right="567"/>
        <w:jc w:val="both"/>
        <w:rPr>
          <w:rFonts w:ascii="Palatino Linotype" w:hAnsi="Palatino Linotype"/>
        </w:rPr>
      </w:pPr>
      <w:r w:rsidRPr="00E84311">
        <w:rPr>
          <w:rFonts w:ascii="Palatino Linotype" w:hAnsi="Palatino Linotype" w:cs="Arial"/>
        </w:rPr>
        <w:t>(Énfasis añadido)</w:t>
      </w:r>
    </w:p>
    <w:p w14:paraId="2E30E493" w14:textId="77777777" w:rsidR="002B512C" w:rsidRPr="00E84311" w:rsidRDefault="002B512C" w:rsidP="00E84311">
      <w:pPr>
        <w:tabs>
          <w:tab w:val="left" w:pos="426"/>
        </w:tabs>
        <w:spacing w:line="360" w:lineRule="auto"/>
        <w:ind w:left="567" w:right="567"/>
        <w:contextualSpacing/>
        <w:jc w:val="both"/>
        <w:rPr>
          <w:rFonts w:ascii="Palatino Linotype" w:hAnsi="Palatino Linotype" w:cs="Arial"/>
          <w:lang w:val="es-ES"/>
        </w:rPr>
      </w:pPr>
    </w:p>
    <w:p w14:paraId="24BD9E77" w14:textId="77777777" w:rsidR="002B512C" w:rsidRPr="00E84311" w:rsidRDefault="002B512C" w:rsidP="00E84311">
      <w:pPr>
        <w:numPr>
          <w:ilvl w:val="0"/>
          <w:numId w:val="1"/>
        </w:numPr>
        <w:tabs>
          <w:tab w:val="left" w:pos="426"/>
        </w:tabs>
        <w:spacing w:line="360" w:lineRule="auto"/>
        <w:ind w:left="0" w:firstLine="0"/>
        <w:contextualSpacing/>
        <w:jc w:val="both"/>
        <w:rPr>
          <w:rFonts w:ascii="Palatino Linotype" w:hAnsi="Palatino Linotype" w:cs="Arial"/>
          <w:lang w:val="es-ES"/>
        </w:rPr>
      </w:pPr>
      <w:r w:rsidRPr="00E84311">
        <w:rPr>
          <w:rFonts w:ascii="Palatino Linotype" w:hAnsi="Palatino Linotype"/>
        </w:rPr>
        <w:t xml:space="preserve">Por último, para acreditar la fracción XI, </w:t>
      </w:r>
      <w:r w:rsidRPr="00E84311">
        <w:rPr>
          <w:rFonts w:ascii="Palatino Linotype" w:hAnsi="Palatino Linotype"/>
          <w:i/>
        </w:rPr>
        <w:t>certificado expedida por la Unidad del Registro de Deudores Alimentarios Morosos en el que conste si se encuentra inscrito o no en el mismo</w:t>
      </w:r>
      <w:r w:rsidRPr="00E84311">
        <w:rPr>
          <w:rFonts w:ascii="Palatino Linotype" w:hAnsi="Palatino Linotype"/>
        </w:rPr>
        <w:t>, todo aspirante a ingresar al servicio público deberá acudir a la Unidad del Registro de Deudores Morosos para que se le expida el certificado pertinente que dé constancia de su situación legal como deudor alimentario.</w:t>
      </w:r>
    </w:p>
    <w:p w14:paraId="19750483" w14:textId="77777777" w:rsidR="002B512C" w:rsidRPr="00E84311" w:rsidRDefault="002B512C" w:rsidP="00E84311">
      <w:pPr>
        <w:tabs>
          <w:tab w:val="left" w:pos="426"/>
        </w:tabs>
        <w:spacing w:line="360" w:lineRule="auto"/>
        <w:ind w:right="567"/>
        <w:contextualSpacing/>
        <w:jc w:val="both"/>
        <w:rPr>
          <w:rFonts w:ascii="Palatino Linotype" w:hAnsi="Palatino Linotype" w:cs="Arial"/>
          <w:lang w:val="es-ES"/>
        </w:rPr>
      </w:pPr>
    </w:p>
    <w:p w14:paraId="393AE1CB" w14:textId="398B2864" w:rsidR="002B512C" w:rsidRPr="00E84311" w:rsidRDefault="002B512C" w:rsidP="00E84311">
      <w:pPr>
        <w:numPr>
          <w:ilvl w:val="0"/>
          <w:numId w:val="1"/>
        </w:numPr>
        <w:tabs>
          <w:tab w:val="left" w:pos="426"/>
          <w:tab w:val="left" w:pos="8080"/>
        </w:tabs>
        <w:spacing w:line="360" w:lineRule="auto"/>
        <w:ind w:left="0" w:firstLine="0"/>
        <w:contextualSpacing/>
        <w:jc w:val="both"/>
        <w:rPr>
          <w:rFonts w:ascii="Palatino Linotype" w:hAnsi="Palatino Linotype" w:cs="Arial"/>
          <w:lang w:val="es-ES"/>
        </w:rPr>
      </w:pPr>
      <w:r w:rsidRPr="00E84311">
        <w:rPr>
          <w:rFonts w:ascii="Palatino Linotype" w:hAnsi="Palatino Linotype"/>
        </w:rPr>
        <w:t>Por lo anterior, se advierte que todo aspirante que desee ingresar al servicio público debe presentar la documentación aludida, la cual se integra a su expediente público, además de que, existe documentación que, una vez dado su ingreso, debe generarse y agregarse al mismo, como la ficha curricular para efectos del cumplimiento de una de las obligaciones de transparencia común, sin embargo</w:t>
      </w:r>
      <w:r w:rsidR="00BB7AC7" w:rsidRPr="00E84311">
        <w:rPr>
          <w:rFonts w:ascii="Palatino Linotype" w:hAnsi="Palatino Linotype"/>
        </w:rPr>
        <w:t xml:space="preserve"> cierta información </w:t>
      </w:r>
      <w:r w:rsidRPr="00E84311">
        <w:rPr>
          <w:rFonts w:ascii="Palatino Linotype" w:hAnsi="Palatino Linotype"/>
        </w:rPr>
        <w:t xml:space="preserve">es presentada por los servidores públicos por cuestiones administrativas, tales como identificaciones oficiales con fotografía, comprobantes domiciliarios, cédulas profesionales, Constancias del Registro Federal de Contribuyentes con homoclave, Clave Única de </w:t>
      </w:r>
      <w:r w:rsidR="00BB7AC7" w:rsidRPr="00E84311">
        <w:rPr>
          <w:rFonts w:ascii="Palatino Linotype" w:hAnsi="Palatino Linotype"/>
        </w:rPr>
        <w:t>Registro de Población (CURP) y Currí</w:t>
      </w:r>
      <w:r w:rsidRPr="00E84311">
        <w:rPr>
          <w:rFonts w:ascii="Palatino Linotype" w:hAnsi="Palatino Linotype"/>
        </w:rPr>
        <w:t>culum vitae, con o sin fotografía, así como los comprobantes de experiencia laboral, cursos y talleres.</w:t>
      </w:r>
    </w:p>
    <w:p w14:paraId="3FF08956" w14:textId="77777777" w:rsidR="00BB7AC7" w:rsidRPr="00E84311" w:rsidRDefault="00BB7AC7" w:rsidP="00E84311">
      <w:pPr>
        <w:pStyle w:val="Prrafodelista"/>
        <w:spacing w:line="360" w:lineRule="auto"/>
        <w:ind w:left="0"/>
        <w:jc w:val="both"/>
        <w:rPr>
          <w:rFonts w:ascii="Palatino Linotype" w:hAnsi="Palatino Linotype" w:cs="Segoe UI"/>
        </w:rPr>
      </w:pPr>
    </w:p>
    <w:p w14:paraId="09D18B27" w14:textId="77777777" w:rsidR="00BB7AC7" w:rsidRPr="00E84311" w:rsidRDefault="00BB7AC7" w:rsidP="00E84311">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E84311">
        <w:rPr>
          <w:rFonts w:ascii="Palatino Linotype" w:hAnsi="Palatino Linotype" w:cs="Segoe UI"/>
        </w:rPr>
        <w:t>En relación con lo anterior, es</w:t>
      </w:r>
      <w:r w:rsidRPr="00E84311">
        <w:rPr>
          <w:rFonts w:ascii="Palatino Linotype" w:hAnsi="Palatino Linotype" w:cs="Arial"/>
        </w:rPr>
        <w:t xml:space="preserve"> preciso mencionar que la relación laboral entre los servidores públicos y las instituciones públicas, se entiende establecida mediante nombramiento, formato único de movimiento de personal, contrato o por cualquier otro acto que tenga como consecuencia la prestación personal subordinada del servicio y la percepción de un sueldo, lo anterior encuentra sustento en el artículo 5 de la </w:t>
      </w:r>
      <w:r w:rsidRPr="00E84311">
        <w:rPr>
          <w:rFonts w:ascii="Palatino Linotype" w:hAnsi="Palatino Linotype" w:cs="Arial"/>
          <w:b/>
        </w:rPr>
        <w:t>Ley del Trabajo de los Servidores Públicos del Estado y Municipios</w:t>
      </w:r>
      <w:r w:rsidRPr="00E84311">
        <w:rPr>
          <w:rFonts w:ascii="Palatino Linotype" w:hAnsi="Palatino Linotype" w:cs="Arial"/>
        </w:rPr>
        <w:t>, que a continuación se transcribe:</w:t>
      </w:r>
    </w:p>
    <w:p w14:paraId="46D401A7" w14:textId="77777777" w:rsidR="00BB7AC7" w:rsidRPr="00E84311" w:rsidRDefault="00BB7AC7" w:rsidP="00E84311">
      <w:pPr>
        <w:pStyle w:val="Prrafodelista"/>
        <w:spacing w:before="100" w:beforeAutospacing="1" w:after="100" w:afterAutospacing="1" w:line="360" w:lineRule="auto"/>
        <w:ind w:left="0"/>
        <w:jc w:val="both"/>
        <w:rPr>
          <w:rFonts w:ascii="Palatino Linotype" w:hAnsi="Palatino Linotype" w:cs="Segoe UI"/>
        </w:rPr>
      </w:pPr>
    </w:p>
    <w:p w14:paraId="4E503D22" w14:textId="77777777" w:rsidR="00BB7AC7" w:rsidRPr="00E84311" w:rsidRDefault="00BB7AC7" w:rsidP="00E84311">
      <w:pPr>
        <w:pStyle w:val="Prrafodelista"/>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7746168B" w14:textId="77777777" w:rsidR="00BB7AC7" w:rsidRPr="00E84311" w:rsidRDefault="00BB7AC7" w:rsidP="00E84311">
      <w:pPr>
        <w:pStyle w:val="Prrafodelista"/>
        <w:spacing w:before="100" w:beforeAutospacing="1" w:after="100" w:afterAutospacing="1" w:line="360" w:lineRule="auto"/>
        <w:ind w:left="567" w:right="567"/>
        <w:jc w:val="both"/>
        <w:rPr>
          <w:rFonts w:ascii="Palatino Linotype" w:hAnsi="Palatino Linotype" w:cs="Segoe UI"/>
        </w:rPr>
      </w:pPr>
    </w:p>
    <w:p w14:paraId="56DBC07D" w14:textId="77777777" w:rsidR="00BB7AC7" w:rsidRPr="00E84311" w:rsidRDefault="00BB7AC7" w:rsidP="00E84311">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E84311">
        <w:rPr>
          <w:rFonts w:ascii="Palatino Linotype" w:hAnsi="Palatino Linotype" w:cs="Arial"/>
        </w:rPr>
        <w:t>En concordancia con lo anterior, el nombramiento, contrato o formato único de movimientos es el instrumento por el cual los servidores públicos, establecen una relación con los poderes ya mencionados o los municipios y que a su vez contienen elementos generales personales así como las funciones a realizar, como lo sostiene el artículo 49 del ordenamiento arriba señalado que se trascribe a continuación:</w:t>
      </w:r>
    </w:p>
    <w:p w14:paraId="47746E20" w14:textId="77777777" w:rsidR="00BB7AC7" w:rsidRPr="00E84311" w:rsidRDefault="00BB7AC7" w:rsidP="00E84311">
      <w:pPr>
        <w:pStyle w:val="Prrafodelista"/>
        <w:spacing w:before="100" w:beforeAutospacing="1" w:after="100" w:afterAutospacing="1" w:line="360" w:lineRule="auto"/>
        <w:ind w:left="0"/>
        <w:jc w:val="both"/>
        <w:rPr>
          <w:rFonts w:ascii="Palatino Linotype" w:hAnsi="Palatino Linotype" w:cs="Arial"/>
        </w:rPr>
      </w:pPr>
    </w:p>
    <w:p w14:paraId="58B19EFC" w14:textId="77777777" w:rsidR="00BB7AC7" w:rsidRPr="00E84311" w:rsidRDefault="00BB7AC7"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“ARTÍCULO 49.- Los nombramientos, contratos o formato único de Movimientos de Personal de los servidores públicos deberán contener: </w:t>
      </w:r>
    </w:p>
    <w:p w14:paraId="312D0FD3" w14:textId="77777777" w:rsidR="00BB7AC7" w:rsidRPr="00E84311" w:rsidRDefault="00BB7AC7"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I. Nombre completo del servidor público; </w:t>
      </w:r>
    </w:p>
    <w:p w14:paraId="28C4E92C" w14:textId="77777777" w:rsidR="00BB7AC7" w:rsidRPr="00E84311" w:rsidRDefault="00BB7AC7"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II. Cargo para el que es designado, fecha de inicio de sus servicios y lugar de adscripción; </w:t>
      </w:r>
    </w:p>
    <w:p w14:paraId="2531F675" w14:textId="77777777" w:rsidR="00BB7AC7" w:rsidRPr="00E84311" w:rsidRDefault="00BB7AC7"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III. Carácter del nombramiento, ya sea de servidores públicos generales o de confianza, así como la temporalidad del mismo; </w:t>
      </w:r>
    </w:p>
    <w:p w14:paraId="08C8A632" w14:textId="77777777" w:rsidR="00BB7AC7" w:rsidRPr="00E84311" w:rsidRDefault="00BB7AC7"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IV. Remuneración correspondiente al puesto; </w:t>
      </w:r>
    </w:p>
    <w:p w14:paraId="149C8EC7" w14:textId="77777777" w:rsidR="00BB7AC7" w:rsidRPr="00E84311" w:rsidRDefault="00BB7AC7"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V. Jornada de trabajo; </w:t>
      </w:r>
    </w:p>
    <w:p w14:paraId="551E2E20" w14:textId="77777777" w:rsidR="00BB7AC7" w:rsidRPr="00E84311" w:rsidRDefault="00BB7AC7" w:rsidP="00E84311">
      <w:pPr>
        <w:spacing w:before="100" w:beforeAutospacing="1" w:after="100" w:afterAutospacing="1" w:line="360" w:lineRule="auto"/>
        <w:ind w:left="567" w:right="567"/>
        <w:jc w:val="both"/>
        <w:rPr>
          <w:rFonts w:ascii="Palatino Linotype" w:hAnsi="Palatino Linotype" w:cs="Arial"/>
          <w:i/>
        </w:rPr>
      </w:pPr>
      <w:r w:rsidRPr="00E84311">
        <w:rPr>
          <w:rFonts w:ascii="Palatino Linotype" w:hAnsi="Palatino Linotype" w:cs="Arial"/>
          <w:i/>
        </w:rPr>
        <w:t xml:space="preserve">VI. Derogada; </w:t>
      </w:r>
    </w:p>
    <w:p w14:paraId="01DC668F" w14:textId="77777777" w:rsidR="00BB7AC7" w:rsidRPr="00E84311" w:rsidRDefault="00BB7AC7" w:rsidP="00E84311">
      <w:pPr>
        <w:spacing w:line="360" w:lineRule="auto"/>
        <w:ind w:left="567" w:right="567"/>
        <w:jc w:val="both"/>
        <w:rPr>
          <w:rFonts w:ascii="Palatino Linotype" w:hAnsi="Palatino Linotype" w:cs="Arial"/>
          <w:i/>
        </w:rPr>
      </w:pPr>
      <w:r w:rsidRPr="00E84311">
        <w:rPr>
          <w:rFonts w:ascii="Palatino Linotype" w:hAnsi="Palatino Linotype" w:cs="Arial"/>
          <w:i/>
        </w:rPr>
        <w:t>VII. Firma del servidor público autorizado para emitir el nombramiento, contrato o formato único de Movimientos de Personal, así como el fundamento legal de esa atribución.”</w:t>
      </w:r>
    </w:p>
    <w:p w14:paraId="7F5722C2" w14:textId="77777777" w:rsidR="00BB7AC7" w:rsidRPr="00E84311" w:rsidRDefault="00BB7AC7" w:rsidP="00E84311">
      <w:pPr>
        <w:spacing w:line="360" w:lineRule="auto"/>
        <w:ind w:right="851"/>
        <w:jc w:val="both"/>
        <w:rPr>
          <w:rFonts w:ascii="Palatino Linotype" w:hAnsi="Palatino Linotype" w:cs="Arial"/>
        </w:rPr>
      </w:pPr>
    </w:p>
    <w:p w14:paraId="4CDD7021" w14:textId="7709F7C4" w:rsidR="00BB7AC7" w:rsidRPr="00E84311" w:rsidRDefault="00BB7AC7" w:rsidP="00E84311">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E84311">
        <w:rPr>
          <w:rFonts w:ascii="Palatino Linotype" w:hAnsi="Palatino Linotype" w:cs="Arial"/>
        </w:rPr>
        <w:t>De los preceptos señalados se advierte que la relación laboral, se establece por dichos medios y que el documento que se le haya expedido al servidor público para desempeñar su cargo contiene el cargo y la fecha de ingreso del servidor público.</w:t>
      </w:r>
    </w:p>
    <w:p w14:paraId="39ECDDA0" w14:textId="77777777" w:rsidR="00BB7AC7" w:rsidRPr="00E84311" w:rsidRDefault="00BB7AC7" w:rsidP="00E84311">
      <w:pPr>
        <w:tabs>
          <w:tab w:val="left" w:pos="426"/>
          <w:tab w:val="left" w:pos="8080"/>
        </w:tabs>
        <w:spacing w:line="360" w:lineRule="auto"/>
        <w:contextualSpacing/>
        <w:jc w:val="both"/>
        <w:rPr>
          <w:rFonts w:ascii="Palatino Linotype" w:hAnsi="Palatino Linotype" w:cs="Arial"/>
          <w:lang w:val="es-ES"/>
        </w:rPr>
      </w:pPr>
    </w:p>
    <w:p w14:paraId="2AE17824" w14:textId="77777777" w:rsidR="002B512C" w:rsidRPr="00E84311" w:rsidRDefault="002B512C" w:rsidP="00E84311">
      <w:pPr>
        <w:numPr>
          <w:ilvl w:val="0"/>
          <w:numId w:val="1"/>
        </w:numPr>
        <w:tabs>
          <w:tab w:val="left" w:pos="426"/>
          <w:tab w:val="left" w:pos="8080"/>
        </w:tabs>
        <w:spacing w:line="360" w:lineRule="auto"/>
        <w:ind w:left="57" w:firstLine="0"/>
        <w:contextualSpacing/>
        <w:jc w:val="both"/>
        <w:rPr>
          <w:rFonts w:ascii="Palatino Linotype" w:hAnsi="Palatino Linotype" w:cs="Arial"/>
          <w:lang w:val="es-ES"/>
        </w:rPr>
      </w:pPr>
      <w:r w:rsidRPr="00E84311">
        <w:rPr>
          <w:rFonts w:ascii="Palatino Linotype" w:hAnsi="Palatino Linotype" w:cs="Arial"/>
          <w:lang w:val="es-ES"/>
        </w:rPr>
        <w:t xml:space="preserve">Manifestado lo anterior, </w:t>
      </w:r>
      <w:r w:rsidRPr="00E84311">
        <w:rPr>
          <w:rFonts w:ascii="Palatino Linotype" w:hAnsi="Palatino Linotype"/>
        </w:rPr>
        <w:t xml:space="preserve">respecto de la documentación que pudiera constar en los expedientes de los servidores públicos, se advierte que, parte de ella es susceptible de ser entregada de manera </w:t>
      </w:r>
      <w:r w:rsidRPr="00E84311">
        <w:rPr>
          <w:rFonts w:ascii="Palatino Linotype" w:hAnsi="Palatino Linotype"/>
          <w:b/>
        </w:rPr>
        <w:t>íntegra</w:t>
      </w:r>
      <w:r w:rsidRPr="00E84311">
        <w:rPr>
          <w:rFonts w:ascii="Palatino Linotype" w:hAnsi="Palatino Linotype"/>
        </w:rPr>
        <w:t xml:space="preserve">; sin embargo, otro tanto, debe procederse a su entrega en </w:t>
      </w:r>
      <w:r w:rsidRPr="00E84311">
        <w:rPr>
          <w:rFonts w:ascii="Palatino Linotype" w:hAnsi="Palatino Linotype"/>
          <w:b/>
        </w:rPr>
        <w:t>versión pública</w:t>
      </w:r>
      <w:r w:rsidRPr="00E84311">
        <w:rPr>
          <w:rFonts w:ascii="Palatino Linotype" w:hAnsi="Palatino Linotype"/>
        </w:rPr>
        <w:t xml:space="preserve">, en la que se protejan, </w:t>
      </w:r>
      <w:r w:rsidRPr="00E84311">
        <w:rPr>
          <w:rFonts w:ascii="Palatino Linotype" w:hAnsi="Palatino Linotype"/>
          <w:b/>
        </w:rPr>
        <w:t>únicamente</w:t>
      </w:r>
      <w:r w:rsidRPr="00E84311">
        <w:rPr>
          <w:rFonts w:ascii="Palatino Linotype" w:hAnsi="Palatino Linotype"/>
        </w:rPr>
        <w:t xml:space="preserve">, los datos personales, datos personales sensibles e información pública, y otra más, que deberá ser clasificada como confidencial </w:t>
      </w:r>
      <w:r w:rsidRPr="00E84311">
        <w:rPr>
          <w:rFonts w:ascii="Palatino Linotype" w:hAnsi="Palatino Linotype"/>
          <w:b/>
        </w:rPr>
        <w:t>en su totalidad</w:t>
      </w:r>
      <w:r w:rsidRPr="00E84311">
        <w:rPr>
          <w:rFonts w:ascii="Palatino Linotype" w:hAnsi="Palatino Linotype"/>
        </w:rPr>
        <w:t>.</w:t>
      </w:r>
    </w:p>
    <w:p w14:paraId="26CAD3D9" w14:textId="77777777" w:rsidR="002B512C" w:rsidRPr="00E84311" w:rsidRDefault="002B512C" w:rsidP="00E84311">
      <w:pPr>
        <w:tabs>
          <w:tab w:val="left" w:pos="426"/>
        </w:tabs>
        <w:spacing w:line="360" w:lineRule="auto"/>
        <w:ind w:left="57" w:right="567"/>
        <w:contextualSpacing/>
        <w:jc w:val="both"/>
        <w:rPr>
          <w:rFonts w:ascii="Palatino Linotype" w:hAnsi="Palatino Linotype" w:cs="Arial"/>
          <w:lang w:val="es-ES"/>
        </w:rPr>
      </w:pPr>
    </w:p>
    <w:p w14:paraId="4E2DEC58" w14:textId="76D008F7" w:rsidR="002B512C" w:rsidRPr="00E84311" w:rsidRDefault="002B512C" w:rsidP="00E84311">
      <w:pPr>
        <w:numPr>
          <w:ilvl w:val="0"/>
          <w:numId w:val="1"/>
        </w:numPr>
        <w:tabs>
          <w:tab w:val="left" w:pos="426"/>
        </w:tabs>
        <w:spacing w:line="360" w:lineRule="auto"/>
        <w:ind w:left="57" w:firstLine="0"/>
        <w:contextualSpacing/>
        <w:jc w:val="both"/>
        <w:rPr>
          <w:rFonts w:ascii="Palatino Linotype" w:hAnsi="Palatino Linotype" w:cs="Arial"/>
          <w:lang w:val="es-ES"/>
        </w:rPr>
      </w:pPr>
      <w:r w:rsidRPr="00E84311">
        <w:rPr>
          <w:rFonts w:ascii="Palatino Linotype" w:hAnsi="Palatino Linotype"/>
        </w:rPr>
        <w:t xml:space="preserve">Respecto a la información que debe ser entregada de forma </w:t>
      </w:r>
      <w:r w:rsidRPr="00E84311">
        <w:rPr>
          <w:rFonts w:ascii="Palatino Linotype" w:hAnsi="Palatino Linotype"/>
          <w:b/>
        </w:rPr>
        <w:t>íntegra,</w:t>
      </w:r>
      <w:r w:rsidRPr="00E84311">
        <w:rPr>
          <w:rFonts w:ascii="Palatino Linotype" w:hAnsi="Palatino Linotype"/>
        </w:rPr>
        <w:t xml:space="preserve"> de manera enunciativa más no limitativa, se encuentran las fichas curriculares, comprobantes de experiencia laboral, títulos profesionales, así como reconocimientos de cursos y talleres.</w:t>
      </w:r>
    </w:p>
    <w:p w14:paraId="52D0D4DE" w14:textId="77777777" w:rsidR="002B512C" w:rsidRPr="00E84311" w:rsidRDefault="002B512C" w:rsidP="00E84311">
      <w:pPr>
        <w:tabs>
          <w:tab w:val="left" w:pos="426"/>
        </w:tabs>
        <w:spacing w:line="360" w:lineRule="auto"/>
        <w:ind w:left="57" w:right="567"/>
        <w:contextualSpacing/>
        <w:jc w:val="both"/>
        <w:rPr>
          <w:rFonts w:ascii="Palatino Linotype" w:hAnsi="Palatino Linotype" w:cs="Arial"/>
          <w:lang w:val="es-ES"/>
        </w:rPr>
      </w:pPr>
    </w:p>
    <w:p w14:paraId="30832DE1" w14:textId="3FCFA45D" w:rsidR="002B512C" w:rsidRPr="00E84311" w:rsidRDefault="002B512C" w:rsidP="00E84311">
      <w:pPr>
        <w:numPr>
          <w:ilvl w:val="0"/>
          <w:numId w:val="1"/>
        </w:numPr>
        <w:tabs>
          <w:tab w:val="left" w:pos="426"/>
        </w:tabs>
        <w:spacing w:line="360" w:lineRule="auto"/>
        <w:ind w:left="57" w:firstLine="0"/>
        <w:contextualSpacing/>
        <w:jc w:val="both"/>
        <w:rPr>
          <w:rFonts w:ascii="Palatino Linotype" w:hAnsi="Palatino Linotype" w:cs="Arial"/>
          <w:lang w:val="es-ES"/>
        </w:rPr>
      </w:pPr>
      <w:r w:rsidRPr="00E84311">
        <w:rPr>
          <w:rFonts w:ascii="Palatino Linotype" w:hAnsi="Palatino Linotype"/>
        </w:rPr>
        <w:t xml:space="preserve">Por otro lado, de la información susceptible de ser entregada en </w:t>
      </w:r>
      <w:r w:rsidRPr="00E84311">
        <w:rPr>
          <w:rFonts w:ascii="Palatino Linotype" w:hAnsi="Palatino Linotype"/>
          <w:b/>
        </w:rPr>
        <w:t>versión pública</w:t>
      </w:r>
      <w:r w:rsidRPr="00E84311">
        <w:rPr>
          <w:rFonts w:ascii="Palatino Linotype" w:hAnsi="Palatino Linotype"/>
        </w:rPr>
        <w:t>, de manera enunciativa más no limitativa se podría enunciar, la solicitud de empleo, cédulas profesionales o documentos que acrediten la experiencia mínima, las constancias de no inhabilitación, y</w:t>
      </w:r>
      <w:r w:rsidRPr="00E84311">
        <w:rPr>
          <w:rFonts w:ascii="Palatino Linotype" w:hAnsi="Palatino Linotype"/>
          <w:iCs/>
        </w:rPr>
        <w:t xml:space="preserve"> currículum vitae</w:t>
      </w:r>
      <w:r w:rsidRPr="00E84311">
        <w:rPr>
          <w:rFonts w:ascii="Palatino Linotype" w:hAnsi="Palatino Linotype"/>
        </w:rPr>
        <w:t>.</w:t>
      </w:r>
    </w:p>
    <w:p w14:paraId="3383D36D" w14:textId="77777777" w:rsidR="002B512C" w:rsidRPr="00E84311" w:rsidRDefault="002B512C" w:rsidP="00E84311">
      <w:pPr>
        <w:tabs>
          <w:tab w:val="left" w:pos="426"/>
        </w:tabs>
        <w:spacing w:line="360" w:lineRule="auto"/>
        <w:ind w:left="57" w:right="567"/>
        <w:contextualSpacing/>
        <w:jc w:val="both"/>
        <w:rPr>
          <w:rFonts w:ascii="Palatino Linotype" w:hAnsi="Palatino Linotype" w:cs="Arial"/>
          <w:lang w:val="es-ES"/>
        </w:rPr>
      </w:pPr>
    </w:p>
    <w:p w14:paraId="6352C966" w14:textId="77777777" w:rsidR="002B512C" w:rsidRPr="00E84311" w:rsidRDefault="002B512C" w:rsidP="00E84311">
      <w:pPr>
        <w:numPr>
          <w:ilvl w:val="0"/>
          <w:numId w:val="1"/>
        </w:numPr>
        <w:tabs>
          <w:tab w:val="left" w:pos="426"/>
        </w:tabs>
        <w:spacing w:line="360" w:lineRule="auto"/>
        <w:ind w:left="57" w:firstLine="0"/>
        <w:contextualSpacing/>
        <w:jc w:val="both"/>
        <w:rPr>
          <w:rFonts w:ascii="Palatino Linotype" w:hAnsi="Palatino Linotype" w:cs="Arial"/>
          <w:lang w:val="es-ES"/>
        </w:rPr>
      </w:pPr>
      <w:r w:rsidRPr="00E84311">
        <w:rPr>
          <w:rFonts w:ascii="Palatino Linotype" w:hAnsi="Palatino Linotype"/>
        </w:rPr>
        <w:t xml:space="preserve">Por último, por cuanto hace a la información que debe ser protegida mediante su clasificación como confidencial </w:t>
      </w:r>
      <w:r w:rsidRPr="00E84311">
        <w:rPr>
          <w:rFonts w:ascii="Palatino Linotype" w:hAnsi="Palatino Linotype"/>
          <w:b/>
        </w:rPr>
        <w:t>en su totalidad</w:t>
      </w:r>
      <w:r w:rsidRPr="00E84311">
        <w:rPr>
          <w:rFonts w:ascii="Palatino Linotype" w:hAnsi="Palatino Linotype"/>
        </w:rPr>
        <w:t xml:space="preserve">, de manera enunciativa más no limitativa, podemos señalar, el acta de nacimiento, </w:t>
      </w:r>
      <w:r w:rsidRPr="00E84311">
        <w:rPr>
          <w:rFonts w:ascii="Palatino Linotype" w:hAnsi="Palatino Linotype"/>
          <w:lang w:val="es-ES"/>
        </w:rPr>
        <w:t>el</w:t>
      </w:r>
      <w:r w:rsidRPr="00E84311">
        <w:rPr>
          <w:rFonts w:ascii="Palatino Linotype" w:hAnsi="Palatino Linotype"/>
        </w:rPr>
        <w:t xml:space="preserve"> certificado de nacionalidad mexicana, el pasaporte, la carta de naturalización, la cédula de identidad ciudadana, la matrícula consular, los certificados médicos, los certificados de deudor o no deudor alimentario moroso, comprobantes domiciliarios, la Cartilla de Identidad del Servicio Militar Nacional liberada, Constancias del Registro Federal de Contribuyentes con homoclave, informe y certificado de no antecedentes penales y Clave Única de Registro de Población (CURP), son documentales que atendiendo a su naturaleza jurídica deben ser clasificados como confidenciales, mismos de los que se ahondará en el Considerando Quinto de la presente resolución.</w:t>
      </w:r>
    </w:p>
    <w:p w14:paraId="1BE14E91" w14:textId="77777777" w:rsidR="00BB7AC7" w:rsidRPr="00E84311" w:rsidRDefault="00BB7AC7" w:rsidP="00E84311">
      <w:pPr>
        <w:tabs>
          <w:tab w:val="left" w:pos="426"/>
        </w:tabs>
        <w:spacing w:line="360" w:lineRule="auto"/>
        <w:ind w:left="57"/>
        <w:contextualSpacing/>
        <w:jc w:val="both"/>
        <w:rPr>
          <w:rFonts w:ascii="Palatino Linotype" w:hAnsi="Palatino Linotype" w:cs="Arial"/>
          <w:sz w:val="10"/>
          <w:lang w:val="es-ES"/>
        </w:rPr>
      </w:pPr>
    </w:p>
    <w:p w14:paraId="777E2A97" w14:textId="77777777" w:rsidR="007E0B3E" w:rsidRPr="00E84311" w:rsidRDefault="007E0B3E" w:rsidP="00E84311">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E84311">
        <w:rPr>
          <w:rFonts w:ascii="Palatino Linotype" w:hAnsi="Palatino Linotype" w:cs="Arial"/>
        </w:rPr>
        <w:t xml:space="preserve">De este modo, al ser expedientes individuales de los servidores públicos que se integran con documentos públicos y documentos privados a partir de la relación laboral, y que los ordenamientos señalados con antelación no establecen como se integran éstos, es menester remitirnos, para mayor claridad en el estudio y sólo a fin de ejemplificar, al </w:t>
      </w:r>
      <w:r w:rsidRPr="00E84311">
        <w:rPr>
          <w:rFonts w:ascii="Palatino Linotype" w:hAnsi="Palatino Linotype" w:cs="Times"/>
          <w:b/>
          <w:bCs/>
          <w:shd w:val="clear" w:color="auto" w:fill="FFFFFF"/>
        </w:rPr>
        <w:t>Manual de Procedimientos para la Integración de los Expedientes de los</w:t>
      </w:r>
      <w:r w:rsidRPr="00E84311">
        <w:rPr>
          <w:rFonts w:ascii="Palatino Linotype" w:hAnsi="Palatino Linotype"/>
          <w:b/>
          <w:bCs/>
        </w:rPr>
        <w:t xml:space="preserve"> </w:t>
      </w:r>
      <w:r w:rsidRPr="00E84311">
        <w:rPr>
          <w:rFonts w:ascii="Palatino Linotype" w:hAnsi="Palatino Linotype" w:cs="Times"/>
          <w:b/>
          <w:bCs/>
          <w:shd w:val="clear" w:color="auto" w:fill="FFFFFF"/>
        </w:rPr>
        <w:t>Servidores Públicos del Tribunal Electoral</w:t>
      </w:r>
      <w:r w:rsidRPr="00E84311">
        <w:rPr>
          <w:rStyle w:val="Refdenotaalpie"/>
          <w:rFonts w:ascii="Palatino Linotype" w:hAnsi="Palatino Linotype" w:cs="Times"/>
          <w:bCs/>
          <w:shd w:val="clear" w:color="auto" w:fill="FFFFFF"/>
        </w:rPr>
        <w:footnoteReference w:id="3"/>
      </w:r>
      <w:r w:rsidRPr="00E84311">
        <w:rPr>
          <w:rFonts w:ascii="Palatino Linotype" w:hAnsi="Palatino Linotype" w:cs="Times"/>
          <w:bCs/>
          <w:shd w:val="clear" w:color="auto" w:fill="FFFFFF"/>
        </w:rPr>
        <w:t>.</w:t>
      </w:r>
    </w:p>
    <w:p w14:paraId="3E34D413" w14:textId="77777777" w:rsidR="007E0B3E" w:rsidRPr="00E84311" w:rsidRDefault="007E0B3E" w:rsidP="00E84311">
      <w:pPr>
        <w:pStyle w:val="Prrafodelista"/>
        <w:spacing w:before="100" w:beforeAutospacing="1" w:after="100" w:afterAutospacing="1" w:line="360" w:lineRule="auto"/>
        <w:ind w:left="0"/>
        <w:jc w:val="both"/>
        <w:rPr>
          <w:rFonts w:ascii="Palatino Linotype" w:hAnsi="Palatino Linotype"/>
        </w:rPr>
      </w:pPr>
    </w:p>
    <w:p w14:paraId="0BB8A211" w14:textId="77777777" w:rsidR="007E0B3E" w:rsidRPr="00E84311" w:rsidRDefault="007E0B3E" w:rsidP="00E84311">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E84311">
        <w:rPr>
          <w:rFonts w:ascii="Palatino Linotype" w:hAnsi="Palatino Linotype" w:cs="Times"/>
          <w:bCs/>
          <w:shd w:val="clear" w:color="auto" w:fill="FFFFFF"/>
        </w:rPr>
        <w:t>Dicho Manual establece que para la integración del expediente de un servidor público invariablemente se deberán comprender dos apartados:</w:t>
      </w:r>
    </w:p>
    <w:p w14:paraId="452E0C64" w14:textId="77777777" w:rsidR="007E0B3E" w:rsidRPr="00E84311" w:rsidRDefault="007E0B3E" w:rsidP="00E84311">
      <w:pPr>
        <w:pStyle w:val="Prrafodelista"/>
        <w:spacing w:before="100" w:beforeAutospacing="1" w:after="100" w:afterAutospacing="1" w:line="360" w:lineRule="auto"/>
        <w:ind w:left="0"/>
        <w:jc w:val="both"/>
        <w:rPr>
          <w:rFonts w:ascii="Palatino Linotype" w:hAnsi="Palatino Linotype"/>
        </w:rPr>
      </w:pPr>
    </w:p>
    <w:p w14:paraId="129E243C" w14:textId="77777777" w:rsidR="007E0B3E" w:rsidRPr="00E84311" w:rsidRDefault="007E0B3E" w:rsidP="00E84311">
      <w:pPr>
        <w:pStyle w:val="Prrafodelista"/>
        <w:numPr>
          <w:ilvl w:val="0"/>
          <w:numId w:val="32"/>
        </w:numPr>
        <w:spacing w:before="100" w:beforeAutospacing="1" w:after="100" w:afterAutospacing="1" w:line="360" w:lineRule="auto"/>
        <w:contextualSpacing w:val="0"/>
        <w:jc w:val="both"/>
        <w:rPr>
          <w:rFonts w:ascii="Palatino Linotype" w:hAnsi="Palatino Linotype" w:cs="Arial"/>
        </w:rPr>
      </w:pPr>
      <w:r w:rsidRPr="00E84311">
        <w:rPr>
          <w:rFonts w:ascii="Palatino Linotype" w:hAnsi="Palatino Linotype" w:cs="Times"/>
          <w:bCs/>
          <w:shd w:val="clear" w:color="auto" w:fill="FFFFFF"/>
        </w:rPr>
        <w:t xml:space="preserve">Primer apartado: se denominara como </w:t>
      </w:r>
      <w:r w:rsidRPr="00E84311">
        <w:rPr>
          <w:rFonts w:ascii="Palatino Linotype" w:hAnsi="Palatino Linotype" w:cs="Times"/>
          <w:bCs/>
          <w:i/>
          <w:shd w:val="clear" w:color="auto" w:fill="FFFFFF"/>
        </w:rPr>
        <w:t>Personal</w:t>
      </w:r>
      <w:r w:rsidRPr="00E84311">
        <w:rPr>
          <w:rFonts w:ascii="Palatino Linotype" w:hAnsi="Palatino Linotype" w:cs="Times"/>
          <w:bCs/>
          <w:shd w:val="clear" w:color="auto" w:fill="FFFFFF"/>
        </w:rPr>
        <w:t>; se integra con la documentación personal que entregue el servidor público al ingresar al servicio público.</w:t>
      </w:r>
    </w:p>
    <w:p w14:paraId="57E0C559" w14:textId="77777777" w:rsidR="007E0B3E" w:rsidRPr="00E84311" w:rsidRDefault="007E0B3E" w:rsidP="00E84311">
      <w:pPr>
        <w:pStyle w:val="Prrafodelista"/>
        <w:numPr>
          <w:ilvl w:val="0"/>
          <w:numId w:val="32"/>
        </w:numPr>
        <w:spacing w:before="100" w:beforeAutospacing="1" w:after="100" w:afterAutospacing="1" w:line="360" w:lineRule="auto"/>
        <w:contextualSpacing w:val="0"/>
        <w:jc w:val="both"/>
        <w:rPr>
          <w:rFonts w:ascii="Palatino Linotype" w:hAnsi="Palatino Linotype" w:cs="Times"/>
          <w:bCs/>
          <w:shd w:val="clear" w:color="auto" w:fill="FFFFFF"/>
        </w:rPr>
      </w:pPr>
      <w:r w:rsidRPr="00E84311">
        <w:rPr>
          <w:rFonts w:ascii="Palatino Linotype" w:hAnsi="Palatino Linotype" w:cs="Times"/>
          <w:bCs/>
          <w:shd w:val="clear" w:color="auto" w:fill="FFFFFF"/>
        </w:rPr>
        <w:t xml:space="preserve">Segundo apartado: denominado </w:t>
      </w:r>
      <w:r w:rsidRPr="00E84311">
        <w:rPr>
          <w:rFonts w:ascii="Palatino Linotype" w:hAnsi="Palatino Linotype" w:cs="Times"/>
          <w:bCs/>
          <w:i/>
          <w:shd w:val="clear" w:color="auto" w:fill="FFFFFF"/>
        </w:rPr>
        <w:t>Laboral</w:t>
      </w:r>
      <w:r w:rsidRPr="00E84311">
        <w:rPr>
          <w:rFonts w:ascii="Palatino Linotype" w:hAnsi="Palatino Linotype" w:cs="Times"/>
          <w:bCs/>
          <w:shd w:val="clear" w:color="auto" w:fill="FFFFFF"/>
        </w:rPr>
        <w:t>; se integrara con los documentos generados por la relación laboral del servidor público y el tribunal, o en este caso la dependencia a la cual presta sus servicios.</w:t>
      </w:r>
    </w:p>
    <w:p w14:paraId="64FFBFF8" w14:textId="77777777" w:rsidR="007E0B3E" w:rsidRPr="00E84311" w:rsidRDefault="007E0B3E" w:rsidP="00E84311">
      <w:pPr>
        <w:pStyle w:val="Prrafodelista"/>
        <w:numPr>
          <w:ilvl w:val="0"/>
          <w:numId w:val="1"/>
        </w:numPr>
        <w:spacing w:line="360" w:lineRule="auto"/>
        <w:ind w:left="0" w:firstLine="0"/>
        <w:contextualSpacing w:val="0"/>
        <w:jc w:val="both"/>
        <w:rPr>
          <w:rFonts w:ascii="Palatino Linotype" w:hAnsi="Palatino Linotype" w:cs="Arial"/>
        </w:rPr>
      </w:pPr>
      <w:r w:rsidRPr="00E84311">
        <w:rPr>
          <w:rFonts w:ascii="Palatino Linotype" w:hAnsi="Palatino Linotype" w:cs="Arial"/>
        </w:rPr>
        <w:t>Ahora bien, del análisis a las documentales que integran dichos apartados en un expediente de personal, se destaca que en ambos se incluyen documentales personales, que solo son del interés del servidor público y que su difusión o apertura, no contribuiría a la transparencia ni a la rendición de cuentas, por lo que en el presente asunto no resulta justificada la publicidad de éstos.</w:t>
      </w:r>
    </w:p>
    <w:p w14:paraId="6980D869" w14:textId="77777777" w:rsidR="007E0B3E" w:rsidRPr="00E84311" w:rsidRDefault="007E0B3E" w:rsidP="00E84311">
      <w:pPr>
        <w:pStyle w:val="Prrafodelista"/>
        <w:spacing w:line="360" w:lineRule="auto"/>
        <w:ind w:left="0"/>
        <w:contextualSpacing w:val="0"/>
        <w:jc w:val="both"/>
        <w:rPr>
          <w:rFonts w:ascii="Palatino Linotype" w:hAnsi="Palatino Linotype" w:cs="Arial"/>
        </w:rPr>
      </w:pPr>
    </w:p>
    <w:p w14:paraId="30955E37" w14:textId="510C45F1" w:rsidR="007E0B3E" w:rsidRPr="00E84311" w:rsidRDefault="007E0B3E" w:rsidP="00E84311">
      <w:pPr>
        <w:pStyle w:val="Prrafodelista"/>
        <w:numPr>
          <w:ilvl w:val="0"/>
          <w:numId w:val="1"/>
        </w:numPr>
        <w:spacing w:line="360" w:lineRule="auto"/>
        <w:ind w:left="0" w:firstLine="0"/>
        <w:contextualSpacing w:val="0"/>
        <w:jc w:val="both"/>
        <w:rPr>
          <w:rFonts w:ascii="Palatino Linotype" w:hAnsi="Palatino Linotype" w:cs="Arial"/>
        </w:rPr>
      </w:pPr>
      <w:r w:rsidRPr="00E84311">
        <w:rPr>
          <w:rFonts w:ascii="Palatino Linotype" w:eastAsiaTheme="minorHAnsi" w:hAnsi="Palatino Linotype"/>
          <w:lang w:eastAsia="en-US"/>
        </w:rPr>
        <w:t xml:space="preserve">En virtud de lo anterior, el </w:t>
      </w:r>
      <w:r w:rsidRPr="00E84311">
        <w:rPr>
          <w:rFonts w:ascii="Palatino Linotype" w:eastAsiaTheme="minorHAnsi" w:hAnsi="Palatino Linotype"/>
          <w:b/>
          <w:lang w:eastAsia="en-US"/>
        </w:rPr>
        <w:t>SUJETO OBLIGADO</w:t>
      </w:r>
      <w:r w:rsidRPr="00E84311">
        <w:rPr>
          <w:rFonts w:ascii="Palatino Linotype" w:eastAsiaTheme="minorHAnsi" w:hAnsi="Palatino Linotype"/>
          <w:lang w:eastAsia="en-US"/>
        </w:rPr>
        <w:t xml:space="preserve"> deberá emitir</w:t>
      </w:r>
      <w:r w:rsidRPr="00E84311">
        <w:rPr>
          <w:rFonts w:ascii="Palatino Linotype" w:hAnsi="Palatino Linotype" w:cs="Arial"/>
        </w:rPr>
        <w:t xml:space="preserve"> necesariamente el Acuerdo del Comité de Transparencia que clasifique como confidencial la información privada que integren los expedientes laborales, en el que se expongan los fundamentos y razonamientos que llevaron al Sujeto Obligado a determinar dicha clasificación.</w:t>
      </w:r>
    </w:p>
    <w:p w14:paraId="6D4C41B7" w14:textId="77777777" w:rsidR="007E0B3E" w:rsidRPr="00E84311" w:rsidRDefault="007E0B3E" w:rsidP="00E84311">
      <w:pPr>
        <w:pStyle w:val="Prrafodelista"/>
        <w:spacing w:before="100" w:beforeAutospacing="1" w:after="100" w:afterAutospacing="1" w:line="360" w:lineRule="auto"/>
        <w:ind w:left="0"/>
        <w:jc w:val="both"/>
        <w:rPr>
          <w:rFonts w:ascii="Palatino Linotype" w:hAnsi="Palatino Linotype" w:cs="Arial"/>
        </w:rPr>
      </w:pPr>
    </w:p>
    <w:p w14:paraId="2181EC3D" w14:textId="77777777" w:rsidR="007E0B3E" w:rsidRPr="00E84311" w:rsidRDefault="007E0B3E" w:rsidP="00E84311">
      <w:pPr>
        <w:pStyle w:val="Prrafodelista"/>
        <w:numPr>
          <w:ilvl w:val="0"/>
          <w:numId w:val="1"/>
        </w:numPr>
        <w:spacing w:before="100" w:beforeAutospacing="1" w:after="100" w:afterAutospacing="1" w:line="360" w:lineRule="auto"/>
        <w:ind w:left="0" w:firstLine="0"/>
        <w:contextualSpacing w:val="0"/>
        <w:jc w:val="both"/>
        <w:rPr>
          <w:rFonts w:ascii="Palatino Linotype" w:hAnsi="Palatino Linotype" w:cs="Arial"/>
        </w:rPr>
      </w:pPr>
      <w:r w:rsidRPr="00E84311">
        <w:rPr>
          <w:rFonts w:ascii="Palatino Linotype" w:eastAsia="Times New Roman" w:hAnsi="Palatino Linotype" w:cs="Arial"/>
          <w:bCs/>
          <w:lang w:eastAsia="es-MX"/>
        </w:rPr>
        <w:t>Para robustecer lo anterior, es de considerar el Criterio 15/2006</w:t>
      </w:r>
      <w:r w:rsidRPr="00E84311">
        <w:rPr>
          <w:rFonts w:ascii="Palatino Linotype" w:eastAsia="Times New Roman" w:hAnsi="Palatino Linotype" w:cs="Arial"/>
          <w:b/>
          <w:bCs/>
          <w:lang w:eastAsia="es-MX"/>
        </w:rPr>
        <w:t xml:space="preserve"> </w:t>
      </w:r>
      <w:r w:rsidRPr="00E84311">
        <w:rPr>
          <w:rFonts w:ascii="Palatino Linotype" w:eastAsia="Times New Roman" w:hAnsi="Palatino Linotype" w:cs="Arial"/>
          <w:bCs/>
          <w:lang w:eastAsia="es-MX"/>
        </w:rPr>
        <w:t>emitido por el Comité de Acceso a la Información y Protección de Datos Personales de la Suprema Corte de Justicia de la Nación que dispone lo siguiente:</w:t>
      </w:r>
    </w:p>
    <w:p w14:paraId="1050A339" w14:textId="77777777" w:rsidR="007E0B3E" w:rsidRPr="00E84311" w:rsidRDefault="007E0B3E" w:rsidP="00E84311">
      <w:pPr>
        <w:autoSpaceDE w:val="0"/>
        <w:autoSpaceDN w:val="0"/>
        <w:adjustRightInd w:val="0"/>
        <w:spacing w:before="100" w:beforeAutospacing="1" w:after="100" w:afterAutospacing="1" w:line="360" w:lineRule="auto"/>
        <w:ind w:left="567" w:right="567"/>
        <w:jc w:val="both"/>
        <w:rPr>
          <w:rFonts w:ascii="Palatino Linotype" w:eastAsia="Times New Roman" w:hAnsi="Palatino Linotype" w:cs="Arial"/>
          <w:bCs/>
          <w:i/>
          <w:lang w:eastAsia="es-MX"/>
        </w:rPr>
      </w:pPr>
      <w:r w:rsidRPr="00E84311">
        <w:rPr>
          <w:rFonts w:ascii="Palatino Linotype" w:eastAsia="Times New Roman" w:hAnsi="Palatino Linotype" w:cs="Arial"/>
          <w:b/>
          <w:bCs/>
          <w:i/>
          <w:lang w:eastAsia="es-MX"/>
        </w:rPr>
        <w:t xml:space="preserve">“Criterio 15/2006. EXPEDIENTES LABORALES ADMINISTRATIVOS DE LOS SERVIDORES PÚBLICOS DE LA SUPREMA CORTE DE JUSTICIA DE LA NACIÓN. ES PÚBLICA LA INFORMACIÓN QUE EN ELLOS SE CONTIENE, SALVO LOS DATOS PERSONALES. </w:t>
      </w:r>
      <w:r w:rsidRPr="00E84311">
        <w:rPr>
          <w:rFonts w:ascii="Palatino Linotype" w:eastAsia="Times New Roman" w:hAnsi="Palatino Linotype" w:cs="Arial"/>
          <w:bCs/>
          <w:i/>
          <w:lang w:eastAsia="es-MX"/>
        </w:rPr>
        <w:t>La información que se contiene en los expedientes</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laborales administrativos de los servidores públicos de este</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Alto Tribunal es pública, específicamente, la inherente a sus</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percepciones, el ejercicio del cargo, a la identificación de la</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plaza y sus funciones, los datos relevantes sobre el perfil profesional</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del servidor público y, en su caso, sobre su desempeño,</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en tanto establecen el marco de referencia laboral</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administrativo. A diferencia de lo que sucede con los datos</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personales que en dichos expedientes se contengan, pues</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debe tenerse en cuenta que una de las excepciones al principio</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de publicidad de la información la constituyen los datos</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de tal naturaleza que requieran del consentimiento de los</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individuos para su difusión, distribución o comercialización</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en los términos de los artículos 3°, fracción II, y 18, fracción II,</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de la Ley Federal de Transparencia y Acceso a la Información</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Pública Gubernamental. Para ello es necesario considerar</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que constituyen datos personales toda aquella información</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concerniente a una persona física identificada o identificable,</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relacionada con cualquier aspecto que afecte su intimidad, y</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tendrán el carácter de información confidencial, cuando en</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términos de lo previsto en la Ley Federal invocada, su difusión,</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distribución o comercialización requiera el consentimiento</w:t>
      </w:r>
      <w:r w:rsidRPr="00E84311">
        <w:rPr>
          <w:rFonts w:ascii="Palatino Linotype" w:eastAsia="Times New Roman" w:hAnsi="Palatino Linotype" w:cs="Arial"/>
          <w:b/>
          <w:bCs/>
          <w:i/>
          <w:lang w:eastAsia="es-MX"/>
        </w:rPr>
        <w:t xml:space="preserve"> </w:t>
      </w:r>
      <w:r w:rsidRPr="00E84311">
        <w:rPr>
          <w:rFonts w:ascii="Palatino Linotype" w:eastAsia="Times New Roman" w:hAnsi="Palatino Linotype" w:cs="Arial"/>
          <w:bCs/>
          <w:i/>
          <w:lang w:eastAsia="es-MX"/>
        </w:rPr>
        <w:t>de los individuos a los que pertenezcan.” (Sic)</w:t>
      </w:r>
    </w:p>
    <w:p w14:paraId="00FD0B7B" w14:textId="77777777" w:rsidR="00BB7AC7" w:rsidRPr="00E84311" w:rsidRDefault="00BB7AC7" w:rsidP="00E84311">
      <w:pPr>
        <w:pStyle w:val="Prrafodelista"/>
        <w:spacing w:before="100" w:beforeAutospacing="1" w:after="100" w:afterAutospacing="1" w:line="360" w:lineRule="auto"/>
        <w:ind w:left="0"/>
        <w:jc w:val="both"/>
        <w:rPr>
          <w:rFonts w:ascii="Palatino Linotype" w:hAnsi="Palatino Linotype" w:cs="Arial"/>
        </w:rPr>
      </w:pPr>
    </w:p>
    <w:p w14:paraId="6A4D6F5D" w14:textId="45E9213A" w:rsidR="00BB7AC7" w:rsidRPr="00E84311" w:rsidRDefault="00BB7AC7" w:rsidP="00E84311">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E84311">
        <w:rPr>
          <w:rFonts w:ascii="Palatino Linotype" w:hAnsi="Palatino Linotype"/>
        </w:rPr>
        <w:t xml:space="preserve">Finalmente cabe señalar que la información correspondiente a </w:t>
      </w:r>
      <w:r w:rsidRPr="00E84311">
        <w:rPr>
          <w:rFonts w:ascii="Palatino Linotype" w:hAnsi="Palatino Linotype" w:cs="Arial"/>
        </w:rPr>
        <w:t xml:space="preserve">los servidores públicos que realicen </w:t>
      </w:r>
      <w:r w:rsidRPr="00E84311">
        <w:rPr>
          <w:rFonts w:ascii="Palatino Linotype" w:hAnsi="Palatino Linotype"/>
        </w:rPr>
        <w:t>funciones operativas en materia de seguridad pública serán entregados en forma disociada.</w:t>
      </w:r>
    </w:p>
    <w:p w14:paraId="37B6270A" w14:textId="77777777" w:rsidR="00BB7AC7" w:rsidRPr="00E84311" w:rsidRDefault="00BB7AC7" w:rsidP="00E84311">
      <w:pPr>
        <w:pStyle w:val="Prrafodelista"/>
        <w:pBdr>
          <w:top w:val="nil"/>
          <w:left w:val="nil"/>
          <w:bottom w:val="nil"/>
          <w:right w:val="nil"/>
          <w:between w:val="nil"/>
          <w:bar w:val="nil"/>
        </w:pBdr>
        <w:tabs>
          <w:tab w:val="left" w:pos="426"/>
        </w:tabs>
        <w:spacing w:line="360" w:lineRule="auto"/>
        <w:ind w:left="0"/>
        <w:jc w:val="both"/>
        <w:rPr>
          <w:rFonts w:ascii="Palatino Linotype" w:hAnsi="Palatino Linotype"/>
        </w:rPr>
      </w:pPr>
    </w:p>
    <w:p w14:paraId="620485D2" w14:textId="77777777" w:rsidR="00BB7AC7" w:rsidRPr="00E84311" w:rsidRDefault="00BB7AC7" w:rsidP="00E84311">
      <w:pPr>
        <w:pStyle w:val="Prrafodelista"/>
        <w:numPr>
          <w:ilvl w:val="0"/>
          <w:numId w:val="1"/>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E84311">
        <w:rPr>
          <w:rFonts w:ascii="Palatino Linotype" w:hAnsi="Palatino Linotype" w:cs="Arial"/>
        </w:rPr>
        <w:t xml:space="preserve">En esa virtud </w:t>
      </w:r>
      <w:r w:rsidRPr="00E84311">
        <w:rPr>
          <w:rFonts w:ascii="Palatino Linotype" w:hAnsi="Palatino Linotype"/>
        </w:rPr>
        <w:t xml:space="preserve">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E84311">
        <w:rPr>
          <w:rFonts w:ascii="Palatino Linotype" w:hAnsi="Palatino Linotype"/>
          <w:b/>
        </w:rPr>
        <w:t>Ley de Protección de Datos Personales en Posesión de Sujetos Obligados  del Estado de México y Municipios</w:t>
      </w:r>
      <w:r w:rsidRPr="00E84311">
        <w:rPr>
          <w:rFonts w:ascii="Palatino Linotype" w:hAnsi="Palatino Linotype"/>
        </w:rPr>
        <w:t>, que refiere:</w:t>
      </w:r>
    </w:p>
    <w:p w14:paraId="628EA54D" w14:textId="77777777" w:rsidR="00BB7AC7" w:rsidRPr="00E84311" w:rsidRDefault="00BB7AC7" w:rsidP="00E84311">
      <w:pPr>
        <w:spacing w:line="360" w:lineRule="auto"/>
        <w:ind w:right="616"/>
        <w:jc w:val="both"/>
        <w:rPr>
          <w:rFonts w:ascii="Palatino Linotype" w:hAnsi="Palatino Linotype"/>
          <w:i/>
        </w:rPr>
      </w:pPr>
    </w:p>
    <w:p w14:paraId="156856EA" w14:textId="77777777" w:rsidR="00BB7AC7" w:rsidRPr="00E84311" w:rsidRDefault="00BB7AC7" w:rsidP="00E84311">
      <w:pPr>
        <w:pStyle w:val="Prrafodelista"/>
        <w:tabs>
          <w:tab w:val="left" w:pos="7938"/>
        </w:tabs>
        <w:spacing w:line="360" w:lineRule="auto"/>
        <w:ind w:left="567" w:right="616"/>
        <w:jc w:val="both"/>
        <w:rPr>
          <w:rFonts w:ascii="Palatino Linotype" w:hAnsi="Palatino Linotype"/>
          <w:i/>
        </w:rPr>
      </w:pPr>
      <w:r w:rsidRPr="00E84311">
        <w:rPr>
          <w:rFonts w:ascii="Palatino Linotype" w:hAnsi="Palatino Linotype"/>
          <w:i/>
        </w:rPr>
        <w:t>“</w:t>
      </w:r>
      <w:r w:rsidRPr="00E84311">
        <w:rPr>
          <w:rFonts w:ascii="Palatino Linotype" w:hAnsi="Palatino Linotype"/>
          <w:b/>
          <w:i/>
        </w:rPr>
        <w:t>Artículo 4</w:t>
      </w:r>
      <w:r w:rsidRPr="00E84311">
        <w:rPr>
          <w:rFonts w:ascii="Palatino Linotype" w:hAnsi="Palatino Linotype"/>
          <w:i/>
        </w:rPr>
        <w:t>.- Para los efectos de esta Ley se entenderá por:</w:t>
      </w:r>
    </w:p>
    <w:p w14:paraId="5EDAFD9D" w14:textId="77777777" w:rsidR="00BB7AC7" w:rsidRPr="00E84311" w:rsidRDefault="00BB7AC7" w:rsidP="00E84311">
      <w:pPr>
        <w:pStyle w:val="Prrafodelista"/>
        <w:tabs>
          <w:tab w:val="left" w:pos="7938"/>
        </w:tabs>
        <w:spacing w:line="360" w:lineRule="auto"/>
        <w:ind w:left="567" w:right="616"/>
        <w:jc w:val="both"/>
        <w:rPr>
          <w:rFonts w:ascii="Palatino Linotype" w:hAnsi="Palatino Linotype"/>
          <w:i/>
        </w:rPr>
      </w:pPr>
      <w:r w:rsidRPr="00E84311">
        <w:rPr>
          <w:rFonts w:ascii="Palatino Linotype" w:hAnsi="Palatino Linotype"/>
          <w:i/>
        </w:rPr>
        <w:t>(…)</w:t>
      </w:r>
    </w:p>
    <w:p w14:paraId="12404921" w14:textId="77777777" w:rsidR="00BB7AC7" w:rsidRPr="00E84311" w:rsidRDefault="00BB7AC7" w:rsidP="00E84311">
      <w:pPr>
        <w:pStyle w:val="Prrafodelista"/>
        <w:tabs>
          <w:tab w:val="left" w:pos="7938"/>
        </w:tabs>
        <w:spacing w:line="360" w:lineRule="auto"/>
        <w:ind w:left="567" w:right="616"/>
        <w:jc w:val="both"/>
        <w:rPr>
          <w:rFonts w:ascii="Palatino Linotype" w:hAnsi="Palatino Linotype"/>
          <w:i/>
        </w:rPr>
      </w:pPr>
      <w:r w:rsidRPr="00E84311">
        <w:rPr>
          <w:rFonts w:ascii="Palatino Linotype" w:hAnsi="Palatino Linotype"/>
          <w:b/>
          <w:i/>
        </w:rPr>
        <w:t>XVI. Disociación</w:t>
      </w:r>
      <w:r w:rsidRPr="00E84311">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47422957" w14:textId="77777777" w:rsidR="00BB7AC7" w:rsidRPr="00E84311" w:rsidRDefault="00BB7AC7" w:rsidP="00E84311">
      <w:pPr>
        <w:pStyle w:val="Prrafodelista"/>
        <w:tabs>
          <w:tab w:val="left" w:pos="7938"/>
        </w:tabs>
        <w:spacing w:line="360" w:lineRule="auto"/>
        <w:ind w:left="567" w:right="616"/>
        <w:jc w:val="both"/>
        <w:rPr>
          <w:rFonts w:ascii="Palatino Linotype" w:hAnsi="Palatino Linotype"/>
          <w:i/>
        </w:rPr>
      </w:pPr>
      <w:r w:rsidRPr="00E84311">
        <w:rPr>
          <w:rFonts w:ascii="Palatino Linotype" w:hAnsi="Palatino Linotype"/>
          <w:i/>
        </w:rPr>
        <w:t>(…)”</w:t>
      </w:r>
    </w:p>
    <w:p w14:paraId="5038CAD7" w14:textId="77777777" w:rsidR="00BB7AC7" w:rsidRPr="00E84311" w:rsidRDefault="00BB7AC7" w:rsidP="00E84311">
      <w:pPr>
        <w:pStyle w:val="Prrafodelista"/>
        <w:tabs>
          <w:tab w:val="left" w:pos="7938"/>
        </w:tabs>
        <w:spacing w:line="360" w:lineRule="auto"/>
        <w:ind w:left="567" w:right="616"/>
        <w:jc w:val="both"/>
        <w:rPr>
          <w:rFonts w:ascii="Palatino Linotype" w:hAnsi="Palatino Linotype"/>
        </w:rPr>
      </w:pPr>
      <w:r w:rsidRPr="00E84311">
        <w:rPr>
          <w:rFonts w:ascii="Palatino Linotype" w:hAnsi="Palatino Linotype"/>
        </w:rPr>
        <w:t>(Énfasis añadido)</w:t>
      </w:r>
    </w:p>
    <w:p w14:paraId="2DCA8AF3" w14:textId="77777777" w:rsidR="00BB7AC7" w:rsidRPr="00E84311" w:rsidRDefault="00BB7AC7" w:rsidP="00E84311">
      <w:pPr>
        <w:pStyle w:val="Prrafodelista"/>
        <w:tabs>
          <w:tab w:val="left" w:pos="426"/>
        </w:tabs>
        <w:spacing w:before="240" w:after="240" w:line="360" w:lineRule="auto"/>
        <w:ind w:left="0" w:right="49"/>
        <w:jc w:val="both"/>
        <w:rPr>
          <w:rFonts w:ascii="Palatino Linotype" w:eastAsiaTheme="minorHAnsi" w:hAnsi="Palatino Linotype"/>
        </w:rPr>
      </w:pPr>
    </w:p>
    <w:p w14:paraId="4E4154E2" w14:textId="77777777" w:rsidR="00BB7AC7" w:rsidRPr="00E84311" w:rsidRDefault="00BB7AC7" w:rsidP="00E84311">
      <w:pPr>
        <w:pStyle w:val="Prrafodelista"/>
        <w:numPr>
          <w:ilvl w:val="0"/>
          <w:numId w:val="1"/>
        </w:numPr>
        <w:tabs>
          <w:tab w:val="left" w:pos="426"/>
        </w:tabs>
        <w:spacing w:after="240" w:line="360" w:lineRule="auto"/>
        <w:ind w:left="0" w:right="49" w:firstLine="0"/>
        <w:jc w:val="both"/>
        <w:rPr>
          <w:rFonts w:ascii="Palatino Linotype" w:eastAsiaTheme="minorHAnsi" w:hAnsi="Palatino Linotype"/>
        </w:rPr>
      </w:pPr>
      <w:r w:rsidRPr="00E84311">
        <w:rPr>
          <w:rFonts w:ascii="Palatino Linotype" w:hAnsi="Palatino Linotype" w:cs="Arial"/>
        </w:rPr>
        <w:t xml:space="preserve">En atención a lo anterior expuesto-se insiste- es dable ordenar la información correspondiente a los </w:t>
      </w:r>
      <w:r w:rsidRPr="00E84311">
        <w:rPr>
          <w:rFonts w:ascii="Palatino Linotype" w:hAnsi="Palatino Linotype"/>
        </w:rPr>
        <w:t>servidores públicos dedicados a realizar funciones operativas en materia de seguridad pública</w:t>
      </w:r>
      <w:r w:rsidRPr="00E84311">
        <w:rPr>
          <w:rFonts w:ascii="Palatino Linotype" w:hAnsi="Palatino Linotype" w:cs="Arial"/>
        </w:rPr>
        <w:t xml:space="preserve"> con los datos disociados, por ejemplo, elaborar </w:t>
      </w:r>
      <w:r w:rsidRPr="00E84311">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14:paraId="2B6564B7" w14:textId="77777777" w:rsidR="00D45183" w:rsidRPr="00E84311" w:rsidRDefault="00D45183" w:rsidP="00E84311">
      <w:pPr>
        <w:pStyle w:val="Prrafodelista"/>
        <w:tabs>
          <w:tab w:val="left" w:pos="426"/>
        </w:tabs>
        <w:spacing w:before="240" w:after="240" w:line="360" w:lineRule="auto"/>
        <w:ind w:left="0" w:right="49"/>
        <w:jc w:val="both"/>
        <w:rPr>
          <w:rFonts w:ascii="Palatino Linotype" w:eastAsiaTheme="minorHAnsi" w:hAnsi="Palatino Linotype"/>
        </w:rPr>
      </w:pPr>
    </w:p>
    <w:p w14:paraId="2F49C7E1" w14:textId="74E708B3" w:rsidR="00F92A8F" w:rsidRDefault="00D45183" w:rsidP="00E84311">
      <w:pPr>
        <w:pStyle w:val="Prrafodelista"/>
        <w:numPr>
          <w:ilvl w:val="0"/>
          <w:numId w:val="1"/>
        </w:numPr>
        <w:shd w:val="clear" w:color="auto" w:fill="FFFFFF"/>
        <w:spacing w:before="240" w:line="360" w:lineRule="auto"/>
        <w:ind w:left="0" w:firstLine="0"/>
        <w:jc w:val="both"/>
        <w:rPr>
          <w:rFonts w:ascii="Palatino Linotype" w:eastAsia="Times New Roman" w:hAnsi="Palatino Linotype" w:cs="Arial"/>
          <w:color w:val="000000" w:themeColor="text1"/>
          <w:lang w:eastAsia="es-MX"/>
        </w:rPr>
      </w:pPr>
      <w:r w:rsidRPr="00E84311">
        <w:rPr>
          <w:rFonts w:ascii="Palatino Linotype" w:hAnsi="Palatino Linotype"/>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w:t>
      </w:r>
      <w:r w:rsidRPr="00E84311">
        <w:rPr>
          <w:rFonts w:ascii="Palatino Linotype" w:hAnsi="Palatino Linotype"/>
          <w:b/>
          <w:u w:val="single"/>
        </w:rPr>
        <w:t>versiones públicas</w:t>
      </w:r>
      <w:r w:rsidRPr="00E84311">
        <w:rPr>
          <w:rFonts w:ascii="Palatino Linotype" w:hAnsi="Palatino Linotype"/>
        </w:rPr>
        <w:t>, de manera previa a su entrega al solicitante, de lo contrario los servidores públicos involucrados incurrirán en responsabilidad.</w:t>
      </w:r>
    </w:p>
    <w:p w14:paraId="5E45C39F" w14:textId="77777777" w:rsidR="00E84311" w:rsidRPr="00E84311" w:rsidRDefault="00E84311" w:rsidP="00E84311">
      <w:pPr>
        <w:pStyle w:val="Prrafodelista"/>
        <w:shd w:val="clear" w:color="auto" w:fill="FFFFFF"/>
        <w:spacing w:before="240" w:line="360" w:lineRule="auto"/>
        <w:ind w:left="0"/>
        <w:jc w:val="both"/>
        <w:rPr>
          <w:rFonts w:ascii="Palatino Linotype" w:eastAsia="Times New Roman" w:hAnsi="Palatino Linotype" w:cs="Arial"/>
          <w:color w:val="000000" w:themeColor="text1"/>
          <w:lang w:eastAsia="es-MX"/>
        </w:rPr>
      </w:pPr>
    </w:p>
    <w:p w14:paraId="27F49192" w14:textId="77777777" w:rsidR="00F92A8F" w:rsidRPr="00E84311" w:rsidRDefault="00F92A8F" w:rsidP="00E84311">
      <w:pPr>
        <w:pStyle w:val="Ttulo2"/>
        <w:spacing w:after="240" w:line="360" w:lineRule="auto"/>
        <w:rPr>
          <w:szCs w:val="24"/>
        </w:rPr>
      </w:pPr>
      <w:bookmarkStart w:id="85" w:name="_Toc505889811"/>
      <w:bookmarkStart w:id="86" w:name="_Toc507070726"/>
      <w:bookmarkStart w:id="87" w:name="_Toc16192802"/>
      <w:bookmarkStart w:id="88" w:name="_Toc19802662"/>
      <w:bookmarkStart w:id="89" w:name="_Toc21600973"/>
      <w:bookmarkStart w:id="90" w:name="_Toc21626010"/>
      <w:r w:rsidRPr="00E84311">
        <w:rPr>
          <w:szCs w:val="24"/>
        </w:rPr>
        <w:t>QUINTO. De la versión pública.</w:t>
      </w:r>
      <w:bookmarkEnd w:id="85"/>
      <w:bookmarkEnd w:id="86"/>
      <w:bookmarkEnd w:id="87"/>
      <w:bookmarkEnd w:id="88"/>
      <w:bookmarkEnd w:id="89"/>
      <w:bookmarkEnd w:id="90"/>
    </w:p>
    <w:p w14:paraId="6C81585E" w14:textId="77777777" w:rsidR="00F92A8F" w:rsidRPr="00E84311" w:rsidRDefault="00F92A8F" w:rsidP="00E84311">
      <w:pPr>
        <w:spacing w:line="360" w:lineRule="auto"/>
        <w:ind w:right="49"/>
        <w:jc w:val="both"/>
        <w:rPr>
          <w:rFonts w:ascii="Palatino Linotype" w:hAnsi="Palatino Linotype"/>
        </w:rPr>
      </w:pPr>
    </w:p>
    <w:p w14:paraId="4C0F9A3E" w14:textId="7B24F204" w:rsidR="00F92A8F" w:rsidRPr="00E84311" w:rsidRDefault="00F92A8F" w:rsidP="00E84311">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E84311">
        <w:rPr>
          <w:rFonts w:ascii="Palatino Linotype" w:hAnsi="Palatino Linotype" w:cs="Arial"/>
          <w:color w:val="000000" w:themeColor="text1"/>
        </w:rPr>
        <w:t xml:space="preserve">También debe destacarse que debido a la naturaleza de </w:t>
      </w:r>
      <w:r w:rsidRPr="00E84311">
        <w:rPr>
          <w:rFonts w:ascii="Palatino Linotype" w:hAnsi="Palatino Linotype"/>
          <w:color w:val="000000" w:themeColor="text1"/>
        </w:rPr>
        <w:t>la información que se ordenará entregar</w:t>
      </w:r>
      <w:r w:rsidRPr="00E84311">
        <w:rPr>
          <w:rFonts w:ascii="Palatino Linotype" w:hAnsi="Palatino Linotype" w:cs="Arial"/>
          <w:color w:val="000000" w:themeColor="text1"/>
        </w:rPr>
        <w:t xml:space="preserve"> 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E84311">
        <w:rPr>
          <w:rFonts w:ascii="Palatino Linotype" w:eastAsia="Times New Roman" w:hAnsi="Palatino Linotype" w:cs="Times New Roman"/>
          <w:color w:val="000000" w:themeColor="text1"/>
          <w:lang w:val="es-ES"/>
        </w:rPr>
        <w:t>la información solicitada se deberá entregar en versión pública.</w:t>
      </w:r>
    </w:p>
    <w:p w14:paraId="0D9D10E5" w14:textId="77777777" w:rsidR="00F92A8F" w:rsidRPr="00E84311" w:rsidRDefault="00F92A8F" w:rsidP="00E84311">
      <w:pPr>
        <w:pStyle w:val="Ttulo1"/>
        <w:numPr>
          <w:ilvl w:val="0"/>
          <w:numId w:val="37"/>
        </w:numPr>
        <w:pBdr>
          <w:top w:val="nil"/>
          <w:left w:val="nil"/>
          <w:bottom w:val="nil"/>
          <w:right w:val="nil"/>
          <w:between w:val="nil"/>
          <w:bar w:val="nil"/>
        </w:pBdr>
        <w:spacing w:line="360" w:lineRule="auto"/>
        <w:ind w:left="0" w:firstLine="0"/>
        <w:rPr>
          <w:b w:val="0"/>
          <w:szCs w:val="24"/>
        </w:rPr>
      </w:pPr>
      <w:bookmarkStart w:id="91" w:name="_Toc485631701"/>
      <w:bookmarkStart w:id="92" w:name="_Toc21600974"/>
      <w:bookmarkStart w:id="93" w:name="_Toc21626011"/>
      <w:r w:rsidRPr="00E84311">
        <w:rPr>
          <w:szCs w:val="24"/>
        </w:rPr>
        <w:t>Supuestos de clasificación.</w:t>
      </w:r>
      <w:bookmarkEnd w:id="91"/>
      <w:bookmarkEnd w:id="92"/>
      <w:bookmarkEnd w:id="93"/>
    </w:p>
    <w:p w14:paraId="5D9DE8E5" w14:textId="77777777" w:rsidR="00F92A8F" w:rsidRPr="00E84311" w:rsidRDefault="00F92A8F" w:rsidP="00E84311">
      <w:pPr>
        <w:spacing w:line="360" w:lineRule="auto"/>
        <w:jc w:val="both"/>
        <w:rPr>
          <w:rFonts w:ascii="Palatino Linotype" w:hAnsi="Palatino Linotype" w:cs="Arial"/>
          <w:color w:val="000000" w:themeColor="text1"/>
        </w:rPr>
      </w:pPr>
    </w:p>
    <w:p w14:paraId="0DFC92E1" w14:textId="77777777" w:rsidR="00F92A8F" w:rsidRPr="00E84311" w:rsidRDefault="00F92A8F" w:rsidP="00E84311">
      <w:pPr>
        <w:pStyle w:val="Prrafodelista"/>
        <w:numPr>
          <w:ilvl w:val="0"/>
          <w:numId w:val="1"/>
        </w:numPr>
        <w:spacing w:line="360" w:lineRule="auto"/>
        <w:ind w:left="0" w:right="49" w:firstLine="0"/>
        <w:jc w:val="both"/>
        <w:rPr>
          <w:rFonts w:ascii="Palatino Linotype" w:eastAsia="Calibri" w:hAnsi="Palatino Linotype" w:cs="Arial"/>
          <w:u w:val="single"/>
          <w:lang w:val="es-ES"/>
        </w:rPr>
      </w:pPr>
      <w:r w:rsidRPr="00E84311">
        <w:rPr>
          <w:rFonts w:ascii="Palatino Linotype" w:hAnsi="Palatino Linotype"/>
        </w:rPr>
        <w:t xml:space="preserve">Como ya se señaló en párrafos precedentes el </w:t>
      </w:r>
      <w:r w:rsidRPr="00E84311">
        <w:rPr>
          <w:rFonts w:ascii="Palatino Linotype" w:hAnsi="Palatino Linotype" w:cs="Bookman Old Style"/>
          <w:bCs/>
        </w:rPr>
        <w:t xml:space="preserve">documento donde conste el </w:t>
      </w:r>
      <w:r w:rsidRPr="00E84311">
        <w:rPr>
          <w:rFonts w:ascii="Palatino Linotype" w:hAnsi="Palatino Linotype"/>
          <w:color w:val="000000"/>
        </w:rPr>
        <w:t>número de homicidios</w:t>
      </w:r>
      <w:r w:rsidRPr="00E84311">
        <w:rPr>
          <w:rFonts w:ascii="Palatino Linotype" w:hAnsi="Palatino Linotype" w:cs="Bookman Old Style"/>
          <w:bCs/>
        </w:rPr>
        <w:t xml:space="preserve">, tipo y subtipo, fecha, hora y lugar en que se llevaron a cabo, </w:t>
      </w:r>
      <w:r w:rsidRPr="00E84311">
        <w:rPr>
          <w:rFonts w:ascii="Palatino Linotype" w:hAnsi="Palatino Linotype" w:cs="Arial"/>
          <w:bCs/>
          <w:shd w:val="clear" w:color="auto" w:fill="FFFFFF"/>
        </w:rPr>
        <w:t>y ministerio público donde se inició la denuncia</w:t>
      </w:r>
      <w:r w:rsidRPr="00E84311">
        <w:rPr>
          <w:rFonts w:ascii="Palatino Linotype" w:hAnsi="Palatino Linotype"/>
          <w:color w:val="000000"/>
        </w:rPr>
        <w:t xml:space="preserve"> y</w:t>
      </w:r>
      <w:r w:rsidRPr="00E84311">
        <w:rPr>
          <w:rFonts w:ascii="Palatino Linotype" w:eastAsia="Calibri" w:hAnsi="Palatino Linotype" w:cs="Arial"/>
          <w:lang w:val="es-ES"/>
        </w:rPr>
        <w:t xml:space="preserve"> </w:t>
      </w:r>
      <w:r w:rsidRPr="00E84311">
        <w:rPr>
          <w:rFonts w:ascii="Palatino Linotype" w:hAnsi="Palatino Linotype" w:cs="Bookman Old Style"/>
          <w:bCs/>
        </w:rPr>
        <w:t xml:space="preserve">la edad y sexo de las víctimas, pudiera contener datos personales como lo son verbigracia el </w:t>
      </w:r>
      <w:r w:rsidRPr="00E84311">
        <w:rPr>
          <w:rFonts w:ascii="Palatino Linotype" w:hAnsi="Palatino Linotype"/>
        </w:rPr>
        <w:t>nombre de las personas involucradas</w:t>
      </w:r>
      <w:r w:rsidRPr="00E84311">
        <w:rPr>
          <w:rFonts w:ascii="Palatino Linotype" w:eastAsia="Times New Roman" w:hAnsi="Palatino Linotype" w:cs="Arial"/>
          <w:color w:val="000000" w:themeColor="text1"/>
          <w:lang w:val="es-ES"/>
        </w:rPr>
        <w:t xml:space="preserve">, siendo éste último un dato personal susceptible de clasificarse como confidencial y reservado, aunado a que la información que consta en el Informe Policial Homologado tiene el carácter de confidencial y reservada, en atención a ello cabe precisar </w:t>
      </w:r>
      <w:r w:rsidRPr="00E84311">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2D9B749E" w14:textId="77777777" w:rsidR="00F92A8F" w:rsidRPr="00E84311" w:rsidRDefault="00F92A8F" w:rsidP="00E84311">
      <w:pPr>
        <w:pStyle w:val="Prrafodelista"/>
        <w:spacing w:after="160" w:line="360" w:lineRule="auto"/>
        <w:ind w:left="0"/>
        <w:jc w:val="both"/>
        <w:rPr>
          <w:rFonts w:ascii="Palatino Linotype" w:hAnsi="Palatino Linotype" w:cs="Arial"/>
          <w:color w:val="000000" w:themeColor="text1"/>
        </w:rPr>
      </w:pPr>
    </w:p>
    <w:p w14:paraId="3FD591B0"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s="Arial"/>
          <w:color w:val="000000" w:themeColor="text1"/>
        </w:rPr>
      </w:pPr>
      <w:r w:rsidRPr="00E84311">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7F42E0EE" w14:textId="77777777" w:rsidR="00F92A8F" w:rsidRPr="00E84311" w:rsidRDefault="00F92A8F" w:rsidP="00E84311">
      <w:pPr>
        <w:pStyle w:val="Prrafodelista"/>
        <w:spacing w:after="160" w:line="360" w:lineRule="auto"/>
        <w:ind w:left="0"/>
        <w:jc w:val="both"/>
        <w:rPr>
          <w:rFonts w:ascii="Palatino Linotype" w:hAnsi="Palatino Linotype" w:cs="Arial"/>
          <w:color w:val="000000" w:themeColor="text1"/>
        </w:rPr>
      </w:pPr>
    </w:p>
    <w:tbl>
      <w:tblPr>
        <w:tblStyle w:val="Tablanormal1"/>
        <w:tblW w:w="0" w:type="auto"/>
        <w:tblInd w:w="688" w:type="dxa"/>
        <w:tblLook w:val="04A0" w:firstRow="1" w:lastRow="0" w:firstColumn="1" w:lastColumn="0" w:noHBand="0" w:noVBand="1"/>
      </w:tblPr>
      <w:tblGrid>
        <w:gridCol w:w="3726"/>
        <w:gridCol w:w="4089"/>
      </w:tblGrid>
      <w:tr w:rsidR="00F92A8F" w:rsidRPr="00E84311" w14:paraId="1F8BC5AC" w14:textId="77777777" w:rsidTr="006676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43BBFC0D" w14:textId="77777777" w:rsidR="00F92A8F" w:rsidRPr="00E84311" w:rsidRDefault="00F92A8F" w:rsidP="00E84311">
            <w:pPr>
              <w:autoSpaceDE w:val="0"/>
              <w:autoSpaceDN w:val="0"/>
              <w:adjustRightInd w:val="0"/>
              <w:spacing w:line="360" w:lineRule="auto"/>
              <w:jc w:val="both"/>
              <w:rPr>
                <w:rFonts w:ascii="Palatino Linotype" w:hAnsi="Palatino Linotype"/>
                <w:b w:val="0"/>
                <w:color w:val="000000" w:themeColor="text1"/>
                <w:sz w:val="24"/>
                <w:szCs w:val="24"/>
              </w:rPr>
            </w:pPr>
            <w:r w:rsidRPr="00E84311">
              <w:rPr>
                <w:rFonts w:ascii="Palatino Linotype" w:hAnsi="Palatino Linotype" w:cs="Gill Sans,Bold"/>
                <w:b w:val="0"/>
                <w:color w:val="000000" w:themeColor="text1"/>
                <w:sz w:val="24"/>
                <w:szCs w:val="24"/>
              </w:rPr>
              <w:t>LEY ESTATAL</w:t>
            </w:r>
          </w:p>
        </w:tc>
        <w:tc>
          <w:tcPr>
            <w:tcW w:w="4089" w:type="dxa"/>
          </w:tcPr>
          <w:p w14:paraId="1DC166A7" w14:textId="77777777" w:rsidR="00F92A8F" w:rsidRPr="00E84311" w:rsidRDefault="00F92A8F" w:rsidP="00E8431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sz w:val="24"/>
                <w:szCs w:val="24"/>
              </w:rPr>
            </w:pPr>
            <w:r w:rsidRPr="00E84311">
              <w:rPr>
                <w:rFonts w:ascii="Palatino Linotype" w:hAnsi="Palatino Linotype"/>
                <w:b w:val="0"/>
                <w:color w:val="000000" w:themeColor="text1"/>
                <w:sz w:val="24"/>
                <w:szCs w:val="24"/>
              </w:rPr>
              <w:t>LEY GENERAL</w:t>
            </w:r>
          </w:p>
        </w:tc>
      </w:tr>
      <w:tr w:rsidR="00F92A8F" w:rsidRPr="00E84311" w14:paraId="535DD4BA" w14:textId="77777777" w:rsidTr="00667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502B2961"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I. Comprometa la seguridad pública y cuente con un propósito genuino y un efecto demostrable;</w:t>
            </w:r>
          </w:p>
          <w:p w14:paraId="22DF5C89" w14:textId="77777777" w:rsidR="00F92A8F" w:rsidRPr="00E84311" w:rsidRDefault="00F92A8F" w:rsidP="00E84311">
            <w:pPr>
              <w:spacing w:line="360" w:lineRule="auto"/>
              <w:jc w:val="both"/>
              <w:rPr>
                <w:rFonts w:ascii="Palatino Linotype" w:hAnsi="Palatino Linotype"/>
                <w:b w:val="0"/>
                <w:color w:val="000000" w:themeColor="text1"/>
                <w:sz w:val="24"/>
                <w:szCs w:val="24"/>
              </w:rPr>
            </w:pPr>
          </w:p>
        </w:tc>
        <w:tc>
          <w:tcPr>
            <w:tcW w:w="4089" w:type="dxa"/>
          </w:tcPr>
          <w:p w14:paraId="6DEDB5A1" w14:textId="77777777" w:rsidR="00F92A8F" w:rsidRPr="00E84311" w:rsidRDefault="00F92A8F" w:rsidP="00E8431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I.</w:t>
            </w:r>
            <w:r w:rsidRPr="00E84311">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F92A8F" w:rsidRPr="00E84311" w14:paraId="42328CC3" w14:textId="77777777" w:rsidTr="006676E0">
        <w:tc>
          <w:tcPr>
            <w:cnfStyle w:val="001000000000" w:firstRow="0" w:lastRow="0" w:firstColumn="1" w:lastColumn="0" w:oddVBand="0" w:evenVBand="0" w:oddHBand="0" w:evenHBand="0" w:firstRowFirstColumn="0" w:firstRowLastColumn="0" w:lastRowFirstColumn="0" w:lastRowLastColumn="0"/>
            <w:tcW w:w="3726" w:type="dxa"/>
          </w:tcPr>
          <w:p w14:paraId="51B6CB7F"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II. Pueda menoscabar la conducción de las negociaciones y relaciones internacionales;</w:t>
            </w:r>
          </w:p>
        </w:tc>
        <w:tc>
          <w:tcPr>
            <w:tcW w:w="4089" w:type="dxa"/>
          </w:tcPr>
          <w:p w14:paraId="6CA99E80" w14:textId="77777777" w:rsidR="00F92A8F" w:rsidRPr="00E84311" w:rsidRDefault="00F92A8F" w:rsidP="00E8431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II.</w:t>
            </w:r>
            <w:r w:rsidRPr="00E84311">
              <w:rPr>
                <w:rFonts w:ascii="Palatino Linotype" w:hAnsi="Palatino Linotype"/>
                <w:color w:val="000000" w:themeColor="text1"/>
                <w:sz w:val="24"/>
                <w:szCs w:val="24"/>
                <w:lang w:val="es-ES"/>
              </w:rPr>
              <w:tab/>
              <w:t>Pueda menoscabar la conducción de las negociaciones y relaciones internacionales;</w:t>
            </w:r>
          </w:p>
        </w:tc>
      </w:tr>
      <w:tr w:rsidR="00F92A8F" w:rsidRPr="00E84311" w14:paraId="365FF784" w14:textId="77777777" w:rsidTr="00667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284EDCD9"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14:paraId="747B39A9" w14:textId="77777777" w:rsidR="00F92A8F" w:rsidRPr="00E84311" w:rsidRDefault="00F92A8F" w:rsidP="00E8431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III.</w:t>
            </w:r>
            <w:r w:rsidRPr="00E84311">
              <w:rPr>
                <w:rFonts w:ascii="Palatino Linotype" w:hAnsi="Palatino Linotype"/>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F92A8F" w:rsidRPr="00E84311" w14:paraId="2D2EEA40" w14:textId="77777777" w:rsidTr="006676E0">
        <w:tc>
          <w:tcPr>
            <w:cnfStyle w:val="001000000000" w:firstRow="0" w:lastRow="0" w:firstColumn="1" w:lastColumn="0" w:oddVBand="0" w:evenVBand="0" w:oddHBand="0" w:evenHBand="0" w:firstRowFirstColumn="0" w:firstRowLastColumn="0" w:lastRowFirstColumn="0" w:lastRowLastColumn="0"/>
            <w:tcW w:w="3726" w:type="dxa"/>
          </w:tcPr>
          <w:p w14:paraId="1AA744D1" w14:textId="77777777" w:rsidR="00F92A8F" w:rsidRPr="00E84311" w:rsidRDefault="00F92A8F" w:rsidP="00E84311">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1E07D2CE" w14:textId="77777777" w:rsidR="00F92A8F" w:rsidRPr="00E84311" w:rsidRDefault="00F92A8F" w:rsidP="00E8431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IV.</w:t>
            </w:r>
            <w:r w:rsidRPr="00E84311">
              <w:rPr>
                <w:rFonts w:ascii="Palatino Linotype" w:hAnsi="Palatino Linotype"/>
                <w:color w:val="000000" w:themeColor="text1"/>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F92A8F" w:rsidRPr="00E84311" w14:paraId="0F984EF5" w14:textId="77777777" w:rsidTr="00667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BDD62AD"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IV. Ponga en riesgo la vida, la seguridad o la salud de una persona física;</w:t>
            </w:r>
          </w:p>
        </w:tc>
        <w:tc>
          <w:tcPr>
            <w:tcW w:w="4089" w:type="dxa"/>
          </w:tcPr>
          <w:p w14:paraId="771F8759" w14:textId="77777777" w:rsidR="00F92A8F" w:rsidRPr="00E84311" w:rsidRDefault="00F92A8F" w:rsidP="00E8431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V.</w:t>
            </w:r>
            <w:r w:rsidRPr="00E84311">
              <w:rPr>
                <w:rFonts w:ascii="Palatino Linotype" w:hAnsi="Palatino Linotype"/>
                <w:color w:val="000000" w:themeColor="text1"/>
                <w:sz w:val="24"/>
                <w:szCs w:val="24"/>
                <w:lang w:val="es-ES"/>
              </w:rPr>
              <w:tab/>
              <w:t>Pueda poner en riesgo la vida, seguridad o salud de una persona física;</w:t>
            </w:r>
          </w:p>
        </w:tc>
      </w:tr>
      <w:tr w:rsidR="00F92A8F" w:rsidRPr="00E84311" w14:paraId="79811C77" w14:textId="77777777" w:rsidTr="006676E0">
        <w:tc>
          <w:tcPr>
            <w:cnfStyle w:val="001000000000" w:firstRow="0" w:lastRow="0" w:firstColumn="1" w:lastColumn="0" w:oddVBand="0" w:evenVBand="0" w:oddHBand="0" w:evenHBand="0" w:firstRowFirstColumn="0" w:firstRowLastColumn="0" w:lastRowFirstColumn="0" w:lastRowLastColumn="0"/>
            <w:tcW w:w="3726" w:type="dxa"/>
          </w:tcPr>
          <w:p w14:paraId="6119B696"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V. Aquella cuya divulgación obstruya o pueda causar un serio perjuicio a:</w:t>
            </w:r>
          </w:p>
          <w:p w14:paraId="327E916D"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p>
          <w:p w14:paraId="3C9DE2E2"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1. Las actividades de fiscalización, verificación, inspección, comprobación y auditoría sobre el cumplimiento de las Leyes; o</w:t>
            </w:r>
          </w:p>
          <w:p w14:paraId="1015BB3E"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p>
          <w:p w14:paraId="2CBCE369"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2. La recaudación de las contribuciones.</w:t>
            </w:r>
          </w:p>
        </w:tc>
        <w:tc>
          <w:tcPr>
            <w:tcW w:w="4089" w:type="dxa"/>
          </w:tcPr>
          <w:p w14:paraId="656CFB39" w14:textId="77777777" w:rsidR="00F92A8F" w:rsidRPr="00E84311" w:rsidRDefault="00F92A8F" w:rsidP="00E8431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VI.</w:t>
            </w:r>
            <w:r w:rsidRPr="00E84311">
              <w:rPr>
                <w:rFonts w:ascii="Palatino Linotype" w:hAnsi="Palatino Linotype"/>
                <w:color w:val="000000" w:themeColor="text1"/>
                <w:sz w:val="24"/>
                <w:szCs w:val="24"/>
                <w:lang w:val="es-ES"/>
              </w:rPr>
              <w:tab/>
              <w:t>Obstruya las actividades de verificación, inspección y auditoría relativas al cumplimiento de las leyes o afecte la recaudación de contribuciones;</w:t>
            </w:r>
          </w:p>
          <w:p w14:paraId="20EEAFDF" w14:textId="77777777" w:rsidR="00F92A8F" w:rsidRPr="00E84311" w:rsidRDefault="00F92A8F" w:rsidP="00E8431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14:paraId="7FDDC2A4" w14:textId="77777777" w:rsidR="00F92A8F" w:rsidRPr="00E84311" w:rsidRDefault="00F92A8F" w:rsidP="00E8431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F92A8F" w:rsidRPr="00E84311" w14:paraId="3E1CF865" w14:textId="77777777" w:rsidTr="00667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692DEA0E"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14:paraId="2178F96C" w14:textId="77777777" w:rsidR="00F92A8F" w:rsidRPr="00E84311" w:rsidRDefault="00F92A8F" w:rsidP="00E8431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VII.</w:t>
            </w:r>
            <w:r w:rsidRPr="00E84311">
              <w:rPr>
                <w:rFonts w:ascii="Palatino Linotype" w:hAnsi="Palatino Linotype"/>
                <w:color w:val="000000" w:themeColor="text1"/>
                <w:sz w:val="24"/>
                <w:szCs w:val="24"/>
                <w:lang w:val="es-ES"/>
              </w:rPr>
              <w:tab/>
              <w:t>Obstruya la prevención o persecución de los delitos;</w:t>
            </w:r>
          </w:p>
          <w:p w14:paraId="39057203" w14:textId="77777777" w:rsidR="00F92A8F" w:rsidRPr="00E84311" w:rsidRDefault="00F92A8F" w:rsidP="00E8431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14:paraId="20F3A566" w14:textId="77777777" w:rsidR="00F92A8F" w:rsidRPr="00E84311" w:rsidRDefault="00F92A8F" w:rsidP="00E8431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F92A8F" w:rsidRPr="00E84311" w14:paraId="2BA18CCF" w14:textId="77777777" w:rsidTr="006676E0">
        <w:tc>
          <w:tcPr>
            <w:cnfStyle w:val="001000000000" w:firstRow="0" w:lastRow="0" w:firstColumn="1" w:lastColumn="0" w:oddVBand="0" w:evenVBand="0" w:oddHBand="0" w:evenHBand="0" w:firstRowFirstColumn="0" w:firstRowLastColumn="0" w:lastRowFirstColumn="0" w:lastRowLastColumn="0"/>
            <w:tcW w:w="3726" w:type="dxa"/>
          </w:tcPr>
          <w:p w14:paraId="78721953"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14:paraId="4C426ECD" w14:textId="77777777" w:rsidR="00F92A8F" w:rsidRPr="00E84311" w:rsidRDefault="00F92A8F" w:rsidP="00E8431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VIII.</w:t>
            </w:r>
            <w:r w:rsidRPr="00E84311">
              <w:rPr>
                <w:rFonts w:ascii="Palatino Linotype" w:hAnsi="Palatino Linotype"/>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F92A8F" w:rsidRPr="00E84311" w14:paraId="42A63167" w14:textId="77777777" w:rsidTr="00667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6FA3AEF9" w14:textId="77777777" w:rsidR="00F92A8F" w:rsidRPr="00E84311" w:rsidRDefault="00F92A8F" w:rsidP="00E84311">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757C7520" w14:textId="77777777" w:rsidR="00F92A8F" w:rsidRPr="00E84311" w:rsidRDefault="00F92A8F" w:rsidP="00E8431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IX.</w:t>
            </w:r>
            <w:r w:rsidRPr="00E84311">
              <w:rPr>
                <w:rFonts w:ascii="Palatino Linotype" w:hAnsi="Palatino Linotype"/>
                <w:color w:val="000000" w:themeColor="text1"/>
                <w:sz w:val="24"/>
                <w:szCs w:val="24"/>
                <w:lang w:val="es-ES"/>
              </w:rPr>
              <w:tab/>
              <w:t>Obstruya los procedimientos para fincar responsabilidad a los Servidores Públicos, en tanto no se haya dictado la resolución administrativa;</w:t>
            </w:r>
          </w:p>
        </w:tc>
      </w:tr>
      <w:tr w:rsidR="00F92A8F" w:rsidRPr="00E84311" w14:paraId="095A1B6C" w14:textId="77777777" w:rsidTr="006676E0">
        <w:tc>
          <w:tcPr>
            <w:cnfStyle w:val="001000000000" w:firstRow="0" w:lastRow="0" w:firstColumn="1" w:lastColumn="0" w:oddVBand="0" w:evenVBand="0" w:oddHBand="0" w:evenHBand="0" w:firstRowFirstColumn="0" w:firstRowLastColumn="0" w:lastRowFirstColumn="0" w:lastRowLastColumn="0"/>
            <w:tcW w:w="3726" w:type="dxa"/>
          </w:tcPr>
          <w:p w14:paraId="7CC22218" w14:textId="77777777" w:rsidR="00F92A8F" w:rsidRPr="00E84311" w:rsidRDefault="00F92A8F" w:rsidP="00E84311">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3EA2DF37" w14:textId="77777777" w:rsidR="00F92A8F" w:rsidRPr="00E84311" w:rsidRDefault="00F92A8F" w:rsidP="00E8431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X.</w:t>
            </w:r>
            <w:r w:rsidRPr="00E84311">
              <w:rPr>
                <w:rFonts w:ascii="Palatino Linotype" w:hAnsi="Palatino Linotype"/>
                <w:color w:val="000000" w:themeColor="text1"/>
                <w:sz w:val="24"/>
                <w:szCs w:val="24"/>
                <w:lang w:val="es-ES"/>
              </w:rPr>
              <w:tab/>
              <w:t>Afecte los derechos del debido proceso;</w:t>
            </w:r>
          </w:p>
        </w:tc>
      </w:tr>
      <w:tr w:rsidR="00F92A8F" w:rsidRPr="00E84311" w14:paraId="775C5352" w14:textId="77777777" w:rsidTr="00667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60DABAED" w14:textId="77777777" w:rsidR="00F92A8F" w:rsidRPr="00E84311" w:rsidRDefault="00F92A8F" w:rsidP="00E84311">
            <w:pPr>
              <w:autoSpaceDE w:val="0"/>
              <w:autoSpaceDN w:val="0"/>
              <w:adjustRightInd w:val="0"/>
              <w:spacing w:line="360" w:lineRule="auto"/>
              <w:jc w:val="both"/>
              <w:rPr>
                <w:rFonts w:ascii="Palatino Linotype" w:hAnsi="Palatino Linotype" w:cs="Arial"/>
                <w:b w:val="0"/>
                <w:bCs w:val="0"/>
                <w:color w:val="000000" w:themeColor="text1"/>
                <w:sz w:val="24"/>
                <w:szCs w:val="24"/>
              </w:rPr>
            </w:pPr>
            <w:r w:rsidRPr="00E84311">
              <w:rPr>
                <w:rFonts w:ascii="Palatino Linotype" w:hAnsi="Palatino Linotype" w:cs="Arial"/>
                <w:b w:val="0"/>
                <w:color w:val="000000" w:themeColor="text1"/>
                <w:sz w:val="24"/>
                <w:szCs w:val="24"/>
              </w:rPr>
              <w:t>VIII. Vulnere la conducción de los expedientes judiciales o de los procedimientos administrativos seguidos en forma de juicio, en tanto no hayan quedado firmes;</w:t>
            </w:r>
          </w:p>
        </w:tc>
        <w:tc>
          <w:tcPr>
            <w:tcW w:w="4089" w:type="dxa"/>
          </w:tcPr>
          <w:p w14:paraId="4241F4E2" w14:textId="77777777" w:rsidR="00F92A8F" w:rsidRPr="00E84311" w:rsidRDefault="00F92A8F" w:rsidP="00E8431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XI.</w:t>
            </w:r>
            <w:r w:rsidRPr="00E84311">
              <w:rPr>
                <w:rFonts w:ascii="Palatino Linotype" w:hAnsi="Palatino Linotype"/>
                <w:color w:val="000000" w:themeColor="text1"/>
                <w:sz w:val="24"/>
                <w:szCs w:val="24"/>
                <w:lang w:val="es-ES"/>
              </w:rPr>
              <w:tab/>
              <w:t>Vulnere la conducción de los Expedientes judiciales o de los procedimientos administrativos seguidos en forma de juicio, en tanto no hayan causado estado;</w:t>
            </w:r>
          </w:p>
        </w:tc>
      </w:tr>
      <w:tr w:rsidR="00F92A8F" w:rsidRPr="00E84311" w14:paraId="6B2D27DB" w14:textId="77777777" w:rsidTr="006676E0">
        <w:tc>
          <w:tcPr>
            <w:cnfStyle w:val="001000000000" w:firstRow="0" w:lastRow="0" w:firstColumn="1" w:lastColumn="0" w:oddVBand="0" w:evenVBand="0" w:oddHBand="0" w:evenHBand="0" w:firstRowFirstColumn="0" w:firstRowLastColumn="0" w:lastRowFirstColumn="0" w:lastRowLastColumn="0"/>
            <w:tcW w:w="3726" w:type="dxa"/>
          </w:tcPr>
          <w:p w14:paraId="2BF56D19"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IX. Se encuentre contenida dentro de las investigaciones de hechos que la Ley señale como delitos y se tramiten ante el Ministerio Público;</w:t>
            </w:r>
          </w:p>
        </w:tc>
        <w:tc>
          <w:tcPr>
            <w:tcW w:w="4089" w:type="dxa"/>
          </w:tcPr>
          <w:p w14:paraId="016718C0" w14:textId="77777777" w:rsidR="00F92A8F" w:rsidRPr="00E84311" w:rsidRDefault="00F92A8F" w:rsidP="00E8431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XII.</w:t>
            </w:r>
            <w:r w:rsidRPr="00E84311">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F92A8F" w:rsidRPr="00E84311" w14:paraId="0B60C8FB" w14:textId="77777777" w:rsidTr="00667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3E5EFFE9"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D8C5CB1" w14:textId="77777777" w:rsidR="00F92A8F" w:rsidRPr="00E84311" w:rsidRDefault="00F92A8F" w:rsidP="00E84311">
            <w:pPr>
              <w:autoSpaceDE w:val="0"/>
              <w:autoSpaceDN w:val="0"/>
              <w:adjustRightInd w:val="0"/>
              <w:spacing w:line="360" w:lineRule="auto"/>
              <w:jc w:val="both"/>
              <w:rPr>
                <w:rFonts w:ascii="Palatino Linotype" w:hAnsi="Palatino Linotype" w:cs="Arial"/>
                <w:b w:val="0"/>
                <w:color w:val="000000" w:themeColor="text1"/>
                <w:sz w:val="24"/>
                <w:szCs w:val="24"/>
              </w:rPr>
            </w:pPr>
            <w:r w:rsidRPr="00E84311">
              <w:rPr>
                <w:rFonts w:ascii="Palatino Linotype" w:hAnsi="Palatino Linotype" w:cs="Arial"/>
                <w:b w:val="0"/>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14:paraId="6CCCE457" w14:textId="77777777" w:rsidR="00F92A8F" w:rsidRPr="00E84311" w:rsidRDefault="00F92A8F" w:rsidP="00E8431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F92A8F" w:rsidRPr="00E84311" w14:paraId="1B5F9A2B" w14:textId="77777777" w:rsidTr="006676E0">
        <w:tc>
          <w:tcPr>
            <w:cnfStyle w:val="001000000000" w:firstRow="0" w:lastRow="0" w:firstColumn="1" w:lastColumn="0" w:oddVBand="0" w:evenVBand="0" w:oddHBand="0" w:evenHBand="0" w:firstRowFirstColumn="0" w:firstRowLastColumn="0" w:lastRowFirstColumn="0" w:lastRowLastColumn="0"/>
            <w:tcW w:w="3726" w:type="dxa"/>
          </w:tcPr>
          <w:p w14:paraId="1B0B03E7" w14:textId="77777777" w:rsidR="00F92A8F" w:rsidRPr="00E84311" w:rsidRDefault="00F92A8F" w:rsidP="00E84311">
            <w:pPr>
              <w:spacing w:line="360" w:lineRule="auto"/>
              <w:jc w:val="both"/>
              <w:rPr>
                <w:rFonts w:ascii="Palatino Linotype" w:hAnsi="Palatino Linotype"/>
                <w:b w:val="0"/>
                <w:color w:val="000000" w:themeColor="text1"/>
                <w:sz w:val="24"/>
                <w:szCs w:val="24"/>
              </w:rPr>
            </w:pPr>
            <w:r w:rsidRPr="00E84311">
              <w:rPr>
                <w:rFonts w:ascii="Palatino Linotype" w:hAnsi="Palatino Linotype" w:cs="Arial"/>
                <w:b w:val="0"/>
                <w:color w:val="000000" w:themeColor="text1"/>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14:paraId="10A169AC" w14:textId="77777777" w:rsidR="00F92A8F" w:rsidRPr="00E84311" w:rsidRDefault="00F92A8F" w:rsidP="00E8431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E84311">
              <w:rPr>
                <w:rFonts w:ascii="Palatino Linotype" w:hAnsi="Palatino Linotype"/>
                <w:color w:val="000000" w:themeColor="text1"/>
                <w:sz w:val="24"/>
                <w:szCs w:val="24"/>
                <w:lang w:val="es-ES"/>
              </w:rPr>
              <w:t>XIII.</w:t>
            </w:r>
            <w:r w:rsidRPr="00E84311">
              <w:rPr>
                <w:rFonts w:ascii="Palatino Linotype" w:hAnsi="Palatino Linotype"/>
                <w:color w:val="000000" w:themeColor="text1"/>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DAA1D51" w14:textId="77777777" w:rsidR="00F92A8F" w:rsidRPr="00E84311" w:rsidRDefault="00F92A8F" w:rsidP="00E84311">
      <w:pPr>
        <w:spacing w:line="360" w:lineRule="auto"/>
        <w:jc w:val="both"/>
        <w:rPr>
          <w:rFonts w:ascii="Palatino Linotype" w:hAnsi="Palatino Linotype" w:cs="Arial"/>
          <w:color w:val="000000" w:themeColor="text1"/>
        </w:rPr>
      </w:pPr>
    </w:p>
    <w:p w14:paraId="42338105" w14:textId="77777777" w:rsidR="00F92A8F" w:rsidRPr="00E84311" w:rsidRDefault="00F92A8F" w:rsidP="00E84311">
      <w:pPr>
        <w:pStyle w:val="Prrafodelista"/>
        <w:numPr>
          <w:ilvl w:val="0"/>
          <w:numId w:val="1"/>
        </w:numPr>
        <w:spacing w:line="360" w:lineRule="auto"/>
        <w:ind w:left="0" w:firstLine="0"/>
        <w:jc w:val="both"/>
        <w:rPr>
          <w:rFonts w:ascii="Palatino Linotype" w:hAnsi="Palatino Linotype" w:cs="Arial"/>
          <w:color w:val="000000" w:themeColor="text1"/>
        </w:rPr>
      </w:pPr>
      <w:r w:rsidRPr="00E84311">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4CE9796D" w14:textId="77777777" w:rsidR="00F92A8F" w:rsidRPr="00E84311" w:rsidRDefault="00F92A8F" w:rsidP="00E84311">
      <w:pPr>
        <w:spacing w:line="360" w:lineRule="auto"/>
        <w:jc w:val="both"/>
        <w:rPr>
          <w:rFonts w:ascii="Palatino Linotype" w:hAnsi="Palatino Linotype" w:cs="Arial"/>
          <w:color w:val="000000" w:themeColor="text1"/>
        </w:rPr>
      </w:pPr>
    </w:p>
    <w:p w14:paraId="33E437EB" w14:textId="77777777" w:rsidR="00F92A8F" w:rsidRPr="00E84311" w:rsidRDefault="00F92A8F" w:rsidP="00E8431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4311">
        <w:rPr>
          <w:rFonts w:ascii="Palatino Linotype" w:hAnsi="Palatino Linotype" w:cs="Bookman Old Style"/>
          <w:bCs/>
          <w:color w:val="000000" w:themeColor="text1"/>
        </w:rPr>
        <w:t xml:space="preserve">I. </w:t>
      </w:r>
      <w:r w:rsidRPr="00E84311">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55420CBC" w14:textId="77777777" w:rsidR="00F92A8F" w:rsidRPr="00E84311" w:rsidRDefault="00F92A8F" w:rsidP="00E8431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4311">
        <w:rPr>
          <w:rFonts w:ascii="Palatino Linotype" w:hAnsi="Palatino Linotype" w:cs="Bookman Old Style"/>
          <w:bCs/>
          <w:color w:val="000000" w:themeColor="text1"/>
        </w:rPr>
        <w:t xml:space="preserve">II. </w:t>
      </w:r>
      <w:r w:rsidRPr="00E84311">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1EF6462" w14:textId="77777777" w:rsidR="00F92A8F" w:rsidRPr="00E84311" w:rsidRDefault="00F92A8F" w:rsidP="00E8431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4311">
        <w:rPr>
          <w:rFonts w:ascii="Palatino Linotype" w:hAnsi="Palatino Linotype" w:cs="Bookman Old Style"/>
          <w:bCs/>
          <w:color w:val="000000" w:themeColor="text1"/>
        </w:rPr>
        <w:t xml:space="preserve">III. </w:t>
      </w:r>
      <w:r w:rsidRPr="00E84311">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37EAE682" w14:textId="77777777" w:rsidR="00F92A8F" w:rsidRPr="00E84311" w:rsidRDefault="00F92A8F" w:rsidP="00E8431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4311">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4999DA13" w14:textId="77777777" w:rsidR="00F92A8F" w:rsidRPr="00E84311" w:rsidRDefault="00F92A8F" w:rsidP="00E8431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4311">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E4FE45E" w14:textId="77777777" w:rsidR="00F92A8F" w:rsidRPr="00E84311" w:rsidRDefault="00F92A8F" w:rsidP="00E84311">
      <w:pPr>
        <w:spacing w:line="360" w:lineRule="auto"/>
        <w:jc w:val="both"/>
        <w:rPr>
          <w:rFonts w:ascii="Palatino Linotype" w:hAnsi="Palatino Linotype" w:cs="Arial"/>
          <w:color w:val="000000" w:themeColor="text1"/>
        </w:rPr>
      </w:pPr>
    </w:p>
    <w:p w14:paraId="49F8BF57"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s="Arial"/>
          <w:color w:val="000000" w:themeColor="text1"/>
        </w:rPr>
      </w:pPr>
      <w:r w:rsidRPr="00E8431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6D15A99" w14:textId="77777777" w:rsidR="00F92A8F" w:rsidRPr="00E84311" w:rsidRDefault="00F92A8F" w:rsidP="00E84311">
      <w:pPr>
        <w:pStyle w:val="Prrafodelista"/>
        <w:spacing w:after="160" w:line="360" w:lineRule="auto"/>
        <w:ind w:left="0"/>
        <w:jc w:val="both"/>
        <w:rPr>
          <w:rFonts w:ascii="Palatino Linotype" w:hAnsi="Palatino Linotype" w:cs="Arial"/>
          <w:color w:val="000000" w:themeColor="text1"/>
        </w:rPr>
      </w:pPr>
    </w:p>
    <w:p w14:paraId="088D924D"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s="Arial"/>
          <w:color w:val="000000" w:themeColor="text1"/>
        </w:rPr>
      </w:pPr>
      <w:r w:rsidRPr="00E84311">
        <w:rPr>
          <w:rFonts w:ascii="Palatino Linotype" w:hAnsi="Palatino Linotype" w:cs="Arial"/>
          <w:color w:val="000000" w:themeColor="text1"/>
        </w:rPr>
        <w:t>Como consecuencia de lo anterior, el sujeto obligado debe identificar claramente el tipo de información y hacer un juicio de subsunción o encaje</w:t>
      </w:r>
      <w:r w:rsidRPr="00E84311">
        <w:rPr>
          <w:rStyle w:val="Refdenotaalpie"/>
          <w:rFonts w:ascii="Palatino Linotype" w:hAnsi="Palatino Linotype" w:cs="Arial"/>
          <w:color w:val="000000" w:themeColor="text1"/>
        </w:rPr>
        <w:footnoteReference w:id="4"/>
      </w:r>
      <w:r w:rsidRPr="00E8431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A324AF9" w14:textId="77777777" w:rsidR="00F92A8F" w:rsidRPr="00E84311" w:rsidRDefault="00F92A8F" w:rsidP="00E84311">
      <w:pPr>
        <w:pStyle w:val="Prrafodelista"/>
        <w:spacing w:after="160" w:line="360" w:lineRule="auto"/>
        <w:ind w:left="0"/>
        <w:jc w:val="both"/>
        <w:rPr>
          <w:rFonts w:ascii="Palatino Linotype" w:hAnsi="Palatino Linotype" w:cs="Arial"/>
          <w:color w:val="000000" w:themeColor="text1"/>
        </w:rPr>
      </w:pPr>
    </w:p>
    <w:p w14:paraId="3672F25F"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s="Arial"/>
          <w:color w:val="000000" w:themeColor="text1"/>
        </w:rPr>
      </w:pPr>
      <w:r w:rsidRPr="00E8431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2C8FE06" w14:textId="77777777" w:rsidR="00F92A8F" w:rsidRPr="00E84311" w:rsidRDefault="00F92A8F" w:rsidP="00E84311">
      <w:pPr>
        <w:pStyle w:val="Prrafodelista"/>
        <w:spacing w:line="360" w:lineRule="auto"/>
        <w:ind w:left="0"/>
        <w:jc w:val="both"/>
        <w:rPr>
          <w:rFonts w:ascii="Palatino Linotype" w:hAnsi="Palatino Linotype"/>
          <w:b/>
          <w:color w:val="000000" w:themeColor="text1"/>
        </w:rPr>
      </w:pPr>
    </w:p>
    <w:p w14:paraId="23C63261" w14:textId="77777777" w:rsidR="00F92A8F" w:rsidRPr="00E84311" w:rsidRDefault="00F92A8F" w:rsidP="00E84311">
      <w:pPr>
        <w:pStyle w:val="Ttulo1"/>
        <w:numPr>
          <w:ilvl w:val="0"/>
          <w:numId w:val="37"/>
        </w:numPr>
        <w:pBdr>
          <w:top w:val="nil"/>
          <w:left w:val="nil"/>
          <w:bottom w:val="nil"/>
          <w:right w:val="nil"/>
          <w:between w:val="nil"/>
          <w:bar w:val="nil"/>
        </w:pBdr>
        <w:spacing w:before="0" w:line="360" w:lineRule="auto"/>
        <w:ind w:left="0" w:firstLine="0"/>
        <w:jc w:val="both"/>
        <w:rPr>
          <w:b w:val="0"/>
          <w:szCs w:val="24"/>
        </w:rPr>
      </w:pPr>
      <w:bookmarkStart w:id="94" w:name="_Toc485631702"/>
      <w:bookmarkStart w:id="95" w:name="_Toc21600975"/>
      <w:bookmarkStart w:id="96" w:name="_Toc21626012"/>
      <w:r w:rsidRPr="00E84311">
        <w:rPr>
          <w:szCs w:val="24"/>
        </w:rPr>
        <w:t>Excepciones a los supuestos de clasificación de la información como reservada.</w:t>
      </w:r>
      <w:bookmarkEnd w:id="94"/>
      <w:bookmarkEnd w:id="95"/>
      <w:bookmarkEnd w:id="96"/>
    </w:p>
    <w:p w14:paraId="05877302" w14:textId="77777777" w:rsidR="00F92A8F" w:rsidRPr="00E84311" w:rsidRDefault="00F92A8F" w:rsidP="00E84311">
      <w:pPr>
        <w:spacing w:line="360" w:lineRule="auto"/>
        <w:rPr>
          <w:rFonts w:ascii="Palatino Linotype" w:hAnsi="Palatino Linotype"/>
        </w:rPr>
      </w:pPr>
    </w:p>
    <w:p w14:paraId="3853B6F2" w14:textId="77777777" w:rsidR="00F92A8F" w:rsidRPr="00E84311" w:rsidRDefault="00F92A8F" w:rsidP="00E84311">
      <w:pPr>
        <w:pStyle w:val="NormalWeb"/>
        <w:numPr>
          <w:ilvl w:val="0"/>
          <w:numId w:val="1"/>
        </w:numPr>
        <w:spacing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7E9E239F" w14:textId="77777777" w:rsidR="00F92A8F" w:rsidRPr="00E84311" w:rsidRDefault="00F92A8F" w:rsidP="00E84311">
      <w:pPr>
        <w:pStyle w:val="Ttulo1"/>
        <w:numPr>
          <w:ilvl w:val="0"/>
          <w:numId w:val="37"/>
        </w:numPr>
        <w:pBdr>
          <w:top w:val="nil"/>
          <w:left w:val="nil"/>
          <w:bottom w:val="nil"/>
          <w:right w:val="nil"/>
          <w:between w:val="nil"/>
          <w:bar w:val="nil"/>
        </w:pBdr>
        <w:spacing w:line="360" w:lineRule="auto"/>
        <w:ind w:left="0" w:firstLine="0"/>
        <w:rPr>
          <w:b w:val="0"/>
          <w:szCs w:val="24"/>
        </w:rPr>
      </w:pPr>
      <w:bookmarkStart w:id="97" w:name="_Toc485631703"/>
      <w:bookmarkStart w:id="98" w:name="_Toc21600976"/>
      <w:bookmarkStart w:id="99" w:name="_Toc21626013"/>
      <w:r w:rsidRPr="00E84311">
        <w:rPr>
          <w:szCs w:val="24"/>
        </w:rPr>
        <w:t>La intervención del Comité de Transparencia.</w:t>
      </w:r>
      <w:bookmarkEnd w:id="97"/>
      <w:bookmarkEnd w:id="98"/>
      <w:bookmarkEnd w:id="99"/>
    </w:p>
    <w:p w14:paraId="13C9966E" w14:textId="77777777" w:rsidR="00F92A8F" w:rsidRPr="00E84311" w:rsidRDefault="00F92A8F" w:rsidP="00E84311">
      <w:pPr>
        <w:pStyle w:val="Prrafodelista"/>
        <w:spacing w:line="360" w:lineRule="auto"/>
        <w:ind w:left="0"/>
        <w:jc w:val="both"/>
        <w:rPr>
          <w:rFonts w:ascii="Palatino Linotype" w:hAnsi="Palatino Linotype" w:cs="Arial"/>
          <w:b/>
          <w:color w:val="000000" w:themeColor="text1"/>
        </w:rPr>
      </w:pPr>
    </w:p>
    <w:p w14:paraId="379CC39E" w14:textId="77777777" w:rsidR="00F92A8F" w:rsidRPr="00E84311" w:rsidRDefault="00F92A8F" w:rsidP="00E84311">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100" w:name="_Toc485631704"/>
      <w:bookmarkStart w:id="101" w:name="_Toc21600977"/>
      <w:bookmarkStart w:id="102" w:name="_Toc21626014"/>
      <w:r w:rsidRPr="00E84311">
        <w:rPr>
          <w:szCs w:val="24"/>
        </w:rPr>
        <w:t>Formalidades para emitir el acuerdo de clasificación.</w:t>
      </w:r>
      <w:bookmarkEnd w:id="100"/>
      <w:bookmarkEnd w:id="101"/>
      <w:bookmarkEnd w:id="102"/>
    </w:p>
    <w:p w14:paraId="14094D15" w14:textId="77777777" w:rsidR="00F92A8F" w:rsidRPr="00E84311" w:rsidRDefault="00F92A8F" w:rsidP="00E84311">
      <w:pPr>
        <w:pStyle w:val="Prrafodelista"/>
        <w:spacing w:line="360" w:lineRule="auto"/>
        <w:ind w:left="0"/>
        <w:jc w:val="both"/>
        <w:rPr>
          <w:rFonts w:ascii="Palatino Linotype" w:hAnsi="Palatino Linotype" w:cs="Arial"/>
          <w:color w:val="000000" w:themeColor="text1"/>
        </w:rPr>
      </w:pPr>
    </w:p>
    <w:p w14:paraId="43DED973" w14:textId="77777777" w:rsidR="00F92A8F" w:rsidRPr="00E84311" w:rsidRDefault="00F92A8F" w:rsidP="00E84311">
      <w:pPr>
        <w:pStyle w:val="Prrafodelista"/>
        <w:numPr>
          <w:ilvl w:val="0"/>
          <w:numId w:val="1"/>
        </w:numPr>
        <w:spacing w:after="160" w:line="360" w:lineRule="auto"/>
        <w:ind w:left="0" w:firstLine="0"/>
        <w:jc w:val="both"/>
        <w:rPr>
          <w:rFonts w:ascii="Palatino Linotype" w:eastAsia="Times New Roman" w:hAnsi="Palatino Linotype"/>
          <w:color w:val="000000" w:themeColor="text1"/>
          <w:lang w:eastAsia="es-ES_tradnl"/>
        </w:rPr>
      </w:pPr>
      <w:r w:rsidRPr="00E84311">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E84311">
        <w:rPr>
          <w:rFonts w:ascii="Palatino Linotype" w:hAnsi="Palatino Linotype"/>
          <w:color w:val="000000" w:themeColor="text1"/>
        </w:rPr>
        <w:t xml:space="preserve">la fracción III del numeral Segundo de los </w:t>
      </w:r>
      <w:r w:rsidRPr="00E84311">
        <w:rPr>
          <w:rFonts w:ascii="Palatino Linotype" w:hAnsi="Palatino Linotype" w:cs="Arial"/>
          <w:b/>
          <w:color w:val="000000" w:themeColor="text1"/>
        </w:rPr>
        <w:t>Lineamientos generales en materia de clasificación y desclasificación de la información, así como para la elaboración de versiones públicas</w:t>
      </w:r>
      <w:r w:rsidRPr="00E84311">
        <w:rPr>
          <w:rFonts w:ascii="Palatino Linotype" w:hAnsi="Palatino Linotype" w:cs="Arial"/>
          <w:color w:val="000000" w:themeColor="text1"/>
        </w:rPr>
        <w:t>, en adelante los Lineamientos Generales,</w:t>
      </w:r>
      <w:r w:rsidRPr="00E84311">
        <w:rPr>
          <w:rFonts w:ascii="Palatino Linotype" w:hAnsi="Palatino Linotype"/>
          <w:color w:val="000000" w:themeColor="text1"/>
        </w:rPr>
        <w:t xml:space="preserve"> </w:t>
      </w:r>
      <w:r w:rsidRPr="00E84311">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748DACE" w14:textId="77777777" w:rsidR="00F92A8F" w:rsidRPr="00E84311" w:rsidRDefault="00F92A8F" w:rsidP="00E84311">
      <w:pPr>
        <w:pStyle w:val="Prrafodelista"/>
        <w:spacing w:after="160" w:line="360" w:lineRule="auto"/>
        <w:ind w:left="0"/>
        <w:jc w:val="both"/>
        <w:rPr>
          <w:rFonts w:ascii="Palatino Linotype" w:eastAsia="Times New Roman" w:hAnsi="Palatino Linotype"/>
          <w:color w:val="000000" w:themeColor="text1"/>
          <w:lang w:eastAsia="es-ES_tradnl"/>
        </w:rPr>
      </w:pPr>
    </w:p>
    <w:p w14:paraId="20FEFC5C" w14:textId="77777777" w:rsidR="00F92A8F" w:rsidRPr="00E84311" w:rsidRDefault="00F92A8F" w:rsidP="00E84311">
      <w:pPr>
        <w:pStyle w:val="Prrafodelista"/>
        <w:numPr>
          <w:ilvl w:val="0"/>
          <w:numId w:val="1"/>
        </w:numPr>
        <w:spacing w:after="160" w:line="360" w:lineRule="auto"/>
        <w:ind w:left="0" w:firstLine="0"/>
        <w:jc w:val="both"/>
        <w:rPr>
          <w:rFonts w:ascii="Palatino Linotype" w:eastAsia="Times New Roman" w:hAnsi="Palatino Linotype"/>
          <w:color w:val="000000" w:themeColor="text1"/>
          <w:lang w:eastAsia="es-ES_tradnl"/>
        </w:rPr>
      </w:pPr>
      <w:r w:rsidRPr="00E84311">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12421FF" w14:textId="77777777" w:rsidR="00F92A8F" w:rsidRPr="00E84311" w:rsidRDefault="00F92A8F" w:rsidP="00E84311">
      <w:pPr>
        <w:pStyle w:val="Prrafodelista"/>
        <w:spacing w:after="160" w:line="360" w:lineRule="auto"/>
        <w:ind w:left="0"/>
        <w:jc w:val="both"/>
        <w:rPr>
          <w:rFonts w:ascii="Palatino Linotype" w:eastAsia="Times New Roman" w:hAnsi="Palatino Linotype"/>
          <w:color w:val="000000" w:themeColor="text1"/>
          <w:lang w:eastAsia="es-ES_tradnl"/>
        </w:rPr>
      </w:pPr>
    </w:p>
    <w:p w14:paraId="123925E8" w14:textId="77777777" w:rsidR="00F92A8F" w:rsidRPr="00E84311" w:rsidRDefault="00F92A8F" w:rsidP="00E84311">
      <w:pPr>
        <w:pStyle w:val="Prrafodelista"/>
        <w:numPr>
          <w:ilvl w:val="0"/>
          <w:numId w:val="1"/>
        </w:numPr>
        <w:spacing w:line="360" w:lineRule="auto"/>
        <w:ind w:left="0" w:firstLine="0"/>
        <w:jc w:val="both"/>
        <w:rPr>
          <w:rFonts w:ascii="Palatino Linotype" w:eastAsia="Times New Roman" w:hAnsi="Palatino Linotype"/>
          <w:color w:val="000000" w:themeColor="text1"/>
          <w:lang w:eastAsia="es-ES_tradnl"/>
        </w:rPr>
      </w:pPr>
      <w:r w:rsidRPr="00E84311">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56FE8E8" w14:textId="77777777" w:rsidR="00F92A8F" w:rsidRPr="00E84311" w:rsidRDefault="00F92A8F" w:rsidP="00E84311">
      <w:pPr>
        <w:spacing w:line="360" w:lineRule="auto"/>
        <w:jc w:val="both"/>
        <w:rPr>
          <w:rFonts w:ascii="Palatino Linotype" w:hAnsi="Palatino Linotype"/>
          <w:color w:val="000000" w:themeColor="text1"/>
        </w:rPr>
      </w:pPr>
    </w:p>
    <w:p w14:paraId="2146EBE4" w14:textId="77777777" w:rsidR="00F92A8F" w:rsidRPr="00E84311" w:rsidRDefault="00F92A8F" w:rsidP="00E84311">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103" w:name="_Toc485631705"/>
      <w:bookmarkStart w:id="104" w:name="_Toc21600978"/>
      <w:bookmarkStart w:id="105" w:name="_Toc21626015"/>
      <w:r w:rsidRPr="00E84311">
        <w:rPr>
          <w:szCs w:val="24"/>
        </w:rPr>
        <w:t>Requisitos de fondo del acuerdo de clasificación.</w:t>
      </w:r>
      <w:bookmarkEnd w:id="103"/>
      <w:bookmarkEnd w:id="104"/>
      <w:bookmarkEnd w:id="105"/>
    </w:p>
    <w:p w14:paraId="38D45AFA" w14:textId="77777777" w:rsidR="00F92A8F" w:rsidRPr="00E84311" w:rsidRDefault="00F92A8F" w:rsidP="00E84311">
      <w:pPr>
        <w:pStyle w:val="Prrafodelista"/>
        <w:spacing w:line="360" w:lineRule="auto"/>
        <w:ind w:left="0"/>
        <w:jc w:val="both"/>
        <w:rPr>
          <w:rFonts w:ascii="Palatino Linotype" w:hAnsi="Palatino Linotype" w:cs="Arial"/>
          <w:color w:val="000000" w:themeColor="text1"/>
        </w:rPr>
      </w:pPr>
    </w:p>
    <w:p w14:paraId="45B2F7CB" w14:textId="77777777" w:rsidR="00F92A8F" w:rsidRPr="00E84311" w:rsidRDefault="00F92A8F" w:rsidP="00E84311">
      <w:pPr>
        <w:pStyle w:val="Prrafodelista"/>
        <w:numPr>
          <w:ilvl w:val="0"/>
          <w:numId w:val="1"/>
        </w:numPr>
        <w:spacing w:after="160" w:line="360" w:lineRule="auto"/>
        <w:ind w:left="57" w:hanging="57"/>
        <w:jc w:val="both"/>
        <w:rPr>
          <w:rFonts w:ascii="Palatino Linotype" w:hAnsi="Palatino Linotype" w:cs="Arial"/>
          <w:color w:val="000000" w:themeColor="text1"/>
        </w:rPr>
      </w:pPr>
      <w:r w:rsidRPr="00E84311">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DD911D1" w14:textId="77777777" w:rsidR="00F92A8F" w:rsidRPr="00E84311" w:rsidRDefault="00F92A8F" w:rsidP="00E84311">
      <w:pPr>
        <w:pStyle w:val="Prrafodelista"/>
        <w:spacing w:after="160" w:line="360" w:lineRule="auto"/>
        <w:ind w:left="57"/>
        <w:jc w:val="both"/>
        <w:rPr>
          <w:rFonts w:ascii="Palatino Linotype" w:hAnsi="Palatino Linotype" w:cs="Arial"/>
          <w:color w:val="000000" w:themeColor="text1"/>
        </w:rPr>
      </w:pPr>
    </w:p>
    <w:p w14:paraId="0B8D6E6C" w14:textId="77777777" w:rsidR="00F92A8F" w:rsidRPr="00E84311" w:rsidRDefault="00F92A8F" w:rsidP="00E84311">
      <w:pPr>
        <w:pStyle w:val="Prrafodelista"/>
        <w:numPr>
          <w:ilvl w:val="0"/>
          <w:numId w:val="1"/>
        </w:numPr>
        <w:spacing w:after="160" w:line="360" w:lineRule="auto"/>
        <w:ind w:left="57" w:hanging="57"/>
        <w:jc w:val="both"/>
        <w:rPr>
          <w:rFonts w:ascii="Palatino Linotype" w:hAnsi="Palatino Linotype" w:cs="Arial"/>
          <w:color w:val="000000" w:themeColor="text1"/>
        </w:rPr>
      </w:pPr>
      <w:r w:rsidRPr="00E84311">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BD1E380" w14:textId="77777777" w:rsidR="00F92A8F" w:rsidRPr="00E84311" w:rsidRDefault="00F92A8F" w:rsidP="00E84311">
      <w:pPr>
        <w:pStyle w:val="Prrafodelista"/>
        <w:spacing w:after="160" w:line="360" w:lineRule="auto"/>
        <w:ind w:left="57"/>
        <w:jc w:val="both"/>
        <w:rPr>
          <w:rFonts w:ascii="Palatino Linotype" w:hAnsi="Palatino Linotype" w:cs="Arial"/>
          <w:color w:val="000000" w:themeColor="text1"/>
        </w:rPr>
      </w:pPr>
    </w:p>
    <w:p w14:paraId="4E117D2A" w14:textId="77777777" w:rsidR="00F92A8F" w:rsidRPr="00E84311" w:rsidRDefault="00F92A8F" w:rsidP="00E84311">
      <w:pPr>
        <w:pStyle w:val="Prrafodelista"/>
        <w:numPr>
          <w:ilvl w:val="0"/>
          <w:numId w:val="1"/>
        </w:numPr>
        <w:spacing w:after="160" w:line="360" w:lineRule="auto"/>
        <w:ind w:left="57" w:hanging="57"/>
        <w:jc w:val="both"/>
        <w:rPr>
          <w:rFonts w:ascii="Palatino Linotype" w:hAnsi="Palatino Linotype" w:cs="Arial"/>
          <w:color w:val="000000" w:themeColor="text1"/>
        </w:rPr>
      </w:pPr>
      <w:r w:rsidRPr="00E84311">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84311">
        <w:rPr>
          <w:rStyle w:val="Refdenotaalpie"/>
          <w:rFonts w:ascii="Palatino Linotype" w:eastAsia="Times New Roman" w:hAnsi="Palatino Linotype" w:cs="Arial"/>
          <w:color w:val="000000" w:themeColor="text1"/>
          <w:lang w:eastAsia="es-MX"/>
        </w:rPr>
        <w:footnoteReference w:id="5"/>
      </w:r>
    </w:p>
    <w:p w14:paraId="0FFBA208" w14:textId="77777777" w:rsidR="00F92A8F" w:rsidRPr="00E84311" w:rsidRDefault="00F92A8F" w:rsidP="00E84311">
      <w:pPr>
        <w:pStyle w:val="Prrafodelista"/>
        <w:spacing w:after="160" w:line="360" w:lineRule="auto"/>
        <w:ind w:left="57"/>
        <w:jc w:val="both"/>
        <w:rPr>
          <w:rFonts w:ascii="Palatino Linotype" w:hAnsi="Palatino Linotype" w:cs="Arial"/>
          <w:color w:val="000000" w:themeColor="text1"/>
        </w:rPr>
      </w:pPr>
    </w:p>
    <w:p w14:paraId="4383C45A" w14:textId="77777777" w:rsidR="00F92A8F" w:rsidRPr="00E84311" w:rsidRDefault="00F92A8F" w:rsidP="00E84311">
      <w:pPr>
        <w:pStyle w:val="Prrafodelista"/>
        <w:numPr>
          <w:ilvl w:val="0"/>
          <w:numId w:val="1"/>
        </w:numPr>
        <w:spacing w:after="160" w:line="360" w:lineRule="auto"/>
        <w:ind w:left="57" w:hanging="57"/>
        <w:jc w:val="both"/>
        <w:rPr>
          <w:rFonts w:ascii="Palatino Linotype" w:hAnsi="Palatino Linotype" w:cs="Arial"/>
          <w:color w:val="000000" w:themeColor="text1"/>
        </w:rPr>
      </w:pPr>
      <w:r w:rsidRPr="00E84311">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1109A6C" w14:textId="77777777" w:rsidR="00F92A8F" w:rsidRPr="00E84311" w:rsidRDefault="00F92A8F" w:rsidP="00E84311">
      <w:pPr>
        <w:spacing w:line="360" w:lineRule="auto"/>
        <w:ind w:right="618"/>
        <w:contextualSpacing/>
        <w:jc w:val="both"/>
        <w:rPr>
          <w:rFonts w:ascii="Palatino Linotype" w:hAnsi="Palatino Linotype" w:cs="Arial"/>
          <w:color w:val="000000" w:themeColor="text1"/>
        </w:rPr>
      </w:pPr>
    </w:p>
    <w:p w14:paraId="6500E006" w14:textId="77777777" w:rsidR="00F92A8F" w:rsidRPr="00E84311" w:rsidRDefault="00F92A8F" w:rsidP="00E84311">
      <w:pPr>
        <w:spacing w:line="360" w:lineRule="auto"/>
        <w:ind w:left="567" w:right="618"/>
        <w:contextualSpacing/>
        <w:jc w:val="both"/>
        <w:rPr>
          <w:rFonts w:ascii="Palatino Linotype" w:hAnsi="Palatino Linotype" w:cs="Arial"/>
          <w:i/>
          <w:color w:val="000000" w:themeColor="text1"/>
        </w:rPr>
      </w:pPr>
      <w:r w:rsidRPr="00E84311">
        <w:rPr>
          <w:rFonts w:ascii="Palatino Linotype" w:hAnsi="Palatino Linotype" w:cs="Arial"/>
          <w:b/>
          <w:i/>
          <w:color w:val="000000" w:themeColor="text1"/>
        </w:rPr>
        <w:t>FUNDAMENTACIÓN Y MOTIVACIÓN.</w:t>
      </w:r>
      <w:r w:rsidRPr="00E84311">
        <w:rPr>
          <w:rFonts w:ascii="Palatino Linotype" w:hAnsi="Palatino Linotype" w:cs="Arial"/>
          <w:i/>
          <w:color w:val="000000" w:themeColor="text1"/>
        </w:rPr>
        <w:t xml:space="preserve"> La </w:t>
      </w:r>
      <w:r w:rsidRPr="00E84311">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84311">
        <w:rPr>
          <w:rFonts w:ascii="Palatino Linotype" w:hAnsi="Palatino Linotype" w:cs="Arial"/>
          <w:i/>
          <w:color w:val="000000" w:themeColor="text1"/>
        </w:rPr>
        <w:t>.</w:t>
      </w:r>
    </w:p>
    <w:p w14:paraId="6D9F2842" w14:textId="77777777" w:rsidR="00F92A8F" w:rsidRPr="00E84311" w:rsidRDefault="00F92A8F" w:rsidP="00E84311">
      <w:pPr>
        <w:spacing w:line="360" w:lineRule="auto"/>
        <w:ind w:left="567" w:right="618"/>
        <w:contextualSpacing/>
        <w:jc w:val="both"/>
        <w:rPr>
          <w:rFonts w:ascii="Palatino Linotype" w:hAnsi="Palatino Linotype" w:cs="Arial"/>
          <w:i/>
          <w:color w:val="000000" w:themeColor="text1"/>
        </w:rPr>
      </w:pPr>
      <w:r w:rsidRPr="00E84311">
        <w:rPr>
          <w:rFonts w:ascii="Palatino Linotype" w:hAnsi="Palatino Linotype" w:cs="Arial"/>
          <w:i/>
          <w:color w:val="000000" w:themeColor="text1"/>
        </w:rPr>
        <w:t>SEGUNDO TRIBUNAL COLEGIADO DEL SEXTO CIRCUITO.</w:t>
      </w:r>
    </w:p>
    <w:p w14:paraId="0DD86344" w14:textId="77777777" w:rsidR="00F92A8F" w:rsidRPr="00E84311" w:rsidRDefault="00F92A8F" w:rsidP="00E84311">
      <w:pPr>
        <w:spacing w:line="360" w:lineRule="auto"/>
        <w:ind w:left="567" w:right="618"/>
        <w:contextualSpacing/>
        <w:jc w:val="both"/>
        <w:rPr>
          <w:rFonts w:ascii="Palatino Linotype" w:hAnsi="Palatino Linotype" w:cs="Arial"/>
          <w:i/>
          <w:color w:val="000000" w:themeColor="text1"/>
        </w:rPr>
      </w:pPr>
      <w:r w:rsidRPr="00E84311">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4164E1C6" w14:textId="77777777" w:rsidR="00F92A8F" w:rsidRPr="00E84311" w:rsidRDefault="00F92A8F" w:rsidP="00E84311">
      <w:pPr>
        <w:spacing w:line="360" w:lineRule="auto"/>
        <w:ind w:left="567" w:right="618"/>
        <w:contextualSpacing/>
        <w:jc w:val="both"/>
        <w:rPr>
          <w:rFonts w:ascii="Palatino Linotype" w:hAnsi="Palatino Linotype" w:cs="Arial"/>
          <w:i/>
          <w:color w:val="000000" w:themeColor="text1"/>
        </w:rPr>
      </w:pPr>
      <w:r w:rsidRPr="00E84311">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56363A00" w14:textId="77777777" w:rsidR="00F92A8F" w:rsidRPr="00E84311" w:rsidRDefault="00F92A8F" w:rsidP="00E84311">
      <w:pPr>
        <w:spacing w:line="360" w:lineRule="auto"/>
        <w:ind w:left="567" w:right="618"/>
        <w:contextualSpacing/>
        <w:jc w:val="both"/>
        <w:rPr>
          <w:rFonts w:ascii="Palatino Linotype" w:hAnsi="Palatino Linotype" w:cs="Arial"/>
          <w:i/>
          <w:color w:val="000000" w:themeColor="text1"/>
        </w:rPr>
      </w:pPr>
      <w:r w:rsidRPr="00E84311">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795C005E" w14:textId="77777777" w:rsidR="00F92A8F" w:rsidRPr="00E84311" w:rsidRDefault="00F92A8F" w:rsidP="00E84311">
      <w:pPr>
        <w:spacing w:line="360" w:lineRule="auto"/>
        <w:ind w:left="567" w:right="618"/>
        <w:contextualSpacing/>
        <w:jc w:val="both"/>
        <w:rPr>
          <w:rFonts w:ascii="Palatino Linotype" w:hAnsi="Palatino Linotype" w:cs="Arial"/>
          <w:i/>
          <w:color w:val="000000" w:themeColor="text1"/>
        </w:rPr>
      </w:pPr>
      <w:r w:rsidRPr="00E84311">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59870557" w14:textId="77777777" w:rsidR="00F92A8F" w:rsidRPr="00E84311" w:rsidRDefault="00F92A8F" w:rsidP="00E84311">
      <w:pPr>
        <w:spacing w:line="360" w:lineRule="auto"/>
        <w:ind w:left="567" w:right="618"/>
        <w:contextualSpacing/>
        <w:jc w:val="both"/>
        <w:rPr>
          <w:rFonts w:ascii="Palatino Linotype" w:hAnsi="Palatino Linotype" w:cs="Arial"/>
          <w:i/>
          <w:color w:val="000000" w:themeColor="text1"/>
        </w:rPr>
      </w:pPr>
      <w:r w:rsidRPr="00E84311">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r w:rsidRPr="00E84311">
        <w:rPr>
          <w:rStyle w:val="Refdenotaalpie"/>
          <w:rFonts w:ascii="Palatino Linotype" w:hAnsi="Palatino Linotype" w:cs="Arial"/>
          <w:i/>
          <w:color w:val="000000" w:themeColor="text1"/>
        </w:rPr>
        <w:footnoteReference w:id="6"/>
      </w:r>
    </w:p>
    <w:p w14:paraId="2BE4C9BA" w14:textId="77777777" w:rsidR="00F92A8F" w:rsidRPr="00E84311" w:rsidRDefault="00F92A8F" w:rsidP="00E84311">
      <w:pPr>
        <w:spacing w:line="360" w:lineRule="auto"/>
        <w:ind w:right="618"/>
        <w:contextualSpacing/>
        <w:jc w:val="both"/>
        <w:rPr>
          <w:rFonts w:ascii="Palatino Linotype" w:hAnsi="Palatino Linotype" w:cs="Arial"/>
          <w:color w:val="000000" w:themeColor="text1"/>
        </w:rPr>
      </w:pPr>
    </w:p>
    <w:p w14:paraId="031BA65D" w14:textId="77777777" w:rsidR="00F92A8F" w:rsidRPr="00E84311" w:rsidRDefault="00F92A8F" w:rsidP="00E8431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E84311">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C9DD54" w14:textId="77777777" w:rsidR="00F92A8F" w:rsidRPr="00E84311" w:rsidRDefault="00F92A8F" w:rsidP="00E8431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93CCB6B" w14:textId="77777777" w:rsidR="00F92A8F" w:rsidRPr="00E84311" w:rsidRDefault="00F92A8F" w:rsidP="00E8431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E84311">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C548191" w14:textId="77777777" w:rsidR="00F92A8F" w:rsidRPr="00E84311" w:rsidRDefault="00F92A8F" w:rsidP="00E8431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0FB6C45" w14:textId="77777777" w:rsidR="00F92A8F" w:rsidRDefault="00F92A8F" w:rsidP="00E8431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E84311">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2C02C75F" w14:textId="77777777" w:rsidR="00647566" w:rsidRPr="00E84311" w:rsidRDefault="00647566" w:rsidP="00647566">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8756FAE" w14:textId="77777777" w:rsidR="00F92A8F" w:rsidRPr="00E84311" w:rsidRDefault="00F92A8F" w:rsidP="00E84311">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E84311">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w:t>
      </w:r>
    </w:p>
    <w:p w14:paraId="3C4A2D2B" w14:textId="77777777" w:rsidR="00F92A8F" w:rsidRPr="00E84311" w:rsidRDefault="00F92A8F" w:rsidP="00E84311">
      <w:pPr>
        <w:pStyle w:val="Prrafodelista"/>
        <w:spacing w:line="360" w:lineRule="auto"/>
        <w:ind w:left="0"/>
        <w:jc w:val="both"/>
        <w:rPr>
          <w:rFonts w:ascii="Palatino Linotype" w:hAnsi="Palatino Linotype" w:cs="Arial"/>
          <w:color w:val="000000" w:themeColor="text1"/>
        </w:rPr>
      </w:pPr>
    </w:p>
    <w:p w14:paraId="04B3A4FD" w14:textId="77777777" w:rsidR="00F92A8F" w:rsidRPr="00E84311" w:rsidRDefault="00F92A8F" w:rsidP="00E84311">
      <w:pPr>
        <w:pStyle w:val="Ttulo2"/>
        <w:numPr>
          <w:ilvl w:val="0"/>
          <w:numId w:val="7"/>
        </w:numPr>
        <w:pBdr>
          <w:top w:val="nil"/>
          <w:left w:val="nil"/>
          <w:bottom w:val="nil"/>
          <w:right w:val="nil"/>
          <w:between w:val="nil"/>
          <w:bar w:val="nil"/>
        </w:pBdr>
        <w:spacing w:before="0" w:line="360" w:lineRule="auto"/>
        <w:ind w:left="0" w:firstLine="0"/>
        <w:jc w:val="both"/>
        <w:rPr>
          <w:b w:val="0"/>
          <w:szCs w:val="24"/>
        </w:rPr>
      </w:pPr>
      <w:bookmarkStart w:id="106" w:name="_Toc485631706"/>
      <w:bookmarkStart w:id="107" w:name="_Toc21600979"/>
      <w:bookmarkStart w:id="108" w:name="_Toc21626016"/>
      <w:r w:rsidRPr="00E84311">
        <w:rPr>
          <w:szCs w:val="24"/>
        </w:rPr>
        <w:t>Condiciones especiales de la clasificación de la información como reservada</w:t>
      </w:r>
      <w:bookmarkEnd w:id="106"/>
      <w:r w:rsidRPr="00E84311">
        <w:rPr>
          <w:szCs w:val="24"/>
        </w:rPr>
        <w:t>.</w:t>
      </w:r>
      <w:bookmarkEnd w:id="107"/>
      <w:bookmarkEnd w:id="108"/>
    </w:p>
    <w:p w14:paraId="7ACD33A1" w14:textId="77777777" w:rsidR="00F92A8F" w:rsidRPr="00E84311" w:rsidRDefault="00F92A8F" w:rsidP="00E84311">
      <w:pPr>
        <w:pStyle w:val="Prrafodelista"/>
        <w:spacing w:line="360" w:lineRule="auto"/>
        <w:ind w:left="0"/>
        <w:jc w:val="both"/>
        <w:rPr>
          <w:rFonts w:ascii="Palatino Linotype" w:hAnsi="Palatino Linotype" w:cs="Arial"/>
          <w:b/>
          <w:color w:val="000000" w:themeColor="text1"/>
        </w:rPr>
      </w:pPr>
    </w:p>
    <w:p w14:paraId="2D42B0C2" w14:textId="77777777" w:rsidR="00F92A8F" w:rsidRPr="00E84311" w:rsidRDefault="00F92A8F" w:rsidP="00E84311">
      <w:pPr>
        <w:pStyle w:val="Ttulo3"/>
        <w:numPr>
          <w:ilvl w:val="0"/>
          <w:numId w:val="38"/>
        </w:numPr>
        <w:pBdr>
          <w:top w:val="nil"/>
          <w:left w:val="nil"/>
          <w:bottom w:val="nil"/>
          <w:right w:val="nil"/>
          <w:between w:val="nil"/>
          <w:bar w:val="nil"/>
        </w:pBdr>
        <w:spacing w:before="0" w:line="360" w:lineRule="auto"/>
        <w:ind w:left="0" w:firstLine="0"/>
        <w:rPr>
          <w:rFonts w:ascii="Palatino Linotype" w:hAnsi="Palatino Linotype"/>
          <w:b/>
          <w:color w:val="000000" w:themeColor="text1"/>
        </w:rPr>
      </w:pPr>
      <w:bookmarkStart w:id="109" w:name="_Toc485631707"/>
      <w:bookmarkStart w:id="110" w:name="_Toc21600980"/>
      <w:bookmarkStart w:id="111" w:name="_Toc21626017"/>
      <w:r w:rsidRPr="00E84311">
        <w:rPr>
          <w:rFonts w:ascii="Palatino Linotype" w:hAnsi="Palatino Linotype"/>
          <w:b/>
          <w:color w:val="000000" w:themeColor="text1"/>
        </w:rPr>
        <w:t>La fundamentación específica.</w:t>
      </w:r>
      <w:bookmarkEnd w:id="109"/>
      <w:bookmarkEnd w:id="110"/>
      <w:bookmarkEnd w:id="111"/>
    </w:p>
    <w:p w14:paraId="7283D352" w14:textId="77777777" w:rsidR="00F92A8F" w:rsidRPr="00E84311" w:rsidRDefault="00F92A8F" w:rsidP="00E84311">
      <w:pPr>
        <w:pStyle w:val="Prrafodelista"/>
        <w:spacing w:line="360" w:lineRule="auto"/>
        <w:ind w:left="0"/>
        <w:jc w:val="both"/>
        <w:rPr>
          <w:rFonts w:ascii="Palatino Linotype" w:hAnsi="Palatino Linotype" w:cs="Arial"/>
          <w:b/>
          <w:color w:val="000000" w:themeColor="text1"/>
        </w:rPr>
      </w:pPr>
    </w:p>
    <w:p w14:paraId="464EF09E"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s="Arial"/>
          <w:color w:val="000000" w:themeColor="text1"/>
        </w:rPr>
      </w:pPr>
      <w:r w:rsidRPr="00E84311">
        <w:rPr>
          <w:rFonts w:ascii="Palatino Linotype" w:hAnsi="Palatino Linotype" w:cs="Arial"/>
          <w:color w:val="000000" w:themeColor="text1"/>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5D71B2BE" w14:textId="77777777" w:rsidR="00F92A8F" w:rsidRPr="00E84311" w:rsidRDefault="00F92A8F" w:rsidP="00E84311">
      <w:pPr>
        <w:pStyle w:val="Prrafodelista"/>
        <w:spacing w:line="360" w:lineRule="auto"/>
        <w:ind w:left="0"/>
        <w:jc w:val="both"/>
        <w:rPr>
          <w:rFonts w:ascii="Palatino Linotype" w:hAnsi="Palatino Linotype" w:cs="Arial"/>
          <w:b/>
          <w:color w:val="000000" w:themeColor="text1"/>
        </w:rPr>
      </w:pPr>
    </w:p>
    <w:p w14:paraId="6DE2F897" w14:textId="77777777" w:rsidR="00F92A8F" w:rsidRPr="00E84311" w:rsidRDefault="00F92A8F" w:rsidP="00E84311">
      <w:pPr>
        <w:pStyle w:val="Ttulo3"/>
        <w:numPr>
          <w:ilvl w:val="0"/>
          <w:numId w:val="38"/>
        </w:numPr>
        <w:pBdr>
          <w:top w:val="nil"/>
          <w:left w:val="nil"/>
          <w:bottom w:val="nil"/>
          <w:right w:val="nil"/>
          <w:between w:val="nil"/>
          <w:bar w:val="nil"/>
        </w:pBdr>
        <w:spacing w:line="360" w:lineRule="auto"/>
        <w:ind w:left="0" w:firstLine="0"/>
        <w:rPr>
          <w:rFonts w:ascii="Palatino Linotype" w:hAnsi="Palatino Linotype"/>
          <w:b/>
          <w:color w:val="000000" w:themeColor="text1"/>
        </w:rPr>
      </w:pPr>
      <w:bookmarkStart w:id="112" w:name="_Toc485631708"/>
      <w:bookmarkStart w:id="113" w:name="_Toc21600981"/>
      <w:bookmarkStart w:id="114" w:name="_Toc21626018"/>
      <w:r w:rsidRPr="00E84311">
        <w:rPr>
          <w:rFonts w:ascii="Palatino Linotype" w:hAnsi="Palatino Linotype"/>
          <w:b/>
          <w:color w:val="000000" w:themeColor="text1"/>
        </w:rPr>
        <w:t>La prueba de daño.</w:t>
      </w:r>
      <w:bookmarkEnd w:id="112"/>
      <w:bookmarkEnd w:id="113"/>
      <w:bookmarkEnd w:id="114"/>
    </w:p>
    <w:p w14:paraId="3767A354" w14:textId="77777777" w:rsidR="00F92A8F" w:rsidRPr="00E84311" w:rsidRDefault="00F92A8F" w:rsidP="00E84311">
      <w:pPr>
        <w:pStyle w:val="Prrafodelista"/>
        <w:spacing w:line="360" w:lineRule="auto"/>
        <w:ind w:left="0"/>
        <w:jc w:val="both"/>
        <w:rPr>
          <w:rFonts w:ascii="Palatino Linotype" w:hAnsi="Palatino Linotype"/>
          <w:color w:val="000000" w:themeColor="text1"/>
        </w:rPr>
      </w:pPr>
    </w:p>
    <w:p w14:paraId="1DF1ABB4"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B54D83A" w14:textId="77777777" w:rsidR="00F92A8F" w:rsidRPr="00E84311" w:rsidRDefault="00F92A8F" w:rsidP="00E84311">
      <w:pPr>
        <w:pStyle w:val="Prrafodelista"/>
        <w:spacing w:after="160" w:line="360" w:lineRule="auto"/>
        <w:ind w:left="0"/>
        <w:jc w:val="both"/>
        <w:rPr>
          <w:rFonts w:ascii="Palatino Linotype" w:hAnsi="Palatino Linotype"/>
          <w:color w:val="000000" w:themeColor="text1"/>
        </w:rPr>
      </w:pPr>
    </w:p>
    <w:p w14:paraId="60F81FFB"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Para aplicar la prueba de daño, se deberán de precisar la razones objetivas por las que la apertura genera una afectación, acreditando que:</w:t>
      </w:r>
    </w:p>
    <w:p w14:paraId="29EFC424" w14:textId="77777777" w:rsidR="00F92A8F" w:rsidRPr="00E84311" w:rsidRDefault="00F92A8F" w:rsidP="00E8431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4311">
        <w:rPr>
          <w:rFonts w:ascii="Palatino Linotype" w:hAnsi="Palatino Linotype" w:cs="Bookman Old Style"/>
          <w:bCs/>
          <w:color w:val="000000" w:themeColor="text1"/>
        </w:rPr>
        <w:t xml:space="preserve">I. </w:t>
      </w:r>
      <w:r w:rsidRPr="00E84311">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14:paraId="6E445864" w14:textId="77777777" w:rsidR="00F92A8F" w:rsidRPr="00E84311" w:rsidRDefault="00F92A8F" w:rsidP="00E8431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4311">
        <w:rPr>
          <w:rFonts w:ascii="Palatino Linotype" w:hAnsi="Palatino Linotype" w:cs="Bookman Old Style"/>
          <w:bCs/>
          <w:color w:val="000000" w:themeColor="text1"/>
        </w:rPr>
        <w:t xml:space="preserve">II. </w:t>
      </w:r>
      <w:r w:rsidRPr="00E84311">
        <w:rPr>
          <w:rFonts w:ascii="Palatino Linotype" w:hAnsi="Palatino Linotype" w:cs="Bookman Old Style"/>
          <w:color w:val="000000" w:themeColor="text1"/>
        </w:rPr>
        <w:t xml:space="preserve">El riesgo de perjuicio que supondría la divulgación supera el interés público general de que se difunda; y </w:t>
      </w:r>
    </w:p>
    <w:p w14:paraId="4EFFE0D3" w14:textId="77777777" w:rsidR="00F92A8F" w:rsidRPr="00E84311" w:rsidRDefault="00F92A8F" w:rsidP="00E84311">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E84311">
        <w:rPr>
          <w:rFonts w:ascii="Palatino Linotype" w:hAnsi="Palatino Linotype" w:cs="Bookman Old Style"/>
          <w:bCs/>
          <w:color w:val="000000" w:themeColor="text1"/>
        </w:rPr>
        <w:t xml:space="preserve">III. </w:t>
      </w:r>
      <w:r w:rsidRPr="00E84311">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14:paraId="4960D917" w14:textId="77777777" w:rsidR="00F92A8F" w:rsidRPr="00E84311" w:rsidRDefault="00F92A8F" w:rsidP="00E84311">
      <w:pPr>
        <w:spacing w:line="360" w:lineRule="auto"/>
        <w:jc w:val="both"/>
        <w:rPr>
          <w:rFonts w:ascii="Palatino Linotype" w:hAnsi="Palatino Linotype"/>
          <w:color w:val="000000" w:themeColor="text1"/>
        </w:rPr>
      </w:pPr>
    </w:p>
    <w:p w14:paraId="23752A6A" w14:textId="77777777" w:rsidR="00F92A8F" w:rsidRPr="00E84311" w:rsidRDefault="00F92A8F" w:rsidP="00E84311">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E84311">
        <w:rPr>
          <w:rFonts w:ascii="Palatino Linotype" w:hAnsi="Palatino Linotype"/>
          <w:color w:val="000000" w:themeColor="text1"/>
        </w:rPr>
        <w:t>Sobre el primer supuesto consideremos que según el diccionario del español jurídico, por riesgo podemos entender “la contingencia o proximidad de un daño”,</w:t>
      </w:r>
      <w:r w:rsidRPr="00E84311">
        <w:rPr>
          <w:rStyle w:val="Refdenotaalpie"/>
          <w:rFonts w:ascii="Palatino Linotype" w:hAnsi="Palatino Linotype"/>
          <w:color w:val="000000" w:themeColor="text1"/>
        </w:rPr>
        <w:footnoteReference w:id="7"/>
      </w:r>
      <w:r w:rsidRPr="00E84311">
        <w:rPr>
          <w:rFonts w:ascii="Palatino Linotype" w:hAnsi="Palatino Linotype"/>
          <w:color w:val="000000" w:themeColor="text1"/>
        </w:rPr>
        <w:t xml:space="preserve"> mientras que el daño es considerado como un “perjuicio o lesión”</w:t>
      </w:r>
      <w:r w:rsidRPr="00E84311">
        <w:rPr>
          <w:rStyle w:val="Refdenotaalpie"/>
          <w:rFonts w:ascii="Palatino Linotype" w:hAnsi="Palatino Linotype"/>
          <w:color w:val="000000" w:themeColor="text1"/>
        </w:rPr>
        <w:footnoteReference w:id="8"/>
      </w:r>
      <w:r w:rsidRPr="00E84311">
        <w:rPr>
          <w:rFonts w:ascii="Palatino Linotype" w:hAnsi="Palatino Linotype"/>
          <w:color w:val="000000" w:themeColor="text1"/>
        </w:rPr>
        <w:t>, mientras que según el Diccionario de la Lengua Española, lo real es</w:t>
      </w:r>
      <w:r w:rsidRPr="00E84311">
        <w:rPr>
          <w:rFonts w:ascii="Palatino Linotype" w:eastAsia="Arial Unicode MS" w:hAnsi="Palatino Linotype" w:cs="Arial Unicode MS"/>
          <w:color w:val="000000" w:themeColor="text1"/>
          <w:spacing w:val="4"/>
          <w:shd w:val="clear" w:color="auto" w:fill="FFFFFF"/>
        </w:rPr>
        <w:t xml:space="preserve"> lo “</w:t>
      </w:r>
      <w:r w:rsidRPr="00E84311">
        <w:rPr>
          <w:rFonts w:ascii="Palatino Linotype" w:hAnsi="Palatino Linotype"/>
          <w:color w:val="000000" w:themeColor="text1"/>
        </w:rPr>
        <w:t>(que</w:t>
      </w:r>
      <w:r w:rsidRPr="00E84311">
        <w:rPr>
          <w:rFonts w:ascii="Palatino Linotype" w:eastAsia="Arial Unicode MS" w:hAnsi="Palatino Linotype" w:cs="Arial Unicode MS"/>
          <w:color w:val="000000" w:themeColor="text1"/>
          <w:spacing w:val="4"/>
          <w:shd w:val="clear" w:color="auto" w:fill="FFFFFF"/>
        </w:rPr>
        <w:t xml:space="preserve"> </w:t>
      </w:r>
      <w:r w:rsidRPr="00E84311">
        <w:rPr>
          <w:rFonts w:ascii="Palatino Linotype" w:hAnsi="Palatino Linotype"/>
          <w:color w:val="000000" w:themeColor="text1"/>
        </w:rPr>
        <w:t>tiene</w:t>
      </w:r>
      <w:r w:rsidRPr="00E84311">
        <w:rPr>
          <w:rFonts w:ascii="Palatino Linotype" w:eastAsia="Arial Unicode MS" w:hAnsi="Palatino Linotype" w:cs="Arial Unicode MS"/>
          <w:color w:val="000000" w:themeColor="text1"/>
          <w:spacing w:val="4"/>
          <w:shd w:val="clear" w:color="auto" w:fill="FFFFFF"/>
        </w:rPr>
        <w:t xml:space="preserve"> </w:t>
      </w:r>
      <w:r w:rsidRPr="00E84311">
        <w:rPr>
          <w:rFonts w:ascii="Palatino Linotype" w:hAnsi="Palatino Linotype"/>
          <w:color w:val="000000" w:themeColor="text1"/>
        </w:rPr>
        <w:t>existencia</w:t>
      </w:r>
      <w:r w:rsidRPr="00E84311">
        <w:rPr>
          <w:rFonts w:ascii="Palatino Linotype" w:eastAsia="Arial Unicode MS" w:hAnsi="Palatino Linotype" w:cs="Arial Unicode MS"/>
          <w:color w:val="000000" w:themeColor="text1"/>
          <w:spacing w:val="4"/>
          <w:shd w:val="clear" w:color="auto" w:fill="FFFFFF"/>
        </w:rPr>
        <w:t xml:space="preserve"> </w:t>
      </w:r>
      <w:r w:rsidRPr="00E84311">
        <w:rPr>
          <w:rFonts w:ascii="Palatino Linotype" w:hAnsi="Palatino Linotype"/>
          <w:color w:val="000000" w:themeColor="text1"/>
        </w:rPr>
        <w:t>objetiva”,</w:t>
      </w:r>
      <w:r w:rsidRPr="00E84311">
        <w:rPr>
          <w:rStyle w:val="Refdenotaalpie"/>
          <w:rFonts w:ascii="Palatino Linotype" w:hAnsi="Palatino Linotype"/>
          <w:color w:val="000000" w:themeColor="text1"/>
        </w:rPr>
        <w:footnoteReference w:id="9"/>
      </w:r>
      <w:r w:rsidRPr="00E84311">
        <w:rPr>
          <w:rFonts w:ascii="Palatino Linotype" w:hAnsi="Palatino Linotype"/>
          <w:color w:val="000000" w:themeColor="text1"/>
        </w:rPr>
        <w:t xml:space="preserve"> </w:t>
      </w:r>
      <w:r w:rsidRPr="00E84311">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E84311">
        <w:rPr>
          <w:rStyle w:val="Refdenotaalpie"/>
          <w:rFonts w:ascii="Palatino Linotype" w:eastAsia="Arial Unicode MS" w:hAnsi="Palatino Linotype" w:cs="Arial Unicode MS"/>
          <w:color w:val="000000" w:themeColor="text1"/>
          <w:spacing w:val="4"/>
          <w:shd w:val="clear" w:color="auto" w:fill="FFFFFF"/>
        </w:rPr>
        <w:footnoteReference w:id="10"/>
      </w:r>
      <w:r w:rsidRPr="00E84311">
        <w:rPr>
          <w:rFonts w:ascii="Palatino Linotype" w:eastAsia="Arial Unicode MS" w:hAnsi="Palatino Linotype" w:cs="Arial Unicode MS"/>
          <w:color w:val="000000" w:themeColor="text1"/>
          <w:spacing w:val="4"/>
          <w:shd w:val="clear" w:color="auto" w:fill="FFFFFF"/>
        </w:rPr>
        <w:t xml:space="preserve"> es decir, </w:t>
      </w:r>
      <w:r w:rsidRPr="00E84311">
        <w:rPr>
          <w:rFonts w:ascii="Palatino Linotype" w:hAnsi="Palatino Linotype" w:cstheme="minorBidi"/>
          <w:color w:val="000000" w:themeColor="text1"/>
          <w:lang w:eastAsia="en-US"/>
        </w:rPr>
        <w:t xml:space="preserve">“(manifestar, declarar. Probar, sirviéndose de cualquier género de demostración, </w:t>
      </w:r>
      <w:hyperlink r:id="rId9" w:anchor="6nAyKjE" w:history="1">
        <w:r w:rsidRPr="00E84311">
          <w:rPr>
            <w:rFonts w:ascii="Palatino Linotype" w:hAnsi="Palatino Linotype" w:cstheme="minorBidi"/>
            <w:color w:val="000000" w:themeColor="text1"/>
            <w:lang w:eastAsia="en-US"/>
          </w:rPr>
          <w:t>enseñar</w:t>
        </w:r>
      </w:hyperlink>
      <w:r w:rsidRPr="00E84311">
        <w:rPr>
          <w:rFonts w:ascii="Palatino Linotype" w:hAnsi="Palatino Linotype" w:cstheme="minorBidi"/>
          <w:color w:val="000000" w:themeColor="text1"/>
          <w:lang w:eastAsia="en-US"/>
        </w:rPr>
        <w:t xml:space="preserve"> mostrar o exponer algo)”.</w:t>
      </w:r>
      <w:r w:rsidRPr="00E84311">
        <w:rPr>
          <w:rStyle w:val="Refdenotaalpie"/>
          <w:rFonts w:ascii="Palatino Linotype" w:hAnsi="Palatino Linotype" w:cstheme="minorBidi"/>
          <w:color w:val="000000" w:themeColor="text1"/>
          <w:lang w:eastAsia="en-US"/>
        </w:rPr>
        <w:footnoteReference w:id="11"/>
      </w:r>
      <w:r w:rsidRPr="00E84311">
        <w:rPr>
          <w:rFonts w:ascii="Palatino Linotype" w:hAnsi="Palatino Linotype" w:cstheme="minorBidi"/>
          <w:color w:val="000000" w:themeColor="text1"/>
          <w:lang w:eastAsia="en-US"/>
        </w:rPr>
        <w:t xml:space="preserve"> Mientras que lo identificable es lo que puede ser identificado,</w:t>
      </w:r>
      <w:r w:rsidRPr="00E84311">
        <w:rPr>
          <w:rStyle w:val="Refdenotaalpie"/>
          <w:rFonts w:ascii="Palatino Linotype" w:hAnsi="Palatino Linotype" w:cstheme="minorBidi"/>
          <w:color w:val="000000" w:themeColor="text1"/>
          <w:lang w:eastAsia="en-US"/>
        </w:rPr>
        <w:footnoteReference w:id="12"/>
      </w:r>
      <w:r w:rsidRPr="00E84311">
        <w:rPr>
          <w:rFonts w:ascii="Palatino Linotype" w:hAnsi="Palatino Linotype" w:cstheme="minorBidi"/>
          <w:color w:val="000000" w:themeColor="text1"/>
          <w:lang w:eastAsia="en-US"/>
        </w:rPr>
        <w:t xml:space="preserve"> esto es,</w:t>
      </w:r>
      <w:r w:rsidRPr="00E84311">
        <w:rPr>
          <w:rFonts w:ascii="Palatino Linotype" w:hAnsi="Palatino Linotype" w:cstheme="minorBidi"/>
          <w:color w:val="000000" w:themeColor="text1"/>
        </w:rPr>
        <w:t xml:space="preserve"> “(dar los datos necesarios para ser reconocido”.</w:t>
      </w:r>
      <w:r w:rsidRPr="00E84311">
        <w:rPr>
          <w:rStyle w:val="Refdenotaalpie"/>
          <w:rFonts w:ascii="Palatino Linotype" w:hAnsi="Palatino Linotype" w:cstheme="minorBidi"/>
          <w:color w:val="000000" w:themeColor="text1"/>
        </w:rPr>
        <w:footnoteReference w:id="13"/>
      </w:r>
    </w:p>
    <w:p w14:paraId="60E8DCED" w14:textId="77777777" w:rsidR="00F92A8F" w:rsidRPr="00E84311" w:rsidRDefault="00F92A8F" w:rsidP="00E84311">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rPr>
      </w:pPr>
    </w:p>
    <w:p w14:paraId="607067AE" w14:textId="77777777" w:rsidR="00F92A8F" w:rsidRPr="00E84311" w:rsidRDefault="00F92A8F" w:rsidP="00E84311">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E84311">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3467A84" w14:textId="77777777" w:rsidR="00F92A8F" w:rsidRPr="00E84311" w:rsidRDefault="00F92A8F" w:rsidP="00E84311">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rPr>
      </w:pPr>
    </w:p>
    <w:p w14:paraId="51D700E7" w14:textId="77777777" w:rsidR="00F92A8F" w:rsidRPr="00E84311" w:rsidRDefault="00F92A8F" w:rsidP="00E84311">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E84311">
        <w:rPr>
          <w:rFonts w:ascii="Palatino Linotype" w:hAnsi="Palatino Linotype"/>
          <w:color w:val="000000" w:themeColor="text1"/>
        </w:rPr>
        <w:t>Identificado ese riesgo, se debe demostrar que el mismo supera el interés público general porque se difunda dicha información.</w:t>
      </w:r>
    </w:p>
    <w:p w14:paraId="404A8DC9" w14:textId="77777777" w:rsidR="00F92A8F" w:rsidRPr="00E84311" w:rsidRDefault="00F92A8F" w:rsidP="00E84311">
      <w:pPr>
        <w:pStyle w:val="Prrafodelista"/>
        <w:spacing w:after="160" w:line="360" w:lineRule="auto"/>
        <w:ind w:left="0"/>
        <w:jc w:val="both"/>
        <w:rPr>
          <w:rFonts w:ascii="Palatino Linotype" w:hAnsi="Palatino Linotype"/>
          <w:color w:val="000000" w:themeColor="text1"/>
        </w:rPr>
      </w:pPr>
    </w:p>
    <w:p w14:paraId="072E3921"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E84311">
        <w:rPr>
          <w:rStyle w:val="Refdenotaalpie"/>
          <w:rFonts w:ascii="Palatino Linotype" w:hAnsi="Palatino Linotype"/>
          <w:color w:val="000000" w:themeColor="text1"/>
        </w:rPr>
        <w:footnoteReference w:id="14"/>
      </w:r>
      <w:r w:rsidRPr="00E84311">
        <w:rPr>
          <w:rFonts w:ascii="Palatino Linotype" w:hAnsi="Palatino Linotype"/>
          <w:color w:val="000000" w:themeColor="text1"/>
        </w:rPr>
        <w:t>, siguiendo el principio de ponderación propuesto por el Tribunal Constitucional Alemán,</w:t>
      </w:r>
      <w:r w:rsidRPr="00E84311">
        <w:rPr>
          <w:rStyle w:val="Refdenotaalpie"/>
          <w:rFonts w:ascii="Palatino Linotype" w:hAnsi="Palatino Linotype"/>
          <w:color w:val="000000" w:themeColor="text1"/>
        </w:rPr>
        <w:footnoteReference w:id="15"/>
      </w:r>
      <w:r w:rsidRPr="00E84311">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3526A0D" w14:textId="77777777" w:rsidR="00F92A8F" w:rsidRPr="00E84311" w:rsidRDefault="00F92A8F" w:rsidP="00E84311">
      <w:pPr>
        <w:pStyle w:val="Prrafodelista"/>
        <w:spacing w:after="160" w:line="360" w:lineRule="auto"/>
        <w:ind w:left="0"/>
        <w:jc w:val="both"/>
        <w:rPr>
          <w:rFonts w:ascii="Palatino Linotype" w:hAnsi="Palatino Linotype"/>
          <w:color w:val="000000" w:themeColor="text1"/>
        </w:rPr>
      </w:pPr>
    </w:p>
    <w:p w14:paraId="5BBB3E00" w14:textId="77777777" w:rsidR="00F92A8F" w:rsidRPr="00E84311" w:rsidRDefault="00F92A8F" w:rsidP="00E84311">
      <w:pPr>
        <w:pStyle w:val="Prrafodelista"/>
        <w:numPr>
          <w:ilvl w:val="0"/>
          <w:numId w:val="1"/>
        </w:numPr>
        <w:spacing w:before="240" w:after="240" w:line="360" w:lineRule="auto"/>
        <w:ind w:left="0" w:firstLine="0"/>
        <w:jc w:val="both"/>
        <w:rPr>
          <w:rFonts w:ascii="Palatino Linotype" w:hAnsi="Palatino Linotype" w:cs="Arial"/>
          <w:lang w:val="es-MX"/>
        </w:rPr>
      </w:pPr>
      <w:r w:rsidRPr="00E84311">
        <w:rPr>
          <w:rFonts w:ascii="Palatino Linotype" w:hAnsi="Palatino Linotype" w:cs="Arial"/>
          <w:lang w:val="es-MX"/>
        </w:rPr>
        <w:t>No pasa desapercibido por este Órgano Garante que dentro de la documentación que se ordena entregar, puede existir información concerniente a aquellos servidores públicos que se encuentran encargados de la seguridad pública, la cual puede poner en riesgo a los integrantes de las corporaciones policiales,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dichas corporaciones policiales, por lo cual, relativo a esta información, deberá de ser entregada de forma disociada,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14:paraId="39467891" w14:textId="77777777" w:rsidR="00F92A8F" w:rsidRPr="00E84311" w:rsidRDefault="00F92A8F" w:rsidP="00E84311">
      <w:pPr>
        <w:spacing w:line="360" w:lineRule="auto"/>
        <w:ind w:left="567" w:right="567"/>
        <w:jc w:val="both"/>
        <w:rPr>
          <w:rFonts w:ascii="Palatino Linotype" w:eastAsia="Calibri" w:hAnsi="Palatino Linotype" w:cs="Arial"/>
          <w:bCs/>
          <w:i/>
          <w:noProof/>
          <w:lang w:val="es-MX" w:eastAsia="en-US"/>
        </w:rPr>
      </w:pPr>
      <w:r w:rsidRPr="00E84311">
        <w:rPr>
          <w:rFonts w:ascii="Palatino Linotype" w:eastAsia="Calibri" w:hAnsi="Palatino Linotype" w:cs="Arial"/>
          <w:b/>
          <w:bCs/>
          <w:i/>
          <w:noProof/>
          <w:lang w:val="es-MX" w:eastAsia="en-US"/>
        </w:rPr>
        <w:t xml:space="preserve">Artículo 4. </w:t>
      </w:r>
      <w:r w:rsidRPr="00E84311">
        <w:rPr>
          <w:rFonts w:ascii="Palatino Linotype" w:eastAsia="Calibri" w:hAnsi="Palatino Linotype" w:cs="Arial"/>
          <w:bCs/>
          <w:i/>
          <w:noProof/>
          <w:lang w:val="es-MX" w:eastAsia="en-US"/>
        </w:rPr>
        <w:t>Para los efectos de esta Ley se entenderá por:</w:t>
      </w:r>
    </w:p>
    <w:p w14:paraId="5F8C2219" w14:textId="77777777" w:rsidR="00F92A8F" w:rsidRPr="00E84311" w:rsidRDefault="00F92A8F" w:rsidP="00E84311">
      <w:pPr>
        <w:spacing w:line="360" w:lineRule="auto"/>
        <w:ind w:left="567" w:right="567"/>
        <w:jc w:val="both"/>
        <w:rPr>
          <w:rFonts w:ascii="Palatino Linotype" w:eastAsia="Calibri" w:hAnsi="Palatino Linotype" w:cs="Arial"/>
          <w:bCs/>
          <w:i/>
          <w:noProof/>
          <w:lang w:val="es-MX" w:eastAsia="en-US"/>
        </w:rPr>
      </w:pPr>
      <w:r w:rsidRPr="00E84311">
        <w:rPr>
          <w:rFonts w:ascii="Palatino Linotype" w:eastAsia="Calibri" w:hAnsi="Palatino Linotype" w:cs="Arial"/>
          <w:bCs/>
          <w:i/>
          <w:noProof/>
          <w:lang w:val="es-MX" w:eastAsia="en-US"/>
        </w:rPr>
        <w:t>…</w:t>
      </w:r>
    </w:p>
    <w:p w14:paraId="1E05079B" w14:textId="77777777" w:rsidR="00F92A8F" w:rsidRPr="00E84311" w:rsidRDefault="00F92A8F" w:rsidP="00E84311">
      <w:pPr>
        <w:spacing w:line="360" w:lineRule="auto"/>
        <w:ind w:left="567" w:right="567"/>
        <w:jc w:val="both"/>
        <w:rPr>
          <w:rFonts w:ascii="Palatino Linotype" w:eastAsia="Calibri" w:hAnsi="Palatino Linotype" w:cs="Arial"/>
          <w:bCs/>
          <w:i/>
          <w:noProof/>
          <w:lang w:val="es-MX" w:eastAsia="en-US"/>
        </w:rPr>
      </w:pPr>
      <w:r w:rsidRPr="00E84311">
        <w:rPr>
          <w:rFonts w:ascii="Palatino Linotype" w:eastAsia="Calibri" w:hAnsi="Palatino Linotype" w:cs="Arial"/>
          <w:b/>
          <w:bCs/>
          <w:i/>
          <w:noProof/>
          <w:lang w:val="es-MX" w:eastAsia="en-US"/>
        </w:rPr>
        <w:t>XVI. Disociación</w:t>
      </w:r>
      <w:r w:rsidRPr="00E84311">
        <w:rPr>
          <w:rFonts w:ascii="Palatino Linotype" w:eastAsia="Calibri" w:hAnsi="Palatino Linotype" w:cs="Arial"/>
          <w:bCs/>
          <w:i/>
          <w:noProof/>
          <w:lang w:val="es-MX" w:eastAsia="en-US"/>
        </w:rPr>
        <w:t>: al procedimiento por el que los datos personales no pueden asociarse a la o el titular, ni permitir por su estructura, contenido o grado de desagregación, la identificación individual del mismo.</w:t>
      </w:r>
    </w:p>
    <w:p w14:paraId="4D0DADFE" w14:textId="1BFEC252" w:rsidR="00F92A8F" w:rsidRPr="00647566" w:rsidRDefault="00647566" w:rsidP="00647566">
      <w:pPr>
        <w:spacing w:line="360" w:lineRule="auto"/>
        <w:ind w:left="567" w:right="567"/>
        <w:jc w:val="both"/>
        <w:rPr>
          <w:rFonts w:ascii="Palatino Linotype" w:eastAsia="Calibri" w:hAnsi="Palatino Linotype" w:cs="Arial"/>
          <w:bCs/>
          <w:i/>
          <w:noProof/>
          <w:lang w:val="es-MX" w:eastAsia="en-US"/>
        </w:rPr>
      </w:pPr>
      <w:r>
        <w:rPr>
          <w:rFonts w:ascii="Palatino Linotype" w:eastAsia="Calibri" w:hAnsi="Palatino Linotype" w:cs="Arial"/>
          <w:bCs/>
          <w:i/>
          <w:noProof/>
          <w:lang w:val="es-MX" w:eastAsia="en-US"/>
        </w:rPr>
        <w:t>…”</w:t>
      </w:r>
    </w:p>
    <w:p w14:paraId="3903C737" w14:textId="13C5E10A" w:rsidR="00F92A8F" w:rsidRDefault="00F92A8F" w:rsidP="00E84311">
      <w:pPr>
        <w:pStyle w:val="Ttulo1"/>
        <w:numPr>
          <w:ilvl w:val="0"/>
          <w:numId w:val="7"/>
        </w:numPr>
        <w:pBdr>
          <w:top w:val="nil"/>
          <w:left w:val="nil"/>
          <w:bottom w:val="nil"/>
          <w:right w:val="nil"/>
          <w:between w:val="nil"/>
          <w:bar w:val="nil"/>
        </w:pBdr>
        <w:spacing w:line="360" w:lineRule="auto"/>
        <w:ind w:left="0" w:firstLine="0"/>
        <w:rPr>
          <w:szCs w:val="24"/>
        </w:rPr>
      </w:pPr>
      <w:bookmarkStart w:id="115" w:name="_Toc485631709"/>
      <w:bookmarkStart w:id="116" w:name="_Toc21600982"/>
      <w:bookmarkStart w:id="117" w:name="_Toc21626019"/>
      <w:r w:rsidRPr="00E84311">
        <w:rPr>
          <w:szCs w:val="24"/>
        </w:rPr>
        <w:t>La clasificación de la información reservada debe ser de manera temporal.</w:t>
      </w:r>
      <w:bookmarkEnd w:id="115"/>
      <w:bookmarkEnd w:id="116"/>
      <w:bookmarkEnd w:id="117"/>
    </w:p>
    <w:p w14:paraId="2956FD4C" w14:textId="77777777" w:rsidR="00647566" w:rsidRPr="00647566" w:rsidRDefault="00647566" w:rsidP="00647566">
      <w:pPr>
        <w:rPr>
          <w:lang w:val="es-MX" w:eastAsia="en-US"/>
        </w:rPr>
      </w:pPr>
    </w:p>
    <w:p w14:paraId="60FE4BAA"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6A9ABED" w14:textId="77777777" w:rsidR="00F92A8F" w:rsidRPr="00E84311" w:rsidRDefault="00F92A8F" w:rsidP="00E84311">
      <w:pPr>
        <w:pStyle w:val="Prrafodelista"/>
        <w:spacing w:line="360" w:lineRule="auto"/>
        <w:ind w:left="0"/>
        <w:jc w:val="both"/>
        <w:rPr>
          <w:rFonts w:ascii="Palatino Linotype" w:hAnsi="Palatino Linotype"/>
          <w:color w:val="000000" w:themeColor="text1"/>
        </w:rPr>
      </w:pPr>
    </w:p>
    <w:p w14:paraId="06355D8C"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w:t>
      </w:r>
    </w:p>
    <w:p w14:paraId="48526B0C" w14:textId="77777777" w:rsidR="00F92A8F" w:rsidRPr="00E84311" w:rsidRDefault="00F92A8F" w:rsidP="00E84311">
      <w:pPr>
        <w:pStyle w:val="Prrafodelista"/>
        <w:spacing w:after="160" w:line="360" w:lineRule="auto"/>
        <w:ind w:left="0"/>
        <w:jc w:val="both"/>
        <w:rPr>
          <w:rFonts w:ascii="Palatino Linotype" w:hAnsi="Palatino Linotype"/>
          <w:color w:val="000000" w:themeColor="text1"/>
        </w:rPr>
      </w:pPr>
    </w:p>
    <w:p w14:paraId="1CE18520"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2BCE755" w14:textId="77777777" w:rsidR="00F92A8F" w:rsidRPr="00E84311" w:rsidRDefault="00F92A8F" w:rsidP="00E84311">
      <w:pPr>
        <w:pStyle w:val="Prrafodelista"/>
        <w:spacing w:after="160" w:line="360" w:lineRule="auto"/>
        <w:ind w:left="0"/>
        <w:jc w:val="both"/>
        <w:rPr>
          <w:rFonts w:ascii="Palatino Linotype" w:hAnsi="Palatino Linotype"/>
          <w:color w:val="000000" w:themeColor="text1"/>
        </w:rPr>
      </w:pPr>
    </w:p>
    <w:p w14:paraId="74035F06" w14:textId="77777777" w:rsidR="00F92A8F" w:rsidRPr="00E84311" w:rsidRDefault="00F92A8F" w:rsidP="00E84311">
      <w:pPr>
        <w:pStyle w:val="Prrafodelista"/>
        <w:numPr>
          <w:ilvl w:val="0"/>
          <w:numId w:val="1"/>
        </w:numPr>
        <w:spacing w:after="160"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De</w:t>
      </w:r>
      <w:r w:rsidRPr="00E84311">
        <w:rPr>
          <w:rFonts w:ascii="Palatino Linotype" w:hAnsi="Palatino Linotype"/>
          <w:b/>
          <w:color w:val="000000" w:themeColor="text1"/>
        </w:rPr>
        <w:t xml:space="preserve"> </w:t>
      </w:r>
      <w:r w:rsidRPr="00E84311">
        <w:rPr>
          <w:rFonts w:ascii="Palatino Linotype" w:hAnsi="Palatino Linotype"/>
          <w:color w:val="000000" w:themeColor="text1"/>
        </w:rPr>
        <w:t>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0615D65" w14:textId="77777777" w:rsidR="00F92A8F" w:rsidRPr="00E84311" w:rsidRDefault="00F92A8F" w:rsidP="00E84311">
      <w:pPr>
        <w:pStyle w:val="Prrafodelista"/>
        <w:spacing w:after="160" w:line="360" w:lineRule="auto"/>
        <w:ind w:left="0"/>
        <w:jc w:val="both"/>
        <w:rPr>
          <w:rFonts w:ascii="Palatino Linotype" w:hAnsi="Palatino Linotype"/>
          <w:color w:val="000000" w:themeColor="text1"/>
        </w:rPr>
      </w:pPr>
    </w:p>
    <w:p w14:paraId="7248BB0A" w14:textId="77777777" w:rsidR="00F92A8F" w:rsidRPr="00E84311" w:rsidRDefault="00F92A8F" w:rsidP="00E84311">
      <w:pPr>
        <w:pStyle w:val="Prrafodelista"/>
        <w:numPr>
          <w:ilvl w:val="0"/>
          <w:numId w:val="1"/>
        </w:numPr>
        <w:spacing w:line="360" w:lineRule="auto"/>
        <w:ind w:left="0" w:firstLine="0"/>
        <w:jc w:val="both"/>
        <w:rPr>
          <w:rFonts w:ascii="Palatino Linotype" w:hAnsi="Palatino Linotype"/>
          <w:color w:val="000000" w:themeColor="text1"/>
        </w:rPr>
      </w:pPr>
      <w:r w:rsidRPr="00E84311">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B3C562E" w14:textId="77777777" w:rsidR="00F92A8F" w:rsidRPr="00E84311" w:rsidRDefault="00F92A8F" w:rsidP="00E84311">
      <w:pPr>
        <w:spacing w:line="360" w:lineRule="auto"/>
        <w:jc w:val="both"/>
        <w:rPr>
          <w:rFonts w:ascii="Palatino Linotype" w:hAnsi="Palatino Linotype" w:cs="Arial"/>
          <w:b/>
          <w:color w:val="000000" w:themeColor="text1"/>
        </w:rPr>
      </w:pPr>
    </w:p>
    <w:p w14:paraId="04C3241E" w14:textId="77777777" w:rsidR="00F92A8F" w:rsidRPr="00E84311" w:rsidRDefault="00F92A8F" w:rsidP="00E84311">
      <w:pPr>
        <w:pStyle w:val="Ttulo2"/>
        <w:numPr>
          <w:ilvl w:val="0"/>
          <w:numId w:val="7"/>
        </w:numPr>
        <w:pBdr>
          <w:top w:val="nil"/>
          <w:left w:val="nil"/>
          <w:bottom w:val="nil"/>
          <w:right w:val="nil"/>
          <w:between w:val="nil"/>
          <w:bar w:val="nil"/>
        </w:pBdr>
        <w:spacing w:line="360" w:lineRule="auto"/>
        <w:ind w:left="0" w:firstLine="0"/>
        <w:jc w:val="both"/>
        <w:rPr>
          <w:b w:val="0"/>
          <w:szCs w:val="24"/>
        </w:rPr>
      </w:pPr>
      <w:bookmarkStart w:id="118" w:name="_Toc485631710"/>
      <w:bookmarkStart w:id="119" w:name="_Toc21600983"/>
      <w:bookmarkStart w:id="120" w:name="_Toc21626020"/>
      <w:r w:rsidRPr="00E84311">
        <w:rPr>
          <w:szCs w:val="24"/>
        </w:rPr>
        <w:t>Condiciones especiales de la clasificación de la información como confidencial.</w:t>
      </w:r>
      <w:bookmarkEnd w:id="118"/>
      <w:bookmarkEnd w:id="119"/>
      <w:bookmarkEnd w:id="120"/>
    </w:p>
    <w:p w14:paraId="4D4D3AAF" w14:textId="77777777" w:rsidR="00F92A8F" w:rsidRPr="00E84311" w:rsidRDefault="00F92A8F" w:rsidP="00E84311">
      <w:pPr>
        <w:pStyle w:val="j"/>
        <w:numPr>
          <w:ilvl w:val="0"/>
          <w:numId w:val="1"/>
        </w:numPr>
        <w:shd w:val="clear" w:color="auto" w:fill="FFFFFF"/>
        <w:spacing w:before="0" w:after="0" w:line="360" w:lineRule="auto"/>
        <w:ind w:left="0" w:firstLine="0"/>
        <w:jc w:val="both"/>
        <w:textAlignment w:val="baseline"/>
        <w:rPr>
          <w:rFonts w:ascii="Palatino Linotype" w:hAnsi="Palatino Linotype" w:cstheme="minorBidi"/>
          <w:color w:val="000000" w:themeColor="text1"/>
          <w:lang w:eastAsia="en-US"/>
        </w:rPr>
      </w:pPr>
      <w:r w:rsidRPr="00E84311">
        <w:rPr>
          <w:rFonts w:ascii="Palatino Linotype" w:hAnsi="Palatino Linotype" w:cstheme="minorBidi"/>
          <w:color w:val="000000" w:themeColor="text1"/>
          <w:lang w:eastAsia="en-US"/>
        </w:rPr>
        <w:t xml:space="preserve">Los artículos 148 y 120 de la Ley Estatal y de la Ley General, respectivamente, establecen que aún tratándose de datos personales, se podrán proporcionar, incluso sin solicitar el consentimiento de su titular, cuando dichos datos correspondan a los siguientes supuestos: </w:t>
      </w:r>
    </w:p>
    <w:p w14:paraId="26D136B9" w14:textId="77777777" w:rsidR="00F92A8F" w:rsidRPr="00E84311" w:rsidRDefault="00F92A8F" w:rsidP="00E84311">
      <w:pPr>
        <w:pStyle w:val="NormalWeb"/>
        <w:spacing w:line="360" w:lineRule="auto"/>
        <w:ind w:left="567" w:right="616"/>
        <w:jc w:val="both"/>
        <w:rPr>
          <w:rFonts w:ascii="Palatino Linotype" w:hAnsi="Palatino Linotype"/>
          <w:bCs/>
          <w:color w:val="000000" w:themeColor="text1"/>
        </w:rPr>
      </w:pPr>
      <w:r w:rsidRPr="00E84311">
        <w:rPr>
          <w:rFonts w:ascii="Palatino Linotype" w:hAnsi="Palatino Linotype"/>
          <w:bCs/>
          <w:color w:val="000000" w:themeColor="text1"/>
        </w:rPr>
        <w:t>I.</w:t>
      </w:r>
      <w:r w:rsidRPr="00E84311">
        <w:rPr>
          <w:rFonts w:ascii="Palatino Linotype" w:hAnsi="Palatino Linotype"/>
          <w:color w:val="000000" w:themeColor="text1"/>
        </w:rPr>
        <w:t xml:space="preserve"> La información se encuentre en registros públicos o fuentes de acceso público;</w:t>
      </w:r>
    </w:p>
    <w:p w14:paraId="432D274E" w14:textId="77777777" w:rsidR="00F92A8F" w:rsidRPr="00E84311" w:rsidRDefault="00F92A8F" w:rsidP="00E84311">
      <w:pPr>
        <w:pStyle w:val="NormalWeb"/>
        <w:spacing w:line="360" w:lineRule="auto"/>
        <w:ind w:left="567" w:right="616"/>
        <w:jc w:val="both"/>
        <w:rPr>
          <w:rFonts w:ascii="Palatino Linotype" w:hAnsi="Palatino Linotype"/>
          <w:bCs/>
          <w:color w:val="000000" w:themeColor="text1"/>
        </w:rPr>
      </w:pPr>
      <w:r w:rsidRPr="00E84311">
        <w:rPr>
          <w:rFonts w:ascii="Palatino Linotype" w:hAnsi="Palatino Linotype"/>
          <w:bCs/>
          <w:color w:val="000000" w:themeColor="text1"/>
        </w:rPr>
        <w:t xml:space="preserve">II. </w:t>
      </w:r>
      <w:r w:rsidRPr="00E84311">
        <w:rPr>
          <w:rFonts w:ascii="Palatino Linotype" w:hAnsi="Palatino Linotype"/>
          <w:color w:val="000000" w:themeColor="text1"/>
        </w:rPr>
        <w:t>Por Ley tenga el carácter de pública;</w:t>
      </w:r>
    </w:p>
    <w:p w14:paraId="3649BBD8" w14:textId="77777777" w:rsidR="00F92A8F" w:rsidRPr="00E84311" w:rsidRDefault="00F92A8F" w:rsidP="00E84311">
      <w:pPr>
        <w:pStyle w:val="NormalWeb"/>
        <w:spacing w:line="360" w:lineRule="auto"/>
        <w:ind w:left="567" w:right="616"/>
        <w:jc w:val="both"/>
        <w:rPr>
          <w:rFonts w:ascii="Palatino Linotype" w:hAnsi="Palatino Linotype"/>
          <w:color w:val="000000" w:themeColor="text1"/>
        </w:rPr>
      </w:pPr>
      <w:r w:rsidRPr="00E84311">
        <w:rPr>
          <w:rFonts w:ascii="Palatino Linotype" w:hAnsi="Palatino Linotype"/>
          <w:bCs/>
          <w:color w:val="000000" w:themeColor="text1"/>
        </w:rPr>
        <w:t xml:space="preserve">III. </w:t>
      </w:r>
      <w:r w:rsidRPr="00E84311">
        <w:rPr>
          <w:rFonts w:ascii="Palatino Linotype" w:hAnsi="Palatino Linotype"/>
          <w:color w:val="000000" w:themeColor="text1"/>
        </w:rPr>
        <w:t xml:space="preserve">Exista una orden judicial; </w:t>
      </w:r>
    </w:p>
    <w:p w14:paraId="45B82582" w14:textId="77777777" w:rsidR="00F92A8F" w:rsidRPr="00E84311" w:rsidRDefault="00F92A8F" w:rsidP="00E84311">
      <w:pPr>
        <w:pStyle w:val="NormalWeb"/>
        <w:spacing w:line="360" w:lineRule="auto"/>
        <w:ind w:left="567" w:right="616"/>
        <w:jc w:val="both"/>
        <w:rPr>
          <w:rFonts w:ascii="Palatino Linotype" w:hAnsi="Palatino Linotype"/>
          <w:color w:val="000000" w:themeColor="text1"/>
        </w:rPr>
      </w:pPr>
      <w:r w:rsidRPr="00E84311">
        <w:rPr>
          <w:rFonts w:ascii="Palatino Linotype" w:hAnsi="Palatino Linotype"/>
          <w:bCs/>
          <w:color w:val="000000" w:themeColor="text1"/>
        </w:rPr>
        <w:t xml:space="preserve">IV. </w:t>
      </w:r>
      <w:r w:rsidRPr="00E84311">
        <w:rPr>
          <w:rFonts w:ascii="Palatino Linotype" w:hAnsi="Palatino Linotype"/>
          <w:color w:val="000000" w:themeColor="text1"/>
        </w:rPr>
        <w:t xml:space="preserve">Por razones de seguridad pública, o para proteger los derechos de terceros, se requiera su publicación; o </w:t>
      </w:r>
    </w:p>
    <w:p w14:paraId="37E4B8E3" w14:textId="7BA88B9D" w:rsidR="00F92A8F" w:rsidRPr="00E84311" w:rsidRDefault="00F92A8F" w:rsidP="00647566">
      <w:pPr>
        <w:pStyle w:val="NormalWeb"/>
        <w:spacing w:line="360" w:lineRule="auto"/>
        <w:ind w:left="567" w:right="616"/>
        <w:jc w:val="both"/>
        <w:rPr>
          <w:rFonts w:ascii="Palatino Linotype" w:hAnsi="Palatino Linotype"/>
          <w:color w:val="000000" w:themeColor="text1"/>
        </w:rPr>
      </w:pPr>
      <w:r w:rsidRPr="00E84311">
        <w:rPr>
          <w:rFonts w:ascii="Palatino Linotype" w:hAnsi="Palatino Linotype"/>
          <w:bCs/>
          <w:color w:val="000000" w:themeColor="text1"/>
        </w:rPr>
        <w:t xml:space="preserve">V. </w:t>
      </w:r>
      <w:r w:rsidRPr="00E84311">
        <w:rPr>
          <w:rFonts w:ascii="Palatino Linotype" w:hAnsi="Palatino Linotype"/>
          <w:color w:val="000000" w:themeColor="text1"/>
        </w:rPr>
        <w:t>Cuando se transmita entre sujetos obligados y entre éstos y los sujetos de derecho internacional, en términos de los tratados y los acuerdos interinstitucionales, siempre y cuando la información se utilice para el ejercicio de fac</w:t>
      </w:r>
      <w:r w:rsidR="00647566">
        <w:rPr>
          <w:rFonts w:ascii="Palatino Linotype" w:hAnsi="Palatino Linotype"/>
          <w:color w:val="000000" w:themeColor="text1"/>
        </w:rPr>
        <w:t xml:space="preserve">ultades propias de los mismos. </w:t>
      </w:r>
    </w:p>
    <w:p w14:paraId="5C713346" w14:textId="65E96273" w:rsidR="00F92A8F" w:rsidRPr="00647566" w:rsidRDefault="00F92A8F" w:rsidP="00E84311">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rPr>
      </w:pPr>
      <w:r w:rsidRPr="00E84311">
        <w:rPr>
          <w:rFonts w:ascii="Palatino Linotype" w:hAnsi="Palatino Linotype" w:cstheme="minorBidi"/>
          <w:color w:val="000000" w:themeColor="text1"/>
          <w:lang w:eastAsia="en-US"/>
        </w:rPr>
        <w:t>En</w:t>
      </w:r>
      <w:r w:rsidRPr="00E84311">
        <w:rPr>
          <w:rFonts w:ascii="Palatino Linotype" w:hAnsi="Palatino Linotype"/>
          <w:color w:val="000000" w:themeColor="text1"/>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7DC8FE56" w14:textId="77777777" w:rsidR="00F92A8F" w:rsidRPr="00E84311" w:rsidRDefault="00F92A8F" w:rsidP="00E84311">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rPr>
      </w:pPr>
      <w:r w:rsidRPr="00E84311">
        <w:rPr>
          <w:rFonts w:ascii="Palatino Linotype" w:hAnsi="Palatino Linotype" w:cstheme="minorBidi"/>
          <w:color w:val="000000" w:themeColor="text1"/>
          <w:lang w:eastAsia="en-US"/>
        </w:rPr>
        <w:t>Pero</w:t>
      </w:r>
      <w:r w:rsidRPr="00E84311">
        <w:rPr>
          <w:rFonts w:ascii="Palatino Linotype" w:hAnsi="Palatino Linotype"/>
          <w:color w:val="000000" w:themeColor="text1"/>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4886712" w14:textId="77777777" w:rsidR="007E0B3E" w:rsidRPr="00E84311" w:rsidRDefault="007E0B3E" w:rsidP="00E84311">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bookmarkEnd w:id="67"/>
    <w:bookmarkEnd w:id="68"/>
    <w:p w14:paraId="76176F51" w14:textId="77777777" w:rsidR="00B40183" w:rsidRPr="00E84311" w:rsidRDefault="00B40183" w:rsidP="00E84311">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rPr>
      </w:pPr>
      <w:r w:rsidRPr="00E84311">
        <w:rPr>
          <w:rFonts w:ascii="Palatino Linotype" w:eastAsia="Times New Roman" w:hAnsi="Palatino Linotype" w:cs="Arial"/>
          <w:color w:val="222222"/>
          <w:lang w:eastAsia="es-MX"/>
        </w:rPr>
        <w:t xml:space="preserve">Por lo anteriormente expuesto y fundado, este </w:t>
      </w:r>
      <w:r w:rsidRPr="00E84311">
        <w:rPr>
          <w:rFonts w:ascii="Palatino Linotype" w:eastAsia="Times New Roman" w:hAnsi="Palatino Linotype" w:cs="Arial"/>
          <w:b/>
          <w:bCs/>
          <w:color w:val="222222"/>
          <w:lang w:eastAsia="es-MX"/>
        </w:rPr>
        <w:t>ÓRGANO GARANTE</w:t>
      </w:r>
      <w:r w:rsidRPr="00E84311">
        <w:rPr>
          <w:rFonts w:ascii="Palatino Linotype" w:eastAsia="Times New Roman" w:hAnsi="Palatino Linotype" w:cs="Arial"/>
          <w:color w:val="222222"/>
          <w:lang w:eastAsia="es-MX"/>
        </w:rPr>
        <w:t xml:space="preserve"> emite los siguientes:</w:t>
      </w:r>
      <w:bookmarkStart w:id="121" w:name="_Toc447183492"/>
      <w:bookmarkStart w:id="122" w:name="_Toc450120667"/>
      <w:bookmarkStart w:id="123" w:name="_Toc461555895"/>
    </w:p>
    <w:p w14:paraId="7C1666BD" w14:textId="599A0D22" w:rsidR="00B40183" w:rsidRPr="00E84311" w:rsidRDefault="00B82DCB" w:rsidP="00E84311">
      <w:pPr>
        <w:pStyle w:val="Prrafodelista"/>
        <w:spacing w:before="240" w:after="240" w:line="360" w:lineRule="auto"/>
        <w:ind w:left="0" w:right="49"/>
        <w:jc w:val="both"/>
        <w:rPr>
          <w:rFonts w:ascii="Palatino Linotype" w:hAnsi="Palatino Linotype"/>
        </w:rPr>
      </w:pPr>
      <w:r w:rsidRPr="00E84311">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5F6B981" wp14:editId="1A648352">
                <wp:simplePos x="0" y="0"/>
                <wp:positionH relativeFrom="margin">
                  <wp:align>left</wp:align>
                </wp:positionH>
                <wp:positionV relativeFrom="paragraph">
                  <wp:posOffset>49890</wp:posOffset>
                </wp:positionV>
                <wp:extent cx="5535827" cy="1482811"/>
                <wp:effectExtent l="38100" t="38100" r="65405" b="79375"/>
                <wp:wrapNone/>
                <wp:docPr id="2" name="Conector recto 2"/>
                <wp:cNvGraphicFramePr/>
                <a:graphic xmlns:a="http://schemas.openxmlformats.org/drawingml/2006/main">
                  <a:graphicData uri="http://schemas.microsoft.com/office/word/2010/wordprocessingShape">
                    <wps:wsp>
                      <wps:cNvCnPr/>
                      <wps:spPr>
                        <a:xfrm>
                          <a:off x="0" y="0"/>
                          <a:ext cx="5535827" cy="148281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1C875"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95pt" to="435.9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" strokecolor="#4f81bd [3204]" strokeweight="2pt">
                <v:shadow on="t" color="black" opacity="24903f" origin=",.5" offset="0,.55556mm"/>
                <w10:wrap anchorx="margin"/>
              </v:line>
            </w:pict>
          </mc:Fallback>
        </mc:AlternateContent>
      </w:r>
    </w:p>
    <w:p w14:paraId="25D7A900" w14:textId="77777777" w:rsidR="00B82DCB" w:rsidRPr="00E84311" w:rsidRDefault="00B82DCB" w:rsidP="00E84311">
      <w:pPr>
        <w:pStyle w:val="Prrafodelista"/>
        <w:spacing w:before="240" w:after="240" w:line="360" w:lineRule="auto"/>
        <w:ind w:left="0" w:right="49"/>
        <w:jc w:val="both"/>
        <w:rPr>
          <w:rFonts w:ascii="Palatino Linotype" w:hAnsi="Palatino Linotype"/>
        </w:rPr>
      </w:pPr>
    </w:p>
    <w:p w14:paraId="02706BA8" w14:textId="77777777" w:rsidR="00B40183" w:rsidRPr="00E84311" w:rsidRDefault="00B40183" w:rsidP="00E84311">
      <w:pPr>
        <w:pStyle w:val="Ttulo1"/>
        <w:spacing w:line="360" w:lineRule="auto"/>
        <w:ind w:left="2912"/>
        <w:rPr>
          <w:rFonts w:eastAsia="Calibri"/>
          <w:b w:val="0"/>
          <w:color w:val="auto"/>
          <w:szCs w:val="24"/>
          <w:lang w:val="es-ES" w:eastAsia="es-ES"/>
        </w:rPr>
      </w:pPr>
      <w:bookmarkStart w:id="124" w:name="_Toc475014715"/>
      <w:bookmarkStart w:id="125" w:name="_Toc475381194"/>
      <w:bookmarkStart w:id="126" w:name="_Toc490155969"/>
      <w:bookmarkStart w:id="127" w:name="_Toc490734332"/>
      <w:bookmarkStart w:id="128" w:name="_Toc491854740"/>
      <w:bookmarkStart w:id="129" w:name="_Toc494991893"/>
      <w:bookmarkStart w:id="130" w:name="_Toc513664628"/>
      <w:bookmarkStart w:id="131" w:name="_Toc7780682"/>
      <w:bookmarkStart w:id="132" w:name="_Toc17316292"/>
      <w:bookmarkStart w:id="133" w:name="_Toc21626021"/>
      <w:bookmarkEnd w:id="121"/>
      <w:bookmarkEnd w:id="122"/>
      <w:bookmarkEnd w:id="123"/>
      <w:r w:rsidRPr="00E84311">
        <w:rPr>
          <w:rFonts w:eastAsia="Calibri"/>
          <w:color w:val="auto"/>
          <w:szCs w:val="24"/>
          <w:lang w:val="es-ES" w:eastAsia="es-ES"/>
        </w:rPr>
        <w:t>R E S O L U T I V O S</w:t>
      </w:r>
      <w:bookmarkEnd w:id="124"/>
      <w:bookmarkEnd w:id="125"/>
      <w:bookmarkEnd w:id="126"/>
      <w:bookmarkEnd w:id="127"/>
      <w:bookmarkEnd w:id="128"/>
      <w:bookmarkEnd w:id="129"/>
      <w:bookmarkEnd w:id="130"/>
      <w:bookmarkEnd w:id="131"/>
      <w:bookmarkEnd w:id="132"/>
      <w:bookmarkEnd w:id="133"/>
    </w:p>
    <w:p w14:paraId="2DDEBD69" w14:textId="77777777" w:rsidR="00B40183" w:rsidRPr="00E84311" w:rsidRDefault="00B40183" w:rsidP="00E84311">
      <w:pPr>
        <w:pStyle w:val="Prrafodelista"/>
        <w:spacing w:line="360" w:lineRule="auto"/>
        <w:ind w:left="0"/>
        <w:jc w:val="both"/>
        <w:rPr>
          <w:rFonts w:ascii="Palatino Linotype" w:hAnsi="Palatino Linotype" w:cs="Arial"/>
          <w:bCs/>
        </w:rPr>
      </w:pPr>
    </w:p>
    <w:p w14:paraId="4FB253D7" w14:textId="7B035511" w:rsidR="00F92A8F" w:rsidRPr="00E84311" w:rsidRDefault="00F92A8F" w:rsidP="00E84311">
      <w:pPr>
        <w:spacing w:line="360" w:lineRule="auto"/>
        <w:jc w:val="both"/>
        <w:rPr>
          <w:rFonts w:ascii="Palatino Linotype" w:hAnsi="Palatino Linotype" w:cs="Arial"/>
          <w:bCs/>
          <w:lang w:eastAsia="es-MX"/>
        </w:rPr>
      </w:pPr>
      <w:r w:rsidRPr="00E84311">
        <w:rPr>
          <w:rFonts w:ascii="Palatino Linotype" w:eastAsia="Times New Roman" w:hAnsi="Palatino Linotype" w:cs="Arial"/>
          <w:b/>
        </w:rPr>
        <w:t xml:space="preserve">PRIMERO. </w:t>
      </w:r>
      <w:r w:rsidRPr="00E84311">
        <w:rPr>
          <w:rFonts w:ascii="Palatino Linotype" w:eastAsia="Times New Roman" w:hAnsi="Palatino Linotype" w:cs="Arial"/>
        </w:rPr>
        <w:t>Resultan fundadas las</w:t>
      </w:r>
      <w:r w:rsidRPr="00E84311">
        <w:rPr>
          <w:rFonts w:ascii="Palatino Linotype" w:eastAsia="Times New Roman" w:hAnsi="Palatino Linotype" w:cs="Arial"/>
          <w:b/>
        </w:rPr>
        <w:t xml:space="preserve"> </w:t>
      </w:r>
      <w:r w:rsidRPr="00E84311">
        <w:rPr>
          <w:rFonts w:ascii="Palatino Linotype" w:eastAsia="Times New Roman" w:hAnsi="Palatino Linotype" w:cs="Arial"/>
          <w:lang w:val="es-ES"/>
        </w:rPr>
        <w:t xml:space="preserve">razones o motivos de inconformidad hechos valer </w:t>
      </w:r>
      <w:r w:rsidRPr="00E84311">
        <w:rPr>
          <w:rFonts w:ascii="Palatino Linotype" w:eastAsia="Calibri" w:hAnsi="Palatino Linotype" w:cs="Arial"/>
          <w:lang w:val="es-ES"/>
        </w:rPr>
        <w:t xml:space="preserve">en el recurso de revisión </w:t>
      </w:r>
      <w:r w:rsidRPr="00E84311">
        <w:rPr>
          <w:rFonts w:ascii="Palatino Linotype" w:hAnsi="Palatino Linotype" w:cs="Arial"/>
          <w:b/>
          <w:bCs/>
        </w:rPr>
        <w:t xml:space="preserve">06633/INFOEM/IP/RR/2019 </w:t>
      </w:r>
      <w:r w:rsidRPr="00E84311">
        <w:rPr>
          <w:rFonts w:ascii="Palatino Linotype" w:hAnsi="Palatino Linotype" w:cs="Arial"/>
          <w:bCs/>
          <w:lang w:eastAsia="es-MX"/>
        </w:rPr>
        <w:t xml:space="preserve">en términos de los </w:t>
      </w:r>
      <w:r w:rsidRPr="00E84311">
        <w:rPr>
          <w:rFonts w:ascii="Palatino Linotype" w:hAnsi="Palatino Linotype" w:cs="Arial"/>
          <w:b/>
          <w:bCs/>
          <w:lang w:eastAsia="es-MX"/>
        </w:rPr>
        <w:t xml:space="preserve">Considerandos CUARTO y QUINTO </w:t>
      </w:r>
      <w:r w:rsidRPr="00E84311">
        <w:rPr>
          <w:rFonts w:ascii="Palatino Linotype" w:hAnsi="Palatino Linotype" w:cs="Arial"/>
          <w:bCs/>
          <w:lang w:eastAsia="es-MX"/>
        </w:rPr>
        <w:t>de la presente resolución.</w:t>
      </w:r>
    </w:p>
    <w:p w14:paraId="07473175" w14:textId="245DF19F" w:rsidR="00F92A8F" w:rsidRPr="00E84311" w:rsidRDefault="00F92A8F" w:rsidP="00E84311">
      <w:pPr>
        <w:spacing w:before="240" w:after="240" w:line="360" w:lineRule="auto"/>
        <w:jc w:val="both"/>
        <w:rPr>
          <w:rFonts w:ascii="Palatino Linotype" w:eastAsia="Calibri" w:hAnsi="Palatino Linotype" w:cs="Arial"/>
          <w:lang w:val="es-ES"/>
        </w:rPr>
      </w:pPr>
      <w:r w:rsidRPr="00E84311">
        <w:rPr>
          <w:rFonts w:ascii="Palatino Linotype" w:hAnsi="Palatino Linotype"/>
          <w:b/>
        </w:rPr>
        <w:t>SEGUNDO.</w:t>
      </w:r>
      <w:r w:rsidRPr="00E84311">
        <w:rPr>
          <w:rStyle w:val="Ttulo2Car"/>
          <w:b w:val="0"/>
          <w:szCs w:val="24"/>
        </w:rPr>
        <w:t xml:space="preserve"> </w:t>
      </w:r>
      <w:r w:rsidRPr="00E84311">
        <w:rPr>
          <w:rFonts w:ascii="Palatino Linotype" w:eastAsia="Calibri" w:hAnsi="Palatino Linotype" w:cs="Arial"/>
          <w:lang w:val="es-ES"/>
        </w:rPr>
        <w:t>Se</w:t>
      </w:r>
      <w:r w:rsidRPr="00E84311">
        <w:rPr>
          <w:rFonts w:ascii="Palatino Linotype" w:eastAsia="Calibri" w:hAnsi="Palatino Linotype" w:cs="Arial"/>
          <w:b/>
          <w:lang w:val="es-ES"/>
        </w:rPr>
        <w:t xml:space="preserve"> REVOCA </w:t>
      </w:r>
      <w:r w:rsidRPr="00E84311">
        <w:rPr>
          <w:rFonts w:ascii="Palatino Linotype" w:eastAsia="Calibri" w:hAnsi="Palatino Linotype" w:cs="Arial"/>
          <w:lang w:val="es-ES"/>
        </w:rPr>
        <w:t xml:space="preserve">la respuesta emitida por el </w:t>
      </w:r>
      <w:r w:rsidRPr="00E84311">
        <w:rPr>
          <w:rFonts w:ascii="Palatino Linotype" w:eastAsia="Calibri" w:hAnsi="Palatino Linotype" w:cs="Arial"/>
          <w:b/>
          <w:lang w:val="es-ES"/>
        </w:rPr>
        <w:t>Ayuntamiento de Zumpango</w:t>
      </w:r>
      <w:r w:rsidRPr="00E84311">
        <w:rPr>
          <w:rFonts w:ascii="Palatino Linotype" w:hAnsi="Palatino Linotype"/>
          <w:bCs/>
        </w:rPr>
        <w:t xml:space="preserve"> y se</w:t>
      </w:r>
      <w:r w:rsidRPr="00E84311">
        <w:rPr>
          <w:rFonts w:ascii="Palatino Linotype" w:hAnsi="Palatino Linotype"/>
          <w:b/>
          <w:bCs/>
        </w:rPr>
        <w:t xml:space="preserve"> ORDENA</w:t>
      </w:r>
      <w:r w:rsidRPr="00E84311">
        <w:rPr>
          <w:rFonts w:ascii="Palatino Linotype" w:eastAsia="Times New Roman" w:hAnsi="Palatino Linotype" w:cs="Arial"/>
          <w:lang w:val="es-ES"/>
        </w:rPr>
        <w:t xml:space="preserve"> </w:t>
      </w:r>
      <w:r w:rsidRPr="00E84311">
        <w:rPr>
          <w:rFonts w:ascii="Palatino Linotype" w:eastAsia="Calibri" w:hAnsi="Palatino Linotype" w:cs="Arial"/>
          <w:lang w:val="es-ES"/>
        </w:rPr>
        <w:t xml:space="preserve">entregar vía Sistema de Acceso a la Información Mexiquense </w:t>
      </w:r>
      <w:r w:rsidRPr="00E84311">
        <w:rPr>
          <w:rFonts w:ascii="Palatino Linotype" w:eastAsia="Calibri" w:hAnsi="Palatino Linotype" w:cs="Arial"/>
          <w:b/>
          <w:lang w:val="es-ES"/>
        </w:rPr>
        <w:t xml:space="preserve">(SAIMEX), </w:t>
      </w:r>
      <w:r w:rsidRPr="00E84311">
        <w:rPr>
          <w:rFonts w:ascii="Palatino Linotype" w:eastAsia="Calibri" w:hAnsi="Palatino Linotype" w:cs="Arial"/>
          <w:lang w:val="es-ES"/>
        </w:rPr>
        <w:t>en versión pública, la siguiente información:</w:t>
      </w:r>
    </w:p>
    <w:p w14:paraId="44D78FD1" w14:textId="147F1DC1" w:rsidR="00F92A8F" w:rsidRPr="00E84311" w:rsidRDefault="00F92A8F" w:rsidP="00E84311">
      <w:pPr>
        <w:pStyle w:val="Prrafodelista"/>
        <w:spacing w:before="240" w:after="240" w:line="360" w:lineRule="auto"/>
        <w:ind w:left="567" w:right="567"/>
        <w:jc w:val="both"/>
        <w:rPr>
          <w:rFonts w:ascii="Palatino Linotype" w:eastAsia="MS Mincho" w:hAnsi="Palatino Linotype" w:cs="Arial"/>
          <w:b/>
          <w:color w:val="000000" w:themeColor="text1"/>
        </w:rPr>
      </w:pPr>
      <w:r w:rsidRPr="00E84311">
        <w:rPr>
          <w:rFonts w:ascii="Palatino Linotype" w:eastAsia="Calibri" w:hAnsi="Palatino Linotype" w:cs="Arial"/>
          <w:b/>
          <w:lang w:val="es-ES"/>
        </w:rPr>
        <w:t xml:space="preserve">a) </w:t>
      </w:r>
      <w:r w:rsidR="005A2491" w:rsidRPr="00E84311">
        <w:rPr>
          <w:rFonts w:ascii="Palatino Linotype" w:hAnsi="Palatino Linotype"/>
          <w:b/>
          <w:color w:val="000000"/>
        </w:rPr>
        <w:t xml:space="preserve">Documentos que conformen el expediente laboral de </w:t>
      </w:r>
      <w:r w:rsidR="006676E0" w:rsidRPr="00E84311">
        <w:rPr>
          <w:rFonts w:ascii="Palatino Linotype" w:hAnsi="Palatino Linotype"/>
          <w:b/>
          <w:lang w:eastAsia="es-MX"/>
        </w:rPr>
        <w:t>todos los elementos policiales</w:t>
      </w:r>
      <w:r w:rsidR="006676E0" w:rsidRPr="00E84311">
        <w:rPr>
          <w:rFonts w:ascii="Palatino Linotype" w:hAnsi="Palatino Linotype" w:cs="Arial"/>
          <w:b/>
        </w:rPr>
        <w:t xml:space="preserve"> adscritos a </w:t>
      </w:r>
      <w:r w:rsidR="006676E0" w:rsidRPr="00E84311">
        <w:rPr>
          <w:rFonts w:ascii="Palatino Linotype" w:hAnsi="Palatino Linotype"/>
          <w:b/>
          <w:color w:val="000000"/>
        </w:rPr>
        <w:t xml:space="preserve">la Comisaría de Seguridad Pública y Vialidad </w:t>
      </w:r>
      <w:r w:rsidR="00E341EE" w:rsidRPr="00E84311">
        <w:rPr>
          <w:rFonts w:ascii="Palatino Linotype" w:hAnsi="Palatino Linotype" w:cs="Arial"/>
          <w:b/>
        </w:rPr>
        <w:t xml:space="preserve"> de la </w:t>
      </w:r>
      <w:r w:rsidR="006676E0" w:rsidRPr="00E84311">
        <w:rPr>
          <w:rFonts w:ascii="Palatino Linotype" w:hAnsi="Palatino Linotype"/>
          <w:b/>
          <w:lang w:eastAsia="es-MX"/>
        </w:rPr>
        <w:t xml:space="preserve">Administración Pública Municipal de Zumpango </w:t>
      </w:r>
      <w:r w:rsidR="006676E0" w:rsidRPr="00E84311">
        <w:rPr>
          <w:rFonts w:ascii="Palatino Linotype" w:hAnsi="Palatino Linotype"/>
          <w:b/>
          <w:color w:val="000000"/>
        </w:rPr>
        <w:t xml:space="preserve">del </w:t>
      </w:r>
      <w:bookmarkStart w:id="134" w:name="_GoBack"/>
      <w:bookmarkEnd w:id="134"/>
      <w:r w:rsidR="00E341EE" w:rsidRPr="00E84311">
        <w:rPr>
          <w:rFonts w:ascii="Palatino Linotype" w:hAnsi="Palatino Linotype"/>
          <w:b/>
          <w:color w:val="000000"/>
        </w:rPr>
        <w:t xml:space="preserve">periodo comprendido del </w:t>
      </w:r>
      <w:r w:rsidR="006676E0" w:rsidRPr="00E84311">
        <w:rPr>
          <w:rFonts w:ascii="Palatino Linotype" w:hAnsi="Palatino Linotype"/>
          <w:b/>
          <w:color w:val="000000"/>
        </w:rPr>
        <w:t>25 de junio de 2018 al 25 de junio de 2019</w:t>
      </w:r>
      <w:r w:rsidR="006676E0" w:rsidRPr="00E84311">
        <w:rPr>
          <w:rFonts w:ascii="Palatino Linotype" w:eastAsia="Times New Roman" w:hAnsi="Palatino Linotype" w:cs="Arial"/>
          <w:b/>
          <w:color w:val="000000" w:themeColor="text1"/>
          <w:lang w:val="es-ES"/>
        </w:rPr>
        <w:t>.</w:t>
      </w:r>
    </w:p>
    <w:p w14:paraId="1CB5140D" w14:textId="4CE911D5" w:rsidR="00F92A8F" w:rsidRPr="00E84311" w:rsidRDefault="00F92A8F" w:rsidP="00E84311">
      <w:pPr>
        <w:spacing w:line="360" w:lineRule="auto"/>
        <w:jc w:val="both"/>
        <w:rPr>
          <w:rFonts w:ascii="Palatino Linotype" w:eastAsia="Calibri" w:hAnsi="Palatino Linotype" w:cs="Arial"/>
          <w:lang w:val="es-ES"/>
        </w:rPr>
      </w:pPr>
      <w:r w:rsidRPr="00E8431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5A2491" w:rsidRPr="00E84311">
        <w:rPr>
          <w:rFonts w:ascii="Palatino Linotype" w:hAnsi="Palatino Linotype"/>
          <w:b/>
        </w:rPr>
        <w:t>l RECURRENTE.</w:t>
      </w:r>
    </w:p>
    <w:p w14:paraId="69CF095E" w14:textId="77777777" w:rsidR="00F92A8F" w:rsidRPr="00E84311" w:rsidRDefault="00F92A8F" w:rsidP="00E84311">
      <w:pPr>
        <w:tabs>
          <w:tab w:val="left" w:pos="8080"/>
        </w:tabs>
        <w:spacing w:line="360" w:lineRule="auto"/>
        <w:ind w:right="49"/>
        <w:contextualSpacing/>
        <w:jc w:val="both"/>
        <w:rPr>
          <w:rFonts w:ascii="Palatino Linotype" w:eastAsia="Palatino Linotype" w:hAnsi="Palatino Linotype" w:cs="Palatino Linotype"/>
          <w:b/>
        </w:rPr>
      </w:pPr>
    </w:p>
    <w:p w14:paraId="744D703E" w14:textId="1A250210" w:rsidR="006676E0" w:rsidRPr="00E84311" w:rsidRDefault="006676E0" w:rsidP="00E84311">
      <w:pPr>
        <w:tabs>
          <w:tab w:val="left" w:pos="8080"/>
        </w:tabs>
        <w:spacing w:line="360" w:lineRule="auto"/>
        <w:ind w:left="567" w:right="49"/>
        <w:contextualSpacing/>
        <w:jc w:val="both"/>
        <w:rPr>
          <w:rFonts w:ascii="Palatino Linotype" w:eastAsia="Palatino Linotype" w:hAnsi="Palatino Linotype" w:cs="Palatino Linotype"/>
          <w:b/>
        </w:rPr>
      </w:pPr>
      <w:r w:rsidRPr="00E84311">
        <w:rPr>
          <w:rFonts w:ascii="Palatino Linotype" w:hAnsi="Palatino Linotype"/>
          <w:b/>
          <w:color w:val="222222"/>
          <w:shd w:val="clear" w:color="auto" w:fill="FFFFFF"/>
        </w:rPr>
        <w:t xml:space="preserve">b) El </w:t>
      </w:r>
      <w:r w:rsidR="005A2491" w:rsidRPr="00E84311">
        <w:rPr>
          <w:rFonts w:ascii="Palatino Linotype" w:eastAsia="Palatino Linotype" w:hAnsi="Palatino Linotype" w:cs="Palatino Linotype"/>
          <w:b/>
          <w:lang w:val="es-MX"/>
        </w:rPr>
        <w:t>Acuerdo del Comité de Transparencia en términos de los artículos 49 fracción VIII, 122, 143, fracciones I y II, y 149 de la Ley de Transparencia y Acceso a la Información Pública del Estado de México y Municipios, en el que funden y motiven las razones por las que se justifique la clasificación total como información confidencial las documentales referidas en el Considerando Cuarto de la presente resolución y que formen parte del expediente laboral.</w:t>
      </w:r>
    </w:p>
    <w:p w14:paraId="066BE56E" w14:textId="77777777" w:rsidR="006676E0" w:rsidRPr="00E84311" w:rsidRDefault="006676E0" w:rsidP="00E84311">
      <w:pPr>
        <w:tabs>
          <w:tab w:val="left" w:pos="8080"/>
        </w:tabs>
        <w:spacing w:line="360" w:lineRule="auto"/>
        <w:ind w:right="49"/>
        <w:contextualSpacing/>
        <w:jc w:val="both"/>
        <w:rPr>
          <w:rFonts w:ascii="Palatino Linotype" w:eastAsia="Palatino Linotype" w:hAnsi="Palatino Linotype" w:cs="Palatino Linotype"/>
          <w:b/>
        </w:rPr>
      </w:pPr>
    </w:p>
    <w:p w14:paraId="46A74266" w14:textId="77777777" w:rsidR="00F92A8F" w:rsidRPr="00E84311" w:rsidRDefault="00F92A8F" w:rsidP="00E84311">
      <w:pPr>
        <w:tabs>
          <w:tab w:val="left" w:pos="8080"/>
        </w:tabs>
        <w:spacing w:line="360" w:lineRule="auto"/>
        <w:ind w:right="49"/>
        <w:contextualSpacing/>
        <w:jc w:val="both"/>
        <w:rPr>
          <w:rFonts w:ascii="Palatino Linotype" w:eastAsia="Palatino Linotype" w:hAnsi="Palatino Linotype" w:cs="Palatino Linotype"/>
          <w:b/>
        </w:rPr>
      </w:pPr>
      <w:r w:rsidRPr="00E84311">
        <w:rPr>
          <w:rFonts w:ascii="Palatino Linotype" w:eastAsia="Palatino Linotype" w:hAnsi="Palatino Linotype" w:cs="Palatino Linotype"/>
          <w:b/>
        </w:rPr>
        <w:t xml:space="preserve">TERCERO. Notifíquese </w:t>
      </w:r>
      <w:r w:rsidRPr="00E84311">
        <w:rPr>
          <w:rFonts w:ascii="Palatino Linotype" w:eastAsia="Palatino Linotype" w:hAnsi="Palatino Linotype" w:cs="Palatino Linotype"/>
        </w:rPr>
        <w:t xml:space="preserve">al Titular de la Unidad de Transparencia del </w:t>
      </w:r>
      <w:r w:rsidRPr="00E84311">
        <w:rPr>
          <w:rFonts w:ascii="Palatino Linotype" w:eastAsia="Palatino Linotype" w:hAnsi="Palatino Linotype" w:cs="Palatino Linotype"/>
          <w:b/>
        </w:rPr>
        <w:t>SUJETO OBLIGADO</w:t>
      </w:r>
      <w:r w:rsidRPr="00E8431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8431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9AB286F" w14:textId="77777777" w:rsidR="00F92A8F" w:rsidRPr="00E84311" w:rsidRDefault="00F92A8F" w:rsidP="00E84311">
      <w:pPr>
        <w:shd w:val="clear" w:color="auto" w:fill="FFFFFF"/>
        <w:spacing w:line="360" w:lineRule="auto"/>
        <w:jc w:val="both"/>
        <w:rPr>
          <w:rFonts w:ascii="Palatino Linotype" w:eastAsia="Times New Roman" w:hAnsi="Palatino Linotype" w:cs="Arial"/>
          <w:b/>
        </w:rPr>
      </w:pPr>
    </w:p>
    <w:p w14:paraId="563AFAF2" w14:textId="0A908962" w:rsidR="00F92A8F" w:rsidRPr="00E84311" w:rsidRDefault="00F92A8F" w:rsidP="00E84311">
      <w:pPr>
        <w:shd w:val="clear" w:color="auto" w:fill="FFFFFF"/>
        <w:spacing w:line="360" w:lineRule="auto"/>
        <w:jc w:val="both"/>
        <w:rPr>
          <w:rFonts w:ascii="Palatino Linotype" w:hAnsi="Palatino Linotype"/>
        </w:rPr>
      </w:pPr>
      <w:r w:rsidRPr="00647566">
        <w:rPr>
          <w:rFonts w:ascii="Palatino Linotype" w:eastAsia="Times New Roman" w:hAnsi="Palatino Linotype" w:cs="Arial"/>
          <w:b/>
        </w:rPr>
        <w:t xml:space="preserve">CUARTO. </w:t>
      </w:r>
      <w:r w:rsidRPr="00647566">
        <w:rPr>
          <w:rFonts w:ascii="Palatino Linotype" w:eastAsia="Times New Roman" w:hAnsi="Palatino Linotype" w:cs="Times New Roman"/>
          <w:b/>
          <w:bCs/>
          <w:color w:val="222222"/>
          <w:lang w:val="es-ES"/>
        </w:rPr>
        <w:t>Notifíquese a</w:t>
      </w:r>
      <w:r w:rsidRPr="00647566">
        <w:rPr>
          <w:rFonts w:ascii="Palatino Linotype" w:hAnsi="Palatino Linotype"/>
          <w:b/>
        </w:rPr>
        <w:t xml:space="preserve"> </w:t>
      </w:r>
      <w:r w:rsidR="0054223D" w:rsidRPr="0054223D">
        <w:rPr>
          <w:rFonts w:ascii="Palatino Linotype" w:eastAsia="Times New Roman" w:hAnsi="Palatino Linotype" w:cs="Times New Roman"/>
          <w:b/>
          <w:highlight w:val="black"/>
        </w:rPr>
        <w:t>-</w:t>
      </w:r>
      <w:r w:rsidR="0054223D">
        <w:rPr>
          <w:rFonts w:ascii="Palatino Linotype" w:eastAsia="Times New Roman" w:hAnsi="Palatino Linotype" w:cs="Times New Roman"/>
          <w:b/>
          <w:highlight w:val="black"/>
        </w:rPr>
        <w:t>---------------------------</w:t>
      </w:r>
      <w:r w:rsidR="0054223D" w:rsidRPr="0054223D">
        <w:rPr>
          <w:rFonts w:ascii="Palatino Linotype" w:eastAsia="Times New Roman" w:hAnsi="Palatino Linotype" w:cs="Times New Roman"/>
          <w:b/>
          <w:highlight w:val="black"/>
        </w:rPr>
        <w:t>------------------</w:t>
      </w:r>
      <w:r w:rsidRPr="00647566">
        <w:rPr>
          <w:rFonts w:ascii="Palatino Linotype" w:eastAsia="Times New Roman" w:hAnsi="Palatino Linotype" w:cs="Times New Roman"/>
          <w:b/>
        </w:rPr>
        <w:t xml:space="preserve"> </w:t>
      </w:r>
      <w:r w:rsidRPr="00647566">
        <w:rPr>
          <w:rFonts w:ascii="Palatino Linotype" w:hAnsi="Palatino Linotype"/>
        </w:rPr>
        <w:t>la presente resolución y el informe justificado enviado.</w:t>
      </w:r>
    </w:p>
    <w:p w14:paraId="2FBA00D7" w14:textId="77777777" w:rsidR="00F92A8F" w:rsidRPr="00E84311" w:rsidRDefault="00F92A8F" w:rsidP="00E84311">
      <w:pPr>
        <w:shd w:val="clear" w:color="auto" w:fill="FFFFFF"/>
        <w:spacing w:line="360" w:lineRule="auto"/>
        <w:jc w:val="both"/>
        <w:rPr>
          <w:rFonts w:ascii="Palatino Linotype" w:hAnsi="Palatino Linotype"/>
        </w:rPr>
      </w:pPr>
    </w:p>
    <w:p w14:paraId="0DBEF34D" w14:textId="65F33ABC" w:rsidR="00F92A8F" w:rsidRPr="00E84311" w:rsidRDefault="00F92A8F" w:rsidP="00E84311">
      <w:pPr>
        <w:shd w:val="clear" w:color="auto" w:fill="FFFFFF"/>
        <w:spacing w:line="360" w:lineRule="auto"/>
        <w:jc w:val="both"/>
        <w:rPr>
          <w:rFonts w:ascii="Palatino Linotype" w:eastAsia="MS Mincho" w:hAnsi="Palatino Linotype" w:cs="Times New Roman"/>
          <w:lang w:val="es-ES"/>
        </w:rPr>
      </w:pPr>
      <w:r w:rsidRPr="00E84311">
        <w:rPr>
          <w:rFonts w:ascii="Palatino Linotype" w:eastAsia="MS Mincho" w:hAnsi="Palatino Linotype" w:cs="Times New Roman"/>
          <w:b/>
          <w:lang w:val="es-MX"/>
        </w:rPr>
        <w:t>QUINTO.</w:t>
      </w:r>
      <w:r w:rsidRPr="00E84311">
        <w:rPr>
          <w:rFonts w:ascii="Palatino Linotype" w:eastAsia="MS Mincho" w:hAnsi="Palatino Linotype" w:cs="Times New Roman"/>
          <w:lang w:val="es-MX"/>
        </w:rPr>
        <w:t xml:space="preserve"> </w:t>
      </w:r>
      <w:r w:rsidRPr="00E84311">
        <w:rPr>
          <w:rFonts w:ascii="Palatino Linotype" w:eastAsia="MS Mincho" w:hAnsi="Palatino Linotype" w:cs="Times New Roman"/>
          <w:lang w:val="es-ES"/>
        </w:rPr>
        <w:t xml:space="preserve">Se hace del conocimiento de </w:t>
      </w:r>
      <w:r w:rsidR="0054223D" w:rsidRPr="0054223D">
        <w:rPr>
          <w:rFonts w:ascii="Palatino Linotype" w:eastAsia="Times New Roman" w:hAnsi="Palatino Linotype" w:cs="Times New Roman"/>
          <w:b/>
          <w:highlight w:val="black"/>
        </w:rPr>
        <w:t>-----------------</w:t>
      </w:r>
      <w:r w:rsidR="0054223D">
        <w:rPr>
          <w:rFonts w:ascii="Palatino Linotype" w:eastAsia="Times New Roman" w:hAnsi="Palatino Linotype" w:cs="Times New Roman"/>
          <w:b/>
          <w:highlight w:val="black"/>
        </w:rPr>
        <w:t>---</w:t>
      </w:r>
      <w:r w:rsidR="0054223D" w:rsidRPr="0054223D">
        <w:rPr>
          <w:rFonts w:ascii="Palatino Linotype" w:eastAsia="Times New Roman" w:hAnsi="Palatino Linotype" w:cs="Times New Roman"/>
          <w:b/>
          <w:highlight w:val="black"/>
        </w:rPr>
        <w:t>--------------------------</w:t>
      </w:r>
      <w:r w:rsidRPr="00E84311">
        <w:rPr>
          <w:rFonts w:ascii="Palatino Linotype" w:eastAsia="Times New Roman" w:hAnsi="Palatino Linotype" w:cs="Times New Roman"/>
          <w:b/>
        </w:rPr>
        <w:t xml:space="preserve"> </w:t>
      </w:r>
      <w:r w:rsidRPr="00E84311">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84311">
        <w:rPr>
          <w:rFonts w:ascii="Palatino Linotype" w:eastAsia="MS Mincho" w:hAnsi="Palatino Linotype" w:cs="Times New Roman"/>
          <w:bCs/>
          <w:lang w:val="es-ES"/>
        </w:rPr>
        <w:t>vía juicio de amparo</w:t>
      </w:r>
      <w:r w:rsidRPr="00E84311">
        <w:rPr>
          <w:rFonts w:ascii="Palatino Linotype" w:eastAsia="MS Mincho" w:hAnsi="Palatino Linotype" w:cs="Times New Roman"/>
          <w:lang w:val="es-ES"/>
        </w:rPr>
        <w:t xml:space="preserve"> en los términos de las leyes aplicables.</w:t>
      </w:r>
    </w:p>
    <w:p w14:paraId="78F3767F" w14:textId="77777777" w:rsidR="00540526" w:rsidRPr="00E84311" w:rsidRDefault="00540526" w:rsidP="00E84311">
      <w:pPr>
        <w:shd w:val="clear" w:color="auto" w:fill="FFFFFF"/>
        <w:tabs>
          <w:tab w:val="left" w:pos="567"/>
        </w:tabs>
        <w:spacing w:line="360" w:lineRule="auto"/>
        <w:jc w:val="both"/>
        <w:rPr>
          <w:rFonts w:ascii="Palatino Linotype" w:eastAsia="Times New Roman" w:hAnsi="Palatino Linotype" w:cs="Arial"/>
          <w:color w:val="222222"/>
          <w:lang w:val="es-ES" w:eastAsia="es-MX"/>
        </w:rPr>
      </w:pPr>
    </w:p>
    <w:bookmarkEnd w:id="0"/>
    <w:bookmarkEnd w:id="1"/>
    <w:bookmarkEnd w:id="69"/>
    <w:bookmarkEnd w:id="70"/>
    <w:p w14:paraId="11846E65" w14:textId="4755ACBC" w:rsidR="00151FD7" w:rsidRPr="00E84311" w:rsidRDefault="00151FD7" w:rsidP="00E84311">
      <w:pPr>
        <w:spacing w:line="360" w:lineRule="auto"/>
        <w:jc w:val="both"/>
        <w:rPr>
          <w:rFonts w:ascii="Palatino Linotype" w:hAnsi="Palatino Linotype"/>
        </w:rPr>
      </w:pPr>
      <w:r w:rsidRPr="00647566">
        <w:rPr>
          <w:rFonts w:ascii="Palatino Linotype" w:hAnsi="Palatino Linotype" w:cs="Arial"/>
        </w:rPr>
        <w:t>ASÍ LO RESUELVE, POR UNANIMIDAD DE VOTOS, EL PLENO DEL</w:t>
      </w:r>
      <w:r w:rsidRPr="00647566">
        <w:rPr>
          <w:rFonts w:ascii="Palatino Linotype" w:eastAsia="Arial Unicode MS" w:hAnsi="Palatino Linotype" w:cs="Arial"/>
        </w:rPr>
        <w:t xml:space="preserve"> INSTITUTO DE TRANSPARENCIA, ACCESO A LA INFORMACIÓN PÚBLICA Y PROTECCIÓN DE DATOS PERSONALES DEL ESTADO DE MÉXICO Y MUNICIPIOS</w:t>
      </w:r>
      <w:r w:rsidRPr="00647566">
        <w:rPr>
          <w:rFonts w:ascii="Palatino Linotype" w:hAnsi="Palatino Linotype" w:cs="Arial"/>
        </w:rPr>
        <w:t>, CONFORMADO POR LOS COMISIONADOS ZULEMA MARTÍNEZ SÁNCHEZ</w:t>
      </w:r>
      <w:r w:rsidR="00647566">
        <w:rPr>
          <w:rFonts w:ascii="Palatino Linotype" w:hAnsi="Palatino Linotype" w:cs="Arial"/>
        </w:rPr>
        <w:t xml:space="preserve"> EMITIENDO VOTO PARTICULAR</w:t>
      </w:r>
      <w:r w:rsidRPr="00647566">
        <w:rPr>
          <w:rFonts w:ascii="Palatino Linotype" w:hAnsi="Palatino Linotype" w:cs="Arial"/>
        </w:rPr>
        <w:t>, EVA ABAID YAPUR, JOSÉ GUADALUPE LUNA HERNÁNDEZ, JAVIER MARTÍNEZ CRUZ Y LUIS GUSTAVO PARRA NORIEGA</w:t>
      </w:r>
      <w:r w:rsidR="00647566">
        <w:rPr>
          <w:rFonts w:ascii="Palatino Linotype" w:hAnsi="Palatino Linotype" w:cs="Arial"/>
        </w:rPr>
        <w:t xml:space="preserve"> EMITIENDO VOTO PARTICULAR</w:t>
      </w:r>
      <w:r w:rsidRPr="00647566">
        <w:rPr>
          <w:rFonts w:ascii="Palatino Linotype" w:hAnsi="Palatino Linotype" w:cs="Arial"/>
        </w:rPr>
        <w:t xml:space="preserve">, EN LA </w:t>
      </w:r>
      <w:r w:rsidR="006676E0" w:rsidRPr="00647566">
        <w:rPr>
          <w:rFonts w:ascii="Palatino Linotype" w:hAnsi="Palatino Linotype" w:cs="Arial"/>
        </w:rPr>
        <w:t>TRI</w:t>
      </w:r>
      <w:r w:rsidR="00647566">
        <w:rPr>
          <w:rFonts w:ascii="Palatino Linotype" w:hAnsi="Palatino Linotype" w:cs="Arial"/>
        </w:rPr>
        <w:t xml:space="preserve">GÉSIMA OCTAVA SESIÓN ORDINARIA CELEBRADA EL DIECISÉIS </w:t>
      </w:r>
      <w:r w:rsidR="00647566">
        <w:rPr>
          <w:rFonts w:ascii="Palatino Linotype" w:eastAsia="Times New Roman" w:hAnsi="Palatino Linotype" w:cs="Arial"/>
          <w:color w:val="000000"/>
          <w:lang w:eastAsia="es-MX"/>
        </w:rPr>
        <w:t>DE OCTUBRE</w:t>
      </w:r>
      <w:r w:rsidRPr="00647566">
        <w:rPr>
          <w:rFonts w:ascii="Palatino Linotype" w:eastAsia="Times New Roman" w:hAnsi="Palatino Linotype" w:cs="Arial"/>
          <w:color w:val="000000"/>
          <w:lang w:eastAsia="es-MX"/>
        </w:rPr>
        <w:t xml:space="preserve"> DE</w:t>
      </w:r>
      <w:r w:rsidRPr="00647566">
        <w:rPr>
          <w:rFonts w:ascii="Palatino Linotype" w:hAnsi="Palatino Linotype" w:cs="Arial"/>
        </w:rPr>
        <w:t xml:space="preserve"> DOS MIL DIECINUEVE, ANTE EL SECRETARIO TÉCNICO DEL PLENO, ALEXIS TAPIA RAMÍREZ.</w:t>
      </w:r>
    </w:p>
    <w:p w14:paraId="44323424" w14:textId="280BF87A" w:rsidR="00273B0A" w:rsidRPr="00E84311" w:rsidRDefault="00273B0A" w:rsidP="00E84311">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E84311" w14:paraId="281526A4" w14:textId="77777777" w:rsidTr="00551D75">
        <w:trPr>
          <w:jc w:val="center"/>
        </w:trPr>
        <w:tc>
          <w:tcPr>
            <w:tcW w:w="10368" w:type="dxa"/>
            <w:gridSpan w:val="2"/>
          </w:tcPr>
          <w:p w14:paraId="550712F5" w14:textId="77777777" w:rsidR="00273B0A" w:rsidRPr="00E84311" w:rsidRDefault="00273B0A" w:rsidP="00E84311">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E84311" w14:paraId="45B7804C" w14:textId="77777777" w:rsidTr="00273B0A">
              <w:trPr>
                <w:jc w:val="center"/>
              </w:trPr>
              <w:tc>
                <w:tcPr>
                  <w:tcW w:w="10240" w:type="dxa"/>
                  <w:gridSpan w:val="2"/>
                  <w:shd w:val="clear" w:color="auto" w:fill="auto"/>
                </w:tcPr>
                <w:p w14:paraId="0B6F1E98" w14:textId="77777777" w:rsidR="00273B0A" w:rsidRPr="00E84311" w:rsidRDefault="00273B0A" w:rsidP="00E84311">
                  <w:pPr>
                    <w:spacing w:line="360" w:lineRule="auto"/>
                    <w:rPr>
                      <w:rFonts w:ascii="Palatino Linotype" w:hAnsi="Palatino Linotype" w:cs="Arial"/>
                      <w:b/>
                    </w:rPr>
                  </w:pPr>
                </w:p>
                <w:p w14:paraId="40F55BAD" w14:textId="77777777" w:rsidR="00273B0A" w:rsidRDefault="00273B0A" w:rsidP="00E84311">
                  <w:pPr>
                    <w:spacing w:line="360" w:lineRule="auto"/>
                    <w:jc w:val="center"/>
                    <w:rPr>
                      <w:rFonts w:ascii="Palatino Linotype" w:hAnsi="Palatino Linotype" w:cs="Arial"/>
                      <w:b/>
                    </w:rPr>
                  </w:pPr>
                </w:p>
                <w:p w14:paraId="5C2AA95D" w14:textId="77777777" w:rsidR="00647566" w:rsidRDefault="00647566" w:rsidP="00E84311">
                  <w:pPr>
                    <w:spacing w:line="360" w:lineRule="auto"/>
                    <w:jc w:val="center"/>
                    <w:rPr>
                      <w:rFonts w:ascii="Palatino Linotype" w:hAnsi="Palatino Linotype" w:cs="Arial"/>
                      <w:b/>
                    </w:rPr>
                  </w:pPr>
                </w:p>
                <w:p w14:paraId="6BB04F4A" w14:textId="77777777" w:rsidR="00647566" w:rsidRPr="00E84311" w:rsidRDefault="00647566" w:rsidP="00E84311">
                  <w:pPr>
                    <w:spacing w:line="360" w:lineRule="auto"/>
                    <w:jc w:val="center"/>
                    <w:rPr>
                      <w:rFonts w:ascii="Palatino Linotype" w:hAnsi="Palatino Linotype" w:cs="Arial"/>
                      <w:b/>
                    </w:rPr>
                  </w:pPr>
                </w:p>
                <w:p w14:paraId="1FCAC701"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Zulema Martínez Sánchez</w:t>
                  </w:r>
                </w:p>
                <w:p w14:paraId="41412BF5"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rPr>
                    <w:t>Comisionada Presidenta</w:t>
                  </w:r>
                </w:p>
                <w:p w14:paraId="7C40317D"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 xml:space="preserve">(RÚBRICA) </w:t>
                  </w:r>
                </w:p>
              </w:tc>
            </w:tr>
            <w:tr w:rsidR="00273B0A" w:rsidRPr="00E84311" w14:paraId="0B6282FF" w14:textId="77777777" w:rsidTr="00273B0A">
              <w:trPr>
                <w:jc w:val="center"/>
              </w:trPr>
              <w:tc>
                <w:tcPr>
                  <w:tcW w:w="5182" w:type="dxa"/>
                  <w:shd w:val="clear" w:color="auto" w:fill="auto"/>
                </w:tcPr>
                <w:p w14:paraId="2BC1AF10" w14:textId="77777777" w:rsidR="00273B0A" w:rsidRPr="00E84311" w:rsidRDefault="00273B0A" w:rsidP="00E84311">
                  <w:pPr>
                    <w:spacing w:line="360" w:lineRule="auto"/>
                    <w:jc w:val="center"/>
                    <w:rPr>
                      <w:rFonts w:ascii="Palatino Linotype" w:hAnsi="Palatino Linotype" w:cs="Arial"/>
                      <w:b/>
                    </w:rPr>
                  </w:pPr>
                </w:p>
                <w:p w14:paraId="4065CF48" w14:textId="77777777" w:rsidR="00273B0A" w:rsidRPr="00E84311" w:rsidRDefault="00273B0A" w:rsidP="00E84311">
                  <w:pPr>
                    <w:spacing w:line="360" w:lineRule="auto"/>
                    <w:rPr>
                      <w:rFonts w:ascii="Palatino Linotype" w:hAnsi="Palatino Linotype" w:cs="Arial"/>
                      <w:b/>
                    </w:rPr>
                  </w:pPr>
                </w:p>
                <w:p w14:paraId="1CCDC829" w14:textId="77777777" w:rsidR="00273B0A" w:rsidRDefault="00273B0A" w:rsidP="00E84311">
                  <w:pPr>
                    <w:spacing w:line="360" w:lineRule="auto"/>
                    <w:jc w:val="center"/>
                    <w:rPr>
                      <w:rFonts w:ascii="Palatino Linotype" w:hAnsi="Palatino Linotype" w:cs="Arial"/>
                      <w:b/>
                    </w:rPr>
                  </w:pPr>
                </w:p>
                <w:p w14:paraId="65DEC969" w14:textId="77777777" w:rsidR="00647566" w:rsidRPr="00E84311" w:rsidRDefault="00647566" w:rsidP="00E84311">
                  <w:pPr>
                    <w:spacing w:line="360" w:lineRule="auto"/>
                    <w:jc w:val="center"/>
                    <w:rPr>
                      <w:rFonts w:ascii="Palatino Linotype" w:hAnsi="Palatino Linotype" w:cs="Arial"/>
                      <w:b/>
                    </w:rPr>
                  </w:pPr>
                </w:p>
                <w:p w14:paraId="1D849FEB"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Eva Abaid Yapur</w:t>
                  </w:r>
                </w:p>
                <w:p w14:paraId="03F7B7BE" w14:textId="77777777" w:rsidR="00273B0A" w:rsidRPr="00E84311" w:rsidRDefault="00273B0A" w:rsidP="00E84311">
                  <w:pPr>
                    <w:spacing w:line="360" w:lineRule="auto"/>
                    <w:jc w:val="center"/>
                    <w:rPr>
                      <w:rFonts w:ascii="Palatino Linotype" w:hAnsi="Palatino Linotype" w:cs="Arial"/>
                    </w:rPr>
                  </w:pPr>
                  <w:r w:rsidRPr="00E84311">
                    <w:rPr>
                      <w:rFonts w:ascii="Palatino Linotype" w:hAnsi="Palatino Linotype" w:cs="Arial"/>
                    </w:rPr>
                    <w:t>Comisionada</w:t>
                  </w:r>
                </w:p>
                <w:p w14:paraId="51509E6F"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(RÚBRICA)</w:t>
                  </w:r>
                </w:p>
              </w:tc>
              <w:tc>
                <w:tcPr>
                  <w:tcW w:w="5058" w:type="dxa"/>
                  <w:shd w:val="clear" w:color="auto" w:fill="auto"/>
                </w:tcPr>
                <w:p w14:paraId="1CDADAD3" w14:textId="77777777" w:rsidR="00273B0A" w:rsidRPr="00E84311" w:rsidRDefault="00273B0A" w:rsidP="00E84311">
                  <w:pPr>
                    <w:spacing w:line="360" w:lineRule="auto"/>
                    <w:jc w:val="center"/>
                    <w:rPr>
                      <w:rFonts w:ascii="Palatino Linotype" w:hAnsi="Palatino Linotype" w:cs="Arial"/>
                      <w:b/>
                    </w:rPr>
                  </w:pPr>
                </w:p>
                <w:p w14:paraId="1309839B" w14:textId="77777777" w:rsidR="00273B0A" w:rsidRPr="00E84311" w:rsidRDefault="00273B0A" w:rsidP="00E84311">
                  <w:pPr>
                    <w:spacing w:line="360" w:lineRule="auto"/>
                    <w:rPr>
                      <w:rFonts w:ascii="Palatino Linotype" w:hAnsi="Palatino Linotype" w:cs="Arial"/>
                      <w:b/>
                    </w:rPr>
                  </w:pPr>
                </w:p>
                <w:p w14:paraId="6F0A9890" w14:textId="77777777" w:rsidR="00273B0A" w:rsidRDefault="00273B0A" w:rsidP="00E84311">
                  <w:pPr>
                    <w:spacing w:line="360" w:lineRule="auto"/>
                    <w:jc w:val="center"/>
                    <w:rPr>
                      <w:rFonts w:ascii="Palatino Linotype" w:hAnsi="Palatino Linotype" w:cs="Arial"/>
                      <w:b/>
                    </w:rPr>
                  </w:pPr>
                </w:p>
                <w:p w14:paraId="2EE1A0FB" w14:textId="77777777" w:rsidR="00647566" w:rsidRPr="00E84311" w:rsidRDefault="00647566" w:rsidP="00E84311">
                  <w:pPr>
                    <w:spacing w:line="360" w:lineRule="auto"/>
                    <w:jc w:val="center"/>
                    <w:rPr>
                      <w:rFonts w:ascii="Palatino Linotype" w:hAnsi="Palatino Linotype" w:cs="Arial"/>
                      <w:b/>
                    </w:rPr>
                  </w:pPr>
                </w:p>
                <w:p w14:paraId="048BC28E"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José Guadalupe Luna Hernández</w:t>
                  </w:r>
                </w:p>
                <w:p w14:paraId="00B366FB" w14:textId="77777777" w:rsidR="00273B0A" w:rsidRPr="00E84311" w:rsidRDefault="00273B0A" w:rsidP="00E84311">
                  <w:pPr>
                    <w:spacing w:line="360" w:lineRule="auto"/>
                    <w:jc w:val="center"/>
                    <w:rPr>
                      <w:rFonts w:ascii="Palatino Linotype" w:hAnsi="Palatino Linotype" w:cs="Arial"/>
                    </w:rPr>
                  </w:pPr>
                  <w:r w:rsidRPr="00E84311">
                    <w:rPr>
                      <w:rFonts w:ascii="Palatino Linotype" w:hAnsi="Palatino Linotype" w:cs="Arial"/>
                    </w:rPr>
                    <w:t>Comisionado</w:t>
                  </w:r>
                </w:p>
                <w:p w14:paraId="7D8250CB"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(RÚBRICA)</w:t>
                  </w:r>
                </w:p>
              </w:tc>
            </w:tr>
            <w:tr w:rsidR="00273B0A" w:rsidRPr="00E84311" w14:paraId="79CD4A7F" w14:textId="77777777" w:rsidTr="00273B0A">
              <w:trPr>
                <w:jc w:val="center"/>
              </w:trPr>
              <w:tc>
                <w:tcPr>
                  <w:tcW w:w="5182" w:type="dxa"/>
                  <w:shd w:val="clear" w:color="auto" w:fill="auto"/>
                </w:tcPr>
                <w:p w14:paraId="348FB358" w14:textId="77777777" w:rsidR="00273B0A" w:rsidRPr="00E84311" w:rsidRDefault="00273B0A" w:rsidP="00647566">
                  <w:pPr>
                    <w:spacing w:line="360" w:lineRule="auto"/>
                    <w:rPr>
                      <w:rFonts w:ascii="Palatino Linotype" w:hAnsi="Palatino Linotype" w:cs="Arial"/>
                      <w:b/>
                    </w:rPr>
                  </w:pPr>
                </w:p>
                <w:p w14:paraId="07E00F76" w14:textId="77777777" w:rsidR="00273B0A" w:rsidRPr="00E84311" w:rsidRDefault="00273B0A" w:rsidP="00E84311">
                  <w:pPr>
                    <w:spacing w:line="360" w:lineRule="auto"/>
                    <w:jc w:val="center"/>
                    <w:rPr>
                      <w:rFonts w:ascii="Palatino Linotype" w:hAnsi="Palatino Linotype" w:cs="Arial"/>
                      <w:b/>
                    </w:rPr>
                  </w:pPr>
                </w:p>
                <w:p w14:paraId="39BDE933"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Javier Martínez Cruz</w:t>
                  </w:r>
                </w:p>
                <w:p w14:paraId="45A8205F" w14:textId="77777777" w:rsidR="00273B0A" w:rsidRPr="00E84311" w:rsidRDefault="00273B0A" w:rsidP="00E84311">
                  <w:pPr>
                    <w:spacing w:line="360" w:lineRule="auto"/>
                    <w:jc w:val="center"/>
                    <w:rPr>
                      <w:rFonts w:ascii="Palatino Linotype" w:hAnsi="Palatino Linotype" w:cs="Arial"/>
                    </w:rPr>
                  </w:pPr>
                  <w:r w:rsidRPr="00E84311">
                    <w:rPr>
                      <w:rFonts w:ascii="Palatino Linotype" w:hAnsi="Palatino Linotype" w:cs="Arial"/>
                    </w:rPr>
                    <w:t>Comisionado</w:t>
                  </w:r>
                </w:p>
                <w:p w14:paraId="5DEEA3FE" w14:textId="77777777" w:rsidR="00273B0A" w:rsidRPr="00E84311" w:rsidRDefault="00273B0A" w:rsidP="00E84311">
                  <w:pPr>
                    <w:spacing w:line="360" w:lineRule="auto"/>
                    <w:jc w:val="center"/>
                    <w:rPr>
                      <w:rFonts w:ascii="Palatino Linotype" w:hAnsi="Palatino Linotype" w:cs="Arial"/>
                    </w:rPr>
                  </w:pPr>
                  <w:r w:rsidRPr="00E84311">
                    <w:rPr>
                      <w:rFonts w:ascii="Palatino Linotype" w:hAnsi="Palatino Linotype" w:cs="Arial"/>
                      <w:b/>
                    </w:rPr>
                    <w:t>(RÚBRICA)</w:t>
                  </w:r>
                </w:p>
              </w:tc>
              <w:tc>
                <w:tcPr>
                  <w:tcW w:w="5058" w:type="dxa"/>
                  <w:shd w:val="clear" w:color="auto" w:fill="auto"/>
                </w:tcPr>
                <w:p w14:paraId="27162C0E" w14:textId="77777777" w:rsidR="00273B0A" w:rsidRPr="00E84311" w:rsidRDefault="00273B0A" w:rsidP="00E84311">
                  <w:pPr>
                    <w:spacing w:line="360" w:lineRule="auto"/>
                    <w:jc w:val="center"/>
                    <w:rPr>
                      <w:rFonts w:ascii="Palatino Linotype" w:hAnsi="Palatino Linotype" w:cs="Arial"/>
                      <w:b/>
                    </w:rPr>
                  </w:pPr>
                </w:p>
                <w:p w14:paraId="067259AF" w14:textId="77777777" w:rsidR="00273B0A" w:rsidRPr="00E84311" w:rsidRDefault="00273B0A" w:rsidP="00E84311">
                  <w:pPr>
                    <w:spacing w:line="360" w:lineRule="auto"/>
                    <w:rPr>
                      <w:rFonts w:ascii="Palatino Linotype" w:hAnsi="Palatino Linotype" w:cs="Arial"/>
                      <w:b/>
                    </w:rPr>
                  </w:pPr>
                </w:p>
                <w:p w14:paraId="6BE746C5"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Luis Gustavo Parra Noriega</w:t>
                  </w:r>
                </w:p>
                <w:p w14:paraId="2292D640" w14:textId="77777777" w:rsidR="00273B0A" w:rsidRPr="00E84311" w:rsidRDefault="00273B0A" w:rsidP="00E84311">
                  <w:pPr>
                    <w:spacing w:line="360" w:lineRule="auto"/>
                    <w:jc w:val="center"/>
                    <w:rPr>
                      <w:rFonts w:ascii="Palatino Linotype" w:hAnsi="Palatino Linotype" w:cs="Arial"/>
                    </w:rPr>
                  </w:pPr>
                  <w:r w:rsidRPr="00E84311">
                    <w:rPr>
                      <w:rFonts w:ascii="Palatino Linotype" w:hAnsi="Palatino Linotype" w:cs="Arial"/>
                    </w:rPr>
                    <w:t>Comisionado</w:t>
                  </w:r>
                </w:p>
                <w:p w14:paraId="76321144"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(RÚBRICA)</w:t>
                  </w:r>
                </w:p>
              </w:tc>
            </w:tr>
            <w:tr w:rsidR="00273B0A" w:rsidRPr="00E84311" w14:paraId="2B4DC956" w14:textId="77777777" w:rsidTr="00273B0A">
              <w:trPr>
                <w:jc w:val="center"/>
              </w:trPr>
              <w:tc>
                <w:tcPr>
                  <w:tcW w:w="10240" w:type="dxa"/>
                  <w:gridSpan w:val="2"/>
                  <w:shd w:val="clear" w:color="auto" w:fill="auto"/>
                </w:tcPr>
                <w:p w14:paraId="53AFE073" w14:textId="77777777" w:rsidR="00273B0A" w:rsidRPr="00E84311" w:rsidRDefault="00273B0A" w:rsidP="00E84311">
                  <w:pPr>
                    <w:tabs>
                      <w:tab w:val="left" w:pos="3720"/>
                    </w:tabs>
                    <w:spacing w:line="360" w:lineRule="auto"/>
                    <w:rPr>
                      <w:rFonts w:ascii="Palatino Linotype" w:hAnsi="Palatino Linotype" w:cs="Arial"/>
                      <w:b/>
                    </w:rPr>
                  </w:pPr>
                  <w:r w:rsidRPr="00E84311">
                    <w:rPr>
                      <w:rFonts w:ascii="Palatino Linotype" w:hAnsi="Palatino Linotype" w:cs="Arial"/>
                      <w:b/>
                    </w:rPr>
                    <w:tab/>
                  </w:r>
                </w:p>
                <w:p w14:paraId="18930C7D" w14:textId="77777777" w:rsidR="00273B0A" w:rsidRPr="00E84311" w:rsidRDefault="00273B0A" w:rsidP="00647566">
                  <w:pPr>
                    <w:spacing w:line="360" w:lineRule="auto"/>
                    <w:rPr>
                      <w:rFonts w:ascii="Palatino Linotype" w:hAnsi="Palatino Linotype" w:cs="Arial"/>
                      <w:b/>
                    </w:rPr>
                  </w:pPr>
                </w:p>
                <w:p w14:paraId="5C52D66C" w14:textId="77777777" w:rsidR="00273B0A" w:rsidRPr="00E84311" w:rsidRDefault="00273B0A" w:rsidP="00E84311">
                  <w:pPr>
                    <w:spacing w:line="360" w:lineRule="auto"/>
                    <w:jc w:val="center"/>
                    <w:rPr>
                      <w:rFonts w:ascii="Palatino Linotype" w:hAnsi="Palatino Linotype" w:cs="Arial"/>
                      <w:b/>
                    </w:rPr>
                  </w:pPr>
                  <w:r w:rsidRPr="00E84311">
                    <w:rPr>
                      <w:rFonts w:ascii="Palatino Linotype" w:hAnsi="Palatino Linotype" w:cs="Arial"/>
                      <w:b/>
                    </w:rPr>
                    <w:t>Alexis Tapia Ramírez</w:t>
                  </w:r>
                </w:p>
                <w:p w14:paraId="70F8E438" w14:textId="77777777" w:rsidR="00273B0A" w:rsidRPr="00E84311" w:rsidRDefault="00273B0A" w:rsidP="00E84311">
                  <w:pPr>
                    <w:spacing w:line="360" w:lineRule="auto"/>
                    <w:jc w:val="center"/>
                    <w:rPr>
                      <w:rFonts w:ascii="Palatino Linotype" w:hAnsi="Palatino Linotype" w:cs="Arial"/>
                    </w:rPr>
                  </w:pPr>
                  <w:r w:rsidRPr="00E84311">
                    <w:rPr>
                      <w:rFonts w:ascii="Palatino Linotype" w:hAnsi="Palatino Linotype" w:cs="Arial"/>
                    </w:rPr>
                    <w:t>Secretario Técnico del Pleno</w:t>
                  </w:r>
                </w:p>
                <w:p w14:paraId="17582345" w14:textId="77777777" w:rsidR="00273B0A" w:rsidRPr="00E84311" w:rsidRDefault="00273B0A" w:rsidP="00E84311">
                  <w:pPr>
                    <w:spacing w:line="360" w:lineRule="auto"/>
                    <w:jc w:val="center"/>
                    <w:rPr>
                      <w:rFonts w:ascii="Palatino Linotype" w:hAnsi="Palatino Linotype" w:cs="Arial"/>
                    </w:rPr>
                  </w:pPr>
                  <w:r w:rsidRPr="00E84311">
                    <w:rPr>
                      <w:rFonts w:ascii="Palatino Linotype" w:hAnsi="Palatino Linotype" w:cs="Arial"/>
                      <w:b/>
                    </w:rPr>
                    <w:t>(RÚBRICA)</w:t>
                  </w:r>
                  <w:r w:rsidRPr="00E84311">
                    <w:rPr>
                      <w:rFonts w:ascii="Palatino Linotype" w:hAnsi="Palatino Linotype" w:cs="Arial"/>
                    </w:rPr>
                    <w:t xml:space="preserve"> </w:t>
                  </w:r>
                </w:p>
              </w:tc>
            </w:tr>
          </w:tbl>
          <w:p w14:paraId="6231B5B7" w14:textId="77777777" w:rsidR="00273B0A" w:rsidRPr="00E84311" w:rsidRDefault="00273B0A" w:rsidP="00E84311">
            <w:pPr>
              <w:spacing w:line="360" w:lineRule="auto"/>
              <w:jc w:val="both"/>
              <w:rPr>
                <w:rFonts w:ascii="Palatino Linotype" w:hAnsi="Palatino Linotype" w:cs="Arial"/>
                <w:lang w:val="es-ES"/>
              </w:rPr>
            </w:pPr>
          </w:p>
        </w:tc>
      </w:tr>
      <w:tr w:rsidR="00273B0A" w:rsidRPr="00E84311" w14:paraId="4F7F64F5" w14:textId="77777777" w:rsidTr="00551D75">
        <w:trPr>
          <w:jc w:val="center"/>
        </w:trPr>
        <w:tc>
          <w:tcPr>
            <w:tcW w:w="5184" w:type="dxa"/>
            <w:hideMark/>
          </w:tcPr>
          <w:p w14:paraId="4E783067" w14:textId="77777777" w:rsidR="00273B0A" w:rsidRPr="00E84311" w:rsidRDefault="00273B0A" w:rsidP="00E84311">
            <w:pPr>
              <w:spacing w:line="360" w:lineRule="auto"/>
              <w:jc w:val="both"/>
              <w:rPr>
                <w:rFonts w:ascii="Palatino Linotype" w:hAnsi="Palatino Linotype" w:cs="Arial"/>
                <w:lang w:val="es-ES"/>
              </w:rPr>
            </w:pPr>
          </w:p>
        </w:tc>
        <w:tc>
          <w:tcPr>
            <w:tcW w:w="5184" w:type="dxa"/>
          </w:tcPr>
          <w:p w14:paraId="73E5BC8D" w14:textId="77777777" w:rsidR="00273B0A" w:rsidRPr="00E84311" w:rsidRDefault="00273B0A" w:rsidP="00E84311">
            <w:pPr>
              <w:spacing w:line="360" w:lineRule="auto"/>
              <w:jc w:val="center"/>
              <w:rPr>
                <w:rFonts w:ascii="Palatino Linotype" w:hAnsi="Palatino Linotype" w:cs="Arial"/>
                <w:b/>
              </w:rPr>
            </w:pPr>
          </w:p>
        </w:tc>
      </w:tr>
    </w:tbl>
    <w:p w14:paraId="0CFE34E2" w14:textId="592FF736" w:rsidR="007914E4" w:rsidRPr="00E84311" w:rsidRDefault="00273B0A" w:rsidP="00E84311">
      <w:pPr>
        <w:tabs>
          <w:tab w:val="left" w:pos="567"/>
        </w:tabs>
        <w:spacing w:before="240" w:after="240" w:line="360" w:lineRule="auto"/>
        <w:jc w:val="both"/>
        <w:rPr>
          <w:rFonts w:ascii="Palatino Linotype" w:hAnsi="Palatino Linotype" w:cs="Arial"/>
          <w:lang w:val="es-MX"/>
        </w:rPr>
      </w:pPr>
      <w:r w:rsidRPr="00E84311">
        <w:rPr>
          <w:rFonts w:ascii="Palatino Linotype" w:eastAsia="Times New Roman" w:hAnsi="Palatino Linotype" w:cs="Arial"/>
          <w:lang w:val="es-MX"/>
        </w:rPr>
        <w:t>Esta hoja corr</w:t>
      </w:r>
      <w:r w:rsidR="00647566">
        <w:rPr>
          <w:rFonts w:ascii="Palatino Linotype" w:eastAsia="Times New Roman" w:hAnsi="Palatino Linotype" w:cs="Arial"/>
          <w:lang w:val="es-MX"/>
        </w:rPr>
        <w:t xml:space="preserve">esponde a la resolución de fecha dieciséis de octubre </w:t>
      </w:r>
      <w:r w:rsidRPr="00E84311">
        <w:rPr>
          <w:rFonts w:ascii="Palatino Linotype" w:eastAsia="Times New Roman" w:hAnsi="Palatino Linotype" w:cs="Arial"/>
          <w:lang w:val="es-MX"/>
        </w:rPr>
        <w:t xml:space="preserve">de dos mil  diecinueve, emitida en el recurso de revisión </w:t>
      </w:r>
      <w:r w:rsidR="00882DE1" w:rsidRPr="00E84311">
        <w:rPr>
          <w:rFonts w:ascii="Palatino Linotype" w:hAnsi="Palatino Linotype" w:cs="Arial"/>
          <w:b/>
          <w:bCs/>
          <w:lang w:val="es-MX" w:eastAsia="es-MX"/>
        </w:rPr>
        <w:t>0</w:t>
      </w:r>
      <w:r w:rsidR="007B5F15" w:rsidRPr="00E84311">
        <w:rPr>
          <w:rFonts w:ascii="Palatino Linotype" w:hAnsi="Palatino Linotype" w:cs="Arial"/>
          <w:b/>
          <w:bCs/>
          <w:lang w:val="es-MX" w:eastAsia="es-MX"/>
        </w:rPr>
        <w:t>06633/INFOEM/IP/RR/2019</w:t>
      </w:r>
      <w:r w:rsidR="00417E0F" w:rsidRPr="00E84311">
        <w:rPr>
          <w:rFonts w:ascii="Palatino Linotype" w:hAnsi="Palatino Linotype" w:cs="Arial"/>
          <w:b/>
          <w:bCs/>
          <w:lang w:val="es-MX" w:eastAsia="es-MX"/>
        </w:rPr>
        <w:t>.</w:t>
      </w:r>
    </w:p>
    <w:sectPr w:rsidR="007914E4" w:rsidRPr="00E84311" w:rsidSect="00E84311">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08C0F" w14:textId="77777777" w:rsidR="00283925" w:rsidRDefault="00283925" w:rsidP="00587366">
      <w:r>
        <w:separator/>
      </w:r>
    </w:p>
    <w:p w14:paraId="0429DA9E" w14:textId="77777777" w:rsidR="00283925" w:rsidRDefault="00283925"/>
  </w:endnote>
  <w:endnote w:type="continuationSeparator" w:id="0">
    <w:p w14:paraId="2F2884E7" w14:textId="77777777" w:rsidR="00283925" w:rsidRDefault="00283925" w:rsidP="00587366">
      <w:r>
        <w:continuationSeparator/>
      </w:r>
    </w:p>
    <w:p w14:paraId="407F4DDC" w14:textId="77777777" w:rsidR="00283925" w:rsidRDefault="00283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E84311" w:rsidRDefault="00E84311" w:rsidP="00E84311">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D65B0">
              <w:rPr>
                <w:rFonts w:ascii="Palatino Linotype" w:hAnsi="Palatino Linotype"/>
                <w:b/>
                <w:bCs/>
                <w:noProof/>
                <w:sz w:val="22"/>
                <w:szCs w:val="20"/>
              </w:rPr>
              <w:t>69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D65B0">
              <w:rPr>
                <w:rFonts w:ascii="Palatino Linotype" w:hAnsi="Palatino Linotype"/>
                <w:b/>
                <w:bCs/>
                <w:noProof/>
                <w:sz w:val="22"/>
                <w:szCs w:val="20"/>
              </w:rPr>
              <w:t>71</w:t>
            </w:r>
            <w:r w:rsidRPr="00883450">
              <w:rPr>
                <w:rFonts w:ascii="Palatino Linotype" w:hAnsi="Palatino Linotype"/>
                <w:b/>
                <w:bCs/>
                <w:sz w:val="22"/>
                <w:szCs w:val="20"/>
              </w:rPr>
              <w:fldChar w:fldCharType="end"/>
            </w:r>
          </w:p>
          <w:p w14:paraId="187818B4" w14:textId="42E0FFCB" w:rsidR="00E84311" w:rsidRDefault="000D65B0" w:rsidP="00E84311">
            <w:pPr>
              <w:pStyle w:val="Piedepgina"/>
              <w:jc w:val="right"/>
              <w:rPr>
                <w:rFonts w:ascii="Palatino Linotype" w:hAnsi="Palatino Linotype"/>
                <w:sz w:val="28"/>
              </w:rPr>
            </w:pPr>
          </w:p>
        </w:sdtContent>
      </w:sdt>
    </w:sdtContent>
  </w:sdt>
  <w:p w14:paraId="1AED78E8" w14:textId="77777777" w:rsidR="00E84311" w:rsidRDefault="00E843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84311" w:rsidRPr="00883450" w:rsidRDefault="00E8431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D65B0" w:rsidRPr="000D65B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D65B0" w:rsidRPr="000D65B0">
      <w:rPr>
        <w:rFonts w:ascii="Palatino Linotype" w:hAnsi="Palatino Linotype"/>
        <w:noProof/>
        <w:sz w:val="22"/>
        <w:szCs w:val="22"/>
        <w:lang w:val="es-ES"/>
      </w:rPr>
      <w:t>71</w:t>
    </w:r>
    <w:r w:rsidRPr="00883450">
      <w:rPr>
        <w:rFonts w:ascii="Palatino Linotype" w:hAnsi="Palatino Linotype"/>
        <w:sz w:val="22"/>
        <w:szCs w:val="22"/>
      </w:rPr>
      <w:fldChar w:fldCharType="end"/>
    </w:r>
  </w:p>
  <w:p w14:paraId="5F5C4865" w14:textId="77777777" w:rsidR="00E84311" w:rsidRPr="00883450" w:rsidRDefault="00E84311">
    <w:pPr>
      <w:pStyle w:val="Piedepgina"/>
      <w:rPr>
        <w:rFonts w:ascii="Palatino Linotype" w:hAnsi="Palatino Linotype"/>
        <w:sz w:val="22"/>
        <w:szCs w:val="22"/>
      </w:rPr>
    </w:pPr>
  </w:p>
  <w:p w14:paraId="2E09EA83" w14:textId="77777777" w:rsidR="00E84311" w:rsidRDefault="00E843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2D6D6" w14:textId="77777777" w:rsidR="00283925" w:rsidRDefault="00283925" w:rsidP="00587366">
      <w:r>
        <w:separator/>
      </w:r>
    </w:p>
    <w:p w14:paraId="6FF878CD" w14:textId="77777777" w:rsidR="00283925" w:rsidRDefault="00283925"/>
  </w:footnote>
  <w:footnote w:type="continuationSeparator" w:id="0">
    <w:p w14:paraId="57606D1D" w14:textId="77777777" w:rsidR="00283925" w:rsidRDefault="00283925" w:rsidP="00587366">
      <w:r>
        <w:continuationSeparator/>
      </w:r>
    </w:p>
    <w:p w14:paraId="2946DF62" w14:textId="77777777" w:rsidR="00283925" w:rsidRDefault="00283925"/>
  </w:footnote>
  <w:footnote w:id="1">
    <w:p w14:paraId="09ED1C45" w14:textId="77777777" w:rsidR="00E84311" w:rsidRPr="0069128D" w:rsidRDefault="00E84311" w:rsidP="00F64AB9">
      <w:pPr>
        <w:pStyle w:val="Prrafodelista"/>
        <w:spacing w:after="240" w:line="276" w:lineRule="auto"/>
        <w:ind w:left="0"/>
        <w:jc w:val="both"/>
        <w:rPr>
          <w:rFonts w:asciiTheme="majorHAnsi" w:eastAsia="MS Mincho" w:hAnsiTheme="majorHAnsi" w:cs="Arial"/>
          <w:color w:val="000000" w:themeColor="text1"/>
          <w:sz w:val="20"/>
          <w:szCs w:val="20"/>
        </w:rPr>
      </w:pPr>
      <w:r>
        <w:rPr>
          <w:rStyle w:val="Refdenotaalpie"/>
        </w:rPr>
        <w:footnoteRef/>
      </w:r>
      <w:r>
        <w:t xml:space="preserve"> </w:t>
      </w:r>
      <w:r w:rsidRPr="0069128D">
        <w:rPr>
          <w:rFonts w:asciiTheme="majorHAnsi" w:hAnsiTheme="majorHAnsi"/>
          <w:sz w:val="20"/>
          <w:szCs w:val="20"/>
        </w:rPr>
        <w:t xml:space="preserve">Martínez Gil, Pablo </w:t>
      </w:r>
      <w:r w:rsidRPr="0069128D">
        <w:rPr>
          <w:rFonts w:asciiTheme="majorHAnsi" w:eastAsia="MS Mincho" w:hAnsiTheme="majorHAnsi" w:cs="Arial"/>
          <w:color w:val="000000" w:themeColor="text1"/>
          <w:sz w:val="20"/>
          <w:szCs w:val="20"/>
        </w:rPr>
        <w:t>“</w:t>
      </w:r>
      <w:r w:rsidRPr="0069128D">
        <w:rPr>
          <w:rFonts w:asciiTheme="majorHAnsi" w:hAnsiTheme="majorHAnsi"/>
          <w:i/>
          <w:sz w:val="20"/>
          <w:szCs w:val="20"/>
        </w:rPr>
        <w:t>EL MUNICIPIO, LA CIUDAD Y EL URBANISMO</w:t>
      </w:r>
      <w:r w:rsidRPr="0069128D">
        <w:rPr>
          <w:rFonts w:asciiTheme="majorHAnsi" w:hAnsiTheme="majorHAnsi"/>
          <w:sz w:val="20"/>
          <w:szCs w:val="20"/>
        </w:rPr>
        <w:t xml:space="preserve">”, Universidad Nación Autónoma de México, México pp.199 consultable en la página electrónica </w:t>
      </w:r>
      <w:hyperlink r:id="rId1" w:history="1">
        <w:r w:rsidRPr="0069128D">
          <w:rPr>
            <w:rFonts w:asciiTheme="majorHAnsi" w:hAnsiTheme="majorHAnsi"/>
            <w:color w:val="0000FF"/>
            <w:sz w:val="20"/>
            <w:szCs w:val="20"/>
            <w:u w:val="single"/>
          </w:rPr>
          <w:t>https://archivos.juridicas.unam.mx/www/bjv/libros/6/2735/10.pdf</w:t>
        </w:r>
      </w:hyperlink>
      <w:r w:rsidRPr="0069128D">
        <w:rPr>
          <w:rFonts w:asciiTheme="majorHAnsi" w:hAnsiTheme="majorHAnsi"/>
          <w:sz w:val="20"/>
          <w:szCs w:val="20"/>
        </w:rPr>
        <w:t>.</w:t>
      </w:r>
    </w:p>
    <w:p w14:paraId="68622E73" w14:textId="77777777" w:rsidR="00E84311" w:rsidRPr="0069128D" w:rsidRDefault="00E84311" w:rsidP="00F64AB9">
      <w:pPr>
        <w:pStyle w:val="Textonotapie"/>
        <w:spacing w:line="276" w:lineRule="auto"/>
        <w:rPr>
          <w:rFonts w:asciiTheme="majorHAnsi" w:hAnsiTheme="majorHAnsi"/>
        </w:rPr>
      </w:pPr>
    </w:p>
  </w:footnote>
  <w:footnote w:id="2">
    <w:p w14:paraId="5B874F49" w14:textId="77777777" w:rsidR="00E84311" w:rsidRPr="00D83E40" w:rsidRDefault="00E84311" w:rsidP="003948A2">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70F993C2" w14:textId="77777777" w:rsidR="00E84311" w:rsidRPr="006B060A" w:rsidRDefault="00E84311" w:rsidP="003948A2">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3">
    <w:p w14:paraId="00928AFE" w14:textId="77777777" w:rsidR="00E84311" w:rsidRDefault="00E84311" w:rsidP="007E0B3E">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Times"/>
          <w:bCs/>
          <w:sz w:val="16"/>
          <w:szCs w:val="16"/>
          <w:shd w:val="clear" w:color="auto" w:fill="FFFFFF"/>
        </w:rPr>
        <w:t>Publicados en el Diario Oficial de la Federación en septiembre de dos mil seis.</w:t>
      </w:r>
    </w:p>
  </w:footnote>
  <w:footnote w:id="4">
    <w:p w14:paraId="22D21764" w14:textId="77777777" w:rsidR="00E84311" w:rsidRDefault="00E84311" w:rsidP="00F92A8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0D80B67" w14:textId="77777777" w:rsidR="00E84311" w:rsidRDefault="00E84311" w:rsidP="00F92A8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B3A517A" w14:textId="77777777" w:rsidR="00E84311" w:rsidRPr="001E1F95" w:rsidRDefault="00E84311" w:rsidP="00F92A8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77546DE3" w14:textId="77777777" w:rsidR="00E84311" w:rsidRPr="007F43A5" w:rsidRDefault="00E84311" w:rsidP="00F92A8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6">
    <w:p w14:paraId="7D08A2FC" w14:textId="77777777" w:rsidR="00E84311" w:rsidRPr="0037004E" w:rsidRDefault="00E84311" w:rsidP="00F92A8F">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4F6191C3" w14:textId="77777777" w:rsidR="00E84311" w:rsidRDefault="00E84311" w:rsidP="00F92A8F">
      <w:pPr>
        <w:pStyle w:val="Textonotapie"/>
      </w:pPr>
    </w:p>
  </w:footnote>
  <w:footnote w:id="7">
    <w:p w14:paraId="6D21B530" w14:textId="77777777" w:rsidR="00E84311" w:rsidRPr="00ED2A04" w:rsidRDefault="00E84311" w:rsidP="00F92A8F">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8">
    <w:p w14:paraId="4130D9FD" w14:textId="77777777" w:rsidR="00E84311" w:rsidRPr="00ED2A04" w:rsidRDefault="00E84311" w:rsidP="00F92A8F">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9">
    <w:p w14:paraId="0A2799F4" w14:textId="77777777" w:rsidR="00E84311" w:rsidRPr="000406A4" w:rsidRDefault="00E84311" w:rsidP="00F92A8F">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0">
    <w:p w14:paraId="2C49CD5B" w14:textId="77777777" w:rsidR="00E84311" w:rsidRPr="000406A4" w:rsidRDefault="00E84311" w:rsidP="00F92A8F">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11">
    <w:p w14:paraId="2657D9E0" w14:textId="77777777" w:rsidR="00E84311" w:rsidRPr="000406A4" w:rsidRDefault="00E84311" w:rsidP="00F92A8F">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12">
    <w:p w14:paraId="134E3A99" w14:textId="77777777" w:rsidR="00E84311" w:rsidRPr="000406A4" w:rsidRDefault="00E84311" w:rsidP="00F92A8F">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13">
    <w:p w14:paraId="3B2AB95A" w14:textId="77777777" w:rsidR="00E84311" w:rsidRPr="000406A4" w:rsidRDefault="00E84311" w:rsidP="00F92A8F">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14">
    <w:p w14:paraId="71158D41" w14:textId="77777777" w:rsidR="00E84311" w:rsidRPr="00544A82" w:rsidRDefault="00E84311" w:rsidP="00F92A8F">
      <w:pPr>
        <w:jc w:val="both"/>
        <w:rPr>
          <w:rFonts w:asciiTheme="majorHAnsi" w:eastAsia="Times New Roman" w:hAnsiTheme="majorHAnsi"/>
          <w:color w:val="000000" w:themeColor="text1"/>
          <w:sz w:val="20"/>
          <w:szCs w:val="20"/>
          <w:lang w:eastAsia="es-ES_tradnl"/>
        </w:rPr>
      </w:pPr>
      <w:r>
        <w:rPr>
          <w:rStyle w:val="Refdenotaalpie"/>
        </w:rPr>
        <w:footnoteRef/>
      </w:r>
      <w:r>
        <w:t xml:space="preserve"> </w:t>
      </w:r>
      <w:r>
        <w:rPr>
          <w:lang w:val="es-ES"/>
        </w:rPr>
        <w:t>“</w:t>
      </w:r>
      <w:r w:rsidRPr="00544A82">
        <w:rPr>
          <w:rFonts w:asciiTheme="majorHAnsi" w:eastAsia="Times New Roman" w:hAnsiTheme="majorHAnsi"/>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5">
    <w:p w14:paraId="62D8F577" w14:textId="77777777" w:rsidR="00E84311" w:rsidRPr="00544A82" w:rsidRDefault="00E84311" w:rsidP="00F92A8F">
      <w:pPr>
        <w:pStyle w:val="Textonotapie"/>
        <w:rPr>
          <w:rFonts w:asciiTheme="majorHAnsi" w:hAnsiTheme="majorHAnsi"/>
          <w:lang w:val="es-ES"/>
        </w:rPr>
      </w:pPr>
      <w:r w:rsidRPr="00544A82">
        <w:rPr>
          <w:rStyle w:val="Refdenotaalpie"/>
          <w:rFonts w:asciiTheme="majorHAnsi" w:hAnsiTheme="majorHAnsi"/>
        </w:rPr>
        <w:footnoteRef/>
      </w:r>
      <w:r w:rsidRPr="00544A82">
        <w:rPr>
          <w:rFonts w:asciiTheme="majorHAnsi" w:hAnsiTheme="majorHAnsi"/>
        </w:rPr>
        <w:t xml:space="preserve"> </w:t>
      </w:r>
      <w:r w:rsidRPr="00544A82">
        <w:rPr>
          <w:rFonts w:asciiTheme="majorHAnsi" w:hAnsiTheme="majorHAnsi"/>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E84311" w:rsidRDefault="00E8431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84311" w:rsidRPr="00E84957" w14:paraId="07F2896E" w14:textId="77777777" w:rsidTr="003116A6">
      <w:trPr>
        <w:trHeight w:val="138"/>
        <w:jc w:val="right"/>
      </w:trPr>
      <w:tc>
        <w:tcPr>
          <w:tcW w:w="2552" w:type="dxa"/>
          <w:vAlign w:val="center"/>
        </w:tcPr>
        <w:p w14:paraId="4A5B1974" w14:textId="77777777" w:rsidR="00E84311" w:rsidRPr="00E84957" w:rsidRDefault="00E8431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7F28FB26" w:rsidR="00E84311" w:rsidRPr="002D0ECC" w:rsidRDefault="00E84311" w:rsidP="007B5F15">
          <w:pPr>
            <w:pStyle w:val="Encabezado"/>
            <w:jc w:val="right"/>
            <w:rPr>
              <w:rFonts w:ascii="Palatino Linotype" w:hAnsi="Palatino Linotype"/>
              <w:b/>
              <w:sz w:val="20"/>
              <w:szCs w:val="20"/>
            </w:rPr>
          </w:pPr>
          <w:r>
            <w:rPr>
              <w:rFonts w:ascii="Palatino Linotype" w:hAnsi="Palatino Linotype" w:cs="Arial"/>
              <w:b/>
              <w:bCs/>
              <w:sz w:val="20"/>
              <w:szCs w:val="20"/>
              <w:lang w:eastAsia="es-MX"/>
            </w:rPr>
            <w:t>06633/INFOEM/IP/RR/2019</w:t>
          </w:r>
        </w:p>
      </w:tc>
    </w:tr>
    <w:tr w:rsidR="00E84311" w:rsidRPr="00E84957" w14:paraId="095EB01B" w14:textId="77777777" w:rsidTr="003116A6">
      <w:trPr>
        <w:trHeight w:val="321"/>
        <w:jc w:val="right"/>
      </w:trPr>
      <w:tc>
        <w:tcPr>
          <w:tcW w:w="2552" w:type="dxa"/>
          <w:vAlign w:val="center"/>
        </w:tcPr>
        <w:p w14:paraId="6E000A51" w14:textId="4DA3E277" w:rsidR="00E84311" w:rsidRPr="00E84957" w:rsidRDefault="00E84311"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221AFAE" w:rsidR="00E84311" w:rsidRPr="00740719" w:rsidRDefault="00E84311" w:rsidP="007B5F15">
          <w:pPr>
            <w:pStyle w:val="Encabezado"/>
            <w:jc w:val="right"/>
            <w:rPr>
              <w:rFonts w:ascii="Palatino Linotype" w:hAnsi="Palatino Linotype"/>
              <w:b/>
              <w:sz w:val="18"/>
              <w:szCs w:val="18"/>
            </w:rPr>
          </w:pPr>
          <w:r>
            <w:rPr>
              <w:rFonts w:ascii="Palatino Linotype" w:hAnsi="Palatino Linotype"/>
              <w:b/>
              <w:sz w:val="20"/>
              <w:szCs w:val="20"/>
            </w:rPr>
            <w:t>Ayuntamiento de Zumpango</w:t>
          </w:r>
        </w:p>
      </w:tc>
    </w:tr>
    <w:tr w:rsidR="00E84311" w:rsidRPr="00E84957" w14:paraId="14F3CE0D" w14:textId="77777777" w:rsidTr="003116A6">
      <w:trPr>
        <w:trHeight w:val="321"/>
        <w:jc w:val="right"/>
      </w:trPr>
      <w:tc>
        <w:tcPr>
          <w:tcW w:w="2552" w:type="dxa"/>
          <w:vAlign w:val="center"/>
        </w:tcPr>
        <w:p w14:paraId="12248485" w14:textId="081B3348" w:rsidR="00E84311" w:rsidRPr="00E84957" w:rsidRDefault="00E84311"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E84311" w:rsidRPr="002D0ECC" w:rsidRDefault="00E84311"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E84311" w:rsidRDefault="00E84311" w:rsidP="00587366">
    <w:pPr>
      <w:pStyle w:val="Encabezado"/>
    </w:pPr>
  </w:p>
  <w:p w14:paraId="01FCACBC" w14:textId="77777777" w:rsidR="00E84311" w:rsidRDefault="00E843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84311" w:rsidRDefault="00E8431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E84311" w:rsidRPr="00182113" w14:paraId="665387B4" w14:textId="77777777" w:rsidTr="000B5D79">
      <w:trPr>
        <w:trHeight w:val="138"/>
      </w:trPr>
      <w:tc>
        <w:tcPr>
          <w:tcW w:w="2532" w:type="dxa"/>
          <w:vAlign w:val="center"/>
        </w:tcPr>
        <w:p w14:paraId="01509DD6" w14:textId="77777777" w:rsidR="00E84311" w:rsidRPr="00182113" w:rsidRDefault="00E8431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E84311" w:rsidRPr="00182113" w:rsidRDefault="00E84311" w:rsidP="000B5D79">
          <w:pPr>
            <w:pStyle w:val="Encabezado"/>
            <w:jc w:val="center"/>
            <w:rPr>
              <w:rFonts w:ascii="Palatino Linotype" w:hAnsi="Palatino Linotype"/>
              <w:b/>
              <w:sz w:val="22"/>
              <w:szCs w:val="22"/>
            </w:rPr>
          </w:pPr>
        </w:p>
      </w:tc>
      <w:tc>
        <w:tcPr>
          <w:tcW w:w="3261" w:type="dxa"/>
          <w:vAlign w:val="center"/>
        </w:tcPr>
        <w:p w14:paraId="4FAE21CD" w14:textId="35D8BBE2" w:rsidR="00E84311" w:rsidRPr="00182113" w:rsidRDefault="00E84311" w:rsidP="007B5F15">
          <w:pPr>
            <w:pStyle w:val="Encabezado"/>
            <w:rPr>
              <w:rFonts w:ascii="Palatino Linotype" w:hAnsi="Palatino Linotype"/>
              <w:b/>
              <w:sz w:val="22"/>
              <w:szCs w:val="22"/>
            </w:rPr>
          </w:pPr>
          <w:r>
            <w:rPr>
              <w:rFonts w:ascii="Palatino Linotype" w:hAnsi="Palatino Linotype" w:cs="Arial"/>
              <w:b/>
              <w:bCs/>
              <w:sz w:val="20"/>
              <w:szCs w:val="20"/>
              <w:lang w:eastAsia="es-MX"/>
            </w:rPr>
            <w:t>06633/INFOEM/IP/RR/2019</w:t>
          </w:r>
        </w:p>
      </w:tc>
    </w:tr>
    <w:tr w:rsidR="00E84311" w:rsidRPr="0054223D" w14:paraId="78C9F2F4" w14:textId="77777777" w:rsidTr="000B5D79">
      <w:trPr>
        <w:trHeight w:val="227"/>
      </w:trPr>
      <w:tc>
        <w:tcPr>
          <w:tcW w:w="2532" w:type="dxa"/>
          <w:vAlign w:val="center"/>
        </w:tcPr>
        <w:p w14:paraId="2D89FED3" w14:textId="77777777" w:rsidR="00E84311" w:rsidRPr="00182113" w:rsidRDefault="00E8431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E84311" w:rsidRPr="00182113" w:rsidRDefault="00E84311" w:rsidP="000B5D79">
          <w:pPr>
            <w:pStyle w:val="Encabezado"/>
            <w:jc w:val="center"/>
            <w:rPr>
              <w:rFonts w:ascii="Palatino Linotype" w:hAnsi="Palatino Linotype"/>
              <w:b/>
              <w:sz w:val="22"/>
              <w:szCs w:val="22"/>
            </w:rPr>
          </w:pPr>
        </w:p>
      </w:tc>
      <w:tc>
        <w:tcPr>
          <w:tcW w:w="3261" w:type="dxa"/>
          <w:vAlign w:val="center"/>
        </w:tcPr>
        <w:p w14:paraId="36D086A3" w14:textId="61049123" w:rsidR="00E84311" w:rsidRPr="0054223D" w:rsidRDefault="0054223D" w:rsidP="000B5D79">
          <w:pPr>
            <w:pStyle w:val="Encabezado"/>
            <w:rPr>
              <w:rFonts w:ascii="Palatino Linotype" w:hAnsi="Palatino Linotype"/>
              <w:b/>
              <w:sz w:val="20"/>
              <w:szCs w:val="20"/>
              <w:highlight w:val="black"/>
            </w:rPr>
          </w:pPr>
          <w:r w:rsidRPr="0054223D">
            <w:rPr>
              <w:rFonts w:ascii="Palatino Linotype" w:hAnsi="Palatino Linotype"/>
              <w:b/>
              <w:sz w:val="20"/>
              <w:szCs w:val="20"/>
              <w:highlight w:val="black"/>
            </w:rPr>
            <w:t>------------------------------------------------------------------------------------------</w:t>
          </w:r>
        </w:p>
      </w:tc>
    </w:tr>
    <w:tr w:rsidR="00E84311" w:rsidRPr="00182113" w14:paraId="1A862673" w14:textId="77777777" w:rsidTr="000B5D79">
      <w:trPr>
        <w:trHeight w:val="232"/>
      </w:trPr>
      <w:tc>
        <w:tcPr>
          <w:tcW w:w="2532" w:type="dxa"/>
          <w:vAlign w:val="center"/>
        </w:tcPr>
        <w:p w14:paraId="767A6F60" w14:textId="77777777" w:rsidR="00E84311" w:rsidRPr="00182113" w:rsidRDefault="00E8431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E84311" w:rsidRPr="00182113" w:rsidRDefault="00E84311" w:rsidP="000B5D79">
          <w:pPr>
            <w:pStyle w:val="Encabezado"/>
            <w:jc w:val="center"/>
            <w:rPr>
              <w:rFonts w:ascii="Palatino Linotype" w:hAnsi="Palatino Linotype"/>
              <w:b/>
              <w:sz w:val="22"/>
              <w:szCs w:val="22"/>
            </w:rPr>
          </w:pPr>
        </w:p>
      </w:tc>
      <w:tc>
        <w:tcPr>
          <w:tcW w:w="3261" w:type="dxa"/>
          <w:vAlign w:val="center"/>
        </w:tcPr>
        <w:p w14:paraId="3FC8EF03" w14:textId="5E9EA060" w:rsidR="00E84311" w:rsidRPr="00114C6B" w:rsidRDefault="00E84311" w:rsidP="007B5F15">
          <w:pPr>
            <w:pStyle w:val="Encabezado"/>
            <w:rPr>
              <w:rFonts w:ascii="Palatino Linotype" w:hAnsi="Palatino Linotype"/>
              <w:b/>
              <w:sz w:val="20"/>
              <w:szCs w:val="20"/>
            </w:rPr>
          </w:pPr>
          <w:r>
            <w:rPr>
              <w:rFonts w:ascii="Palatino Linotype" w:hAnsi="Palatino Linotype"/>
              <w:b/>
              <w:sz w:val="20"/>
              <w:szCs w:val="20"/>
            </w:rPr>
            <w:t>Ayuntamiento de Zumpango</w:t>
          </w:r>
        </w:p>
      </w:tc>
    </w:tr>
    <w:tr w:rsidR="00E84311" w:rsidRPr="00182113" w14:paraId="4416531B" w14:textId="77777777" w:rsidTr="000B5D79">
      <w:trPr>
        <w:trHeight w:val="320"/>
      </w:trPr>
      <w:tc>
        <w:tcPr>
          <w:tcW w:w="2532" w:type="dxa"/>
          <w:vAlign w:val="center"/>
        </w:tcPr>
        <w:p w14:paraId="277DD3E2" w14:textId="40C28574" w:rsidR="00E84311" w:rsidRPr="00182113" w:rsidRDefault="00E8431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E84311" w:rsidRPr="00182113" w:rsidRDefault="00E84311" w:rsidP="000B5D79">
          <w:pPr>
            <w:pStyle w:val="Encabezado"/>
            <w:jc w:val="center"/>
            <w:rPr>
              <w:rFonts w:ascii="Palatino Linotype" w:hAnsi="Palatino Linotype"/>
              <w:b/>
              <w:sz w:val="22"/>
              <w:szCs w:val="22"/>
            </w:rPr>
          </w:pPr>
        </w:p>
      </w:tc>
      <w:tc>
        <w:tcPr>
          <w:tcW w:w="3261" w:type="dxa"/>
          <w:vAlign w:val="center"/>
        </w:tcPr>
        <w:p w14:paraId="3BD70CE4" w14:textId="61A13249" w:rsidR="00E84311" w:rsidRPr="00182113" w:rsidRDefault="00E8431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E84311" w:rsidRDefault="00E84311">
    <w:pPr>
      <w:pStyle w:val="Encabezado"/>
    </w:pPr>
  </w:p>
  <w:p w14:paraId="2C496126" w14:textId="77777777" w:rsidR="00E84311" w:rsidRDefault="00E84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760"/>
    <w:multiLevelType w:val="hybridMultilevel"/>
    <w:tmpl w:val="AC7E0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F54F38"/>
    <w:multiLevelType w:val="hybridMultilevel"/>
    <w:tmpl w:val="B51C751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A9A5D2B"/>
    <w:multiLevelType w:val="hybridMultilevel"/>
    <w:tmpl w:val="220C8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594BC9"/>
    <w:multiLevelType w:val="hybridMultilevel"/>
    <w:tmpl w:val="393075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F073C5"/>
    <w:multiLevelType w:val="hybridMultilevel"/>
    <w:tmpl w:val="2DD6B410"/>
    <w:lvl w:ilvl="0" w:tplc="0C0A0013">
      <w:start w:val="1"/>
      <w:numFmt w:val="upperRoman"/>
      <w:lvlText w:val="%1."/>
      <w:lvlJc w:val="righ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12">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328C5F21"/>
    <w:multiLevelType w:val="hybridMultilevel"/>
    <w:tmpl w:val="7CA89F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E9E6DE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3">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C5A10"/>
    <w:multiLevelType w:val="hybridMultilevel"/>
    <w:tmpl w:val="D8B433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BF52DD"/>
    <w:multiLevelType w:val="hybridMultilevel"/>
    <w:tmpl w:val="534E33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5D46BC"/>
    <w:multiLevelType w:val="hybridMultilevel"/>
    <w:tmpl w:val="B8448E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21236B"/>
    <w:multiLevelType w:val="hybridMultilevel"/>
    <w:tmpl w:val="4A726D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E31410A"/>
    <w:multiLevelType w:val="hybridMultilevel"/>
    <w:tmpl w:val="28E08F0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EE5351"/>
    <w:multiLevelType w:val="hybridMultilevel"/>
    <w:tmpl w:val="17D46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70136A0"/>
    <w:multiLevelType w:val="hybridMultilevel"/>
    <w:tmpl w:val="9DFC578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36"/>
  </w:num>
  <w:num w:numId="2">
    <w:abstractNumId w:val="14"/>
  </w:num>
  <w:num w:numId="3">
    <w:abstractNumId w:val="9"/>
  </w:num>
  <w:num w:numId="4">
    <w:abstractNumId w:val="10"/>
  </w:num>
  <w:num w:numId="5">
    <w:abstractNumId w:val="22"/>
  </w:num>
  <w:num w:numId="6">
    <w:abstractNumId w:val="15"/>
  </w:num>
  <w:num w:numId="7">
    <w:abstractNumId w:val="32"/>
  </w:num>
  <w:num w:numId="8">
    <w:abstractNumId w:val="37"/>
  </w:num>
  <w:num w:numId="9">
    <w:abstractNumId w:val="29"/>
  </w:num>
  <w:num w:numId="10">
    <w:abstractNumId w:val="2"/>
  </w:num>
  <w:num w:numId="11">
    <w:abstractNumId w:val="31"/>
  </w:num>
  <w:num w:numId="12">
    <w:abstractNumId w:val="26"/>
  </w:num>
  <w:num w:numId="13">
    <w:abstractNumId w:val="6"/>
  </w:num>
  <w:num w:numId="14">
    <w:abstractNumId w:val="21"/>
  </w:num>
  <w:num w:numId="15">
    <w:abstractNumId w:val="18"/>
  </w:num>
  <w:num w:numId="16">
    <w:abstractNumId w:val="35"/>
  </w:num>
  <w:num w:numId="17">
    <w:abstractNumId w:val="19"/>
  </w:num>
  <w:num w:numId="18">
    <w:abstractNumId w:val="1"/>
  </w:num>
  <w:num w:numId="19">
    <w:abstractNumId w:val="38"/>
  </w:num>
  <w:num w:numId="20">
    <w:abstractNumId w:val="12"/>
  </w:num>
  <w:num w:numId="21">
    <w:abstractNumId w:val="23"/>
  </w:num>
  <w:num w:numId="22">
    <w:abstractNumId w:val="17"/>
  </w:num>
  <w:num w:numId="23">
    <w:abstractNumId w:val="11"/>
  </w:num>
  <w:num w:numId="24">
    <w:abstractNumId w:val="0"/>
  </w:num>
  <w:num w:numId="25">
    <w:abstractNumId w:val="33"/>
  </w:num>
  <w:num w:numId="26">
    <w:abstractNumId w:val="24"/>
  </w:num>
  <w:num w:numId="27">
    <w:abstractNumId w:val="30"/>
  </w:num>
  <w:num w:numId="28">
    <w:abstractNumId w:val="28"/>
  </w:num>
  <w:num w:numId="29">
    <w:abstractNumId w:val="8"/>
  </w:num>
  <w:num w:numId="30">
    <w:abstractNumId w:val="3"/>
  </w:num>
  <w:num w:numId="31">
    <w:abstractNumId w:val="7"/>
  </w:num>
  <w:num w:numId="32">
    <w:abstractNumId w:val="4"/>
  </w:num>
  <w:num w:numId="33">
    <w:abstractNumId w:val="25"/>
  </w:num>
  <w:num w:numId="34">
    <w:abstractNumId w:val="5"/>
  </w:num>
  <w:num w:numId="35">
    <w:abstractNumId w:val="27"/>
  </w:num>
  <w:num w:numId="36">
    <w:abstractNumId w:val="13"/>
  </w:num>
  <w:num w:numId="37">
    <w:abstractNumId w:val="34"/>
  </w:num>
  <w:num w:numId="38">
    <w:abstractNumId w:val="20"/>
  </w:num>
  <w:num w:numId="3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2D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007"/>
    <w:rsid w:val="0002264E"/>
    <w:rsid w:val="00022868"/>
    <w:rsid w:val="00022E10"/>
    <w:rsid w:val="00022EEF"/>
    <w:rsid w:val="00023547"/>
    <w:rsid w:val="0002372A"/>
    <w:rsid w:val="0002392C"/>
    <w:rsid w:val="000240A5"/>
    <w:rsid w:val="00024548"/>
    <w:rsid w:val="0002623B"/>
    <w:rsid w:val="00027153"/>
    <w:rsid w:val="0003063D"/>
    <w:rsid w:val="00030E76"/>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FA0"/>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3C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688"/>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D65B0"/>
    <w:rsid w:val="000E2013"/>
    <w:rsid w:val="000E41A9"/>
    <w:rsid w:val="000E48E7"/>
    <w:rsid w:val="000E5A4F"/>
    <w:rsid w:val="000E6945"/>
    <w:rsid w:val="000E6BDE"/>
    <w:rsid w:val="000E7F64"/>
    <w:rsid w:val="000F1EFE"/>
    <w:rsid w:val="000F1FC1"/>
    <w:rsid w:val="000F214D"/>
    <w:rsid w:val="000F2D38"/>
    <w:rsid w:val="000F366D"/>
    <w:rsid w:val="000F483B"/>
    <w:rsid w:val="000F4CFC"/>
    <w:rsid w:val="000F6621"/>
    <w:rsid w:val="000F675E"/>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1F76"/>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BA0"/>
    <w:rsid w:val="001A3C17"/>
    <w:rsid w:val="001A4753"/>
    <w:rsid w:val="001A4764"/>
    <w:rsid w:val="001A513D"/>
    <w:rsid w:val="001A5277"/>
    <w:rsid w:val="001A6360"/>
    <w:rsid w:val="001B0EFF"/>
    <w:rsid w:val="001B1B32"/>
    <w:rsid w:val="001B26AA"/>
    <w:rsid w:val="001B350E"/>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4951"/>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0A9F"/>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08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060F"/>
    <w:rsid w:val="00281389"/>
    <w:rsid w:val="002823A0"/>
    <w:rsid w:val="00283925"/>
    <w:rsid w:val="0028429B"/>
    <w:rsid w:val="00286BCA"/>
    <w:rsid w:val="0028727E"/>
    <w:rsid w:val="0029059C"/>
    <w:rsid w:val="00292CBE"/>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12C"/>
    <w:rsid w:val="002B55D1"/>
    <w:rsid w:val="002B7DDA"/>
    <w:rsid w:val="002C0841"/>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6FD7"/>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6D31"/>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48A2"/>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344D"/>
    <w:rsid w:val="00473924"/>
    <w:rsid w:val="004739E8"/>
    <w:rsid w:val="00473D11"/>
    <w:rsid w:val="00477411"/>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3BBD"/>
    <w:rsid w:val="004A4862"/>
    <w:rsid w:val="004A5B12"/>
    <w:rsid w:val="004A6B0A"/>
    <w:rsid w:val="004B1D5D"/>
    <w:rsid w:val="004B28B6"/>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3E41"/>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822"/>
    <w:rsid w:val="00525B47"/>
    <w:rsid w:val="00525F9D"/>
    <w:rsid w:val="00526172"/>
    <w:rsid w:val="00526369"/>
    <w:rsid w:val="005263C4"/>
    <w:rsid w:val="00526E75"/>
    <w:rsid w:val="005273EF"/>
    <w:rsid w:val="00530E3B"/>
    <w:rsid w:val="00531016"/>
    <w:rsid w:val="005311FA"/>
    <w:rsid w:val="00532551"/>
    <w:rsid w:val="0053513D"/>
    <w:rsid w:val="00540029"/>
    <w:rsid w:val="00540526"/>
    <w:rsid w:val="00540F3C"/>
    <w:rsid w:val="005419B4"/>
    <w:rsid w:val="0054223D"/>
    <w:rsid w:val="00542B3A"/>
    <w:rsid w:val="005432AD"/>
    <w:rsid w:val="00544EC9"/>
    <w:rsid w:val="00545E6A"/>
    <w:rsid w:val="005508E5"/>
    <w:rsid w:val="00550F81"/>
    <w:rsid w:val="00551714"/>
    <w:rsid w:val="00551D75"/>
    <w:rsid w:val="005520BF"/>
    <w:rsid w:val="005527B6"/>
    <w:rsid w:val="00554431"/>
    <w:rsid w:val="00555C32"/>
    <w:rsid w:val="00556814"/>
    <w:rsid w:val="00557D6A"/>
    <w:rsid w:val="00562474"/>
    <w:rsid w:val="00563BDC"/>
    <w:rsid w:val="00563FE5"/>
    <w:rsid w:val="00564721"/>
    <w:rsid w:val="0056598A"/>
    <w:rsid w:val="00565C07"/>
    <w:rsid w:val="005660F0"/>
    <w:rsid w:val="0056692A"/>
    <w:rsid w:val="00566997"/>
    <w:rsid w:val="00566F85"/>
    <w:rsid w:val="00567154"/>
    <w:rsid w:val="00570139"/>
    <w:rsid w:val="00570A27"/>
    <w:rsid w:val="00570A2E"/>
    <w:rsid w:val="005720DF"/>
    <w:rsid w:val="00572195"/>
    <w:rsid w:val="00572B55"/>
    <w:rsid w:val="00573665"/>
    <w:rsid w:val="0057438B"/>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491"/>
    <w:rsid w:val="005A2A65"/>
    <w:rsid w:val="005A350D"/>
    <w:rsid w:val="005A3513"/>
    <w:rsid w:val="005A3BD7"/>
    <w:rsid w:val="005A51E1"/>
    <w:rsid w:val="005A60BC"/>
    <w:rsid w:val="005A6B67"/>
    <w:rsid w:val="005A7720"/>
    <w:rsid w:val="005A7C7B"/>
    <w:rsid w:val="005B0ABA"/>
    <w:rsid w:val="005B0EC2"/>
    <w:rsid w:val="005B1979"/>
    <w:rsid w:val="005B2738"/>
    <w:rsid w:val="005B3584"/>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5AD8"/>
    <w:rsid w:val="005D5D8C"/>
    <w:rsid w:val="005D6604"/>
    <w:rsid w:val="005D665B"/>
    <w:rsid w:val="005D78CD"/>
    <w:rsid w:val="005D7EC6"/>
    <w:rsid w:val="005E00EF"/>
    <w:rsid w:val="005E066A"/>
    <w:rsid w:val="005E079B"/>
    <w:rsid w:val="005E1A25"/>
    <w:rsid w:val="005E24A3"/>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13D"/>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C36"/>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3E"/>
    <w:rsid w:val="00641AB0"/>
    <w:rsid w:val="00642B18"/>
    <w:rsid w:val="00643B42"/>
    <w:rsid w:val="00643D5D"/>
    <w:rsid w:val="00644C6E"/>
    <w:rsid w:val="006460B5"/>
    <w:rsid w:val="00646A08"/>
    <w:rsid w:val="00647566"/>
    <w:rsid w:val="006508C1"/>
    <w:rsid w:val="00651B1B"/>
    <w:rsid w:val="0065212B"/>
    <w:rsid w:val="00654AB8"/>
    <w:rsid w:val="00656B81"/>
    <w:rsid w:val="00657974"/>
    <w:rsid w:val="0066068C"/>
    <w:rsid w:val="00661C3C"/>
    <w:rsid w:val="006624DB"/>
    <w:rsid w:val="00662A48"/>
    <w:rsid w:val="00662C69"/>
    <w:rsid w:val="006635D8"/>
    <w:rsid w:val="006638FD"/>
    <w:rsid w:val="0066477D"/>
    <w:rsid w:val="00664A70"/>
    <w:rsid w:val="00664F7B"/>
    <w:rsid w:val="006657E8"/>
    <w:rsid w:val="00667011"/>
    <w:rsid w:val="006676E0"/>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00A9"/>
    <w:rsid w:val="00692B64"/>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0A5E"/>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741"/>
    <w:rsid w:val="00760CCF"/>
    <w:rsid w:val="007617AE"/>
    <w:rsid w:val="00761A6A"/>
    <w:rsid w:val="00761FF2"/>
    <w:rsid w:val="00762E88"/>
    <w:rsid w:val="00763C7D"/>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5F15"/>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0B3E"/>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9E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36CF"/>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3676"/>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1763"/>
    <w:rsid w:val="0091369F"/>
    <w:rsid w:val="009145A9"/>
    <w:rsid w:val="00915245"/>
    <w:rsid w:val="00915778"/>
    <w:rsid w:val="00915C84"/>
    <w:rsid w:val="009164D0"/>
    <w:rsid w:val="009164DD"/>
    <w:rsid w:val="00916840"/>
    <w:rsid w:val="00917B05"/>
    <w:rsid w:val="009204FF"/>
    <w:rsid w:val="00920C7A"/>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277"/>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491E"/>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2680"/>
    <w:rsid w:val="009C3553"/>
    <w:rsid w:val="009C501E"/>
    <w:rsid w:val="009C5511"/>
    <w:rsid w:val="009C5718"/>
    <w:rsid w:val="009C573B"/>
    <w:rsid w:val="009C661B"/>
    <w:rsid w:val="009C69B3"/>
    <w:rsid w:val="009C77B3"/>
    <w:rsid w:val="009D12E0"/>
    <w:rsid w:val="009D1BD9"/>
    <w:rsid w:val="009D243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4E9E"/>
    <w:rsid w:val="00A270BA"/>
    <w:rsid w:val="00A274FA"/>
    <w:rsid w:val="00A30136"/>
    <w:rsid w:val="00A305AB"/>
    <w:rsid w:val="00A31FB2"/>
    <w:rsid w:val="00A325D3"/>
    <w:rsid w:val="00A3276A"/>
    <w:rsid w:val="00A328F5"/>
    <w:rsid w:val="00A32959"/>
    <w:rsid w:val="00A3313A"/>
    <w:rsid w:val="00A34054"/>
    <w:rsid w:val="00A3443E"/>
    <w:rsid w:val="00A349D2"/>
    <w:rsid w:val="00A3543C"/>
    <w:rsid w:val="00A35DAF"/>
    <w:rsid w:val="00A37925"/>
    <w:rsid w:val="00A40ACB"/>
    <w:rsid w:val="00A40F53"/>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3E17"/>
    <w:rsid w:val="00AA41CF"/>
    <w:rsid w:val="00AA590E"/>
    <w:rsid w:val="00AA60EE"/>
    <w:rsid w:val="00AA6228"/>
    <w:rsid w:val="00AA69A4"/>
    <w:rsid w:val="00AA736D"/>
    <w:rsid w:val="00AB1761"/>
    <w:rsid w:val="00AB258C"/>
    <w:rsid w:val="00AB274F"/>
    <w:rsid w:val="00AB5092"/>
    <w:rsid w:val="00AB6358"/>
    <w:rsid w:val="00AB6BE3"/>
    <w:rsid w:val="00AB78DC"/>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83"/>
    <w:rsid w:val="00B401FC"/>
    <w:rsid w:val="00B4182C"/>
    <w:rsid w:val="00B41B33"/>
    <w:rsid w:val="00B42CA6"/>
    <w:rsid w:val="00B443A3"/>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23A9"/>
    <w:rsid w:val="00B82DCB"/>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18E3"/>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B7AC7"/>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34C"/>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42D"/>
    <w:rsid w:val="00C5394F"/>
    <w:rsid w:val="00C53F0C"/>
    <w:rsid w:val="00C5487B"/>
    <w:rsid w:val="00C55302"/>
    <w:rsid w:val="00C559EF"/>
    <w:rsid w:val="00C55E7B"/>
    <w:rsid w:val="00C56C71"/>
    <w:rsid w:val="00C56FDA"/>
    <w:rsid w:val="00C571C2"/>
    <w:rsid w:val="00C575AF"/>
    <w:rsid w:val="00C57782"/>
    <w:rsid w:val="00C6051A"/>
    <w:rsid w:val="00C616EE"/>
    <w:rsid w:val="00C61E8D"/>
    <w:rsid w:val="00C6220B"/>
    <w:rsid w:val="00C6469C"/>
    <w:rsid w:val="00C6595D"/>
    <w:rsid w:val="00C66059"/>
    <w:rsid w:val="00C66443"/>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357D"/>
    <w:rsid w:val="00C9486B"/>
    <w:rsid w:val="00C9545D"/>
    <w:rsid w:val="00C971E8"/>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350"/>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926"/>
    <w:rsid w:val="00CC5FB0"/>
    <w:rsid w:val="00CC6748"/>
    <w:rsid w:val="00CC75C5"/>
    <w:rsid w:val="00CC7863"/>
    <w:rsid w:val="00CD10E5"/>
    <w:rsid w:val="00CD1D4E"/>
    <w:rsid w:val="00CD3360"/>
    <w:rsid w:val="00CD3580"/>
    <w:rsid w:val="00CD39B5"/>
    <w:rsid w:val="00CD4082"/>
    <w:rsid w:val="00CD5B84"/>
    <w:rsid w:val="00CD5C1E"/>
    <w:rsid w:val="00CD641E"/>
    <w:rsid w:val="00CD6AA8"/>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112"/>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0A6"/>
    <w:rsid w:val="00D1727F"/>
    <w:rsid w:val="00D172C0"/>
    <w:rsid w:val="00D216FA"/>
    <w:rsid w:val="00D23509"/>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6FE"/>
    <w:rsid w:val="00D3789A"/>
    <w:rsid w:val="00D41301"/>
    <w:rsid w:val="00D41E2D"/>
    <w:rsid w:val="00D43146"/>
    <w:rsid w:val="00D4338A"/>
    <w:rsid w:val="00D43578"/>
    <w:rsid w:val="00D43AAD"/>
    <w:rsid w:val="00D45183"/>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6C"/>
    <w:rsid w:val="00D608A1"/>
    <w:rsid w:val="00D60E1C"/>
    <w:rsid w:val="00D6131A"/>
    <w:rsid w:val="00D622AB"/>
    <w:rsid w:val="00D624E8"/>
    <w:rsid w:val="00D62A2E"/>
    <w:rsid w:val="00D6497C"/>
    <w:rsid w:val="00D64B5C"/>
    <w:rsid w:val="00D65068"/>
    <w:rsid w:val="00D651D7"/>
    <w:rsid w:val="00D67455"/>
    <w:rsid w:val="00D70D53"/>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0ED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16FA"/>
    <w:rsid w:val="00DB22B7"/>
    <w:rsid w:val="00DB372E"/>
    <w:rsid w:val="00DB39BF"/>
    <w:rsid w:val="00DB4BEF"/>
    <w:rsid w:val="00DB6CC6"/>
    <w:rsid w:val="00DB7131"/>
    <w:rsid w:val="00DB75A1"/>
    <w:rsid w:val="00DB7EEC"/>
    <w:rsid w:val="00DC0C55"/>
    <w:rsid w:val="00DC0C9A"/>
    <w:rsid w:val="00DC0ECC"/>
    <w:rsid w:val="00DC1000"/>
    <w:rsid w:val="00DC10FA"/>
    <w:rsid w:val="00DC121D"/>
    <w:rsid w:val="00DC1BBF"/>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4926"/>
    <w:rsid w:val="00DF524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9DF"/>
    <w:rsid w:val="00E25E9A"/>
    <w:rsid w:val="00E26DF5"/>
    <w:rsid w:val="00E276BA"/>
    <w:rsid w:val="00E305DC"/>
    <w:rsid w:val="00E30BDE"/>
    <w:rsid w:val="00E3130C"/>
    <w:rsid w:val="00E31ED5"/>
    <w:rsid w:val="00E32A4E"/>
    <w:rsid w:val="00E32DDF"/>
    <w:rsid w:val="00E336A7"/>
    <w:rsid w:val="00E341EE"/>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311"/>
    <w:rsid w:val="00E84957"/>
    <w:rsid w:val="00E850FE"/>
    <w:rsid w:val="00E863D2"/>
    <w:rsid w:val="00E866E1"/>
    <w:rsid w:val="00E86EF4"/>
    <w:rsid w:val="00E875D4"/>
    <w:rsid w:val="00E87C8A"/>
    <w:rsid w:val="00E90F63"/>
    <w:rsid w:val="00E916C4"/>
    <w:rsid w:val="00E91722"/>
    <w:rsid w:val="00E91B4E"/>
    <w:rsid w:val="00E91C48"/>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5D4F"/>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0FE9"/>
    <w:rsid w:val="00F1111B"/>
    <w:rsid w:val="00F1131A"/>
    <w:rsid w:val="00F11BDE"/>
    <w:rsid w:val="00F147C6"/>
    <w:rsid w:val="00F16C21"/>
    <w:rsid w:val="00F20251"/>
    <w:rsid w:val="00F2045B"/>
    <w:rsid w:val="00F214E5"/>
    <w:rsid w:val="00F21DBF"/>
    <w:rsid w:val="00F21F44"/>
    <w:rsid w:val="00F22806"/>
    <w:rsid w:val="00F22F84"/>
    <w:rsid w:val="00F23826"/>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6AD"/>
    <w:rsid w:val="00F6079C"/>
    <w:rsid w:val="00F60C62"/>
    <w:rsid w:val="00F62B08"/>
    <w:rsid w:val="00F62E76"/>
    <w:rsid w:val="00F64AB9"/>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2A8F"/>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character" w:customStyle="1" w:styleId="m1553324590483875794gmail-m8993139698400752374gmail-apple-converted-space">
    <w:name w:val="m_1553324590483875794gmail-m_8993139698400752374gmail-apple-converted-space"/>
    <w:basedOn w:val="Fuentedeprrafopredeter"/>
    <w:rsid w:val="00394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6130987">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35231182">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4011192">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7867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s://archivos.juridicas.unam.mx/www/bjv/libros/6/2735/10.pdf"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71BC-9B9E-4CDC-A81F-23B853B7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71</Pages>
  <Words>12902</Words>
  <Characters>70961</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2019-10-18T16:47:00Z</cp:lastPrinted>
  <dcterms:created xsi:type="dcterms:W3CDTF">2019-10-18T16:47:00Z</dcterms:created>
  <dcterms:modified xsi:type="dcterms:W3CDTF">2019-12-19T00:23:00Z</dcterms:modified>
</cp:coreProperties>
</file>