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921" w:rsidRDefault="00202921" w:rsidP="00007388">
      <w:pPr>
        <w:widowControl w:val="0"/>
        <w:spacing w:before="100" w:beforeAutospacing="1" w:after="100" w:afterAutospacing="1" w:line="360" w:lineRule="auto"/>
        <w:contextualSpacing/>
        <w:jc w:val="both"/>
        <w:rPr>
          <w:rFonts w:ascii="Palatino Linotype" w:eastAsia="Calibri" w:hAnsi="Palatino Linotype" w:cs="Arial"/>
          <w:b/>
          <w:color w:val="000000"/>
        </w:rPr>
      </w:pPr>
      <w:r w:rsidRPr="0073286C">
        <w:rPr>
          <w:rFonts w:ascii="Palatino Linotype" w:hAnsi="Palatino Linotype" w:cs="Arial"/>
          <w:b/>
        </w:rPr>
        <w:t>VOTO PARTICULAR</w:t>
      </w:r>
      <w:r w:rsidR="006577EC">
        <w:rPr>
          <w:rFonts w:ascii="Palatino Linotype" w:hAnsi="Palatino Linotype" w:cs="Arial"/>
          <w:b/>
        </w:rPr>
        <w:t xml:space="preserve"> </w:t>
      </w:r>
      <w:r w:rsidRPr="0073286C">
        <w:rPr>
          <w:rFonts w:ascii="Palatino Linotype" w:hAnsi="Palatino Linotype" w:cs="Arial"/>
          <w:b/>
        </w:rPr>
        <w:t>QUE FORMULA</w:t>
      </w:r>
      <w:r w:rsidR="006577EC">
        <w:rPr>
          <w:rFonts w:ascii="Palatino Linotype" w:hAnsi="Palatino Linotype" w:cs="Arial"/>
          <w:b/>
        </w:rPr>
        <w:t xml:space="preserve"> </w:t>
      </w:r>
      <w:r w:rsidRPr="0073286C">
        <w:rPr>
          <w:rFonts w:ascii="Palatino Linotype" w:hAnsi="Palatino Linotype" w:cs="Arial"/>
          <w:b/>
        </w:rPr>
        <w:t xml:space="preserve">LA COMISIONADA EVA ABAID YAPUR, EN RELACIÓN CON LA RESOLUCIÓN DICTADA POR EL PLENO DEL INSTITUTO DE TRANSPARENCIA, ACCESO A LA INFORMACIÓN PÚBLICA Y PROTECCIÓN DE DATOS PERSONALES DEL ESTADO DE MÉXICO Y MUNICIPIOS, EN LA </w:t>
      </w:r>
      <w:r w:rsidR="007F37AC">
        <w:rPr>
          <w:rFonts w:ascii="Palatino Linotype" w:hAnsi="Palatino Linotype" w:cs="Arial"/>
          <w:b/>
        </w:rPr>
        <w:t>CUADRA</w:t>
      </w:r>
      <w:r w:rsidR="006577EC">
        <w:rPr>
          <w:rFonts w:ascii="Palatino Linotype" w:hAnsi="Palatino Linotype" w:cs="Arial"/>
          <w:b/>
        </w:rPr>
        <w:t xml:space="preserve">GÉSIMA </w:t>
      </w:r>
      <w:r w:rsidRPr="0073286C">
        <w:rPr>
          <w:rFonts w:ascii="Palatino Linotype" w:hAnsi="Palatino Linotype" w:cs="Arial"/>
          <w:b/>
        </w:rPr>
        <w:t xml:space="preserve">SESIÓN ORDINARIA DE </w:t>
      </w:r>
      <w:r w:rsidR="000C6321">
        <w:rPr>
          <w:rFonts w:ascii="Palatino Linotype" w:hAnsi="Palatino Linotype" w:cs="Arial"/>
          <w:b/>
        </w:rPr>
        <w:t xml:space="preserve">TREINTA </w:t>
      </w:r>
      <w:r w:rsidR="00400547">
        <w:rPr>
          <w:rFonts w:ascii="Palatino Linotype" w:hAnsi="Palatino Linotype" w:cs="Arial"/>
          <w:b/>
        </w:rPr>
        <w:t xml:space="preserve">DE </w:t>
      </w:r>
      <w:r w:rsidR="006577EC">
        <w:rPr>
          <w:rFonts w:ascii="Palatino Linotype" w:hAnsi="Palatino Linotype" w:cs="Arial"/>
          <w:b/>
        </w:rPr>
        <w:t xml:space="preserve">OCTUBRE </w:t>
      </w:r>
      <w:r>
        <w:rPr>
          <w:rFonts w:ascii="Palatino Linotype" w:hAnsi="Palatino Linotype" w:cs="Arial"/>
          <w:b/>
        </w:rPr>
        <w:t xml:space="preserve">DE DOS MIL </w:t>
      </w:r>
      <w:r w:rsidRPr="0073286C">
        <w:rPr>
          <w:rFonts w:ascii="Palatino Linotype" w:hAnsi="Palatino Linotype" w:cs="Arial"/>
          <w:b/>
        </w:rPr>
        <w:t>DIECI</w:t>
      </w:r>
      <w:r w:rsidR="006577EC">
        <w:rPr>
          <w:rFonts w:ascii="Palatino Linotype" w:hAnsi="Palatino Linotype" w:cs="Arial"/>
          <w:b/>
        </w:rPr>
        <w:t>NUEVE</w:t>
      </w:r>
      <w:r w:rsidRPr="0073286C">
        <w:rPr>
          <w:rFonts w:ascii="Palatino Linotype" w:hAnsi="Palatino Linotype" w:cs="Arial"/>
          <w:b/>
        </w:rPr>
        <w:t xml:space="preserve">, EN </w:t>
      </w:r>
      <w:r w:rsidR="00400547">
        <w:rPr>
          <w:rFonts w:ascii="Palatino Linotype" w:hAnsi="Palatino Linotype" w:cs="Arial"/>
          <w:b/>
        </w:rPr>
        <w:t>EL</w:t>
      </w:r>
      <w:r w:rsidRPr="0073286C">
        <w:rPr>
          <w:rFonts w:ascii="Palatino Linotype" w:hAnsi="Palatino Linotype" w:cs="Arial"/>
          <w:b/>
        </w:rPr>
        <w:t xml:space="preserve"> RECURSO DE REVISIÓN</w:t>
      </w:r>
      <w:r w:rsidR="000C6321">
        <w:rPr>
          <w:rFonts w:ascii="Palatino Linotype" w:hAnsi="Palatino Linotype" w:cs="Arial"/>
          <w:b/>
        </w:rPr>
        <w:t xml:space="preserve"> 06945</w:t>
      </w:r>
      <w:r>
        <w:rPr>
          <w:rFonts w:ascii="Palatino Linotype" w:hAnsi="Palatino Linotype" w:cs="Arial"/>
          <w:b/>
        </w:rPr>
        <w:t>/</w:t>
      </w:r>
      <w:r w:rsidRPr="00F87541">
        <w:rPr>
          <w:rFonts w:ascii="Palatino Linotype" w:hAnsi="Palatino Linotype" w:cs="Arial"/>
          <w:b/>
        </w:rPr>
        <w:t>INFOEM/IP/RR/201</w:t>
      </w:r>
      <w:r w:rsidR="006577EC">
        <w:rPr>
          <w:rFonts w:ascii="Palatino Linotype" w:hAnsi="Palatino Linotype" w:cs="Arial"/>
          <w:b/>
        </w:rPr>
        <w:t>9</w:t>
      </w:r>
      <w:r w:rsidRPr="0073286C">
        <w:rPr>
          <w:rFonts w:ascii="Palatino Linotype" w:eastAsia="Calibri" w:hAnsi="Palatino Linotype" w:cs="Arial"/>
          <w:b/>
          <w:color w:val="000000"/>
        </w:rPr>
        <w:t>.</w:t>
      </w:r>
      <w:r w:rsidR="00213408">
        <w:rPr>
          <w:rFonts w:ascii="Palatino Linotype" w:eastAsia="Calibri" w:hAnsi="Palatino Linotype" w:cs="Arial"/>
          <w:b/>
          <w:color w:val="000000"/>
        </w:rPr>
        <w:t xml:space="preserve"> </w:t>
      </w:r>
    </w:p>
    <w:p w:rsidR="006468C8" w:rsidRDefault="006468C8" w:rsidP="00007388">
      <w:pPr>
        <w:widowControl w:val="0"/>
        <w:spacing w:before="100" w:beforeAutospacing="1" w:after="100" w:afterAutospacing="1" w:line="360" w:lineRule="auto"/>
        <w:contextualSpacing/>
        <w:jc w:val="both"/>
        <w:rPr>
          <w:rFonts w:ascii="Palatino Linotype" w:eastAsia="Calibri" w:hAnsi="Palatino Linotype" w:cs="Arial"/>
          <w:b/>
          <w:color w:val="000000"/>
        </w:rPr>
      </w:pPr>
    </w:p>
    <w:p w:rsidR="00007388" w:rsidRDefault="00202921" w:rsidP="00007388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</w:rPr>
      </w:pPr>
      <w:r w:rsidRPr="0073286C">
        <w:rPr>
          <w:rFonts w:ascii="Palatino Linotype" w:hAnsi="Palatino Linotype" w:cs="Arial"/>
        </w:rPr>
        <w:t>Con fundamento en lo dispuesto por el artículo 14 fracciones X y XI del Reglamento Interior del Instituto de Transparencia, Acceso a la Información Pública y Protección de Datos Personales del Estado de México y Municipios, la que suscribe</w:t>
      </w:r>
      <w:r w:rsidRPr="0073286C">
        <w:rPr>
          <w:rFonts w:ascii="Palatino Linotype" w:hAnsi="Palatino Linotype" w:cs="Arial"/>
          <w:b/>
          <w:lang w:val="es-ES_tradnl"/>
        </w:rPr>
        <w:t xml:space="preserve"> </w:t>
      </w:r>
      <w:r w:rsidRPr="0073286C">
        <w:rPr>
          <w:rFonts w:ascii="Palatino Linotype" w:hAnsi="Palatino Linotype" w:cs="Arial"/>
          <w:b/>
        </w:rPr>
        <w:t>EVA ABAID YAPUR</w:t>
      </w:r>
      <w:r w:rsidR="006577EC">
        <w:rPr>
          <w:rFonts w:ascii="Palatino Linotype" w:hAnsi="Palatino Linotype" w:cs="Arial"/>
          <w:b/>
        </w:rPr>
        <w:t xml:space="preserve"> </w:t>
      </w:r>
      <w:r w:rsidRPr="0073286C">
        <w:rPr>
          <w:rFonts w:ascii="Palatino Linotype" w:hAnsi="Palatino Linotype" w:cs="Arial"/>
        </w:rPr>
        <w:t xml:space="preserve">emite </w:t>
      </w:r>
      <w:r w:rsidRPr="0073286C">
        <w:rPr>
          <w:rFonts w:ascii="Palatino Linotype" w:hAnsi="Palatino Linotype" w:cs="Arial"/>
          <w:b/>
        </w:rPr>
        <w:t>VOTO PARTICULAR</w:t>
      </w:r>
      <w:r w:rsidR="006577EC">
        <w:rPr>
          <w:rFonts w:ascii="Palatino Linotype" w:hAnsi="Palatino Linotype" w:cs="Arial"/>
          <w:b/>
        </w:rPr>
        <w:t xml:space="preserve"> </w:t>
      </w:r>
      <w:r w:rsidRPr="0073286C">
        <w:rPr>
          <w:rFonts w:ascii="Palatino Linotype" w:hAnsi="Palatino Linotype" w:cs="Arial"/>
        </w:rPr>
        <w:t xml:space="preserve">respecto de la resolución dictada en </w:t>
      </w:r>
      <w:r w:rsidR="00400547">
        <w:rPr>
          <w:rFonts w:ascii="Palatino Linotype" w:hAnsi="Palatino Linotype" w:cs="Arial"/>
        </w:rPr>
        <w:t>el</w:t>
      </w:r>
      <w:r>
        <w:rPr>
          <w:rFonts w:ascii="Palatino Linotype" w:hAnsi="Palatino Linotype" w:cs="Arial"/>
        </w:rPr>
        <w:t xml:space="preserve"> recurso de revisión </w:t>
      </w:r>
      <w:r w:rsidR="00C434F0">
        <w:rPr>
          <w:rFonts w:ascii="Palatino Linotype" w:hAnsi="Palatino Linotype" w:cs="Arial"/>
          <w:b/>
        </w:rPr>
        <w:t>069</w:t>
      </w:r>
      <w:r w:rsidR="000B7375">
        <w:rPr>
          <w:rFonts w:ascii="Palatino Linotype" w:hAnsi="Palatino Linotype" w:cs="Arial"/>
          <w:b/>
        </w:rPr>
        <w:t>45</w:t>
      </w:r>
      <w:r w:rsidR="006577EC">
        <w:rPr>
          <w:rFonts w:ascii="Palatino Linotype" w:hAnsi="Palatino Linotype" w:cs="Arial"/>
          <w:b/>
        </w:rPr>
        <w:t>/INFOEM/IP/RR/2019</w:t>
      </w:r>
      <w:r w:rsidRPr="0073286C">
        <w:rPr>
          <w:rFonts w:ascii="Palatino Linotype" w:hAnsi="Palatino Linotype" w:cs="Arial"/>
        </w:rPr>
        <w:t>, pronunciada por el Pleno de este Instituto an</w:t>
      </w:r>
      <w:r w:rsidR="000B7375">
        <w:rPr>
          <w:rFonts w:ascii="Palatino Linotype" w:hAnsi="Palatino Linotype" w:cs="Arial"/>
        </w:rPr>
        <w:t xml:space="preserve">te el proyecto presentado por la Comisionada Presidenta </w:t>
      </w:r>
      <w:r w:rsidR="000B7375">
        <w:rPr>
          <w:rFonts w:ascii="Palatino Linotype" w:hAnsi="Palatino Linotype" w:cs="Arial"/>
          <w:b/>
        </w:rPr>
        <w:t xml:space="preserve">ZULEMA </w:t>
      </w:r>
      <w:r w:rsidR="00652CF4">
        <w:rPr>
          <w:rFonts w:ascii="Palatino Linotype" w:hAnsi="Palatino Linotype" w:cs="Arial"/>
          <w:b/>
        </w:rPr>
        <w:t>MARTÍNEZ SÁNCHEZ</w:t>
      </w:r>
      <w:r w:rsidRPr="0073286C">
        <w:rPr>
          <w:rFonts w:ascii="Palatino Linotype" w:hAnsi="Palatino Linotype" w:cs="Arial"/>
        </w:rPr>
        <w:t>, que es del tenor siguiente</w:t>
      </w:r>
      <w:r>
        <w:rPr>
          <w:rFonts w:ascii="Palatino Linotype" w:hAnsi="Palatino Linotype" w:cs="Arial"/>
        </w:rPr>
        <w:t>.</w:t>
      </w:r>
    </w:p>
    <w:p w:rsidR="00007388" w:rsidRDefault="00007388" w:rsidP="00007388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</w:rPr>
      </w:pPr>
    </w:p>
    <w:p w:rsidR="00202921" w:rsidRPr="00007388" w:rsidRDefault="00202921" w:rsidP="00007388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</w:rPr>
      </w:pPr>
      <w:r w:rsidRPr="0073286C">
        <w:rPr>
          <w:rFonts w:ascii="Palatino Linotype" w:hAnsi="Palatino Linotype"/>
        </w:rPr>
        <w:t>Es de destacar, que la suscrita</w:t>
      </w:r>
      <w:r w:rsidR="00652CF4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comparte esencialmente el sentido de la </w:t>
      </w:r>
      <w:r w:rsidRPr="0073286C">
        <w:rPr>
          <w:rFonts w:ascii="Palatino Linotype" w:hAnsi="Palatino Linotype"/>
        </w:rPr>
        <w:t xml:space="preserve">resolución </w:t>
      </w:r>
      <w:r>
        <w:rPr>
          <w:rFonts w:ascii="Palatino Linotype" w:hAnsi="Palatino Linotype"/>
        </w:rPr>
        <w:t xml:space="preserve">del </w:t>
      </w:r>
      <w:r w:rsidRPr="0073286C">
        <w:rPr>
          <w:rFonts w:ascii="Palatino Linotype" w:hAnsi="Palatino Linotype"/>
        </w:rPr>
        <w:t>recurs</w:t>
      </w:r>
      <w:r>
        <w:rPr>
          <w:rFonts w:ascii="Palatino Linotype" w:hAnsi="Palatino Linotype"/>
        </w:rPr>
        <w:t>o de revisión; empero, estimo</w:t>
      </w:r>
      <w:r w:rsidRPr="0073286C">
        <w:rPr>
          <w:rFonts w:ascii="Palatino Linotype" w:hAnsi="Palatino Linotype"/>
        </w:rPr>
        <w:t xml:space="preserve"> necesario precisar algunas consideraciones de hecho y de derecho, tocante a</w:t>
      </w:r>
      <w:r>
        <w:rPr>
          <w:rFonts w:ascii="Palatino Linotype" w:hAnsi="Palatino Linotype"/>
        </w:rPr>
        <w:t xml:space="preserve"> parte de </w:t>
      </w:r>
      <w:r w:rsidRPr="0073286C">
        <w:rPr>
          <w:rFonts w:ascii="Palatino Linotype" w:hAnsi="Palatino Linotype"/>
        </w:rPr>
        <w:t>l</w:t>
      </w:r>
      <w:r>
        <w:rPr>
          <w:rFonts w:ascii="Palatino Linotype" w:hAnsi="Palatino Linotype"/>
        </w:rPr>
        <w:t>o que se ordena.</w:t>
      </w:r>
    </w:p>
    <w:p w:rsidR="006468C8" w:rsidRDefault="006468C8" w:rsidP="00007388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/>
        </w:rPr>
      </w:pPr>
    </w:p>
    <w:p w:rsidR="006577EC" w:rsidRDefault="00202921" w:rsidP="00007388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/>
        </w:rPr>
      </w:pPr>
      <w:r w:rsidRPr="0073286C">
        <w:rPr>
          <w:rFonts w:ascii="Palatino Linotype" w:hAnsi="Palatino Linotype"/>
        </w:rPr>
        <w:lastRenderedPageBreak/>
        <w:t>Al respecto, tal y como quedó debidamente asentado en la resolución materia del presente</w:t>
      </w:r>
      <w:r w:rsidR="006577EC">
        <w:rPr>
          <w:rFonts w:ascii="Palatino Linotype" w:hAnsi="Palatino Linotype"/>
        </w:rPr>
        <w:t xml:space="preserve"> voto, el particular requirió del </w:t>
      </w:r>
      <w:r w:rsidR="006577EC">
        <w:rPr>
          <w:rFonts w:ascii="Palatino Linotype" w:hAnsi="Palatino Linotype"/>
          <w:b/>
        </w:rPr>
        <w:t xml:space="preserve">Ayuntamiento de </w:t>
      </w:r>
      <w:r w:rsidR="00652CF4">
        <w:rPr>
          <w:rFonts w:ascii="Palatino Linotype" w:hAnsi="Palatino Linotype"/>
          <w:b/>
        </w:rPr>
        <w:t xml:space="preserve">Juchitepec </w:t>
      </w:r>
      <w:r w:rsidR="00652CF4">
        <w:rPr>
          <w:rFonts w:ascii="Palatino Linotype" w:hAnsi="Palatino Linotype"/>
        </w:rPr>
        <w:t xml:space="preserve">en </w:t>
      </w:r>
      <w:r>
        <w:rPr>
          <w:rFonts w:ascii="Palatino Linotype" w:hAnsi="Palatino Linotype"/>
        </w:rPr>
        <w:t xml:space="preserve">lo sucesivo </w:t>
      </w:r>
      <w:r w:rsidR="00C434F0">
        <w:rPr>
          <w:rFonts w:ascii="Palatino Linotype" w:hAnsi="Palatino Linotype"/>
          <w:b/>
        </w:rPr>
        <w:t xml:space="preserve">EL </w:t>
      </w:r>
      <w:r w:rsidRPr="0073286C">
        <w:rPr>
          <w:rFonts w:ascii="Palatino Linotype" w:hAnsi="Palatino Linotype"/>
          <w:b/>
        </w:rPr>
        <w:t>SUJETO OBLIGADO,</w:t>
      </w:r>
      <w:r w:rsidRPr="0073286C">
        <w:rPr>
          <w:rFonts w:ascii="Palatino Linotype" w:hAnsi="Palatino Linotype"/>
        </w:rPr>
        <w:t xml:space="preserve"> </w:t>
      </w:r>
      <w:r w:rsidR="00E515B2">
        <w:rPr>
          <w:rFonts w:ascii="Palatino Linotype" w:hAnsi="Palatino Linotype"/>
        </w:rPr>
        <w:t>la información que a continuación se desagrega</w:t>
      </w:r>
      <w:r w:rsidR="000F0BC5">
        <w:rPr>
          <w:rFonts w:ascii="Palatino Linotype" w:hAnsi="Palatino Linotype"/>
        </w:rPr>
        <w:t>:</w:t>
      </w:r>
    </w:p>
    <w:p w:rsidR="00C434F0" w:rsidRDefault="00C434F0" w:rsidP="00007388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/>
        </w:rPr>
      </w:pPr>
    </w:p>
    <w:p w:rsidR="00B57C14" w:rsidRPr="00652CF4" w:rsidRDefault="00FF1472" w:rsidP="00007388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eastAsia="Calibri" w:hAnsi="Palatino Linotype"/>
          <w:i/>
          <w:color w:val="000000"/>
          <w:sz w:val="22"/>
          <w:szCs w:val="22"/>
          <w:lang w:val="es-MX" w:eastAsia="en-US"/>
        </w:rPr>
      </w:pPr>
      <w:r>
        <w:rPr>
          <w:rFonts w:ascii="Palatino Linotype" w:hAnsi="Palatino Linotype"/>
          <w:i/>
          <w:sz w:val="22"/>
          <w:szCs w:val="22"/>
        </w:rPr>
        <w:t>“</w:t>
      </w:r>
      <w:r w:rsidR="00652CF4" w:rsidRPr="00652CF4">
        <w:rPr>
          <w:rFonts w:ascii="Palatino Linotype" w:eastAsia="Calibri" w:hAnsi="Palatino Linotype"/>
          <w:i/>
          <w:color w:val="000000"/>
          <w:sz w:val="22"/>
          <w:szCs w:val="22"/>
          <w:lang w:val="es-MX" w:eastAsia="en-US"/>
        </w:rPr>
        <w:t>Relación de la Plantilla del personal,</w:t>
      </w:r>
      <w:r w:rsidR="00652CF4">
        <w:rPr>
          <w:rFonts w:ascii="Palatino Linotype" w:eastAsia="Calibri" w:hAnsi="Palatino Linotype"/>
          <w:i/>
          <w:color w:val="000000"/>
          <w:sz w:val="22"/>
          <w:szCs w:val="22"/>
          <w:lang w:val="es-MX" w:eastAsia="en-US"/>
        </w:rPr>
        <w:t xml:space="preserve"> </w:t>
      </w:r>
      <w:r w:rsidR="00652CF4" w:rsidRPr="00652CF4">
        <w:rPr>
          <w:rFonts w:ascii="Palatino Linotype" w:eastAsia="Calibri" w:hAnsi="Palatino Linotype"/>
          <w:i/>
          <w:color w:val="000000"/>
          <w:sz w:val="22"/>
          <w:szCs w:val="22"/>
          <w:lang w:val="es-MX" w:eastAsia="en-US"/>
        </w:rPr>
        <w:t>cargos, horario de labores, percepción salarial y facultades y atribuciones de cada uno de ellos para desarrollar sus funciones</w:t>
      </w:r>
      <w:r w:rsidR="000F28C8">
        <w:rPr>
          <w:rFonts w:ascii="Palatino Linotype" w:eastAsia="Calibri" w:hAnsi="Palatino Linotype"/>
          <w:i/>
          <w:color w:val="000000"/>
          <w:sz w:val="22"/>
          <w:szCs w:val="22"/>
          <w:lang w:val="es-MX" w:eastAsia="en-US"/>
        </w:rPr>
        <w:t>.</w:t>
      </w:r>
      <w:r>
        <w:rPr>
          <w:rFonts w:ascii="Palatino Linotype" w:hAnsi="Palatino Linotype"/>
          <w:i/>
          <w:sz w:val="22"/>
          <w:szCs w:val="22"/>
        </w:rPr>
        <w:t>”</w:t>
      </w:r>
    </w:p>
    <w:p w:rsidR="00B57C14" w:rsidRPr="00B57C14" w:rsidRDefault="00B57C14" w:rsidP="00007388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/>
          <w:i/>
          <w:sz w:val="22"/>
          <w:szCs w:val="22"/>
        </w:rPr>
      </w:pPr>
    </w:p>
    <w:p w:rsidR="006468C8" w:rsidRDefault="00202921" w:rsidP="00007388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/>
          <w:bCs/>
        </w:rPr>
      </w:pPr>
      <w:r w:rsidRPr="0073286C">
        <w:rPr>
          <w:rFonts w:ascii="Palatino Linotype" w:hAnsi="Palatino Linotype" w:cs="Arial"/>
        </w:rPr>
        <w:t>De las constancias que obran dentro del expediente electrónico</w:t>
      </w:r>
      <w:r>
        <w:rPr>
          <w:rFonts w:ascii="Palatino Linotype" w:hAnsi="Palatino Linotype" w:cs="Arial"/>
        </w:rPr>
        <w:t xml:space="preserve"> del</w:t>
      </w:r>
      <w:r w:rsidRPr="0073286C">
        <w:rPr>
          <w:rFonts w:ascii="Palatino Linotype" w:hAnsi="Palatino Linotype" w:cs="Arial"/>
        </w:rPr>
        <w:t xml:space="preserve"> </w:t>
      </w:r>
      <w:r w:rsidRPr="0073286C">
        <w:rPr>
          <w:rFonts w:ascii="Palatino Linotype" w:hAnsi="Palatino Linotype" w:cs="Arial"/>
          <w:b/>
        </w:rPr>
        <w:t>SAIMEX,</w:t>
      </w:r>
      <w:r w:rsidRPr="0073286C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 xml:space="preserve">se advirtió </w:t>
      </w:r>
      <w:r w:rsidRPr="0073286C">
        <w:rPr>
          <w:rFonts w:ascii="Palatino Linotype" w:hAnsi="Palatino Linotype" w:cs="Arial"/>
        </w:rPr>
        <w:t xml:space="preserve">que </w:t>
      </w:r>
      <w:r w:rsidR="000F28C8">
        <w:rPr>
          <w:rFonts w:ascii="Palatino Linotype" w:hAnsi="Palatino Linotype" w:cs="Arial"/>
          <w:b/>
        </w:rPr>
        <w:t xml:space="preserve">EL SUJETO OBLIGADO, </w:t>
      </w:r>
      <w:r w:rsidR="000F28C8" w:rsidRPr="000F28C8">
        <w:rPr>
          <w:rFonts w:ascii="Palatino Linotype" w:hAnsi="Palatino Linotype" w:cs="Arial"/>
        </w:rPr>
        <w:t>remitió</w:t>
      </w:r>
      <w:r w:rsidR="000F28C8">
        <w:rPr>
          <w:rFonts w:ascii="Palatino Linotype" w:hAnsi="Palatino Linotype" w:cs="Arial"/>
        </w:rPr>
        <w:t xml:space="preserve"> su respuesta </w:t>
      </w:r>
      <w:r w:rsidR="000F28C8">
        <w:rPr>
          <w:rFonts w:ascii="Palatino Linotype" w:hAnsi="Palatino Linotype" w:cs="Arial"/>
          <w:b/>
        </w:rPr>
        <w:t xml:space="preserve"> </w:t>
      </w:r>
      <w:r w:rsidR="000F0BC5">
        <w:rPr>
          <w:rFonts w:ascii="Palatino Linotype" w:hAnsi="Palatino Linotype" w:cs="Arial"/>
        </w:rPr>
        <w:t xml:space="preserve">a la solicitud de información </w:t>
      </w:r>
      <w:r w:rsidR="00007388">
        <w:rPr>
          <w:rFonts w:ascii="Palatino Linotype" w:hAnsi="Palatino Linotype"/>
          <w:b/>
          <w:bCs/>
        </w:rPr>
        <w:t>00193</w:t>
      </w:r>
      <w:r w:rsidR="00CB7A00" w:rsidRPr="00CB7A00">
        <w:rPr>
          <w:rFonts w:ascii="Palatino Linotype" w:hAnsi="Palatino Linotype"/>
          <w:b/>
          <w:bCs/>
        </w:rPr>
        <w:t>/</w:t>
      </w:r>
      <w:r w:rsidR="00007388">
        <w:rPr>
          <w:rFonts w:ascii="Palatino Linotype" w:hAnsi="Palatino Linotype"/>
          <w:b/>
          <w:bCs/>
        </w:rPr>
        <w:t>JUCHITE</w:t>
      </w:r>
      <w:r w:rsidR="00FA5E83">
        <w:rPr>
          <w:rFonts w:ascii="Palatino Linotype" w:hAnsi="Palatino Linotype"/>
          <w:b/>
          <w:bCs/>
        </w:rPr>
        <w:t>/IP/2019</w:t>
      </w:r>
      <w:r w:rsidR="003878EC">
        <w:rPr>
          <w:rFonts w:ascii="Palatino Linotype" w:hAnsi="Palatino Linotype"/>
          <w:b/>
          <w:bCs/>
        </w:rPr>
        <w:t xml:space="preserve"> </w:t>
      </w:r>
      <w:r w:rsidR="000F28C8" w:rsidRPr="000F28C8">
        <w:rPr>
          <w:rFonts w:ascii="Palatino Linotype" w:hAnsi="Palatino Linotype"/>
          <w:bCs/>
        </w:rPr>
        <w:t>en los siguientes términos:</w:t>
      </w:r>
    </w:p>
    <w:p w:rsidR="000F28C8" w:rsidRDefault="000F28C8" w:rsidP="00007388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/>
          <w:bCs/>
        </w:rPr>
      </w:pPr>
    </w:p>
    <w:p w:rsidR="004E606A" w:rsidRDefault="00652CF4" w:rsidP="00007388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/>
          <w:i/>
          <w:color w:val="000000"/>
          <w:sz w:val="22"/>
          <w:szCs w:val="22"/>
        </w:rPr>
      </w:pPr>
      <w:r>
        <w:rPr>
          <w:rFonts w:ascii="Palatino Linotype" w:hAnsi="Palatino Linotype"/>
          <w:i/>
          <w:color w:val="000000"/>
          <w:sz w:val="22"/>
          <w:szCs w:val="22"/>
        </w:rPr>
        <w:t>“</w:t>
      </w:r>
      <w:r w:rsidRPr="00652CF4">
        <w:rPr>
          <w:rFonts w:ascii="Palatino Linotype" w:hAnsi="Palatino Linotype"/>
          <w:i/>
          <w:color w:val="000000"/>
          <w:sz w:val="22"/>
          <w:szCs w:val="22"/>
        </w:rPr>
        <w:t>Por este medio le envío un cordial saludo y al mismo tiempo aprovecho la ocasión para remitirle contestación de acuerdo a lo solicitado</w:t>
      </w:r>
      <w:r>
        <w:rPr>
          <w:rFonts w:ascii="Palatino Linotype" w:hAnsi="Palatino Linotype"/>
          <w:i/>
          <w:color w:val="000000"/>
          <w:sz w:val="22"/>
          <w:szCs w:val="22"/>
        </w:rPr>
        <w:t>”</w:t>
      </w:r>
    </w:p>
    <w:p w:rsidR="00652CF4" w:rsidRDefault="00652CF4" w:rsidP="00007388">
      <w:pPr>
        <w:spacing w:before="100" w:beforeAutospacing="1" w:after="100" w:afterAutospacing="1"/>
        <w:ind w:right="902"/>
        <w:contextualSpacing/>
        <w:jc w:val="both"/>
        <w:rPr>
          <w:rFonts w:ascii="Palatino Linotype" w:hAnsi="Palatino Linotype"/>
          <w:i/>
          <w:color w:val="000000"/>
          <w:sz w:val="22"/>
          <w:szCs w:val="22"/>
        </w:rPr>
      </w:pPr>
    </w:p>
    <w:p w:rsidR="00007388" w:rsidRPr="00007388" w:rsidRDefault="00652CF4" w:rsidP="002A2A3A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/>
          <w:color w:val="000000"/>
        </w:rPr>
      </w:pPr>
      <w:r w:rsidRPr="002A1136">
        <w:rPr>
          <w:rFonts w:ascii="Palatino Linotype" w:hAnsi="Palatino Linotype"/>
          <w:color w:val="000000"/>
        </w:rPr>
        <w:t xml:space="preserve">Adjuntando el archivo electrónico </w:t>
      </w:r>
      <w:r w:rsidRPr="002A1136">
        <w:rPr>
          <w:rFonts w:ascii="Palatino Linotype" w:hAnsi="Palatino Linotype"/>
          <w:b/>
          <w:color w:val="000000"/>
        </w:rPr>
        <w:t xml:space="preserve">Escaneo0003.pdf </w:t>
      </w:r>
      <w:r w:rsidRPr="002A1136">
        <w:rPr>
          <w:rFonts w:ascii="Palatino Linotype" w:hAnsi="Palatino Linotype"/>
          <w:color w:val="000000"/>
        </w:rPr>
        <w:t xml:space="preserve">el cual </w:t>
      </w:r>
      <w:r w:rsidR="00007388">
        <w:rPr>
          <w:rFonts w:ascii="Palatino Linotype" w:hAnsi="Palatino Linotype"/>
          <w:color w:val="000000"/>
        </w:rPr>
        <w:t xml:space="preserve">se adjuntó un oficio por parte del Subdirector </w:t>
      </w:r>
      <w:r w:rsidR="00007388" w:rsidRPr="00007388">
        <w:rPr>
          <w:rFonts w:ascii="Palatino Linotype" w:hAnsi="Palatino Linotype"/>
          <w:color w:val="000000"/>
        </w:rPr>
        <w:t>de Administración</w:t>
      </w:r>
      <w:r w:rsidR="00007388">
        <w:rPr>
          <w:rFonts w:ascii="Palatino Linotype" w:hAnsi="Palatino Linotype"/>
          <w:color w:val="000000"/>
        </w:rPr>
        <w:t xml:space="preserve"> en el que medularmente </w:t>
      </w:r>
      <w:r w:rsidR="00007388" w:rsidRPr="00007388">
        <w:rPr>
          <w:rFonts w:ascii="Palatino Linotype" w:hAnsi="Palatino Linotype"/>
          <w:color w:val="000000"/>
        </w:rPr>
        <w:t>informa que dentro de las atribucion</w:t>
      </w:r>
      <w:r w:rsidR="00007388">
        <w:rPr>
          <w:rFonts w:ascii="Palatino Linotype" w:hAnsi="Palatino Linotype"/>
          <w:color w:val="000000"/>
        </w:rPr>
        <w:t xml:space="preserve">es establecidas en la Ley </w:t>
      </w:r>
      <w:r w:rsidR="00007388" w:rsidRPr="00007388">
        <w:rPr>
          <w:rFonts w:ascii="Palatino Linotype" w:hAnsi="Palatino Linotype"/>
          <w:color w:val="000000"/>
        </w:rPr>
        <w:t>Orgánica Municipal, conferidas a los Regidores no se encuentra de la revisión y</w:t>
      </w:r>
      <w:r w:rsidR="00007388">
        <w:rPr>
          <w:rFonts w:ascii="Palatino Linotype" w:hAnsi="Palatino Linotype"/>
          <w:color w:val="000000"/>
        </w:rPr>
        <w:t xml:space="preserve"> fiscalización de la hacienda pública municipal.</w:t>
      </w:r>
    </w:p>
    <w:p w:rsidR="00652CF4" w:rsidRDefault="00652CF4" w:rsidP="00007388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/>
        </w:rPr>
      </w:pPr>
    </w:p>
    <w:p w:rsidR="00563561" w:rsidRDefault="00177727" w:rsidP="00007388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Inconforme con </w:t>
      </w:r>
      <w:r w:rsidR="004E606A">
        <w:rPr>
          <w:rFonts w:ascii="Palatino Linotype" w:hAnsi="Palatino Linotype"/>
        </w:rPr>
        <w:t>la respuesta</w:t>
      </w:r>
      <w:r w:rsidR="00563561">
        <w:rPr>
          <w:rFonts w:ascii="Palatino Linotype" w:hAnsi="Palatino Linotype"/>
        </w:rPr>
        <w:t xml:space="preserve"> otorgada por </w:t>
      </w:r>
      <w:r w:rsidR="00563561">
        <w:rPr>
          <w:rFonts w:ascii="Palatino Linotype" w:hAnsi="Palatino Linotype"/>
          <w:b/>
        </w:rPr>
        <w:t>EL SUJETO OBLIGADO</w:t>
      </w:r>
      <w:r w:rsidR="00E515B2">
        <w:rPr>
          <w:rFonts w:ascii="Palatino Linotype" w:hAnsi="Palatino Linotype"/>
          <w:b/>
        </w:rPr>
        <w:t>,</w:t>
      </w:r>
      <w:r w:rsidR="00563561">
        <w:rPr>
          <w:rFonts w:ascii="Palatino Linotype" w:hAnsi="Palatino Linotype"/>
          <w:b/>
        </w:rPr>
        <w:t xml:space="preserve"> </w:t>
      </w:r>
      <w:r w:rsidR="00563561">
        <w:rPr>
          <w:rFonts w:ascii="Palatino Linotype" w:hAnsi="Palatino Linotype"/>
        </w:rPr>
        <w:t xml:space="preserve">el particular interpuso </w:t>
      </w:r>
      <w:r w:rsidR="004E606A">
        <w:rPr>
          <w:rFonts w:ascii="Palatino Linotype" w:hAnsi="Palatino Linotype"/>
        </w:rPr>
        <w:t>el</w:t>
      </w:r>
      <w:r w:rsidR="00563561">
        <w:rPr>
          <w:rFonts w:ascii="Palatino Linotype" w:hAnsi="Palatino Linotype"/>
        </w:rPr>
        <w:t xml:space="preserve"> recurso</w:t>
      </w:r>
      <w:r w:rsidR="004E606A">
        <w:rPr>
          <w:rFonts w:ascii="Palatino Linotype" w:hAnsi="Palatino Linotype"/>
        </w:rPr>
        <w:t xml:space="preserve"> de revisión de mérito, </w:t>
      </w:r>
      <w:r w:rsidR="000F28C8">
        <w:rPr>
          <w:rFonts w:ascii="Palatino Linotype" w:hAnsi="Palatino Linotype"/>
        </w:rPr>
        <w:t>señalando como acto impugnado lo siguiente:</w:t>
      </w:r>
    </w:p>
    <w:p w:rsidR="000F28C8" w:rsidRDefault="000F28C8" w:rsidP="00007388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/>
        </w:rPr>
      </w:pPr>
    </w:p>
    <w:p w:rsidR="000F28C8" w:rsidRPr="00934AF7" w:rsidRDefault="00652CF4" w:rsidP="00007388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/>
        </w:rPr>
      </w:pPr>
      <w:r>
        <w:rPr>
          <w:rStyle w:val="Ttulo2Car"/>
          <w:rFonts w:ascii="Palatino Linotype" w:hAnsi="Palatino Linotype"/>
          <w:i/>
          <w:color w:val="auto"/>
          <w:sz w:val="22"/>
          <w:szCs w:val="22"/>
        </w:rPr>
        <w:lastRenderedPageBreak/>
        <w:t>“</w:t>
      </w:r>
      <w:r w:rsidRPr="00652CF4">
        <w:rPr>
          <w:rStyle w:val="Ttulo2Car"/>
          <w:rFonts w:ascii="Palatino Linotype" w:hAnsi="Palatino Linotype"/>
          <w:i/>
          <w:color w:val="auto"/>
          <w:sz w:val="22"/>
          <w:szCs w:val="22"/>
        </w:rPr>
        <w:t>LA RESPUESTA AL FOLIO DE SOLICITUD QUE RESULTA INCONGRUENTE CON LO PETICIONADO, DENTRO DEL FOLIO 00193/JUCHITE/IP/2019 QUE SE RESPONDE EL 29 DE AGOSTO DEL AÑO 2019</w:t>
      </w:r>
      <w:r>
        <w:rPr>
          <w:rStyle w:val="Ttulo2Car"/>
          <w:rFonts w:ascii="Palatino Linotype" w:hAnsi="Palatino Linotype"/>
          <w:i/>
          <w:color w:val="auto"/>
          <w:sz w:val="22"/>
          <w:szCs w:val="22"/>
        </w:rPr>
        <w:t>”</w:t>
      </w:r>
      <w:r w:rsidR="00934AF7" w:rsidRPr="00934AF7">
        <w:rPr>
          <w:rStyle w:val="Ttulo2Car"/>
          <w:rFonts w:ascii="Palatino Linotype" w:hAnsi="Palatino Linotype"/>
          <w:i/>
          <w:color w:val="auto"/>
          <w:sz w:val="22"/>
          <w:szCs w:val="22"/>
        </w:rPr>
        <w:t>.</w:t>
      </w:r>
    </w:p>
    <w:p w:rsidR="00007388" w:rsidRDefault="00007388" w:rsidP="00007388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/>
        </w:rPr>
      </w:pPr>
    </w:p>
    <w:p w:rsidR="00934AF7" w:rsidRDefault="00934AF7" w:rsidP="00007388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Asimismo, como razones o motivos de inconformidad:</w:t>
      </w:r>
    </w:p>
    <w:p w:rsidR="00934AF7" w:rsidRDefault="00934AF7" w:rsidP="00007388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/>
        </w:rPr>
      </w:pPr>
    </w:p>
    <w:p w:rsidR="00934AF7" w:rsidRDefault="00652CF4" w:rsidP="00007388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/>
        </w:rPr>
      </w:pPr>
      <w:r>
        <w:rPr>
          <w:rFonts w:ascii="Palatino Linotype" w:eastAsia="Calibri" w:hAnsi="Palatino Linotype"/>
          <w:i/>
          <w:sz w:val="22"/>
          <w:szCs w:val="22"/>
          <w:lang w:val="es-MX" w:eastAsia="en-US"/>
        </w:rPr>
        <w:t>“</w:t>
      </w:r>
      <w:r w:rsidRPr="00652CF4">
        <w:rPr>
          <w:rFonts w:ascii="Palatino Linotype" w:eastAsia="Calibri" w:hAnsi="Palatino Linotype"/>
          <w:i/>
          <w:sz w:val="22"/>
          <w:szCs w:val="22"/>
          <w:lang w:val="es-MX" w:eastAsia="en-US"/>
        </w:rPr>
        <w:t>LA RESPUESTA NO ES CONGRUENTE CON LA SOLICITUD, RESULTA OMISA Y DIVERSA CON LA LÓGICA DE LO SOLICITADO, POR LO QUE NO DA RESPUESTA DE LO QUE ORIGINALMENTE SE PIDIÓ.”</w:t>
      </w:r>
    </w:p>
    <w:p w:rsidR="00007388" w:rsidRDefault="00007388" w:rsidP="00007388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</w:rPr>
      </w:pPr>
    </w:p>
    <w:p w:rsidR="00222326" w:rsidRDefault="000F0BC5" w:rsidP="00007388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</w:rPr>
      </w:pPr>
      <w:r w:rsidRPr="0073286C">
        <w:rPr>
          <w:rFonts w:ascii="Palatino Linotype" w:hAnsi="Palatino Linotype" w:cs="Arial"/>
        </w:rPr>
        <w:t>Atento a lo anterior, l</w:t>
      </w:r>
      <w:r w:rsidR="002A5DD9">
        <w:rPr>
          <w:rFonts w:ascii="Palatino Linotype" w:hAnsi="Palatino Linotype" w:cs="Arial"/>
        </w:rPr>
        <w:t xml:space="preserve">a Ponencia Resolutora determinó </w:t>
      </w:r>
      <w:r w:rsidR="002A5DD9">
        <w:rPr>
          <w:rFonts w:ascii="Palatino Linotype" w:hAnsi="Palatino Linotype" w:cs="Arial"/>
          <w:b/>
        </w:rPr>
        <w:t>REVO</w:t>
      </w:r>
      <w:r w:rsidR="002C1CC6">
        <w:rPr>
          <w:rFonts w:ascii="Palatino Linotype" w:hAnsi="Palatino Linotype" w:cs="Arial"/>
          <w:b/>
        </w:rPr>
        <w:t>CAR</w:t>
      </w:r>
      <w:r w:rsidRPr="0073286C">
        <w:rPr>
          <w:rFonts w:ascii="Palatino Linotype" w:hAnsi="Palatino Linotype" w:cs="Arial"/>
          <w:b/>
        </w:rPr>
        <w:t xml:space="preserve"> </w:t>
      </w:r>
      <w:r w:rsidRPr="0073286C">
        <w:rPr>
          <w:rFonts w:ascii="Palatino Linotype" w:hAnsi="Palatino Linotype" w:cs="Arial"/>
        </w:rPr>
        <w:t>la respuesta del</w:t>
      </w:r>
      <w:r w:rsidRPr="0073286C">
        <w:rPr>
          <w:rFonts w:ascii="Palatino Linotype" w:hAnsi="Palatino Linotype" w:cs="Arial"/>
          <w:b/>
        </w:rPr>
        <w:t xml:space="preserve"> SUJETO OBLIGADO </w:t>
      </w:r>
      <w:r w:rsidR="006468C8">
        <w:rPr>
          <w:rFonts w:ascii="Palatino Linotype" w:hAnsi="Palatino Linotype" w:cs="Arial"/>
        </w:rPr>
        <w:t>ordenándole</w:t>
      </w:r>
      <w:r w:rsidR="00563561">
        <w:rPr>
          <w:rFonts w:ascii="Palatino Linotype" w:hAnsi="Palatino Linotype" w:cs="Arial"/>
        </w:rPr>
        <w:t xml:space="preserve"> </w:t>
      </w:r>
      <w:r w:rsidR="00222326" w:rsidRPr="00222326">
        <w:rPr>
          <w:rFonts w:ascii="Palatino Linotype" w:hAnsi="Palatino Linotype" w:cs="Arial"/>
        </w:rPr>
        <w:t xml:space="preserve">entregar en versión pública, </w:t>
      </w:r>
      <w:r w:rsidR="00934AF7">
        <w:rPr>
          <w:rFonts w:ascii="Palatino Linotype" w:hAnsi="Palatino Linotype" w:cs="Arial"/>
        </w:rPr>
        <w:t xml:space="preserve">en </w:t>
      </w:r>
      <w:r w:rsidR="00934AF7" w:rsidRPr="00934AF7">
        <w:rPr>
          <w:rFonts w:ascii="Palatino Linotype" w:hAnsi="Palatino Linotype" w:cs="Arial"/>
          <w:i/>
        </w:rPr>
        <w:t xml:space="preserve">Copias certificadas </w:t>
      </w:r>
      <w:r w:rsidR="00222326" w:rsidRPr="00222326">
        <w:rPr>
          <w:rFonts w:ascii="Palatino Linotype" w:hAnsi="Palatino Linotype" w:cs="Arial"/>
          <w:i/>
        </w:rPr>
        <w:t>sin costo</w:t>
      </w:r>
      <w:r w:rsidR="00222326" w:rsidRPr="00222326">
        <w:rPr>
          <w:rFonts w:ascii="Palatino Linotype" w:hAnsi="Palatino Linotype" w:cs="Arial"/>
        </w:rPr>
        <w:t xml:space="preserve">, </w:t>
      </w:r>
      <w:r w:rsidR="00222326">
        <w:rPr>
          <w:rFonts w:ascii="Palatino Linotype" w:hAnsi="Palatino Linotype" w:cs="Arial"/>
        </w:rPr>
        <w:t>de lo</w:t>
      </w:r>
      <w:r w:rsidR="00222326" w:rsidRPr="00222326">
        <w:rPr>
          <w:rFonts w:ascii="Palatino Linotype" w:hAnsi="Palatino Linotype" w:cs="Arial"/>
        </w:rPr>
        <w:t xml:space="preserve"> siguiente:</w:t>
      </w:r>
    </w:p>
    <w:p w:rsidR="00652CF4" w:rsidRPr="00652CF4" w:rsidRDefault="00652CF4" w:rsidP="00007388">
      <w:pPr>
        <w:pStyle w:val="Prrafodelista"/>
        <w:tabs>
          <w:tab w:val="left" w:pos="284"/>
        </w:tabs>
        <w:spacing w:before="100" w:beforeAutospacing="1" w:after="100" w:afterAutospacing="1"/>
        <w:ind w:left="851" w:right="902"/>
        <w:jc w:val="both"/>
        <w:rPr>
          <w:rFonts w:ascii="Palatino Linotype" w:eastAsia="Times New Roman" w:hAnsi="Palatino Linotype" w:cs="Arial"/>
          <w:i/>
          <w:sz w:val="22"/>
          <w:szCs w:val="22"/>
        </w:rPr>
      </w:pPr>
      <w:r>
        <w:rPr>
          <w:rFonts w:ascii="Palatino Linotype" w:eastAsia="Times New Roman" w:hAnsi="Palatino Linotype" w:cs="Arial"/>
          <w:i/>
          <w:sz w:val="22"/>
          <w:szCs w:val="22"/>
        </w:rPr>
        <w:t xml:space="preserve">1) </w:t>
      </w:r>
      <w:r w:rsidRPr="00652CF4">
        <w:rPr>
          <w:rFonts w:ascii="Palatino Linotype" w:eastAsia="Times New Roman" w:hAnsi="Palatino Linotype" w:cs="Arial"/>
          <w:i/>
          <w:sz w:val="22"/>
          <w:szCs w:val="22"/>
        </w:rPr>
        <w:t xml:space="preserve">De todo el personal que se encuentra adscrito al Sujeto Obligado </w:t>
      </w:r>
    </w:p>
    <w:p w:rsidR="00652CF4" w:rsidRPr="00652CF4" w:rsidRDefault="00652CF4" w:rsidP="00007388">
      <w:pPr>
        <w:pStyle w:val="Prrafodelista"/>
        <w:tabs>
          <w:tab w:val="left" w:pos="284"/>
        </w:tabs>
        <w:spacing w:before="100" w:beforeAutospacing="1" w:after="100" w:afterAutospacing="1"/>
        <w:ind w:left="851" w:right="902"/>
        <w:jc w:val="both"/>
        <w:rPr>
          <w:rFonts w:ascii="Palatino Linotype" w:eastAsia="Times New Roman" w:hAnsi="Palatino Linotype" w:cs="Arial"/>
          <w:i/>
          <w:sz w:val="22"/>
          <w:szCs w:val="22"/>
        </w:rPr>
      </w:pPr>
      <w:r>
        <w:rPr>
          <w:rFonts w:ascii="Palatino Linotype" w:eastAsia="Times New Roman" w:hAnsi="Palatino Linotype" w:cs="Arial"/>
          <w:i/>
          <w:sz w:val="22"/>
          <w:szCs w:val="22"/>
        </w:rPr>
        <w:t xml:space="preserve">a) </w:t>
      </w:r>
      <w:r w:rsidRPr="00652CF4">
        <w:rPr>
          <w:rFonts w:ascii="Palatino Linotype" w:eastAsia="Times New Roman" w:hAnsi="Palatino Linotype" w:cs="Arial"/>
          <w:i/>
          <w:sz w:val="22"/>
          <w:szCs w:val="22"/>
        </w:rPr>
        <w:t>Plantilla del personal vigente al diecinueve de agosto de dos mil diecinueve.</w:t>
      </w:r>
    </w:p>
    <w:p w:rsidR="00652CF4" w:rsidRPr="00652CF4" w:rsidRDefault="00652CF4" w:rsidP="00007388">
      <w:pPr>
        <w:pStyle w:val="Prrafodelista"/>
        <w:tabs>
          <w:tab w:val="left" w:pos="284"/>
        </w:tabs>
        <w:spacing w:before="100" w:beforeAutospacing="1" w:after="100" w:afterAutospacing="1"/>
        <w:ind w:left="851" w:right="902"/>
        <w:jc w:val="both"/>
        <w:rPr>
          <w:rFonts w:ascii="Palatino Linotype" w:eastAsia="Times New Roman" w:hAnsi="Palatino Linotype" w:cs="Arial"/>
          <w:i/>
          <w:sz w:val="22"/>
          <w:szCs w:val="22"/>
        </w:rPr>
      </w:pPr>
      <w:r>
        <w:rPr>
          <w:rFonts w:ascii="Palatino Linotype" w:eastAsia="Times New Roman" w:hAnsi="Palatino Linotype" w:cs="Arial"/>
          <w:i/>
          <w:sz w:val="22"/>
          <w:szCs w:val="22"/>
        </w:rPr>
        <w:t xml:space="preserve">b) </w:t>
      </w:r>
      <w:r w:rsidRPr="00652CF4">
        <w:rPr>
          <w:rFonts w:ascii="Palatino Linotype" w:eastAsia="Times New Roman" w:hAnsi="Palatino Linotype" w:cs="Arial"/>
          <w:i/>
          <w:sz w:val="22"/>
          <w:szCs w:val="22"/>
        </w:rPr>
        <w:t>Documento o documentos en donde conste el horario laboral</w:t>
      </w:r>
    </w:p>
    <w:p w:rsidR="00652CF4" w:rsidRPr="00652CF4" w:rsidRDefault="00652CF4" w:rsidP="00007388">
      <w:pPr>
        <w:pStyle w:val="Prrafodelista"/>
        <w:tabs>
          <w:tab w:val="left" w:pos="284"/>
        </w:tabs>
        <w:spacing w:before="100" w:beforeAutospacing="1" w:after="100" w:afterAutospacing="1"/>
        <w:ind w:left="851" w:right="902"/>
        <w:jc w:val="both"/>
        <w:rPr>
          <w:rFonts w:ascii="Palatino Linotype" w:eastAsia="Times New Roman" w:hAnsi="Palatino Linotype" w:cs="Arial"/>
          <w:i/>
          <w:sz w:val="22"/>
          <w:szCs w:val="22"/>
        </w:rPr>
      </w:pPr>
      <w:r>
        <w:rPr>
          <w:rFonts w:ascii="Palatino Linotype" w:eastAsia="Times New Roman" w:hAnsi="Palatino Linotype" w:cs="Arial"/>
          <w:i/>
          <w:sz w:val="22"/>
          <w:szCs w:val="22"/>
        </w:rPr>
        <w:t xml:space="preserve">c) </w:t>
      </w:r>
      <w:r w:rsidRPr="00652CF4">
        <w:rPr>
          <w:rFonts w:ascii="Palatino Linotype" w:eastAsia="Times New Roman" w:hAnsi="Palatino Linotype" w:cs="Arial"/>
          <w:i/>
          <w:sz w:val="22"/>
          <w:szCs w:val="22"/>
        </w:rPr>
        <w:t>Documento o documentos en donde consten las percepciones brutas y netas</w:t>
      </w:r>
    </w:p>
    <w:p w:rsidR="00007388" w:rsidRDefault="00652CF4" w:rsidP="00007388">
      <w:pPr>
        <w:pStyle w:val="Prrafodelista"/>
        <w:tabs>
          <w:tab w:val="left" w:pos="284"/>
        </w:tabs>
        <w:spacing w:before="100" w:beforeAutospacing="1" w:after="100" w:afterAutospacing="1"/>
        <w:ind w:left="851" w:right="902"/>
        <w:jc w:val="both"/>
        <w:rPr>
          <w:rFonts w:ascii="Palatino Linotype" w:eastAsia="Times New Roman" w:hAnsi="Palatino Linotype" w:cs="Arial"/>
          <w:i/>
          <w:sz w:val="22"/>
          <w:szCs w:val="22"/>
        </w:rPr>
      </w:pPr>
      <w:r>
        <w:rPr>
          <w:rFonts w:ascii="Palatino Linotype" w:eastAsia="Times New Roman" w:hAnsi="Palatino Linotype" w:cs="Arial"/>
          <w:i/>
          <w:sz w:val="22"/>
          <w:szCs w:val="22"/>
        </w:rPr>
        <w:t xml:space="preserve">d) </w:t>
      </w:r>
      <w:r w:rsidRPr="00652CF4">
        <w:rPr>
          <w:rFonts w:ascii="Palatino Linotype" w:eastAsia="Times New Roman" w:hAnsi="Palatino Linotype" w:cs="Arial"/>
          <w:i/>
          <w:sz w:val="22"/>
          <w:szCs w:val="22"/>
        </w:rPr>
        <w:t>Documento o documentos en donde consten las facultades y/o atribuciones vigentes al diecinueve d</w:t>
      </w:r>
      <w:r>
        <w:rPr>
          <w:rFonts w:ascii="Palatino Linotype" w:eastAsia="Times New Roman" w:hAnsi="Palatino Linotype" w:cs="Arial"/>
          <w:i/>
          <w:sz w:val="22"/>
          <w:szCs w:val="22"/>
        </w:rPr>
        <w:t>e agosto de dos mil diecinueve.</w:t>
      </w:r>
    </w:p>
    <w:p w:rsidR="00934AF7" w:rsidRPr="00007388" w:rsidRDefault="00652CF4" w:rsidP="00007388">
      <w:pPr>
        <w:pStyle w:val="Prrafodelista"/>
        <w:tabs>
          <w:tab w:val="left" w:pos="284"/>
        </w:tabs>
        <w:spacing w:before="100" w:beforeAutospacing="1" w:after="100" w:afterAutospacing="1"/>
        <w:ind w:left="851" w:right="902"/>
        <w:jc w:val="both"/>
        <w:rPr>
          <w:rFonts w:ascii="Palatino Linotype" w:eastAsia="Times New Roman" w:hAnsi="Palatino Linotype" w:cs="Arial"/>
          <w:i/>
          <w:sz w:val="22"/>
          <w:szCs w:val="22"/>
        </w:rPr>
      </w:pPr>
      <w:r w:rsidRPr="00007388">
        <w:rPr>
          <w:rFonts w:ascii="Palatino Linotype" w:eastAsia="Times New Roman" w:hAnsi="Palatino Linotype" w:cs="Arial"/>
          <w:i/>
          <w:sz w:val="22"/>
          <w:szCs w:val="22"/>
        </w:rPr>
        <w:t>A efecto de que el Sujeto Obligado, dé cumplimiento a lo anterior, es necesario que informe al recurrente a través del SAIMEX, el lugar, día y horario en que podrá recoger las copias certificadas del documento en el que conste la información requerida.</w:t>
      </w:r>
    </w:p>
    <w:p w:rsidR="00007388" w:rsidRDefault="00717A14" w:rsidP="00007388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val="es-MX"/>
        </w:rPr>
      </w:pPr>
      <w:r>
        <w:rPr>
          <w:rFonts w:ascii="Palatino Linotype" w:hAnsi="Palatino Linotype" w:cs="Arial"/>
          <w:lang w:val="es-MX"/>
        </w:rPr>
        <w:t xml:space="preserve">En ese sentido, la </w:t>
      </w:r>
      <w:r w:rsidR="00652CF4">
        <w:rPr>
          <w:rFonts w:ascii="Palatino Linotype" w:hAnsi="Palatino Linotype" w:cs="Arial"/>
          <w:lang w:val="es-MX"/>
        </w:rPr>
        <w:t>suscrita</w:t>
      </w:r>
      <w:r w:rsidR="00202921" w:rsidRPr="0073286C">
        <w:rPr>
          <w:rFonts w:ascii="Palatino Linotype" w:hAnsi="Palatino Linotype" w:cs="Arial"/>
          <w:lang w:val="es-MX"/>
        </w:rPr>
        <w:t xml:space="preserve"> reitera, que si bien coincide en términos generales con el </w:t>
      </w:r>
      <w:r w:rsidR="00202921">
        <w:rPr>
          <w:rFonts w:ascii="Palatino Linotype" w:hAnsi="Palatino Linotype" w:cs="Arial"/>
          <w:lang w:val="es-MX"/>
        </w:rPr>
        <w:t>sentido de la r</w:t>
      </w:r>
      <w:r w:rsidR="00202921" w:rsidRPr="0073286C">
        <w:rPr>
          <w:rFonts w:ascii="Palatino Linotype" w:hAnsi="Palatino Linotype" w:cs="Arial"/>
          <w:lang w:val="es-MX"/>
        </w:rPr>
        <w:t xml:space="preserve">esolución en comento, </w:t>
      </w:r>
      <w:r w:rsidR="007B3771">
        <w:rPr>
          <w:rFonts w:ascii="Palatino Linotype" w:hAnsi="Palatino Linotype" w:cs="Arial"/>
          <w:lang w:val="es-MX"/>
        </w:rPr>
        <w:t>consideran</w:t>
      </w:r>
      <w:r>
        <w:rPr>
          <w:rFonts w:ascii="Palatino Linotype" w:hAnsi="Palatino Linotype" w:cs="Arial"/>
          <w:lang w:val="es-MX"/>
        </w:rPr>
        <w:t xml:space="preserve"> necesario señalar que se debió ordenar </w:t>
      </w:r>
      <w:r w:rsidR="00B63948">
        <w:rPr>
          <w:rFonts w:ascii="Palatino Linotype" w:hAnsi="Palatino Linotype" w:cs="Arial"/>
          <w:lang w:val="es-MX"/>
        </w:rPr>
        <w:t xml:space="preserve">el cobro por </w:t>
      </w:r>
      <w:r w:rsidR="00934AF7">
        <w:rPr>
          <w:rFonts w:ascii="Palatino Linotype" w:hAnsi="Palatino Linotype" w:cs="Arial"/>
          <w:lang w:val="es-MX"/>
        </w:rPr>
        <w:t xml:space="preserve">concepto de la expedición de las copias certificadas </w:t>
      </w:r>
      <w:r w:rsidR="00E777E5">
        <w:rPr>
          <w:rFonts w:ascii="Palatino Linotype" w:hAnsi="Palatino Linotype" w:cs="Arial"/>
          <w:lang w:val="es-MX"/>
        </w:rPr>
        <w:t>reque</w:t>
      </w:r>
      <w:r w:rsidR="00934AF7">
        <w:rPr>
          <w:rFonts w:ascii="Palatino Linotype" w:hAnsi="Palatino Linotype" w:cs="Arial"/>
          <w:lang w:val="es-MX"/>
        </w:rPr>
        <w:t>ridas</w:t>
      </w:r>
      <w:r w:rsidR="00B63948">
        <w:rPr>
          <w:rFonts w:ascii="Palatino Linotype" w:hAnsi="Palatino Linotype" w:cs="Arial"/>
          <w:lang w:val="es-MX"/>
        </w:rPr>
        <w:t xml:space="preserve"> por </w:t>
      </w:r>
      <w:r w:rsidR="00B63948" w:rsidRPr="00B63948">
        <w:rPr>
          <w:rFonts w:ascii="Palatino Linotype" w:hAnsi="Palatino Linotype" w:cs="Arial"/>
          <w:b/>
          <w:lang w:val="es-MX"/>
        </w:rPr>
        <w:t>EL RECURRENTE</w:t>
      </w:r>
      <w:r w:rsidR="00385565">
        <w:rPr>
          <w:rFonts w:ascii="Palatino Linotype" w:hAnsi="Palatino Linotype" w:cs="Arial"/>
          <w:lang w:val="es-MX"/>
        </w:rPr>
        <w:t>.</w:t>
      </w:r>
    </w:p>
    <w:p w:rsidR="00B63948" w:rsidRPr="00007388" w:rsidRDefault="00B63948" w:rsidP="00007388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val="es-MX"/>
        </w:rPr>
      </w:pPr>
      <w:r>
        <w:rPr>
          <w:rFonts w:ascii="Palatino Linotype" w:hAnsi="Palatino Linotype" w:cs="Arial"/>
        </w:rPr>
        <w:lastRenderedPageBreak/>
        <w:t>Lo anterior</w:t>
      </w:r>
      <w:r w:rsidR="00E515B2">
        <w:rPr>
          <w:rFonts w:ascii="Palatino Linotype" w:hAnsi="Palatino Linotype" w:cs="Arial"/>
        </w:rPr>
        <w:t>,</w:t>
      </w:r>
      <w:r>
        <w:rPr>
          <w:rFonts w:ascii="Palatino Linotype" w:hAnsi="Palatino Linotype" w:cs="Arial"/>
        </w:rPr>
        <w:t xml:space="preserve"> obedece a que de acuerdo a lo señalado en la resolución de mérito, la Ponencia Resolutora estableció que ante la solicitud formulada por </w:t>
      </w:r>
      <w:r w:rsidR="00E515B2" w:rsidRPr="00E515B2">
        <w:rPr>
          <w:rFonts w:ascii="Palatino Linotype" w:hAnsi="Palatino Linotype" w:cs="Arial"/>
        </w:rPr>
        <w:t>el</w:t>
      </w:r>
      <w:r w:rsidR="00E515B2" w:rsidRPr="00B63948">
        <w:rPr>
          <w:rFonts w:ascii="Palatino Linotype" w:hAnsi="Palatino Linotype" w:cs="Arial"/>
          <w:b/>
        </w:rPr>
        <w:t xml:space="preserve"> </w:t>
      </w:r>
      <w:r w:rsidR="00E515B2" w:rsidRPr="00E515B2">
        <w:rPr>
          <w:rFonts w:ascii="Palatino Linotype" w:hAnsi="Palatino Linotype" w:cs="Arial"/>
        </w:rPr>
        <w:t xml:space="preserve">ahora </w:t>
      </w:r>
      <w:r w:rsidRPr="00B63948">
        <w:rPr>
          <w:rFonts w:ascii="Palatino Linotype" w:hAnsi="Palatino Linotype" w:cs="Arial"/>
          <w:b/>
        </w:rPr>
        <w:t>RECURRENTE</w:t>
      </w:r>
      <w:r w:rsidRPr="00B63948">
        <w:rPr>
          <w:rFonts w:ascii="Palatino Linotype" w:hAnsi="Palatino Linotype" w:cs="Arial"/>
        </w:rPr>
        <w:t xml:space="preserve"> de manera clara, precisa, contundente e indubitable requirió información pública a la que pretende acceder en su modalidad de </w:t>
      </w:r>
      <w:r w:rsidR="00934AF7">
        <w:rPr>
          <w:rFonts w:ascii="Palatino Linotype" w:hAnsi="Palatino Linotype" w:cs="Arial"/>
        </w:rPr>
        <w:t xml:space="preserve">copias certificadas </w:t>
      </w:r>
      <w:r w:rsidRPr="00B63948">
        <w:rPr>
          <w:rFonts w:ascii="Palatino Linotype" w:hAnsi="Palatino Linotype" w:cs="Arial"/>
        </w:rPr>
        <w:t xml:space="preserve"> con costo y </w:t>
      </w:r>
      <w:r>
        <w:rPr>
          <w:rFonts w:ascii="Palatino Linotype" w:hAnsi="Palatino Linotype" w:cs="Arial"/>
        </w:rPr>
        <w:t xml:space="preserve">derivado de que </w:t>
      </w:r>
      <w:r w:rsidRPr="00B63948">
        <w:rPr>
          <w:rFonts w:ascii="Palatino Linotype" w:hAnsi="Palatino Linotype" w:cs="Arial"/>
          <w:b/>
        </w:rPr>
        <w:t>EL SUJETO OBLIGADO</w:t>
      </w:r>
      <w:r>
        <w:rPr>
          <w:rFonts w:ascii="Palatino Linotype" w:hAnsi="Palatino Linotype" w:cs="Arial"/>
        </w:rPr>
        <w:t xml:space="preserve"> pretendió</w:t>
      </w:r>
      <w:r w:rsidRPr="00B63948">
        <w:rPr>
          <w:rFonts w:ascii="Palatino Linotype" w:hAnsi="Palatino Linotype" w:cs="Arial"/>
        </w:rPr>
        <w:t xml:space="preserve"> clasifica</w:t>
      </w:r>
      <w:r>
        <w:rPr>
          <w:rFonts w:ascii="Palatino Linotype" w:hAnsi="Palatino Linotype" w:cs="Arial"/>
        </w:rPr>
        <w:t xml:space="preserve">r </w:t>
      </w:r>
      <w:r w:rsidR="00BC1C56">
        <w:rPr>
          <w:rFonts w:ascii="Palatino Linotype" w:hAnsi="Palatino Linotype" w:cs="Arial"/>
        </w:rPr>
        <w:t>de manera general la información</w:t>
      </w:r>
      <w:r w:rsidRPr="00B63948">
        <w:rPr>
          <w:rFonts w:ascii="Palatino Linotype" w:hAnsi="Palatino Linotype" w:cs="Arial"/>
        </w:rPr>
        <w:t xml:space="preserve">, </w:t>
      </w:r>
      <w:r>
        <w:rPr>
          <w:rFonts w:ascii="Palatino Linotype" w:hAnsi="Palatino Linotype" w:cs="Arial"/>
        </w:rPr>
        <w:t>se determinó</w:t>
      </w:r>
      <w:r w:rsidRPr="00B63948">
        <w:rPr>
          <w:rFonts w:ascii="Palatino Linotype" w:hAnsi="Palatino Linotype" w:cs="Arial"/>
        </w:rPr>
        <w:t xml:space="preserve"> que existe una actitud negligente que provocó que la solicitud no fuera atendida en los términos de la Ley</w:t>
      </w:r>
      <w:r>
        <w:rPr>
          <w:rFonts w:ascii="Palatino Linotype" w:hAnsi="Palatino Linotype" w:cs="Arial"/>
        </w:rPr>
        <w:t xml:space="preserve"> de la materia</w:t>
      </w:r>
      <w:r w:rsidRPr="00B63948">
        <w:rPr>
          <w:rFonts w:ascii="Palatino Linotype" w:hAnsi="Palatino Linotype" w:cs="Arial"/>
        </w:rPr>
        <w:t xml:space="preserve">, por lo que </w:t>
      </w:r>
      <w:r>
        <w:rPr>
          <w:rFonts w:ascii="Palatino Linotype" w:hAnsi="Palatino Linotype" w:cs="Arial"/>
        </w:rPr>
        <w:t>la Ponencia determinó ordenar</w:t>
      </w:r>
      <w:r w:rsidRPr="00B63948">
        <w:rPr>
          <w:rFonts w:ascii="Palatino Linotype" w:hAnsi="Palatino Linotype" w:cs="Arial"/>
        </w:rPr>
        <w:t xml:space="preserve"> el acceso a la información de referencia en </w:t>
      </w:r>
      <w:r w:rsidR="00934AF7">
        <w:rPr>
          <w:rFonts w:ascii="Palatino Linotype" w:hAnsi="Palatino Linotype" w:cs="Arial"/>
        </w:rPr>
        <w:t>copias certificadas</w:t>
      </w:r>
      <w:r w:rsidR="00BC1C56">
        <w:rPr>
          <w:rFonts w:ascii="Palatino Linotype" w:hAnsi="Palatino Linotype" w:cs="Arial"/>
        </w:rPr>
        <w:t xml:space="preserve"> </w:t>
      </w:r>
      <w:r w:rsidRPr="00B63948">
        <w:rPr>
          <w:rFonts w:ascii="Palatino Linotype" w:hAnsi="Palatino Linotype" w:cs="Arial"/>
        </w:rPr>
        <w:t xml:space="preserve">sin que medie el pago de los derechos correspondientes. </w:t>
      </w:r>
    </w:p>
    <w:p w:rsidR="00B63948" w:rsidRDefault="00B63948" w:rsidP="00007388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</w:rPr>
      </w:pPr>
    </w:p>
    <w:p w:rsidR="00B57C14" w:rsidRPr="00B57C14" w:rsidRDefault="00B63948" w:rsidP="00007388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Atento a lo anterior, es importante señalar que la naturaleza del recurso de revisión es que su interposición obedece a una garantía secundaria mediante el cual se pretende reparar cualquier posible afectación al derecho </w:t>
      </w:r>
      <w:r w:rsidR="00E515B2">
        <w:rPr>
          <w:rFonts w:ascii="Palatino Linotype" w:hAnsi="Palatino Linotype" w:cs="Arial"/>
        </w:rPr>
        <w:t xml:space="preserve">humano </w:t>
      </w:r>
      <w:r>
        <w:rPr>
          <w:rFonts w:ascii="Palatino Linotype" w:hAnsi="Palatino Linotype" w:cs="Arial"/>
        </w:rPr>
        <w:t>de acceso a la información pública del particular, y una vez instrumentadas cada una de las actuaciones que la Ley contempla, este Órgano Garante emitirá un fallo donde se podrá:</w:t>
      </w:r>
    </w:p>
    <w:p w:rsidR="00934AF7" w:rsidRDefault="00934AF7" w:rsidP="00007388">
      <w:pPr>
        <w:autoSpaceDE w:val="0"/>
        <w:autoSpaceDN w:val="0"/>
        <w:adjustRightInd w:val="0"/>
        <w:spacing w:before="100" w:beforeAutospacing="1" w:after="100" w:afterAutospacing="1"/>
        <w:ind w:left="851" w:right="902" w:firstLine="709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</w:p>
    <w:p w:rsidR="00B63948" w:rsidRPr="007B3771" w:rsidRDefault="00B63948" w:rsidP="00007388">
      <w:pPr>
        <w:autoSpaceDE w:val="0"/>
        <w:autoSpaceDN w:val="0"/>
        <w:adjustRightInd w:val="0"/>
        <w:spacing w:before="100" w:beforeAutospacing="1" w:after="100" w:afterAutospacing="1"/>
        <w:ind w:left="851" w:right="902" w:firstLine="709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  <w:r w:rsidRPr="007B3771">
        <w:rPr>
          <w:rFonts w:ascii="Palatino Linotype" w:hAnsi="Palatino Linotype" w:cs="Arial"/>
          <w:i/>
          <w:sz w:val="22"/>
          <w:szCs w:val="22"/>
        </w:rPr>
        <w:t>I. Desechar o sobreseer el recurso;</w:t>
      </w:r>
    </w:p>
    <w:p w:rsidR="00B63948" w:rsidRPr="007B3771" w:rsidRDefault="00B63948" w:rsidP="00007388">
      <w:pPr>
        <w:autoSpaceDE w:val="0"/>
        <w:autoSpaceDN w:val="0"/>
        <w:adjustRightInd w:val="0"/>
        <w:spacing w:before="100" w:beforeAutospacing="1" w:after="100" w:afterAutospacing="1"/>
        <w:ind w:left="851" w:right="902" w:firstLine="709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  <w:r w:rsidRPr="007B3771">
        <w:rPr>
          <w:rFonts w:ascii="Palatino Linotype" w:hAnsi="Palatino Linotype" w:cs="Arial"/>
          <w:i/>
          <w:sz w:val="22"/>
          <w:szCs w:val="22"/>
        </w:rPr>
        <w:t>II. Confirmar la respuesta del sujeto obligado;</w:t>
      </w:r>
    </w:p>
    <w:p w:rsidR="00B63948" w:rsidRPr="007B3771" w:rsidRDefault="00B63948" w:rsidP="00007388">
      <w:pPr>
        <w:autoSpaceDE w:val="0"/>
        <w:autoSpaceDN w:val="0"/>
        <w:adjustRightInd w:val="0"/>
        <w:spacing w:before="100" w:beforeAutospacing="1" w:after="100" w:afterAutospacing="1"/>
        <w:ind w:left="851" w:right="902" w:firstLine="709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  <w:r w:rsidRPr="007B3771">
        <w:rPr>
          <w:rFonts w:ascii="Palatino Linotype" w:hAnsi="Palatino Linotype" w:cs="Arial"/>
          <w:i/>
          <w:sz w:val="22"/>
          <w:szCs w:val="22"/>
        </w:rPr>
        <w:t>III. Revocar o modificar la respuesta del sujeto obligado; y</w:t>
      </w:r>
    </w:p>
    <w:p w:rsidR="00B63948" w:rsidRDefault="00B63948" w:rsidP="00007388">
      <w:pPr>
        <w:autoSpaceDE w:val="0"/>
        <w:autoSpaceDN w:val="0"/>
        <w:adjustRightInd w:val="0"/>
        <w:spacing w:before="100" w:beforeAutospacing="1" w:after="100" w:afterAutospacing="1"/>
        <w:ind w:left="851" w:right="902" w:firstLine="709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  <w:r w:rsidRPr="007B3771">
        <w:rPr>
          <w:rFonts w:ascii="Palatino Linotype" w:hAnsi="Palatino Linotype" w:cs="Arial"/>
          <w:i/>
          <w:sz w:val="22"/>
          <w:szCs w:val="22"/>
        </w:rPr>
        <w:t>IV. Ordenar la entrega de la información.</w:t>
      </w:r>
    </w:p>
    <w:p w:rsidR="00B57C14" w:rsidRPr="007B3771" w:rsidRDefault="00B57C14" w:rsidP="00007388">
      <w:pPr>
        <w:autoSpaceDE w:val="0"/>
        <w:autoSpaceDN w:val="0"/>
        <w:adjustRightInd w:val="0"/>
        <w:spacing w:before="100" w:beforeAutospacing="1" w:after="100" w:afterAutospacing="1"/>
        <w:ind w:left="851" w:right="902" w:firstLine="709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</w:p>
    <w:p w:rsidR="00007388" w:rsidRDefault="00B63948" w:rsidP="00007388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En este sentido es importante señalar que </w:t>
      </w:r>
      <w:r w:rsidRPr="00B84534">
        <w:rPr>
          <w:rFonts w:ascii="Palatino Linotype" w:hAnsi="Palatino Linotype" w:cs="Arial"/>
        </w:rPr>
        <w:t xml:space="preserve">el artículo 36 de la Ley </w:t>
      </w:r>
      <w:r>
        <w:rPr>
          <w:rFonts w:ascii="Palatino Linotype" w:hAnsi="Palatino Linotype" w:cs="Arial"/>
        </w:rPr>
        <w:t xml:space="preserve">de </w:t>
      </w:r>
      <w:r w:rsidRPr="00176F46">
        <w:rPr>
          <w:rFonts w:ascii="Palatino Linotype" w:hAnsi="Palatino Linotype" w:cs="Arial"/>
        </w:rPr>
        <w:t xml:space="preserve">Transparencia </w:t>
      </w:r>
      <w:r>
        <w:rPr>
          <w:rFonts w:ascii="Palatino Linotype" w:hAnsi="Palatino Linotype" w:cs="Arial"/>
        </w:rPr>
        <w:t>y</w:t>
      </w:r>
      <w:r w:rsidRPr="00176F46">
        <w:rPr>
          <w:rFonts w:ascii="Palatino Linotype" w:hAnsi="Palatino Linotype" w:cs="Arial"/>
        </w:rPr>
        <w:t xml:space="preserve"> Acceso </w:t>
      </w:r>
      <w:r>
        <w:rPr>
          <w:rFonts w:ascii="Palatino Linotype" w:hAnsi="Palatino Linotype" w:cs="Arial"/>
        </w:rPr>
        <w:t>a</w:t>
      </w:r>
      <w:r w:rsidRPr="00176F46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>l</w:t>
      </w:r>
      <w:r w:rsidRPr="00176F46">
        <w:rPr>
          <w:rFonts w:ascii="Palatino Linotype" w:hAnsi="Palatino Linotype" w:cs="Arial"/>
        </w:rPr>
        <w:t>a Información</w:t>
      </w:r>
      <w:r>
        <w:rPr>
          <w:rFonts w:ascii="Palatino Linotype" w:hAnsi="Palatino Linotype" w:cs="Arial"/>
        </w:rPr>
        <w:t xml:space="preserve"> </w:t>
      </w:r>
      <w:r w:rsidRPr="00176F46">
        <w:rPr>
          <w:rFonts w:ascii="Palatino Linotype" w:hAnsi="Palatino Linotype" w:cs="Arial"/>
        </w:rPr>
        <w:t xml:space="preserve">Pública </w:t>
      </w:r>
      <w:r>
        <w:rPr>
          <w:rFonts w:ascii="Palatino Linotype" w:hAnsi="Palatino Linotype" w:cs="Arial"/>
        </w:rPr>
        <w:t>d</w:t>
      </w:r>
      <w:r w:rsidRPr="00176F46">
        <w:rPr>
          <w:rFonts w:ascii="Palatino Linotype" w:hAnsi="Palatino Linotype" w:cs="Arial"/>
        </w:rPr>
        <w:t xml:space="preserve">el Estado </w:t>
      </w:r>
      <w:r>
        <w:rPr>
          <w:rFonts w:ascii="Palatino Linotype" w:hAnsi="Palatino Linotype" w:cs="Arial"/>
        </w:rPr>
        <w:t>d</w:t>
      </w:r>
      <w:r w:rsidRPr="00176F46">
        <w:rPr>
          <w:rFonts w:ascii="Palatino Linotype" w:hAnsi="Palatino Linotype" w:cs="Arial"/>
        </w:rPr>
        <w:t xml:space="preserve">e México </w:t>
      </w:r>
      <w:r>
        <w:rPr>
          <w:rFonts w:ascii="Palatino Linotype" w:hAnsi="Palatino Linotype" w:cs="Arial"/>
        </w:rPr>
        <w:t>y</w:t>
      </w:r>
      <w:r w:rsidRPr="00176F46">
        <w:rPr>
          <w:rFonts w:ascii="Palatino Linotype" w:hAnsi="Palatino Linotype" w:cs="Arial"/>
        </w:rPr>
        <w:t xml:space="preserve"> Municipios</w:t>
      </w:r>
      <w:r>
        <w:rPr>
          <w:rFonts w:ascii="Palatino Linotype" w:hAnsi="Palatino Linotype" w:cs="Arial"/>
        </w:rPr>
        <w:t xml:space="preserve">, no contempla como atribución de este Órgano Garante, el </w:t>
      </w:r>
      <w:r w:rsidR="000060E4">
        <w:rPr>
          <w:rFonts w:ascii="Palatino Linotype" w:hAnsi="Palatino Linotype" w:cs="Arial"/>
        </w:rPr>
        <w:t>determinar a través del recurso de revisión, la negligencia por parte de</w:t>
      </w:r>
      <w:r>
        <w:rPr>
          <w:rFonts w:ascii="Palatino Linotype" w:hAnsi="Palatino Linotype" w:cs="Arial"/>
        </w:rPr>
        <w:t xml:space="preserve"> los Sujetos Obligados</w:t>
      </w:r>
      <w:r w:rsidR="000060E4">
        <w:rPr>
          <w:rFonts w:ascii="Palatino Linotype" w:hAnsi="Palatino Linotype" w:cs="Arial"/>
        </w:rPr>
        <w:t>.</w:t>
      </w:r>
    </w:p>
    <w:p w:rsidR="000060E4" w:rsidRDefault="000060E4" w:rsidP="00007388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lastRenderedPageBreak/>
        <w:t xml:space="preserve">Lo anterior, aunado a que el fundamento que la Ponencia invoca para determinar la entrega de la información requerida sin que medie previo pago </w:t>
      </w:r>
      <w:r w:rsidR="00E777E5">
        <w:rPr>
          <w:rFonts w:ascii="Palatino Linotype" w:hAnsi="Palatino Linotype" w:cs="Arial"/>
        </w:rPr>
        <w:t xml:space="preserve">de derechos por la expedición del </w:t>
      </w:r>
      <w:r w:rsidR="00934AF7">
        <w:rPr>
          <w:rFonts w:ascii="Palatino Linotype" w:hAnsi="Palatino Linotype" w:cs="Arial"/>
        </w:rPr>
        <w:t>copias certificadas</w:t>
      </w:r>
      <w:r>
        <w:rPr>
          <w:rFonts w:ascii="Palatino Linotype" w:hAnsi="Palatino Linotype" w:cs="Arial"/>
        </w:rPr>
        <w:t xml:space="preserve">, se encuentra contenido en el </w:t>
      </w:r>
      <w:r w:rsidRPr="000060E4">
        <w:rPr>
          <w:rFonts w:ascii="Palatino Linotype" w:hAnsi="Palatino Linotype" w:cs="Arial"/>
        </w:rPr>
        <w:t>Título Noveno</w:t>
      </w:r>
      <w:r>
        <w:rPr>
          <w:rFonts w:ascii="Palatino Linotype" w:hAnsi="Palatino Linotype" w:cs="Arial"/>
        </w:rPr>
        <w:t xml:space="preserve"> denominado </w:t>
      </w:r>
      <w:r w:rsidRPr="000060E4">
        <w:rPr>
          <w:rFonts w:ascii="Palatino Linotype" w:hAnsi="Palatino Linotype" w:cs="Arial"/>
          <w:i/>
        </w:rPr>
        <w:t>“De las Medidas de Apremio, Responsabilidades y Sanciones”</w:t>
      </w:r>
      <w:r>
        <w:rPr>
          <w:rFonts w:ascii="Palatino Linotype" w:hAnsi="Palatino Linotype" w:cs="Arial"/>
        </w:rPr>
        <w:t xml:space="preserve">, específicamente en el </w:t>
      </w:r>
      <w:r w:rsidRPr="000060E4">
        <w:rPr>
          <w:rFonts w:ascii="Palatino Linotype" w:hAnsi="Palatino Linotype" w:cs="Arial"/>
        </w:rPr>
        <w:t>Capítulo II</w:t>
      </w:r>
      <w:r>
        <w:rPr>
          <w:rFonts w:ascii="Palatino Linotype" w:hAnsi="Palatino Linotype" w:cs="Arial"/>
        </w:rPr>
        <w:t xml:space="preserve"> </w:t>
      </w:r>
      <w:r w:rsidRPr="000060E4">
        <w:rPr>
          <w:rFonts w:ascii="Palatino Linotype" w:hAnsi="Palatino Linotype" w:cs="Arial"/>
          <w:i/>
        </w:rPr>
        <w:t>“De las Responsabilidades y Sanciones</w:t>
      </w:r>
      <w:r>
        <w:rPr>
          <w:rFonts w:ascii="Palatino Linotype" w:hAnsi="Palatino Linotype" w:cs="Arial"/>
          <w:i/>
        </w:rPr>
        <w:t>”</w:t>
      </w:r>
      <w:r>
        <w:rPr>
          <w:rFonts w:ascii="Palatino Linotype" w:hAnsi="Palatino Linotype" w:cs="Arial"/>
        </w:rPr>
        <w:t>, donde si bien se establece que el a</w:t>
      </w:r>
      <w:r w:rsidRPr="000060E4">
        <w:rPr>
          <w:rFonts w:ascii="Palatino Linotype" w:hAnsi="Palatino Linotype" w:cs="Arial"/>
        </w:rPr>
        <w:t xml:space="preserve">ctuar con negligencia, dolo o mala fe en la clasificación o desclasificación de la información </w:t>
      </w:r>
      <w:r>
        <w:rPr>
          <w:rFonts w:ascii="Palatino Linotype" w:hAnsi="Palatino Linotype" w:cs="Arial"/>
        </w:rPr>
        <w:t>es</w:t>
      </w:r>
      <w:r w:rsidRPr="000060E4">
        <w:rPr>
          <w:rFonts w:ascii="Palatino Linotype" w:hAnsi="Palatino Linotype" w:cs="Arial"/>
        </w:rPr>
        <w:t xml:space="preserve"> causa</w:t>
      </w:r>
      <w:r>
        <w:rPr>
          <w:rFonts w:ascii="Palatino Linotype" w:hAnsi="Palatino Linotype" w:cs="Arial"/>
        </w:rPr>
        <w:t>l</w:t>
      </w:r>
      <w:r w:rsidRPr="000060E4">
        <w:rPr>
          <w:rFonts w:ascii="Palatino Linotype" w:hAnsi="Palatino Linotype" w:cs="Arial"/>
        </w:rPr>
        <w:t xml:space="preserve"> de responsabilidad administrativa de los servidores públicos de los </w:t>
      </w:r>
      <w:r w:rsidR="00E515B2" w:rsidRPr="000060E4">
        <w:rPr>
          <w:rFonts w:ascii="Palatino Linotype" w:hAnsi="Palatino Linotype" w:cs="Arial"/>
        </w:rPr>
        <w:t>Sujetos Obligados</w:t>
      </w:r>
      <w:r w:rsidRPr="000060E4">
        <w:rPr>
          <w:rFonts w:ascii="Palatino Linotype" w:hAnsi="Palatino Linotype" w:cs="Arial"/>
        </w:rPr>
        <w:t>, por</w:t>
      </w:r>
      <w:r>
        <w:rPr>
          <w:rFonts w:ascii="Palatino Linotype" w:hAnsi="Palatino Linotype" w:cs="Arial"/>
        </w:rPr>
        <w:t xml:space="preserve"> </w:t>
      </w:r>
      <w:r w:rsidRPr="000060E4">
        <w:rPr>
          <w:rFonts w:ascii="Palatino Linotype" w:hAnsi="Palatino Linotype" w:cs="Arial"/>
        </w:rPr>
        <w:t>incumplimiento de las obligaciones establecidas en la Ley</w:t>
      </w:r>
      <w:r>
        <w:rPr>
          <w:rFonts w:ascii="Palatino Linotype" w:hAnsi="Palatino Linotype" w:cs="Arial"/>
        </w:rPr>
        <w:t xml:space="preserve"> de la materia; lo cierto es que</w:t>
      </w:r>
      <w:r w:rsidR="00E515B2">
        <w:rPr>
          <w:rFonts w:ascii="Palatino Linotype" w:hAnsi="Palatino Linotype" w:cs="Arial"/>
        </w:rPr>
        <w:t>,</w:t>
      </w:r>
      <w:r>
        <w:rPr>
          <w:rFonts w:ascii="Palatino Linotype" w:hAnsi="Palatino Linotype" w:cs="Arial"/>
        </w:rPr>
        <w:t xml:space="preserve"> para tal efecto el a</w:t>
      </w:r>
      <w:r w:rsidRPr="000060E4">
        <w:rPr>
          <w:rFonts w:ascii="Palatino Linotype" w:hAnsi="Palatino Linotype" w:cs="Arial"/>
        </w:rPr>
        <w:t xml:space="preserve">rtículo </w:t>
      </w:r>
      <w:r w:rsidR="00E515B2">
        <w:rPr>
          <w:rFonts w:ascii="Palatino Linotype" w:hAnsi="Palatino Linotype" w:cs="Arial"/>
        </w:rPr>
        <w:t>190</w:t>
      </w:r>
      <w:r>
        <w:rPr>
          <w:rFonts w:ascii="Palatino Linotype" w:hAnsi="Palatino Linotype" w:cs="Arial"/>
        </w:rPr>
        <w:t xml:space="preserve"> señala que e</w:t>
      </w:r>
      <w:r w:rsidRPr="000060E4">
        <w:rPr>
          <w:rFonts w:ascii="Palatino Linotype" w:hAnsi="Palatino Linotype" w:cs="Arial"/>
        </w:rPr>
        <w:t xml:space="preserve">l Instituto </w:t>
      </w:r>
      <w:r w:rsidR="00E515B2" w:rsidRPr="00E515B2">
        <w:rPr>
          <w:rFonts w:ascii="Palatino Linotype" w:hAnsi="Palatino Linotype" w:cs="Arial"/>
        </w:rPr>
        <w:t xml:space="preserve">durante la sustanciación del recurso de revisión </w:t>
      </w:r>
      <w:r w:rsidR="00E515B2">
        <w:rPr>
          <w:rFonts w:ascii="Palatino Linotype" w:hAnsi="Palatino Linotype" w:cs="Arial"/>
        </w:rPr>
        <w:t>estima que</w:t>
      </w:r>
      <w:r w:rsidR="00E515B2" w:rsidRPr="00E515B2">
        <w:rPr>
          <w:rFonts w:ascii="Palatino Linotype" w:hAnsi="Palatino Linotype" w:cs="Arial"/>
        </w:rPr>
        <w:t xml:space="preserve"> pudo haberse incurrido en</w:t>
      </w:r>
      <w:r w:rsidR="00E515B2">
        <w:rPr>
          <w:rFonts w:ascii="Palatino Linotype" w:hAnsi="Palatino Linotype" w:cs="Arial"/>
        </w:rPr>
        <w:t xml:space="preserve"> </w:t>
      </w:r>
      <w:r w:rsidR="00E515B2" w:rsidRPr="00E515B2">
        <w:rPr>
          <w:rFonts w:ascii="Palatino Linotype" w:hAnsi="Palatino Linotype" w:cs="Arial"/>
        </w:rPr>
        <w:t xml:space="preserve">una probable responsabilidad por el incumplimiento a las obligaciones previstas en </w:t>
      </w:r>
      <w:r w:rsidR="00E515B2">
        <w:rPr>
          <w:rFonts w:ascii="Palatino Linotype" w:hAnsi="Palatino Linotype" w:cs="Arial"/>
        </w:rPr>
        <w:t>la</w:t>
      </w:r>
      <w:r w:rsidR="00E515B2" w:rsidRPr="00E515B2">
        <w:rPr>
          <w:rFonts w:ascii="Palatino Linotype" w:hAnsi="Palatino Linotype" w:cs="Arial"/>
        </w:rPr>
        <w:t xml:space="preserve"> Ley</w:t>
      </w:r>
      <w:r w:rsidR="00E515B2">
        <w:rPr>
          <w:rFonts w:ascii="Palatino Linotype" w:hAnsi="Palatino Linotype" w:cs="Arial"/>
        </w:rPr>
        <w:t xml:space="preserve"> de la materia</w:t>
      </w:r>
      <w:r w:rsidR="00E515B2" w:rsidRPr="00E515B2">
        <w:rPr>
          <w:rFonts w:ascii="Palatino Linotype" w:hAnsi="Palatino Linotype" w:cs="Arial"/>
        </w:rPr>
        <w:t xml:space="preserve"> y las demás disposiciones</w:t>
      </w:r>
      <w:r w:rsidR="00E515B2">
        <w:rPr>
          <w:rFonts w:ascii="Palatino Linotype" w:hAnsi="Palatino Linotype" w:cs="Arial"/>
        </w:rPr>
        <w:t xml:space="preserve"> </w:t>
      </w:r>
      <w:r w:rsidR="00E515B2" w:rsidRPr="00E515B2">
        <w:rPr>
          <w:rFonts w:ascii="Palatino Linotype" w:hAnsi="Palatino Linotype" w:cs="Arial"/>
        </w:rPr>
        <w:t>jurídicas, deberá hacerlo del conocimiento del Órgano de Control Interno de la instancia competente</w:t>
      </w:r>
      <w:r w:rsidR="00E515B2">
        <w:rPr>
          <w:rFonts w:ascii="Palatino Linotype" w:hAnsi="Palatino Linotype" w:cs="Arial"/>
        </w:rPr>
        <w:t xml:space="preserve"> </w:t>
      </w:r>
      <w:r w:rsidR="00E515B2" w:rsidRPr="00E515B2">
        <w:rPr>
          <w:rFonts w:ascii="Palatino Linotype" w:hAnsi="Palatino Linotype" w:cs="Arial"/>
        </w:rPr>
        <w:t xml:space="preserve">para que éste </w:t>
      </w:r>
      <w:r w:rsidR="00E515B2">
        <w:rPr>
          <w:rFonts w:ascii="Palatino Linotype" w:hAnsi="Palatino Linotype" w:cs="Arial"/>
        </w:rPr>
        <w:t>determine realice lo conducente</w:t>
      </w:r>
      <w:r w:rsidRPr="000060E4">
        <w:rPr>
          <w:rFonts w:ascii="Palatino Linotype" w:hAnsi="Palatino Linotype" w:cs="Arial"/>
        </w:rPr>
        <w:t>.</w:t>
      </w:r>
    </w:p>
    <w:p w:rsidR="00E515B2" w:rsidRDefault="00E515B2" w:rsidP="00007388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</w:rPr>
      </w:pPr>
    </w:p>
    <w:p w:rsidR="00B63948" w:rsidRDefault="0046500C" w:rsidP="00007388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P</w:t>
      </w:r>
      <w:r w:rsidR="00B63948">
        <w:rPr>
          <w:rFonts w:ascii="Palatino Linotype" w:hAnsi="Palatino Linotype" w:cs="Arial"/>
        </w:rPr>
        <w:t xml:space="preserve">or lo cual, la suscrita emite </w:t>
      </w:r>
      <w:r w:rsidR="00B63948" w:rsidRPr="006073E1">
        <w:rPr>
          <w:rFonts w:ascii="Palatino Linotype" w:hAnsi="Palatino Linotype" w:cs="Arial"/>
          <w:b/>
        </w:rPr>
        <w:t>VOTO PARTICULAR</w:t>
      </w:r>
      <w:r w:rsidR="002A5DD9">
        <w:rPr>
          <w:rFonts w:ascii="Palatino Linotype" w:hAnsi="Palatino Linotype" w:cs="Arial"/>
          <w:b/>
        </w:rPr>
        <w:t xml:space="preserve"> </w:t>
      </w:r>
      <w:r w:rsidR="00B63948" w:rsidRPr="00F74B57">
        <w:rPr>
          <w:rFonts w:ascii="Palatino Linotype" w:hAnsi="Palatino Linotype" w:cs="Arial"/>
        </w:rPr>
        <w:t xml:space="preserve">con </w:t>
      </w:r>
      <w:r w:rsidR="00B63948">
        <w:rPr>
          <w:rFonts w:ascii="Palatino Linotype" w:hAnsi="Palatino Linotype" w:cs="Arial"/>
        </w:rPr>
        <w:t>independencia de que se comparta el fallo, tanto en lo general como en su sentido</w:t>
      </w:r>
      <w:r w:rsidR="00E515B2">
        <w:rPr>
          <w:rFonts w:ascii="Palatino Linotype" w:hAnsi="Palatino Linotype" w:cs="Arial"/>
        </w:rPr>
        <w:t xml:space="preserve">, ya que </w:t>
      </w:r>
      <w:r w:rsidR="00B63948">
        <w:rPr>
          <w:rFonts w:ascii="Palatino Linotype" w:hAnsi="Palatino Linotype" w:cs="Arial"/>
        </w:rPr>
        <w:t xml:space="preserve">se insiste que, no se considera procedente </w:t>
      </w:r>
      <w:r>
        <w:rPr>
          <w:rFonts w:ascii="Palatino Linotype" w:hAnsi="Palatino Linotype" w:cs="Arial"/>
        </w:rPr>
        <w:t xml:space="preserve">eximir al </w:t>
      </w:r>
      <w:r w:rsidRPr="0046500C">
        <w:rPr>
          <w:rFonts w:ascii="Palatino Linotype" w:hAnsi="Palatino Linotype" w:cs="Arial"/>
          <w:b/>
        </w:rPr>
        <w:t>RECURRENTE</w:t>
      </w:r>
      <w:r>
        <w:rPr>
          <w:rFonts w:ascii="Palatino Linotype" w:hAnsi="Palatino Linotype" w:cs="Arial"/>
        </w:rPr>
        <w:t xml:space="preserve"> del pago de derechos por la expedición de </w:t>
      </w:r>
      <w:r w:rsidR="00934AF7">
        <w:rPr>
          <w:rFonts w:ascii="Palatino Linotype" w:hAnsi="Palatino Linotype" w:cs="Arial"/>
        </w:rPr>
        <w:t>copias certificadas</w:t>
      </w:r>
      <w:r>
        <w:rPr>
          <w:rFonts w:ascii="Palatino Linotype" w:hAnsi="Palatino Linotype" w:cs="Arial"/>
        </w:rPr>
        <w:t xml:space="preserve">, modalidad de entrega elegida por éste, en razón de </w:t>
      </w:r>
      <w:r w:rsidR="00E515B2">
        <w:rPr>
          <w:rFonts w:ascii="Palatino Linotype" w:hAnsi="Palatino Linotype" w:cs="Arial"/>
        </w:rPr>
        <w:t>valorar como</w:t>
      </w:r>
      <w:r>
        <w:rPr>
          <w:rFonts w:ascii="Palatino Linotype" w:hAnsi="Palatino Linotype" w:cs="Arial"/>
        </w:rPr>
        <w:t xml:space="preserve"> negligen</w:t>
      </w:r>
      <w:r w:rsidR="00E515B2">
        <w:rPr>
          <w:rFonts w:ascii="Palatino Linotype" w:hAnsi="Palatino Linotype" w:cs="Arial"/>
        </w:rPr>
        <w:t>te el actuar</w:t>
      </w:r>
      <w:r>
        <w:rPr>
          <w:rFonts w:ascii="Palatino Linotype" w:hAnsi="Palatino Linotype" w:cs="Arial"/>
        </w:rPr>
        <w:t xml:space="preserve"> del</w:t>
      </w:r>
      <w:r w:rsidR="00B63948">
        <w:rPr>
          <w:rFonts w:ascii="Palatino Linotype" w:hAnsi="Palatino Linotype" w:cs="Arial"/>
        </w:rPr>
        <w:t xml:space="preserve"> </w:t>
      </w:r>
      <w:r w:rsidR="00B63948" w:rsidRPr="00A002B7">
        <w:rPr>
          <w:rFonts w:ascii="Palatino Linotype" w:hAnsi="Palatino Linotype" w:cs="Arial"/>
          <w:b/>
        </w:rPr>
        <w:t>SUJETO OBLIGADO</w:t>
      </w:r>
      <w:r w:rsidR="00B63948">
        <w:rPr>
          <w:rFonts w:ascii="Palatino Linotype" w:hAnsi="Palatino Linotype" w:cs="Arial"/>
        </w:rPr>
        <w:t xml:space="preserve"> vía recurso de revisión, toda vez que los medios de impugnación no son la instancia para </w:t>
      </w:r>
      <w:r w:rsidR="00E515B2">
        <w:rPr>
          <w:rFonts w:ascii="Palatino Linotype" w:hAnsi="Palatino Linotype" w:cs="Arial"/>
        </w:rPr>
        <w:t xml:space="preserve">determinar las responsabilidades de </w:t>
      </w:r>
      <w:r w:rsidR="00E515B2">
        <w:rPr>
          <w:rFonts w:ascii="Palatino Linotype" w:hAnsi="Palatino Linotype" w:cs="Arial"/>
        </w:rPr>
        <w:lastRenderedPageBreak/>
        <w:t>los Sujeto Obligados,</w:t>
      </w:r>
      <w:r w:rsidR="00B63948">
        <w:rPr>
          <w:rFonts w:ascii="Palatino Linotype" w:hAnsi="Palatino Linotype" w:cs="Arial"/>
        </w:rPr>
        <w:t xml:space="preserve"> pues al emitir la resolución se debe actuar con apego a los principios de exhaustividad y congruencia.</w:t>
      </w:r>
    </w:p>
    <w:p w:rsidR="002A5DD9" w:rsidRDefault="002A5DD9" w:rsidP="00007388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</w:rPr>
      </w:pPr>
    </w:p>
    <w:p w:rsidR="0066737E" w:rsidRDefault="0066737E" w:rsidP="00007388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</w:rPr>
      </w:pPr>
    </w:p>
    <w:p w:rsidR="00007388" w:rsidRDefault="00007388" w:rsidP="00007388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</w:rPr>
      </w:pPr>
    </w:p>
    <w:p w:rsidR="00007388" w:rsidRDefault="00007388" w:rsidP="00007388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</w:rPr>
      </w:pPr>
    </w:p>
    <w:p w:rsidR="00007388" w:rsidRDefault="00007388" w:rsidP="00007388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</w:rPr>
      </w:pPr>
    </w:p>
    <w:tbl>
      <w:tblPr>
        <w:tblW w:w="4342" w:type="dxa"/>
        <w:jc w:val="center"/>
        <w:tblLayout w:type="fixed"/>
        <w:tblLook w:val="04A0" w:firstRow="1" w:lastRow="0" w:firstColumn="1" w:lastColumn="0" w:noHBand="0" w:noVBand="1"/>
      </w:tblPr>
      <w:tblGrid>
        <w:gridCol w:w="4342"/>
      </w:tblGrid>
      <w:tr w:rsidR="0066737E" w:rsidRPr="00BE15AA" w:rsidTr="0041631A">
        <w:trPr>
          <w:trHeight w:val="1086"/>
          <w:jc w:val="center"/>
        </w:trPr>
        <w:tc>
          <w:tcPr>
            <w:tcW w:w="4342" w:type="dxa"/>
          </w:tcPr>
          <w:p w:rsidR="002A2A3A" w:rsidRDefault="002A2A3A" w:rsidP="00007388">
            <w:pPr>
              <w:spacing w:before="100" w:beforeAutospacing="1" w:after="100" w:afterAutospacing="1"/>
              <w:contextualSpacing/>
              <w:jc w:val="center"/>
              <w:rPr>
                <w:rFonts w:ascii="Palatino Linotype" w:hAnsi="Palatino Linotype"/>
                <w:b/>
              </w:rPr>
            </w:pPr>
          </w:p>
          <w:p w:rsidR="002A2A3A" w:rsidRDefault="002A2A3A" w:rsidP="00007388">
            <w:pPr>
              <w:spacing w:before="100" w:beforeAutospacing="1" w:after="100" w:afterAutospacing="1"/>
              <w:contextualSpacing/>
              <w:jc w:val="center"/>
              <w:rPr>
                <w:rFonts w:ascii="Palatino Linotype" w:hAnsi="Palatino Linotype"/>
                <w:b/>
              </w:rPr>
            </w:pPr>
          </w:p>
          <w:p w:rsidR="002A2A3A" w:rsidRDefault="002A2A3A" w:rsidP="00007388">
            <w:pPr>
              <w:spacing w:before="100" w:beforeAutospacing="1" w:after="100" w:afterAutospacing="1"/>
              <w:contextualSpacing/>
              <w:jc w:val="center"/>
              <w:rPr>
                <w:rFonts w:ascii="Palatino Linotype" w:hAnsi="Palatino Linotype"/>
                <w:b/>
              </w:rPr>
            </w:pPr>
          </w:p>
          <w:p w:rsidR="002A2A3A" w:rsidRDefault="002A2A3A" w:rsidP="00007388">
            <w:pPr>
              <w:spacing w:before="100" w:beforeAutospacing="1" w:after="100" w:afterAutospacing="1"/>
              <w:contextualSpacing/>
              <w:jc w:val="center"/>
              <w:rPr>
                <w:rFonts w:ascii="Palatino Linotype" w:hAnsi="Palatino Linotype"/>
                <w:b/>
              </w:rPr>
            </w:pPr>
          </w:p>
          <w:p w:rsidR="0066737E" w:rsidRPr="00BE15AA" w:rsidRDefault="0066737E" w:rsidP="00007388">
            <w:pPr>
              <w:spacing w:before="100" w:beforeAutospacing="1" w:after="100" w:afterAutospacing="1"/>
              <w:contextualSpacing/>
              <w:jc w:val="center"/>
              <w:rPr>
                <w:rFonts w:ascii="Palatino Linotype" w:hAnsi="Palatino Linotype"/>
                <w:b/>
              </w:rPr>
            </w:pPr>
            <w:r w:rsidRPr="00BE15AA">
              <w:rPr>
                <w:rFonts w:ascii="Palatino Linotype" w:hAnsi="Palatino Linotype"/>
                <w:b/>
              </w:rPr>
              <w:t xml:space="preserve">EVA ABAID YAPUR </w:t>
            </w:r>
          </w:p>
          <w:p w:rsidR="00007388" w:rsidRDefault="0066737E" w:rsidP="002A2A3A">
            <w:pPr>
              <w:spacing w:before="100" w:beforeAutospacing="1" w:after="100" w:afterAutospacing="1"/>
              <w:contextualSpacing/>
              <w:jc w:val="center"/>
              <w:rPr>
                <w:rFonts w:ascii="Palatino Linotype" w:hAnsi="Palatino Linotype"/>
                <w:b/>
              </w:rPr>
            </w:pPr>
            <w:r w:rsidRPr="00BE15AA">
              <w:rPr>
                <w:rFonts w:ascii="Palatino Linotype" w:hAnsi="Palatino Linotype"/>
                <w:b/>
              </w:rPr>
              <w:t>COMISIONADA</w:t>
            </w:r>
          </w:p>
          <w:p w:rsidR="00270A58" w:rsidRPr="00BE15AA" w:rsidRDefault="00270A58" w:rsidP="002A2A3A">
            <w:pPr>
              <w:spacing w:before="100" w:beforeAutospacing="1" w:after="100" w:afterAutospacing="1"/>
              <w:contextualSpacing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(RÚBRICA)</w:t>
            </w:r>
            <w:bookmarkStart w:id="0" w:name="_GoBack"/>
            <w:bookmarkEnd w:id="0"/>
          </w:p>
        </w:tc>
      </w:tr>
    </w:tbl>
    <w:p w:rsidR="002A2A3A" w:rsidRDefault="002A2A3A" w:rsidP="00007388">
      <w:pPr>
        <w:spacing w:before="100" w:beforeAutospacing="1" w:after="100" w:afterAutospacing="1"/>
        <w:contextualSpacing/>
        <w:jc w:val="both"/>
        <w:rPr>
          <w:rFonts w:ascii="Palatino Linotype" w:eastAsia="Calibri" w:hAnsi="Palatino Linotype" w:cs="Arial"/>
          <w:color w:val="000000" w:themeColor="text1"/>
          <w:sz w:val="22"/>
        </w:rPr>
      </w:pPr>
    </w:p>
    <w:p w:rsidR="002A2A3A" w:rsidRDefault="002A2A3A" w:rsidP="00007388">
      <w:pPr>
        <w:spacing w:before="100" w:beforeAutospacing="1" w:after="100" w:afterAutospacing="1"/>
        <w:contextualSpacing/>
        <w:jc w:val="both"/>
        <w:rPr>
          <w:rFonts w:ascii="Palatino Linotype" w:eastAsia="Calibri" w:hAnsi="Palatino Linotype" w:cs="Arial"/>
          <w:color w:val="000000" w:themeColor="text1"/>
          <w:sz w:val="22"/>
        </w:rPr>
      </w:pPr>
    </w:p>
    <w:p w:rsidR="002A2A3A" w:rsidRDefault="002A2A3A" w:rsidP="00007388">
      <w:pPr>
        <w:spacing w:before="100" w:beforeAutospacing="1" w:after="100" w:afterAutospacing="1"/>
        <w:contextualSpacing/>
        <w:jc w:val="both"/>
        <w:rPr>
          <w:rFonts w:ascii="Palatino Linotype" w:eastAsia="Calibri" w:hAnsi="Palatino Linotype" w:cs="Arial"/>
          <w:color w:val="000000" w:themeColor="text1"/>
          <w:sz w:val="22"/>
        </w:rPr>
      </w:pPr>
    </w:p>
    <w:p w:rsidR="002A2A3A" w:rsidRDefault="002A2A3A" w:rsidP="00007388">
      <w:pPr>
        <w:spacing w:before="100" w:beforeAutospacing="1" w:after="100" w:afterAutospacing="1"/>
        <w:contextualSpacing/>
        <w:jc w:val="both"/>
        <w:rPr>
          <w:rFonts w:ascii="Palatino Linotype" w:eastAsia="Calibri" w:hAnsi="Palatino Linotype" w:cs="Arial"/>
          <w:color w:val="000000" w:themeColor="text1"/>
          <w:sz w:val="22"/>
        </w:rPr>
      </w:pPr>
    </w:p>
    <w:p w:rsidR="002A2A3A" w:rsidRDefault="002A2A3A" w:rsidP="00007388">
      <w:pPr>
        <w:spacing w:before="100" w:beforeAutospacing="1" w:after="100" w:afterAutospacing="1"/>
        <w:contextualSpacing/>
        <w:jc w:val="both"/>
        <w:rPr>
          <w:rFonts w:ascii="Palatino Linotype" w:eastAsia="Calibri" w:hAnsi="Palatino Linotype" w:cs="Arial"/>
          <w:color w:val="000000" w:themeColor="text1"/>
          <w:sz w:val="22"/>
        </w:rPr>
      </w:pPr>
    </w:p>
    <w:p w:rsidR="002A2A3A" w:rsidRDefault="002A2A3A" w:rsidP="00007388">
      <w:pPr>
        <w:spacing w:before="100" w:beforeAutospacing="1" w:after="100" w:afterAutospacing="1"/>
        <w:contextualSpacing/>
        <w:jc w:val="both"/>
        <w:rPr>
          <w:rFonts w:ascii="Palatino Linotype" w:eastAsia="Calibri" w:hAnsi="Palatino Linotype" w:cs="Arial"/>
          <w:color w:val="000000" w:themeColor="text1"/>
          <w:sz w:val="22"/>
        </w:rPr>
      </w:pPr>
    </w:p>
    <w:p w:rsidR="002A2A3A" w:rsidRDefault="002A2A3A" w:rsidP="00007388">
      <w:pPr>
        <w:spacing w:before="100" w:beforeAutospacing="1" w:after="100" w:afterAutospacing="1"/>
        <w:contextualSpacing/>
        <w:jc w:val="both"/>
        <w:rPr>
          <w:rFonts w:ascii="Palatino Linotype" w:eastAsia="Calibri" w:hAnsi="Palatino Linotype" w:cs="Arial"/>
          <w:color w:val="000000" w:themeColor="text1"/>
          <w:sz w:val="22"/>
        </w:rPr>
      </w:pPr>
    </w:p>
    <w:p w:rsidR="002A2A3A" w:rsidRDefault="002A2A3A" w:rsidP="00007388">
      <w:pPr>
        <w:spacing w:before="100" w:beforeAutospacing="1" w:after="100" w:afterAutospacing="1"/>
        <w:contextualSpacing/>
        <w:jc w:val="both"/>
        <w:rPr>
          <w:rFonts w:ascii="Palatino Linotype" w:eastAsia="Calibri" w:hAnsi="Palatino Linotype" w:cs="Arial"/>
          <w:color w:val="000000" w:themeColor="text1"/>
          <w:sz w:val="22"/>
        </w:rPr>
      </w:pPr>
    </w:p>
    <w:p w:rsidR="002A2A3A" w:rsidRDefault="002A2A3A" w:rsidP="00007388">
      <w:pPr>
        <w:spacing w:before="100" w:beforeAutospacing="1" w:after="100" w:afterAutospacing="1"/>
        <w:contextualSpacing/>
        <w:jc w:val="both"/>
        <w:rPr>
          <w:rFonts w:ascii="Palatino Linotype" w:eastAsia="Calibri" w:hAnsi="Palatino Linotype" w:cs="Arial"/>
          <w:color w:val="000000" w:themeColor="text1"/>
          <w:sz w:val="22"/>
        </w:rPr>
      </w:pPr>
    </w:p>
    <w:p w:rsidR="002A2A3A" w:rsidRDefault="002A2A3A" w:rsidP="00007388">
      <w:pPr>
        <w:spacing w:before="100" w:beforeAutospacing="1" w:after="100" w:afterAutospacing="1"/>
        <w:contextualSpacing/>
        <w:jc w:val="both"/>
        <w:rPr>
          <w:rFonts w:ascii="Palatino Linotype" w:eastAsia="Calibri" w:hAnsi="Palatino Linotype" w:cs="Arial"/>
          <w:color w:val="000000" w:themeColor="text1"/>
          <w:sz w:val="22"/>
        </w:rPr>
      </w:pPr>
    </w:p>
    <w:p w:rsidR="002A2A3A" w:rsidRDefault="002A2A3A" w:rsidP="00007388">
      <w:pPr>
        <w:spacing w:before="100" w:beforeAutospacing="1" w:after="100" w:afterAutospacing="1"/>
        <w:contextualSpacing/>
        <w:jc w:val="both"/>
        <w:rPr>
          <w:rFonts w:ascii="Palatino Linotype" w:eastAsia="Calibri" w:hAnsi="Palatino Linotype" w:cs="Arial"/>
          <w:color w:val="000000" w:themeColor="text1"/>
          <w:sz w:val="22"/>
        </w:rPr>
      </w:pPr>
    </w:p>
    <w:p w:rsidR="002A2A3A" w:rsidRDefault="002A2A3A" w:rsidP="00007388">
      <w:pPr>
        <w:spacing w:before="100" w:beforeAutospacing="1" w:after="100" w:afterAutospacing="1"/>
        <w:contextualSpacing/>
        <w:jc w:val="both"/>
        <w:rPr>
          <w:rFonts w:ascii="Palatino Linotype" w:eastAsia="Calibri" w:hAnsi="Palatino Linotype" w:cs="Arial"/>
          <w:color w:val="000000" w:themeColor="text1"/>
          <w:sz w:val="22"/>
        </w:rPr>
      </w:pPr>
    </w:p>
    <w:p w:rsidR="002A2A3A" w:rsidRDefault="002A2A3A" w:rsidP="00007388">
      <w:pPr>
        <w:spacing w:before="100" w:beforeAutospacing="1" w:after="100" w:afterAutospacing="1"/>
        <w:contextualSpacing/>
        <w:jc w:val="both"/>
        <w:rPr>
          <w:rFonts w:ascii="Palatino Linotype" w:eastAsia="Calibri" w:hAnsi="Palatino Linotype" w:cs="Arial"/>
          <w:color w:val="000000" w:themeColor="text1"/>
          <w:sz w:val="22"/>
        </w:rPr>
      </w:pPr>
    </w:p>
    <w:p w:rsidR="002A2A3A" w:rsidRDefault="002A2A3A" w:rsidP="00007388">
      <w:pPr>
        <w:spacing w:before="100" w:beforeAutospacing="1" w:after="100" w:afterAutospacing="1"/>
        <w:contextualSpacing/>
        <w:jc w:val="both"/>
        <w:rPr>
          <w:rFonts w:ascii="Palatino Linotype" w:eastAsia="Calibri" w:hAnsi="Palatino Linotype" w:cs="Arial"/>
          <w:color w:val="000000" w:themeColor="text1"/>
          <w:sz w:val="22"/>
        </w:rPr>
      </w:pPr>
    </w:p>
    <w:p w:rsidR="0066737E" w:rsidRDefault="0066737E" w:rsidP="00007388">
      <w:pPr>
        <w:spacing w:before="100" w:beforeAutospacing="1" w:after="100" w:afterAutospacing="1"/>
        <w:contextualSpacing/>
        <w:jc w:val="both"/>
        <w:rPr>
          <w:rFonts w:ascii="Palatino Linotype" w:eastAsia="Calibri" w:hAnsi="Palatino Linotype" w:cs="Arial"/>
          <w:color w:val="000000" w:themeColor="text1"/>
          <w:sz w:val="22"/>
        </w:rPr>
      </w:pPr>
      <w:r w:rsidRPr="00D96D89">
        <w:rPr>
          <w:rFonts w:ascii="Palatino Linotype" w:eastAsia="Calibri" w:hAnsi="Palatino Linotype" w:cs="Arial"/>
          <w:color w:val="000000" w:themeColor="text1"/>
          <w:sz w:val="22"/>
        </w:rPr>
        <w:t>Esta hoja corresponde al voto particular emitido en la resolución del recurso de revisión 0</w:t>
      </w:r>
      <w:r>
        <w:rPr>
          <w:rFonts w:ascii="Palatino Linotype" w:eastAsia="Calibri" w:hAnsi="Palatino Linotype" w:cs="Arial"/>
          <w:color w:val="000000" w:themeColor="text1"/>
          <w:sz w:val="22"/>
        </w:rPr>
        <w:t>6945</w:t>
      </w:r>
      <w:r w:rsidRPr="00D96D89">
        <w:rPr>
          <w:rFonts w:ascii="Palatino Linotype" w:eastAsia="Calibri" w:hAnsi="Palatino Linotype" w:cs="Arial"/>
          <w:color w:val="000000" w:themeColor="text1"/>
          <w:sz w:val="22"/>
        </w:rPr>
        <w:t>/INFOEM/IP/RR/201</w:t>
      </w:r>
      <w:r>
        <w:rPr>
          <w:rFonts w:ascii="Palatino Linotype" w:eastAsia="Calibri" w:hAnsi="Palatino Linotype" w:cs="Arial"/>
          <w:color w:val="000000" w:themeColor="text1"/>
          <w:sz w:val="22"/>
        </w:rPr>
        <w:t>9</w:t>
      </w:r>
      <w:r w:rsidRPr="00D96D89">
        <w:rPr>
          <w:rFonts w:ascii="Palatino Linotype" w:eastAsia="Calibri" w:hAnsi="Palatino Linotype" w:cs="Arial"/>
          <w:color w:val="000000" w:themeColor="text1"/>
          <w:sz w:val="22"/>
        </w:rPr>
        <w:t xml:space="preserve">, aprobada el </w:t>
      </w:r>
      <w:r>
        <w:rPr>
          <w:rFonts w:ascii="Palatino Linotype" w:eastAsia="Calibri" w:hAnsi="Palatino Linotype" w:cs="Arial"/>
          <w:color w:val="000000" w:themeColor="text1"/>
          <w:sz w:val="22"/>
        </w:rPr>
        <w:t>treinta de octubre de dos mil diecinueve</w:t>
      </w:r>
      <w:r w:rsidRPr="00D96D89">
        <w:rPr>
          <w:rFonts w:ascii="Palatino Linotype" w:eastAsia="Calibri" w:hAnsi="Palatino Linotype" w:cs="Arial"/>
          <w:color w:val="000000" w:themeColor="text1"/>
          <w:sz w:val="22"/>
        </w:rPr>
        <w:t xml:space="preserve">. </w:t>
      </w:r>
    </w:p>
    <w:p w:rsidR="002A2A3A" w:rsidRPr="002A2A3A" w:rsidRDefault="002A2A3A" w:rsidP="00007388">
      <w:pPr>
        <w:spacing w:before="100" w:beforeAutospacing="1" w:after="100" w:afterAutospacing="1"/>
        <w:contextualSpacing/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</w:p>
    <w:p w:rsidR="001C3CB5" w:rsidRPr="00B57C14" w:rsidRDefault="0066737E" w:rsidP="002A2A3A">
      <w:pPr>
        <w:spacing w:before="100" w:beforeAutospacing="1" w:after="100" w:afterAutospacing="1"/>
        <w:contextualSpacing/>
        <w:jc w:val="both"/>
        <w:rPr>
          <w:rFonts w:ascii="Palatino Linotype" w:hAnsi="Palatino Linotype" w:cs="Arial"/>
          <w:sz w:val="20"/>
        </w:rPr>
      </w:pPr>
      <w:r w:rsidRPr="00D96D89">
        <w:rPr>
          <w:rFonts w:ascii="Palatino Linotype" w:eastAsia="Calibri" w:hAnsi="Palatino Linotype" w:cs="Arial"/>
          <w:color w:val="000000" w:themeColor="text1"/>
          <w:sz w:val="22"/>
        </w:rPr>
        <w:t>YSM/</w:t>
      </w:r>
      <w:r>
        <w:rPr>
          <w:rFonts w:ascii="Palatino Linotype" w:eastAsia="Calibri" w:hAnsi="Palatino Linotype" w:cs="Arial"/>
          <w:color w:val="000000" w:themeColor="text1"/>
          <w:sz w:val="22"/>
        </w:rPr>
        <w:t>ATU/LGMJ</w:t>
      </w:r>
    </w:p>
    <w:sectPr w:rsidR="001C3CB5" w:rsidRPr="00B57C14" w:rsidSect="005F4959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325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A55" w:rsidRDefault="00045A55" w:rsidP="00202921">
      <w:r>
        <w:separator/>
      </w:r>
    </w:p>
  </w:endnote>
  <w:endnote w:type="continuationSeparator" w:id="0">
    <w:p w:rsidR="00045A55" w:rsidRDefault="00045A55" w:rsidP="00202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045A55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6468C8" w:rsidRDefault="006468C8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045A55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045A55" w:rsidP="00DC5C4E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5C7C8F" w:rsidRPr="00F12350" w:rsidRDefault="00615728" w:rsidP="00DC5C4E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270A58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270A58">
      <w:rPr>
        <w:rFonts w:ascii="Palatino Linotype" w:hAnsi="Palatino Linotype" w:cs="Arial"/>
        <w:b/>
        <w:bCs/>
        <w:noProof/>
        <w:sz w:val="20"/>
        <w:szCs w:val="20"/>
      </w:rPr>
      <w:t>6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5C7C8F" w:rsidRDefault="00045A55" w:rsidP="00DC5C4E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A55" w:rsidRDefault="00045A55" w:rsidP="00202921">
      <w:r>
        <w:separator/>
      </w:r>
    </w:p>
  </w:footnote>
  <w:footnote w:type="continuationSeparator" w:id="0">
    <w:p w:rsidR="00045A55" w:rsidRDefault="00045A55" w:rsidP="00202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045A55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49" type="#_x0000_t136" style="position:absolute;margin-left:0;margin-top:0;width:611.25pt;height:91.65pt;rotation:315;z-index:-251656192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388" w:rsidRDefault="00007388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  <w:noProof/>
        <w:lang w:val="es-MX" w:eastAsia="es-MX"/>
      </w:rPr>
    </w:pPr>
  </w:p>
  <w:p w:rsidR="005C7C8F" w:rsidRDefault="00615728" w:rsidP="00DC5C4E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5FEEF36E" wp14:editId="6CFDAEA1">
          <wp:simplePos x="0" y="0"/>
          <wp:positionH relativeFrom="column">
            <wp:posOffset>-744220</wp:posOffset>
          </wp:positionH>
          <wp:positionV relativeFrom="paragraph">
            <wp:posOffset>-423512</wp:posOffset>
          </wp:positionV>
          <wp:extent cx="7604125" cy="9903460"/>
          <wp:effectExtent l="0" t="0" r="0" b="254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  <w:p w:rsidR="005C7C8F" w:rsidRPr="00B57C14" w:rsidRDefault="00045A55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  <w:sz w:val="20"/>
      </w:rPr>
    </w:pPr>
  </w:p>
  <w:p w:rsidR="00400547" w:rsidRDefault="00400547" w:rsidP="006577EC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rPr>
        <w:rFonts w:ascii="Palatino Linotype" w:hAnsi="Palatino Linotype" w:cs="Arial"/>
        <w:sz w:val="20"/>
        <w:szCs w:val="20"/>
      </w:rPr>
      <w:tab/>
    </w:r>
    <w:r>
      <w:rPr>
        <w:rFonts w:ascii="Palatino Linotype" w:hAnsi="Palatino Linotype" w:cs="Arial"/>
        <w:sz w:val="20"/>
        <w:szCs w:val="20"/>
      </w:rPr>
      <w:tab/>
    </w:r>
    <w:r>
      <w:rPr>
        <w:rFonts w:ascii="Palatino Linotype" w:hAnsi="Palatino Linotype" w:cs="Arial"/>
        <w:sz w:val="20"/>
        <w:szCs w:val="20"/>
      </w:rPr>
      <w:tab/>
    </w:r>
    <w:r>
      <w:rPr>
        <w:rFonts w:ascii="Palatino Linotype" w:hAnsi="Palatino Linotype" w:cs="Arial"/>
        <w:sz w:val="20"/>
        <w:szCs w:val="20"/>
      </w:rPr>
      <w:tab/>
    </w:r>
    <w:r w:rsidR="00B57C14" w:rsidRPr="003764C2">
      <w:rPr>
        <w:rFonts w:ascii="Palatino Linotype" w:hAnsi="Palatino Linotype" w:cs="Arial"/>
        <w:sz w:val="20"/>
        <w:szCs w:val="20"/>
      </w:rPr>
      <w:t>VOTO</w:t>
    </w:r>
    <w:r w:rsidR="00B57C14"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400547" w:rsidRDefault="00B57C14" w:rsidP="00400547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 xml:space="preserve">RECURSO DE REVISIÓN </w:t>
    </w:r>
    <w:r w:rsidR="000C6321">
      <w:rPr>
        <w:rFonts w:ascii="Palatino Linotype" w:hAnsi="Palatino Linotype" w:cs="Arial"/>
        <w:sz w:val="20"/>
        <w:szCs w:val="20"/>
      </w:rPr>
      <w:t>06945</w:t>
    </w:r>
    <w:r w:rsidRPr="00400547">
      <w:rPr>
        <w:rFonts w:ascii="Palatino Linotype" w:hAnsi="Palatino Linotype" w:cs="Arial"/>
        <w:sz w:val="20"/>
        <w:szCs w:val="20"/>
      </w:rPr>
      <w:t>/INFOEM/IP/RR/201</w:t>
    </w:r>
    <w:r>
      <w:rPr>
        <w:rFonts w:ascii="Palatino Linotype" w:hAnsi="Palatino Linotype" w:cs="Arial"/>
        <w:sz w:val="20"/>
        <w:szCs w:val="20"/>
      </w:rPr>
      <w:t>9</w:t>
    </w:r>
  </w:p>
  <w:p w:rsidR="00007388" w:rsidRDefault="00007388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6008A4" w:rsidRDefault="00045A55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0" type="#_x0000_t136" style="position:absolute;left:0;text-align:left;margin-left:-79.4pt;margin-top:259.65pt;width:654.1pt;height:93.55pt;rotation:315;z-index:-251655168;mso-position-horizontal-relative:margin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045A55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51" type="#_x0000_t136" style="position:absolute;margin-left:0;margin-top:0;width:611.25pt;height:91.65pt;rotation:315;z-index:-251654144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05165"/>
    <w:multiLevelType w:val="hybridMultilevel"/>
    <w:tmpl w:val="2DA6BA40"/>
    <w:lvl w:ilvl="0" w:tplc="E7A64C72">
      <w:start w:val="1"/>
      <w:numFmt w:val="upperLetter"/>
      <w:lvlText w:val="%1)"/>
      <w:lvlJc w:val="left"/>
      <w:pPr>
        <w:ind w:left="159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311" w:hanging="360"/>
      </w:pPr>
    </w:lvl>
    <w:lvl w:ilvl="2" w:tplc="080A001B" w:tentative="1">
      <w:start w:val="1"/>
      <w:numFmt w:val="lowerRoman"/>
      <w:lvlText w:val="%3."/>
      <w:lvlJc w:val="right"/>
      <w:pPr>
        <w:ind w:left="3031" w:hanging="180"/>
      </w:pPr>
    </w:lvl>
    <w:lvl w:ilvl="3" w:tplc="080A000F" w:tentative="1">
      <w:start w:val="1"/>
      <w:numFmt w:val="decimal"/>
      <w:lvlText w:val="%4."/>
      <w:lvlJc w:val="left"/>
      <w:pPr>
        <w:ind w:left="3751" w:hanging="360"/>
      </w:pPr>
    </w:lvl>
    <w:lvl w:ilvl="4" w:tplc="080A0019" w:tentative="1">
      <w:start w:val="1"/>
      <w:numFmt w:val="lowerLetter"/>
      <w:lvlText w:val="%5."/>
      <w:lvlJc w:val="left"/>
      <w:pPr>
        <w:ind w:left="4471" w:hanging="360"/>
      </w:pPr>
    </w:lvl>
    <w:lvl w:ilvl="5" w:tplc="080A001B" w:tentative="1">
      <w:start w:val="1"/>
      <w:numFmt w:val="lowerRoman"/>
      <w:lvlText w:val="%6."/>
      <w:lvlJc w:val="right"/>
      <w:pPr>
        <w:ind w:left="5191" w:hanging="180"/>
      </w:pPr>
    </w:lvl>
    <w:lvl w:ilvl="6" w:tplc="080A000F" w:tentative="1">
      <w:start w:val="1"/>
      <w:numFmt w:val="decimal"/>
      <w:lvlText w:val="%7."/>
      <w:lvlJc w:val="left"/>
      <w:pPr>
        <w:ind w:left="5911" w:hanging="360"/>
      </w:pPr>
    </w:lvl>
    <w:lvl w:ilvl="7" w:tplc="080A0019" w:tentative="1">
      <w:start w:val="1"/>
      <w:numFmt w:val="lowerLetter"/>
      <w:lvlText w:val="%8."/>
      <w:lvlJc w:val="left"/>
      <w:pPr>
        <w:ind w:left="6631" w:hanging="360"/>
      </w:pPr>
    </w:lvl>
    <w:lvl w:ilvl="8" w:tplc="080A001B" w:tentative="1">
      <w:start w:val="1"/>
      <w:numFmt w:val="lowerRoman"/>
      <w:lvlText w:val="%9."/>
      <w:lvlJc w:val="right"/>
      <w:pPr>
        <w:ind w:left="7351" w:hanging="180"/>
      </w:pPr>
    </w:lvl>
  </w:abstractNum>
  <w:abstractNum w:abstractNumId="1" w15:restartNumberingAfterBreak="0">
    <w:nsid w:val="0FCE1546"/>
    <w:multiLevelType w:val="hybridMultilevel"/>
    <w:tmpl w:val="D0388A9C"/>
    <w:lvl w:ilvl="0" w:tplc="E37478D4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F50126"/>
    <w:multiLevelType w:val="hybridMultilevel"/>
    <w:tmpl w:val="8F8E9F2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07AD7"/>
    <w:multiLevelType w:val="hybridMultilevel"/>
    <w:tmpl w:val="18EA4ED0"/>
    <w:lvl w:ilvl="0" w:tplc="D2C2DDD6">
      <w:start w:val="1"/>
      <w:numFmt w:val="lowerLetter"/>
      <w:lvlText w:val="%1)"/>
      <w:lvlJc w:val="left"/>
      <w:pPr>
        <w:ind w:left="1144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9715E06"/>
    <w:multiLevelType w:val="hybridMultilevel"/>
    <w:tmpl w:val="1190050E"/>
    <w:lvl w:ilvl="0" w:tplc="A4D28FA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0650FCC"/>
    <w:multiLevelType w:val="hybridMultilevel"/>
    <w:tmpl w:val="C0EA5C3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B6EC1"/>
    <w:multiLevelType w:val="hybridMultilevel"/>
    <w:tmpl w:val="3D7C3346"/>
    <w:lvl w:ilvl="0" w:tplc="095E9CC8">
      <w:start w:val="1"/>
      <w:numFmt w:val="upperLetter"/>
      <w:lvlText w:val="%1)"/>
      <w:lvlJc w:val="left"/>
      <w:pPr>
        <w:ind w:left="447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92" w:hanging="360"/>
      </w:pPr>
    </w:lvl>
    <w:lvl w:ilvl="2" w:tplc="080A001B" w:tentative="1">
      <w:start w:val="1"/>
      <w:numFmt w:val="lowerRoman"/>
      <w:lvlText w:val="%3."/>
      <w:lvlJc w:val="right"/>
      <w:pPr>
        <w:ind w:left="5912" w:hanging="180"/>
      </w:pPr>
    </w:lvl>
    <w:lvl w:ilvl="3" w:tplc="080A000F" w:tentative="1">
      <w:start w:val="1"/>
      <w:numFmt w:val="decimal"/>
      <w:lvlText w:val="%4."/>
      <w:lvlJc w:val="left"/>
      <w:pPr>
        <w:ind w:left="6632" w:hanging="360"/>
      </w:pPr>
    </w:lvl>
    <w:lvl w:ilvl="4" w:tplc="080A0019" w:tentative="1">
      <w:start w:val="1"/>
      <w:numFmt w:val="lowerLetter"/>
      <w:lvlText w:val="%5."/>
      <w:lvlJc w:val="left"/>
      <w:pPr>
        <w:ind w:left="7352" w:hanging="360"/>
      </w:pPr>
    </w:lvl>
    <w:lvl w:ilvl="5" w:tplc="080A001B" w:tentative="1">
      <w:start w:val="1"/>
      <w:numFmt w:val="lowerRoman"/>
      <w:lvlText w:val="%6."/>
      <w:lvlJc w:val="right"/>
      <w:pPr>
        <w:ind w:left="8072" w:hanging="180"/>
      </w:pPr>
    </w:lvl>
    <w:lvl w:ilvl="6" w:tplc="080A000F" w:tentative="1">
      <w:start w:val="1"/>
      <w:numFmt w:val="decimal"/>
      <w:lvlText w:val="%7."/>
      <w:lvlJc w:val="left"/>
      <w:pPr>
        <w:ind w:left="8792" w:hanging="360"/>
      </w:pPr>
    </w:lvl>
    <w:lvl w:ilvl="7" w:tplc="080A0019" w:tentative="1">
      <w:start w:val="1"/>
      <w:numFmt w:val="lowerLetter"/>
      <w:lvlText w:val="%8."/>
      <w:lvlJc w:val="left"/>
      <w:pPr>
        <w:ind w:left="9512" w:hanging="360"/>
      </w:pPr>
    </w:lvl>
    <w:lvl w:ilvl="8" w:tplc="080A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921"/>
    <w:rsid w:val="000060E4"/>
    <w:rsid w:val="00007388"/>
    <w:rsid w:val="00045A55"/>
    <w:rsid w:val="000B7375"/>
    <w:rsid w:val="000C6321"/>
    <w:rsid w:val="000F0BC5"/>
    <w:rsid w:val="000F28C8"/>
    <w:rsid w:val="001478F4"/>
    <w:rsid w:val="00173159"/>
    <w:rsid w:val="00177727"/>
    <w:rsid w:val="001C3CB5"/>
    <w:rsid w:val="001E0C0E"/>
    <w:rsid w:val="00202921"/>
    <w:rsid w:val="00213408"/>
    <w:rsid w:val="00222326"/>
    <w:rsid w:val="00270A58"/>
    <w:rsid w:val="002869E7"/>
    <w:rsid w:val="002A1136"/>
    <w:rsid w:val="002A2A3A"/>
    <w:rsid w:val="002A5DD9"/>
    <w:rsid w:val="002B258A"/>
    <w:rsid w:val="002C1CC6"/>
    <w:rsid w:val="00327CDF"/>
    <w:rsid w:val="00364F1A"/>
    <w:rsid w:val="003837CB"/>
    <w:rsid w:val="00385565"/>
    <w:rsid w:val="003878EC"/>
    <w:rsid w:val="003C6361"/>
    <w:rsid w:val="00400547"/>
    <w:rsid w:val="00451878"/>
    <w:rsid w:val="0046500C"/>
    <w:rsid w:val="00473466"/>
    <w:rsid w:val="004E606A"/>
    <w:rsid w:val="00563561"/>
    <w:rsid w:val="00615728"/>
    <w:rsid w:val="006468C8"/>
    <w:rsid w:val="00650F98"/>
    <w:rsid w:val="00652CF4"/>
    <w:rsid w:val="006577EC"/>
    <w:rsid w:val="0066737E"/>
    <w:rsid w:val="006D2BB3"/>
    <w:rsid w:val="00717A14"/>
    <w:rsid w:val="007739F4"/>
    <w:rsid w:val="007B3771"/>
    <w:rsid w:val="007E5E40"/>
    <w:rsid w:val="007F37AC"/>
    <w:rsid w:val="008C6F1B"/>
    <w:rsid w:val="00934AF7"/>
    <w:rsid w:val="009607FB"/>
    <w:rsid w:val="009F449F"/>
    <w:rsid w:val="00A86F59"/>
    <w:rsid w:val="00A90248"/>
    <w:rsid w:val="00AB20FF"/>
    <w:rsid w:val="00AB3A08"/>
    <w:rsid w:val="00AF0831"/>
    <w:rsid w:val="00B1482C"/>
    <w:rsid w:val="00B446E0"/>
    <w:rsid w:val="00B57C14"/>
    <w:rsid w:val="00B63948"/>
    <w:rsid w:val="00B81A48"/>
    <w:rsid w:val="00BC1C56"/>
    <w:rsid w:val="00C14FA7"/>
    <w:rsid w:val="00C23B43"/>
    <w:rsid w:val="00C434F0"/>
    <w:rsid w:val="00C9714C"/>
    <w:rsid w:val="00CB7A00"/>
    <w:rsid w:val="00D31CB8"/>
    <w:rsid w:val="00DE6850"/>
    <w:rsid w:val="00E515B2"/>
    <w:rsid w:val="00E777E5"/>
    <w:rsid w:val="00F007A5"/>
    <w:rsid w:val="00F22431"/>
    <w:rsid w:val="00FA5E83"/>
    <w:rsid w:val="00FC3D72"/>
    <w:rsid w:val="00FF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CA2E6DD8-C5A3-4C85-B62B-D0AFC237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6356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2921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202921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202921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2921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34"/>
    <w:qFormat/>
    <w:rsid w:val="00202921"/>
    <w:pPr>
      <w:ind w:left="720"/>
      <w:contextualSpacing/>
    </w:pPr>
    <w:rPr>
      <w:rFonts w:asciiTheme="minorHAnsi" w:eastAsiaTheme="minorEastAsia" w:hAnsiTheme="minorHAnsi" w:cstheme="minorBidi"/>
      <w:lang w:val="es-ES_tradnl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202921"/>
    <w:rPr>
      <w:rFonts w:eastAsiaTheme="minorEastAsia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5635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243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2431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4518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2A5DD9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2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8415C-C424-4587-A812-EA3898925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1155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cp:lastPrinted>2019-11-05T00:03:00Z</cp:lastPrinted>
  <dcterms:created xsi:type="dcterms:W3CDTF">2019-11-04T17:47:00Z</dcterms:created>
  <dcterms:modified xsi:type="dcterms:W3CDTF">2019-12-17T17:35:00Z</dcterms:modified>
</cp:coreProperties>
</file>