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2AB" w:rsidRPr="00C35F18" w:rsidRDefault="008112AB" w:rsidP="008112AB">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a once de marzo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veinte</w:t>
      </w:r>
      <w:r w:rsidRPr="00C35F18">
        <w:rPr>
          <w:rFonts w:ascii="Palatino Linotype" w:hAnsi="Palatino Linotype"/>
          <w:sz w:val="24"/>
          <w:szCs w:val="24"/>
          <w:lang w:eastAsia="es-MX"/>
        </w:rPr>
        <w:t>.</w:t>
      </w:r>
    </w:p>
    <w:p w:rsidR="008112AB" w:rsidRPr="00C35F18" w:rsidRDefault="008112AB" w:rsidP="008112AB">
      <w:pPr>
        <w:pStyle w:val="Sinespaciado"/>
        <w:spacing w:line="360" w:lineRule="auto"/>
        <w:jc w:val="both"/>
        <w:rPr>
          <w:rFonts w:ascii="Palatino Linotype" w:hAnsi="Palatino Linotype"/>
          <w:sz w:val="24"/>
          <w:szCs w:val="24"/>
          <w:lang w:eastAsia="es-MX"/>
        </w:rPr>
      </w:pPr>
    </w:p>
    <w:p w:rsidR="008112AB" w:rsidRPr="00C35F18" w:rsidRDefault="008112AB" w:rsidP="008112AB">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9B76F3">
        <w:rPr>
          <w:rFonts w:ascii="Palatino Linotype" w:hAnsi="Palatino Linotype"/>
          <w:b/>
          <w:sz w:val="24"/>
          <w:szCs w:val="24"/>
        </w:rPr>
        <w:t>1</w:t>
      </w:r>
      <w:r w:rsidR="00E719B3">
        <w:rPr>
          <w:rFonts w:ascii="Palatino Linotype" w:hAnsi="Palatino Linotype"/>
          <w:b/>
          <w:sz w:val="24"/>
          <w:szCs w:val="24"/>
        </w:rPr>
        <w:t>23</w:t>
      </w:r>
      <w:r>
        <w:rPr>
          <w:rFonts w:ascii="Palatino Linotype" w:hAnsi="Palatino Linotype"/>
          <w:b/>
          <w:bCs/>
          <w:sz w:val="24"/>
          <w:szCs w:val="24"/>
          <w:lang w:eastAsia="es-MX"/>
        </w:rPr>
        <w:t>60</w:t>
      </w:r>
      <w:r w:rsidRPr="00035085">
        <w:rPr>
          <w:rFonts w:ascii="Palatino Linotype" w:hAnsi="Palatino Linotype"/>
          <w:b/>
          <w:bCs/>
          <w:sz w:val="24"/>
          <w:szCs w:val="24"/>
          <w:lang w:eastAsia="es-MX"/>
        </w:rPr>
        <w:t>/INFOEM/IP/RR/2019</w:t>
      </w:r>
      <w:r>
        <w:rPr>
          <w:rFonts w:ascii="Palatino Linotype" w:hAnsi="Palatino Linotype"/>
          <w:sz w:val="24"/>
          <w:szCs w:val="24"/>
        </w:rPr>
        <w:t xml:space="preserve">, interpuesto por  </w:t>
      </w:r>
      <w:r w:rsidR="00133C99">
        <w:rPr>
          <w:rFonts w:ascii="Palatino Linotype" w:hAnsi="Palatino Linotype"/>
          <w:sz w:val="24"/>
          <w:szCs w:val="24"/>
        </w:rPr>
        <w:t>XXXXXXXXXXXXXXXXXXXXX</w:t>
      </w:r>
      <w:r w:rsidRPr="00C35F18">
        <w:rPr>
          <w:rFonts w:ascii="Palatino Linotype" w:hAnsi="Palatino Linotype"/>
          <w:sz w:val="24"/>
          <w:szCs w:val="24"/>
        </w:rPr>
        <w:t xml:space="preserve"> en lo sucesivo </w:t>
      </w:r>
      <w:r>
        <w:rPr>
          <w:rFonts w:ascii="Palatino Linotype" w:hAnsi="Palatino Linotype"/>
          <w:b/>
          <w:sz w:val="24"/>
          <w:szCs w:val="24"/>
        </w:rPr>
        <w:t xml:space="preserve"> la parte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Pr>
          <w:rFonts w:ascii="Palatino Linotype" w:hAnsi="Palatino Linotype" w:cs="Arial"/>
          <w:b/>
          <w:szCs w:val="20"/>
        </w:rPr>
        <w:t xml:space="preserve">Ayuntamiento de </w:t>
      </w:r>
      <w:r w:rsidR="00E719B3">
        <w:rPr>
          <w:rFonts w:ascii="Palatino Linotype" w:hAnsi="Palatino Linotype" w:cs="Arial"/>
          <w:b/>
          <w:szCs w:val="20"/>
        </w:rPr>
        <w:t>Axapusco</w:t>
      </w:r>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rsidR="008112AB" w:rsidRPr="00C35F18" w:rsidRDefault="008112AB" w:rsidP="008112A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8112AB" w:rsidRPr="00DD5971" w:rsidRDefault="008112AB" w:rsidP="008112AB">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8112AB" w:rsidRDefault="008112AB" w:rsidP="008112AB">
      <w:pPr>
        <w:pStyle w:val="Sinespaciado"/>
        <w:spacing w:line="360" w:lineRule="auto"/>
        <w:jc w:val="both"/>
        <w:rPr>
          <w:rFonts w:ascii="Palatino Linotype" w:hAnsi="Palatino Linotype"/>
          <w:b/>
          <w:sz w:val="24"/>
          <w:szCs w:val="24"/>
        </w:rPr>
      </w:pPr>
    </w:p>
    <w:p w:rsidR="008112AB" w:rsidRPr="00DD5971" w:rsidRDefault="008112AB" w:rsidP="008112AB">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8112AB" w:rsidRDefault="008112AB" w:rsidP="008112AB">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w:t>
      </w:r>
      <w:r w:rsidR="00E719B3">
        <w:rPr>
          <w:rFonts w:ascii="Palatino Linotype" w:hAnsi="Palatino Linotype"/>
          <w:sz w:val="24"/>
          <w:szCs w:val="24"/>
        </w:rPr>
        <w:t>catorce</w:t>
      </w:r>
      <w:r>
        <w:rPr>
          <w:rFonts w:ascii="Palatino Linotype" w:hAnsi="Palatino Linotype"/>
          <w:sz w:val="24"/>
          <w:szCs w:val="24"/>
        </w:rPr>
        <w:t xml:space="preserve"> de noviembre de dos mil diecinueve, la parte</w:t>
      </w:r>
      <w:r w:rsidRPr="00C35F18">
        <w:rPr>
          <w:rFonts w:ascii="Palatino Linotype" w:hAnsi="Palatino Linotype"/>
          <w:sz w:val="24"/>
          <w:szCs w:val="24"/>
        </w:rPr>
        <w:t xml:space="preserve"> 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Pr="00422054">
        <w:rPr>
          <w:rFonts w:ascii="Palatino Linotype" w:hAnsi="Palatino Linotype"/>
          <w:b/>
          <w:sz w:val="24"/>
          <w:szCs w:val="24"/>
        </w:rPr>
        <w:t>0</w:t>
      </w:r>
      <w:r>
        <w:rPr>
          <w:rFonts w:ascii="Palatino Linotype" w:hAnsi="Palatino Linotype"/>
          <w:b/>
          <w:sz w:val="24"/>
          <w:szCs w:val="24"/>
        </w:rPr>
        <w:t>0</w:t>
      </w:r>
      <w:r w:rsidR="00E719B3">
        <w:rPr>
          <w:rFonts w:ascii="Palatino Linotype" w:hAnsi="Palatino Linotype"/>
          <w:b/>
          <w:sz w:val="24"/>
          <w:szCs w:val="24"/>
        </w:rPr>
        <w:t>354</w:t>
      </w:r>
      <w:r w:rsidRPr="00422054">
        <w:rPr>
          <w:rFonts w:ascii="Palatino Linotype" w:hAnsi="Palatino Linotype"/>
          <w:b/>
          <w:sz w:val="24"/>
          <w:szCs w:val="24"/>
        </w:rPr>
        <w:t>/</w:t>
      </w:r>
      <w:r w:rsidR="001F2A6B">
        <w:rPr>
          <w:rFonts w:ascii="Palatino Linotype" w:hAnsi="Palatino Linotype"/>
          <w:b/>
          <w:sz w:val="24"/>
          <w:szCs w:val="24"/>
        </w:rPr>
        <w:t>AXAPUSCO</w:t>
      </w:r>
      <w:r w:rsidRPr="00422054">
        <w:rPr>
          <w:rFonts w:ascii="Palatino Linotype" w:hAnsi="Palatino Linotype"/>
          <w:b/>
          <w:sz w:val="24"/>
          <w:szCs w:val="24"/>
        </w:rPr>
        <w: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E719B3" w:rsidRDefault="00E719B3" w:rsidP="008112AB">
      <w:pPr>
        <w:pStyle w:val="Sinespaciado"/>
        <w:spacing w:line="360" w:lineRule="auto"/>
        <w:jc w:val="both"/>
        <w:rPr>
          <w:rFonts w:ascii="Palatino Linotype" w:hAnsi="Palatino Linotype"/>
          <w:sz w:val="24"/>
          <w:szCs w:val="24"/>
        </w:rPr>
      </w:pPr>
    </w:p>
    <w:p w:rsidR="008112AB" w:rsidRPr="003E737B" w:rsidRDefault="008112AB" w:rsidP="008112AB">
      <w:pPr>
        <w:pStyle w:val="Sinespaciado"/>
        <w:spacing w:line="360" w:lineRule="auto"/>
        <w:jc w:val="both"/>
        <w:rPr>
          <w:rFonts w:ascii="Palatino Linotype" w:hAnsi="Palatino Linotype"/>
          <w:sz w:val="16"/>
          <w:szCs w:val="24"/>
        </w:rPr>
      </w:pPr>
    </w:p>
    <w:p w:rsidR="008112AB" w:rsidRPr="00B31118" w:rsidRDefault="008112AB" w:rsidP="008112AB">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00E719B3" w:rsidRPr="00E719B3">
        <w:rPr>
          <w:rFonts w:ascii="Palatino Linotype" w:eastAsia="Times New Roman" w:hAnsi="Palatino Linotype" w:cs="Times New Roman"/>
          <w:i/>
          <w:szCs w:val="24"/>
          <w:lang w:val="es-ES_tradnl" w:eastAsia="es-ES"/>
        </w:rPr>
        <w:t>Solicito el número de cuenta bancaria del municipio</w:t>
      </w:r>
      <w:r w:rsidRPr="00B31118">
        <w:rPr>
          <w:rFonts w:ascii="Palatino Linotype" w:eastAsia="Times New Roman" w:hAnsi="Palatino Linotype" w:cs="Times New Roman"/>
          <w:i/>
          <w:szCs w:val="24"/>
          <w:lang w:val="es-ES_tradnl" w:eastAsia="es-ES"/>
        </w:rPr>
        <w:t>” [Sic]</w:t>
      </w:r>
    </w:p>
    <w:p w:rsidR="008112AB" w:rsidRDefault="008112AB" w:rsidP="008112AB">
      <w:pPr>
        <w:pStyle w:val="Sinespaciado"/>
        <w:spacing w:line="360" w:lineRule="auto"/>
        <w:jc w:val="both"/>
        <w:rPr>
          <w:rFonts w:ascii="Palatino Linotype" w:eastAsia="Times New Roman" w:hAnsi="Palatino Linotype" w:cs="Times New Roman"/>
          <w:sz w:val="24"/>
          <w:szCs w:val="24"/>
          <w:lang w:val="es-ES_tradnl" w:eastAsia="es-ES"/>
        </w:rPr>
      </w:pPr>
    </w:p>
    <w:p w:rsidR="008112AB" w:rsidRPr="00452ABA" w:rsidRDefault="008112AB" w:rsidP="008112AB">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rsidR="008112AB" w:rsidRDefault="008112AB" w:rsidP="008112AB">
      <w:pPr>
        <w:pStyle w:val="Sinespaciado"/>
        <w:spacing w:line="360" w:lineRule="auto"/>
        <w:jc w:val="both"/>
        <w:rPr>
          <w:rFonts w:ascii="Palatino Linotype" w:hAnsi="Palatino Linotype"/>
          <w:b/>
          <w:sz w:val="26"/>
          <w:szCs w:val="26"/>
        </w:rPr>
      </w:pPr>
    </w:p>
    <w:p w:rsidR="00E719B3" w:rsidRDefault="00E719B3" w:rsidP="008112AB">
      <w:pPr>
        <w:pStyle w:val="Sinespaciado"/>
        <w:spacing w:line="360" w:lineRule="auto"/>
        <w:jc w:val="both"/>
        <w:rPr>
          <w:rFonts w:ascii="Palatino Linotype" w:hAnsi="Palatino Linotype"/>
          <w:b/>
          <w:sz w:val="26"/>
          <w:szCs w:val="26"/>
        </w:rPr>
      </w:pPr>
    </w:p>
    <w:p w:rsidR="008112AB" w:rsidRPr="00DD5971" w:rsidRDefault="008112AB" w:rsidP="008112AB">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lastRenderedPageBreak/>
        <w:t>SEGUNDO. De la respuesta del Sujeto Obligado.</w:t>
      </w:r>
    </w:p>
    <w:p w:rsidR="008112AB" w:rsidRDefault="008112AB" w:rsidP="008112AB">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Pr>
          <w:rFonts w:ascii="Palatino Linotype" w:hAnsi="Palatino Linotype"/>
          <w:sz w:val="24"/>
        </w:rPr>
        <w:t>e electrónico SAIMEX, se observa</w:t>
      </w:r>
      <w:r w:rsidRPr="00C35F18">
        <w:rPr>
          <w:rFonts w:ascii="Palatino Linotype" w:hAnsi="Palatino Linotype"/>
          <w:sz w:val="24"/>
        </w:rPr>
        <w:t xml:space="preserve"> que el Sujeto Obligado dio respuesta a la so</w:t>
      </w:r>
      <w:r>
        <w:rPr>
          <w:rFonts w:ascii="Palatino Linotype" w:hAnsi="Palatino Linotype"/>
          <w:sz w:val="24"/>
        </w:rPr>
        <w:t xml:space="preserve">licitud de información en fecha </w:t>
      </w:r>
      <w:r w:rsidR="00324C1F">
        <w:rPr>
          <w:rFonts w:ascii="Palatino Linotype" w:hAnsi="Palatino Linotype"/>
          <w:sz w:val="24"/>
        </w:rPr>
        <w:t>seis</w:t>
      </w:r>
      <w:r>
        <w:rPr>
          <w:rFonts w:ascii="Palatino Linotype" w:hAnsi="Palatino Linotype"/>
          <w:sz w:val="24"/>
        </w:rPr>
        <w:t xml:space="preserve"> de </w:t>
      </w:r>
      <w:r w:rsidR="00324C1F">
        <w:rPr>
          <w:rFonts w:ascii="Palatino Linotype" w:hAnsi="Palatino Linotype"/>
          <w:sz w:val="24"/>
        </w:rPr>
        <w:t>dici</w:t>
      </w:r>
      <w:r>
        <w:rPr>
          <w:rFonts w:ascii="Palatino Linotype" w:hAnsi="Palatino Linotype"/>
          <w:sz w:val="24"/>
        </w:rPr>
        <w:t>embre de dos mil diecinueve</w:t>
      </w:r>
      <w:r w:rsidRPr="00C35F18">
        <w:rPr>
          <w:rFonts w:ascii="Palatino Linotype" w:hAnsi="Palatino Linotype"/>
          <w:sz w:val="24"/>
        </w:rPr>
        <w:t xml:space="preserve">, </w:t>
      </w:r>
      <w:r>
        <w:rPr>
          <w:rFonts w:ascii="Palatino Linotype" w:hAnsi="Palatino Linotype"/>
          <w:sz w:val="24"/>
        </w:rPr>
        <w:t>manifestando lo siguiente:</w:t>
      </w:r>
    </w:p>
    <w:p w:rsidR="008112AB" w:rsidRPr="0062140D" w:rsidRDefault="008112AB" w:rsidP="008112AB">
      <w:pPr>
        <w:pStyle w:val="Sinespaciado"/>
        <w:spacing w:line="360" w:lineRule="auto"/>
        <w:jc w:val="both"/>
        <w:rPr>
          <w:rFonts w:ascii="Palatino Linotype" w:hAnsi="Palatino Linotype"/>
          <w:sz w:val="24"/>
          <w:szCs w:val="24"/>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24C1F" w:rsidRPr="003E737B" w:rsidTr="00B100FB">
        <w:trPr>
          <w:trHeight w:val="300"/>
          <w:tblCellSpacing w:w="0" w:type="dxa"/>
          <w:jc w:val="center"/>
        </w:trPr>
        <w:tc>
          <w:tcPr>
            <w:tcW w:w="0" w:type="auto"/>
            <w:vAlign w:val="center"/>
            <w:hideMark/>
          </w:tcPr>
          <w:p w:rsidR="00324C1F" w:rsidRPr="00324C1F" w:rsidRDefault="00324C1F" w:rsidP="00324C1F">
            <w:pPr>
              <w:ind w:left="1418" w:right="1144"/>
              <w:jc w:val="right"/>
              <w:rPr>
                <w:rFonts w:ascii="Palatino Linotype" w:hAnsi="Palatino Linotype"/>
                <w:i/>
              </w:rPr>
            </w:pPr>
            <w:r w:rsidRPr="00324C1F">
              <w:rPr>
                <w:rFonts w:ascii="Palatino Linotype" w:hAnsi="Palatino Linotype"/>
                <w:i/>
                <w:szCs w:val="18"/>
              </w:rPr>
              <w:t>Axapusco, México a 06 de Diciembre de 2019</w:t>
            </w:r>
          </w:p>
        </w:tc>
      </w:tr>
      <w:tr w:rsidR="00324C1F" w:rsidRPr="003E737B" w:rsidTr="00B100FB">
        <w:trPr>
          <w:trHeight w:val="300"/>
          <w:tblCellSpacing w:w="0" w:type="dxa"/>
          <w:jc w:val="center"/>
        </w:trPr>
        <w:tc>
          <w:tcPr>
            <w:tcW w:w="0" w:type="auto"/>
            <w:vAlign w:val="center"/>
            <w:hideMark/>
          </w:tcPr>
          <w:p w:rsidR="00324C1F" w:rsidRPr="00324C1F" w:rsidRDefault="00324C1F" w:rsidP="00324C1F">
            <w:pPr>
              <w:ind w:left="1418" w:right="1144"/>
              <w:jc w:val="right"/>
              <w:rPr>
                <w:rFonts w:ascii="Palatino Linotype" w:hAnsi="Palatino Linotype"/>
                <w:i/>
              </w:rPr>
            </w:pPr>
            <w:r w:rsidRPr="00324C1F">
              <w:rPr>
                <w:rFonts w:ascii="Palatino Linotype" w:hAnsi="Palatino Linotype"/>
                <w:i/>
                <w:szCs w:val="18"/>
              </w:rPr>
              <w:t>Nombre del solicitante:</w:t>
            </w:r>
          </w:p>
        </w:tc>
      </w:tr>
      <w:tr w:rsidR="00324C1F" w:rsidRPr="003E737B" w:rsidTr="00B100FB">
        <w:trPr>
          <w:trHeight w:val="447"/>
          <w:tblCellSpacing w:w="0" w:type="dxa"/>
          <w:jc w:val="center"/>
        </w:trPr>
        <w:tc>
          <w:tcPr>
            <w:tcW w:w="0" w:type="auto"/>
            <w:vAlign w:val="center"/>
            <w:hideMark/>
          </w:tcPr>
          <w:p w:rsidR="00324C1F" w:rsidRPr="00324C1F" w:rsidRDefault="00324C1F" w:rsidP="00324C1F">
            <w:pPr>
              <w:ind w:left="1418" w:right="1144"/>
              <w:jc w:val="right"/>
              <w:rPr>
                <w:rFonts w:ascii="Palatino Linotype" w:hAnsi="Palatino Linotype"/>
                <w:i/>
              </w:rPr>
            </w:pPr>
            <w:r w:rsidRPr="00324C1F">
              <w:rPr>
                <w:rFonts w:ascii="Palatino Linotype" w:hAnsi="Palatino Linotype"/>
                <w:i/>
                <w:szCs w:val="18"/>
              </w:rPr>
              <w:t>Folio de la solicitud: 00354/AXAPUSCO/IP/2019</w:t>
            </w:r>
          </w:p>
        </w:tc>
      </w:tr>
      <w:tr w:rsidR="00324C1F" w:rsidRPr="005107CD" w:rsidTr="00B100FB">
        <w:trPr>
          <w:trHeight w:val="300"/>
          <w:tblCellSpacing w:w="0" w:type="dxa"/>
          <w:jc w:val="center"/>
        </w:trPr>
        <w:tc>
          <w:tcPr>
            <w:tcW w:w="0" w:type="auto"/>
            <w:vAlign w:val="center"/>
            <w:hideMark/>
          </w:tcPr>
          <w:p w:rsidR="00324C1F" w:rsidRPr="00324C1F" w:rsidRDefault="00324C1F" w:rsidP="00324C1F">
            <w:pPr>
              <w:ind w:left="1418" w:right="1144"/>
              <w:rPr>
                <w:rFonts w:ascii="Palatino Linotype" w:hAnsi="Palatino Linotype"/>
                <w:i/>
                <w:szCs w:val="20"/>
              </w:rPr>
            </w:pPr>
          </w:p>
        </w:tc>
      </w:tr>
      <w:tr w:rsidR="00324C1F" w:rsidRPr="005107CD" w:rsidTr="00B100FB">
        <w:trPr>
          <w:trHeight w:val="300"/>
          <w:tblCellSpacing w:w="0" w:type="dxa"/>
          <w:jc w:val="center"/>
        </w:trPr>
        <w:tc>
          <w:tcPr>
            <w:tcW w:w="0" w:type="auto"/>
            <w:vAlign w:val="center"/>
            <w:hideMark/>
          </w:tcPr>
          <w:p w:rsidR="00324C1F" w:rsidRPr="00324C1F" w:rsidRDefault="00324C1F" w:rsidP="00324C1F">
            <w:pPr>
              <w:ind w:left="1418" w:right="1144"/>
              <w:rPr>
                <w:rFonts w:ascii="Palatino Linotype" w:hAnsi="Palatino Linotype"/>
                <w:i/>
                <w:szCs w:val="20"/>
              </w:rPr>
            </w:pPr>
          </w:p>
        </w:tc>
      </w:tr>
      <w:tr w:rsidR="00324C1F" w:rsidRPr="0051619F" w:rsidTr="00B100FB">
        <w:trPr>
          <w:trHeight w:val="300"/>
          <w:tblCellSpacing w:w="0" w:type="dxa"/>
          <w:jc w:val="center"/>
        </w:trPr>
        <w:tc>
          <w:tcPr>
            <w:tcW w:w="0" w:type="auto"/>
            <w:vAlign w:val="center"/>
            <w:hideMark/>
          </w:tcPr>
          <w:p w:rsidR="00324C1F" w:rsidRDefault="00324C1F" w:rsidP="00324C1F">
            <w:pPr>
              <w:ind w:left="1418" w:right="1144"/>
              <w:jc w:val="both"/>
              <w:rPr>
                <w:rFonts w:ascii="Palatino Linotype" w:hAnsi="Palatino Linotype"/>
                <w:i/>
                <w:szCs w:val="18"/>
              </w:rPr>
            </w:pPr>
            <w:r w:rsidRPr="00324C1F">
              <w:rPr>
                <w:rFonts w:ascii="Palatino Linotype" w:hAnsi="Palatino Linotype"/>
                <w:i/>
                <w:szCs w:val="18"/>
              </w:rPr>
              <w:t>De conformidad con los artículos 150, 163 de la Ley de Transparencia y Acceso a la Información Pública del Estado de México y Municipios, otorgo la contestación a su solicitud por ello me permito informar que de acuerdo a su petición la información que solicita de acuerdo a la cuenta bancaria del municipio, me permito informarle que es de carácter confidencial. Sin en cambio puede presentarse ante las instalaciones de este municipio para aclarar las dudas que tenga y otorgarle la atención que merece. De igual manera anexo el siguiente correo electrónico axapusco@itaipem.org.mx para cualquier duda y/o aclaración. Sin más por el momento, reciba un cordial saludo.</w:t>
            </w:r>
          </w:p>
          <w:p w:rsidR="00324C1F" w:rsidRDefault="00324C1F" w:rsidP="00324C1F">
            <w:pPr>
              <w:ind w:left="1418" w:right="1144"/>
              <w:jc w:val="both"/>
              <w:rPr>
                <w:rFonts w:ascii="Palatino Linotype" w:hAnsi="Palatino Linotype"/>
                <w:i/>
                <w:szCs w:val="18"/>
              </w:rPr>
            </w:pPr>
            <w:r>
              <w:rPr>
                <w:rFonts w:ascii="Palatino Linotype" w:hAnsi="Palatino Linotype"/>
                <w:i/>
                <w:szCs w:val="18"/>
              </w:rPr>
              <w:t>ATENTAMENTE</w:t>
            </w:r>
          </w:p>
          <w:p w:rsidR="00324C1F" w:rsidRPr="00324C1F" w:rsidRDefault="00324C1F" w:rsidP="00324C1F">
            <w:pPr>
              <w:ind w:left="1418" w:right="1144"/>
              <w:jc w:val="both"/>
              <w:rPr>
                <w:rFonts w:ascii="Palatino Linotype" w:hAnsi="Palatino Linotype"/>
                <w:i/>
                <w:szCs w:val="24"/>
              </w:rPr>
            </w:pPr>
            <w:r>
              <w:rPr>
                <w:rFonts w:ascii="Palatino Linotype" w:hAnsi="Palatino Linotype"/>
                <w:i/>
                <w:szCs w:val="18"/>
              </w:rPr>
              <w:t>Lic. Diana Nallely López García</w:t>
            </w:r>
          </w:p>
        </w:tc>
      </w:tr>
      <w:tr w:rsidR="008112AB" w:rsidRPr="0051619F" w:rsidTr="00B100FB">
        <w:trPr>
          <w:trHeight w:val="300"/>
          <w:tblCellSpacing w:w="0" w:type="dxa"/>
          <w:jc w:val="center"/>
        </w:trPr>
        <w:tc>
          <w:tcPr>
            <w:tcW w:w="0" w:type="auto"/>
            <w:vAlign w:val="center"/>
            <w:hideMark/>
          </w:tcPr>
          <w:p w:rsidR="008112AB" w:rsidRPr="00144EE6" w:rsidRDefault="008112AB" w:rsidP="00B100FB">
            <w:pPr>
              <w:ind w:right="1428"/>
              <w:jc w:val="both"/>
              <w:rPr>
                <w:rFonts w:ascii="Palatino Linotype" w:hAnsi="Palatino Linotype"/>
                <w:sz w:val="24"/>
              </w:rPr>
            </w:pPr>
          </w:p>
        </w:tc>
      </w:tr>
      <w:tr w:rsidR="008112AB" w:rsidRPr="0051619F" w:rsidTr="00B100FB">
        <w:trPr>
          <w:trHeight w:val="300"/>
          <w:tblCellSpacing w:w="0" w:type="dxa"/>
          <w:jc w:val="center"/>
        </w:trPr>
        <w:tc>
          <w:tcPr>
            <w:tcW w:w="0" w:type="auto"/>
            <w:vAlign w:val="center"/>
            <w:hideMark/>
          </w:tcPr>
          <w:p w:rsidR="008112AB" w:rsidRPr="00144EE6" w:rsidRDefault="008112AB" w:rsidP="00B100FB">
            <w:pPr>
              <w:ind w:left="709" w:right="861"/>
              <w:rPr>
                <w:rFonts w:ascii="Palatino Linotype" w:hAnsi="Palatino Linotype"/>
                <w:szCs w:val="18"/>
              </w:rPr>
            </w:pPr>
          </w:p>
        </w:tc>
      </w:tr>
    </w:tbl>
    <w:p w:rsidR="008112AB" w:rsidRPr="00D04234" w:rsidRDefault="008112AB" w:rsidP="008112AB">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rsidR="008112AB" w:rsidRPr="00D04234" w:rsidRDefault="008112AB" w:rsidP="008112AB">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 xml:space="preserve">la parte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Pr>
          <w:rFonts w:ascii="Palatino Linotype" w:hAnsi="Palatino Linotype"/>
          <w:sz w:val="24"/>
          <w:szCs w:val="24"/>
        </w:rPr>
        <w:t>die</w:t>
      </w:r>
      <w:r w:rsidR="00324C1F">
        <w:rPr>
          <w:rFonts w:ascii="Palatino Linotype" w:hAnsi="Palatino Linotype"/>
          <w:sz w:val="24"/>
          <w:szCs w:val="24"/>
        </w:rPr>
        <w:t>cinueve</w:t>
      </w:r>
      <w:r>
        <w:rPr>
          <w:rFonts w:ascii="Palatino Linotype" w:hAnsi="Palatino Linotype"/>
          <w:sz w:val="24"/>
          <w:szCs w:val="24"/>
        </w:rPr>
        <w:t xml:space="preserve"> de diciembre de dos mil diecinueve,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Pr="0065657E">
        <w:rPr>
          <w:rFonts w:ascii="Palatino Linotype" w:hAnsi="Palatino Linotype"/>
          <w:b/>
          <w:sz w:val="24"/>
          <w:szCs w:val="24"/>
        </w:rPr>
        <w:t>1</w:t>
      </w:r>
      <w:r w:rsidR="00324C1F">
        <w:rPr>
          <w:rFonts w:ascii="Palatino Linotype" w:hAnsi="Palatino Linotype"/>
          <w:b/>
          <w:sz w:val="24"/>
          <w:szCs w:val="24"/>
        </w:rPr>
        <w:t>236</w:t>
      </w:r>
      <w:r>
        <w:rPr>
          <w:rFonts w:ascii="Palatino Linotype" w:hAnsi="Palatino Linotype"/>
          <w:b/>
          <w:bCs/>
          <w:sz w:val="24"/>
          <w:szCs w:val="24"/>
          <w:lang w:eastAsia="es-MX"/>
        </w:rPr>
        <w:t>0</w:t>
      </w:r>
      <w:r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rsidR="008112AB" w:rsidRDefault="008112AB" w:rsidP="008112AB">
      <w:pPr>
        <w:pStyle w:val="Sinespaciado"/>
      </w:pPr>
    </w:p>
    <w:p w:rsidR="008112AB" w:rsidRPr="00D04234" w:rsidRDefault="008112AB" w:rsidP="008112AB">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rsidR="008112AB" w:rsidRPr="000E3209" w:rsidRDefault="008112AB" w:rsidP="008112AB">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324C1F" w:rsidRPr="00324C1F">
        <w:rPr>
          <w:rFonts w:ascii="Palatino Linotype" w:hAnsi="Palatino Linotype" w:cs="Arial"/>
          <w:i/>
          <w:sz w:val="24"/>
        </w:rPr>
        <w:t>No me entregan la información que solicite, me dicen que es información confidencial pero no adjuntan el acuerdo de clasificación firmado por le Comité de Transparencia.</w:t>
      </w:r>
      <w:r w:rsidRPr="000E3209">
        <w:rPr>
          <w:rFonts w:ascii="Palatino Linotype" w:hAnsi="Palatino Linotype" w:cs="Arial"/>
          <w:i/>
          <w:sz w:val="24"/>
        </w:rPr>
        <w:t>"(Sic)</w:t>
      </w:r>
    </w:p>
    <w:p w:rsidR="008112AB" w:rsidRDefault="008112AB" w:rsidP="008112AB">
      <w:pPr>
        <w:spacing w:before="240"/>
        <w:jc w:val="both"/>
        <w:rPr>
          <w:rFonts w:ascii="Palatino Linotype" w:hAnsi="Palatino Linotype" w:cs="Arial"/>
          <w:b/>
          <w:sz w:val="24"/>
          <w:szCs w:val="24"/>
        </w:rPr>
      </w:pPr>
    </w:p>
    <w:p w:rsidR="008112AB" w:rsidRPr="00BE6D77" w:rsidRDefault="008112AB" w:rsidP="008112AB">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8112AB" w:rsidRPr="0065657E" w:rsidRDefault="008112AB" w:rsidP="008112AB">
      <w:pPr>
        <w:spacing w:line="240" w:lineRule="auto"/>
        <w:ind w:left="851" w:right="850"/>
        <w:jc w:val="both"/>
        <w:rPr>
          <w:rFonts w:ascii="Palatino Linotype" w:hAnsi="Palatino Linotype" w:cs="Arial"/>
          <w:i/>
        </w:rPr>
      </w:pPr>
      <w:r w:rsidRPr="0065657E">
        <w:rPr>
          <w:rFonts w:ascii="Palatino Linotype" w:hAnsi="Palatino Linotype" w:cs="Arial"/>
          <w:i/>
        </w:rPr>
        <w:t>“</w:t>
      </w:r>
      <w:r w:rsidR="00324C1F" w:rsidRPr="00324C1F">
        <w:rPr>
          <w:rFonts w:ascii="Palatino Linotype" w:hAnsi="Palatino Linotype"/>
          <w:i/>
          <w:color w:val="000000"/>
        </w:rPr>
        <w:t>El municipio me limita mi derecho de acceso a la información pública.</w:t>
      </w:r>
      <w:r w:rsidRPr="0065657E">
        <w:rPr>
          <w:rFonts w:ascii="Palatino Linotype" w:hAnsi="Palatino Linotype" w:cs="Arial"/>
          <w:i/>
        </w:rPr>
        <w:t>” (Sic)</w:t>
      </w:r>
    </w:p>
    <w:p w:rsidR="008112AB" w:rsidRDefault="008112AB" w:rsidP="008112AB">
      <w:pPr>
        <w:pStyle w:val="Sinespaciado"/>
        <w:spacing w:line="360" w:lineRule="auto"/>
        <w:jc w:val="both"/>
        <w:rPr>
          <w:rFonts w:ascii="Palatino Linotype" w:hAnsi="Palatino Linotype"/>
          <w:sz w:val="24"/>
          <w:szCs w:val="24"/>
        </w:rPr>
      </w:pPr>
    </w:p>
    <w:p w:rsidR="008112AB" w:rsidRPr="004657BE" w:rsidRDefault="008112AB" w:rsidP="008112AB">
      <w:pPr>
        <w:pStyle w:val="Sinespaciado"/>
        <w:spacing w:line="360" w:lineRule="auto"/>
        <w:jc w:val="both"/>
        <w:rPr>
          <w:rFonts w:ascii="Palatino Linotype" w:hAnsi="Palatino Linotype"/>
          <w:sz w:val="24"/>
          <w:szCs w:val="24"/>
        </w:rPr>
      </w:pPr>
    </w:p>
    <w:p w:rsidR="008112AB" w:rsidRPr="004657BE" w:rsidRDefault="008112AB" w:rsidP="008112AB">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rsidR="008112AB" w:rsidRPr="004657BE" w:rsidRDefault="008112AB" w:rsidP="008112AB">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numeral 185 fracción I de la Ley de Transparencia y Acceso a la información Pública del Estado de México y Municipios, del cual recayó acuerdo de admisión en fecha </w:t>
      </w:r>
      <w:r w:rsidR="00324C1F">
        <w:rPr>
          <w:rFonts w:ascii="Palatino Linotype" w:hAnsi="Palatino Linotype"/>
          <w:sz w:val="24"/>
          <w:szCs w:val="24"/>
        </w:rPr>
        <w:t>diez</w:t>
      </w:r>
      <w:r>
        <w:rPr>
          <w:rFonts w:ascii="Palatino Linotype" w:hAnsi="Palatino Linotype"/>
          <w:sz w:val="24"/>
          <w:szCs w:val="24"/>
        </w:rPr>
        <w:t xml:space="preserve"> de enero de </w:t>
      </w:r>
      <w:r w:rsidRPr="004657BE">
        <w:rPr>
          <w:rFonts w:ascii="Palatino Linotype" w:hAnsi="Palatino Linotype"/>
          <w:sz w:val="24"/>
          <w:szCs w:val="24"/>
        </w:rPr>
        <w:t xml:space="preserve">dos mil </w:t>
      </w:r>
      <w:r>
        <w:rPr>
          <w:rFonts w:ascii="Palatino Linotype" w:hAnsi="Palatino Linotype"/>
          <w:sz w:val="24"/>
          <w:szCs w:val="24"/>
        </w:rPr>
        <w:t>veinte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8112AB" w:rsidRDefault="008112AB" w:rsidP="008112AB">
      <w:pPr>
        <w:pStyle w:val="Sinespaciado"/>
        <w:spacing w:line="360" w:lineRule="auto"/>
        <w:jc w:val="both"/>
        <w:rPr>
          <w:rFonts w:ascii="Palatino Linotype" w:hAnsi="Palatino Linotype"/>
          <w:sz w:val="24"/>
          <w:szCs w:val="24"/>
        </w:rPr>
      </w:pPr>
    </w:p>
    <w:p w:rsidR="008112AB" w:rsidRDefault="008112AB" w:rsidP="008112AB">
      <w:pPr>
        <w:pStyle w:val="Sinespaciado"/>
        <w:spacing w:line="360" w:lineRule="auto"/>
        <w:jc w:val="both"/>
        <w:rPr>
          <w:rFonts w:ascii="Palatino Linotype" w:hAnsi="Palatino Linotype"/>
          <w:sz w:val="24"/>
          <w:szCs w:val="24"/>
        </w:rPr>
      </w:pPr>
    </w:p>
    <w:p w:rsidR="008112AB" w:rsidRPr="0014447C" w:rsidRDefault="008112AB" w:rsidP="008112AB">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8112AB" w:rsidRDefault="008112AB" w:rsidP="008112AB">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se advierte que </w:t>
      </w:r>
      <w:r w:rsidRPr="007A5C00">
        <w:rPr>
          <w:rFonts w:ascii="Palatino Linotype" w:eastAsia="Calibri" w:hAnsi="Palatino Linotype" w:cs="Arial"/>
          <w:sz w:val="24"/>
          <w:szCs w:val="24"/>
        </w:rPr>
        <w:t>El Sujeto Obligado</w:t>
      </w:r>
      <w:r>
        <w:rPr>
          <w:rFonts w:ascii="Palatino Linotype" w:eastAsia="Calibri" w:hAnsi="Palatino Linotype" w:cs="Arial"/>
          <w:sz w:val="24"/>
          <w:szCs w:val="24"/>
        </w:rPr>
        <w:t xml:space="preserve"> omitió rendir su informe justificado, de igual forma se advierte que</w:t>
      </w:r>
      <w:r w:rsidRPr="007A5C00">
        <w:rPr>
          <w:rFonts w:ascii="Palatino Linotype" w:eastAsia="Calibri" w:hAnsi="Palatino Linotype" w:cs="Arial"/>
          <w:sz w:val="24"/>
          <w:szCs w:val="24"/>
        </w:rPr>
        <w:t xml:space="preserve"> </w:t>
      </w:r>
      <w:r>
        <w:rPr>
          <w:rFonts w:ascii="Palatino Linotype" w:eastAsia="Calibri" w:hAnsi="Palatino Linotype" w:cs="Arial"/>
          <w:sz w:val="24"/>
          <w:szCs w:val="24"/>
        </w:rPr>
        <w:t>la parte</w:t>
      </w:r>
      <w:r>
        <w:rPr>
          <w:rFonts w:ascii="Palatino Linotype" w:hAnsi="Palatino Linotype"/>
          <w:sz w:val="24"/>
          <w:szCs w:val="24"/>
        </w:rPr>
        <w:t xml:space="preserve"> Recurrente fue omisa en remitir manifestaciones y formular alegatos que a su derecho conviniera.</w:t>
      </w:r>
    </w:p>
    <w:p w:rsidR="008112AB" w:rsidRDefault="008112AB" w:rsidP="008112AB">
      <w:pPr>
        <w:pStyle w:val="Sinespaciado"/>
        <w:spacing w:line="360" w:lineRule="auto"/>
        <w:jc w:val="both"/>
        <w:rPr>
          <w:rFonts w:ascii="Palatino Linotype" w:hAnsi="Palatino Linotype"/>
          <w:sz w:val="24"/>
          <w:szCs w:val="24"/>
        </w:rPr>
      </w:pPr>
    </w:p>
    <w:p w:rsidR="008112AB" w:rsidRPr="0014447C" w:rsidRDefault="008112AB" w:rsidP="008112AB">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SEXTO. Del cierre de instrucción.</w:t>
      </w:r>
      <w:r w:rsidRPr="0014447C">
        <w:rPr>
          <w:rFonts w:ascii="Palatino Linotype" w:hAnsi="Palatino Linotype"/>
          <w:b/>
          <w:sz w:val="26"/>
          <w:szCs w:val="26"/>
        </w:rPr>
        <w:tab/>
      </w:r>
    </w:p>
    <w:p w:rsidR="008112AB" w:rsidRPr="0014447C" w:rsidRDefault="008112AB" w:rsidP="008112AB">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D72A3">
        <w:rPr>
          <w:rFonts w:ascii="Palatino Linotype" w:hAnsi="Palatino Linotype"/>
          <w:sz w:val="24"/>
          <w:szCs w:val="24"/>
        </w:rPr>
        <w:t>veintidós</w:t>
      </w:r>
      <w:r>
        <w:rPr>
          <w:rFonts w:ascii="Palatino Linotype" w:hAnsi="Palatino Linotype"/>
          <w:sz w:val="24"/>
          <w:szCs w:val="24"/>
        </w:rPr>
        <w:t xml:space="preserve"> de enero de dos mil veinte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8112AB" w:rsidRDefault="008112AB" w:rsidP="008112AB">
      <w:pPr>
        <w:pStyle w:val="Sinespaciado"/>
        <w:spacing w:line="360" w:lineRule="auto"/>
        <w:jc w:val="both"/>
        <w:rPr>
          <w:rFonts w:ascii="Palatino Linotype" w:hAnsi="Palatino Linotype"/>
          <w:sz w:val="24"/>
          <w:szCs w:val="24"/>
        </w:rPr>
      </w:pPr>
    </w:p>
    <w:p w:rsidR="008112AB" w:rsidRDefault="008112AB" w:rsidP="008112AB">
      <w:pPr>
        <w:pStyle w:val="Sinespaciado"/>
        <w:spacing w:line="360" w:lineRule="auto"/>
        <w:jc w:val="both"/>
        <w:rPr>
          <w:rFonts w:ascii="Palatino Linotype" w:hAnsi="Palatino Linotype"/>
          <w:sz w:val="24"/>
          <w:szCs w:val="24"/>
        </w:rPr>
      </w:pPr>
    </w:p>
    <w:p w:rsidR="008112AB" w:rsidRPr="00915450" w:rsidRDefault="008112AB" w:rsidP="008112AB">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8112AB" w:rsidRDefault="008112AB" w:rsidP="008112AB">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8D72A3">
        <w:rPr>
          <w:rFonts w:ascii="Palatino Linotype" w:hAnsi="Palatino Linotype" w:cs="Arial"/>
          <w:sz w:val="24"/>
          <w:szCs w:val="24"/>
        </w:rPr>
        <w:t>veinticinco</w:t>
      </w:r>
      <w:r>
        <w:rPr>
          <w:rFonts w:ascii="Palatino Linotype" w:hAnsi="Palatino Linotype" w:cs="Arial"/>
          <w:sz w:val="24"/>
          <w:szCs w:val="24"/>
        </w:rPr>
        <w:t xml:space="preserve"> de febrero</w:t>
      </w:r>
      <w:r w:rsidRPr="00CA5653">
        <w:rPr>
          <w:rFonts w:ascii="Palatino Linotype" w:hAnsi="Palatino Linotype" w:cs="Arial"/>
          <w:sz w:val="24"/>
          <w:szCs w:val="24"/>
        </w:rPr>
        <w:t xml:space="preserve"> de dos mil ve</w:t>
      </w:r>
      <w:r>
        <w:rPr>
          <w:rFonts w:ascii="Palatino Linotype" w:hAnsi="Palatino Linotype" w:cs="Arial"/>
          <w:sz w:val="24"/>
          <w:szCs w:val="24"/>
        </w:rPr>
        <w:t>inte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8112AB" w:rsidRDefault="008112AB" w:rsidP="008112AB">
      <w:pPr>
        <w:pStyle w:val="Sinespaciado"/>
        <w:spacing w:line="360" w:lineRule="auto"/>
        <w:jc w:val="center"/>
        <w:rPr>
          <w:rFonts w:ascii="Palatino Linotype" w:hAnsi="Palatino Linotype"/>
          <w:b/>
          <w:sz w:val="28"/>
          <w:szCs w:val="28"/>
        </w:rPr>
      </w:pPr>
    </w:p>
    <w:p w:rsidR="008112AB" w:rsidRPr="0014447C" w:rsidRDefault="008112AB" w:rsidP="008112AB">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8112AB" w:rsidRDefault="008112AB" w:rsidP="008112AB">
      <w:pPr>
        <w:pStyle w:val="Sinespaciado"/>
        <w:spacing w:line="360" w:lineRule="auto"/>
        <w:jc w:val="both"/>
        <w:rPr>
          <w:rFonts w:ascii="Palatino Linotype" w:hAnsi="Palatino Linotype"/>
          <w:b/>
          <w:sz w:val="26"/>
          <w:szCs w:val="26"/>
        </w:rPr>
      </w:pPr>
    </w:p>
    <w:p w:rsidR="008112AB" w:rsidRPr="0014447C" w:rsidRDefault="008112AB" w:rsidP="008112AB">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8112AB" w:rsidRDefault="008112AB" w:rsidP="008112AB">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w:t>
      </w:r>
      <w:r>
        <w:rPr>
          <w:rFonts w:ascii="Palatino Linotype" w:hAnsi="Palatino Linotype"/>
          <w:sz w:val="24"/>
          <w:szCs w:val="24"/>
        </w:rPr>
        <w:t xml:space="preserve"> segundo</w:t>
      </w:r>
      <w:r w:rsidRPr="0014447C">
        <w:rPr>
          <w:rFonts w:ascii="Palatino Linotype" w:hAnsi="Palatino Linotype"/>
          <w:sz w:val="24"/>
          <w:szCs w:val="24"/>
        </w:rPr>
        <w:t xml:space="preserve">, vigésimo </w:t>
      </w:r>
      <w:r>
        <w:rPr>
          <w:rFonts w:ascii="Palatino Linotype" w:hAnsi="Palatino Linotype"/>
          <w:sz w:val="24"/>
          <w:szCs w:val="24"/>
        </w:rPr>
        <w:t>terce</w:t>
      </w:r>
      <w:r w:rsidRPr="0014447C">
        <w:rPr>
          <w:rFonts w:ascii="Palatino Linotype" w:hAnsi="Palatino Linotype"/>
          <w:sz w:val="24"/>
          <w:szCs w:val="24"/>
        </w:rPr>
        <w:t xml:space="preserve">ro y vigésimo </w:t>
      </w:r>
      <w:r>
        <w:rPr>
          <w:rFonts w:ascii="Palatino Linotype" w:hAnsi="Palatino Linotype"/>
          <w:sz w:val="24"/>
          <w:szCs w:val="24"/>
        </w:rPr>
        <w:t>cuart</w:t>
      </w:r>
      <w:r w:rsidRPr="0014447C">
        <w:rPr>
          <w:rFonts w:ascii="Palatino Linotype" w:hAnsi="Palatino Linotype"/>
          <w:sz w:val="24"/>
          <w:szCs w:val="24"/>
        </w:rPr>
        <w:t>o fracción IV de la Constitución Política del Estado Libre y Soberano de México, 1, 2 fracción II, 13, 29, 36 fracciones II</w:t>
      </w:r>
      <w:r>
        <w:rPr>
          <w:rFonts w:ascii="Palatino Linotype" w:hAnsi="Palatino Linotype"/>
          <w:sz w:val="24"/>
          <w:szCs w:val="24"/>
        </w:rPr>
        <w:t xml:space="preserve"> y III, 176, 178, 179 fracción V</w:t>
      </w:r>
      <w:r w:rsidRPr="0014447C">
        <w:rPr>
          <w:rFonts w:ascii="Palatino Linotype" w:hAnsi="Palatino Linotype"/>
          <w:sz w:val="24"/>
          <w:szCs w:val="24"/>
        </w:rPr>
        <w:t xml:space="preserve">, 181 párrafo tercero, 182, 185, 188 y </w:t>
      </w:r>
      <w:r w:rsidRPr="0014447C">
        <w:rPr>
          <w:rFonts w:ascii="Palatino Linotype" w:hAnsi="Palatino Linotype"/>
          <w:sz w:val="24"/>
          <w:szCs w:val="24"/>
        </w:rPr>
        <w:lastRenderedPageBreak/>
        <w:t>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8112AB" w:rsidRPr="00937BFA" w:rsidRDefault="008112AB" w:rsidP="008112AB">
      <w:pPr>
        <w:pStyle w:val="Sinespaciado"/>
        <w:spacing w:line="360" w:lineRule="auto"/>
        <w:jc w:val="both"/>
        <w:rPr>
          <w:rFonts w:ascii="Palatino Linotype" w:hAnsi="Palatino Linotype"/>
          <w:sz w:val="24"/>
          <w:szCs w:val="24"/>
        </w:rPr>
      </w:pPr>
    </w:p>
    <w:p w:rsidR="008112AB" w:rsidRDefault="008112AB" w:rsidP="008112AB">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8112AB" w:rsidRPr="0014447C" w:rsidRDefault="008112AB" w:rsidP="008112AB">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8112AB" w:rsidRDefault="008112AB" w:rsidP="008112AB">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8112AB" w:rsidRDefault="008112AB" w:rsidP="008112AB">
      <w:pPr>
        <w:pStyle w:val="Sinespaciado"/>
        <w:spacing w:line="360" w:lineRule="auto"/>
        <w:jc w:val="both"/>
        <w:rPr>
          <w:rFonts w:ascii="Palatino Linotype" w:hAnsi="Palatino Linotype"/>
          <w:sz w:val="24"/>
          <w:szCs w:val="24"/>
        </w:rPr>
      </w:pP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“Artículo 180. El recurso de revisión contendrá: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 El sujeto obligado ante la cual se presentó la solicitud;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1A79B6">
        <w:rPr>
          <w:rFonts w:ascii="Palatino Linotype" w:hAnsi="Palatino Linotype" w:cs="Arial"/>
          <w:b/>
          <w:i/>
          <w:szCs w:val="24"/>
        </w:rPr>
        <w:t>II. El nombre del solicitante que recurre o de su representante</w:t>
      </w:r>
      <w:r w:rsidRPr="005A46CE">
        <w:rPr>
          <w:rFonts w:ascii="Palatino Linotype" w:hAnsi="Palatino Linotype" w:cs="Arial"/>
          <w:i/>
          <w:szCs w:val="24"/>
        </w:rPr>
        <w:t xml:space="preserve"> y, en su caso, del tercero interesado, así como la dirección o medio que señale para recibir notificaciones;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III. El número de folio de respuesta de la solicitud de acceso;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lastRenderedPageBreak/>
        <w:t xml:space="preserve">IV. La fecha en que fue notificada la respuesta al solicitante o tuvo conocimiento del acto reclamado, o de presentación de la solicitud, en caso de falta de respuesta;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 El acto que se recurre;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 Las razones o motivos de inconformidad;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 La copia de la respuesta que se impugna y, en su caso, de la notificación correspondiente, en el caso de respuesta de la solicitud; y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VIII. Firma del recurrente, en su caso, cuando se presente por escrito, requisito sin el cual se dará trámite al recurso.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En caso de que el recurso se interponga de manera electrónica no será indispensable que contengan los requisitos establecidos en las fracciones II, IV, VII y VIII.”</w:t>
      </w:r>
    </w:p>
    <w:p w:rsidR="008112AB" w:rsidRPr="005A46CE" w:rsidRDefault="008112AB" w:rsidP="008112AB">
      <w:pPr>
        <w:autoSpaceDE w:val="0"/>
        <w:autoSpaceDN w:val="0"/>
        <w:adjustRightInd w:val="0"/>
        <w:spacing w:after="0" w:line="240" w:lineRule="auto"/>
        <w:ind w:left="567" w:right="567"/>
        <w:jc w:val="both"/>
        <w:rPr>
          <w:rFonts w:ascii="Palatino Linotype" w:hAnsi="Palatino Linotype" w:cs="Arial"/>
          <w:i/>
          <w:szCs w:val="24"/>
        </w:rPr>
      </w:pPr>
    </w:p>
    <w:p w:rsidR="008112AB" w:rsidRPr="005A46CE" w:rsidRDefault="008112AB" w:rsidP="008112AB">
      <w:pPr>
        <w:autoSpaceDE w:val="0"/>
        <w:autoSpaceDN w:val="0"/>
        <w:adjustRightInd w:val="0"/>
        <w:spacing w:after="0" w:line="240" w:lineRule="auto"/>
        <w:ind w:left="567" w:right="567"/>
        <w:jc w:val="right"/>
        <w:rPr>
          <w:rFonts w:ascii="Palatino Linotype" w:hAnsi="Palatino Linotype" w:cs="Arial"/>
          <w:i/>
          <w:szCs w:val="24"/>
        </w:rPr>
      </w:pPr>
      <w:r w:rsidRPr="005A46CE">
        <w:rPr>
          <w:rFonts w:ascii="Palatino Linotype" w:hAnsi="Palatino Linotype" w:cs="Arial"/>
          <w:i/>
          <w:szCs w:val="24"/>
        </w:rPr>
        <w:t>(Énfasis añadido)</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w:t>
      </w:r>
      <w:r>
        <w:rPr>
          <w:rFonts w:ascii="Palatino Linotype" w:hAnsi="Palatino Linotype" w:cs="Arial"/>
          <w:sz w:val="24"/>
          <w:szCs w:val="24"/>
        </w:rPr>
        <w:t>la parte</w:t>
      </w:r>
      <w:r w:rsidRPr="00D97FA4">
        <w:rPr>
          <w:rFonts w:ascii="Palatino Linotype" w:hAnsi="Palatino Linotype" w:cs="Arial"/>
          <w:sz w:val="24"/>
          <w:szCs w:val="24"/>
        </w:rPr>
        <w:t xml:space="preserve"> solicitante y ahora recurrente, en ejercicio de su derecho de acceso a la información pública, no proporcionó un nombre para que sea identificado, ya que en el apartado de “DATOS DEL SOLICITANTE”, </w:t>
      </w:r>
      <w:r>
        <w:rPr>
          <w:rFonts w:ascii="Palatino Linotype" w:hAnsi="Palatino Linotype" w:cs="Arial"/>
          <w:sz w:val="24"/>
          <w:szCs w:val="24"/>
        </w:rPr>
        <w:t>dejó espacios en blanco</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w:t>
      </w:r>
      <w:r w:rsidRPr="00D97FA4">
        <w:rPr>
          <w:rFonts w:ascii="Palatino Linotype" w:hAnsi="Palatino Linotype" w:cs="Arial"/>
          <w:sz w:val="24"/>
          <w:szCs w:val="24"/>
        </w:rPr>
        <w:lastRenderedPageBreak/>
        <w:t>y, en su caso, los recurrentes deban señalar, por el contrario la Ley de Transparencia prevé en su artículo 155, párrafo segundo la posibilidad de que las solicitudes de información sean anónimas, con nombre incompleto o seudónimo.</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112AB"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6E77FD" w:rsidRDefault="008112AB" w:rsidP="008112AB">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8112AB" w:rsidRPr="006E77FD" w:rsidRDefault="008112AB" w:rsidP="008112AB">
      <w:pPr>
        <w:autoSpaceDE w:val="0"/>
        <w:autoSpaceDN w:val="0"/>
        <w:adjustRightInd w:val="0"/>
        <w:spacing w:after="0" w:line="240" w:lineRule="auto"/>
        <w:jc w:val="both"/>
        <w:rPr>
          <w:rFonts w:ascii="Palatino Linotype" w:hAnsi="Palatino Linotype" w:cs="Arial"/>
        </w:rPr>
      </w:pPr>
    </w:p>
    <w:p w:rsidR="008112AB" w:rsidRPr="006E77FD" w:rsidRDefault="008112AB" w:rsidP="008112AB">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97FA4">
        <w:rPr>
          <w:rFonts w:ascii="Palatino Linotype" w:hAnsi="Palatino Linotype" w:cs="Arial"/>
          <w:i/>
          <w:szCs w:val="24"/>
        </w:rPr>
        <w:lastRenderedPageBreak/>
        <w:t>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8112AB" w:rsidRDefault="008112AB" w:rsidP="008112AB">
      <w:pPr>
        <w:autoSpaceDE w:val="0"/>
        <w:autoSpaceDN w:val="0"/>
        <w:adjustRightInd w:val="0"/>
        <w:spacing w:after="0" w:line="240" w:lineRule="auto"/>
        <w:ind w:left="567" w:right="567"/>
        <w:jc w:val="both"/>
        <w:rPr>
          <w:rFonts w:ascii="Palatino Linotype" w:hAnsi="Palatino Linotype" w:cs="Arial"/>
          <w:i/>
          <w:szCs w:val="24"/>
        </w:rPr>
      </w:pPr>
    </w:p>
    <w:p w:rsidR="008112AB" w:rsidRDefault="008112AB" w:rsidP="008112AB">
      <w:pPr>
        <w:autoSpaceDE w:val="0"/>
        <w:autoSpaceDN w:val="0"/>
        <w:adjustRightInd w:val="0"/>
        <w:spacing w:after="0" w:line="240" w:lineRule="auto"/>
        <w:ind w:left="567" w:right="567"/>
        <w:jc w:val="both"/>
        <w:rPr>
          <w:rFonts w:ascii="Palatino Linotype" w:hAnsi="Palatino Linotype" w:cs="Arial"/>
          <w:i/>
          <w:szCs w:val="24"/>
        </w:rPr>
      </w:pPr>
    </w:p>
    <w:p w:rsidR="008112AB" w:rsidRPr="00D97FA4" w:rsidRDefault="008112AB" w:rsidP="008112AB">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8112AB" w:rsidRDefault="008112AB" w:rsidP="008112AB">
      <w:pPr>
        <w:autoSpaceDE w:val="0"/>
        <w:autoSpaceDN w:val="0"/>
        <w:adjustRightInd w:val="0"/>
        <w:spacing w:after="0" w:line="240" w:lineRule="auto"/>
        <w:ind w:left="567" w:right="567"/>
        <w:jc w:val="both"/>
        <w:rPr>
          <w:rFonts w:ascii="Palatino Linotype" w:hAnsi="Palatino Linotype" w:cs="Arial"/>
          <w:i/>
          <w:szCs w:val="24"/>
        </w:rPr>
      </w:pP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D97FA4">
        <w:rPr>
          <w:rFonts w:ascii="Palatino Linotype" w:hAnsi="Palatino Linotype" w:cs="Arial"/>
          <w:i/>
          <w:szCs w:val="24"/>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8112AB" w:rsidRPr="00D97FA4" w:rsidRDefault="008112AB" w:rsidP="008112AB">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8112AB"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Default="008112AB" w:rsidP="008112A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112AB"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w:t>
      </w:r>
      <w:r w:rsidRPr="00D97FA4">
        <w:rPr>
          <w:rFonts w:ascii="Palatino Linotype" w:hAnsi="Palatino Linotype" w:cs="Arial"/>
          <w:sz w:val="24"/>
          <w:szCs w:val="24"/>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Resoluciones</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5275/13. Interpuesto en contra de la Secretaría de la Defensa Nacional. Comisionado Ponente Ángel Trinidad Zaldívar.</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2937/13. Interpuesto en contra de LICONSA, S.A. de C.V. Comisionado. Ponente Gerardo Laveaga Rendón.</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3609/12. Interpuesto en contra de la Secretaría de Educación Pública. Comisionada Ponente Sigrid Arzt Colunga.</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3361/12. Interpuesto en contra del Servicio de Administración Tributaria. Comisionada Ponente María Elena Pérez-Jaén Zermeño.</w:t>
      </w:r>
    </w:p>
    <w:p w:rsidR="008112AB" w:rsidRPr="00D97FA4" w:rsidRDefault="008112AB" w:rsidP="008112AB">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 RDA 0563/12. Interpuesto en contra de la Secretaría de la Función Pública. Comisionada Ponente Jacqueline Peschard Mariscal.”</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Default="008112AB" w:rsidP="008112A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lastRenderedPageBreak/>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w:t>
      </w:r>
      <w:r w:rsidRPr="00D97FA4">
        <w:rPr>
          <w:rFonts w:ascii="Palatino Linotype" w:hAnsi="Palatino Linotype" w:cs="Arial"/>
          <w:sz w:val="24"/>
          <w:szCs w:val="24"/>
        </w:rPr>
        <w:lastRenderedPageBreak/>
        <w:t>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rsidR="008112AB" w:rsidRPr="00D97FA4" w:rsidRDefault="008112AB" w:rsidP="008112AB">
      <w:pPr>
        <w:autoSpaceDE w:val="0"/>
        <w:autoSpaceDN w:val="0"/>
        <w:adjustRightInd w:val="0"/>
        <w:spacing w:after="0" w:line="360" w:lineRule="auto"/>
        <w:jc w:val="both"/>
        <w:rPr>
          <w:rFonts w:ascii="Palatino Linotype" w:hAnsi="Palatino Linotype" w:cs="Arial"/>
          <w:sz w:val="24"/>
          <w:szCs w:val="24"/>
        </w:rPr>
      </w:pPr>
    </w:p>
    <w:p w:rsidR="008112AB" w:rsidRDefault="008112AB" w:rsidP="008112AB">
      <w:pPr>
        <w:pStyle w:val="Sinespaciado"/>
        <w:spacing w:line="360" w:lineRule="auto"/>
        <w:jc w:val="both"/>
        <w:rPr>
          <w:rFonts w:ascii="Palatino Linotype" w:hAnsi="Palatino Linotype" w:cs="Arial"/>
          <w:sz w:val="24"/>
          <w:szCs w:val="24"/>
        </w:rPr>
      </w:pPr>
      <w:r w:rsidRPr="00D97FA4">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8112AB" w:rsidRDefault="008112AB" w:rsidP="008112AB">
      <w:pPr>
        <w:pStyle w:val="Sinespaciado"/>
        <w:spacing w:line="360" w:lineRule="auto"/>
        <w:jc w:val="both"/>
        <w:rPr>
          <w:rFonts w:ascii="Palatino Linotype" w:hAnsi="Palatino Linotype"/>
          <w:sz w:val="24"/>
          <w:szCs w:val="24"/>
        </w:rPr>
      </w:pPr>
    </w:p>
    <w:p w:rsidR="008112AB" w:rsidRPr="004F59FF" w:rsidRDefault="008112AB" w:rsidP="008112AB">
      <w:pPr>
        <w:pStyle w:val="Sinespaciado"/>
        <w:jc w:val="both"/>
        <w:rPr>
          <w:rFonts w:ascii="Palatino Linotype" w:hAnsi="Palatino Linotype"/>
          <w:b/>
          <w:sz w:val="14"/>
          <w:szCs w:val="26"/>
          <w:lang w:val="es-ES"/>
        </w:rPr>
      </w:pPr>
    </w:p>
    <w:p w:rsidR="008112AB" w:rsidRPr="0014447C" w:rsidRDefault="008112AB" w:rsidP="008112AB">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rsidR="008112AB" w:rsidRPr="0014447C" w:rsidRDefault="008112AB" w:rsidP="008112AB">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112AB" w:rsidRPr="0014447C" w:rsidRDefault="008112AB" w:rsidP="008112AB">
      <w:pPr>
        <w:pStyle w:val="Sinespaciado"/>
        <w:spacing w:line="360" w:lineRule="auto"/>
        <w:jc w:val="both"/>
        <w:rPr>
          <w:rFonts w:ascii="Palatino Linotype" w:hAnsi="Palatino Linotype"/>
          <w:sz w:val="24"/>
          <w:szCs w:val="24"/>
        </w:rPr>
      </w:pPr>
    </w:p>
    <w:p w:rsidR="008112AB" w:rsidRDefault="008112AB" w:rsidP="008112AB">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lastRenderedPageBreak/>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8112AB" w:rsidRPr="0014447C" w:rsidRDefault="008112AB" w:rsidP="008112AB">
      <w:pPr>
        <w:pStyle w:val="Sinespaciado"/>
        <w:spacing w:line="360" w:lineRule="auto"/>
        <w:jc w:val="both"/>
        <w:rPr>
          <w:rFonts w:ascii="Palatino Linotype" w:hAnsi="Palatino Linotype"/>
          <w:sz w:val="24"/>
          <w:szCs w:val="24"/>
        </w:rPr>
      </w:pPr>
    </w:p>
    <w:p w:rsidR="008112AB" w:rsidRDefault="008112AB" w:rsidP="008112AB">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8112AB" w:rsidRDefault="008112AB" w:rsidP="008112AB">
      <w:pPr>
        <w:pStyle w:val="Sinespaciado"/>
        <w:spacing w:line="360" w:lineRule="auto"/>
        <w:jc w:val="both"/>
        <w:rPr>
          <w:rFonts w:ascii="Palatino Linotype" w:hAnsi="Palatino Linotype"/>
          <w:sz w:val="24"/>
          <w:szCs w:val="24"/>
        </w:rPr>
      </w:pPr>
    </w:p>
    <w:p w:rsidR="008112AB" w:rsidRDefault="008112AB" w:rsidP="008112AB">
      <w:pPr>
        <w:pStyle w:val="Sinespaciado"/>
        <w:spacing w:line="360" w:lineRule="auto"/>
        <w:jc w:val="both"/>
        <w:rPr>
          <w:rFonts w:ascii="Palatino Linotype" w:hAnsi="Palatino Linotype"/>
          <w:sz w:val="24"/>
          <w:szCs w:val="24"/>
        </w:rPr>
      </w:pPr>
    </w:p>
    <w:p w:rsidR="008112AB" w:rsidRDefault="008112AB" w:rsidP="008112AB">
      <w:pPr>
        <w:pStyle w:val="Sinespaciado"/>
        <w:spacing w:line="360" w:lineRule="auto"/>
        <w:jc w:val="both"/>
        <w:rPr>
          <w:rFonts w:ascii="Palatino Linotype" w:hAnsi="Palatino Linotype"/>
          <w:b/>
          <w:sz w:val="26"/>
          <w:szCs w:val="26"/>
        </w:rPr>
      </w:pPr>
      <w:r>
        <w:rPr>
          <w:rFonts w:ascii="Palatino Linotype" w:hAnsi="Palatino Linotype"/>
          <w:b/>
          <w:sz w:val="26"/>
          <w:szCs w:val="26"/>
        </w:rPr>
        <w:t xml:space="preserve">CUARTO. </w:t>
      </w:r>
      <w:r w:rsidRPr="0014447C">
        <w:rPr>
          <w:rFonts w:ascii="Palatino Linotype" w:hAnsi="Palatino Linotype"/>
          <w:b/>
          <w:sz w:val="26"/>
          <w:szCs w:val="26"/>
        </w:rPr>
        <w:t>Estudio y resolución del asunto.</w:t>
      </w:r>
    </w:p>
    <w:p w:rsidR="008112AB" w:rsidRDefault="008112AB" w:rsidP="008112AB">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8112AB" w:rsidRPr="009D787B" w:rsidRDefault="008112AB" w:rsidP="008112AB">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rsidR="008112AB" w:rsidRPr="00382AD8" w:rsidRDefault="008112AB" w:rsidP="008112AB">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rsidR="008112AB" w:rsidRDefault="008112AB" w:rsidP="008112AB">
      <w:pPr>
        <w:spacing w:after="0" w:line="360" w:lineRule="auto"/>
        <w:ind w:left="680"/>
        <w:jc w:val="both"/>
        <w:rPr>
          <w:rFonts w:ascii="Palatino Linotype" w:hAnsi="Palatino Linotype" w:cs="Arial"/>
          <w:color w:val="000000" w:themeColor="text1"/>
          <w:sz w:val="24"/>
          <w:szCs w:val="24"/>
        </w:rPr>
      </w:pPr>
    </w:p>
    <w:p w:rsidR="008112AB" w:rsidRPr="007309CC" w:rsidRDefault="008112AB" w:rsidP="008112AB">
      <w:pPr>
        <w:spacing w:after="0" w:line="360" w:lineRule="auto"/>
        <w:ind w:left="680"/>
        <w:jc w:val="both"/>
        <w:rPr>
          <w:rFonts w:ascii="Palatino Linotype" w:hAnsi="Palatino Linotype" w:cs="Arial"/>
          <w:color w:val="000000" w:themeColor="text1"/>
          <w:sz w:val="24"/>
          <w:szCs w:val="24"/>
        </w:rPr>
      </w:pP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rsidR="008112AB" w:rsidRPr="007309CC" w:rsidRDefault="008112AB" w:rsidP="008112AB">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rsidR="008112AB" w:rsidRPr="007309CC" w:rsidRDefault="008112AB" w:rsidP="008112AB">
      <w:pPr>
        <w:spacing w:after="0" w:line="240" w:lineRule="auto"/>
        <w:ind w:left="680" w:right="850"/>
        <w:jc w:val="both"/>
        <w:rPr>
          <w:rFonts w:ascii="Palatino Linotype" w:hAnsi="Palatino Linotype" w:cs="Times New Roman"/>
          <w:b/>
          <w:bCs/>
          <w:i/>
          <w:color w:val="000000" w:themeColor="text1"/>
          <w:sz w:val="24"/>
        </w:rPr>
      </w:pP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lastRenderedPageBreak/>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112AB" w:rsidRPr="007309CC" w:rsidRDefault="008112AB" w:rsidP="008112AB">
      <w:pPr>
        <w:spacing w:after="0" w:line="240" w:lineRule="auto"/>
        <w:ind w:left="680" w:right="850"/>
        <w:jc w:val="both"/>
        <w:rPr>
          <w:rFonts w:ascii="Palatino Linotype" w:hAnsi="Palatino Linotype" w:cs="Times New Roman"/>
          <w:b/>
          <w:bCs/>
          <w:i/>
          <w:color w:val="000000" w:themeColor="text1"/>
          <w:sz w:val="24"/>
        </w:rPr>
      </w:pPr>
    </w:p>
    <w:p w:rsidR="008112AB" w:rsidRPr="007309CC" w:rsidRDefault="008112AB" w:rsidP="008112AB">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8112AB" w:rsidRPr="007309CC" w:rsidRDefault="008112AB" w:rsidP="008112AB">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rsidR="008112AB" w:rsidRPr="007309CC" w:rsidRDefault="008112AB" w:rsidP="008112AB">
      <w:pPr>
        <w:spacing w:after="0" w:line="240" w:lineRule="auto"/>
        <w:ind w:left="680" w:right="850"/>
        <w:jc w:val="both"/>
        <w:rPr>
          <w:rFonts w:ascii="Palatino Linotype" w:hAnsi="Palatino Linotype" w:cs="Times New Roman"/>
          <w:b/>
          <w:bCs/>
          <w:i/>
          <w:color w:val="000000" w:themeColor="text1"/>
          <w:sz w:val="24"/>
        </w:rPr>
      </w:pP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u w:val="single"/>
        </w:rPr>
      </w:pP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rsidR="008112AB" w:rsidRPr="007309CC" w:rsidRDefault="008112AB" w:rsidP="008112AB">
      <w:pPr>
        <w:spacing w:after="0" w:line="240" w:lineRule="auto"/>
        <w:ind w:left="680" w:right="850"/>
        <w:jc w:val="both"/>
        <w:rPr>
          <w:rFonts w:ascii="Palatino Linotype" w:hAnsi="Palatino Linotype" w:cs="Times New Roman"/>
          <w:b/>
          <w:bCs/>
          <w:i/>
          <w:color w:val="000000" w:themeColor="text1"/>
          <w:sz w:val="24"/>
        </w:rPr>
      </w:pP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rsidR="008112AB" w:rsidRPr="007309CC" w:rsidRDefault="008112AB" w:rsidP="008112AB">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rsidR="008112AB" w:rsidRPr="007309CC" w:rsidRDefault="008112AB" w:rsidP="008112AB">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rsidR="008112AB" w:rsidRPr="007309CC" w:rsidRDefault="008112AB" w:rsidP="008112AB">
      <w:pPr>
        <w:spacing w:after="0" w:line="240" w:lineRule="auto"/>
        <w:ind w:left="680" w:right="850"/>
        <w:jc w:val="both"/>
        <w:rPr>
          <w:rFonts w:ascii="Palatino Linotype" w:hAnsi="Palatino Linotype" w:cs="Times New Roman"/>
          <w:b/>
          <w:bCs/>
          <w:i/>
          <w:color w:val="000000" w:themeColor="text1"/>
          <w:sz w:val="24"/>
        </w:rPr>
      </w:pPr>
    </w:p>
    <w:p w:rsidR="008112AB" w:rsidRPr="007309CC" w:rsidRDefault="008112AB" w:rsidP="008112AB">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rsidR="008112AB" w:rsidRPr="007309CC" w:rsidRDefault="008112AB" w:rsidP="008112AB">
      <w:pPr>
        <w:spacing w:after="0" w:line="240" w:lineRule="auto"/>
        <w:ind w:left="680" w:right="850"/>
        <w:jc w:val="both"/>
        <w:rPr>
          <w:rFonts w:ascii="Palatino Linotype" w:hAnsi="Palatino Linotype" w:cs="Times New Roman"/>
          <w:bCs/>
          <w:i/>
          <w:color w:val="000000" w:themeColor="text1"/>
          <w:sz w:val="24"/>
        </w:rPr>
      </w:pP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En la administración, gestión y custodia de los archivos de información pública, los sujetos obligados, los servidores públicos habilitados y los servidores públicos en general, se ajustarán a lo establecido por la normatividad aplicable.</w:t>
      </w:r>
    </w:p>
    <w:p w:rsidR="008112AB" w:rsidRPr="007309CC" w:rsidRDefault="008112AB" w:rsidP="008112AB">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rsidR="008112AB" w:rsidRDefault="008112AB" w:rsidP="008112AB">
      <w:pPr>
        <w:spacing w:after="0" w:line="360" w:lineRule="auto"/>
        <w:ind w:left="851" w:right="851"/>
        <w:jc w:val="both"/>
        <w:rPr>
          <w:rFonts w:ascii="Palatino Linotype" w:hAnsi="Palatino Linotype" w:cs="Arial"/>
          <w:i/>
          <w:color w:val="000000" w:themeColor="text1"/>
        </w:rPr>
      </w:pPr>
    </w:p>
    <w:p w:rsidR="008112AB" w:rsidRPr="00382AD8" w:rsidRDefault="008112AB" w:rsidP="008112AB">
      <w:pPr>
        <w:spacing w:after="0" w:line="360" w:lineRule="auto"/>
        <w:ind w:left="851" w:right="851"/>
        <w:jc w:val="both"/>
        <w:rPr>
          <w:rFonts w:ascii="Palatino Linotype" w:hAnsi="Palatino Linotype" w:cs="Arial"/>
          <w:i/>
          <w:color w:val="000000" w:themeColor="text1"/>
        </w:rPr>
      </w:pPr>
    </w:p>
    <w:p w:rsidR="008112AB" w:rsidRDefault="008112AB" w:rsidP="008112AB">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8112AB" w:rsidRPr="00382AD8" w:rsidRDefault="008112AB" w:rsidP="008112AB">
      <w:pPr>
        <w:spacing w:after="0" w:line="360" w:lineRule="auto"/>
        <w:jc w:val="both"/>
        <w:rPr>
          <w:rFonts w:ascii="Palatino Linotype" w:hAnsi="Palatino Linotype" w:cs="Arial"/>
          <w:color w:val="000000" w:themeColor="text1"/>
          <w:sz w:val="24"/>
          <w:szCs w:val="24"/>
        </w:rPr>
      </w:pPr>
    </w:p>
    <w:p w:rsidR="008112AB" w:rsidRDefault="008112AB" w:rsidP="008112AB">
      <w:pPr>
        <w:pStyle w:val="Prrafodelista"/>
        <w:spacing w:line="360" w:lineRule="auto"/>
        <w:ind w:left="0"/>
        <w:jc w:val="both"/>
        <w:rPr>
          <w:rFonts w:ascii="Palatino Linotype" w:hAnsi="Palatino Linotype"/>
          <w:color w:val="000000"/>
        </w:rPr>
      </w:pPr>
      <w:r>
        <w:rPr>
          <w:rFonts w:ascii="Palatino Linotype" w:hAnsi="Palatino Linotype"/>
        </w:rPr>
        <w:lastRenderedPageBreak/>
        <w:t xml:space="preserve">Ahora bien resulta necesario retomar los requerimientos del solicitante que versan específicamente en lo siguiente: </w:t>
      </w:r>
      <w:r w:rsidRPr="0065657E">
        <w:rPr>
          <w:rFonts w:ascii="Palatino Linotype" w:hAnsi="Palatino Linotype"/>
          <w:i/>
          <w:sz w:val="22"/>
        </w:rPr>
        <w:t>“</w:t>
      </w:r>
      <w:r w:rsidR="004C7AC5">
        <w:rPr>
          <w:rFonts w:ascii="Palatino Linotype" w:hAnsi="Palatino Linotype"/>
          <w:i/>
          <w:sz w:val="22"/>
        </w:rPr>
        <w:t>Solicito el número de cuenta bancaria d</w:t>
      </w:r>
      <w:r w:rsidRPr="0065657E">
        <w:rPr>
          <w:rFonts w:ascii="Palatino Linotype" w:hAnsi="Palatino Linotype"/>
          <w:i/>
          <w:sz w:val="22"/>
        </w:rPr>
        <w:t>el municipio.</w:t>
      </w:r>
      <w:r>
        <w:rPr>
          <w:rFonts w:ascii="Palatino Linotype" w:hAnsi="Palatino Linotype"/>
          <w:i/>
          <w:sz w:val="22"/>
        </w:rPr>
        <w:t>”</w:t>
      </w:r>
      <w:r w:rsidRPr="004B1A67">
        <w:rPr>
          <w:rFonts w:ascii="Palatino Linotype" w:hAnsi="Palatino Linotype"/>
          <w:color w:val="000000"/>
        </w:rPr>
        <w:t xml:space="preserve"> </w:t>
      </w:r>
      <w:r>
        <w:rPr>
          <w:rFonts w:ascii="Palatino Linotype" w:hAnsi="Palatino Linotype"/>
          <w:color w:val="000000"/>
        </w:rPr>
        <w:t>al respecto el Sujeto Obligado remitió como respuesta la siguiente, tal y como se muestra a continuación:</w:t>
      </w:r>
    </w:p>
    <w:p w:rsidR="008112AB" w:rsidRDefault="008112AB" w:rsidP="008112AB">
      <w:pPr>
        <w:pStyle w:val="Prrafodelista"/>
        <w:spacing w:line="360" w:lineRule="auto"/>
        <w:ind w:left="0"/>
        <w:jc w:val="both"/>
        <w:rPr>
          <w:rFonts w:ascii="Palatino Linotype" w:hAnsi="Palatino Linotype"/>
          <w:color w:val="000000"/>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C7AC5" w:rsidRPr="009B76F3" w:rsidTr="00B100FB">
        <w:trPr>
          <w:trHeight w:val="300"/>
          <w:tblCellSpacing w:w="0" w:type="dxa"/>
          <w:jc w:val="center"/>
        </w:trPr>
        <w:tc>
          <w:tcPr>
            <w:tcW w:w="0" w:type="auto"/>
            <w:vAlign w:val="center"/>
            <w:hideMark/>
          </w:tcPr>
          <w:p w:rsidR="004C7AC5" w:rsidRPr="00324C1F" w:rsidRDefault="004C7AC5" w:rsidP="004C7AC5">
            <w:pPr>
              <w:ind w:left="1418" w:right="1144"/>
              <w:jc w:val="right"/>
              <w:rPr>
                <w:rFonts w:ascii="Palatino Linotype" w:hAnsi="Palatino Linotype"/>
                <w:i/>
              </w:rPr>
            </w:pPr>
            <w:r w:rsidRPr="00324C1F">
              <w:rPr>
                <w:rFonts w:ascii="Palatino Linotype" w:hAnsi="Palatino Linotype"/>
                <w:i/>
                <w:szCs w:val="18"/>
              </w:rPr>
              <w:t>Axapusco, México a 06 de Diciembre de 2019</w:t>
            </w:r>
          </w:p>
        </w:tc>
      </w:tr>
      <w:tr w:rsidR="004C7AC5" w:rsidRPr="009B76F3" w:rsidTr="00B100FB">
        <w:trPr>
          <w:trHeight w:val="300"/>
          <w:tblCellSpacing w:w="0" w:type="dxa"/>
          <w:jc w:val="center"/>
        </w:trPr>
        <w:tc>
          <w:tcPr>
            <w:tcW w:w="0" w:type="auto"/>
            <w:vAlign w:val="center"/>
            <w:hideMark/>
          </w:tcPr>
          <w:p w:rsidR="004C7AC5" w:rsidRPr="00324C1F" w:rsidRDefault="004C7AC5" w:rsidP="004C7AC5">
            <w:pPr>
              <w:ind w:left="1418" w:right="1144"/>
              <w:jc w:val="right"/>
              <w:rPr>
                <w:rFonts w:ascii="Palatino Linotype" w:hAnsi="Palatino Linotype"/>
                <w:i/>
              </w:rPr>
            </w:pPr>
            <w:r w:rsidRPr="00324C1F">
              <w:rPr>
                <w:rFonts w:ascii="Palatino Linotype" w:hAnsi="Palatino Linotype"/>
                <w:i/>
                <w:szCs w:val="18"/>
              </w:rPr>
              <w:t>Nombre del solicitante:</w:t>
            </w:r>
          </w:p>
        </w:tc>
      </w:tr>
      <w:tr w:rsidR="004C7AC5" w:rsidRPr="009B76F3" w:rsidTr="00B100FB">
        <w:trPr>
          <w:trHeight w:val="447"/>
          <w:tblCellSpacing w:w="0" w:type="dxa"/>
          <w:jc w:val="center"/>
        </w:trPr>
        <w:tc>
          <w:tcPr>
            <w:tcW w:w="0" w:type="auto"/>
            <w:vAlign w:val="center"/>
            <w:hideMark/>
          </w:tcPr>
          <w:p w:rsidR="004C7AC5" w:rsidRPr="00324C1F" w:rsidRDefault="004C7AC5" w:rsidP="004C7AC5">
            <w:pPr>
              <w:ind w:left="1418" w:right="1144"/>
              <w:jc w:val="right"/>
              <w:rPr>
                <w:rFonts w:ascii="Palatino Linotype" w:hAnsi="Palatino Linotype"/>
                <w:i/>
              </w:rPr>
            </w:pPr>
            <w:r w:rsidRPr="00324C1F">
              <w:rPr>
                <w:rFonts w:ascii="Palatino Linotype" w:hAnsi="Palatino Linotype"/>
                <w:i/>
                <w:szCs w:val="18"/>
              </w:rPr>
              <w:t>Folio de la solicitud: 00354/AXAPUSCO/IP/2019</w:t>
            </w:r>
          </w:p>
        </w:tc>
      </w:tr>
      <w:tr w:rsidR="004C7AC5" w:rsidRPr="009B76F3" w:rsidTr="00B100FB">
        <w:trPr>
          <w:trHeight w:val="300"/>
          <w:tblCellSpacing w:w="0" w:type="dxa"/>
          <w:jc w:val="center"/>
        </w:trPr>
        <w:tc>
          <w:tcPr>
            <w:tcW w:w="0" w:type="auto"/>
            <w:vAlign w:val="center"/>
            <w:hideMark/>
          </w:tcPr>
          <w:p w:rsidR="004C7AC5" w:rsidRPr="00324C1F" w:rsidRDefault="004C7AC5" w:rsidP="004C7AC5">
            <w:pPr>
              <w:ind w:left="1418" w:right="1144"/>
              <w:rPr>
                <w:rFonts w:ascii="Palatino Linotype" w:hAnsi="Palatino Linotype"/>
                <w:i/>
                <w:szCs w:val="20"/>
              </w:rPr>
            </w:pPr>
          </w:p>
        </w:tc>
      </w:tr>
      <w:tr w:rsidR="004C7AC5" w:rsidRPr="009B76F3" w:rsidTr="00B100FB">
        <w:trPr>
          <w:trHeight w:val="300"/>
          <w:tblCellSpacing w:w="0" w:type="dxa"/>
          <w:jc w:val="center"/>
        </w:trPr>
        <w:tc>
          <w:tcPr>
            <w:tcW w:w="0" w:type="auto"/>
            <w:vAlign w:val="center"/>
            <w:hideMark/>
          </w:tcPr>
          <w:p w:rsidR="004C7AC5" w:rsidRPr="00324C1F" w:rsidRDefault="004C7AC5" w:rsidP="004C7AC5">
            <w:pPr>
              <w:ind w:left="1418" w:right="1144"/>
              <w:rPr>
                <w:rFonts w:ascii="Palatino Linotype" w:hAnsi="Palatino Linotype"/>
                <w:i/>
                <w:szCs w:val="20"/>
              </w:rPr>
            </w:pPr>
          </w:p>
        </w:tc>
      </w:tr>
      <w:tr w:rsidR="004C7AC5" w:rsidRPr="009B76F3" w:rsidTr="00B100FB">
        <w:trPr>
          <w:trHeight w:val="300"/>
          <w:tblCellSpacing w:w="0" w:type="dxa"/>
          <w:jc w:val="center"/>
        </w:trPr>
        <w:tc>
          <w:tcPr>
            <w:tcW w:w="0" w:type="auto"/>
            <w:vAlign w:val="center"/>
            <w:hideMark/>
          </w:tcPr>
          <w:p w:rsidR="004C7AC5" w:rsidRDefault="004C7AC5" w:rsidP="004C7AC5">
            <w:pPr>
              <w:ind w:left="1418" w:right="1144"/>
              <w:jc w:val="both"/>
              <w:rPr>
                <w:rFonts w:ascii="Palatino Linotype" w:hAnsi="Palatino Linotype"/>
                <w:i/>
                <w:szCs w:val="18"/>
              </w:rPr>
            </w:pPr>
            <w:r w:rsidRPr="00324C1F">
              <w:rPr>
                <w:rFonts w:ascii="Palatino Linotype" w:hAnsi="Palatino Linotype"/>
                <w:i/>
                <w:szCs w:val="18"/>
              </w:rPr>
              <w:t>De conformidad con los artículos 150, 163 de la Ley de Transparencia y Acceso a la Información Pública del Estado de México y Municipios, otorgo la contestación a su solicitud por ello me permito informar que de acuerdo a su petición la información que solicita de acuerdo a la cuenta bancaria del municipio, me permito informarle que es de carácter confidencial. Sin en cambio puede presentarse ante las instalaciones de este municipio para aclarar las dudas que tenga y otorgarle la atención que merece. De igual manera anexo el siguiente correo electrónico axapusco@itaipem.org.mx para cualquier duda y/o aclaración. Sin más por el momento, reciba un cordial saludo.</w:t>
            </w:r>
          </w:p>
          <w:p w:rsidR="004C7AC5" w:rsidRDefault="004C7AC5" w:rsidP="004C7AC5">
            <w:pPr>
              <w:ind w:left="1418" w:right="1144"/>
              <w:jc w:val="both"/>
              <w:rPr>
                <w:rFonts w:ascii="Palatino Linotype" w:hAnsi="Palatino Linotype"/>
                <w:i/>
                <w:szCs w:val="18"/>
              </w:rPr>
            </w:pPr>
            <w:r>
              <w:rPr>
                <w:rFonts w:ascii="Palatino Linotype" w:hAnsi="Palatino Linotype"/>
                <w:i/>
                <w:szCs w:val="18"/>
              </w:rPr>
              <w:t>ATENTAMENTE</w:t>
            </w:r>
          </w:p>
          <w:p w:rsidR="004C7AC5" w:rsidRPr="00324C1F" w:rsidRDefault="004C7AC5" w:rsidP="004C7AC5">
            <w:pPr>
              <w:ind w:left="1418" w:right="1144"/>
              <w:jc w:val="both"/>
              <w:rPr>
                <w:rFonts w:ascii="Palatino Linotype" w:hAnsi="Palatino Linotype"/>
                <w:i/>
                <w:szCs w:val="24"/>
              </w:rPr>
            </w:pPr>
            <w:r>
              <w:rPr>
                <w:rFonts w:ascii="Palatino Linotype" w:hAnsi="Palatino Linotype"/>
                <w:i/>
                <w:szCs w:val="18"/>
              </w:rPr>
              <w:t>Lic. Diana Nallely López García</w:t>
            </w:r>
          </w:p>
        </w:tc>
      </w:tr>
      <w:tr w:rsidR="004C7AC5" w:rsidRPr="009B76F3" w:rsidTr="00B100FB">
        <w:trPr>
          <w:trHeight w:val="300"/>
          <w:tblCellSpacing w:w="0" w:type="dxa"/>
          <w:jc w:val="center"/>
        </w:trPr>
        <w:tc>
          <w:tcPr>
            <w:tcW w:w="0" w:type="auto"/>
            <w:vAlign w:val="center"/>
            <w:hideMark/>
          </w:tcPr>
          <w:p w:rsidR="004C7AC5" w:rsidRPr="00324C1F" w:rsidRDefault="004C7AC5" w:rsidP="004C7AC5">
            <w:pPr>
              <w:ind w:left="1418" w:right="1144"/>
              <w:jc w:val="right"/>
              <w:rPr>
                <w:rFonts w:ascii="Palatino Linotype" w:hAnsi="Palatino Linotype"/>
                <w:i/>
              </w:rPr>
            </w:pPr>
          </w:p>
        </w:tc>
      </w:tr>
    </w:tbl>
    <w:p w:rsidR="008112AB" w:rsidRDefault="008112AB" w:rsidP="008112AB">
      <w:pPr>
        <w:spacing w:before="240" w:after="240" w:line="360" w:lineRule="auto"/>
        <w:ind w:left="-567"/>
        <w:jc w:val="center"/>
        <w:rPr>
          <w:noProof/>
          <w:lang w:eastAsia="es-MX"/>
        </w:rPr>
      </w:pPr>
    </w:p>
    <w:p w:rsidR="008112AB" w:rsidRDefault="008112AB" w:rsidP="008112AB">
      <w:pPr>
        <w:spacing w:before="240" w:after="240" w:line="360" w:lineRule="auto"/>
        <w:jc w:val="center"/>
        <w:rPr>
          <w:rFonts w:ascii="Palatino Linotype" w:hAnsi="Palatino Linotype"/>
          <w:sz w:val="24"/>
        </w:rPr>
      </w:pPr>
    </w:p>
    <w:p w:rsidR="008112AB" w:rsidRPr="00FD7078" w:rsidRDefault="008112AB" w:rsidP="008112AB">
      <w:pPr>
        <w:spacing w:line="360" w:lineRule="auto"/>
        <w:jc w:val="both"/>
        <w:rPr>
          <w:rFonts w:ascii="Palatino Linotype" w:hAnsi="Palatino Linotype"/>
          <w:sz w:val="24"/>
        </w:rPr>
      </w:pPr>
      <w:r w:rsidRPr="00FD7078">
        <w:rPr>
          <w:rFonts w:ascii="Palatino Linotype" w:hAnsi="Palatino Linotype"/>
          <w:color w:val="000000"/>
          <w:sz w:val="24"/>
        </w:rPr>
        <w:t>Ahora bien en tiempo y forma la parte Recurrente suscribió recurso de revisión en donde manifestó que “</w:t>
      </w:r>
      <w:r w:rsidRPr="00FD7078">
        <w:rPr>
          <w:rFonts w:ascii="Palatino Linotype" w:hAnsi="Palatino Linotype"/>
          <w:i/>
          <w:color w:val="000000"/>
          <w:sz w:val="24"/>
        </w:rPr>
        <w:t xml:space="preserve">Me niegan mi derecho de acceso a la información porque no me </w:t>
      </w:r>
      <w:r w:rsidRPr="00FD7078">
        <w:rPr>
          <w:rFonts w:ascii="Palatino Linotype" w:hAnsi="Palatino Linotype"/>
          <w:i/>
          <w:color w:val="000000"/>
          <w:sz w:val="24"/>
        </w:rPr>
        <w:lastRenderedPageBreak/>
        <w:t>entregan la información que pedí en mi solicitud, no es posible que me digan que por la carga de trabajo no pueden atender mi solicitud.”</w:t>
      </w:r>
      <w:r w:rsidRPr="00FD7078">
        <w:rPr>
          <w:rFonts w:ascii="Palatino Linotype" w:hAnsi="Palatino Linotype"/>
          <w:sz w:val="24"/>
        </w:rPr>
        <w:t xml:space="preserve"> </w:t>
      </w:r>
    </w:p>
    <w:p w:rsidR="004C7AC5" w:rsidRPr="000C446F" w:rsidRDefault="006F4C69" w:rsidP="006F4C69">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Pr>
          <w:rFonts w:ascii="Palatino Linotype" w:eastAsia="Calibri" w:hAnsi="Palatino Linotype" w:cs="Arial"/>
        </w:rPr>
        <w:t>P</w:t>
      </w:r>
      <w:r w:rsidR="004C7AC5" w:rsidRPr="000C446F">
        <w:rPr>
          <w:rFonts w:ascii="Palatino Linotype" w:eastAsia="Calibri" w:hAnsi="Palatino Linotype" w:cs="Arial"/>
        </w:rPr>
        <w:t>or ello, esta Ponencia Resolutora se dio a la tarea de analizar el marco normativo en materia contable a fin de delimitar la información exacta a la que el particular pretende acceso.</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0C446F">
        <w:rPr>
          <w:rFonts w:ascii="Palatino Linotype" w:eastAsia="Calibri" w:hAnsi="Palatino Linotype" w:cs="Arial"/>
        </w:rPr>
        <w:t>Así las cosas, se advirtió que la Ley General de Contabilidad Gubernamental tiene como objeto establecer los criterios generales que regirán la contabilidad gubernamental y la emisión de información financiera de los entes públicos, con el fin de lograr su adecuada armonización.</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0C446F">
        <w:rPr>
          <w:rFonts w:ascii="Palatino Linotype" w:eastAsia="Calibri" w:hAnsi="Palatino Linotype" w:cs="Arial"/>
        </w:rPr>
        <w:t>En esa virtud, el artículo 2 de la Ley General en comento dicta que los entes públicos aplicarán la contabilidad gubernamental para facilitar el registro y la fiscalización de los activos, pasivos, ingresos y gastos y, en general, contribuir a medir la eficacia, economía y eficiencia del gasto e ingresos públicos, la administración de la deuda pública, incluyendo las obligaciones contingentes y el patrimonio del Estado. Asimismo, se prevé que los entes públicos deben seguir las mejores prácticas contables nacionales e internacionales en apoyo a las tareas de planeación financiera, control de recursos, análisis y fiscalización.</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0C446F">
        <w:rPr>
          <w:rFonts w:ascii="Palatino Linotype" w:eastAsia="Calibri" w:hAnsi="Palatino Linotype" w:cs="Arial"/>
        </w:rPr>
        <w:t>En mérito de lo expuesto, este Instituto advirtió que el artículo 69 de la Ley General de Contabilidad Gubernamental establece que, para</w:t>
      </w:r>
      <w:r w:rsidRPr="000C446F">
        <w:rPr>
          <w:rFonts w:ascii="Palatino Linotype" w:hAnsi="Palatino Linotype"/>
        </w:rPr>
        <w:t xml:space="preserve"> la presentación de la información financiera y la cuenta pública, los municipios deben incluir la relación de </w:t>
      </w:r>
      <w:r w:rsidRPr="000C446F">
        <w:rPr>
          <w:rFonts w:ascii="Palatino Linotype" w:hAnsi="Palatino Linotype"/>
          <w:b/>
        </w:rPr>
        <w:t>las cuentas bancarias</w:t>
      </w:r>
      <w:r w:rsidRPr="006F4C69">
        <w:rPr>
          <w:rFonts w:ascii="Palatino Linotype" w:hAnsi="Palatino Linotype"/>
        </w:rPr>
        <w:t>,</w:t>
      </w:r>
      <w:r w:rsidRPr="000C446F">
        <w:rPr>
          <w:rFonts w:ascii="Palatino Linotype" w:hAnsi="Palatino Linotype"/>
        </w:rPr>
        <w:t xml:space="preserve"> en las cuales se depositaron los recursos federales transferidos, por </w:t>
      </w:r>
      <w:r w:rsidRPr="000C446F">
        <w:rPr>
          <w:rFonts w:ascii="Palatino Linotype" w:hAnsi="Palatino Linotype"/>
        </w:rPr>
        <w:lastRenderedPageBreak/>
        <w:t xml:space="preserve">cualquier concepto, durante el ejercicio fiscal correspondiente. </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0C446F">
        <w:rPr>
          <w:rFonts w:ascii="Palatino Linotype" w:hAnsi="Palatino Linotype"/>
        </w:rPr>
        <w:t xml:space="preserve">De igual manera, se prevé que las cuentas bancarias a que se refiere el párrafo anterior, deben hacerse del conocimiento previo a la Tesorería de la Federación para el efecto de la radicación de los recursos y que debe existir una </w:t>
      </w:r>
      <w:r w:rsidRPr="000C446F">
        <w:rPr>
          <w:rFonts w:ascii="Palatino Linotype" w:hAnsi="Palatino Linotype"/>
          <w:b/>
        </w:rPr>
        <w:t xml:space="preserve">cuenta bancaria </w:t>
      </w:r>
      <w:r w:rsidRPr="000C446F">
        <w:rPr>
          <w:rFonts w:ascii="Palatino Linotype" w:hAnsi="Palatino Linotype"/>
        </w:rPr>
        <w:t xml:space="preserve">por cada fondo de aportaciones federales, programa de subsidios y convenio de reasignación, a través de los cuales se ministren recursos federales. </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rPr>
      </w:pPr>
      <w:r w:rsidRPr="000C446F">
        <w:rPr>
          <w:rFonts w:ascii="Palatino Linotype" w:hAnsi="Palatino Linotype"/>
        </w:rPr>
        <w:t xml:space="preserve">Asimismo, el precepto legal en cita dicta que, en las cuentas bancarias productivas específicas se manejarán exclusivamente los recursos federales del ejercicio fiscal respectivo y sus rendimientos, y no podrá incorporar recursos locales ni las aportaciones que realicen, en su caso, los beneficiarios de las obras y acciones. </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0C446F">
        <w:rPr>
          <w:rFonts w:ascii="Palatino Linotype" w:hAnsi="Palatino Linotype"/>
        </w:rPr>
        <w:t>Por otra parte, se determina que los recursos federales sólo podrán ser transferidos por las dependencias y entidades de la Administración Pública Federal a dichas cuentas bancarias productivas específicas, a través de las tesorerías de las entidades federativas, salvo en el caso de ministraciones relacionadas con obligaciones de las entidades federativas o municipios, así como las demarcaciones territoriales del Distrito Federal, que estén garantizadas con la afectación de sus participaciones o aportaciones federales, en términos de lo dispuesto por los artículos 9, 50 y 51 de la Ley de Coordinación Fiscal y los demás casos previstos en las disposiciones legales aplicables.</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0C446F">
        <w:rPr>
          <w:rFonts w:ascii="Palatino Linotype" w:hAnsi="Palatino Linotype" w:cs="Arial"/>
        </w:rPr>
        <w:t xml:space="preserve">En esa tesitura, este Instituto, en términos de lo dispuesto por los artículos 13 y 181, cuarto párrafo de la Ley de Transparencia y Acceso a la Información Pública del Estado </w:t>
      </w:r>
      <w:r w:rsidRPr="000C446F">
        <w:rPr>
          <w:rFonts w:ascii="Palatino Linotype" w:hAnsi="Palatino Linotype" w:cs="Arial"/>
        </w:rPr>
        <w:lastRenderedPageBreak/>
        <w:t>de México y Municipios, suple la deficiencia en que incurre el solicitante y determina que pretende acceso a las cuentas</w:t>
      </w:r>
      <w:r w:rsidRPr="000C446F">
        <w:rPr>
          <w:rFonts w:ascii="Palatino Linotype" w:hAnsi="Palatino Linotype"/>
        </w:rPr>
        <w:t xml:space="preserve"> bancarias productivas específicas de la administración pública municipal, activas al 24 de septiembre de 2019; en razón de la fecha de la solicitud de acceso a la información.</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0C446F">
        <w:rPr>
          <w:rFonts w:ascii="Palatino Linotype" w:hAnsi="Palatino Linotype" w:cs="Arial"/>
        </w:rPr>
        <w:t xml:space="preserve">Una vez apuntado lo anterior, es de recordarse que </w:t>
      </w:r>
      <w:r w:rsidRPr="000C446F">
        <w:rPr>
          <w:rFonts w:ascii="Palatino Linotype" w:hAnsi="Palatino Linotype" w:cs="Arial"/>
          <w:b/>
        </w:rPr>
        <w:t>EL SUJETO OBLIGADO</w:t>
      </w:r>
      <w:r w:rsidRPr="000C446F">
        <w:rPr>
          <w:rFonts w:ascii="Palatino Linotype" w:hAnsi="Palatino Linotype" w:cs="Arial"/>
        </w:rPr>
        <w:t xml:space="preserve"> respondió al particular que la información peticionada no podía ser entregada por tratarse de datos personales considerados como información confidencial, en términos de lo dispuesto por el artículo 4, fracción XI de la Ley de Protección de Datos Personales en Posesión de Sujetos Obligados del Estado de México y Municipios; así como, por el Lineamiento 1, fracción III de los Lineamientos sobre medidas de seguridad aplicables a los sistemas de datos personales que se encuentran en posesión de sujetos obligados de la Ley de Protección de Datos Personales en Posesión de Sujetos Obligados del Estado de México y Municipios; así como, del artículo 143, fracción I de la Ley de Transparencia y Acceso a la Información Pública del Estado de México y Municipios</w:t>
      </w:r>
      <w:r w:rsidRPr="000C446F">
        <w:rPr>
          <w:rFonts w:ascii="Palatino Linotype" w:hAnsi="Palatino Linotype"/>
          <w:noProof/>
          <w:lang w:eastAsia="es-MX"/>
        </w:rPr>
        <w:t>.</w:t>
      </w:r>
    </w:p>
    <w:p w:rsidR="006F4C69"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0C446F">
        <w:rPr>
          <w:rFonts w:ascii="Palatino Linotype" w:hAnsi="Palatino Linotype" w:cs="Arial"/>
        </w:rPr>
        <w:t xml:space="preserve">Inconforme con dicha determinación, el particular, hoy </w:t>
      </w:r>
      <w:r w:rsidRPr="000C446F">
        <w:rPr>
          <w:rFonts w:ascii="Palatino Linotype" w:hAnsi="Palatino Linotype" w:cs="Arial"/>
          <w:b/>
        </w:rPr>
        <w:t>RECURRENTE</w:t>
      </w:r>
      <w:r w:rsidRPr="000C446F">
        <w:rPr>
          <w:rFonts w:ascii="Palatino Linotype" w:hAnsi="Palatino Linotype" w:cs="Arial"/>
        </w:rPr>
        <w:t xml:space="preserve">, interpuso el medio de defensa de mérito, en el cual argumentó que </w:t>
      </w:r>
      <w:r w:rsidR="006F4C69">
        <w:rPr>
          <w:rFonts w:ascii="Palatino Linotype" w:hAnsi="Palatino Linotype" w:cs="Arial"/>
        </w:rPr>
        <w:t>n</w:t>
      </w:r>
      <w:r w:rsidR="006F4C69" w:rsidRPr="006F4C69">
        <w:rPr>
          <w:rFonts w:ascii="Palatino Linotype" w:hAnsi="Palatino Linotype" w:cs="Arial"/>
        </w:rPr>
        <w:t>o me entregan la información que solicite, me dicen que es información confidencial pero no adjuntan el acuerdo de clasificación firmado por le Comité de Transparencia.</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0C446F">
        <w:rPr>
          <w:rFonts w:ascii="Palatino Linotype" w:hAnsi="Palatino Linotype" w:cs="Arial"/>
        </w:rPr>
        <w:t xml:space="preserve">Cabe destacarse, que </w:t>
      </w:r>
      <w:r w:rsidRPr="000C446F">
        <w:rPr>
          <w:rFonts w:ascii="Palatino Linotype" w:hAnsi="Palatino Linotype" w:cs="Arial"/>
          <w:b/>
        </w:rPr>
        <w:t>EL SUJETO OBLIGADO</w:t>
      </w:r>
      <w:r w:rsidRPr="000C446F">
        <w:rPr>
          <w:rFonts w:ascii="Palatino Linotype" w:hAnsi="Palatino Linotype" w:cs="Arial"/>
        </w:rPr>
        <w:t xml:space="preserve"> no rindió su Informe Justificado; por su parte, </w:t>
      </w:r>
      <w:r w:rsidRPr="000C446F">
        <w:rPr>
          <w:rFonts w:ascii="Palatino Linotype" w:hAnsi="Palatino Linotype" w:cs="Arial"/>
          <w:b/>
        </w:rPr>
        <w:t>EL RECURRENTE</w:t>
      </w:r>
      <w:r w:rsidRPr="000C446F">
        <w:rPr>
          <w:rFonts w:ascii="Palatino Linotype" w:hAnsi="Palatino Linotype" w:cs="Arial"/>
        </w:rPr>
        <w:t xml:space="preserve"> no presentó manifestaciones, alegatos ni ofreció los medios de prueba que a su derecho convinieran.</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0C446F">
        <w:rPr>
          <w:rFonts w:ascii="Palatino Linotype" w:hAnsi="Palatino Linotype" w:cs="Arial"/>
        </w:rPr>
        <w:lastRenderedPageBreak/>
        <w:t xml:space="preserve">Bajo ese contexto, este Instituto analizó la totalidad de constancias que integran el expediente electrónico del </w:t>
      </w:r>
      <w:r w:rsidRPr="000C446F">
        <w:rPr>
          <w:rFonts w:ascii="Palatino Linotype" w:hAnsi="Palatino Linotype" w:cs="Arial"/>
          <w:b/>
        </w:rPr>
        <w:t>SAIMEX</w:t>
      </w:r>
      <w:r w:rsidRPr="000C446F">
        <w:rPr>
          <w:rFonts w:ascii="Palatino Linotype" w:hAnsi="Palatino Linotype" w:cs="Arial"/>
        </w:rPr>
        <w:t xml:space="preserve"> y advirtió que las razones o motivos de inconformidad hechas valer por </w:t>
      </w:r>
      <w:r w:rsidRPr="000C446F">
        <w:rPr>
          <w:rFonts w:ascii="Palatino Linotype" w:hAnsi="Palatino Linotype" w:cs="Arial"/>
          <w:b/>
        </w:rPr>
        <w:t>EL RECURRENTE</w:t>
      </w:r>
      <w:r w:rsidRPr="000C446F">
        <w:rPr>
          <w:rFonts w:ascii="Palatino Linotype" w:hAnsi="Palatino Linotype" w:cs="Arial"/>
        </w:rPr>
        <w:t xml:space="preserve"> devienen </w:t>
      </w:r>
      <w:r w:rsidRPr="000C446F">
        <w:rPr>
          <w:rFonts w:ascii="Palatino Linotype" w:hAnsi="Palatino Linotype" w:cs="Arial"/>
          <w:b/>
        </w:rPr>
        <w:t>fundados</w:t>
      </w:r>
      <w:r w:rsidRPr="000C446F">
        <w:rPr>
          <w:rFonts w:ascii="Palatino Linotype" w:hAnsi="Palatino Linotype" w:cs="Arial"/>
        </w:rPr>
        <w:t xml:space="preserve"> y suficientes para </w:t>
      </w:r>
      <w:r w:rsidRPr="000C446F">
        <w:rPr>
          <w:rFonts w:ascii="Palatino Linotype" w:hAnsi="Palatino Linotype" w:cs="Arial"/>
          <w:b/>
        </w:rPr>
        <w:t>REVOCAR</w:t>
      </w:r>
      <w:r w:rsidRPr="000C446F">
        <w:rPr>
          <w:rFonts w:ascii="Palatino Linotype" w:hAnsi="Palatino Linotype" w:cs="Arial"/>
        </w:rPr>
        <w:t xml:space="preserve"> la respuesta del </w:t>
      </w:r>
      <w:r w:rsidRPr="000C446F">
        <w:rPr>
          <w:rFonts w:ascii="Palatino Linotype" w:hAnsi="Palatino Linotype" w:cs="Arial"/>
          <w:b/>
        </w:rPr>
        <w:t>SUJETO OBLIGADO</w:t>
      </w:r>
      <w:r w:rsidRPr="000C446F">
        <w:rPr>
          <w:rFonts w:ascii="Palatino Linotype" w:hAnsi="Palatino Linotype" w:cs="Arial"/>
        </w:rPr>
        <w:t>, en atención a las siguientes consideraciones de hecho y de derecho:</w:t>
      </w:r>
    </w:p>
    <w:p w:rsidR="004C7AC5" w:rsidRPr="006F4C69" w:rsidRDefault="004C7AC5" w:rsidP="004C7AC5">
      <w:pPr>
        <w:spacing w:before="100" w:beforeAutospacing="1" w:after="100" w:afterAutospacing="1" w:line="360" w:lineRule="auto"/>
        <w:jc w:val="both"/>
        <w:rPr>
          <w:rFonts w:ascii="Palatino Linotype" w:hAnsi="Palatino Linotype"/>
          <w:sz w:val="24"/>
        </w:rPr>
      </w:pPr>
      <w:r w:rsidRPr="006F4C69">
        <w:rPr>
          <w:rFonts w:ascii="Palatino Linotype" w:eastAsia="Calibri" w:hAnsi="Palatino Linotype" w:cs="Arial"/>
          <w:sz w:val="24"/>
        </w:rPr>
        <w:t xml:space="preserve">Primeramente, este Instituto </w:t>
      </w:r>
      <w:r w:rsidRPr="006F4C69">
        <w:rPr>
          <w:rFonts w:ascii="Palatino Linotype" w:hAnsi="Palatino Linotype"/>
          <w:sz w:val="24"/>
        </w:rPr>
        <w:t xml:space="preserve">precisa que se obvia el análisis de la competencia por parte del </w:t>
      </w:r>
      <w:r w:rsidRPr="006F4C69">
        <w:rPr>
          <w:rFonts w:ascii="Palatino Linotype" w:hAnsi="Palatino Linotype"/>
          <w:b/>
          <w:sz w:val="24"/>
        </w:rPr>
        <w:t>SUJETO OBLIGADO</w:t>
      </w:r>
      <w:r w:rsidRPr="006F4C69">
        <w:rPr>
          <w:rFonts w:ascii="Palatino Linotype" w:hAnsi="Palatino Linotype"/>
          <w:sz w:val="24"/>
        </w:rPr>
        <w:t>, para generar, administrar o poseer la información solicitada, dado que éste ha asumido la misma, en razón de que la clasificó como confidencial.</w:t>
      </w:r>
    </w:p>
    <w:p w:rsidR="004C7AC5" w:rsidRPr="006F4C69" w:rsidRDefault="004C7AC5" w:rsidP="004C7AC5">
      <w:pPr>
        <w:spacing w:before="240" w:after="240" w:line="360" w:lineRule="auto"/>
        <w:jc w:val="both"/>
        <w:rPr>
          <w:rFonts w:ascii="Palatino Linotype" w:hAnsi="Palatino Linotype"/>
          <w:sz w:val="24"/>
        </w:rPr>
      </w:pPr>
      <w:r w:rsidRPr="006F4C69">
        <w:rPr>
          <w:rFonts w:ascii="Palatino Linotype" w:hAnsi="Palatino Linotype"/>
          <w:sz w:val="24"/>
        </w:rPr>
        <w:t xml:space="preserve">En efecto, el hecho de que </w:t>
      </w:r>
      <w:r w:rsidRPr="006F4C69">
        <w:rPr>
          <w:rFonts w:ascii="Palatino Linotype" w:hAnsi="Palatino Linotype"/>
          <w:b/>
          <w:sz w:val="24"/>
        </w:rPr>
        <w:t>EL SUJETO OBLIGADO</w:t>
      </w:r>
      <w:r w:rsidRPr="006F4C69">
        <w:rPr>
          <w:rFonts w:ascii="Palatino Linotype" w:hAnsi="Palatino Linotype"/>
          <w:sz w:val="24"/>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4C7AC5" w:rsidRPr="000C446F" w:rsidRDefault="004C7AC5" w:rsidP="004C7AC5">
      <w:pPr>
        <w:tabs>
          <w:tab w:val="left" w:pos="851"/>
          <w:tab w:val="left" w:pos="8505"/>
        </w:tabs>
        <w:ind w:left="851" w:right="902"/>
        <w:jc w:val="both"/>
        <w:rPr>
          <w:rFonts w:ascii="Palatino Linotype" w:hAnsi="Palatino Linotype" w:cs="Arial"/>
          <w:i/>
        </w:rPr>
      </w:pPr>
      <w:r w:rsidRPr="000C446F">
        <w:rPr>
          <w:rFonts w:ascii="Palatino Linotype" w:hAnsi="Palatino Linotype" w:cs="Arial"/>
          <w:i/>
        </w:rPr>
        <w:t>“</w:t>
      </w:r>
      <w:r w:rsidRPr="000C446F">
        <w:rPr>
          <w:rFonts w:ascii="Palatino Linotype" w:hAnsi="Palatino Linotype" w:cs="Arial"/>
          <w:b/>
          <w:i/>
        </w:rPr>
        <w:t>Artículo 12.</w:t>
      </w:r>
      <w:r w:rsidRPr="000C446F">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4C7AC5" w:rsidRPr="000C446F" w:rsidRDefault="004C7AC5" w:rsidP="004C7AC5">
      <w:pPr>
        <w:ind w:left="851" w:right="902"/>
        <w:jc w:val="both"/>
        <w:rPr>
          <w:rFonts w:ascii="Palatino Linotype" w:hAnsi="Palatino Linotype" w:cs="Arial"/>
          <w:i/>
        </w:rPr>
      </w:pPr>
      <w:r w:rsidRPr="000C446F">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4C7AC5" w:rsidRPr="006F4C69" w:rsidRDefault="004C7AC5" w:rsidP="004C7AC5">
      <w:pPr>
        <w:spacing w:before="240" w:after="240" w:line="360" w:lineRule="auto"/>
        <w:jc w:val="both"/>
        <w:rPr>
          <w:sz w:val="24"/>
        </w:rPr>
      </w:pPr>
      <w:r w:rsidRPr="006F4C69">
        <w:rPr>
          <w:rFonts w:ascii="Palatino Linotype" w:hAnsi="Palatino Linotype"/>
          <w:sz w:val="24"/>
        </w:rPr>
        <w:t xml:space="preserve">Así, el estudio de la naturaleza jurídica de la información pública solicitada, tiene por objeto determinar si ésta la genera, posee o administra </w:t>
      </w:r>
      <w:r w:rsidRPr="006F4C69">
        <w:rPr>
          <w:rFonts w:ascii="Palatino Linotype" w:hAnsi="Palatino Linotype"/>
          <w:b/>
          <w:sz w:val="24"/>
        </w:rPr>
        <w:t>EL SUJETO OBLIGADO</w:t>
      </w:r>
      <w:r w:rsidRPr="006F4C69">
        <w:rPr>
          <w:rFonts w:ascii="Palatino Linotype" w:hAnsi="Palatino Linotype"/>
          <w:sz w:val="24"/>
        </w:rPr>
        <w:t xml:space="preserve">; sin </w:t>
      </w:r>
      <w:r w:rsidRPr="006F4C69">
        <w:rPr>
          <w:rFonts w:ascii="Palatino Linotype" w:hAnsi="Palatino Linotype"/>
          <w:sz w:val="24"/>
        </w:rPr>
        <w:lastRenderedPageBreak/>
        <w:t>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6F4C69">
        <w:rPr>
          <w:sz w:val="24"/>
        </w:rPr>
        <w:t xml:space="preserve"> </w:t>
      </w:r>
    </w:p>
    <w:p w:rsidR="004C7AC5" w:rsidRPr="006F4C69" w:rsidRDefault="004C7AC5" w:rsidP="004C7AC5">
      <w:pPr>
        <w:spacing w:before="100" w:beforeAutospacing="1" w:after="100" w:afterAutospacing="1" w:line="360" w:lineRule="auto"/>
        <w:jc w:val="both"/>
        <w:rPr>
          <w:rFonts w:ascii="Palatino Linotype" w:hAnsi="Palatino Linotype"/>
          <w:sz w:val="24"/>
        </w:rPr>
      </w:pPr>
      <w:r w:rsidRPr="006F4C69">
        <w:rPr>
          <w:rFonts w:ascii="Palatino Linotype" w:hAnsi="Palatino Linotype"/>
          <w:sz w:val="24"/>
        </w:rPr>
        <w:t xml:space="preserve">Asimismo, no se omite comentar que, al haber existido un pronunciamiento por parte del </w:t>
      </w:r>
      <w:r w:rsidRPr="006F4C69">
        <w:rPr>
          <w:rFonts w:ascii="Palatino Linotype" w:hAnsi="Palatino Linotype"/>
          <w:b/>
          <w:sz w:val="24"/>
        </w:rPr>
        <w:t>SUJETO OBLIGADO</w:t>
      </w:r>
      <w:r w:rsidRPr="006F4C69">
        <w:rPr>
          <w:rFonts w:ascii="Palatino Linotype" w:hAnsi="Palatino Linotype"/>
          <w:sz w:val="24"/>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rsidR="004C7AC5" w:rsidRPr="006F4C69" w:rsidRDefault="004C7AC5" w:rsidP="004C7AC5">
      <w:pPr>
        <w:spacing w:before="100" w:beforeAutospacing="1" w:after="100" w:afterAutospacing="1" w:line="360" w:lineRule="auto"/>
        <w:jc w:val="both"/>
        <w:rPr>
          <w:rFonts w:ascii="Palatino Linotype" w:hAnsi="Palatino Linotype" w:cs="Arial"/>
          <w:sz w:val="24"/>
        </w:rPr>
      </w:pPr>
      <w:r w:rsidRPr="006F4C69">
        <w:rPr>
          <w:rFonts w:ascii="Palatino Linotype" w:hAnsi="Palatino Linotype" w:cs="Arial"/>
          <w:sz w:val="24"/>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4C7AC5" w:rsidRPr="000C446F" w:rsidRDefault="004C7AC5" w:rsidP="004C7AC5">
      <w:pPr>
        <w:ind w:left="709" w:right="760"/>
        <w:jc w:val="both"/>
        <w:rPr>
          <w:rFonts w:ascii="Palatino Linotype" w:hAnsi="Palatino Linotype" w:cs="Arial"/>
          <w:i/>
        </w:rPr>
      </w:pPr>
      <w:r w:rsidRPr="000C446F">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0C446F">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w:t>
      </w:r>
      <w:r w:rsidRPr="000C446F">
        <w:rPr>
          <w:rFonts w:ascii="Palatino Linotype" w:hAnsi="Palatino Linotype" w:cs="Arial"/>
          <w:i/>
        </w:rPr>
        <w:lastRenderedPageBreak/>
        <w:t xml:space="preserve">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4C7AC5" w:rsidRPr="000C446F" w:rsidRDefault="004C7AC5" w:rsidP="004C7AC5">
      <w:pPr>
        <w:ind w:left="709" w:right="757"/>
        <w:jc w:val="both"/>
        <w:rPr>
          <w:rFonts w:ascii="Palatino Linotype" w:hAnsi="Palatino Linotype" w:cs="Arial"/>
          <w:b/>
          <w:i/>
        </w:rPr>
      </w:pPr>
      <w:r w:rsidRPr="000C446F">
        <w:rPr>
          <w:rFonts w:ascii="Palatino Linotype" w:hAnsi="Palatino Linotype" w:cs="Arial"/>
          <w:i/>
        </w:rPr>
        <w:t>Criterio 31/10</w:t>
      </w:r>
      <w:r w:rsidRPr="000C446F">
        <w:rPr>
          <w:rFonts w:ascii="Palatino Linotype" w:hAnsi="Palatino Linotype" w:cs="Arial"/>
          <w:b/>
          <w:i/>
        </w:rPr>
        <w:t>”</w:t>
      </w:r>
      <w:r w:rsidRPr="000C446F">
        <w:rPr>
          <w:rFonts w:ascii="Palatino Linotype" w:hAnsi="Palatino Linotype" w:cs="Arial"/>
          <w:i/>
        </w:rPr>
        <w:t xml:space="preserve"> (sic)</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0C446F">
        <w:rPr>
          <w:rFonts w:ascii="Palatino Linotype" w:eastAsia="Calibri" w:hAnsi="Palatino Linotype" w:cs="Arial"/>
        </w:rPr>
        <w:t xml:space="preserve">Dicho lo anterior, este Instituto analizó la naturaleza jurídica de la información peticionada y advirtió que contrario a lo manifestado por </w:t>
      </w:r>
      <w:r w:rsidRPr="000C446F">
        <w:rPr>
          <w:rFonts w:ascii="Palatino Linotype" w:eastAsia="Calibri" w:hAnsi="Palatino Linotype" w:cs="Arial"/>
          <w:b/>
        </w:rPr>
        <w:t>EL SUJETO OBLIGADO</w:t>
      </w:r>
      <w:r w:rsidRPr="000C446F">
        <w:rPr>
          <w:rFonts w:ascii="Palatino Linotype" w:eastAsia="Calibri" w:hAnsi="Palatino Linotype" w:cs="Arial"/>
        </w:rPr>
        <w:t>, se trata de información pública susceptible de ser entregada al particular; por ello, la respuesta en sentido contrario carece de una debida fundamentación y motivación.</w:t>
      </w:r>
    </w:p>
    <w:p w:rsidR="004C7AC5" w:rsidRPr="006F4C69" w:rsidRDefault="004C7AC5" w:rsidP="004C7AC5">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rPr>
      </w:pPr>
      <w:r w:rsidRPr="006F4C69">
        <w:rPr>
          <w:rFonts w:ascii="Palatino Linotype" w:hAnsi="Palatino Linotype" w:cs="Arial"/>
          <w:sz w:val="24"/>
        </w:rPr>
        <w:t>Respecto a la fundamentación y motivación es de señalar que el máximo tribunal del país ha establecido jurisprudencia respecto a qué debe entenderse por fundamentación y motivación, en los siguientes términos:</w:t>
      </w:r>
    </w:p>
    <w:p w:rsidR="004C7AC5" w:rsidRPr="000C446F" w:rsidRDefault="004C7AC5" w:rsidP="004C7AC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rPr>
      </w:pPr>
      <w:r w:rsidRPr="000C446F">
        <w:rPr>
          <w:rFonts w:ascii="Palatino Linotype" w:hAnsi="Palatino Linotype" w:cs="Arial"/>
          <w:b/>
          <w:i/>
        </w:rPr>
        <w:t>“FUNDAMENTACIÓN Y MOTIVACIÓN.</w:t>
      </w:r>
      <w:r w:rsidRPr="000C446F">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4C7AC5" w:rsidRPr="006F4C69" w:rsidRDefault="004C7AC5" w:rsidP="004C7AC5">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rPr>
      </w:pPr>
      <w:r w:rsidRPr="006F4C69">
        <w:rPr>
          <w:rFonts w:ascii="Palatino Linotype" w:hAnsi="Palatino Linotype" w:cs="Arial"/>
          <w:sz w:val="24"/>
        </w:rPr>
        <w:t xml:space="preserve">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w:t>
      </w:r>
      <w:r w:rsidRPr="006F4C69">
        <w:rPr>
          <w:rFonts w:ascii="Palatino Linotype" w:hAnsi="Palatino Linotype" w:cs="Arial"/>
          <w:sz w:val="24"/>
        </w:rPr>
        <w:lastRenderedPageBreak/>
        <w:t>finalidad de la fundamentación o motivación es la de explicar, justificar, posibilitar la defensa y comunicar la decisión de la autoridad:</w:t>
      </w:r>
    </w:p>
    <w:p w:rsidR="004C7AC5" w:rsidRPr="000C446F" w:rsidRDefault="004C7AC5" w:rsidP="004C7AC5">
      <w:pPr>
        <w:widowControl w:val="0"/>
        <w:tabs>
          <w:tab w:val="left" w:pos="1276"/>
        </w:tabs>
        <w:autoSpaceDE w:val="0"/>
        <w:autoSpaceDN w:val="0"/>
        <w:adjustRightInd w:val="0"/>
        <w:spacing w:before="240" w:after="100" w:afterAutospacing="1"/>
        <w:ind w:left="851" w:right="899"/>
        <w:jc w:val="both"/>
        <w:rPr>
          <w:rFonts w:ascii="Palatino Linotype" w:hAnsi="Palatino Linotype" w:cs="Arial"/>
          <w:i/>
        </w:rPr>
      </w:pPr>
      <w:r w:rsidRPr="000C446F">
        <w:rPr>
          <w:rFonts w:ascii="Palatino Linotype" w:hAnsi="Palatino Linotype" w:cs="Arial"/>
          <w:i/>
        </w:rPr>
        <w:t>“</w:t>
      </w:r>
      <w:r w:rsidRPr="000C446F">
        <w:rPr>
          <w:rFonts w:ascii="Palatino Linotype" w:hAnsi="Palatino Linotype" w:cs="Arial"/>
          <w:b/>
          <w:i/>
        </w:rPr>
        <w:t>FUNDAMENTACIÓN Y MOTIVACIÓN. EL ASPECTO FORMAL DE LA GARANTÍA Y SU FINALIDAD SE TRADUCEN EN EXPLICAR, JUSTIFICAR, POSIBILITAR LA DEFENSA Y COMUNICAR LA DECISIÓN.</w:t>
      </w:r>
      <w:r w:rsidRPr="000C446F">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4C7AC5" w:rsidRPr="006F4C69" w:rsidRDefault="004C7AC5" w:rsidP="004C7AC5">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rPr>
      </w:pPr>
      <w:r w:rsidRPr="006F4C69">
        <w:rPr>
          <w:rFonts w:ascii="Palatino Linotype" w:hAnsi="Palatino Linotype" w:cs="Arial"/>
          <w:sz w:val="24"/>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4C7AC5" w:rsidRPr="006F4C69" w:rsidRDefault="004C7AC5" w:rsidP="004C7AC5">
      <w:pPr>
        <w:widowControl w:val="0"/>
        <w:tabs>
          <w:tab w:val="left" w:pos="1276"/>
        </w:tabs>
        <w:autoSpaceDE w:val="0"/>
        <w:autoSpaceDN w:val="0"/>
        <w:adjustRightInd w:val="0"/>
        <w:spacing w:before="240" w:after="100" w:afterAutospacing="1" w:line="360" w:lineRule="auto"/>
        <w:jc w:val="both"/>
        <w:rPr>
          <w:rFonts w:ascii="Palatino Linotype" w:hAnsi="Palatino Linotype"/>
          <w:sz w:val="24"/>
        </w:rPr>
      </w:pPr>
      <w:r w:rsidRPr="006F4C69">
        <w:rPr>
          <w:rFonts w:ascii="Palatino Linotype" w:hAnsi="Palatino Linotype" w:cs="Arial"/>
          <w:sz w:val="24"/>
        </w:rPr>
        <w:t xml:space="preserve">Ahora bien, es toral señalarle al </w:t>
      </w:r>
      <w:r w:rsidRPr="006F4C69">
        <w:rPr>
          <w:rFonts w:ascii="Palatino Linotype" w:hAnsi="Palatino Linotype" w:cs="Arial"/>
          <w:b/>
          <w:sz w:val="24"/>
        </w:rPr>
        <w:t>SUJETO OBLIGADO</w:t>
      </w:r>
      <w:r w:rsidRPr="006F4C69">
        <w:rPr>
          <w:rFonts w:ascii="Palatino Linotype" w:hAnsi="Palatino Linotype" w:cs="Arial"/>
          <w:sz w:val="24"/>
        </w:rPr>
        <w:t xml:space="preserve"> que las cuentas bancarias y clabes interbancarias del Ayuntamiento es información pública, que por su propia y </w:t>
      </w:r>
      <w:r w:rsidRPr="006F4C69">
        <w:rPr>
          <w:rFonts w:ascii="Palatino Linotype" w:hAnsi="Palatino Linotype" w:cs="Arial"/>
          <w:sz w:val="24"/>
        </w:rPr>
        <w:lastRenderedPageBreak/>
        <w:t xml:space="preserve">especial naturaleza abona a la rendición de cuentas y a la transparencia, máxime que, en este caso en particular, se trata de </w:t>
      </w:r>
      <w:r w:rsidRPr="006F4C69">
        <w:rPr>
          <w:rFonts w:ascii="Palatino Linotype" w:hAnsi="Palatino Linotype"/>
          <w:sz w:val="24"/>
        </w:rPr>
        <w:t>cuentas bancarias productivas específicas que se manejan exclusivamente para transferencias de recursos federales del ejercicio fiscal respectivo y sus rendimientos.</w:t>
      </w:r>
    </w:p>
    <w:p w:rsidR="004C7AC5" w:rsidRPr="006F4C69" w:rsidRDefault="004C7AC5" w:rsidP="004C7AC5">
      <w:pPr>
        <w:widowControl w:val="0"/>
        <w:tabs>
          <w:tab w:val="left" w:pos="1276"/>
        </w:tabs>
        <w:autoSpaceDE w:val="0"/>
        <w:autoSpaceDN w:val="0"/>
        <w:adjustRightInd w:val="0"/>
        <w:spacing w:before="240" w:after="100" w:afterAutospacing="1" w:line="360" w:lineRule="auto"/>
        <w:jc w:val="both"/>
        <w:rPr>
          <w:rFonts w:ascii="Palatino Linotype" w:hAnsi="Palatino Linotype"/>
          <w:sz w:val="24"/>
        </w:rPr>
      </w:pPr>
      <w:r w:rsidRPr="006F4C69">
        <w:rPr>
          <w:rFonts w:ascii="Palatino Linotype" w:hAnsi="Palatino Linotype"/>
          <w:sz w:val="24"/>
        </w:rPr>
        <w:t xml:space="preserve">En esa tesitura, conviene traer a contexto lo que dispone el artículo 3, fracción XXI de la Ley de Transparencia y Acceso a la Información Pública del Estado de México y Municipios que establece que se trata de información confidencial aquella inherente a los secretos bancario, fiduciario, industrial, comercial, fiscal, bursátil y postal, cuya titularidad corresponda a particulares, sujetos de derecho internacional o a sujetos obligados </w:t>
      </w:r>
      <w:r w:rsidRPr="006F4C69">
        <w:rPr>
          <w:rFonts w:ascii="Palatino Linotype" w:hAnsi="Palatino Linotype"/>
          <w:b/>
          <w:sz w:val="24"/>
        </w:rPr>
        <w:t>cuando no involucren el ejercicio de recursos públicos</w:t>
      </w:r>
      <w:r w:rsidRPr="006F4C69">
        <w:rPr>
          <w:rFonts w:ascii="Palatino Linotype" w:hAnsi="Palatino Linotype"/>
          <w:sz w:val="24"/>
        </w:rPr>
        <w:t>; lo cual no es aplicable a este caso concreto por tratarse de recursos públicos de origen federal.</w:t>
      </w:r>
    </w:p>
    <w:p w:rsidR="004C7AC5" w:rsidRPr="006F4C69" w:rsidRDefault="004C7AC5" w:rsidP="004C7AC5">
      <w:pPr>
        <w:widowControl w:val="0"/>
        <w:tabs>
          <w:tab w:val="left" w:pos="1276"/>
        </w:tabs>
        <w:autoSpaceDE w:val="0"/>
        <w:autoSpaceDN w:val="0"/>
        <w:adjustRightInd w:val="0"/>
        <w:spacing w:before="240" w:after="100" w:afterAutospacing="1" w:line="360" w:lineRule="auto"/>
        <w:jc w:val="both"/>
        <w:rPr>
          <w:rFonts w:ascii="Palatino Linotype" w:hAnsi="Palatino Linotype"/>
          <w:sz w:val="24"/>
        </w:rPr>
      </w:pPr>
      <w:r w:rsidRPr="006F4C69">
        <w:rPr>
          <w:rFonts w:ascii="Palatino Linotype" w:hAnsi="Palatino Linotype"/>
          <w:sz w:val="24"/>
        </w:rPr>
        <w:t>Asimismo, el penúltimo párrafo del artículo 23 de la Ley de Transparencia y Acceso a la Información Pública del Estado de México y Municipios establece que los sujetos obligados deben hacer pública toda aquella información relativa a los montos y las personas a quienes entreguen, por cualquier motivo, recursos públicos; así como, los informes que dichas personas les entreguen sobre el uso y destino de dichos recursos.</w:t>
      </w:r>
    </w:p>
    <w:p w:rsidR="004C7AC5" w:rsidRPr="006F4C69" w:rsidRDefault="004C7AC5" w:rsidP="004C7AC5">
      <w:pPr>
        <w:widowControl w:val="0"/>
        <w:tabs>
          <w:tab w:val="left" w:pos="1276"/>
        </w:tabs>
        <w:autoSpaceDE w:val="0"/>
        <w:autoSpaceDN w:val="0"/>
        <w:adjustRightInd w:val="0"/>
        <w:spacing w:before="240" w:after="100" w:afterAutospacing="1" w:line="360" w:lineRule="auto"/>
        <w:jc w:val="both"/>
        <w:rPr>
          <w:rFonts w:ascii="Palatino Linotype" w:hAnsi="Palatino Linotype" w:cs="Arial"/>
          <w:sz w:val="24"/>
        </w:rPr>
      </w:pPr>
      <w:r w:rsidRPr="006F4C69">
        <w:rPr>
          <w:rFonts w:ascii="Palatino Linotype" w:hAnsi="Palatino Linotype" w:cs="Arial"/>
          <w:sz w:val="24"/>
        </w:rPr>
        <w:t xml:space="preserve">En mérito de lo expuesto, se reitera que la información relativa a los números de cuenta bancarios y clabes interbancarias es información confidencial únicamente; por lo que, concierne a los particulares, y no así del </w:t>
      </w:r>
      <w:r w:rsidRPr="006F4C69">
        <w:rPr>
          <w:rFonts w:ascii="Palatino Linotype" w:hAnsi="Palatino Linotype" w:cs="Arial"/>
          <w:b/>
          <w:sz w:val="24"/>
        </w:rPr>
        <w:t xml:space="preserve">SUJETO OBLIGADO, </w:t>
      </w:r>
      <w:r w:rsidRPr="006F4C69">
        <w:rPr>
          <w:rFonts w:ascii="Palatino Linotype" w:hAnsi="Palatino Linotype" w:cs="Arial"/>
          <w:sz w:val="24"/>
        </w:rPr>
        <w:t>toda vez que su publicidad abona a la transparencia y a la rendición de cuentas.</w:t>
      </w:r>
    </w:p>
    <w:p w:rsidR="004C7AC5" w:rsidRPr="006F4C69" w:rsidRDefault="004C7AC5" w:rsidP="004C7AC5">
      <w:pPr>
        <w:spacing w:before="100" w:beforeAutospacing="1" w:after="100" w:afterAutospacing="1" w:line="360" w:lineRule="auto"/>
        <w:jc w:val="both"/>
        <w:rPr>
          <w:rFonts w:ascii="Palatino Linotype" w:eastAsia="Calibri" w:hAnsi="Palatino Linotype"/>
          <w:sz w:val="24"/>
        </w:rPr>
      </w:pPr>
      <w:r w:rsidRPr="006F4C69">
        <w:rPr>
          <w:rFonts w:ascii="Palatino Linotype" w:eastAsia="Calibri" w:hAnsi="Palatino Linotype"/>
          <w:sz w:val="24"/>
        </w:rPr>
        <w:lastRenderedPageBreak/>
        <w:t xml:space="preserve">En este sentido, es importante precisar que de acuerdo al </w:t>
      </w:r>
      <w:r w:rsidRPr="006F4C69">
        <w:rPr>
          <w:rFonts w:ascii="Palatino Linotype" w:eastAsia="Calibri" w:hAnsi="Palatino Linotype"/>
          <w:b/>
          <w:sz w:val="24"/>
        </w:rPr>
        <w:t>criterio 11/17</w:t>
      </w:r>
      <w:r w:rsidRPr="006F4C69">
        <w:rPr>
          <w:rFonts w:ascii="Palatino Linotype" w:eastAsia="Calibri" w:hAnsi="Palatino Linotype"/>
          <w:sz w:val="24"/>
        </w:rPr>
        <w:t xml:space="preserve"> emitido por el INAI, las cuentas bancarias y/o clave interbancaria de los Sujetos Obligados es información de carácter público. </w:t>
      </w:r>
    </w:p>
    <w:p w:rsidR="004C7AC5" w:rsidRPr="000C446F" w:rsidRDefault="004C7AC5" w:rsidP="004C7AC5">
      <w:pPr>
        <w:tabs>
          <w:tab w:val="left" w:pos="8222"/>
        </w:tabs>
        <w:ind w:left="851" w:right="902"/>
        <w:jc w:val="center"/>
        <w:rPr>
          <w:rFonts w:ascii="Palatino Linotype" w:hAnsi="Palatino Linotype" w:cs="Arial"/>
          <w:b/>
          <w:color w:val="000000"/>
        </w:rPr>
      </w:pPr>
      <w:r w:rsidRPr="000C446F">
        <w:rPr>
          <w:rFonts w:ascii="Palatino Linotype" w:hAnsi="Palatino Linotype" w:cs="Arial"/>
          <w:color w:val="000000"/>
        </w:rPr>
        <w:t>“</w:t>
      </w:r>
      <w:r w:rsidRPr="000C446F">
        <w:rPr>
          <w:rFonts w:ascii="Palatino Linotype" w:hAnsi="Palatino Linotype" w:cs="Arial"/>
          <w:b/>
          <w:color w:val="000000"/>
        </w:rPr>
        <w:t>Criterio 11/17</w:t>
      </w:r>
    </w:p>
    <w:p w:rsidR="004C7AC5" w:rsidRPr="000C446F" w:rsidRDefault="004C7AC5" w:rsidP="004C7AC5">
      <w:pPr>
        <w:tabs>
          <w:tab w:val="left" w:pos="8222"/>
        </w:tabs>
        <w:ind w:left="851" w:right="902"/>
        <w:jc w:val="both"/>
        <w:rPr>
          <w:rFonts w:ascii="Palatino Linotype" w:hAnsi="Palatino Linotype"/>
          <w:i/>
        </w:rPr>
      </w:pPr>
      <w:r w:rsidRPr="000C446F">
        <w:rPr>
          <w:rFonts w:ascii="Palatino Linotype" w:hAnsi="Palatino Linotype"/>
          <w:b/>
          <w:i/>
        </w:rPr>
        <w:t>Cuentas bancarias y/o CLABE interbancaria de sujetos obligados que reciben y/o transfieren recursos públicos, son información pública.</w:t>
      </w:r>
      <w:r w:rsidRPr="000C446F">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4C7AC5" w:rsidRPr="000C446F" w:rsidRDefault="004C7AC5" w:rsidP="004C7AC5">
      <w:pPr>
        <w:tabs>
          <w:tab w:val="left" w:pos="8222"/>
        </w:tabs>
        <w:ind w:left="851" w:right="902"/>
        <w:jc w:val="both"/>
        <w:rPr>
          <w:rFonts w:ascii="Palatino Linotype" w:hAnsi="Palatino Linotype"/>
          <w:i/>
        </w:rPr>
      </w:pPr>
      <w:r w:rsidRPr="000C446F">
        <w:rPr>
          <w:rFonts w:ascii="Palatino Linotype" w:hAnsi="Palatino Linotype"/>
          <w:i/>
        </w:rPr>
        <w:t xml:space="preserve">Resoluciones: </w:t>
      </w:r>
    </w:p>
    <w:p w:rsidR="004C7AC5" w:rsidRPr="000C446F" w:rsidRDefault="004C7AC5" w:rsidP="004C7AC5">
      <w:pPr>
        <w:tabs>
          <w:tab w:val="left" w:pos="8222"/>
        </w:tabs>
        <w:ind w:left="851" w:right="902"/>
        <w:jc w:val="both"/>
        <w:rPr>
          <w:rFonts w:ascii="Palatino Linotype" w:hAnsi="Palatino Linotype"/>
          <w:i/>
        </w:rPr>
      </w:pPr>
      <w:r w:rsidRPr="000C446F">
        <w:rPr>
          <w:rFonts w:ascii="Palatino Linotype" w:hAnsi="Palatino Linotype"/>
          <w:i/>
        </w:rPr>
        <w:sym w:font="Symbol" w:char="F0B7"/>
      </w:r>
      <w:r w:rsidRPr="000C446F">
        <w:rPr>
          <w:rFonts w:ascii="Palatino Linotype" w:hAnsi="Palatino Linotype"/>
          <w:i/>
        </w:rPr>
        <w:t xml:space="preserve"> RRA 0448/16. NOTIMEX, Agencia de Noticias del Estado Mexicano. 24 de agosto de 2016. Por unanimidad. Comisionado Ponente Joel Salas Suárez.</w:t>
      </w:r>
    </w:p>
    <w:p w:rsidR="004C7AC5" w:rsidRPr="000C446F" w:rsidRDefault="004C7AC5" w:rsidP="004C7AC5">
      <w:pPr>
        <w:tabs>
          <w:tab w:val="left" w:pos="8222"/>
        </w:tabs>
        <w:ind w:left="851" w:right="899"/>
        <w:jc w:val="both"/>
        <w:rPr>
          <w:rFonts w:ascii="Palatino Linotype" w:hAnsi="Palatino Linotype"/>
          <w:i/>
        </w:rPr>
      </w:pPr>
      <w:r w:rsidRPr="000C446F">
        <w:rPr>
          <w:rFonts w:ascii="Palatino Linotype" w:hAnsi="Palatino Linotype"/>
          <w:i/>
        </w:rPr>
        <w:sym w:font="Symbol" w:char="F0B7"/>
      </w:r>
      <w:r w:rsidRPr="000C446F">
        <w:rPr>
          <w:rFonts w:ascii="Palatino Linotype" w:hAnsi="Palatino Linotype"/>
          <w:i/>
        </w:rPr>
        <w:t xml:space="preserve"> RRA 2787/16. Colegio de Postgraduados. 01 de noviembre de 2016. Por unanimidad. Comisionado Ponente Francisco Javier Acuña Llamas.</w:t>
      </w:r>
    </w:p>
    <w:p w:rsidR="004C7AC5" w:rsidRPr="000C446F" w:rsidRDefault="004C7AC5" w:rsidP="004C7AC5">
      <w:pPr>
        <w:tabs>
          <w:tab w:val="left" w:pos="8222"/>
        </w:tabs>
        <w:ind w:left="851" w:right="899"/>
        <w:jc w:val="both"/>
        <w:rPr>
          <w:rFonts w:ascii="Palatino Linotype" w:hAnsi="Palatino Linotype"/>
          <w:i/>
        </w:rPr>
      </w:pPr>
      <w:r w:rsidRPr="000C446F">
        <w:rPr>
          <w:rFonts w:ascii="Palatino Linotype" w:hAnsi="Palatino Linotype"/>
          <w:i/>
        </w:rPr>
        <w:sym w:font="Symbol" w:char="F0B7"/>
      </w:r>
      <w:r w:rsidRPr="000C446F">
        <w:rPr>
          <w:rFonts w:ascii="Palatino Linotype" w:hAnsi="Palatino Linotype"/>
          <w:i/>
        </w:rPr>
        <w:t xml:space="preserve"> RRA 4756/16. Instituto Mexicano del Seguro Social. 08 de febrero de 2017. Por unanimidad. Comisionado Ponente Oscar Mauricio Guerra Ford.” </w:t>
      </w:r>
      <w:r w:rsidRPr="000C446F">
        <w:rPr>
          <w:rFonts w:ascii="Palatino Linotype" w:hAnsi="Palatino Linotype"/>
        </w:rPr>
        <w:t>(</w:t>
      </w:r>
      <w:r w:rsidRPr="000C446F">
        <w:rPr>
          <w:rFonts w:ascii="Palatino Linotype" w:hAnsi="Palatino Linotype"/>
          <w:i/>
        </w:rPr>
        <w:t>Sic</w:t>
      </w:r>
      <w:r w:rsidRPr="000C446F">
        <w:rPr>
          <w:rFonts w:ascii="Palatino Linotype" w:hAnsi="Palatino Linotype"/>
        </w:rPr>
        <w:t>)</w:t>
      </w:r>
    </w:p>
    <w:p w:rsidR="004C7AC5" w:rsidRPr="000C446F" w:rsidRDefault="004C7AC5" w:rsidP="004C7AC5">
      <w:pPr>
        <w:spacing w:before="100" w:beforeAutospacing="1" w:after="100" w:afterAutospacing="1" w:line="360" w:lineRule="auto"/>
        <w:ind w:right="49"/>
        <w:jc w:val="both"/>
        <w:rPr>
          <w:rFonts w:ascii="Palatino Linotype" w:hAnsi="Palatino Linotype" w:cs="Arial"/>
          <w:lang w:val="es-ES_tradnl"/>
        </w:rPr>
      </w:pPr>
      <w:r w:rsidRPr="000C446F">
        <w:rPr>
          <w:rFonts w:ascii="Palatino Linotype" w:hAnsi="Palatino Linotype" w:cs="Arial"/>
          <w:lang w:val="es-ES_tradnl"/>
        </w:rPr>
        <w:t xml:space="preserve">Caso contrario a los particulares, como lo refiere el </w:t>
      </w:r>
      <w:r w:rsidRPr="000C446F">
        <w:rPr>
          <w:rFonts w:ascii="Palatino Linotype" w:eastAsia="Calibri" w:hAnsi="Palatino Linotype"/>
          <w:b/>
        </w:rPr>
        <w:t>criterio 10/17</w:t>
      </w:r>
      <w:r w:rsidRPr="000C446F">
        <w:rPr>
          <w:rFonts w:ascii="Palatino Linotype" w:eastAsia="Calibri" w:hAnsi="Palatino Linotype"/>
        </w:rPr>
        <w:t xml:space="preserve"> emitido por el INAI, que es del tenor literal siguiente:</w:t>
      </w:r>
    </w:p>
    <w:p w:rsidR="004C7AC5" w:rsidRPr="000C446F" w:rsidRDefault="004C7AC5" w:rsidP="004C7AC5">
      <w:pPr>
        <w:ind w:left="851" w:right="902"/>
        <w:jc w:val="both"/>
        <w:rPr>
          <w:rFonts w:ascii="Palatino Linotype" w:hAnsi="Palatino Linotype" w:cs="Arial"/>
          <w:i/>
          <w:lang w:val="es-ES_tradnl"/>
        </w:rPr>
      </w:pPr>
      <w:r w:rsidRPr="000C446F">
        <w:rPr>
          <w:rFonts w:ascii="Palatino Linotype" w:hAnsi="Palatino Linotype" w:cs="Arial"/>
          <w:b/>
          <w:i/>
          <w:lang w:val="es-ES_tradnl"/>
        </w:rPr>
        <w:t>Cuentas bancarias y/o CLABE interbancaria de personas físicas y morales privadas. El número de cuenta bancaria y/o CLABE interbancaria de particulares es información confidencial</w:t>
      </w:r>
      <w:r w:rsidRPr="000C446F">
        <w:rPr>
          <w:rFonts w:ascii="Palatino Linotype" w:hAnsi="Palatino Linotype" w:cs="Arial"/>
          <w:i/>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4C7AC5" w:rsidRPr="000C446F" w:rsidRDefault="004C7AC5" w:rsidP="004C7AC5">
      <w:pPr>
        <w:ind w:left="851" w:right="902"/>
        <w:jc w:val="both"/>
        <w:rPr>
          <w:rFonts w:ascii="Palatino Linotype" w:hAnsi="Palatino Linotype" w:cs="Arial"/>
          <w:i/>
          <w:lang w:val="es-ES_tradnl"/>
        </w:rPr>
      </w:pPr>
      <w:r w:rsidRPr="000C446F">
        <w:rPr>
          <w:rFonts w:ascii="Palatino Linotype" w:hAnsi="Palatino Linotype" w:cs="Arial"/>
          <w:i/>
          <w:lang w:val="es-ES_tradnl"/>
        </w:rPr>
        <w:t xml:space="preserve">Resoluciones: </w:t>
      </w:r>
    </w:p>
    <w:p w:rsidR="004C7AC5" w:rsidRPr="000C446F" w:rsidRDefault="004C7AC5" w:rsidP="004C7AC5">
      <w:pPr>
        <w:ind w:left="851" w:right="902"/>
        <w:jc w:val="both"/>
        <w:rPr>
          <w:rFonts w:ascii="Palatino Linotype" w:hAnsi="Palatino Linotype" w:cs="Arial"/>
          <w:i/>
          <w:lang w:val="es-ES_tradnl"/>
        </w:rPr>
      </w:pPr>
      <w:r w:rsidRPr="000C446F">
        <w:rPr>
          <w:rFonts w:ascii="Palatino Linotype" w:hAnsi="Palatino Linotype" w:cs="Arial"/>
          <w:i/>
          <w:lang w:val="es-ES_tradnl"/>
        </w:rPr>
        <w:lastRenderedPageBreak/>
        <w:t>RRA 1276/16 Grupo Aeroportuario de la Ciudad de México. S.A. de C.V. 01 de noviembre de 2016. Por unanimidad. Comisionada Ponente Areli Cano Guadiana.</w:t>
      </w:r>
    </w:p>
    <w:p w:rsidR="004C7AC5" w:rsidRPr="000C446F" w:rsidRDefault="004C7AC5" w:rsidP="004C7AC5">
      <w:pPr>
        <w:ind w:left="851" w:right="902"/>
        <w:jc w:val="both"/>
        <w:rPr>
          <w:rFonts w:ascii="Palatino Linotype" w:hAnsi="Palatino Linotype" w:cs="Arial"/>
          <w:i/>
          <w:lang w:val="es-ES_tradnl"/>
        </w:rPr>
      </w:pPr>
      <w:r w:rsidRPr="000C446F">
        <w:rPr>
          <w:rFonts w:ascii="Palatino Linotype" w:hAnsi="Palatino Linotype" w:cs="Arial"/>
          <w:i/>
          <w:lang w:val="es-ES_tradnl"/>
        </w:rPr>
        <w:t xml:space="preserve">RRA 3527/16 Servicio de Administración Tributaria. 07 de diciembre de 2016. Por unanimidad. Comisionada Ponente Ximena Puente de la Mora. </w:t>
      </w:r>
      <w:r w:rsidRPr="000C446F">
        <w:rPr>
          <w:rFonts w:ascii="Palatino Linotype" w:hAnsi="Palatino Linotype" w:cs="Arial"/>
          <w:i/>
          <w:lang w:val="es-ES_tradnl"/>
        </w:rPr>
        <w:t xml:space="preserve"> </w:t>
      </w:r>
    </w:p>
    <w:p w:rsidR="004C7AC5" w:rsidRPr="000C446F" w:rsidRDefault="004C7AC5" w:rsidP="004C7AC5">
      <w:pPr>
        <w:ind w:left="851" w:right="902"/>
        <w:jc w:val="both"/>
        <w:rPr>
          <w:rFonts w:ascii="Palatino Linotype" w:hAnsi="Palatino Linotype" w:cs="Arial"/>
          <w:i/>
          <w:lang w:val="es-ES_tradnl"/>
        </w:rPr>
      </w:pPr>
      <w:r w:rsidRPr="000C446F">
        <w:rPr>
          <w:rFonts w:ascii="Palatino Linotype" w:hAnsi="Palatino Linotype" w:cs="Arial"/>
          <w:i/>
          <w:lang w:val="es-ES_tradnl"/>
        </w:rPr>
        <w:t>RRA 4404/16 Partido del Trabajo. 01 de febrero de 2017. Por unanimidad. Comisionado Ponente Francisco Acuña Llamas.</w:t>
      </w:r>
    </w:p>
    <w:p w:rsidR="004C7AC5" w:rsidRPr="006F4C69" w:rsidRDefault="004C7AC5" w:rsidP="004C7AC5">
      <w:pPr>
        <w:spacing w:before="100" w:beforeAutospacing="1" w:after="100" w:afterAutospacing="1" w:line="360" w:lineRule="auto"/>
        <w:jc w:val="both"/>
        <w:rPr>
          <w:rFonts w:ascii="Palatino Linotype" w:hAnsi="Palatino Linotype"/>
          <w:sz w:val="24"/>
        </w:rPr>
      </w:pPr>
      <w:r w:rsidRPr="006F4C69">
        <w:rPr>
          <w:rFonts w:ascii="Palatino Linotype" w:eastAsia="Calibri" w:hAnsi="Palatino Linotype"/>
          <w:sz w:val="24"/>
        </w:rPr>
        <w:t xml:space="preserve">En mérito de lo expuesto, este Instituto estima que lo procedente es ordenar al </w:t>
      </w:r>
      <w:r w:rsidRPr="006F4C69">
        <w:rPr>
          <w:rFonts w:ascii="Palatino Linotype" w:eastAsia="Calibri" w:hAnsi="Palatino Linotype"/>
          <w:b/>
          <w:sz w:val="24"/>
        </w:rPr>
        <w:t>SUJETO OBLIGADO</w:t>
      </w:r>
      <w:r w:rsidRPr="006F4C69">
        <w:rPr>
          <w:rFonts w:ascii="Palatino Linotype" w:eastAsia="Calibri" w:hAnsi="Palatino Linotype"/>
          <w:sz w:val="24"/>
        </w:rPr>
        <w:t xml:space="preserve"> haga entrega de la expresión documental donde consten </w:t>
      </w:r>
      <w:r w:rsidRPr="006F4C69">
        <w:rPr>
          <w:rFonts w:ascii="Palatino Linotype" w:hAnsi="Palatino Linotype" w:cs="Arial"/>
          <w:sz w:val="24"/>
        </w:rPr>
        <w:t>las cuentas</w:t>
      </w:r>
      <w:r w:rsidRPr="006F4C69">
        <w:rPr>
          <w:rFonts w:ascii="Palatino Linotype" w:hAnsi="Palatino Linotype"/>
          <w:sz w:val="24"/>
        </w:rPr>
        <w:t xml:space="preserve"> bancarias productivas específicas de la administración pública municipal, activas al 24 de septiembre de 2019; en </w:t>
      </w:r>
      <w:r w:rsidRPr="006F4C69">
        <w:rPr>
          <w:rFonts w:ascii="Palatino Linotype" w:hAnsi="Palatino Linotype"/>
          <w:b/>
          <w:sz w:val="24"/>
        </w:rPr>
        <w:t>versión pública</w:t>
      </w:r>
      <w:r w:rsidRPr="006F4C69">
        <w:rPr>
          <w:rFonts w:ascii="Palatino Linotype" w:hAnsi="Palatino Linotype"/>
          <w:sz w:val="24"/>
        </w:rPr>
        <w:t xml:space="preserve"> de ser procedente.</w:t>
      </w:r>
    </w:p>
    <w:p w:rsidR="004C7AC5" w:rsidRPr="006F4C69" w:rsidRDefault="004C7AC5" w:rsidP="004C7AC5">
      <w:pPr>
        <w:spacing w:before="240" w:after="240" w:line="360" w:lineRule="auto"/>
        <w:jc w:val="both"/>
        <w:rPr>
          <w:rFonts w:ascii="Palatino Linotype" w:hAnsi="Palatino Linotype" w:cs="Arial"/>
          <w:sz w:val="24"/>
          <w:lang w:val="es-ES"/>
        </w:rPr>
      </w:pPr>
      <w:r w:rsidRPr="006F4C69">
        <w:rPr>
          <w:rFonts w:ascii="Palatino Linotype" w:hAnsi="Palatino Linotype"/>
          <w:sz w:val="24"/>
          <w:lang w:val="es-ES"/>
        </w:rPr>
        <w:t xml:space="preserve">Siendo necesario hacer hincapié que, </w:t>
      </w:r>
      <w:r w:rsidRPr="006F4C69">
        <w:rPr>
          <w:rFonts w:ascii="Palatino Linotype" w:hAnsi="Palatino Linotype" w:cs="Arial"/>
          <w:sz w:val="24"/>
          <w:lang w:val="es-ES"/>
        </w:rPr>
        <w:t xml:space="preserve">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w:t>
      </w:r>
      <w:r w:rsidRPr="006F4C69">
        <w:rPr>
          <w:rFonts w:ascii="Palatino Linotype" w:hAnsi="Palatino Linotype" w:cs="Arial"/>
          <w:b/>
          <w:sz w:val="24"/>
          <w:lang w:val="es-ES"/>
        </w:rPr>
        <w:t>expresión documental</w:t>
      </w:r>
      <w:r w:rsidRPr="006F4C69">
        <w:rPr>
          <w:rFonts w:ascii="Palatino Linotype" w:hAnsi="Palatino Linotype" w:cs="Arial"/>
          <w:sz w:val="24"/>
          <w:lang w:val="es-ES"/>
        </w:rPr>
        <w:t>, deben atenderlas. Lo anterior, tiene apoyo en el criterio 16/17, emitido por el Pleno del INAI, el cual menciona lo siguiente:</w:t>
      </w:r>
    </w:p>
    <w:p w:rsidR="004C7AC5" w:rsidRPr="000C446F" w:rsidRDefault="004C7AC5" w:rsidP="004C7AC5">
      <w:pPr>
        <w:spacing w:before="120" w:after="120"/>
        <w:ind w:left="567" w:right="618"/>
        <w:jc w:val="both"/>
        <w:rPr>
          <w:rFonts w:ascii="Palatino Linotype" w:hAnsi="Palatino Linotype" w:cs="Arial"/>
          <w:i/>
          <w:lang w:val="es-ES"/>
        </w:rPr>
      </w:pPr>
      <w:r w:rsidRPr="000C446F">
        <w:rPr>
          <w:rFonts w:ascii="Palatino Linotype" w:hAnsi="Palatino Linotype" w:cs="Arial"/>
          <w:i/>
          <w:lang w:val="es-ES"/>
        </w:rPr>
        <w:t>“</w:t>
      </w:r>
      <w:r w:rsidRPr="000C446F">
        <w:rPr>
          <w:rFonts w:ascii="Palatino Linotype" w:hAnsi="Palatino Linotype" w:cs="Arial"/>
          <w:b/>
          <w:i/>
          <w:lang w:val="es-ES"/>
        </w:rPr>
        <w:t xml:space="preserve">Expresión documental. </w:t>
      </w:r>
      <w:r w:rsidRPr="000C446F">
        <w:rPr>
          <w:rFonts w:ascii="Palatino Linotype" w:hAnsi="Palatino Linotype" w:cs="Arial"/>
          <w:i/>
          <w:lang w:val="es-ES"/>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4C7AC5" w:rsidRPr="000C446F" w:rsidRDefault="004C7AC5" w:rsidP="004C7AC5">
      <w:pPr>
        <w:spacing w:before="120" w:after="120"/>
        <w:ind w:left="567" w:right="618"/>
        <w:jc w:val="both"/>
        <w:rPr>
          <w:rFonts w:ascii="Palatino Linotype" w:hAnsi="Palatino Linotype" w:cs="Arial"/>
          <w:i/>
          <w:lang w:val="es-ES"/>
        </w:rPr>
      </w:pPr>
      <w:r w:rsidRPr="000C446F">
        <w:rPr>
          <w:rFonts w:ascii="Palatino Linotype" w:hAnsi="Palatino Linotype" w:cs="Arial"/>
          <w:i/>
          <w:lang w:val="es-ES"/>
        </w:rPr>
        <w:t>Resoluciones:</w:t>
      </w:r>
    </w:p>
    <w:p w:rsidR="004C7AC5" w:rsidRPr="000C446F" w:rsidRDefault="004C7AC5" w:rsidP="004C7AC5">
      <w:pPr>
        <w:spacing w:before="120" w:after="120"/>
        <w:ind w:left="567" w:right="618"/>
        <w:jc w:val="both"/>
        <w:rPr>
          <w:rFonts w:ascii="Palatino Linotype" w:hAnsi="Palatino Linotype" w:cs="Arial"/>
          <w:i/>
          <w:lang w:val="es-ES"/>
        </w:rPr>
      </w:pPr>
      <w:r w:rsidRPr="000C446F">
        <w:rPr>
          <w:rFonts w:ascii="Palatino Linotype" w:hAnsi="Palatino Linotype" w:cs="Arial"/>
          <w:i/>
          <w:lang w:val="es-ES"/>
        </w:rPr>
        <w:t>•</w:t>
      </w:r>
      <w:r w:rsidRPr="000C446F">
        <w:rPr>
          <w:rFonts w:ascii="Palatino Linotype" w:hAnsi="Palatino Linotype" w:cs="Arial"/>
          <w:i/>
          <w:lang w:val="es-ES"/>
        </w:rPr>
        <w:tab/>
        <w:t>RRA 0774/16. Secretaría de Salud. 31 de agosto de 2016. Por unanimidad. Comisionada Ponente María Patricia Kurczyn Villalobos.</w:t>
      </w:r>
    </w:p>
    <w:p w:rsidR="004C7AC5" w:rsidRPr="000C446F" w:rsidRDefault="004C7AC5" w:rsidP="004C7AC5">
      <w:pPr>
        <w:spacing w:before="120" w:after="120"/>
        <w:ind w:left="567" w:right="618"/>
        <w:jc w:val="both"/>
        <w:rPr>
          <w:rFonts w:ascii="Palatino Linotype" w:hAnsi="Palatino Linotype" w:cs="Arial"/>
          <w:i/>
          <w:lang w:val="es-ES"/>
        </w:rPr>
      </w:pPr>
      <w:r w:rsidRPr="000C446F">
        <w:rPr>
          <w:rFonts w:ascii="Palatino Linotype" w:hAnsi="Palatino Linotype" w:cs="Arial"/>
          <w:i/>
          <w:lang w:val="es-ES"/>
        </w:rPr>
        <w:t>•</w:t>
      </w:r>
      <w:r w:rsidRPr="000C446F">
        <w:rPr>
          <w:rFonts w:ascii="Palatino Linotype" w:hAnsi="Palatino Linotype" w:cs="Arial"/>
          <w:i/>
          <w:lang w:val="es-ES"/>
        </w:rPr>
        <w:tab/>
        <w:t xml:space="preserve">RRA 0143/17. Universidad Autónoma Agraria Antonio Narro. 22 de febrero de 2017. Por unanimidad. Comisionado Ponente Oscar Mauricio Guerra Ford. </w:t>
      </w:r>
    </w:p>
    <w:p w:rsidR="004C7AC5" w:rsidRPr="000C446F" w:rsidRDefault="004C7AC5" w:rsidP="004C7AC5">
      <w:pPr>
        <w:spacing w:before="120" w:after="120"/>
        <w:ind w:left="567" w:right="618"/>
        <w:jc w:val="both"/>
        <w:rPr>
          <w:rFonts w:ascii="Palatino Linotype" w:hAnsi="Palatino Linotype" w:cs="Arial"/>
          <w:i/>
          <w:lang w:val="es-ES"/>
        </w:rPr>
      </w:pPr>
      <w:r w:rsidRPr="000C446F">
        <w:rPr>
          <w:rFonts w:ascii="Palatino Linotype" w:hAnsi="Palatino Linotype" w:cs="Arial"/>
          <w:i/>
          <w:lang w:val="es-ES"/>
        </w:rPr>
        <w:lastRenderedPageBreak/>
        <w:t>•</w:t>
      </w:r>
      <w:r w:rsidRPr="000C446F">
        <w:rPr>
          <w:rFonts w:ascii="Palatino Linotype" w:hAnsi="Palatino Linotype" w:cs="Arial"/>
          <w:i/>
          <w:lang w:val="es-ES"/>
        </w:rPr>
        <w:tab/>
        <w:t>RRA 0540/17. Secretaría de Economía. 08 de marzo del 2017. Por unanimidad. Comisionado Ponente Francisco Javier Acuña Llamas.” (Sic)</w:t>
      </w:r>
    </w:p>
    <w:p w:rsidR="004C7AC5" w:rsidRPr="000C446F" w:rsidRDefault="004C7AC5" w:rsidP="004C7AC5">
      <w:pPr>
        <w:spacing w:before="120" w:after="120"/>
        <w:ind w:left="567" w:right="618"/>
        <w:jc w:val="both"/>
        <w:rPr>
          <w:rFonts w:ascii="Palatino Linotype" w:hAnsi="Palatino Linotype" w:cs="Arial"/>
          <w:lang w:val="es-ES"/>
        </w:rPr>
      </w:pPr>
      <w:r w:rsidRPr="000C446F">
        <w:rPr>
          <w:rFonts w:ascii="Palatino Linotype" w:hAnsi="Palatino Linotype" w:cs="Arial"/>
          <w:lang w:val="es-ES"/>
        </w:rPr>
        <w:t>(Énfasis añadido)</w:t>
      </w:r>
    </w:p>
    <w:p w:rsidR="004C7AC5" w:rsidRPr="006F4C69" w:rsidRDefault="004C7AC5" w:rsidP="004C7AC5">
      <w:pPr>
        <w:spacing w:before="100" w:beforeAutospacing="1" w:after="100" w:afterAutospacing="1" w:line="360" w:lineRule="auto"/>
        <w:ind w:right="51"/>
        <w:jc w:val="both"/>
        <w:rPr>
          <w:rFonts w:ascii="Palatino Linotype" w:hAnsi="Palatino Linotype" w:cs="Arial"/>
          <w:sz w:val="24"/>
        </w:rPr>
      </w:pPr>
      <w:r w:rsidRPr="006F4C69">
        <w:rPr>
          <w:rFonts w:ascii="Palatino Linotype" w:hAnsi="Palatino Linotype" w:cs="Arial"/>
          <w:sz w:val="24"/>
        </w:rPr>
        <w:t xml:space="preserve">Dicho lo anterior, es toral señalar que, si </w:t>
      </w:r>
      <w:r w:rsidRPr="006F4C69">
        <w:rPr>
          <w:rFonts w:ascii="Palatino Linotype" w:hAnsi="Palatino Linotype" w:cs="Arial"/>
          <w:b/>
          <w:sz w:val="24"/>
        </w:rPr>
        <w:t>EL SUJETO OBLIGADO</w:t>
      </w:r>
      <w:r w:rsidRPr="006F4C69">
        <w:rPr>
          <w:rFonts w:ascii="Palatino Linotype" w:hAnsi="Palatino Linotype" w:cs="Arial"/>
          <w:sz w:val="24"/>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w:t>
      </w:r>
    </w:p>
    <w:p w:rsidR="004C7AC5" w:rsidRPr="006F4C69" w:rsidRDefault="004C7AC5" w:rsidP="004C7AC5">
      <w:pPr>
        <w:autoSpaceDE w:val="0"/>
        <w:autoSpaceDN w:val="0"/>
        <w:adjustRightInd w:val="0"/>
        <w:spacing w:before="100" w:beforeAutospacing="1" w:after="100" w:afterAutospacing="1" w:line="360" w:lineRule="auto"/>
        <w:ind w:right="51"/>
        <w:jc w:val="both"/>
        <w:rPr>
          <w:rFonts w:ascii="Palatino Linotype" w:hAnsi="Palatino Linotype" w:cs="Arial"/>
          <w:sz w:val="24"/>
        </w:rPr>
      </w:pPr>
      <w:r w:rsidRPr="006F4C69">
        <w:rPr>
          <w:rFonts w:ascii="Palatino Linotype" w:hAnsi="Palatino Linotype" w:cs="Arial"/>
          <w:color w:val="000000"/>
          <w:sz w:val="24"/>
        </w:rPr>
        <w:t xml:space="preserve">En ese sentido, es de precisar que </w:t>
      </w:r>
      <w:r w:rsidRPr="006F4C69">
        <w:rPr>
          <w:rFonts w:ascii="Palatino Linotype" w:eastAsia="Calibri" w:hAnsi="Palatino Linotype" w:cs="Bookman Old Style,Bold"/>
          <w:bCs/>
          <w:color w:val="0D0D0D"/>
          <w:sz w:val="24"/>
        </w:rPr>
        <w:t xml:space="preserve">la clasificación de la información no se da por el simple mandato de la Ley, sino que </w:t>
      </w:r>
      <w:r w:rsidRPr="006F4C69">
        <w:rPr>
          <w:rFonts w:ascii="Palatino Linotype" w:hAnsi="Palatino Linotype"/>
          <w:sz w:val="24"/>
        </w:rPr>
        <w:t xml:space="preserve">es necesario que </w:t>
      </w:r>
      <w:r w:rsidRPr="006F4C69">
        <w:rPr>
          <w:rFonts w:ascii="Palatino Linotype" w:hAnsi="Palatino Linotype"/>
          <w:b/>
          <w:sz w:val="24"/>
        </w:rPr>
        <w:t xml:space="preserve">EL SUJETO OBLIGADO </w:t>
      </w:r>
      <w:r w:rsidRPr="006F4C69">
        <w:rPr>
          <w:rFonts w:ascii="Palatino Linotype" w:hAnsi="Palatino Linotype"/>
          <w:sz w:val="24"/>
        </w:rPr>
        <w:t xml:space="preserve">cuando clasifique algún documento o información, ya sea todo o en parte, debe atender lo dispuesto por </w:t>
      </w:r>
      <w:r w:rsidRPr="006F4C69">
        <w:rPr>
          <w:rFonts w:ascii="Palatino Linotype" w:hAnsi="Palatino Linotype" w:cs="Arial"/>
          <w:sz w:val="24"/>
        </w:rPr>
        <w:t xml:space="preserve">la Ley de la materia, siendo que dicha clasificación es un trabajo en conjunto tanto de los Servidores Públicos Habilitados, de las Unidades de Transparencia y del Comité de Transparencia del </w:t>
      </w:r>
      <w:r w:rsidRPr="006F4C69">
        <w:rPr>
          <w:rFonts w:ascii="Palatino Linotype" w:hAnsi="Palatino Linotype" w:cs="Arial"/>
          <w:b/>
          <w:sz w:val="24"/>
        </w:rPr>
        <w:t>SUJETO OBLIGADO</w:t>
      </w:r>
      <w:r w:rsidRPr="006F4C69">
        <w:rPr>
          <w:rFonts w:ascii="Palatino Linotype" w:hAnsi="Palatino Linotype" w:cs="Arial"/>
          <w:sz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4C7AC5" w:rsidRPr="006F4C69" w:rsidRDefault="004C7AC5" w:rsidP="004C7AC5">
      <w:pPr>
        <w:autoSpaceDE w:val="0"/>
        <w:autoSpaceDN w:val="0"/>
        <w:adjustRightInd w:val="0"/>
        <w:spacing w:before="100" w:beforeAutospacing="1" w:after="100" w:afterAutospacing="1" w:line="360" w:lineRule="auto"/>
        <w:jc w:val="both"/>
        <w:rPr>
          <w:rFonts w:ascii="Palatino Linotype" w:hAnsi="Palatino Linotype"/>
          <w:sz w:val="24"/>
          <w:lang w:val="es-ES"/>
        </w:rPr>
      </w:pPr>
      <w:r w:rsidRPr="006F4C69">
        <w:rPr>
          <w:rFonts w:ascii="Palatino Linotype" w:hAnsi="Palatino Linotype" w:cs="Arial"/>
          <w:sz w:val="24"/>
          <w:lang w:val="es-ES" w:eastAsia="es-MX"/>
        </w:rPr>
        <w:t xml:space="preserve">Por cuanto hace al Registro Federal de Contribuyentes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w:t>
      </w:r>
      <w:r w:rsidRPr="006F4C69">
        <w:rPr>
          <w:rFonts w:ascii="Palatino Linotype" w:hAnsi="Palatino Linotype" w:cs="Arial"/>
          <w:sz w:val="24"/>
          <w:lang w:val="es-ES" w:eastAsia="es-MX"/>
        </w:rPr>
        <w:lastRenderedPageBreak/>
        <w:t>último la primera letra del nombre, posterior la fecha de nacimiento año/mes/día</w:t>
      </w:r>
      <w:r w:rsidRPr="006F4C69">
        <w:rPr>
          <w:rFonts w:ascii="Palatino Linotype" w:hAnsi="Palatino Linotype"/>
          <w:sz w:val="24"/>
          <w:lang w:val="es-ES"/>
        </w:rPr>
        <w:t xml:space="preserve"> y finalmente la homoclave; la cual para su obtención es necesario acreditar personalidad, fecha de nacimiento entre otros con documentos oficiales.</w:t>
      </w:r>
    </w:p>
    <w:p w:rsidR="004C7AC5" w:rsidRPr="000C446F" w:rsidRDefault="004C7AC5" w:rsidP="004C7AC5">
      <w:pPr>
        <w:spacing w:before="100" w:beforeAutospacing="1" w:after="100" w:afterAutospacing="1" w:line="360" w:lineRule="auto"/>
        <w:jc w:val="both"/>
        <w:rPr>
          <w:rFonts w:ascii="Palatino Linotype" w:hAnsi="Palatino Linotype" w:cs="Arial"/>
          <w:lang w:val="es-ES" w:eastAsia="es-MX"/>
        </w:rPr>
      </w:pPr>
      <w:r w:rsidRPr="000C446F">
        <w:rPr>
          <w:rFonts w:ascii="Palatino Linotype" w:hAnsi="Palatino Linotype" w:cs="Arial"/>
          <w:lang w:val="es-ES" w:eastAsia="es-MX"/>
        </w:rPr>
        <w:t>Al respecto, el INAI, a través del Criterio 19/17, señala literalmente lo siguiente:</w:t>
      </w:r>
    </w:p>
    <w:p w:rsidR="004C7AC5" w:rsidRPr="000C446F" w:rsidRDefault="004C7AC5" w:rsidP="004C7AC5">
      <w:pPr>
        <w:ind w:left="851" w:right="902"/>
        <w:jc w:val="both"/>
        <w:rPr>
          <w:rFonts w:ascii="Palatino Linotype" w:hAnsi="Palatino Linotype" w:cs="Arial"/>
          <w:bCs/>
          <w:i/>
          <w:lang w:val="es-ES"/>
        </w:rPr>
      </w:pPr>
      <w:r w:rsidRPr="000C446F">
        <w:rPr>
          <w:rFonts w:ascii="Palatino Linotype" w:hAnsi="Palatino Linotype" w:cs="Arial"/>
          <w:bCs/>
          <w:i/>
          <w:lang w:val="es-ES"/>
        </w:rPr>
        <w:t>“</w:t>
      </w:r>
      <w:r w:rsidRPr="000C446F">
        <w:rPr>
          <w:rFonts w:ascii="Palatino Linotype" w:hAnsi="Palatino Linotype" w:cs="Arial"/>
          <w:b/>
          <w:bCs/>
          <w:i/>
          <w:lang w:val="es-ES"/>
        </w:rPr>
        <w:t>Registro Federal de Contribuyentes (RFC) de personas físicas</w:t>
      </w:r>
      <w:r w:rsidRPr="000C446F">
        <w:rPr>
          <w:rFonts w:ascii="Palatino Linotype" w:hAnsi="Palatino Linotype" w:cs="Arial"/>
          <w:bCs/>
          <w:i/>
          <w:lang w:val="es-ES"/>
        </w:rPr>
        <w:t>. El RFC es una clave de carácter fiscal, única e irrepetible, que permite identificar al titular, su edad y fecha de nacimiento, por lo que es un dato personal de carácter confidencial.</w:t>
      </w:r>
    </w:p>
    <w:p w:rsidR="004C7AC5" w:rsidRPr="000C446F" w:rsidRDefault="004C7AC5" w:rsidP="004C7AC5">
      <w:pPr>
        <w:ind w:left="851" w:right="902"/>
        <w:jc w:val="both"/>
        <w:rPr>
          <w:rFonts w:ascii="Palatino Linotype" w:hAnsi="Palatino Linotype" w:cs="Arial"/>
          <w:bCs/>
          <w:i/>
          <w:lang w:val="es-ES"/>
        </w:rPr>
      </w:pPr>
      <w:r w:rsidRPr="000C446F">
        <w:rPr>
          <w:rFonts w:ascii="Palatino Linotype" w:hAnsi="Palatino Linotype" w:cs="Arial"/>
          <w:bCs/>
          <w:i/>
          <w:lang w:val="es-ES"/>
        </w:rPr>
        <w:t>Resoluciones:</w:t>
      </w:r>
    </w:p>
    <w:p w:rsidR="004C7AC5" w:rsidRPr="000C446F" w:rsidRDefault="004C7AC5" w:rsidP="004C7AC5">
      <w:pPr>
        <w:ind w:left="851" w:right="902"/>
        <w:jc w:val="both"/>
        <w:rPr>
          <w:rFonts w:ascii="Palatino Linotype" w:hAnsi="Palatino Linotype" w:cs="Arial"/>
          <w:bCs/>
          <w:i/>
          <w:lang w:val="es-ES"/>
        </w:rPr>
      </w:pPr>
      <w:r w:rsidRPr="000C446F">
        <w:rPr>
          <w:rFonts w:ascii="Palatino Linotype" w:hAnsi="Palatino Linotype" w:cs="Arial"/>
          <w:bCs/>
          <w:i/>
          <w:lang w:val="es-ES"/>
        </w:rPr>
        <w:t>•</w:t>
      </w:r>
      <w:r w:rsidRPr="000C446F">
        <w:rPr>
          <w:rFonts w:ascii="Palatino Linotype" w:hAnsi="Palatino Linotype" w:cs="Arial"/>
          <w:bCs/>
          <w:i/>
          <w:lang w:val="es-ES"/>
        </w:rPr>
        <w:tab/>
        <w:t>RRA 0189/17. Morena. 08 de febrero de 2017. Por unanimidad. Comisionado Ponente Joel Salas Suárez.</w:t>
      </w:r>
    </w:p>
    <w:p w:rsidR="004C7AC5" w:rsidRPr="000C446F" w:rsidRDefault="004C7AC5" w:rsidP="004C7AC5">
      <w:pPr>
        <w:ind w:left="851" w:right="902"/>
        <w:jc w:val="both"/>
        <w:rPr>
          <w:rFonts w:ascii="Palatino Linotype" w:hAnsi="Palatino Linotype" w:cs="Arial"/>
          <w:bCs/>
          <w:i/>
          <w:lang w:val="es-ES"/>
        </w:rPr>
      </w:pPr>
      <w:r w:rsidRPr="000C446F">
        <w:rPr>
          <w:rFonts w:ascii="Palatino Linotype" w:hAnsi="Palatino Linotype" w:cs="Arial"/>
          <w:bCs/>
          <w:i/>
          <w:lang w:val="es-ES"/>
        </w:rPr>
        <w:t>•</w:t>
      </w:r>
      <w:r w:rsidRPr="000C446F">
        <w:rPr>
          <w:rFonts w:ascii="Palatino Linotype" w:hAnsi="Palatino Linotype" w:cs="Arial"/>
          <w:bCs/>
          <w:i/>
          <w:lang w:val="es-ES"/>
        </w:rPr>
        <w:tab/>
        <w:t xml:space="preserve">RRA 0677/17. Universidad Nacional Autónoma de México. 08 de marzo de 2017. Por unanimidad. Comisionado Ponente Rosendoevgueni Monterrey Chepov. </w:t>
      </w:r>
    </w:p>
    <w:p w:rsidR="004C7AC5" w:rsidRPr="000C446F" w:rsidRDefault="004C7AC5" w:rsidP="004C7AC5">
      <w:pPr>
        <w:ind w:left="851" w:right="902"/>
        <w:jc w:val="both"/>
        <w:rPr>
          <w:rFonts w:ascii="Palatino Linotype" w:hAnsi="Palatino Linotype" w:cs="Arial"/>
          <w:bCs/>
          <w:i/>
          <w:lang w:val="es-ES"/>
        </w:rPr>
      </w:pPr>
      <w:r w:rsidRPr="000C446F">
        <w:rPr>
          <w:rFonts w:ascii="Palatino Linotype" w:hAnsi="Palatino Linotype" w:cs="Arial"/>
          <w:bCs/>
          <w:i/>
          <w:lang w:val="es-ES"/>
        </w:rPr>
        <w:t>•</w:t>
      </w:r>
      <w:r w:rsidRPr="000C446F">
        <w:rPr>
          <w:rFonts w:ascii="Palatino Linotype" w:hAnsi="Palatino Linotype" w:cs="Arial"/>
          <w:bCs/>
          <w:i/>
          <w:lang w:val="es-ES"/>
        </w:rPr>
        <w:tab/>
        <w:t>RRA 1564/17. Tribunal Electoral del Poder Judicial de la Federación. 26 de abril de 2017. Por unanimidad. Comisionado Ponente Oscar Mauricio Guerra Ford.”</w:t>
      </w:r>
    </w:p>
    <w:p w:rsidR="004C7AC5" w:rsidRPr="000C446F" w:rsidRDefault="004C7AC5" w:rsidP="004C7AC5">
      <w:pPr>
        <w:ind w:left="851" w:right="902"/>
        <w:jc w:val="both"/>
        <w:rPr>
          <w:rFonts w:ascii="Palatino Linotype" w:hAnsi="Palatino Linotype" w:cs="Arial"/>
          <w:bCs/>
          <w:lang w:val="es-ES"/>
        </w:rPr>
      </w:pPr>
      <w:r w:rsidRPr="000C446F">
        <w:rPr>
          <w:rFonts w:ascii="Palatino Linotype" w:hAnsi="Palatino Linotype" w:cs="Arial"/>
          <w:bCs/>
          <w:lang w:val="es-ES"/>
        </w:rPr>
        <w:t>(Énfasis añadido)</w:t>
      </w:r>
    </w:p>
    <w:p w:rsidR="004C7AC5" w:rsidRPr="006F4C69" w:rsidRDefault="004C7AC5" w:rsidP="004C7AC5">
      <w:pPr>
        <w:spacing w:before="100" w:beforeAutospacing="1" w:after="100" w:afterAutospacing="1" w:line="360" w:lineRule="auto"/>
        <w:jc w:val="both"/>
        <w:rPr>
          <w:rFonts w:ascii="Palatino Linotype" w:hAnsi="Palatino Linotype" w:cs="Arial"/>
          <w:sz w:val="24"/>
          <w:lang w:eastAsia="es-MX"/>
        </w:rPr>
      </w:pPr>
      <w:r w:rsidRPr="006F4C69">
        <w:rPr>
          <w:rFonts w:ascii="Palatino Linotype" w:hAnsi="Palatino Linotype" w:cs="Arial"/>
          <w:sz w:val="24"/>
          <w:lang w:eastAsia="es-MX"/>
        </w:rPr>
        <w:t xml:space="preserve">De lo anterior, se desprende que el RFC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2, fracción II de la Ley de Transparencia y Acceso a la Información Pública del Estado de México y Municipios y </w:t>
      </w:r>
      <w:r w:rsidRPr="006F4C69">
        <w:rPr>
          <w:rFonts w:ascii="Palatino Linotype" w:eastAsia="Arial Unicode MS" w:hAnsi="Palatino Linotype" w:cs="Arial"/>
          <w:sz w:val="24"/>
          <w:lang w:val="es-ES"/>
        </w:rPr>
        <w:t>4, fracción XI de la Ley de Protección de Datos Personales en Posesión de Sujetos Obligados del Estado de México y Municipios</w:t>
      </w:r>
      <w:r w:rsidRPr="006F4C69">
        <w:rPr>
          <w:rFonts w:ascii="Palatino Linotype" w:hAnsi="Palatino Linotype" w:cs="Arial"/>
          <w:sz w:val="24"/>
          <w:lang w:eastAsia="es-MX"/>
        </w:rPr>
        <w:t>.</w:t>
      </w:r>
    </w:p>
    <w:p w:rsidR="004C7AC5" w:rsidRPr="006F4C69" w:rsidRDefault="004C7AC5" w:rsidP="004C7AC5">
      <w:pPr>
        <w:widowControl w:val="0"/>
        <w:autoSpaceDE w:val="0"/>
        <w:autoSpaceDN w:val="0"/>
        <w:adjustRightInd w:val="0"/>
        <w:spacing w:before="100" w:beforeAutospacing="1" w:after="100" w:afterAutospacing="1" w:line="360" w:lineRule="auto"/>
        <w:jc w:val="both"/>
        <w:rPr>
          <w:rFonts w:ascii="Palatino Linotype" w:hAnsi="Palatino Linotype" w:cs="Arial"/>
          <w:sz w:val="24"/>
        </w:rPr>
      </w:pPr>
      <w:r w:rsidRPr="006F4C69">
        <w:rPr>
          <w:rFonts w:ascii="Palatino Linotype" w:hAnsi="Palatino Linotype" w:cs="Arial"/>
          <w:sz w:val="24"/>
        </w:rPr>
        <w:lastRenderedPageBreak/>
        <w:t xml:space="preserve">Por otra parte, </w:t>
      </w:r>
      <w:r w:rsidRPr="006F4C69">
        <w:rPr>
          <w:rFonts w:ascii="Palatino Linotype" w:hAnsi="Palatino Linotype"/>
          <w:sz w:val="24"/>
        </w:rPr>
        <w:t xml:space="preserve">este Órgano Garante se reitera que la información solicitada, pudiera contener a su vez datos personales susceptibles de considerarse información confidencial como lo son: </w:t>
      </w:r>
      <w:r w:rsidRPr="006F4C69">
        <w:rPr>
          <w:rFonts w:ascii="Palatino Linotype" w:eastAsia="Arial Unicode MS" w:hAnsi="Palatino Linotype" w:cs="Arial"/>
          <w:sz w:val="24"/>
        </w:rPr>
        <w:t>números de cuenta y CLABE’s interbancarias de particulares, información susceptible de ser clasificada como confidencial</w:t>
      </w:r>
      <w:r w:rsidRPr="006F4C69">
        <w:rPr>
          <w:rFonts w:ascii="Palatino Linotype" w:hAnsi="Palatino Linotype" w:cs="Arial"/>
          <w:sz w:val="24"/>
        </w:rPr>
        <w:t>.</w:t>
      </w:r>
    </w:p>
    <w:p w:rsidR="004C7AC5" w:rsidRPr="006F4C69" w:rsidRDefault="004C7AC5" w:rsidP="004C7AC5">
      <w:pPr>
        <w:spacing w:before="100" w:beforeAutospacing="1" w:after="100" w:afterAutospacing="1" w:line="360" w:lineRule="auto"/>
        <w:jc w:val="both"/>
        <w:rPr>
          <w:rFonts w:ascii="Palatino Linotype" w:hAnsi="Palatino Linotype" w:cs="Arial"/>
          <w:sz w:val="24"/>
          <w:lang w:val="es-ES_tradnl"/>
        </w:rPr>
      </w:pPr>
      <w:r w:rsidRPr="006F4C69">
        <w:rPr>
          <w:rFonts w:ascii="Palatino Linotype" w:hAnsi="Palatino Linotype"/>
          <w:color w:val="000000"/>
          <w:sz w:val="24"/>
        </w:rPr>
        <w:t xml:space="preserve">Ahora bien, en términos del artículo 143 de la Ley de Transparencia y Acceso a la Información Pública del Estado de México y Municipios, se deberá proceder a clasificar la información requerida </w:t>
      </w:r>
      <w:r w:rsidRPr="006F4C69">
        <w:rPr>
          <w:rFonts w:ascii="Palatino Linotype" w:hAnsi="Palatino Linotype" w:cs="Arial"/>
          <w:sz w:val="24"/>
          <w:lang w:val="es-ES_tradnl"/>
        </w:rPr>
        <w:t>mediante las formalidades de Ley, es decir,</w:t>
      </w:r>
      <w:r w:rsidRPr="006F4C69">
        <w:rPr>
          <w:rFonts w:ascii="Palatino Linotype" w:hAnsi="Palatino Linotype" w:cs="Arial"/>
          <w:sz w:val="24"/>
        </w:rPr>
        <w:t xml:space="preserve"> que el Comité de Transparencia del </w:t>
      </w:r>
      <w:r w:rsidRPr="006F4C69">
        <w:rPr>
          <w:rFonts w:ascii="Palatino Linotype" w:hAnsi="Palatino Linotype" w:cs="Arial"/>
          <w:b/>
          <w:sz w:val="24"/>
        </w:rPr>
        <w:t>SUJETO OBLIGADO</w:t>
      </w:r>
      <w:r w:rsidRPr="006F4C69">
        <w:rPr>
          <w:rFonts w:ascii="Palatino Linotype" w:hAnsi="Palatino Linotype" w:cs="Arial"/>
          <w:sz w:val="24"/>
        </w:rPr>
        <w:t xml:space="preserve"> emita el Acuerdo de Clasificación correspondiente</w:t>
      </w:r>
      <w:r w:rsidRPr="006F4C69">
        <w:rPr>
          <w:rFonts w:ascii="Palatino Linotype" w:hAnsi="Palatino Linotype" w:cs="Arial"/>
          <w:sz w:val="24"/>
          <w:lang w:val="es-ES_tradnl"/>
        </w:rPr>
        <w:t xml:space="preserve"> debidamente fundado y motivado, en </w:t>
      </w:r>
      <w:r w:rsidRPr="006F4C69">
        <w:rPr>
          <w:rFonts w:ascii="Palatino Linotype" w:hAnsi="Palatino Linotype" w:cs="Arial"/>
          <w:noProof/>
          <w:sz w:val="24"/>
          <w:lang w:eastAsia="es-MX"/>
        </w:rPr>
        <w:t>términos</w:t>
      </w:r>
      <w:r w:rsidRPr="006F4C69">
        <w:rPr>
          <w:rFonts w:ascii="Palatino Linotype" w:hAnsi="Palatino Linotype" w:cs="Arial"/>
          <w:sz w:val="24"/>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4C7AC5" w:rsidRPr="000C446F" w:rsidRDefault="004C7AC5" w:rsidP="004C7AC5">
      <w:pPr>
        <w:ind w:left="709" w:right="709"/>
        <w:jc w:val="center"/>
        <w:rPr>
          <w:rFonts w:ascii="Palatino Linotype" w:hAnsi="Palatino Linotype" w:cs="Arial"/>
          <w:b/>
          <w:i/>
        </w:rPr>
      </w:pPr>
      <w:r w:rsidRPr="000C446F">
        <w:rPr>
          <w:rFonts w:ascii="Palatino Linotype" w:hAnsi="Palatino Linotype" w:cs="Arial"/>
          <w:b/>
          <w:i/>
        </w:rPr>
        <w:t>Ley de Transparencia y Acceso a la Información Pública del Estado de México y Municipios</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i/>
          <w:lang w:eastAsia="es-MX"/>
        </w:rPr>
        <w:t>“</w:t>
      </w:r>
      <w:r w:rsidRPr="000C446F">
        <w:rPr>
          <w:rFonts w:ascii="Palatino Linotype" w:hAnsi="Palatino Linotype" w:cs="Arial"/>
          <w:b/>
          <w:i/>
          <w:lang w:eastAsia="es-MX"/>
        </w:rPr>
        <w:t xml:space="preserve">Artículo 49. </w:t>
      </w:r>
      <w:r w:rsidRPr="000C446F">
        <w:rPr>
          <w:rFonts w:ascii="Palatino Linotype" w:hAnsi="Palatino Linotype" w:cs="Arial"/>
          <w:i/>
          <w:lang w:eastAsia="es-MX"/>
        </w:rPr>
        <w:t xml:space="preserve">Los </w:t>
      </w:r>
      <w:r w:rsidRPr="000C446F">
        <w:rPr>
          <w:rFonts w:ascii="Palatino Linotype" w:hAnsi="Palatino Linotype" w:cs="Arial"/>
          <w:i/>
        </w:rPr>
        <w:t>Comités</w:t>
      </w:r>
      <w:r w:rsidRPr="000C446F">
        <w:rPr>
          <w:rFonts w:ascii="Palatino Linotype" w:hAnsi="Palatino Linotype" w:cs="Arial"/>
          <w:i/>
          <w:lang w:eastAsia="es-MX"/>
        </w:rPr>
        <w:t xml:space="preserve"> de Transparencia </w:t>
      </w:r>
      <w:r w:rsidRPr="000C446F">
        <w:rPr>
          <w:rFonts w:ascii="Palatino Linotype" w:hAnsi="Palatino Linotype"/>
          <w:i/>
        </w:rPr>
        <w:t>tendrán</w:t>
      </w:r>
      <w:r w:rsidRPr="000C446F">
        <w:rPr>
          <w:rFonts w:ascii="Palatino Linotype" w:hAnsi="Palatino Linotype" w:cs="Arial"/>
          <w:i/>
          <w:lang w:eastAsia="es-MX"/>
        </w:rPr>
        <w:t xml:space="preserve"> las siguientes atribuciones:</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VIII.</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Aprobar</w:t>
      </w:r>
      <w:r w:rsidRPr="000C446F">
        <w:rPr>
          <w:rFonts w:ascii="Palatino Linotype" w:hAnsi="Palatino Linotype" w:cs="Arial"/>
          <w:i/>
          <w:lang w:eastAsia="es-MX"/>
        </w:rPr>
        <w:t xml:space="preserve">, </w:t>
      </w:r>
      <w:r w:rsidRPr="000C446F">
        <w:rPr>
          <w:rFonts w:ascii="Palatino Linotype" w:hAnsi="Palatino Linotype" w:cs="Arial"/>
          <w:i/>
        </w:rPr>
        <w:t>modificar</w:t>
      </w:r>
      <w:r w:rsidRPr="000C446F">
        <w:rPr>
          <w:rFonts w:ascii="Palatino Linotype" w:hAnsi="Palatino Linotype" w:cs="Arial"/>
          <w:i/>
          <w:lang w:eastAsia="es-MX"/>
        </w:rPr>
        <w:t xml:space="preserve"> o revocar </w:t>
      </w:r>
      <w:r w:rsidRPr="000C446F">
        <w:rPr>
          <w:rFonts w:ascii="Palatino Linotype" w:hAnsi="Palatino Linotype" w:cs="Arial"/>
          <w:b/>
          <w:i/>
          <w:u w:val="single"/>
          <w:lang w:eastAsia="es-MX"/>
        </w:rPr>
        <w:t>la clasificación de la información</w:t>
      </w:r>
      <w:r w:rsidRPr="000C446F">
        <w:rPr>
          <w:rFonts w:ascii="Palatino Linotype" w:hAnsi="Palatino Linotype" w:cs="Arial"/>
          <w:i/>
          <w:lang w:eastAsia="es-MX"/>
        </w:rPr>
        <w:t>;</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Artículo 132.</w:t>
      </w:r>
      <w:r w:rsidRPr="000C446F">
        <w:rPr>
          <w:rFonts w:ascii="Palatino Linotype" w:hAnsi="Palatino Linotype" w:cs="Arial"/>
          <w:i/>
          <w:lang w:eastAsia="es-MX"/>
        </w:rPr>
        <w:t xml:space="preserve"> La clasificación de la información se llevará a cabo en el momento en que:</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i/>
          <w:lang w:eastAsia="es-MX"/>
        </w:rPr>
        <w:t>[…]</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II.</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Se determine mediante resolución de autoridad competente</w:t>
      </w:r>
      <w:r w:rsidRPr="000C446F">
        <w:rPr>
          <w:rFonts w:ascii="Palatino Linotype" w:hAnsi="Palatino Linotype" w:cs="Arial"/>
          <w:i/>
          <w:lang w:eastAsia="es-MX"/>
        </w:rPr>
        <w:t>; o</w:t>
      </w:r>
    </w:p>
    <w:p w:rsidR="004C7AC5" w:rsidRPr="000C446F" w:rsidRDefault="004C7AC5" w:rsidP="004C7AC5">
      <w:pPr>
        <w:ind w:left="709" w:right="709"/>
        <w:jc w:val="center"/>
        <w:rPr>
          <w:rFonts w:ascii="Palatino Linotype" w:hAnsi="Palatino Linotype" w:cs="Arial"/>
          <w:b/>
          <w:i/>
          <w:lang w:eastAsia="es-MX"/>
        </w:rPr>
      </w:pPr>
      <w:r w:rsidRPr="000C446F">
        <w:rPr>
          <w:rFonts w:ascii="Palatino Linotype" w:hAnsi="Palatino Linotype" w:cs="Arial"/>
          <w:b/>
          <w:i/>
          <w:lang w:eastAsia="es-MX"/>
        </w:rPr>
        <w:t xml:space="preserve">Lineamientos Generales en materia de Clasificación y Desclasificación de la </w:t>
      </w:r>
      <w:r w:rsidRPr="000C446F">
        <w:rPr>
          <w:rFonts w:ascii="Palatino Linotype" w:hAnsi="Palatino Linotype" w:cs="Arial"/>
          <w:b/>
          <w:i/>
        </w:rPr>
        <w:t>Información, así como para la elaboración de Versiones Públicas</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i/>
          <w:lang w:eastAsia="es-MX"/>
        </w:rPr>
        <w:lastRenderedPageBreak/>
        <w:t>“</w:t>
      </w:r>
      <w:r w:rsidRPr="000C446F">
        <w:rPr>
          <w:rFonts w:ascii="Palatino Linotype" w:hAnsi="Palatino Linotype" w:cs="Arial"/>
          <w:b/>
          <w:i/>
          <w:lang w:eastAsia="es-MX"/>
        </w:rPr>
        <w:t>Cuarto.</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Para clasificar la información como</w:t>
      </w:r>
      <w:r w:rsidRPr="000C446F">
        <w:rPr>
          <w:rFonts w:ascii="Palatino Linotype" w:hAnsi="Palatino Linotype" w:cs="Arial"/>
          <w:i/>
          <w:lang w:eastAsia="es-MX"/>
        </w:rPr>
        <w:t xml:space="preserve"> reservada o </w:t>
      </w:r>
      <w:r w:rsidRPr="000C446F">
        <w:rPr>
          <w:rFonts w:ascii="Palatino Linotype" w:hAnsi="Palatino Linotype" w:cs="Arial"/>
          <w:b/>
          <w:i/>
          <w:u w:val="single"/>
          <w:lang w:eastAsia="es-MX"/>
        </w:rPr>
        <w:t>confidencial, de manera total</w:t>
      </w:r>
      <w:r w:rsidRPr="000C446F">
        <w:rPr>
          <w:rFonts w:ascii="Palatino Linotype" w:hAnsi="Palatino Linotype" w:cs="Arial"/>
          <w:i/>
          <w:lang w:eastAsia="es-MX"/>
        </w:rPr>
        <w:t xml:space="preserve"> o parcial, </w:t>
      </w:r>
      <w:r w:rsidRPr="000C446F">
        <w:rPr>
          <w:rFonts w:ascii="Palatino Linotype" w:hAnsi="Palatino Linotype" w:cs="Arial"/>
          <w:b/>
          <w:i/>
          <w:u w:val="single"/>
          <w:lang w:eastAsia="es-MX"/>
        </w:rPr>
        <w:t xml:space="preserve">el titular del </w:t>
      </w:r>
      <w:r w:rsidRPr="000C446F">
        <w:rPr>
          <w:rFonts w:ascii="Palatino Linotype" w:hAnsi="Palatino Linotype" w:cs="Arial"/>
          <w:b/>
          <w:bCs/>
          <w:i/>
          <w:noProof/>
          <w:u w:val="single"/>
        </w:rPr>
        <w:t>área</w:t>
      </w:r>
      <w:r w:rsidRPr="000C446F">
        <w:rPr>
          <w:rFonts w:ascii="Palatino Linotype" w:hAnsi="Palatino Linotype" w:cs="Arial"/>
          <w:b/>
          <w:i/>
          <w:u w:val="single"/>
          <w:lang w:eastAsia="es-MX"/>
        </w:rPr>
        <w:t xml:space="preserve"> del sujeto </w:t>
      </w:r>
      <w:r w:rsidRPr="000C446F">
        <w:rPr>
          <w:rFonts w:ascii="Palatino Linotype" w:hAnsi="Palatino Linotype" w:cs="Arial"/>
          <w:b/>
          <w:i/>
          <w:u w:val="single"/>
        </w:rPr>
        <w:t>obligado</w:t>
      </w:r>
      <w:r w:rsidRPr="000C446F">
        <w:rPr>
          <w:rFonts w:ascii="Palatino Linotype" w:hAnsi="Palatino Linotype" w:cs="Arial"/>
          <w:b/>
          <w:i/>
          <w:u w:val="single"/>
          <w:lang w:eastAsia="es-MX"/>
        </w:rPr>
        <w:t xml:space="preserve"> deberá atender lo dispuesto por el Título Sexto de la Ley General, en relación con las disposiciones contenidas en los presentes lineamientos</w:t>
      </w:r>
      <w:r w:rsidRPr="000C446F">
        <w:rPr>
          <w:rFonts w:ascii="Palatino Linotype" w:hAnsi="Palatino Linotype" w:cs="Arial"/>
          <w:i/>
          <w:lang w:eastAsia="es-MX"/>
        </w:rPr>
        <w:t>, así como en aquellas disposiciones legales aplicables a la materia en el ámbito de sus respectivas competencias, en tanto estas últimas no contravengan lo dispuesto en la Ley General.</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i/>
          <w:lang w:eastAsia="es-MX"/>
        </w:rPr>
        <w:t xml:space="preserve">Los sujetos obligados deberán aplicar, de manera estricta, las excepciones al derecho de acceso a la </w:t>
      </w:r>
      <w:r w:rsidRPr="000C446F">
        <w:rPr>
          <w:rFonts w:ascii="Palatino Linotype" w:hAnsi="Palatino Linotype" w:cs="Arial"/>
          <w:bCs/>
          <w:i/>
          <w:noProof/>
        </w:rPr>
        <w:t>información</w:t>
      </w:r>
      <w:r w:rsidRPr="000C446F">
        <w:rPr>
          <w:rFonts w:ascii="Palatino Linotype" w:hAnsi="Palatino Linotype" w:cs="Arial"/>
          <w:i/>
          <w:lang w:eastAsia="es-MX"/>
        </w:rPr>
        <w:t xml:space="preserve"> y sólo </w:t>
      </w:r>
      <w:r w:rsidRPr="000C446F">
        <w:rPr>
          <w:rFonts w:ascii="Palatino Linotype" w:hAnsi="Palatino Linotype" w:cs="Arial"/>
          <w:i/>
        </w:rPr>
        <w:t>podrán</w:t>
      </w:r>
      <w:r w:rsidRPr="000C446F">
        <w:rPr>
          <w:rFonts w:ascii="Palatino Linotype" w:hAnsi="Palatino Linotype" w:cs="Arial"/>
          <w:i/>
          <w:lang w:eastAsia="es-MX"/>
        </w:rPr>
        <w:t xml:space="preserve"> invocarlas cuando acrediten su procedencia.</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Quinto.</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La carga de la prueba para justificar toda negativa de acceso a la información, por actualizarse cualquiera de los supuestos de clasificación previstos en</w:t>
      </w:r>
      <w:r w:rsidRPr="000C446F">
        <w:rPr>
          <w:rFonts w:ascii="Palatino Linotype" w:hAnsi="Palatino Linotype" w:cs="Arial"/>
          <w:i/>
          <w:lang w:eastAsia="es-MX"/>
        </w:rPr>
        <w:t xml:space="preserve"> la Ley General, la Ley Federal y </w:t>
      </w:r>
      <w:r w:rsidRPr="000C446F">
        <w:rPr>
          <w:rFonts w:ascii="Palatino Linotype" w:hAnsi="Palatino Linotype" w:cs="Arial"/>
          <w:b/>
          <w:i/>
          <w:u w:val="single"/>
          <w:lang w:eastAsia="es-MX"/>
        </w:rPr>
        <w:t xml:space="preserve">leyes estatales, </w:t>
      </w:r>
      <w:r w:rsidRPr="000C446F">
        <w:rPr>
          <w:rFonts w:ascii="Palatino Linotype" w:hAnsi="Palatino Linotype" w:cs="Arial"/>
          <w:b/>
          <w:i/>
          <w:u w:val="single"/>
        </w:rPr>
        <w:t>corresponderá</w:t>
      </w:r>
      <w:r w:rsidRPr="000C446F">
        <w:rPr>
          <w:rFonts w:ascii="Palatino Linotype" w:hAnsi="Palatino Linotype" w:cs="Arial"/>
          <w:b/>
          <w:i/>
          <w:u w:val="single"/>
          <w:lang w:eastAsia="es-MX"/>
        </w:rPr>
        <w:t xml:space="preserve"> a los sujetos obligados, por lo que deberán fundar y motivar debidamente la clasificación de la información ante una solicitud de acceso</w:t>
      </w:r>
      <w:r w:rsidRPr="000C446F">
        <w:rPr>
          <w:rFonts w:ascii="Palatino Linotype" w:hAnsi="Palatino Linotype" w:cs="Arial"/>
          <w:i/>
          <w:lang w:eastAsia="es-MX"/>
        </w:rPr>
        <w:t xml:space="preserve"> o al momento en que generen versiones públicas para dar cumplimiento a las obligaciones de transparencia, observando lo dispuesto en la Ley General y las demás disposiciones aplicables en la materia.</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Sexto.</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Los sujetos obligados no podrán emitir acuerdos de carácter general</w:t>
      </w:r>
      <w:r w:rsidRPr="000C446F">
        <w:rPr>
          <w:rFonts w:ascii="Palatino Linotype" w:hAnsi="Palatino Linotype" w:cs="Arial"/>
          <w:i/>
          <w:lang w:eastAsia="es-MX"/>
        </w:rPr>
        <w:t xml:space="preserve"> ni particular que clasifiquen </w:t>
      </w:r>
      <w:r w:rsidRPr="000C446F">
        <w:rPr>
          <w:rFonts w:ascii="Palatino Linotype" w:hAnsi="Palatino Linotype" w:cs="Arial"/>
          <w:bCs/>
          <w:i/>
          <w:noProof/>
        </w:rPr>
        <w:t>documentos</w:t>
      </w:r>
      <w:r w:rsidRPr="000C446F">
        <w:rPr>
          <w:rFonts w:ascii="Palatino Linotype" w:hAnsi="Palatino Linotype" w:cs="Arial"/>
          <w:i/>
          <w:lang w:eastAsia="es-MX"/>
        </w:rPr>
        <w:t xml:space="preserve"> o expedientes como reservados, ni clasificar documentos antes de que se genere la información o cuando éstos no obren en sus archivos.</w:t>
      </w:r>
    </w:p>
    <w:p w:rsidR="004C7AC5" w:rsidRPr="000C446F" w:rsidRDefault="004C7AC5" w:rsidP="004C7AC5">
      <w:pPr>
        <w:ind w:left="709" w:right="709"/>
        <w:jc w:val="both"/>
        <w:rPr>
          <w:rFonts w:ascii="Palatino Linotype" w:hAnsi="Palatino Linotype" w:cs="Arial"/>
          <w:i/>
          <w:lang w:eastAsia="es-MX"/>
        </w:rPr>
      </w:pPr>
      <w:r w:rsidRPr="000C446F">
        <w:rPr>
          <w:rFonts w:ascii="Palatino Linotype" w:hAnsi="Palatino Linotype" w:cs="Arial"/>
          <w:b/>
          <w:i/>
          <w:u w:val="single"/>
          <w:lang w:eastAsia="es-MX"/>
        </w:rPr>
        <w:t xml:space="preserve">La clasificación de </w:t>
      </w:r>
      <w:r w:rsidRPr="000C446F">
        <w:rPr>
          <w:rFonts w:ascii="Palatino Linotype" w:hAnsi="Palatino Linotype" w:cs="Arial"/>
          <w:b/>
          <w:i/>
          <w:u w:val="single"/>
        </w:rPr>
        <w:t>información</w:t>
      </w:r>
      <w:r w:rsidRPr="000C446F">
        <w:rPr>
          <w:rFonts w:ascii="Palatino Linotype" w:hAnsi="Palatino Linotype" w:cs="Arial"/>
          <w:b/>
          <w:i/>
          <w:u w:val="single"/>
          <w:lang w:eastAsia="es-MX"/>
        </w:rPr>
        <w:t xml:space="preserve"> se realizará conforme a un análisis caso por caso</w:t>
      </w:r>
      <w:r w:rsidRPr="000C446F">
        <w:rPr>
          <w:rFonts w:ascii="Palatino Linotype" w:hAnsi="Palatino Linotype" w:cs="Arial"/>
          <w:i/>
          <w:lang w:eastAsia="es-MX"/>
        </w:rPr>
        <w:t xml:space="preserve">, mediante la aplicación </w:t>
      </w:r>
      <w:r w:rsidRPr="000C446F">
        <w:rPr>
          <w:rFonts w:ascii="Palatino Linotype" w:hAnsi="Palatino Linotype" w:cs="Arial"/>
          <w:bCs/>
          <w:i/>
          <w:noProof/>
        </w:rPr>
        <w:t>de</w:t>
      </w:r>
      <w:r w:rsidRPr="000C446F">
        <w:rPr>
          <w:rFonts w:ascii="Palatino Linotype" w:hAnsi="Palatino Linotype" w:cs="Arial"/>
          <w:i/>
          <w:lang w:eastAsia="es-MX"/>
        </w:rPr>
        <w:t xml:space="preserve"> la prueba de daño y de interés público.</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Séptimo.</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 xml:space="preserve">La clasificación </w:t>
      </w:r>
      <w:r w:rsidRPr="000C446F">
        <w:rPr>
          <w:rFonts w:ascii="Palatino Linotype" w:hAnsi="Palatino Linotype" w:cs="Arial"/>
          <w:b/>
          <w:bCs/>
          <w:i/>
          <w:noProof/>
          <w:u w:val="single"/>
        </w:rPr>
        <w:t>de</w:t>
      </w:r>
      <w:r w:rsidRPr="000C446F">
        <w:rPr>
          <w:rFonts w:ascii="Palatino Linotype" w:hAnsi="Palatino Linotype" w:cs="Arial"/>
          <w:b/>
          <w:i/>
          <w:u w:val="single"/>
          <w:lang w:eastAsia="es-MX"/>
        </w:rPr>
        <w:t xml:space="preserve"> la </w:t>
      </w:r>
      <w:r w:rsidRPr="000C446F">
        <w:rPr>
          <w:rFonts w:ascii="Palatino Linotype" w:hAnsi="Palatino Linotype" w:cs="Arial"/>
          <w:b/>
          <w:i/>
          <w:u w:val="single"/>
        </w:rPr>
        <w:t>información</w:t>
      </w:r>
      <w:r w:rsidRPr="000C446F">
        <w:rPr>
          <w:rFonts w:ascii="Palatino Linotype" w:hAnsi="Palatino Linotype" w:cs="Arial"/>
          <w:b/>
          <w:i/>
          <w:u w:val="single"/>
          <w:lang w:eastAsia="es-MX"/>
        </w:rPr>
        <w:t xml:space="preserve"> se llevará a cabo en el momento en que</w:t>
      </w:r>
      <w:r w:rsidRPr="000C446F">
        <w:rPr>
          <w:rFonts w:ascii="Palatino Linotype" w:hAnsi="Palatino Linotype" w:cs="Arial"/>
          <w:i/>
          <w:lang w:eastAsia="es-MX"/>
        </w:rPr>
        <w:t>:</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I.</w:t>
      </w:r>
      <w:r w:rsidRPr="000C446F">
        <w:rPr>
          <w:rFonts w:ascii="Palatino Linotype" w:hAnsi="Palatino Linotype" w:cs="Arial"/>
          <w:i/>
          <w:lang w:eastAsia="es-MX"/>
        </w:rPr>
        <w:t xml:space="preserve"> Se reciba una solicitud de acceso a la información;</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II.</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 xml:space="preserve">Se determine </w:t>
      </w:r>
      <w:r w:rsidRPr="000C446F">
        <w:rPr>
          <w:rFonts w:ascii="Palatino Linotype" w:hAnsi="Palatino Linotype" w:cs="Arial"/>
          <w:b/>
          <w:bCs/>
          <w:i/>
          <w:noProof/>
          <w:u w:val="single"/>
        </w:rPr>
        <w:t>mediante</w:t>
      </w:r>
      <w:r w:rsidRPr="000C446F">
        <w:rPr>
          <w:rFonts w:ascii="Palatino Linotype" w:hAnsi="Palatino Linotype" w:cs="Arial"/>
          <w:b/>
          <w:i/>
          <w:u w:val="single"/>
          <w:lang w:eastAsia="es-MX"/>
        </w:rPr>
        <w:t xml:space="preserve"> resolución de autoridad competente</w:t>
      </w:r>
      <w:r w:rsidRPr="000C446F">
        <w:rPr>
          <w:rFonts w:ascii="Palatino Linotype" w:hAnsi="Palatino Linotype" w:cs="Arial"/>
          <w:i/>
          <w:lang w:eastAsia="es-MX"/>
        </w:rPr>
        <w:t>, o</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III.</w:t>
      </w:r>
      <w:r w:rsidRPr="000C446F">
        <w:rPr>
          <w:rFonts w:ascii="Palatino Linotype" w:hAnsi="Palatino Linotype" w:cs="Arial"/>
          <w:i/>
          <w:lang w:eastAsia="es-MX"/>
        </w:rPr>
        <w:t xml:space="preserve"> Se generen </w:t>
      </w:r>
      <w:r w:rsidRPr="000C446F">
        <w:rPr>
          <w:rFonts w:ascii="Palatino Linotype" w:hAnsi="Palatino Linotype" w:cs="Arial"/>
          <w:bCs/>
          <w:i/>
          <w:noProof/>
        </w:rPr>
        <w:t>versiones</w:t>
      </w:r>
      <w:r w:rsidRPr="000C446F">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i/>
          <w:lang w:eastAsia="es-MX"/>
        </w:rPr>
        <w:t xml:space="preserve">Los titulares de las áreas deberán revisar la clasificación al momento de la recepción de una solicitud de </w:t>
      </w:r>
      <w:r w:rsidRPr="000C446F">
        <w:rPr>
          <w:rFonts w:ascii="Palatino Linotype" w:hAnsi="Palatino Linotype" w:cs="Arial"/>
          <w:bCs/>
          <w:i/>
          <w:noProof/>
        </w:rPr>
        <w:t>acceso</w:t>
      </w:r>
      <w:r w:rsidRPr="000C446F">
        <w:rPr>
          <w:rFonts w:ascii="Palatino Linotype" w:hAnsi="Palatino Linotype" w:cs="Arial"/>
          <w:i/>
          <w:lang w:eastAsia="es-MX"/>
        </w:rPr>
        <w:t xml:space="preserve"> a la información, para verificar si encuadra en una causal de reserva o de confidencialidad.</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lastRenderedPageBreak/>
        <w:t>Octavo.</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 xml:space="preserve">Para fundar la clasificación de la información se debe señalar el artículo, fracción, inciso, párrafo o numeral de la ley o tratado internacional suscrito por el Estado mexicano que </w:t>
      </w:r>
      <w:r w:rsidRPr="000C446F">
        <w:rPr>
          <w:rFonts w:ascii="Palatino Linotype" w:hAnsi="Palatino Linotype" w:cs="Arial"/>
          <w:b/>
          <w:bCs/>
          <w:i/>
          <w:noProof/>
          <w:u w:val="single"/>
        </w:rPr>
        <w:t>expresamente</w:t>
      </w:r>
      <w:r w:rsidRPr="000C446F">
        <w:rPr>
          <w:rFonts w:ascii="Palatino Linotype" w:hAnsi="Palatino Linotype" w:cs="Arial"/>
          <w:b/>
          <w:i/>
          <w:u w:val="single"/>
          <w:lang w:eastAsia="es-MX"/>
        </w:rPr>
        <w:t xml:space="preserve"> le otorga el carácter de</w:t>
      </w:r>
      <w:r w:rsidRPr="000C446F">
        <w:rPr>
          <w:rFonts w:ascii="Palatino Linotype" w:hAnsi="Palatino Linotype" w:cs="Arial"/>
          <w:i/>
          <w:lang w:eastAsia="es-MX"/>
        </w:rPr>
        <w:t xml:space="preserve"> reservada o </w:t>
      </w:r>
      <w:r w:rsidRPr="000C446F">
        <w:rPr>
          <w:rFonts w:ascii="Palatino Linotype" w:hAnsi="Palatino Linotype" w:cs="Arial"/>
          <w:b/>
          <w:i/>
          <w:u w:val="single"/>
          <w:lang w:eastAsia="es-MX"/>
        </w:rPr>
        <w:t>confidencial</w:t>
      </w:r>
      <w:r w:rsidRPr="000C446F">
        <w:rPr>
          <w:rFonts w:ascii="Palatino Linotype" w:hAnsi="Palatino Linotype" w:cs="Arial"/>
          <w:i/>
          <w:lang w:eastAsia="es-MX"/>
        </w:rPr>
        <w:t>.</w:t>
      </w:r>
    </w:p>
    <w:p w:rsidR="004C7AC5" w:rsidRPr="000C446F" w:rsidRDefault="004C7AC5" w:rsidP="004C7AC5">
      <w:pPr>
        <w:autoSpaceDE w:val="0"/>
        <w:autoSpaceDN w:val="0"/>
        <w:adjustRightInd w:val="0"/>
        <w:ind w:left="709" w:right="709"/>
        <w:jc w:val="both"/>
        <w:rPr>
          <w:rFonts w:ascii="Palatino Linotype" w:hAnsi="Palatino Linotype" w:cs="Arial"/>
          <w:bCs/>
          <w:i/>
          <w:noProof/>
        </w:rPr>
      </w:pPr>
      <w:r w:rsidRPr="000C446F">
        <w:rPr>
          <w:rFonts w:ascii="Palatino Linotype" w:hAnsi="Palatino Linotype" w:cs="Arial"/>
          <w:b/>
          <w:i/>
          <w:u w:val="single"/>
          <w:lang w:eastAsia="es-MX"/>
        </w:rPr>
        <w:t xml:space="preserve">Para </w:t>
      </w:r>
      <w:r w:rsidRPr="000C446F">
        <w:rPr>
          <w:rFonts w:ascii="Palatino Linotype" w:hAnsi="Palatino Linotype" w:cs="Arial"/>
          <w:b/>
          <w:bCs/>
          <w:i/>
          <w:noProof/>
          <w:u w:val="single"/>
        </w:rPr>
        <w:t xml:space="preserve">motivar la clasificación se deberán señalar las razones o circunstancias especiales que lo </w:t>
      </w:r>
      <w:r w:rsidRPr="000C446F">
        <w:rPr>
          <w:rFonts w:ascii="Palatino Linotype" w:hAnsi="Palatino Linotype" w:cs="Arial"/>
          <w:b/>
          <w:i/>
          <w:u w:val="single"/>
          <w:lang w:eastAsia="es-MX"/>
        </w:rPr>
        <w:t>llevaron</w:t>
      </w:r>
      <w:r w:rsidRPr="000C446F">
        <w:rPr>
          <w:rFonts w:ascii="Palatino Linotype" w:hAnsi="Palatino Linotype" w:cs="Arial"/>
          <w:b/>
          <w:bCs/>
          <w:i/>
          <w:noProof/>
          <w:u w:val="single"/>
        </w:rPr>
        <w:t xml:space="preserve"> a concluir que el caso particular se ajusta al supuesto previsto por la norma legal invocada </w:t>
      </w:r>
      <w:r w:rsidRPr="000C446F">
        <w:rPr>
          <w:rFonts w:ascii="Palatino Linotype" w:hAnsi="Palatino Linotype" w:cs="Arial"/>
          <w:bCs/>
          <w:i/>
          <w:noProof/>
        </w:rPr>
        <w:t>como fundamento.</w:t>
      </w:r>
    </w:p>
    <w:p w:rsidR="004C7AC5" w:rsidRPr="000C446F" w:rsidRDefault="004C7AC5" w:rsidP="004C7AC5">
      <w:pPr>
        <w:autoSpaceDE w:val="0"/>
        <w:autoSpaceDN w:val="0"/>
        <w:adjustRightInd w:val="0"/>
        <w:ind w:left="709" w:right="709"/>
        <w:jc w:val="both"/>
        <w:rPr>
          <w:rFonts w:ascii="Palatino Linotype" w:hAnsi="Palatino Linotype" w:cs="Arial"/>
          <w:bCs/>
          <w:i/>
          <w:noProof/>
        </w:rPr>
      </w:pPr>
      <w:r w:rsidRPr="000C446F">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0C446F">
        <w:rPr>
          <w:rFonts w:ascii="Palatino Linotype" w:hAnsi="Palatino Linotype" w:cs="Arial"/>
          <w:i/>
          <w:lang w:eastAsia="es-MX"/>
        </w:rPr>
        <w:t>de</w:t>
      </w:r>
      <w:r w:rsidRPr="000C446F">
        <w:rPr>
          <w:rFonts w:ascii="Palatino Linotype" w:hAnsi="Palatino Linotype" w:cs="Arial"/>
          <w:bCs/>
          <w:i/>
          <w:noProof/>
        </w:rPr>
        <w:t xml:space="preserve"> </w:t>
      </w:r>
      <w:r w:rsidRPr="000C446F">
        <w:rPr>
          <w:rFonts w:ascii="Palatino Linotype" w:hAnsi="Palatino Linotype" w:cs="Arial"/>
          <w:i/>
          <w:lang w:eastAsia="es-MX"/>
        </w:rPr>
        <w:t>reserva</w:t>
      </w:r>
      <w:r w:rsidRPr="000C446F">
        <w:rPr>
          <w:rFonts w:ascii="Palatino Linotype" w:hAnsi="Palatino Linotype" w:cs="Arial"/>
          <w:bCs/>
          <w:i/>
          <w:noProof/>
        </w:rPr>
        <w:t>.</w:t>
      </w:r>
    </w:p>
    <w:p w:rsidR="004C7AC5" w:rsidRPr="000C446F" w:rsidRDefault="004C7AC5" w:rsidP="004C7AC5">
      <w:pPr>
        <w:autoSpaceDE w:val="0"/>
        <w:autoSpaceDN w:val="0"/>
        <w:adjustRightInd w:val="0"/>
        <w:ind w:left="709" w:right="709"/>
        <w:jc w:val="both"/>
        <w:rPr>
          <w:rFonts w:ascii="Palatino Linotype" w:hAnsi="Palatino Linotype" w:cs="Arial"/>
          <w:bCs/>
          <w:i/>
          <w:noProof/>
        </w:rPr>
      </w:pPr>
      <w:r w:rsidRPr="000C446F">
        <w:rPr>
          <w:rFonts w:ascii="Palatino Linotype" w:hAnsi="Palatino Linotype" w:cs="Arial"/>
          <w:i/>
          <w:lang w:eastAsia="es-MX"/>
        </w:rPr>
        <w:t>Tratándose</w:t>
      </w:r>
      <w:r w:rsidRPr="000C446F">
        <w:rPr>
          <w:rFonts w:ascii="Palatino Linotype" w:hAnsi="Palatino Linotype" w:cs="Arial"/>
          <w:bCs/>
          <w:i/>
          <w:noProof/>
        </w:rPr>
        <w:t xml:space="preserve"> de información clasificada como confidencial respecto de la cual se haya </w:t>
      </w:r>
      <w:r w:rsidRPr="000C446F">
        <w:rPr>
          <w:rFonts w:ascii="Palatino Linotype" w:hAnsi="Palatino Linotype" w:cs="Arial"/>
          <w:i/>
          <w:lang w:eastAsia="es-MX"/>
        </w:rPr>
        <w:t>determinado</w:t>
      </w:r>
      <w:r w:rsidRPr="000C446F">
        <w:rPr>
          <w:rFonts w:ascii="Palatino Linotype" w:hAnsi="Palatino Linotype" w:cs="Arial"/>
          <w:bCs/>
          <w:i/>
          <w:noProof/>
        </w:rPr>
        <w:t xml:space="preserve"> </w:t>
      </w:r>
      <w:r w:rsidRPr="000C446F">
        <w:rPr>
          <w:rFonts w:ascii="Palatino Linotype" w:hAnsi="Palatino Linotype" w:cs="Arial"/>
          <w:i/>
          <w:lang w:eastAsia="es-MX"/>
        </w:rPr>
        <w:t>su</w:t>
      </w:r>
      <w:r w:rsidRPr="000C446F">
        <w:rPr>
          <w:rFonts w:ascii="Palatino Linotype" w:hAnsi="Palatino Linotype" w:cs="Arial"/>
          <w:bCs/>
          <w:i/>
          <w:noProof/>
        </w:rPr>
        <w:t xml:space="preserve"> conservación permanente por tener valor histórico, ésta conservará tal carácter de conformidad con la normativa aplicable en materia de archivos.</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Cs/>
          <w:i/>
          <w:noProof/>
        </w:rPr>
        <w:t>Los documentos contenidos</w:t>
      </w:r>
      <w:r w:rsidRPr="000C446F">
        <w:rPr>
          <w:rFonts w:ascii="Palatino Linotype" w:hAnsi="Palatino Linotype" w:cs="Arial"/>
          <w:i/>
          <w:lang w:eastAsia="es-MX"/>
        </w:rPr>
        <w:t xml:space="preserve"> en los archivos históricos y los identificados como históricos confidenciales no serán susceptibles de clasificación como reservados.</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Décimo.</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 xml:space="preserve">Los titulares de las áreas, deberán tener conocimiento y llevar un registro del personal que, por la naturaleza de sus atribuciones, tenga acceso a los </w:t>
      </w:r>
      <w:r w:rsidRPr="000C446F">
        <w:rPr>
          <w:rFonts w:ascii="Palatino Linotype" w:hAnsi="Palatino Linotype" w:cs="Arial"/>
          <w:b/>
          <w:i/>
          <w:u w:val="single"/>
        </w:rPr>
        <w:t>documentos</w:t>
      </w:r>
      <w:r w:rsidRPr="000C446F">
        <w:rPr>
          <w:rFonts w:ascii="Palatino Linotype" w:hAnsi="Palatino Linotype" w:cs="Arial"/>
          <w:b/>
          <w:i/>
          <w:u w:val="single"/>
          <w:lang w:eastAsia="es-MX"/>
        </w:rPr>
        <w:t xml:space="preserve"> clasificados</w:t>
      </w:r>
      <w:r w:rsidRPr="000C446F">
        <w:rPr>
          <w:rFonts w:ascii="Palatino Linotype" w:hAnsi="Palatino Linotype" w:cs="Arial"/>
          <w:i/>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0C446F">
        <w:rPr>
          <w:rFonts w:ascii="Palatino Linotype" w:hAnsi="Palatino Linotype" w:cs="Arial"/>
          <w:i/>
        </w:rPr>
        <w:t>que</w:t>
      </w:r>
      <w:r w:rsidRPr="000C446F">
        <w:rPr>
          <w:rFonts w:ascii="Palatino Linotype" w:hAnsi="Palatino Linotype" w:cs="Arial"/>
          <w:i/>
          <w:lang w:eastAsia="es-MX"/>
        </w:rPr>
        <w:t xml:space="preserve"> rija la actuación del sujeto obligado.</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b/>
          <w:i/>
          <w:lang w:eastAsia="es-MX"/>
        </w:rPr>
        <w:t>Décimo primero.</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En el intercambio de información entre sujetos obligados para el ejercicio de sus atribuciones, los documentos que se encuentren clasificados deberán llevar la leyenda correspondiente</w:t>
      </w:r>
      <w:r w:rsidRPr="000C446F">
        <w:rPr>
          <w:rFonts w:ascii="Palatino Linotype" w:hAnsi="Palatino Linotype" w:cs="Arial"/>
          <w:i/>
          <w:lang w:eastAsia="es-MX"/>
        </w:rPr>
        <w:t xml:space="preserve"> de conformidad con lo dispuesto en el Capítulo VIII de los presentes lineamientos.</w:t>
      </w:r>
    </w:p>
    <w:p w:rsidR="004C7AC5" w:rsidRPr="000C446F" w:rsidRDefault="004C7AC5" w:rsidP="004C7AC5">
      <w:pPr>
        <w:autoSpaceDE w:val="0"/>
        <w:autoSpaceDN w:val="0"/>
        <w:adjustRightInd w:val="0"/>
        <w:ind w:left="709" w:right="709"/>
        <w:jc w:val="both"/>
        <w:rPr>
          <w:rFonts w:ascii="Palatino Linotype" w:hAnsi="Palatino Linotype" w:cs="Arial"/>
          <w:i/>
          <w:lang w:eastAsia="es-MX"/>
        </w:rPr>
      </w:pPr>
      <w:r w:rsidRPr="000C446F">
        <w:rPr>
          <w:rFonts w:ascii="Palatino Linotype" w:hAnsi="Palatino Linotype" w:cs="Arial"/>
          <w:i/>
          <w:lang w:eastAsia="es-MX"/>
        </w:rPr>
        <w:t>[…]</w:t>
      </w:r>
    </w:p>
    <w:p w:rsidR="004C7AC5" w:rsidRPr="000C446F" w:rsidRDefault="004C7AC5" w:rsidP="004C7AC5">
      <w:pPr>
        <w:ind w:left="709" w:right="709"/>
        <w:jc w:val="center"/>
        <w:rPr>
          <w:rFonts w:ascii="Palatino Linotype" w:hAnsi="Palatino Linotype" w:cs="Arial"/>
          <w:b/>
          <w:i/>
          <w:lang w:eastAsia="es-MX"/>
        </w:rPr>
      </w:pPr>
      <w:r w:rsidRPr="000C446F">
        <w:rPr>
          <w:rFonts w:ascii="Palatino Linotype" w:hAnsi="Palatino Linotype" w:cs="Arial"/>
          <w:b/>
          <w:i/>
          <w:lang w:eastAsia="es-MX"/>
        </w:rPr>
        <w:t>CAPÍTULO VIII</w:t>
      </w:r>
    </w:p>
    <w:p w:rsidR="004C7AC5" w:rsidRPr="000C446F" w:rsidRDefault="004C7AC5" w:rsidP="004C7AC5">
      <w:pPr>
        <w:ind w:left="709" w:right="709"/>
        <w:jc w:val="center"/>
        <w:rPr>
          <w:rFonts w:ascii="Palatino Linotype" w:hAnsi="Palatino Linotype" w:cs="Arial"/>
          <w:b/>
          <w:i/>
          <w:lang w:eastAsia="es-MX"/>
        </w:rPr>
      </w:pPr>
      <w:r w:rsidRPr="000C446F">
        <w:rPr>
          <w:rFonts w:ascii="Palatino Linotype" w:hAnsi="Palatino Linotype" w:cs="Arial"/>
          <w:b/>
          <w:i/>
          <w:lang w:eastAsia="es-MX"/>
        </w:rPr>
        <w:t>DE LA LEYENDA DE CLASIFICACIÓN</w:t>
      </w:r>
    </w:p>
    <w:p w:rsidR="004C7AC5" w:rsidRPr="000C446F" w:rsidRDefault="004C7AC5" w:rsidP="004C7AC5">
      <w:pPr>
        <w:ind w:left="709" w:right="709"/>
        <w:jc w:val="both"/>
        <w:rPr>
          <w:rFonts w:ascii="Palatino Linotype" w:hAnsi="Palatino Linotype" w:cs="Arial"/>
          <w:i/>
          <w:lang w:eastAsia="es-MX"/>
        </w:rPr>
      </w:pPr>
      <w:r w:rsidRPr="000C446F">
        <w:rPr>
          <w:rFonts w:ascii="Palatino Linotype" w:hAnsi="Palatino Linotype" w:cs="Arial"/>
          <w:b/>
          <w:i/>
          <w:lang w:eastAsia="es-MX"/>
        </w:rPr>
        <w:lastRenderedPageBreak/>
        <w:t xml:space="preserve">Quincuagésimo. </w:t>
      </w:r>
      <w:r w:rsidRPr="000C446F">
        <w:rPr>
          <w:rFonts w:ascii="Palatino Linotype" w:hAnsi="Palatino Linotype" w:cs="Arial"/>
          <w:b/>
          <w:i/>
          <w:u w:val="single"/>
          <w:lang w:eastAsia="es-MX"/>
        </w:rPr>
        <w:t>Los titulares de las áreas de los sujetos obligados podrán utilizar los formatos contenidos en el presente Capítulo como modelo</w:t>
      </w:r>
      <w:r w:rsidRPr="000C446F">
        <w:rPr>
          <w:rFonts w:ascii="Palatino Linotype" w:hAnsi="Palatino Linotype" w:cs="Arial"/>
          <w:i/>
          <w:lang w:eastAsia="es-MX"/>
        </w:rPr>
        <w:t xml:space="preserve"> para señalar la clasificación de documentos o expedientes, sin perjuicio de que establezcan los propios.</w:t>
      </w:r>
    </w:p>
    <w:p w:rsidR="004C7AC5" w:rsidRPr="000C446F" w:rsidRDefault="004C7AC5" w:rsidP="004C7AC5">
      <w:pPr>
        <w:ind w:left="709" w:right="709"/>
        <w:jc w:val="both"/>
        <w:rPr>
          <w:rFonts w:ascii="Palatino Linotype" w:hAnsi="Palatino Linotype" w:cs="Arial"/>
          <w:i/>
          <w:lang w:eastAsia="es-MX"/>
        </w:rPr>
      </w:pPr>
      <w:r w:rsidRPr="000C446F">
        <w:rPr>
          <w:rFonts w:ascii="Palatino Linotype" w:hAnsi="Palatino Linotype" w:cs="Arial"/>
          <w:i/>
          <w:lang w:eastAsia="es-MX"/>
        </w:rPr>
        <w:t>[…]</w:t>
      </w:r>
    </w:p>
    <w:p w:rsidR="004C7AC5" w:rsidRPr="000C446F" w:rsidRDefault="004C7AC5" w:rsidP="004C7AC5">
      <w:pPr>
        <w:ind w:left="709" w:right="709"/>
        <w:jc w:val="both"/>
        <w:rPr>
          <w:rFonts w:ascii="Palatino Linotype" w:hAnsi="Palatino Linotype" w:cs="Arial"/>
          <w:i/>
          <w:lang w:eastAsia="es-MX"/>
        </w:rPr>
      </w:pPr>
      <w:r w:rsidRPr="000C446F">
        <w:rPr>
          <w:rFonts w:ascii="Palatino Linotype" w:hAnsi="Palatino Linotype" w:cs="Arial"/>
          <w:b/>
          <w:i/>
          <w:lang w:eastAsia="es-MX"/>
        </w:rPr>
        <w:t xml:space="preserve">Quincuagésimo tercero. </w:t>
      </w:r>
      <w:r w:rsidRPr="000C446F">
        <w:rPr>
          <w:rFonts w:ascii="Palatino Linotype" w:hAnsi="Palatino Linotype" w:cs="Arial"/>
          <w:b/>
          <w:i/>
          <w:u w:val="single"/>
          <w:lang w:eastAsia="es-MX"/>
        </w:rPr>
        <w:t>El formato para señalar la clasificación parcial de un documento</w:t>
      </w:r>
      <w:r w:rsidRPr="000C446F">
        <w:rPr>
          <w:rFonts w:ascii="Palatino Linotype" w:hAnsi="Palatino Linotype" w:cs="Arial"/>
          <w:i/>
          <w:lang w:eastAsia="es-MX"/>
        </w:rPr>
        <w:t>, es el siguiente:</w:t>
      </w:r>
    </w:p>
    <w:tbl>
      <w:tblPr>
        <w:tblStyle w:val="Tablaconcuadrcula1111"/>
        <w:tblW w:w="0" w:type="auto"/>
        <w:jc w:val="center"/>
        <w:tblLook w:val="04A0" w:firstRow="1" w:lastRow="0" w:firstColumn="1" w:lastColumn="0" w:noHBand="0" w:noVBand="1"/>
      </w:tblPr>
      <w:tblGrid>
        <w:gridCol w:w="1129"/>
        <w:gridCol w:w="1990"/>
        <w:gridCol w:w="4531"/>
      </w:tblGrid>
      <w:tr w:rsidR="004C7AC5" w:rsidRPr="000C446F" w:rsidTr="00B100FB">
        <w:trPr>
          <w:jc w:val="center"/>
        </w:trPr>
        <w:tc>
          <w:tcPr>
            <w:tcW w:w="1129" w:type="dxa"/>
            <w:tcBorders>
              <w:top w:val="nil"/>
              <w:left w:val="nil"/>
              <w:bottom w:val="single" w:sz="4" w:space="0" w:color="auto"/>
              <w:right w:val="single" w:sz="4" w:space="0" w:color="auto"/>
            </w:tcBorders>
          </w:tcPr>
          <w:p w:rsidR="004C7AC5" w:rsidRPr="000C446F" w:rsidRDefault="004C7AC5" w:rsidP="00B100FB">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4C7AC5" w:rsidRPr="000C446F" w:rsidRDefault="004C7AC5" w:rsidP="00B100FB">
            <w:pPr>
              <w:jc w:val="center"/>
              <w:rPr>
                <w:rFonts w:ascii="Palatino Linotype" w:hAnsi="Palatino Linotype"/>
                <w:b/>
                <w:i/>
              </w:rPr>
            </w:pPr>
            <w:r w:rsidRPr="000C446F">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tcPr>
          <w:p w:rsidR="004C7AC5" w:rsidRPr="000C446F" w:rsidRDefault="004C7AC5" w:rsidP="00B100FB">
            <w:pPr>
              <w:jc w:val="center"/>
              <w:rPr>
                <w:rFonts w:ascii="Palatino Linotype" w:hAnsi="Palatino Linotype"/>
                <w:b/>
                <w:i/>
              </w:rPr>
            </w:pPr>
            <w:r w:rsidRPr="000C446F">
              <w:rPr>
                <w:rFonts w:ascii="Palatino Linotype" w:hAnsi="Palatino Linotype"/>
                <w:b/>
                <w:i/>
              </w:rPr>
              <w:t>Dónde:</w:t>
            </w:r>
          </w:p>
        </w:tc>
      </w:tr>
      <w:tr w:rsidR="004C7AC5" w:rsidRPr="000C446F" w:rsidTr="00B100FB">
        <w:trPr>
          <w:jc w:val="center"/>
        </w:trPr>
        <w:tc>
          <w:tcPr>
            <w:tcW w:w="1129" w:type="dxa"/>
            <w:vMerge w:val="restart"/>
            <w:tcBorders>
              <w:top w:val="single" w:sz="4" w:space="0" w:color="auto"/>
            </w:tcBorders>
            <w:vAlign w:val="center"/>
          </w:tcPr>
          <w:p w:rsidR="004C7AC5" w:rsidRPr="000C446F" w:rsidRDefault="004C7AC5" w:rsidP="00B100FB">
            <w:pPr>
              <w:jc w:val="center"/>
              <w:rPr>
                <w:rFonts w:ascii="Palatino Linotype" w:hAnsi="Palatino Linotype" w:cs="Arial"/>
                <w:b/>
                <w:i/>
                <w:lang w:eastAsia="es-MX"/>
              </w:rPr>
            </w:pPr>
            <w:r w:rsidRPr="000C446F">
              <w:rPr>
                <w:rFonts w:ascii="Palatino Linotype" w:hAnsi="Palatino Linotype" w:cs="Arial"/>
                <w:b/>
                <w:i/>
                <w:lang w:eastAsia="es-MX"/>
              </w:rPr>
              <w:t>Sello oficial o logotipo del sujeto obligado</w:t>
            </w:r>
          </w:p>
        </w:tc>
        <w:tc>
          <w:tcPr>
            <w:tcW w:w="1990" w:type="dxa"/>
            <w:tcBorders>
              <w:top w:val="single" w:sz="4" w:space="0" w:color="auto"/>
            </w:tcBorders>
          </w:tcPr>
          <w:p w:rsidR="004C7AC5" w:rsidRPr="000C446F" w:rsidRDefault="004C7AC5" w:rsidP="00B100FB">
            <w:pPr>
              <w:jc w:val="center"/>
              <w:rPr>
                <w:rFonts w:ascii="Palatino Linotype" w:hAnsi="Palatino Linotype" w:cs="Arial"/>
                <w:i/>
                <w:lang w:eastAsia="es-MX"/>
              </w:rPr>
            </w:pPr>
            <w:r w:rsidRPr="000C446F">
              <w:rPr>
                <w:rFonts w:ascii="Palatino Linotype" w:hAnsi="Palatino Linotype" w:cs="Arial"/>
                <w:i/>
                <w:lang w:eastAsia="es-MX"/>
              </w:rPr>
              <w:t>Fecha de clasificación</w:t>
            </w:r>
          </w:p>
        </w:tc>
        <w:tc>
          <w:tcPr>
            <w:tcW w:w="4531" w:type="dxa"/>
            <w:tcBorders>
              <w:top w:val="single" w:sz="4" w:space="0" w:color="auto"/>
            </w:tcBorders>
          </w:tcPr>
          <w:p w:rsidR="004C7AC5" w:rsidRPr="000C446F" w:rsidRDefault="004C7AC5" w:rsidP="00B100FB">
            <w:pPr>
              <w:jc w:val="both"/>
              <w:rPr>
                <w:rFonts w:ascii="Palatino Linotype" w:hAnsi="Palatino Linotype" w:cs="Arial"/>
                <w:i/>
                <w:lang w:eastAsia="es-MX"/>
              </w:rPr>
            </w:pPr>
            <w:r w:rsidRPr="000C446F">
              <w:rPr>
                <w:rFonts w:ascii="Palatino Linotype" w:hAnsi="Palatino Linotype" w:cs="Arial"/>
                <w:i/>
                <w:lang w:eastAsia="es-MX"/>
              </w:rPr>
              <w:t>Se anotará la fecha en la que el Comité de Transparencia confirmó la clasificación del documento, en su caso.</w:t>
            </w:r>
          </w:p>
        </w:tc>
      </w:tr>
      <w:tr w:rsidR="004C7AC5" w:rsidRPr="000C446F" w:rsidTr="00B100FB">
        <w:trPr>
          <w:jc w:val="center"/>
        </w:trPr>
        <w:tc>
          <w:tcPr>
            <w:tcW w:w="1129" w:type="dxa"/>
            <w:vMerge/>
          </w:tcPr>
          <w:p w:rsidR="004C7AC5" w:rsidRPr="000C446F" w:rsidRDefault="004C7AC5" w:rsidP="00B100FB">
            <w:pPr>
              <w:jc w:val="both"/>
              <w:rPr>
                <w:rFonts w:ascii="Palatino Linotype" w:hAnsi="Palatino Linotype" w:cs="Arial"/>
                <w:i/>
                <w:lang w:eastAsia="es-MX"/>
              </w:rPr>
            </w:pPr>
          </w:p>
        </w:tc>
        <w:tc>
          <w:tcPr>
            <w:tcW w:w="1990" w:type="dxa"/>
          </w:tcPr>
          <w:p w:rsidR="004C7AC5" w:rsidRPr="000C446F" w:rsidRDefault="004C7AC5" w:rsidP="00B100FB">
            <w:pPr>
              <w:jc w:val="center"/>
              <w:rPr>
                <w:rFonts w:ascii="Palatino Linotype" w:hAnsi="Palatino Linotype" w:cs="Arial"/>
                <w:i/>
                <w:lang w:eastAsia="es-MX"/>
              </w:rPr>
            </w:pPr>
            <w:r w:rsidRPr="000C446F">
              <w:rPr>
                <w:rFonts w:ascii="Palatino Linotype" w:hAnsi="Palatino Linotype" w:cs="Arial"/>
                <w:i/>
                <w:lang w:eastAsia="es-MX"/>
              </w:rPr>
              <w:t>Área</w:t>
            </w:r>
          </w:p>
        </w:tc>
        <w:tc>
          <w:tcPr>
            <w:tcW w:w="4531" w:type="dxa"/>
          </w:tcPr>
          <w:p w:rsidR="004C7AC5" w:rsidRPr="000C446F" w:rsidRDefault="004C7AC5" w:rsidP="00B100FB">
            <w:pPr>
              <w:jc w:val="both"/>
              <w:rPr>
                <w:rFonts w:ascii="Palatino Linotype" w:hAnsi="Palatino Linotype" w:cs="Arial"/>
                <w:i/>
                <w:lang w:eastAsia="es-MX"/>
              </w:rPr>
            </w:pPr>
            <w:r w:rsidRPr="000C446F">
              <w:rPr>
                <w:rFonts w:ascii="Palatino Linotype" w:hAnsi="Palatino Linotype" w:cs="Arial"/>
                <w:i/>
                <w:lang w:eastAsia="es-MX"/>
              </w:rPr>
              <w:t>Se señalará el nombre del área del cual es titular quien clasifica.</w:t>
            </w:r>
          </w:p>
        </w:tc>
      </w:tr>
      <w:tr w:rsidR="004C7AC5" w:rsidRPr="000C446F" w:rsidTr="00B100FB">
        <w:trPr>
          <w:jc w:val="center"/>
        </w:trPr>
        <w:tc>
          <w:tcPr>
            <w:tcW w:w="1129" w:type="dxa"/>
            <w:vMerge/>
          </w:tcPr>
          <w:p w:rsidR="004C7AC5" w:rsidRPr="000C446F" w:rsidRDefault="004C7AC5" w:rsidP="00B100FB">
            <w:pPr>
              <w:jc w:val="both"/>
              <w:rPr>
                <w:rFonts w:ascii="Palatino Linotype" w:hAnsi="Palatino Linotype" w:cs="Arial"/>
                <w:i/>
                <w:lang w:eastAsia="es-MX"/>
              </w:rPr>
            </w:pPr>
          </w:p>
        </w:tc>
        <w:tc>
          <w:tcPr>
            <w:tcW w:w="1990" w:type="dxa"/>
          </w:tcPr>
          <w:p w:rsidR="004C7AC5" w:rsidRPr="000C446F" w:rsidRDefault="004C7AC5" w:rsidP="00B100FB">
            <w:pPr>
              <w:jc w:val="center"/>
              <w:rPr>
                <w:rFonts w:ascii="Palatino Linotype" w:hAnsi="Palatino Linotype" w:cs="Arial"/>
                <w:i/>
                <w:lang w:eastAsia="es-MX"/>
              </w:rPr>
            </w:pPr>
            <w:r w:rsidRPr="000C446F">
              <w:rPr>
                <w:rFonts w:ascii="Palatino Linotype" w:hAnsi="Palatino Linotype" w:cs="Arial"/>
                <w:i/>
                <w:lang w:eastAsia="es-MX"/>
              </w:rPr>
              <w:t>Información reservada</w:t>
            </w:r>
          </w:p>
        </w:tc>
        <w:tc>
          <w:tcPr>
            <w:tcW w:w="4531" w:type="dxa"/>
          </w:tcPr>
          <w:p w:rsidR="004C7AC5" w:rsidRPr="000C446F" w:rsidRDefault="004C7AC5" w:rsidP="00B100FB">
            <w:pPr>
              <w:jc w:val="both"/>
              <w:rPr>
                <w:rFonts w:ascii="Palatino Linotype" w:hAnsi="Palatino Linotype" w:cs="Arial"/>
                <w:i/>
                <w:lang w:eastAsia="es-MX"/>
              </w:rPr>
            </w:pPr>
            <w:r w:rsidRPr="000C446F">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4C7AC5" w:rsidRPr="000C446F" w:rsidTr="00B100FB">
        <w:trPr>
          <w:jc w:val="center"/>
        </w:trPr>
        <w:tc>
          <w:tcPr>
            <w:tcW w:w="1129" w:type="dxa"/>
            <w:vMerge/>
          </w:tcPr>
          <w:p w:rsidR="004C7AC5" w:rsidRPr="000C446F" w:rsidRDefault="004C7AC5" w:rsidP="00B100FB">
            <w:pPr>
              <w:jc w:val="both"/>
              <w:rPr>
                <w:rFonts w:ascii="Palatino Linotype" w:hAnsi="Palatino Linotype" w:cs="Arial"/>
                <w:i/>
                <w:lang w:eastAsia="es-MX"/>
              </w:rPr>
            </w:pPr>
          </w:p>
        </w:tc>
        <w:tc>
          <w:tcPr>
            <w:tcW w:w="1990" w:type="dxa"/>
          </w:tcPr>
          <w:p w:rsidR="004C7AC5" w:rsidRPr="000C446F" w:rsidRDefault="004C7AC5" w:rsidP="00B100FB">
            <w:pPr>
              <w:jc w:val="center"/>
              <w:rPr>
                <w:rFonts w:ascii="Palatino Linotype" w:hAnsi="Palatino Linotype" w:cs="Arial"/>
                <w:i/>
                <w:lang w:eastAsia="es-MX"/>
              </w:rPr>
            </w:pPr>
            <w:r w:rsidRPr="000C446F">
              <w:rPr>
                <w:rFonts w:ascii="Palatino Linotype" w:hAnsi="Palatino Linotype" w:cs="Arial"/>
                <w:i/>
                <w:lang w:eastAsia="es-MX"/>
              </w:rPr>
              <w:t>Periodo de reserva</w:t>
            </w:r>
          </w:p>
        </w:tc>
        <w:tc>
          <w:tcPr>
            <w:tcW w:w="4531" w:type="dxa"/>
          </w:tcPr>
          <w:p w:rsidR="004C7AC5" w:rsidRPr="000C446F" w:rsidRDefault="004C7AC5" w:rsidP="00B100FB">
            <w:pPr>
              <w:jc w:val="both"/>
              <w:rPr>
                <w:rFonts w:ascii="Palatino Linotype" w:hAnsi="Palatino Linotype" w:cs="Arial"/>
                <w:i/>
                <w:lang w:eastAsia="es-MX"/>
              </w:rPr>
            </w:pPr>
            <w:r w:rsidRPr="000C446F">
              <w:rPr>
                <w:rFonts w:ascii="Palatino Linotype" w:hAnsi="Palatino Linotype" w:cs="Arial"/>
                <w:i/>
                <w:lang w:eastAsia="es-MX"/>
              </w:rPr>
              <w:t>Se anotará el número de años o meses por los que se mantendrá el documento o las partes del mismo como reservado.</w:t>
            </w:r>
          </w:p>
        </w:tc>
      </w:tr>
      <w:tr w:rsidR="004C7AC5" w:rsidRPr="000C446F" w:rsidTr="00B100FB">
        <w:trPr>
          <w:jc w:val="center"/>
        </w:trPr>
        <w:tc>
          <w:tcPr>
            <w:tcW w:w="1129" w:type="dxa"/>
            <w:vMerge/>
          </w:tcPr>
          <w:p w:rsidR="004C7AC5" w:rsidRPr="000C446F" w:rsidRDefault="004C7AC5" w:rsidP="00B100FB">
            <w:pPr>
              <w:jc w:val="both"/>
              <w:rPr>
                <w:rFonts w:ascii="Palatino Linotype" w:hAnsi="Palatino Linotype" w:cs="Arial"/>
                <w:i/>
                <w:lang w:eastAsia="es-MX"/>
              </w:rPr>
            </w:pPr>
          </w:p>
        </w:tc>
        <w:tc>
          <w:tcPr>
            <w:tcW w:w="1990" w:type="dxa"/>
          </w:tcPr>
          <w:p w:rsidR="004C7AC5" w:rsidRPr="000C446F" w:rsidRDefault="004C7AC5" w:rsidP="00B100FB">
            <w:pPr>
              <w:jc w:val="center"/>
              <w:rPr>
                <w:rFonts w:ascii="Palatino Linotype" w:hAnsi="Palatino Linotype" w:cs="Arial"/>
                <w:i/>
                <w:lang w:eastAsia="es-MX"/>
              </w:rPr>
            </w:pPr>
            <w:r w:rsidRPr="000C446F">
              <w:rPr>
                <w:rFonts w:ascii="Palatino Linotype" w:hAnsi="Palatino Linotype" w:cs="Arial"/>
                <w:i/>
                <w:lang w:eastAsia="es-MX"/>
              </w:rPr>
              <w:t>Fundamento legal</w:t>
            </w:r>
          </w:p>
        </w:tc>
        <w:tc>
          <w:tcPr>
            <w:tcW w:w="4531" w:type="dxa"/>
          </w:tcPr>
          <w:p w:rsidR="004C7AC5" w:rsidRPr="000C446F" w:rsidRDefault="004C7AC5" w:rsidP="00B100FB">
            <w:pPr>
              <w:jc w:val="both"/>
              <w:rPr>
                <w:rFonts w:ascii="Palatino Linotype" w:hAnsi="Palatino Linotype" w:cs="Arial"/>
                <w:i/>
                <w:lang w:eastAsia="es-MX"/>
              </w:rPr>
            </w:pPr>
            <w:r w:rsidRPr="000C446F">
              <w:rPr>
                <w:rFonts w:ascii="Palatino Linotype" w:hAnsi="Palatino Linotype" w:cs="Arial"/>
                <w:i/>
                <w:lang w:eastAsia="es-MX"/>
              </w:rPr>
              <w:t>Se señalará el nombre del ordenamiento, el o los artículos, fracción(es), párrafo(s) con base en los cuales se sustente la reserva.</w:t>
            </w:r>
          </w:p>
        </w:tc>
      </w:tr>
      <w:tr w:rsidR="004C7AC5" w:rsidRPr="000C446F" w:rsidTr="00B100FB">
        <w:trPr>
          <w:jc w:val="center"/>
        </w:trPr>
        <w:tc>
          <w:tcPr>
            <w:tcW w:w="1129" w:type="dxa"/>
            <w:vMerge/>
          </w:tcPr>
          <w:p w:rsidR="004C7AC5" w:rsidRPr="000C446F" w:rsidRDefault="004C7AC5" w:rsidP="00B100FB">
            <w:pPr>
              <w:jc w:val="both"/>
              <w:rPr>
                <w:rFonts w:ascii="Palatino Linotype" w:hAnsi="Palatino Linotype" w:cs="Arial"/>
                <w:i/>
                <w:lang w:eastAsia="es-MX"/>
              </w:rPr>
            </w:pPr>
          </w:p>
        </w:tc>
        <w:tc>
          <w:tcPr>
            <w:tcW w:w="1990" w:type="dxa"/>
          </w:tcPr>
          <w:p w:rsidR="004C7AC5" w:rsidRPr="000C446F" w:rsidRDefault="004C7AC5" w:rsidP="00B100FB">
            <w:pPr>
              <w:jc w:val="center"/>
              <w:rPr>
                <w:rFonts w:ascii="Palatino Linotype" w:hAnsi="Palatino Linotype" w:cs="Arial"/>
                <w:i/>
                <w:lang w:eastAsia="es-MX"/>
              </w:rPr>
            </w:pPr>
            <w:r w:rsidRPr="000C446F">
              <w:rPr>
                <w:rFonts w:ascii="Palatino Linotype" w:hAnsi="Palatino Linotype" w:cs="Arial"/>
                <w:i/>
                <w:lang w:eastAsia="es-MX"/>
              </w:rPr>
              <w:t>Ampliación del periodo de reserva</w:t>
            </w:r>
          </w:p>
        </w:tc>
        <w:tc>
          <w:tcPr>
            <w:tcW w:w="4531" w:type="dxa"/>
          </w:tcPr>
          <w:p w:rsidR="004C7AC5" w:rsidRPr="000C446F" w:rsidRDefault="004C7AC5" w:rsidP="00B100FB">
            <w:pPr>
              <w:jc w:val="both"/>
              <w:rPr>
                <w:rFonts w:ascii="Palatino Linotype" w:hAnsi="Palatino Linotype" w:cs="Arial"/>
                <w:i/>
                <w:lang w:eastAsia="es-MX"/>
              </w:rPr>
            </w:pPr>
            <w:r w:rsidRPr="000C446F">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4C7AC5" w:rsidRPr="000C446F" w:rsidTr="00B100FB">
        <w:trPr>
          <w:jc w:val="center"/>
        </w:trPr>
        <w:tc>
          <w:tcPr>
            <w:tcW w:w="1129" w:type="dxa"/>
            <w:vMerge/>
          </w:tcPr>
          <w:p w:rsidR="004C7AC5" w:rsidRPr="000C446F" w:rsidRDefault="004C7AC5" w:rsidP="00B100FB">
            <w:pPr>
              <w:jc w:val="both"/>
              <w:rPr>
                <w:rFonts w:ascii="Palatino Linotype" w:hAnsi="Palatino Linotype" w:cs="Arial"/>
                <w:i/>
                <w:lang w:eastAsia="es-MX"/>
              </w:rPr>
            </w:pPr>
          </w:p>
        </w:tc>
        <w:tc>
          <w:tcPr>
            <w:tcW w:w="1990" w:type="dxa"/>
          </w:tcPr>
          <w:p w:rsidR="004C7AC5" w:rsidRPr="000C446F" w:rsidRDefault="004C7AC5" w:rsidP="00B100FB">
            <w:pPr>
              <w:jc w:val="center"/>
              <w:rPr>
                <w:rFonts w:ascii="Palatino Linotype" w:hAnsi="Palatino Linotype" w:cs="Arial"/>
                <w:b/>
                <w:i/>
                <w:u w:val="single"/>
                <w:lang w:eastAsia="es-MX"/>
              </w:rPr>
            </w:pPr>
            <w:r w:rsidRPr="000C446F">
              <w:rPr>
                <w:rFonts w:ascii="Palatino Linotype" w:hAnsi="Palatino Linotype" w:cs="Arial"/>
                <w:b/>
                <w:i/>
                <w:u w:val="single"/>
                <w:lang w:eastAsia="es-MX"/>
              </w:rPr>
              <w:t>Confidencial</w:t>
            </w:r>
          </w:p>
        </w:tc>
        <w:tc>
          <w:tcPr>
            <w:tcW w:w="4531" w:type="dxa"/>
          </w:tcPr>
          <w:p w:rsidR="004C7AC5" w:rsidRPr="000C446F" w:rsidRDefault="004C7AC5" w:rsidP="00B100FB">
            <w:pPr>
              <w:jc w:val="both"/>
              <w:rPr>
                <w:rFonts w:ascii="Palatino Linotype" w:hAnsi="Palatino Linotype" w:cs="Arial"/>
                <w:i/>
                <w:lang w:eastAsia="es-MX"/>
              </w:rPr>
            </w:pPr>
            <w:r w:rsidRPr="000C446F">
              <w:rPr>
                <w:rFonts w:ascii="Palatino Linotype" w:hAnsi="Palatino Linotype" w:cs="Arial"/>
                <w:i/>
                <w:lang w:eastAsia="es-MX"/>
              </w:rPr>
              <w:t xml:space="preserve">Se indicarán, en su caso, </w:t>
            </w:r>
            <w:r w:rsidRPr="000C446F">
              <w:rPr>
                <w:rFonts w:ascii="Palatino Linotype" w:hAnsi="Palatino Linotype" w:cs="Arial"/>
                <w:b/>
                <w:i/>
                <w:u w:val="single"/>
                <w:lang w:eastAsia="es-MX"/>
              </w:rPr>
              <w:t>las partes o páginas del documento que se clasifica como confidencial</w:t>
            </w:r>
            <w:r w:rsidRPr="000C446F">
              <w:rPr>
                <w:rFonts w:ascii="Palatino Linotype" w:hAnsi="Palatino Linotype" w:cs="Arial"/>
                <w:i/>
                <w:lang w:eastAsia="es-MX"/>
              </w:rPr>
              <w:t xml:space="preserve">. </w:t>
            </w:r>
            <w:r w:rsidRPr="000C446F">
              <w:rPr>
                <w:rFonts w:ascii="Palatino Linotype" w:hAnsi="Palatino Linotype" w:cs="Arial"/>
                <w:b/>
                <w:i/>
                <w:u w:val="single"/>
                <w:lang w:eastAsia="es-MX"/>
              </w:rPr>
              <w:t>Si el documento fuera confidencial en su totalidad, se anotarán todas las páginas que lo conforman</w:t>
            </w:r>
            <w:r w:rsidRPr="000C446F">
              <w:rPr>
                <w:rFonts w:ascii="Palatino Linotype" w:hAnsi="Palatino Linotype" w:cs="Arial"/>
                <w:i/>
                <w:lang w:eastAsia="es-MX"/>
              </w:rPr>
              <w:t>. Si el documento no contiene información confidencial, se tachará este apartado.</w:t>
            </w:r>
          </w:p>
        </w:tc>
      </w:tr>
      <w:tr w:rsidR="004C7AC5" w:rsidRPr="000C446F" w:rsidTr="00B100FB">
        <w:trPr>
          <w:jc w:val="center"/>
        </w:trPr>
        <w:tc>
          <w:tcPr>
            <w:tcW w:w="1129" w:type="dxa"/>
            <w:vMerge/>
          </w:tcPr>
          <w:p w:rsidR="004C7AC5" w:rsidRPr="000C446F" w:rsidRDefault="004C7AC5" w:rsidP="00B100FB">
            <w:pPr>
              <w:jc w:val="both"/>
              <w:rPr>
                <w:rFonts w:ascii="Palatino Linotype" w:hAnsi="Palatino Linotype" w:cs="Arial"/>
                <w:i/>
                <w:lang w:eastAsia="es-MX"/>
              </w:rPr>
            </w:pPr>
          </w:p>
        </w:tc>
        <w:tc>
          <w:tcPr>
            <w:tcW w:w="1990" w:type="dxa"/>
          </w:tcPr>
          <w:p w:rsidR="004C7AC5" w:rsidRPr="000C446F" w:rsidRDefault="004C7AC5" w:rsidP="00B100FB">
            <w:pPr>
              <w:jc w:val="center"/>
              <w:rPr>
                <w:rFonts w:ascii="Palatino Linotype" w:hAnsi="Palatino Linotype" w:cs="Arial"/>
                <w:i/>
                <w:lang w:eastAsia="es-MX"/>
              </w:rPr>
            </w:pPr>
            <w:r w:rsidRPr="000C446F">
              <w:rPr>
                <w:rFonts w:ascii="Palatino Linotype" w:hAnsi="Palatino Linotype" w:cs="Arial"/>
                <w:i/>
                <w:lang w:eastAsia="es-MX"/>
              </w:rPr>
              <w:t>Fundamento legal</w:t>
            </w:r>
          </w:p>
        </w:tc>
        <w:tc>
          <w:tcPr>
            <w:tcW w:w="4531" w:type="dxa"/>
          </w:tcPr>
          <w:p w:rsidR="004C7AC5" w:rsidRPr="000C446F" w:rsidRDefault="004C7AC5" w:rsidP="00B100FB">
            <w:pPr>
              <w:jc w:val="both"/>
              <w:rPr>
                <w:rFonts w:ascii="Palatino Linotype" w:hAnsi="Palatino Linotype" w:cs="Arial"/>
                <w:i/>
                <w:lang w:eastAsia="es-MX"/>
              </w:rPr>
            </w:pPr>
            <w:r w:rsidRPr="000C446F">
              <w:rPr>
                <w:rFonts w:ascii="Palatino Linotype" w:hAnsi="Palatino Linotype" w:cs="Arial"/>
                <w:i/>
                <w:lang w:eastAsia="es-MX"/>
              </w:rPr>
              <w:t>Se señalará el nombre del ordenamiento, el o los artículos, fracción(es), párrafo(s) con base en los cuales se sustente la confidencialidad.</w:t>
            </w:r>
          </w:p>
        </w:tc>
      </w:tr>
      <w:tr w:rsidR="004C7AC5" w:rsidRPr="000C446F" w:rsidTr="00B100FB">
        <w:trPr>
          <w:jc w:val="center"/>
        </w:trPr>
        <w:tc>
          <w:tcPr>
            <w:tcW w:w="1129" w:type="dxa"/>
            <w:vMerge/>
          </w:tcPr>
          <w:p w:rsidR="004C7AC5" w:rsidRPr="000C446F" w:rsidRDefault="004C7AC5" w:rsidP="00B100FB">
            <w:pPr>
              <w:jc w:val="both"/>
              <w:rPr>
                <w:rFonts w:ascii="Palatino Linotype" w:hAnsi="Palatino Linotype" w:cs="Arial"/>
                <w:i/>
                <w:lang w:eastAsia="es-MX"/>
              </w:rPr>
            </w:pPr>
          </w:p>
        </w:tc>
        <w:tc>
          <w:tcPr>
            <w:tcW w:w="1990" w:type="dxa"/>
          </w:tcPr>
          <w:p w:rsidR="004C7AC5" w:rsidRPr="000C446F" w:rsidRDefault="004C7AC5" w:rsidP="00B100FB">
            <w:pPr>
              <w:jc w:val="center"/>
              <w:rPr>
                <w:rFonts w:ascii="Palatino Linotype" w:hAnsi="Palatino Linotype" w:cs="Arial"/>
                <w:i/>
                <w:lang w:eastAsia="es-MX"/>
              </w:rPr>
            </w:pPr>
            <w:r w:rsidRPr="000C446F">
              <w:rPr>
                <w:rFonts w:ascii="Palatino Linotype" w:hAnsi="Palatino Linotype" w:cs="Arial"/>
                <w:i/>
                <w:lang w:eastAsia="es-MX"/>
              </w:rPr>
              <w:t>Rúbrica del titular del área</w:t>
            </w:r>
          </w:p>
        </w:tc>
        <w:tc>
          <w:tcPr>
            <w:tcW w:w="4531" w:type="dxa"/>
          </w:tcPr>
          <w:p w:rsidR="004C7AC5" w:rsidRPr="000C446F" w:rsidRDefault="004C7AC5" w:rsidP="00B100FB">
            <w:pPr>
              <w:jc w:val="both"/>
              <w:rPr>
                <w:rFonts w:ascii="Palatino Linotype" w:hAnsi="Palatino Linotype" w:cs="Arial"/>
                <w:i/>
                <w:lang w:eastAsia="es-MX"/>
              </w:rPr>
            </w:pPr>
            <w:r w:rsidRPr="000C446F">
              <w:rPr>
                <w:rFonts w:ascii="Palatino Linotype" w:hAnsi="Palatino Linotype" w:cs="Arial"/>
                <w:i/>
                <w:lang w:eastAsia="es-MX"/>
              </w:rPr>
              <w:t>Rúbrica autógrafa de quien clasifica.</w:t>
            </w:r>
          </w:p>
        </w:tc>
      </w:tr>
      <w:tr w:rsidR="004C7AC5" w:rsidRPr="000C446F" w:rsidTr="00B100FB">
        <w:trPr>
          <w:jc w:val="center"/>
        </w:trPr>
        <w:tc>
          <w:tcPr>
            <w:tcW w:w="1129" w:type="dxa"/>
            <w:vMerge/>
          </w:tcPr>
          <w:p w:rsidR="004C7AC5" w:rsidRPr="000C446F" w:rsidRDefault="004C7AC5" w:rsidP="00B100FB">
            <w:pPr>
              <w:jc w:val="both"/>
              <w:rPr>
                <w:rFonts w:ascii="Palatino Linotype" w:hAnsi="Palatino Linotype" w:cs="Arial"/>
                <w:i/>
                <w:lang w:eastAsia="es-MX"/>
              </w:rPr>
            </w:pPr>
          </w:p>
        </w:tc>
        <w:tc>
          <w:tcPr>
            <w:tcW w:w="1990" w:type="dxa"/>
          </w:tcPr>
          <w:p w:rsidR="004C7AC5" w:rsidRPr="000C446F" w:rsidRDefault="004C7AC5" w:rsidP="00B100FB">
            <w:pPr>
              <w:jc w:val="center"/>
              <w:rPr>
                <w:rFonts w:ascii="Palatino Linotype" w:hAnsi="Palatino Linotype" w:cs="Arial"/>
                <w:i/>
                <w:lang w:eastAsia="es-MX"/>
              </w:rPr>
            </w:pPr>
            <w:r w:rsidRPr="000C446F">
              <w:rPr>
                <w:rFonts w:ascii="Palatino Linotype" w:hAnsi="Palatino Linotype" w:cs="Arial"/>
                <w:i/>
                <w:lang w:eastAsia="es-MX"/>
              </w:rPr>
              <w:t>Fecha de desclasificación</w:t>
            </w:r>
          </w:p>
        </w:tc>
        <w:tc>
          <w:tcPr>
            <w:tcW w:w="4531" w:type="dxa"/>
          </w:tcPr>
          <w:p w:rsidR="004C7AC5" w:rsidRPr="000C446F" w:rsidRDefault="004C7AC5" w:rsidP="00B100FB">
            <w:pPr>
              <w:jc w:val="both"/>
              <w:rPr>
                <w:rFonts w:ascii="Palatino Linotype" w:hAnsi="Palatino Linotype" w:cs="Arial"/>
                <w:i/>
                <w:lang w:eastAsia="es-MX"/>
              </w:rPr>
            </w:pPr>
            <w:r w:rsidRPr="000C446F">
              <w:rPr>
                <w:rFonts w:ascii="Palatino Linotype" w:hAnsi="Palatino Linotype" w:cs="Arial"/>
                <w:i/>
                <w:lang w:eastAsia="es-MX"/>
              </w:rPr>
              <w:t>Se anotará la fecha en que se desclasifica el documento.</w:t>
            </w:r>
          </w:p>
        </w:tc>
      </w:tr>
      <w:tr w:rsidR="004C7AC5" w:rsidRPr="000C446F" w:rsidTr="00B100FB">
        <w:trPr>
          <w:jc w:val="center"/>
        </w:trPr>
        <w:tc>
          <w:tcPr>
            <w:tcW w:w="1129" w:type="dxa"/>
            <w:vMerge/>
          </w:tcPr>
          <w:p w:rsidR="004C7AC5" w:rsidRPr="000C446F" w:rsidRDefault="004C7AC5" w:rsidP="00B100FB">
            <w:pPr>
              <w:jc w:val="both"/>
              <w:rPr>
                <w:rFonts w:ascii="Palatino Linotype" w:hAnsi="Palatino Linotype" w:cs="Arial"/>
                <w:i/>
                <w:lang w:eastAsia="es-MX"/>
              </w:rPr>
            </w:pPr>
          </w:p>
        </w:tc>
        <w:tc>
          <w:tcPr>
            <w:tcW w:w="1990" w:type="dxa"/>
          </w:tcPr>
          <w:p w:rsidR="004C7AC5" w:rsidRPr="000C446F" w:rsidRDefault="004C7AC5" w:rsidP="00B100FB">
            <w:pPr>
              <w:jc w:val="center"/>
              <w:rPr>
                <w:rFonts w:ascii="Palatino Linotype" w:hAnsi="Palatino Linotype" w:cs="Arial"/>
                <w:i/>
                <w:lang w:eastAsia="es-MX"/>
              </w:rPr>
            </w:pPr>
            <w:r w:rsidRPr="000C446F">
              <w:rPr>
                <w:rFonts w:ascii="Palatino Linotype" w:hAnsi="Palatino Linotype" w:cs="Arial"/>
                <w:i/>
                <w:lang w:eastAsia="es-MX"/>
              </w:rPr>
              <w:t>Rúbrica y cargo del servidor público</w:t>
            </w:r>
          </w:p>
        </w:tc>
        <w:tc>
          <w:tcPr>
            <w:tcW w:w="4531" w:type="dxa"/>
            <w:vAlign w:val="center"/>
          </w:tcPr>
          <w:p w:rsidR="004C7AC5" w:rsidRPr="000C446F" w:rsidRDefault="004C7AC5" w:rsidP="00B100FB">
            <w:pPr>
              <w:rPr>
                <w:rFonts w:ascii="Palatino Linotype" w:hAnsi="Palatino Linotype" w:cs="Arial"/>
                <w:i/>
                <w:lang w:eastAsia="es-MX"/>
              </w:rPr>
            </w:pPr>
            <w:r w:rsidRPr="000C446F">
              <w:rPr>
                <w:rFonts w:ascii="Palatino Linotype" w:hAnsi="Palatino Linotype" w:cs="Arial"/>
                <w:i/>
                <w:lang w:eastAsia="es-MX"/>
              </w:rPr>
              <w:t>Rúbrica autógrafa de quien desclasifica.</w:t>
            </w:r>
          </w:p>
        </w:tc>
      </w:tr>
    </w:tbl>
    <w:p w:rsidR="004C7AC5" w:rsidRPr="000C446F" w:rsidRDefault="004C7AC5" w:rsidP="004C7AC5">
      <w:pPr>
        <w:ind w:left="709" w:right="709"/>
        <w:jc w:val="both"/>
        <w:rPr>
          <w:rFonts w:ascii="Palatino Linotype" w:hAnsi="Palatino Linotype" w:cs="Arial"/>
          <w:lang w:eastAsia="es-MX"/>
        </w:rPr>
      </w:pPr>
      <w:r w:rsidRPr="000C446F">
        <w:rPr>
          <w:rFonts w:ascii="Palatino Linotype" w:hAnsi="Palatino Linotype" w:cs="Arial"/>
          <w:lang w:eastAsia="es-MX"/>
        </w:rPr>
        <w:t>(Énfasis Añadido)</w:t>
      </w:r>
    </w:p>
    <w:p w:rsidR="004C7AC5" w:rsidRPr="000C446F" w:rsidRDefault="004C7AC5" w:rsidP="004C7AC5">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eastAsia="Calibri" w:hAnsi="Palatino Linotype" w:cs="Arial"/>
        </w:rPr>
      </w:pPr>
      <w:r w:rsidRPr="000C446F">
        <w:rPr>
          <w:rFonts w:ascii="Palatino Linotype" w:eastAsia="Calibri" w:hAnsi="Palatino Linotype" w:cs="Arial"/>
        </w:rPr>
        <w:t xml:space="preserve">En mérito de lo expuesto, esta Autoridad estima que las razones o motivos de inconformidad hechos valer por </w:t>
      </w:r>
      <w:r w:rsidRPr="000C446F">
        <w:rPr>
          <w:rFonts w:ascii="Palatino Linotype" w:eastAsia="Calibri" w:hAnsi="Palatino Linotype" w:cs="Arial"/>
          <w:b/>
        </w:rPr>
        <w:t>EL RECURRENTE</w:t>
      </w:r>
      <w:r w:rsidRPr="000C446F">
        <w:rPr>
          <w:rFonts w:ascii="Palatino Linotype" w:eastAsia="Calibri" w:hAnsi="Palatino Linotype" w:cs="Arial"/>
        </w:rPr>
        <w:t xml:space="preserve"> devienen </w:t>
      </w:r>
      <w:r w:rsidRPr="000C446F">
        <w:rPr>
          <w:rFonts w:ascii="Palatino Linotype" w:eastAsia="Calibri" w:hAnsi="Palatino Linotype" w:cs="Arial"/>
          <w:b/>
        </w:rPr>
        <w:t>fundados</w:t>
      </w:r>
      <w:r w:rsidRPr="000C446F">
        <w:rPr>
          <w:rFonts w:ascii="Palatino Linotype" w:eastAsia="Calibri" w:hAnsi="Palatino Linotype" w:cs="Arial"/>
        </w:rPr>
        <w:t xml:space="preserve">; por lo que, lo procedente es </w:t>
      </w:r>
      <w:r w:rsidRPr="000C446F">
        <w:rPr>
          <w:rFonts w:ascii="Palatino Linotype" w:eastAsia="Calibri" w:hAnsi="Palatino Linotype" w:cs="Arial"/>
          <w:b/>
        </w:rPr>
        <w:t>REVOCAR</w:t>
      </w:r>
      <w:r w:rsidRPr="000C446F">
        <w:rPr>
          <w:rFonts w:ascii="Palatino Linotype" w:eastAsia="Calibri" w:hAnsi="Palatino Linotype" w:cs="Arial"/>
        </w:rPr>
        <w:t xml:space="preserve"> la respuesta del </w:t>
      </w:r>
      <w:r w:rsidRPr="000C446F">
        <w:rPr>
          <w:rFonts w:ascii="Palatino Linotype" w:eastAsia="Calibri" w:hAnsi="Palatino Linotype" w:cs="Arial"/>
          <w:b/>
        </w:rPr>
        <w:t xml:space="preserve">SUJETO OBLIGADO </w:t>
      </w:r>
      <w:r w:rsidRPr="000C446F">
        <w:rPr>
          <w:rFonts w:ascii="Palatino Linotype" w:eastAsia="Calibri" w:hAnsi="Palatino Linotype" w:cs="Arial"/>
        </w:rPr>
        <w:t>y ordenar la entrega de la información referida en el presente Considerando.</w:t>
      </w:r>
    </w:p>
    <w:p w:rsidR="004C7AC5" w:rsidRPr="000C446F" w:rsidRDefault="004C7AC5" w:rsidP="004C7AC5">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0C446F">
        <w:rPr>
          <w:rFonts w:ascii="Palatino Linotype" w:eastAsia="Calibri" w:hAnsi="Palatino Linotype" w:cs="Arial"/>
        </w:rPr>
        <w:t xml:space="preserve">Así, con </w:t>
      </w:r>
      <w:r w:rsidRPr="000C446F">
        <w:rPr>
          <w:rFonts w:ascii="Palatino Linotype" w:hAnsi="Palatino Linotype" w:cs="Arial"/>
        </w:rPr>
        <w:t>fundamento</w:t>
      </w:r>
      <w:r w:rsidRPr="000C446F">
        <w:rPr>
          <w:rFonts w:ascii="Palatino Linotype" w:eastAsia="Calibri" w:hAnsi="Palatino Linotype" w:cs="Arial"/>
        </w:rPr>
        <w:t xml:space="preserve"> en lo prescrito en los artículos 5, </w:t>
      </w:r>
      <w:r w:rsidRPr="000C446F">
        <w:rPr>
          <w:rFonts w:ascii="Palatino Linotype" w:hAnsi="Palatino Linotype"/>
        </w:rPr>
        <w:t xml:space="preserve">párrafos vigésimo segundo, vigésimo tercero y vigésimo </w:t>
      </w:r>
      <w:r w:rsidRPr="000C446F">
        <w:rPr>
          <w:rFonts w:ascii="Palatino Linotype" w:hAnsi="Palatino Linotype" w:cs="Arial"/>
        </w:rPr>
        <w:t>cuarto,</w:t>
      </w:r>
      <w:r w:rsidRPr="000C446F">
        <w:rPr>
          <w:rFonts w:ascii="Palatino Linotype" w:hAnsi="Palatino Linotype"/>
        </w:rPr>
        <w:t xml:space="preserve"> </w:t>
      </w:r>
      <w:r w:rsidRPr="000C446F">
        <w:rPr>
          <w:rFonts w:ascii="Palatino Linotype" w:hAnsi="Palatino Linotype" w:cs="Arial"/>
        </w:rPr>
        <w:t>fracciones</w:t>
      </w:r>
      <w:r w:rsidRPr="000C446F">
        <w:rPr>
          <w:rFonts w:ascii="Palatino Linotype" w:hAnsi="Palatino Linotype"/>
        </w:rPr>
        <w:t xml:space="preserve"> IV y V,</w:t>
      </w:r>
      <w:r w:rsidRPr="000C446F">
        <w:rPr>
          <w:rFonts w:ascii="Palatino Linotype" w:eastAsia="Calibri" w:hAnsi="Palatino Linotype" w:cs="Arial"/>
        </w:rPr>
        <w:t xml:space="preserve"> de la Constitución Política del Estado Libre y Soberano de México, y los artículos </w:t>
      </w:r>
      <w:r w:rsidRPr="000C446F">
        <w:rPr>
          <w:rFonts w:ascii="Palatino Linotype" w:hAnsi="Palatino Linotype"/>
        </w:rPr>
        <w:t xml:space="preserve">2, </w:t>
      </w:r>
      <w:r w:rsidRPr="000C446F">
        <w:rPr>
          <w:rFonts w:ascii="Palatino Linotype" w:hAnsi="Palatino Linotype" w:cs="Arial"/>
        </w:rPr>
        <w:t>fracción</w:t>
      </w:r>
      <w:r w:rsidRPr="000C446F">
        <w:rPr>
          <w:rFonts w:ascii="Palatino Linotype" w:hAnsi="Palatino Linotype"/>
        </w:rPr>
        <w:t xml:space="preserve"> II, 9, </w:t>
      </w:r>
      <w:r w:rsidRPr="000C446F">
        <w:rPr>
          <w:rFonts w:ascii="Palatino Linotype" w:hAnsi="Palatino Linotype" w:cs="Arial"/>
          <w:lang w:val="es-ES_tradnl"/>
        </w:rPr>
        <w:t>29</w:t>
      </w:r>
      <w:r w:rsidRPr="000C446F">
        <w:rPr>
          <w:rFonts w:ascii="Palatino Linotype" w:hAnsi="Palatino Linotype"/>
        </w:rPr>
        <w:t>, 36, fracciones I y II, 176, 178, 179, 181, 185, fracción I, 186, 188 y 192, fracción III</w:t>
      </w:r>
      <w:r w:rsidRPr="000C446F">
        <w:rPr>
          <w:rFonts w:ascii="Palatino Linotype" w:eastAsia="Calibri" w:hAnsi="Palatino Linotype" w:cs="Arial"/>
        </w:rPr>
        <w:t xml:space="preserve"> de la Ley de Transparencia y Acceso a la Información Pública del Estado de México y </w:t>
      </w:r>
      <w:r w:rsidRPr="000C446F">
        <w:rPr>
          <w:rFonts w:ascii="Palatino Linotype" w:hAnsi="Palatino Linotype" w:cs="Arial"/>
        </w:rPr>
        <w:t>Municipios</w:t>
      </w:r>
      <w:r w:rsidRPr="000C446F">
        <w:rPr>
          <w:rFonts w:ascii="Palatino Linotype" w:eastAsia="Calibri" w:hAnsi="Palatino Linotype" w:cs="Arial"/>
        </w:rPr>
        <w:t xml:space="preserve">, </w:t>
      </w:r>
      <w:r w:rsidRPr="000C446F">
        <w:rPr>
          <w:rFonts w:ascii="Palatino Linotype" w:hAnsi="Palatino Linotype"/>
        </w:rPr>
        <w:t>este</w:t>
      </w:r>
      <w:r w:rsidRPr="000C446F">
        <w:rPr>
          <w:rFonts w:ascii="Palatino Linotype" w:eastAsia="Calibri" w:hAnsi="Palatino Linotype" w:cs="Arial"/>
        </w:rPr>
        <w:t xml:space="preserve"> Pleno:</w:t>
      </w:r>
    </w:p>
    <w:p w:rsidR="004C7AC5" w:rsidRPr="000C446F" w:rsidRDefault="004C7AC5" w:rsidP="004C7AC5">
      <w:pPr>
        <w:spacing w:before="240" w:after="100" w:afterAutospacing="1" w:line="360" w:lineRule="auto"/>
        <w:jc w:val="center"/>
        <w:rPr>
          <w:rFonts w:ascii="Palatino Linotype" w:hAnsi="Palatino Linotype"/>
          <w:b/>
          <w:bCs/>
          <w:spacing w:val="60"/>
          <w:sz w:val="28"/>
        </w:rPr>
      </w:pPr>
      <w:r w:rsidRPr="000C446F">
        <w:rPr>
          <w:rFonts w:ascii="Palatino Linotype" w:hAnsi="Palatino Linotype"/>
          <w:b/>
          <w:bCs/>
          <w:spacing w:val="60"/>
          <w:sz w:val="28"/>
        </w:rPr>
        <w:t>RESUELVE</w:t>
      </w:r>
    </w:p>
    <w:p w:rsidR="004C7AC5" w:rsidRPr="000C446F" w:rsidRDefault="004C7AC5" w:rsidP="004C7AC5">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0C446F">
        <w:rPr>
          <w:rFonts w:ascii="Palatino Linotype" w:hAnsi="Palatino Linotype" w:cs="Arial"/>
        </w:rPr>
        <w:t xml:space="preserve">Resultan </w:t>
      </w:r>
      <w:r w:rsidRPr="000C446F">
        <w:rPr>
          <w:rFonts w:ascii="Palatino Linotype" w:hAnsi="Palatino Linotype" w:cs="Arial"/>
          <w:b/>
        </w:rPr>
        <w:t>fundadas</w:t>
      </w:r>
      <w:r w:rsidRPr="000C446F">
        <w:rPr>
          <w:rFonts w:ascii="Palatino Linotype" w:hAnsi="Palatino Linotype" w:cs="Arial"/>
        </w:rPr>
        <w:t xml:space="preserve"> las </w:t>
      </w:r>
      <w:r w:rsidRPr="000C446F">
        <w:rPr>
          <w:rFonts w:ascii="Palatino Linotype" w:hAnsi="Palatino Linotype"/>
          <w:shd w:val="clear" w:color="auto" w:fill="FFFFFF"/>
        </w:rPr>
        <w:t>razones</w:t>
      </w:r>
      <w:r w:rsidRPr="000C446F">
        <w:rPr>
          <w:rFonts w:ascii="Palatino Linotype" w:hAnsi="Palatino Linotype" w:cs="Arial"/>
        </w:rPr>
        <w:t xml:space="preserve"> o motivos de inconformidad hechas valer por </w:t>
      </w:r>
      <w:r w:rsidRPr="000C446F">
        <w:rPr>
          <w:rFonts w:ascii="Palatino Linotype" w:hAnsi="Palatino Linotype"/>
          <w:b/>
        </w:rPr>
        <w:t>EL</w:t>
      </w:r>
      <w:r w:rsidRPr="000C446F">
        <w:rPr>
          <w:rFonts w:ascii="Palatino Linotype" w:hAnsi="Palatino Linotype" w:cs="Arial"/>
          <w:b/>
        </w:rPr>
        <w:t xml:space="preserve"> RECURRENTE,</w:t>
      </w:r>
      <w:r w:rsidRPr="000C446F">
        <w:rPr>
          <w:rFonts w:ascii="Palatino Linotype" w:hAnsi="Palatino Linotype" w:cs="Arial"/>
        </w:rPr>
        <w:t xml:space="preserve"> en términos del Considerando </w:t>
      </w:r>
      <w:r w:rsidRPr="000C446F">
        <w:rPr>
          <w:rFonts w:ascii="Palatino Linotype" w:hAnsi="Palatino Linotype" w:cs="Arial"/>
          <w:b/>
        </w:rPr>
        <w:t>QUINTO</w:t>
      </w:r>
      <w:r w:rsidRPr="000C446F">
        <w:rPr>
          <w:rFonts w:ascii="Palatino Linotype" w:hAnsi="Palatino Linotype" w:cs="Arial"/>
        </w:rPr>
        <w:t xml:space="preserve"> de la presente resolución.</w:t>
      </w:r>
    </w:p>
    <w:p w:rsidR="004C7AC5" w:rsidRPr="000C446F" w:rsidRDefault="004C7AC5" w:rsidP="004C7AC5">
      <w:pPr>
        <w:pStyle w:val="Prrafodelista"/>
        <w:widowControl w:val="0"/>
        <w:numPr>
          <w:ilvl w:val="0"/>
          <w:numId w:val="3"/>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0C446F">
        <w:rPr>
          <w:rFonts w:ascii="Palatino Linotype" w:hAnsi="Palatino Linotype" w:cs="Arial"/>
        </w:rPr>
        <w:t xml:space="preserve">Se </w:t>
      </w:r>
      <w:r w:rsidRPr="000C446F">
        <w:rPr>
          <w:rFonts w:ascii="Palatino Linotype" w:hAnsi="Palatino Linotype" w:cs="Arial"/>
          <w:b/>
        </w:rPr>
        <w:t xml:space="preserve">REVOCA </w:t>
      </w:r>
      <w:r w:rsidRPr="000C446F">
        <w:rPr>
          <w:rFonts w:ascii="Palatino Linotype" w:hAnsi="Palatino Linotype" w:cs="Arial"/>
        </w:rPr>
        <w:t xml:space="preserve">la respuesta del </w:t>
      </w:r>
      <w:r w:rsidRPr="000C446F">
        <w:rPr>
          <w:rFonts w:ascii="Palatino Linotype" w:hAnsi="Palatino Linotype" w:cs="Arial"/>
          <w:b/>
        </w:rPr>
        <w:t>SUJETO OBLIGADO</w:t>
      </w:r>
      <w:r w:rsidRPr="000C446F">
        <w:rPr>
          <w:rFonts w:ascii="Palatino Linotype" w:hAnsi="Palatino Linotype" w:cs="Arial"/>
        </w:rPr>
        <w:t xml:space="preserve"> y se </w:t>
      </w:r>
      <w:r w:rsidRPr="000C446F">
        <w:rPr>
          <w:rFonts w:ascii="Palatino Linotype" w:hAnsi="Palatino Linotype" w:cs="Arial"/>
          <w:b/>
        </w:rPr>
        <w:t>ordena</w:t>
      </w:r>
      <w:r w:rsidRPr="000C446F">
        <w:rPr>
          <w:rFonts w:ascii="Palatino Linotype" w:hAnsi="Palatino Linotype" w:cs="Arial"/>
        </w:rPr>
        <w:t xml:space="preserve"> </w:t>
      </w:r>
      <w:r w:rsidRPr="000C446F">
        <w:rPr>
          <w:rFonts w:ascii="Palatino Linotype" w:hAnsi="Palatino Linotype" w:cs="Arial"/>
        </w:rPr>
        <w:lastRenderedPageBreak/>
        <w:t xml:space="preserve">atienda la solicitud de información pública </w:t>
      </w:r>
      <w:r w:rsidRPr="000C446F">
        <w:rPr>
          <w:rFonts w:ascii="Palatino Linotype" w:hAnsi="Palatino Linotype" w:cs="Arial"/>
          <w:b/>
          <w:bCs/>
        </w:rPr>
        <w:t>00</w:t>
      </w:r>
      <w:r w:rsidR="006F4C69">
        <w:rPr>
          <w:rFonts w:ascii="Palatino Linotype" w:hAnsi="Palatino Linotype" w:cs="Arial"/>
          <w:b/>
          <w:bCs/>
        </w:rPr>
        <w:t>354</w:t>
      </w:r>
      <w:r w:rsidRPr="000C446F">
        <w:rPr>
          <w:rFonts w:ascii="Palatino Linotype" w:hAnsi="Palatino Linotype" w:cs="Arial"/>
          <w:b/>
          <w:bCs/>
        </w:rPr>
        <w:t>/</w:t>
      </w:r>
      <w:r w:rsidR="006F4C69">
        <w:rPr>
          <w:rFonts w:ascii="Palatino Linotype" w:hAnsi="Palatino Linotype" w:cs="Arial"/>
          <w:b/>
          <w:bCs/>
        </w:rPr>
        <w:t>AXAPUSCO</w:t>
      </w:r>
      <w:r w:rsidRPr="000C446F">
        <w:rPr>
          <w:rFonts w:ascii="Palatino Linotype" w:hAnsi="Palatino Linotype" w:cs="Arial"/>
          <w:b/>
          <w:bCs/>
        </w:rPr>
        <w:t xml:space="preserve">/IP/2019, </w:t>
      </w:r>
      <w:r w:rsidRPr="000C446F">
        <w:rPr>
          <w:rFonts w:ascii="Palatino Linotype" w:hAnsi="Palatino Linotype" w:cs="Arial"/>
          <w:bCs/>
        </w:rPr>
        <w:t>y haga entrega</w:t>
      </w:r>
      <w:r w:rsidRPr="000C446F">
        <w:rPr>
          <w:rFonts w:ascii="Palatino Linotype" w:hAnsi="Palatino Linotype" w:cs="Arial"/>
          <w:b/>
          <w:bCs/>
        </w:rPr>
        <w:t xml:space="preserve"> </w:t>
      </w:r>
      <w:r w:rsidRPr="000C446F">
        <w:rPr>
          <w:rFonts w:ascii="Palatino Linotype" w:hAnsi="Palatino Linotype" w:cs="Arial"/>
        </w:rPr>
        <w:t xml:space="preserve">al </w:t>
      </w:r>
      <w:r w:rsidR="006F4C69">
        <w:rPr>
          <w:rFonts w:ascii="Palatino Linotype" w:hAnsi="Palatino Linotype" w:cs="Arial"/>
          <w:b/>
        </w:rPr>
        <w:t>Recurrente</w:t>
      </w:r>
      <w:r w:rsidRPr="000C446F">
        <w:rPr>
          <w:rFonts w:ascii="Palatino Linotype" w:hAnsi="Palatino Linotype" w:cs="Arial"/>
        </w:rPr>
        <w:t xml:space="preserve">, </w:t>
      </w:r>
      <w:r w:rsidR="00E5208F">
        <w:rPr>
          <w:rFonts w:ascii="Palatino Linotype" w:hAnsi="Palatino Linotype" w:cs="Arial"/>
        </w:rPr>
        <w:t>de ser procedente en</w:t>
      </w:r>
      <w:r w:rsidRPr="000C446F">
        <w:rPr>
          <w:rFonts w:ascii="Palatino Linotype" w:hAnsi="Palatino Linotype" w:cs="Arial"/>
        </w:rPr>
        <w:t xml:space="preserve"> </w:t>
      </w:r>
      <w:r w:rsidRPr="000C446F">
        <w:rPr>
          <w:rFonts w:ascii="Palatino Linotype" w:hAnsi="Palatino Linotype" w:cs="Arial"/>
          <w:b/>
        </w:rPr>
        <w:t>versión pública</w:t>
      </w:r>
      <w:r w:rsidRPr="000C446F">
        <w:rPr>
          <w:rFonts w:ascii="Palatino Linotype" w:hAnsi="Palatino Linotype" w:cs="Arial"/>
        </w:rPr>
        <w:t xml:space="preserve">, vía </w:t>
      </w:r>
      <w:r w:rsidRPr="000C446F">
        <w:rPr>
          <w:rFonts w:ascii="Palatino Linotype" w:hAnsi="Palatino Linotype" w:cs="Arial"/>
          <w:b/>
        </w:rPr>
        <w:t>EL</w:t>
      </w:r>
      <w:r w:rsidRPr="000C446F">
        <w:rPr>
          <w:rFonts w:ascii="Palatino Linotype" w:hAnsi="Palatino Linotype" w:cs="Arial"/>
        </w:rPr>
        <w:t xml:space="preserve"> </w:t>
      </w:r>
      <w:r w:rsidRPr="000C446F">
        <w:rPr>
          <w:rFonts w:ascii="Palatino Linotype" w:hAnsi="Palatino Linotype" w:cs="Arial"/>
          <w:b/>
        </w:rPr>
        <w:t>SAIMEX</w:t>
      </w:r>
      <w:r w:rsidRPr="000C446F">
        <w:rPr>
          <w:rFonts w:ascii="Palatino Linotype" w:hAnsi="Palatino Linotype" w:cs="Arial"/>
        </w:rPr>
        <w:t xml:space="preserve">, en </w:t>
      </w:r>
      <w:r w:rsidRPr="000C446F">
        <w:rPr>
          <w:rFonts w:ascii="Palatino Linotype" w:hAnsi="Palatino Linotype"/>
          <w:szCs w:val="17"/>
          <w:lang w:eastAsia="es-ES_tradnl"/>
        </w:rPr>
        <w:t>términos</w:t>
      </w:r>
      <w:r w:rsidRPr="000C446F">
        <w:rPr>
          <w:rFonts w:ascii="Palatino Linotype" w:hAnsi="Palatino Linotype" w:cs="Arial"/>
        </w:rPr>
        <w:t xml:space="preserve"> del Considerando </w:t>
      </w:r>
      <w:r w:rsidR="006F4C69">
        <w:rPr>
          <w:rFonts w:ascii="Palatino Linotype" w:hAnsi="Palatino Linotype" w:cs="Arial"/>
          <w:b/>
        </w:rPr>
        <w:t>Cuarto</w:t>
      </w:r>
      <w:r w:rsidRPr="000C446F">
        <w:rPr>
          <w:rFonts w:ascii="Palatino Linotype" w:hAnsi="Palatino Linotype" w:cs="Arial"/>
        </w:rPr>
        <w:t xml:space="preserve"> </w:t>
      </w:r>
      <w:r w:rsidRPr="000C446F">
        <w:rPr>
          <w:rFonts w:ascii="Palatino Linotype" w:hAnsi="Palatino Linotype"/>
        </w:rPr>
        <w:t xml:space="preserve">de la presente resolución, de lo siguiente: </w:t>
      </w:r>
    </w:p>
    <w:p w:rsidR="004C7AC5" w:rsidRPr="006F4C69" w:rsidRDefault="004C7AC5" w:rsidP="006F4C69">
      <w:pPr>
        <w:pStyle w:val="Prrafodelista"/>
        <w:numPr>
          <w:ilvl w:val="0"/>
          <w:numId w:val="4"/>
        </w:numPr>
        <w:ind w:right="902"/>
        <w:jc w:val="both"/>
        <w:rPr>
          <w:rFonts w:ascii="Palatino Linotype" w:hAnsi="Palatino Linotype"/>
          <w:iCs/>
          <w:color w:val="000000" w:themeColor="text1"/>
          <w:lang w:eastAsia="es-MX"/>
        </w:rPr>
      </w:pPr>
      <w:r w:rsidRPr="006F4C69">
        <w:rPr>
          <w:rFonts w:ascii="Palatino Linotype" w:hAnsi="Palatino Linotype"/>
          <w:iCs/>
          <w:color w:val="000000" w:themeColor="text1"/>
          <w:lang w:eastAsia="es-MX"/>
        </w:rPr>
        <w:t xml:space="preserve">El documento o documentos donde consten las cuentas bancarias de la administración </w:t>
      </w:r>
      <w:r w:rsidR="00E5208F">
        <w:rPr>
          <w:rFonts w:ascii="Palatino Linotype" w:hAnsi="Palatino Linotype"/>
          <w:iCs/>
          <w:color w:val="000000" w:themeColor="text1"/>
          <w:lang w:eastAsia="es-MX"/>
        </w:rPr>
        <w:t>pública municipal vigentes</w:t>
      </w:r>
      <w:r w:rsidR="005F19A8">
        <w:rPr>
          <w:rFonts w:ascii="Palatino Linotype" w:hAnsi="Palatino Linotype"/>
          <w:iCs/>
          <w:color w:val="000000" w:themeColor="text1"/>
          <w:lang w:eastAsia="es-MX"/>
        </w:rPr>
        <w:t xml:space="preserve"> al 1</w:t>
      </w:r>
      <w:r w:rsidRPr="006F4C69">
        <w:rPr>
          <w:rFonts w:ascii="Palatino Linotype" w:hAnsi="Palatino Linotype"/>
          <w:iCs/>
          <w:color w:val="000000" w:themeColor="text1"/>
          <w:lang w:eastAsia="es-MX"/>
        </w:rPr>
        <w:t xml:space="preserve">4 de </w:t>
      </w:r>
      <w:r w:rsidR="005F19A8">
        <w:rPr>
          <w:rFonts w:ascii="Palatino Linotype" w:hAnsi="Palatino Linotype"/>
          <w:iCs/>
          <w:color w:val="000000" w:themeColor="text1"/>
          <w:lang w:eastAsia="es-MX"/>
        </w:rPr>
        <w:t>nov</w:t>
      </w:r>
      <w:r w:rsidRPr="006F4C69">
        <w:rPr>
          <w:rFonts w:ascii="Palatino Linotype" w:hAnsi="Palatino Linotype"/>
          <w:iCs/>
          <w:color w:val="000000" w:themeColor="text1"/>
          <w:lang w:eastAsia="es-MX"/>
        </w:rPr>
        <w:t>iembre de 2019.</w:t>
      </w:r>
    </w:p>
    <w:p w:rsidR="004C7AC5" w:rsidRPr="000C446F" w:rsidRDefault="004C7AC5" w:rsidP="004C7AC5">
      <w:pPr>
        <w:ind w:left="851" w:right="902" w:hanging="142"/>
        <w:jc w:val="both"/>
        <w:rPr>
          <w:rFonts w:ascii="Palatino Linotype" w:hAnsi="Palatino Linotype"/>
          <w:i/>
          <w:iCs/>
          <w:color w:val="000000" w:themeColor="text1"/>
          <w:lang w:eastAsia="es-MX"/>
        </w:rPr>
      </w:pPr>
    </w:p>
    <w:p w:rsidR="009F5B8C" w:rsidRPr="00696F0E" w:rsidRDefault="009F5B8C" w:rsidP="009F5B8C">
      <w:pPr>
        <w:spacing w:line="360" w:lineRule="auto"/>
        <w:jc w:val="both"/>
        <w:rPr>
          <w:rFonts w:ascii="Palatino Linotype" w:hAnsi="Palatino Linotype" w:cs="Arial"/>
          <w:i/>
        </w:rPr>
      </w:pPr>
      <w:r w:rsidRPr="00696F0E">
        <w:rPr>
          <w:rFonts w:ascii="Palatino Linotype" w:hAnsi="Palatino Linotype" w:cs="Arial"/>
          <w:i/>
        </w:rPr>
        <w:t>El acuerdo de clasificación que respalde la versión pública de la documentación emitida en respuesta y en su caso la información que proporcione para dar cumplimiento a la presente resolución,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8112AB" w:rsidRPr="0065539F" w:rsidRDefault="008112AB" w:rsidP="008112AB">
      <w:pPr>
        <w:spacing w:after="0" w:line="360" w:lineRule="auto"/>
        <w:jc w:val="both"/>
        <w:rPr>
          <w:rFonts w:ascii="Palatino Linotype" w:hAnsi="Palatino Linotype"/>
          <w:sz w:val="24"/>
          <w:szCs w:val="24"/>
          <w:lang w:val="es-ES_tradnl"/>
        </w:rPr>
      </w:pPr>
    </w:p>
    <w:p w:rsidR="008112AB" w:rsidRPr="004209CE" w:rsidRDefault="008112AB" w:rsidP="008112AB">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8112AB" w:rsidRDefault="008112AB" w:rsidP="008112AB">
      <w:pPr>
        <w:spacing w:after="0" w:line="360" w:lineRule="auto"/>
        <w:jc w:val="both"/>
        <w:rPr>
          <w:rFonts w:ascii="Palatino Linotype" w:eastAsia="Times New Roman" w:hAnsi="Palatino Linotype" w:cs="Arial"/>
        </w:rPr>
      </w:pPr>
    </w:p>
    <w:p w:rsidR="008112AB" w:rsidRDefault="008112AB" w:rsidP="008112AB">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xml:space="preserve">; y hágase de su conocimiento, que podrá impugnarla vía Juicio de Amparo en los términos de </w:t>
      </w:r>
      <w:r w:rsidRPr="004209CE">
        <w:rPr>
          <w:rFonts w:ascii="Palatino Linotype" w:hAnsi="Palatino Linotype" w:cs="Arial"/>
          <w:bCs/>
          <w:sz w:val="24"/>
          <w:szCs w:val="24"/>
        </w:rPr>
        <w:lastRenderedPageBreak/>
        <w:t>las leyes aplicables, de conformidad con lo establecido en el artículo 196 de la Ley de Transparencia y Acceso a la Información Pública del Estado de México y Municipios.</w:t>
      </w:r>
    </w:p>
    <w:p w:rsidR="008112AB" w:rsidRDefault="008112AB" w:rsidP="008112AB">
      <w:pPr>
        <w:pStyle w:val="Sinespaciado"/>
        <w:spacing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8112AB" w:rsidRPr="006149F1" w:rsidTr="00B100FB">
        <w:tc>
          <w:tcPr>
            <w:tcW w:w="9062" w:type="dxa"/>
            <w:gridSpan w:val="2"/>
          </w:tcPr>
          <w:p w:rsidR="008112AB" w:rsidRPr="006149F1" w:rsidRDefault="008112AB" w:rsidP="005F19A8">
            <w:pPr>
              <w:pStyle w:val="Sinespaciado"/>
              <w:tabs>
                <w:tab w:val="left" w:pos="5710"/>
              </w:tabs>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Pr>
                <w:rFonts w:ascii="Palatino Linotype" w:hAnsi="Palatino Linotype"/>
                <w:sz w:val="24"/>
                <w:szCs w:val="24"/>
              </w:rPr>
              <w:t xml:space="preserve">EVA ABAID YAPUR, </w:t>
            </w:r>
            <w:r w:rsidRPr="0014447C">
              <w:rPr>
                <w:rFonts w:ascii="Palatino Linotype" w:hAnsi="Palatino Linotype"/>
                <w:sz w:val="24"/>
                <w:szCs w:val="24"/>
              </w:rPr>
              <w:t>JOSÉ GUADALUPE LUNA HERNÁNDEZ</w:t>
            </w:r>
            <w:r>
              <w:rPr>
                <w:rFonts w:ascii="Palatino Linotype" w:hAnsi="Palatino Linotype"/>
                <w:sz w:val="24"/>
                <w:szCs w:val="24"/>
              </w:rPr>
              <w:t xml:space="preserve">, </w:t>
            </w:r>
            <w:r w:rsidRPr="0014447C">
              <w:rPr>
                <w:rFonts w:ascii="Palatino Linotype" w:hAnsi="Palatino Linotype"/>
                <w:sz w:val="24"/>
                <w:szCs w:val="24"/>
              </w:rPr>
              <w:t>JAVIER MARTÍNEZ CRUZ Y</w:t>
            </w:r>
            <w:r>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Pr>
                <w:rFonts w:ascii="Palatino Linotype" w:hAnsi="Palatino Linotype"/>
                <w:sz w:val="24"/>
                <w:szCs w:val="24"/>
              </w:rPr>
              <w:t>OCTAVA SESIÓN ORDINARIA CELEBRADA EL ONCE DE MARZO DE DOS MIL VEINTE</w:t>
            </w:r>
            <w:r w:rsidRPr="0014447C">
              <w:rPr>
                <w:rFonts w:ascii="Palatino Linotype" w:hAnsi="Palatino Linotype"/>
                <w:sz w:val="24"/>
                <w:szCs w:val="24"/>
              </w:rPr>
              <w:t>, ANTE EL SECRETARIO TÉCNICO DEL PLENO, ALEXIS TAPIA RAMÍREZ</w:t>
            </w:r>
            <w:r>
              <w:rPr>
                <w:rFonts w:ascii="Palatino Linotype" w:hAnsi="Palatino Linotype"/>
                <w:sz w:val="24"/>
                <w:szCs w:val="24"/>
              </w:rPr>
              <w:t>.------------------------------------------------------------------------------------------------------------------------------------------------------------------------------------------------------------------------------------------------------------------------------------------------------------------------------------------------------------</w:t>
            </w:r>
            <w:r w:rsidR="00CE0FDF">
              <w:rPr>
                <w:rFonts w:ascii="Palatino Linotype" w:hAnsi="Palatino Linotype"/>
                <w:sz w:val="24"/>
                <w:szCs w:val="24"/>
              </w:rPr>
              <w:t>---------------</w:t>
            </w:r>
            <w:r>
              <w:rPr>
                <w:rFonts w:ascii="Palatino Linotype" w:hAnsi="Palatino Linotype"/>
                <w:sz w:val="24"/>
                <w:szCs w:val="24"/>
              </w:rPr>
              <w:t>------------------------------------------------------------------------------------------------------------------------------------------------------------------------------------------------------------------------------------------------------------------------------------------</w:t>
            </w:r>
            <w:r w:rsidR="005F19A8">
              <w:rPr>
                <w:rFonts w:ascii="Palatino Linotype" w:hAnsi="Palatino Linotype"/>
                <w:sz w:val="24"/>
                <w:szCs w:val="24"/>
              </w:rPr>
              <w:t>------------</w:t>
            </w:r>
            <w:r>
              <w:rPr>
                <w:rFonts w:ascii="Palatino Linotype" w:hAnsi="Palatino Linotype"/>
                <w:sz w:val="24"/>
                <w:szCs w:val="24"/>
              </w:rPr>
              <w:t>----------------------------------------------------------------------------------------</w:t>
            </w:r>
            <w:r w:rsidR="005F19A8">
              <w:rPr>
                <w:rFonts w:ascii="Palatino Linotype" w:hAnsi="Palatino Linotype"/>
                <w:sz w:val="24"/>
                <w:szCs w:val="24"/>
              </w:rPr>
              <w:t>.--------------------------------------------------------------------------------------------------------------------------------------------------------------------------------------------------------------------------------------------------------------------------------------------------------------------------------------------</w:t>
            </w:r>
            <w:r w:rsidR="00E5208F">
              <w:rPr>
                <w:rFonts w:ascii="Palatino Linotype" w:hAnsi="Palatino Linotype"/>
                <w:sz w:val="24"/>
                <w:szCs w:val="24"/>
              </w:rPr>
              <w:t>-------------------------------</w:t>
            </w:r>
            <w:r w:rsidR="005F19A8">
              <w:rPr>
                <w:rFonts w:ascii="Palatino Linotype" w:hAnsi="Palatino Linotype"/>
                <w:sz w:val="24"/>
                <w:szCs w:val="24"/>
              </w:rPr>
              <w:t>----------------------------------------------------------------------------------------------------------------------------------------------------------------------------------------------------------------------------------------------------------</w:t>
            </w:r>
            <w:r w:rsidR="009F5B8C">
              <w:rPr>
                <w:rFonts w:ascii="Palatino Linotype" w:hAnsi="Palatino Linotype"/>
                <w:sz w:val="24"/>
                <w:szCs w:val="24"/>
              </w:rPr>
              <w:t>-------------------------------</w:t>
            </w:r>
            <w:r w:rsidR="009F5B8C">
              <w:rPr>
                <w:rFonts w:ascii="Palatino Linotype" w:hAnsi="Palatino Linotype"/>
                <w:sz w:val="24"/>
                <w:szCs w:val="24"/>
              </w:rPr>
              <w:softHyphen/>
            </w:r>
            <w:r w:rsidR="009F5B8C">
              <w:rPr>
                <w:rFonts w:ascii="Palatino Linotype" w:hAnsi="Palatino Linotype"/>
                <w:sz w:val="24"/>
                <w:szCs w:val="24"/>
              </w:rPr>
              <w:softHyphen/>
            </w:r>
            <w:r w:rsidR="009F5B8C">
              <w:rPr>
                <w:rFonts w:ascii="Palatino Linotype" w:hAnsi="Palatino Linotype"/>
                <w:sz w:val="24"/>
                <w:szCs w:val="24"/>
              </w:rPr>
              <w:softHyphen/>
            </w:r>
            <w:r w:rsidR="009F5B8C">
              <w:rPr>
                <w:rFonts w:ascii="Palatino Linotype" w:hAnsi="Palatino Linotype"/>
                <w:sz w:val="24"/>
                <w:szCs w:val="24"/>
              </w:rPr>
              <w:softHyphen/>
            </w:r>
            <w:r w:rsidR="009F5B8C">
              <w:rPr>
                <w:rFonts w:ascii="Palatino Linotype" w:hAnsi="Palatino Linotype"/>
                <w:sz w:val="24"/>
                <w:szCs w:val="24"/>
              </w:rPr>
              <w:softHyphen/>
            </w:r>
            <w:r w:rsidR="009F5B8C">
              <w:rPr>
                <w:rFonts w:ascii="Palatino Linotype" w:hAnsi="Palatino Linotype"/>
                <w:sz w:val="24"/>
                <w:szCs w:val="24"/>
              </w:rPr>
              <w:softHyphen/>
            </w:r>
            <w:r w:rsidR="009F5B8C">
              <w:rPr>
                <w:rFonts w:ascii="Palatino Linotype" w:hAnsi="Palatino Linotype"/>
                <w:sz w:val="24"/>
                <w:szCs w:val="24"/>
              </w:rPr>
              <w:softHyphen/>
            </w:r>
            <w:r w:rsidR="009F5B8C">
              <w:rPr>
                <w:rFonts w:ascii="Palatino Linotype" w:hAnsi="Palatino Linotype"/>
                <w:sz w:val="24"/>
                <w:szCs w:val="24"/>
              </w:rPr>
              <w:softHyphen/>
              <w:t>---------------</w:t>
            </w:r>
          </w:p>
        </w:tc>
      </w:tr>
      <w:tr w:rsidR="008112AB" w:rsidRPr="0089501E" w:rsidTr="00B100FB">
        <w:tc>
          <w:tcPr>
            <w:tcW w:w="9062" w:type="dxa"/>
            <w:gridSpan w:val="2"/>
          </w:tcPr>
          <w:p w:rsidR="008112AB" w:rsidRDefault="008112AB" w:rsidP="00B100FB">
            <w:pPr>
              <w:rPr>
                <w:rFonts w:ascii="Palatino Linotype" w:hAnsi="Palatino Linotype"/>
                <w:b/>
                <w:sz w:val="24"/>
                <w:szCs w:val="24"/>
              </w:rPr>
            </w:pPr>
          </w:p>
          <w:p w:rsidR="008112AB" w:rsidRDefault="008112AB" w:rsidP="00B100FB">
            <w:pPr>
              <w:rPr>
                <w:rFonts w:ascii="Palatino Linotype" w:hAnsi="Palatino Linotype"/>
                <w:b/>
                <w:sz w:val="24"/>
                <w:szCs w:val="24"/>
              </w:rPr>
            </w:pPr>
          </w:p>
          <w:p w:rsidR="008112AB" w:rsidRDefault="008112AB" w:rsidP="00B100FB">
            <w:pPr>
              <w:rPr>
                <w:rFonts w:ascii="Palatino Linotype" w:hAnsi="Palatino Linotype"/>
                <w:b/>
                <w:sz w:val="24"/>
                <w:szCs w:val="24"/>
              </w:rPr>
            </w:pPr>
          </w:p>
          <w:p w:rsidR="008112AB" w:rsidRPr="0089501E" w:rsidRDefault="008112AB" w:rsidP="00B100FB">
            <w:pPr>
              <w:jc w:val="center"/>
              <w:rPr>
                <w:rFonts w:ascii="Palatino Linotype" w:hAnsi="Palatino Linotype"/>
                <w:b/>
                <w:sz w:val="24"/>
                <w:szCs w:val="24"/>
              </w:rPr>
            </w:pPr>
            <w:r w:rsidRPr="0089501E">
              <w:rPr>
                <w:rFonts w:ascii="Palatino Linotype" w:hAnsi="Palatino Linotype"/>
                <w:b/>
                <w:sz w:val="24"/>
                <w:szCs w:val="24"/>
              </w:rPr>
              <w:t>Zulema Martínez Sánchez</w:t>
            </w:r>
          </w:p>
          <w:p w:rsidR="008112AB" w:rsidRDefault="008112AB" w:rsidP="00B100FB">
            <w:pPr>
              <w:jc w:val="center"/>
              <w:rPr>
                <w:rFonts w:ascii="Palatino Linotype" w:hAnsi="Palatino Linotype"/>
                <w:sz w:val="24"/>
                <w:szCs w:val="24"/>
              </w:rPr>
            </w:pPr>
            <w:r w:rsidRPr="0089501E">
              <w:rPr>
                <w:rFonts w:ascii="Palatino Linotype" w:hAnsi="Palatino Linotype"/>
                <w:sz w:val="24"/>
                <w:szCs w:val="24"/>
              </w:rPr>
              <w:t>Comisionada Presidenta</w:t>
            </w:r>
          </w:p>
          <w:p w:rsidR="008112AB" w:rsidRPr="0089501E" w:rsidRDefault="008112AB" w:rsidP="00B100FB">
            <w:pPr>
              <w:jc w:val="center"/>
              <w:rPr>
                <w:rFonts w:ascii="Palatino Linotype" w:hAnsi="Palatino Linotype"/>
                <w:b/>
                <w:sz w:val="24"/>
                <w:szCs w:val="24"/>
              </w:rPr>
            </w:pPr>
            <w:r>
              <w:rPr>
                <w:rFonts w:ascii="Palatino Linotype" w:hAnsi="Palatino Linotype"/>
                <w:b/>
                <w:sz w:val="24"/>
                <w:szCs w:val="24"/>
              </w:rPr>
              <w:t>(Rubrica)</w:t>
            </w:r>
          </w:p>
        </w:tc>
      </w:tr>
      <w:tr w:rsidR="008112AB" w:rsidRPr="0089501E" w:rsidTr="00B100FB">
        <w:tc>
          <w:tcPr>
            <w:tcW w:w="4532" w:type="dxa"/>
          </w:tcPr>
          <w:p w:rsidR="008112AB" w:rsidRDefault="008112AB" w:rsidP="00B100FB">
            <w:pPr>
              <w:jc w:val="center"/>
              <w:rPr>
                <w:rFonts w:ascii="Palatino Linotype" w:hAnsi="Palatino Linotype"/>
                <w:b/>
                <w:sz w:val="24"/>
                <w:szCs w:val="24"/>
              </w:rPr>
            </w:pPr>
          </w:p>
          <w:p w:rsidR="008112AB" w:rsidRPr="0089501E" w:rsidRDefault="008112AB" w:rsidP="00B100FB">
            <w:pPr>
              <w:jc w:val="center"/>
              <w:rPr>
                <w:rFonts w:ascii="Palatino Linotype" w:hAnsi="Palatino Linotype"/>
                <w:b/>
                <w:sz w:val="24"/>
                <w:szCs w:val="24"/>
              </w:rPr>
            </w:pPr>
          </w:p>
          <w:p w:rsidR="008112AB" w:rsidRDefault="008112AB" w:rsidP="00B100FB">
            <w:pPr>
              <w:rPr>
                <w:rFonts w:ascii="Palatino Linotype" w:hAnsi="Palatino Linotype"/>
                <w:b/>
                <w:sz w:val="24"/>
                <w:szCs w:val="24"/>
              </w:rPr>
            </w:pPr>
          </w:p>
          <w:p w:rsidR="008112AB" w:rsidRPr="0089501E" w:rsidRDefault="008112AB" w:rsidP="00B100FB">
            <w:pPr>
              <w:jc w:val="center"/>
              <w:rPr>
                <w:rFonts w:ascii="Palatino Linotype" w:hAnsi="Palatino Linotype"/>
                <w:b/>
                <w:sz w:val="24"/>
                <w:szCs w:val="24"/>
              </w:rPr>
            </w:pPr>
          </w:p>
          <w:p w:rsidR="008112AB" w:rsidRPr="0089501E" w:rsidRDefault="008112AB" w:rsidP="00B100FB">
            <w:pPr>
              <w:jc w:val="center"/>
              <w:rPr>
                <w:rFonts w:ascii="Palatino Linotype" w:hAnsi="Palatino Linotype"/>
                <w:b/>
                <w:sz w:val="24"/>
                <w:szCs w:val="24"/>
              </w:rPr>
            </w:pPr>
            <w:r w:rsidRPr="0089501E">
              <w:rPr>
                <w:rFonts w:ascii="Palatino Linotype" w:hAnsi="Palatino Linotype"/>
                <w:b/>
                <w:sz w:val="24"/>
                <w:szCs w:val="24"/>
              </w:rPr>
              <w:t>Eva Abaid Yapur</w:t>
            </w:r>
          </w:p>
          <w:p w:rsidR="008112AB" w:rsidRDefault="008112AB" w:rsidP="00B100FB">
            <w:pPr>
              <w:jc w:val="center"/>
              <w:rPr>
                <w:rFonts w:ascii="Palatino Linotype" w:hAnsi="Palatino Linotype"/>
                <w:sz w:val="24"/>
                <w:szCs w:val="24"/>
              </w:rPr>
            </w:pPr>
            <w:r w:rsidRPr="0089501E">
              <w:rPr>
                <w:rFonts w:ascii="Palatino Linotype" w:hAnsi="Palatino Linotype"/>
                <w:sz w:val="24"/>
                <w:szCs w:val="24"/>
              </w:rPr>
              <w:t>Comisionada</w:t>
            </w:r>
          </w:p>
          <w:p w:rsidR="008112AB" w:rsidRPr="00673891" w:rsidRDefault="008112AB" w:rsidP="00B100FB">
            <w:pPr>
              <w:jc w:val="center"/>
              <w:rPr>
                <w:rFonts w:ascii="Palatino Linotype" w:hAnsi="Palatino Linotype"/>
                <w:b/>
                <w:sz w:val="24"/>
                <w:szCs w:val="24"/>
              </w:rPr>
            </w:pPr>
            <w:r>
              <w:rPr>
                <w:rFonts w:ascii="Palatino Linotype" w:hAnsi="Palatino Linotype"/>
                <w:b/>
                <w:sz w:val="24"/>
                <w:szCs w:val="24"/>
              </w:rPr>
              <w:t>(Rubrica)</w:t>
            </w:r>
          </w:p>
          <w:p w:rsidR="008112AB" w:rsidRPr="002F1CD7" w:rsidRDefault="008112AB" w:rsidP="00B100FB">
            <w:pPr>
              <w:jc w:val="center"/>
              <w:rPr>
                <w:rFonts w:ascii="Palatino Linotype" w:hAnsi="Palatino Linotype"/>
                <w:sz w:val="24"/>
                <w:szCs w:val="24"/>
              </w:rPr>
            </w:pPr>
          </w:p>
        </w:tc>
        <w:tc>
          <w:tcPr>
            <w:tcW w:w="4530" w:type="dxa"/>
          </w:tcPr>
          <w:p w:rsidR="008112AB" w:rsidRDefault="008112AB" w:rsidP="00B100FB">
            <w:pPr>
              <w:rPr>
                <w:rFonts w:ascii="Palatino Linotype" w:hAnsi="Palatino Linotype"/>
                <w:b/>
                <w:sz w:val="24"/>
                <w:szCs w:val="24"/>
              </w:rPr>
            </w:pPr>
          </w:p>
          <w:p w:rsidR="008112AB" w:rsidRDefault="008112AB" w:rsidP="00B100FB">
            <w:pPr>
              <w:rPr>
                <w:rFonts w:ascii="Palatino Linotype" w:hAnsi="Palatino Linotype"/>
                <w:b/>
                <w:sz w:val="24"/>
                <w:szCs w:val="24"/>
              </w:rPr>
            </w:pPr>
          </w:p>
          <w:p w:rsidR="008112AB" w:rsidRDefault="008112AB" w:rsidP="00B100FB">
            <w:pPr>
              <w:rPr>
                <w:rFonts w:ascii="Palatino Linotype" w:hAnsi="Palatino Linotype"/>
                <w:b/>
                <w:sz w:val="24"/>
                <w:szCs w:val="24"/>
              </w:rPr>
            </w:pPr>
          </w:p>
          <w:p w:rsidR="008112AB" w:rsidRPr="0089501E" w:rsidRDefault="008112AB" w:rsidP="00B100FB">
            <w:pPr>
              <w:rPr>
                <w:rFonts w:ascii="Palatino Linotype" w:hAnsi="Palatino Linotype"/>
                <w:b/>
                <w:sz w:val="24"/>
                <w:szCs w:val="24"/>
              </w:rPr>
            </w:pPr>
          </w:p>
          <w:p w:rsidR="008112AB" w:rsidRPr="0089501E" w:rsidRDefault="008112AB" w:rsidP="00B100FB">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8112AB" w:rsidRDefault="008112AB" w:rsidP="00B100FB">
            <w:pPr>
              <w:jc w:val="center"/>
              <w:rPr>
                <w:rFonts w:ascii="Palatino Linotype" w:hAnsi="Palatino Linotype"/>
                <w:sz w:val="24"/>
                <w:szCs w:val="24"/>
              </w:rPr>
            </w:pPr>
            <w:r w:rsidRPr="0089501E">
              <w:rPr>
                <w:rFonts w:ascii="Palatino Linotype" w:hAnsi="Palatino Linotype"/>
                <w:sz w:val="24"/>
                <w:szCs w:val="24"/>
              </w:rPr>
              <w:t>Comisionado</w:t>
            </w:r>
          </w:p>
          <w:p w:rsidR="008112AB" w:rsidRPr="002F1CD7" w:rsidRDefault="008112AB" w:rsidP="00B100FB">
            <w:pPr>
              <w:jc w:val="center"/>
              <w:rPr>
                <w:rFonts w:ascii="Palatino Linotype" w:hAnsi="Palatino Linotype"/>
                <w:sz w:val="24"/>
                <w:szCs w:val="24"/>
              </w:rPr>
            </w:pPr>
            <w:r>
              <w:rPr>
                <w:rFonts w:ascii="Palatino Linotype" w:hAnsi="Palatino Linotype"/>
                <w:b/>
                <w:sz w:val="24"/>
                <w:szCs w:val="24"/>
              </w:rPr>
              <w:t>(Rubrica)</w:t>
            </w:r>
          </w:p>
        </w:tc>
      </w:tr>
      <w:tr w:rsidR="008112AB" w:rsidRPr="0089501E" w:rsidTr="00B100FB">
        <w:tc>
          <w:tcPr>
            <w:tcW w:w="4532" w:type="dxa"/>
          </w:tcPr>
          <w:p w:rsidR="008112AB" w:rsidRPr="0089501E" w:rsidRDefault="008112AB" w:rsidP="00B100FB">
            <w:pPr>
              <w:jc w:val="center"/>
              <w:rPr>
                <w:rFonts w:ascii="Palatino Linotype" w:hAnsi="Palatino Linotype"/>
                <w:b/>
                <w:sz w:val="24"/>
                <w:szCs w:val="24"/>
              </w:rPr>
            </w:pPr>
          </w:p>
          <w:p w:rsidR="008112AB" w:rsidRPr="0089501E" w:rsidRDefault="008112AB" w:rsidP="00B100FB">
            <w:pPr>
              <w:jc w:val="center"/>
              <w:rPr>
                <w:rFonts w:ascii="Palatino Linotype" w:hAnsi="Palatino Linotype"/>
                <w:b/>
                <w:sz w:val="24"/>
                <w:szCs w:val="24"/>
              </w:rPr>
            </w:pPr>
          </w:p>
          <w:p w:rsidR="008112AB" w:rsidRDefault="008112AB" w:rsidP="00B100FB">
            <w:pPr>
              <w:rPr>
                <w:rFonts w:ascii="Palatino Linotype" w:hAnsi="Palatino Linotype"/>
                <w:b/>
                <w:sz w:val="24"/>
                <w:szCs w:val="24"/>
              </w:rPr>
            </w:pPr>
          </w:p>
          <w:p w:rsidR="008112AB" w:rsidRPr="0089501E" w:rsidRDefault="008112AB" w:rsidP="00B100FB">
            <w:pPr>
              <w:rPr>
                <w:rFonts w:ascii="Palatino Linotype" w:hAnsi="Palatino Linotype"/>
                <w:b/>
                <w:sz w:val="24"/>
                <w:szCs w:val="24"/>
              </w:rPr>
            </w:pPr>
          </w:p>
          <w:p w:rsidR="008112AB" w:rsidRPr="0089501E" w:rsidRDefault="008112AB" w:rsidP="00B100FB">
            <w:pPr>
              <w:jc w:val="center"/>
              <w:rPr>
                <w:rFonts w:ascii="Palatino Linotype" w:hAnsi="Palatino Linotype"/>
                <w:sz w:val="24"/>
                <w:szCs w:val="24"/>
              </w:rPr>
            </w:pPr>
            <w:r w:rsidRPr="0089501E">
              <w:rPr>
                <w:rFonts w:ascii="Palatino Linotype" w:hAnsi="Palatino Linotype"/>
                <w:b/>
                <w:sz w:val="24"/>
                <w:szCs w:val="24"/>
              </w:rPr>
              <w:t>Javier Martínez Cruz</w:t>
            </w:r>
          </w:p>
          <w:p w:rsidR="008112AB" w:rsidRPr="0089501E" w:rsidRDefault="008112AB" w:rsidP="00B100FB">
            <w:pPr>
              <w:jc w:val="center"/>
              <w:rPr>
                <w:rFonts w:ascii="Palatino Linotype" w:hAnsi="Palatino Linotype"/>
                <w:sz w:val="24"/>
                <w:szCs w:val="24"/>
              </w:rPr>
            </w:pPr>
            <w:r w:rsidRPr="0089501E">
              <w:rPr>
                <w:rFonts w:ascii="Palatino Linotype" w:hAnsi="Palatino Linotype"/>
                <w:sz w:val="24"/>
                <w:szCs w:val="24"/>
              </w:rPr>
              <w:t>Comisionado</w:t>
            </w:r>
          </w:p>
          <w:p w:rsidR="008112AB" w:rsidRPr="002F1CD7" w:rsidRDefault="008112AB" w:rsidP="00B100FB">
            <w:pPr>
              <w:jc w:val="center"/>
              <w:rPr>
                <w:rFonts w:ascii="Palatino Linotype" w:hAnsi="Palatino Linotype"/>
                <w:sz w:val="24"/>
                <w:szCs w:val="24"/>
              </w:rPr>
            </w:pPr>
            <w:r>
              <w:rPr>
                <w:rFonts w:ascii="Palatino Linotype" w:hAnsi="Palatino Linotype"/>
                <w:b/>
                <w:sz w:val="24"/>
                <w:szCs w:val="24"/>
              </w:rPr>
              <w:t>(Rubrica)</w:t>
            </w:r>
          </w:p>
        </w:tc>
        <w:tc>
          <w:tcPr>
            <w:tcW w:w="4530" w:type="dxa"/>
          </w:tcPr>
          <w:p w:rsidR="008112AB" w:rsidRPr="0089501E" w:rsidRDefault="008112AB" w:rsidP="00B100FB">
            <w:pPr>
              <w:rPr>
                <w:rFonts w:ascii="Palatino Linotype" w:hAnsi="Palatino Linotype"/>
                <w:b/>
                <w:sz w:val="24"/>
                <w:szCs w:val="24"/>
              </w:rPr>
            </w:pPr>
          </w:p>
          <w:p w:rsidR="008112AB" w:rsidRDefault="008112AB" w:rsidP="00B100FB">
            <w:pPr>
              <w:rPr>
                <w:rFonts w:ascii="Palatino Linotype" w:hAnsi="Palatino Linotype"/>
                <w:b/>
                <w:sz w:val="24"/>
                <w:szCs w:val="24"/>
              </w:rPr>
            </w:pPr>
          </w:p>
          <w:p w:rsidR="008112AB" w:rsidRPr="0089501E" w:rsidRDefault="008112AB" w:rsidP="00B100FB">
            <w:pPr>
              <w:rPr>
                <w:rFonts w:ascii="Palatino Linotype" w:hAnsi="Palatino Linotype"/>
                <w:b/>
                <w:sz w:val="24"/>
                <w:szCs w:val="24"/>
              </w:rPr>
            </w:pPr>
          </w:p>
          <w:p w:rsidR="008112AB" w:rsidRPr="0089501E" w:rsidRDefault="008112AB" w:rsidP="00B100FB">
            <w:pPr>
              <w:rPr>
                <w:rFonts w:ascii="Palatino Linotype" w:hAnsi="Palatino Linotype"/>
                <w:b/>
                <w:sz w:val="24"/>
                <w:szCs w:val="24"/>
              </w:rPr>
            </w:pPr>
          </w:p>
          <w:p w:rsidR="008112AB" w:rsidRPr="0089501E" w:rsidRDefault="008112AB" w:rsidP="00B100FB">
            <w:pPr>
              <w:jc w:val="center"/>
              <w:rPr>
                <w:rFonts w:ascii="Palatino Linotype" w:hAnsi="Palatino Linotype"/>
                <w:sz w:val="24"/>
                <w:szCs w:val="24"/>
              </w:rPr>
            </w:pPr>
            <w:r w:rsidRPr="0089501E">
              <w:rPr>
                <w:rFonts w:ascii="Palatino Linotype" w:hAnsi="Palatino Linotype"/>
                <w:b/>
                <w:sz w:val="24"/>
                <w:szCs w:val="24"/>
              </w:rPr>
              <w:t>Luis Gustavo Parra Noriega</w:t>
            </w:r>
          </w:p>
          <w:p w:rsidR="008112AB" w:rsidRPr="0089501E" w:rsidRDefault="008112AB" w:rsidP="00B100FB">
            <w:pPr>
              <w:jc w:val="center"/>
              <w:rPr>
                <w:rFonts w:ascii="Palatino Linotype" w:hAnsi="Palatino Linotype"/>
                <w:sz w:val="24"/>
                <w:szCs w:val="24"/>
              </w:rPr>
            </w:pPr>
            <w:r w:rsidRPr="0089501E">
              <w:rPr>
                <w:rFonts w:ascii="Palatino Linotype" w:hAnsi="Palatino Linotype"/>
                <w:sz w:val="24"/>
                <w:szCs w:val="24"/>
              </w:rPr>
              <w:t>Comisionado</w:t>
            </w:r>
          </w:p>
          <w:p w:rsidR="008112AB" w:rsidRPr="002F1CD7" w:rsidRDefault="008112AB" w:rsidP="00B100FB">
            <w:pPr>
              <w:jc w:val="center"/>
              <w:rPr>
                <w:rFonts w:ascii="Palatino Linotype" w:hAnsi="Palatino Linotype"/>
                <w:sz w:val="24"/>
                <w:szCs w:val="24"/>
              </w:rPr>
            </w:pPr>
            <w:r>
              <w:rPr>
                <w:rFonts w:ascii="Palatino Linotype" w:hAnsi="Palatino Linotype"/>
                <w:b/>
                <w:sz w:val="24"/>
                <w:szCs w:val="24"/>
              </w:rPr>
              <w:t>(Rubrica)</w:t>
            </w:r>
          </w:p>
        </w:tc>
      </w:tr>
      <w:tr w:rsidR="008112AB" w:rsidRPr="0089501E" w:rsidTr="00B100FB">
        <w:tc>
          <w:tcPr>
            <w:tcW w:w="9062" w:type="dxa"/>
            <w:gridSpan w:val="2"/>
          </w:tcPr>
          <w:p w:rsidR="008112AB" w:rsidRPr="0089501E" w:rsidRDefault="008112AB" w:rsidP="00B100FB">
            <w:pPr>
              <w:jc w:val="center"/>
              <w:rPr>
                <w:rFonts w:ascii="Palatino Linotype" w:hAnsi="Palatino Linotype"/>
                <w:b/>
                <w:sz w:val="24"/>
                <w:szCs w:val="24"/>
              </w:rPr>
            </w:pPr>
          </w:p>
          <w:p w:rsidR="008112AB" w:rsidRPr="0089501E" w:rsidRDefault="008112AB" w:rsidP="00B100FB">
            <w:pPr>
              <w:jc w:val="center"/>
              <w:rPr>
                <w:rFonts w:ascii="Palatino Linotype" w:hAnsi="Palatino Linotype"/>
                <w:b/>
                <w:sz w:val="24"/>
                <w:szCs w:val="24"/>
              </w:rPr>
            </w:pPr>
          </w:p>
          <w:p w:rsidR="008112AB" w:rsidRDefault="008112AB" w:rsidP="00B100FB">
            <w:pPr>
              <w:rPr>
                <w:rFonts w:ascii="Palatino Linotype" w:hAnsi="Palatino Linotype"/>
                <w:b/>
                <w:sz w:val="28"/>
                <w:szCs w:val="24"/>
              </w:rPr>
            </w:pPr>
          </w:p>
          <w:p w:rsidR="008112AB" w:rsidRPr="0089501E" w:rsidRDefault="008112AB" w:rsidP="00B100FB">
            <w:pPr>
              <w:jc w:val="center"/>
              <w:rPr>
                <w:rFonts w:ascii="Palatino Linotype" w:hAnsi="Palatino Linotype"/>
                <w:b/>
                <w:sz w:val="24"/>
                <w:szCs w:val="24"/>
              </w:rPr>
            </w:pPr>
            <w:r w:rsidRPr="0089501E">
              <w:rPr>
                <w:rFonts w:ascii="Palatino Linotype" w:hAnsi="Palatino Linotype"/>
                <w:b/>
                <w:sz w:val="24"/>
                <w:szCs w:val="24"/>
              </w:rPr>
              <w:t>Alexis Tapia Ramírez</w:t>
            </w:r>
          </w:p>
          <w:p w:rsidR="008112AB" w:rsidRDefault="008112AB" w:rsidP="00B100FB">
            <w:pPr>
              <w:jc w:val="center"/>
              <w:rPr>
                <w:rFonts w:ascii="Palatino Linotype" w:hAnsi="Palatino Linotype"/>
                <w:sz w:val="24"/>
                <w:szCs w:val="24"/>
              </w:rPr>
            </w:pPr>
            <w:r w:rsidRPr="0089501E">
              <w:rPr>
                <w:rFonts w:ascii="Palatino Linotype" w:hAnsi="Palatino Linotype"/>
                <w:sz w:val="24"/>
                <w:szCs w:val="24"/>
              </w:rPr>
              <w:t>Secretario Técnico del Pleno</w:t>
            </w:r>
          </w:p>
          <w:p w:rsidR="008112AB" w:rsidRDefault="008112AB" w:rsidP="00B100FB">
            <w:pPr>
              <w:jc w:val="center"/>
              <w:rPr>
                <w:rFonts w:ascii="Palatino Linotype" w:hAnsi="Palatino Linotype"/>
                <w:sz w:val="24"/>
                <w:szCs w:val="24"/>
              </w:rPr>
            </w:pPr>
            <w:r>
              <w:rPr>
                <w:rFonts w:ascii="Palatino Linotype" w:hAnsi="Palatino Linotype"/>
                <w:b/>
                <w:sz w:val="24"/>
                <w:szCs w:val="24"/>
              </w:rPr>
              <w:t>(Rubrica)</w:t>
            </w:r>
          </w:p>
          <w:p w:rsidR="008112AB" w:rsidRPr="00425534" w:rsidRDefault="008112AB" w:rsidP="00B100FB">
            <w:pPr>
              <w:jc w:val="center"/>
              <w:rPr>
                <w:rFonts w:ascii="Palatino Linotype" w:hAnsi="Palatino Linotype"/>
                <w:sz w:val="18"/>
                <w:szCs w:val="24"/>
              </w:rPr>
            </w:pPr>
          </w:p>
        </w:tc>
      </w:tr>
    </w:tbl>
    <w:p w:rsidR="008112AB" w:rsidRPr="00F11368" w:rsidRDefault="008112AB" w:rsidP="008112AB">
      <w:pPr>
        <w:spacing w:after="0" w:line="240" w:lineRule="auto"/>
        <w:jc w:val="both"/>
        <w:rPr>
          <w:rFonts w:ascii="Palatino Linotype" w:hAnsi="Palatino Linotype" w:cs="Arial"/>
          <w:sz w:val="8"/>
          <w:szCs w:val="16"/>
        </w:rPr>
      </w:pPr>
    </w:p>
    <w:p w:rsidR="008112AB" w:rsidRPr="00937BFA" w:rsidRDefault="008112AB" w:rsidP="008112AB">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Pr>
          <w:rFonts w:ascii="Palatino Linotype" w:hAnsi="Palatino Linotype" w:cs="Arial"/>
          <w:sz w:val="18"/>
          <w:szCs w:val="16"/>
        </w:rPr>
        <w:t xml:space="preserve">sponde a la resolución de fecha once de marzo </w:t>
      </w:r>
      <w:r w:rsidRPr="00B73E6C">
        <w:rPr>
          <w:rFonts w:ascii="Palatino Linotype" w:hAnsi="Palatino Linotype" w:cs="Arial"/>
          <w:sz w:val="18"/>
          <w:szCs w:val="16"/>
        </w:rPr>
        <w:t>de d</w:t>
      </w:r>
      <w:r>
        <w:rPr>
          <w:rFonts w:ascii="Palatino Linotype" w:hAnsi="Palatino Linotype" w:cs="Arial"/>
          <w:sz w:val="18"/>
          <w:szCs w:val="16"/>
        </w:rPr>
        <w:t>os mil veinte, emitida en el recurso</w:t>
      </w:r>
      <w:r w:rsidRPr="00B73E6C">
        <w:rPr>
          <w:rFonts w:ascii="Palatino Linotype" w:hAnsi="Palatino Linotype" w:cs="Arial"/>
          <w:sz w:val="18"/>
          <w:szCs w:val="16"/>
        </w:rPr>
        <w:t xml:space="preserve"> de revisión </w:t>
      </w:r>
      <w:r>
        <w:rPr>
          <w:rFonts w:ascii="Palatino Linotype" w:hAnsi="Palatino Linotype" w:cs="Arial"/>
          <w:bCs/>
          <w:sz w:val="18"/>
          <w:szCs w:val="16"/>
          <w:lang w:eastAsia="es-MX"/>
        </w:rPr>
        <w:t>1</w:t>
      </w:r>
      <w:r w:rsidR="005F19A8">
        <w:rPr>
          <w:rFonts w:ascii="Palatino Linotype" w:hAnsi="Palatino Linotype" w:cs="Arial"/>
          <w:bCs/>
          <w:sz w:val="18"/>
          <w:szCs w:val="16"/>
          <w:lang w:eastAsia="es-MX"/>
        </w:rPr>
        <w:t>23</w:t>
      </w:r>
      <w:r w:rsidR="009F5B8C">
        <w:rPr>
          <w:rFonts w:ascii="Palatino Linotype" w:hAnsi="Palatino Linotype" w:cs="Arial"/>
          <w:bCs/>
          <w:sz w:val="18"/>
          <w:szCs w:val="16"/>
          <w:lang w:eastAsia="es-MX"/>
        </w:rPr>
        <w:t>6</w:t>
      </w:r>
      <w:r w:rsidR="005F19A8">
        <w:rPr>
          <w:rFonts w:ascii="Palatino Linotype" w:hAnsi="Palatino Linotype" w:cs="Arial"/>
          <w:bCs/>
          <w:sz w:val="18"/>
          <w:szCs w:val="16"/>
          <w:lang w:eastAsia="es-MX"/>
        </w:rPr>
        <w:t>0</w:t>
      </w:r>
      <w:r w:rsidRPr="00B73E6C">
        <w:rPr>
          <w:rFonts w:ascii="Palatino Linotype" w:hAnsi="Palatino Linotype" w:cs="Arial"/>
          <w:bCs/>
          <w:sz w:val="18"/>
          <w:szCs w:val="16"/>
          <w:lang w:eastAsia="es-MX"/>
        </w:rPr>
        <w:t>/INFOEM/IP/R</w:t>
      </w:r>
      <w:r>
        <w:rPr>
          <w:rFonts w:ascii="Palatino Linotype" w:hAnsi="Palatino Linotype" w:cs="Arial"/>
          <w:bCs/>
          <w:sz w:val="18"/>
          <w:szCs w:val="16"/>
          <w:lang w:eastAsia="es-MX"/>
        </w:rPr>
        <w:t xml:space="preserve">R/2019. </w:t>
      </w:r>
    </w:p>
    <w:p w:rsidR="008112AB" w:rsidRDefault="008112AB" w:rsidP="008112AB">
      <w:pPr>
        <w:spacing w:after="0" w:line="240" w:lineRule="auto"/>
        <w:jc w:val="both"/>
        <w:rPr>
          <w:rFonts w:ascii="Palatino Linotype" w:hAnsi="Palatino Linotype" w:cs="Arial"/>
          <w:sz w:val="18"/>
          <w:szCs w:val="16"/>
        </w:rPr>
      </w:pPr>
      <w:r w:rsidRPr="001126FC">
        <w:rPr>
          <w:rFonts w:ascii="Palatino Linotype" w:hAnsi="Palatino Linotype" w:cs="Arial"/>
          <w:sz w:val="18"/>
          <w:szCs w:val="16"/>
        </w:rPr>
        <w:t>ZMS/OSAM/</w:t>
      </w:r>
      <w:r>
        <w:rPr>
          <w:rFonts w:ascii="Palatino Linotype" w:hAnsi="Palatino Linotype" w:cs="Arial"/>
          <w:sz w:val="18"/>
          <w:szCs w:val="16"/>
        </w:rPr>
        <w:t>BPAC</w:t>
      </w:r>
    </w:p>
    <w:sectPr w:rsidR="008112AB" w:rsidSect="00A528E9">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418" w:rsidRDefault="00546418" w:rsidP="008112AB">
      <w:pPr>
        <w:spacing w:after="0" w:line="240" w:lineRule="auto"/>
      </w:pPr>
      <w:r>
        <w:separator/>
      </w:r>
    </w:p>
  </w:endnote>
  <w:endnote w:type="continuationSeparator" w:id="0">
    <w:p w:rsidR="00546418" w:rsidRDefault="00546418" w:rsidP="0081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Pr="000B69FA" w:rsidRDefault="00F15888"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0FDF">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0FDF">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Pr="000B69FA" w:rsidRDefault="00F15888" w:rsidP="00A528E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0F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0FDF">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418" w:rsidRDefault="00546418" w:rsidP="008112AB">
      <w:pPr>
        <w:spacing w:after="0" w:line="240" w:lineRule="auto"/>
      </w:pPr>
      <w:r>
        <w:separator/>
      </w:r>
    </w:p>
  </w:footnote>
  <w:footnote w:type="continuationSeparator" w:id="0">
    <w:p w:rsidR="00546418" w:rsidRDefault="00546418" w:rsidP="008112AB">
      <w:pPr>
        <w:spacing w:after="0" w:line="240" w:lineRule="auto"/>
      </w:pPr>
      <w:r>
        <w:continuationSeparator/>
      </w:r>
    </w:p>
  </w:footnote>
  <w:footnote w:id="1">
    <w:p w:rsidR="008112AB" w:rsidRPr="00615B4B" w:rsidRDefault="008112AB" w:rsidP="008112A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8112AB" w:rsidRPr="00615B4B" w:rsidRDefault="008112AB" w:rsidP="008112A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8E9" w:rsidRDefault="00546418">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528E9" w:rsidTr="00A528E9">
      <w:trPr>
        <w:trHeight w:val="227"/>
      </w:trPr>
      <w:tc>
        <w:tcPr>
          <w:tcW w:w="5949" w:type="dxa"/>
          <w:hideMark/>
        </w:tcPr>
        <w:p w:rsidR="00A528E9" w:rsidRDefault="00F15888" w:rsidP="00A528E9">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528E9" w:rsidRDefault="00F15888" w:rsidP="008112AB">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w:t>
          </w:r>
          <w:r w:rsidR="008112AB">
            <w:rPr>
              <w:rFonts w:ascii="Palatino Linotype" w:hAnsi="Palatino Linotype" w:cs="Arial"/>
              <w:bCs/>
              <w:sz w:val="24"/>
              <w:lang w:eastAsia="es-MX"/>
            </w:rPr>
            <w:t>236</w:t>
          </w:r>
          <w:r>
            <w:rPr>
              <w:rFonts w:ascii="Palatino Linotype" w:hAnsi="Palatino Linotype" w:cs="Arial"/>
              <w:bCs/>
              <w:sz w:val="24"/>
              <w:lang w:eastAsia="es-MX"/>
            </w:rPr>
            <w:t>0/INFOEM/IP/RR/2019</w:t>
          </w:r>
        </w:p>
      </w:tc>
    </w:tr>
    <w:tr w:rsidR="00A528E9" w:rsidTr="00A528E9">
      <w:trPr>
        <w:trHeight w:val="242"/>
      </w:trPr>
      <w:tc>
        <w:tcPr>
          <w:tcW w:w="5949" w:type="dxa"/>
          <w:hideMark/>
        </w:tcPr>
        <w:p w:rsidR="00A528E9" w:rsidRDefault="00F15888" w:rsidP="00A528E9">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528E9" w:rsidRDefault="00F15888" w:rsidP="008112AB">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008112AB">
            <w:rPr>
              <w:rFonts w:ascii="Palatino Linotype" w:hAnsi="Palatino Linotype" w:cs="Arial"/>
              <w:szCs w:val="20"/>
            </w:rPr>
            <w:t>Axapusco</w:t>
          </w:r>
        </w:p>
      </w:tc>
    </w:tr>
    <w:tr w:rsidR="00A528E9" w:rsidTr="00A528E9">
      <w:trPr>
        <w:trHeight w:val="342"/>
      </w:trPr>
      <w:tc>
        <w:tcPr>
          <w:tcW w:w="5949" w:type="dxa"/>
          <w:hideMark/>
        </w:tcPr>
        <w:p w:rsidR="00A528E9" w:rsidRDefault="00F15888" w:rsidP="00A528E9">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528E9" w:rsidRDefault="00F15888"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8E9" w:rsidRDefault="005464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528E9" w:rsidTr="00A528E9">
      <w:trPr>
        <w:trHeight w:val="227"/>
      </w:trPr>
      <w:tc>
        <w:tcPr>
          <w:tcW w:w="5103" w:type="dxa"/>
          <w:hideMark/>
        </w:tcPr>
        <w:p w:rsidR="00A528E9" w:rsidRDefault="00F15888"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528E9" w:rsidRPr="00B4142F" w:rsidRDefault="00F15888" w:rsidP="008112AB">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1</w:t>
          </w:r>
          <w:r w:rsidR="008112AB">
            <w:rPr>
              <w:rFonts w:ascii="Palatino Linotype" w:hAnsi="Palatino Linotype" w:cs="Arial"/>
              <w:bCs/>
              <w:sz w:val="24"/>
              <w:lang w:eastAsia="es-MX"/>
            </w:rPr>
            <w:t>23</w:t>
          </w:r>
          <w:r>
            <w:rPr>
              <w:rFonts w:ascii="Palatino Linotype" w:hAnsi="Palatino Linotype" w:cs="Arial"/>
              <w:bCs/>
              <w:sz w:val="24"/>
              <w:lang w:eastAsia="es-MX"/>
            </w:rPr>
            <w:t>60/INFOEM/IP/RR/2019</w:t>
          </w:r>
        </w:p>
      </w:tc>
    </w:tr>
    <w:tr w:rsidR="00A528E9" w:rsidTr="00A528E9">
      <w:trPr>
        <w:trHeight w:val="196"/>
      </w:trPr>
      <w:tc>
        <w:tcPr>
          <w:tcW w:w="5103" w:type="dxa"/>
          <w:hideMark/>
        </w:tcPr>
        <w:p w:rsidR="00A528E9" w:rsidRDefault="00F15888"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528E9" w:rsidRPr="00F06FED" w:rsidRDefault="00133C99" w:rsidP="00A528E9">
          <w:pPr>
            <w:spacing w:after="120" w:line="256" w:lineRule="auto"/>
            <w:ind w:left="208" w:right="214"/>
            <w:jc w:val="right"/>
            <w:rPr>
              <w:rFonts w:ascii="Palatino Linotype" w:hAnsi="Palatino Linotype" w:cs="Arial"/>
            </w:rPr>
          </w:pPr>
          <w:r>
            <w:rPr>
              <w:rFonts w:ascii="Palatino Linotype" w:hAnsi="Palatino Linotype" w:cs="Arial"/>
            </w:rPr>
            <w:t>XXXXXXXXXXXXXXXXXX</w:t>
          </w:r>
        </w:p>
      </w:tc>
    </w:tr>
    <w:tr w:rsidR="00A528E9" w:rsidTr="00A528E9">
      <w:trPr>
        <w:trHeight w:val="242"/>
      </w:trPr>
      <w:tc>
        <w:tcPr>
          <w:tcW w:w="5103" w:type="dxa"/>
          <w:hideMark/>
        </w:tcPr>
        <w:p w:rsidR="00A528E9" w:rsidRDefault="00F15888" w:rsidP="00A528E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528E9" w:rsidRDefault="00F15888" w:rsidP="008112AB">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008112AB">
            <w:rPr>
              <w:rFonts w:ascii="Palatino Linotype" w:hAnsi="Palatino Linotype" w:cs="Arial"/>
              <w:szCs w:val="20"/>
            </w:rPr>
            <w:t>Axapusco</w:t>
          </w:r>
        </w:p>
      </w:tc>
    </w:tr>
    <w:tr w:rsidR="00A528E9" w:rsidTr="00A528E9">
      <w:trPr>
        <w:trHeight w:val="342"/>
      </w:trPr>
      <w:tc>
        <w:tcPr>
          <w:tcW w:w="5103" w:type="dxa"/>
          <w:hideMark/>
        </w:tcPr>
        <w:p w:rsidR="00A528E9" w:rsidRDefault="00F15888" w:rsidP="00A528E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528E9" w:rsidRDefault="00F15888" w:rsidP="00A528E9">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528E9" w:rsidRDefault="005464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42049"/>
    <w:multiLevelType w:val="hybridMultilevel"/>
    <w:tmpl w:val="FB2A34F0"/>
    <w:lvl w:ilvl="0" w:tplc="6694A024">
      <w:numFmt w:val="bullet"/>
      <w:lvlText w:val=""/>
      <w:lvlJc w:val="left"/>
      <w:pPr>
        <w:ind w:left="720" w:hanging="360"/>
      </w:pPr>
      <w:rPr>
        <w:rFonts w:ascii="Symbol" w:eastAsia="Times New Roman" w:hAnsi="Symbol" w:cs="Arial"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91312B"/>
    <w:multiLevelType w:val="hybridMultilevel"/>
    <w:tmpl w:val="E4460680"/>
    <w:lvl w:ilvl="0" w:tplc="FD8EFD8E">
      <w:numFmt w:val="bullet"/>
      <w:lvlText w:val=""/>
      <w:lvlJc w:val="left"/>
      <w:pPr>
        <w:ind w:left="1069" w:hanging="360"/>
      </w:pPr>
      <w:rPr>
        <w:rFonts w:ascii="Symbol" w:eastAsiaTheme="minorHAnsi" w:hAnsi="Symbol" w:cstheme="minorBidi"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AB"/>
    <w:rsid w:val="00133C99"/>
    <w:rsid w:val="00147255"/>
    <w:rsid w:val="001F2A6B"/>
    <w:rsid w:val="00324C1F"/>
    <w:rsid w:val="004C7AC5"/>
    <w:rsid w:val="00546418"/>
    <w:rsid w:val="005F19A8"/>
    <w:rsid w:val="006F4C69"/>
    <w:rsid w:val="008112AB"/>
    <w:rsid w:val="008D72A3"/>
    <w:rsid w:val="009F5B8C"/>
    <w:rsid w:val="00B77BDC"/>
    <w:rsid w:val="00C362E8"/>
    <w:rsid w:val="00CE0FDF"/>
    <w:rsid w:val="00E5208F"/>
    <w:rsid w:val="00E719B3"/>
    <w:rsid w:val="00F15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CC8C"/>
  <w15:chartTrackingRefBased/>
  <w15:docId w15:val="{6D1FB4B9-6295-4B25-AAB3-5D6841A1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2A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12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112A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112A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112A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112A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112A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112A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8112AB"/>
    <w:rPr>
      <w:vertAlign w:val="superscript"/>
    </w:rPr>
  </w:style>
  <w:style w:type="character" w:styleId="Hipervnculo">
    <w:name w:val="Hyperlink"/>
    <w:basedOn w:val="Fuentedeprrafopredeter"/>
    <w:uiPriority w:val="99"/>
    <w:unhideWhenUsed/>
    <w:rsid w:val="008112AB"/>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8112A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112AB"/>
    <w:rPr>
      <w:sz w:val="20"/>
      <w:szCs w:val="20"/>
    </w:rPr>
  </w:style>
  <w:style w:type="paragraph" w:styleId="Sinespaciado">
    <w:name w:val="No Spacing"/>
    <w:aliases w:val="Francesa"/>
    <w:link w:val="SinespaciadoCar"/>
    <w:uiPriority w:val="1"/>
    <w:qFormat/>
    <w:rsid w:val="008112AB"/>
    <w:pPr>
      <w:spacing w:after="0" w:line="240" w:lineRule="auto"/>
    </w:pPr>
  </w:style>
  <w:style w:type="table" w:styleId="Tablaconcuadrcula">
    <w:name w:val="Table Grid"/>
    <w:basedOn w:val="Tablanormal"/>
    <w:uiPriority w:val="39"/>
    <w:rsid w:val="00811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8112AB"/>
  </w:style>
  <w:style w:type="table" w:customStyle="1" w:styleId="Tablaconcuadrcula7">
    <w:name w:val="Tabla con cuadrícula7"/>
    <w:basedOn w:val="Tablanormal"/>
    <w:next w:val="Tablaconcuadrcula"/>
    <w:uiPriority w:val="39"/>
    <w:rsid w:val="00811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4C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37</Pages>
  <Words>9602</Words>
  <Characters>52817</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rotul_000</cp:lastModifiedBy>
  <cp:revision>10</cp:revision>
  <dcterms:created xsi:type="dcterms:W3CDTF">2020-02-28T23:07:00Z</dcterms:created>
  <dcterms:modified xsi:type="dcterms:W3CDTF">2020-04-22T05:57:00Z</dcterms:modified>
</cp:coreProperties>
</file>