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D0" w:rsidRDefault="00A579D0" w:rsidP="00D97113">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54630">
        <w:rPr>
          <w:rFonts w:ascii="Palatino Linotype" w:hAnsi="Palatino Linotype" w:cs="Arial"/>
          <w:b/>
        </w:rPr>
        <w:t xml:space="preserve">CUADRAGÉSIMA PRIMERA </w:t>
      </w:r>
      <w:r w:rsidRPr="0007653D">
        <w:rPr>
          <w:rFonts w:ascii="Palatino Linotype" w:hAnsi="Palatino Linotype" w:cs="Arial"/>
          <w:b/>
        </w:rPr>
        <w:t xml:space="preserve">SESIÓN ORDINARIA DE </w:t>
      </w:r>
      <w:r w:rsidR="00B54630">
        <w:rPr>
          <w:rFonts w:ascii="Palatino Linotype" w:hAnsi="Palatino Linotype" w:cs="Arial"/>
          <w:b/>
        </w:rPr>
        <w:t>SEIS</w:t>
      </w:r>
      <w:r w:rsidR="00A02EB1">
        <w:rPr>
          <w:rFonts w:ascii="Palatino Linotype" w:hAnsi="Palatino Linotype" w:cs="Arial"/>
          <w:b/>
        </w:rPr>
        <w:t xml:space="preserve"> </w:t>
      </w:r>
      <w:r>
        <w:rPr>
          <w:rFonts w:ascii="Palatino Linotype" w:hAnsi="Palatino Linotype" w:cs="Arial"/>
          <w:b/>
        </w:rPr>
        <w:t xml:space="preserve">DE </w:t>
      </w:r>
      <w:r w:rsidR="00B54630">
        <w:rPr>
          <w:rFonts w:ascii="Palatino Linotype" w:hAnsi="Palatino Linotype" w:cs="Arial"/>
          <w:b/>
        </w:rPr>
        <w:t>NOVIEMBRE</w:t>
      </w:r>
      <w:r w:rsidR="008A6976">
        <w:rPr>
          <w:rFonts w:ascii="Palatino Linotype" w:hAnsi="Palatino Linotype" w:cs="Arial"/>
          <w:b/>
        </w:rPr>
        <w:t xml:space="preserve"> </w:t>
      </w:r>
      <w:r w:rsidR="00A02EB1">
        <w:rPr>
          <w:rFonts w:ascii="Palatino Linotype" w:hAnsi="Palatino Linotype" w:cs="Arial"/>
          <w:b/>
        </w:rPr>
        <w:t>DE DOS MIL DIECINUEVE</w:t>
      </w:r>
      <w:r>
        <w:rPr>
          <w:rFonts w:ascii="Palatino Linotype" w:hAnsi="Palatino Linotype" w:cs="Arial"/>
          <w:b/>
        </w:rPr>
        <w:t xml:space="preserve">, EN </w:t>
      </w:r>
      <w:r w:rsidR="008A6976">
        <w:rPr>
          <w:rFonts w:ascii="Palatino Linotype" w:hAnsi="Palatino Linotype" w:cs="Arial"/>
          <w:b/>
        </w:rPr>
        <w:t>EL</w:t>
      </w:r>
      <w:r>
        <w:rPr>
          <w:rFonts w:ascii="Palatino Linotype" w:hAnsi="Palatino Linotype" w:cs="Arial"/>
          <w:b/>
        </w:rPr>
        <w:t xml:space="preserve"> R</w:t>
      </w:r>
      <w:r w:rsidRPr="0007653D">
        <w:rPr>
          <w:rFonts w:ascii="Palatino Linotype" w:hAnsi="Palatino Linotype" w:cs="Arial"/>
          <w:b/>
        </w:rPr>
        <w:t xml:space="preserve">ECURSO DE REVISIÓN </w:t>
      </w:r>
      <w:r w:rsidR="00B54630">
        <w:rPr>
          <w:rFonts w:ascii="Palatino Linotype" w:hAnsi="Palatino Linotype" w:cs="Arial"/>
          <w:b/>
          <w:bCs/>
        </w:rPr>
        <w:t>06904</w:t>
      </w:r>
      <w:r w:rsidR="008A6976">
        <w:rPr>
          <w:rFonts w:ascii="Palatino Linotype" w:hAnsi="Palatino Linotype" w:cs="Arial"/>
          <w:b/>
          <w:bCs/>
        </w:rPr>
        <w:t>/INFOEM/IP/RR/2019.</w:t>
      </w:r>
      <w:r w:rsidR="00A02EB1">
        <w:rPr>
          <w:rFonts w:ascii="Palatino Linotype" w:hAnsi="Palatino Linotype" w:cs="Arial"/>
          <w:b/>
          <w:bCs/>
          <w:spacing w:val="-20"/>
        </w:rPr>
        <w:t xml:space="preserve"> </w:t>
      </w:r>
    </w:p>
    <w:p w:rsidR="00A579D0" w:rsidRDefault="00A579D0" w:rsidP="00D97113">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sidR="008A6976">
        <w:rPr>
          <w:rFonts w:ascii="Palatino Linotype" w:hAnsi="Palatino Linotype" w:cs="Arial"/>
        </w:rPr>
        <w:t>el</w:t>
      </w:r>
      <w:r w:rsidRPr="00E42755">
        <w:rPr>
          <w:rFonts w:ascii="Palatino Linotype" w:hAnsi="Palatino Linotype" w:cs="Arial"/>
        </w:rPr>
        <w:t xml:space="preserve"> recurso</w:t>
      </w:r>
      <w:r w:rsidR="008A6976">
        <w:rPr>
          <w:rFonts w:ascii="Palatino Linotype" w:hAnsi="Palatino Linotype" w:cs="Arial"/>
        </w:rPr>
        <w:t xml:space="preserve"> </w:t>
      </w:r>
      <w:r w:rsidRPr="00E42755">
        <w:rPr>
          <w:rFonts w:ascii="Palatino Linotype" w:hAnsi="Palatino Linotype" w:cs="Arial"/>
        </w:rPr>
        <w:t xml:space="preserve">de revisión </w:t>
      </w:r>
      <w:r w:rsidR="00B54630">
        <w:rPr>
          <w:rFonts w:ascii="Palatino Linotype" w:hAnsi="Palatino Linotype" w:cs="Arial"/>
          <w:b/>
          <w:bCs/>
        </w:rPr>
        <w:t>06904</w:t>
      </w:r>
      <w:r w:rsidR="008A6976">
        <w:rPr>
          <w:rFonts w:ascii="Palatino Linotype" w:hAnsi="Palatino Linotype" w:cs="Arial"/>
          <w:b/>
          <w:bCs/>
        </w:rPr>
        <w:t>/INFOEM/IP/RR/2019</w:t>
      </w:r>
      <w:r w:rsidRPr="00A02EB1">
        <w:rPr>
          <w:rFonts w:ascii="Palatino Linotype" w:eastAsia="Calibri" w:hAnsi="Palatino Linotype" w:cs="Arial"/>
          <w:color w:val="000000"/>
        </w:rPr>
        <w:t>,</w:t>
      </w:r>
      <w:r>
        <w:rPr>
          <w:rFonts w:ascii="Palatino Linotype" w:eastAsia="Calibri" w:hAnsi="Palatino Linotype" w:cs="Arial"/>
          <w:b/>
          <w:color w:val="000000"/>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Pr>
          <w:rFonts w:ascii="Palatino Linotype" w:hAnsi="Palatino Linotype" w:cs="Arial"/>
          <w:b/>
        </w:rPr>
        <w:t>J</w:t>
      </w:r>
      <w:r w:rsidR="00B54630">
        <w:rPr>
          <w:rFonts w:ascii="Palatino Linotype" w:hAnsi="Palatino Linotype" w:cs="Arial"/>
          <w:b/>
        </w:rPr>
        <w:t>AVIER MARTÍNEZ CRUZ</w:t>
      </w:r>
      <w:r>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3B04FA" w:rsidRDefault="00A579D0" w:rsidP="00D97113">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las causas que </w:t>
      </w:r>
      <w:r w:rsidR="008A6976">
        <w:rPr>
          <w:rFonts w:ascii="Palatino Linotype" w:hAnsi="Palatino Linotype"/>
        </w:rPr>
        <w:t>dieron origen a</w:t>
      </w:r>
      <w:r>
        <w:rPr>
          <w:rFonts w:ascii="Palatino Linotype" w:hAnsi="Palatino Linotype"/>
        </w:rPr>
        <w:t>l recurso de revisión en comento; empero, estimo</w:t>
      </w:r>
      <w:r w:rsidRPr="00D93A88">
        <w:rPr>
          <w:rFonts w:ascii="Palatino Linotype" w:hAnsi="Palatino Linotype"/>
        </w:rPr>
        <w:t xml:space="preserve"> necesario precisar algunas consideraciones de hecho y de derecho</w:t>
      </w:r>
      <w:r w:rsidR="00B54630">
        <w:rPr>
          <w:rFonts w:ascii="Palatino Linotype" w:hAnsi="Palatino Linotype"/>
        </w:rPr>
        <w:t>, tocante al sentido de la resolución</w:t>
      </w:r>
      <w:r w:rsidRPr="00D93A88">
        <w:rPr>
          <w:rFonts w:ascii="Palatino Linotype" w:hAnsi="Palatino Linotype"/>
        </w:rPr>
        <w:t>.</w:t>
      </w:r>
    </w:p>
    <w:p w:rsidR="00A579D0" w:rsidRDefault="00A579D0" w:rsidP="00D97113">
      <w:pPr>
        <w:spacing w:before="100" w:beforeAutospacing="1" w:after="100" w:afterAutospacing="1" w:line="360" w:lineRule="auto"/>
        <w:ind w:right="49"/>
        <w:jc w:val="both"/>
        <w:rPr>
          <w:rFonts w:ascii="Palatino Linotype" w:hAnsi="Palatino Linotype"/>
        </w:rPr>
      </w:pPr>
      <w:r>
        <w:rPr>
          <w:rFonts w:ascii="Palatino Linotype" w:hAnsi="Palatino Linotype"/>
        </w:rPr>
        <w:t>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w:t>
      </w:r>
      <w:r w:rsidR="00F16298">
        <w:rPr>
          <w:rFonts w:ascii="Palatino Linotype" w:hAnsi="Palatino Linotype"/>
        </w:rPr>
        <w:t xml:space="preserve">esencialmente </w:t>
      </w:r>
      <w:r w:rsidR="00A02EB1">
        <w:rPr>
          <w:rFonts w:ascii="Palatino Linotype" w:hAnsi="Palatino Linotype"/>
        </w:rPr>
        <w:t>de</w:t>
      </w:r>
      <w:r>
        <w:rPr>
          <w:rFonts w:ascii="Palatino Linotype" w:hAnsi="Palatino Linotype"/>
        </w:rPr>
        <w:t xml:space="preserve">l </w:t>
      </w:r>
      <w:r w:rsidR="00B54630" w:rsidRPr="00B54630">
        <w:rPr>
          <w:rFonts w:ascii="Palatino Linotype" w:hAnsi="Palatino Linotype" w:cs="Arial"/>
          <w:b/>
        </w:rPr>
        <w:t>Sistema Municipal Para el Desarrollo Integral de la Familia de Tlalnepantla de Baz</w:t>
      </w:r>
      <w:r>
        <w:rPr>
          <w:rFonts w:ascii="Palatino Linotype" w:hAnsi="Palatino Linotype"/>
        </w:rPr>
        <w:t xml:space="preserve">, en lo sucesivo </w:t>
      </w:r>
      <w:r>
        <w:rPr>
          <w:rFonts w:ascii="Palatino Linotype" w:hAnsi="Palatino Linotype"/>
          <w:b/>
        </w:rPr>
        <w:t>EL S</w:t>
      </w:r>
      <w:r w:rsidRPr="008C0700">
        <w:rPr>
          <w:rFonts w:ascii="Palatino Linotype" w:hAnsi="Palatino Linotype"/>
          <w:b/>
        </w:rPr>
        <w:t>UJETO OBLIGADO</w:t>
      </w:r>
      <w:r w:rsidR="00B54630" w:rsidRPr="007E2F5D">
        <w:rPr>
          <w:rFonts w:ascii="Palatino Linotype" w:hAnsi="Palatino Linotype"/>
        </w:rPr>
        <w:t>,</w:t>
      </w:r>
      <w:r w:rsidR="00B54630">
        <w:rPr>
          <w:rFonts w:ascii="Palatino Linotype" w:hAnsi="Palatino Linotype"/>
          <w:b/>
        </w:rPr>
        <w:t xml:space="preserve"> </w:t>
      </w:r>
      <w:r w:rsidR="00B54630" w:rsidRPr="00B54630">
        <w:rPr>
          <w:rFonts w:ascii="Palatino Linotype" w:hAnsi="Palatino Linotype"/>
        </w:rPr>
        <w:t>los</w:t>
      </w:r>
      <w:r w:rsidR="00B54630">
        <w:rPr>
          <w:rFonts w:ascii="Palatino Linotype" w:hAnsi="Palatino Linotype"/>
          <w:b/>
        </w:rPr>
        <w:t xml:space="preserve"> </w:t>
      </w:r>
      <w:r w:rsidR="00B54630">
        <w:rPr>
          <w:rFonts w:ascii="Palatino Linotype" w:hAnsi="Palatino Linotype"/>
        </w:rPr>
        <w:t>d</w:t>
      </w:r>
      <w:r w:rsidR="00B54630" w:rsidRPr="00B54630">
        <w:rPr>
          <w:rFonts w:ascii="Palatino Linotype" w:hAnsi="Palatino Linotype"/>
        </w:rPr>
        <w:t xml:space="preserve">ocumentos que acrediten el cumplimiento de los artículos 47 </w:t>
      </w:r>
      <w:r w:rsidR="00B54630" w:rsidRPr="00B54630">
        <w:rPr>
          <w:rFonts w:ascii="Palatino Linotype" w:hAnsi="Palatino Linotype"/>
        </w:rPr>
        <w:lastRenderedPageBreak/>
        <w:t>fracción XIV, 47 a y 47 b del Código Financiero del Estado de México y Municipios de los años 2016, 2017, 2018</w:t>
      </w:r>
      <w:r w:rsidR="008A6976">
        <w:rPr>
          <w:rFonts w:ascii="Palatino Linotype" w:hAnsi="Palatino Linotype"/>
        </w:rPr>
        <w:t>.</w:t>
      </w:r>
      <w:r w:rsidR="00A02EB1">
        <w:rPr>
          <w:rFonts w:ascii="Palatino Linotype" w:hAnsi="Palatino Linotype"/>
        </w:rPr>
        <w:t xml:space="preserve"> </w:t>
      </w:r>
    </w:p>
    <w:p w:rsidR="00242A79" w:rsidRDefault="00A579D0" w:rsidP="00D97113">
      <w:pPr>
        <w:spacing w:before="100" w:beforeAutospacing="1" w:after="100" w:afterAutospacing="1" w:line="360" w:lineRule="auto"/>
        <w:jc w:val="both"/>
        <w:rPr>
          <w:rFonts w:ascii="Palatino Linotype" w:hAnsi="Palatino Linotype" w:cs="Arial"/>
        </w:rPr>
      </w:pPr>
      <w:r w:rsidRPr="00424511">
        <w:rPr>
          <w:rFonts w:ascii="Palatino Linotype" w:hAnsi="Palatino Linotype" w:cs="Arial"/>
        </w:rPr>
        <w:t xml:space="preserve">Del expediente electrónico del Sistema de Acceso a la Información Mexiquense, </w:t>
      </w:r>
      <w:r w:rsidRPr="00424511">
        <w:rPr>
          <w:rFonts w:ascii="Palatino Linotype" w:hAnsi="Palatino Linotype" w:cs="Arial"/>
          <w:b/>
        </w:rPr>
        <w:t>SAIMEX</w:t>
      </w:r>
      <w:r w:rsidRPr="00424511">
        <w:rPr>
          <w:rFonts w:ascii="Palatino Linotype" w:hAnsi="Palatino Linotype" w:cs="Arial"/>
        </w:rPr>
        <w:t>,</w:t>
      </w:r>
      <w:r w:rsidRPr="00424511">
        <w:rPr>
          <w:rFonts w:ascii="Palatino Linotype" w:hAnsi="Palatino Linotype" w:cs="Arial"/>
          <w:b/>
        </w:rPr>
        <w:t xml:space="preserve"> </w:t>
      </w:r>
      <w:r w:rsidRPr="00424511">
        <w:rPr>
          <w:rFonts w:ascii="Palatino Linotype" w:hAnsi="Palatino Linotype" w:cs="Arial"/>
        </w:rPr>
        <w:t xml:space="preserve">se puede apreciar que </w:t>
      </w:r>
      <w:r w:rsidRPr="00424511">
        <w:rPr>
          <w:rFonts w:ascii="Palatino Linotype" w:hAnsi="Palatino Linotype" w:cs="Arial"/>
          <w:b/>
        </w:rPr>
        <w:t>EL SUJETO OBLIGADO</w:t>
      </w:r>
      <w:r w:rsidRPr="00424511">
        <w:rPr>
          <w:rFonts w:ascii="Palatino Linotype" w:hAnsi="Palatino Linotype" w:cs="Arial"/>
        </w:rPr>
        <w:t xml:space="preserve"> en</w:t>
      </w:r>
      <w:r w:rsidR="00F16298" w:rsidRPr="00424511">
        <w:rPr>
          <w:rFonts w:ascii="Palatino Linotype" w:hAnsi="Palatino Linotype" w:cs="Arial"/>
        </w:rPr>
        <w:t xml:space="preserve"> su </w:t>
      </w:r>
      <w:r w:rsidRPr="00424511">
        <w:rPr>
          <w:rFonts w:ascii="Palatino Linotype" w:hAnsi="Palatino Linotype" w:cs="Arial"/>
        </w:rPr>
        <w:t>respuesta</w:t>
      </w:r>
      <w:r w:rsidR="00165B9C" w:rsidRPr="00424511">
        <w:rPr>
          <w:rFonts w:ascii="Palatino Linotype" w:hAnsi="Palatino Linotype" w:cs="Arial"/>
        </w:rPr>
        <w:t xml:space="preserve"> </w:t>
      </w:r>
      <w:r w:rsidR="00037F66" w:rsidRPr="00037F66">
        <w:rPr>
          <w:rFonts w:ascii="Palatino Linotype" w:hAnsi="Palatino Linotype" w:cs="Arial"/>
        </w:rPr>
        <w:t xml:space="preserve">adjuntó </w:t>
      </w:r>
      <w:r w:rsidR="00037F66">
        <w:rPr>
          <w:rFonts w:ascii="Palatino Linotype" w:hAnsi="Palatino Linotype" w:cs="Arial"/>
        </w:rPr>
        <w:t>el archivo</w:t>
      </w:r>
      <w:r w:rsidR="00037F66" w:rsidRPr="00037F66">
        <w:rPr>
          <w:rFonts w:ascii="Palatino Linotype" w:hAnsi="Palatino Linotype" w:cs="Arial"/>
        </w:rPr>
        <w:t xml:space="preserve"> electrónico denominado </w:t>
      </w:r>
      <w:r w:rsidR="00037F66" w:rsidRPr="00037F66">
        <w:rPr>
          <w:rFonts w:ascii="Palatino Linotype" w:hAnsi="Palatino Linotype" w:cs="Arial"/>
          <w:i/>
        </w:rPr>
        <w:t>“SAIMEX 00224.zip”</w:t>
      </w:r>
      <w:r w:rsidR="00037F66" w:rsidRPr="00037F66">
        <w:rPr>
          <w:rFonts w:ascii="Palatino Linotype" w:hAnsi="Palatino Linotype" w:cs="Arial"/>
        </w:rPr>
        <w:t xml:space="preserve">, en </w:t>
      </w:r>
      <w:r w:rsidR="00037F66">
        <w:rPr>
          <w:rFonts w:ascii="Palatino Linotype" w:hAnsi="Palatino Linotype" w:cs="Arial"/>
        </w:rPr>
        <w:t xml:space="preserve">el que </w:t>
      </w:r>
      <w:r w:rsidR="00242A79">
        <w:rPr>
          <w:rFonts w:ascii="Palatino Linotype" w:hAnsi="Palatino Linotype" w:cs="Arial"/>
        </w:rPr>
        <w:t>incluy</w:t>
      </w:r>
      <w:r w:rsidR="00401B7E">
        <w:rPr>
          <w:rFonts w:ascii="Palatino Linotype" w:hAnsi="Palatino Linotype" w:cs="Arial"/>
        </w:rPr>
        <w:t>ó</w:t>
      </w:r>
      <w:r w:rsidR="00242A79">
        <w:rPr>
          <w:rFonts w:ascii="Palatino Linotype" w:hAnsi="Palatino Linotype" w:cs="Arial"/>
        </w:rPr>
        <w:t xml:space="preserve"> diversos documentos con los cuales pretendió colmar el derecho de acceso a la información pública del particular. </w:t>
      </w:r>
    </w:p>
    <w:p w:rsidR="00A579D0" w:rsidRDefault="00A579D0" w:rsidP="00D9711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la respuesta, </w:t>
      </w:r>
      <w:r>
        <w:rPr>
          <w:rFonts w:ascii="Palatino Linotype" w:hAnsi="Palatino Linotype" w:cs="Arial"/>
          <w:b/>
        </w:rPr>
        <w:t xml:space="preserve">EL RECURRENTE </w:t>
      </w:r>
      <w:r w:rsidR="009573BD">
        <w:rPr>
          <w:rFonts w:ascii="Palatino Linotype" w:hAnsi="Palatino Linotype" w:cs="Arial"/>
        </w:rPr>
        <w:t>interpuso el</w:t>
      </w:r>
      <w:r w:rsidR="00165B9C">
        <w:rPr>
          <w:rFonts w:ascii="Palatino Linotype" w:hAnsi="Palatino Linotype" w:cs="Arial"/>
        </w:rPr>
        <w:t xml:space="preserve"> </w:t>
      </w:r>
      <w:r>
        <w:rPr>
          <w:rFonts w:ascii="Palatino Linotype" w:hAnsi="Palatino Linotype" w:cs="Arial"/>
        </w:rPr>
        <w:t>recurso de r</w:t>
      </w:r>
      <w:r w:rsidR="00165B9C">
        <w:rPr>
          <w:rFonts w:ascii="Palatino Linotype" w:hAnsi="Palatino Linotype" w:cs="Arial"/>
        </w:rPr>
        <w:t xml:space="preserve">evisión </w:t>
      </w:r>
      <w:r w:rsidR="005C25C4">
        <w:rPr>
          <w:rFonts w:ascii="Palatino Linotype" w:hAnsi="Palatino Linotype" w:cs="Arial"/>
        </w:rPr>
        <w:t>de mérito, señalando como acto impugnado lo siguiente:</w:t>
      </w:r>
    </w:p>
    <w:p w:rsidR="005C25C4" w:rsidRDefault="00ED4D32" w:rsidP="00ED4D32">
      <w:pPr>
        <w:spacing w:before="100" w:beforeAutospacing="1" w:after="100" w:afterAutospacing="1"/>
        <w:ind w:left="851" w:right="899"/>
        <w:jc w:val="both"/>
        <w:rPr>
          <w:rFonts w:ascii="Palatino Linotype" w:hAnsi="Palatino Linotype" w:cs="Arial"/>
        </w:rPr>
      </w:pPr>
      <w:r w:rsidRPr="00ED4D32">
        <w:rPr>
          <w:rFonts w:ascii="Palatino Linotype" w:hAnsi="Palatino Linotype"/>
          <w:i/>
          <w:sz w:val="22"/>
        </w:rPr>
        <w:t>“FUERON SOLICITADOS LOS DOCUMENTOS QUE ACREDITEN EL CUMPLIMIENTO DE LOS ARTÍCULOS 47 FRACCIÓN XIV, 47 A Y 47 B DEL CODIGO FINANCIERO DEL ESTADO DE MÉXICO Y MUNICIPIOS DE LOS AÑOS 2016</w:t>
      </w:r>
      <w:proofErr w:type="gramStart"/>
      <w:r w:rsidRPr="00ED4D32">
        <w:rPr>
          <w:rFonts w:ascii="Palatino Linotype" w:hAnsi="Palatino Linotype"/>
          <w:i/>
          <w:sz w:val="22"/>
        </w:rPr>
        <w:t>,2017,2018</w:t>
      </w:r>
      <w:proofErr w:type="gramEnd"/>
      <w:r w:rsidRPr="00ED4D32">
        <w:rPr>
          <w:rFonts w:ascii="Palatino Linotype" w:hAnsi="Palatino Linotype"/>
          <w:i/>
          <w:sz w:val="22"/>
        </w:rPr>
        <w:t xml:space="preserve">. </w:t>
      </w:r>
      <w:r w:rsidRPr="00ED4D32">
        <w:rPr>
          <w:rFonts w:ascii="Palatino Linotype" w:hAnsi="Palatino Linotype" w:cs="Arial"/>
          <w:i/>
          <w:sz w:val="22"/>
        </w:rPr>
        <w:t>(Sic)</w:t>
      </w:r>
    </w:p>
    <w:p w:rsidR="005C25C4" w:rsidRDefault="005C25C4" w:rsidP="00D9711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mismo, manifestó como razones o motivos de inconformidad: </w:t>
      </w:r>
    </w:p>
    <w:p w:rsidR="005C25C4" w:rsidRDefault="00ED4D32" w:rsidP="00ED4D32">
      <w:pPr>
        <w:spacing w:before="100" w:beforeAutospacing="1" w:after="100" w:afterAutospacing="1"/>
        <w:ind w:left="851" w:right="899"/>
        <w:jc w:val="both"/>
        <w:rPr>
          <w:rFonts w:ascii="Palatino Linotype" w:hAnsi="Palatino Linotype" w:cs="Arial"/>
        </w:rPr>
      </w:pPr>
      <w:r w:rsidRPr="00ED4D32">
        <w:rPr>
          <w:rFonts w:ascii="Palatino Linotype" w:hAnsi="Palatino Linotype" w:cs="Arial"/>
          <w:bCs/>
          <w:i/>
          <w:sz w:val="22"/>
        </w:rPr>
        <w:t>“</w:t>
      </w:r>
      <w:r w:rsidRPr="00ED4D32">
        <w:rPr>
          <w:rFonts w:ascii="Palatino Linotype" w:hAnsi="Palatino Linotype"/>
          <w:i/>
          <w:sz w:val="22"/>
        </w:rPr>
        <w:t>PARA EL EJERCICIO 2016 SOLO ANEXAN LOS DOCUMENTOS QUE COMPRENDEN LA POLIZA DE EGRESOS CON LA CUAL SE PAGO AL PRESTADOR DE SERVICIOS, SIN EMBARGO, NO ES ANEXADO EL DICTAMEN QUE VERDADERAMENTE REFLEJE EL CUMPLIMIENTO ASI COMO EL ACUSE DE ACEPTACIÓN DEL DICTAMEN NI EL ACUSE DE RECEPCIÓN ELECTRONICA, ADEMAS CABE MENCIONAR QUE LA CALIDAD DE LA DIGITALIZACION PARA TODOS LOS ARCHIVOS ES SUMAMENTE BAJA, POR LO QUE ME VEO TOTALMENTE IMPOSIBILITADO A DISTINGUIR LOS DATOS PLASMADOS EN EL DOCUMENTO “</w:t>
      </w:r>
      <w:r w:rsidRPr="00ED4D32">
        <w:rPr>
          <w:rFonts w:ascii="Palatino Linotype" w:hAnsi="Palatino Linotype" w:cs="Arial"/>
          <w:i/>
          <w:sz w:val="22"/>
        </w:rPr>
        <w:t>(Sic)</w:t>
      </w:r>
    </w:p>
    <w:p w:rsidR="00242A79" w:rsidRDefault="00DA03E3" w:rsidP="00242A79">
      <w:pPr>
        <w:spacing w:before="100" w:beforeAutospacing="1" w:after="100" w:afterAutospacing="1" w:line="360" w:lineRule="auto"/>
        <w:ind w:right="49"/>
        <w:jc w:val="both"/>
        <w:rPr>
          <w:rFonts w:ascii="Palatino Linotype" w:hAnsi="Palatino Linotype" w:cs="Arial"/>
        </w:rPr>
      </w:pPr>
      <w:r w:rsidRPr="00DA03E3">
        <w:rPr>
          <w:rFonts w:ascii="Palatino Linotype" w:hAnsi="Palatino Linotype" w:cs="Arial"/>
        </w:rPr>
        <w:lastRenderedPageBreak/>
        <w:t xml:space="preserve">Bajo esa tesitura, </w:t>
      </w:r>
      <w:r w:rsidRPr="00DA03E3">
        <w:rPr>
          <w:rFonts w:ascii="Palatino Linotype" w:hAnsi="Palatino Linotype" w:cs="Arial"/>
          <w:b/>
        </w:rPr>
        <w:t>EL SUJETO OBLIGADO</w:t>
      </w:r>
      <w:r w:rsidRPr="00DA03E3">
        <w:rPr>
          <w:rFonts w:ascii="Palatino Linotype" w:hAnsi="Palatino Linotype" w:cs="Arial"/>
        </w:rPr>
        <w:t xml:space="preserve"> rindió su Informe Justificado </w:t>
      </w:r>
      <w:r w:rsidR="00242A79">
        <w:rPr>
          <w:rFonts w:ascii="Palatino Linotype" w:hAnsi="Palatino Linotype" w:cs="Arial"/>
        </w:rPr>
        <w:t xml:space="preserve">en el que se </w:t>
      </w:r>
      <w:r w:rsidR="00401B7E">
        <w:rPr>
          <w:rFonts w:ascii="Palatino Linotype" w:hAnsi="Palatino Linotype" w:cs="Arial"/>
        </w:rPr>
        <w:t>señaló</w:t>
      </w:r>
      <w:r w:rsidR="00242A79">
        <w:rPr>
          <w:rFonts w:ascii="Palatino Linotype" w:hAnsi="Palatino Linotype" w:cs="Arial"/>
        </w:rPr>
        <w:t xml:space="preserve"> la procedencia del cambio de</w:t>
      </w:r>
      <w:r w:rsidR="00242A79" w:rsidRPr="00037F66">
        <w:rPr>
          <w:rFonts w:ascii="Palatino Linotype" w:hAnsi="Palatino Linotype" w:cs="Arial"/>
        </w:rPr>
        <w:t xml:space="preserve"> la modalidad de entrega, argumentando mediante su oficio de fecha 06 de septiembre de 2019, se determinaba poner a disposición del particular la información peticionada.</w:t>
      </w:r>
    </w:p>
    <w:p w:rsidR="00424511" w:rsidRDefault="00A579D0" w:rsidP="00D97113">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24511">
        <w:rPr>
          <w:rFonts w:ascii="Palatino Linotype" w:hAnsi="Palatino Linotype" w:cs="Arial"/>
          <w:b/>
        </w:rPr>
        <w:t>MODIFICAR</w:t>
      </w:r>
      <w:r>
        <w:rPr>
          <w:rFonts w:ascii="Palatino Linotype" w:hAnsi="Palatino Linotype" w:cs="Arial"/>
          <w:b/>
        </w:rPr>
        <w:t xml:space="preserve"> </w:t>
      </w:r>
      <w:r>
        <w:rPr>
          <w:rFonts w:ascii="Palatino Linotype" w:hAnsi="Palatino Linotype" w:cs="Arial"/>
        </w:rPr>
        <w:t>la respuesta</w:t>
      </w:r>
      <w:r w:rsidR="00CC7475">
        <w:rPr>
          <w:rFonts w:ascii="Palatino Linotype" w:hAnsi="Palatino Linotype" w:cs="Arial"/>
        </w:rPr>
        <w:t xml:space="preserve"> </w:t>
      </w:r>
      <w:r>
        <w:rPr>
          <w:rFonts w:ascii="Palatino Linotype" w:hAnsi="Palatino Linotype" w:cs="Arial"/>
        </w:rPr>
        <w:t xml:space="preserve">del </w:t>
      </w:r>
      <w:r w:rsidRPr="00242018">
        <w:rPr>
          <w:rFonts w:ascii="Palatino Linotype" w:hAnsi="Palatino Linotype" w:cs="Arial"/>
          <w:b/>
        </w:rPr>
        <w:t>SUJETO OBLIGADO</w:t>
      </w:r>
      <w:r>
        <w:rPr>
          <w:rFonts w:ascii="Palatino Linotype" w:hAnsi="Palatino Linotype" w:cs="Arial"/>
        </w:rPr>
        <w:t xml:space="preserve"> </w:t>
      </w:r>
      <w:r w:rsidR="00242A79">
        <w:rPr>
          <w:rFonts w:ascii="Palatino Linotype" w:hAnsi="Palatino Linotype" w:cs="Arial"/>
        </w:rPr>
        <w:t xml:space="preserve">ordenando la entrega vía SAIMEX, </w:t>
      </w:r>
      <w:r w:rsidR="009573BD">
        <w:rPr>
          <w:rFonts w:ascii="Palatino Linotype" w:eastAsia="Calibri" w:hAnsi="Palatino Linotype" w:cs="Arial"/>
        </w:rPr>
        <w:t xml:space="preserve">en </w:t>
      </w:r>
      <w:r w:rsidR="0027786A">
        <w:rPr>
          <w:rFonts w:ascii="Palatino Linotype" w:eastAsia="Calibri" w:hAnsi="Palatino Linotype" w:cs="Arial"/>
        </w:rPr>
        <w:t>versión pública</w:t>
      </w:r>
      <w:r w:rsidR="00242A79">
        <w:rPr>
          <w:rFonts w:ascii="Palatino Linotype" w:eastAsia="Calibri" w:hAnsi="Palatino Linotype" w:cs="Arial"/>
        </w:rPr>
        <w:t xml:space="preserve">, de lo siguiente: </w:t>
      </w:r>
    </w:p>
    <w:p w:rsidR="00242A79" w:rsidRPr="00242A79" w:rsidRDefault="00242A79" w:rsidP="00242A79">
      <w:pPr>
        <w:pStyle w:val="Prrafodelista"/>
        <w:numPr>
          <w:ilvl w:val="0"/>
          <w:numId w:val="12"/>
        </w:numPr>
        <w:tabs>
          <w:tab w:val="left" w:pos="1134"/>
          <w:tab w:val="left" w:pos="8505"/>
        </w:tabs>
        <w:ind w:left="851" w:right="902" w:firstLine="0"/>
        <w:jc w:val="both"/>
        <w:rPr>
          <w:rFonts w:ascii="Palatino Linotype" w:eastAsia="Calibri" w:hAnsi="Palatino Linotype" w:cs="Arial"/>
          <w:i/>
          <w:sz w:val="22"/>
        </w:rPr>
      </w:pPr>
      <w:r w:rsidRPr="00242A79">
        <w:rPr>
          <w:rFonts w:ascii="Palatino Linotype" w:eastAsia="Calibri" w:hAnsi="Palatino Linotype" w:cs="Arial"/>
          <w:i/>
          <w:sz w:val="22"/>
        </w:rPr>
        <w:t>Los documentos que acrediten el cumplimiento de los artículos 47 fracción xiv, 47 a y 47 b del Código Financiero del Estado de México y Municipios de los años 2016, 2017, 2018.</w:t>
      </w:r>
    </w:p>
    <w:p w:rsidR="00242A79" w:rsidRDefault="00242A79" w:rsidP="00242A79">
      <w:pPr>
        <w:tabs>
          <w:tab w:val="left" w:pos="851"/>
          <w:tab w:val="left" w:pos="8505"/>
        </w:tabs>
        <w:ind w:left="851" w:right="902"/>
        <w:jc w:val="both"/>
        <w:rPr>
          <w:rFonts w:ascii="Palatino Linotype" w:eastAsia="Calibri" w:hAnsi="Palatino Linotype" w:cs="Arial"/>
          <w:i/>
          <w:sz w:val="22"/>
          <w:lang w:val="es-ES_tradnl"/>
        </w:rPr>
      </w:pPr>
    </w:p>
    <w:p w:rsidR="00CC7475" w:rsidRPr="00CC7475" w:rsidRDefault="00242A79" w:rsidP="00242A79">
      <w:pPr>
        <w:tabs>
          <w:tab w:val="left" w:pos="851"/>
          <w:tab w:val="left" w:pos="8505"/>
        </w:tabs>
        <w:ind w:left="851" w:right="902"/>
        <w:jc w:val="both"/>
        <w:rPr>
          <w:rFonts w:ascii="Palatino Linotype" w:hAnsi="Palatino Linotype"/>
          <w:b/>
          <w:i/>
          <w:color w:val="222222"/>
          <w:sz w:val="22"/>
          <w:szCs w:val="22"/>
          <w:shd w:val="clear" w:color="auto" w:fill="FFFFFF"/>
        </w:rPr>
      </w:pPr>
      <w:r w:rsidRPr="00242A79">
        <w:rPr>
          <w:rFonts w:ascii="Palatino Linotype" w:eastAsia="Calibri" w:hAnsi="Palatino Linotype" w:cs="Arial"/>
          <w:i/>
          <w:sz w:val="22"/>
          <w:lang w:val="es-ES_tradnl"/>
        </w:rPr>
        <w:t>Para la entrega de la información en versión pública, se deberá emitir el Acuerdo del Comité de Transparencia de acuerdo con la Ley de Transparencia y Acceso a la Información Pública del Estado de México y Municipios, en el que funden y motiven las razones sobre los datos que se supriman, mismo que también hará de conocimiento del particular</w:t>
      </w:r>
      <w:proofErr w:type="gramStart"/>
      <w:r w:rsidRPr="00242A79">
        <w:rPr>
          <w:rFonts w:ascii="Palatino Linotype" w:eastAsia="Calibri" w:hAnsi="Palatino Linotype" w:cs="Arial"/>
          <w:i/>
          <w:sz w:val="22"/>
          <w:lang w:val="es-ES_tradnl"/>
        </w:rPr>
        <w:t>.</w:t>
      </w:r>
      <w:r w:rsidR="009573BD" w:rsidRPr="009573BD">
        <w:rPr>
          <w:rFonts w:ascii="Palatino Linotype" w:eastAsia="Calibri" w:hAnsi="Palatino Linotype" w:cs="Arial"/>
          <w:i/>
          <w:sz w:val="22"/>
          <w:lang w:val="es-ES_tradnl"/>
        </w:rPr>
        <w:t>.</w:t>
      </w:r>
      <w:proofErr w:type="gramEnd"/>
    </w:p>
    <w:p w:rsidR="00A25A98" w:rsidRDefault="00A25A98" w:rsidP="00A25A98">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w:t>
      </w:r>
      <w:r>
        <w:rPr>
          <w:rFonts w:ascii="Palatino Linotype" w:hAnsi="Palatino Linotype"/>
        </w:rPr>
        <w:t xml:space="preserve">suscrita reitera que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b/>
        </w:rPr>
        <w:t>MODIFICAR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 xml:space="preserve">o anterior es así, de acuerdo con lo siguiente. </w:t>
      </w:r>
    </w:p>
    <w:p w:rsidR="00A25A98" w:rsidRPr="009D3429" w:rsidRDefault="00A25A98" w:rsidP="00A25A98">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A25A98" w:rsidRPr="00426B32" w:rsidRDefault="00A25A98" w:rsidP="00A25A98">
      <w:pPr>
        <w:pStyle w:val="Prrafodelista"/>
        <w:numPr>
          <w:ilvl w:val="0"/>
          <w:numId w:val="1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 xml:space="preserve">Desechar o sobreseer el recurso; </w:t>
      </w:r>
    </w:p>
    <w:p w:rsidR="00A25A98" w:rsidRPr="00426B32" w:rsidRDefault="00A25A98" w:rsidP="00A25A98">
      <w:pPr>
        <w:pStyle w:val="Prrafodelista"/>
        <w:numPr>
          <w:ilvl w:val="0"/>
          <w:numId w:val="1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 xml:space="preserve">Confirmar la respuesta del sujeto obligado; </w:t>
      </w:r>
    </w:p>
    <w:p w:rsidR="00A25A98" w:rsidRPr="00426B32" w:rsidRDefault="00A25A98" w:rsidP="00A25A98">
      <w:pPr>
        <w:pStyle w:val="Prrafodelista"/>
        <w:numPr>
          <w:ilvl w:val="0"/>
          <w:numId w:val="1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b/>
          <w:i/>
          <w:sz w:val="22"/>
        </w:rPr>
        <w:lastRenderedPageBreak/>
        <w:t>Revocar o modificar la respuesta del sujeto obligado</w:t>
      </w:r>
      <w:r w:rsidRPr="00426B32">
        <w:rPr>
          <w:rFonts w:ascii="Palatino Linotype" w:hAnsi="Palatino Linotype"/>
          <w:i/>
          <w:sz w:val="22"/>
        </w:rPr>
        <w:t xml:space="preserve">; y </w:t>
      </w:r>
    </w:p>
    <w:p w:rsidR="00A25A98" w:rsidRPr="00426B32" w:rsidRDefault="00A25A98" w:rsidP="00A25A98">
      <w:pPr>
        <w:pStyle w:val="Prrafodelista"/>
        <w:numPr>
          <w:ilvl w:val="0"/>
          <w:numId w:val="1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Ordenar la entrega de la información.</w:t>
      </w:r>
    </w:p>
    <w:p w:rsidR="00A25A98" w:rsidRPr="009D3429" w:rsidRDefault="00A25A98" w:rsidP="00A25A98">
      <w:pPr>
        <w:tabs>
          <w:tab w:val="left" w:pos="8789"/>
        </w:tabs>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ED4D32" w:rsidRDefault="00A25A98" w:rsidP="00A25A98">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es de advertir que </w:t>
      </w:r>
      <w:r w:rsidRPr="00F25E49">
        <w:rPr>
          <w:rFonts w:ascii="Palatino Linotype" w:hAnsi="Palatino Linotype"/>
          <w:b/>
        </w:rPr>
        <w:t>EL SUJETO OBLIGADO</w:t>
      </w:r>
      <w:r>
        <w:rPr>
          <w:rFonts w:ascii="Palatino Linotype" w:hAnsi="Palatino Linotype"/>
        </w:rPr>
        <w:t xml:space="preserve"> no colmó ni total ni parcialmente el derecho de acceso a la información de</w:t>
      </w:r>
      <w:r w:rsidR="00DA03E3">
        <w:rPr>
          <w:rFonts w:ascii="Palatino Linotype" w:hAnsi="Palatino Linotype"/>
        </w:rPr>
        <w:t>l</w:t>
      </w:r>
      <w:r>
        <w:rPr>
          <w:rFonts w:ascii="Palatino Linotype" w:hAnsi="Palatino Linotype"/>
        </w:rPr>
        <w:t xml:space="preserve"> solicitante para considerar que el sentido deba ser un </w:t>
      </w:r>
      <w:r w:rsidRPr="00D436C1">
        <w:rPr>
          <w:rFonts w:ascii="Palatino Linotype" w:hAnsi="Palatino Linotype"/>
          <w:b/>
        </w:rPr>
        <w:t>MODIFICA</w:t>
      </w:r>
      <w:r w:rsidRPr="00590E49">
        <w:rPr>
          <w:rFonts w:ascii="Palatino Linotype" w:hAnsi="Palatino Linotype"/>
        </w:rPr>
        <w:t>;</w:t>
      </w:r>
      <w:r>
        <w:rPr>
          <w:rFonts w:ascii="Palatino Linotype" w:hAnsi="Palatino Linotype"/>
        </w:rPr>
        <w:t xml:space="preserve"> lo ante</w:t>
      </w:r>
      <w:r w:rsidR="005C25C4">
        <w:rPr>
          <w:rFonts w:ascii="Palatino Linotype" w:hAnsi="Palatino Linotype"/>
        </w:rPr>
        <w:t xml:space="preserve">rior, toma sentido en razón de que </w:t>
      </w:r>
      <w:r w:rsidR="005C25C4" w:rsidRPr="005C25C4">
        <w:rPr>
          <w:rFonts w:ascii="Palatino Linotype" w:hAnsi="Palatino Linotype"/>
          <w:b/>
        </w:rPr>
        <w:t>EL SUJETO OBLIGADO</w:t>
      </w:r>
      <w:r w:rsidR="005C25C4">
        <w:rPr>
          <w:rFonts w:ascii="Palatino Linotype" w:hAnsi="Palatino Linotype"/>
        </w:rPr>
        <w:t xml:space="preserve"> </w:t>
      </w:r>
      <w:r w:rsidR="00DA03E3">
        <w:rPr>
          <w:rFonts w:ascii="Palatino Linotype" w:hAnsi="Palatino Linotype"/>
        </w:rPr>
        <w:t xml:space="preserve">en su respuesta únicamente se limitó a </w:t>
      </w:r>
      <w:r w:rsidR="005C25C4">
        <w:rPr>
          <w:rFonts w:ascii="Palatino Linotype" w:hAnsi="Palatino Linotype"/>
        </w:rPr>
        <w:t xml:space="preserve">adjuntar </w:t>
      </w:r>
      <w:r w:rsidR="00044237">
        <w:rPr>
          <w:rFonts w:ascii="Palatino Linotype" w:hAnsi="Palatino Linotype"/>
        </w:rPr>
        <w:t xml:space="preserve">los documentos en los que se </w:t>
      </w:r>
      <w:r w:rsidR="00ED4D32">
        <w:rPr>
          <w:rFonts w:ascii="Palatino Linotype" w:hAnsi="Palatino Linotype"/>
        </w:rPr>
        <w:t>pueden advertir</w:t>
      </w:r>
      <w:r w:rsidR="00044237">
        <w:rPr>
          <w:rFonts w:ascii="Palatino Linotype" w:hAnsi="Palatino Linotype"/>
        </w:rPr>
        <w:t xml:space="preserve"> pólizas</w:t>
      </w:r>
      <w:r w:rsidR="00ED4D32">
        <w:rPr>
          <w:rFonts w:ascii="Palatino Linotype" w:hAnsi="Palatino Linotype"/>
        </w:rPr>
        <w:t xml:space="preserve"> de egresos; sin embargo, dichos</w:t>
      </w:r>
      <w:r w:rsidR="005C25C4">
        <w:rPr>
          <w:rFonts w:ascii="Palatino Linotype" w:hAnsi="Palatino Linotype"/>
        </w:rPr>
        <w:t xml:space="preserve"> documentos </w:t>
      </w:r>
      <w:r w:rsidR="00ED4D32">
        <w:rPr>
          <w:rFonts w:ascii="Palatino Linotype" w:hAnsi="Palatino Linotype"/>
        </w:rPr>
        <w:t xml:space="preserve">se encuentran </w:t>
      </w:r>
      <w:r w:rsidR="00ED4D32" w:rsidRPr="00ED4D32">
        <w:rPr>
          <w:rFonts w:ascii="Palatino Linotype" w:hAnsi="Palatino Linotype"/>
        </w:rPr>
        <w:t>incomprensible</w:t>
      </w:r>
      <w:r w:rsidR="00ED4D32">
        <w:rPr>
          <w:rFonts w:ascii="Palatino Linotype" w:hAnsi="Palatino Linotype"/>
        </w:rPr>
        <w:t>s</w:t>
      </w:r>
      <w:r w:rsidR="00ED4D32" w:rsidRPr="00ED4D32">
        <w:rPr>
          <w:rFonts w:ascii="Palatino Linotype" w:hAnsi="Palatino Linotype"/>
        </w:rPr>
        <w:t xml:space="preserve"> para su visualización y su tratamiento, limitando así el derecho del particular de conocer con exactitud los datos contenidos en éstas, razón por la que, no se comparte el sentido de la resolución en comento, pues a criterio de</w:t>
      </w:r>
      <w:r w:rsidR="00ED4D32">
        <w:rPr>
          <w:rFonts w:ascii="Palatino Linotype" w:hAnsi="Palatino Linotype"/>
        </w:rPr>
        <w:t xml:space="preserve"> la suscrita lo manifestado por</w:t>
      </w:r>
      <w:r w:rsidR="00ED4D32" w:rsidRPr="00ED4D32">
        <w:rPr>
          <w:rFonts w:ascii="Palatino Linotype" w:hAnsi="Palatino Linotype"/>
        </w:rPr>
        <w:t xml:space="preserve"> </w:t>
      </w:r>
      <w:r w:rsidR="00ED4D32" w:rsidRPr="00ED4D32">
        <w:rPr>
          <w:rFonts w:ascii="Palatino Linotype" w:hAnsi="Palatino Linotype"/>
          <w:b/>
        </w:rPr>
        <w:t>EL SUJETO OBLIGADO</w:t>
      </w:r>
      <w:r w:rsidR="00ED4D32" w:rsidRPr="00ED4D32">
        <w:rPr>
          <w:rFonts w:ascii="Palatino Linotype" w:hAnsi="Palatino Linotype"/>
        </w:rPr>
        <w:t xml:space="preserve"> en respuesta no colma lo solicitado por </w:t>
      </w:r>
      <w:r w:rsidR="00ED4D32" w:rsidRPr="00ED4D32">
        <w:rPr>
          <w:rFonts w:ascii="Palatino Linotype" w:hAnsi="Palatino Linotype"/>
          <w:b/>
        </w:rPr>
        <w:t>EL RECURRENTE</w:t>
      </w:r>
      <w:r w:rsidR="00ED4D32">
        <w:rPr>
          <w:rFonts w:ascii="Palatino Linotype" w:hAnsi="Palatino Linotype"/>
          <w:b/>
        </w:rPr>
        <w:t>.</w:t>
      </w:r>
    </w:p>
    <w:p w:rsidR="00F43A54" w:rsidRPr="00CB6BEB" w:rsidRDefault="00F43A54" w:rsidP="00F43A54">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ese contexto, la que suscribe emite </w:t>
      </w:r>
      <w:r w:rsidRPr="009D3429">
        <w:rPr>
          <w:rFonts w:ascii="Palatino Linotype" w:hAnsi="Palatino Linotype"/>
          <w:b/>
        </w:rPr>
        <w:t>VOTO PARTICULAR</w:t>
      </w:r>
      <w:r w:rsidRPr="009D3429">
        <w:rPr>
          <w:rFonts w:ascii="Palatino Linotype" w:hAnsi="Palatino Linotype"/>
        </w:rPr>
        <w:t xml:space="preserve"> ya que lo anterior, resulta aún más evidente debido a que </w:t>
      </w:r>
      <w:r w:rsidR="00E03516">
        <w:rPr>
          <w:rFonts w:ascii="Palatino Linotype" w:hAnsi="Palatino Linotype"/>
        </w:rPr>
        <w:t xml:space="preserve">en </w:t>
      </w:r>
      <w:r w:rsidRPr="009D3429">
        <w:rPr>
          <w:rFonts w:ascii="Palatino Linotype" w:hAnsi="Palatino Linotype"/>
        </w:rPr>
        <w:t>el proyecto sometido a votación del Pleno</w:t>
      </w:r>
      <w:r w:rsidR="00E03516">
        <w:rPr>
          <w:rFonts w:ascii="Palatino Linotype" w:hAnsi="Palatino Linotype"/>
        </w:rPr>
        <w:t xml:space="preserve">, la Ponencia </w:t>
      </w:r>
      <w:proofErr w:type="spellStart"/>
      <w:r w:rsidR="00E03516">
        <w:rPr>
          <w:rFonts w:ascii="Palatino Linotype" w:hAnsi="Palatino Linotype"/>
        </w:rPr>
        <w:t>Resolutora</w:t>
      </w:r>
      <w:proofErr w:type="spellEnd"/>
      <w:r w:rsidRPr="009D3429">
        <w:rPr>
          <w:rFonts w:ascii="Palatino Linotype" w:hAnsi="Palatino Linotype"/>
        </w:rPr>
        <w:t xml:space="preserve"> planteó establecer la entrega a</w:t>
      </w:r>
      <w:r>
        <w:rPr>
          <w:rFonts w:ascii="Palatino Linotype" w:hAnsi="Palatino Linotype"/>
        </w:rPr>
        <w:t>l</w:t>
      </w:r>
      <w:r w:rsidRPr="009D3429">
        <w:rPr>
          <w:rFonts w:ascii="Palatino Linotype" w:hAnsi="Palatino Linotype"/>
        </w:rPr>
        <w:t xml:space="preserve"> </w:t>
      </w:r>
      <w:r w:rsidRPr="009D3429">
        <w:rPr>
          <w:rFonts w:ascii="Palatino Linotype" w:hAnsi="Palatino Linotype"/>
          <w:b/>
        </w:rPr>
        <w:t>RECURRENTE</w:t>
      </w:r>
      <w:r>
        <w:rPr>
          <w:rFonts w:ascii="Palatino Linotype" w:hAnsi="Palatino Linotype"/>
        </w:rPr>
        <w:t xml:space="preserve"> de la totalidad de la información que no fue remitida en respuesta a la solicitud; por lo que se advierte </w:t>
      </w:r>
      <w:r>
        <w:rPr>
          <w:rFonts w:ascii="Palatino Linotype" w:hAnsi="Palatino Linotype"/>
        </w:rPr>
        <w:lastRenderedPageBreak/>
        <w:t xml:space="preserve">que </w:t>
      </w:r>
      <w:r w:rsidRPr="00824B10">
        <w:rPr>
          <w:rFonts w:ascii="Palatino Linotype" w:hAnsi="Palatino Linotype"/>
          <w:b/>
        </w:rPr>
        <w:t>EL SUJETO OBLIGADO</w:t>
      </w:r>
      <w:r>
        <w:rPr>
          <w:rFonts w:ascii="Palatino Linotype" w:hAnsi="Palatino Linotype"/>
        </w:rPr>
        <w:t xml:space="preserve"> no colmó ni total ni parcialmente lo requerido; por lo tanto, se reitera que</w:t>
      </w:r>
      <w:r w:rsidRPr="009D3429">
        <w:rPr>
          <w:rFonts w:ascii="Palatino Linotype" w:hAnsi="Palatino Linotype" w:cs="Arial"/>
        </w:rPr>
        <w:t xml:space="preserve">, lo conducente era </w:t>
      </w:r>
      <w:r w:rsidRPr="009D3429">
        <w:rPr>
          <w:rFonts w:ascii="Palatino Linotype" w:hAnsi="Palatino Linotype" w:cs="Arial"/>
          <w:b/>
        </w:rPr>
        <w:t>REVOCAR</w:t>
      </w:r>
      <w:r w:rsidRPr="009D3429">
        <w:rPr>
          <w:rFonts w:ascii="Palatino Linotype" w:hAnsi="Palatino Linotype" w:cs="Arial"/>
        </w:rPr>
        <w:t xml:space="preserve"> la respuesta del </w:t>
      </w:r>
      <w:r w:rsidRPr="009D3429">
        <w:rPr>
          <w:rFonts w:ascii="Palatino Linotype" w:hAnsi="Palatino Linotype" w:cs="Arial"/>
          <w:b/>
        </w:rPr>
        <w:t>SUJETO OBLIGADO</w:t>
      </w:r>
      <w:r>
        <w:rPr>
          <w:rFonts w:ascii="Palatino Linotype" w:hAnsi="Palatino Linotype" w:cs="Arial"/>
        </w:rPr>
        <w:t>.</w:t>
      </w:r>
    </w:p>
    <w:p w:rsidR="00C23B43" w:rsidRDefault="00C23B43" w:rsidP="00D97113">
      <w:pPr>
        <w:jc w:val="both"/>
        <w:rPr>
          <w:sz w:val="28"/>
        </w:rPr>
      </w:pPr>
    </w:p>
    <w:p w:rsidR="00F43A54" w:rsidRDefault="00F43A54" w:rsidP="00D97113">
      <w:pPr>
        <w:jc w:val="both"/>
        <w:rPr>
          <w:sz w:val="28"/>
        </w:rPr>
      </w:pPr>
    </w:p>
    <w:tbl>
      <w:tblPr>
        <w:tblW w:w="2896" w:type="dxa"/>
        <w:jc w:val="center"/>
        <w:tblLayout w:type="fixed"/>
        <w:tblLook w:val="04A0" w:firstRow="1" w:lastRow="0" w:firstColumn="1" w:lastColumn="0" w:noHBand="0" w:noVBand="1"/>
      </w:tblPr>
      <w:tblGrid>
        <w:gridCol w:w="2896"/>
      </w:tblGrid>
      <w:tr w:rsidR="00F43A54" w:rsidRPr="009D3429" w:rsidTr="000D5597">
        <w:trPr>
          <w:trHeight w:val="913"/>
          <w:jc w:val="center"/>
        </w:trPr>
        <w:tc>
          <w:tcPr>
            <w:tcW w:w="2896" w:type="dxa"/>
            <w:vAlign w:val="center"/>
          </w:tcPr>
          <w:p w:rsidR="00E03516" w:rsidRDefault="00E03516"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ED4D32" w:rsidRDefault="00ED4D32" w:rsidP="000D5597">
            <w:pPr>
              <w:jc w:val="center"/>
              <w:rPr>
                <w:rFonts w:ascii="Palatino Linotype" w:hAnsi="Palatino Linotype" w:cs="Arial"/>
                <w:b/>
              </w:rPr>
            </w:pPr>
          </w:p>
          <w:p w:rsidR="00F43A54" w:rsidRPr="009D3429" w:rsidRDefault="00F43A54" w:rsidP="000D5597">
            <w:pPr>
              <w:jc w:val="center"/>
              <w:rPr>
                <w:rFonts w:ascii="Palatino Linotype" w:hAnsi="Palatino Linotype" w:cs="Arial"/>
                <w:b/>
              </w:rPr>
            </w:pPr>
            <w:r w:rsidRPr="009D3429">
              <w:rPr>
                <w:rFonts w:ascii="Palatino Linotype" w:hAnsi="Palatino Linotype" w:cs="Arial"/>
                <w:b/>
              </w:rPr>
              <w:t>EVA ABAID YAPUR</w:t>
            </w:r>
          </w:p>
          <w:p w:rsidR="00F43A54" w:rsidRDefault="00F43A54" w:rsidP="007E2F5D">
            <w:pPr>
              <w:jc w:val="center"/>
              <w:rPr>
                <w:rFonts w:ascii="Palatino Linotype" w:hAnsi="Palatino Linotype" w:cs="Arial"/>
                <w:b/>
              </w:rPr>
            </w:pPr>
            <w:r w:rsidRPr="009D3429">
              <w:rPr>
                <w:rFonts w:ascii="Palatino Linotype" w:hAnsi="Palatino Linotype" w:cs="Arial"/>
                <w:b/>
              </w:rPr>
              <w:t>COMISIONADA</w:t>
            </w:r>
          </w:p>
          <w:p w:rsidR="00F95864" w:rsidRPr="009D3429" w:rsidRDefault="00F95864" w:rsidP="007E2F5D">
            <w:pPr>
              <w:jc w:val="center"/>
              <w:rPr>
                <w:rFonts w:ascii="Palatino Linotype" w:hAnsi="Palatino Linotype" w:cs="Arial"/>
                <w:b/>
              </w:rPr>
            </w:pPr>
            <w:r>
              <w:rPr>
                <w:rFonts w:ascii="Palatino Linotype" w:hAnsi="Palatino Linotype" w:cs="Arial"/>
                <w:b/>
              </w:rPr>
              <w:t>(RÚBRICA)</w:t>
            </w:r>
          </w:p>
        </w:tc>
      </w:tr>
    </w:tbl>
    <w:p w:rsidR="00E03516" w:rsidRDefault="00E03516"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bookmarkStart w:id="0" w:name="_GoBack"/>
      <w:bookmarkEnd w:id="0"/>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7E2F5D" w:rsidRDefault="007E2F5D" w:rsidP="00F43A54">
      <w:pPr>
        <w:jc w:val="both"/>
        <w:rPr>
          <w:rFonts w:ascii="Palatino Linotype" w:eastAsia="Calibri" w:hAnsi="Palatino Linotype" w:cs="Arial"/>
          <w:color w:val="000000" w:themeColor="text1"/>
          <w:sz w:val="20"/>
        </w:rPr>
      </w:pPr>
    </w:p>
    <w:p w:rsidR="00ED4D32" w:rsidRDefault="00ED4D32" w:rsidP="00F43A54">
      <w:pPr>
        <w:jc w:val="both"/>
        <w:rPr>
          <w:rFonts w:ascii="Palatino Linotype" w:eastAsia="Calibri" w:hAnsi="Palatino Linotype" w:cs="Arial"/>
          <w:color w:val="000000" w:themeColor="text1"/>
          <w:sz w:val="20"/>
        </w:rPr>
      </w:pPr>
    </w:p>
    <w:p w:rsidR="00F43A54" w:rsidRDefault="00F43A54" w:rsidP="00F43A54">
      <w:pPr>
        <w:jc w:val="both"/>
        <w:rPr>
          <w:rFonts w:ascii="Palatino Linotype" w:eastAsia="Calibri" w:hAnsi="Palatino Linotype" w:cs="Arial"/>
          <w:color w:val="000000" w:themeColor="text1"/>
          <w:sz w:val="20"/>
        </w:rPr>
      </w:pPr>
      <w:r w:rsidRPr="0035687B">
        <w:rPr>
          <w:rFonts w:ascii="Palatino Linotype" w:eastAsia="Calibri" w:hAnsi="Palatino Linotype" w:cs="Arial"/>
          <w:color w:val="000000" w:themeColor="text1"/>
          <w:sz w:val="20"/>
        </w:rPr>
        <w:t xml:space="preserve">Esta hoja corresponde al voto particular emitido en </w:t>
      </w:r>
      <w:r>
        <w:rPr>
          <w:rFonts w:ascii="Palatino Linotype" w:eastAsia="Calibri" w:hAnsi="Palatino Linotype" w:cs="Arial"/>
          <w:color w:val="000000" w:themeColor="text1"/>
          <w:sz w:val="20"/>
        </w:rPr>
        <w:t>la resolución d</w:t>
      </w:r>
      <w:r w:rsidRPr="0035687B">
        <w:rPr>
          <w:rFonts w:ascii="Palatino Linotype" w:eastAsia="Calibri" w:hAnsi="Palatino Linotype" w:cs="Arial"/>
          <w:color w:val="000000" w:themeColor="text1"/>
          <w:sz w:val="20"/>
        </w:rPr>
        <w:t xml:space="preserve">el </w:t>
      </w:r>
      <w:r w:rsidR="00E03516" w:rsidRPr="0035687B">
        <w:rPr>
          <w:rFonts w:ascii="Palatino Linotype" w:eastAsia="Calibri" w:hAnsi="Palatino Linotype" w:cs="Arial"/>
          <w:color w:val="000000" w:themeColor="text1"/>
          <w:sz w:val="20"/>
        </w:rPr>
        <w:t xml:space="preserve">Recurso </w:t>
      </w:r>
      <w:r w:rsidRPr="0035687B">
        <w:rPr>
          <w:rFonts w:ascii="Palatino Linotype" w:eastAsia="Calibri" w:hAnsi="Palatino Linotype" w:cs="Arial"/>
          <w:color w:val="000000" w:themeColor="text1"/>
          <w:sz w:val="20"/>
        </w:rPr>
        <w:t xml:space="preserve">de </w:t>
      </w:r>
      <w:r w:rsidR="00E03516" w:rsidRPr="0035687B">
        <w:rPr>
          <w:rFonts w:ascii="Palatino Linotype" w:eastAsia="Calibri" w:hAnsi="Palatino Linotype" w:cs="Arial"/>
          <w:color w:val="000000" w:themeColor="text1"/>
          <w:sz w:val="20"/>
        </w:rPr>
        <w:t xml:space="preserve">Revisión </w:t>
      </w:r>
      <w:r w:rsidRPr="0035687B">
        <w:rPr>
          <w:rFonts w:ascii="Palatino Linotype" w:eastAsia="Calibri" w:hAnsi="Palatino Linotype" w:cs="Arial"/>
          <w:color w:val="000000" w:themeColor="text1"/>
          <w:sz w:val="20"/>
        </w:rPr>
        <w:t>0</w:t>
      </w:r>
      <w:r w:rsidR="00ED4D32">
        <w:rPr>
          <w:rFonts w:ascii="Palatino Linotype" w:eastAsia="Calibri" w:hAnsi="Palatino Linotype" w:cs="Arial"/>
          <w:color w:val="000000" w:themeColor="text1"/>
          <w:sz w:val="20"/>
        </w:rPr>
        <w:t>6904</w:t>
      </w:r>
      <w:r w:rsidRPr="0035687B">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9, aprobada</w:t>
      </w:r>
      <w:r w:rsidRPr="0035687B">
        <w:rPr>
          <w:rFonts w:ascii="Palatino Linotype" w:eastAsia="Calibri" w:hAnsi="Palatino Linotype" w:cs="Arial"/>
          <w:color w:val="000000" w:themeColor="text1"/>
          <w:sz w:val="20"/>
        </w:rPr>
        <w:t xml:space="preserve"> el </w:t>
      </w:r>
      <w:r w:rsidR="00ED4D32">
        <w:rPr>
          <w:rFonts w:ascii="Palatino Linotype" w:eastAsia="Calibri" w:hAnsi="Palatino Linotype" w:cs="Arial"/>
          <w:color w:val="000000" w:themeColor="text1"/>
          <w:sz w:val="20"/>
        </w:rPr>
        <w:t>seis</w:t>
      </w:r>
      <w:r>
        <w:rPr>
          <w:rFonts w:ascii="Palatino Linotype" w:eastAsia="Calibri" w:hAnsi="Palatino Linotype" w:cs="Arial"/>
          <w:color w:val="000000" w:themeColor="text1"/>
          <w:sz w:val="20"/>
        </w:rPr>
        <w:t xml:space="preserve"> de </w:t>
      </w:r>
      <w:r w:rsidR="00ED4D32">
        <w:rPr>
          <w:rFonts w:ascii="Palatino Linotype" w:eastAsia="Calibri" w:hAnsi="Palatino Linotype" w:cs="Arial"/>
          <w:color w:val="000000" w:themeColor="text1"/>
          <w:sz w:val="20"/>
        </w:rPr>
        <w:t xml:space="preserve">noviembre </w:t>
      </w:r>
      <w:r>
        <w:rPr>
          <w:rFonts w:ascii="Palatino Linotype" w:eastAsia="Calibri" w:hAnsi="Palatino Linotype" w:cs="Arial"/>
          <w:color w:val="000000" w:themeColor="text1"/>
          <w:sz w:val="20"/>
        </w:rPr>
        <w:t>de dos mil diecinueve</w:t>
      </w:r>
      <w:r w:rsidRPr="0035687B">
        <w:rPr>
          <w:rFonts w:ascii="Palatino Linotype" w:eastAsia="Calibri" w:hAnsi="Palatino Linotype" w:cs="Arial"/>
          <w:color w:val="000000" w:themeColor="text1"/>
          <w:sz w:val="20"/>
        </w:rPr>
        <w:t>.</w:t>
      </w:r>
    </w:p>
    <w:p w:rsidR="00F43A54" w:rsidRPr="00532BA4" w:rsidRDefault="00F43A54" w:rsidP="00F43A54">
      <w:pPr>
        <w:jc w:val="both"/>
        <w:rPr>
          <w:rFonts w:ascii="Palatino Linotype" w:eastAsia="Calibri" w:hAnsi="Palatino Linotype" w:cs="Arial"/>
          <w:color w:val="000000" w:themeColor="text1"/>
          <w:sz w:val="8"/>
        </w:rPr>
      </w:pPr>
    </w:p>
    <w:p w:rsidR="00F43A54" w:rsidRPr="005C73BE" w:rsidRDefault="00ED4D32" w:rsidP="00D97113">
      <w:pPr>
        <w:jc w:val="both"/>
        <w:rPr>
          <w:sz w:val="28"/>
        </w:rPr>
      </w:pPr>
      <w:r>
        <w:rPr>
          <w:rFonts w:ascii="Palatino Linotype" w:eastAsia="Calibri" w:hAnsi="Palatino Linotype" w:cs="Arial"/>
          <w:color w:val="000000" w:themeColor="text1"/>
          <w:sz w:val="20"/>
        </w:rPr>
        <w:t>YSM/</w:t>
      </w:r>
      <w:r w:rsidR="00F43A54">
        <w:rPr>
          <w:rFonts w:ascii="Palatino Linotype" w:eastAsia="Calibri" w:hAnsi="Palatino Linotype" w:cs="Arial"/>
          <w:color w:val="000000" w:themeColor="text1"/>
          <w:sz w:val="20"/>
        </w:rPr>
        <w:t>ATU/IAHA</w:t>
      </w:r>
    </w:p>
    <w:sectPr w:rsidR="00F43A54" w:rsidRPr="005C73BE"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E06" w:rsidRDefault="00B15E06" w:rsidP="00A579D0">
      <w:r>
        <w:separator/>
      </w:r>
    </w:p>
  </w:endnote>
  <w:endnote w:type="continuationSeparator" w:id="0">
    <w:p w:rsidR="00B15E06" w:rsidRDefault="00B15E06" w:rsidP="00A5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13" w:rsidRDefault="00D97113" w:rsidP="00DC5C4E">
    <w:pPr>
      <w:pStyle w:val="Piedepgina"/>
      <w:tabs>
        <w:tab w:val="clear" w:pos="4252"/>
        <w:tab w:val="left" w:pos="4228"/>
      </w:tabs>
      <w:rPr>
        <w:rFonts w:ascii="Palatino Linotype" w:hAnsi="Palatino Linotype" w:cs="Arial"/>
        <w:b/>
        <w:bCs/>
        <w:sz w:val="20"/>
        <w:szCs w:val="20"/>
      </w:rPr>
    </w:pPr>
  </w:p>
  <w:p w:rsidR="00A579D0" w:rsidRDefault="00A579D0" w:rsidP="00DC5C4E">
    <w:pPr>
      <w:pStyle w:val="Piedepgina"/>
      <w:tabs>
        <w:tab w:val="clear" w:pos="4252"/>
        <w:tab w:val="left" w:pos="4228"/>
      </w:tabs>
      <w:rPr>
        <w:rFonts w:ascii="Palatino Linotype" w:hAnsi="Palatino Linotype" w:cs="Arial"/>
        <w:b/>
        <w:bCs/>
        <w:sz w:val="20"/>
        <w:szCs w:val="20"/>
      </w:rPr>
    </w:pPr>
  </w:p>
  <w:p w:rsidR="005C7C8F" w:rsidRDefault="00F95864" w:rsidP="00DC5C4E">
    <w:pPr>
      <w:pStyle w:val="Piedepgina"/>
      <w:tabs>
        <w:tab w:val="clear" w:pos="4252"/>
        <w:tab w:val="left" w:pos="4228"/>
      </w:tabs>
      <w:rPr>
        <w:rFonts w:ascii="Palatino Linotype" w:hAnsi="Palatino Linotype" w:cs="Arial"/>
        <w:b/>
        <w:bCs/>
        <w:sz w:val="20"/>
        <w:szCs w:val="20"/>
      </w:rPr>
    </w:pPr>
  </w:p>
  <w:p w:rsidR="005C7C8F" w:rsidRDefault="00F95864" w:rsidP="00DC5C4E">
    <w:pPr>
      <w:pStyle w:val="Piedepgina"/>
      <w:tabs>
        <w:tab w:val="clear" w:pos="4252"/>
        <w:tab w:val="left" w:pos="4228"/>
      </w:tabs>
      <w:rPr>
        <w:rFonts w:ascii="Palatino Linotype" w:hAnsi="Palatino Linotype" w:cs="Arial"/>
        <w:b/>
        <w:bCs/>
        <w:sz w:val="20"/>
        <w:szCs w:val="20"/>
      </w:rPr>
    </w:pPr>
  </w:p>
  <w:p w:rsidR="005C7C8F" w:rsidRDefault="00F95864" w:rsidP="00E03516">
    <w:pPr>
      <w:pStyle w:val="Piedepgina"/>
      <w:jc w:val="center"/>
      <w:rPr>
        <w:rFonts w:ascii="Palatino Linotype" w:hAnsi="Palatino Linotype" w:cs="Arial"/>
        <w:b/>
        <w:bCs/>
        <w:sz w:val="20"/>
        <w:szCs w:val="20"/>
      </w:rPr>
    </w:pPr>
  </w:p>
  <w:p w:rsidR="005C7C8F" w:rsidRPr="00F12350" w:rsidRDefault="00F152DB"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95864">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9586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F9586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E06" w:rsidRDefault="00B15E06" w:rsidP="00A579D0">
      <w:r>
        <w:separator/>
      </w:r>
    </w:p>
  </w:footnote>
  <w:footnote w:type="continuationSeparator" w:id="0">
    <w:p w:rsidR="00B15E06" w:rsidRDefault="00B15E06" w:rsidP="00A57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958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7C" w:rsidRDefault="00EE6F7C"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0FAE9BE" wp14:editId="04E5DF84">
          <wp:simplePos x="0" y="0"/>
          <wp:positionH relativeFrom="column">
            <wp:posOffset>-702310</wp:posOffset>
          </wp:positionH>
          <wp:positionV relativeFrom="paragraph">
            <wp:posOffset>-443230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F152DB"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EE6F7C"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RECURSO</w:t>
    </w:r>
    <w:r w:rsidR="00EE6F7C">
      <w:rPr>
        <w:rFonts w:ascii="Palatino Linotype" w:hAnsi="Palatino Linotype" w:cs="Arial"/>
        <w:sz w:val="20"/>
        <w:szCs w:val="20"/>
      </w:rPr>
      <w:t xml:space="preserve"> DE REVISIÓN</w:t>
    </w:r>
  </w:p>
  <w:p w:rsidR="002C4427"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0</w:t>
    </w:r>
    <w:r w:rsidR="00B54630">
      <w:rPr>
        <w:rFonts w:ascii="Palatino Linotype" w:hAnsi="Palatino Linotype" w:cs="Arial"/>
        <w:sz w:val="20"/>
        <w:szCs w:val="20"/>
      </w:rPr>
      <w:t>6904</w:t>
    </w:r>
    <w:r w:rsidRPr="005A28C0">
      <w:rPr>
        <w:rFonts w:ascii="Palatino Linotype" w:hAnsi="Palatino Linotype" w:cs="Arial"/>
        <w:sz w:val="20"/>
        <w:szCs w:val="20"/>
      </w:rPr>
      <w:t>/INFOEM/IP/RR/201</w:t>
    </w:r>
    <w:r w:rsidR="008A6976">
      <w:rPr>
        <w:rFonts w:ascii="Palatino Linotype" w:hAnsi="Palatino Linotype" w:cs="Arial"/>
        <w:sz w:val="20"/>
        <w:szCs w:val="20"/>
      </w:rPr>
      <w:t>9</w:t>
    </w:r>
  </w:p>
  <w:p w:rsidR="005A28C0" w:rsidRDefault="00F95864"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98.95pt;margin-top:238.35pt;width:669.45pt;height:93.55pt;rotation:315;z-index:-251658240;mso-position-horizontal-relative:margin;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958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1495"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A12A3A"/>
    <w:multiLevelType w:val="hybridMultilevel"/>
    <w:tmpl w:val="7362D702"/>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6B46A4"/>
    <w:multiLevelType w:val="hybridMultilevel"/>
    <w:tmpl w:val="FF502FFA"/>
    <w:lvl w:ilvl="0" w:tplc="F3ACD5DC">
      <w:start w:val="1"/>
      <w:numFmt w:val="upperLetter"/>
      <w:lvlText w:val="%1)"/>
      <w:lvlJc w:val="left"/>
      <w:pPr>
        <w:ind w:left="1211" w:hanging="360"/>
      </w:pPr>
      <w:rPr>
        <w:rFonts w:eastAsia="Calibri" w:cs="Arial" w:hint="default"/>
        <w:b w:val="0"/>
        <w:sz w:val="24"/>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5" w15:restartNumberingAfterBreak="0">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2C6E1E"/>
    <w:multiLevelType w:val="hybridMultilevel"/>
    <w:tmpl w:val="82709352"/>
    <w:lvl w:ilvl="0" w:tplc="FFD4FA00">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FE4BDA"/>
    <w:multiLevelType w:val="hybridMultilevel"/>
    <w:tmpl w:val="70284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7C360E"/>
    <w:multiLevelType w:val="hybridMultilevel"/>
    <w:tmpl w:val="9F5025FA"/>
    <w:lvl w:ilvl="0" w:tplc="6EF4F256">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753830A4"/>
    <w:multiLevelType w:val="hybridMultilevel"/>
    <w:tmpl w:val="FF2CDAE2"/>
    <w:lvl w:ilvl="0" w:tplc="997C9E5E">
      <w:start w:val="1"/>
      <w:numFmt w:val="lowerLetter"/>
      <w:lvlText w:val="%1)"/>
      <w:lvlJc w:val="left"/>
      <w:pPr>
        <w:ind w:left="720" w:hanging="360"/>
      </w:pPr>
      <w:rPr>
        <w:rFonts w:ascii="Palatino Linotype" w:eastAsia="MS Mincho" w:hAnsi="Palatino Linotype"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6519DD"/>
    <w:multiLevelType w:val="hybridMultilevel"/>
    <w:tmpl w:val="74DA33D8"/>
    <w:lvl w:ilvl="0" w:tplc="7198363E">
      <w:start w:val="1"/>
      <w:numFmt w:val="upperLetter"/>
      <w:lvlText w:val="%1)"/>
      <w:lvlJc w:val="left"/>
      <w:pPr>
        <w:ind w:left="720" w:hanging="360"/>
      </w:pPr>
      <w:rPr>
        <w:rFonts w:eastAsia="Calibri"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num>
  <w:num w:numId="5">
    <w:abstractNumId w:val="0"/>
  </w:num>
  <w:num w:numId="6">
    <w:abstractNumId w:val="2"/>
  </w:num>
  <w:num w:numId="7">
    <w:abstractNumId w:val="9"/>
  </w:num>
  <w:num w:numId="8">
    <w:abstractNumId w:val="10"/>
  </w:num>
  <w:num w:numId="9">
    <w:abstractNumId w:val="4"/>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D0"/>
    <w:rsid w:val="00037F66"/>
    <w:rsid w:val="00044237"/>
    <w:rsid w:val="00086411"/>
    <w:rsid w:val="0010333B"/>
    <w:rsid w:val="00136A73"/>
    <w:rsid w:val="00165B9C"/>
    <w:rsid w:val="00242A79"/>
    <w:rsid w:val="0027786A"/>
    <w:rsid w:val="00285BBC"/>
    <w:rsid w:val="00286FEB"/>
    <w:rsid w:val="002D598C"/>
    <w:rsid w:val="002F77A8"/>
    <w:rsid w:val="003B04FA"/>
    <w:rsid w:val="003B6B62"/>
    <w:rsid w:val="00401B7E"/>
    <w:rsid w:val="00424511"/>
    <w:rsid w:val="004D72D3"/>
    <w:rsid w:val="00580DE2"/>
    <w:rsid w:val="00593A1F"/>
    <w:rsid w:val="005A1AA5"/>
    <w:rsid w:val="005B0B00"/>
    <w:rsid w:val="005B6448"/>
    <w:rsid w:val="005C25C4"/>
    <w:rsid w:val="005C73BE"/>
    <w:rsid w:val="005F1F49"/>
    <w:rsid w:val="0067781C"/>
    <w:rsid w:val="006E23B7"/>
    <w:rsid w:val="007E2F5D"/>
    <w:rsid w:val="00843836"/>
    <w:rsid w:val="008A6976"/>
    <w:rsid w:val="009573BD"/>
    <w:rsid w:val="009B17A1"/>
    <w:rsid w:val="00A02EB1"/>
    <w:rsid w:val="00A25A98"/>
    <w:rsid w:val="00A579D0"/>
    <w:rsid w:val="00B15E06"/>
    <w:rsid w:val="00B54630"/>
    <w:rsid w:val="00B62CF2"/>
    <w:rsid w:val="00BB771D"/>
    <w:rsid w:val="00C23B43"/>
    <w:rsid w:val="00C9714C"/>
    <w:rsid w:val="00CC7475"/>
    <w:rsid w:val="00D250B2"/>
    <w:rsid w:val="00D92F4C"/>
    <w:rsid w:val="00D97113"/>
    <w:rsid w:val="00DA03E3"/>
    <w:rsid w:val="00DB79C5"/>
    <w:rsid w:val="00DC36C1"/>
    <w:rsid w:val="00DF6B5B"/>
    <w:rsid w:val="00E03516"/>
    <w:rsid w:val="00ED4D32"/>
    <w:rsid w:val="00EE6F7C"/>
    <w:rsid w:val="00EF011D"/>
    <w:rsid w:val="00F152DB"/>
    <w:rsid w:val="00F16298"/>
    <w:rsid w:val="00F43A54"/>
    <w:rsid w:val="00F63612"/>
    <w:rsid w:val="00F95864"/>
    <w:rsid w:val="00FC0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A79543-E1B8-49E4-8458-99DB02F1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79D0"/>
    <w:rPr>
      <w:rFonts w:eastAsiaTheme="minorEastAsia"/>
      <w:sz w:val="24"/>
      <w:szCs w:val="24"/>
      <w:lang w:val="es-ES_tradnl" w:eastAsia="es-ES"/>
    </w:rPr>
  </w:style>
  <w:style w:type="paragraph" w:styleId="Piedepgina">
    <w:name w:val="footer"/>
    <w:basedOn w:val="Normal"/>
    <w:link w:val="Piedepgina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79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79D0"/>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79D0"/>
    <w:rPr>
      <w:rFonts w:eastAsiaTheme="minorEastAsia"/>
      <w:sz w:val="24"/>
      <w:szCs w:val="24"/>
      <w:lang w:val="es-ES_tradnl" w:eastAsia="es-ES"/>
    </w:rPr>
  </w:style>
  <w:style w:type="paragraph" w:styleId="Sinespaciado">
    <w:name w:val="No Spacing"/>
    <w:aliases w:val="Francesa"/>
    <w:link w:val="SinespaciadoCar"/>
    <w:uiPriority w:val="1"/>
    <w:qFormat/>
    <w:rsid w:val="00A579D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579D0"/>
    <w:rPr>
      <w:rFonts w:eastAsiaTheme="minorEastAsia"/>
      <w:sz w:val="24"/>
      <w:szCs w:val="24"/>
      <w:lang w:val="es-ES_tradnl" w:eastAsia="es-ES"/>
    </w:rPr>
  </w:style>
  <w:style w:type="character" w:styleId="Hipervnculo">
    <w:name w:val="Hyperlink"/>
    <w:basedOn w:val="Fuentedeprrafopredeter"/>
    <w:uiPriority w:val="99"/>
    <w:unhideWhenUsed/>
    <w:rsid w:val="00165B9C"/>
    <w:rPr>
      <w:color w:val="0563C1" w:themeColor="hyperlink"/>
      <w:u w:val="single"/>
    </w:rPr>
  </w:style>
  <w:style w:type="character" w:customStyle="1" w:styleId="apple-converted-space">
    <w:name w:val="apple-converted-space"/>
    <w:basedOn w:val="Fuentedeprrafopredeter"/>
    <w:rsid w:val="00165B9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80DE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80DE2"/>
    <w:rPr>
      <w:rFonts w:asciiTheme="minorHAnsi" w:eastAsiaTheme="minorEastAsia" w:hAnsiTheme="minorHAnsi" w:cstheme="minorBidi"/>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80DE2"/>
    <w:rPr>
      <w:rFonts w:eastAsiaTheme="minorEastAsia"/>
      <w:sz w:val="20"/>
      <w:szCs w:val="20"/>
      <w:lang w:val="es-ES_tradnl" w:eastAsia="es-ES"/>
    </w:rPr>
  </w:style>
  <w:style w:type="paragraph" w:styleId="Textodeglobo">
    <w:name w:val="Balloon Text"/>
    <w:basedOn w:val="Normal"/>
    <w:link w:val="TextodegloboCar"/>
    <w:uiPriority w:val="99"/>
    <w:semiHidden/>
    <w:unhideWhenUsed/>
    <w:rsid w:val="006E23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3B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2018-11-06T02:56:00Z</cp:lastPrinted>
  <dcterms:created xsi:type="dcterms:W3CDTF">2019-11-08T17:06:00Z</dcterms:created>
  <dcterms:modified xsi:type="dcterms:W3CDTF">2019-11-29T01:43:00Z</dcterms:modified>
</cp:coreProperties>
</file>