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265631" w:rsidRDefault="00792776" w:rsidP="00265631">
      <w:pPr>
        <w:spacing w:after="0" w:line="360" w:lineRule="auto"/>
        <w:jc w:val="center"/>
        <w:rPr>
          <w:rFonts w:ascii="Palatino Linotype" w:eastAsia="MS Mincho" w:hAnsi="Palatino Linotype" w:cs="Times New Roman"/>
          <w:b/>
          <w:sz w:val="24"/>
          <w:szCs w:val="24"/>
          <w:lang w:val="es-ES_tradnl" w:eastAsia="es-ES"/>
        </w:rPr>
      </w:pPr>
      <w:r w:rsidRPr="00265631">
        <w:rPr>
          <w:rFonts w:ascii="Palatino Linotype" w:eastAsia="MS Mincho" w:hAnsi="Palatino Linotype" w:cs="Times New Roman"/>
          <w:b/>
          <w:sz w:val="24"/>
          <w:szCs w:val="24"/>
          <w:lang w:val="es-ES_tradnl" w:eastAsia="es-ES"/>
        </w:rPr>
        <w:t>LÍNEAS ARGUMENTATIVAS.</w:t>
      </w:r>
    </w:p>
    <w:p w:rsidR="006E7900" w:rsidRPr="00265631" w:rsidRDefault="006E7900" w:rsidP="00265631">
      <w:pPr>
        <w:spacing w:after="0" w:line="360" w:lineRule="auto"/>
        <w:jc w:val="both"/>
        <w:rPr>
          <w:rFonts w:ascii="Palatino Linotype" w:eastAsia="Arial Unicode MS" w:hAnsi="Palatino Linotype" w:cs="Arial"/>
          <w:b/>
          <w:sz w:val="24"/>
          <w:szCs w:val="24"/>
          <w:lang w:val="es-ES_tradnl" w:eastAsia="es-ES"/>
        </w:rPr>
      </w:pPr>
    </w:p>
    <w:p w:rsidR="005D1CFC" w:rsidRPr="00265631" w:rsidRDefault="00202E6A" w:rsidP="00265631">
      <w:pPr>
        <w:spacing w:after="0" w:line="360" w:lineRule="auto"/>
        <w:jc w:val="both"/>
        <w:rPr>
          <w:rFonts w:ascii="Palatino Linotype" w:eastAsia="Arial Unicode MS" w:hAnsi="Palatino Linotype" w:cs="Arial"/>
          <w:sz w:val="24"/>
          <w:szCs w:val="24"/>
          <w:lang w:val="es-ES_tradnl" w:eastAsia="es-ES"/>
        </w:rPr>
      </w:pPr>
      <w:r w:rsidRPr="00265631">
        <w:rPr>
          <w:rFonts w:ascii="Palatino Linotype" w:eastAsia="Arial Unicode MS" w:hAnsi="Palatino Linotype" w:cs="Arial"/>
          <w:b/>
          <w:sz w:val="24"/>
          <w:szCs w:val="24"/>
          <w:lang w:val="es-ES_tradnl" w:eastAsia="es-ES"/>
        </w:rPr>
        <w:t>DEBERES DE LAS AUTORIDADES</w:t>
      </w:r>
      <w:r w:rsidRPr="00265631">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265631">
        <w:rPr>
          <w:rFonts w:ascii="Palatino Linotype" w:eastAsia="Arial Unicode MS" w:hAnsi="Palatino Linotype" w:cs="Arial"/>
          <w:sz w:val="24"/>
          <w:szCs w:val="24"/>
          <w:lang w:val="es-ES_tradnl" w:eastAsia="es-ES"/>
        </w:rPr>
        <w:t>. T</w:t>
      </w:r>
      <w:r w:rsidRPr="00265631">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265631" w:rsidRDefault="00D21751" w:rsidP="00265631">
      <w:pPr>
        <w:spacing w:after="0" w:line="360" w:lineRule="auto"/>
        <w:jc w:val="both"/>
        <w:rPr>
          <w:rFonts w:ascii="Palatino Linotype" w:eastAsia="Arial Unicode MS" w:hAnsi="Palatino Linotype" w:cs="Arial"/>
          <w:sz w:val="24"/>
          <w:szCs w:val="24"/>
          <w:lang w:val="es-ES_tradnl" w:eastAsia="es-ES"/>
        </w:rPr>
      </w:pPr>
    </w:p>
    <w:p w:rsidR="006869D2" w:rsidRPr="00265631" w:rsidRDefault="00202E6A" w:rsidP="00265631">
      <w:pPr>
        <w:spacing w:after="0" w:line="360" w:lineRule="auto"/>
        <w:jc w:val="both"/>
        <w:rPr>
          <w:rFonts w:ascii="Palatino Linotype" w:eastAsia="Calibri" w:hAnsi="Palatino Linotype" w:cs="Times New Roman"/>
          <w:sz w:val="24"/>
          <w:szCs w:val="24"/>
          <w:lang w:val="es-ES_tradnl" w:eastAsia="es-ES"/>
        </w:rPr>
      </w:pPr>
      <w:r w:rsidRPr="00265631">
        <w:rPr>
          <w:rFonts w:ascii="Palatino Linotype" w:eastAsia="Calibri" w:hAnsi="Palatino Linotype" w:cs="Times New Roman"/>
          <w:b/>
          <w:sz w:val="24"/>
          <w:szCs w:val="24"/>
          <w:lang w:val="es-ES_tradnl" w:eastAsia="es-ES"/>
        </w:rPr>
        <w:t>DE LA GARANTÍA DE PROPORCIONAR LA INFORMACIÓN PÚBLICA GUBERNAMENTAL.</w:t>
      </w:r>
      <w:r w:rsidRPr="0026563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265631" w:rsidRDefault="008F796D" w:rsidP="00265631">
      <w:pPr>
        <w:spacing w:after="0" w:line="360" w:lineRule="auto"/>
        <w:jc w:val="both"/>
        <w:rPr>
          <w:rFonts w:ascii="Palatino Linotype" w:eastAsia="Calibri" w:hAnsi="Palatino Linotype" w:cs="Times New Roman"/>
          <w:sz w:val="24"/>
          <w:szCs w:val="24"/>
          <w:lang w:val="es-ES_tradnl" w:eastAsia="es-ES"/>
        </w:rPr>
      </w:pPr>
    </w:p>
    <w:p w:rsidR="002E0764" w:rsidRPr="00265631" w:rsidRDefault="002E0764" w:rsidP="00265631">
      <w:pPr>
        <w:spacing w:after="0" w:line="360" w:lineRule="auto"/>
        <w:jc w:val="both"/>
        <w:rPr>
          <w:rFonts w:ascii="Palatino Linotype" w:eastAsia="Calibri" w:hAnsi="Palatino Linotype" w:cs="Times New Roman"/>
          <w:sz w:val="24"/>
          <w:szCs w:val="24"/>
          <w:lang w:val="es-ES_tradnl" w:eastAsia="es-ES"/>
        </w:rPr>
      </w:pPr>
      <w:r w:rsidRPr="00265631">
        <w:rPr>
          <w:rFonts w:ascii="Palatino Linotype" w:eastAsia="Calibri" w:hAnsi="Palatino Linotype" w:cs="Times New Roman"/>
          <w:b/>
          <w:sz w:val="24"/>
          <w:szCs w:val="24"/>
          <w:lang w:val="es-ES_tradnl" w:eastAsia="es-ES"/>
        </w:rPr>
        <w:t>RESPUESTAS IMPRECISAS O INCOMPLETAS, DEBER DE REPARACIÓN.</w:t>
      </w:r>
      <w:r w:rsidRPr="00265631">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265631" w:rsidRDefault="002E0764" w:rsidP="00265631">
      <w:pPr>
        <w:spacing w:after="0" w:line="360" w:lineRule="auto"/>
        <w:jc w:val="both"/>
        <w:rPr>
          <w:rFonts w:ascii="Palatino Linotype" w:eastAsia="Calibri" w:hAnsi="Palatino Linotype" w:cs="Times New Roman"/>
          <w:b/>
          <w:sz w:val="24"/>
          <w:szCs w:val="24"/>
          <w:lang w:val="es-ES_tradnl" w:eastAsia="es-ES"/>
        </w:rPr>
      </w:pPr>
    </w:p>
    <w:p w:rsidR="002E0764" w:rsidRPr="00265631" w:rsidRDefault="002E0764" w:rsidP="00265631">
      <w:pPr>
        <w:spacing w:after="0" w:line="360" w:lineRule="auto"/>
        <w:jc w:val="both"/>
        <w:rPr>
          <w:rFonts w:ascii="Palatino Linotype" w:eastAsia="Calibri" w:hAnsi="Palatino Linotype" w:cs="Times New Roman"/>
          <w:sz w:val="24"/>
          <w:szCs w:val="24"/>
          <w:lang w:val="es-ES_tradnl" w:eastAsia="es-ES"/>
        </w:rPr>
      </w:pPr>
    </w:p>
    <w:p w:rsidR="006869D2" w:rsidRPr="00265631" w:rsidRDefault="006869D2" w:rsidP="00265631">
      <w:pPr>
        <w:spacing w:after="0" w:line="360" w:lineRule="auto"/>
        <w:jc w:val="both"/>
        <w:rPr>
          <w:rFonts w:ascii="Palatino Linotype" w:eastAsia="Calibri" w:hAnsi="Palatino Linotype" w:cs="Times New Roman"/>
          <w:sz w:val="24"/>
          <w:szCs w:val="24"/>
          <w:highlight w:val="yellow"/>
          <w:lang w:val="es-ES_tradnl" w:eastAsia="es-ES"/>
        </w:rPr>
      </w:pPr>
    </w:p>
    <w:p w:rsidR="00454AFA" w:rsidRPr="00265631" w:rsidRDefault="00454AFA" w:rsidP="00265631">
      <w:pPr>
        <w:spacing w:after="0" w:line="360" w:lineRule="auto"/>
        <w:rPr>
          <w:rFonts w:ascii="Palatino Linotype" w:eastAsia="MS Mincho" w:hAnsi="Palatino Linotype" w:cs="Times New Roman"/>
          <w:b/>
          <w:sz w:val="24"/>
          <w:szCs w:val="24"/>
          <w:lang w:val="es-ES_tradnl" w:eastAsia="es-ES"/>
        </w:rPr>
      </w:pPr>
    </w:p>
    <w:p w:rsidR="00792776" w:rsidRPr="00265631" w:rsidRDefault="00792776" w:rsidP="00265631">
      <w:pPr>
        <w:spacing w:after="0" w:line="360" w:lineRule="auto"/>
        <w:jc w:val="center"/>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b/>
          <w:sz w:val="24"/>
          <w:szCs w:val="24"/>
          <w:lang w:val="es-ES_tradnl" w:eastAsia="es-ES"/>
        </w:rPr>
        <w:lastRenderedPageBreak/>
        <w:t>Índice</w:t>
      </w:r>
      <w:r w:rsidRPr="00265631">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265631" w:rsidRDefault="00B85136" w:rsidP="00265631">
          <w:pPr>
            <w:pStyle w:val="TtulodeTDC"/>
            <w:spacing w:before="0" w:line="360" w:lineRule="auto"/>
            <w:rPr>
              <w:rFonts w:ascii="Palatino Linotype" w:hAnsi="Palatino Linotype"/>
              <w:b/>
              <w:color w:val="auto"/>
              <w:sz w:val="21"/>
              <w:szCs w:val="21"/>
            </w:rPr>
          </w:pPr>
          <w:r w:rsidRPr="00265631">
            <w:rPr>
              <w:rFonts w:ascii="Palatino Linotype" w:hAnsi="Palatino Linotype"/>
              <w:b/>
              <w:color w:val="auto"/>
              <w:sz w:val="21"/>
              <w:szCs w:val="21"/>
              <w:lang w:val="es-ES"/>
            </w:rPr>
            <w:t>Contenido</w:t>
          </w:r>
        </w:p>
        <w:p w:rsidR="00CB69D0" w:rsidRPr="00265631" w:rsidRDefault="00B85136" w:rsidP="00265631">
          <w:pPr>
            <w:pStyle w:val="TDC1"/>
            <w:rPr>
              <w:rFonts w:ascii="Palatino Linotype" w:eastAsiaTheme="minorEastAsia" w:hAnsi="Palatino Linotype"/>
              <w:noProof/>
              <w:sz w:val="21"/>
              <w:szCs w:val="21"/>
              <w:lang w:eastAsia="es-MX"/>
            </w:rPr>
          </w:pPr>
          <w:r w:rsidRPr="00265631">
            <w:rPr>
              <w:rFonts w:ascii="Palatino Linotype" w:hAnsi="Palatino Linotype"/>
              <w:b/>
              <w:bCs/>
              <w:sz w:val="21"/>
              <w:szCs w:val="21"/>
              <w:lang w:val="es-ES"/>
            </w:rPr>
            <w:fldChar w:fldCharType="begin"/>
          </w:r>
          <w:r w:rsidRPr="00265631">
            <w:rPr>
              <w:rFonts w:ascii="Palatino Linotype" w:hAnsi="Palatino Linotype"/>
              <w:b/>
              <w:bCs/>
              <w:sz w:val="21"/>
              <w:szCs w:val="21"/>
              <w:lang w:val="es-ES"/>
            </w:rPr>
            <w:instrText xml:space="preserve"> TOC \o "1-3" \h \z \u </w:instrText>
          </w:r>
          <w:r w:rsidRPr="00265631">
            <w:rPr>
              <w:rFonts w:ascii="Palatino Linotype" w:hAnsi="Palatino Linotype"/>
              <w:b/>
              <w:bCs/>
              <w:sz w:val="21"/>
              <w:szCs w:val="21"/>
              <w:lang w:val="es-ES"/>
            </w:rPr>
            <w:fldChar w:fldCharType="separate"/>
          </w:r>
          <w:hyperlink w:anchor="_Toc21701083" w:history="1">
            <w:r w:rsidR="00CB69D0" w:rsidRPr="00265631">
              <w:rPr>
                <w:rStyle w:val="Hipervnculo"/>
                <w:rFonts w:ascii="Palatino Linotype" w:eastAsia="MS Gothic" w:hAnsi="Palatino Linotype" w:cs="Times New Roman"/>
                <w:b/>
                <w:noProof/>
                <w:sz w:val="21"/>
                <w:szCs w:val="21"/>
                <w:lang w:val="de-DE"/>
              </w:rPr>
              <w:t>A N T E C E D E N T E S</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_Toc21701083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3</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4" w:history="1">
            <w:r w:rsidR="00CB69D0" w:rsidRPr="00265631">
              <w:rPr>
                <w:rStyle w:val="Hipervnculo"/>
                <w:rFonts w:ascii="Palatino Linotype" w:eastAsia="MS Gothic" w:hAnsi="Palatino Linotype" w:cs="Times New Roman"/>
                <w:b/>
                <w:noProof/>
                <w:sz w:val="21"/>
                <w:szCs w:val="21"/>
              </w:rPr>
              <w:t>CONSIDERANDO</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_Toc21701084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9</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5" w:history="1">
            <w:r w:rsidR="00CB69D0" w:rsidRPr="00265631">
              <w:rPr>
                <w:rStyle w:val="Hipervnculo"/>
                <w:rFonts w:ascii="Palatino Linotype" w:eastAsia="MS Mincho" w:hAnsi="Palatino Linotype" w:cstheme="majorBidi"/>
                <w:b/>
                <w:noProof/>
                <w:sz w:val="21"/>
                <w:szCs w:val="21"/>
                <w:lang w:val="es-ES_tradnl" w:eastAsia="es-ES"/>
              </w:rPr>
              <w:t>PRIMERO</w:t>
            </w:r>
            <w:r w:rsidR="00CB69D0" w:rsidRPr="00265631">
              <w:rPr>
                <w:rStyle w:val="Hipervnculo"/>
                <w:rFonts w:ascii="Palatino Linotype" w:eastAsia="MS Gothic" w:hAnsi="Palatino Linotype" w:cs="Times New Roman"/>
                <w:b/>
                <w:noProof/>
                <w:sz w:val="21"/>
                <w:szCs w:val="21"/>
              </w:rPr>
              <w:t>. De la competencia.</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_Toc21701085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9</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6" w:history="1">
            <w:r w:rsidR="00CB69D0" w:rsidRPr="00265631">
              <w:rPr>
                <w:rStyle w:val="Hipervnculo"/>
                <w:rFonts w:ascii="Palatino Linotype" w:eastAsia="MS Mincho" w:hAnsi="Palatino Linotype" w:cstheme="majorBidi"/>
                <w:b/>
                <w:noProof/>
                <w:sz w:val="21"/>
                <w:szCs w:val="21"/>
                <w:lang w:val="es-ES_tradnl" w:eastAsia="es-ES"/>
              </w:rPr>
              <w:t>SEGUNDO</w:t>
            </w:r>
            <w:r w:rsidR="00CB69D0" w:rsidRPr="00265631">
              <w:rPr>
                <w:rStyle w:val="Hipervnculo"/>
                <w:rFonts w:ascii="Palatino Linotype" w:eastAsia="MS Gothic" w:hAnsi="Palatino Linotype" w:cs="Times New Roman"/>
                <w:b/>
                <w:noProof/>
                <w:sz w:val="21"/>
                <w:szCs w:val="21"/>
              </w:rPr>
              <w:t>. De la oportunidad y procedibilidad del recurso de revisión.</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_Toc21701086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9</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7" w:history="1">
            <w:r w:rsidR="00CB69D0" w:rsidRPr="00265631">
              <w:rPr>
                <w:rStyle w:val="Hipervnculo"/>
                <w:rFonts w:ascii="Palatino Linotype" w:eastAsia="MS Mincho" w:hAnsi="Palatino Linotype" w:cstheme="majorBidi"/>
                <w:b/>
                <w:noProof/>
                <w:sz w:val="21"/>
                <w:szCs w:val="21"/>
                <w:lang w:val="es-ES_tradnl" w:eastAsia="es-ES"/>
              </w:rPr>
              <w:t>TERCERO. Planteamiento de la Litis</w:t>
            </w:r>
            <w:r w:rsidR="00CB69D0" w:rsidRPr="00265631">
              <w:rPr>
                <w:rStyle w:val="Hipervnculo"/>
                <w:rFonts w:ascii="Palatino Linotype" w:eastAsia="MS Gothic" w:hAnsi="Palatino Linotype" w:cs="Times New Roman"/>
                <w:b/>
                <w:noProof/>
                <w:sz w:val="21"/>
                <w:szCs w:val="21"/>
              </w:rPr>
              <w:t>.</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_Toc21701087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11</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8" w:history="1">
            <w:r w:rsidR="00CB69D0" w:rsidRPr="00265631">
              <w:rPr>
                <w:rStyle w:val="Hipervnculo"/>
                <w:rFonts w:ascii="Palatino Linotype" w:eastAsia="MS Gothic" w:hAnsi="Palatino Linotype" w:cstheme="majorBidi"/>
                <w:b/>
                <w:noProof/>
                <w:sz w:val="21"/>
                <w:szCs w:val="21"/>
                <w:lang w:val="es-ES_tradnl" w:eastAsia="es-ES"/>
              </w:rPr>
              <w:t>CUARTO. Del estudio y resolución del recurso de revisión.</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_Toc21701088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15</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89" w:history="1">
            <w:r w:rsidR="00CB69D0" w:rsidRPr="00265631">
              <w:rPr>
                <w:rStyle w:val="Hipervnculo"/>
                <w:rFonts w:ascii="Palatino Linotype" w:eastAsia="MS Gothic" w:hAnsi="Palatino Linotype" w:cstheme="majorBidi"/>
                <w:b/>
                <w:noProof/>
                <w:sz w:val="21"/>
                <w:szCs w:val="21"/>
                <w:lang w:val="es-ES_tradnl" w:eastAsia="es-ES"/>
              </w:rPr>
              <w:t>a) Fuente Obligacional.</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_Toc21701089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16</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0" w:history="1">
            <w:r w:rsidR="00CB69D0" w:rsidRPr="00265631">
              <w:rPr>
                <w:rStyle w:val="Hipervnculo"/>
                <w:rFonts w:ascii="Palatino Linotype" w:eastAsia="MS Gothic" w:hAnsi="Palatino Linotype" w:cstheme="majorBidi"/>
                <w:b/>
                <w:noProof/>
                <w:sz w:val="21"/>
                <w:szCs w:val="21"/>
                <w:lang w:val="es-ES_tradnl" w:eastAsia="es-ES"/>
              </w:rPr>
              <w:t>b) De la información solicitada y la respuesta del Sujeto Obligado.</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_Toc21701090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18</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1" w:history="1">
            <w:r w:rsidR="00CB69D0" w:rsidRPr="00265631">
              <w:rPr>
                <w:rStyle w:val="Hipervnculo"/>
                <w:rFonts w:ascii="Palatino Linotype" w:eastAsia="Times New Roman" w:hAnsi="Palatino Linotype" w:cstheme="majorBidi"/>
                <w:b/>
                <w:noProof/>
                <w:sz w:val="21"/>
                <w:szCs w:val="21"/>
                <w:lang w:val="es-ES_tradnl" w:eastAsia="es-ES"/>
              </w:rPr>
              <w:t xml:space="preserve">I. </w:t>
            </w:r>
            <w:r w:rsidR="00CB69D0" w:rsidRPr="00265631">
              <w:rPr>
                <w:rStyle w:val="Hipervnculo"/>
                <w:rFonts w:ascii="Palatino Linotype" w:hAnsi="Palatino Linotype"/>
                <w:b/>
                <w:noProof/>
                <w:sz w:val="21"/>
                <w:szCs w:val="21"/>
              </w:rPr>
              <w:t>Del Dictamen Único de Factibilidad.</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_Toc21701091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23</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2" w:history="1">
            <w:r w:rsidR="00CB69D0" w:rsidRPr="00265631">
              <w:rPr>
                <w:rStyle w:val="Hipervnculo"/>
                <w:rFonts w:ascii="Palatino Linotype" w:eastAsia="Times New Roman" w:hAnsi="Palatino Linotype" w:cstheme="majorBidi"/>
                <w:b/>
                <w:noProof/>
                <w:sz w:val="21"/>
                <w:szCs w:val="21"/>
                <w:lang w:val="es-ES_tradnl" w:eastAsia="es-ES"/>
              </w:rPr>
              <w:t xml:space="preserve">II. </w:t>
            </w:r>
            <w:r w:rsidR="00CB69D0" w:rsidRPr="00265631">
              <w:rPr>
                <w:rStyle w:val="Hipervnculo"/>
                <w:rFonts w:ascii="Palatino Linotype" w:hAnsi="Palatino Linotype"/>
                <w:b/>
                <w:noProof/>
                <w:sz w:val="21"/>
                <w:szCs w:val="21"/>
              </w:rPr>
              <w:t>Del Trámite del Dictamen Único De Factibilidad.</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_Toc21701092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25</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3" w:history="1">
            <w:r w:rsidR="00CB69D0" w:rsidRPr="00265631">
              <w:rPr>
                <w:rStyle w:val="Hipervnculo"/>
                <w:rFonts w:ascii="Palatino Linotype" w:eastAsia="Times New Roman" w:hAnsi="Palatino Linotype" w:cstheme="majorBidi"/>
                <w:b/>
                <w:noProof/>
                <w:sz w:val="21"/>
                <w:szCs w:val="21"/>
                <w:lang w:val="es-ES_tradnl" w:eastAsia="es-ES"/>
              </w:rPr>
              <w:t xml:space="preserve">III. </w:t>
            </w:r>
            <w:r w:rsidR="00CB69D0" w:rsidRPr="00265631">
              <w:rPr>
                <w:rStyle w:val="Hipervnculo"/>
                <w:rFonts w:ascii="Palatino Linotype" w:hAnsi="Palatino Linotype"/>
                <w:b/>
                <w:noProof/>
                <w:sz w:val="21"/>
                <w:szCs w:val="21"/>
              </w:rPr>
              <w:t>Del Dictamen de Impacto Regional.</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_Toc21701093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30</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4" w:history="1">
            <w:r w:rsidR="00CB69D0" w:rsidRPr="00265631">
              <w:rPr>
                <w:rStyle w:val="Hipervnculo"/>
                <w:rFonts w:ascii="Palatino Linotype" w:eastAsia="Times New Roman" w:hAnsi="Palatino Linotype" w:cstheme="majorBidi"/>
                <w:b/>
                <w:noProof/>
                <w:sz w:val="21"/>
                <w:szCs w:val="21"/>
                <w:lang w:val="es-ES_tradnl" w:eastAsia="es-ES"/>
              </w:rPr>
              <w:t xml:space="preserve">IV. </w:t>
            </w:r>
            <w:r w:rsidR="00CB69D0" w:rsidRPr="00265631">
              <w:rPr>
                <w:rStyle w:val="Hipervnculo"/>
                <w:rFonts w:ascii="Palatino Linotype" w:hAnsi="Palatino Linotype"/>
                <w:b/>
                <w:noProof/>
                <w:sz w:val="21"/>
                <w:szCs w:val="21"/>
              </w:rPr>
              <w:t>De las áreas de donación y equipamiento urbano.</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_Toc21701094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36</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5" w:history="1">
            <w:r w:rsidR="00CB69D0" w:rsidRPr="00265631">
              <w:rPr>
                <w:rStyle w:val="Hipervnculo"/>
                <w:rFonts w:ascii="Palatino Linotype" w:eastAsia="Times New Roman" w:hAnsi="Palatino Linotype" w:cstheme="majorBidi"/>
                <w:b/>
                <w:noProof/>
                <w:sz w:val="21"/>
                <w:szCs w:val="21"/>
                <w:lang w:val="es-ES_tradnl" w:eastAsia="es-ES"/>
              </w:rPr>
              <w:t xml:space="preserve">V. </w:t>
            </w:r>
            <w:r w:rsidR="00CB69D0" w:rsidRPr="00265631">
              <w:rPr>
                <w:rStyle w:val="Hipervnculo"/>
                <w:rFonts w:ascii="Palatino Linotype" w:hAnsi="Palatino Linotype"/>
                <w:b/>
                <w:noProof/>
                <w:sz w:val="21"/>
                <w:szCs w:val="21"/>
              </w:rPr>
              <w:t>De la publicación del acuerdo de autorización en el Periódico Oficial “Gaceta del Gobierno” del Estado de México.</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_Toc21701095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45</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6" w:history="1">
            <w:r w:rsidR="00CB69D0" w:rsidRPr="00265631">
              <w:rPr>
                <w:rStyle w:val="Hipervnculo"/>
                <w:rFonts w:ascii="Palatino Linotype" w:eastAsia="Times New Roman" w:hAnsi="Palatino Linotype" w:cstheme="majorBidi"/>
                <w:b/>
                <w:noProof/>
                <w:sz w:val="21"/>
                <w:szCs w:val="21"/>
                <w:lang w:val="es-ES_tradnl" w:eastAsia="es-ES"/>
              </w:rPr>
              <w:t xml:space="preserve">VI. </w:t>
            </w:r>
            <w:r w:rsidR="00CB69D0" w:rsidRPr="00265631">
              <w:rPr>
                <w:rStyle w:val="Hipervnculo"/>
                <w:rFonts w:ascii="Palatino Linotype" w:hAnsi="Palatino Linotype"/>
                <w:b/>
                <w:noProof/>
                <w:sz w:val="21"/>
                <w:szCs w:val="21"/>
              </w:rPr>
              <w:t>De la Comisión del Agua del Estado de México (CAEM)</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_Toc21701096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47</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tabs>
              <w:tab w:val="left" w:pos="440"/>
            </w:tabs>
            <w:rPr>
              <w:rFonts w:ascii="Palatino Linotype" w:eastAsiaTheme="minorEastAsia" w:hAnsi="Palatino Linotype"/>
              <w:noProof/>
              <w:sz w:val="21"/>
              <w:szCs w:val="21"/>
              <w:lang w:eastAsia="es-MX"/>
            </w:rPr>
          </w:pPr>
          <w:hyperlink w:anchor="_Toc21701097" w:history="1">
            <w:r w:rsidR="00CB69D0" w:rsidRPr="00265631">
              <w:rPr>
                <w:rStyle w:val="Hipervnculo"/>
                <w:rFonts w:ascii="Palatino Linotype" w:hAnsi="Palatino Linotype"/>
                <w:b/>
                <w:noProof/>
                <w:sz w:val="21"/>
                <w:szCs w:val="21"/>
              </w:rPr>
              <w:t>a)</w:t>
            </w:r>
            <w:r w:rsidR="00CB69D0" w:rsidRPr="00265631">
              <w:rPr>
                <w:rFonts w:ascii="Palatino Linotype" w:eastAsiaTheme="minorEastAsia" w:hAnsi="Palatino Linotype"/>
                <w:noProof/>
                <w:sz w:val="21"/>
                <w:szCs w:val="21"/>
                <w:lang w:eastAsia="es-MX"/>
              </w:rPr>
              <w:tab/>
            </w:r>
            <w:r w:rsidR="00CB69D0" w:rsidRPr="00265631">
              <w:rPr>
                <w:rStyle w:val="Hipervnculo"/>
                <w:rFonts w:ascii="Palatino Linotype" w:hAnsi="Palatino Linotype"/>
                <w:b/>
                <w:noProof/>
                <w:sz w:val="21"/>
                <w:szCs w:val="21"/>
              </w:rPr>
              <w:t>Del Acuerdo de Incompetencia.</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_Toc21701097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59</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8" w:history="1">
            <w:r w:rsidR="00CB69D0" w:rsidRPr="00265631">
              <w:rPr>
                <w:rStyle w:val="Hipervnculo"/>
                <w:rFonts w:ascii="Palatino Linotype" w:hAnsi="Palatino Linotype" w:cs="Times New Roman"/>
                <w:b/>
                <w:noProof/>
                <w:sz w:val="21"/>
                <w:szCs w:val="21"/>
                <w:lang w:eastAsia="es-ES_tradnl"/>
              </w:rPr>
              <w:t xml:space="preserve">QUINTO. </w:t>
            </w:r>
            <w:r w:rsidR="00CB69D0" w:rsidRPr="00265631">
              <w:rPr>
                <w:rStyle w:val="Hipervnculo"/>
                <w:rFonts w:ascii="Palatino Linotype" w:hAnsi="Palatino Linotype"/>
                <w:b/>
                <w:noProof/>
                <w:sz w:val="21"/>
                <w:szCs w:val="21"/>
              </w:rPr>
              <w:t xml:space="preserve"> De la elaboración de la versión pública.</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_Toc21701098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62</w:t>
            </w:r>
            <w:r w:rsidR="00CB69D0" w:rsidRPr="00265631">
              <w:rPr>
                <w:rFonts w:ascii="Palatino Linotype" w:hAnsi="Palatino Linotype"/>
                <w:noProof/>
                <w:webHidden/>
                <w:sz w:val="21"/>
                <w:szCs w:val="21"/>
              </w:rPr>
              <w:fldChar w:fldCharType="end"/>
            </w:r>
          </w:hyperlink>
        </w:p>
        <w:p w:rsidR="00CB69D0" w:rsidRPr="00265631" w:rsidRDefault="00173915" w:rsidP="00265631">
          <w:pPr>
            <w:pStyle w:val="TDC1"/>
            <w:rPr>
              <w:rFonts w:ascii="Palatino Linotype" w:eastAsiaTheme="minorEastAsia" w:hAnsi="Palatino Linotype"/>
              <w:noProof/>
              <w:sz w:val="21"/>
              <w:szCs w:val="21"/>
              <w:lang w:eastAsia="es-MX"/>
            </w:rPr>
          </w:pPr>
          <w:hyperlink w:anchor="_Toc21701099" w:history="1">
            <w:r w:rsidR="00CB69D0" w:rsidRPr="00265631">
              <w:rPr>
                <w:rStyle w:val="Hipervnculo"/>
                <w:rFonts w:ascii="Palatino Linotype" w:eastAsia="Times New Roman" w:hAnsi="Palatino Linotype" w:cstheme="majorBidi"/>
                <w:b/>
                <w:noProof/>
                <w:sz w:val="21"/>
                <w:szCs w:val="21"/>
                <w:lang w:val="es-ES_tradnl" w:eastAsia="es-ES"/>
              </w:rPr>
              <w:t>R E S O L U T I V O S</w:t>
            </w:r>
            <w:r w:rsidR="00CB69D0" w:rsidRPr="00265631">
              <w:rPr>
                <w:rFonts w:ascii="Palatino Linotype" w:hAnsi="Palatino Linotype"/>
                <w:noProof/>
                <w:webHidden/>
                <w:sz w:val="21"/>
                <w:szCs w:val="21"/>
              </w:rPr>
              <w:tab/>
            </w:r>
            <w:r w:rsidR="00CB69D0" w:rsidRPr="00265631">
              <w:rPr>
                <w:rFonts w:ascii="Palatino Linotype" w:hAnsi="Palatino Linotype"/>
                <w:noProof/>
                <w:webHidden/>
                <w:sz w:val="21"/>
                <w:szCs w:val="21"/>
              </w:rPr>
              <w:fldChar w:fldCharType="begin"/>
            </w:r>
            <w:r w:rsidR="00CB69D0" w:rsidRPr="00265631">
              <w:rPr>
                <w:rFonts w:ascii="Palatino Linotype" w:hAnsi="Palatino Linotype"/>
                <w:noProof/>
                <w:webHidden/>
                <w:sz w:val="21"/>
                <w:szCs w:val="21"/>
              </w:rPr>
              <w:instrText xml:space="preserve"> PAGEREF _Toc21701099 \h </w:instrText>
            </w:r>
            <w:r w:rsidR="00CB69D0" w:rsidRPr="00265631">
              <w:rPr>
                <w:rFonts w:ascii="Palatino Linotype" w:hAnsi="Palatino Linotype"/>
                <w:noProof/>
                <w:webHidden/>
                <w:sz w:val="21"/>
                <w:szCs w:val="21"/>
              </w:rPr>
            </w:r>
            <w:r w:rsidR="00CB69D0" w:rsidRPr="00265631">
              <w:rPr>
                <w:rFonts w:ascii="Palatino Linotype" w:hAnsi="Palatino Linotype"/>
                <w:noProof/>
                <w:webHidden/>
                <w:sz w:val="21"/>
                <w:szCs w:val="21"/>
              </w:rPr>
              <w:fldChar w:fldCharType="separate"/>
            </w:r>
            <w:r w:rsidR="00A82A0B">
              <w:rPr>
                <w:rFonts w:ascii="Palatino Linotype" w:hAnsi="Palatino Linotype"/>
                <w:noProof/>
                <w:webHidden/>
                <w:sz w:val="21"/>
                <w:szCs w:val="21"/>
              </w:rPr>
              <w:t>69</w:t>
            </w:r>
            <w:r w:rsidR="00CB69D0" w:rsidRPr="00265631">
              <w:rPr>
                <w:rFonts w:ascii="Palatino Linotype" w:hAnsi="Palatino Linotype"/>
                <w:noProof/>
                <w:webHidden/>
                <w:sz w:val="21"/>
                <w:szCs w:val="21"/>
              </w:rPr>
              <w:fldChar w:fldCharType="end"/>
            </w:r>
          </w:hyperlink>
        </w:p>
        <w:p w:rsidR="00C317BE" w:rsidRPr="00265631" w:rsidRDefault="00B85136" w:rsidP="00265631">
          <w:pPr>
            <w:spacing w:after="0" w:line="360" w:lineRule="auto"/>
            <w:rPr>
              <w:rFonts w:ascii="Palatino Linotype" w:hAnsi="Palatino Linotype"/>
              <w:sz w:val="24"/>
              <w:szCs w:val="24"/>
            </w:rPr>
          </w:pPr>
          <w:r w:rsidRPr="00265631">
            <w:rPr>
              <w:rFonts w:ascii="Palatino Linotype" w:hAnsi="Palatino Linotype"/>
              <w:b/>
              <w:bCs/>
              <w:sz w:val="21"/>
              <w:szCs w:val="21"/>
              <w:lang w:val="es-ES"/>
            </w:rPr>
            <w:fldChar w:fldCharType="end"/>
          </w:r>
        </w:p>
      </w:sdtContent>
    </w:sdt>
    <w:p w:rsidR="00C07697" w:rsidRPr="00265631" w:rsidRDefault="00792776" w:rsidP="00265631">
      <w:pPr>
        <w:spacing w:after="0" w:line="360" w:lineRule="auto"/>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265631">
        <w:rPr>
          <w:rFonts w:ascii="Palatino Linotype" w:eastAsia="MS Mincho" w:hAnsi="Palatino Linotype" w:cs="Times New Roman"/>
          <w:sz w:val="24"/>
          <w:szCs w:val="24"/>
          <w:lang w:val="es-ES_tradnl" w:eastAsia="es-ES"/>
        </w:rPr>
        <w:t xml:space="preserve"> fecha dieciséis (16) de octubre</w:t>
      </w:r>
      <w:r w:rsidR="00AB56C1" w:rsidRPr="00265631">
        <w:rPr>
          <w:rFonts w:ascii="Palatino Linotype" w:eastAsia="MS Mincho" w:hAnsi="Palatino Linotype" w:cs="Times New Roman"/>
          <w:sz w:val="24"/>
          <w:szCs w:val="24"/>
          <w:lang w:val="es-ES_tradnl" w:eastAsia="es-ES"/>
        </w:rPr>
        <w:t xml:space="preserve"> </w:t>
      </w:r>
      <w:r w:rsidR="00265631">
        <w:rPr>
          <w:rFonts w:ascii="Palatino Linotype" w:eastAsia="MS Mincho" w:hAnsi="Palatino Linotype" w:cs="Times New Roman"/>
          <w:sz w:val="24"/>
          <w:szCs w:val="24"/>
          <w:lang w:val="es-ES_tradnl" w:eastAsia="es-ES"/>
        </w:rPr>
        <w:t>de dos mil diecinueve</w:t>
      </w:r>
      <w:r w:rsidR="00FF1477" w:rsidRPr="00265631">
        <w:rPr>
          <w:rFonts w:ascii="Palatino Linotype" w:eastAsia="MS Mincho" w:hAnsi="Palatino Linotype" w:cs="Times New Roman"/>
          <w:sz w:val="24"/>
          <w:szCs w:val="24"/>
          <w:lang w:val="es-ES_tradnl" w:eastAsia="es-ES"/>
        </w:rPr>
        <w:t>.</w:t>
      </w:r>
    </w:p>
    <w:p w:rsidR="00FF1477" w:rsidRPr="00265631" w:rsidRDefault="00FF1477" w:rsidP="00265631">
      <w:pPr>
        <w:spacing w:after="0" w:line="360" w:lineRule="auto"/>
        <w:jc w:val="both"/>
        <w:rPr>
          <w:rFonts w:ascii="Palatino Linotype" w:eastAsia="MS Mincho" w:hAnsi="Palatino Linotype" w:cs="Times New Roman"/>
          <w:sz w:val="24"/>
          <w:szCs w:val="24"/>
          <w:lang w:val="es-ES_tradnl" w:eastAsia="es-ES"/>
        </w:rPr>
      </w:pPr>
    </w:p>
    <w:p w:rsidR="00792776" w:rsidRPr="00265631" w:rsidRDefault="00792776" w:rsidP="00265631">
      <w:pPr>
        <w:spacing w:after="0" w:line="360" w:lineRule="auto"/>
        <w:jc w:val="both"/>
        <w:rPr>
          <w:rFonts w:ascii="Palatino Linotype" w:hAnsi="Palatino Linotype"/>
          <w:b/>
          <w:sz w:val="24"/>
          <w:szCs w:val="24"/>
        </w:rPr>
      </w:pPr>
      <w:r w:rsidRPr="00265631">
        <w:rPr>
          <w:rFonts w:ascii="Palatino Linotype" w:eastAsia="MS Mincho" w:hAnsi="Palatino Linotype" w:cs="Times New Roman"/>
          <w:b/>
          <w:sz w:val="24"/>
          <w:szCs w:val="24"/>
          <w:lang w:val="es-ES_tradnl" w:eastAsia="es-ES"/>
        </w:rPr>
        <w:t>VISTO</w:t>
      </w:r>
      <w:r w:rsidRPr="00265631">
        <w:rPr>
          <w:rFonts w:ascii="Palatino Linotype" w:eastAsia="MS Mincho" w:hAnsi="Palatino Linotype" w:cs="Times New Roman"/>
          <w:sz w:val="24"/>
          <w:szCs w:val="24"/>
          <w:lang w:val="es-ES_tradnl" w:eastAsia="es-ES"/>
        </w:rPr>
        <w:t xml:space="preserve"> el expediente electrónico formado con motivo del recurso de</w:t>
      </w:r>
      <w:r w:rsidR="00B63653" w:rsidRPr="00265631">
        <w:rPr>
          <w:rFonts w:ascii="Palatino Linotype" w:eastAsia="MS Mincho" w:hAnsi="Palatino Linotype" w:cs="Times New Roman"/>
          <w:sz w:val="24"/>
          <w:szCs w:val="24"/>
          <w:lang w:val="es-ES_tradnl" w:eastAsia="es-ES"/>
        </w:rPr>
        <w:t xml:space="preserve"> revisión</w:t>
      </w:r>
      <w:r w:rsidR="00B63653" w:rsidRPr="00265631">
        <w:rPr>
          <w:rFonts w:ascii="Palatino Linotype" w:eastAsia="MS Mincho" w:hAnsi="Palatino Linotype" w:cs="Arial"/>
          <w:b/>
          <w:bCs/>
          <w:sz w:val="24"/>
          <w:szCs w:val="24"/>
          <w:lang w:val="es-ES_tradnl" w:eastAsia="es-ES"/>
        </w:rPr>
        <w:t xml:space="preserve">, </w:t>
      </w:r>
      <w:r w:rsidR="00836903" w:rsidRPr="00265631">
        <w:rPr>
          <w:rFonts w:ascii="Palatino Linotype" w:hAnsi="Palatino Linotype" w:cs="Arial"/>
          <w:b/>
          <w:bCs/>
          <w:sz w:val="24"/>
          <w:szCs w:val="24"/>
          <w:lang w:eastAsia="es-MX"/>
        </w:rPr>
        <w:t>0</w:t>
      </w:r>
      <w:r w:rsidR="00853887" w:rsidRPr="00265631">
        <w:rPr>
          <w:rFonts w:ascii="Palatino Linotype" w:hAnsi="Palatino Linotype" w:cs="Arial"/>
          <w:b/>
          <w:bCs/>
          <w:sz w:val="24"/>
          <w:szCs w:val="24"/>
          <w:lang w:eastAsia="es-MX"/>
        </w:rPr>
        <w:t>6658</w:t>
      </w:r>
      <w:r w:rsidR="00F40914" w:rsidRPr="00265631">
        <w:rPr>
          <w:rFonts w:ascii="Palatino Linotype" w:hAnsi="Palatino Linotype" w:cs="Arial"/>
          <w:b/>
          <w:bCs/>
          <w:sz w:val="24"/>
          <w:szCs w:val="24"/>
          <w:lang w:eastAsia="es-MX"/>
        </w:rPr>
        <w:t xml:space="preserve">/INFOEM/IP/RR/2019 </w:t>
      </w:r>
      <w:r w:rsidRPr="00265631">
        <w:rPr>
          <w:rFonts w:ascii="Palatino Linotype" w:eastAsia="MS Mincho" w:hAnsi="Palatino Linotype" w:cs="Times New Roman"/>
          <w:sz w:val="24"/>
          <w:szCs w:val="24"/>
          <w:lang w:val="es-ES_tradnl" w:eastAsia="es-ES"/>
        </w:rPr>
        <w:t>promovido por</w:t>
      </w:r>
      <w:r w:rsidR="00DE6C7D" w:rsidRPr="00265631">
        <w:rPr>
          <w:rFonts w:ascii="Palatino Linotype" w:hAnsi="Palatino Linotype"/>
          <w:b/>
          <w:sz w:val="24"/>
          <w:szCs w:val="24"/>
        </w:rPr>
        <w:t xml:space="preserve"> </w:t>
      </w:r>
      <w:r w:rsidR="003C79DF" w:rsidRPr="003C79DF">
        <w:rPr>
          <w:rFonts w:ascii="Palatino Linotype" w:hAnsi="Palatino Linotype"/>
          <w:b/>
          <w:sz w:val="24"/>
          <w:szCs w:val="24"/>
          <w:highlight w:val="black"/>
        </w:rPr>
        <w:t>--------------------------------------------</w:t>
      </w:r>
      <w:r w:rsidR="00853887" w:rsidRPr="003C79DF">
        <w:rPr>
          <w:rFonts w:ascii="Palatino Linotype" w:hAnsi="Palatino Linotype"/>
          <w:b/>
          <w:sz w:val="24"/>
          <w:szCs w:val="24"/>
          <w:highlight w:val="black"/>
        </w:rPr>
        <w:t xml:space="preserve"> </w:t>
      </w:r>
      <w:r w:rsidR="003C79DF" w:rsidRPr="003C79DF">
        <w:rPr>
          <w:rFonts w:ascii="Palatino Linotype" w:hAnsi="Palatino Linotype"/>
          <w:b/>
          <w:sz w:val="24"/>
          <w:szCs w:val="24"/>
          <w:highlight w:val="black"/>
        </w:rPr>
        <w:t>----------------------------------------</w:t>
      </w:r>
      <w:r w:rsidR="009617E8" w:rsidRPr="00265631">
        <w:rPr>
          <w:rFonts w:ascii="Palatino Linotype" w:hAnsi="Palatino Linotype"/>
          <w:b/>
          <w:sz w:val="24"/>
          <w:szCs w:val="24"/>
        </w:rPr>
        <w:t xml:space="preserve">, </w:t>
      </w:r>
      <w:r w:rsidR="009617E8" w:rsidRPr="00265631">
        <w:rPr>
          <w:rFonts w:ascii="Palatino Linotype" w:hAnsi="Palatino Linotype"/>
          <w:bCs/>
          <w:sz w:val="24"/>
          <w:szCs w:val="24"/>
        </w:rPr>
        <w:t xml:space="preserve">que </w:t>
      </w:r>
      <w:r w:rsidR="00CC02A3" w:rsidRPr="00265631">
        <w:rPr>
          <w:rFonts w:ascii="Palatino Linotype" w:hAnsi="Palatino Linotype"/>
          <w:bCs/>
          <w:sz w:val="24"/>
          <w:szCs w:val="24"/>
        </w:rPr>
        <w:t>en lo sucesivo será identificado</w:t>
      </w:r>
      <w:r w:rsidR="00836903" w:rsidRPr="00265631">
        <w:rPr>
          <w:rFonts w:ascii="Palatino Linotype" w:hAnsi="Palatino Linotype"/>
          <w:b/>
          <w:sz w:val="24"/>
          <w:szCs w:val="24"/>
        </w:rPr>
        <w:t xml:space="preserve"> </w:t>
      </w:r>
      <w:r w:rsidRPr="00265631">
        <w:rPr>
          <w:rFonts w:ascii="Palatino Linotype" w:eastAsia="MS Mincho" w:hAnsi="Palatino Linotype" w:cs="Arial"/>
          <w:sz w:val="24"/>
          <w:szCs w:val="24"/>
          <w:lang w:val="es-ES_tradnl" w:eastAsia="es-ES"/>
        </w:rPr>
        <w:t xml:space="preserve">en su calidad de </w:t>
      </w:r>
      <w:r w:rsidRPr="00265631">
        <w:rPr>
          <w:rFonts w:ascii="Palatino Linotype" w:eastAsia="MS Mincho" w:hAnsi="Palatino Linotype" w:cs="Arial"/>
          <w:b/>
          <w:sz w:val="24"/>
          <w:szCs w:val="24"/>
          <w:lang w:val="es-ES_tradnl" w:eastAsia="es-ES"/>
        </w:rPr>
        <w:t>RECURRENTE</w:t>
      </w:r>
      <w:r w:rsidRPr="00265631">
        <w:rPr>
          <w:rFonts w:ascii="Palatino Linotype" w:eastAsia="MS Mincho" w:hAnsi="Palatino Linotype" w:cs="Arial"/>
          <w:sz w:val="24"/>
          <w:szCs w:val="24"/>
          <w:lang w:val="es-ES_tradnl" w:eastAsia="es-ES"/>
        </w:rPr>
        <w:t xml:space="preserve">, en contra de </w:t>
      </w:r>
      <w:r w:rsidR="005E7BEE" w:rsidRPr="00265631">
        <w:rPr>
          <w:rFonts w:ascii="Palatino Linotype" w:eastAsia="MS Mincho" w:hAnsi="Palatino Linotype" w:cs="Arial"/>
          <w:sz w:val="24"/>
          <w:szCs w:val="24"/>
          <w:lang w:val="es-ES_tradnl" w:eastAsia="es-ES"/>
        </w:rPr>
        <w:t>la respuesta de</w:t>
      </w:r>
      <w:r w:rsidR="009617E8" w:rsidRPr="00265631">
        <w:rPr>
          <w:rFonts w:ascii="Palatino Linotype" w:eastAsia="MS Mincho" w:hAnsi="Palatino Linotype" w:cs="Arial"/>
          <w:sz w:val="24"/>
          <w:szCs w:val="24"/>
          <w:lang w:val="es-ES_tradnl" w:eastAsia="es-ES"/>
        </w:rPr>
        <w:t>l</w:t>
      </w:r>
      <w:r w:rsidR="00B63653" w:rsidRPr="00265631">
        <w:rPr>
          <w:rFonts w:ascii="Palatino Linotype" w:eastAsia="MS Mincho" w:hAnsi="Palatino Linotype" w:cs="Arial"/>
          <w:sz w:val="24"/>
          <w:szCs w:val="24"/>
          <w:lang w:val="es-ES_tradnl" w:eastAsia="es-ES"/>
        </w:rPr>
        <w:t xml:space="preserve"> </w:t>
      </w:r>
      <w:r w:rsidR="009617E8" w:rsidRPr="00265631">
        <w:rPr>
          <w:rFonts w:ascii="Palatino Linotype" w:eastAsia="MS Mincho" w:hAnsi="Palatino Linotype" w:cs="Arial"/>
          <w:b/>
          <w:sz w:val="24"/>
          <w:szCs w:val="24"/>
          <w:lang w:val="es-ES_tradnl" w:eastAsia="es-ES"/>
        </w:rPr>
        <w:t xml:space="preserve">Ayuntamiento de </w:t>
      </w:r>
      <w:r w:rsidR="00853887" w:rsidRPr="00265631">
        <w:rPr>
          <w:rFonts w:ascii="Palatino Linotype" w:eastAsia="MS Mincho" w:hAnsi="Palatino Linotype" w:cs="Arial"/>
          <w:b/>
          <w:sz w:val="24"/>
          <w:szCs w:val="24"/>
          <w:lang w:val="es-ES_tradnl" w:eastAsia="es-ES"/>
        </w:rPr>
        <w:t>Nicolás Romer</w:t>
      </w:r>
      <w:r w:rsidR="009617E8" w:rsidRPr="00265631">
        <w:rPr>
          <w:rFonts w:ascii="Palatino Linotype" w:eastAsia="MS Mincho" w:hAnsi="Palatino Linotype" w:cs="Arial"/>
          <w:b/>
          <w:sz w:val="24"/>
          <w:szCs w:val="24"/>
          <w:lang w:val="es-ES_tradnl" w:eastAsia="es-ES"/>
        </w:rPr>
        <w:t xml:space="preserve">o </w:t>
      </w:r>
      <w:r w:rsidRPr="00265631">
        <w:rPr>
          <w:rFonts w:ascii="Palatino Linotype" w:eastAsia="MS Mincho" w:hAnsi="Palatino Linotype" w:cs="Times New Roman"/>
          <w:sz w:val="24"/>
          <w:szCs w:val="24"/>
          <w:lang w:val="es-ES_tradnl" w:eastAsia="es-ES"/>
        </w:rPr>
        <w:t>en lo sucesivo el</w:t>
      </w:r>
      <w:r w:rsidRPr="00265631">
        <w:rPr>
          <w:rFonts w:ascii="Palatino Linotype" w:eastAsia="MS Mincho" w:hAnsi="Palatino Linotype" w:cs="Times New Roman"/>
          <w:b/>
          <w:sz w:val="24"/>
          <w:szCs w:val="24"/>
          <w:lang w:val="es-ES_tradnl" w:eastAsia="es-ES"/>
        </w:rPr>
        <w:t xml:space="preserve"> SUJETO OBLIGADO, </w:t>
      </w:r>
      <w:r w:rsidRPr="00265631">
        <w:rPr>
          <w:rFonts w:ascii="Palatino Linotype" w:eastAsia="MS Mincho" w:hAnsi="Palatino Linotype" w:cs="Times New Roman"/>
          <w:sz w:val="24"/>
          <w:szCs w:val="24"/>
          <w:lang w:val="es-ES_tradnl" w:eastAsia="es-ES"/>
        </w:rPr>
        <w:t>se procede a dictar la presente resolución, con base en los siguientes:</w:t>
      </w:r>
    </w:p>
    <w:p w:rsidR="005E7BEE" w:rsidRPr="00265631" w:rsidRDefault="005E7BEE" w:rsidP="00265631">
      <w:pPr>
        <w:spacing w:after="0" w:line="360" w:lineRule="auto"/>
        <w:jc w:val="both"/>
        <w:rPr>
          <w:rFonts w:ascii="Palatino Linotype" w:eastAsia="MS Mincho" w:hAnsi="Palatino Linotype" w:cs="Times New Roman"/>
          <w:b/>
          <w:sz w:val="24"/>
          <w:szCs w:val="24"/>
          <w:lang w:val="es-ES_tradnl" w:eastAsia="es-ES"/>
        </w:rPr>
      </w:pPr>
    </w:p>
    <w:p w:rsidR="00792776" w:rsidRPr="00265631" w:rsidRDefault="00792776" w:rsidP="00265631">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1701083"/>
      <w:r w:rsidRPr="00265631">
        <w:rPr>
          <w:rFonts w:ascii="Palatino Linotype" w:eastAsia="MS Gothic" w:hAnsi="Palatino Linotype" w:cs="Times New Roman"/>
          <w:b/>
          <w:sz w:val="24"/>
          <w:szCs w:val="24"/>
          <w:lang w:val="de-DE"/>
        </w:rPr>
        <w:t>A N T E C E D E N T E S</w:t>
      </w:r>
      <w:bookmarkEnd w:id="0"/>
    </w:p>
    <w:p w:rsidR="00792776" w:rsidRPr="00265631" w:rsidRDefault="00792776" w:rsidP="00265631">
      <w:pPr>
        <w:spacing w:after="0" w:line="360" w:lineRule="auto"/>
        <w:rPr>
          <w:rFonts w:ascii="Palatino Linotype" w:hAnsi="Palatino Linotype"/>
          <w:sz w:val="24"/>
          <w:szCs w:val="24"/>
          <w:lang w:val="de-DE"/>
        </w:rPr>
      </w:pPr>
    </w:p>
    <w:p w:rsidR="00792776" w:rsidRPr="00265631" w:rsidRDefault="00792776" w:rsidP="0026563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65631">
        <w:rPr>
          <w:rFonts w:ascii="Palatino Linotype" w:eastAsia="Calibri" w:hAnsi="Palatino Linotype" w:cs="Arial"/>
          <w:sz w:val="24"/>
          <w:szCs w:val="24"/>
          <w:lang w:val="es-ES" w:eastAsia="es-ES"/>
        </w:rPr>
        <w:t>El día</w:t>
      </w:r>
      <w:r w:rsidR="00B63653" w:rsidRPr="00265631">
        <w:rPr>
          <w:rFonts w:ascii="Palatino Linotype" w:eastAsia="Calibri" w:hAnsi="Palatino Linotype" w:cs="Arial"/>
          <w:sz w:val="24"/>
          <w:szCs w:val="24"/>
          <w:lang w:val="es-ES" w:eastAsia="es-ES"/>
        </w:rPr>
        <w:t xml:space="preserve"> </w:t>
      </w:r>
      <w:r w:rsidR="00853887" w:rsidRPr="00265631">
        <w:rPr>
          <w:rFonts w:ascii="Palatino Linotype" w:eastAsia="Calibri" w:hAnsi="Palatino Linotype" w:cs="Arial"/>
          <w:sz w:val="24"/>
          <w:szCs w:val="24"/>
          <w:lang w:val="es-ES" w:eastAsia="es-ES"/>
        </w:rPr>
        <w:t xml:space="preserve">once </w:t>
      </w:r>
      <w:r w:rsidR="00C25D6B" w:rsidRPr="00265631">
        <w:rPr>
          <w:rFonts w:ascii="Palatino Linotype" w:eastAsia="Times New Roman" w:hAnsi="Palatino Linotype" w:cs="Arial"/>
          <w:sz w:val="24"/>
          <w:szCs w:val="24"/>
          <w:lang w:val="es-ES" w:eastAsia="es-ES"/>
        </w:rPr>
        <w:t>(</w:t>
      </w:r>
      <w:r w:rsidR="00853887" w:rsidRPr="00265631">
        <w:rPr>
          <w:rFonts w:ascii="Palatino Linotype" w:eastAsia="Times New Roman" w:hAnsi="Palatino Linotype" w:cs="Arial"/>
          <w:sz w:val="24"/>
          <w:szCs w:val="24"/>
          <w:lang w:val="es-ES" w:eastAsia="es-ES"/>
        </w:rPr>
        <w:t>11</w:t>
      </w:r>
      <w:r w:rsidR="00960D99" w:rsidRPr="00265631">
        <w:rPr>
          <w:rFonts w:ascii="Palatino Linotype" w:eastAsia="Times New Roman" w:hAnsi="Palatino Linotype" w:cs="Arial"/>
          <w:sz w:val="24"/>
          <w:szCs w:val="24"/>
          <w:lang w:val="es-ES" w:eastAsia="es-ES"/>
        </w:rPr>
        <w:t>) d</w:t>
      </w:r>
      <w:r w:rsidR="00836903" w:rsidRPr="00265631">
        <w:rPr>
          <w:rFonts w:ascii="Palatino Linotype" w:eastAsia="Times New Roman" w:hAnsi="Palatino Linotype" w:cs="Arial"/>
          <w:sz w:val="24"/>
          <w:szCs w:val="24"/>
          <w:lang w:val="es-ES" w:eastAsia="es-ES"/>
        </w:rPr>
        <w:t xml:space="preserve">e </w:t>
      </w:r>
      <w:r w:rsidR="00853887" w:rsidRPr="00265631">
        <w:rPr>
          <w:rFonts w:ascii="Palatino Linotype" w:eastAsia="Times New Roman" w:hAnsi="Palatino Linotype" w:cs="Arial"/>
          <w:sz w:val="24"/>
          <w:szCs w:val="24"/>
          <w:lang w:val="es-ES" w:eastAsia="es-ES"/>
        </w:rPr>
        <w:t>julio</w:t>
      </w:r>
      <w:r w:rsidR="00F40914" w:rsidRPr="00265631">
        <w:rPr>
          <w:rFonts w:ascii="Palatino Linotype" w:eastAsia="Times New Roman" w:hAnsi="Palatino Linotype" w:cs="Arial"/>
          <w:sz w:val="24"/>
          <w:szCs w:val="24"/>
          <w:lang w:val="es-ES" w:eastAsia="es-ES"/>
        </w:rPr>
        <w:t xml:space="preserve"> de dos mil diecinueve</w:t>
      </w:r>
      <w:r w:rsidRPr="00265631">
        <w:rPr>
          <w:rFonts w:ascii="Palatino Linotype" w:eastAsia="Calibri" w:hAnsi="Palatino Linotype" w:cs="Arial"/>
          <w:sz w:val="24"/>
          <w:szCs w:val="24"/>
          <w:lang w:val="es-ES" w:eastAsia="es-ES"/>
        </w:rPr>
        <w:t>,</w:t>
      </w:r>
      <w:r w:rsidRPr="00265631">
        <w:rPr>
          <w:rFonts w:ascii="Palatino Linotype" w:eastAsia="Calibri" w:hAnsi="Palatino Linotype" w:cs="Times New Roman"/>
          <w:sz w:val="24"/>
          <w:szCs w:val="24"/>
          <w:lang w:val="es-ES" w:eastAsia="es-ES"/>
        </w:rPr>
        <w:t xml:space="preserve"> se presentó </w:t>
      </w:r>
      <w:r w:rsidRPr="00265631">
        <w:rPr>
          <w:rFonts w:ascii="Palatino Linotype" w:eastAsia="Calibri" w:hAnsi="Palatino Linotype" w:cs="Arial"/>
          <w:sz w:val="24"/>
          <w:szCs w:val="24"/>
          <w:lang w:val="es-ES" w:eastAsia="es-ES"/>
        </w:rPr>
        <w:t xml:space="preserve">ante el </w:t>
      </w:r>
      <w:r w:rsidRPr="00265631">
        <w:rPr>
          <w:rFonts w:ascii="Palatino Linotype" w:eastAsia="Calibri" w:hAnsi="Palatino Linotype" w:cs="Arial"/>
          <w:b/>
          <w:sz w:val="24"/>
          <w:szCs w:val="24"/>
          <w:lang w:val="es-ES" w:eastAsia="es-ES"/>
        </w:rPr>
        <w:t>SUJETO OBLIGADO</w:t>
      </w:r>
      <w:r w:rsidRPr="00265631">
        <w:rPr>
          <w:rFonts w:ascii="Palatino Linotype" w:eastAsia="Calibri" w:hAnsi="Palatino Linotype" w:cs="Arial"/>
          <w:sz w:val="24"/>
          <w:szCs w:val="24"/>
          <w:lang w:val="es-ES_tradnl" w:eastAsia="es-ES"/>
        </w:rPr>
        <w:t xml:space="preserve"> </w:t>
      </w:r>
      <w:r w:rsidR="00C317BE" w:rsidRPr="00265631">
        <w:rPr>
          <w:rFonts w:ascii="Palatino Linotype" w:eastAsia="Calibri" w:hAnsi="Palatino Linotype" w:cs="Arial"/>
          <w:sz w:val="24"/>
          <w:szCs w:val="24"/>
          <w:lang w:val="es-ES_tradnl" w:eastAsia="es-ES"/>
        </w:rPr>
        <w:t>a través de la Plataforma Nacional de Transparencia (PNT) quedando registrada en el</w:t>
      </w:r>
      <w:r w:rsidRPr="00265631">
        <w:rPr>
          <w:rFonts w:ascii="Palatino Linotype" w:eastAsia="Calibri" w:hAnsi="Palatino Linotype" w:cs="Arial"/>
          <w:sz w:val="24"/>
          <w:szCs w:val="24"/>
          <w:lang w:val="es-ES_tradnl" w:eastAsia="es-ES"/>
        </w:rPr>
        <w:t xml:space="preserve"> </w:t>
      </w:r>
      <w:r w:rsidRPr="00265631">
        <w:rPr>
          <w:rFonts w:ascii="Palatino Linotype" w:eastAsia="Calibri" w:hAnsi="Palatino Linotype" w:cs="Arial"/>
          <w:sz w:val="24"/>
          <w:szCs w:val="24"/>
          <w:lang w:val="es-ES" w:eastAsia="es-ES"/>
        </w:rPr>
        <w:t xml:space="preserve">Sistema de Acceso a la Información Mexiquense </w:t>
      </w:r>
      <w:r w:rsidRPr="00265631">
        <w:rPr>
          <w:rFonts w:ascii="Palatino Linotype" w:eastAsia="Calibri" w:hAnsi="Palatino Linotype" w:cs="Arial"/>
          <w:b/>
          <w:sz w:val="24"/>
          <w:szCs w:val="24"/>
          <w:lang w:val="es-ES" w:eastAsia="es-ES"/>
        </w:rPr>
        <w:t>SAIMEX</w:t>
      </w:r>
      <w:r w:rsidRPr="00265631">
        <w:rPr>
          <w:rFonts w:ascii="Palatino Linotype" w:eastAsia="Calibri" w:hAnsi="Palatino Linotype" w:cs="Arial"/>
          <w:sz w:val="24"/>
          <w:szCs w:val="24"/>
          <w:lang w:val="es-ES" w:eastAsia="es-ES"/>
        </w:rPr>
        <w:t>, la solicitud de infor</w:t>
      </w:r>
      <w:r w:rsidR="005D1CFC" w:rsidRPr="00265631">
        <w:rPr>
          <w:rFonts w:ascii="Palatino Linotype" w:eastAsia="Calibri" w:hAnsi="Palatino Linotype" w:cs="Arial"/>
          <w:sz w:val="24"/>
          <w:szCs w:val="24"/>
          <w:lang w:val="es-ES" w:eastAsia="es-ES"/>
        </w:rPr>
        <w:t>m</w:t>
      </w:r>
      <w:r w:rsidR="00F40914" w:rsidRPr="00265631">
        <w:rPr>
          <w:rFonts w:ascii="Palatino Linotype" w:eastAsia="Calibri" w:hAnsi="Palatino Linotype" w:cs="Arial"/>
          <w:sz w:val="24"/>
          <w:szCs w:val="24"/>
          <w:lang w:val="es-ES" w:eastAsia="es-ES"/>
        </w:rPr>
        <w:t>ación pública registrada con el número</w:t>
      </w:r>
      <w:r w:rsidR="005D1CFC" w:rsidRPr="00265631">
        <w:rPr>
          <w:rFonts w:ascii="Palatino Linotype" w:eastAsia="Calibri" w:hAnsi="Palatino Linotype" w:cs="Arial"/>
          <w:sz w:val="24"/>
          <w:szCs w:val="24"/>
          <w:lang w:val="es-ES" w:eastAsia="es-ES"/>
        </w:rPr>
        <w:t xml:space="preserve"> </w:t>
      </w:r>
      <w:r w:rsidR="00C25D6B" w:rsidRPr="00265631">
        <w:rPr>
          <w:rFonts w:ascii="Palatino Linotype" w:eastAsia="Times New Roman" w:hAnsi="Palatino Linotype" w:cs="Arial"/>
          <w:b/>
          <w:bCs/>
          <w:sz w:val="24"/>
          <w:szCs w:val="24"/>
          <w:lang w:eastAsia="es-ES"/>
        </w:rPr>
        <w:t>00</w:t>
      </w:r>
      <w:r w:rsidR="00853887" w:rsidRPr="00265631">
        <w:rPr>
          <w:rFonts w:ascii="Palatino Linotype" w:eastAsia="Times New Roman" w:hAnsi="Palatino Linotype" w:cs="Arial"/>
          <w:b/>
          <w:bCs/>
          <w:sz w:val="24"/>
          <w:szCs w:val="24"/>
          <w:lang w:eastAsia="es-ES"/>
        </w:rPr>
        <w:t>475</w:t>
      </w:r>
      <w:r w:rsidR="00836903" w:rsidRPr="00265631">
        <w:rPr>
          <w:rFonts w:ascii="Palatino Linotype" w:eastAsia="Times New Roman" w:hAnsi="Palatino Linotype" w:cs="Arial"/>
          <w:b/>
          <w:bCs/>
          <w:sz w:val="24"/>
          <w:szCs w:val="24"/>
          <w:lang w:eastAsia="es-ES"/>
        </w:rPr>
        <w:t>/</w:t>
      </w:r>
      <w:r w:rsidR="00853887" w:rsidRPr="00265631">
        <w:rPr>
          <w:rFonts w:ascii="Palatino Linotype" w:eastAsia="Times New Roman" w:hAnsi="Palatino Linotype" w:cs="Arial"/>
          <w:b/>
          <w:bCs/>
          <w:sz w:val="24"/>
          <w:szCs w:val="24"/>
          <w:lang w:eastAsia="es-ES"/>
        </w:rPr>
        <w:t>NICOROM</w:t>
      </w:r>
      <w:r w:rsidR="00C64E0E" w:rsidRPr="00265631">
        <w:rPr>
          <w:rFonts w:ascii="Palatino Linotype" w:eastAsia="Times New Roman" w:hAnsi="Palatino Linotype" w:cs="Arial"/>
          <w:b/>
          <w:bCs/>
          <w:sz w:val="24"/>
          <w:szCs w:val="24"/>
          <w:lang w:eastAsia="es-ES"/>
        </w:rPr>
        <w:t>/IP/201</w:t>
      </w:r>
      <w:r w:rsidR="00F40914" w:rsidRPr="00265631">
        <w:rPr>
          <w:rFonts w:ascii="Palatino Linotype" w:eastAsia="Times New Roman" w:hAnsi="Palatino Linotype" w:cs="Arial"/>
          <w:b/>
          <w:bCs/>
          <w:sz w:val="24"/>
          <w:szCs w:val="24"/>
          <w:lang w:eastAsia="es-ES"/>
        </w:rPr>
        <w:t>9</w:t>
      </w:r>
      <w:r w:rsidR="00F40914" w:rsidRPr="00265631">
        <w:rPr>
          <w:rFonts w:ascii="Palatino Linotype" w:eastAsia="MS Mincho" w:hAnsi="Palatino Linotype" w:cs="Times New Roman"/>
          <w:b/>
          <w:bCs/>
          <w:sz w:val="24"/>
          <w:szCs w:val="24"/>
          <w:lang w:val="es-ES_tradnl" w:eastAsia="es-ES"/>
        </w:rPr>
        <w:t xml:space="preserve"> </w:t>
      </w:r>
      <w:r w:rsidRPr="00265631">
        <w:rPr>
          <w:rFonts w:ascii="Palatino Linotype" w:eastAsia="Calibri" w:hAnsi="Palatino Linotype" w:cs="Arial"/>
          <w:sz w:val="24"/>
          <w:szCs w:val="24"/>
          <w:lang w:val="es-ES" w:eastAsia="es-ES"/>
        </w:rPr>
        <w:t>mediante la cual solicitó:</w:t>
      </w:r>
    </w:p>
    <w:p w:rsidR="004A3422" w:rsidRPr="00265631" w:rsidRDefault="004A3422" w:rsidP="00265631">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265631" w:rsidRDefault="00853887" w:rsidP="00265631">
      <w:pPr>
        <w:pStyle w:val="Prrafodelista"/>
        <w:spacing w:after="0" w:line="360" w:lineRule="auto"/>
        <w:ind w:left="567" w:right="567"/>
        <w:jc w:val="both"/>
        <w:rPr>
          <w:rFonts w:ascii="Palatino Linotype" w:hAnsi="Palatino Linotype"/>
          <w:i/>
          <w:iCs/>
          <w:color w:val="000000"/>
          <w:sz w:val="24"/>
          <w:szCs w:val="24"/>
        </w:rPr>
      </w:pPr>
      <w:r w:rsidRPr="00265631">
        <w:rPr>
          <w:rFonts w:ascii="Palatino Linotype" w:hAnsi="Palatino Linotype"/>
          <w:i/>
          <w:iCs/>
          <w:color w:val="000000"/>
          <w:sz w:val="24"/>
          <w:szCs w:val="24"/>
        </w:rPr>
        <w:t xml:space="preserve">“Proporcionar copia, completa y legible de todos los dictámenes como Impacto Regional o Único de factibilidad, evaluaciones y/o resolutivos emitidos en </w:t>
      </w:r>
      <w:r w:rsidRPr="00265631">
        <w:rPr>
          <w:rFonts w:ascii="Palatino Linotype" w:hAnsi="Palatino Linotype"/>
          <w:i/>
          <w:iCs/>
          <w:color w:val="000000"/>
          <w:sz w:val="24"/>
          <w:szCs w:val="24"/>
        </w:rPr>
        <w:lastRenderedPageBreak/>
        <w:t xml:space="preserve">materia de Impacto Ambiental, Urbano, Protección Civil, y Vialidad, así como los instrumentos de áreas de donación y equipamiento urbano por los cuales se autorizó en sus diversas etapas y manzanas la construcción </w:t>
      </w:r>
      <w:bookmarkStart w:id="1" w:name="_Hlk21605782"/>
      <w:r w:rsidRPr="00265631">
        <w:rPr>
          <w:rFonts w:ascii="Palatino Linotype" w:hAnsi="Palatino Linotype"/>
          <w:i/>
          <w:iCs/>
          <w:color w:val="000000"/>
          <w:sz w:val="24"/>
          <w:szCs w:val="24"/>
        </w:rPr>
        <w:t>del conjunto Urbano de tipo Interés Social denominado LA GUADALUPANA DEL LAGO, conocido comercialmente como COLONIAL DEL LAGO, ubicado en el Municipio de Nicolás Romero, Estado de México,</w:t>
      </w:r>
      <w:bookmarkEnd w:id="1"/>
      <w:r w:rsidRPr="00265631">
        <w:rPr>
          <w:rFonts w:ascii="Palatino Linotype" w:hAnsi="Palatino Linotype"/>
          <w:i/>
          <w:iCs/>
          <w:color w:val="000000"/>
          <w:sz w:val="24"/>
          <w:szCs w:val="24"/>
        </w:rPr>
        <w:t xml:space="preserve"> así como el estatus a la fecha de la presente solicitud del cumplimiento de las condicionantes a las que se sujetaron las diversas autorizaciones; para el caso de permuta de cumplimiento de obligaciones y/o condicionantes también proporcionar copia simple de éstas. Proporcionar la referencia de la Gaceta Oficial por la cual se autoriza cada una de las etapas por manzana de dicho proyecto. Proporcionar Evaluación de Manifestación de Impacto Ambiental de la Planta de Tratamiento del Conjunto y acuerdos de entrega de equipamiento urbano al Municipio de Nicolás Romero. De la CAEM la factibilidad del servicio en cada una de las etapas del proyecto y el respectivo pago en bloque y </w:t>
      </w:r>
      <w:proofErr w:type="spellStart"/>
      <w:r w:rsidRPr="00265631">
        <w:rPr>
          <w:rFonts w:ascii="Palatino Linotype" w:hAnsi="Palatino Linotype"/>
          <w:i/>
          <w:iCs/>
          <w:color w:val="000000"/>
          <w:sz w:val="24"/>
          <w:szCs w:val="24"/>
        </w:rPr>
        <w:t>volumenes</w:t>
      </w:r>
      <w:proofErr w:type="spellEnd"/>
      <w:r w:rsidRPr="00265631">
        <w:rPr>
          <w:rFonts w:ascii="Palatino Linotype" w:hAnsi="Palatino Linotype"/>
          <w:i/>
          <w:iCs/>
          <w:color w:val="000000"/>
          <w:sz w:val="24"/>
          <w:szCs w:val="24"/>
        </w:rPr>
        <w:t xml:space="preserve"> autorizados, y de la Coordinación General de Protección Civil</w:t>
      </w:r>
      <w:r w:rsidR="00836903" w:rsidRPr="00265631">
        <w:rPr>
          <w:rFonts w:ascii="Palatino Linotype" w:hAnsi="Palatino Linotype"/>
          <w:i/>
          <w:iCs/>
          <w:color w:val="000000"/>
          <w:sz w:val="24"/>
          <w:szCs w:val="24"/>
        </w:rPr>
        <w:t xml:space="preserve">”. </w:t>
      </w:r>
      <w:r w:rsidR="00C64E0E" w:rsidRPr="00265631">
        <w:rPr>
          <w:rFonts w:ascii="Palatino Linotype" w:hAnsi="Palatino Linotype"/>
          <w:i/>
          <w:iCs/>
          <w:color w:val="000000"/>
          <w:sz w:val="24"/>
          <w:szCs w:val="24"/>
        </w:rPr>
        <w:t>(</w:t>
      </w:r>
      <w:r w:rsidR="00792776" w:rsidRPr="00265631">
        <w:rPr>
          <w:rFonts w:ascii="Palatino Linotype" w:hAnsi="Palatino Linotype"/>
          <w:i/>
          <w:iCs/>
          <w:color w:val="000000"/>
          <w:sz w:val="24"/>
          <w:szCs w:val="24"/>
        </w:rPr>
        <w:t>Sic)</w:t>
      </w:r>
    </w:p>
    <w:p w:rsidR="004653A7" w:rsidRPr="00265631" w:rsidRDefault="004653A7" w:rsidP="00265631">
      <w:pPr>
        <w:spacing w:after="0" w:line="360" w:lineRule="auto"/>
        <w:ind w:right="567"/>
        <w:contextualSpacing/>
        <w:jc w:val="both"/>
        <w:rPr>
          <w:rFonts w:ascii="Palatino Linotype" w:eastAsia="Times New Roman" w:hAnsi="Palatino Linotype" w:cs="Arial"/>
          <w:sz w:val="24"/>
          <w:szCs w:val="24"/>
          <w:lang w:val="es-ES" w:eastAsia="es-ES"/>
        </w:rPr>
      </w:pPr>
    </w:p>
    <w:p w:rsidR="004A2FBC" w:rsidRPr="00265631" w:rsidRDefault="004A2FBC" w:rsidP="00265631">
      <w:pPr>
        <w:spacing w:after="0" w:line="360" w:lineRule="auto"/>
        <w:ind w:right="567"/>
        <w:contextualSpacing/>
        <w:jc w:val="both"/>
        <w:rPr>
          <w:rFonts w:ascii="Palatino Linotype" w:eastAsia="Times New Roman" w:hAnsi="Palatino Linotype" w:cs="Arial"/>
          <w:sz w:val="24"/>
          <w:szCs w:val="24"/>
          <w:lang w:val="es-ES" w:eastAsia="es-ES"/>
        </w:rPr>
      </w:pPr>
      <w:r w:rsidRPr="00265631">
        <w:rPr>
          <w:rFonts w:ascii="Palatino Linotype" w:eastAsia="Times New Roman" w:hAnsi="Palatino Linotype" w:cs="Arial"/>
          <w:sz w:val="24"/>
          <w:szCs w:val="24"/>
          <w:lang w:val="es-ES" w:eastAsia="es-ES"/>
        </w:rPr>
        <w:t xml:space="preserve">Anexando para tal efecto un archivo adjunto, el cual contiene la Gaceta del Gobierno de fecha dieciocho (18) de abril de dos mil dos. </w:t>
      </w:r>
    </w:p>
    <w:p w:rsidR="004A2FBC" w:rsidRPr="00265631" w:rsidRDefault="004A2FBC" w:rsidP="00265631">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265631" w:rsidRDefault="005D1CFC" w:rsidP="00265631">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265631">
        <w:rPr>
          <w:rFonts w:ascii="Palatino Linotype" w:eastAsia="Times New Roman" w:hAnsi="Palatino Linotype" w:cs="Arial"/>
          <w:sz w:val="24"/>
          <w:szCs w:val="24"/>
          <w:lang w:val="es-ES" w:eastAsia="es-ES"/>
        </w:rPr>
        <w:t>Se señaló</w:t>
      </w:r>
      <w:r w:rsidR="00792776" w:rsidRPr="00265631">
        <w:rPr>
          <w:rFonts w:ascii="Palatino Linotype" w:eastAsia="Times New Roman" w:hAnsi="Palatino Linotype" w:cs="Arial"/>
          <w:sz w:val="24"/>
          <w:szCs w:val="24"/>
          <w:lang w:val="es-ES" w:eastAsia="es-ES"/>
        </w:rPr>
        <w:t xml:space="preserve"> como modalidad de entrega de la información</w:t>
      </w:r>
      <w:r w:rsidR="00792776" w:rsidRPr="00265631">
        <w:rPr>
          <w:rFonts w:ascii="Palatino Linotype" w:eastAsia="Times New Roman" w:hAnsi="Palatino Linotype" w:cs="Arial"/>
          <w:b/>
          <w:sz w:val="24"/>
          <w:szCs w:val="24"/>
          <w:lang w:val="es-ES" w:eastAsia="es-ES"/>
        </w:rPr>
        <w:t>:</w:t>
      </w:r>
      <w:r w:rsidR="00792776" w:rsidRPr="00265631">
        <w:rPr>
          <w:rFonts w:ascii="Palatino Linotype" w:eastAsia="Times New Roman" w:hAnsi="Palatino Linotype" w:cs="Arial"/>
          <w:sz w:val="24"/>
          <w:szCs w:val="24"/>
          <w:lang w:val="es-ES" w:eastAsia="es-ES"/>
        </w:rPr>
        <w:t xml:space="preserve"> </w:t>
      </w:r>
      <w:r w:rsidR="00792776" w:rsidRPr="00265631">
        <w:rPr>
          <w:rFonts w:ascii="Palatino Linotype" w:eastAsia="Times New Roman" w:hAnsi="Palatino Linotype" w:cs="Arial"/>
          <w:b/>
          <w:sz w:val="24"/>
          <w:szCs w:val="24"/>
          <w:lang w:val="es-ES" w:eastAsia="es-ES"/>
        </w:rPr>
        <w:t>a través del SAIMEX</w:t>
      </w:r>
      <w:r w:rsidR="00792776" w:rsidRPr="00265631">
        <w:rPr>
          <w:rFonts w:ascii="Palatino Linotype" w:eastAsia="MS Mincho" w:hAnsi="Palatino Linotype" w:cs="Times New Roman"/>
          <w:b/>
          <w:color w:val="000000"/>
          <w:sz w:val="24"/>
          <w:szCs w:val="24"/>
          <w:lang w:val="es-ES_tradnl" w:eastAsia="es-ES"/>
        </w:rPr>
        <w:t>.</w:t>
      </w:r>
    </w:p>
    <w:p w:rsidR="00836903" w:rsidRPr="00265631" w:rsidRDefault="00836903" w:rsidP="00265631">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265631" w:rsidRDefault="00792776" w:rsidP="0026563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65631">
        <w:rPr>
          <w:rFonts w:ascii="Palatino Linotype" w:eastAsia="Calibri" w:hAnsi="Palatino Linotype" w:cs="Arial"/>
          <w:sz w:val="24"/>
          <w:szCs w:val="24"/>
          <w:lang w:val="es-ES" w:eastAsia="es-ES"/>
        </w:rPr>
        <w:t xml:space="preserve">EI </w:t>
      </w:r>
      <w:r w:rsidRPr="00265631">
        <w:rPr>
          <w:rFonts w:ascii="Palatino Linotype" w:eastAsia="Calibri" w:hAnsi="Palatino Linotype" w:cs="Arial"/>
          <w:b/>
          <w:sz w:val="24"/>
          <w:szCs w:val="24"/>
          <w:lang w:val="es-ES" w:eastAsia="es-ES"/>
        </w:rPr>
        <w:t>SUJETO OBLIGADO</w:t>
      </w:r>
      <w:r w:rsidRPr="00265631">
        <w:rPr>
          <w:rFonts w:ascii="Palatino Linotype" w:eastAsia="Calibri" w:hAnsi="Palatino Linotype" w:cs="Arial"/>
          <w:sz w:val="24"/>
          <w:szCs w:val="24"/>
          <w:lang w:val="es-ES" w:eastAsia="es-ES"/>
        </w:rPr>
        <w:t xml:space="preserve"> </w:t>
      </w:r>
      <w:r w:rsidR="004A3422" w:rsidRPr="00265631">
        <w:rPr>
          <w:rFonts w:ascii="Palatino Linotype" w:eastAsia="Calibri" w:hAnsi="Palatino Linotype" w:cs="Arial"/>
          <w:sz w:val="24"/>
          <w:szCs w:val="24"/>
          <w:lang w:val="es-ES" w:eastAsia="es-ES"/>
        </w:rPr>
        <w:t>el</w:t>
      </w:r>
      <w:r w:rsidR="002A6380" w:rsidRPr="00265631">
        <w:rPr>
          <w:rFonts w:ascii="Palatino Linotype" w:eastAsia="Calibri" w:hAnsi="Palatino Linotype" w:cs="Arial"/>
          <w:sz w:val="24"/>
          <w:szCs w:val="24"/>
          <w:lang w:val="es-ES" w:eastAsia="es-ES"/>
        </w:rPr>
        <w:t xml:space="preserve"> día</w:t>
      </w:r>
      <w:r w:rsidR="001C516D" w:rsidRPr="00265631">
        <w:rPr>
          <w:rFonts w:ascii="Palatino Linotype" w:eastAsia="MS Mincho" w:hAnsi="Palatino Linotype" w:cs="Arial"/>
          <w:sz w:val="24"/>
          <w:szCs w:val="24"/>
          <w:lang w:val="es-ES_tradnl" w:eastAsia="es-ES"/>
        </w:rPr>
        <w:t xml:space="preserve"> </w:t>
      </w:r>
      <w:r w:rsidR="00853887" w:rsidRPr="00265631">
        <w:rPr>
          <w:rFonts w:ascii="Palatino Linotype" w:eastAsia="MS Mincho" w:hAnsi="Palatino Linotype" w:cs="Arial"/>
          <w:sz w:val="24"/>
          <w:szCs w:val="24"/>
          <w:lang w:val="es-ES_tradnl" w:eastAsia="es-ES"/>
        </w:rPr>
        <w:t>catorce</w:t>
      </w:r>
      <w:r w:rsidR="00836903" w:rsidRPr="00265631">
        <w:rPr>
          <w:rFonts w:ascii="Palatino Linotype" w:eastAsia="Calibri" w:hAnsi="Palatino Linotype" w:cs="Arial"/>
          <w:sz w:val="24"/>
          <w:szCs w:val="24"/>
          <w:lang w:val="es-ES" w:eastAsia="es-ES"/>
        </w:rPr>
        <w:t xml:space="preserve"> </w:t>
      </w:r>
      <w:r w:rsidR="00351415" w:rsidRPr="00265631">
        <w:rPr>
          <w:rFonts w:ascii="Palatino Linotype" w:eastAsia="Calibri" w:hAnsi="Palatino Linotype" w:cs="Arial"/>
          <w:sz w:val="24"/>
          <w:szCs w:val="24"/>
          <w:lang w:val="es-ES" w:eastAsia="es-ES"/>
        </w:rPr>
        <w:t>(</w:t>
      </w:r>
      <w:r w:rsidR="00853887" w:rsidRPr="00265631">
        <w:rPr>
          <w:rFonts w:ascii="Palatino Linotype" w:eastAsia="Calibri" w:hAnsi="Palatino Linotype" w:cs="Arial"/>
          <w:sz w:val="24"/>
          <w:szCs w:val="24"/>
          <w:lang w:val="es-ES" w:eastAsia="es-ES"/>
        </w:rPr>
        <w:t>14</w:t>
      </w:r>
      <w:r w:rsidR="00351415" w:rsidRPr="00265631">
        <w:rPr>
          <w:rFonts w:ascii="Palatino Linotype" w:eastAsia="Calibri" w:hAnsi="Palatino Linotype" w:cs="Arial"/>
          <w:sz w:val="24"/>
          <w:szCs w:val="24"/>
          <w:lang w:val="es-ES" w:eastAsia="es-ES"/>
        </w:rPr>
        <w:t xml:space="preserve">) de </w:t>
      </w:r>
      <w:r w:rsidR="00853887" w:rsidRPr="00265631">
        <w:rPr>
          <w:rFonts w:ascii="Palatino Linotype" w:eastAsia="Calibri" w:hAnsi="Palatino Linotype" w:cs="Arial"/>
          <w:sz w:val="24"/>
          <w:szCs w:val="24"/>
          <w:lang w:val="es-ES" w:eastAsia="es-ES"/>
        </w:rPr>
        <w:t>agosto</w:t>
      </w:r>
      <w:r w:rsidR="00351415" w:rsidRPr="00265631">
        <w:rPr>
          <w:rFonts w:ascii="Palatino Linotype" w:eastAsia="Calibri" w:hAnsi="Palatino Linotype" w:cs="Arial"/>
          <w:sz w:val="24"/>
          <w:szCs w:val="24"/>
          <w:lang w:val="es-ES" w:eastAsia="es-ES"/>
        </w:rPr>
        <w:t xml:space="preserve"> de dos mil</w:t>
      </w:r>
      <w:r w:rsidR="00836903" w:rsidRPr="00265631">
        <w:rPr>
          <w:rFonts w:ascii="Palatino Linotype" w:eastAsia="Calibri" w:hAnsi="Palatino Linotype" w:cs="Arial"/>
          <w:sz w:val="24"/>
          <w:szCs w:val="24"/>
          <w:lang w:val="es-ES" w:eastAsia="es-ES"/>
        </w:rPr>
        <w:t xml:space="preserve"> diecinueve</w:t>
      </w:r>
      <w:r w:rsidR="00351415" w:rsidRPr="00265631">
        <w:rPr>
          <w:rFonts w:ascii="Palatino Linotype" w:eastAsia="Calibri" w:hAnsi="Palatino Linotype" w:cs="Arial"/>
          <w:sz w:val="24"/>
          <w:szCs w:val="24"/>
          <w:lang w:val="es-ES" w:eastAsia="es-ES"/>
        </w:rPr>
        <w:t xml:space="preserve"> </w:t>
      </w:r>
      <w:r w:rsidR="001C516D" w:rsidRPr="00265631">
        <w:rPr>
          <w:rFonts w:ascii="Palatino Linotype" w:eastAsia="Calibri" w:hAnsi="Palatino Linotype" w:cs="Arial"/>
          <w:sz w:val="24"/>
          <w:szCs w:val="24"/>
          <w:lang w:val="es-ES" w:eastAsia="es-ES"/>
        </w:rPr>
        <w:t xml:space="preserve">en respuesta a la solicitud de información señaló lo siguiente: </w:t>
      </w:r>
    </w:p>
    <w:p w:rsidR="00351415" w:rsidRPr="00265631" w:rsidRDefault="00351415" w:rsidP="00265631">
      <w:pPr>
        <w:spacing w:after="0" w:line="360" w:lineRule="auto"/>
        <w:ind w:left="-851" w:right="34"/>
        <w:contextualSpacing/>
        <w:jc w:val="both"/>
        <w:rPr>
          <w:rFonts w:ascii="Palatino Linotype" w:eastAsia="MS Mincho" w:hAnsi="Palatino Linotype" w:cs="Arial"/>
          <w:sz w:val="24"/>
          <w:szCs w:val="24"/>
          <w:lang w:val="es-ES_tradnl" w:eastAsia="es-ES"/>
        </w:rPr>
      </w:pPr>
    </w:p>
    <w:tbl>
      <w:tblPr>
        <w:tblW w:w="8804" w:type="dxa"/>
        <w:tblCellSpacing w:w="0" w:type="dxa"/>
        <w:tblCellMar>
          <w:left w:w="0" w:type="dxa"/>
          <w:right w:w="0" w:type="dxa"/>
        </w:tblCellMar>
        <w:tblLook w:val="04A0" w:firstRow="1" w:lastRow="0" w:firstColumn="1" w:lastColumn="0" w:noHBand="0" w:noVBand="1"/>
      </w:tblPr>
      <w:tblGrid>
        <w:gridCol w:w="8804"/>
      </w:tblGrid>
      <w:tr w:rsidR="00853887" w:rsidRPr="00265631" w:rsidTr="00853887">
        <w:trPr>
          <w:trHeight w:val="300"/>
          <w:tblCellSpacing w:w="0" w:type="dxa"/>
        </w:trPr>
        <w:tc>
          <w:tcPr>
            <w:tcW w:w="8804" w:type="dxa"/>
            <w:vAlign w:val="center"/>
            <w:hideMark/>
          </w:tcPr>
          <w:p w:rsidR="00853887" w:rsidRPr="00265631" w:rsidRDefault="00853887" w:rsidP="00265631">
            <w:pPr>
              <w:spacing w:after="0" w:line="360" w:lineRule="auto"/>
              <w:jc w:val="right"/>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Nicolás Romero, México a 14 de Agosto de 2019</w:t>
            </w:r>
          </w:p>
        </w:tc>
      </w:tr>
      <w:tr w:rsidR="00853887" w:rsidRPr="00265631" w:rsidTr="00853887">
        <w:trPr>
          <w:trHeight w:val="300"/>
          <w:tblCellSpacing w:w="0" w:type="dxa"/>
        </w:trPr>
        <w:tc>
          <w:tcPr>
            <w:tcW w:w="8804" w:type="dxa"/>
            <w:vAlign w:val="center"/>
            <w:hideMark/>
          </w:tcPr>
          <w:p w:rsidR="00853887" w:rsidRPr="00265631" w:rsidRDefault="00853887" w:rsidP="006B3925">
            <w:pPr>
              <w:spacing w:after="0" w:line="360" w:lineRule="auto"/>
              <w:jc w:val="right"/>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 xml:space="preserve">Nombre del solicitante: </w:t>
            </w:r>
            <w:r w:rsidR="006B3925" w:rsidRPr="006B3925">
              <w:rPr>
                <w:rFonts w:ascii="Palatino Linotype" w:eastAsia="Times New Roman" w:hAnsi="Palatino Linotype" w:cs="Times New Roman"/>
                <w:sz w:val="24"/>
                <w:szCs w:val="24"/>
                <w:highlight w:val="black"/>
                <w:lang w:eastAsia="es-MX"/>
              </w:rPr>
              <w:t>-------------------------------------------------------------------------</w:t>
            </w:r>
          </w:p>
        </w:tc>
      </w:tr>
      <w:tr w:rsidR="00853887" w:rsidRPr="00265631" w:rsidTr="00853887">
        <w:trPr>
          <w:trHeight w:val="300"/>
          <w:tblCellSpacing w:w="0" w:type="dxa"/>
        </w:trPr>
        <w:tc>
          <w:tcPr>
            <w:tcW w:w="8804" w:type="dxa"/>
            <w:vAlign w:val="center"/>
            <w:hideMark/>
          </w:tcPr>
          <w:p w:rsidR="00853887" w:rsidRPr="00265631" w:rsidRDefault="00853887" w:rsidP="00265631">
            <w:pPr>
              <w:spacing w:after="0" w:line="360" w:lineRule="auto"/>
              <w:jc w:val="right"/>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Folio de la solicitud: 00475/NICOROM/IP/2019</w:t>
            </w:r>
          </w:p>
        </w:tc>
      </w:tr>
      <w:tr w:rsidR="00853887" w:rsidRPr="00265631" w:rsidTr="00853887">
        <w:trPr>
          <w:trHeight w:val="450"/>
          <w:tblCellSpacing w:w="0" w:type="dxa"/>
        </w:trPr>
        <w:tc>
          <w:tcPr>
            <w:tcW w:w="8804" w:type="dxa"/>
            <w:vAlign w:val="center"/>
            <w:hideMark/>
          </w:tcPr>
          <w:p w:rsidR="00853887" w:rsidRPr="00265631" w:rsidRDefault="00853887" w:rsidP="00265631">
            <w:pPr>
              <w:spacing w:after="0" w:line="360" w:lineRule="auto"/>
              <w:jc w:val="right"/>
              <w:rPr>
                <w:rFonts w:ascii="Palatino Linotype" w:eastAsia="Times New Roman" w:hAnsi="Palatino Linotype" w:cs="Times New Roman"/>
                <w:sz w:val="24"/>
                <w:szCs w:val="24"/>
                <w:lang w:eastAsia="es-MX"/>
              </w:rPr>
            </w:pPr>
          </w:p>
        </w:tc>
      </w:tr>
      <w:tr w:rsidR="00853887" w:rsidRPr="00265631" w:rsidTr="00853887">
        <w:trPr>
          <w:trHeight w:val="150"/>
          <w:tblCellSpacing w:w="0" w:type="dxa"/>
        </w:trPr>
        <w:tc>
          <w:tcPr>
            <w:tcW w:w="8804" w:type="dxa"/>
            <w:vAlign w:val="center"/>
            <w:hideMark/>
          </w:tcPr>
          <w:p w:rsidR="00853887" w:rsidRPr="00265631" w:rsidRDefault="00853887" w:rsidP="00265631">
            <w:pPr>
              <w:spacing w:after="0" w:line="360" w:lineRule="auto"/>
              <w:jc w:val="both"/>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53887" w:rsidRPr="00265631" w:rsidTr="00853887">
        <w:trPr>
          <w:trHeight w:val="375"/>
          <w:tblCellSpacing w:w="0" w:type="dxa"/>
        </w:trPr>
        <w:tc>
          <w:tcPr>
            <w:tcW w:w="8804" w:type="dxa"/>
            <w:vAlign w:val="center"/>
            <w:hideMark/>
          </w:tcPr>
          <w:p w:rsidR="00853887" w:rsidRPr="00265631" w:rsidRDefault="00853887" w:rsidP="00265631">
            <w:pPr>
              <w:spacing w:after="0" w:line="360" w:lineRule="auto"/>
              <w:rPr>
                <w:rFonts w:ascii="Palatino Linotype" w:eastAsia="Times New Roman" w:hAnsi="Palatino Linotype" w:cs="Times New Roman"/>
                <w:sz w:val="24"/>
                <w:szCs w:val="24"/>
                <w:lang w:eastAsia="es-MX"/>
              </w:rPr>
            </w:pPr>
          </w:p>
        </w:tc>
      </w:tr>
      <w:tr w:rsidR="00853887" w:rsidRPr="00265631" w:rsidTr="00853887">
        <w:trPr>
          <w:trHeight w:val="150"/>
          <w:tblCellSpacing w:w="0" w:type="dxa"/>
        </w:trPr>
        <w:tc>
          <w:tcPr>
            <w:tcW w:w="8804" w:type="dxa"/>
            <w:vAlign w:val="center"/>
            <w:hideMark/>
          </w:tcPr>
          <w:p w:rsidR="00853887" w:rsidRPr="00265631" w:rsidRDefault="00853887" w:rsidP="00265631">
            <w:pPr>
              <w:spacing w:after="0" w:line="360" w:lineRule="auto"/>
              <w:jc w:val="both"/>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 xml:space="preserve">Por este medio me permito enviarle la respuesta a su solicitud. Sin </w:t>
            </w:r>
            <w:proofErr w:type="spellStart"/>
            <w:proofErr w:type="gramStart"/>
            <w:r w:rsidRPr="00265631">
              <w:rPr>
                <w:rFonts w:ascii="Palatino Linotype" w:eastAsia="Times New Roman" w:hAnsi="Palatino Linotype" w:cs="Times New Roman"/>
                <w:sz w:val="24"/>
                <w:szCs w:val="24"/>
                <w:lang w:eastAsia="es-MX"/>
              </w:rPr>
              <w:t>mas</w:t>
            </w:r>
            <w:proofErr w:type="spellEnd"/>
            <w:proofErr w:type="gramEnd"/>
            <w:r w:rsidRPr="00265631">
              <w:rPr>
                <w:rFonts w:ascii="Palatino Linotype" w:eastAsia="Times New Roman" w:hAnsi="Palatino Linotype" w:cs="Times New Roman"/>
                <w:sz w:val="24"/>
                <w:szCs w:val="24"/>
                <w:lang w:eastAsia="es-MX"/>
              </w:rPr>
              <w:t xml:space="preserve"> por el momento, reciba un cordial saludo.</w:t>
            </w:r>
          </w:p>
        </w:tc>
      </w:tr>
      <w:tr w:rsidR="00853887" w:rsidRPr="00265631" w:rsidTr="00853887">
        <w:trPr>
          <w:trHeight w:val="150"/>
          <w:tblCellSpacing w:w="0" w:type="dxa"/>
        </w:trPr>
        <w:tc>
          <w:tcPr>
            <w:tcW w:w="8804" w:type="dxa"/>
            <w:vAlign w:val="center"/>
            <w:hideMark/>
          </w:tcPr>
          <w:p w:rsidR="00853887" w:rsidRPr="00265631" w:rsidRDefault="00853887" w:rsidP="00265631">
            <w:pPr>
              <w:spacing w:after="0" w:line="360" w:lineRule="auto"/>
              <w:rPr>
                <w:rFonts w:ascii="Palatino Linotype" w:eastAsia="Times New Roman" w:hAnsi="Palatino Linotype" w:cs="Times New Roman"/>
                <w:sz w:val="24"/>
                <w:szCs w:val="24"/>
                <w:lang w:eastAsia="es-MX"/>
              </w:rPr>
            </w:pPr>
          </w:p>
        </w:tc>
      </w:tr>
      <w:tr w:rsidR="00853887" w:rsidRPr="00265631" w:rsidTr="00853887">
        <w:trPr>
          <w:trHeight w:val="150"/>
          <w:tblCellSpacing w:w="0" w:type="dxa"/>
        </w:trPr>
        <w:tc>
          <w:tcPr>
            <w:tcW w:w="8804" w:type="dxa"/>
            <w:vAlign w:val="center"/>
            <w:hideMark/>
          </w:tcPr>
          <w:p w:rsidR="00853887" w:rsidRPr="00265631" w:rsidRDefault="00853887" w:rsidP="00265631">
            <w:pPr>
              <w:spacing w:after="0" w:line="360" w:lineRule="auto"/>
              <w:jc w:val="center"/>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ATENTAMENTE</w:t>
            </w:r>
          </w:p>
        </w:tc>
      </w:tr>
      <w:tr w:rsidR="00853887" w:rsidRPr="00265631" w:rsidTr="00853887">
        <w:trPr>
          <w:trHeight w:val="225"/>
          <w:tblCellSpacing w:w="0" w:type="dxa"/>
        </w:trPr>
        <w:tc>
          <w:tcPr>
            <w:tcW w:w="8804" w:type="dxa"/>
            <w:vAlign w:val="center"/>
            <w:hideMark/>
          </w:tcPr>
          <w:p w:rsidR="00853887" w:rsidRPr="00265631" w:rsidRDefault="00853887" w:rsidP="00265631">
            <w:pPr>
              <w:spacing w:after="0" w:line="360" w:lineRule="auto"/>
              <w:jc w:val="center"/>
              <w:rPr>
                <w:rFonts w:ascii="Palatino Linotype" w:eastAsia="Times New Roman" w:hAnsi="Palatino Linotype" w:cs="Times New Roman"/>
                <w:sz w:val="24"/>
                <w:szCs w:val="24"/>
                <w:lang w:eastAsia="es-MX"/>
              </w:rPr>
            </w:pPr>
          </w:p>
        </w:tc>
      </w:tr>
      <w:tr w:rsidR="00853887" w:rsidRPr="00265631" w:rsidTr="00853887">
        <w:trPr>
          <w:trHeight w:val="150"/>
          <w:tblCellSpacing w:w="0" w:type="dxa"/>
        </w:trPr>
        <w:tc>
          <w:tcPr>
            <w:tcW w:w="8804" w:type="dxa"/>
            <w:vAlign w:val="center"/>
            <w:hideMark/>
          </w:tcPr>
          <w:p w:rsidR="00853887" w:rsidRPr="00265631" w:rsidRDefault="00853887" w:rsidP="00265631">
            <w:pPr>
              <w:spacing w:after="0" w:line="360" w:lineRule="auto"/>
              <w:jc w:val="center"/>
              <w:rPr>
                <w:rFonts w:ascii="Palatino Linotype" w:eastAsia="Times New Roman" w:hAnsi="Palatino Linotype" w:cs="Times New Roman"/>
                <w:sz w:val="24"/>
                <w:szCs w:val="24"/>
                <w:lang w:eastAsia="es-MX"/>
              </w:rPr>
            </w:pPr>
            <w:r w:rsidRPr="00265631">
              <w:rPr>
                <w:rFonts w:ascii="Palatino Linotype" w:eastAsia="Times New Roman" w:hAnsi="Palatino Linotype" w:cs="Times New Roman"/>
                <w:sz w:val="24"/>
                <w:szCs w:val="24"/>
                <w:lang w:eastAsia="es-MX"/>
              </w:rPr>
              <w:t>LIC. ALFONSO HERNANDEZ GASCA</w:t>
            </w:r>
          </w:p>
        </w:tc>
      </w:tr>
    </w:tbl>
    <w:p w:rsidR="001C516D" w:rsidRPr="00265631" w:rsidRDefault="001C516D" w:rsidP="00265631">
      <w:pPr>
        <w:spacing w:after="0" w:line="360" w:lineRule="auto"/>
        <w:ind w:right="34"/>
        <w:contextualSpacing/>
        <w:jc w:val="both"/>
        <w:rPr>
          <w:rFonts w:ascii="Palatino Linotype" w:eastAsia="MS Mincho" w:hAnsi="Palatino Linotype" w:cs="Arial"/>
          <w:sz w:val="24"/>
          <w:szCs w:val="24"/>
          <w:lang w:val="es-ES_tradnl" w:eastAsia="es-ES"/>
        </w:rPr>
      </w:pPr>
    </w:p>
    <w:p w:rsidR="00836903" w:rsidRPr="00265631" w:rsidRDefault="00351415" w:rsidP="0026563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65631">
        <w:rPr>
          <w:rFonts w:ascii="Palatino Linotype" w:eastAsia="MS Mincho" w:hAnsi="Palatino Linotype" w:cs="Arial"/>
          <w:sz w:val="24"/>
          <w:szCs w:val="24"/>
          <w:lang w:val="es-ES_tradnl" w:eastAsia="es-ES"/>
        </w:rPr>
        <w:t>Adjuntando para tal efect</w:t>
      </w:r>
      <w:r w:rsidR="00B63653" w:rsidRPr="00265631">
        <w:rPr>
          <w:rFonts w:ascii="Palatino Linotype" w:eastAsia="MS Mincho" w:hAnsi="Palatino Linotype" w:cs="Arial"/>
          <w:sz w:val="24"/>
          <w:szCs w:val="24"/>
          <w:lang w:val="es-ES_tradnl" w:eastAsia="es-ES"/>
        </w:rPr>
        <w:t xml:space="preserve">o </w:t>
      </w:r>
      <w:r w:rsidR="00853887" w:rsidRPr="00265631">
        <w:rPr>
          <w:rFonts w:ascii="Palatino Linotype" w:eastAsia="MS Mincho" w:hAnsi="Palatino Linotype" w:cs="Arial"/>
          <w:sz w:val="24"/>
          <w:szCs w:val="24"/>
          <w:lang w:val="es-ES_tradnl" w:eastAsia="es-ES"/>
        </w:rPr>
        <w:t xml:space="preserve">el archivo siguiente; </w:t>
      </w:r>
    </w:p>
    <w:p w:rsidR="00853887" w:rsidRPr="00265631" w:rsidRDefault="00853887" w:rsidP="00221FC1">
      <w:pPr>
        <w:tabs>
          <w:tab w:val="left" w:pos="8647"/>
        </w:tabs>
        <w:spacing w:after="0" w:line="360" w:lineRule="auto"/>
        <w:ind w:left="567" w:right="567"/>
        <w:contextualSpacing/>
        <w:jc w:val="both"/>
        <w:rPr>
          <w:rFonts w:ascii="Palatino Linotype" w:eastAsia="Times New Roman" w:hAnsi="Palatino Linotype" w:cs="Arial"/>
          <w:sz w:val="24"/>
          <w:szCs w:val="24"/>
          <w:lang w:eastAsia="es-ES"/>
        </w:rPr>
      </w:pPr>
      <w:r w:rsidRPr="00265631">
        <w:rPr>
          <w:rFonts w:ascii="Palatino Linotype" w:eastAsia="MS Mincho" w:hAnsi="Palatino Linotype" w:cs="Arial"/>
          <w:b/>
          <w:bCs/>
          <w:sz w:val="24"/>
          <w:szCs w:val="24"/>
          <w:lang w:val="es-ES_tradnl" w:eastAsia="es-ES"/>
        </w:rPr>
        <w:t>UTM-NR-00475</w:t>
      </w:r>
      <w:r w:rsidR="005F4922" w:rsidRPr="00265631">
        <w:rPr>
          <w:rFonts w:ascii="Palatino Linotype" w:eastAsia="MS Mincho" w:hAnsi="Palatino Linotype" w:cs="Arial"/>
          <w:b/>
          <w:bCs/>
          <w:sz w:val="24"/>
          <w:szCs w:val="24"/>
          <w:lang w:val="es-ES_tradnl" w:eastAsia="es-ES"/>
        </w:rPr>
        <w:t xml:space="preserve">-D.URBANO-2019.pdf. </w:t>
      </w:r>
      <w:r w:rsidR="005F4922" w:rsidRPr="00265631">
        <w:rPr>
          <w:rFonts w:ascii="Palatino Linotype" w:eastAsia="Times New Roman" w:hAnsi="Palatino Linotype" w:cs="Arial"/>
          <w:sz w:val="24"/>
          <w:szCs w:val="24"/>
          <w:lang w:eastAsia="es-ES"/>
        </w:rPr>
        <w:t xml:space="preserve">Archivo en formato de número </w:t>
      </w:r>
      <w:proofErr w:type="spellStart"/>
      <w:r w:rsidR="005F4922" w:rsidRPr="00265631">
        <w:rPr>
          <w:rFonts w:ascii="Palatino Linotype" w:eastAsia="Times New Roman" w:hAnsi="Palatino Linotype" w:cs="Arial"/>
          <w:sz w:val="24"/>
          <w:szCs w:val="24"/>
          <w:lang w:eastAsia="es-ES"/>
        </w:rPr>
        <w:t>DDUyAM</w:t>
      </w:r>
      <w:proofErr w:type="spellEnd"/>
      <w:r w:rsidR="005F4922" w:rsidRPr="00265631">
        <w:rPr>
          <w:rFonts w:ascii="Palatino Linotype" w:eastAsia="Times New Roman" w:hAnsi="Palatino Linotype" w:cs="Arial"/>
          <w:sz w:val="24"/>
          <w:szCs w:val="24"/>
          <w:lang w:eastAsia="es-ES"/>
        </w:rPr>
        <w:t xml:space="preserve">/936/2019 de fecha catorce (14) de agosto de dos mil diecinueve, por medio del cual se da contestación a cada uno de los puntos requeridos en la solicitud de información. </w:t>
      </w:r>
    </w:p>
    <w:p w:rsidR="005F4922" w:rsidRPr="00265631" w:rsidRDefault="005F4922" w:rsidP="00265631">
      <w:pPr>
        <w:spacing w:after="0" w:line="360" w:lineRule="auto"/>
        <w:ind w:right="34"/>
        <w:contextualSpacing/>
        <w:jc w:val="both"/>
        <w:rPr>
          <w:rFonts w:ascii="Palatino Linotype" w:eastAsia="MS Mincho" w:hAnsi="Palatino Linotype" w:cs="Arial"/>
          <w:b/>
          <w:bCs/>
          <w:sz w:val="24"/>
          <w:szCs w:val="24"/>
          <w:lang w:val="es-ES_tradnl" w:eastAsia="es-ES"/>
        </w:rPr>
      </w:pPr>
    </w:p>
    <w:p w:rsidR="005F4922" w:rsidRPr="00265631" w:rsidRDefault="002C6BBC" w:rsidP="0026563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265631">
        <w:rPr>
          <w:rFonts w:ascii="Palatino Linotype" w:eastAsia="Times New Roman" w:hAnsi="Palatino Linotype" w:cs="Arial"/>
          <w:sz w:val="24"/>
          <w:szCs w:val="24"/>
          <w:lang w:val="es-ES" w:eastAsia="es-ES"/>
        </w:rPr>
        <w:t>El particular, en fecha</w:t>
      </w:r>
      <w:r w:rsidR="00A65A4B" w:rsidRPr="00265631">
        <w:rPr>
          <w:rFonts w:ascii="Palatino Linotype" w:eastAsia="Times New Roman" w:hAnsi="Palatino Linotype" w:cs="Arial"/>
          <w:sz w:val="24"/>
          <w:szCs w:val="24"/>
          <w:lang w:val="es-ES" w:eastAsia="es-ES"/>
        </w:rPr>
        <w:t xml:space="preserve"> </w:t>
      </w:r>
      <w:r w:rsidR="005F4922" w:rsidRPr="00265631">
        <w:rPr>
          <w:rFonts w:ascii="Palatino Linotype" w:eastAsia="Times New Roman" w:hAnsi="Palatino Linotype" w:cs="Arial"/>
          <w:sz w:val="24"/>
          <w:szCs w:val="24"/>
          <w:lang w:val="es-ES" w:eastAsia="es-ES"/>
        </w:rPr>
        <w:t>quince</w:t>
      </w:r>
      <w:r w:rsidR="003A6E9C" w:rsidRPr="00265631">
        <w:rPr>
          <w:rFonts w:ascii="Palatino Linotype" w:eastAsia="Times New Roman" w:hAnsi="Palatino Linotype" w:cs="Arial"/>
          <w:sz w:val="24"/>
          <w:szCs w:val="24"/>
          <w:lang w:val="es-ES" w:eastAsia="es-ES"/>
        </w:rPr>
        <w:t xml:space="preserve"> </w:t>
      </w:r>
      <w:r w:rsidR="00A65A4B" w:rsidRPr="00265631">
        <w:rPr>
          <w:rFonts w:ascii="Palatino Linotype" w:eastAsia="Times New Roman" w:hAnsi="Palatino Linotype" w:cs="Arial"/>
          <w:sz w:val="24"/>
          <w:szCs w:val="24"/>
          <w:lang w:val="es-ES" w:eastAsia="es-ES"/>
        </w:rPr>
        <w:t>(</w:t>
      </w:r>
      <w:r w:rsidR="005F4922" w:rsidRPr="00265631">
        <w:rPr>
          <w:rFonts w:ascii="Palatino Linotype" w:eastAsia="Times New Roman" w:hAnsi="Palatino Linotype" w:cs="Arial"/>
          <w:sz w:val="24"/>
          <w:szCs w:val="24"/>
          <w:lang w:val="es-ES" w:eastAsia="es-ES"/>
        </w:rPr>
        <w:t>15</w:t>
      </w:r>
      <w:r w:rsidRPr="00265631">
        <w:rPr>
          <w:rFonts w:ascii="Palatino Linotype" w:eastAsia="Times New Roman" w:hAnsi="Palatino Linotype" w:cs="Arial"/>
          <w:sz w:val="24"/>
          <w:szCs w:val="24"/>
          <w:lang w:val="es-ES" w:eastAsia="es-ES"/>
        </w:rPr>
        <w:t xml:space="preserve">) de </w:t>
      </w:r>
      <w:r w:rsidR="005F4922" w:rsidRPr="00265631">
        <w:rPr>
          <w:rFonts w:ascii="Palatino Linotype" w:eastAsia="Times New Roman" w:hAnsi="Palatino Linotype" w:cs="Arial"/>
          <w:sz w:val="24"/>
          <w:szCs w:val="24"/>
          <w:lang w:val="es-ES" w:eastAsia="es-ES"/>
        </w:rPr>
        <w:t>agosto</w:t>
      </w:r>
      <w:r w:rsidRPr="00265631">
        <w:rPr>
          <w:rFonts w:ascii="Palatino Linotype" w:eastAsia="Times New Roman" w:hAnsi="Palatino Linotype" w:cs="Arial"/>
          <w:sz w:val="24"/>
          <w:szCs w:val="24"/>
          <w:lang w:val="es-ES" w:eastAsia="es-ES"/>
        </w:rPr>
        <w:t xml:space="preserve"> del presente año, estando en tiempo y forma, interpuso </w:t>
      </w:r>
      <w:r w:rsidR="00941371" w:rsidRPr="00265631">
        <w:rPr>
          <w:rFonts w:ascii="Palatino Linotype" w:eastAsia="Times New Roman" w:hAnsi="Palatino Linotype" w:cs="Arial"/>
          <w:sz w:val="24"/>
          <w:szCs w:val="24"/>
          <w:lang w:val="es-ES" w:eastAsia="es-ES"/>
        </w:rPr>
        <w:t>el</w:t>
      </w:r>
      <w:r w:rsidRPr="00265631">
        <w:rPr>
          <w:rFonts w:ascii="Palatino Linotype" w:eastAsia="Times New Roman" w:hAnsi="Palatino Linotype" w:cs="Arial"/>
          <w:sz w:val="24"/>
          <w:szCs w:val="24"/>
          <w:lang w:val="es-ES" w:eastAsia="es-ES"/>
        </w:rPr>
        <w:t xml:space="preserve"> de </w:t>
      </w:r>
      <w:r w:rsidR="00DD2750" w:rsidRPr="00265631">
        <w:rPr>
          <w:rFonts w:ascii="Palatino Linotype" w:eastAsia="Times New Roman" w:hAnsi="Palatino Linotype" w:cs="Arial"/>
          <w:sz w:val="24"/>
          <w:szCs w:val="24"/>
          <w:lang w:val="es-ES" w:eastAsia="es-ES"/>
        </w:rPr>
        <w:t>revisión que al rubro se indica</w:t>
      </w:r>
      <w:r w:rsidRPr="00265631">
        <w:rPr>
          <w:rFonts w:ascii="Palatino Linotype" w:eastAsia="Times New Roman" w:hAnsi="Palatino Linotype" w:cs="Arial"/>
          <w:sz w:val="24"/>
          <w:szCs w:val="24"/>
          <w:lang w:val="es-ES" w:eastAsia="es-ES"/>
        </w:rPr>
        <w:t>, en contra de la</w:t>
      </w:r>
      <w:r w:rsidR="00DD2750" w:rsidRPr="00265631">
        <w:rPr>
          <w:rFonts w:ascii="Palatino Linotype" w:eastAsia="Times New Roman" w:hAnsi="Palatino Linotype" w:cs="Arial"/>
          <w:sz w:val="24"/>
          <w:szCs w:val="24"/>
          <w:lang w:val="es-ES" w:eastAsia="es-ES"/>
        </w:rPr>
        <w:t xml:space="preserve"> respuesta</w:t>
      </w:r>
      <w:r w:rsidRPr="00265631">
        <w:rPr>
          <w:rFonts w:ascii="Palatino Linotype" w:eastAsia="Times New Roman" w:hAnsi="Palatino Linotype" w:cs="Arial"/>
          <w:sz w:val="24"/>
          <w:szCs w:val="24"/>
          <w:lang w:val="es-ES" w:eastAsia="es-ES"/>
        </w:rPr>
        <w:t xml:space="preserve"> del sujeto obligado, señalando lo siguiente:</w:t>
      </w:r>
    </w:p>
    <w:p w:rsidR="002C6BBC" w:rsidRPr="00265631" w:rsidRDefault="002C6BBC" w:rsidP="00265631">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265631" w:rsidRDefault="00792776" w:rsidP="00265631">
      <w:pPr>
        <w:numPr>
          <w:ilvl w:val="0"/>
          <w:numId w:val="3"/>
        </w:numPr>
        <w:tabs>
          <w:tab w:val="left" w:pos="8647"/>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265631">
        <w:rPr>
          <w:rFonts w:ascii="Palatino Linotype" w:eastAsia="MS Gothic" w:hAnsi="Palatino Linotype" w:cs="Times New Roman"/>
          <w:b/>
          <w:sz w:val="24"/>
          <w:szCs w:val="24"/>
          <w:lang w:val="es-ES"/>
        </w:rPr>
        <w:t>Acto impugnado</w:t>
      </w:r>
      <w:r w:rsidRPr="00265631">
        <w:rPr>
          <w:rFonts w:ascii="Palatino Linotype" w:eastAsia="MS Mincho" w:hAnsi="Palatino Linotype" w:cs="Times New Roman"/>
          <w:sz w:val="24"/>
          <w:szCs w:val="24"/>
          <w:lang w:val="es-ES_tradnl" w:eastAsia="es-ES"/>
        </w:rPr>
        <w:t>: “</w:t>
      </w:r>
      <w:r w:rsidR="005F4922" w:rsidRPr="00265631">
        <w:rPr>
          <w:rFonts w:ascii="Palatino Linotype" w:eastAsia="MS Mincho" w:hAnsi="Palatino Linotype" w:cs="Times New Roman"/>
          <w:sz w:val="24"/>
          <w:szCs w:val="24"/>
          <w:lang w:val="es-ES_tradnl" w:eastAsia="es-ES"/>
        </w:rPr>
        <w:t>L</w:t>
      </w:r>
      <w:r w:rsidR="005F4922" w:rsidRPr="00265631">
        <w:rPr>
          <w:rFonts w:ascii="Palatino Linotype" w:eastAsia="MS Mincho" w:hAnsi="Palatino Linotype" w:cs="Times New Roman"/>
          <w:i/>
          <w:sz w:val="24"/>
          <w:szCs w:val="24"/>
          <w:lang w:eastAsia="es-ES"/>
        </w:rPr>
        <w:t xml:space="preserve">a autoridad se limita a enviar una copia del periódico oficial de fecha 18 de abril de 2002, mismo que fue citado como referencia en la propia solicitud, de una forma engañosa y arbitraria pretenden evitar proporcionar información por las cual se ha desarrollado cada una de las etapas de este proyecto y evitan proporcionar copia de los dictámenes y/o evaluaciones que de acuerdo al Código Administrativo aplicable son obligatorias para el otorgamiento de Licencias de Construcción / . El sujeto obligado omite señalar los acuerdos por los cuales se da por recibido de las diferentes obras de infraestructura, información que NO puede ser catalogada ni como reservada ni confidencial de conformidad con la Ley de Transparencia. Aunado a que el sujeto obligado es omiso en aclarar dentro de la solicitud la información de la cual es competente para proporcionar, sin embargo, el propio </w:t>
      </w:r>
      <w:proofErr w:type="spellStart"/>
      <w:r w:rsidR="005F4922" w:rsidRPr="00265631">
        <w:rPr>
          <w:rFonts w:ascii="Palatino Linotype" w:eastAsia="MS Mincho" w:hAnsi="Palatino Linotype" w:cs="Times New Roman"/>
          <w:i/>
          <w:sz w:val="24"/>
          <w:szCs w:val="24"/>
          <w:lang w:eastAsia="es-ES"/>
        </w:rPr>
        <w:t>Codigo</w:t>
      </w:r>
      <w:proofErr w:type="spellEnd"/>
      <w:r w:rsidR="005F4922" w:rsidRPr="00265631">
        <w:rPr>
          <w:rFonts w:ascii="Palatino Linotype" w:eastAsia="MS Mincho" w:hAnsi="Palatino Linotype" w:cs="Times New Roman"/>
          <w:i/>
          <w:sz w:val="24"/>
          <w:szCs w:val="24"/>
          <w:lang w:eastAsia="es-ES"/>
        </w:rPr>
        <w:t xml:space="preserve"> administrativo desde su publicación el 13 de diciembre de 2001, señalaba como requisitos para el otorgamiento de licencias de construcción como lo marca el propio ordenamiento.</w:t>
      </w:r>
      <w:r w:rsidRPr="00265631">
        <w:rPr>
          <w:rFonts w:ascii="Palatino Linotype" w:eastAsia="MS Mincho" w:hAnsi="Palatino Linotype" w:cs="Times New Roman"/>
          <w:i/>
          <w:sz w:val="24"/>
          <w:szCs w:val="24"/>
          <w:lang w:val="es-ES_tradnl" w:eastAsia="es-ES"/>
        </w:rPr>
        <w:t>”</w:t>
      </w:r>
      <w:r w:rsidR="004653A7" w:rsidRPr="00265631">
        <w:rPr>
          <w:rFonts w:ascii="Palatino Linotype" w:eastAsia="MS Mincho" w:hAnsi="Palatino Linotype" w:cs="Times New Roman"/>
          <w:i/>
          <w:sz w:val="24"/>
          <w:szCs w:val="24"/>
          <w:lang w:val="es-ES_tradnl" w:eastAsia="es-ES"/>
        </w:rPr>
        <w:t xml:space="preserve">. </w:t>
      </w:r>
      <w:r w:rsidRPr="00265631">
        <w:rPr>
          <w:rFonts w:ascii="Palatino Linotype" w:eastAsia="MS Mincho" w:hAnsi="Palatino Linotype" w:cs="Times New Roman"/>
          <w:i/>
          <w:sz w:val="24"/>
          <w:szCs w:val="24"/>
          <w:lang w:val="es-ES_tradnl" w:eastAsia="es-ES"/>
        </w:rPr>
        <w:t>(Sic)</w:t>
      </w:r>
    </w:p>
    <w:p w:rsidR="00A612C0" w:rsidRPr="00265631" w:rsidRDefault="00A612C0" w:rsidP="00265631">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265631" w:rsidRDefault="00792776" w:rsidP="00265631">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265631">
        <w:rPr>
          <w:rFonts w:ascii="Palatino Linotype" w:eastAsia="MS Gothic" w:hAnsi="Palatino Linotype" w:cs="Times New Roman"/>
          <w:b/>
          <w:sz w:val="24"/>
          <w:szCs w:val="24"/>
          <w:lang w:val="es-ES"/>
        </w:rPr>
        <w:t>Razones o Motivos de inconformidad</w:t>
      </w:r>
      <w:r w:rsidRPr="00265631">
        <w:rPr>
          <w:rFonts w:ascii="Palatino Linotype" w:eastAsia="MS Mincho" w:hAnsi="Palatino Linotype" w:cs="Times New Roman"/>
          <w:sz w:val="24"/>
          <w:szCs w:val="24"/>
          <w:lang w:val="es-ES_tradnl" w:eastAsia="es-ES"/>
        </w:rPr>
        <w:t xml:space="preserve">: </w:t>
      </w:r>
      <w:r w:rsidRPr="00265631">
        <w:rPr>
          <w:rFonts w:ascii="Palatino Linotype" w:eastAsia="MS Mincho" w:hAnsi="Palatino Linotype" w:cs="Times New Roman"/>
          <w:i/>
          <w:sz w:val="24"/>
          <w:szCs w:val="24"/>
          <w:lang w:val="es-ES_tradnl" w:eastAsia="es-ES"/>
        </w:rPr>
        <w:t>“</w:t>
      </w:r>
      <w:r w:rsidR="005F4922" w:rsidRPr="00265631">
        <w:rPr>
          <w:rFonts w:ascii="Palatino Linotype" w:eastAsia="MS Mincho" w:hAnsi="Palatino Linotype" w:cs="Times New Roman"/>
          <w:i/>
          <w:sz w:val="24"/>
          <w:szCs w:val="24"/>
          <w:lang w:eastAsia="es-ES"/>
        </w:rPr>
        <w:t xml:space="preserve">La autoridad se limita a enviar una copia del periódico oficial de fecha 18 de abril de 2002, mismo que fue citado como referencia en la propia solicitud, de una forma engañosa y arbitraria pretenden evitar proporcionar información por las cual se ha desarrollado cada una de las etapas de este proyecto y evitan proporcionar copia de los dictámenes y/o evaluaciones que de acuerdo al Código Administrativo aplicable son obligatorias para el otorgamiento de Licencias de Construcción / . El sujeto obligado omite señalar los acuerdos por los cuales se da por recibido de las diferentes obras de infraestructura, información que NO puede ser catalogada ni como reservada ni confidencial de conformidad con la Ley de Transparencia. Aunado a que el sujeto obligado es omiso en aclarar dentro de la solicitud la información de la cual es competente para proporcionar, sin embargo, el propio </w:t>
      </w:r>
      <w:proofErr w:type="spellStart"/>
      <w:r w:rsidR="005F4922" w:rsidRPr="00265631">
        <w:rPr>
          <w:rFonts w:ascii="Palatino Linotype" w:eastAsia="MS Mincho" w:hAnsi="Palatino Linotype" w:cs="Times New Roman"/>
          <w:i/>
          <w:sz w:val="24"/>
          <w:szCs w:val="24"/>
          <w:lang w:eastAsia="es-ES"/>
        </w:rPr>
        <w:t>Codigo</w:t>
      </w:r>
      <w:proofErr w:type="spellEnd"/>
      <w:r w:rsidR="005F4922" w:rsidRPr="00265631">
        <w:rPr>
          <w:rFonts w:ascii="Palatino Linotype" w:eastAsia="MS Mincho" w:hAnsi="Palatino Linotype" w:cs="Times New Roman"/>
          <w:i/>
          <w:sz w:val="24"/>
          <w:szCs w:val="24"/>
          <w:lang w:eastAsia="es-ES"/>
        </w:rPr>
        <w:t xml:space="preserve"> administrativo desde su publicación el 13 de diciembre de 2001, señalaba como requisitos para el otorgamiento de licencias de construcción como lo marca el propio ordenamiento</w:t>
      </w:r>
      <w:r w:rsidR="00710CE2" w:rsidRPr="00265631">
        <w:rPr>
          <w:rFonts w:ascii="Palatino Linotype" w:eastAsia="MS Mincho" w:hAnsi="Palatino Linotype" w:cs="Times New Roman"/>
          <w:i/>
          <w:sz w:val="24"/>
          <w:szCs w:val="24"/>
          <w:lang w:eastAsia="es-ES"/>
        </w:rPr>
        <w:t>.</w:t>
      </w:r>
      <w:r w:rsidR="00DD2750" w:rsidRPr="00265631">
        <w:rPr>
          <w:rFonts w:ascii="Palatino Linotype" w:eastAsia="MS Mincho" w:hAnsi="Palatino Linotype" w:cs="Times New Roman"/>
          <w:i/>
          <w:sz w:val="24"/>
          <w:szCs w:val="24"/>
          <w:lang w:eastAsia="es-ES"/>
        </w:rPr>
        <w:t xml:space="preserve">” (Sic) </w:t>
      </w:r>
    </w:p>
    <w:p w:rsidR="004F6F41" w:rsidRPr="00265631" w:rsidRDefault="004F6F41" w:rsidP="00265631">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792776" w:rsidRPr="00265631" w:rsidRDefault="00792776" w:rsidP="00265631">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265631">
        <w:rPr>
          <w:rFonts w:ascii="Palatino Linotype" w:eastAsia="Times New Roman" w:hAnsi="Palatino Linotype" w:cs="Arial"/>
          <w:sz w:val="24"/>
          <w:szCs w:val="24"/>
          <w:lang w:val="es-ES" w:eastAsia="es-ES"/>
        </w:rPr>
        <w:t>Se registr</w:t>
      </w:r>
      <w:r w:rsidR="00DD2750" w:rsidRPr="00265631">
        <w:rPr>
          <w:rFonts w:ascii="Palatino Linotype" w:eastAsia="Times New Roman" w:hAnsi="Palatino Linotype" w:cs="Arial"/>
          <w:sz w:val="24"/>
          <w:szCs w:val="24"/>
          <w:lang w:val="es-ES" w:eastAsia="es-ES"/>
        </w:rPr>
        <w:t>ó el recurso de revisión bajo el</w:t>
      </w:r>
      <w:r w:rsidR="002C6BBC" w:rsidRPr="00265631">
        <w:rPr>
          <w:rFonts w:ascii="Palatino Linotype" w:eastAsia="Times New Roman" w:hAnsi="Palatino Linotype" w:cs="Arial"/>
          <w:sz w:val="24"/>
          <w:szCs w:val="24"/>
          <w:lang w:val="es-ES" w:eastAsia="es-ES"/>
        </w:rPr>
        <w:t xml:space="preserve"> </w:t>
      </w:r>
      <w:r w:rsidRPr="00265631">
        <w:rPr>
          <w:rFonts w:ascii="Palatino Linotype" w:eastAsia="Times New Roman" w:hAnsi="Palatino Linotype" w:cs="Arial"/>
          <w:sz w:val="24"/>
          <w:szCs w:val="24"/>
          <w:lang w:val="es-ES" w:eastAsia="es-ES"/>
        </w:rPr>
        <w:t xml:space="preserve">número de expediente al rubro indicado, </w:t>
      </w:r>
      <w:r w:rsidRPr="00265631">
        <w:rPr>
          <w:rFonts w:ascii="Palatino Linotype" w:eastAsia="MS Mincho" w:hAnsi="Palatino Linotype" w:cs="Arial"/>
          <w:bCs/>
          <w:sz w:val="24"/>
          <w:szCs w:val="24"/>
          <w:lang w:val="es-ES_tradnl" w:eastAsia="es-ES"/>
        </w:rPr>
        <w:t xml:space="preserve">con fundamento en lo dispuesto por el </w:t>
      </w:r>
      <w:r w:rsidRPr="00265631">
        <w:rPr>
          <w:rFonts w:ascii="Palatino Linotype" w:eastAsia="Calibri" w:hAnsi="Palatino Linotype" w:cs="Arial"/>
          <w:sz w:val="24"/>
          <w:szCs w:val="24"/>
          <w:lang w:val="es-ES" w:eastAsia="es-ES"/>
        </w:rPr>
        <w:t xml:space="preserve">artículo 185 fracción I de la </w:t>
      </w:r>
      <w:r w:rsidRPr="0026563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65631">
        <w:rPr>
          <w:rFonts w:ascii="Palatino Linotype" w:eastAsia="Times New Roman" w:hAnsi="Palatino Linotype" w:cs="Arial"/>
          <w:sz w:val="24"/>
          <w:szCs w:val="24"/>
          <w:lang w:val="es-ES" w:eastAsia="es-ES"/>
        </w:rPr>
        <w:t xml:space="preserve">se turnó al </w:t>
      </w:r>
      <w:r w:rsidRPr="00265631">
        <w:rPr>
          <w:rFonts w:ascii="Palatino Linotype" w:eastAsia="Times New Roman" w:hAnsi="Palatino Linotype" w:cs="Arial"/>
          <w:b/>
          <w:sz w:val="24"/>
          <w:szCs w:val="24"/>
          <w:lang w:val="es-ES" w:eastAsia="es-ES"/>
        </w:rPr>
        <w:t xml:space="preserve">Comisionado José Guadalupe Luna Hernández, </w:t>
      </w:r>
      <w:r w:rsidRPr="00265631">
        <w:rPr>
          <w:rFonts w:ascii="Palatino Linotype" w:eastAsia="Times New Roman" w:hAnsi="Palatino Linotype" w:cs="Arial"/>
          <w:sz w:val="24"/>
          <w:szCs w:val="24"/>
          <w:lang w:val="es-ES" w:eastAsia="es-ES"/>
        </w:rPr>
        <w:t xml:space="preserve">con el objeto de </w:t>
      </w:r>
      <w:r w:rsidRPr="00265631">
        <w:rPr>
          <w:rFonts w:ascii="Palatino Linotype" w:eastAsia="Times New Roman" w:hAnsi="Palatino Linotype" w:cs="Arial"/>
          <w:sz w:val="24"/>
          <w:szCs w:val="24"/>
          <w:lang w:eastAsia="es-ES"/>
        </w:rPr>
        <w:t>su análisis</w:t>
      </w:r>
      <w:r w:rsidRPr="00265631">
        <w:rPr>
          <w:rFonts w:ascii="Palatino Linotype" w:eastAsia="Times New Roman" w:hAnsi="Palatino Linotype" w:cs="Arial"/>
          <w:sz w:val="24"/>
          <w:szCs w:val="24"/>
        </w:rPr>
        <w:t xml:space="preserve">. </w:t>
      </w:r>
    </w:p>
    <w:p w:rsidR="00E75283" w:rsidRPr="00265631" w:rsidRDefault="00E75283" w:rsidP="00265631">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265631" w:rsidRDefault="00792776" w:rsidP="0026563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65631">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265631">
        <w:rPr>
          <w:rFonts w:ascii="Palatino Linotype" w:eastAsia="Calibri" w:hAnsi="Palatino Linotype" w:cs="Arial"/>
          <w:sz w:val="24"/>
          <w:szCs w:val="24"/>
          <w:lang w:val="es-ES" w:eastAsia="es-ES"/>
        </w:rPr>
        <w:t xml:space="preserve"> acuerdo de admisión de fecha </w:t>
      </w:r>
      <w:r w:rsidR="005F4922" w:rsidRPr="00265631">
        <w:rPr>
          <w:rFonts w:ascii="Palatino Linotype" w:eastAsia="Calibri" w:hAnsi="Palatino Linotype" w:cs="Arial"/>
          <w:sz w:val="24"/>
          <w:szCs w:val="24"/>
          <w:lang w:val="es-ES" w:eastAsia="es-ES"/>
        </w:rPr>
        <w:t>veintiuno</w:t>
      </w:r>
      <w:r w:rsidR="00710CE2" w:rsidRPr="00265631">
        <w:rPr>
          <w:rFonts w:ascii="Palatino Linotype" w:eastAsia="Calibri" w:hAnsi="Palatino Linotype" w:cs="Arial"/>
          <w:sz w:val="24"/>
          <w:szCs w:val="24"/>
          <w:lang w:val="es-ES" w:eastAsia="es-ES"/>
        </w:rPr>
        <w:t xml:space="preserve"> </w:t>
      </w:r>
      <w:r w:rsidR="009C789B" w:rsidRPr="00265631">
        <w:rPr>
          <w:rFonts w:ascii="Palatino Linotype" w:eastAsia="Calibri" w:hAnsi="Palatino Linotype" w:cs="Arial"/>
          <w:sz w:val="24"/>
          <w:szCs w:val="24"/>
          <w:lang w:val="es-ES" w:eastAsia="es-ES"/>
        </w:rPr>
        <w:t>(</w:t>
      </w:r>
      <w:r w:rsidR="005F4922" w:rsidRPr="00265631">
        <w:rPr>
          <w:rFonts w:ascii="Palatino Linotype" w:eastAsia="Calibri" w:hAnsi="Palatino Linotype" w:cs="Arial"/>
          <w:sz w:val="24"/>
          <w:szCs w:val="24"/>
          <w:lang w:val="es-ES" w:eastAsia="es-ES"/>
        </w:rPr>
        <w:t>21</w:t>
      </w:r>
      <w:r w:rsidR="00960D99" w:rsidRPr="00265631">
        <w:rPr>
          <w:rFonts w:ascii="Palatino Linotype" w:eastAsia="Calibri" w:hAnsi="Palatino Linotype" w:cs="Arial"/>
          <w:sz w:val="24"/>
          <w:szCs w:val="24"/>
          <w:lang w:val="es-ES" w:eastAsia="es-ES"/>
        </w:rPr>
        <w:t>) de</w:t>
      </w:r>
      <w:r w:rsidR="00710CE2" w:rsidRPr="00265631">
        <w:rPr>
          <w:rFonts w:ascii="Palatino Linotype" w:eastAsia="Calibri" w:hAnsi="Palatino Linotype" w:cs="Arial"/>
          <w:sz w:val="24"/>
          <w:szCs w:val="24"/>
          <w:lang w:val="es-ES" w:eastAsia="es-ES"/>
        </w:rPr>
        <w:t xml:space="preserve"> </w:t>
      </w:r>
      <w:r w:rsidR="005F4922" w:rsidRPr="00265631">
        <w:rPr>
          <w:rFonts w:ascii="Palatino Linotype" w:eastAsia="Calibri" w:hAnsi="Palatino Linotype" w:cs="Arial"/>
          <w:sz w:val="24"/>
          <w:szCs w:val="24"/>
          <w:lang w:val="es-ES" w:eastAsia="es-ES"/>
        </w:rPr>
        <w:t>agosto</w:t>
      </w:r>
      <w:r w:rsidR="00DD2750" w:rsidRPr="00265631">
        <w:rPr>
          <w:rFonts w:ascii="Palatino Linotype" w:eastAsia="Calibri" w:hAnsi="Palatino Linotype" w:cs="Arial"/>
          <w:sz w:val="24"/>
          <w:szCs w:val="24"/>
          <w:lang w:val="es-ES" w:eastAsia="es-ES"/>
        </w:rPr>
        <w:t xml:space="preserve"> </w:t>
      </w:r>
      <w:r w:rsidR="005F4922" w:rsidRPr="00265631">
        <w:rPr>
          <w:rFonts w:ascii="Palatino Linotype" w:eastAsia="Calibri" w:hAnsi="Palatino Linotype" w:cs="Arial"/>
          <w:sz w:val="24"/>
          <w:szCs w:val="24"/>
          <w:lang w:val="es-ES" w:eastAsia="es-ES"/>
        </w:rPr>
        <w:t>de</w:t>
      </w:r>
      <w:r w:rsidR="00DD2750" w:rsidRPr="00265631">
        <w:rPr>
          <w:rFonts w:ascii="Palatino Linotype" w:eastAsia="Calibri" w:hAnsi="Palatino Linotype" w:cs="Arial"/>
          <w:sz w:val="24"/>
          <w:szCs w:val="24"/>
          <w:lang w:val="es-ES" w:eastAsia="es-ES"/>
        </w:rPr>
        <w:t xml:space="preserve"> dos mil diecinueve</w:t>
      </w:r>
      <w:r w:rsidRPr="00265631">
        <w:rPr>
          <w:rFonts w:ascii="Palatino Linotype" w:eastAsia="Calibri" w:hAnsi="Palatino Linotype" w:cs="Arial"/>
          <w:sz w:val="24"/>
          <w:szCs w:val="24"/>
          <w:lang w:val="es-ES" w:eastAsia="es-ES"/>
        </w:rPr>
        <w:t xml:space="preserve">, puso a disposición de las partes el expediente electrónico </w:t>
      </w:r>
      <w:r w:rsidRPr="00265631">
        <w:rPr>
          <w:rFonts w:ascii="Palatino Linotype" w:eastAsia="Calibri" w:hAnsi="Palatino Linotype" w:cs="Arial"/>
          <w:sz w:val="24"/>
          <w:szCs w:val="24"/>
          <w:lang w:val="es-ES_tradnl" w:eastAsia="es-ES"/>
        </w:rPr>
        <w:t xml:space="preserve">vía </w:t>
      </w:r>
      <w:r w:rsidRPr="00265631">
        <w:rPr>
          <w:rFonts w:ascii="Palatino Linotype" w:eastAsia="Calibri" w:hAnsi="Palatino Linotype" w:cs="Arial"/>
          <w:sz w:val="24"/>
          <w:szCs w:val="24"/>
          <w:lang w:val="es-ES" w:eastAsia="es-ES"/>
        </w:rPr>
        <w:t>Sistema de Acceso a la Información Mexiquense (</w:t>
      </w:r>
      <w:r w:rsidRPr="00265631">
        <w:rPr>
          <w:rFonts w:ascii="Palatino Linotype" w:eastAsia="Calibri" w:hAnsi="Palatino Linotype" w:cs="Arial"/>
          <w:b/>
          <w:sz w:val="24"/>
          <w:szCs w:val="24"/>
          <w:lang w:val="es-ES" w:eastAsia="es-ES"/>
        </w:rPr>
        <w:t xml:space="preserve">SAIMEX) </w:t>
      </w:r>
      <w:r w:rsidRPr="0026563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265631">
        <w:rPr>
          <w:rFonts w:ascii="Palatino Linotype" w:eastAsia="Calibri" w:hAnsi="Palatino Linotype" w:cs="Arial"/>
          <w:sz w:val="24"/>
          <w:szCs w:val="24"/>
          <w:lang w:val="es-ES" w:eastAsia="es-ES"/>
        </w:rPr>
        <w:t xml:space="preserve">, de esta forma para que el </w:t>
      </w:r>
      <w:r w:rsidR="00A56228" w:rsidRPr="00265631">
        <w:rPr>
          <w:rFonts w:ascii="Palatino Linotype" w:eastAsia="Calibri" w:hAnsi="Palatino Linotype" w:cs="Arial"/>
          <w:b/>
          <w:sz w:val="24"/>
          <w:szCs w:val="24"/>
          <w:lang w:val="es-ES" w:eastAsia="es-ES"/>
        </w:rPr>
        <w:t>SUJETO OBLIGADO</w:t>
      </w:r>
      <w:r w:rsidR="009C789B" w:rsidRPr="00265631">
        <w:rPr>
          <w:rFonts w:ascii="Palatino Linotype" w:eastAsia="Calibri" w:hAnsi="Palatino Linotype" w:cs="Arial"/>
          <w:sz w:val="24"/>
          <w:szCs w:val="24"/>
          <w:lang w:val="es-ES" w:eastAsia="es-ES"/>
        </w:rPr>
        <w:t xml:space="preserve"> presentara</w:t>
      </w:r>
      <w:r w:rsidR="00A56228" w:rsidRPr="00265631">
        <w:rPr>
          <w:rFonts w:ascii="Palatino Linotype" w:eastAsia="Calibri" w:hAnsi="Palatino Linotype" w:cs="Arial"/>
          <w:sz w:val="24"/>
          <w:szCs w:val="24"/>
          <w:lang w:val="es-ES" w:eastAsia="es-ES"/>
        </w:rPr>
        <w:t xml:space="preserve"> el </w:t>
      </w:r>
      <w:r w:rsidR="00244765" w:rsidRPr="00265631">
        <w:rPr>
          <w:rFonts w:ascii="Palatino Linotype" w:eastAsia="Calibri" w:hAnsi="Palatino Linotype" w:cs="Arial"/>
          <w:sz w:val="24"/>
          <w:szCs w:val="24"/>
          <w:lang w:val="es-ES" w:eastAsia="es-ES"/>
        </w:rPr>
        <w:t xml:space="preserve">Informe Justificado procedente. </w:t>
      </w:r>
    </w:p>
    <w:p w:rsidR="00244765" w:rsidRPr="00265631" w:rsidRDefault="00244765" w:rsidP="00265631">
      <w:pPr>
        <w:spacing w:after="0" w:line="360" w:lineRule="auto"/>
        <w:contextualSpacing/>
        <w:jc w:val="both"/>
        <w:rPr>
          <w:rFonts w:ascii="Palatino Linotype" w:eastAsia="Calibri" w:hAnsi="Palatino Linotype" w:cs="Arial"/>
          <w:sz w:val="24"/>
          <w:szCs w:val="24"/>
          <w:lang w:val="es-ES" w:eastAsia="es-ES"/>
        </w:rPr>
      </w:pPr>
    </w:p>
    <w:p w:rsidR="00C8182C" w:rsidRPr="00265631" w:rsidRDefault="00DD2750" w:rsidP="00265631">
      <w:pPr>
        <w:pStyle w:val="Prrafodelista"/>
        <w:numPr>
          <w:ilvl w:val="0"/>
          <w:numId w:val="2"/>
        </w:numPr>
        <w:spacing w:after="0" w:line="360" w:lineRule="auto"/>
        <w:ind w:left="0" w:firstLine="0"/>
        <w:jc w:val="both"/>
        <w:rPr>
          <w:rFonts w:ascii="Palatino Linotype" w:hAnsi="Palatino Linotype"/>
          <w:sz w:val="24"/>
          <w:szCs w:val="24"/>
        </w:rPr>
      </w:pPr>
      <w:r w:rsidRPr="00265631">
        <w:rPr>
          <w:rFonts w:ascii="Palatino Linotype" w:hAnsi="Palatino Linotype"/>
          <w:sz w:val="24"/>
          <w:szCs w:val="24"/>
        </w:rPr>
        <w:t xml:space="preserve">Es de señalar que </w:t>
      </w:r>
      <w:r w:rsidR="00710CE2" w:rsidRPr="00265631">
        <w:rPr>
          <w:rFonts w:ascii="Palatino Linotype" w:hAnsi="Palatino Linotype"/>
          <w:sz w:val="24"/>
          <w:szCs w:val="24"/>
        </w:rPr>
        <w:t xml:space="preserve">el </w:t>
      </w:r>
      <w:r w:rsidR="00710CE2" w:rsidRPr="00265631">
        <w:rPr>
          <w:rFonts w:ascii="Palatino Linotype" w:hAnsi="Palatino Linotype"/>
          <w:b/>
          <w:sz w:val="24"/>
          <w:szCs w:val="24"/>
        </w:rPr>
        <w:t>Sujeto Obligado</w:t>
      </w:r>
      <w:r w:rsidR="00710CE2" w:rsidRPr="00265631">
        <w:rPr>
          <w:rFonts w:ascii="Palatino Linotype" w:hAnsi="Palatino Linotype"/>
          <w:sz w:val="24"/>
          <w:szCs w:val="24"/>
        </w:rPr>
        <w:t xml:space="preserve"> en fecha</w:t>
      </w:r>
      <w:r w:rsidR="003A6E9C" w:rsidRPr="00265631">
        <w:rPr>
          <w:rFonts w:ascii="Palatino Linotype" w:hAnsi="Palatino Linotype"/>
          <w:sz w:val="24"/>
          <w:szCs w:val="24"/>
        </w:rPr>
        <w:t xml:space="preserve"> </w:t>
      </w:r>
      <w:r w:rsidR="005F4922" w:rsidRPr="00265631">
        <w:rPr>
          <w:rFonts w:ascii="Palatino Linotype" w:hAnsi="Palatino Linotype"/>
          <w:sz w:val="24"/>
          <w:szCs w:val="24"/>
        </w:rPr>
        <w:t>veintisiete (22) de agosto de dos mil diecinueve rindió su informe justificado, el cual se puso a la vista del particular en fecha veintisiete (27) de septiembre de dos mil diecinueve, por su parte el particular no realizó manifestaciones.</w:t>
      </w:r>
      <w:r w:rsidR="00DB164E" w:rsidRPr="00265631">
        <w:rPr>
          <w:rFonts w:ascii="Palatino Linotype" w:hAnsi="Palatino Linotype"/>
          <w:sz w:val="24"/>
          <w:szCs w:val="24"/>
        </w:rPr>
        <w:t xml:space="preserve"> </w:t>
      </w:r>
    </w:p>
    <w:p w:rsidR="00DB164E" w:rsidRPr="00265631" w:rsidRDefault="00DB164E" w:rsidP="00265631">
      <w:pPr>
        <w:pStyle w:val="Prrafodelista"/>
        <w:spacing w:after="0" w:line="360" w:lineRule="auto"/>
        <w:ind w:left="0"/>
        <w:jc w:val="both"/>
        <w:rPr>
          <w:rFonts w:ascii="Palatino Linotype" w:hAnsi="Palatino Linotype"/>
          <w:sz w:val="24"/>
          <w:szCs w:val="24"/>
        </w:rPr>
      </w:pPr>
    </w:p>
    <w:p w:rsidR="008C6663" w:rsidRPr="00265631" w:rsidRDefault="00354999" w:rsidP="00265631">
      <w:pPr>
        <w:pStyle w:val="Prrafodelista"/>
        <w:numPr>
          <w:ilvl w:val="0"/>
          <w:numId w:val="2"/>
        </w:numPr>
        <w:spacing w:after="0" w:line="360" w:lineRule="auto"/>
        <w:ind w:left="0" w:firstLine="0"/>
        <w:jc w:val="both"/>
        <w:rPr>
          <w:rFonts w:ascii="Palatino Linotype" w:hAnsi="Palatino Linotype"/>
          <w:sz w:val="24"/>
          <w:szCs w:val="24"/>
        </w:rPr>
      </w:pPr>
      <w:r w:rsidRPr="00265631">
        <w:rPr>
          <w:rFonts w:ascii="Palatino Linotype" w:hAnsi="Palatino Linotype"/>
          <w:sz w:val="24"/>
          <w:szCs w:val="24"/>
        </w:rPr>
        <w:t>El Comisionado Ponent</w:t>
      </w:r>
      <w:r w:rsidR="00C71ED4" w:rsidRPr="00265631">
        <w:rPr>
          <w:rFonts w:ascii="Palatino Linotype" w:hAnsi="Palatino Linotype"/>
          <w:sz w:val="24"/>
          <w:szCs w:val="24"/>
        </w:rPr>
        <w:t xml:space="preserve">e decretó el cierre de </w:t>
      </w:r>
      <w:r w:rsidR="006869D2" w:rsidRPr="00265631">
        <w:rPr>
          <w:rFonts w:ascii="Palatino Linotype" w:hAnsi="Palatino Linotype"/>
          <w:sz w:val="24"/>
          <w:szCs w:val="24"/>
        </w:rPr>
        <w:t>instrucción</w:t>
      </w:r>
      <w:r w:rsidRPr="00265631">
        <w:rPr>
          <w:rFonts w:ascii="Palatino Linotype" w:hAnsi="Palatino Linotype" w:cs="Arial"/>
          <w:sz w:val="24"/>
          <w:szCs w:val="24"/>
        </w:rPr>
        <w:t xml:space="preserve"> </w:t>
      </w:r>
      <w:r w:rsidRPr="00265631">
        <w:rPr>
          <w:rFonts w:ascii="Palatino Linotype" w:hAnsi="Palatino Linotype"/>
          <w:sz w:val="24"/>
          <w:szCs w:val="24"/>
        </w:rPr>
        <w:t>mediante acuerdo de fecha</w:t>
      </w:r>
      <w:r w:rsidR="00A8547B" w:rsidRPr="00265631">
        <w:rPr>
          <w:rFonts w:ascii="Palatino Linotype" w:hAnsi="Palatino Linotype"/>
          <w:sz w:val="24"/>
          <w:szCs w:val="24"/>
        </w:rPr>
        <w:t xml:space="preserve"> </w:t>
      </w:r>
      <w:r w:rsidR="00C82469" w:rsidRPr="00265631">
        <w:rPr>
          <w:rFonts w:ascii="Palatino Linotype" w:hAnsi="Palatino Linotype"/>
          <w:sz w:val="24"/>
          <w:szCs w:val="24"/>
        </w:rPr>
        <w:t>diez (10</w:t>
      </w:r>
      <w:r w:rsidR="00A56228" w:rsidRPr="00265631">
        <w:rPr>
          <w:rFonts w:ascii="Palatino Linotype" w:hAnsi="Palatino Linotype"/>
          <w:sz w:val="24"/>
          <w:szCs w:val="24"/>
        </w:rPr>
        <w:t xml:space="preserve">) de </w:t>
      </w:r>
      <w:r w:rsidR="00C82469" w:rsidRPr="00265631">
        <w:rPr>
          <w:rFonts w:ascii="Palatino Linotype" w:hAnsi="Palatino Linotype"/>
          <w:sz w:val="24"/>
          <w:szCs w:val="24"/>
        </w:rPr>
        <w:t>octubre</w:t>
      </w:r>
      <w:r w:rsidRPr="00265631">
        <w:rPr>
          <w:rFonts w:ascii="Palatino Linotype" w:hAnsi="Palatino Linotype"/>
          <w:sz w:val="24"/>
          <w:szCs w:val="24"/>
        </w:rPr>
        <w:t xml:space="preserve"> de la presente anualidad, </w:t>
      </w:r>
      <w:r w:rsidR="00B402DC" w:rsidRPr="00265631">
        <w:rPr>
          <w:rFonts w:ascii="Palatino Linotype" w:hAnsi="Palatino Linotype"/>
          <w:sz w:val="24"/>
          <w:szCs w:val="24"/>
        </w:rPr>
        <w:t xml:space="preserve">y en misma fecha se determinó la ampliación de plazo para resolver el asunto que ahora nos ocupa, </w:t>
      </w:r>
      <w:r w:rsidRPr="00265631">
        <w:rPr>
          <w:rFonts w:ascii="Palatino Linotype" w:hAnsi="Palatino Linotype" w:cs="Arial"/>
          <w:sz w:val="24"/>
          <w:szCs w:val="24"/>
        </w:rPr>
        <w:t>por lo que,</w:t>
      </w:r>
      <w:r w:rsidR="00B402DC" w:rsidRPr="00265631">
        <w:rPr>
          <w:rFonts w:ascii="Palatino Linotype" w:hAnsi="Palatino Linotype" w:cs="Arial"/>
          <w:sz w:val="24"/>
          <w:szCs w:val="24"/>
        </w:rPr>
        <w:t xml:space="preserve"> posterior a ello</w:t>
      </w:r>
      <w:r w:rsidRPr="00265631">
        <w:rPr>
          <w:rFonts w:ascii="Palatino Linotype" w:hAnsi="Palatino Linotype" w:cs="Arial"/>
          <w:sz w:val="24"/>
          <w:szCs w:val="24"/>
        </w:rPr>
        <w:t xml:space="preserve"> ordenó turnar el expediente a resolución, misma que ahora se pronuncia; y - - - - - - - - - - </w:t>
      </w:r>
      <w:r w:rsidR="00B402DC" w:rsidRPr="00265631">
        <w:rPr>
          <w:rFonts w:ascii="Palatino Linotype" w:hAnsi="Palatino Linotype" w:cs="Arial"/>
          <w:sz w:val="24"/>
          <w:szCs w:val="24"/>
        </w:rPr>
        <w:t xml:space="preserve">- - - - - -  - - - - - - - - - - - - - - - - - - - - - - - - - - - - - - - - - - -  </w:t>
      </w:r>
    </w:p>
    <w:p w:rsidR="00495F9A" w:rsidRPr="00265631" w:rsidRDefault="00792776" w:rsidP="00265631">
      <w:pPr>
        <w:keepNext/>
        <w:keepLines/>
        <w:spacing w:after="0" w:line="360" w:lineRule="auto"/>
        <w:jc w:val="center"/>
        <w:outlineLvl w:val="0"/>
        <w:rPr>
          <w:rFonts w:ascii="Palatino Linotype" w:eastAsia="MS Gothic" w:hAnsi="Palatino Linotype" w:cs="Times New Roman"/>
          <w:b/>
          <w:sz w:val="24"/>
          <w:szCs w:val="24"/>
        </w:rPr>
      </w:pPr>
      <w:bookmarkStart w:id="2" w:name="_Toc21701084"/>
      <w:r w:rsidRPr="00265631">
        <w:rPr>
          <w:rFonts w:ascii="Palatino Linotype" w:eastAsia="MS Gothic" w:hAnsi="Palatino Linotype" w:cs="Times New Roman"/>
          <w:b/>
          <w:sz w:val="24"/>
          <w:szCs w:val="24"/>
        </w:rPr>
        <w:t>CONSIDERANDO</w:t>
      </w:r>
      <w:bookmarkEnd w:id="2"/>
    </w:p>
    <w:p w:rsidR="00C07697" w:rsidRPr="00265631" w:rsidRDefault="00C07697" w:rsidP="00265631">
      <w:pPr>
        <w:keepNext/>
        <w:keepLines/>
        <w:spacing w:after="0" w:line="360" w:lineRule="auto"/>
        <w:jc w:val="center"/>
        <w:outlineLvl w:val="0"/>
        <w:rPr>
          <w:rFonts w:ascii="Palatino Linotype" w:eastAsia="MS Gothic" w:hAnsi="Palatino Linotype" w:cs="Times New Roman"/>
          <w:b/>
          <w:sz w:val="24"/>
          <w:szCs w:val="24"/>
        </w:rPr>
      </w:pPr>
    </w:p>
    <w:p w:rsidR="00792776" w:rsidRPr="00265631" w:rsidRDefault="00792776" w:rsidP="00265631">
      <w:pPr>
        <w:keepNext/>
        <w:keepLines/>
        <w:spacing w:after="0" w:line="360" w:lineRule="auto"/>
        <w:outlineLvl w:val="0"/>
        <w:rPr>
          <w:rFonts w:ascii="Palatino Linotype" w:eastAsia="MS Gothic" w:hAnsi="Palatino Linotype" w:cs="Times New Roman"/>
          <w:b/>
          <w:sz w:val="24"/>
          <w:szCs w:val="24"/>
        </w:rPr>
      </w:pPr>
      <w:bookmarkStart w:id="3" w:name="_Toc21701085"/>
      <w:r w:rsidRPr="00265631">
        <w:rPr>
          <w:rFonts w:ascii="Palatino Linotype" w:eastAsia="MS Mincho" w:hAnsi="Palatino Linotype" w:cstheme="majorBidi"/>
          <w:b/>
          <w:sz w:val="24"/>
          <w:szCs w:val="24"/>
          <w:lang w:val="es-ES_tradnl" w:eastAsia="es-ES"/>
        </w:rPr>
        <w:t>PRIMERO</w:t>
      </w:r>
      <w:r w:rsidRPr="00265631">
        <w:rPr>
          <w:rFonts w:ascii="Palatino Linotype" w:eastAsia="MS Gothic" w:hAnsi="Palatino Linotype" w:cs="Times New Roman"/>
          <w:b/>
          <w:sz w:val="24"/>
          <w:szCs w:val="24"/>
        </w:rPr>
        <w:t>. De la competencia.</w:t>
      </w:r>
      <w:bookmarkEnd w:id="3"/>
    </w:p>
    <w:p w:rsidR="00792776" w:rsidRPr="00265631" w:rsidRDefault="00792776" w:rsidP="00265631">
      <w:pPr>
        <w:spacing w:after="0" w:line="360" w:lineRule="auto"/>
        <w:rPr>
          <w:rFonts w:ascii="Palatino Linotype" w:hAnsi="Palatino Linotype"/>
          <w:sz w:val="24"/>
          <w:szCs w:val="24"/>
        </w:rPr>
      </w:pPr>
    </w:p>
    <w:p w:rsidR="00DB164E" w:rsidRPr="00265631" w:rsidRDefault="00792776" w:rsidP="0026563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65631">
        <w:rPr>
          <w:rFonts w:ascii="Palatino Linotype" w:eastAsia="Calibri" w:hAnsi="Palatino Linotype" w:cs="Times New Roman"/>
          <w:b/>
          <w:sz w:val="24"/>
          <w:szCs w:val="24"/>
          <w:lang w:val="es-ES" w:eastAsia="es-ES"/>
        </w:rPr>
        <w:t>Constitución Política de los Estados Unidos Mexicanos</w:t>
      </w:r>
      <w:r w:rsidRPr="00265631">
        <w:rPr>
          <w:rFonts w:ascii="Palatino Linotype" w:eastAsia="Calibri" w:hAnsi="Palatino Linotype" w:cs="Times New Roman"/>
          <w:sz w:val="24"/>
          <w:szCs w:val="24"/>
          <w:lang w:val="es-ES" w:eastAsia="es-ES"/>
        </w:rPr>
        <w:t xml:space="preserve">; </w:t>
      </w:r>
      <w:r w:rsidRPr="00265631">
        <w:rPr>
          <w:rFonts w:ascii="Palatino Linotype" w:hAnsi="Palatino Linotype" w:cs="Arial"/>
          <w:bCs/>
          <w:color w:val="222222"/>
          <w:sz w:val="24"/>
          <w:szCs w:val="24"/>
          <w:shd w:val="clear" w:color="auto" w:fill="FFFFFF"/>
          <w:lang w:val="es-ES"/>
        </w:rPr>
        <w:t>5, párrafos </w:t>
      </w:r>
      <w:r w:rsidRPr="00265631">
        <w:rPr>
          <w:rFonts w:ascii="Palatino Linotype" w:hAnsi="Palatino Linotype" w:cs="Arial"/>
          <w:bCs/>
          <w:color w:val="222222"/>
          <w:sz w:val="24"/>
          <w:szCs w:val="24"/>
          <w:lang w:val="es-ES"/>
        </w:rPr>
        <w:t>vigésimo</w:t>
      </w:r>
      <w:r w:rsidR="00C82469" w:rsidRPr="00265631">
        <w:rPr>
          <w:rFonts w:ascii="Palatino Linotype" w:hAnsi="Palatino Linotype" w:cs="Arial"/>
          <w:bCs/>
          <w:color w:val="222222"/>
          <w:sz w:val="24"/>
          <w:szCs w:val="24"/>
          <w:lang w:val="es-ES"/>
        </w:rPr>
        <w:t xml:space="preserve"> segundo</w:t>
      </w:r>
      <w:r w:rsidRPr="00265631">
        <w:rPr>
          <w:rFonts w:ascii="Palatino Linotype" w:hAnsi="Palatino Linotype" w:cs="Arial"/>
          <w:bCs/>
          <w:color w:val="222222"/>
          <w:sz w:val="24"/>
          <w:szCs w:val="24"/>
          <w:lang w:val="es-ES"/>
        </w:rPr>
        <w:t xml:space="preserve">, vigésimo </w:t>
      </w:r>
      <w:r w:rsidR="00C82469" w:rsidRPr="00265631">
        <w:rPr>
          <w:rFonts w:ascii="Palatino Linotype" w:hAnsi="Palatino Linotype" w:cs="Arial"/>
          <w:bCs/>
          <w:color w:val="222222"/>
          <w:sz w:val="24"/>
          <w:szCs w:val="24"/>
          <w:lang w:val="es-ES"/>
        </w:rPr>
        <w:t>tercero</w:t>
      </w:r>
      <w:r w:rsidRPr="00265631">
        <w:rPr>
          <w:rFonts w:ascii="Palatino Linotype" w:hAnsi="Palatino Linotype" w:cs="Arial"/>
          <w:bCs/>
          <w:color w:val="222222"/>
          <w:sz w:val="24"/>
          <w:szCs w:val="24"/>
          <w:lang w:val="es-ES"/>
        </w:rPr>
        <w:t xml:space="preserve"> y vigésimo </w:t>
      </w:r>
      <w:r w:rsidR="00C82469" w:rsidRPr="00265631">
        <w:rPr>
          <w:rFonts w:ascii="Palatino Linotype" w:hAnsi="Palatino Linotype" w:cs="Arial"/>
          <w:bCs/>
          <w:color w:val="222222"/>
          <w:sz w:val="24"/>
          <w:szCs w:val="24"/>
          <w:lang w:val="es-ES"/>
        </w:rPr>
        <w:t>cuarto</w:t>
      </w:r>
      <w:r w:rsidRPr="00265631">
        <w:rPr>
          <w:rFonts w:ascii="Palatino Linotype" w:hAnsi="Palatino Linotype" w:cs="Arial"/>
          <w:bCs/>
          <w:color w:val="222222"/>
          <w:sz w:val="24"/>
          <w:szCs w:val="24"/>
          <w:shd w:val="clear" w:color="auto" w:fill="FFFFFF"/>
          <w:lang w:val="es-ES"/>
        </w:rPr>
        <w:t> fracciones IV y V </w:t>
      </w:r>
      <w:r w:rsidRPr="00265631">
        <w:rPr>
          <w:rFonts w:ascii="Palatino Linotype" w:eastAsia="Calibri" w:hAnsi="Palatino Linotype" w:cs="Times New Roman"/>
          <w:sz w:val="24"/>
          <w:szCs w:val="24"/>
          <w:lang w:val="es-ES" w:eastAsia="es-ES"/>
        </w:rPr>
        <w:t xml:space="preserve">de la </w:t>
      </w:r>
      <w:r w:rsidRPr="00265631">
        <w:rPr>
          <w:rFonts w:ascii="Palatino Linotype" w:eastAsia="Calibri" w:hAnsi="Palatino Linotype" w:cs="Times New Roman"/>
          <w:b/>
          <w:sz w:val="24"/>
          <w:szCs w:val="24"/>
          <w:lang w:val="es-ES" w:eastAsia="es-ES"/>
        </w:rPr>
        <w:t>Constitución Política del Estado Libre y Soberano de México</w:t>
      </w:r>
      <w:r w:rsidRPr="0026563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65631">
        <w:rPr>
          <w:rFonts w:ascii="Palatino Linotype" w:eastAsia="Calibri" w:hAnsi="Palatino Linotype" w:cs="Arial"/>
          <w:sz w:val="24"/>
          <w:szCs w:val="24"/>
          <w:lang w:val="es-ES" w:eastAsia="es-ES"/>
        </w:rPr>
        <w:t xml:space="preserve">de la </w:t>
      </w:r>
      <w:r w:rsidRPr="00265631">
        <w:rPr>
          <w:rFonts w:ascii="Palatino Linotype" w:eastAsia="Calibri" w:hAnsi="Palatino Linotype" w:cs="Arial"/>
          <w:b/>
          <w:sz w:val="24"/>
          <w:szCs w:val="24"/>
          <w:lang w:val="es-ES" w:eastAsia="es-ES"/>
        </w:rPr>
        <w:t>Ley de Transparencia y Acceso a la Información Pública del Estado de México y Municipios</w:t>
      </w:r>
      <w:r w:rsidRPr="00265631">
        <w:rPr>
          <w:rFonts w:ascii="Palatino Linotype" w:eastAsia="Calibri" w:hAnsi="Palatino Linotype" w:cs="Arial"/>
          <w:sz w:val="24"/>
          <w:szCs w:val="24"/>
          <w:lang w:val="es-ES" w:eastAsia="es-ES"/>
        </w:rPr>
        <w:t xml:space="preserve">; </w:t>
      </w:r>
      <w:r w:rsidRPr="00265631">
        <w:rPr>
          <w:rFonts w:ascii="Palatino Linotype" w:eastAsia="Calibri" w:hAnsi="Palatino Linotype" w:cs="Arial"/>
          <w:b/>
          <w:sz w:val="24"/>
          <w:szCs w:val="24"/>
          <w:lang w:val="es-ES" w:eastAsia="es-ES"/>
        </w:rPr>
        <w:t>7, 9 fracciones I y XXIV, y 11</w:t>
      </w:r>
      <w:r w:rsidRPr="00265631">
        <w:rPr>
          <w:rFonts w:ascii="Palatino Linotype" w:eastAsia="Calibri" w:hAnsi="Palatino Linotype" w:cs="Arial"/>
          <w:sz w:val="24"/>
          <w:szCs w:val="24"/>
          <w:lang w:val="es-ES" w:eastAsia="es-ES"/>
        </w:rPr>
        <w:t xml:space="preserve"> del </w:t>
      </w:r>
      <w:r w:rsidRPr="0026563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65631">
        <w:rPr>
          <w:rFonts w:ascii="Palatino Linotype" w:eastAsia="MS Mincho" w:hAnsi="Palatino Linotype" w:cs="Times New Roman"/>
          <w:sz w:val="24"/>
          <w:szCs w:val="24"/>
          <w:lang w:val="es-ES_tradnl" w:eastAsia="es-ES"/>
        </w:rPr>
        <w:t>.</w:t>
      </w:r>
    </w:p>
    <w:p w:rsidR="00CC02A3" w:rsidRPr="00265631" w:rsidRDefault="00CC02A3" w:rsidP="00265631">
      <w:pPr>
        <w:spacing w:after="0" w:line="360" w:lineRule="auto"/>
        <w:contextualSpacing/>
        <w:jc w:val="both"/>
        <w:rPr>
          <w:rFonts w:ascii="Palatino Linotype" w:eastAsia="MS Mincho" w:hAnsi="Palatino Linotype" w:cs="Times New Roman"/>
          <w:sz w:val="24"/>
          <w:szCs w:val="24"/>
          <w:lang w:val="es-ES_tradnl" w:eastAsia="es-ES"/>
        </w:rPr>
      </w:pPr>
    </w:p>
    <w:p w:rsidR="00792776" w:rsidRPr="00265631" w:rsidRDefault="00792776" w:rsidP="00265631">
      <w:pPr>
        <w:keepNext/>
        <w:keepLines/>
        <w:spacing w:after="0" w:line="360" w:lineRule="auto"/>
        <w:outlineLvl w:val="0"/>
        <w:rPr>
          <w:rFonts w:ascii="Palatino Linotype" w:eastAsia="MS Gothic" w:hAnsi="Palatino Linotype" w:cs="Times New Roman"/>
          <w:b/>
          <w:sz w:val="24"/>
          <w:szCs w:val="24"/>
        </w:rPr>
      </w:pPr>
      <w:bookmarkStart w:id="4" w:name="_Toc21701086"/>
      <w:r w:rsidRPr="00265631">
        <w:rPr>
          <w:rFonts w:ascii="Palatino Linotype" w:eastAsia="MS Mincho" w:hAnsi="Palatino Linotype" w:cstheme="majorBidi"/>
          <w:b/>
          <w:sz w:val="24"/>
          <w:szCs w:val="24"/>
          <w:lang w:val="es-ES_tradnl" w:eastAsia="es-ES"/>
        </w:rPr>
        <w:t>SEGUNDO</w:t>
      </w:r>
      <w:r w:rsidRPr="00265631">
        <w:rPr>
          <w:rFonts w:ascii="Palatino Linotype" w:eastAsia="MS Gothic" w:hAnsi="Palatino Linotype" w:cs="Times New Roman"/>
          <w:b/>
          <w:sz w:val="24"/>
          <w:szCs w:val="24"/>
        </w:rPr>
        <w:t>.</w:t>
      </w:r>
      <w:r w:rsidR="0004167E" w:rsidRPr="00265631">
        <w:rPr>
          <w:rFonts w:ascii="Palatino Linotype" w:eastAsia="MS Gothic" w:hAnsi="Palatino Linotype" w:cs="Times New Roman"/>
          <w:b/>
          <w:sz w:val="24"/>
          <w:szCs w:val="24"/>
        </w:rPr>
        <w:t xml:space="preserve"> De la oportunidad y </w:t>
      </w:r>
      <w:proofErr w:type="spellStart"/>
      <w:r w:rsidR="0004167E" w:rsidRPr="00265631">
        <w:rPr>
          <w:rFonts w:ascii="Palatino Linotype" w:eastAsia="MS Gothic" w:hAnsi="Palatino Linotype" w:cs="Times New Roman"/>
          <w:b/>
          <w:sz w:val="24"/>
          <w:szCs w:val="24"/>
        </w:rPr>
        <w:t>procedibilidad</w:t>
      </w:r>
      <w:proofErr w:type="spellEnd"/>
      <w:r w:rsidR="0004167E" w:rsidRPr="00265631">
        <w:rPr>
          <w:rFonts w:ascii="Palatino Linotype" w:eastAsia="MS Gothic" w:hAnsi="Palatino Linotype" w:cs="Times New Roman"/>
          <w:b/>
          <w:sz w:val="24"/>
          <w:szCs w:val="24"/>
        </w:rPr>
        <w:t xml:space="preserve"> del recurso de revisión</w:t>
      </w:r>
      <w:r w:rsidRPr="00265631">
        <w:rPr>
          <w:rFonts w:ascii="Palatino Linotype" w:eastAsia="MS Gothic" w:hAnsi="Palatino Linotype" w:cs="Times New Roman"/>
          <w:b/>
          <w:sz w:val="24"/>
          <w:szCs w:val="24"/>
        </w:rPr>
        <w:t>.</w:t>
      </w:r>
      <w:bookmarkEnd w:id="4"/>
    </w:p>
    <w:p w:rsidR="00792776" w:rsidRPr="00265631" w:rsidRDefault="00792776" w:rsidP="00265631">
      <w:pPr>
        <w:spacing w:after="0" w:line="360" w:lineRule="auto"/>
        <w:ind w:left="720"/>
        <w:contextualSpacing/>
        <w:rPr>
          <w:rFonts w:ascii="Palatino Linotype" w:eastAsia="Calibri" w:hAnsi="Palatino Linotype" w:cs="Arial"/>
          <w:sz w:val="24"/>
          <w:szCs w:val="24"/>
          <w:lang w:val="es-ES_tradnl" w:eastAsia="es-ES"/>
        </w:rPr>
      </w:pPr>
    </w:p>
    <w:p w:rsidR="00CC02A3" w:rsidRPr="00265631" w:rsidRDefault="005E7BEE" w:rsidP="0026563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65631">
        <w:rPr>
          <w:rFonts w:ascii="Palatino Linotype" w:eastAsia="Calibri" w:hAnsi="Palatino Linotype" w:cs="Arial"/>
          <w:sz w:val="24"/>
          <w:szCs w:val="24"/>
          <w:lang w:val="es-ES_tradnl" w:eastAsia="es-ES"/>
        </w:rPr>
        <w:t xml:space="preserve">El medio de impugnación fue presentado a través del </w:t>
      </w:r>
      <w:r w:rsidRPr="00265631">
        <w:rPr>
          <w:rFonts w:ascii="Palatino Linotype" w:eastAsia="Calibri" w:hAnsi="Palatino Linotype" w:cs="Arial"/>
          <w:b/>
          <w:sz w:val="24"/>
          <w:szCs w:val="24"/>
          <w:lang w:val="es-ES_tradnl" w:eastAsia="es-ES"/>
        </w:rPr>
        <w:t>SAIMEX,</w:t>
      </w:r>
      <w:r w:rsidRPr="0026563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65631">
        <w:rPr>
          <w:rFonts w:ascii="Palatino Linotype" w:eastAsia="Calibri" w:hAnsi="Palatino Linotype" w:cs="Arial"/>
          <w:b/>
          <w:sz w:val="24"/>
          <w:szCs w:val="24"/>
          <w:lang w:val="es-ES_tradnl" w:eastAsia="es-ES"/>
        </w:rPr>
        <w:t>SUJETO OBLIGADO</w:t>
      </w:r>
      <w:r w:rsidRPr="00265631">
        <w:rPr>
          <w:rFonts w:ascii="Palatino Linotype" w:eastAsia="Calibri" w:hAnsi="Palatino Linotype" w:cs="Arial"/>
          <w:sz w:val="24"/>
          <w:szCs w:val="24"/>
          <w:lang w:val="es-ES_tradnl" w:eastAsia="es-ES"/>
        </w:rPr>
        <w:t xml:space="preserve"> entregó respuesta el día </w:t>
      </w:r>
      <w:r w:rsidR="00C82469" w:rsidRPr="00265631">
        <w:rPr>
          <w:rFonts w:ascii="Palatino Linotype" w:eastAsia="Calibri" w:hAnsi="Palatino Linotype" w:cs="Arial"/>
          <w:sz w:val="24"/>
          <w:szCs w:val="24"/>
          <w:lang w:val="es-ES_tradnl" w:eastAsia="es-ES"/>
        </w:rPr>
        <w:t>catorce</w:t>
      </w:r>
      <w:r w:rsidR="001D6E38" w:rsidRPr="00265631">
        <w:rPr>
          <w:rFonts w:ascii="Palatino Linotype" w:eastAsia="Calibri" w:hAnsi="Palatino Linotype" w:cs="Arial"/>
          <w:sz w:val="24"/>
          <w:szCs w:val="24"/>
          <w:lang w:val="es-ES_tradnl" w:eastAsia="es-ES"/>
        </w:rPr>
        <w:t xml:space="preserve"> (</w:t>
      </w:r>
      <w:r w:rsidR="00C82469" w:rsidRPr="00265631">
        <w:rPr>
          <w:rFonts w:ascii="Palatino Linotype" w:eastAsia="Calibri" w:hAnsi="Palatino Linotype" w:cs="Arial"/>
          <w:sz w:val="24"/>
          <w:szCs w:val="24"/>
          <w:lang w:val="es-ES_tradnl" w:eastAsia="es-ES"/>
        </w:rPr>
        <w:t>14</w:t>
      </w:r>
      <w:r w:rsidRPr="00265631">
        <w:rPr>
          <w:rFonts w:ascii="Palatino Linotype" w:eastAsia="Calibri" w:hAnsi="Palatino Linotype" w:cs="Arial"/>
          <w:sz w:val="24"/>
          <w:szCs w:val="24"/>
          <w:lang w:val="es-ES_tradnl" w:eastAsia="es-ES"/>
        </w:rPr>
        <w:t xml:space="preserve">) de </w:t>
      </w:r>
      <w:r w:rsidR="003A6E9C" w:rsidRPr="00265631">
        <w:rPr>
          <w:rFonts w:ascii="Palatino Linotype" w:eastAsia="Calibri" w:hAnsi="Palatino Linotype" w:cs="Arial"/>
          <w:sz w:val="24"/>
          <w:szCs w:val="24"/>
          <w:lang w:val="es-ES_tradnl" w:eastAsia="es-ES"/>
        </w:rPr>
        <w:t>a</w:t>
      </w:r>
      <w:r w:rsidR="00C82469" w:rsidRPr="00265631">
        <w:rPr>
          <w:rFonts w:ascii="Palatino Linotype" w:eastAsia="Calibri" w:hAnsi="Palatino Linotype" w:cs="Arial"/>
          <w:sz w:val="24"/>
          <w:szCs w:val="24"/>
          <w:lang w:val="es-ES_tradnl" w:eastAsia="es-ES"/>
        </w:rPr>
        <w:t>gosto</w:t>
      </w:r>
      <w:r w:rsidR="00B402DC" w:rsidRPr="00265631">
        <w:rPr>
          <w:rFonts w:ascii="Palatino Linotype" w:eastAsia="Calibri" w:hAnsi="Palatino Linotype" w:cs="Arial"/>
          <w:sz w:val="24"/>
          <w:szCs w:val="24"/>
          <w:lang w:val="es-ES_tradnl" w:eastAsia="es-ES"/>
        </w:rPr>
        <w:t xml:space="preserve"> de dos mil diecinueve</w:t>
      </w:r>
      <w:r w:rsidRPr="00265631">
        <w:rPr>
          <w:rFonts w:ascii="Palatino Linotype" w:eastAsia="Calibri" w:hAnsi="Palatino Linotype" w:cs="Arial"/>
          <w:sz w:val="24"/>
          <w:szCs w:val="24"/>
          <w:lang w:val="es-ES_tradnl" w:eastAsia="es-ES"/>
        </w:rPr>
        <w:t xml:space="preserve">, </w:t>
      </w:r>
      <w:r w:rsidRPr="00265631">
        <w:rPr>
          <w:rFonts w:ascii="Palatino Linotype" w:eastAsiaTheme="minorEastAsia" w:hAnsi="Palatino Linotype" w:cs="Arial"/>
          <w:sz w:val="24"/>
          <w:szCs w:val="24"/>
          <w:lang w:val="es-ES_tradnl" w:eastAsia="es-ES"/>
        </w:rPr>
        <w:t xml:space="preserve">de tal forma que el plazo para interponer el recurso transcurrió del día </w:t>
      </w:r>
      <w:r w:rsidR="00C82469" w:rsidRPr="00265631">
        <w:rPr>
          <w:rFonts w:ascii="Palatino Linotype" w:eastAsiaTheme="minorEastAsia" w:hAnsi="Palatino Linotype" w:cs="Arial"/>
          <w:sz w:val="24"/>
          <w:szCs w:val="24"/>
          <w:lang w:val="es-ES_tradnl" w:eastAsia="es-ES"/>
        </w:rPr>
        <w:t xml:space="preserve">quince </w:t>
      </w:r>
      <w:r w:rsidR="001D6E38" w:rsidRPr="00265631">
        <w:rPr>
          <w:rFonts w:ascii="Palatino Linotype" w:eastAsiaTheme="minorEastAsia" w:hAnsi="Palatino Linotype" w:cs="Arial"/>
          <w:sz w:val="24"/>
          <w:szCs w:val="24"/>
          <w:lang w:val="es-ES_tradnl" w:eastAsia="es-ES"/>
        </w:rPr>
        <w:t>(</w:t>
      </w:r>
      <w:r w:rsidR="00C82469" w:rsidRPr="00265631">
        <w:rPr>
          <w:rFonts w:ascii="Palatino Linotype" w:eastAsiaTheme="minorEastAsia" w:hAnsi="Palatino Linotype" w:cs="Arial"/>
          <w:sz w:val="24"/>
          <w:szCs w:val="24"/>
          <w:lang w:val="es-ES_tradnl" w:eastAsia="es-ES"/>
        </w:rPr>
        <w:t>15</w:t>
      </w:r>
      <w:r w:rsidRPr="00265631">
        <w:rPr>
          <w:rFonts w:ascii="Palatino Linotype" w:eastAsiaTheme="minorEastAsia" w:hAnsi="Palatino Linotype" w:cs="Arial"/>
          <w:sz w:val="24"/>
          <w:szCs w:val="24"/>
          <w:lang w:val="es-ES_tradnl" w:eastAsia="es-ES"/>
        </w:rPr>
        <w:t xml:space="preserve">) de </w:t>
      </w:r>
      <w:r w:rsidR="00C82469" w:rsidRPr="00265631">
        <w:rPr>
          <w:rFonts w:ascii="Palatino Linotype" w:eastAsiaTheme="minorEastAsia" w:hAnsi="Palatino Linotype" w:cs="Arial"/>
          <w:sz w:val="24"/>
          <w:szCs w:val="24"/>
          <w:lang w:val="es-ES_tradnl" w:eastAsia="es-ES"/>
        </w:rPr>
        <w:t>agosto</w:t>
      </w:r>
      <w:r w:rsidRPr="00265631">
        <w:rPr>
          <w:rFonts w:ascii="Palatino Linotype" w:eastAsiaTheme="minorEastAsia" w:hAnsi="Palatino Linotype" w:cs="Arial"/>
          <w:sz w:val="24"/>
          <w:szCs w:val="24"/>
          <w:lang w:val="es-ES_tradnl" w:eastAsia="es-ES"/>
        </w:rPr>
        <w:t xml:space="preserve"> al</w:t>
      </w:r>
      <w:r w:rsidR="001656F1" w:rsidRPr="00265631">
        <w:rPr>
          <w:rFonts w:ascii="Palatino Linotype" w:eastAsiaTheme="minorEastAsia" w:hAnsi="Palatino Linotype" w:cs="Arial"/>
          <w:sz w:val="24"/>
          <w:szCs w:val="24"/>
          <w:lang w:val="es-ES_tradnl" w:eastAsia="es-ES"/>
        </w:rPr>
        <w:t xml:space="preserve"> </w:t>
      </w:r>
      <w:r w:rsidR="003A6E9C" w:rsidRPr="00265631">
        <w:rPr>
          <w:rFonts w:ascii="Palatino Linotype" w:eastAsiaTheme="minorEastAsia" w:hAnsi="Palatino Linotype" w:cs="Arial"/>
          <w:sz w:val="24"/>
          <w:szCs w:val="24"/>
          <w:lang w:val="es-ES_tradnl" w:eastAsia="es-ES"/>
        </w:rPr>
        <w:t xml:space="preserve">quince </w:t>
      </w:r>
      <w:r w:rsidR="001D6E38" w:rsidRPr="00265631">
        <w:rPr>
          <w:rFonts w:ascii="Palatino Linotype" w:eastAsiaTheme="minorEastAsia" w:hAnsi="Palatino Linotype" w:cs="Arial"/>
          <w:sz w:val="24"/>
          <w:szCs w:val="24"/>
          <w:lang w:val="es-ES_tradnl" w:eastAsia="es-ES"/>
        </w:rPr>
        <w:t>(</w:t>
      </w:r>
      <w:r w:rsidR="003A6E9C" w:rsidRPr="00265631">
        <w:rPr>
          <w:rFonts w:ascii="Palatino Linotype" w:eastAsiaTheme="minorEastAsia" w:hAnsi="Palatino Linotype" w:cs="Arial"/>
          <w:sz w:val="24"/>
          <w:szCs w:val="24"/>
          <w:lang w:val="es-ES_tradnl" w:eastAsia="es-ES"/>
        </w:rPr>
        <w:t>15</w:t>
      </w:r>
      <w:r w:rsidRPr="00265631">
        <w:rPr>
          <w:rFonts w:ascii="Palatino Linotype" w:eastAsiaTheme="minorEastAsia" w:hAnsi="Palatino Linotype" w:cs="Arial"/>
          <w:sz w:val="24"/>
          <w:szCs w:val="24"/>
          <w:lang w:val="es-ES_tradnl" w:eastAsia="es-ES"/>
        </w:rPr>
        <w:t xml:space="preserve">) de </w:t>
      </w:r>
      <w:r w:rsidR="003A6E9C" w:rsidRPr="00265631">
        <w:rPr>
          <w:rFonts w:ascii="Palatino Linotype" w:eastAsiaTheme="minorEastAsia" w:hAnsi="Palatino Linotype" w:cs="Arial"/>
          <w:sz w:val="24"/>
          <w:szCs w:val="24"/>
          <w:lang w:val="es-ES_tradnl" w:eastAsia="es-ES"/>
        </w:rPr>
        <w:t xml:space="preserve">mayo </w:t>
      </w:r>
      <w:r w:rsidR="001656F1" w:rsidRPr="00265631">
        <w:rPr>
          <w:rFonts w:ascii="Palatino Linotype" w:eastAsiaTheme="minorEastAsia" w:hAnsi="Palatino Linotype" w:cs="Arial"/>
          <w:sz w:val="24"/>
          <w:szCs w:val="24"/>
          <w:lang w:val="es-ES_tradnl" w:eastAsia="es-ES"/>
        </w:rPr>
        <w:t>de dos mil diecinueve</w:t>
      </w:r>
      <w:r w:rsidRPr="00265631">
        <w:rPr>
          <w:rFonts w:ascii="Palatino Linotype" w:eastAsiaTheme="minorEastAsia" w:hAnsi="Palatino Linotype" w:cs="Arial"/>
          <w:sz w:val="24"/>
          <w:szCs w:val="24"/>
          <w:lang w:val="es-ES_tradnl" w:eastAsia="es-ES"/>
        </w:rPr>
        <w:t>; en consecuencia, presentó su</w:t>
      </w:r>
      <w:r w:rsidR="00B6542A" w:rsidRPr="00265631">
        <w:rPr>
          <w:rFonts w:ascii="Palatino Linotype" w:eastAsiaTheme="minorEastAsia" w:hAnsi="Palatino Linotype" w:cs="Arial"/>
          <w:sz w:val="24"/>
          <w:szCs w:val="24"/>
          <w:lang w:val="es-ES_tradnl" w:eastAsia="es-ES"/>
        </w:rPr>
        <w:t xml:space="preserve"> inconformidad el día </w:t>
      </w:r>
      <w:r w:rsidR="00C82469" w:rsidRPr="00265631">
        <w:rPr>
          <w:rFonts w:ascii="Palatino Linotype" w:eastAsiaTheme="minorEastAsia" w:hAnsi="Palatino Linotype" w:cs="Arial"/>
          <w:sz w:val="24"/>
          <w:szCs w:val="24"/>
          <w:lang w:val="es-ES_tradnl" w:eastAsia="es-ES"/>
        </w:rPr>
        <w:t xml:space="preserve">cuatro </w:t>
      </w:r>
      <w:r w:rsidR="00B6542A" w:rsidRPr="00265631">
        <w:rPr>
          <w:rFonts w:ascii="Palatino Linotype" w:eastAsiaTheme="minorEastAsia" w:hAnsi="Palatino Linotype" w:cs="Arial"/>
          <w:sz w:val="24"/>
          <w:szCs w:val="24"/>
          <w:lang w:val="es-ES_tradnl" w:eastAsia="es-ES"/>
        </w:rPr>
        <w:t>(</w:t>
      </w:r>
      <w:r w:rsidR="003A6E9C" w:rsidRPr="00265631">
        <w:rPr>
          <w:rFonts w:ascii="Palatino Linotype" w:eastAsiaTheme="minorEastAsia" w:hAnsi="Palatino Linotype" w:cs="Arial"/>
          <w:sz w:val="24"/>
          <w:szCs w:val="24"/>
          <w:lang w:val="es-ES_tradnl" w:eastAsia="es-ES"/>
        </w:rPr>
        <w:t>0</w:t>
      </w:r>
      <w:r w:rsidR="00C82469" w:rsidRPr="00265631">
        <w:rPr>
          <w:rFonts w:ascii="Palatino Linotype" w:eastAsiaTheme="minorEastAsia" w:hAnsi="Palatino Linotype" w:cs="Arial"/>
          <w:sz w:val="24"/>
          <w:szCs w:val="24"/>
          <w:lang w:val="es-ES_tradnl" w:eastAsia="es-ES"/>
        </w:rPr>
        <w:t>4</w:t>
      </w:r>
      <w:r w:rsidRPr="00265631">
        <w:rPr>
          <w:rFonts w:ascii="Palatino Linotype" w:eastAsiaTheme="minorEastAsia" w:hAnsi="Palatino Linotype" w:cs="Arial"/>
          <w:sz w:val="24"/>
          <w:szCs w:val="24"/>
          <w:lang w:val="es-ES_tradnl" w:eastAsia="es-ES"/>
        </w:rPr>
        <w:t xml:space="preserve">) de </w:t>
      </w:r>
      <w:r w:rsidR="00C82469" w:rsidRPr="00265631">
        <w:rPr>
          <w:rFonts w:ascii="Palatino Linotype" w:eastAsiaTheme="minorEastAsia" w:hAnsi="Palatino Linotype" w:cs="Arial"/>
          <w:sz w:val="24"/>
          <w:szCs w:val="24"/>
          <w:lang w:val="es-ES_tradnl" w:eastAsia="es-ES"/>
        </w:rPr>
        <w:t>septiembre</w:t>
      </w:r>
      <w:r w:rsidR="00DB164E" w:rsidRPr="00265631">
        <w:rPr>
          <w:rFonts w:ascii="Palatino Linotype" w:eastAsiaTheme="minorEastAsia" w:hAnsi="Palatino Linotype" w:cs="Arial"/>
          <w:sz w:val="24"/>
          <w:szCs w:val="24"/>
          <w:lang w:val="es-ES_tradnl" w:eastAsia="es-ES"/>
        </w:rPr>
        <w:t xml:space="preserve"> </w:t>
      </w:r>
      <w:r w:rsidR="001656F1" w:rsidRPr="00265631">
        <w:rPr>
          <w:rFonts w:ascii="Palatino Linotype" w:eastAsiaTheme="minorEastAsia" w:hAnsi="Palatino Linotype" w:cs="Arial"/>
          <w:sz w:val="24"/>
          <w:szCs w:val="24"/>
          <w:lang w:val="es-ES_tradnl" w:eastAsia="es-ES"/>
        </w:rPr>
        <w:t>de dos mil diecinueve</w:t>
      </w:r>
      <w:r w:rsidRPr="00265631">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26563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65631">
        <w:rPr>
          <w:rFonts w:ascii="Palatino Linotype" w:eastAsiaTheme="minorEastAsia" w:hAnsi="Palatino Linotype" w:cs="Arial"/>
          <w:sz w:val="24"/>
          <w:szCs w:val="24"/>
          <w:lang w:val="es-ES_tradnl" w:eastAsia="es-ES"/>
        </w:rPr>
        <w:t xml:space="preserve">vigente. </w:t>
      </w:r>
    </w:p>
    <w:p w:rsidR="00265631" w:rsidRPr="00265631" w:rsidRDefault="00265631" w:rsidP="00265631">
      <w:pPr>
        <w:spacing w:after="0" w:line="360" w:lineRule="auto"/>
        <w:ind w:right="49"/>
        <w:contextualSpacing/>
        <w:jc w:val="both"/>
        <w:rPr>
          <w:rFonts w:ascii="Palatino Linotype" w:eastAsiaTheme="minorEastAsia" w:hAnsi="Palatino Linotype"/>
          <w:sz w:val="24"/>
          <w:szCs w:val="24"/>
          <w:lang w:val="es-ES_tradnl" w:eastAsia="es-ES"/>
        </w:rPr>
      </w:pPr>
    </w:p>
    <w:p w:rsidR="00CC02A3" w:rsidRPr="00265631" w:rsidRDefault="00CC02A3" w:rsidP="00265631">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265631">
        <w:rPr>
          <w:rFonts w:ascii="Palatino Linotype" w:eastAsia="Calibri" w:hAnsi="Palatino Linotype" w:cs="Arial"/>
          <w:sz w:val="24"/>
          <w:szCs w:val="24"/>
          <w:lang w:val="es-ES_tradnl" w:eastAsia="es-ES"/>
        </w:rPr>
        <w:t xml:space="preserve">Cabe mencionar que </w:t>
      </w:r>
      <w:r w:rsidR="00C82469" w:rsidRPr="00265631">
        <w:rPr>
          <w:rFonts w:ascii="Palatino Linotype" w:eastAsia="Calibri" w:hAnsi="Palatino Linotype" w:cs="Arial"/>
          <w:sz w:val="24"/>
          <w:szCs w:val="24"/>
          <w:lang w:val="es-ES_tradnl" w:eastAsia="es-ES"/>
        </w:rPr>
        <w:t xml:space="preserve">el </w:t>
      </w:r>
      <w:r w:rsidRPr="00265631">
        <w:rPr>
          <w:rFonts w:ascii="Palatino Linotype" w:eastAsia="Calibri" w:hAnsi="Palatino Linotype" w:cs="Arial"/>
          <w:sz w:val="24"/>
          <w:szCs w:val="24"/>
          <w:lang w:val="es-ES_tradnl" w:eastAsia="es-ES"/>
        </w:rPr>
        <w:t xml:space="preserve">recurrente proporcionó </w:t>
      </w:r>
      <w:r w:rsidR="00C82469" w:rsidRPr="00265631">
        <w:rPr>
          <w:rFonts w:ascii="Palatino Linotype" w:eastAsia="Calibri" w:hAnsi="Palatino Linotype" w:cs="Arial"/>
          <w:sz w:val="24"/>
          <w:szCs w:val="24"/>
          <w:lang w:val="es-ES_tradnl" w:eastAsia="es-ES"/>
        </w:rPr>
        <w:t>un</w:t>
      </w:r>
      <w:r w:rsidRPr="00265631">
        <w:rPr>
          <w:rFonts w:ascii="Palatino Linotype" w:eastAsia="Calibri" w:hAnsi="Palatino Linotype" w:cs="Arial"/>
          <w:sz w:val="24"/>
          <w:szCs w:val="24"/>
          <w:lang w:val="es-ES_tradnl" w:eastAsia="es-ES"/>
        </w:rPr>
        <w:t xml:space="preserve"> seudónimo, no obstante, lo anterior,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CC02A3" w:rsidRPr="00265631" w:rsidRDefault="00CC02A3" w:rsidP="00265631">
      <w:pPr>
        <w:pStyle w:val="Prrafodelista"/>
        <w:spacing w:after="0" w:line="360" w:lineRule="auto"/>
        <w:rPr>
          <w:rFonts w:ascii="Palatino Linotype" w:eastAsia="Calibri" w:hAnsi="Palatino Linotype" w:cs="Arial"/>
          <w:b/>
          <w:sz w:val="24"/>
          <w:szCs w:val="24"/>
          <w:lang w:val="es-ES_tradnl" w:eastAsia="es-ES"/>
        </w:rPr>
      </w:pPr>
    </w:p>
    <w:p w:rsidR="00CC02A3" w:rsidRPr="00265631" w:rsidRDefault="00CC02A3" w:rsidP="00265631">
      <w:pPr>
        <w:tabs>
          <w:tab w:val="left" w:pos="567"/>
        </w:tabs>
        <w:spacing w:after="0" w:line="360" w:lineRule="auto"/>
        <w:ind w:left="567" w:right="616"/>
        <w:jc w:val="both"/>
        <w:rPr>
          <w:rFonts w:ascii="Palatino Linotype" w:eastAsia="Calibri" w:hAnsi="Palatino Linotype" w:cs="Arial"/>
          <w:sz w:val="24"/>
          <w:szCs w:val="24"/>
          <w:lang w:val="es-ES" w:eastAsia="es-ES"/>
        </w:rPr>
      </w:pPr>
      <w:r w:rsidRPr="00265631">
        <w:rPr>
          <w:rFonts w:ascii="Palatino Linotype" w:eastAsia="Calibri" w:hAnsi="Palatino Linotype" w:cs="Arial"/>
          <w:sz w:val="24"/>
          <w:szCs w:val="24"/>
          <w:lang w:val="es-ES" w:eastAsia="es-ES"/>
        </w:rPr>
        <w:t>“</w:t>
      </w:r>
      <w:r w:rsidRPr="00265631">
        <w:rPr>
          <w:rFonts w:ascii="Palatino Linotype" w:eastAsia="Calibri" w:hAnsi="Palatino Linotype" w:cs="Arial"/>
          <w:b/>
          <w:sz w:val="24"/>
          <w:szCs w:val="24"/>
          <w:lang w:val="es-ES" w:eastAsia="es-ES"/>
        </w:rPr>
        <w:t>Artículo 155</w:t>
      </w:r>
      <w:r w:rsidRPr="00265631">
        <w:rPr>
          <w:rFonts w:ascii="Palatino Linotype" w:eastAsia="Calibri" w:hAnsi="Palatino Linotype" w:cs="Arial"/>
          <w:sz w:val="24"/>
          <w:szCs w:val="24"/>
          <w:lang w:val="es-ES" w:eastAsia="es-ES"/>
        </w:rPr>
        <w:t xml:space="preserve">. (…) Las </w:t>
      </w:r>
      <w:r w:rsidRPr="00265631">
        <w:rPr>
          <w:rFonts w:ascii="Palatino Linotype" w:eastAsia="Calibri" w:hAnsi="Palatino Linotype" w:cs="Arial"/>
          <w:b/>
          <w:sz w:val="24"/>
          <w:szCs w:val="24"/>
          <w:lang w:val="es-ES" w:eastAsia="es-ES"/>
        </w:rPr>
        <w:t>solicitudes anónimas</w:t>
      </w:r>
      <w:r w:rsidRPr="00265631">
        <w:rPr>
          <w:rFonts w:ascii="Palatino Linotype" w:eastAsia="Calibri" w:hAnsi="Palatino Linotype" w:cs="Arial"/>
          <w:sz w:val="24"/>
          <w:szCs w:val="24"/>
          <w:lang w:val="es-ES" w:eastAsia="es-ES"/>
        </w:rPr>
        <w:t>, con nombre incompleto o seudónimo</w:t>
      </w:r>
      <w:r w:rsidRPr="00265631">
        <w:rPr>
          <w:rFonts w:ascii="Palatino Linotype" w:eastAsia="Calibri" w:hAnsi="Palatino Linotype" w:cs="Arial"/>
          <w:b/>
          <w:sz w:val="24"/>
          <w:szCs w:val="24"/>
          <w:lang w:val="es-ES" w:eastAsia="es-ES"/>
        </w:rPr>
        <w:t xml:space="preserve"> </w:t>
      </w:r>
      <w:r w:rsidRPr="00265631">
        <w:rPr>
          <w:rFonts w:ascii="Palatino Linotype" w:eastAsia="Calibri" w:hAnsi="Palatino Linotype" w:cs="Arial"/>
          <w:sz w:val="24"/>
          <w:szCs w:val="24"/>
          <w:lang w:val="es-ES" w:eastAsia="es-ES"/>
        </w:rPr>
        <w:t>serán procedentes para su trámite por parte del sujeto obligado ante quien se presente. No podrá requerirse información adicional con motivo del nombre proporcionado por el solicitante”.</w:t>
      </w:r>
    </w:p>
    <w:p w:rsidR="001D6E38" w:rsidRPr="00265631" w:rsidRDefault="001D6E38" w:rsidP="00265631">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265631" w:rsidRDefault="005E7BEE" w:rsidP="0026563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6563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265631" w:rsidRDefault="003A6E9C" w:rsidP="00265631">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265631" w:rsidRDefault="005377B9" w:rsidP="00265631">
      <w:pPr>
        <w:keepNext/>
        <w:keepLines/>
        <w:spacing w:after="0" w:line="360" w:lineRule="auto"/>
        <w:outlineLvl w:val="0"/>
        <w:rPr>
          <w:rFonts w:ascii="Palatino Linotype" w:eastAsia="MS Gothic" w:hAnsi="Palatino Linotype" w:cs="Times New Roman"/>
          <w:b/>
          <w:sz w:val="24"/>
          <w:szCs w:val="24"/>
        </w:rPr>
      </w:pPr>
      <w:bookmarkStart w:id="5" w:name="_Toc21701087"/>
      <w:r w:rsidRPr="00265631">
        <w:rPr>
          <w:rFonts w:ascii="Palatino Linotype" w:eastAsia="MS Mincho" w:hAnsi="Palatino Linotype" w:cstheme="majorBidi"/>
          <w:b/>
          <w:sz w:val="24"/>
          <w:szCs w:val="24"/>
          <w:lang w:val="es-ES_tradnl" w:eastAsia="es-ES"/>
        </w:rPr>
        <w:t>TERCERO. Planteamiento de la Litis</w:t>
      </w:r>
      <w:r w:rsidRPr="00265631">
        <w:rPr>
          <w:rFonts w:ascii="Palatino Linotype" w:eastAsia="MS Gothic" w:hAnsi="Palatino Linotype" w:cs="Times New Roman"/>
          <w:b/>
          <w:sz w:val="24"/>
          <w:szCs w:val="24"/>
        </w:rPr>
        <w:t>.</w:t>
      </w:r>
      <w:bookmarkEnd w:id="5"/>
    </w:p>
    <w:p w:rsidR="001656F1" w:rsidRPr="00265631" w:rsidRDefault="001656F1" w:rsidP="00265631">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rsidR="00163316" w:rsidRPr="00265631" w:rsidRDefault="00163316" w:rsidP="0026563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hAnsi="Palatino Linotype"/>
          <w:color w:val="000000"/>
          <w:sz w:val="24"/>
          <w:szCs w:val="24"/>
          <w:shd w:val="clear" w:color="auto" w:fill="FFFFFF"/>
          <w:lang w:val="es-ES_tradnl"/>
        </w:rPr>
        <w:t>  </w:t>
      </w:r>
      <w:r w:rsidRPr="00265631">
        <w:rPr>
          <w:rFonts w:ascii="Palatino Linotype" w:hAnsi="Palatino Linotype"/>
          <w:color w:val="222222"/>
          <w:sz w:val="24"/>
          <w:szCs w:val="24"/>
          <w:shd w:val="clear" w:color="auto" w:fill="FFFFFF"/>
          <w:lang w:val="es-ES_tradnl"/>
        </w:rPr>
        <w:t xml:space="preserve">Es oportuno establecer que </w:t>
      </w:r>
      <w:r w:rsidR="00DB164E" w:rsidRPr="00265631">
        <w:rPr>
          <w:rFonts w:ascii="Palatino Linotype" w:hAnsi="Palatino Linotype"/>
          <w:color w:val="222222"/>
          <w:sz w:val="24"/>
          <w:szCs w:val="24"/>
          <w:shd w:val="clear" w:color="auto" w:fill="FFFFFF"/>
          <w:lang w:val="es-ES_tradnl"/>
        </w:rPr>
        <w:t>el Recurso</w:t>
      </w:r>
      <w:r w:rsidRPr="00265631">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265631">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265631">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265631">
        <w:rPr>
          <w:rFonts w:ascii="Palatino Linotype" w:hAnsi="Palatino Linotype"/>
          <w:color w:val="222222"/>
          <w:sz w:val="24"/>
          <w:szCs w:val="24"/>
          <w:shd w:val="clear" w:color="auto" w:fill="FFFFFF"/>
          <w:lang w:val="es-ES_tradnl"/>
        </w:rPr>
        <w:t>desechamiento</w:t>
      </w:r>
      <w:proofErr w:type="spellEnd"/>
      <w:r w:rsidRPr="00265631">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265631" w:rsidRDefault="00163316" w:rsidP="00265631">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265631" w:rsidRDefault="00163316" w:rsidP="0026563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eastAsia="MS Mincho" w:hAnsi="Palatino Linotype" w:cs="Times New Roman"/>
          <w:sz w:val="24"/>
          <w:szCs w:val="24"/>
        </w:rPr>
        <w:t xml:space="preserve">Así de las constancias que obran en el expediente electrónico, se advierte que la particular </w:t>
      </w:r>
      <w:r w:rsidR="00AC69DD" w:rsidRPr="00265631">
        <w:rPr>
          <w:rFonts w:ascii="Palatino Linotype" w:eastAsia="MS Mincho" w:hAnsi="Palatino Linotype" w:cs="Times New Roman"/>
          <w:sz w:val="24"/>
          <w:szCs w:val="24"/>
        </w:rPr>
        <w:t>mediante solicitud</w:t>
      </w:r>
      <w:r w:rsidRPr="00265631">
        <w:rPr>
          <w:rFonts w:ascii="Palatino Linotype" w:eastAsia="MS Mincho" w:hAnsi="Palatino Linotype" w:cs="Times New Roman"/>
          <w:sz w:val="24"/>
          <w:szCs w:val="24"/>
        </w:rPr>
        <w:t xml:space="preserve"> de información vía </w:t>
      </w:r>
      <w:r w:rsidR="00AC69DD" w:rsidRPr="00265631">
        <w:rPr>
          <w:rFonts w:ascii="Palatino Linotype" w:eastAsia="MS Mincho" w:hAnsi="Palatino Linotype" w:cs="Times New Roman"/>
          <w:sz w:val="24"/>
          <w:szCs w:val="24"/>
        </w:rPr>
        <w:t>Sistema de Acceso a la Información Mexiquense (SAIMEX)</w:t>
      </w:r>
      <w:r w:rsidRPr="00265631">
        <w:rPr>
          <w:rFonts w:ascii="Palatino Linotype" w:eastAsia="MS Mincho" w:hAnsi="Palatino Linotype" w:cs="Times New Roman"/>
          <w:sz w:val="24"/>
          <w:szCs w:val="24"/>
        </w:rPr>
        <w:t xml:space="preserve"> pidió</w:t>
      </w:r>
      <w:r w:rsidR="00B6542A" w:rsidRPr="00265631">
        <w:rPr>
          <w:rFonts w:ascii="Palatino Linotype" w:eastAsia="MS Mincho" w:hAnsi="Palatino Linotype" w:cs="Times New Roman"/>
          <w:sz w:val="24"/>
          <w:szCs w:val="24"/>
        </w:rPr>
        <w:t xml:space="preserve"> a</w:t>
      </w:r>
      <w:r w:rsidR="00DB164E" w:rsidRPr="00265631">
        <w:rPr>
          <w:rFonts w:ascii="Palatino Linotype" w:eastAsia="MS Mincho" w:hAnsi="Palatino Linotype" w:cs="Times New Roman"/>
          <w:sz w:val="24"/>
          <w:szCs w:val="24"/>
        </w:rPr>
        <w:t xml:space="preserve">l </w:t>
      </w:r>
      <w:r w:rsidR="003A6E9C" w:rsidRPr="00265631">
        <w:rPr>
          <w:rFonts w:ascii="Palatino Linotype" w:eastAsia="MS Mincho" w:hAnsi="Palatino Linotype" w:cs="Times New Roman"/>
          <w:b/>
          <w:bCs/>
          <w:sz w:val="24"/>
          <w:szCs w:val="24"/>
        </w:rPr>
        <w:t xml:space="preserve">Sujeto Obligado </w:t>
      </w:r>
      <w:r w:rsidR="00A8547B" w:rsidRPr="00265631">
        <w:rPr>
          <w:rFonts w:ascii="Palatino Linotype" w:eastAsia="MS Mincho" w:hAnsi="Palatino Linotype" w:cs="Times New Roman"/>
          <w:sz w:val="24"/>
          <w:szCs w:val="24"/>
        </w:rPr>
        <w:t>le</w:t>
      </w:r>
      <w:r w:rsidRPr="00265631">
        <w:rPr>
          <w:rFonts w:ascii="Palatino Linotype" w:eastAsia="MS Mincho" w:hAnsi="Palatino Linotype" w:cs="Times New Roman"/>
          <w:sz w:val="24"/>
          <w:szCs w:val="24"/>
        </w:rPr>
        <w:t xml:space="preserve"> proporcionara la información relativa </w:t>
      </w:r>
      <w:r w:rsidR="003A6E9C" w:rsidRPr="00265631">
        <w:rPr>
          <w:rFonts w:ascii="Palatino Linotype" w:eastAsia="MS Mincho" w:hAnsi="Palatino Linotype" w:cs="Times New Roman"/>
          <w:sz w:val="24"/>
          <w:szCs w:val="24"/>
        </w:rPr>
        <w:t xml:space="preserve">a: </w:t>
      </w:r>
    </w:p>
    <w:p w:rsidR="00061F4F" w:rsidRPr="00265631" w:rsidRDefault="00061F4F" w:rsidP="00265631">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C82469" w:rsidRPr="00265631" w:rsidRDefault="00C82469" w:rsidP="00265631">
      <w:pPr>
        <w:spacing w:after="0" w:line="360" w:lineRule="auto"/>
        <w:ind w:left="567" w:right="567"/>
        <w:jc w:val="both"/>
        <w:rPr>
          <w:rFonts w:ascii="Palatino Linotype" w:hAnsi="Palatino Linotype"/>
          <w:b/>
          <w:bCs/>
          <w:sz w:val="24"/>
          <w:szCs w:val="24"/>
        </w:rPr>
      </w:pPr>
      <w:bookmarkStart w:id="27" w:name="_Hlk11839772"/>
      <w:r w:rsidRPr="00265631">
        <w:rPr>
          <w:rFonts w:ascii="Palatino Linotype" w:hAnsi="Palatino Linotype"/>
          <w:b/>
          <w:bCs/>
          <w:sz w:val="24"/>
          <w:szCs w:val="24"/>
        </w:rPr>
        <w:t>Proporcionar copia, completa y legible de;</w:t>
      </w:r>
    </w:p>
    <w:p w:rsidR="00C82469" w:rsidRPr="00265631" w:rsidRDefault="00C82469" w:rsidP="00265631">
      <w:pPr>
        <w:spacing w:after="0" w:line="360" w:lineRule="auto"/>
        <w:ind w:left="567" w:right="567"/>
        <w:jc w:val="both"/>
        <w:rPr>
          <w:rFonts w:ascii="Palatino Linotype" w:hAnsi="Palatino Linotype"/>
          <w:sz w:val="24"/>
          <w:szCs w:val="24"/>
        </w:rPr>
      </w:pP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Todos los dictámenes como Impacto Regional o Único de factibilidad.</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Evaluaciones y/o resolutivos emitidos en materia de Impacto Ambiental, Urbano, Protección Civil, y Vialidad</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Los instrumentos de áreas de donación y equipamiento urbano por los cuales se autorizó en sus diversas etapas y manzanas la construcción del conjunto Urbano de tipo Interés Social denominado LA GUADALUPANA DEL LAGO, conocido comercialmente como COLONIAL DEL LAGO, ubicado en el Municipio de Nicolás Romero, Estado de México.</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 xml:space="preserve">Estatus a la fecha de la presente solicitud del cumplimiento de las condicionantes a las que se sujetaron las diversas autorizaciones; </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para el caso de permuta de cumplimiento de obligaciones y/o condicionantes también proporcionar copia simple de éstas.</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Proporcionar la referencia de la Gaceta Oficial por la cual se autoriza cada una de las etapas por manzana de dicho proyecto.</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 xml:space="preserve">Proporcionar Evaluación de Manifestación de Impacto Ambiental de la Planta de Tratamiento del Conjunto y acuerdos de entrega de equipamiento urbano al Municipio de Nicolás Romero. </w:t>
      </w:r>
    </w:p>
    <w:p w:rsidR="00C82469" w:rsidRPr="00265631" w:rsidRDefault="00C82469" w:rsidP="00265631">
      <w:pPr>
        <w:pStyle w:val="Prrafodelista"/>
        <w:numPr>
          <w:ilvl w:val="0"/>
          <w:numId w:val="6"/>
        </w:numPr>
        <w:spacing w:after="0" w:line="360" w:lineRule="auto"/>
        <w:ind w:left="567" w:right="567"/>
        <w:jc w:val="both"/>
        <w:rPr>
          <w:rFonts w:ascii="Palatino Linotype" w:hAnsi="Palatino Linotype"/>
          <w:sz w:val="24"/>
          <w:szCs w:val="24"/>
        </w:rPr>
      </w:pPr>
      <w:r w:rsidRPr="00265631">
        <w:rPr>
          <w:rFonts w:ascii="Palatino Linotype" w:hAnsi="Palatino Linotype"/>
          <w:sz w:val="24"/>
          <w:szCs w:val="24"/>
        </w:rPr>
        <w:t>De la CAEM la factibilidad del servicio en cada una de las etapas del proyecto y el respectivo pago en bloque y volúmenes autorizados, y de la Coordinación General de Protección Civil</w:t>
      </w:r>
    </w:p>
    <w:bookmarkEnd w:id="27"/>
    <w:p w:rsidR="00DB164E" w:rsidRPr="00265631" w:rsidRDefault="00DB164E" w:rsidP="00265631">
      <w:pPr>
        <w:tabs>
          <w:tab w:val="left" w:pos="8222"/>
        </w:tabs>
        <w:spacing w:after="0" w:line="360" w:lineRule="auto"/>
        <w:ind w:right="567"/>
        <w:jc w:val="both"/>
        <w:rPr>
          <w:rFonts w:ascii="Palatino Linotype" w:hAnsi="Palatino Linotype"/>
          <w:color w:val="000000"/>
          <w:sz w:val="24"/>
          <w:szCs w:val="24"/>
        </w:rPr>
      </w:pPr>
    </w:p>
    <w:p w:rsidR="00C82469" w:rsidRPr="00265631" w:rsidRDefault="00163316" w:rsidP="0026563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eastAsia="MS Mincho" w:hAnsi="Palatino Linotype" w:cs="Times New Roman"/>
          <w:sz w:val="24"/>
          <w:szCs w:val="24"/>
        </w:rPr>
        <w:t xml:space="preserve">El </w:t>
      </w:r>
      <w:r w:rsidR="00A00A77" w:rsidRPr="00265631">
        <w:rPr>
          <w:rFonts w:ascii="Palatino Linotype" w:eastAsia="MS Mincho" w:hAnsi="Palatino Linotype" w:cs="Times New Roman"/>
          <w:b/>
          <w:sz w:val="24"/>
          <w:szCs w:val="24"/>
        </w:rPr>
        <w:t>Sujeto Obligado</w:t>
      </w:r>
      <w:r w:rsidR="00A00A77" w:rsidRPr="00265631">
        <w:rPr>
          <w:rFonts w:ascii="Palatino Linotype" w:eastAsia="MS Mincho" w:hAnsi="Palatino Linotype" w:cs="Times New Roman"/>
          <w:sz w:val="24"/>
          <w:szCs w:val="24"/>
        </w:rPr>
        <w:t xml:space="preserve"> </w:t>
      </w:r>
      <w:r w:rsidR="00C82469" w:rsidRPr="00265631">
        <w:rPr>
          <w:rFonts w:ascii="Palatino Linotype" w:eastAsia="MS Mincho" w:hAnsi="Palatino Linotype" w:cs="Times New Roman"/>
          <w:sz w:val="24"/>
          <w:szCs w:val="24"/>
        </w:rPr>
        <w:t>en respuesta medularmente refirió que:</w:t>
      </w:r>
    </w:p>
    <w:p w:rsidR="00695AED" w:rsidRPr="00265631" w:rsidRDefault="00695AED" w:rsidP="00265631">
      <w:pPr>
        <w:pStyle w:val="Prrafodelista"/>
        <w:tabs>
          <w:tab w:val="left" w:pos="0"/>
        </w:tabs>
        <w:spacing w:after="0" w:line="360" w:lineRule="auto"/>
        <w:ind w:left="0" w:right="49"/>
        <w:jc w:val="both"/>
        <w:rPr>
          <w:rFonts w:ascii="Palatino Linotype" w:eastAsia="MS Mincho" w:hAnsi="Palatino Linotype" w:cs="Times New Roman"/>
          <w:sz w:val="24"/>
          <w:szCs w:val="24"/>
        </w:rPr>
      </w:pPr>
    </w:p>
    <w:p w:rsidR="00C82469" w:rsidRPr="00265631" w:rsidRDefault="00695AED" w:rsidP="00265631">
      <w:pPr>
        <w:pStyle w:val="Prrafodelista"/>
        <w:numPr>
          <w:ilvl w:val="0"/>
          <w:numId w:val="1"/>
        </w:numPr>
        <w:tabs>
          <w:tab w:val="left" w:pos="0"/>
          <w:tab w:val="left" w:pos="851"/>
        </w:tabs>
        <w:spacing w:after="0" w:line="360" w:lineRule="auto"/>
        <w:ind w:left="567" w:right="567" w:firstLine="0"/>
        <w:jc w:val="both"/>
        <w:rPr>
          <w:rFonts w:ascii="Palatino Linotype" w:eastAsia="MS Mincho" w:hAnsi="Palatino Linotype" w:cs="Times New Roman"/>
          <w:sz w:val="24"/>
          <w:szCs w:val="24"/>
        </w:rPr>
      </w:pPr>
      <w:r w:rsidRPr="00265631">
        <w:rPr>
          <w:rFonts w:ascii="Palatino Linotype" w:hAnsi="Palatino Linotype"/>
          <w:sz w:val="24"/>
          <w:szCs w:val="24"/>
        </w:rPr>
        <w:t>De acuerdo con el artículo 138 del Reglamento del Libro Quinto del Código Administrativo del Estado de México, la Secretaría de Desarrollo Urbano es la encargada de emitir dicho dictamen.</w:t>
      </w:r>
    </w:p>
    <w:p w:rsidR="00695AED" w:rsidRPr="00265631" w:rsidRDefault="00695AED" w:rsidP="00265631">
      <w:pPr>
        <w:pStyle w:val="Prrafodelista"/>
        <w:tabs>
          <w:tab w:val="left" w:pos="0"/>
          <w:tab w:val="left" w:pos="851"/>
        </w:tabs>
        <w:spacing w:after="0" w:line="360" w:lineRule="auto"/>
        <w:ind w:left="567" w:right="567"/>
        <w:jc w:val="both"/>
        <w:rPr>
          <w:rFonts w:ascii="Palatino Linotype" w:eastAsia="MS Mincho" w:hAnsi="Palatino Linotype" w:cs="Times New Roman"/>
          <w:sz w:val="24"/>
          <w:szCs w:val="24"/>
        </w:rPr>
      </w:pPr>
    </w:p>
    <w:p w:rsidR="00695AED" w:rsidRPr="00265631" w:rsidRDefault="00695AED" w:rsidP="00265631">
      <w:pPr>
        <w:pStyle w:val="Prrafodelista"/>
        <w:numPr>
          <w:ilvl w:val="0"/>
          <w:numId w:val="1"/>
        </w:numPr>
        <w:tabs>
          <w:tab w:val="left" w:pos="851"/>
        </w:tabs>
        <w:spacing w:after="0" w:line="360" w:lineRule="auto"/>
        <w:ind w:left="567" w:right="567" w:firstLine="0"/>
        <w:jc w:val="both"/>
        <w:rPr>
          <w:rFonts w:ascii="Palatino Linotype" w:hAnsi="Palatino Linotype"/>
          <w:sz w:val="24"/>
          <w:szCs w:val="24"/>
        </w:rPr>
      </w:pPr>
      <w:r w:rsidRPr="00265631">
        <w:rPr>
          <w:rFonts w:ascii="Palatino Linotype" w:hAnsi="Palatino Linotype"/>
          <w:sz w:val="24"/>
          <w:szCs w:val="24"/>
        </w:rPr>
        <w:t xml:space="preserve">De conformidad con el artículo 2.67 del Código para la Biodiversidad del Estado de México, establece que es facultad de la Secretaría de Medio ambiente del Estado de México. </w:t>
      </w:r>
    </w:p>
    <w:p w:rsidR="00695AED" w:rsidRPr="00265631" w:rsidRDefault="00695AED" w:rsidP="00265631">
      <w:pPr>
        <w:tabs>
          <w:tab w:val="left" w:pos="851"/>
        </w:tabs>
        <w:spacing w:after="0" w:line="360" w:lineRule="auto"/>
        <w:ind w:right="567"/>
        <w:jc w:val="both"/>
        <w:rPr>
          <w:rFonts w:ascii="Palatino Linotype" w:hAnsi="Palatino Linotype"/>
          <w:sz w:val="24"/>
          <w:szCs w:val="24"/>
        </w:rPr>
      </w:pPr>
    </w:p>
    <w:p w:rsidR="00695AED" w:rsidRPr="00265631" w:rsidRDefault="00695AED" w:rsidP="00265631">
      <w:pPr>
        <w:pStyle w:val="Prrafodelista"/>
        <w:numPr>
          <w:ilvl w:val="0"/>
          <w:numId w:val="1"/>
        </w:numPr>
        <w:tabs>
          <w:tab w:val="left" w:pos="851"/>
        </w:tabs>
        <w:spacing w:line="360" w:lineRule="auto"/>
        <w:ind w:left="567" w:right="567" w:firstLine="0"/>
        <w:jc w:val="both"/>
        <w:rPr>
          <w:rFonts w:ascii="Palatino Linotype" w:hAnsi="Palatino Linotype"/>
          <w:sz w:val="24"/>
          <w:szCs w:val="24"/>
        </w:rPr>
      </w:pPr>
      <w:r w:rsidRPr="00265631">
        <w:rPr>
          <w:rFonts w:ascii="Palatino Linotype" w:hAnsi="Palatino Linotype"/>
          <w:sz w:val="24"/>
          <w:szCs w:val="24"/>
        </w:rPr>
        <w:t xml:space="preserve">Respecto al Dictamen de Protección Civil de conformidad con lo que establece el artículo 6.26 del Libro Sexto del Código de Procedimientos Administrativos del Estado de México, los programas de protección civil se deberán inscribir en el Registro Estatal de Protección Civil. </w:t>
      </w:r>
    </w:p>
    <w:p w:rsidR="00695AED" w:rsidRPr="00265631" w:rsidRDefault="00695AED" w:rsidP="00265631">
      <w:pPr>
        <w:tabs>
          <w:tab w:val="left" w:pos="851"/>
        </w:tabs>
        <w:spacing w:after="0" w:line="360" w:lineRule="auto"/>
        <w:ind w:right="567"/>
        <w:jc w:val="both"/>
        <w:rPr>
          <w:rFonts w:ascii="Palatino Linotype" w:hAnsi="Palatino Linotype"/>
          <w:sz w:val="24"/>
          <w:szCs w:val="24"/>
        </w:rPr>
      </w:pPr>
    </w:p>
    <w:p w:rsidR="00695AED" w:rsidRPr="00265631" w:rsidRDefault="00695AED" w:rsidP="00265631">
      <w:pPr>
        <w:pStyle w:val="Prrafodelista"/>
        <w:numPr>
          <w:ilvl w:val="0"/>
          <w:numId w:val="1"/>
        </w:numPr>
        <w:tabs>
          <w:tab w:val="left" w:pos="0"/>
          <w:tab w:val="left" w:pos="851"/>
        </w:tabs>
        <w:spacing w:after="0" w:line="360" w:lineRule="auto"/>
        <w:ind w:left="567" w:right="567" w:firstLine="0"/>
        <w:jc w:val="both"/>
        <w:rPr>
          <w:rFonts w:ascii="Palatino Linotype" w:eastAsia="MS Mincho" w:hAnsi="Palatino Linotype" w:cs="Times New Roman"/>
          <w:sz w:val="24"/>
          <w:szCs w:val="24"/>
        </w:rPr>
      </w:pPr>
      <w:r w:rsidRPr="00265631">
        <w:rPr>
          <w:rFonts w:ascii="Palatino Linotype" w:hAnsi="Palatino Linotype"/>
          <w:sz w:val="24"/>
          <w:szCs w:val="24"/>
        </w:rPr>
        <w:t>Respecto al dictamen de incorporación e impacto vial y de conformidad con lo que establece el artículo 17.59 del Libro Décimo Séptimo del Código de Procedimientos Administrativos es atribución de la Secretaría de Comunicaciones.</w:t>
      </w:r>
    </w:p>
    <w:p w:rsidR="00695AED" w:rsidRPr="00265631" w:rsidRDefault="00695AED" w:rsidP="00265631">
      <w:pPr>
        <w:tabs>
          <w:tab w:val="left" w:pos="0"/>
          <w:tab w:val="left" w:pos="851"/>
        </w:tabs>
        <w:spacing w:after="0" w:line="360" w:lineRule="auto"/>
        <w:ind w:right="567"/>
        <w:jc w:val="both"/>
        <w:rPr>
          <w:rFonts w:ascii="Palatino Linotype" w:eastAsia="MS Mincho" w:hAnsi="Palatino Linotype" w:cs="Times New Roman"/>
          <w:sz w:val="24"/>
          <w:szCs w:val="24"/>
        </w:rPr>
      </w:pPr>
    </w:p>
    <w:p w:rsidR="00695AED" w:rsidRPr="00265631" w:rsidRDefault="00695AED" w:rsidP="00265631">
      <w:pPr>
        <w:pStyle w:val="Prrafodelista"/>
        <w:numPr>
          <w:ilvl w:val="0"/>
          <w:numId w:val="1"/>
        </w:numPr>
        <w:tabs>
          <w:tab w:val="left" w:pos="0"/>
          <w:tab w:val="left" w:pos="851"/>
        </w:tabs>
        <w:spacing w:after="0" w:line="360" w:lineRule="auto"/>
        <w:ind w:left="567" w:right="567" w:firstLine="0"/>
        <w:jc w:val="both"/>
        <w:rPr>
          <w:rFonts w:ascii="Palatino Linotype" w:eastAsia="MS Mincho" w:hAnsi="Palatino Linotype" w:cs="Times New Roman"/>
          <w:sz w:val="24"/>
          <w:szCs w:val="24"/>
        </w:rPr>
      </w:pPr>
      <w:r w:rsidRPr="00265631">
        <w:rPr>
          <w:rFonts w:ascii="Palatino Linotype" w:hAnsi="Palatino Linotype"/>
          <w:sz w:val="24"/>
          <w:szCs w:val="24"/>
        </w:rPr>
        <w:t>Las actas de las áreas de Donación y Equipamiento Urbano se controlarán en una bitácora de obra, por lo que de conformidad con el artículo 109 del Reglamento del Libro Quinto del Código Administrativo del Estado de México, es una competencia de la Secretaría de Desarrollo Urbano del Estado de México, quien cuenta con esta información, misma que describe las permutas y el estatus que resulten del cumplimiento de las condicionantes a las que se sujetaron las diversas autorizaciones.</w:t>
      </w:r>
    </w:p>
    <w:p w:rsidR="00695AED" w:rsidRPr="00265631" w:rsidRDefault="00695AED" w:rsidP="00265631">
      <w:pPr>
        <w:tabs>
          <w:tab w:val="left" w:pos="0"/>
          <w:tab w:val="left" w:pos="851"/>
        </w:tabs>
        <w:spacing w:after="0" w:line="360" w:lineRule="auto"/>
        <w:ind w:right="567"/>
        <w:jc w:val="both"/>
        <w:rPr>
          <w:rFonts w:ascii="Palatino Linotype" w:eastAsia="MS Mincho" w:hAnsi="Palatino Linotype" w:cs="Times New Roman"/>
          <w:sz w:val="24"/>
          <w:szCs w:val="24"/>
        </w:rPr>
      </w:pPr>
    </w:p>
    <w:p w:rsidR="00695AED" w:rsidRPr="00265631" w:rsidRDefault="00695AED" w:rsidP="00265631">
      <w:pPr>
        <w:pStyle w:val="Prrafodelista"/>
        <w:numPr>
          <w:ilvl w:val="0"/>
          <w:numId w:val="1"/>
        </w:numPr>
        <w:tabs>
          <w:tab w:val="left" w:pos="0"/>
          <w:tab w:val="left" w:pos="851"/>
        </w:tabs>
        <w:spacing w:after="0" w:line="360" w:lineRule="auto"/>
        <w:ind w:left="567" w:right="567" w:firstLine="0"/>
        <w:jc w:val="both"/>
        <w:rPr>
          <w:rFonts w:ascii="Palatino Linotype" w:eastAsia="MS Mincho" w:hAnsi="Palatino Linotype" w:cs="Times New Roman"/>
          <w:sz w:val="24"/>
          <w:szCs w:val="24"/>
        </w:rPr>
      </w:pPr>
      <w:r w:rsidRPr="00265631">
        <w:rPr>
          <w:rFonts w:ascii="Palatino Linotype" w:hAnsi="Palatino Linotype"/>
          <w:sz w:val="24"/>
          <w:szCs w:val="24"/>
        </w:rPr>
        <w:t xml:space="preserve">Respecto a las autorizaciones del Conjunto Urbano “La Guadalupana del Lago” se podrá encontrar en el portar de </w:t>
      </w:r>
      <w:proofErr w:type="spellStart"/>
      <w:r w:rsidRPr="00265631">
        <w:rPr>
          <w:rFonts w:ascii="Palatino Linotype" w:hAnsi="Palatino Linotype"/>
          <w:sz w:val="24"/>
          <w:szCs w:val="24"/>
        </w:rPr>
        <w:t>legistel</w:t>
      </w:r>
      <w:proofErr w:type="spellEnd"/>
      <w:r w:rsidRPr="00265631">
        <w:rPr>
          <w:rFonts w:ascii="Palatino Linotype" w:hAnsi="Palatino Linotype"/>
          <w:sz w:val="24"/>
          <w:szCs w:val="24"/>
        </w:rPr>
        <w:t xml:space="preserve"> del Gobierno del Estado de México, en una liga electrónica, donde se puede consultar la información de los acuerdos de autorización.</w:t>
      </w:r>
    </w:p>
    <w:p w:rsidR="00695AED" w:rsidRPr="00265631" w:rsidRDefault="00695AED" w:rsidP="00265631">
      <w:pPr>
        <w:tabs>
          <w:tab w:val="left" w:pos="0"/>
          <w:tab w:val="left" w:pos="851"/>
        </w:tabs>
        <w:spacing w:after="0" w:line="360" w:lineRule="auto"/>
        <w:ind w:left="567" w:right="567"/>
        <w:jc w:val="both"/>
        <w:rPr>
          <w:rFonts w:ascii="Palatino Linotype" w:eastAsia="MS Mincho" w:hAnsi="Palatino Linotype" w:cs="Times New Roman"/>
          <w:sz w:val="24"/>
          <w:szCs w:val="24"/>
        </w:rPr>
      </w:pPr>
    </w:p>
    <w:p w:rsidR="00695AED" w:rsidRPr="00265631" w:rsidRDefault="00695AED" w:rsidP="00265631">
      <w:pPr>
        <w:pStyle w:val="Prrafodelista"/>
        <w:numPr>
          <w:ilvl w:val="0"/>
          <w:numId w:val="1"/>
        </w:numPr>
        <w:tabs>
          <w:tab w:val="left" w:pos="0"/>
          <w:tab w:val="left" w:pos="851"/>
        </w:tabs>
        <w:spacing w:after="0" w:line="360" w:lineRule="auto"/>
        <w:ind w:left="567" w:right="567" w:firstLine="0"/>
        <w:jc w:val="both"/>
        <w:rPr>
          <w:rFonts w:ascii="Palatino Linotype" w:eastAsia="MS Mincho" w:hAnsi="Palatino Linotype" w:cs="Times New Roman"/>
          <w:sz w:val="24"/>
          <w:szCs w:val="24"/>
        </w:rPr>
      </w:pPr>
      <w:r w:rsidRPr="00265631">
        <w:rPr>
          <w:rFonts w:ascii="Palatino Linotype" w:hAnsi="Palatino Linotype"/>
          <w:sz w:val="24"/>
          <w:szCs w:val="24"/>
        </w:rPr>
        <w:t>la Evaluación de Manifestación de Impacto Ambiental de la Planta de Tratamiento del Conjunto y los acuerdos de entrega de equipamiento son competencia de la CAEM “Comisión del Agua del Estado de México”.</w:t>
      </w:r>
    </w:p>
    <w:p w:rsidR="00695AED" w:rsidRPr="00265631" w:rsidRDefault="00695AED" w:rsidP="00265631">
      <w:pPr>
        <w:tabs>
          <w:tab w:val="left" w:pos="0"/>
          <w:tab w:val="left" w:pos="851"/>
        </w:tabs>
        <w:spacing w:after="0" w:line="360" w:lineRule="auto"/>
        <w:ind w:right="567"/>
        <w:jc w:val="both"/>
        <w:rPr>
          <w:rFonts w:ascii="Palatino Linotype" w:eastAsia="MS Mincho" w:hAnsi="Palatino Linotype" w:cs="Times New Roman"/>
          <w:sz w:val="24"/>
          <w:szCs w:val="24"/>
        </w:rPr>
      </w:pPr>
    </w:p>
    <w:p w:rsidR="00CB27EA" w:rsidRPr="00265631" w:rsidRDefault="00695AED" w:rsidP="0026563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eastAsia="MS Mincho" w:hAnsi="Palatino Linotype" w:cs="Times New Roman"/>
          <w:sz w:val="24"/>
          <w:szCs w:val="24"/>
        </w:rPr>
        <w:t xml:space="preserve">Situación de la cual el particular se inconformó, interponiendo con ello su recurso de revisión en el cual de manera medular arguyó que la autoridad se limitaba a enviar una copia del periódico oficial de fecha dieciocho (18) de abril de dos mil dos, mismo que fue citado como referencia en la propia solicitud, asimismo que el </w:t>
      </w:r>
      <w:r w:rsidRPr="00265631">
        <w:rPr>
          <w:rFonts w:ascii="Palatino Linotype" w:eastAsia="MS Mincho" w:hAnsi="Palatino Linotype" w:cs="Times New Roman"/>
          <w:b/>
          <w:bCs/>
          <w:sz w:val="24"/>
          <w:szCs w:val="24"/>
        </w:rPr>
        <w:t xml:space="preserve">Sujeto Obligado </w:t>
      </w:r>
      <w:r w:rsidRPr="00265631">
        <w:rPr>
          <w:rFonts w:ascii="Palatino Linotype" w:hAnsi="Palatino Linotype"/>
          <w:sz w:val="24"/>
          <w:szCs w:val="24"/>
        </w:rPr>
        <w:t>evita proporcionar copia de los dictámenes y/o evaluaciones que de acuerdo al Código Administrativo aplicable son obligatorias para el otorgamiento de Licencias de Construcción, al mismo tiempo preciso que también se omite señalar los acuerdos por los cuales se da por recibido de las diferentes obras de infraestructura, información que no puede ser catalogada ni como reservada ni confidencial de conformidad con la Ley de Transparencia, aunado a que era omiso en aclarar dentro de la solicitud la información de la cual es competente para proporciona</w:t>
      </w:r>
      <w:r w:rsidR="00F226A6" w:rsidRPr="00265631">
        <w:rPr>
          <w:rFonts w:ascii="Palatino Linotype" w:hAnsi="Palatino Linotype"/>
          <w:sz w:val="24"/>
          <w:szCs w:val="24"/>
        </w:rPr>
        <w:t xml:space="preserve">r […]. </w:t>
      </w:r>
    </w:p>
    <w:p w:rsidR="00F226A6" w:rsidRPr="00265631" w:rsidRDefault="00F226A6" w:rsidP="0026563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F226A6" w:rsidRPr="00265631" w:rsidRDefault="00F226A6" w:rsidP="0026563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eastAsia="MS Mincho" w:hAnsi="Palatino Linotype" w:cs="Times New Roman"/>
          <w:sz w:val="24"/>
          <w:szCs w:val="24"/>
        </w:rPr>
        <w:t xml:space="preserve">Ahora bien, atendiendo a las razones o motivos de inconformidad hechos valer por el recurrente, el </w:t>
      </w:r>
      <w:r w:rsidRPr="00265631">
        <w:rPr>
          <w:rFonts w:ascii="Palatino Linotype" w:eastAsia="MS Mincho" w:hAnsi="Palatino Linotype" w:cs="Times New Roman"/>
          <w:b/>
          <w:bCs/>
          <w:sz w:val="24"/>
          <w:szCs w:val="24"/>
        </w:rPr>
        <w:t xml:space="preserve">Sujeto Obligado </w:t>
      </w:r>
      <w:r w:rsidRPr="00265631">
        <w:rPr>
          <w:rFonts w:ascii="Palatino Linotype" w:eastAsia="MS Mincho" w:hAnsi="Palatino Linotype" w:cs="Times New Roman"/>
          <w:sz w:val="24"/>
          <w:szCs w:val="24"/>
        </w:rPr>
        <w:t xml:space="preserve">mediante su informe justificado señaló que éste había dado respuesta puntual fundado y motivando cada una de sus aseveraciones de lo que resulta evidente que no es competencia de la autoridad, por lo que confirmaba su respuesta inicial. </w:t>
      </w:r>
    </w:p>
    <w:p w:rsidR="00F226A6" w:rsidRPr="00265631" w:rsidRDefault="00F226A6" w:rsidP="0026563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F226A6" w:rsidRPr="00265631" w:rsidRDefault="00F226A6" w:rsidP="0026563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265631">
        <w:rPr>
          <w:rFonts w:ascii="Palatino Linotype" w:hAnsi="Palatino Linotype"/>
          <w:sz w:val="24"/>
          <w:szCs w:val="24"/>
        </w:rPr>
        <w:t xml:space="preserve">Es por todo lo anterior, que se procede al estudio de las actuaciones contenidas en el expediente electrónico con la finalidad de determinar si el </w:t>
      </w:r>
      <w:r w:rsidRPr="00265631">
        <w:rPr>
          <w:rFonts w:ascii="Palatino Linotype" w:hAnsi="Palatino Linotype"/>
          <w:b/>
          <w:bCs/>
          <w:sz w:val="24"/>
          <w:szCs w:val="24"/>
        </w:rPr>
        <w:t xml:space="preserve">Sujeto Obligado </w:t>
      </w:r>
      <w:r w:rsidRPr="00265631">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rsidR="00695AED" w:rsidRPr="00265631" w:rsidRDefault="00695AED" w:rsidP="0026563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B07E95" w:rsidRPr="00265631" w:rsidRDefault="00EB3DB0" w:rsidP="00265631">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21701088"/>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265631">
        <w:rPr>
          <w:rFonts w:ascii="Palatino Linotype" w:eastAsia="MS Gothic" w:hAnsi="Palatino Linotype" w:cstheme="majorBidi"/>
          <w:b/>
          <w:sz w:val="24"/>
          <w:szCs w:val="24"/>
          <w:lang w:val="es-ES_tradnl" w:eastAsia="es-ES"/>
        </w:rPr>
        <w:t>CUARTO</w:t>
      </w:r>
      <w:r w:rsidR="00792776" w:rsidRPr="00265631">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265631">
        <w:rPr>
          <w:rFonts w:ascii="Palatino Linotype" w:eastAsia="MS Gothic" w:hAnsi="Palatino Linotype" w:cstheme="majorBidi"/>
          <w:b/>
          <w:sz w:val="24"/>
          <w:szCs w:val="24"/>
          <w:lang w:val="es-ES_tradnl" w:eastAsia="es-ES"/>
        </w:rPr>
        <w:t>revisión.</w:t>
      </w:r>
      <w:bookmarkEnd w:id="28"/>
    </w:p>
    <w:p w:rsidR="00B07E95" w:rsidRPr="00265631" w:rsidRDefault="00B07E95" w:rsidP="00265631">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265631" w:rsidRDefault="00CA10C1" w:rsidP="00265631">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265631">
        <w:rPr>
          <w:rFonts w:ascii="Palatino Linotype" w:hAnsi="Palatino Linotype" w:cs="Arial"/>
          <w:sz w:val="24"/>
          <w:szCs w:val="24"/>
        </w:rPr>
        <w:t xml:space="preserve">Derivado del Planteamiento de la Litis, </w:t>
      </w:r>
      <w:r w:rsidR="006B56C3" w:rsidRPr="00265631">
        <w:rPr>
          <w:rFonts w:ascii="Palatino Linotype" w:hAnsi="Palatino Linotype" w:cs="Arial"/>
          <w:sz w:val="24"/>
          <w:szCs w:val="24"/>
        </w:rPr>
        <w:t>se procede a analizar</w:t>
      </w:r>
      <w:r w:rsidRPr="00265631">
        <w:rPr>
          <w:rFonts w:ascii="Palatino Linotype" w:hAnsi="Palatino Linotype" w:cs="Arial"/>
          <w:sz w:val="24"/>
          <w:szCs w:val="24"/>
        </w:rPr>
        <w:t xml:space="preserve"> el contenido íntegro de las actuaciones que obra</w:t>
      </w:r>
      <w:r w:rsidR="006B56C3" w:rsidRPr="00265631">
        <w:rPr>
          <w:rFonts w:ascii="Palatino Linotype" w:hAnsi="Palatino Linotype" w:cs="Arial"/>
          <w:sz w:val="24"/>
          <w:szCs w:val="24"/>
        </w:rPr>
        <w:t xml:space="preserve">n en el expediente electrónico y con ello, este </w:t>
      </w:r>
      <w:r w:rsidRPr="0026563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265631">
        <w:rPr>
          <w:rFonts w:ascii="Palatino Linotype" w:hAnsi="Palatino Linotype" w:cs="Arial"/>
          <w:sz w:val="24"/>
          <w:szCs w:val="24"/>
        </w:rPr>
        <w:t xml:space="preserve">, de </w:t>
      </w:r>
      <w:r w:rsidRPr="00265631">
        <w:rPr>
          <w:rFonts w:ascii="Palatino Linotype" w:hAnsi="Palatino Linotype" w:cs="Arial"/>
          <w:sz w:val="24"/>
          <w:szCs w:val="24"/>
        </w:rPr>
        <w:t xml:space="preserve">acuerdo </w:t>
      </w:r>
      <w:r w:rsidR="006B56C3" w:rsidRPr="00265631">
        <w:rPr>
          <w:rFonts w:ascii="Palatino Linotype" w:hAnsi="Palatino Linotype" w:cs="Arial"/>
          <w:sz w:val="24"/>
          <w:szCs w:val="24"/>
        </w:rPr>
        <w:t>con</w:t>
      </w:r>
      <w:r w:rsidRPr="00265631">
        <w:rPr>
          <w:rFonts w:ascii="Palatino Linotype" w:hAnsi="Palatino Linotype" w:cs="Arial"/>
          <w:sz w:val="24"/>
          <w:szCs w:val="24"/>
        </w:rPr>
        <w:t xml:space="preserve"> lo establecido en el artículo 8 de la </w:t>
      </w:r>
      <w:r w:rsidRPr="00265631">
        <w:rPr>
          <w:rFonts w:ascii="Palatino Linotype" w:eastAsia="Calibri" w:hAnsi="Palatino Linotype" w:cs="Arial"/>
          <w:sz w:val="24"/>
          <w:szCs w:val="24"/>
          <w:lang w:val="es-ES"/>
        </w:rPr>
        <w:t>Ley de Transparencia y Acceso a la Información Pública del Estado de México y Municipios</w:t>
      </w:r>
      <w:r w:rsidRPr="00265631">
        <w:rPr>
          <w:rFonts w:ascii="Palatino Linotype" w:eastAsia="Times New Roman" w:hAnsi="Palatino Linotype" w:cs="Arial"/>
          <w:sz w:val="24"/>
          <w:szCs w:val="24"/>
          <w:lang w:val="es-ES" w:eastAsia="es-MX"/>
        </w:rPr>
        <w:t>.</w:t>
      </w:r>
    </w:p>
    <w:p w:rsidR="00770F1F" w:rsidRPr="00265631" w:rsidRDefault="00770F1F" w:rsidP="00265631">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265631" w:rsidRDefault="00BE18E4" w:rsidP="00265631">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21701089"/>
      <w:r w:rsidRPr="00265631">
        <w:rPr>
          <w:rFonts w:ascii="Palatino Linotype" w:eastAsia="MS Gothic" w:hAnsi="Palatino Linotype" w:cstheme="majorBidi"/>
          <w:b/>
          <w:sz w:val="24"/>
          <w:szCs w:val="24"/>
          <w:lang w:val="es-ES_tradnl" w:eastAsia="es-ES"/>
        </w:rPr>
        <w:t>a) Fuente Obligacional.</w:t>
      </w:r>
      <w:bookmarkEnd w:id="29"/>
      <w:r w:rsidRPr="00265631">
        <w:rPr>
          <w:rFonts w:ascii="Palatino Linotype" w:eastAsia="MS Gothic" w:hAnsi="Palatino Linotype" w:cstheme="majorBidi"/>
          <w:b/>
          <w:sz w:val="24"/>
          <w:szCs w:val="24"/>
          <w:lang w:val="es-ES_tradnl" w:eastAsia="es-ES"/>
        </w:rPr>
        <w:t xml:space="preserve"> </w:t>
      </w:r>
    </w:p>
    <w:p w:rsidR="00374179" w:rsidRPr="00265631" w:rsidRDefault="00374179" w:rsidP="00265631">
      <w:pPr>
        <w:spacing w:after="0" w:line="360" w:lineRule="auto"/>
        <w:rPr>
          <w:rFonts w:ascii="Palatino Linotype" w:eastAsia="MS Mincho" w:hAnsi="Palatino Linotype" w:cs="Times New Roman"/>
          <w:sz w:val="24"/>
          <w:szCs w:val="24"/>
          <w:lang w:val="es-ES_tradnl" w:eastAsia="es-ES"/>
        </w:rPr>
      </w:pPr>
    </w:p>
    <w:p w:rsidR="00374179" w:rsidRPr="00265631" w:rsidRDefault="0037417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26563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265631" w:rsidRDefault="00374179" w:rsidP="00265631">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265631" w:rsidRDefault="0037417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El</w:t>
      </w:r>
      <w:r w:rsidR="00A00A77" w:rsidRPr="00265631">
        <w:rPr>
          <w:rFonts w:ascii="Palatino Linotype" w:eastAsia="MS Mincho" w:hAnsi="Palatino Linotype" w:cs="Times New Roman"/>
          <w:sz w:val="24"/>
          <w:szCs w:val="24"/>
          <w:lang w:val="es-ES_tradnl" w:eastAsia="es-ES"/>
        </w:rPr>
        <w:t xml:space="preserve"> </w:t>
      </w:r>
      <w:r w:rsidR="00A00A77" w:rsidRPr="00265631">
        <w:rPr>
          <w:rFonts w:ascii="Palatino Linotype" w:eastAsia="MS Mincho" w:hAnsi="Palatino Linotype" w:cs="Times New Roman"/>
          <w:b/>
          <w:sz w:val="24"/>
          <w:szCs w:val="24"/>
          <w:lang w:val="es-ES_tradnl" w:eastAsia="es-ES"/>
        </w:rPr>
        <w:t>Sujeto Obligado</w:t>
      </w:r>
      <w:r w:rsidR="00A00A77" w:rsidRPr="00265631">
        <w:rPr>
          <w:rFonts w:ascii="Palatino Linotype" w:eastAsia="MS Mincho" w:hAnsi="Palatino Linotype" w:cs="Times New Roman"/>
          <w:sz w:val="24"/>
          <w:szCs w:val="24"/>
          <w:lang w:val="es-ES_tradnl" w:eastAsia="es-ES"/>
        </w:rPr>
        <w:t xml:space="preserve"> </w:t>
      </w:r>
      <w:r w:rsidRPr="0026563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26563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265631">
        <w:rPr>
          <w:rFonts w:ascii="Palatino Linotype" w:eastAsia="MS Mincho" w:hAnsi="Palatino Linotype" w:cstheme="majorBidi"/>
          <w:b/>
          <w:sz w:val="24"/>
          <w:szCs w:val="24"/>
          <w:lang w:val="es-ES_tradnl" w:eastAsia="es-ES"/>
        </w:rPr>
        <w:t xml:space="preserve"> </w:t>
      </w:r>
      <w:r w:rsidRPr="00265631">
        <w:rPr>
          <w:rFonts w:ascii="Palatino Linotype" w:eastAsia="MS Mincho" w:hAnsi="Palatino Linotype" w:cstheme="majorBidi"/>
          <w:sz w:val="24"/>
          <w:szCs w:val="24"/>
          <w:lang w:val="es-ES_tradnl" w:eastAsia="es-ES"/>
        </w:rPr>
        <w:t xml:space="preserve">al señalar la obligación de </w:t>
      </w:r>
      <w:r w:rsidRPr="00265631">
        <w:rPr>
          <w:rFonts w:ascii="Palatino Linotype" w:eastAsia="MS Mincho" w:hAnsi="Palatino Linotype" w:cstheme="majorBidi"/>
          <w:i/>
          <w:sz w:val="24"/>
          <w:szCs w:val="24"/>
          <w:lang w:val="es-ES_tradnl" w:eastAsia="es-ES"/>
        </w:rPr>
        <w:t xml:space="preserve">“promover, respetar, proteger y garantizar los derechos humanos”, </w:t>
      </w:r>
      <w:r w:rsidRPr="00265631">
        <w:rPr>
          <w:rFonts w:ascii="Palatino Linotype" w:eastAsia="MS Mincho" w:hAnsi="Palatino Linotype" w:cstheme="majorBidi"/>
          <w:sz w:val="24"/>
          <w:szCs w:val="24"/>
          <w:lang w:val="es-ES_tradnl" w:eastAsia="es-ES"/>
        </w:rPr>
        <w:t>entre los cuales se encuentra dicho derecho.</w:t>
      </w:r>
    </w:p>
    <w:p w:rsidR="00374179" w:rsidRPr="00265631" w:rsidRDefault="00374179" w:rsidP="00265631">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265631" w:rsidRDefault="00B43D3A" w:rsidP="0026563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265631">
        <w:rPr>
          <w:rFonts w:ascii="Palatino Linotype" w:eastAsia="MS Mincho" w:hAnsi="Palatino Linotype" w:cstheme="majorBidi"/>
          <w:sz w:val="24"/>
          <w:szCs w:val="24"/>
          <w:lang w:eastAsia="es-ES"/>
        </w:rPr>
        <w:t xml:space="preserve">Por cuanto hace al contenido del artículo 6 segundo párrafo, apartado A. fracción I </w:t>
      </w:r>
      <w:r w:rsidRPr="00265631">
        <w:rPr>
          <w:rFonts w:ascii="Palatino Linotype" w:eastAsia="MS Mincho" w:hAnsi="Palatino Linotype" w:cstheme="majorBidi"/>
          <w:sz w:val="24"/>
          <w:szCs w:val="24"/>
          <w:lang w:val="es-ES" w:eastAsia="es-ES"/>
        </w:rPr>
        <w:t xml:space="preserve">de la Constitución Política de los Estados Unidos Mexicanos el cual establece </w:t>
      </w:r>
      <w:r w:rsidRPr="00265631">
        <w:rPr>
          <w:rFonts w:ascii="Palatino Linotype" w:eastAsia="MS Mincho" w:hAnsi="Palatino Linotype" w:cstheme="majorBidi"/>
          <w:sz w:val="24"/>
          <w:szCs w:val="24"/>
          <w:lang w:eastAsia="es-ES"/>
        </w:rPr>
        <w:t xml:space="preserve">que </w:t>
      </w:r>
      <w:r w:rsidRPr="00265631">
        <w:rPr>
          <w:rFonts w:ascii="Palatino Linotype" w:eastAsia="MS Mincho" w:hAnsi="Palatino Linotype" w:cstheme="majorBidi"/>
          <w:i/>
          <w:sz w:val="24"/>
          <w:szCs w:val="24"/>
          <w:lang w:val="es-ES" w:eastAsia="es-ES"/>
        </w:rPr>
        <w:t>“Toda la información en posesión de cualquier autoridad</w:t>
      </w:r>
      <w:r w:rsidR="00A474D9" w:rsidRPr="00265631">
        <w:rPr>
          <w:rFonts w:ascii="Palatino Linotype" w:eastAsia="MS Mincho" w:hAnsi="Palatino Linotype" w:cstheme="majorBidi"/>
          <w:i/>
          <w:sz w:val="24"/>
          <w:szCs w:val="24"/>
          <w:lang w:val="es-ES" w:eastAsia="es-ES"/>
        </w:rPr>
        <w:t xml:space="preserve"> (…) </w:t>
      </w:r>
      <w:r w:rsidRPr="0026563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265631">
        <w:rPr>
          <w:rFonts w:ascii="Palatino Linotype" w:eastAsia="MS Mincho" w:hAnsi="Palatino Linotype" w:cstheme="majorBidi"/>
          <w:b/>
          <w:i/>
          <w:sz w:val="24"/>
          <w:szCs w:val="24"/>
          <w:lang w:val="es-ES" w:eastAsia="es-ES"/>
        </w:rPr>
        <w:t>es pública</w:t>
      </w:r>
      <w:r w:rsidRPr="0026563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265631">
        <w:rPr>
          <w:rFonts w:ascii="Palatino Linotype" w:eastAsia="MS Mincho" w:hAnsi="Palatino Linotype" w:cstheme="majorBidi"/>
          <w:i/>
          <w:sz w:val="24"/>
          <w:szCs w:val="24"/>
          <w:lang w:val="es-ES" w:eastAsia="es-ES"/>
        </w:rPr>
        <w:t xml:space="preserve"> inexistencia de la información</w:t>
      </w:r>
      <w:r w:rsidRPr="00265631">
        <w:rPr>
          <w:rFonts w:ascii="Palatino Linotype" w:eastAsia="MS Mincho" w:hAnsi="Palatino Linotype" w:cstheme="majorBidi"/>
          <w:i/>
          <w:sz w:val="24"/>
          <w:szCs w:val="24"/>
          <w:lang w:val="es-ES" w:eastAsia="es-ES"/>
        </w:rPr>
        <w:t>”.</w:t>
      </w:r>
    </w:p>
    <w:p w:rsidR="0045789A" w:rsidRPr="00265631" w:rsidRDefault="0045789A" w:rsidP="00265631">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265631" w:rsidRDefault="00A474D9" w:rsidP="0026563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26563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265631">
        <w:rPr>
          <w:rFonts w:ascii="Palatino Linotype" w:eastAsia="MS Mincho" w:hAnsi="Palatino Linotype" w:cstheme="majorBidi"/>
          <w:i/>
          <w:sz w:val="24"/>
          <w:szCs w:val="24"/>
          <w:lang w:val="es-ES_tradnl" w:eastAsia="es-ES"/>
        </w:rPr>
        <w:t>generen, administren o posean las autoridades</w:t>
      </w:r>
      <w:r w:rsidRPr="0026563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265631" w:rsidRDefault="00A474D9" w:rsidP="00265631">
      <w:pPr>
        <w:spacing w:after="0" w:line="360" w:lineRule="auto"/>
        <w:ind w:right="49"/>
        <w:contextualSpacing/>
        <w:jc w:val="both"/>
        <w:rPr>
          <w:rFonts w:ascii="Palatino Linotype" w:eastAsia="MS Mincho" w:hAnsi="Palatino Linotype" w:cstheme="majorBidi"/>
          <w:i/>
          <w:sz w:val="24"/>
          <w:szCs w:val="24"/>
          <w:lang w:eastAsia="es-ES"/>
        </w:rPr>
      </w:pPr>
    </w:p>
    <w:p w:rsidR="00374179" w:rsidRPr="00265631" w:rsidRDefault="00A474D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265631">
        <w:rPr>
          <w:rFonts w:ascii="Palatino Linotype" w:eastAsia="MS Mincho" w:hAnsi="Palatino Linotype" w:cs="Times New Roman"/>
          <w:sz w:val="24"/>
          <w:szCs w:val="24"/>
          <w:lang w:val="es-ES_tradnl" w:eastAsia="es-ES"/>
        </w:rPr>
        <w:t xml:space="preserve">sujetos obligados </w:t>
      </w:r>
      <w:r w:rsidRPr="00265631">
        <w:rPr>
          <w:rFonts w:ascii="Palatino Linotype" w:eastAsia="MS Mincho" w:hAnsi="Palatino Linotype" w:cs="Times New Roman"/>
          <w:sz w:val="24"/>
          <w:szCs w:val="24"/>
          <w:lang w:val="es-ES_tradnl" w:eastAsia="es-ES"/>
        </w:rPr>
        <w:t xml:space="preserve">la que contribuirá al logro de </w:t>
      </w:r>
      <w:r w:rsidR="002D1047" w:rsidRPr="00265631">
        <w:rPr>
          <w:rFonts w:ascii="Palatino Linotype" w:eastAsia="MS Mincho" w:hAnsi="Palatino Linotype" w:cs="Times New Roman"/>
          <w:sz w:val="24"/>
          <w:szCs w:val="24"/>
          <w:lang w:val="es-ES_tradnl" w:eastAsia="es-ES"/>
        </w:rPr>
        <w:t>este</w:t>
      </w:r>
      <w:r w:rsidRPr="00265631">
        <w:rPr>
          <w:rFonts w:ascii="Palatino Linotype" w:eastAsia="MS Mincho" w:hAnsi="Palatino Linotype" w:cs="Times New Roman"/>
          <w:sz w:val="24"/>
          <w:szCs w:val="24"/>
          <w:lang w:val="es-ES_tradnl" w:eastAsia="es-ES"/>
        </w:rPr>
        <w:t xml:space="preserve"> fin. </w:t>
      </w:r>
    </w:p>
    <w:p w:rsidR="00374179" w:rsidRPr="00265631" w:rsidRDefault="00374179" w:rsidP="00265631">
      <w:pPr>
        <w:spacing w:after="0" w:line="360" w:lineRule="auto"/>
        <w:ind w:left="426" w:right="49"/>
        <w:contextualSpacing/>
        <w:jc w:val="both"/>
        <w:rPr>
          <w:rFonts w:ascii="Palatino Linotype" w:eastAsia="MS Mincho" w:hAnsi="Palatino Linotype" w:cs="Times New Roman"/>
          <w:sz w:val="24"/>
          <w:szCs w:val="24"/>
          <w:highlight w:val="yellow"/>
          <w:lang w:val="es-ES_tradnl" w:eastAsia="es-ES"/>
        </w:rPr>
      </w:pPr>
    </w:p>
    <w:p w:rsidR="00A474D9" w:rsidRPr="00265631" w:rsidRDefault="00A474D9" w:rsidP="00265631">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265631">
        <w:rPr>
          <w:rFonts w:ascii="Palatino Linotype" w:eastAsia="MS Mincho" w:hAnsi="Palatino Linotype" w:cs="Times New Roman"/>
          <w:sz w:val="24"/>
          <w:szCs w:val="24"/>
          <w:lang w:val="es-ES_tradnl" w:eastAsia="es-ES"/>
        </w:rPr>
        <w:t>De acuerdo con e</w:t>
      </w:r>
      <w:r w:rsidR="00565A3D" w:rsidRPr="00265631">
        <w:rPr>
          <w:rFonts w:ascii="Palatino Linotype" w:eastAsia="MS Mincho" w:hAnsi="Palatino Linotype" w:cs="Times New Roman"/>
          <w:sz w:val="24"/>
          <w:szCs w:val="24"/>
          <w:lang w:val="es-ES_tradnl" w:eastAsia="es-ES"/>
        </w:rPr>
        <w:t>l</w:t>
      </w:r>
      <w:r w:rsidR="00C16223" w:rsidRPr="00265631">
        <w:rPr>
          <w:rFonts w:ascii="Palatino Linotype" w:eastAsia="MS Mincho" w:hAnsi="Palatino Linotype" w:cs="Times New Roman"/>
          <w:sz w:val="24"/>
          <w:szCs w:val="24"/>
          <w:lang w:val="es-ES_tradnl" w:eastAsia="es-ES"/>
        </w:rPr>
        <w:t xml:space="preserve"> a</w:t>
      </w:r>
      <w:r w:rsidR="00792776" w:rsidRPr="00265631">
        <w:rPr>
          <w:rFonts w:ascii="Palatino Linotype" w:eastAsia="MS Mincho" w:hAnsi="Palatino Linotype" w:cs="Times New Roman"/>
          <w:sz w:val="24"/>
          <w:szCs w:val="24"/>
          <w:lang w:val="es-ES_tradnl" w:eastAsia="es-ES"/>
        </w:rPr>
        <w:t xml:space="preserve">rtículo </w:t>
      </w:r>
      <w:r w:rsidRPr="00265631">
        <w:rPr>
          <w:rFonts w:ascii="Palatino Linotype" w:eastAsia="MS Mincho" w:hAnsi="Palatino Linotype" w:cs="Times New Roman"/>
          <w:sz w:val="24"/>
          <w:szCs w:val="24"/>
          <w:lang w:val="es-ES_tradnl" w:eastAsia="es-ES"/>
        </w:rPr>
        <w:t xml:space="preserve">4 de la Ley en la materia, señala que </w:t>
      </w:r>
      <w:r w:rsidRPr="0026563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265631" w:rsidRDefault="002038F4" w:rsidP="00265631">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265631" w:rsidRDefault="00A474D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 xml:space="preserve">Asimismo, en el artículo </w:t>
      </w:r>
      <w:r w:rsidR="00792776" w:rsidRPr="00265631">
        <w:rPr>
          <w:rFonts w:ascii="Palatino Linotype" w:eastAsia="MS Mincho" w:hAnsi="Palatino Linotype" w:cs="Times New Roman"/>
          <w:sz w:val="24"/>
          <w:szCs w:val="24"/>
          <w:lang w:val="es-ES_tradnl" w:eastAsia="es-ES"/>
        </w:rPr>
        <w:t xml:space="preserve">18 de la </w:t>
      </w:r>
      <w:r w:rsidR="00072EFA" w:rsidRPr="00265631">
        <w:rPr>
          <w:rFonts w:ascii="Palatino Linotype" w:eastAsia="MS Mincho" w:hAnsi="Palatino Linotype" w:cs="Times New Roman"/>
          <w:sz w:val="24"/>
          <w:szCs w:val="24"/>
          <w:lang w:val="es-ES_tradnl" w:eastAsia="es-ES"/>
        </w:rPr>
        <w:t xml:space="preserve">Ley </w:t>
      </w:r>
      <w:r w:rsidRPr="00265631">
        <w:rPr>
          <w:rFonts w:ascii="Palatino Linotype" w:eastAsia="MS Mincho" w:hAnsi="Palatino Linotype" w:cs="Times New Roman"/>
          <w:sz w:val="24"/>
          <w:szCs w:val="24"/>
          <w:lang w:val="es-ES_tradnl" w:eastAsia="es-ES"/>
        </w:rPr>
        <w:t xml:space="preserve">en comento, </w:t>
      </w:r>
      <w:r w:rsidR="00792776" w:rsidRPr="00265631">
        <w:rPr>
          <w:rFonts w:ascii="Palatino Linotype" w:eastAsia="MS Mincho" w:hAnsi="Palatino Linotype" w:cs="Times New Roman"/>
          <w:sz w:val="24"/>
          <w:szCs w:val="24"/>
          <w:lang w:val="es-ES_tradnl" w:eastAsia="es-ES"/>
        </w:rPr>
        <w:t>los Sujetos Obligados cuenta</w:t>
      </w:r>
      <w:r w:rsidR="00565A3D" w:rsidRPr="00265631">
        <w:rPr>
          <w:rFonts w:ascii="Palatino Linotype" w:eastAsia="MS Mincho" w:hAnsi="Palatino Linotype" w:cs="Times New Roman"/>
          <w:sz w:val="24"/>
          <w:szCs w:val="24"/>
          <w:lang w:val="es-ES_tradnl" w:eastAsia="es-ES"/>
        </w:rPr>
        <w:t>n</w:t>
      </w:r>
      <w:r w:rsidR="00792776" w:rsidRPr="00265631">
        <w:rPr>
          <w:rFonts w:ascii="Palatino Linotype" w:eastAsia="MS Mincho" w:hAnsi="Palatino Linotype" w:cs="Times New Roman"/>
          <w:sz w:val="24"/>
          <w:szCs w:val="24"/>
          <w:lang w:val="es-ES_tradnl" w:eastAsia="es-ES"/>
        </w:rPr>
        <w:t xml:space="preserve"> con la obligación de documentar todos los actos que derive</w:t>
      </w:r>
      <w:r w:rsidR="00565A3D" w:rsidRPr="00265631">
        <w:rPr>
          <w:rFonts w:ascii="Palatino Linotype" w:eastAsia="MS Mincho" w:hAnsi="Palatino Linotype" w:cs="Times New Roman"/>
          <w:sz w:val="24"/>
          <w:szCs w:val="24"/>
          <w:lang w:val="es-ES_tradnl" w:eastAsia="es-ES"/>
        </w:rPr>
        <w:t>n</w:t>
      </w:r>
      <w:r w:rsidR="00792776" w:rsidRPr="00265631">
        <w:rPr>
          <w:rFonts w:ascii="Palatino Linotype" w:eastAsia="MS Mincho" w:hAnsi="Palatino Linotype" w:cs="Times New Roman"/>
          <w:sz w:val="24"/>
          <w:szCs w:val="24"/>
          <w:lang w:val="es-ES_tradnl" w:eastAsia="es-ES"/>
        </w:rPr>
        <w:t xml:space="preserve"> de sus atribuciones, funciones y competencia</w:t>
      </w:r>
      <w:r w:rsidR="0024202C" w:rsidRPr="00265631">
        <w:rPr>
          <w:rFonts w:ascii="Palatino Linotype" w:eastAsia="MS Mincho" w:hAnsi="Palatino Linotype" w:cs="Times New Roman"/>
          <w:sz w:val="24"/>
          <w:szCs w:val="24"/>
          <w:lang w:val="es-ES_tradnl" w:eastAsia="es-ES"/>
        </w:rPr>
        <w:t xml:space="preserve">, </w:t>
      </w:r>
      <w:r w:rsidR="00792776" w:rsidRPr="00265631">
        <w:rPr>
          <w:rFonts w:ascii="Palatino Linotype" w:eastAsia="MS Mincho" w:hAnsi="Palatino Linotype" w:cs="Times New Roman"/>
          <w:sz w:val="24"/>
          <w:szCs w:val="24"/>
          <w:lang w:val="es-ES_tradnl" w:eastAsia="es-ES"/>
        </w:rPr>
        <w:t>desde su origen</w:t>
      </w:r>
      <w:r w:rsidR="0024202C" w:rsidRPr="00265631">
        <w:rPr>
          <w:rFonts w:ascii="Palatino Linotype" w:eastAsia="MS Mincho" w:hAnsi="Palatino Linotype" w:cs="Times New Roman"/>
          <w:sz w:val="24"/>
          <w:szCs w:val="24"/>
          <w:lang w:val="es-ES_tradnl" w:eastAsia="es-ES"/>
        </w:rPr>
        <w:t>,</w:t>
      </w:r>
      <w:r w:rsidR="00792776" w:rsidRPr="00265631">
        <w:rPr>
          <w:rFonts w:ascii="Palatino Linotype" w:eastAsia="MS Mincho" w:hAnsi="Palatino Linotype" w:cs="Times New Roman"/>
          <w:sz w:val="24"/>
          <w:szCs w:val="24"/>
          <w:lang w:val="es-ES_tradnl" w:eastAsia="es-ES"/>
        </w:rPr>
        <w:t xml:space="preserve"> la eventual</w:t>
      </w:r>
      <w:r w:rsidR="0024202C" w:rsidRPr="00265631">
        <w:rPr>
          <w:rFonts w:ascii="Palatino Linotype" w:eastAsia="MS Mincho" w:hAnsi="Palatino Linotype" w:cs="Times New Roman"/>
          <w:sz w:val="24"/>
          <w:szCs w:val="24"/>
          <w:lang w:val="es-ES_tradnl" w:eastAsia="es-ES"/>
        </w:rPr>
        <w:t xml:space="preserve"> publicidad</w:t>
      </w:r>
      <w:r w:rsidR="00792776" w:rsidRPr="00265631">
        <w:rPr>
          <w:rFonts w:ascii="Palatino Linotype" w:eastAsia="MS Mincho" w:hAnsi="Palatino Linotype" w:cs="Times New Roman"/>
          <w:sz w:val="24"/>
          <w:szCs w:val="24"/>
          <w:lang w:val="es-ES_tradnl" w:eastAsia="es-ES"/>
        </w:rPr>
        <w:t xml:space="preserve"> y reutilización de </w:t>
      </w:r>
      <w:r w:rsidR="0024202C" w:rsidRPr="00265631">
        <w:rPr>
          <w:rFonts w:ascii="Palatino Linotype" w:eastAsia="MS Mincho" w:hAnsi="Palatino Linotype" w:cs="Times New Roman"/>
          <w:sz w:val="24"/>
          <w:szCs w:val="24"/>
          <w:lang w:val="es-ES_tradnl" w:eastAsia="es-ES"/>
        </w:rPr>
        <w:t xml:space="preserve">la información que generen. </w:t>
      </w:r>
    </w:p>
    <w:p w:rsidR="00A474D9" w:rsidRPr="00265631" w:rsidRDefault="00A474D9" w:rsidP="00265631">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265631" w:rsidRDefault="00A474D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Por lo que</w:t>
      </w:r>
      <w:r w:rsidR="0024202C" w:rsidRPr="00265631">
        <w:rPr>
          <w:rFonts w:ascii="Palatino Linotype" w:eastAsia="MS Mincho" w:hAnsi="Palatino Linotype" w:cs="Times New Roman"/>
          <w:sz w:val="24"/>
          <w:szCs w:val="24"/>
          <w:lang w:val="es-ES_tradnl" w:eastAsia="es-ES"/>
        </w:rPr>
        <w:t>,</w:t>
      </w:r>
      <w:r w:rsidR="00792776" w:rsidRPr="00265631">
        <w:rPr>
          <w:rFonts w:ascii="Palatino Linotype" w:eastAsia="MS Mincho" w:hAnsi="Palatino Linotype" w:cs="Times New Roman"/>
          <w:sz w:val="24"/>
          <w:szCs w:val="24"/>
          <w:lang w:val="es-ES_tradnl" w:eastAsia="es-ES"/>
        </w:rPr>
        <w:t xml:space="preserve"> toda la inf</w:t>
      </w:r>
      <w:r w:rsidR="0024202C" w:rsidRPr="00265631">
        <w:rPr>
          <w:rFonts w:ascii="Palatino Linotype" w:eastAsia="MS Mincho" w:hAnsi="Palatino Linotype" w:cs="Times New Roman"/>
          <w:sz w:val="24"/>
          <w:szCs w:val="24"/>
          <w:lang w:val="es-ES_tradnl" w:eastAsia="es-ES"/>
        </w:rPr>
        <w:t>ormación que sea generada, poseída y administrada por</w:t>
      </w:r>
      <w:r w:rsidR="00E659ED" w:rsidRPr="00265631">
        <w:rPr>
          <w:rFonts w:ascii="Palatino Linotype" w:eastAsia="MS Mincho" w:hAnsi="Palatino Linotype" w:cs="Times New Roman"/>
          <w:sz w:val="24"/>
          <w:szCs w:val="24"/>
          <w:lang w:val="es-ES_tradnl" w:eastAsia="es-ES"/>
        </w:rPr>
        <w:t xml:space="preserve"> el</w:t>
      </w:r>
      <w:r w:rsidR="00E659ED" w:rsidRPr="00265631">
        <w:rPr>
          <w:rFonts w:ascii="Palatino Linotype" w:eastAsia="MS Mincho" w:hAnsi="Palatino Linotype" w:cs="Times New Roman"/>
          <w:b/>
          <w:sz w:val="24"/>
          <w:szCs w:val="24"/>
          <w:lang w:val="es-ES_tradnl" w:eastAsia="es-ES"/>
        </w:rPr>
        <w:t xml:space="preserve"> </w:t>
      </w:r>
      <w:r w:rsidR="00A00A77" w:rsidRPr="00265631">
        <w:rPr>
          <w:rFonts w:ascii="Palatino Linotype" w:eastAsia="MS Mincho" w:hAnsi="Palatino Linotype" w:cs="Times New Roman"/>
          <w:b/>
          <w:sz w:val="24"/>
          <w:szCs w:val="24"/>
          <w:lang w:val="es-ES_tradnl" w:eastAsia="es-ES"/>
        </w:rPr>
        <w:t>Sujeto Obligado,</w:t>
      </w:r>
      <w:r w:rsidR="00A00A77" w:rsidRPr="00265631">
        <w:rPr>
          <w:rFonts w:ascii="Palatino Linotype" w:eastAsia="MS Mincho" w:hAnsi="Palatino Linotype" w:cs="Times New Roman"/>
          <w:sz w:val="24"/>
          <w:szCs w:val="24"/>
          <w:lang w:val="es-ES_tradnl" w:eastAsia="es-ES"/>
        </w:rPr>
        <w:t xml:space="preserve"> </w:t>
      </w:r>
      <w:r w:rsidR="00792776" w:rsidRPr="0026563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265631">
        <w:rPr>
          <w:rFonts w:ascii="Palatino Linotype" w:eastAsia="MS Mincho" w:hAnsi="Palatino Linotype" w:cs="Times New Roman"/>
          <w:sz w:val="24"/>
          <w:szCs w:val="24"/>
          <w:lang w:val="es-ES_tradnl" w:eastAsia="es-ES"/>
        </w:rPr>
        <w:t xml:space="preserve">en todo momento </w:t>
      </w:r>
      <w:r w:rsidR="00792776" w:rsidRPr="00265631">
        <w:rPr>
          <w:rFonts w:ascii="Palatino Linotype" w:eastAsia="MS Mincho" w:hAnsi="Palatino Linotype" w:cs="Times New Roman"/>
          <w:sz w:val="24"/>
          <w:szCs w:val="24"/>
          <w:lang w:val="es-ES_tradnl" w:eastAsia="es-ES"/>
        </w:rPr>
        <w:t xml:space="preserve">el principio de </w:t>
      </w:r>
      <w:r w:rsidR="0024202C" w:rsidRPr="00265631">
        <w:rPr>
          <w:rFonts w:ascii="Palatino Linotype" w:eastAsia="MS Mincho" w:hAnsi="Palatino Linotype" w:cs="Times New Roman"/>
          <w:sz w:val="24"/>
          <w:szCs w:val="24"/>
          <w:lang w:val="es-ES_tradnl" w:eastAsia="es-ES"/>
        </w:rPr>
        <w:t>“</w:t>
      </w:r>
      <w:r w:rsidR="00792776" w:rsidRPr="00265631">
        <w:rPr>
          <w:rFonts w:ascii="Palatino Linotype" w:eastAsia="MS Mincho" w:hAnsi="Palatino Linotype" w:cs="Times New Roman"/>
          <w:sz w:val="24"/>
          <w:szCs w:val="24"/>
          <w:lang w:val="es-ES_tradnl" w:eastAsia="es-ES"/>
        </w:rPr>
        <w:t>máxima publicidad</w:t>
      </w:r>
      <w:r w:rsidR="0024202C" w:rsidRPr="00265631">
        <w:rPr>
          <w:rFonts w:ascii="Palatino Linotype" w:eastAsia="MS Mincho" w:hAnsi="Palatino Linotype" w:cs="Times New Roman"/>
          <w:sz w:val="24"/>
          <w:szCs w:val="24"/>
          <w:lang w:val="es-ES_tradnl" w:eastAsia="es-ES"/>
        </w:rPr>
        <w:t>”</w:t>
      </w:r>
      <w:r w:rsidR="00792776" w:rsidRPr="00265631">
        <w:rPr>
          <w:rFonts w:ascii="Palatino Linotype" w:eastAsia="MS Mincho" w:hAnsi="Palatino Linotype" w:cs="Times New Roman"/>
          <w:sz w:val="24"/>
          <w:szCs w:val="24"/>
          <w:lang w:val="es-ES_tradnl" w:eastAsia="es-ES"/>
        </w:rPr>
        <w:t xml:space="preserve"> de la misma</w:t>
      </w:r>
      <w:r w:rsidR="0024202C" w:rsidRPr="00265631">
        <w:rPr>
          <w:rFonts w:ascii="Palatino Linotype" w:eastAsia="MS Mincho" w:hAnsi="Palatino Linotype" w:cs="Times New Roman"/>
          <w:sz w:val="24"/>
          <w:szCs w:val="24"/>
          <w:lang w:val="es-ES_tradnl" w:eastAsia="es-ES"/>
        </w:rPr>
        <w:t xml:space="preserve">. </w:t>
      </w:r>
    </w:p>
    <w:p w:rsidR="00314F26" w:rsidRPr="00265631" w:rsidRDefault="00314F26" w:rsidP="00265631">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265631" w:rsidRDefault="0088635D" w:rsidP="00265631">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21701090"/>
      <w:r w:rsidRPr="00265631">
        <w:rPr>
          <w:rFonts w:ascii="Palatino Linotype" w:eastAsia="MS Gothic" w:hAnsi="Palatino Linotype" w:cstheme="majorBidi"/>
          <w:b/>
          <w:sz w:val="24"/>
          <w:szCs w:val="24"/>
          <w:lang w:val="es-ES_tradnl" w:eastAsia="es-ES"/>
        </w:rPr>
        <w:t>b) De la información solicitada y la respuesta del Sujeto Obligado.</w:t>
      </w:r>
      <w:bookmarkEnd w:id="30"/>
      <w:r w:rsidRPr="00265631">
        <w:rPr>
          <w:rFonts w:ascii="Palatino Linotype" w:eastAsia="MS Gothic" w:hAnsi="Palatino Linotype" w:cstheme="majorBidi"/>
          <w:b/>
          <w:sz w:val="24"/>
          <w:szCs w:val="24"/>
          <w:lang w:val="es-ES_tradnl" w:eastAsia="es-ES"/>
        </w:rPr>
        <w:t xml:space="preserve"> </w:t>
      </w:r>
    </w:p>
    <w:p w:rsidR="00A64D2E" w:rsidRPr="00265631" w:rsidRDefault="00A64D2E" w:rsidP="00265631">
      <w:pPr>
        <w:spacing w:after="0" w:line="360" w:lineRule="auto"/>
        <w:ind w:right="49"/>
        <w:contextualSpacing/>
        <w:jc w:val="both"/>
        <w:rPr>
          <w:rFonts w:ascii="Palatino Linotype" w:eastAsia="MS Mincho" w:hAnsi="Palatino Linotype" w:cs="Times New Roman"/>
          <w:sz w:val="24"/>
          <w:szCs w:val="24"/>
          <w:lang w:val="es-ES_tradnl" w:eastAsia="es-ES"/>
        </w:rPr>
      </w:pPr>
    </w:p>
    <w:p w:rsidR="00F226A6" w:rsidRPr="00265631" w:rsidRDefault="00E204F9" w:rsidP="0026563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65631">
        <w:rPr>
          <w:rFonts w:ascii="Palatino Linotype" w:eastAsia="MS Mincho" w:hAnsi="Palatino Linotype" w:cs="Times New Roman"/>
          <w:sz w:val="24"/>
          <w:szCs w:val="24"/>
          <w:lang w:val="es-ES_tradnl" w:eastAsia="es-ES"/>
        </w:rPr>
        <w:t xml:space="preserve">Para proceder al análisis del presente asunto, es necesario </w:t>
      </w:r>
      <w:r w:rsidR="003313A9" w:rsidRPr="00265631">
        <w:rPr>
          <w:rFonts w:ascii="Palatino Linotype" w:eastAsia="MS Mincho" w:hAnsi="Palatino Linotype" w:cs="Times New Roman"/>
          <w:sz w:val="24"/>
          <w:szCs w:val="24"/>
          <w:lang w:val="es-ES_tradnl" w:eastAsia="es-ES"/>
        </w:rPr>
        <w:t>recapitular lo</w:t>
      </w:r>
      <w:r w:rsidR="002D1047" w:rsidRPr="00265631">
        <w:rPr>
          <w:rFonts w:ascii="Palatino Linotype" w:eastAsia="MS Mincho" w:hAnsi="Palatino Linotype" w:cs="Times New Roman"/>
          <w:sz w:val="24"/>
          <w:szCs w:val="24"/>
          <w:lang w:val="es-ES_tradnl" w:eastAsia="es-ES"/>
        </w:rPr>
        <w:t xml:space="preserve"> que el particular </w:t>
      </w:r>
      <w:r w:rsidR="00F226A6" w:rsidRPr="00265631">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F226A6" w:rsidRPr="00265631" w:rsidRDefault="00F226A6" w:rsidP="00265631">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8789" w:type="dxa"/>
        <w:tblLook w:val="04A0" w:firstRow="1" w:lastRow="0" w:firstColumn="1" w:lastColumn="0" w:noHBand="0" w:noVBand="1"/>
      </w:tblPr>
      <w:tblGrid>
        <w:gridCol w:w="379"/>
        <w:gridCol w:w="3874"/>
        <w:gridCol w:w="4536"/>
      </w:tblGrid>
      <w:tr w:rsidR="00F226A6" w:rsidRPr="00265631" w:rsidTr="00F226A6">
        <w:tc>
          <w:tcPr>
            <w:tcW w:w="379" w:type="dxa"/>
            <w:tcBorders>
              <w:top w:val="nil"/>
              <w:left w:val="nil"/>
            </w:tcBorders>
            <w:shd w:val="clear" w:color="auto" w:fill="auto"/>
          </w:tcPr>
          <w:p w:rsidR="00F226A6" w:rsidRPr="00265631" w:rsidRDefault="00F226A6" w:rsidP="00265631">
            <w:pPr>
              <w:spacing w:line="360" w:lineRule="auto"/>
              <w:jc w:val="center"/>
              <w:rPr>
                <w:rFonts w:ascii="Palatino Linotype" w:hAnsi="Palatino Linotype"/>
                <w:b/>
                <w:bCs/>
              </w:rPr>
            </w:pPr>
            <w:bookmarkStart w:id="31" w:name="_Hlk21597540"/>
          </w:p>
        </w:tc>
        <w:tc>
          <w:tcPr>
            <w:tcW w:w="3874"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Solicitud</w:t>
            </w:r>
          </w:p>
        </w:tc>
        <w:tc>
          <w:tcPr>
            <w:tcW w:w="4536"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Respuesta</w:t>
            </w:r>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1</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Todos los dictámenes como Impacto Regional o Único de Factibilidad.</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que </w:t>
            </w:r>
            <w:bookmarkStart w:id="32" w:name="_Hlk21596985"/>
            <w:r w:rsidRPr="00265631">
              <w:rPr>
                <w:rFonts w:ascii="Palatino Linotype" w:hAnsi="Palatino Linotype"/>
              </w:rPr>
              <w:t xml:space="preserve">de acuerdo con el artículo 138 del Reglamento del Libro Quinto del Código Administrativo del Estado de México, la Secretaría de Desarrollo Urbano es la encargada de emitir dicho dictamen </w:t>
            </w:r>
            <w:bookmarkEnd w:id="32"/>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2</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Evaluaciones y/o resolutivos emitidos en materia de Impacto Ambiental, Urbano, Protección Civil, y Vialidad</w:t>
            </w:r>
          </w:p>
        </w:tc>
        <w:tc>
          <w:tcPr>
            <w:tcW w:w="4536" w:type="dxa"/>
          </w:tcPr>
          <w:p w:rsidR="00F226A6" w:rsidRPr="00265631" w:rsidRDefault="00F226A6" w:rsidP="00265631">
            <w:pPr>
              <w:pStyle w:val="Prrafodelista"/>
              <w:numPr>
                <w:ilvl w:val="0"/>
                <w:numId w:val="16"/>
              </w:numPr>
              <w:spacing w:line="360" w:lineRule="auto"/>
              <w:ind w:left="328"/>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w:t>
            </w:r>
            <w:bookmarkStart w:id="33" w:name="_Hlk21597000"/>
            <w:r w:rsidRPr="00265631">
              <w:rPr>
                <w:rFonts w:ascii="Palatino Linotype" w:hAnsi="Palatino Linotype"/>
              </w:rPr>
              <w:t xml:space="preserve">que de conformidad con el artículo 2.67 del Código para la Biodiversidad del Estado de México, establece que es facultad de la Secretaría de Medio ambiente del Estado de México. </w:t>
            </w:r>
          </w:p>
          <w:p w:rsidR="00F226A6" w:rsidRPr="00265631" w:rsidRDefault="00F226A6" w:rsidP="00265631">
            <w:pPr>
              <w:pStyle w:val="Prrafodelista"/>
              <w:numPr>
                <w:ilvl w:val="0"/>
                <w:numId w:val="16"/>
              </w:numPr>
              <w:spacing w:line="360" w:lineRule="auto"/>
              <w:ind w:left="328"/>
              <w:jc w:val="both"/>
              <w:rPr>
                <w:rFonts w:ascii="Palatino Linotype" w:hAnsi="Palatino Linotype"/>
              </w:rPr>
            </w:pPr>
            <w:r w:rsidRPr="00265631">
              <w:rPr>
                <w:rFonts w:ascii="Palatino Linotype" w:hAnsi="Palatino Linotype"/>
              </w:rPr>
              <w:t xml:space="preserve">Respecto al Dictamen de Protección Civil de conformidad con lo que establece el artículo 6.26 del Libro Sexto del Código de Procedimientos Administrativos del Estado de México, los programas de protección civil se deberán inscribir en el Registro Estatal de Protección Civil. </w:t>
            </w:r>
          </w:p>
          <w:p w:rsidR="00F226A6" w:rsidRPr="00265631" w:rsidRDefault="00F226A6" w:rsidP="00265631">
            <w:pPr>
              <w:pStyle w:val="Prrafodelista"/>
              <w:numPr>
                <w:ilvl w:val="0"/>
                <w:numId w:val="16"/>
              </w:numPr>
              <w:spacing w:line="360" w:lineRule="auto"/>
              <w:ind w:left="328"/>
              <w:jc w:val="both"/>
              <w:rPr>
                <w:rFonts w:ascii="Palatino Linotype" w:hAnsi="Palatino Linotype"/>
              </w:rPr>
            </w:pPr>
            <w:r w:rsidRPr="00265631">
              <w:rPr>
                <w:rFonts w:ascii="Palatino Linotype" w:hAnsi="Palatino Linotype"/>
              </w:rPr>
              <w:t xml:space="preserve">Respecto al dictamen de incorporación e impacto vial y de conformidad con lo que establece el artículo 17.59 del Libro Décimo Séptimo del Código de Procedimientos Administrativos es atribución de la Secretaría de Comunicaciones. </w:t>
            </w:r>
            <w:bookmarkEnd w:id="33"/>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3</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Los instrumentos de áreas de donación y equipamiento urbano por los cuales se autorizó en sus diversas etapas y manzanas la construcción del conjunto Urbano de tipo Interés Social denominado LA GUADALUPANA DEL LAGO, conocido comercialmente como COLONIAL DEL LAGO, ubicado en el Municipio de Nicolás Romero, Estado de México.</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que </w:t>
            </w:r>
            <w:bookmarkStart w:id="34" w:name="_Hlk21597015"/>
            <w:r w:rsidRPr="00265631">
              <w:rPr>
                <w:rFonts w:ascii="Palatino Linotype" w:hAnsi="Palatino Linotype"/>
              </w:rPr>
              <w:t xml:space="preserve">las actas de las áreas de Donación y Equipamiento Urbano se controlaran en una bitácora de obra, por lo que de conformidad con el artículo 109 del Reglamento del Libro Quinto del Código Administrativo del Estado de México, es una competencia de la Secretaría de Desarrollo Urbano del Estado de México, quien cuenta con esta información, misma que describe las permutas y el estatus que resulten del cumplimiento de las condicionantes a las que se sujetaron las diversas autorizaciones. </w:t>
            </w:r>
            <w:bookmarkEnd w:id="34"/>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4</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Estatus a la fecha de la presente solicitud del cumplimiento de las condicionantes a las que se sujetaron las diversas autorizaciones; para el caso de permuta de cumplimiento de obligaciones y/o condicionantes también proporcionar copia simple de éstas.</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que […] es una competencia de la Secretaría de Desarrollo Urbano del Estado de México, quien cuenta con esta información, misma que describe las permutas y el estatus que resulten del cumplimiento de las condicionantes a las que se sujetaron las diversas autorizaciones […] </w:t>
            </w:r>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5</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Proporcionar la referencia de la Gaceta Oficial por la cual se autoriza cada una de las etapas por manzana de dicho proyecto.</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que </w:t>
            </w:r>
            <w:bookmarkStart w:id="35" w:name="_Hlk21597036"/>
            <w:r w:rsidRPr="00265631">
              <w:rPr>
                <w:rFonts w:ascii="Palatino Linotype" w:hAnsi="Palatino Linotype"/>
              </w:rPr>
              <w:t xml:space="preserve">respecto a las autorizaciones del Conjunto Urbano “La Guadalupana del Lago” se podrá encontrar en el portar de </w:t>
            </w:r>
            <w:proofErr w:type="spellStart"/>
            <w:r w:rsidRPr="00265631">
              <w:rPr>
                <w:rFonts w:ascii="Palatino Linotype" w:hAnsi="Palatino Linotype"/>
              </w:rPr>
              <w:t>legistel</w:t>
            </w:r>
            <w:proofErr w:type="spellEnd"/>
            <w:r w:rsidRPr="00265631">
              <w:rPr>
                <w:rFonts w:ascii="Palatino Linotype" w:hAnsi="Palatino Linotype"/>
              </w:rPr>
              <w:t xml:space="preserve"> del Gobierno del Estado de México, en una liga electrónica, donde se puede consultar la información de los acuerdos de autorización. </w:t>
            </w:r>
            <w:bookmarkEnd w:id="35"/>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6</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Proporcionar Evaluación de Manifestación de Impacto Ambiental de la Planta de Tratamiento del Conjunto y acuerdos de entrega de equipamiento urbano al Municipio de Nicolás Romero. </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señaló que </w:t>
            </w:r>
            <w:bookmarkStart w:id="36" w:name="_Hlk21597043"/>
            <w:r w:rsidRPr="00265631">
              <w:rPr>
                <w:rFonts w:ascii="Palatino Linotype" w:hAnsi="Palatino Linotype"/>
              </w:rPr>
              <w:t xml:space="preserve">la Evaluación de Manifestación de Impacto Ambiental de la Planta de Tratamiento del Conjunto y los acuerdos de entrega de equipamiento son competencia de la CAEM “Comisión del Agua del Estado de México”. </w:t>
            </w:r>
            <w:bookmarkEnd w:id="36"/>
          </w:p>
        </w:tc>
      </w:tr>
      <w:tr w:rsidR="00F226A6" w:rsidRPr="00265631" w:rsidTr="00F226A6">
        <w:tc>
          <w:tcPr>
            <w:tcW w:w="379" w:type="dxa"/>
            <w:shd w:val="clear" w:color="auto" w:fill="BFBFBF" w:themeFill="background1" w:themeFillShade="BF"/>
          </w:tcPr>
          <w:p w:rsidR="00F226A6" w:rsidRPr="00265631" w:rsidRDefault="00F226A6" w:rsidP="00265631">
            <w:pPr>
              <w:spacing w:line="360" w:lineRule="auto"/>
              <w:jc w:val="center"/>
              <w:rPr>
                <w:rFonts w:ascii="Palatino Linotype" w:hAnsi="Palatino Linotype"/>
                <w:b/>
                <w:bCs/>
              </w:rPr>
            </w:pPr>
            <w:r w:rsidRPr="00265631">
              <w:rPr>
                <w:rFonts w:ascii="Palatino Linotype" w:hAnsi="Palatino Linotype"/>
                <w:b/>
                <w:bCs/>
              </w:rPr>
              <w:t>7</w:t>
            </w:r>
          </w:p>
        </w:tc>
        <w:tc>
          <w:tcPr>
            <w:tcW w:w="3874"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De la CAEM la factibilidad del servicio en cada una de las etapas del proyecto </w:t>
            </w:r>
          </w:p>
        </w:tc>
        <w:tc>
          <w:tcPr>
            <w:tcW w:w="4536" w:type="dxa"/>
          </w:tcPr>
          <w:p w:rsidR="00F226A6" w:rsidRPr="00265631" w:rsidRDefault="00F226A6"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señaló que […</w:t>
            </w:r>
            <w:proofErr w:type="gramStart"/>
            <w:r w:rsidRPr="00265631">
              <w:rPr>
                <w:rFonts w:ascii="Palatino Linotype" w:hAnsi="Palatino Linotype"/>
              </w:rPr>
              <w:t>]los</w:t>
            </w:r>
            <w:proofErr w:type="gramEnd"/>
            <w:r w:rsidRPr="00265631">
              <w:rPr>
                <w:rFonts w:ascii="Palatino Linotype" w:hAnsi="Palatino Linotype"/>
              </w:rPr>
              <w:t xml:space="preserve"> acuerdos de entrega de equipamiento son competencia de la CAEM “Comisión del Agua del Estado de México”. </w:t>
            </w:r>
          </w:p>
        </w:tc>
      </w:tr>
      <w:tr w:rsidR="00643EE3" w:rsidRPr="00265631" w:rsidTr="00F226A6">
        <w:tc>
          <w:tcPr>
            <w:tcW w:w="379" w:type="dxa"/>
            <w:shd w:val="clear" w:color="auto" w:fill="BFBFBF" w:themeFill="background1" w:themeFillShade="BF"/>
          </w:tcPr>
          <w:p w:rsidR="00643EE3" w:rsidRPr="00265631" w:rsidRDefault="00643EE3" w:rsidP="00265631">
            <w:pPr>
              <w:spacing w:line="360" w:lineRule="auto"/>
              <w:jc w:val="center"/>
              <w:rPr>
                <w:rFonts w:ascii="Palatino Linotype" w:hAnsi="Palatino Linotype"/>
                <w:b/>
                <w:bCs/>
              </w:rPr>
            </w:pPr>
            <w:r w:rsidRPr="00265631">
              <w:rPr>
                <w:rFonts w:ascii="Palatino Linotype" w:hAnsi="Palatino Linotype"/>
                <w:b/>
                <w:bCs/>
              </w:rPr>
              <w:t>8</w:t>
            </w:r>
          </w:p>
        </w:tc>
        <w:tc>
          <w:tcPr>
            <w:tcW w:w="3874" w:type="dxa"/>
          </w:tcPr>
          <w:p w:rsidR="00643EE3" w:rsidRPr="00265631" w:rsidRDefault="00643EE3" w:rsidP="00265631">
            <w:pPr>
              <w:spacing w:line="360" w:lineRule="auto"/>
              <w:jc w:val="both"/>
              <w:rPr>
                <w:rFonts w:ascii="Palatino Linotype" w:hAnsi="Palatino Linotype"/>
              </w:rPr>
            </w:pPr>
            <w:r w:rsidRPr="00265631">
              <w:rPr>
                <w:rFonts w:ascii="Palatino Linotype" w:hAnsi="Palatino Linotype"/>
              </w:rPr>
              <w:t>Pago en bloque y volúmenes autorizados</w:t>
            </w:r>
            <w:r w:rsidR="002953C4" w:rsidRPr="00265631">
              <w:rPr>
                <w:rFonts w:ascii="Palatino Linotype" w:hAnsi="Palatino Linotype"/>
              </w:rPr>
              <w:t xml:space="preserve">. </w:t>
            </w:r>
          </w:p>
        </w:tc>
        <w:tc>
          <w:tcPr>
            <w:tcW w:w="4536" w:type="dxa"/>
          </w:tcPr>
          <w:p w:rsidR="00643EE3" w:rsidRPr="00265631" w:rsidRDefault="00643EE3" w:rsidP="00265631">
            <w:pPr>
              <w:spacing w:line="360" w:lineRule="auto"/>
              <w:jc w:val="both"/>
              <w:rPr>
                <w:rFonts w:ascii="Palatino Linotype" w:hAnsi="Palatino Linotype"/>
              </w:rPr>
            </w:pPr>
            <w:r w:rsidRPr="00265631">
              <w:rPr>
                <w:rFonts w:ascii="Palatino Linotype" w:hAnsi="Palatino Linotype"/>
              </w:rPr>
              <w:t xml:space="preserve">El </w:t>
            </w:r>
            <w:r w:rsidRPr="00265631">
              <w:rPr>
                <w:rFonts w:ascii="Palatino Linotype" w:hAnsi="Palatino Linotype"/>
                <w:b/>
                <w:bCs/>
              </w:rPr>
              <w:t xml:space="preserve">Sujeto Obligado </w:t>
            </w:r>
            <w:r w:rsidRPr="00265631">
              <w:rPr>
                <w:rFonts w:ascii="Palatino Linotype" w:hAnsi="Palatino Linotype"/>
              </w:rPr>
              <w:t xml:space="preserve">no se pronunció al respecto. </w:t>
            </w:r>
          </w:p>
        </w:tc>
      </w:tr>
      <w:bookmarkEnd w:id="31"/>
    </w:tbl>
    <w:p w:rsidR="004B2A20" w:rsidRPr="00265631" w:rsidRDefault="004B2A20"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F226A6"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Una vez acotado lo anterior, en cuanto hace a lo referido con el numeral </w:t>
      </w:r>
      <w:r w:rsidRPr="00265631">
        <w:rPr>
          <w:rFonts w:ascii="Palatino Linotype" w:eastAsia="MS Mincho" w:hAnsi="Palatino Linotype" w:cs="Arial"/>
          <w:b/>
          <w:bCs/>
          <w:sz w:val="24"/>
          <w:szCs w:val="24"/>
        </w:rPr>
        <w:t xml:space="preserve">1) Todos los dictámenes como Impacto Regional o Único de Factibilidad; </w:t>
      </w:r>
      <w:r w:rsidRPr="00265631">
        <w:rPr>
          <w:rFonts w:ascii="Palatino Linotype" w:eastAsia="MS Mincho" w:hAnsi="Palatino Linotype" w:cs="Arial"/>
          <w:sz w:val="24"/>
          <w:szCs w:val="24"/>
        </w:rPr>
        <w:t xml:space="preserve">el </w:t>
      </w:r>
      <w:r w:rsidRPr="00265631">
        <w:rPr>
          <w:rFonts w:ascii="Palatino Linotype" w:eastAsia="MS Mincho" w:hAnsi="Palatino Linotype" w:cs="Arial"/>
          <w:b/>
          <w:bCs/>
          <w:sz w:val="24"/>
          <w:szCs w:val="24"/>
        </w:rPr>
        <w:t xml:space="preserve">Sujeto Obligado </w:t>
      </w:r>
      <w:r w:rsidRPr="00265631">
        <w:rPr>
          <w:rFonts w:ascii="Palatino Linotype" w:eastAsia="MS Mincho" w:hAnsi="Palatino Linotype" w:cs="Arial"/>
          <w:sz w:val="24"/>
          <w:szCs w:val="24"/>
        </w:rPr>
        <w:t xml:space="preserve">en respuesta señaló que de acuerdo con el artículo 138 del Reglamento del Libro Quinto del Código Administrativo del Estado de México, la Secretaría de Desarrollo Urbano es la encargada de emitir dicho dictamen. </w:t>
      </w:r>
    </w:p>
    <w:p w:rsidR="00F226A6" w:rsidRPr="00265631" w:rsidRDefault="00F226A6"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F226A6"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De tal forma que se tiene que el artículo señalado establece que:</w:t>
      </w:r>
    </w:p>
    <w:p w:rsidR="00F226A6" w:rsidRPr="00265631" w:rsidRDefault="00F226A6"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F226A6" w:rsidP="00265631">
      <w:pPr>
        <w:tabs>
          <w:tab w:val="left" w:pos="284"/>
          <w:tab w:val="left" w:pos="426"/>
        </w:tabs>
        <w:spacing w:after="0" w:line="360" w:lineRule="auto"/>
        <w:ind w:left="567" w:right="567"/>
        <w:contextualSpacing/>
        <w:jc w:val="center"/>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Reglamento del Libro Quinto del Código Administrativo del Estado de México</w:t>
      </w:r>
    </w:p>
    <w:p w:rsidR="00F226A6" w:rsidRPr="00265631" w:rsidRDefault="00F226A6" w:rsidP="00265631">
      <w:pPr>
        <w:tabs>
          <w:tab w:val="left" w:pos="284"/>
          <w:tab w:val="left" w:pos="426"/>
        </w:tabs>
        <w:spacing w:after="0" w:line="360" w:lineRule="auto"/>
        <w:ind w:left="567" w:right="567"/>
        <w:contextualSpacing/>
        <w:rPr>
          <w:rFonts w:ascii="Palatino Linotype" w:eastAsia="MS Mincho" w:hAnsi="Palatino Linotype" w:cs="Arial"/>
          <w:sz w:val="24"/>
          <w:szCs w:val="24"/>
        </w:rPr>
      </w:pP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DE LA EMISIÓN DEL DICTAMEN DE IMPACTO REGIONAL</w:t>
      </w: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sz w:val="24"/>
          <w:szCs w:val="24"/>
        </w:rPr>
      </w:pP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Artículo 138.</w:t>
      </w:r>
      <w:r w:rsidRPr="00265631">
        <w:rPr>
          <w:rFonts w:ascii="Palatino Linotype" w:hAnsi="Palatino Linotype"/>
          <w:sz w:val="24"/>
          <w:szCs w:val="24"/>
        </w:rPr>
        <w:t xml:space="preserve"> Cumplidos los requisitos anteriores y previa comprobación del pago de los derechos, la Secretaría emitirá el dictamen de impacto regional en un plazo no mayor a cinco días hábiles, contados a partir de la recepción de la solicitud acompañada de los documentos a que se refiere este artículo. </w:t>
      </w: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sz w:val="24"/>
          <w:szCs w:val="24"/>
        </w:rPr>
      </w:pP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No se requerirá de dictamen de impacto regional para conjuntos urbanos.</w:t>
      </w:r>
    </w:p>
    <w:p w:rsidR="00F226A6" w:rsidRPr="00265631" w:rsidRDefault="00F226A6" w:rsidP="00265631">
      <w:pPr>
        <w:tabs>
          <w:tab w:val="left" w:pos="284"/>
          <w:tab w:val="left" w:pos="426"/>
        </w:tabs>
        <w:spacing w:after="0" w:line="360" w:lineRule="auto"/>
        <w:ind w:left="567" w:right="567"/>
        <w:contextualSpacing/>
        <w:jc w:val="both"/>
        <w:rPr>
          <w:rFonts w:ascii="Palatino Linotype" w:hAnsi="Palatino Linotype"/>
          <w:sz w:val="24"/>
          <w:szCs w:val="24"/>
        </w:rPr>
      </w:pPr>
    </w:p>
    <w:p w:rsidR="00FB29BB" w:rsidRPr="00265631" w:rsidRDefault="00FB29BB" w:rsidP="00265631">
      <w:pPr>
        <w:keepNext/>
        <w:keepLines/>
        <w:spacing w:after="0" w:line="360" w:lineRule="auto"/>
        <w:outlineLvl w:val="0"/>
        <w:rPr>
          <w:rFonts w:ascii="Palatino Linotype" w:eastAsia="Times New Roman" w:hAnsi="Palatino Linotype" w:cstheme="majorBidi"/>
          <w:b/>
          <w:sz w:val="24"/>
          <w:szCs w:val="24"/>
          <w:lang w:val="es-ES_tradnl" w:eastAsia="es-ES"/>
        </w:rPr>
      </w:pPr>
      <w:bookmarkStart w:id="37" w:name="_Toc21701091"/>
      <w:r w:rsidRPr="00265631">
        <w:rPr>
          <w:rFonts w:ascii="Palatino Linotype" w:eastAsia="Times New Roman" w:hAnsi="Palatino Linotype" w:cstheme="majorBidi"/>
          <w:b/>
          <w:sz w:val="24"/>
          <w:szCs w:val="24"/>
          <w:lang w:val="es-ES_tradnl" w:eastAsia="es-ES"/>
        </w:rPr>
        <w:t xml:space="preserve">I. </w:t>
      </w:r>
      <w:r w:rsidRPr="00265631">
        <w:rPr>
          <w:rFonts w:ascii="Palatino Linotype" w:hAnsi="Palatino Linotype"/>
          <w:b/>
          <w:sz w:val="24"/>
          <w:szCs w:val="24"/>
        </w:rPr>
        <w:t>Del Dictamen Único de Factibilidad.</w:t>
      </w:r>
      <w:bookmarkEnd w:id="37"/>
      <w:r w:rsidRPr="00265631">
        <w:rPr>
          <w:rFonts w:ascii="Palatino Linotype" w:hAnsi="Palatino Linotype"/>
          <w:b/>
          <w:sz w:val="24"/>
          <w:szCs w:val="24"/>
        </w:rPr>
        <w:t xml:space="preserve"> </w:t>
      </w:r>
    </w:p>
    <w:p w:rsidR="00FB29BB" w:rsidRPr="00265631" w:rsidRDefault="00FB29B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51D83" w:rsidRPr="00265631" w:rsidRDefault="00F226A6"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principio, se tiene que el </w:t>
      </w:r>
      <w:r w:rsidR="00FB29BB" w:rsidRPr="00265631">
        <w:rPr>
          <w:rFonts w:ascii="Palatino Linotype" w:eastAsia="MS Mincho" w:hAnsi="Palatino Linotype" w:cs="Arial"/>
          <w:sz w:val="24"/>
          <w:szCs w:val="24"/>
        </w:rPr>
        <w:t>Dictamen Único de Factibilidad</w:t>
      </w:r>
      <w:r w:rsidRPr="00265631">
        <w:rPr>
          <w:rFonts w:ascii="Palatino Linotype" w:eastAsia="MS Mincho" w:hAnsi="Palatino Linotype" w:cs="Arial"/>
          <w:sz w:val="24"/>
          <w:szCs w:val="24"/>
        </w:rPr>
        <w:t xml:space="preserve">, </w:t>
      </w:r>
      <w:r w:rsidR="00B67478" w:rsidRPr="00265631">
        <w:rPr>
          <w:rFonts w:ascii="Palatino Linotype" w:eastAsia="MS Mincho" w:hAnsi="Palatino Linotype" w:cs="Arial"/>
          <w:sz w:val="24"/>
          <w:szCs w:val="24"/>
        </w:rPr>
        <w:t xml:space="preserve">es el documento de carácter permanente emitido por la </w:t>
      </w:r>
      <w:r w:rsidR="00B67478" w:rsidRPr="00265631">
        <w:rPr>
          <w:rFonts w:ascii="Palatino Linotype" w:eastAsia="MS Mincho" w:hAnsi="Palatino Linotype" w:cs="Arial"/>
          <w:b/>
          <w:bCs/>
          <w:sz w:val="24"/>
          <w:szCs w:val="24"/>
        </w:rPr>
        <w:t xml:space="preserve">Comisión de Factibilidad del Estado de México, </w:t>
      </w:r>
      <w:r w:rsidR="00B67478" w:rsidRPr="00265631">
        <w:rPr>
          <w:rFonts w:ascii="Palatino Linotype" w:eastAsia="MS Mincho" w:hAnsi="Palatino Linotype" w:cs="Arial"/>
          <w:sz w:val="24"/>
          <w:szCs w:val="24"/>
        </w:rPr>
        <w:t>en el cual se sustentan las evaluaciones técnicas de factibilidad en materias de salubridad local, desarrollo urbano y vivienda, protección civil, medio ambiente, desarrollo económico, comunicaciones, movilidad y agua, previo análisis normativo, cuya finalidad es determinar la factibilidad de la construcción, apertura, instalación, operación, ampliación o funcionamiento de obras, Es éste, un requisito indispensable para obtener la autorización municipal, tratándose de usos que</w:t>
      </w:r>
      <w:r w:rsidRPr="00265631">
        <w:rPr>
          <w:rFonts w:ascii="Palatino Linotype" w:eastAsia="MS Mincho" w:hAnsi="Palatino Linotype" w:cs="Arial"/>
          <w:sz w:val="24"/>
          <w:szCs w:val="24"/>
        </w:rPr>
        <w:t xml:space="preserve"> produzcan un impacto significativo sobre la infraestructura y equipamiento urbanos y los servicios públicos previsto para una región o para un centro de población en relación con su entorno regional</w:t>
      </w:r>
      <w:r w:rsidR="00651D83" w:rsidRPr="00265631">
        <w:rPr>
          <w:rFonts w:ascii="Palatino Linotype" w:eastAsia="MS Mincho" w:hAnsi="Palatino Linotype" w:cs="Arial"/>
          <w:sz w:val="24"/>
          <w:szCs w:val="24"/>
        </w:rPr>
        <w:t>.</w:t>
      </w:r>
    </w:p>
    <w:p w:rsidR="00F226A6" w:rsidRPr="00265631" w:rsidRDefault="00B67478"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acuerdo con la Ley que crea la Comisión de Factibilidad del Estado de México, se establece que para fortalecer el ambiente de negocios y atraer mayor inversión, el Gobierno del Estado impulso una serie de reformas orientadas </w:t>
      </w:r>
      <w:proofErr w:type="spellStart"/>
      <w:r w:rsidRPr="00265631">
        <w:rPr>
          <w:rFonts w:ascii="Palatino Linotype" w:eastAsia="MS Mincho" w:hAnsi="Palatino Linotype" w:cs="Arial"/>
          <w:sz w:val="24"/>
          <w:szCs w:val="24"/>
        </w:rPr>
        <w:t>hacía</w:t>
      </w:r>
      <w:proofErr w:type="spellEnd"/>
      <w:r w:rsidRPr="00265631">
        <w:rPr>
          <w:rFonts w:ascii="Palatino Linotype" w:eastAsia="MS Mincho" w:hAnsi="Palatino Linotype" w:cs="Arial"/>
          <w:sz w:val="24"/>
          <w:szCs w:val="24"/>
        </w:rPr>
        <w:t xml:space="preserve"> la simplificación administrativa, por lo que se </w:t>
      </w:r>
      <w:r w:rsidRPr="00265631">
        <w:rPr>
          <w:rFonts w:ascii="Palatino Linotype" w:eastAsia="MS Mincho" w:hAnsi="Palatino Linotype" w:cs="Arial"/>
          <w:b/>
          <w:bCs/>
          <w:sz w:val="24"/>
          <w:szCs w:val="24"/>
        </w:rPr>
        <w:t xml:space="preserve">sustituyeron los dictámenes de impacto por el Dictamen Único de Factibilidad. </w:t>
      </w:r>
    </w:p>
    <w:p w:rsidR="00B67478" w:rsidRPr="00265631" w:rsidRDefault="00B67478"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B67478"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Ahora bien, la creación del Dictamen Único de Factibilidad tiene un esquema de tramitación que será a través de un ente de coordinación intergubernamental denominado </w:t>
      </w:r>
      <w:r w:rsidRPr="00265631">
        <w:rPr>
          <w:rFonts w:ascii="Palatino Linotype" w:eastAsia="MS Mincho" w:hAnsi="Palatino Linotype" w:cs="Arial"/>
          <w:b/>
          <w:bCs/>
          <w:sz w:val="24"/>
          <w:szCs w:val="24"/>
        </w:rPr>
        <w:t xml:space="preserve">Comisión Estatal de Factibilidad. </w:t>
      </w:r>
      <w:r w:rsidR="00FB29BB" w:rsidRPr="00265631">
        <w:rPr>
          <w:rFonts w:ascii="Palatino Linotype" w:eastAsia="MS Mincho" w:hAnsi="Palatino Linotype" w:cs="Arial"/>
          <w:sz w:val="24"/>
          <w:szCs w:val="24"/>
        </w:rPr>
        <w:t>Esto toma sustento con el artículo 39 del Reglamento Interior de la Comisión Estatal de Factibilidad, en el cual se establece que:</w:t>
      </w:r>
    </w:p>
    <w:p w:rsidR="00FB29BB" w:rsidRPr="00265631" w:rsidRDefault="00FB29B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B29BB" w:rsidRPr="00265631" w:rsidRDefault="00FB29BB" w:rsidP="00265631">
      <w:pPr>
        <w:tabs>
          <w:tab w:val="left" w:pos="426"/>
          <w:tab w:val="left" w:pos="567"/>
        </w:tabs>
        <w:spacing w:after="0" w:line="360" w:lineRule="auto"/>
        <w:ind w:left="567" w:right="567"/>
        <w:contextualSpacing/>
        <w:jc w:val="center"/>
        <w:rPr>
          <w:rFonts w:ascii="Palatino Linotype" w:hAnsi="Palatino Linotype"/>
          <w:b/>
          <w:bCs/>
          <w:sz w:val="24"/>
          <w:szCs w:val="24"/>
        </w:rPr>
      </w:pPr>
      <w:r w:rsidRPr="00265631">
        <w:rPr>
          <w:rFonts w:ascii="Palatino Linotype" w:hAnsi="Palatino Linotype"/>
          <w:b/>
          <w:bCs/>
          <w:sz w:val="24"/>
          <w:szCs w:val="24"/>
        </w:rPr>
        <w:t>REGLAMENTO INTERIOR DE LA COMISIÓN ESTATAL DE FACTIBILIDAD</w:t>
      </w:r>
    </w:p>
    <w:p w:rsidR="00FB29BB" w:rsidRPr="00265631" w:rsidRDefault="00FB29BB" w:rsidP="00265631">
      <w:pPr>
        <w:tabs>
          <w:tab w:val="left" w:pos="426"/>
          <w:tab w:val="left" w:pos="567"/>
        </w:tabs>
        <w:spacing w:after="0" w:line="360" w:lineRule="auto"/>
        <w:ind w:left="567" w:right="567"/>
        <w:contextualSpacing/>
        <w:jc w:val="center"/>
        <w:rPr>
          <w:rFonts w:ascii="Palatino Linotype" w:hAnsi="Palatino Linotype"/>
          <w:b/>
          <w:bCs/>
          <w:sz w:val="24"/>
          <w:szCs w:val="24"/>
        </w:rPr>
      </w:pPr>
    </w:p>
    <w:p w:rsidR="00FB29BB" w:rsidRPr="00265631" w:rsidRDefault="00FB29BB" w:rsidP="00265631">
      <w:pPr>
        <w:tabs>
          <w:tab w:val="left" w:pos="426"/>
          <w:tab w:val="left" w:pos="567"/>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hAnsi="Palatino Linotype"/>
          <w:b/>
          <w:bCs/>
          <w:sz w:val="24"/>
          <w:szCs w:val="24"/>
        </w:rPr>
        <w:t>Artículo 39.</w:t>
      </w:r>
      <w:r w:rsidRPr="00265631">
        <w:rPr>
          <w:rFonts w:ascii="Palatino Linotype" w:hAnsi="Palatino Linotype"/>
          <w:sz w:val="24"/>
          <w:szCs w:val="24"/>
        </w:rPr>
        <w:t xml:space="preserve"> </w:t>
      </w:r>
      <w:r w:rsidRPr="00265631">
        <w:rPr>
          <w:rFonts w:ascii="Palatino Linotype" w:hAnsi="Palatino Linotype"/>
          <w:b/>
          <w:bCs/>
          <w:sz w:val="24"/>
          <w:szCs w:val="24"/>
        </w:rPr>
        <w:t>La Comisión será la única autoridad facultada para emitir y entregar el DUF o la determinación correspondiente en sus módulos establecidos o en la ventanilla de gestión donde se ingresó el proyecto</w:t>
      </w:r>
      <w:r w:rsidRPr="00265631">
        <w:rPr>
          <w:rFonts w:ascii="Palatino Linotype" w:hAnsi="Palatino Linotype"/>
          <w:sz w:val="24"/>
          <w:szCs w:val="24"/>
        </w:rPr>
        <w:t xml:space="preserve">. […] </w:t>
      </w:r>
    </w:p>
    <w:p w:rsidR="00B67478" w:rsidRPr="00265631" w:rsidRDefault="00B67478"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B686C" w:rsidRPr="00265631" w:rsidRDefault="00B67478"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Hasta aquí se tiene </w:t>
      </w:r>
      <w:r w:rsidR="00FB29BB" w:rsidRPr="00265631">
        <w:rPr>
          <w:rFonts w:ascii="Palatino Linotype" w:eastAsia="MS Mincho" w:hAnsi="Palatino Linotype" w:cs="Arial"/>
          <w:sz w:val="24"/>
          <w:szCs w:val="24"/>
        </w:rPr>
        <w:t>entonces que;</w:t>
      </w:r>
    </w:p>
    <w:p w:rsidR="006B686C" w:rsidRPr="00265631" w:rsidRDefault="006B686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6B686C" w:rsidP="00265631">
      <w:pPr>
        <w:pStyle w:val="Prrafodelista"/>
        <w:numPr>
          <w:ilvl w:val="0"/>
          <w:numId w:val="17"/>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Los dictámenes de impacto se sustituyeron por el Dictamen Único de Factibilidad y;</w:t>
      </w:r>
    </w:p>
    <w:p w:rsidR="006B686C" w:rsidRPr="00265631" w:rsidRDefault="006B686C" w:rsidP="00265631">
      <w:pPr>
        <w:pStyle w:val="Prrafodelista"/>
        <w:numPr>
          <w:ilvl w:val="0"/>
          <w:numId w:val="17"/>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Que el Dictamen Único de Factibilidad es expedido </w:t>
      </w:r>
      <w:r w:rsidR="00FB29BB" w:rsidRPr="00265631">
        <w:rPr>
          <w:rFonts w:ascii="Palatino Linotype" w:eastAsia="MS Mincho" w:hAnsi="Palatino Linotype" w:cs="Arial"/>
          <w:b/>
          <w:bCs/>
          <w:sz w:val="24"/>
          <w:szCs w:val="24"/>
        </w:rPr>
        <w:t xml:space="preserve">exclusivamente </w:t>
      </w:r>
      <w:r w:rsidRPr="00265631">
        <w:rPr>
          <w:rFonts w:ascii="Palatino Linotype" w:eastAsia="MS Mincho" w:hAnsi="Palatino Linotype" w:cs="Arial"/>
          <w:b/>
          <w:bCs/>
          <w:sz w:val="24"/>
          <w:szCs w:val="24"/>
        </w:rPr>
        <w:t xml:space="preserve">por la Comisión Estatal de Factibilidad. </w:t>
      </w:r>
    </w:p>
    <w:p w:rsidR="00FB29BB" w:rsidRPr="00265631" w:rsidRDefault="00FB29BB" w:rsidP="00265631">
      <w:pPr>
        <w:keepNext/>
        <w:keepLines/>
        <w:spacing w:after="0" w:line="360" w:lineRule="auto"/>
        <w:outlineLvl w:val="0"/>
        <w:rPr>
          <w:rFonts w:ascii="Palatino Linotype" w:eastAsia="MS Mincho" w:hAnsi="Palatino Linotype" w:cs="Arial"/>
          <w:b/>
          <w:bCs/>
          <w:sz w:val="24"/>
          <w:szCs w:val="24"/>
        </w:rPr>
      </w:pPr>
    </w:p>
    <w:p w:rsidR="00FB29BB" w:rsidRPr="00265631" w:rsidRDefault="00FB29BB" w:rsidP="00265631">
      <w:pPr>
        <w:keepNext/>
        <w:keepLines/>
        <w:spacing w:after="0" w:line="360" w:lineRule="auto"/>
        <w:outlineLvl w:val="0"/>
        <w:rPr>
          <w:rFonts w:ascii="Palatino Linotype" w:hAnsi="Palatino Linotype"/>
          <w:b/>
          <w:sz w:val="24"/>
          <w:szCs w:val="24"/>
        </w:rPr>
      </w:pPr>
      <w:bookmarkStart w:id="38" w:name="_Toc21701092"/>
      <w:r w:rsidRPr="00265631">
        <w:rPr>
          <w:rFonts w:ascii="Palatino Linotype" w:eastAsia="Times New Roman" w:hAnsi="Palatino Linotype" w:cstheme="majorBidi"/>
          <w:b/>
          <w:sz w:val="24"/>
          <w:szCs w:val="24"/>
          <w:lang w:val="es-ES_tradnl" w:eastAsia="es-ES"/>
        </w:rPr>
        <w:t xml:space="preserve">II. </w:t>
      </w:r>
      <w:r w:rsidRPr="00265631">
        <w:rPr>
          <w:rFonts w:ascii="Palatino Linotype" w:hAnsi="Palatino Linotype"/>
          <w:b/>
          <w:sz w:val="24"/>
          <w:szCs w:val="24"/>
        </w:rPr>
        <w:t>Del Trámite del Dictamen Único De Factibilidad.</w:t>
      </w:r>
      <w:bookmarkEnd w:id="38"/>
      <w:r w:rsidRPr="00265631">
        <w:rPr>
          <w:rFonts w:ascii="Palatino Linotype" w:hAnsi="Palatino Linotype"/>
          <w:b/>
          <w:sz w:val="24"/>
          <w:szCs w:val="24"/>
        </w:rPr>
        <w:t xml:space="preserve"> </w:t>
      </w:r>
    </w:p>
    <w:p w:rsidR="00FB29BB" w:rsidRPr="00265631" w:rsidRDefault="00FB29BB" w:rsidP="00265631">
      <w:pPr>
        <w:keepNext/>
        <w:keepLines/>
        <w:spacing w:after="0" w:line="360" w:lineRule="auto"/>
        <w:outlineLvl w:val="0"/>
        <w:rPr>
          <w:rFonts w:ascii="Palatino Linotype" w:eastAsia="Times New Roman" w:hAnsi="Palatino Linotype" w:cstheme="majorBidi"/>
          <w:b/>
          <w:sz w:val="24"/>
          <w:szCs w:val="24"/>
          <w:lang w:val="es-ES_tradnl" w:eastAsia="es-ES"/>
        </w:rPr>
      </w:pPr>
    </w:p>
    <w:p w:rsidR="00FB29BB" w:rsidRPr="00265631" w:rsidRDefault="00FB29BB"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El Reglamento Interior de la Comisión Estatal de Factibilidad a partir de su artículo 11 que los interesados en obtener el D</w:t>
      </w:r>
      <w:r w:rsidR="00C60745" w:rsidRPr="00265631">
        <w:rPr>
          <w:rFonts w:ascii="Palatino Linotype" w:eastAsia="MS Mincho" w:hAnsi="Palatino Linotype" w:cs="Arial"/>
          <w:sz w:val="24"/>
          <w:szCs w:val="24"/>
        </w:rPr>
        <w:t>U</w:t>
      </w:r>
      <w:r w:rsidRPr="00265631">
        <w:rPr>
          <w:rFonts w:ascii="Palatino Linotype" w:eastAsia="MS Mincho" w:hAnsi="Palatino Linotype" w:cs="Arial"/>
          <w:sz w:val="24"/>
          <w:szCs w:val="24"/>
        </w:rPr>
        <w:t xml:space="preserve">F deberán presentar su escrito de solicitud firmado ante los módulos de la Comisión, con la exhibición de los documentos previstos en el artículo 13 del mismo Reglamento y previa verificación de los mismos. </w:t>
      </w:r>
    </w:p>
    <w:p w:rsidR="00FB29BB" w:rsidRPr="00265631" w:rsidRDefault="00FB29B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FB29BB"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Posteriormente, con base en la documentación se llevará a cabo el análisis de la procedencia jurídica del proyecto, en la cual la Comisión determinará si la documentación cumple o no con los requisitos establecidos, ya que para efectos del trámite y emisión del DUF, únicamente serán aceptados los documentos que cumplan con lo dispuesto por la materia. </w:t>
      </w:r>
    </w:p>
    <w:p w:rsidR="00FB29BB" w:rsidRPr="00265631" w:rsidRDefault="00FB29B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226A6" w:rsidRPr="00265631" w:rsidRDefault="00FB29BB"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acuerdo con el artículo 16 del referido Reglamento, se tiene que una vez </w:t>
      </w:r>
      <w:r w:rsidRPr="00265631">
        <w:rPr>
          <w:rFonts w:ascii="Palatino Linotype" w:eastAsia="MS Mincho" w:hAnsi="Palatino Linotype" w:cs="Arial"/>
          <w:b/>
          <w:bCs/>
          <w:sz w:val="24"/>
          <w:szCs w:val="24"/>
        </w:rPr>
        <w:t>determinada la procedencia jurídica del proyecto</w:t>
      </w:r>
      <w:r w:rsidRPr="00265631">
        <w:rPr>
          <w:rFonts w:ascii="Palatino Linotype" w:eastAsia="MS Mincho" w:hAnsi="Palatino Linotype" w:cs="Arial"/>
          <w:sz w:val="24"/>
          <w:szCs w:val="24"/>
        </w:rPr>
        <w:t xml:space="preserve">, la Comisión previa coordinación con las unidades administrativas competentes, notificará los requisitos en materia de </w:t>
      </w:r>
      <w:r w:rsidRPr="00265631">
        <w:rPr>
          <w:rFonts w:ascii="Palatino Linotype" w:eastAsia="MS Mincho" w:hAnsi="Palatino Linotype" w:cs="Arial"/>
          <w:b/>
          <w:bCs/>
          <w:sz w:val="24"/>
          <w:szCs w:val="24"/>
        </w:rPr>
        <w:t>protección civil, medio ambiente, salud, desarrollo urbano, vialidad y comercio automotriz</w:t>
      </w:r>
      <w:r w:rsidR="003F590D" w:rsidRPr="00265631">
        <w:rPr>
          <w:rFonts w:ascii="Palatino Linotype" w:eastAsia="MS Mincho" w:hAnsi="Palatino Linotype" w:cs="Arial"/>
          <w:b/>
          <w:bCs/>
          <w:sz w:val="24"/>
          <w:szCs w:val="24"/>
        </w:rPr>
        <w:t xml:space="preserve">. </w:t>
      </w:r>
    </w:p>
    <w:p w:rsidR="003F590D" w:rsidRPr="00265631" w:rsidRDefault="003F590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3F590D" w:rsidRPr="00265631" w:rsidRDefault="003F590D"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Una vez que se recibieron todos los requisitos que cada unidad administrativa requiere para emitir la Evaluación de Impacto Ambiental, se proporcionará el acuse de recibo correspondiente y se remitirá a la Secretaría Técnica de la Comisión para continuar con el trámite específico. Posteriormente la Comisión remitirá las solicitudes con la documentación correspondiente a las unidades administrativas involucradas, para que estas le informen si existe la necesidad de prácticas visita colegiada en el predio o inmueble donde se pretenda realizar el proyecto</w:t>
      </w:r>
      <w:r w:rsidR="002A17EE" w:rsidRPr="00265631">
        <w:rPr>
          <w:rFonts w:ascii="Palatino Linotype" w:eastAsia="MS Mincho" w:hAnsi="Palatino Linotype" w:cs="Arial"/>
          <w:sz w:val="24"/>
          <w:szCs w:val="24"/>
        </w:rPr>
        <w:t xml:space="preserve">.  Recibidas las solicitudes de visita, la Secretaría Técnica se coordinará y ejecutará con las unidades administrativas las mismas. Siendo que después de ello, </w:t>
      </w:r>
      <w:r w:rsidR="002A17EE" w:rsidRPr="00265631">
        <w:rPr>
          <w:rFonts w:ascii="Palatino Linotype" w:eastAsia="MS Mincho" w:hAnsi="Palatino Linotype" w:cs="Arial"/>
          <w:b/>
          <w:bCs/>
          <w:sz w:val="24"/>
          <w:szCs w:val="24"/>
        </w:rPr>
        <w:t>las últimas emitirán la evaluación técnica o la determinación correspondiente.</w:t>
      </w:r>
      <w:r w:rsidR="002A17EE" w:rsidRPr="00265631">
        <w:rPr>
          <w:rFonts w:ascii="Palatino Linotype" w:eastAsia="MS Mincho" w:hAnsi="Palatino Linotype" w:cs="Arial"/>
          <w:sz w:val="24"/>
          <w:szCs w:val="24"/>
        </w:rPr>
        <w:t xml:space="preserve"> </w:t>
      </w:r>
    </w:p>
    <w:p w:rsidR="003F590D" w:rsidRPr="00265631" w:rsidRDefault="003F590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3F590D" w:rsidRPr="00265631" w:rsidRDefault="002A17E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Realizadas las evaluaciones técnicas de las unidades administrativas, éstas serán remitidas a la Comisión a través de la Secretaría Técnica, la que procederá a elaborar el DUF o la determinación correspondiente. </w:t>
      </w:r>
    </w:p>
    <w:p w:rsidR="002A17EE" w:rsidRPr="00265631" w:rsidRDefault="002A17EE"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3F590D" w:rsidRPr="00265631" w:rsidRDefault="002A17E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De lo anterior se colige que;</w:t>
      </w:r>
    </w:p>
    <w:p w:rsidR="002A17EE" w:rsidRPr="00265631" w:rsidRDefault="002A17EE" w:rsidP="00265631">
      <w:pPr>
        <w:pStyle w:val="Prrafodelista"/>
        <w:tabs>
          <w:tab w:val="left" w:pos="0"/>
          <w:tab w:val="left" w:pos="426"/>
        </w:tabs>
        <w:spacing w:after="0" w:line="360" w:lineRule="auto"/>
        <w:ind w:left="360" w:right="49"/>
        <w:jc w:val="both"/>
        <w:rPr>
          <w:rFonts w:ascii="Palatino Linotype" w:eastAsia="MS Mincho" w:hAnsi="Palatino Linotype" w:cs="Arial"/>
          <w:sz w:val="24"/>
          <w:szCs w:val="24"/>
        </w:rPr>
      </w:pPr>
    </w:p>
    <w:p w:rsidR="002A17EE" w:rsidRPr="00265631" w:rsidRDefault="002A17EE" w:rsidP="00265631">
      <w:pPr>
        <w:pStyle w:val="Prrafodelista"/>
        <w:numPr>
          <w:ilvl w:val="0"/>
          <w:numId w:val="18"/>
        </w:numPr>
        <w:tabs>
          <w:tab w:val="left" w:pos="0"/>
          <w:tab w:val="left" w:pos="426"/>
        </w:tabs>
        <w:spacing w:after="0" w:line="360" w:lineRule="auto"/>
        <w:ind w:left="993"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El Dictamen Único de Factibilidad es un trámite específico que se iniciará una vez presentados todos y cada uno de los requisitos para su obtención. </w:t>
      </w:r>
    </w:p>
    <w:p w:rsidR="002A17EE" w:rsidRPr="00265631" w:rsidRDefault="002A17EE" w:rsidP="00265631">
      <w:pPr>
        <w:pStyle w:val="Prrafodelista"/>
        <w:numPr>
          <w:ilvl w:val="0"/>
          <w:numId w:val="18"/>
        </w:numPr>
        <w:tabs>
          <w:tab w:val="left" w:pos="0"/>
          <w:tab w:val="left" w:pos="426"/>
        </w:tabs>
        <w:spacing w:after="0" w:line="360" w:lineRule="auto"/>
        <w:ind w:left="993"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Que la Comisión determinará su procedencia y en caso de ser favorable se remitirán a las unidades administrativas para que, una vez presentados los requisitos correspondientes, éstas elaboren las evaluaciones técnicas y;</w:t>
      </w:r>
    </w:p>
    <w:p w:rsidR="002A17EE" w:rsidRPr="00265631" w:rsidRDefault="002A17EE" w:rsidP="00265631">
      <w:pPr>
        <w:pStyle w:val="Prrafodelista"/>
        <w:numPr>
          <w:ilvl w:val="0"/>
          <w:numId w:val="18"/>
        </w:numPr>
        <w:tabs>
          <w:tab w:val="left" w:pos="0"/>
          <w:tab w:val="left" w:pos="426"/>
        </w:tabs>
        <w:spacing w:after="0" w:line="360" w:lineRule="auto"/>
        <w:ind w:left="993"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Una vez remitidas las evaluaciones técnicas, la Secretaría Técnica de la Comisión procederá a la elaboración del Dictamen Único </w:t>
      </w:r>
      <w:r w:rsidR="00BC2409" w:rsidRPr="00265631">
        <w:rPr>
          <w:rFonts w:ascii="Palatino Linotype" w:eastAsia="MS Mincho" w:hAnsi="Palatino Linotype" w:cs="Arial"/>
          <w:b/>
          <w:bCs/>
          <w:sz w:val="24"/>
          <w:szCs w:val="24"/>
        </w:rPr>
        <w:t xml:space="preserve">de Factibilidad o la determinación correspondiente. </w:t>
      </w:r>
    </w:p>
    <w:p w:rsidR="003F590D" w:rsidRPr="00265631" w:rsidRDefault="003F590D" w:rsidP="00265631">
      <w:pPr>
        <w:tabs>
          <w:tab w:val="left" w:pos="426"/>
          <w:tab w:val="left" w:pos="567"/>
        </w:tabs>
        <w:spacing w:after="0" w:line="360" w:lineRule="auto"/>
        <w:ind w:right="567"/>
        <w:contextualSpacing/>
        <w:jc w:val="both"/>
        <w:rPr>
          <w:rFonts w:ascii="Palatino Linotype" w:eastAsia="MS Mincho" w:hAnsi="Palatino Linotype" w:cs="Arial"/>
          <w:sz w:val="24"/>
          <w:szCs w:val="24"/>
        </w:rPr>
      </w:pPr>
    </w:p>
    <w:p w:rsidR="00F226A6" w:rsidRPr="00265631" w:rsidRDefault="0046417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No obstante lo anterior, de acuerdo con la Ley Orgánica Municipal del Estado de México, en su artículo 31 fracción XXIV </w:t>
      </w:r>
      <w:proofErr w:type="spellStart"/>
      <w:r w:rsidRPr="00265631">
        <w:rPr>
          <w:rFonts w:ascii="Palatino Linotype" w:eastAsia="MS Mincho" w:hAnsi="Palatino Linotype" w:cs="Arial"/>
          <w:sz w:val="24"/>
          <w:szCs w:val="24"/>
        </w:rPr>
        <w:t>Q</w:t>
      </w:r>
      <w:r w:rsidR="007A7E33" w:rsidRPr="00265631">
        <w:rPr>
          <w:rFonts w:ascii="Palatino Linotype" w:eastAsia="MS Mincho" w:hAnsi="Palatino Linotype" w:cs="Arial"/>
          <w:sz w:val="24"/>
          <w:szCs w:val="24"/>
        </w:rPr>
        <w:t>uinques</w:t>
      </w:r>
      <w:proofErr w:type="spellEnd"/>
      <w:r w:rsidRPr="00265631">
        <w:rPr>
          <w:rFonts w:ascii="Palatino Linotype" w:eastAsia="MS Mincho" w:hAnsi="Palatino Linotype" w:cs="Arial"/>
          <w:sz w:val="24"/>
          <w:szCs w:val="24"/>
        </w:rPr>
        <w:t xml:space="preserve"> señala que son atribuciones de los ayuntamientos el de; </w:t>
      </w:r>
    </w:p>
    <w:p w:rsidR="00464173" w:rsidRPr="00265631" w:rsidRDefault="0046417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64173" w:rsidRPr="00265631" w:rsidRDefault="00464173" w:rsidP="00265631">
      <w:pPr>
        <w:tabs>
          <w:tab w:val="left" w:pos="0"/>
          <w:tab w:val="left" w:pos="426"/>
        </w:tabs>
        <w:spacing w:after="0" w:line="360" w:lineRule="auto"/>
        <w:ind w:right="49"/>
        <w:contextualSpacing/>
        <w:jc w:val="center"/>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Ley Orgánica Municipal del Estado de México</w:t>
      </w:r>
    </w:p>
    <w:p w:rsidR="00464173" w:rsidRPr="00265631" w:rsidRDefault="00464173" w:rsidP="00265631">
      <w:pPr>
        <w:tabs>
          <w:tab w:val="left" w:pos="0"/>
          <w:tab w:val="left" w:pos="426"/>
        </w:tabs>
        <w:spacing w:after="0" w:line="360" w:lineRule="auto"/>
        <w:ind w:right="49"/>
        <w:contextualSpacing/>
        <w:jc w:val="center"/>
        <w:rPr>
          <w:rFonts w:ascii="Palatino Linotype" w:eastAsia="MS Mincho" w:hAnsi="Palatino Linotype" w:cs="Arial"/>
          <w:b/>
          <w:bCs/>
          <w:sz w:val="24"/>
          <w:szCs w:val="24"/>
        </w:rPr>
      </w:pPr>
    </w:p>
    <w:p w:rsidR="00464173" w:rsidRPr="00265631" w:rsidRDefault="007A7E33" w:rsidP="00265631">
      <w:pPr>
        <w:tabs>
          <w:tab w:val="left" w:pos="426"/>
          <w:tab w:val="left" w:pos="851"/>
          <w:tab w:val="left" w:pos="993"/>
        </w:tabs>
        <w:spacing w:after="0" w:line="360" w:lineRule="auto"/>
        <w:ind w:left="567" w:right="567"/>
        <w:contextualSpacing/>
        <w:jc w:val="center"/>
        <w:rPr>
          <w:rFonts w:ascii="Palatino Linotype" w:hAnsi="Palatino Linotype"/>
          <w:b/>
          <w:bCs/>
          <w:sz w:val="24"/>
          <w:szCs w:val="24"/>
        </w:rPr>
      </w:pPr>
      <w:r w:rsidRPr="00265631">
        <w:rPr>
          <w:rFonts w:ascii="Palatino Linotype" w:hAnsi="Palatino Linotype"/>
          <w:b/>
          <w:bCs/>
          <w:sz w:val="24"/>
          <w:szCs w:val="24"/>
        </w:rPr>
        <w:t>Atribuciones de los Ayuntamientos</w:t>
      </w:r>
    </w:p>
    <w:p w:rsidR="00464173" w:rsidRPr="00265631" w:rsidRDefault="00464173" w:rsidP="00265631">
      <w:pPr>
        <w:tabs>
          <w:tab w:val="left" w:pos="426"/>
          <w:tab w:val="left" w:pos="851"/>
          <w:tab w:val="left" w:pos="993"/>
        </w:tabs>
        <w:spacing w:after="0" w:line="360" w:lineRule="auto"/>
        <w:ind w:left="567" w:right="567"/>
        <w:contextualSpacing/>
        <w:jc w:val="both"/>
        <w:rPr>
          <w:rFonts w:ascii="Palatino Linotype" w:hAnsi="Palatino Linotype"/>
          <w:sz w:val="24"/>
          <w:szCs w:val="24"/>
        </w:rPr>
      </w:pPr>
    </w:p>
    <w:p w:rsidR="00464173" w:rsidRPr="00265631" w:rsidRDefault="00464173" w:rsidP="00265631">
      <w:pPr>
        <w:tabs>
          <w:tab w:val="left" w:pos="426"/>
          <w:tab w:val="left" w:pos="851"/>
          <w:tab w:val="left" w:pos="993"/>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Artículo 31.-</w:t>
      </w:r>
      <w:r w:rsidRPr="00265631">
        <w:rPr>
          <w:rFonts w:ascii="Palatino Linotype" w:hAnsi="Palatino Linotype"/>
          <w:sz w:val="24"/>
          <w:szCs w:val="24"/>
        </w:rPr>
        <w:t xml:space="preserve"> Son atribuciones de los ayuntamientos: […]</w:t>
      </w:r>
    </w:p>
    <w:p w:rsidR="00464173" w:rsidRPr="00265631" w:rsidRDefault="0046417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A7E33" w:rsidRPr="00265631" w:rsidRDefault="007A7E33" w:rsidP="00265631">
      <w:pPr>
        <w:tabs>
          <w:tab w:val="left" w:pos="426"/>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XXIV. </w:t>
      </w:r>
      <w:proofErr w:type="spellStart"/>
      <w:r w:rsidRPr="00265631">
        <w:rPr>
          <w:rFonts w:ascii="Palatino Linotype" w:hAnsi="Palatino Linotype"/>
          <w:sz w:val="24"/>
          <w:szCs w:val="24"/>
        </w:rPr>
        <w:t>Quinques</w:t>
      </w:r>
      <w:proofErr w:type="spellEnd"/>
      <w:r w:rsidRPr="00265631">
        <w:rPr>
          <w:rFonts w:ascii="Palatino Linotype" w:hAnsi="Palatino Linotype"/>
          <w:sz w:val="24"/>
          <w:szCs w:val="24"/>
        </w:rPr>
        <w:t xml:space="preserve">. </w:t>
      </w:r>
      <w:r w:rsidRPr="00265631">
        <w:rPr>
          <w:rFonts w:ascii="Palatino Linotype" w:hAnsi="Palatino Linotype"/>
          <w:b/>
          <w:bCs/>
          <w:sz w:val="24"/>
          <w:szCs w:val="24"/>
        </w:rPr>
        <w:t>Otorgar licencia de funcionamiento, previa presentación del Dictamen Único de Factibilidad</w:t>
      </w:r>
      <w:r w:rsidRPr="00265631">
        <w:rPr>
          <w:rFonts w:ascii="Palatino Linotype" w:hAnsi="Palatino Linotype"/>
          <w:sz w:val="24"/>
          <w:szCs w:val="24"/>
        </w:rPr>
        <w:t>, a las unidades económicas que tengan como actividad complementaria o principal la venta de bebidas alcohólicas. Esta licencia tendrá una vigencia de cinco años y deberá ser refrendada de manera anual, con independencia de que puedan ser sujetos de visitas de verificación para constatar el cumplimiento de las disposiciones jurídicas aplicables. […]</w:t>
      </w:r>
    </w:p>
    <w:p w:rsidR="007A7E33" w:rsidRPr="00265631" w:rsidRDefault="007A7E33" w:rsidP="00265631">
      <w:pPr>
        <w:tabs>
          <w:tab w:val="left" w:pos="426"/>
        </w:tabs>
        <w:spacing w:after="0" w:line="360" w:lineRule="auto"/>
        <w:ind w:left="567" w:right="567"/>
        <w:contextualSpacing/>
        <w:jc w:val="both"/>
        <w:rPr>
          <w:rFonts w:ascii="Palatino Linotype" w:hAnsi="Palatino Linotype"/>
          <w:sz w:val="24"/>
          <w:szCs w:val="24"/>
        </w:rPr>
      </w:pPr>
    </w:p>
    <w:p w:rsidR="007A7E33" w:rsidRPr="00265631" w:rsidRDefault="007A7E3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Asimismo, la fracción XIII </w:t>
      </w:r>
      <w:proofErr w:type="spellStart"/>
      <w:r w:rsidRPr="00265631">
        <w:rPr>
          <w:rFonts w:ascii="Palatino Linotype" w:eastAsia="MS Mincho" w:hAnsi="Palatino Linotype" w:cs="Arial"/>
          <w:sz w:val="24"/>
          <w:szCs w:val="24"/>
        </w:rPr>
        <w:t>Quárter</w:t>
      </w:r>
      <w:proofErr w:type="spellEnd"/>
      <w:r w:rsidRPr="00265631">
        <w:rPr>
          <w:rFonts w:ascii="Palatino Linotype" w:eastAsia="MS Mincho" w:hAnsi="Palatino Linotype" w:cs="Arial"/>
          <w:sz w:val="24"/>
          <w:szCs w:val="24"/>
        </w:rPr>
        <w:t xml:space="preserve"> del artículo 48 del referido dispositivo legal establece que; El presidente municipal tiene las siguientes atribuciones;</w:t>
      </w:r>
    </w:p>
    <w:p w:rsidR="007A7E33" w:rsidRPr="00265631" w:rsidRDefault="007A7E3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A7E33" w:rsidRPr="00265631" w:rsidRDefault="007A7E33" w:rsidP="00265631">
      <w:pPr>
        <w:tabs>
          <w:tab w:val="left" w:pos="0"/>
          <w:tab w:val="left" w:pos="426"/>
        </w:tabs>
        <w:spacing w:after="0" w:line="360" w:lineRule="auto"/>
        <w:ind w:right="49"/>
        <w:contextualSpacing/>
        <w:jc w:val="center"/>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Ley Orgánica Municipal del Estado de México</w:t>
      </w:r>
    </w:p>
    <w:p w:rsidR="007A7E33" w:rsidRPr="00265631" w:rsidRDefault="007A7E33" w:rsidP="00265631">
      <w:pPr>
        <w:tabs>
          <w:tab w:val="left" w:pos="426"/>
          <w:tab w:val="left" w:pos="8222"/>
        </w:tabs>
        <w:spacing w:after="0" w:line="360" w:lineRule="auto"/>
        <w:ind w:left="567" w:right="567"/>
        <w:contextualSpacing/>
        <w:jc w:val="center"/>
        <w:rPr>
          <w:rFonts w:ascii="Palatino Linotype" w:hAnsi="Palatino Linotype"/>
          <w:b/>
          <w:bCs/>
          <w:sz w:val="24"/>
          <w:szCs w:val="24"/>
        </w:rPr>
      </w:pPr>
      <w:r w:rsidRPr="00265631">
        <w:rPr>
          <w:rFonts w:ascii="Palatino Linotype" w:hAnsi="Palatino Linotype"/>
          <w:b/>
          <w:bCs/>
          <w:sz w:val="24"/>
          <w:szCs w:val="24"/>
        </w:rPr>
        <w:t>De los Presidentes Municipales</w:t>
      </w:r>
    </w:p>
    <w:p w:rsidR="007A7E33" w:rsidRPr="00265631" w:rsidRDefault="007A7E33" w:rsidP="00265631">
      <w:pPr>
        <w:tabs>
          <w:tab w:val="left" w:pos="426"/>
          <w:tab w:val="left" w:pos="8222"/>
        </w:tabs>
        <w:spacing w:after="0" w:line="360" w:lineRule="auto"/>
        <w:ind w:left="567" w:right="567"/>
        <w:contextualSpacing/>
        <w:jc w:val="center"/>
        <w:rPr>
          <w:rFonts w:ascii="Palatino Linotype" w:hAnsi="Palatino Linotype"/>
          <w:b/>
          <w:bCs/>
          <w:sz w:val="24"/>
          <w:szCs w:val="24"/>
        </w:rPr>
      </w:pP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Artículo 48.-</w:t>
      </w:r>
      <w:r w:rsidRPr="00265631">
        <w:rPr>
          <w:rFonts w:ascii="Palatino Linotype" w:hAnsi="Palatino Linotype"/>
          <w:sz w:val="24"/>
          <w:szCs w:val="24"/>
        </w:rPr>
        <w:t xml:space="preserve"> El presidente municipal tiene las siguientes atribuciones:</w:t>
      </w: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w:t>
      </w: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XIII </w:t>
      </w:r>
      <w:proofErr w:type="spellStart"/>
      <w:r w:rsidRPr="00265631">
        <w:rPr>
          <w:rFonts w:ascii="Palatino Linotype" w:hAnsi="Palatino Linotype"/>
          <w:sz w:val="24"/>
          <w:szCs w:val="24"/>
        </w:rPr>
        <w:t>Quáter</w:t>
      </w:r>
      <w:proofErr w:type="spellEnd"/>
      <w:r w:rsidRPr="00265631">
        <w:rPr>
          <w:rFonts w:ascii="Palatino Linotype" w:hAnsi="Palatino Linotype"/>
          <w:sz w:val="24"/>
          <w:szCs w:val="24"/>
        </w:rPr>
        <w:t xml:space="preserve">. </w:t>
      </w:r>
      <w:r w:rsidRPr="00265631">
        <w:rPr>
          <w:rFonts w:ascii="Palatino Linotype" w:hAnsi="Palatino Linotype"/>
          <w:b/>
          <w:bCs/>
          <w:sz w:val="24"/>
          <w:szCs w:val="24"/>
        </w:rPr>
        <w:t>Expedir o negar licencias o permisos de funcionamiento</w:t>
      </w:r>
      <w:r w:rsidRPr="00265631">
        <w:rPr>
          <w:rFonts w:ascii="Palatino Linotype" w:hAnsi="Palatino Linotype"/>
          <w:sz w:val="24"/>
          <w:szCs w:val="24"/>
        </w:rPr>
        <w:t xml:space="preserve">, previo acuerdo del ayuntamiento, para las unidades económicas, empresas, parques y desarrollos industriales, urbanos y de servicios dando respuesta en un plazo que no exceda de tres días hábiles posteriores a la fecha de la resolución del ayuntamiento y </w:t>
      </w:r>
      <w:r w:rsidRPr="00265631">
        <w:rPr>
          <w:rFonts w:ascii="Palatino Linotype" w:hAnsi="Palatino Linotype"/>
          <w:b/>
          <w:bCs/>
          <w:sz w:val="24"/>
          <w:szCs w:val="24"/>
        </w:rPr>
        <w:t xml:space="preserve">previa presentación del Dictamen Único de Factibilidad, en su caso. </w:t>
      </w: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p>
    <w:p w:rsidR="00265631"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Al efecto, deberá someter a la consideración del Ayuntamiento la autorización de licencias o permisos de funcionamiento en un plazo no mayor a diez días hábiles, contados a partir de que la persona física o jurídica colectiva interesada presente el Dictamen Único de Factibilidad que, de conformidad con la legislación y normatividad aplicables, se requiera. </w:t>
      </w: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La autoridad municipal deberá iniciar los trámites relativos con las autorizaciones, licencias o permisos, a partir de que el solicitante presente el oficio de procedencia jurídica emitido por la Comisión de Factibilidad del Estado de México.</w:t>
      </w: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sz w:val="24"/>
          <w:szCs w:val="24"/>
        </w:rPr>
      </w:pPr>
    </w:p>
    <w:p w:rsidR="007A7E33" w:rsidRPr="00265631" w:rsidRDefault="007A7E33" w:rsidP="00265631">
      <w:pPr>
        <w:tabs>
          <w:tab w:val="left" w:pos="426"/>
          <w:tab w:val="left" w:pos="822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Una vez que el solicitante entregue el Dictamen Único de Factibilidad, de ser procedente, podrá obtener la autorización, licencia o permiso correspondiente.</w:t>
      </w:r>
    </w:p>
    <w:p w:rsidR="007A7E33" w:rsidRPr="00265631" w:rsidRDefault="007A7E33" w:rsidP="00265631">
      <w:pPr>
        <w:tabs>
          <w:tab w:val="left" w:pos="426"/>
          <w:tab w:val="left" w:pos="8222"/>
        </w:tabs>
        <w:spacing w:after="0" w:line="360" w:lineRule="auto"/>
        <w:ind w:right="567"/>
        <w:contextualSpacing/>
        <w:jc w:val="both"/>
        <w:rPr>
          <w:rFonts w:ascii="Palatino Linotype" w:eastAsia="MS Mincho" w:hAnsi="Palatino Linotype" w:cs="Arial"/>
          <w:b/>
          <w:bCs/>
          <w:sz w:val="24"/>
          <w:szCs w:val="24"/>
        </w:rPr>
      </w:pPr>
    </w:p>
    <w:p w:rsidR="007A7E33" w:rsidRPr="00265631" w:rsidRDefault="007A7E3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De lo anterior se advierte que;</w:t>
      </w:r>
    </w:p>
    <w:p w:rsidR="007A7E33" w:rsidRPr="00265631" w:rsidRDefault="007A7E3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A7E33" w:rsidRPr="00265631" w:rsidRDefault="007A7E33" w:rsidP="00265631">
      <w:pPr>
        <w:pStyle w:val="Prrafodelista"/>
        <w:numPr>
          <w:ilvl w:val="0"/>
          <w:numId w:val="19"/>
        </w:numPr>
        <w:tabs>
          <w:tab w:val="left" w:pos="0"/>
          <w:tab w:val="left" w:pos="426"/>
        </w:tabs>
        <w:spacing w:after="0" w:line="360" w:lineRule="auto"/>
        <w:ind w:right="49"/>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Los Ayuntamientos expedirán las autorizaciones, licencias o permisos de funcionamiento </w:t>
      </w:r>
      <w:r w:rsidRPr="00265631">
        <w:rPr>
          <w:rFonts w:ascii="Palatino Linotype" w:hAnsi="Palatino Linotype"/>
          <w:b/>
          <w:bCs/>
          <w:sz w:val="24"/>
          <w:szCs w:val="24"/>
        </w:rPr>
        <w:t>a las unidades económicas, empresas, parques y desarrollos industriales, urbanos y de servicios y;</w:t>
      </w:r>
    </w:p>
    <w:p w:rsidR="007A7E33" w:rsidRPr="00265631" w:rsidRDefault="007A7E33" w:rsidP="00265631">
      <w:pPr>
        <w:pStyle w:val="Prrafodelista"/>
        <w:numPr>
          <w:ilvl w:val="0"/>
          <w:numId w:val="19"/>
        </w:numPr>
        <w:tabs>
          <w:tab w:val="left" w:pos="0"/>
          <w:tab w:val="left" w:pos="426"/>
        </w:tabs>
        <w:spacing w:after="0" w:line="360" w:lineRule="auto"/>
        <w:ind w:right="49"/>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Para la obtención de las autorizaciones, licencias o permisos correspondientes, los interesados deberán entregar el Dictamen Único de Factibilidad. </w:t>
      </w:r>
    </w:p>
    <w:p w:rsidR="007A7E33" w:rsidRPr="00265631" w:rsidRDefault="007A7E33" w:rsidP="00265631">
      <w:pPr>
        <w:pStyle w:val="Prrafodelista"/>
        <w:tabs>
          <w:tab w:val="left" w:pos="0"/>
          <w:tab w:val="left" w:pos="426"/>
        </w:tabs>
        <w:spacing w:after="0" w:line="360" w:lineRule="auto"/>
        <w:ind w:right="49"/>
        <w:jc w:val="both"/>
        <w:rPr>
          <w:rFonts w:ascii="Palatino Linotype" w:eastAsia="MS Mincho" w:hAnsi="Palatino Linotype" w:cs="Arial"/>
          <w:b/>
          <w:bCs/>
          <w:sz w:val="24"/>
          <w:szCs w:val="24"/>
        </w:rPr>
      </w:pPr>
    </w:p>
    <w:p w:rsidR="007A7E33" w:rsidRPr="00265631" w:rsidRDefault="007A7E3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lo que, en </w:t>
      </w:r>
      <w:r w:rsidR="000F2441" w:rsidRPr="00265631">
        <w:rPr>
          <w:rFonts w:ascii="Palatino Linotype" w:eastAsia="MS Mincho" w:hAnsi="Palatino Linotype" w:cs="Arial"/>
          <w:sz w:val="24"/>
          <w:szCs w:val="24"/>
        </w:rPr>
        <w:t>consecuencia,</w:t>
      </w:r>
      <w:r w:rsidRPr="00265631">
        <w:rPr>
          <w:rFonts w:ascii="Palatino Linotype" w:eastAsia="MS Mincho" w:hAnsi="Palatino Linotype" w:cs="Arial"/>
          <w:sz w:val="24"/>
          <w:szCs w:val="24"/>
        </w:rPr>
        <w:t xml:space="preserve"> se concluye </w:t>
      </w:r>
      <w:r w:rsidR="000F2441" w:rsidRPr="00265631">
        <w:rPr>
          <w:rFonts w:ascii="Palatino Linotype" w:eastAsia="MS Mincho" w:hAnsi="Palatino Linotype" w:cs="Arial"/>
          <w:sz w:val="24"/>
          <w:szCs w:val="24"/>
        </w:rPr>
        <w:t>que,</w:t>
      </w:r>
      <w:r w:rsidRPr="00265631">
        <w:rPr>
          <w:rFonts w:ascii="Palatino Linotype" w:eastAsia="MS Mincho" w:hAnsi="Palatino Linotype" w:cs="Arial"/>
          <w:sz w:val="24"/>
          <w:szCs w:val="24"/>
        </w:rPr>
        <w:t xml:space="preserve"> si bien </w:t>
      </w:r>
      <w:r w:rsidR="000F2441" w:rsidRPr="00265631">
        <w:rPr>
          <w:rFonts w:ascii="Palatino Linotype" w:eastAsia="MS Mincho" w:hAnsi="Palatino Linotype" w:cs="Arial"/>
          <w:sz w:val="24"/>
          <w:szCs w:val="24"/>
        </w:rPr>
        <w:t xml:space="preserve">el Ayuntamiento de Nicolás Romero </w:t>
      </w:r>
      <w:r w:rsidR="000F2441" w:rsidRPr="00265631">
        <w:rPr>
          <w:rFonts w:ascii="Palatino Linotype" w:eastAsia="MS Mincho" w:hAnsi="Palatino Linotype" w:cs="Arial"/>
          <w:b/>
          <w:bCs/>
          <w:sz w:val="24"/>
          <w:szCs w:val="24"/>
        </w:rPr>
        <w:t>no expide el Dictamen Único de Factibilidad</w:t>
      </w:r>
      <w:r w:rsidR="000F2441" w:rsidRPr="00265631">
        <w:rPr>
          <w:rFonts w:ascii="Palatino Linotype" w:eastAsia="MS Mincho" w:hAnsi="Palatino Linotype" w:cs="Arial"/>
          <w:sz w:val="24"/>
          <w:szCs w:val="24"/>
        </w:rPr>
        <w:t xml:space="preserve">, ya que esto le corresponde a la Comisión Estatal de Factibilidad, </w:t>
      </w:r>
      <w:r w:rsidR="000F2441" w:rsidRPr="00265631">
        <w:rPr>
          <w:rFonts w:ascii="Palatino Linotype" w:eastAsia="MS Mincho" w:hAnsi="Palatino Linotype" w:cs="Arial"/>
          <w:b/>
          <w:bCs/>
          <w:sz w:val="24"/>
          <w:szCs w:val="24"/>
        </w:rPr>
        <w:t>si posee el mismo</w:t>
      </w:r>
      <w:r w:rsidR="000F2441" w:rsidRPr="00265631">
        <w:rPr>
          <w:rFonts w:ascii="Palatino Linotype" w:eastAsia="MS Mincho" w:hAnsi="Palatino Linotype" w:cs="Arial"/>
          <w:sz w:val="24"/>
          <w:szCs w:val="24"/>
        </w:rPr>
        <w:t xml:space="preserve">, ya que para que previo a la expedición de una autorización, licencia o permiso de funcionamiento, el interesado le entregará el DUF. </w:t>
      </w:r>
    </w:p>
    <w:p w:rsidR="0012566C" w:rsidRPr="00265631" w:rsidRDefault="0012566C" w:rsidP="00265631">
      <w:pPr>
        <w:keepNext/>
        <w:keepLines/>
        <w:spacing w:after="0" w:line="360" w:lineRule="auto"/>
        <w:outlineLvl w:val="0"/>
        <w:rPr>
          <w:rFonts w:ascii="Palatino Linotype" w:hAnsi="Palatino Linotype"/>
          <w:b/>
          <w:sz w:val="24"/>
          <w:szCs w:val="24"/>
        </w:rPr>
      </w:pPr>
      <w:bookmarkStart w:id="39" w:name="_Toc21701093"/>
      <w:r w:rsidRPr="00265631">
        <w:rPr>
          <w:rFonts w:ascii="Palatino Linotype" w:eastAsia="Times New Roman" w:hAnsi="Palatino Linotype" w:cstheme="majorBidi"/>
          <w:b/>
          <w:sz w:val="24"/>
          <w:szCs w:val="24"/>
          <w:lang w:val="es-ES_tradnl" w:eastAsia="es-ES"/>
        </w:rPr>
        <w:t xml:space="preserve">III. </w:t>
      </w:r>
      <w:r w:rsidRPr="00265631">
        <w:rPr>
          <w:rFonts w:ascii="Palatino Linotype" w:hAnsi="Palatino Linotype"/>
          <w:b/>
          <w:sz w:val="24"/>
          <w:szCs w:val="24"/>
        </w:rPr>
        <w:t>D</w:t>
      </w:r>
      <w:r w:rsidR="00B10E49" w:rsidRPr="00265631">
        <w:rPr>
          <w:rFonts w:ascii="Palatino Linotype" w:hAnsi="Palatino Linotype"/>
          <w:b/>
          <w:sz w:val="24"/>
          <w:szCs w:val="24"/>
        </w:rPr>
        <w:t>el Dictamen de Impacto Regional.</w:t>
      </w:r>
      <w:bookmarkEnd w:id="39"/>
      <w:r w:rsidR="00B10E49" w:rsidRPr="00265631">
        <w:rPr>
          <w:rFonts w:ascii="Palatino Linotype" w:hAnsi="Palatino Linotype"/>
          <w:b/>
          <w:sz w:val="24"/>
          <w:szCs w:val="24"/>
        </w:rPr>
        <w:t xml:space="preserve"> </w:t>
      </w:r>
      <w:r w:rsidRPr="00265631">
        <w:rPr>
          <w:rFonts w:ascii="Palatino Linotype" w:hAnsi="Palatino Linotype"/>
          <w:b/>
          <w:sz w:val="24"/>
          <w:szCs w:val="24"/>
        </w:rPr>
        <w:t xml:space="preserve"> </w:t>
      </w:r>
    </w:p>
    <w:p w:rsidR="000F2441" w:rsidRPr="00265631" w:rsidRDefault="000F244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C7B94" w:rsidRPr="00265631" w:rsidRDefault="004C7B9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El dictamen de impacto regional es el instrumento legal, por el cual se establece un tratamiento normativo integral, para el uso o aprovechamiento de un determinado predio o inmueble que por sus características produce un impacto significativo sobre la infraestructura y equipamiento urbanos y servicios públicos previstos para una región o para un centro de población, en relación con su entorno regional, a fin de prevenir y mitigar, los efectos negativos que pudiera ocasional. </w:t>
      </w:r>
    </w:p>
    <w:p w:rsidR="004C7B94" w:rsidRPr="00265631" w:rsidRDefault="004C7B9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06374" w:rsidRPr="00265631" w:rsidRDefault="0060637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b/>
          <w:bCs/>
          <w:sz w:val="24"/>
          <w:szCs w:val="24"/>
        </w:rPr>
      </w:pPr>
      <w:r w:rsidRPr="00265631">
        <w:rPr>
          <w:rFonts w:ascii="Palatino Linotype" w:eastAsia="MS Mincho" w:hAnsi="Palatino Linotype" w:cs="Arial"/>
          <w:sz w:val="24"/>
          <w:szCs w:val="24"/>
        </w:rPr>
        <w:t>De acuerdo con lo establecido por el artículo 138 del Reglamento del Libro Quinto del Código Administrativo del Estado de México, se señala que la Secretaría emitirá el dictamen de impacto regional en un placo no mayor a cinco días hábiles, contados a partir de la recepción de la solicitud acompañada de los documentos correspondientes,</w:t>
      </w:r>
      <w:r w:rsidR="00642319" w:rsidRPr="00265631">
        <w:rPr>
          <w:rFonts w:ascii="Palatino Linotype" w:eastAsia="MS Mincho" w:hAnsi="Palatino Linotype" w:cs="Arial"/>
          <w:b/>
          <w:bCs/>
          <w:sz w:val="24"/>
          <w:szCs w:val="24"/>
        </w:rPr>
        <w:t xml:space="preserve"> NO requiriendo el dictamen de impacto regional para conjuntos urbanos. </w:t>
      </w:r>
    </w:p>
    <w:p w:rsidR="00606374" w:rsidRPr="00265631" w:rsidRDefault="0060637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C7B94" w:rsidRPr="00265631" w:rsidRDefault="004C7B9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Cabe precisar que el Dictamen de Impacto Regional se requerirá previamente para la obtención de;</w:t>
      </w:r>
    </w:p>
    <w:p w:rsidR="004C7B94" w:rsidRPr="00265631" w:rsidRDefault="004C7B9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C7B94" w:rsidRPr="00265631" w:rsidRDefault="004C7B94" w:rsidP="00265631">
      <w:pPr>
        <w:pStyle w:val="Prrafodelista"/>
        <w:numPr>
          <w:ilvl w:val="0"/>
          <w:numId w:val="27"/>
        </w:numPr>
        <w:tabs>
          <w:tab w:val="left" w:pos="426"/>
        </w:tabs>
        <w:spacing w:after="0" w:line="360" w:lineRule="auto"/>
        <w:ind w:left="993"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Licencia de uso del suelo, tratándose de usos de impacto regional a que se refiera el artículo 5.61 del Código Administrativo del Estado de México;</w:t>
      </w:r>
    </w:p>
    <w:p w:rsidR="004C7B94" w:rsidRPr="00265631" w:rsidRDefault="004C7B94" w:rsidP="00265631">
      <w:pPr>
        <w:pStyle w:val="Prrafodelista"/>
        <w:numPr>
          <w:ilvl w:val="0"/>
          <w:numId w:val="27"/>
        </w:numPr>
        <w:tabs>
          <w:tab w:val="left" w:pos="426"/>
        </w:tabs>
        <w:spacing w:after="0" w:line="360" w:lineRule="auto"/>
        <w:ind w:left="993" w:right="567"/>
        <w:jc w:val="both"/>
        <w:rPr>
          <w:rFonts w:ascii="Palatino Linotype" w:eastAsia="MS Mincho" w:hAnsi="Palatino Linotype" w:cs="Arial"/>
          <w:sz w:val="24"/>
          <w:szCs w:val="24"/>
        </w:rPr>
      </w:pPr>
      <w:r w:rsidRPr="00265631">
        <w:rPr>
          <w:rFonts w:ascii="Palatino Linotype" w:eastAsia="MS Mincho" w:hAnsi="Palatino Linotype" w:cs="Arial"/>
          <w:sz w:val="24"/>
          <w:szCs w:val="24"/>
        </w:rPr>
        <w:t>La autorización de cambio de uso del suelo a otro que se determine como compatible, el cambio de la densidad o intensidad de su aprovechamiento o el cambio de la altura máxima de edificación prevista, tratándose de usos de impacto regional según lo establecido en el artículo 5.29 del Código Administrativo del Estado de México;</w:t>
      </w:r>
    </w:p>
    <w:p w:rsidR="004C7B94" w:rsidRPr="00265631" w:rsidRDefault="004C7B94" w:rsidP="00265631">
      <w:pPr>
        <w:pStyle w:val="Prrafodelista"/>
        <w:numPr>
          <w:ilvl w:val="0"/>
          <w:numId w:val="27"/>
        </w:numPr>
        <w:tabs>
          <w:tab w:val="left" w:pos="426"/>
        </w:tabs>
        <w:spacing w:after="0" w:line="360" w:lineRule="auto"/>
        <w:ind w:left="993" w:right="567"/>
        <w:jc w:val="both"/>
        <w:rPr>
          <w:rFonts w:ascii="Palatino Linotype" w:eastAsia="MS Mincho" w:hAnsi="Palatino Linotype" w:cs="Arial"/>
          <w:sz w:val="24"/>
          <w:szCs w:val="24"/>
        </w:rPr>
      </w:pPr>
      <w:r w:rsidRPr="00265631">
        <w:rPr>
          <w:rFonts w:ascii="Palatino Linotype" w:eastAsia="MS Mincho" w:hAnsi="Palatino Linotype" w:cs="Arial"/>
          <w:sz w:val="24"/>
          <w:szCs w:val="24"/>
        </w:rPr>
        <w:t>La autorización de subdivisiones de predios mayores de 6,000 metros cuadrados de superficie que den como resultado 60 viviendas o más de 10 lotes tratándose de otros usos;</w:t>
      </w:r>
    </w:p>
    <w:p w:rsidR="004C7B94" w:rsidRPr="00265631" w:rsidRDefault="004C7B94" w:rsidP="00265631">
      <w:pPr>
        <w:pStyle w:val="Prrafodelista"/>
        <w:numPr>
          <w:ilvl w:val="0"/>
          <w:numId w:val="27"/>
        </w:numPr>
        <w:tabs>
          <w:tab w:val="left" w:pos="426"/>
        </w:tabs>
        <w:spacing w:after="0" w:line="360" w:lineRule="auto"/>
        <w:ind w:left="993" w:right="567"/>
        <w:jc w:val="both"/>
        <w:rPr>
          <w:rFonts w:ascii="Palatino Linotype" w:eastAsia="MS Mincho" w:hAnsi="Palatino Linotype" w:cs="Arial"/>
          <w:sz w:val="24"/>
          <w:szCs w:val="24"/>
        </w:rPr>
      </w:pPr>
      <w:r w:rsidRPr="00265631">
        <w:rPr>
          <w:rFonts w:ascii="Palatino Linotype" w:eastAsia="MS Mincho" w:hAnsi="Palatino Linotype" w:cs="Arial"/>
          <w:sz w:val="24"/>
          <w:szCs w:val="24"/>
        </w:rPr>
        <w:t>La autorización para la explotación de bancos de materiales de construcción.</w:t>
      </w:r>
    </w:p>
    <w:p w:rsidR="004C7B94" w:rsidRPr="00265631" w:rsidRDefault="004C7B9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C7B94" w:rsidRPr="00265631" w:rsidRDefault="004C7B9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Ahora bien, de acuerdo con el Código Administrativo del Estado de México, en su artículo 5.55, </w:t>
      </w:r>
      <w:r w:rsidRPr="00265631">
        <w:rPr>
          <w:rFonts w:ascii="Palatino Linotype" w:eastAsia="MS Mincho" w:hAnsi="Palatino Linotype" w:cs="Arial"/>
          <w:b/>
          <w:bCs/>
          <w:sz w:val="24"/>
          <w:szCs w:val="24"/>
        </w:rPr>
        <w:t>el uso y aprovechamiento con fines urbanos o la edificación en cualquier predio ubicado en la entidad</w:t>
      </w:r>
      <w:r w:rsidRPr="00265631">
        <w:rPr>
          <w:rFonts w:ascii="Palatino Linotype" w:eastAsia="MS Mincho" w:hAnsi="Palatino Linotype" w:cs="Arial"/>
          <w:sz w:val="24"/>
          <w:szCs w:val="24"/>
        </w:rPr>
        <w:t>,</w:t>
      </w:r>
      <w:r w:rsidRPr="00265631">
        <w:rPr>
          <w:rFonts w:ascii="Palatino Linotype" w:eastAsia="MS Mincho" w:hAnsi="Palatino Linotype" w:cs="Arial"/>
          <w:b/>
          <w:bCs/>
          <w:sz w:val="24"/>
          <w:szCs w:val="24"/>
        </w:rPr>
        <w:t xml:space="preserve"> requerirá licencia de uso del suelo. </w:t>
      </w:r>
    </w:p>
    <w:p w:rsidR="00606374" w:rsidRPr="00265631" w:rsidRDefault="0060637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2566C" w:rsidRPr="00265631" w:rsidRDefault="00B10E49"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Para obtener la licencia de uso del suelo, se tiene que cumplir con todos los requisitos establecidos en el Reglamento referido, siendo éstos; </w:t>
      </w:r>
    </w:p>
    <w:p w:rsidR="00B10E49" w:rsidRPr="00265631" w:rsidRDefault="00B10E49"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DEL PROCEDIMIENTO PARA OBTENER LICENCIA DE USO DEL SUELO</w:t>
      </w:r>
      <w:r w:rsidRPr="00265631">
        <w:rPr>
          <w:rFonts w:ascii="Palatino Linotype" w:hAnsi="Palatino Linotype"/>
          <w:sz w:val="24"/>
          <w:szCs w:val="24"/>
        </w:rPr>
        <w:t xml:space="preserve">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ARTÍCULO 133.</w:t>
      </w:r>
      <w:r w:rsidRPr="00265631">
        <w:rPr>
          <w:rFonts w:ascii="Palatino Linotype" w:hAnsi="Palatino Linotype"/>
          <w:sz w:val="24"/>
          <w:szCs w:val="24"/>
        </w:rPr>
        <w:t xml:space="preserve"> El procedimiento para obtener licencia de uso del suelo se sujetará a lo siguiente: </w:t>
      </w:r>
    </w:p>
    <w:p w:rsidR="00B10E49" w:rsidRPr="00265631" w:rsidRDefault="00B10E49" w:rsidP="00265631">
      <w:pPr>
        <w:tabs>
          <w:tab w:val="left" w:pos="426"/>
          <w:tab w:val="left" w:pos="851"/>
        </w:tabs>
        <w:spacing w:after="0" w:line="360" w:lineRule="auto"/>
        <w:ind w:right="567"/>
        <w:contextualSpacing/>
        <w:jc w:val="both"/>
        <w:rPr>
          <w:rFonts w:ascii="Palatino Linotype" w:hAnsi="Palatino Linotype"/>
          <w:sz w:val="24"/>
          <w:szCs w:val="24"/>
        </w:rPr>
      </w:pP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I. El interesado presentará solicitud ante la autoridad competente, en la que señalará lo siguiente: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A). Uso actual y pretendido del suelo.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B). Superficie total del predio.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C). Superficie construida o por construir.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D). Clave catastral, si la hubiere.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E). Localización del inmueble, a través de representación gráfica (croquis).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II. A la solicitud se acompañarán los documentos siguientes:</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A). Título de propiedad inscrito en el Instituto de la Función Registral del Estado de México.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B). En caso de posesión del inmueble o predio, podrá acreditarse con alguno de los documentos siguientes: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1. Contrato de compra-venta, usufructo, comodato o arrendamiento vigente sobre el inmueble.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2. Resolución judicial firme que constituya o declare la propiedad o posesión o cualquier otro derecho real o personal vigente a favor del solicitante sobre el inmueble.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3. Inmatriculación administrativa.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4. Recibo de pago del impuesto sobre traslación de dominio.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5. Acta de entrega de la posesión, en caso de viviendas.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6. Cédula de contratación con el Instituto.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7. En el caso de terrenos ejidales o comunales, certificado parcelario, certificado de derechos agrarios o resolución agraria, cédula de contratación con la Comisión para la Regularización de la Tenencia de la Tierra.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C). Dictamen de impacto regional expedido por la Secretaría, en el caso de usos del suelo de impacto regional a que se refiere el artículo 5.35 del Libro. </w:t>
      </w:r>
    </w:p>
    <w:p w:rsidR="00B10E49"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p>
    <w:p w:rsidR="0012566C" w:rsidRPr="00265631" w:rsidRDefault="00B10E49" w:rsidP="00265631">
      <w:pPr>
        <w:tabs>
          <w:tab w:val="left" w:pos="426"/>
          <w:tab w:val="left" w:pos="851"/>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La autoridad competente expedirá la licencia de uso del suelo dentro de los cinco días siguientes a la presentación de la solicitud y de los documentos que deben acompañarla, previo el pago de los derechos correspondientes, salvo que se solicite la opinión de la Secretaría, cuando no se cuente con Plan de Desarrollo Urbano, en cuyo caso el plazo se extenderá hasta en cinco días más.</w:t>
      </w:r>
    </w:p>
    <w:p w:rsidR="00642319" w:rsidRPr="00265631" w:rsidRDefault="00642319" w:rsidP="00265631">
      <w:pPr>
        <w:tabs>
          <w:tab w:val="left" w:pos="426"/>
          <w:tab w:val="left" w:pos="851"/>
        </w:tabs>
        <w:spacing w:after="0" w:line="360" w:lineRule="auto"/>
        <w:ind w:left="567" w:right="567"/>
        <w:contextualSpacing/>
        <w:jc w:val="both"/>
        <w:rPr>
          <w:rFonts w:ascii="Palatino Linotype" w:hAnsi="Palatino Linotype"/>
          <w:sz w:val="24"/>
          <w:szCs w:val="24"/>
        </w:rPr>
      </w:pPr>
    </w:p>
    <w:p w:rsidR="00606374" w:rsidRPr="00265631" w:rsidRDefault="0060637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lo anterior se obtiene que; </w:t>
      </w:r>
    </w:p>
    <w:p w:rsidR="00606374" w:rsidRPr="00265631" w:rsidRDefault="0060637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06374" w:rsidRPr="00265631" w:rsidRDefault="00606374" w:rsidP="00265631">
      <w:pPr>
        <w:pStyle w:val="Prrafodelista"/>
        <w:numPr>
          <w:ilvl w:val="0"/>
          <w:numId w:val="28"/>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El Dictamen de Impacto Regional es emitido por la Secretaría</w:t>
      </w:r>
    </w:p>
    <w:p w:rsidR="00606374" w:rsidRPr="00265631" w:rsidRDefault="00606374" w:rsidP="00265631">
      <w:pPr>
        <w:pStyle w:val="Prrafodelista"/>
        <w:numPr>
          <w:ilvl w:val="0"/>
          <w:numId w:val="28"/>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Para el uso y aprovechamiento con fines urbanos o la edificación en cualquier predio ubicado en la entidad, requerirá licencia de uso del suelo;</w:t>
      </w:r>
    </w:p>
    <w:p w:rsidR="00606374" w:rsidRPr="00265631" w:rsidRDefault="00606374" w:rsidP="00265631">
      <w:pPr>
        <w:pStyle w:val="Prrafodelista"/>
        <w:numPr>
          <w:ilvl w:val="0"/>
          <w:numId w:val="28"/>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La licencia de uso del suelo, será expedida por autoridades municipales derivado de que se hayan cumplidos diversos requisitos.</w:t>
      </w:r>
    </w:p>
    <w:p w:rsidR="00606374" w:rsidRPr="00265631" w:rsidRDefault="00606374" w:rsidP="00265631">
      <w:pPr>
        <w:pStyle w:val="Prrafodelista"/>
        <w:numPr>
          <w:ilvl w:val="0"/>
          <w:numId w:val="28"/>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Entre los requisitos se encuentra; haber presentado el Dictamen de Impacto Regional.</w:t>
      </w:r>
    </w:p>
    <w:p w:rsidR="00606374" w:rsidRPr="00265631" w:rsidRDefault="00606374" w:rsidP="00265631">
      <w:pPr>
        <w:pStyle w:val="Prrafodelista"/>
        <w:numPr>
          <w:ilvl w:val="0"/>
          <w:numId w:val="28"/>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Por lo que se colige que el Sujeto Obligado tiene la competencia para conocer de este documento, toda vez que forma parte del trámite para la obtención de la licencia de uso del suelo.</w:t>
      </w:r>
    </w:p>
    <w:p w:rsidR="00606374" w:rsidRPr="00265631" w:rsidRDefault="0060637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42319" w:rsidRPr="00265631" w:rsidRDefault="0060637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b/>
          <w:bCs/>
          <w:sz w:val="24"/>
          <w:szCs w:val="24"/>
        </w:rPr>
      </w:pPr>
      <w:r w:rsidRPr="00265631">
        <w:rPr>
          <w:rFonts w:ascii="Palatino Linotype" w:eastAsia="MS Mincho" w:hAnsi="Palatino Linotype" w:cs="Arial"/>
          <w:sz w:val="24"/>
          <w:szCs w:val="24"/>
        </w:rPr>
        <w:t>De tal manera que</w:t>
      </w:r>
      <w:r w:rsidR="000F2441" w:rsidRPr="00265631">
        <w:rPr>
          <w:rFonts w:ascii="Palatino Linotype" w:eastAsia="MS Mincho" w:hAnsi="Palatino Linotype" w:cs="Arial"/>
          <w:sz w:val="24"/>
          <w:szCs w:val="24"/>
        </w:rPr>
        <w:t xml:space="preserve">, esta Ponencia determina que es procedente </w:t>
      </w:r>
      <w:r w:rsidR="000F2441" w:rsidRPr="00265631">
        <w:rPr>
          <w:rFonts w:ascii="Palatino Linotype" w:eastAsia="MS Mincho" w:hAnsi="Palatino Linotype" w:cs="Arial"/>
          <w:b/>
          <w:bCs/>
          <w:sz w:val="24"/>
          <w:szCs w:val="24"/>
        </w:rPr>
        <w:t xml:space="preserve">ORDENAR </w:t>
      </w:r>
      <w:r w:rsidR="000F2441" w:rsidRPr="00265631">
        <w:rPr>
          <w:rFonts w:ascii="Palatino Linotype" w:eastAsia="MS Mincho" w:hAnsi="Palatino Linotype" w:cs="Arial"/>
          <w:sz w:val="24"/>
          <w:szCs w:val="24"/>
        </w:rPr>
        <w:t xml:space="preserve">al </w:t>
      </w:r>
      <w:r w:rsidR="000F2441" w:rsidRPr="00265631">
        <w:rPr>
          <w:rFonts w:ascii="Palatino Linotype" w:eastAsia="MS Mincho" w:hAnsi="Palatino Linotype" w:cs="Arial"/>
          <w:b/>
          <w:bCs/>
          <w:sz w:val="24"/>
          <w:szCs w:val="24"/>
        </w:rPr>
        <w:t xml:space="preserve">Sujeto Obligado </w:t>
      </w:r>
      <w:r w:rsidR="000F2441" w:rsidRPr="00265631">
        <w:rPr>
          <w:rFonts w:ascii="Palatino Linotype" w:eastAsia="MS Mincho" w:hAnsi="Palatino Linotype" w:cs="Arial"/>
          <w:sz w:val="24"/>
          <w:szCs w:val="24"/>
        </w:rPr>
        <w:t xml:space="preserve">que realice una búsqueda exhaustiva y razonable con la finalidad de proporcionar lo requerido en el numeral </w:t>
      </w:r>
      <w:r w:rsidR="00642319" w:rsidRPr="00265631">
        <w:rPr>
          <w:rFonts w:ascii="Palatino Linotype" w:eastAsia="MS Mincho" w:hAnsi="Palatino Linotype" w:cs="Arial"/>
          <w:sz w:val="24"/>
          <w:szCs w:val="24"/>
        </w:rPr>
        <w:t>1), sin embargo, como se señaló en el párrafo 46 de esta resolución; “</w:t>
      </w:r>
      <w:r w:rsidR="00642319" w:rsidRPr="00265631">
        <w:rPr>
          <w:rFonts w:ascii="Palatino Linotype" w:eastAsia="MS Mincho" w:hAnsi="Palatino Linotype" w:cs="Arial"/>
          <w:b/>
          <w:bCs/>
          <w:sz w:val="24"/>
          <w:szCs w:val="24"/>
        </w:rPr>
        <w:t>El Dictamen de Impacto Regional no se requerirá para conjuntos urbanos”</w:t>
      </w:r>
      <w:r w:rsidR="00642319" w:rsidRPr="00265631">
        <w:rPr>
          <w:rFonts w:ascii="Palatino Linotype" w:eastAsia="MS Mincho" w:hAnsi="Palatino Linotype" w:cs="Arial"/>
          <w:sz w:val="24"/>
          <w:szCs w:val="24"/>
        </w:rPr>
        <w:t xml:space="preserve">, de tal manera, que si no fue entregado por el solicitante con la finalidad de obtener la licencia de uso del suelo, el </w:t>
      </w:r>
      <w:r w:rsidR="00642319" w:rsidRPr="00265631">
        <w:rPr>
          <w:rFonts w:ascii="Palatino Linotype" w:eastAsia="MS Mincho" w:hAnsi="Palatino Linotype" w:cs="Arial"/>
          <w:b/>
          <w:bCs/>
          <w:sz w:val="24"/>
          <w:szCs w:val="24"/>
        </w:rPr>
        <w:t xml:space="preserve">Sujeto Obligado </w:t>
      </w:r>
      <w:r w:rsidR="00642319" w:rsidRPr="00265631">
        <w:rPr>
          <w:rFonts w:ascii="Palatino Linotype" w:eastAsia="MS Mincho" w:hAnsi="Palatino Linotype" w:cs="Arial"/>
          <w:sz w:val="24"/>
          <w:szCs w:val="24"/>
        </w:rPr>
        <w:t xml:space="preserve">deberá manifestar de manera clara y precisa las razones por las cuales no cuenta con dicho documento. </w:t>
      </w:r>
    </w:p>
    <w:p w:rsidR="0012566C" w:rsidRPr="00265631" w:rsidRDefault="0012566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A7E33" w:rsidRPr="00265631" w:rsidRDefault="000F2441"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cuanto hace a lo solicitado en el punto referido con el numeral </w:t>
      </w:r>
      <w:r w:rsidRPr="00265631">
        <w:rPr>
          <w:rFonts w:ascii="Palatino Linotype" w:eastAsia="MS Mincho" w:hAnsi="Palatino Linotype" w:cs="Arial"/>
          <w:b/>
          <w:bCs/>
          <w:sz w:val="24"/>
          <w:szCs w:val="24"/>
        </w:rPr>
        <w:t>2)</w:t>
      </w:r>
      <w:r w:rsidRPr="00265631">
        <w:rPr>
          <w:rFonts w:ascii="Palatino Linotype" w:eastAsia="MS Mincho" w:hAnsi="Palatino Linotype" w:cs="Arial"/>
          <w:sz w:val="24"/>
          <w:szCs w:val="24"/>
        </w:rPr>
        <w:t xml:space="preserve"> </w:t>
      </w:r>
      <w:r w:rsidRPr="00265631">
        <w:rPr>
          <w:rFonts w:ascii="Palatino Linotype" w:eastAsia="MS Mincho" w:hAnsi="Palatino Linotype" w:cs="Arial"/>
          <w:b/>
          <w:bCs/>
          <w:sz w:val="24"/>
          <w:szCs w:val="24"/>
        </w:rPr>
        <w:t xml:space="preserve">Evaluaciones y/o resoluciones emitidos en materia de Impacto Ambiental, Urbano, Protección Civil y Vialidad. </w:t>
      </w:r>
    </w:p>
    <w:p w:rsidR="000F2441" w:rsidRPr="00265631" w:rsidRDefault="000F244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0F2441" w:rsidRPr="00265631" w:rsidRDefault="000F2441"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Como se señaló anteriormente, de acuerdo con el artículo 16 del referido Reglamento Interior de la Comisión Estatal de Factibilidad, se tiene que una vez </w:t>
      </w:r>
      <w:r w:rsidRPr="00265631">
        <w:rPr>
          <w:rFonts w:ascii="Palatino Linotype" w:eastAsia="MS Mincho" w:hAnsi="Palatino Linotype" w:cs="Arial"/>
          <w:b/>
          <w:bCs/>
          <w:sz w:val="24"/>
          <w:szCs w:val="24"/>
        </w:rPr>
        <w:t>determinada la procedencia jurídica del proyecto</w:t>
      </w:r>
      <w:r w:rsidRPr="00265631">
        <w:rPr>
          <w:rFonts w:ascii="Palatino Linotype" w:eastAsia="MS Mincho" w:hAnsi="Palatino Linotype" w:cs="Arial"/>
          <w:sz w:val="24"/>
          <w:szCs w:val="24"/>
        </w:rPr>
        <w:t xml:space="preserve">, la Comisión previa coordinación con las unidades administrativas competentes, notificará los requisitos en materia de </w:t>
      </w:r>
      <w:r w:rsidRPr="00265631">
        <w:rPr>
          <w:rFonts w:ascii="Palatino Linotype" w:eastAsia="MS Mincho" w:hAnsi="Palatino Linotype" w:cs="Arial"/>
          <w:b/>
          <w:bCs/>
          <w:sz w:val="24"/>
          <w:szCs w:val="24"/>
        </w:rPr>
        <w:t xml:space="preserve">protección civil, medio ambiente, salud, desarrollo urbano, vialidad y comercio automotriz. </w:t>
      </w:r>
    </w:p>
    <w:p w:rsidR="000F2441" w:rsidRPr="00265631" w:rsidRDefault="000F244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A7E33" w:rsidRPr="00265631" w:rsidRDefault="000F2441"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Siendo que una vez acotado los requisitos y realizadas las visitas correspondientes, las unidades administrativas le entregarán a la Comisión sus evaluaciones técnicas para que ésta proceda a elaborar el DUF</w:t>
      </w:r>
      <w:r w:rsidR="006E337A" w:rsidRPr="00265631">
        <w:rPr>
          <w:rFonts w:ascii="Palatino Linotype" w:eastAsia="MS Mincho" w:hAnsi="Palatino Linotype" w:cs="Arial"/>
          <w:sz w:val="24"/>
          <w:szCs w:val="24"/>
        </w:rPr>
        <w:t xml:space="preserve">. </w:t>
      </w:r>
    </w:p>
    <w:p w:rsidR="006E337A" w:rsidRPr="00265631" w:rsidRDefault="006E337A"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64173" w:rsidRPr="00265631" w:rsidRDefault="006E337A"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Es por ello que, relativo a este punto, esta Ponencia determina que el </w:t>
      </w:r>
      <w:r w:rsidRPr="00265631">
        <w:rPr>
          <w:rFonts w:ascii="Palatino Linotype" w:eastAsia="MS Mincho" w:hAnsi="Palatino Linotype" w:cs="Arial"/>
          <w:b/>
          <w:bCs/>
          <w:sz w:val="24"/>
          <w:szCs w:val="24"/>
        </w:rPr>
        <w:t>Sujeto Obligado no tiene competencia para conocer de las evaluaciones técnicas</w:t>
      </w:r>
      <w:r w:rsidRPr="00265631">
        <w:rPr>
          <w:rFonts w:ascii="Palatino Linotype" w:eastAsia="MS Mincho" w:hAnsi="Palatino Linotype" w:cs="Arial"/>
          <w:sz w:val="24"/>
          <w:szCs w:val="24"/>
        </w:rPr>
        <w:t>, toda vez que es un procedimiento llevado a cabo por las unidades administrativas y la Comisión, cuya finalidad es determinar la procedencia y posteriormente la elaboración del Dictamen Único de Factibilidad, siendo este documento el único que se presenta al ayuntamiento para la obtención de una autorización, licencia o permiso de funcionamiento</w:t>
      </w:r>
      <w:r w:rsidR="007A7E33" w:rsidRPr="00265631">
        <w:rPr>
          <w:rFonts w:ascii="Palatino Linotype" w:eastAsia="MS Mincho" w:hAnsi="Palatino Linotype" w:cs="Arial"/>
          <w:sz w:val="24"/>
          <w:szCs w:val="24"/>
        </w:rPr>
        <w:t>.</w:t>
      </w:r>
    </w:p>
    <w:p w:rsidR="00037311" w:rsidRPr="00265631" w:rsidRDefault="0003731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037311" w:rsidRPr="00265631" w:rsidRDefault="00037311" w:rsidP="00265631">
      <w:pPr>
        <w:keepNext/>
        <w:keepLines/>
        <w:spacing w:after="0" w:line="360" w:lineRule="auto"/>
        <w:outlineLvl w:val="0"/>
        <w:rPr>
          <w:rFonts w:ascii="Palatino Linotype" w:hAnsi="Palatino Linotype"/>
          <w:b/>
          <w:sz w:val="24"/>
          <w:szCs w:val="24"/>
        </w:rPr>
      </w:pPr>
      <w:bookmarkStart w:id="40" w:name="_Toc21701094"/>
      <w:r w:rsidRPr="00265631">
        <w:rPr>
          <w:rFonts w:ascii="Palatino Linotype" w:eastAsia="Times New Roman" w:hAnsi="Palatino Linotype" w:cstheme="majorBidi"/>
          <w:b/>
          <w:sz w:val="24"/>
          <w:szCs w:val="24"/>
          <w:lang w:val="es-ES_tradnl" w:eastAsia="es-ES"/>
        </w:rPr>
        <w:t xml:space="preserve">IV. </w:t>
      </w:r>
      <w:r w:rsidRPr="00265631">
        <w:rPr>
          <w:rFonts w:ascii="Palatino Linotype" w:hAnsi="Palatino Linotype"/>
          <w:b/>
          <w:sz w:val="24"/>
          <w:szCs w:val="24"/>
        </w:rPr>
        <w:t>De las áreas de donación y equipamiento urbano.</w:t>
      </w:r>
      <w:bookmarkEnd w:id="40"/>
      <w:r w:rsidRPr="00265631">
        <w:rPr>
          <w:rFonts w:ascii="Palatino Linotype" w:hAnsi="Palatino Linotype"/>
          <w:b/>
          <w:sz w:val="24"/>
          <w:szCs w:val="24"/>
        </w:rPr>
        <w:t xml:space="preserve"> </w:t>
      </w:r>
    </w:p>
    <w:p w:rsidR="006E337A" w:rsidRPr="00265631" w:rsidRDefault="006E337A"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E337A" w:rsidRPr="00265631" w:rsidRDefault="006E337A"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cuanto hace al punto referido con el numeral </w:t>
      </w:r>
      <w:r w:rsidRPr="00265631">
        <w:rPr>
          <w:rFonts w:ascii="Palatino Linotype" w:eastAsia="MS Mincho" w:hAnsi="Palatino Linotype" w:cs="Arial"/>
          <w:b/>
          <w:bCs/>
          <w:sz w:val="24"/>
          <w:szCs w:val="24"/>
        </w:rPr>
        <w:t xml:space="preserve">3) Los instrumentos de áreas de donación y equipamiento urbano por los cuales se autorizó en sus diversas etapas y manzanas la construcción del Conjunto Urbano de tipo Interés Social denominado “La Guadalupana del Lago”, conocido comercialmente como “Colonia del Lago”. </w:t>
      </w:r>
      <w:r w:rsidRPr="00265631">
        <w:rPr>
          <w:rFonts w:ascii="Palatino Linotype" w:eastAsia="MS Mincho" w:hAnsi="Palatino Linotype" w:cs="Arial"/>
          <w:sz w:val="24"/>
          <w:szCs w:val="24"/>
        </w:rPr>
        <w:t xml:space="preserve">El </w:t>
      </w:r>
      <w:r w:rsidRPr="00265631">
        <w:rPr>
          <w:rFonts w:ascii="Palatino Linotype" w:eastAsia="MS Mincho" w:hAnsi="Palatino Linotype" w:cs="Arial"/>
          <w:b/>
          <w:bCs/>
          <w:sz w:val="24"/>
          <w:szCs w:val="24"/>
        </w:rPr>
        <w:t xml:space="preserve">Sujeto Obligado </w:t>
      </w:r>
      <w:r w:rsidRPr="00265631">
        <w:rPr>
          <w:rFonts w:ascii="Palatino Linotype" w:eastAsia="MS Mincho" w:hAnsi="Palatino Linotype" w:cs="Arial"/>
          <w:sz w:val="24"/>
          <w:szCs w:val="24"/>
        </w:rPr>
        <w:t xml:space="preserve">en su respuesta refirió que; las actas de las áreas de Donación y Equipamiento Urbano se controlarán en una </w:t>
      </w:r>
      <w:r w:rsidRPr="00265631">
        <w:rPr>
          <w:rFonts w:ascii="Palatino Linotype" w:eastAsia="MS Mincho" w:hAnsi="Palatino Linotype" w:cs="Arial"/>
          <w:b/>
          <w:bCs/>
          <w:sz w:val="24"/>
          <w:szCs w:val="24"/>
        </w:rPr>
        <w:t>bitácora de obra</w:t>
      </w:r>
      <w:r w:rsidRPr="00265631">
        <w:rPr>
          <w:rFonts w:ascii="Palatino Linotype" w:eastAsia="MS Mincho" w:hAnsi="Palatino Linotype" w:cs="Arial"/>
          <w:sz w:val="24"/>
          <w:szCs w:val="24"/>
        </w:rPr>
        <w:t xml:space="preserve">, por lo que </w:t>
      </w:r>
      <w:r w:rsidRPr="00265631">
        <w:rPr>
          <w:rFonts w:ascii="Palatino Linotype" w:eastAsia="MS Mincho" w:hAnsi="Palatino Linotype" w:cs="Arial"/>
          <w:b/>
          <w:bCs/>
          <w:sz w:val="24"/>
          <w:szCs w:val="24"/>
        </w:rPr>
        <w:t>de conformidad con el artículo 109 del Reglamento del Libro Quinto del Código Administrativo del Estado de México</w:t>
      </w:r>
      <w:r w:rsidRPr="00265631">
        <w:rPr>
          <w:rFonts w:ascii="Palatino Linotype" w:eastAsia="MS Mincho" w:hAnsi="Palatino Linotype" w:cs="Arial"/>
          <w:sz w:val="24"/>
          <w:szCs w:val="24"/>
        </w:rPr>
        <w:t xml:space="preserve">, es una competencia de la </w:t>
      </w:r>
      <w:r w:rsidRPr="00265631">
        <w:rPr>
          <w:rFonts w:ascii="Palatino Linotype" w:eastAsia="MS Mincho" w:hAnsi="Palatino Linotype" w:cs="Arial"/>
          <w:b/>
          <w:bCs/>
          <w:sz w:val="24"/>
          <w:szCs w:val="24"/>
        </w:rPr>
        <w:t>Secretaría de Desarrollo Urbano del Estado de México</w:t>
      </w:r>
      <w:r w:rsidRPr="00265631">
        <w:rPr>
          <w:rFonts w:ascii="Palatino Linotype" w:eastAsia="MS Mincho" w:hAnsi="Palatino Linotype" w:cs="Arial"/>
          <w:sz w:val="24"/>
          <w:szCs w:val="24"/>
        </w:rPr>
        <w:t>, quien cuenta con esta información, misma que describe las permutas y el estatus que resulten del cumplimiento de las condicionantes a las que se sujetaron las diversas autorizaciones.</w:t>
      </w:r>
    </w:p>
    <w:p w:rsidR="00F174D9" w:rsidRPr="00265631" w:rsidRDefault="00F174D9"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75C15" w:rsidRPr="00265631" w:rsidRDefault="000B5EB7"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Derivado de lo anterior,</w:t>
      </w:r>
      <w:r w:rsidR="00F75C15" w:rsidRPr="00265631">
        <w:rPr>
          <w:rFonts w:ascii="Palatino Linotype" w:eastAsia="MS Mincho" w:hAnsi="Palatino Linotype" w:cs="Arial"/>
          <w:sz w:val="24"/>
          <w:szCs w:val="24"/>
        </w:rPr>
        <w:t xml:space="preserve"> es importante señalar que en los artículos 53 y 54 del dispositivo legal referido, establece que; </w:t>
      </w:r>
    </w:p>
    <w:p w:rsidR="00F75C15" w:rsidRPr="00265631" w:rsidRDefault="00F75C15"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DE LAS ÁREAS DE DONACIÓN AL MUNICIPIO</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Artículo 53.</w:t>
      </w:r>
      <w:r w:rsidRPr="00265631">
        <w:rPr>
          <w:rFonts w:ascii="Palatino Linotype" w:hAnsi="Palatino Linotype"/>
          <w:sz w:val="24"/>
          <w:szCs w:val="24"/>
        </w:rPr>
        <w:t xml:space="preserve"> Las áreas de donación a favor del municipio deberán ubicarse dentro del respectivo conjunto urbano.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La superficie, ubicación y destino de las áreas de donación serán determinadas por la Secretaría en la autorización del conjunto urbano,</w:t>
      </w:r>
      <w:r w:rsidRPr="00265631">
        <w:rPr>
          <w:rFonts w:ascii="Palatino Linotype" w:hAnsi="Palatino Linotype"/>
          <w:sz w:val="24"/>
          <w:szCs w:val="24"/>
        </w:rPr>
        <w:t xml:space="preserve"> </w:t>
      </w:r>
      <w:r w:rsidRPr="00265631">
        <w:rPr>
          <w:rFonts w:ascii="Palatino Linotype" w:hAnsi="Palatino Linotype"/>
          <w:b/>
          <w:bCs/>
          <w:sz w:val="24"/>
          <w:szCs w:val="24"/>
        </w:rPr>
        <w:t xml:space="preserve">conforme a este Reglamento, mismas que deberán contar preferentemente con frente a vía pública en todas sus colindancias.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Las áreas de donación podrán ser destinadas a equipamientos diferentes a los previstos en este Reglamento</w:t>
      </w:r>
      <w:r w:rsidRPr="00265631">
        <w:rPr>
          <w:rFonts w:ascii="Palatino Linotype" w:hAnsi="Palatino Linotype"/>
          <w:sz w:val="24"/>
          <w:szCs w:val="24"/>
        </w:rPr>
        <w:t>, siempre que lo solicite el municipio, técnicamente sea viable y exista causa justificada, previa autorización de la Secretaría.</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 xml:space="preserve"> La Secretaría, a solicitud expresa del municipio respectivo podrá autorizar, que en los conjuntos urbanos habitacionales medio, residencial y de tipo industrial, hasta un 80 por ciento del área de donación que corresponda al municipio o hasta el 100 por ciento en caso de conjuntos urbanos residencial alto y campestre,</w:t>
      </w:r>
      <w:r w:rsidRPr="00265631">
        <w:rPr>
          <w:rFonts w:ascii="Palatino Linotype" w:hAnsi="Palatino Linotype"/>
          <w:sz w:val="24"/>
          <w:szCs w:val="24"/>
        </w:rPr>
        <w:t xml:space="preserve"> se localice fuera del inmueble objeto del desarrollo, siempre y cuando se trate de terrenos ubicados en áreas urbanas o urbanizables programadas, con superficie o valor equivalente a la establecida en el acuerdo de autorización del conjunto urbano y se encuentren dentro del respectivo municipio.</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DE LAS ÁREAS DE DONACIÓN AL ESTADO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Artículo 54. </w:t>
      </w:r>
      <w:r w:rsidRPr="00265631">
        <w:rPr>
          <w:rFonts w:ascii="Palatino Linotype" w:hAnsi="Palatino Linotype"/>
          <w:sz w:val="24"/>
          <w:szCs w:val="24"/>
        </w:rPr>
        <w:t>Las áreas de donación a favor del Estado podrán ubicarse dentro del respectivo conjunto urbano o en otro lugar del territorio estatal.</w:t>
      </w:r>
      <w:r w:rsidRPr="00265631">
        <w:rPr>
          <w:rFonts w:ascii="Palatino Linotype" w:hAnsi="Palatino Linotype"/>
          <w:b/>
          <w:bCs/>
          <w:sz w:val="24"/>
          <w:szCs w:val="24"/>
        </w:rPr>
        <w:t xml:space="preserve">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La superficie de dichas áreas será determinada por la Secretaría en la autorización del conjunto urbano, conforme a este Reglamento</w:t>
      </w:r>
      <w:r w:rsidRPr="00265631">
        <w:rPr>
          <w:rFonts w:ascii="Palatino Linotype" w:hAnsi="Palatino Linotype"/>
          <w:sz w:val="24"/>
          <w:szCs w:val="24"/>
        </w:rPr>
        <w:t xml:space="preserve">. </w:t>
      </w:r>
      <w:r w:rsidRPr="00265631">
        <w:rPr>
          <w:rFonts w:ascii="Palatino Linotype" w:hAnsi="Palatino Linotype"/>
          <w:b/>
          <w:bCs/>
          <w:sz w:val="24"/>
          <w:szCs w:val="24"/>
        </w:rPr>
        <w:t>La ubicación y destino de las áreas de donación podrá ser determinada con posterioridad al acuerdo de autorización, en función de las necesidades del Estado.</w:t>
      </w:r>
      <w:r w:rsidRPr="00265631">
        <w:rPr>
          <w:rFonts w:ascii="Palatino Linotype" w:hAnsi="Palatino Linotype"/>
          <w:sz w:val="24"/>
          <w:szCs w:val="24"/>
        </w:rPr>
        <w:t xml:space="preserve">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Cuando el área de donación deba ubicarse fuera del conjunto urbano, deberá tener un valor equivalente al que tendría en caso de ubicarse dentro del mismo una vez urbanizado, con independencia de la superficie, conforme al estudio de valores unitarios del suelo emitido por el Instituto de Información e Investigación, Geográfica, Estadística y Catastral del Estado de México. </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Las áreas de donación pasarán a formar parte del dominio público del Estado a partir de la fecha de celebración del contrato de donación y serán entregadas a la Secretaría de Finanzas que las utilizará en el fin público al cual estén destinadas.</w:t>
      </w: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p>
    <w:p w:rsidR="00F75C15" w:rsidRPr="00265631" w:rsidRDefault="00F75C15" w:rsidP="00265631">
      <w:pPr>
        <w:tabs>
          <w:tab w:val="left" w:pos="2694"/>
          <w:tab w:val="left" w:pos="3402"/>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La Secretaría autorizará en su caso, que el titular de un conjunto urbano cumpla la obligación de ceder áreas de donación, a través de la aportación en numerario al Fideicomiso de Reserva Territorial para el Desarrollo de Equipamiento Urbano Regional</w:t>
      </w:r>
      <w:r w:rsidRPr="00265631">
        <w:rPr>
          <w:rFonts w:ascii="Palatino Linotype" w:hAnsi="Palatino Linotype"/>
          <w:sz w:val="24"/>
          <w:szCs w:val="24"/>
        </w:rPr>
        <w:t>, en la proporción que resulte de acuerdo al estudio de valores unitarios del suelo que emita el Instituto de Información e Investigación, Geográfica, Estadística y Catastral del Estado de México, de acuerdo a las Reglas de Operación del Fideicomiso de Reserva Territorial para el Desarrollo de Equipamiento Urbano Regional.</w:t>
      </w:r>
    </w:p>
    <w:p w:rsidR="00151E30" w:rsidRPr="00265631" w:rsidRDefault="00151E30"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51E30" w:rsidRPr="00265631" w:rsidRDefault="00151E30"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Del mismo modo, es importante señalar que de acuerdo al artículo 57 del referido dispositivo legal: </w:t>
      </w:r>
      <w:r w:rsidRPr="00265631">
        <w:rPr>
          <w:rFonts w:ascii="Palatino Linotype" w:eastAsia="MS Mincho" w:hAnsi="Palatino Linotype" w:cs="Arial"/>
          <w:b/>
          <w:bCs/>
          <w:sz w:val="24"/>
          <w:szCs w:val="24"/>
        </w:rPr>
        <w:t xml:space="preserve">en las áreas de donación, el titular de un conjunto urbano deberá construir las obras de equipamiento urbano </w:t>
      </w:r>
      <w:r w:rsidRPr="00265631">
        <w:rPr>
          <w:rFonts w:ascii="Palatino Linotype" w:eastAsia="MS Mincho" w:hAnsi="Palatino Linotype" w:cs="Arial"/>
          <w:sz w:val="24"/>
          <w:szCs w:val="24"/>
        </w:rPr>
        <w:t xml:space="preserve">previstas en el mismo artículo, </w:t>
      </w:r>
      <w:r w:rsidRPr="00265631">
        <w:rPr>
          <w:rFonts w:ascii="Palatino Linotype" w:eastAsia="MS Mincho" w:hAnsi="Palatino Linotype" w:cs="Arial"/>
          <w:b/>
          <w:bCs/>
          <w:sz w:val="24"/>
          <w:szCs w:val="24"/>
        </w:rPr>
        <w:t xml:space="preserve">las cuales se incrementarán o disminuirán proporcionalmente, atendiendo al número de viviendas o, en su caso, a la superficie de área vendible. </w:t>
      </w:r>
    </w:p>
    <w:p w:rsidR="00151E30" w:rsidRPr="00265631" w:rsidRDefault="00151E30"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51E30" w:rsidRPr="00265631" w:rsidRDefault="00151E30"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Asimismo, los artículos 58 y 59 del Reglamento, establecen que: </w:t>
      </w:r>
      <w:r w:rsidRPr="00265631">
        <w:rPr>
          <w:rFonts w:ascii="Palatino Linotype" w:eastAsia="MS Mincho" w:hAnsi="Palatino Linotype" w:cs="Arial"/>
          <w:b/>
          <w:bCs/>
          <w:sz w:val="24"/>
          <w:szCs w:val="24"/>
        </w:rPr>
        <w:t xml:space="preserve">las obras de equipamiento urbano municipal y urbano regional se determinarán por la Secretaría, las primeras a petición y análisis de las necesidades del municipio y serán recibidas y administradas por éste, las segundas; de acuerdo con las necesidades de la respectiva zona o región y se construirán en las áreas de donación otorgadas al Estado, las cuales serán entregadas a la Secretaría de finanzas para su asignación correspondiente. </w:t>
      </w:r>
    </w:p>
    <w:p w:rsidR="00151E30" w:rsidRPr="00265631" w:rsidRDefault="00151E30"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0E5BB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b/>
          <w:bCs/>
          <w:sz w:val="24"/>
          <w:szCs w:val="24"/>
        </w:rPr>
      </w:pPr>
      <w:r w:rsidRPr="00265631">
        <w:rPr>
          <w:rFonts w:ascii="Palatino Linotype" w:eastAsia="MS Mincho" w:hAnsi="Palatino Linotype" w:cs="Arial"/>
          <w:sz w:val="24"/>
          <w:szCs w:val="24"/>
        </w:rPr>
        <w:t xml:space="preserve">Por su parte, </w:t>
      </w:r>
      <w:r w:rsidR="000B5EB7" w:rsidRPr="00265631">
        <w:rPr>
          <w:rFonts w:ascii="Palatino Linotype" w:eastAsia="MS Mincho" w:hAnsi="Palatino Linotype" w:cs="Arial"/>
          <w:sz w:val="24"/>
          <w:szCs w:val="24"/>
        </w:rPr>
        <w:t xml:space="preserve">el artículo 109, fracción VI inciso D, establece que: </w:t>
      </w:r>
      <w:r w:rsidR="000B5EB7" w:rsidRPr="00265631">
        <w:rPr>
          <w:rFonts w:ascii="Palatino Linotype" w:eastAsia="MS Mincho" w:hAnsi="Palatino Linotype" w:cs="Arial"/>
          <w:b/>
          <w:bCs/>
          <w:sz w:val="24"/>
          <w:szCs w:val="24"/>
        </w:rPr>
        <w:t>en el caso de condominios cuyos titulares estén obligados a ceder áreas de donación y realizar obras de equipamiento urbano y urbanización, deberán;</w:t>
      </w:r>
    </w:p>
    <w:p w:rsidR="000B5EB7" w:rsidRPr="00265631" w:rsidRDefault="000B5EB7"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0B5EB7" w:rsidRPr="00265631" w:rsidRDefault="000B5EB7" w:rsidP="00265631">
      <w:pPr>
        <w:tabs>
          <w:tab w:val="left" w:pos="426"/>
        </w:tabs>
        <w:spacing w:after="0" w:line="360" w:lineRule="auto"/>
        <w:ind w:left="567" w:right="567"/>
        <w:contextualSpacing/>
        <w:jc w:val="center"/>
        <w:rPr>
          <w:rFonts w:ascii="Palatino Linotype" w:eastAsia="MS Mincho" w:hAnsi="Palatino Linotype" w:cs="Arial"/>
          <w:sz w:val="24"/>
          <w:szCs w:val="24"/>
        </w:rPr>
      </w:pPr>
      <w:r w:rsidRPr="00265631">
        <w:rPr>
          <w:rFonts w:ascii="Palatino Linotype" w:eastAsia="MS Mincho" w:hAnsi="Palatino Linotype" w:cs="Arial"/>
          <w:b/>
          <w:bCs/>
          <w:sz w:val="24"/>
          <w:szCs w:val="24"/>
        </w:rPr>
        <w:t>Reglamento del Libro Quinto del Código Administrativo del Estado de México</w:t>
      </w:r>
    </w:p>
    <w:p w:rsidR="000B5EB7" w:rsidRPr="00265631" w:rsidRDefault="000B5EB7" w:rsidP="00265631">
      <w:pPr>
        <w:tabs>
          <w:tab w:val="left" w:pos="426"/>
        </w:tabs>
        <w:spacing w:after="0" w:line="360" w:lineRule="auto"/>
        <w:ind w:left="567" w:right="567"/>
        <w:contextualSpacing/>
        <w:jc w:val="center"/>
        <w:rPr>
          <w:rFonts w:ascii="Palatino Linotype" w:hAnsi="Palatino Linotype"/>
          <w:b/>
          <w:bCs/>
          <w:sz w:val="24"/>
          <w:szCs w:val="24"/>
        </w:rPr>
      </w:pPr>
      <w:r w:rsidRPr="00265631">
        <w:rPr>
          <w:rFonts w:ascii="Palatino Linotype" w:hAnsi="Palatino Linotype"/>
          <w:b/>
          <w:bCs/>
          <w:sz w:val="24"/>
          <w:szCs w:val="24"/>
        </w:rPr>
        <w:t>Del contenido de la Autorización de Condominios Horizontales</w:t>
      </w:r>
    </w:p>
    <w:p w:rsidR="000B5EB7" w:rsidRPr="00265631" w:rsidRDefault="000B5EB7" w:rsidP="00265631">
      <w:pPr>
        <w:tabs>
          <w:tab w:val="left" w:pos="426"/>
        </w:tabs>
        <w:spacing w:after="0" w:line="360" w:lineRule="auto"/>
        <w:ind w:left="567" w:right="567"/>
        <w:contextualSpacing/>
        <w:jc w:val="center"/>
        <w:rPr>
          <w:rFonts w:ascii="Palatino Linotype" w:hAnsi="Palatino Linotype"/>
          <w:b/>
          <w:bCs/>
          <w:sz w:val="24"/>
          <w:szCs w:val="24"/>
        </w:rPr>
      </w:pPr>
    </w:p>
    <w:p w:rsidR="000B5EB7" w:rsidRPr="00265631" w:rsidRDefault="000B5EB7" w:rsidP="00265631">
      <w:pPr>
        <w:tabs>
          <w:tab w:val="left" w:pos="426"/>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Artículo 109. La autorización de condominio horizontal, deberá contener:</w:t>
      </w:r>
    </w:p>
    <w:p w:rsidR="000B5EB7" w:rsidRPr="00265631" w:rsidRDefault="000B5EB7"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D). En el caso de condominios cuyos titulares estén obligados a ceder áreas de donación y realizar obras de equipamiento urbano y urbanización, deberán: </w:t>
      </w:r>
    </w:p>
    <w:p w:rsidR="000B5EB7" w:rsidRPr="00265631" w:rsidRDefault="000B5EB7" w:rsidP="00265631">
      <w:pPr>
        <w:tabs>
          <w:tab w:val="left" w:pos="426"/>
          <w:tab w:val="left" w:pos="2268"/>
        </w:tabs>
        <w:spacing w:after="0" w:line="360" w:lineRule="auto"/>
        <w:ind w:right="567"/>
        <w:contextualSpacing/>
        <w:jc w:val="both"/>
        <w:rPr>
          <w:rFonts w:ascii="Palatino Linotype" w:hAnsi="Palatino Linotype"/>
          <w:sz w:val="24"/>
          <w:szCs w:val="24"/>
        </w:rPr>
      </w:pP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1. Suscribir los contratos de donación de áreas a favor</w:t>
      </w:r>
      <w:r w:rsidRPr="00265631">
        <w:rPr>
          <w:rFonts w:ascii="Palatino Linotype" w:hAnsi="Palatino Linotype"/>
          <w:sz w:val="24"/>
          <w:szCs w:val="24"/>
        </w:rPr>
        <w:t xml:space="preserve"> </w:t>
      </w:r>
      <w:r w:rsidRPr="00265631">
        <w:rPr>
          <w:rFonts w:ascii="Palatino Linotype" w:hAnsi="Palatino Linotype"/>
          <w:b/>
          <w:bCs/>
          <w:sz w:val="24"/>
          <w:szCs w:val="24"/>
        </w:rPr>
        <w:t xml:space="preserve">del </w:t>
      </w:r>
      <w:r w:rsidRPr="00265631">
        <w:rPr>
          <w:rFonts w:ascii="Palatino Linotype" w:hAnsi="Palatino Linotype"/>
          <w:sz w:val="24"/>
          <w:szCs w:val="24"/>
        </w:rPr>
        <w:t xml:space="preserve">Estado y </w:t>
      </w:r>
      <w:r w:rsidRPr="00265631">
        <w:rPr>
          <w:rFonts w:ascii="Palatino Linotype" w:hAnsi="Palatino Linotype"/>
          <w:b/>
          <w:bCs/>
          <w:sz w:val="24"/>
          <w:szCs w:val="24"/>
        </w:rPr>
        <w:t xml:space="preserve">municipio, </w:t>
      </w:r>
      <w:r w:rsidRPr="00265631">
        <w:rPr>
          <w:rFonts w:ascii="Palatino Linotype" w:hAnsi="Palatino Linotype"/>
          <w:sz w:val="24"/>
          <w:szCs w:val="24"/>
        </w:rPr>
        <w:t xml:space="preserve">dentro de los noventa días siguientes al de la fecha de la inscripción de la autorización.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b/>
          <w:bCs/>
          <w:sz w:val="24"/>
          <w:szCs w:val="24"/>
        </w:rPr>
        <w:t>2. Llevar a cabo las obras de urbanización y en su caso, de equipamiento urbano.</w:t>
      </w:r>
      <w:r w:rsidRPr="00265631">
        <w:rPr>
          <w:rFonts w:ascii="Palatino Linotype" w:hAnsi="Palatino Linotype"/>
          <w:sz w:val="24"/>
          <w:szCs w:val="24"/>
        </w:rPr>
        <w:t xml:space="preserve">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3. Sanear los vicios ocultos que presenten las obras de urbanización y equipamiento, en su caso.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4. Para la ejecución de las obras deberá obtener la autorización para el inicio de las obras de urbanización al interior del condominio.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5. Entregar las obras de urbanización y en su caso, de equipamiento urbano en el plazo fijado.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6. Obtener autorización de la Secretaría para la promoción, publicidad y venta de las áreas privativas.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b/>
          <w:bCs/>
          <w:sz w:val="24"/>
          <w:szCs w:val="24"/>
        </w:rPr>
      </w:pPr>
      <w:r w:rsidRPr="00265631">
        <w:rPr>
          <w:rFonts w:ascii="Palatino Linotype" w:hAnsi="Palatino Linotype"/>
          <w:b/>
          <w:bCs/>
          <w:sz w:val="24"/>
          <w:szCs w:val="24"/>
        </w:rPr>
        <w:t xml:space="preserve">7. Llevar y resguardar una bitácora de obra en la que se registrará el avance y circunstancias de las obras de equipamiento urbano y urbanización en su caso, misma que deberá presentar a la autoridad correspondiente cuando le sea requerida.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 xml:space="preserve">8. Cumplir con las condicionantes que se establezcan en las licencias, dictámenes, constancias y documentos que sustenten la autorización. </w:t>
      </w:r>
    </w:p>
    <w:p w:rsidR="000B5EB7" w:rsidRPr="00265631" w:rsidRDefault="000B5EB7" w:rsidP="00265631">
      <w:pPr>
        <w:tabs>
          <w:tab w:val="left" w:pos="426"/>
          <w:tab w:val="left" w:pos="2268"/>
        </w:tabs>
        <w:spacing w:after="0" w:line="360" w:lineRule="auto"/>
        <w:ind w:left="567" w:right="567"/>
        <w:contextualSpacing/>
        <w:jc w:val="both"/>
        <w:rPr>
          <w:rFonts w:ascii="Palatino Linotype" w:hAnsi="Palatino Linotype"/>
          <w:sz w:val="24"/>
          <w:szCs w:val="24"/>
        </w:rPr>
      </w:pPr>
      <w:r w:rsidRPr="00265631">
        <w:rPr>
          <w:rFonts w:ascii="Palatino Linotype" w:hAnsi="Palatino Linotype"/>
          <w:sz w:val="24"/>
          <w:szCs w:val="24"/>
        </w:rPr>
        <w:t>9. Las demás que apliquen al caso concreto, según el Código, este Reglamento y otras disposiciones jurídicas.</w:t>
      </w:r>
    </w:p>
    <w:p w:rsidR="000B5EB7" w:rsidRPr="00265631" w:rsidRDefault="000B5EB7" w:rsidP="00265631">
      <w:pPr>
        <w:tabs>
          <w:tab w:val="left" w:pos="426"/>
          <w:tab w:val="left" w:pos="2268"/>
        </w:tabs>
        <w:spacing w:after="0" w:line="360" w:lineRule="auto"/>
        <w:ind w:left="567" w:right="567"/>
        <w:contextualSpacing/>
        <w:jc w:val="both"/>
        <w:rPr>
          <w:rFonts w:ascii="Palatino Linotype" w:eastAsia="MS Mincho" w:hAnsi="Palatino Linotype" w:cs="Arial"/>
          <w:sz w:val="24"/>
          <w:szCs w:val="24"/>
        </w:rPr>
      </w:pPr>
    </w:p>
    <w:p w:rsidR="00F174D9" w:rsidRPr="00265631" w:rsidRDefault="000E5BB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todo lo anterior, se tiene lo siguiente; </w:t>
      </w:r>
    </w:p>
    <w:p w:rsidR="00891E19" w:rsidRPr="00265631" w:rsidRDefault="00891E19"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0E5BBE"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Respecto a las áreas de donación a favor del Municipio; la superficie, ubicación y destino serán determinados por la Secretaría en la autorización del conjunto urbano.</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Respecto a las áreas de donación al Estado, la superficie será determinada por la Secretaría en la autorización del conjunto urbano. </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Que, en las áreas de donación, el titular del conjunto urbano deberá construir las obras de equipamiento urbano previstas en el Reglamento del Libro Quinto del Código Administrativo del Estado de México, las cuales se incrementarán o disminuirán proporcionalmente atendiendo al número de viviendas. </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Las obras de equipamiento urbano municipal y urbano regional se determinarán por la Secretaría a petición de las necesidades del municipio o de acuerdo con las necesidades de la respectiva zona o región. </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Que, los condominios para la ejecución de obras de urbanización, deberán obtener la autorización correspondiente. </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Asimismo, los condominios llevarán y resguardarán una bitácora de obra en la que se registre el avance y circunstancias de las obras de equipamiento urbano.</w:t>
      </w:r>
    </w:p>
    <w:p w:rsidR="00891E19" w:rsidRPr="00265631" w:rsidRDefault="00891E19" w:rsidP="00265631">
      <w:pPr>
        <w:pStyle w:val="Prrafodelista"/>
        <w:numPr>
          <w:ilvl w:val="0"/>
          <w:numId w:val="21"/>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Que, la bitácora de obra se presentará a la autoridad cuando sea requerida. </w:t>
      </w:r>
    </w:p>
    <w:p w:rsidR="00891E19" w:rsidRPr="00265631" w:rsidRDefault="00891E19"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891E19"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Ahora bien, de acuerdo con lo establecido por el artículo 126 del Reglamento del Libro Quinto del Código Administrativo del Estado de México, se tiene que la supervisión  de la entrega de obras de urbanización y equipamiento urbano e infraestructura primaria, se llevará a cabo concurrente y coordinadamente por la Secretaría y el municipio, conjuntamente con el perito de la empresa desarrolladora responsable del informe por el cual </w:t>
      </w:r>
      <w:r w:rsidRPr="00265631">
        <w:rPr>
          <w:rFonts w:ascii="Palatino Linotype" w:eastAsia="MS Mincho" w:hAnsi="Palatino Linotype" w:cs="Arial"/>
          <w:b/>
          <w:bCs/>
          <w:sz w:val="24"/>
          <w:szCs w:val="24"/>
        </w:rPr>
        <w:t xml:space="preserve">se comunica mensualmente el avance de las obras a la Secretaría. </w:t>
      </w:r>
    </w:p>
    <w:p w:rsidR="00891E19" w:rsidRPr="00265631" w:rsidRDefault="00891E19"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891E19"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El </w:t>
      </w:r>
      <w:r w:rsidRPr="00265631">
        <w:rPr>
          <w:rFonts w:ascii="Palatino Linotype" w:eastAsia="MS Mincho" w:hAnsi="Palatino Linotype" w:cs="Arial"/>
          <w:b/>
          <w:bCs/>
          <w:sz w:val="24"/>
          <w:szCs w:val="24"/>
        </w:rPr>
        <w:t xml:space="preserve">informe </w:t>
      </w:r>
      <w:r w:rsidR="008B39B1" w:rsidRPr="00265631">
        <w:rPr>
          <w:rFonts w:ascii="Palatino Linotype" w:eastAsia="MS Mincho" w:hAnsi="Palatino Linotype" w:cs="Arial"/>
          <w:b/>
          <w:bCs/>
          <w:sz w:val="24"/>
          <w:szCs w:val="24"/>
        </w:rPr>
        <w:t xml:space="preserve">de desarrollo progresivo de las obras de urbanización, equipamiento e infraestructura primaria </w:t>
      </w:r>
      <w:r w:rsidR="008B39B1" w:rsidRPr="00265631">
        <w:rPr>
          <w:rFonts w:ascii="Palatino Linotype" w:eastAsia="MS Mincho" w:hAnsi="Palatino Linotype" w:cs="Arial"/>
          <w:sz w:val="24"/>
          <w:szCs w:val="24"/>
        </w:rPr>
        <w:t xml:space="preserve">es aquel que el titular de los fraccionamientos, conjuntos urbanos, subdivisiones y condominios, </w:t>
      </w:r>
      <w:r w:rsidR="008B39B1" w:rsidRPr="00265631">
        <w:rPr>
          <w:rFonts w:ascii="Palatino Linotype" w:eastAsia="MS Mincho" w:hAnsi="Palatino Linotype" w:cs="Arial"/>
          <w:b/>
          <w:bCs/>
          <w:sz w:val="24"/>
          <w:szCs w:val="24"/>
        </w:rPr>
        <w:t xml:space="preserve">deberá remitir a la Secretaría. </w:t>
      </w:r>
      <w:r w:rsidR="008B39B1" w:rsidRPr="00265631">
        <w:rPr>
          <w:rFonts w:ascii="Palatino Linotype" w:eastAsia="MS Mincho" w:hAnsi="Palatino Linotype" w:cs="Arial"/>
          <w:sz w:val="24"/>
          <w:szCs w:val="24"/>
        </w:rPr>
        <w:t xml:space="preserve">Del mismo modo, el titular de los desarrollos deberá llevar y resguardar una bitácora de obra por cada una a las que obliga el acuerdo de autorización, misma en la que se registrará su avance y circunstancias. </w:t>
      </w:r>
    </w:p>
    <w:p w:rsidR="008B39B1" w:rsidRPr="00265631" w:rsidRDefault="008B39B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E65278"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otro rubro y atendiendo a lo solicitado por el recurrente, “instrumentos” puede entenderse como, todos aquellos documentos con los que se justifican o prueban algo, de tal forma que a lo que requiere tener acceso son a todos aquellos documentos derivados de la solicitud de autorización de las áreas de donación y equipamiento urbano relativos al Conjunto Urbano referido en la solicitud, sin embargo, tal y como se estudió la autoridad encargada de </w:t>
      </w:r>
      <w:r w:rsidR="005A6F45" w:rsidRPr="00265631">
        <w:rPr>
          <w:rFonts w:ascii="Palatino Linotype" w:eastAsia="MS Mincho" w:hAnsi="Palatino Linotype" w:cs="Arial"/>
          <w:sz w:val="24"/>
          <w:szCs w:val="24"/>
        </w:rPr>
        <w:t xml:space="preserve">expedir las autorizaciones y por ende los oficios en los que se sustentaron las mismas, es la Secretaría de Desarrollo Urbano y Metropolitano. </w:t>
      </w:r>
    </w:p>
    <w:p w:rsidR="005A6F45" w:rsidRPr="00265631" w:rsidRDefault="005A6F45"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5A6F45" w:rsidRPr="00265631" w:rsidRDefault="005A6F45"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otra parte, respecto al cumplimiento de las condiciones a las que se sujetaron las diversas autorizaciones, y caso de que haya habido permuta en el cumplimiento de las obligaciones, es información que pudiera obrar dentro de la bitácora de obras y los informes de desarrollo progresivo que los titulares de los desarrollos urbanos deberán integrar y enviar a la Secretaría. </w:t>
      </w:r>
    </w:p>
    <w:p w:rsidR="00E65278" w:rsidRPr="00265631" w:rsidRDefault="00E65278"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5A6F45"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tal manera que esta Ponencia determina que el Ayuntamiento de Nicolás Romero </w:t>
      </w:r>
      <w:r w:rsidRPr="00265631">
        <w:rPr>
          <w:rFonts w:ascii="Palatino Linotype" w:eastAsia="MS Mincho" w:hAnsi="Palatino Linotype" w:cs="Arial"/>
          <w:b/>
          <w:bCs/>
          <w:sz w:val="24"/>
          <w:szCs w:val="24"/>
        </w:rPr>
        <w:t xml:space="preserve">no es autoridad competente para conocer de lo solicitado en los incisos referidos con los numerales 3) y 4). </w:t>
      </w:r>
    </w:p>
    <w:p w:rsidR="00037311" w:rsidRPr="00265631" w:rsidRDefault="0003731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037311" w:rsidRPr="00265631" w:rsidRDefault="00037311" w:rsidP="00265631">
      <w:pPr>
        <w:keepNext/>
        <w:keepLines/>
        <w:spacing w:after="0" w:line="360" w:lineRule="auto"/>
        <w:outlineLvl w:val="0"/>
        <w:rPr>
          <w:rFonts w:ascii="Palatino Linotype" w:hAnsi="Palatino Linotype"/>
          <w:b/>
          <w:sz w:val="24"/>
          <w:szCs w:val="24"/>
        </w:rPr>
      </w:pPr>
      <w:bookmarkStart w:id="41" w:name="_Toc21701095"/>
      <w:r w:rsidRPr="00265631">
        <w:rPr>
          <w:rFonts w:ascii="Palatino Linotype" w:eastAsia="Times New Roman" w:hAnsi="Palatino Linotype" w:cstheme="majorBidi"/>
          <w:b/>
          <w:sz w:val="24"/>
          <w:szCs w:val="24"/>
          <w:lang w:val="es-ES_tradnl" w:eastAsia="es-ES"/>
        </w:rPr>
        <w:t xml:space="preserve">V. </w:t>
      </w:r>
      <w:r w:rsidRPr="00265631">
        <w:rPr>
          <w:rFonts w:ascii="Palatino Linotype" w:hAnsi="Palatino Linotype"/>
          <w:b/>
          <w:sz w:val="24"/>
          <w:szCs w:val="24"/>
        </w:rPr>
        <w:t>De la publicación del acuerdo de autorización en el Periódico Oficial “Gaceta del Gobierno” del Estado de México.</w:t>
      </w:r>
      <w:bookmarkEnd w:id="41"/>
      <w:r w:rsidRPr="00265631">
        <w:rPr>
          <w:rFonts w:ascii="Palatino Linotype" w:hAnsi="Palatino Linotype"/>
          <w:b/>
          <w:sz w:val="24"/>
          <w:szCs w:val="24"/>
        </w:rPr>
        <w:t xml:space="preserve"> </w:t>
      </w:r>
    </w:p>
    <w:p w:rsidR="005A6F45" w:rsidRPr="00265631" w:rsidRDefault="005A6F45"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4A2FBC" w:rsidRPr="00265631" w:rsidRDefault="005A6F45"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cuanto hace al numeral referido como numeral </w:t>
      </w:r>
      <w:r w:rsidRPr="00265631">
        <w:rPr>
          <w:rFonts w:ascii="Palatino Linotype" w:eastAsia="MS Mincho" w:hAnsi="Palatino Linotype" w:cs="Arial"/>
          <w:b/>
          <w:bCs/>
          <w:sz w:val="24"/>
          <w:szCs w:val="24"/>
        </w:rPr>
        <w:t>5) La referencia de la Gaceta Oficial por la cual se autoriza cada una de las etapas por manzana de dicho proyecto.</w:t>
      </w:r>
      <w:r w:rsidRPr="00265631">
        <w:rPr>
          <w:rFonts w:ascii="Palatino Linotype" w:eastAsia="MS Mincho" w:hAnsi="Palatino Linotype" w:cs="Arial"/>
          <w:sz w:val="24"/>
          <w:szCs w:val="24"/>
        </w:rPr>
        <w:t xml:space="preserve"> El </w:t>
      </w:r>
      <w:r w:rsidRPr="00265631">
        <w:rPr>
          <w:rFonts w:ascii="Palatino Linotype" w:eastAsia="MS Mincho" w:hAnsi="Palatino Linotype" w:cs="Arial"/>
          <w:b/>
          <w:bCs/>
          <w:sz w:val="24"/>
          <w:szCs w:val="24"/>
        </w:rPr>
        <w:t xml:space="preserve">Sujeto Obligado </w:t>
      </w:r>
      <w:r w:rsidRPr="00265631">
        <w:rPr>
          <w:rFonts w:ascii="Palatino Linotype" w:eastAsia="MS Mincho" w:hAnsi="Palatino Linotype" w:cs="Arial"/>
          <w:sz w:val="24"/>
          <w:szCs w:val="24"/>
        </w:rPr>
        <w:t xml:space="preserve">en respuesta refirió que la información solicitada podrá ser encontrada en el portal de </w:t>
      </w:r>
      <w:proofErr w:type="spellStart"/>
      <w:r w:rsidRPr="00265631">
        <w:rPr>
          <w:rFonts w:ascii="Palatino Linotype" w:eastAsia="MS Mincho" w:hAnsi="Palatino Linotype" w:cs="Arial"/>
          <w:sz w:val="24"/>
          <w:szCs w:val="24"/>
        </w:rPr>
        <w:t>legistel</w:t>
      </w:r>
      <w:proofErr w:type="spellEnd"/>
      <w:r w:rsidRPr="00265631">
        <w:rPr>
          <w:rFonts w:ascii="Palatino Linotype" w:eastAsia="MS Mincho" w:hAnsi="Palatino Linotype" w:cs="Arial"/>
          <w:sz w:val="24"/>
          <w:szCs w:val="24"/>
        </w:rPr>
        <w:t xml:space="preserve"> del Gobierno del Estado de México, en la siguiente liga electrónica</w:t>
      </w:r>
      <w:r w:rsidR="004A2FBC" w:rsidRPr="00265631">
        <w:rPr>
          <w:rFonts w:ascii="Palatino Linotype" w:eastAsia="MS Mincho" w:hAnsi="Palatino Linotype" w:cs="Arial"/>
          <w:sz w:val="24"/>
          <w:szCs w:val="24"/>
        </w:rPr>
        <w:t xml:space="preserve">: </w:t>
      </w:r>
      <w:hyperlink r:id="rId8" w:history="1">
        <w:r w:rsidR="004A2FBC" w:rsidRPr="00265631">
          <w:rPr>
            <w:rStyle w:val="Hipervnculo"/>
            <w:rFonts w:ascii="Palatino Linotype" w:eastAsia="MS Mincho" w:hAnsi="Palatino Linotype" w:cs="Arial"/>
            <w:sz w:val="24"/>
            <w:szCs w:val="24"/>
          </w:rPr>
          <w:t>http://legislacion.edomex.gob.mx/ve_periodico_oficial</w:t>
        </w:r>
      </w:hyperlink>
      <w:r w:rsidR="004A2FBC" w:rsidRPr="00265631">
        <w:rPr>
          <w:rFonts w:ascii="Palatino Linotype" w:eastAsia="MS Mincho" w:hAnsi="Palatino Linotype" w:cs="Arial"/>
          <w:sz w:val="24"/>
          <w:szCs w:val="24"/>
        </w:rPr>
        <w:t xml:space="preserve"> de tal forma que, se procedió a verificar su contenido y se advirtió lo siguiente; </w:t>
      </w:r>
    </w:p>
    <w:p w:rsidR="004A2FBC" w:rsidRPr="00265631" w:rsidRDefault="004A2FB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r w:rsidRPr="00265631">
        <w:rPr>
          <w:rFonts w:ascii="Palatino Linotype" w:hAnsi="Palatino Linotype"/>
          <w:noProof/>
          <w:sz w:val="24"/>
          <w:szCs w:val="24"/>
          <w:lang w:eastAsia="es-MX"/>
        </w:rPr>
        <w:drawing>
          <wp:inline distT="0" distB="0" distL="0" distR="0" wp14:anchorId="7D87A684" wp14:editId="61B5BA47">
            <wp:extent cx="5581199" cy="3636000"/>
            <wp:effectExtent l="0" t="0" r="63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10" t="6441" r="20118" b="23528"/>
                    <a:stretch/>
                  </pic:blipFill>
                  <pic:spPr bwMode="auto">
                    <a:xfrm>
                      <a:off x="0" y="0"/>
                      <a:ext cx="5601245" cy="3649059"/>
                    </a:xfrm>
                    <a:prstGeom prst="rect">
                      <a:avLst/>
                    </a:prstGeom>
                    <a:ln>
                      <a:noFill/>
                    </a:ln>
                    <a:extLst>
                      <a:ext uri="{53640926-AAD7-44D8-BBD7-CCE9431645EC}">
                        <a14:shadowObscured xmlns:a14="http://schemas.microsoft.com/office/drawing/2010/main"/>
                      </a:ext>
                    </a:extLst>
                  </pic:spPr>
                </pic:pic>
              </a:graphicData>
            </a:graphic>
          </wp:inline>
        </w:drawing>
      </w:r>
    </w:p>
    <w:p w:rsidR="005A6F45" w:rsidRPr="00265631" w:rsidRDefault="005A6F45"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5A6F45" w:rsidRPr="00265631" w:rsidRDefault="004A2FB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atención a lo vertido por el </w:t>
      </w:r>
      <w:r w:rsidRPr="00265631">
        <w:rPr>
          <w:rFonts w:ascii="Palatino Linotype" w:eastAsia="MS Mincho" w:hAnsi="Palatino Linotype" w:cs="Arial"/>
          <w:b/>
          <w:bCs/>
          <w:sz w:val="24"/>
          <w:szCs w:val="24"/>
        </w:rPr>
        <w:t>Sujeto Obligado</w:t>
      </w:r>
      <w:r w:rsidR="00FC2C5D" w:rsidRPr="00265631">
        <w:rPr>
          <w:rFonts w:ascii="Palatino Linotype" w:eastAsia="MS Mincho" w:hAnsi="Palatino Linotype" w:cs="Arial"/>
          <w:b/>
          <w:bCs/>
          <w:sz w:val="24"/>
          <w:szCs w:val="24"/>
        </w:rPr>
        <w:t xml:space="preserve"> </w:t>
      </w:r>
      <w:r w:rsidR="00FC2C5D" w:rsidRPr="00265631">
        <w:rPr>
          <w:rFonts w:ascii="Palatino Linotype" w:eastAsia="MS Mincho" w:hAnsi="Palatino Linotype" w:cs="Arial"/>
          <w:sz w:val="24"/>
          <w:szCs w:val="24"/>
        </w:rPr>
        <w:t>en respuesta,</w:t>
      </w:r>
      <w:r w:rsidRPr="00265631">
        <w:rPr>
          <w:rFonts w:ascii="Palatino Linotype" w:eastAsia="MS Mincho" w:hAnsi="Palatino Linotype" w:cs="Arial"/>
          <w:sz w:val="24"/>
          <w:szCs w:val="24"/>
        </w:rPr>
        <w:t xml:space="preserve"> al referir la liga electrónica donde el solicitante puede consultar los acuerdos de autorización, </w:t>
      </w:r>
      <w:r w:rsidR="00FC2C5D" w:rsidRPr="00265631">
        <w:rPr>
          <w:rFonts w:ascii="Palatino Linotype" w:eastAsia="MS Mincho" w:hAnsi="Palatino Linotype" w:cs="Arial"/>
          <w:sz w:val="24"/>
          <w:szCs w:val="24"/>
        </w:rPr>
        <w:t xml:space="preserve">se colige que éste conoce lo que requiere el particular, de tal manera que se obvia el análisis del presente punto. </w:t>
      </w:r>
    </w:p>
    <w:p w:rsidR="00FC2C5D" w:rsidRPr="00265631" w:rsidRDefault="00FC2C5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C2C5D" w:rsidRPr="00265631" w:rsidRDefault="00FC2C5D"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Sin embargo, cabe precisar que de acuerdo con lo que establece el artículo 11 de la Ley de Transparencia y Acceso a la Información Pública, se tiene que en la generación, </w:t>
      </w:r>
      <w:r w:rsidRPr="00265631">
        <w:rPr>
          <w:rFonts w:ascii="Palatino Linotype" w:eastAsia="MS Mincho" w:hAnsi="Palatino Linotype" w:cs="Arial"/>
          <w:b/>
          <w:bCs/>
          <w:sz w:val="24"/>
          <w:szCs w:val="24"/>
        </w:rPr>
        <w:t xml:space="preserve">publicación y entrega de la información </w:t>
      </w:r>
      <w:r w:rsidRPr="00265631">
        <w:rPr>
          <w:rFonts w:ascii="Palatino Linotype" w:eastAsia="MS Mincho" w:hAnsi="Palatino Linotype" w:cs="Arial"/>
          <w:sz w:val="24"/>
          <w:szCs w:val="24"/>
        </w:rPr>
        <w:t xml:space="preserve">se deberá garantizar que ésta sea accesible, actualizada, completa, congruente, verificable, veraz, integral, oportuna y expedita, aunado a que el artículo 161 de la Ley de Transparencia Estatal, señala que </w:t>
      </w:r>
      <w:r w:rsidRPr="00265631">
        <w:rPr>
          <w:rFonts w:ascii="Palatino Linotype" w:eastAsia="MS Mincho" w:hAnsi="Palatino Linotype" w:cs="Arial"/>
          <w:b/>
          <w:bCs/>
          <w:sz w:val="24"/>
          <w:szCs w:val="24"/>
        </w:rPr>
        <w:t>cuando la información requerida por el solicitante ya esté disponible al público en medios impresos</w:t>
      </w:r>
      <w:r w:rsidRPr="00265631">
        <w:rPr>
          <w:rFonts w:ascii="Palatino Linotype" w:eastAsia="MS Mincho" w:hAnsi="Palatino Linotype" w:cs="Arial"/>
          <w:sz w:val="24"/>
          <w:szCs w:val="24"/>
        </w:rPr>
        <w:t xml:space="preserve">, [en este caso se encuentra ya en un formato electrónico disponible en internet], el </w:t>
      </w:r>
      <w:r w:rsidRPr="00265631">
        <w:rPr>
          <w:rFonts w:ascii="Palatino Linotype" w:eastAsia="MS Mincho" w:hAnsi="Palatino Linotype" w:cs="Arial"/>
          <w:b/>
          <w:bCs/>
          <w:sz w:val="24"/>
          <w:szCs w:val="24"/>
        </w:rPr>
        <w:t>Sujeto Obligado</w:t>
      </w:r>
      <w:r w:rsidRPr="00265631">
        <w:rPr>
          <w:rFonts w:ascii="Palatino Linotype" w:eastAsia="MS Mincho" w:hAnsi="Palatino Linotype" w:cs="Arial"/>
          <w:sz w:val="24"/>
          <w:szCs w:val="24"/>
        </w:rPr>
        <w:t xml:space="preserve">, hará del conocimiento del solicitante, </w:t>
      </w:r>
      <w:r w:rsidRPr="00265631">
        <w:rPr>
          <w:rFonts w:ascii="Palatino Linotype" w:eastAsia="MS Mincho" w:hAnsi="Palatino Linotype" w:cs="Arial"/>
          <w:b/>
          <w:bCs/>
          <w:sz w:val="24"/>
          <w:szCs w:val="24"/>
        </w:rPr>
        <w:t>la fuente, el lugar  y la forma en que puede consultar, reproducir o adquirir dicha información</w:t>
      </w:r>
      <w:r w:rsidRPr="00265631">
        <w:rPr>
          <w:rFonts w:ascii="Palatino Linotype" w:eastAsia="MS Mincho" w:hAnsi="Palatino Linotype" w:cs="Arial"/>
          <w:sz w:val="24"/>
          <w:szCs w:val="24"/>
        </w:rPr>
        <w:t xml:space="preserve">, de tal forma que, </w:t>
      </w:r>
      <w:r w:rsidRPr="00265631">
        <w:rPr>
          <w:rFonts w:ascii="Palatino Linotype" w:eastAsia="MS Mincho" w:hAnsi="Palatino Linotype" w:cs="Arial"/>
          <w:b/>
          <w:bCs/>
          <w:sz w:val="24"/>
          <w:szCs w:val="24"/>
        </w:rPr>
        <w:t xml:space="preserve">la fuente deberá ser precisa y concreta y no debe implicar que el solicitante realice una búsqueda en toda la información que se encuentre disponible. </w:t>
      </w:r>
    </w:p>
    <w:p w:rsidR="00FC2C5D" w:rsidRPr="00265631" w:rsidRDefault="00FC2C5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C2C5D" w:rsidRPr="00265631" w:rsidRDefault="00FC2C5D"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b/>
          <w:bCs/>
          <w:sz w:val="24"/>
          <w:szCs w:val="24"/>
        </w:rPr>
      </w:pPr>
      <w:r w:rsidRPr="00265631">
        <w:rPr>
          <w:rFonts w:ascii="Palatino Linotype" w:eastAsia="MS Mincho" w:hAnsi="Palatino Linotype" w:cs="Arial"/>
          <w:sz w:val="24"/>
          <w:szCs w:val="24"/>
        </w:rPr>
        <w:t xml:space="preserve">Por lo anterior, esta Ponencia concluye que no se tiene por colmado el punto referido con el numeral 5) y determina procedente </w:t>
      </w:r>
      <w:r w:rsidRPr="00265631">
        <w:rPr>
          <w:rFonts w:ascii="Palatino Linotype" w:eastAsia="MS Mincho" w:hAnsi="Palatino Linotype" w:cs="Arial"/>
          <w:b/>
          <w:bCs/>
          <w:sz w:val="24"/>
          <w:szCs w:val="24"/>
        </w:rPr>
        <w:t xml:space="preserve">ordenar la entrega </w:t>
      </w:r>
      <w:proofErr w:type="gramStart"/>
      <w:r w:rsidRPr="00265631">
        <w:rPr>
          <w:rFonts w:ascii="Palatino Linotype" w:eastAsia="MS Mincho" w:hAnsi="Palatino Linotype" w:cs="Arial"/>
          <w:b/>
          <w:bCs/>
          <w:sz w:val="24"/>
          <w:szCs w:val="24"/>
        </w:rPr>
        <w:t>de el</w:t>
      </w:r>
      <w:proofErr w:type="gramEnd"/>
      <w:r w:rsidRPr="00265631">
        <w:rPr>
          <w:rFonts w:ascii="Palatino Linotype" w:eastAsia="MS Mincho" w:hAnsi="Palatino Linotype" w:cs="Arial"/>
          <w:b/>
          <w:bCs/>
          <w:sz w:val="24"/>
          <w:szCs w:val="24"/>
        </w:rPr>
        <w:t xml:space="preserve"> o los </w:t>
      </w:r>
      <w:bookmarkStart w:id="42" w:name="_Hlk21621261"/>
      <w:r w:rsidRPr="00265631">
        <w:rPr>
          <w:rFonts w:ascii="Palatino Linotype" w:eastAsia="MS Mincho" w:hAnsi="Palatino Linotype" w:cs="Arial"/>
          <w:b/>
          <w:bCs/>
          <w:sz w:val="24"/>
          <w:szCs w:val="24"/>
        </w:rPr>
        <w:t>documentos donde consten las referencias de los acuerdos de autorización del pro</w:t>
      </w:r>
      <w:r w:rsidR="00C60745" w:rsidRPr="00265631">
        <w:rPr>
          <w:rFonts w:ascii="Palatino Linotype" w:eastAsia="MS Mincho" w:hAnsi="Palatino Linotype" w:cs="Arial"/>
          <w:b/>
          <w:bCs/>
          <w:sz w:val="24"/>
          <w:szCs w:val="24"/>
        </w:rPr>
        <w:t xml:space="preserve">yecto Conjunto Urbano “La Guadalupana del Lago”. </w:t>
      </w:r>
    </w:p>
    <w:p w:rsidR="00037311" w:rsidRPr="00265631" w:rsidRDefault="00037311" w:rsidP="00265631">
      <w:pPr>
        <w:tabs>
          <w:tab w:val="left" w:pos="0"/>
          <w:tab w:val="left" w:pos="426"/>
        </w:tabs>
        <w:spacing w:after="0" w:line="360" w:lineRule="auto"/>
        <w:ind w:right="49"/>
        <w:contextualSpacing/>
        <w:jc w:val="both"/>
        <w:rPr>
          <w:rFonts w:ascii="Palatino Linotype" w:eastAsia="MS Mincho" w:hAnsi="Palatino Linotype" w:cs="Arial"/>
          <w:b/>
          <w:bCs/>
          <w:sz w:val="24"/>
          <w:szCs w:val="24"/>
        </w:rPr>
      </w:pPr>
    </w:p>
    <w:p w:rsidR="00037311" w:rsidRPr="00265631" w:rsidRDefault="00037311" w:rsidP="00265631">
      <w:pPr>
        <w:keepNext/>
        <w:keepLines/>
        <w:spacing w:after="0" w:line="360" w:lineRule="auto"/>
        <w:outlineLvl w:val="0"/>
        <w:rPr>
          <w:rFonts w:ascii="Palatino Linotype" w:hAnsi="Palatino Linotype"/>
          <w:b/>
          <w:sz w:val="24"/>
          <w:szCs w:val="24"/>
        </w:rPr>
      </w:pPr>
      <w:bookmarkStart w:id="43" w:name="_Toc21701096"/>
      <w:bookmarkEnd w:id="42"/>
      <w:r w:rsidRPr="00265631">
        <w:rPr>
          <w:rFonts w:ascii="Palatino Linotype" w:eastAsia="Times New Roman" w:hAnsi="Palatino Linotype" w:cstheme="majorBidi"/>
          <w:b/>
          <w:sz w:val="24"/>
          <w:szCs w:val="24"/>
          <w:lang w:val="es-ES_tradnl" w:eastAsia="es-ES"/>
        </w:rPr>
        <w:t xml:space="preserve">VI. </w:t>
      </w:r>
      <w:r w:rsidRPr="00265631">
        <w:rPr>
          <w:rFonts w:ascii="Palatino Linotype" w:hAnsi="Palatino Linotype"/>
          <w:b/>
          <w:sz w:val="24"/>
          <w:szCs w:val="24"/>
        </w:rPr>
        <w:t>De la Comisión del Agua del Estado de México (CAEM)</w:t>
      </w:r>
      <w:bookmarkEnd w:id="43"/>
      <w:r w:rsidRPr="00265631">
        <w:rPr>
          <w:rFonts w:ascii="Palatino Linotype" w:hAnsi="Palatino Linotype"/>
          <w:b/>
          <w:sz w:val="24"/>
          <w:szCs w:val="24"/>
        </w:rPr>
        <w:t xml:space="preserve"> </w:t>
      </w:r>
    </w:p>
    <w:p w:rsidR="00C013AD" w:rsidRPr="00265631" w:rsidRDefault="00C013A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D54FA4" w:rsidRPr="00265631" w:rsidRDefault="00C013AD"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cuanto hace a los requerimientos señalados con los numerales </w:t>
      </w:r>
      <w:r w:rsidRPr="00265631">
        <w:rPr>
          <w:rFonts w:ascii="Palatino Linotype" w:eastAsia="MS Mincho" w:hAnsi="Palatino Linotype" w:cs="Arial"/>
          <w:b/>
          <w:bCs/>
          <w:sz w:val="24"/>
          <w:szCs w:val="24"/>
        </w:rPr>
        <w:t xml:space="preserve">6) Evaluación de Manifestación de Impacto ambiental de la Planta de Tratamiento del conjunto y acuerdos de entrega de equipamiento urbano al </w:t>
      </w:r>
      <w:r w:rsidR="00D54FA4" w:rsidRPr="00265631">
        <w:rPr>
          <w:rFonts w:ascii="Palatino Linotype" w:eastAsia="MS Mincho" w:hAnsi="Palatino Linotype" w:cs="Arial"/>
          <w:b/>
          <w:bCs/>
          <w:sz w:val="24"/>
          <w:szCs w:val="24"/>
        </w:rPr>
        <w:t>Municipio</w:t>
      </w:r>
      <w:r w:rsidR="00FF6BE2" w:rsidRPr="00265631">
        <w:rPr>
          <w:rFonts w:ascii="Palatino Linotype" w:eastAsia="MS Mincho" w:hAnsi="Palatino Linotype" w:cs="Arial"/>
          <w:sz w:val="24"/>
          <w:szCs w:val="24"/>
        </w:rPr>
        <w:t xml:space="preserve"> y; </w:t>
      </w:r>
      <w:r w:rsidR="00FF6BE2" w:rsidRPr="00265631">
        <w:rPr>
          <w:rFonts w:ascii="Palatino Linotype" w:eastAsia="MS Mincho" w:hAnsi="Palatino Linotype" w:cs="Arial"/>
          <w:b/>
          <w:bCs/>
          <w:sz w:val="24"/>
          <w:szCs w:val="24"/>
        </w:rPr>
        <w:t xml:space="preserve">7) la Factibilidad del servicio en cada una de las etapas del proyecto y el respectivo pago en bloque y </w:t>
      </w:r>
      <w:proofErr w:type="spellStart"/>
      <w:r w:rsidR="00FF6BE2" w:rsidRPr="00265631">
        <w:rPr>
          <w:rFonts w:ascii="Palatino Linotype" w:eastAsia="MS Mincho" w:hAnsi="Palatino Linotype" w:cs="Arial"/>
          <w:b/>
          <w:bCs/>
          <w:sz w:val="24"/>
          <w:szCs w:val="24"/>
        </w:rPr>
        <w:t>volumenes</w:t>
      </w:r>
      <w:proofErr w:type="spellEnd"/>
      <w:r w:rsidR="00FF6BE2" w:rsidRPr="00265631">
        <w:rPr>
          <w:rFonts w:ascii="Palatino Linotype" w:eastAsia="MS Mincho" w:hAnsi="Palatino Linotype" w:cs="Arial"/>
          <w:b/>
          <w:bCs/>
          <w:sz w:val="24"/>
          <w:szCs w:val="24"/>
        </w:rPr>
        <w:t xml:space="preserve"> autorizados. </w:t>
      </w:r>
    </w:p>
    <w:p w:rsidR="00FF6BE2" w:rsidRPr="00265631" w:rsidRDefault="00FF6BE2"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2566C" w:rsidRPr="00265631" w:rsidRDefault="0012566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primera instancia es de manifestar </w:t>
      </w:r>
      <w:r w:rsidR="00037311" w:rsidRPr="00265631">
        <w:rPr>
          <w:rFonts w:ascii="Palatino Linotype" w:eastAsia="MS Mincho" w:hAnsi="Palatino Linotype" w:cs="Arial"/>
          <w:sz w:val="24"/>
          <w:szCs w:val="24"/>
        </w:rPr>
        <w:t>que,</w:t>
      </w:r>
      <w:r w:rsidRPr="00265631">
        <w:rPr>
          <w:rFonts w:ascii="Palatino Linotype" w:eastAsia="MS Mincho" w:hAnsi="Palatino Linotype" w:cs="Arial"/>
          <w:sz w:val="24"/>
          <w:szCs w:val="24"/>
        </w:rPr>
        <w:t xml:space="preserve"> respecto a la Manifestación de </w:t>
      </w:r>
      <w:r w:rsidR="00037311" w:rsidRPr="00265631">
        <w:rPr>
          <w:rFonts w:ascii="Palatino Linotype" w:eastAsia="MS Mincho" w:hAnsi="Palatino Linotype" w:cs="Arial"/>
          <w:sz w:val="24"/>
          <w:szCs w:val="24"/>
        </w:rPr>
        <w:t>I</w:t>
      </w:r>
      <w:r w:rsidRPr="00265631">
        <w:rPr>
          <w:rFonts w:ascii="Palatino Linotype" w:eastAsia="MS Mincho" w:hAnsi="Palatino Linotype" w:cs="Arial"/>
          <w:sz w:val="24"/>
          <w:szCs w:val="24"/>
        </w:rPr>
        <w:t xml:space="preserve">mpacto </w:t>
      </w:r>
      <w:r w:rsidR="00606374" w:rsidRPr="00265631">
        <w:rPr>
          <w:rFonts w:ascii="Palatino Linotype" w:eastAsia="MS Mincho" w:hAnsi="Palatino Linotype" w:cs="Arial"/>
          <w:sz w:val="24"/>
          <w:szCs w:val="24"/>
        </w:rPr>
        <w:t xml:space="preserve">Ambiental y los acuerdos de entrega de equipamiento, de acuerdo con lo manifestado por el </w:t>
      </w:r>
      <w:r w:rsidR="00606374" w:rsidRPr="00265631">
        <w:rPr>
          <w:rFonts w:ascii="Palatino Linotype" w:eastAsia="MS Mincho" w:hAnsi="Palatino Linotype" w:cs="Arial"/>
          <w:b/>
          <w:bCs/>
          <w:sz w:val="24"/>
          <w:szCs w:val="24"/>
        </w:rPr>
        <w:t>Sujeto Obligado</w:t>
      </w:r>
      <w:r w:rsidR="00606374" w:rsidRPr="00265631">
        <w:rPr>
          <w:rFonts w:ascii="Palatino Linotype" w:eastAsia="MS Mincho" w:hAnsi="Palatino Linotype" w:cs="Arial"/>
          <w:sz w:val="24"/>
          <w:szCs w:val="24"/>
        </w:rPr>
        <w:t xml:space="preserve">, son competencia de la Comisión </w:t>
      </w:r>
      <w:r w:rsidR="00037311" w:rsidRPr="00265631">
        <w:rPr>
          <w:rFonts w:ascii="Palatino Linotype" w:eastAsia="MS Mincho" w:hAnsi="Palatino Linotype" w:cs="Arial"/>
          <w:sz w:val="24"/>
          <w:szCs w:val="24"/>
        </w:rPr>
        <w:t xml:space="preserve">del Agua del Estado de México, como se advirtió del estudio anterior son documentos que no expide el Ayuntamiento, sino que son obtenidos a través de trámites específicos que no son del conocimiento del </w:t>
      </w:r>
      <w:r w:rsidR="00037311" w:rsidRPr="00265631">
        <w:rPr>
          <w:rFonts w:ascii="Palatino Linotype" w:eastAsia="MS Mincho" w:hAnsi="Palatino Linotype" w:cs="Arial"/>
          <w:b/>
          <w:bCs/>
          <w:sz w:val="24"/>
          <w:szCs w:val="24"/>
        </w:rPr>
        <w:t xml:space="preserve">Sujeto Obligado </w:t>
      </w:r>
      <w:r w:rsidR="00037311" w:rsidRPr="00265631">
        <w:rPr>
          <w:rFonts w:ascii="Palatino Linotype" w:eastAsia="MS Mincho" w:hAnsi="Palatino Linotype" w:cs="Arial"/>
          <w:sz w:val="24"/>
          <w:szCs w:val="24"/>
        </w:rPr>
        <w:t xml:space="preserve">de tal forma que, se determina que éste no es competente para conocer de éstos documentos.  </w:t>
      </w:r>
    </w:p>
    <w:p w:rsidR="00606374" w:rsidRPr="00265631" w:rsidRDefault="00606374" w:rsidP="00265631">
      <w:pPr>
        <w:tabs>
          <w:tab w:val="left" w:pos="0"/>
          <w:tab w:val="left" w:pos="426"/>
        </w:tabs>
        <w:spacing w:after="0" w:line="360" w:lineRule="auto"/>
        <w:ind w:right="49"/>
        <w:contextualSpacing/>
        <w:jc w:val="both"/>
        <w:rPr>
          <w:rFonts w:ascii="Palatino Linotype" w:eastAsia="MS Mincho" w:hAnsi="Palatino Linotype" w:cs="Arial"/>
          <w:sz w:val="24"/>
          <w:szCs w:val="24"/>
          <w:highlight w:val="yellow"/>
        </w:rPr>
      </w:pPr>
    </w:p>
    <w:p w:rsidR="00D54FA4" w:rsidRPr="00265631" w:rsidRDefault="0060637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Ahora bien, d</w:t>
      </w:r>
      <w:r w:rsidR="00D54FA4" w:rsidRPr="00265631">
        <w:rPr>
          <w:rFonts w:ascii="Palatino Linotype" w:eastAsia="MS Mincho" w:hAnsi="Palatino Linotype" w:cs="Arial"/>
          <w:sz w:val="24"/>
          <w:szCs w:val="24"/>
        </w:rPr>
        <w:t>e acuerdo con lo establecido en el artículo 17 de la Ley del agua para el Estado de México y Municipios. La Comisión del Agua del Estado de México, es un organismo público descentralizado, con personalidad jurídica y patrimonio propios sectorizado a la Secretaría con carácter de autoridad fiscal</w:t>
      </w:r>
      <w:r w:rsidR="009673AF" w:rsidRPr="00265631">
        <w:rPr>
          <w:rFonts w:ascii="Palatino Linotype" w:eastAsia="MS Mincho" w:hAnsi="Palatino Linotype" w:cs="Arial"/>
          <w:sz w:val="24"/>
          <w:szCs w:val="24"/>
        </w:rPr>
        <w:t xml:space="preserve">, ésta </w:t>
      </w:r>
      <w:r w:rsidR="00D54FA4" w:rsidRPr="00265631">
        <w:rPr>
          <w:rFonts w:ascii="Palatino Linotype" w:eastAsia="MS Mincho" w:hAnsi="Palatino Linotype" w:cs="Arial"/>
          <w:sz w:val="24"/>
          <w:szCs w:val="24"/>
        </w:rPr>
        <w:t>tiene por objeto planear, programa</w:t>
      </w:r>
      <w:r w:rsidR="009673AF" w:rsidRPr="00265631">
        <w:rPr>
          <w:rFonts w:ascii="Palatino Linotype" w:eastAsia="MS Mincho" w:hAnsi="Palatino Linotype" w:cs="Arial"/>
          <w:sz w:val="24"/>
          <w:szCs w:val="24"/>
        </w:rPr>
        <w:t>r</w:t>
      </w:r>
      <w:r w:rsidR="00D54FA4" w:rsidRPr="00265631">
        <w:rPr>
          <w:rFonts w:ascii="Palatino Linotype" w:eastAsia="MS Mincho" w:hAnsi="Palatino Linotype" w:cs="Arial"/>
          <w:sz w:val="24"/>
          <w:szCs w:val="24"/>
        </w:rPr>
        <w:t xml:space="preserve">, presupuestar, diseñar, construir, conservar, mantener, operar y administrar sistemas de suministro de agua potable, desinfección, drenaje, alcantarillado, saneamiento, tratamiento y reúso de aguas tratadas. </w:t>
      </w:r>
    </w:p>
    <w:p w:rsidR="00D54FA4" w:rsidRPr="00265631" w:rsidRDefault="00D54FA4"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D54FA4" w:rsidRPr="00265631" w:rsidRDefault="009673AF"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Ahora bien, la Ley del Agua para el Estado de México y Municipios, establece dos conceptos fundamentales para el análisis del presente asuntos, los cuales son; </w:t>
      </w:r>
    </w:p>
    <w:p w:rsidR="009673AF" w:rsidRPr="00265631" w:rsidRDefault="009673AF"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9673AF" w:rsidRPr="00265631" w:rsidRDefault="009673AF" w:rsidP="00265631">
      <w:pPr>
        <w:pStyle w:val="Prrafodelista"/>
        <w:numPr>
          <w:ilvl w:val="0"/>
          <w:numId w:val="22"/>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Evaluación técnica de factibilidad de agua, drenaje, alcantarillado y tratamiento de aguas residuales: </w:t>
      </w:r>
      <w:r w:rsidRPr="00265631">
        <w:rPr>
          <w:rFonts w:ascii="Palatino Linotype" w:eastAsia="MS Mincho" w:hAnsi="Palatino Linotype" w:cs="Arial"/>
          <w:sz w:val="24"/>
          <w:szCs w:val="24"/>
        </w:rPr>
        <w:t>Análisis efectuado por la Comisión para la prestación de los servicios de agua potable, drenaje, alcantarillado y tratamiento de aguas residuales y;</w:t>
      </w:r>
    </w:p>
    <w:p w:rsidR="009673AF" w:rsidRPr="00265631" w:rsidRDefault="009673AF" w:rsidP="00265631">
      <w:pPr>
        <w:pStyle w:val="Prrafodelista"/>
        <w:tabs>
          <w:tab w:val="left" w:pos="0"/>
          <w:tab w:val="left" w:pos="426"/>
        </w:tabs>
        <w:spacing w:after="0" w:line="360" w:lineRule="auto"/>
        <w:ind w:left="567" w:right="567"/>
        <w:jc w:val="both"/>
        <w:rPr>
          <w:rFonts w:ascii="Palatino Linotype" w:eastAsia="MS Mincho" w:hAnsi="Palatino Linotype" w:cs="Arial"/>
          <w:b/>
          <w:bCs/>
          <w:sz w:val="24"/>
          <w:szCs w:val="24"/>
        </w:rPr>
      </w:pPr>
    </w:p>
    <w:p w:rsidR="009673AF" w:rsidRPr="00265631" w:rsidRDefault="009673AF" w:rsidP="00265631">
      <w:pPr>
        <w:pStyle w:val="Prrafodelista"/>
        <w:numPr>
          <w:ilvl w:val="0"/>
          <w:numId w:val="22"/>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Evaluación técnica de factibilidad de distribución de agua: </w:t>
      </w:r>
      <w:r w:rsidRPr="00265631">
        <w:rPr>
          <w:rFonts w:ascii="Palatino Linotype" w:eastAsia="MS Mincho" w:hAnsi="Palatino Linotype" w:cs="Arial"/>
          <w:sz w:val="24"/>
          <w:szCs w:val="24"/>
        </w:rPr>
        <w:t xml:space="preserve">Al análisis efectuado por la Comisión para la distribución de agua potable y tratada a través de pipas. </w:t>
      </w:r>
    </w:p>
    <w:p w:rsidR="009673AF" w:rsidRPr="00265631" w:rsidRDefault="009673AF" w:rsidP="00265631">
      <w:pPr>
        <w:tabs>
          <w:tab w:val="left" w:pos="0"/>
          <w:tab w:val="left" w:pos="426"/>
        </w:tabs>
        <w:spacing w:after="0" w:line="360" w:lineRule="auto"/>
        <w:ind w:left="567" w:right="567"/>
        <w:contextualSpacing/>
        <w:jc w:val="both"/>
        <w:rPr>
          <w:rFonts w:ascii="Palatino Linotype" w:eastAsia="MS Mincho" w:hAnsi="Palatino Linotype" w:cs="Arial"/>
          <w:sz w:val="24"/>
          <w:szCs w:val="24"/>
        </w:rPr>
      </w:pPr>
    </w:p>
    <w:p w:rsidR="00D54FA4" w:rsidRPr="00265631" w:rsidRDefault="009673AF"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Respecto con lo establecido por la fracción VIII del artículo 18 de la Ley referida, la Comisión contará dentro de sus atribuciones con la de </w:t>
      </w:r>
      <w:r w:rsidRPr="00265631">
        <w:rPr>
          <w:rFonts w:ascii="Palatino Linotype" w:eastAsia="MS Mincho" w:hAnsi="Palatino Linotype" w:cs="Arial"/>
          <w:b/>
          <w:bCs/>
          <w:sz w:val="24"/>
          <w:szCs w:val="24"/>
        </w:rPr>
        <w:t xml:space="preserve">Emitir la evaluación técnica de factibilidad de distribución de agua, así como la del agua, drenaje, alcantarillado y tratamiento de aguas residuales, respecto de las factibilidades para los nuevos </w:t>
      </w:r>
      <w:r w:rsidR="00FC4C22" w:rsidRPr="00265631">
        <w:rPr>
          <w:rFonts w:ascii="Palatino Linotype" w:eastAsia="MS Mincho" w:hAnsi="Palatino Linotype" w:cs="Arial"/>
          <w:b/>
          <w:bCs/>
          <w:sz w:val="24"/>
          <w:szCs w:val="24"/>
        </w:rPr>
        <w:t xml:space="preserve">desarrollos urbanos, industriales y de servicios, que otorguen los municipios sobre los proyectos de dotación de los servicios. Cuando tales evaluaciones técnicas se relacionen con las autorizaciones a que se refiere el Libro Quinto del Código Administrativo del Estado de México. </w:t>
      </w:r>
    </w:p>
    <w:p w:rsidR="00FC4C22" w:rsidRPr="00265631" w:rsidRDefault="00FC4C22"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D54FA4" w:rsidRPr="00265631" w:rsidRDefault="00FC4C22"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Aunado a lo anterior, se establece que específicamente es atribución del Consejo Directivo de la Comisión la de </w:t>
      </w:r>
      <w:r w:rsidRPr="00265631">
        <w:rPr>
          <w:rFonts w:ascii="Palatino Linotype" w:eastAsia="MS Mincho" w:hAnsi="Palatino Linotype" w:cs="Arial"/>
          <w:b/>
          <w:bCs/>
          <w:sz w:val="24"/>
          <w:szCs w:val="24"/>
        </w:rPr>
        <w:t>emitir la evaluación técnica de factibilidad de distribución de agua, as</w:t>
      </w:r>
      <w:r w:rsidR="00FF6BE2" w:rsidRPr="00265631">
        <w:rPr>
          <w:rFonts w:ascii="Palatino Linotype" w:eastAsia="MS Mincho" w:hAnsi="Palatino Linotype" w:cs="Arial"/>
          <w:b/>
          <w:bCs/>
          <w:sz w:val="24"/>
          <w:szCs w:val="24"/>
        </w:rPr>
        <w:t>í</w:t>
      </w:r>
      <w:r w:rsidRPr="00265631">
        <w:rPr>
          <w:rFonts w:ascii="Palatino Linotype" w:eastAsia="MS Mincho" w:hAnsi="Palatino Linotype" w:cs="Arial"/>
          <w:b/>
          <w:bCs/>
          <w:sz w:val="24"/>
          <w:szCs w:val="24"/>
        </w:rPr>
        <w:t xml:space="preserve"> como la de agua, drenaje, alcantarillado y tratamiento de aguas residuales. </w:t>
      </w:r>
    </w:p>
    <w:p w:rsidR="00FC4C22" w:rsidRPr="00265631" w:rsidRDefault="00FC4C22"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D54FA4" w:rsidRPr="00265631" w:rsidRDefault="00FF6BE2"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su parte, el artículo 76 de la Ley del Agua Estatal, establece que el municipio, o en su caso, el organismo operador, determinará la factibilidad de otorgamiento del servicio de agua potable, drenaje, alcantarillado y tratamiento de aguas residuales a nuevos fraccionamientos, conjuntos habitacionales, comerciales, industriales, mixtos o de otro uso, </w:t>
      </w:r>
      <w:r w:rsidRPr="00265631">
        <w:rPr>
          <w:rFonts w:ascii="Palatino Linotype" w:eastAsia="MS Mincho" w:hAnsi="Palatino Linotype" w:cs="Arial"/>
          <w:b/>
          <w:bCs/>
          <w:sz w:val="24"/>
          <w:szCs w:val="24"/>
        </w:rPr>
        <w:t xml:space="preserve">previo a la satisfacción de los requisitos </w:t>
      </w:r>
      <w:r w:rsidRPr="00265631">
        <w:rPr>
          <w:rFonts w:ascii="Palatino Linotype" w:eastAsia="MS Mincho" w:hAnsi="Palatino Linotype" w:cs="Arial"/>
          <w:sz w:val="24"/>
          <w:szCs w:val="24"/>
        </w:rPr>
        <w:t>que para ello señala el Reglamento de la Ley del Agua y, considerando la infraestructura hidráulica para su prestación y la disponibilidad del agua, por lo que en consecuencia, la Comisión emitirá la evaluación técnica de factibilidad de distribución de agua, así como la de agua y drenaje.</w:t>
      </w:r>
    </w:p>
    <w:p w:rsidR="00FF6BE2" w:rsidRPr="00265631" w:rsidRDefault="00FF6BE2"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F174D9" w:rsidRPr="00265631" w:rsidRDefault="00FF6BE2"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En el mismo orden de ideas, la Ley citada, establece en su artículo 150 que; </w:t>
      </w:r>
    </w:p>
    <w:p w:rsidR="00FF6BE2" w:rsidRPr="00265631" w:rsidRDefault="00FF6BE2" w:rsidP="00265631">
      <w:pPr>
        <w:tabs>
          <w:tab w:val="left" w:pos="0"/>
          <w:tab w:val="left" w:pos="426"/>
        </w:tabs>
        <w:spacing w:after="0" w:line="360" w:lineRule="auto"/>
        <w:ind w:right="49"/>
        <w:contextualSpacing/>
        <w:jc w:val="both"/>
        <w:rPr>
          <w:rFonts w:ascii="Palatino Linotype" w:hAnsi="Palatino Linotype"/>
          <w:sz w:val="24"/>
          <w:szCs w:val="24"/>
        </w:rPr>
      </w:pPr>
    </w:p>
    <w:p w:rsidR="00FF6BE2" w:rsidRPr="00265631" w:rsidRDefault="00FF6BE2" w:rsidP="00265631">
      <w:pPr>
        <w:tabs>
          <w:tab w:val="left" w:pos="284"/>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hAnsi="Palatino Linotype"/>
          <w:b/>
          <w:bCs/>
          <w:sz w:val="24"/>
          <w:szCs w:val="24"/>
        </w:rPr>
        <w:t>Artículo 150.</w:t>
      </w:r>
      <w:r w:rsidRPr="00265631">
        <w:rPr>
          <w:rFonts w:ascii="Palatino Linotype" w:hAnsi="Palatino Linotype"/>
          <w:sz w:val="24"/>
          <w:szCs w:val="24"/>
        </w:rPr>
        <w:t xml:space="preserve"> </w:t>
      </w:r>
      <w:r w:rsidRPr="00265631">
        <w:rPr>
          <w:rFonts w:ascii="Palatino Linotype" w:hAnsi="Palatino Linotype"/>
          <w:b/>
          <w:bCs/>
          <w:sz w:val="24"/>
          <w:szCs w:val="24"/>
        </w:rPr>
        <w:t>La Comisión validará los dictámenes de factibilidad emitidos por los municipios o por los organismos operadores, mediante la emisión de la evaluación técnica de factibilidad de distribución de agua, así como la de agua, drenaje, alcantarillado y tratamiento de aguas residuales, en los términos del reglamento</w:t>
      </w:r>
    </w:p>
    <w:p w:rsidR="006E337A" w:rsidRPr="00265631" w:rsidRDefault="006E337A"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57DAD" w:rsidRPr="00265631" w:rsidRDefault="008B4F24"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Ahora bien, de acuerdo con el Reglamento de la Ley del Agua para el Estado de México y Municipios, se entiende como</w:t>
      </w:r>
      <w:r w:rsidR="00C57DAD" w:rsidRPr="00265631">
        <w:rPr>
          <w:rFonts w:ascii="Palatino Linotype" w:eastAsia="MS Mincho" w:hAnsi="Palatino Linotype" w:cs="Arial"/>
          <w:sz w:val="24"/>
          <w:szCs w:val="24"/>
        </w:rPr>
        <w:t>;</w:t>
      </w:r>
    </w:p>
    <w:p w:rsidR="00C57DAD" w:rsidRPr="00265631" w:rsidRDefault="00C57DAD"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8B4F24" w:rsidRPr="00265631" w:rsidRDefault="00C57DAD"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hAnsi="Palatino Linotype"/>
          <w:b/>
          <w:bCs/>
          <w:sz w:val="24"/>
          <w:szCs w:val="24"/>
        </w:rPr>
        <w:t>Factibilidad:</w:t>
      </w:r>
      <w:r w:rsidRPr="00265631">
        <w:rPr>
          <w:rFonts w:ascii="Palatino Linotype" w:hAnsi="Palatino Linotype"/>
          <w:sz w:val="24"/>
          <w:szCs w:val="24"/>
        </w:rPr>
        <w:t xml:space="preserve"> al dictamen que emite la autoridad correspondiente, en los términos del presente Reglamento, por la que se determina que se cuenta con una fuente de abastecimiento de agua que hace material y jurídicamente viable la prestación del servicio de agua potable, así como la infraestructura adecuada para los servicios de drenaje, alcantarillado y saneamiento.</w:t>
      </w:r>
    </w:p>
    <w:p w:rsidR="00B90D7C" w:rsidRPr="00265631" w:rsidRDefault="00B90D7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B90D7C" w:rsidRPr="00265631" w:rsidRDefault="00FF6BE2"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Hasta aquí</w:t>
      </w:r>
      <w:r w:rsidR="00C57DAD" w:rsidRPr="00265631">
        <w:rPr>
          <w:rFonts w:ascii="Palatino Linotype" w:eastAsia="MS Mincho" w:hAnsi="Palatino Linotype" w:cs="Arial"/>
          <w:sz w:val="24"/>
          <w:szCs w:val="24"/>
        </w:rPr>
        <w:t>, se tiene que</w:t>
      </w:r>
      <w:r w:rsidR="00B90D7C" w:rsidRPr="00265631">
        <w:rPr>
          <w:rFonts w:ascii="Palatino Linotype" w:eastAsia="MS Mincho" w:hAnsi="Palatino Linotype" w:cs="Arial"/>
          <w:sz w:val="24"/>
          <w:szCs w:val="24"/>
        </w:rPr>
        <w:t>:</w:t>
      </w:r>
    </w:p>
    <w:p w:rsidR="00B90D7C" w:rsidRPr="00265631" w:rsidRDefault="00B90D7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B90D7C" w:rsidRPr="00265631" w:rsidRDefault="00B90D7C" w:rsidP="00265631">
      <w:pPr>
        <w:pStyle w:val="Prrafodelista"/>
        <w:numPr>
          <w:ilvl w:val="0"/>
          <w:numId w:val="25"/>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El municipio o, en su caso el organismo operador de agua determinará la factibilidad del otorgamiento del servicio, previo a la satisfacción de ciertos requisitos y;</w:t>
      </w:r>
    </w:p>
    <w:p w:rsidR="00DD438B" w:rsidRPr="00265631" w:rsidRDefault="00DD438B" w:rsidP="00265631">
      <w:pPr>
        <w:pStyle w:val="Prrafodelista"/>
        <w:numPr>
          <w:ilvl w:val="0"/>
          <w:numId w:val="25"/>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w:t>
      </w:r>
      <w:r w:rsidR="00B90D7C" w:rsidRPr="00265631">
        <w:rPr>
          <w:rFonts w:ascii="Palatino Linotype" w:eastAsia="MS Mincho" w:hAnsi="Palatino Linotype" w:cs="Arial"/>
          <w:b/>
          <w:bCs/>
          <w:sz w:val="24"/>
          <w:szCs w:val="24"/>
        </w:rPr>
        <w:t>a Comisión</w:t>
      </w:r>
      <w:r w:rsidRPr="00265631">
        <w:rPr>
          <w:rFonts w:ascii="Palatino Linotype" w:eastAsia="MS Mincho" w:hAnsi="Palatino Linotype" w:cs="Arial"/>
          <w:b/>
          <w:bCs/>
          <w:sz w:val="24"/>
          <w:szCs w:val="24"/>
        </w:rPr>
        <w:t xml:space="preserve"> realizará el análisis para la prestación de los servicios de agua potable, drenaje, alcantarillado y tratamiento de aguas residuales y;</w:t>
      </w:r>
    </w:p>
    <w:p w:rsidR="00B90D7C" w:rsidRPr="00265631" w:rsidRDefault="00DD438B" w:rsidP="00265631">
      <w:pPr>
        <w:pStyle w:val="Prrafodelista"/>
        <w:numPr>
          <w:ilvl w:val="0"/>
          <w:numId w:val="25"/>
        </w:numPr>
        <w:tabs>
          <w:tab w:val="left" w:pos="0"/>
          <w:tab w:val="left" w:pos="426"/>
        </w:tabs>
        <w:spacing w:after="0" w:line="360" w:lineRule="auto"/>
        <w:ind w:left="567" w:right="567" w:firstLine="0"/>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En consecuencia, </w:t>
      </w:r>
      <w:r w:rsidR="00B90D7C" w:rsidRPr="00265631">
        <w:rPr>
          <w:rFonts w:ascii="Palatino Linotype" w:eastAsia="MS Mincho" w:hAnsi="Palatino Linotype" w:cs="Arial"/>
          <w:b/>
          <w:bCs/>
          <w:sz w:val="24"/>
          <w:szCs w:val="24"/>
        </w:rPr>
        <w:t xml:space="preserve">emitirá la evaluación técnica de factibilidad de distribución de agua. </w:t>
      </w:r>
    </w:p>
    <w:p w:rsidR="00FF6BE2" w:rsidRPr="00265631" w:rsidRDefault="00FF6BE2"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D01D3" w:rsidRPr="00265631" w:rsidRDefault="00B90D7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En cuanto hace a l</w:t>
      </w:r>
      <w:r w:rsidR="001D01D3" w:rsidRPr="00265631">
        <w:rPr>
          <w:rFonts w:ascii="Palatino Linotype" w:eastAsia="MS Mincho" w:hAnsi="Palatino Linotype" w:cs="Arial"/>
          <w:sz w:val="24"/>
          <w:szCs w:val="24"/>
        </w:rPr>
        <w:t>o establecido por el Código Administrativo del Estado de México en su artículo 18.20 señala que;</w:t>
      </w:r>
    </w:p>
    <w:p w:rsidR="001D01D3" w:rsidRPr="00265631" w:rsidRDefault="001D01D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Artículo 18.20.- La licencia de construcción tiene por objeto autorizar: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I. Obra nueva;</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 II. Ampliación, modificación o reparación que afecte elementos estructurales de la obra existente;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III. Demolición parcial o total;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IV. Excavación o relleno;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V. Construcción de bardas;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VI. Obras de conexión a las redes de agua potable y drenaje;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VII. Modificación del proyecto de una obra autorizada; </w:t>
      </w:r>
    </w:p>
    <w:p w:rsidR="00FF6BE2"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VIII. Construcción e instalación de estaciones repetidoras y antenas para radiotelecomunicaciones;</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IX. Anuncios publicitarios que requieran de elementos estructurales; y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X. Instalaciones o modificaciones de ascensores para personas, montacargas, escaleras mecánicas o cualquier otro mecanismo de transporte electromecánico.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La licencia de construcción tendrá vigencia de un año y podrá autorizar, además del uso de la vía pública, uno o más de los rubros señalados, conforme a la solicitud que se presente. </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b/>
          <w:bCs/>
          <w:sz w:val="24"/>
          <w:szCs w:val="24"/>
        </w:rPr>
        <w:t xml:space="preserve">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 </w:t>
      </w:r>
      <w:r w:rsidRPr="00265631">
        <w:rPr>
          <w:rFonts w:ascii="Palatino Linotype" w:eastAsia="MS Mincho" w:hAnsi="Palatino Linotype" w:cs="Arial"/>
          <w:sz w:val="24"/>
          <w:szCs w:val="24"/>
        </w:rPr>
        <w:t>[…]</w:t>
      </w:r>
    </w:p>
    <w:p w:rsidR="001D01D3" w:rsidRPr="00265631" w:rsidRDefault="001D01D3" w:rsidP="00265631">
      <w:pPr>
        <w:tabs>
          <w:tab w:val="left" w:pos="426"/>
          <w:tab w:val="left" w:pos="709"/>
        </w:tabs>
        <w:spacing w:after="0" w:line="360" w:lineRule="auto"/>
        <w:ind w:left="567" w:right="567"/>
        <w:contextualSpacing/>
        <w:jc w:val="both"/>
        <w:rPr>
          <w:rFonts w:ascii="Palatino Linotype" w:eastAsia="MS Mincho" w:hAnsi="Palatino Linotype" w:cs="Arial"/>
          <w:sz w:val="24"/>
          <w:szCs w:val="24"/>
        </w:rPr>
      </w:pPr>
    </w:p>
    <w:p w:rsidR="00FF6BE2" w:rsidRPr="00265631" w:rsidRDefault="001D01D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Asimismo, el artículo 18.21 del Código Administrativo, señala que la solicitud de licencia de construcción se acompañará como mínimo de:</w:t>
      </w:r>
    </w:p>
    <w:p w:rsidR="001D01D3" w:rsidRPr="00265631" w:rsidRDefault="001D01D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Artículo 18.21. A la solicitud de licencia de construcción se acompañará como mínimo:</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I. Documento que acredite la personalidad del solicitante;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II. Documento que acredite la propiedad o la posesión en concepto de propietario del inmueble;</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III. De acuerdo al tipo de licencia de construcción que se solicite, adicionalmente se requerirá: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A). Para obra nueva, así como para la ampliación, modificación o reparación que afecte elementos estructurales de una obra existente: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sz w:val="24"/>
          <w:szCs w:val="24"/>
        </w:rPr>
        <w:t>1. Licencia de uso del suelo, autorización de conjunto urbano o, en los casos que impliquen la construcción de más de diez viviendas o de un coeficiente de utilización del suelo de tres mil o más metros cuadrados de construcción en otros usos, constancia de viabilidad, autorización de subdivisión o de condominio según corresponda, expedida por la Secretaría de Desarrollo Urbano y Metropolitano.</w:t>
      </w:r>
      <w:r w:rsidRPr="00265631">
        <w:rPr>
          <w:rFonts w:ascii="Palatino Linotype" w:eastAsia="MS Mincho" w:hAnsi="Palatino Linotype" w:cs="Arial"/>
          <w:b/>
          <w:bCs/>
          <w:sz w:val="24"/>
          <w:szCs w:val="24"/>
        </w:rPr>
        <w:t xml:space="preserve">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2. Constancia de alineamiento y número oficial;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3. Planos arquitectónicos del proyecto, firmados por Director Responsable de Obra y/o Corresponsable de Obra.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4. Planos arquitectónicos del proyecto en los que se indiquen los pisos, departamentos, viviendas o locales que serán áreas privativas o del dominio exclusivo de los condóminos, los elementos comunes de la construcción y las áreas de uso común del inmueble, así como tabla de indivisos, firmados por el Director Responsable de Obra y/o Corresponsable de Obra, en el caso de construcciones en régimen de propiedad en condominio.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5. Planos estructurales, firmados por el Director Responsable de Obra y/o Corresponsable de Obra.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6. Planos de instalaciones hidráulicas, sanitarias, eléctricas y especiales, firmados por el Responsable de Obra y/o Corresponsable de Obra. 7. Constancia de terminación de obra, en los casos de ampliación, modificación o reparación de la obra existente.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8. Evaluación técnica de factibilidad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9. Tratándose de conjuntos urbanos, condominios y lotificaciones de vivienda, industriales, comerciales, de servicios y mixtos, la evaluación técnica de factibilidad de agua, drenaje, alcantarillado y tratamiento de aguas residuales será exigible para la asignación de obligaciones en materia de infraestructura, vinculantes a la autorización que emita la Secretaría de Desarrollo Urbano y Metropolitano, conforme a lo dispuesto por el Libro Quinto del presente Código y su Reglamento, así como la Ley del Agua para el Estado de México y Municipios.</w:t>
      </w:r>
    </w:p>
    <w:p w:rsidR="001D01D3" w:rsidRPr="00265631" w:rsidRDefault="001D01D3" w:rsidP="00265631">
      <w:pPr>
        <w:tabs>
          <w:tab w:val="left" w:pos="426"/>
        </w:tabs>
        <w:spacing w:after="0" w:line="360" w:lineRule="auto"/>
        <w:ind w:right="567"/>
        <w:contextualSpacing/>
        <w:jc w:val="both"/>
        <w:rPr>
          <w:rFonts w:ascii="Palatino Linotype" w:eastAsia="MS Mincho" w:hAnsi="Palatino Linotype" w:cs="Arial"/>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 xml:space="preserve">B). Para modalidades de obra nueva, de ampliación, modificación o reparación de la construcción existente, que no afecte elementos estructurales e impliquen la construcción de entre veinte y sesenta metros cuadrados: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b/>
          <w:bCs/>
          <w:sz w:val="24"/>
          <w:szCs w:val="24"/>
        </w:rPr>
      </w:pP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1. Documento que acredite la personalidad del solicitante;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2. Documento que acredite la propiedad o la posesión en concepto de propietario;</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3. Constancia de alineamiento y número oficial en los casos de obra nueva; </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4. Licencia de uso del suelo;</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 5. Croquis arquitectónico.</w:t>
      </w:r>
    </w:p>
    <w:p w:rsidR="001D01D3" w:rsidRPr="00265631" w:rsidRDefault="001D01D3" w:rsidP="00265631">
      <w:pPr>
        <w:tabs>
          <w:tab w:val="left" w:pos="426"/>
        </w:tabs>
        <w:spacing w:after="0" w:line="360" w:lineRule="auto"/>
        <w:ind w:left="567" w:right="567"/>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w:t>
      </w:r>
    </w:p>
    <w:p w:rsidR="008B4F24" w:rsidRPr="00265631" w:rsidRDefault="008B4F24" w:rsidP="00265631">
      <w:pPr>
        <w:tabs>
          <w:tab w:val="left" w:pos="426"/>
        </w:tabs>
        <w:spacing w:after="0" w:line="360" w:lineRule="auto"/>
        <w:ind w:left="567" w:right="567"/>
        <w:contextualSpacing/>
        <w:jc w:val="both"/>
        <w:rPr>
          <w:rFonts w:ascii="Palatino Linotype" w:eastAsia="MS Mincho" w:hAnsi="Palatino Linotype" w:cs="Arial"/>
          <w:sz w:val="24"/>
          <w:szCs w:val="24"/>
        </w:rPr>
      </w:pPr>
    </w:p>
    <w:p w:rsidR="00DD438B" w:rsidRPr="00265631" w:rsidRDefault="00DD438B"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Derivado de lo anterior, se tiene entonces que;</w:t>
      </w:r>
    </w:p>
    <w:p w:rsidR="00DD438B" w:rsidRPr="00265631" w:rsidRDefault="00DD438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DD438B" w:rsidRPr="00265631" w:rsidRDefault="00DD438B" w:rsidP="00265631">
      <w:pPr>
        <w:pStyle w:val="Prrafodelista"/>
        <w:numPr>
          <w:ilvl w:val="0"/>
          <w:numId w:val="26"/>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La licencia de construcción será emitida por el municipio y tendrá vigencia de un año.</w:t>
      </w:r>
    </w:p>
    <w:p w:rsidR="00DD438B" w:rsidRPr="00265631" w:rsidRDefault="00DD438B" w:rsidP="00265631">
      <w:pPr>
        <w:pStyle w:val="Prrafodelista"/>
        <w:numPr>
          <w:ilvl w:val="0"/>
          <w:numId w:val="26"/>
        </w:numPr>
        <w:tabs>
          <w:tab w:val="left" w:pos="0"/>
          <w:tab w:val="left" w:pos="426"/>
        </w:tabs>
        <w:spacing w:after="0" w:line="360" w:lineRule="auto"/>
        <w:ind w:right="567"/>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La solicitud de licencia de construcción para el caso de obra nueva, ampliación, modificación o reparación que afecte elementos estructurales de una obra existente se deberán anexar la valuación técnica de factibilidad de agua, drenaje, alcantarillado y tratamiento de aguas residuales o documento que acredite la existencia y dotación de agua potable para el desarrollo que se pretende, así como incorporación a los sistemas de agua potable y alcantarillado, el cual será emitido por la Comisión del Agua del Estado de México o autoridad competente, en su caso.</w:t>
      </w:r>
    </w:p>
    <w:p w:rsidR="00DD438B" w:rsidRPr="00265631" w:rsidRDefault="00DD438B"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F7A53" w:rsidRPr="00265631" w:rsidRDefault="002170B1"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Relativo a los requerimientos que nos ocupan, se tiene que e</w:t>
      </w:r>
      <w:r w:rsidR="008B4F24" w:rsidRPr="00265631">
        <w:rPr>
          <w:rFonts w:ascii="Palatino Linotype" w:eastAsia="MS Mincho" w:hAnsi="Palatino Linotype" w:cs="Arial"/>
          <w:sz w:val="24"/>
          <w:szCs w:val="24"/>
        </w:rPr>
        <w:t>l particular solicitó puntualmente de la Comisión</w:t>
      </w:r>
      <w:r w:rsidRPr="00265631">
        <w:rPr>
          <w:rFonts w:ascii="Palatino Linotype" w:eastAsia="MS Mincho" w:hAnsi="Palatino Linotype" w:cs="Arial"/>
          <w:sz w:val="24"/>
          <w:szCs w:val="24"/>
        </w:rPr>
        <w:t xml:space="preserve">; </w:t>
      </w:r>
      <w:r w:rsidR="008B4F24" w:rsidRPr="00265631">
        <w:rPr>
          <w:rFonts w:ascii="Palatino Linotype" w:eastAsia="MS Mincho" w:hAnsi="Palatino Linotype" w:cs="Arial"/>
          <w:b/>
          <w:bCs/>
          <w:sz w:val="24"/>
          <w:szCs w:val="24"/>
        </w:rPr>
        <w:t xml:space="preserve">la factibilidad del servicio </w:t>
      </w:r>
      <w:r w:rsidR="008B4F24" w:rsidRPr="00265631">
        <w:rPr>
          <w:rFonts w:ascii="Palatino Linotype" w:eastAsia="MS Mincho" w:hAnsi="Palatino Linotype" w:cs="Arial"/>
          <w:sz w:val="24"/>
          <w:szCs w:val="24"/>
        </w:rPr>
        <w:t xml:space="preserve">de cada una de las etapas de proyecto y el respectivo pago en bloque y volúmenes autorizados, por lo que derivado del estudio realizado, se tiene que </w:t>
      </w:r>
      <w:r w:rsidR="009F25B7" w:rsidRPr="00265631">
        <w:rPr>
          <w:rFonts w:ascii="Palatino Linotype" w:eastAsia="MS Mincho" w:hAnsi="Palatino Linotype" w:cs="Arial"/>
          <w:sz w:val="24"/>
          <w:szCs w:val="24"/>
        </w:rPr>
        <w:t xml:space="preserve">para solicitar la licencia de construcción para el caso de obra nueva que afecte elementos estructurales de una obra existente, se tendrá anexar a la misma la </w:t>
      </w:r>
      <w:r w:rsidR="009F25B7" w:rsidRPr="00265631">
        <w:rPr>
          <w:rFonts w:ascii="Palatino Linotype" w:eastAsia="MS Mincho" w:hAnsi="Palatino Linotype" w:cs="Arial"/>
          <w:b/>
          <w:bCs/>
          <w:sz w:val="24"/>
          <w:szCs w:val="24"/>
        </w:rPr>
        <w:t xml:space="preserve">evaluación técnica de factibilidad de agua, drenaje, alcantarillado y tratamiento de aguas residuales o el documento que acredite la existencia y dotación de agua potable. </w:t>
      </w:r>
      <w:r w:rsidR="009F25B7" w:rsidRPr="00265631">
        <w:rPr>
          <w:rFonts w:ascii="Palatino Linotype" w:eastAsia="MS Mincho" w:hAnsi="Palatino Linotype" w:cs="Arial"/>
          <w:sz w:val="24"/>
          <w:szCs w:val="24"/>
        </w:rPr>
        <w:t xml:space="preserve">De tal manera que resulta procedente </w:t>
      </w:r>
      <w:r w:rsidR="009F25B7" w:rsidRPr="00265631">
        <w:rPr>
          <w:rFonts w:ascii="Palatino Linotype" w:eastAsia="MS Mincho" w:hAnsi="Palatino Linotype" w:cs="Arial"/>
          <w:b/>
          <w:bCs/>
          <w:sz w:val="24"/>
          <w:szCs w:val="24"/>
        </w:rPr>
        <w:t xml:space="preserve">ORDENAR </w:t>
      </w:r>
      <w:r w:rsidR="009F25B7" w:rsidRPr="00265631">
        <w:rPr>
          <w:rFonts w:ascii="Palatino Linotype" w:eastAsia="MS Mincho" w:hAnsi="Palatino Linotype" w:cs="Arial"/>
          <w:sz w:val="24"/>
          <w:szCs w:val="24"/>
        </w:rPr>
        <w:t xml:space="preserve">la entrega, en versión pública de los documentos referidos, toda vez que son un requisito para expedir la licencia de construcción, sin embargo, toda vez de que el requisito aplica </w:t>
      </w:r>
      <w:r w:rsidR="005979B8" w:rsidRPr="00265631">
        <w:rPr>
          <w:rFonts w:ascii="Palatino Linotype" w:eastAsia="MS Mincho" w:hAnsi="Palatino Linotype" w:cs="Arial"/>
          <w:sz w:val="24"/>
          <w:szCs w:val="24"/>
        </w:rPr>
        <w:t xml:space="preserve">únicamente </w:t>
      </w:r>
      <w:r w:rsidR="009F25B7" w:rsidRPr="00265631">
        <w:rPr>
          <w:rFonts w:ascii="Palatino Linotype" w:eastAsia="MS Mincho" w:hAnsi="Palatino Linotype" w:cs="Arial"/>
          <w:sz w:val="24"/>
          <w:szCs w:val="24"/>
        </w:rPr>
        <w:t>para el caso de que el condominio referido haya ocasionado afectación a elementos estructurales de una obra existente, se deberá realizar la entrega de los mismos, por el contrario, si no fue esa la hip</w:t>
      </w:r>
      <w:r w:rsidR="005979B8" w:rsidRPr="00265631">
        <w:rPr>
          <w:rFonts w:ascii="Palatino Linotype" w:eastAsia="MS Mincho" w:hAnsi="Palatino Linotype" w:cs="Arial"/>
          <w:sz w:val="24"/>
          <w:szCs w:val="24"/>
        </w:rPr>
        <w:t>ó</w:t>
      </w:r>
      <w:r w:rsidR="009F25B7" w:rsidRPr="00265631">
        <w:rPr>
          <w:rFonts w:ascii="Palatino Linotype" w:eastAsia="MS Mincho" w:hAnsi="Palatino Linotype" w:cs="Arial"/>
          <w:sz w:val="24"/>
          <w:szCs w:val="24"/>
        </w:rPr>
        <w:t xml:space="preserve">tesis el </w:t>
      </w:r>
      <w:r w:rsidR="009F25B7" w:rsidRPr="00265631">
        <w:rPr>
          <w:rFonts w:ascii="Palatino Linotype" w:eastAsia="MS Mincho" w:hAnsi="Palatino Linotype" w:cs="Arial"/>
          <w:b/>
          <w:bCs/>
          <w:sz w:val="24"/>
          <w:szCs w:val="24"/>
        </w:rPr>
        <w:t xml:space="preserve">Sujeto Obligado </w:t>
      </w:r>
      <w:r w:rsidR="009F25B7" w:rsidRPr="00265631">
        <w:rPr>
          <w:rFonts w:ascii="Palatino Linotype" w:eastAsia="MS Mincho" w:hAnsi="Palatino Linotype" w:cs="Arial"/>
          <w:sz w:val="24"/>
          <w:szCs w:val="24"/>
        </w:rPr>
        <w:t xml:space="preserve">deberá </w:t>
      </w:r>
      <w:r w:rsidR="005979B8" w:rsidRPr="00265631">
        <w:rPr>
          <w:rFonts w:ascii="Palatino Linotype" w:eastAsia="MS Mincho" w:hAnsi="Palatino Linotype" w:cs="Arial"/>
          <w:sz w:val="24"/>
          <w:szCs w:val="24"/>
        </w:rPr>
        <w:t>de explicar de manera clara y precisa las razones por las cuales no cuenta con la información</w:t>
      </w:r>
      <w:r w:rsidR="00643EE3" w:rsidRPr="00265631">
        <w:rPr>
          <w:rFonts w:ascii="Palatino Linotype" w:eastAsia="MS Mincho" w:hAnsi="Palatino Linotype" w:cs="Arial"/>
          <w:sz w:val="24"/>
          <w:szCs w:val="24"/>
        </w:rPr>
        <w:t xml:space="preserve"> solicitada. </w:t>
      </w:r>
    </w:p>
    <w:p w:rsidR="006F7A53" w:rsidRPr="00265631" w:rsidRDefault="006F7A53"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F7A53" w:rsidRPr="00265631" w:rsidRDefault="00643EE3"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Con lo que respecta al requerimiento referido con el numeral </w:t>
      </w:r>
      <w:r w:rsidRPr="00265631">
        <w:rPr>
          <w:rFonts w:ascii="Palatino Linotype" w:eastAsia="MS Mincho" w:hAnsi="Palatino Linotype" w:cs="Arial"/>
          <w:b/>
          <w:bCs/>
          <w:sz w:val="24"/>
          <w:szCs w:val="24"/>
        </w:rPr>
        <w:t xml:space="preserve">8) </w:t>
      </w:r>
      <w:r w:rsidR="002953C4" w:rsidRPr="00265631">
        <w:rPr>
          <w:rFonts w:ascii="Palatino Linotype" w:hAnsi="Palatino Linotype"/>
          <w:b/>
          <w:bCs/>
          <w:sz w:val="24"/>
          <w:szCs w:val="24"/>
        </w:rPr>
        <w:t>Pago en bloque y volúmenes autorizados</w:t>
      </w:r>
      <w:r w:rsidR="008C6663" w:rsidRPr="00265631">
        <w:rPr>
          <w:rFonts w:ascii="Palatino Linotype" w:hAnsi="Palatino Linotype"/>
          <w:b/>
          <w:bCs/>
          <w:sz w:val="24"/>
          <w:szCs w:val="24"/>
        </w:rPr>
        <w:t xml:space="preserve"> y de la Coordinación General de Protección Civil</w:t>
      </w:r>
      <w:r w:rsidR="002953C4" w:rsidRPr="00265631">
        <w:rPr>
          <w:rFonts w:ascii="Palatino Linotype" w:hAnsi="Palatino Linotype"/>
          <w:b/>
          <w:bCs/>
          <w:sz w:val="24"/>
          <w:szCs w:val="24"/>
        </w:rPr>
        <w:t xml:space="preserve">; </w:t>
      </w:r>
      <w:r w:rsidR="006F7A53" w:rsidRPr="00265631">
        <w:rPr>
          <w:rFonts w:ascii="Palatino Linotype" w:hAnsi="Palatino Linotype"/>
          <w:sz w:val="24"/>
          <w:szCs w:val="24"/>
        </w:rPr>
        <w:t xml:space="preserve">el </w:t>
      </w:r>
      <w:r w:rsidR="006F7A53" w:rsidRPr="00265631">
        <w:rPr>
          <w:rFonts w:ascii="Palatino Linotype" w:hAnsi="Palatino Linotype"/>
          <w:b/>
          <w:bCs/>
          <w:sz w:val="24"/>
          <w:szCs w:val="24"/>
        </w:rPr>
        <w:t xml:space="preserve">Sujeto Obligado </w:t>
      </w:r>
      <w:r w:rsidR="006F7A53" w:rsidRPr="00265631">
        <w:rPr>
          <w:rFonts w:ascii="Palatino Linotype" w:hAnsi="Palatino Linotype"/>
          <w:sz w:val="24"/>
          <w:szCs w:val="24"/>
        </w:rPr>
        <w:t xml:space="preserve">no se manifestó al respecto, no obstante, de acuerdo con lo establecido en el Reglamento de la Ley del Agua del Estado de México, en su artículo 121, se establece que las contribuciones por los servicios </w:t>
      </w:r>
      <w:r w:rsidR="0080587E" w:rsidRPr="00265631">
        <w:rPr>
          <w:rFonts w:ascii="Palatino Linotype" w:hAnsi="Palatino Linotype"/>
          <w:sz w:val="24"/>
          <w:szCs w:val="24"/>
        </w:rPr>
        <w:t xml:space="preserve">se cobrarán conforme a lo establecido por el Código Financiero. </w:t>
      </w:r>
    </w:p>
    <w:p w:rsidR="0080587E" w:rsidRPr="00265631" w:rsidRDefault="0080587E"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F7A53" w:rsidRPr="00265631" w:rsidRDefault="0080587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Del mismo modo, se señala que las contribuciones por concepto de consumo, uso, instalación, reinstalación o reparación de tomas domiciliarias y conexiones a las redes de distribución, de drenaje y alcantarillado y de las correspondientes a las derivaciones, así como las multas, recargos y demás ingresos relacionados </w:t>
      </w:r>
      <w:r w:rsidRPr="00265631">
        <w:rPr>
          <w:rFonts w:ascii="Palatino Linotype" w:eastAsia="MS Mincho" w:hAnsi="Palatino Linotype" w:cs="Arial"/>
          <w:b/>
          <w:bCs/>
          <w:sz w:val="24"/>
          <w:szCs w:val="24"/>
        </w:rPr>
        <w:t xml:space="preserve">deberán cubrirse en las oficinas o establecimientos que al efecto determine el prestador del servicio o en cuyo caso, deberá de pagar directamente en las oficinas del prestador del servicio. </w:t>
      </w:r>
    </w:p>
    <w:p w:rsidR="00037311" w:rsidRPr="00265631" w:rsidRDefault="00037311"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F7A53" w:rsidRPr="00265631" w:rsidRDefault="00C2496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De tal forma que, del párrafo anterior, se desprende lo establecido por la Ley de Organismos Públicos Descentralizados de Carácter Municipal para la prestación de los Servicios de Agua Potable, Alcantarillado y Saneamiento, el cual establece en su artículo 3 que; </w:t>
      </w:r>
      <w:r w:rsidRPr="00265631">
        <w:rPr>
          <w:rFonts w:ascii="Palatino Linotype" w:eastAsia="MS Mincho" w:hAnsi="Palatino Linotype" w:cs="Arial"/>
          <w:b/>
          <w:bCs/>
          <w:sz w:val="24"/>
          <w:szCs w:val="24"/>
        </w:rPr>
        <w:t xml:space="preserve">los organismos recaudarán y administrarán con el carácter de autoridades fiscales municipales, las contribuciones derivadas de los servicios que presten. Recaudarán y enterarán al Estado, el impuesto para el Fomento de la Educación Pública que se genere con base en las contribuciones mencionadas. </w:t>
      </w:r>
    </w:p>
    <w:p w:rsidR="00C2496C" w:rsidRPr="00265631" w:rsidRDefault="00C2496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6F7A53" w:rsidRPr="00265631" w:rsidRDefault="00C2496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lo anterior, esta Ponencia procedió a verificar la Plataforma de Información Pública de Oficio Mexiquense, con la finalidad de conocer si el </w:t>
      </w:r>
      <w:r w:rsidRPr="00265631">
        <w:rPr>
          <w:rFonts w:ascii="Palatino Linotype" w:eastAsia="MS Mincho" w:hAnsi="Palatino Linotype" w:cs="Arial"/>
          <w:b/>
          <w:bCs/>
          <w:sz w:val="24"/>
          <w:szCs w:val="24"/>
        </w:rPr>
        <w:t>Sujeto Obligado</w:t>
      </w:r>
      <w:r w:rsidRPr="00265631">
        <w:rPr>
          <w:rFonts w:ascii="Palatino Linotype" w:eastAsia="MS Mincho" w:hAnsi="Palatino Linotype" w:cs="Arial"/>
          <w:sz w:val="24"/>
          <w:szCs w:val="24"/>
        </w:rPr>
        <w:t xml:space="preserve"> contaba con un organismo operador de agua</w:t>
      </w:r>
      <w:r w:rsidRPr="00265631">
        <w:rPr>
          <w:rStyle w:val="Refdenotaalpie"/>
          <w:rFonts w:ascii="Palatino Linotype" w:eastAsia="MS Mincho" w:hAnsi="Palatino Linotype" w:cs="Arial"/>
          <w:sz w:val="24"/>
          <w:szCs w:val="24"/>
        </w:rPr>
        <w:footnoteReference w:id="1"/>
      </w:r>
      <w:r w:rsidRPr="00265631">
        <w:rPr>
          <w:rFonts w:ascii="Palatino Linotype" w:eastAsia="MS Mincho" w:hAnsi="Palatino Linotype" w:cs="Arial"/>
          <w:sz w:val="24"/>
          <w:szCs w:val="24"/>
        </w:rPr>
        <w:t xml:space="preserve">, obteniendo lo siguiente; </w:t>
      </w:r>
    </w:p>
    <w:p w:rsidR="00C2496C" w:rsidRPr="00265631" w:rsidRDefault="00C2496C"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2496C" w:rsidRPr="00265631" w:rsidRDefault="00C2496C" w:rsidP="00265631">
      <w:pPr>
        <w:tabs>
          <w:tab w:val="left" w:pos="0"/>
          <w:tab w:val="left" w:pos="426"/>
        </w:tabs>
        <w:spacing w:after="0" w:line="360" w:lineRule="auto"/>
        <w:ind w:right="49"/>
        <w:contextualSpacing/>
        <w:jc w:val="center"/>
        <w:rPr>
          <w:rFonts w:ascii="Palatino Linotype" w:eastAsia="MS Mincho" w:hAnsi="Palatino Linotype" w:cs="Arial"/>
          <w:sz w:val="24"/>
          <w:szCs w:val="24"/>
        </w:rPr>
      </w:pPr>
      <w:r w:rsidRPr="0026563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880550</wp:posOffset>
                </wp:positionH>
                <wp:positionV relativeFrom="paragraph">
                  <wp:posOffset>315839</wp:posOffset>
                </wp:positionV>
                <wp:extent cx="4106007" cy="580293"/>
                <wp:effectExtent l="19050" t="19050" r="27940" b="10795"/>
                <wp:wrapNone/>
                <wp:docPr id="3" name="Rectángulo 3"/>
                <wp:cNvGraphicFramePr/>
                <a:graphic xmlns:a="http://schemas.openxmlformats.org/drawingml/2006/main">
                  <a:graphicData uri="http://schemas.microsoft.com/office/word/2010/wordprocessingShape">
                    <wps:wsp>
                      <wps:cNvSpPr/>
                      <wps:spPr>
                        <a:xfrm>
                          <a:off x="0" y="0"/>
                          <a:ext cx="4106007" cy="58029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D4AFF" id="Rectángulo 3" o:spid="_x0000_s1026" style="position:absolute;margin-left:69.35pt;margin-top:24.85pt;width:323.3pt;height:4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QogIAAJEFAAAOAAAAZHJzL2Uyb0RvYy54bWysVM1u2zAMvg/YOwi6r7bT9C+oUwQtMgwo&#10;2qLt0LMiS7EAWdQkJU72NnuWvVgp+adBV+wwzAdZFMmP4ieSl1e7RpOtcF6BKWlxlFMiDIdKmXVJ&#10;vz8vv5xT4gMzFdNgREn3wtOr+edPl62diQnUoCvhCIIYP2ttSesQ7CzLPK9Fw/wRWGFQKcE1LKDo&#10;1lnlWIvojc4meX6ateAq64AL7/H0plPSecKXUvBwL6UXgeiS4t1CWl1aV3HN5pdstnbM1or312D/&#10;cIuGKYNBR6gbFhjZOPUHVKO4Aw8yHHFoMpBScZFywGyK/F02TzWzIuWC5Hg70uT/Hyy/2z44oqqS&#10;HlNiWINP9Iik/f5l1hsN5DgS1Fo/Q7sn++B6yeM2ZruTrol/zIPsEqn7kVSxC4Tj4bTIT/P8jBKO&#10;upPzfHKRQLM3b+t8+CqgIXFTUofxE5dse+sDRkTTwSQGM7BUWqeH04a0ePPzIs+ThwetqqiNdt6t&#10;V9fakS3Dt18uc/xiNoh2YIaSNngYc+yySruw1yJiaPMoJNKDeUy6CLEwxQjLOBcmFJ2qZpXoop0c&#10;Bhs8UugEGJEl3nLE7gEGyw5kwO7u3NtHV5HqenTuU/+b8+iRIoMJo3OjDLiPMtOYVR+5sx9I6qiJ&#10;LK2g2mPxOOi6ylu+VPiCt8yHB+awjbDhcDSEe1ykBnwp6HeU1OB+fnQe7bG6UUtJi21ZUv9jw5yg&#10;RH8zWPcXxXQa+zgJ05OzCQruULM61JhNcw34+gUOIcvTNtoHPWylg+YFJ8giRkUVMxxjl5QHNwjX&#10;oRsXOIO4WCySGfauZeHWPFkewSOrsUKfdy/M2b6MAzbAHQwtzGbvqrmzjZ4GFpsAUqVSf+O15xv7&#10;PhVOP6PiYDmUk9XbJJ2/AgAA//8DAFBLAwQUAAYACAAAACEAKg4QSN4AAAAKAQAADwAAAGRycy9k&#10;b3ducmV2LnhtbEyPQU+DQBCF7yb+h82YeLMLLQqlLI0xUaM3UdPrlB2BwO4Sdlvw3zue9DR5eV/e&#10;vFfsFzOIM02+c1ZBvIpAkK2d7myj4OP98SYD4QNajYOzpOCbPOzLy4sCc+1m+0bnKjSCQ6zPUUEb&#10;wphL6euWDPqVG8my9+Umg4Hl1Eg94czhZpDrKLqTBjvLH1oc6aGluq9ORsHLvB66Q4Ovz1VfffYu&#10;eYrTrVHq+mq534EItIQ/GH7rc3UoudPRnaz2YmC9yVJGFSRbvgyk2e0GxJGdJI5BloX8P6H8AQAA&#10;//8DAFBLAQItABQABgAIAAAAIQC2gziS/gAAAOEBAAATAAAAAAAAAAAAAAAAAAAAAABbQ29udGVu&#10;dF9UeXBlc10ueG1sUEsBAi0AFAAGAAgAAAAhADj9If/WAAAAlAEAAAsAAAAAAAAAAAAAAAAALwEA&#10;AF9yZWxzLy5yZWxzUEsBAi0AFAAGAAgAAAAhAJX5tBCiAgAAkQUAAA4AAAAAAAAAAAAAAAAALgIA&#10;AGRycy9lMm9Eb2MueG1sUEsBAi0AFAAGAAgAAAAhACoOEEjeAAAACgEAAA8AAAAAAAAAAAAAAAAA&#10;/AQAAGRycy9kb3ducmV2LnhtbFBLBQYAAAAABAAEAPMAAAAHBgAAAAA=&#10;" filled="f" strokecolor="red" strokeweight="3pt"/>
            </w:pict>
          </mc:Fallback>
        </mc:AlternateContent>
      </w:r>
      <w:r w:rsidRPr="00265631">
        <w:rPr>
          <w:rFonts w:ascii="Palatino Linotype" w:hAnsi="Palatino Linotype"/>
          <w:noProof/>
          <w:sz w:val="24"/>
          <w:szCs w:val="24"/>
          <w:lang w:eastAsia="es-MX"/>
        </w:rPr>
        <w:drawing>
          <wp:inline distT="0" distB="0" distL="0" distR="0" wp14:anchorId="57F6118D" wp14:editId="1A044CE9">
            <wp:extent cx="4589584" cy="1160145"/>
            <wp:effectExtent l="0" t="0" r="190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67" t="58533" r="24932" b="26047"/>
                    <a:stretch/>
                  </pic:blipFill>
                  <pic:spPr bwMode="auto">
                    <a:xfrm>
                      <a:off x="0" y="0"/>
                      <a:ext cx="4634079" cy="1171392"/>
                    </a:xfrm>
                    <a:prstGeom prst="rect">
                      <a:avLst/>
                    </a:prstGeom>
                    <a:ln>
                      <a:noFill/>
                    </a:ln>
                    <a:extLst>
                      <a:ext uri="{53640926-AAD7-44D8-BBD7-CCE9431645EC}">
                        <a14:shadowObscured xmlns:a14="http://schemas.microsoft.com/office/drawing/2010/main"/>
                      </a:ext>
                    </a:extLst>
                  </pic:spPr>
                </pic:pic>
              </a:graphicData>
            </a:graphic>
          </wp:inline>
        </w:drawing>
      </w:r>
    </w:p>
    <w:p w:rsidR="00C2496C" w:rsidRPr="00265631" w:rsidRDefault="00C2496C" w:rsidP="00265631">
      <w:pPr>
        <w:tabs>
          <w:tab w:val="left" w:pos="0"/>
          <w:tab w:val="left" w:pos="426"/>
        </w:tabs>
        <w:spacing w:after="0" w:line="360" w:lineRule="auto"/>
        <w:ind w:right="49"/>
        <w:contextualSpacing/>
        <w:jc w:val="center"/>
        <w:rPr>
          <w:rFonts w:ascii="Palatino Linotype" w:eastAsia="MS Mincho" w:hAnsi="Palatino Linotype" w:cs="Arial"/>
          <w:sz w:val="24"/>
          <w:szCs w:val="24"/>
        </w:rPr>
      </w:pPr>
    </w:p>
    <w:p w:rsidR="006F7A53" w:rsidRPr="00265631" w:rsidRDefault="00C2496C"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265631">
        <w:rPr>
          <w:rFonts w:ascii="Palatino Linotype" w:eastAsia="MS Mincho" w:hAnsi="Palatino Linotype" w:cs="Arial"/>
          <w:sz w:val="24"/>
          <w:szCs w:val="24"/>
        </w:rPr>
        <w:t xml:space="preserve">Por lo que, de lo anterior se colige que el Ayuntamiento de Nicolás Romero no es competente para conocer </w:t>
      </w:r>
      <w:r w:rsidR="00DA120A" w:rsidRPr="00265631">
        <w:rPr>
          <w:rFonts w:ascii="Palatino Linotype" w:eastAsia="MS Mincho" w:hAnsi="Palatino Linotype" w:cs="Arial"/>
          <w:sz w:val="24"/>
          <w:szCs w:val="24"/>
        </w:rPr>
        <w:t>de los</w:t>
      </w:r>
      <w:r w:rsidRPr="00265631">
        <w:rPr>
          <w:rFonts w:ascii="Palatino Linotype" w:eastAsia="MS Mincho" w:hAnsi="Palatino Linotype" w:cs="Arial"/>
          <w:sz w:val="24"/>
          <w:szCs w:val="24"/>
        </w:rPr>
        <w:t xml:space="preserve"> respectivos pagos en bloque y volúmenes autorizados. </w:t>
      </w:r>
    </w:p>
    <w:p w:rsidR="00C317BE" w:rsidRPr="00265631" w:rsidRDefault="00C317BE"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317BE" w:rsidRPr="00265631" w:rsidRDefault="00C317BE" w:rsidP="0026563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b/>
          <w:bCs/>
          <w:sz w:val="24"/>
          <w:szCs w:val="24"/>
        </w:rPr>
      </w:pPr>
      <w:r w:rsidRPr="00265631">
        <w:rPr>
          <w:rFonts w:ascii="Palatino Linotype" w:eastAsia="MS Mincho" w:hAnsi="Palatino Linotype" w:cs="Arial"/>
          <w:b/>
          <w:bCs/>
          <w:sz w:val="24"/>
          <w:szCs w:val="24"/>
        </w:rPr>
        <w:t>Por todo lo anteriormente estudiado, es menester mencionar que se dejan a salvo los derechos del particular para que realice sus solicitudes a los Sujetos Obligados correspondientes.</w:t>
      </w:r>
    </w:p>
    <w:p w:rsidR="00C317BE" w:rsidRPr="00265631" w:rsidRDefault="00C317BE" w:rsidP="0026563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317BE" w:rsidRPr="00265631" w:rsidRDefault="00C317BE" w:rsidP="00265631">
      <w:pPr>
        <w:pStyle w:val="Ttulo1"/>
        <w:numPr>
          <w:ilvl w:val="0"/>
          <w:numId w:val="29"/>
        </w:numPr>
        <w:spacing w:before="0" w:line="360" w:lineRule="auto"/>
        <w:rPr>
          <w:b/>
          <w:szCs w:val="24"/>
        </w:rPr>
      </w:pPr>
      <w:bookmarkStart w:id="44" w:name="_Toc21026227"/>
      <w:bookmarkStart w:id="45" w:name="_Toc21701097"/>
      <w:r w:rsidRPr="00265631">
        <w:rPr>
          <w:b/>
          <w:color w:val="000000" w:themeColor="text1"/>
          <w:szCs w:val="24"/>
        </w:rPr>
        <w:t>Del Acuerdo de Incompetencia.</w:t>
      </w:r>
      <w:bookmarkEnd w:id="44"/>
      <w:bookmarkEnd w:id="45"/>
      <w:r w:rsidRPr="00265631">
        <w:rPr>
          <w:b/>
          <w:color w:val="000000" w:themeColor="text1"/>
          <w:szCs w:val="24"/>
        </w:rPr>
        <w:t xml:space="preserve"> </w:t>
      </w:r>
    </w:p>
    <w:p w:rsidR="00C317BE" w:rsidRPr="00265631" w:rsidRDefault="00C317BE" w:rsidP="00265631">
      <w:pPr>
        <w:pStyle w:val="Ttulo1"/>
        <w:spacing w:before="0" w:line="360" w:lineRule="auto"/>
        <w:ind w:left="786"/>
        <w:rPr>
          <w:b/>
          <w:szCs w:val="24"/>
        </w:rPr>
      </w:pPr>
      <w:r w:rsidRPr="00265631">
        <w:rPr>
          <w:b/>
          <w:color w:val="000000" w:themeColor="text1"/>
          <w:szCs w:val="24"/>
        </w:rPr>
        <w:t xml:space="preserve">  </w:t>
      </w:r>
    </w:p>
    <w:p w:rsidR="00C317BE" w:rsidRPr="00265631" w:rsidRDefault="00C317BE" w:rsidP="00265631">
      <w:pPr>
        <w:pStyle w:val="Prrafodelista"/>
        <w:numPr>
          <w:ilvl w:val="0"/>
          <w:numId w:val="2"/>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265631">
        <w:rPr>
          <w:rFonts w:ascii="Palatino Linotype" w:eastAsia="MS Mincho" w:hAnsi="Palatino Linotype" w:cs="Arial"/>
          <w:color w:val="000000" w:themeColor="text1"/>
          <w:sz w:val="24"/>
          <w:szCs w:val="24"/>
        </w:rPr>
        <w:t xml:space="preserve">Ante este supuesto, es necesario traer a colación lo establecido en el artículo 167 de la Ley de Transparencia y Acceso a la Información Pública del Estado de México y Municipios, el cual establece lo siguiente; </w:t>
      </w:r>
    </w:p>
    <w:p w:rsidR="00C317BE" w:rsidRPr="00265631" w:rsidRDefault="00C317BE" w:rsidP="00265631">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C317BE" w:rsidRPr="00265631" w:rsidRDefault="00C317BE" w:rsidP="00265631">
      <w:pPr>
        <w:pStyle w:val="Prrafodelista"/>
        <w:tabs>
          <w:tab w:val="left" w:pos="426"/>
        </w:tabs>
        <w:spacing w:line="360" w:lineRule="auto"/>
        <w:ind w:left="567" w:right="616"/>
        <w:jc w:val="both"/>
        <w:rPr>
          <w:rFonts w:ascii="Palatino Linotype" w:eastAsia="MS Mincho" w:hAnsi="Palatino Linotype" w:cs="Arial"/>
          <w:iCs/>
          <w:color w:val="000000" w:themeColor="text1"/>
          <w:sz w:val="24"/>
          <w:szCs w:val="24"/>
        </w:rPr>
      </w:pPr>
      <w:r w:rsidRPr="00265631">
        <w:rPr>
          <w:rFonts w:ascii="Palatino Linotype" w:eastAsia="MS Mincho" w:hAnsi="Palatino Linotype" w:cs="Arial"/>
          <w:b/>
          <w:bCs/>
          <w:iCs/>
          <w:color w:val="000000" w:themeColor="text1"/>
          <w:sz w:val="24"/>
          <w:szCs w:val="24"/>
        </w:rPr>
        <w:t xml:space="preserve">Artículo 167. </w:t>
      </w:r>
      <w:r w:rsidRPr="00265631">
        <w:rPr>
          <w:rFonts w:ascii="Palatino Linotype" w:eastAsia="MS Mincho" w:hAnsi="Palatino Linotype" w:cs="Arial"/>
          <w:iCs/>
          <w:color w:val="000000" w:themeColor="text1"/>
          <w:sz w:val="24"/>
          <w:szCs w:val="24"/>
        </w:rPr>
        <w:t xml:space="preserve">Cuando las </w:t>
      </w:r>
      <w:r w:rsidRPr="00265631">
        <w:rPr>
          <w:rFonts w:ascii="Palatino Linotype" w:eastAsia="MS Mincho" w:hAnsi="Palatino Linotype" w:cs="Arial"/>
          <w:b/>
          <w:iCs/>
          <w:color w:val="000000" w:themeColor="text1"/>
          <w:sz w:val="24"/>
          <w:szCs w:val="24"/>
        </w:rPr>
        <w:t>unidades de transparencia determinen la notoria incompetencia por parte de los sujetos obligado</w:t>
      </w:r>
      <w:r w:rsidRPr="00265631">
        <w:rPr>
          <w:rFonts w:ascii="Palatino Linotype" w:eastAsia="MS Mincho" w:hAnsi="Palatino Linotype" w:cs="Arial"/>
          <w:iCs/>
          <w:color w:val="000000" w:themeColor="text1"/>
          <w:sz w:val="24"/>
          <w:szCs w:val="24"/>
        </w:rPr>
        <w:t xml:space="preserve">s, dentro del ámbito de aplicación, para atender la solicitud de acceso a la información, deberán comunicarlo al solicitante, dentro de los </w:t>
      </w:r>
      <w:r w:rsidRPr="00265631">
        <w:rPr>
          <w:rFonts w:ascii="Palatino Linotype" w:eastAsia="MS Mincho" w:hAnsi="Palatino Linotype" w:cs="Arial"/>
          <w:b/>
          <w:iCs/>
          <w:color w:val="000000" w:themeColor="text1"/>
          <w:sz w:val="24"/>
          <w:szCs w:val="24"/>
          <w:u w:val="single"/>
        </w:rPr>
        <w:t>tres días hábiles posteriores a la recepción de la solicitud</w:t>
      </w:r>
      <w:r w:rsidRPr="00265631">
        <w:rPr>
          <w:rFonts w:ascii="Palatino Linotype" w:eastAsia="MS Mincho" w:hAnsi="Palatino Linotype" w:cs="Arial"/>
          <w:iCs/>
          <w:color w:val="000000" w:themeColor="text1"/>
          <w:sz w:val="24"/>
          <w:szCs w:val="24"/>
        </w:rPr>
        <w:t xml:space="preserve"> y, en su caso orientar al solicitante, el o los sujetos obligados competentes. </w:t>
      </w:r>
    </w:p>
    <w:p w:rsidR="00C317BE" w:rsidRPr="00265631" w:rsidRDefault="00C317BE" w:rsidP="00265631">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 xml:space="preserve">Tal y como se aprecia, los </w:t>
      </w:r>
      <w:r w:rsidRPr="00265631">
        <w:rPr>
          <w:rFonts w:ascii="Palatino Linotype" w:eastAsia="Calibri" w:hAnsi="Palatino Linotype" w:cs="Arial"/>
          <w:b/>
          <w:bCs/>
          <w:sz w:val="24"/>
          <w:szCs w:val="24"/>
        </w:rPr>
        <w:t>Sujetos Obligados</w:t>
      </w:r>
      <w:r w:rsidRPr="00265631">
        <w:rPr>
          <w:rFonts w:ascii="Palatino Linotype" w:eastAsia="Calibri" w:hAnsi="Palatino Linotype" w:cs="Arial"/>
          <w:sz w:val="24"/>
          <w:szCs w:val="24"/>
        </w:rPr>
        <w:t xml:space="preserve"> al detectar qué una solicitud de acceso a la información </w:t>
      </w:r>
      <w:r w:rsidRPr="00265631">
        <w:rPr>
          <w:rFonts w:ascii="Palatino Linotype" w:eastAsia="Calibri" w:hAnsi="Palatino Linotype" w:cs="Arial"/>
          <w:b/>
          <w:sz w:val="24"/>
          <w:szCs w:val="24"/>
        </w:rPr>
        <w:t>NO</w:t>
      </w:r>
      <w:r w:rsidRPr="00265631">
        <w:rPr>
          <w:rFonts w:ascii="Palatino Linotype" w:eastAsia="Calibri" w:hAnsi="Palatino Linotype" w:cs="Arial"/>
          <w:sz w:val="24"/>
          <w:szCs w:val="24"/>
        </w:rPr>
        <w:t xml:space="preserve"> es de su competencia, dentro de los 3 días posteriores a su recepción, deberán de comunicar tal situación al recurrente y, en su caso orientarlo al </w:t>
      </w:r>
      <w:r w:rsidRPr="00265631">
        <w:rPr>
          <w:rFonts w:ascii="Palatino Linotype" w:eastAsia="Calibri" w:hAnsi="Palatino Linotype" w:cs="Arial"/>
          <w:b/>
          <w:bCs/>
          <w:sz w:val="24"/>
          <w:szCs w:val="24"/>
        </w:rPr>
        <w:t>Sujeto Obligado</w:t>
      </w:r>
      <w:r w:rsidRPr="00265631">
        <w:rPr>
          <w:rFonts w:ascii="Palatino Linotype" w:eastAsia="Calibri" w:hAnsi="Palatino Linotype" w:cs="Arial"/>
          <w:sz w:val="24"/>
          <w:szCs w:val="24"/>
        </w:rPr>
        <w:t xml:space="preserve"> correspondiente.</w:t>
      </w:r>
    </w:p>
    <w:p w:rsidR="00C317BE" w:rsidRPr="00265631" w:rsidRDefault="00C317BE" w:rsidP="00265631">
      <w:pPr>
        <w:pStyle w:val="Prrafodelista"/>
        <w:spacing w:line="360" w:lineRule="auto"/>
        <w:ind w:left="0"/>
        <w:jc w:val="both"/>
        <w:rPr>
          <w:rFonts w:ascii="Palatino Linotype" w:eastAsia="Calibri" w:hAnsi="Palatino Linotype" w:cs="Arial"/>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 xml:space="preserve">En el presente asunto en particular, el recurrente presentó su solicitud de acceso a la información el día once (11) de julio y el </w:t>
      </w:r>
      <w:r w:rsidRPr="00265631">
        <w:rPr>
          <w:rFonts w:ascii="Palatino Linotype" w:eastAsia="Calibri" w:hAnsi="Palatino Linotype" w:cs="Arial"/>
          <w:b/>
          <w:bCs/>
          <w:sz w:val="24"/>
          <w:szCs w:val="24"/>
        </w:rPr>
        <w:t xml:space="preserve">Sujeto Obligado </w:t>
      </w:r>
      <w:r w:rsidRPr="00265631">
        <w:rPr>
          <w:rFonts w:ascii="Palatino Linotype" w:eastAsia="Calibri" w:hAnsi="Palatino Linotype" w:cs="Arial"/>
          <w:sz w:val="24"/>
          <w:szCs w:val="24"/>
        </w:rPr>
        <w:t xml:space="preserve">se pronunció respecto a la información el día catorce (14) de agosto, ahora bien, como se puede apreciar, los tres días que la ley les concede a la fecha de su respuesta ya habían transcurrido, y es por ello que el </w:t>
      </w:r>
      <w:r w:rsidRPr="00265631">
        <w:rPr>
          <w:rFonts w:ascii="Palatino Linotype" w:eastAsia="Calibri" w:hAnsi="Palatino Linotype" w:cs="Arial"/>
          <w:b/>
          <w:bCs/>
          <w:sz w:val="24"/>
          <w:szCs w:val="24"/>
        </w:rPr>
        <w:t xml:space="preserve">Sujeto Obligado </w:t>
      </w:r>
      <w:r w:rsidRPr="00265631">
        <w:rPr>
          <w:rFonts w:ascii="Palatino Linotype" w:eastAsia="Calibri" w:hAnsi="Palatino Linotype" w:cs="Arial"/>
          <w:sz w:val="24"/>
          <w:szCs w:val="24"/>
        </w:rPr>
        <w:t xml:space="preserve">debe proporcionar en el presente caso su acuerdo de incompetencia.  </w:t>
      </w:r>
    </w:p>
    <w:p w:rsidR="00C317BE" w:rsidRPr="00265631" w:rsidRDefault="00C317BE" w:rsidP="00265631">
      <w:pPr>
        <w:pStyle w:val="Prrafodelista"/>
        <w:spacing w:line="360" w:lineRule="auto"/>
        <w:rPr>
          <w:rFonts w:ascii="Palatino Linotype" w:eastAsia="Calibri" w:hAnsi="Palatino Linotype" w:cs="Arial"/>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 xml:space="preserve">Por lo anterior, para que el Acuerdo surta efectos, debe cumplir con las formalidades necesarias, entre ellas una primordial, que es </w:t>
      </w:r>
      <w:r w:rsidRPr="00265631">
        <w:rPr>
          <w:rFonts w:ascii="Palatino Linotype" w:hAnsi="Palatino Linotype" w:cs="Arial"/>
          <w:sz w:val="24"/>
          <w:szCs w:val="24"/>
        </w:rPr>
        <w:t>brindar certeza</w:t>
      </w:r>
      <w:r w:rsidRPr="00265631">
        <w:rPr>
          <w:rStyle w:val="Refdenotaalpie"/>
          <w:rFonts w:ascii="Palatino Linotype" w:hAnsi="Palatino Linotype" w:cs="Arial"/>
          <w:sz w:val="24"/>
          <w:szCs w:val="24"/>
        </w:rPr>
        <w:footnoteReference w:id="2"/>
      </w:r>
      <w:r w:rsidRPr="00265631">
        <w:rPr>
          <w:rFonts w:ascii="Palatino Linotype" w:hAnsi="Palatino Linotype" w:cs="Arial"/>
          <w:sz w:val="24"/>
          <w:szCs w:val="24"/>
        </w:rPr>
        <w:t xml:space="preserve"> en las acciones tomadas en el tratamiento de la solicitud, razón que en el Acuerdo proporcionado no sucedió. </w:t>
      </w:r>
    </w:p>
    <w:p w:rsidR="00C317BE" w:rsidRPr="00265631" w:rsidRDefault="00C317BE" w:rsidP="00265631">
      <w:pPr>
        <w:pStyle w:val="Prrafodelista"/>
        <w:spacing w:line="360" w:lineRule="auto"/>
        <w:rPr>
          <w:rFonts w:ascii="Palatino Linotype" w:hAnsi="Palatino Linotype" w:cs="Arial"/>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hAnsi="Palatino Linotype" w:cs="Arial"/>
          <w:sz w:val="24"/>
          <w:szCs w:val="24"/>
        </w:rPr>
        <w:t xml:space="preserve">Lo anterior en razón de que, las declinaciones de competencia que realicen los </w:t>
      </w:r>
      <w:r w:rsidRPr="00265631">
        <w:rPr>
          <w:rFonts w:ascii="Palatino Linotype" w:hAnsi="Palatino Linotype" w:cs="Arial"/>
          <w:b/>
          <w:bCs/>
          <w:sz w:val="24"/>
          <w:szCs w:val="24"/>
        </w:rPr>
        <w:t>Sujetos Obligados</w:t>
      </w:r>
      <w:r w:rsidRPr="00265631">
        <w:rPr>
          <w:rFonts w:ascii="Palatino Linotype" w:hAnsi="Palatino Linotype" w:cs="Arial"/>
          <w:sz w:val="24"/>
          <w:szCs w:val="24"/>
        </w:rPr>
        <w:t xml:space="preserve"> deben estar apegadas al artículo 49 fracciones I y II de la Ley de Transparencia y Acceso a la Información Pública del Estado de México y Municipios que dispone los siguiente:</w:t>
      </w:r>
    </w:p>
    <w:p w:rsidR="00C317BE" w:rsidRPr="00265631" w:rsidRDefault="00C317BE" w:rsidP="00265631">
      <w:pPr>
        <w:pStyle w:val="Prrafodelista"/>
        <w:spacing w:line="360" w:lineRule="auto"/>
        <w:rPr>
          <w:rFonts w:ascii="Palatino Linotype" w:hAnsi="Palatino Linotype" w:cs="Arial"/>
          <w:sz w:val="24"/>
          <w:szCs w:val="24"/>
        </w:rPr>
      </w:pP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r w:rsidRPr="00265631">
        <w:rPr>
          <w:rFonts w:ascii="Palatino Linotype" w:eastAsia="Calibri" w:hAnsi="Palatino Linotype" w:cs="Arial"/>
          <w:b/>
          <w:iCs/>
          <w:sz w:val="24"/>
          <w:szCs w:val="24"/>
        </w:rPr>
        <w:t>Artículo 49</w:t>
      </w:r>
      <w:r w:rsidRPr="00265631">
        <w:rPr>
          <w:rFonts w:ascii="Palatino Linotype" w:eastAsia="Calibri" w:hAnsi="Palatino Linotype" w:cs="Arial"/>
          <w:iCs/>
          <w:sz w:val="24"/>
          <w:szCs w:val="24"/>
        </w:rPr>
        <w:t>. Los Comités de Transparencia tendrán las siguientes atribuciones:</w:t>
      </w: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r w:rsidRPr="00265631">
        <w:rPr>
          <w:rFonts w:ascii="Palatino Linotype" w:eastAsia="Calibri" w:hAnsi="Palatino Linotype" w:cs="Arial"/>
          <w:b/>
          <w:iCs/>
          <w:sz w:val="24"/>
          <w:szCs w:val="24"/>
        </w:rPr>
        <w:t>I</w:t>
      </w:r>
      <w:r w:rsidRPr="00265631">
        <w:rPr>
          <w:rFonts w:ascii="Palatino Linotype" w:eastAsia="Calibri" w:hAnsi="Palatino Linotype" w:cs="Arial"/>
          <w:iCs/>
          <w:sz w:val="24"/>
          <w:szCs w:val="24"/>
        </w:rPr>
        <w:t>. Instituir, coordinar y supervisar en términos de las disposiciones aplicables, las acciones, medidas y procedimientos que coadyuven a asegurar una mayor eficacia en la gestión y atención de las solicitudes en materia de acceso a la información;</w:t>
      </w: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r w:rsidRPr="00265631">
        <w:rPr>
          <w:rFonts w:ascii="Palatino Linotype" w:eastAsia="Calibri" w:hAnsi="Palatino Linotype" w:cs="Arial"/>
          <w:b/>
          <w:iCs/>
          <w:sz w:val="24"/>
          <w:szCs w:val="24"/>
        </w:rPr>
        <w:t>II</w:t>
      </w:r>
      <w:r w:rsidRPr="00265631">
        <w:rPr>
          <w:rFonts w:ascii="Palatino Linotype" w:eastAsia="Calibri" w:hAnsi="Palatino Linotype" w:cs="Arial"/>
          <w:iCs/>
          <w:sz w:val="24"/>
          <w:szCs w:val="24"/>
        </w:rPr>
        <w:t>. Confirmar, modificar o revocar las determinaciones que en materia de ampliación del plazo de respuesta, clasificación de la información y declaración de inexistencia o de incompetencia realicen los titulares de las áreas de los sujetos obligados;</w:t>
      </w: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r w:rsidRPr="00265631">
        <w:rPr>
          <w:rFonts w:ascii="Palatino Linotype" w:eastAsia="Calibri" w:hAnsi="Palatino Linotype" w:cs="Arial"/>
          <w:iCs/>
          <w:sz w:val="24"/>
          <w:szCs w:val="24"/>
        </w:rPr>
        <w:t>…</w:t>
      </w:r>
    </w:p>
    <w:p w:rsidR="00C317BE" w:rsidRPr="00265631" w:rsidRDefault="00C317BE" w:rsidP="00265631">
      <w:pPr>
        <w:spacing w:after="0" w:line="360" w:lineRule="auto"/>
        <w:ind w:left="567" w:right="757"/>
        <w:jc w:val="both"/>
        <w:rPr>
          <w:rFonts w:ascii="Palatino Linotype" w:eastAsia="Calibri" w:hAnsi="Palatino Linotype" w:cs="Arial"/>
          <w:iCs/>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En efecto, si bien se prevé la posibilidad de que el</w:t>
      </w:r>
      <w:r w:rsidRPr="00265631">
        <w:rPr>
          <w:rFonts w:ascii="Palatino Linotype" w:eastAsia="Calibri" w:hAnsi="Palatino Linotype" w:cs="Arial"/>
          <w:b/>
          <w:sz w:val="24"/>
          <w:szCs w:val="24"/>
        </w:rPr>
        <w:t xml:space="preserve"> </w:t>
      </w:r>
      <w:r w:rsidRPr="00265631">
        <w:rPr>
          <w:rFonts w:ascii="Palatino Linotype" w:eastAsia="Calibri" w:hAnsi="Palatino Linotype" w:cs="Arial"/>
          <w:b/>
          <w:bCs/>
          <w:sz w:val="24"/>
          <w:szCs w:val="24"/>
        </w:rPr>
        <w:t>Sujeto Obligado</w:t>
      </w:r>
      <w:r w:rsidRPr="00265631">
        <w:rPr>
          <w:rFonts w:ascii="Palatino Linotype" w:eastAsia="Calibri" w:hAnsi="Palatino Linotype" w:cs="Arial"/>
          <w:b/>
          <w:sz w:val="24"/>
          <w:szCs w:val="24"/>
        </w:rPr>
        <w:t xml:space="preserve"> </w:t>
      </w:r>
      <w:r w:rsidRPr="00265631">
        <w:rPr>
          <w:rFonts w:ascii="Palatino Linotype" w:eastAsia="Calibri" w:hAnsi="Palatino Linotype" w:cs="Arial"/>
          <w:sz w:val="24"/>
          <w:szCs w:val="24"/>
        </w:rPr>
        <w:t xml:space="preserve">no tiene competencia para administrar, generar o poseer la información solicitada, en virtud de ser competencias de diversos </w:t>
      </w:r>
      <w:r w:rsidRPr="00265631">
        <w:rPr>
          <w:rFonts w:ascii="Palatino Linotype" w:eastAsia="Calibri" w:hAnsi="Palatino Linotype" w:cs="Arial"/>
          <w:b/>
          <w:bCs/>
          <w:sz w:val="24"/>
          <w:szCs w:val="24"/>
        </w:rPr>
        <w:t>Sujetos Obligados</w:t>
      </w:r>
      <w:r w:rsidRPr="00265631">
        <w:rPr>
          <w:rFonts w:ascii="Palatino Linotype" w:hAnsi="Palatino Linotype" w:cs="Arial"/>
          <w:sz w:val="24"/>
          <w:szCs w:val="24"/>
          <w:lang w:eastAsia="es-MX"/>
        </w:rPr>
        <w:t>,</w:t>
      </w:r>
      <w:r w:rsidRPr="00265631">
        <w:rPr>
          <w:rFonts w:ascii="Palatino Linotype" w:eastAsia="Calibri" w:hAnsi="Palatino Linotype" w:cs="Arial"/>
          <w:sz w:val="24"/>
          <w:szCs w:val="24"/>
        </w:rPr>
        <w:t xml:space="preserve"> el Comité de Transparencia deberá emitir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rsidR="00C317BE" w:rsidRPr="00265631" w:rsidRDefault="00C317BE" w:rsidP="00265631">
      <w:pPr>
        <w:pStyle w:val="Prrafodelista"/>
        <w:spacing w:line="360" w:lineRule="auto"/>
        <w:rPr>
          <w:rFonts w:ascii="Palatino Linotype" w:eastAsia="Calibri" w:hAnsi="Palatino Linotype" w:cs="Arial"/>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 xml:space="preserve">Para robustecer lo anterior, el artículo 195 de la Ley de Transparencia y Acceso a la Información Pública del Estado de México y Municipios refiere que </w:t>
      </w:r>
      <w:r w:rsidRPr="00265631">
        <w:rPr>
          <w:rFonts w:ascii="Palatino Linotype" w:eastAsia="Calibri" w:hAnsi="Palatino Linotype" w:cs="Arial"/>
          <w:i/>
          <w:sz w:val="24"/>
          <w:szCs w:val="24"/>
        </w:rPr>
        <w:t xml:space="preserve">en la tramitación del recurso de revisión se aplicarán supletoriamente las disposiciones contenidas en el Código de Procedimientos Administrativos del Estado de México, </w:t>
      </w:r>
      <w:r w:rsidRPr="00265631">
        <w:rPr>
          <w:rFonts w:ascii="Palatino Linotype" w:eastAsia="Calibri" w:hAnsi="Palatino Linotype" w:cs="Arial"/>
          <w:sz w:val="24"/>
          <w:szCs w:val="24"/>
        </w:rPr>
        <w:t xml:space="preserve">luego entonces, en razón de que derivado de las manifestaciones vertidas por el </w:t>
      </w:r>
      <w:r w:rsidRPr="00265631">
        <w:rPr>
          <w:rFonts w:ascii="Palatino Linotype" w:eastAsia="Calibri" w:hAnsi="Palatino Linotype" w:cs="Arial"/>
          <w:b/>
          <w:bCs/>
          <w:sz w:val="24"/>
          <w:szCs w:val="24"/>
        </w:rPr>
        <w:t>Sujeto Obligado,</w:t>
      </w:r>
      <w:r w:rsidRPr="00265631">
        <w:rPr>
          <w:rFonts w:ascii="Palatino Linotype" w:eastAsia="Calibri" w:hAnsi="Palatino Linotype" w:cs="Arial"/>
          <w:sz w:val="24"/>
          <w:szCs w:val="24"/>
        </w:rPr>
        <w:t xml:space="preserve"> tanto en respuesta como en informe justificado, se ordenará la entrega de un acuerdo emitido por el </w:t>
      </w:r>
      <w:r w:rsidRPr="00265631">
        <w:rPr>
          <w:rFonts w:ascii="Palatino Linotype" w:eastAsia="Calibri" w:hAnsi="Palatino Linotype" w:cs="Arial"/>
          <w:b/>
          <w:bCs/>
          <w:sz w:val="24"/>
          <w:szCs w:val="24"/>
        </w:rPr>
        <w:t>Comité de Transparencia</w:t>
      </w:r>
      <w:r w:rsidRPr="00265631">
        <w:rPr>
          <w:rFonts w:ascii="Palatino Linotype" w:eastAsia="Calibri" w:hAnsi="Palatino Linotype" w:cs="Arial"/>
          <w:sz w:val="24"/>
          <w:szCs w:val="24"/>
        </w:rPr>
        <w:t xml:space="preserve"> mediante el cual se determine la incompetencia para atender lo relativo a los puntos referidos en esta resolución con los numerales 2), 3), 4), 6) y; 8) , lo cual, a su vez se constituirá como</w:t>
      </w:r>
      <w:r w:rsidRPr="00265631">
        <w:rPr>
          <w:rFonts w:ascii="Palatino Linotype" w:hAnsi="Palatino Linotype" w:cs="Arial"/>
          <w:b/>
          <w:color w:val="263238"/>
          <w:sz w:val="24"/>
          <w:szCs w:val="24"/>
        </w:rPr>
        <w:t xml:space="preserve"> una confesión expresa</w:t>
      </w:r>
      <w:r w:rsidRPr="00265631">
        <w:rPr>
          <w:rFonts w:ascii="Palatino Linotype" w:hAnsi="Palatino Linotype" w:cs="Arial"/>
          <w:color w:val="263238"/>
          <w:sz w:val="24"/>
          <w:szCs w:val="24"/>
        </w:rPr>
        <w:t xml:space="preserve"> en </w:t>
      </w:r>
      <w:r w:rsidRPr="00265631">
        <w:rPr>
          <w:rFonts w:ascii="Palatino Linotype" w:hAnsi="Palatino Linotype" w:cs="Arial"/>
          <w:sz w:val="24"/>
          <w:szCs w:val="24"/>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rsidR="00C317BE" w:rsidRPr="00265631" w:rsidRDefault="00C317BE" w:rsidP="00265631">
      <w:pPr>
        <w:pStyle w:val="Prrafodelista"/>
        <w:spacing w:line="360" w:lineRule="auto"/>
        <w:rPr>
          <w:rFonts w:ascii="Palatino Linotype" w:eastAsia="Calibri" w:hAnsi="Palatino Linotype" w:cs="Arial"/>
          <w:sz w:val="24"/>
          <w:szCs w:val="24"/>
        </w:rPr>
      </w:pPr>
    </w:p>
    <w:p w:rsidR="00C317BE" w:rsidRPr="00265631" w:rsidRDefault="00C317BE" w:rsidP="00265631">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265631">
        <w:rPr>
          <w:rFonts w:ascii="Palatino Linotype" w:eastAsia="Calibri" w:hAnsi="Palatino Linotype" w:cs="Arial"/>
          <w:sz w:val="24"/>
          <w:szCs w:val="24"/>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w:t>
      </w:r>
      <w:r w:rsidRPr="00265631">
        <w:rPr>
          <w:rFonts w:ascii="Palatino Linotype" w:eastAsia="Calibri" w:hAnsi="Palatino Linotype" w:cs="Arial"/>
          <w:b/>
          <w:bCs/>
          <w:sz w:val="24"/>
          <w:szCs w:val="24"/>
        </w:rPr>
        <w:t>Sujeto Obligado</w:t>
      </w:r>
      <w:r w:rsidRPr="00265631">
        <w:rPr>
          <w:rFonts w:ascii="Palatino Linotype" w:eastAsia="Calibri" w:hAnsi="Palatino Linotype" w:cs="Arial"/>
          <w:sz w:val="24"/>
          <w:szCs w:val="24"/>
        </w:rPr>
        <w:t>, además, que, si en actos futuros se demuestra lo contrario, podría ser utilizado como medio probatorio.</w:t>
      </w:r>
    </w:p>
    <w:p w:rsidR="00C317BE" w:rsidRPr="00265631" w:rsidRDefault="00C317BE" w:rsidP="00265631">
      <w:pPr>
        <w:pStyle w:val="Prrafodelista"/>
        <w:spacing w:after="0" w:line="360" w:lineRule="auto"/>
        <w:ind w:left="0"/>
        <w:jc w:val="both"/>
        <w:rPr>
          <w:rFonts w:ascii="Palatino Linotype" w:eastAsia="Calibri" w:hAnsi="Palatino Linotype" w:cs="Arial"/>
          <w:sz w:val="24"/>
          <w:szCs w:val="24"/>
        </w:rPr>
      </w:pPr>
    </w:p>
    <w:p w:rsidR="00C317BE" w:rsidRPr="00265631" w:rsidRDefault="00C317BE" w:rsidP="00265631">
      <w:pPr>
        <w:pStyle w:val="Ttulo1"/>
        <w:spacing w:before="0" w:line="360" w:lineRule="auto"/>
        <w:rPr>
          <w:b/>
          <w:color w:val="000000" w:themeColor="text1"/>
          <w:szCs w:val="24"/>
        </w:rPr>
      </w:pPr>
      <w:bookmarkStart w:id="46" w:name="_Toc523908140"/>
      <w:bookmarkStart w:id="47" w:name="_Toc522209067"/>
      <w:bookmarkStart w:id="48" w:name="_Toc521949107"/>
      <w:bookmarkStart w:id="49" w:name="_Toc17390946"/>
      <w:bookmarkStart w:id="50" w:name="_Toc17043969"/>
      <w:bookmarkStart w:id="51" w:name="_Toc12448142"/>
      <w:bookmarkStart w:id="52" w:name="_Toc11834466"/>
      <w:bookmarkStart w:id="53" w:name="_Toc20392593"/>
      <w:bookmarkStart w:id="54" w:name="_Toc20412820"/>
      <w:bookmarkStart w:id="55" w:name="_Toc21026228"/>
      <w:bookmarkStart w:id="56" w:name="_Toc21701098"/>
      <w:r w:rsidRPr="00265631">
        <w:rPr>
          <w:rFonts w:cs="Times New Roman"/>
          <w:b/>
          <w:color w:val="000000" w:themeColor="text1"/>
          <w:szCs w:val="24"/>
          <w:lang w:eastAsia="es-ES_tradnl"/>
        </w:rPr>
        <w:t xml:space="preserve">QUINTO. </w:t>
      </w:r>
      <w:r w:rsidRPr="00265631">
        <w:rPr>
          <w:b/>
          <w:color w:val="000000" w:themeColor="text1"/>
          <w:szCs w:val="24"/>
        </w:rPr>
        <w:t xml:space="preserve"> De la elaboración de la versión pública</w:t>
      </w:r>
      <w:bookmarkEnd w:id="46"/>
      <w:bookmarkEnd w:id="47"/>
      <w:bookmarkEnd w:id="48"/>
      <w:r w:rsidRPr="00265631">
        <w:rPr>
          <w:b/>
          <w:color w:val="000000" w:themeColor="text1"/>
          <w:szCs w:val="24"/>
        </w:rPr>
        <w:t>.</w:t>
      </w:r>
      <w:bookmarkEnd w:id="49"/>
      <w:bookmarkEnd w:id="50"/>
      <w:bookmarkEnd w:id="51"/>
      <w:bookmarkEnd w:id="52"/>
      <w:bookmarkEnd w:id="53"/>
      <w:bookmarkEnd w:id="54"/>
      <w:bookmarkEnd w:id="55"/>
      <w:bookmarkEnd w:id="56"/>
      <w:r w:rsidRPr="00265631">
        <w:rPr>
          <w:b/>
          <w:color w:val="000000" w:themeColor="text1"/>
          <w:szCs w:val="24"/>
        </w:rPr>
        <w:t xml:space="preserve"> </w:t>
      </w:r>
    </w:p>
    <w:p w:rsidR="00C317BE" w:rsidRPr="00265631" w:rsidRDefault="00C317BE" w:rsidP="0026563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317BE" w:rsidRPr="00265631" w:rsidRDefault="00C317BE" w:rsidP="00265631">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Debe destacarse que, debido a la naturaleza de la información solicitada</w:t>
      </w:r>
      <w:r w:rsidRPr="00265631">
        <w:rPr>
          <w:rFonts w:ascii="Palatino Linotype" w:eastAsia="Times New Roman" w:hAnsi="Palatino Linotype" w:cs="Arial"/>
          <w:b/>
          <w:color w:val="000000"/>
          <w:sz w:val="24"/>
          <w:szCs w:val="24"/>
        </w:rPr>
        <w:t xml:space="preserve">, </w:t>
      </w:r>
      <w:r w:rsidRPr="00265631">
        <w:rPr>
          <w:rFonts w:ascii="Palatino Linotype" w:eastAsia="Times New Roman" w:hAnsi="Palatino Linotype" w:cs="Arial"/>
          <w:color w:val="000000"/>
          <w:sz w:val="24"/>
          <w:szCs w:val="24"/>
        </w:rPr>
        <w:t xml:space="preserve">eventualmente pudiera obrar datos personales susceptibles de protegerse, el </w:t>
      </w:r>
      <w:r w:rsidRPr="00265631">
        <w:rPr>
          <w:rFonts w:ascii="Palatino Linotype" w:eastAsia="Times New Roman" w:hAnsi="Palatino Linotype" w:cs="Arial"/>
          <w:b/>
          <w:bCs/>
          <w:color w:val="000000"/>
          <w:sz w:val="24"/>
          <w:szCs w:val="24"/>
        </w:rPr>
        <w:t xml:space="preserve">Sujeto Obligado </w:t>
      </w:r>
      <w:r w:rsidRPr="00265631">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C317BE" w:rsidRPr="00265631" w:rsidRDefault="00C317BE" w:rsidP="00265631">
      <w:pPr>
        <w:pStyle w:val="Prrafodelista"/>
        <w:tabs>
          <w:tab w:val="left" w:pos="0"/>
        </w:tabs>
        <w:spacing w:after="0" w:line="360" w:lineRule="auto"/>
        <w:ind w:left="0" w:right="49"/>
        <w:jc w:val="both"/>
        <w:rPr>
          <w:rFonts w:ascii="Palatino Linotype" w:eastAsia="MS Mincho" w:hAnsi="Palatino Linotype" w:cs="Times New Roman"/>
          <w:sz w:val="24"/>
          <w:szCs w:val="24"/>
          <w:highlight w:val="yellow"/>
          <w:lang w:val="es-ES"/>
        </w:rPr>
      </w:pPr>
    </w:p>
    <w:p w:rsidR="00C317BE" w:rsidRPr="00265631" w:rsidRDefault="00C317BE" w:rsidP="00265631">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No pasa desapercibido para este Órgano Garante que los </w:t>
      </w:r>
      <w:r w:rsidRPr="00265631">
        <w:rPr>
          <w:rFonts w:ascii="Palatino Linotype" w:eastAsia="Times New Roman" w:hAnsi="Palatino Linotype" w:cs="Arial"/>
          <w:b/>
          <w:bCs/>
          <w:color w:val="000000"/>
          <w:sz w:val="24"/>
          <w:szCs w:val="24"/>
        </w:rPr>
        <w:t xml:space="preserve">Sujetos Obligados </w:t>
      </w:r>
      <w:r w:rsidRPr="00265631">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317BE" w:rsidRPr="00265631" w:rsidRDefault="00C317BE" w:rsidP="00265631">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6"/>
        <w:gridCol w:w="6941"/>
      </w:tblGrid>
      <w:tr w:rsidR="00C317BE" w:rsidRPr="00265631"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265631" w:rsidRDefault="00C317BE" w:rsidP="00265631">
            <w:pPr>
              <w:spacing w:line="360" w:lineRule="auto"/>
              <w:rPr>
                <w:rFonts w:ascii="Palatino Linotype" w:hAnsi="Palatino Linotype"/>
                <w:bCs w:val="0"/>
                <w:sz w:val="24"/>
                <w:szCs w:val="24"/>
              </w:rPr>
            </w:pPr>
            <w:r w:rsidRPr="00265631">
              <w:rPr>
                <w:rFonts w:ascii="Palatino Linotype" w:hAnsi="Palatino Linotype" w:cstheme="majorBidi"/>
                <w:bCs w:val="0"/>
                <w:sz w:val="24"/>
                <w:szCs w:val="24"/>
              </w:rPr>
              <w:t>a) Requisitos previos.</w:t>
            </w:r>
          </w:p>
        </w:tc>
        <w:tc>
          <w:tcPr>
            <w:tcW w:w="6990" w:type="dxa"/>
            <w:hideMark/>
          </w:tcPr>
          <w:p w:rsidR="00C317BE" w:rsidRPr="00265631" w:rsidRDefault="00C317BE" w:rsidP="002656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265631">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317BE" w:rsidRPr="00265631" w:rsidRDefault="00C317BE" w:rsidP="002656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265631">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317BE" w:rsidRPr="00265631" w:rsidRDefault="00C317BE" w:rsidP="0026563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265631">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317BE" w:rsidRPr="00265631" w:rsidRDefault="00C317BE" w:rsidP="0026563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265631">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265631">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265631">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317BE" w:rsidRPr="00265631"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265631" w:rsidRDefault="00C317BE" w:rsidP="00265631">
            <w:pPr>
              <w:spacing w:line="360" w:lineRule="auto"/>
              <w:rPr>
                <w:rFonts w:ascii="Palatino Linotype" w:hAnsi="Palatino Linotype"/>
                <w:bCs w:val="0"/>
                <w:sz w:val="24"/>
                <w:szCs w:val="24"/>
              </w:rPr>
            </w:pPr>
            <w:r w:rsidRPr="00265631">
              <w:rPr>
                <w:rFonts w:ascii="Palatino Linotype" w:hAnsi="Palatino Linotype" w:cstheme="majorBidi"/>
                <w:bCs w:val="0"/>
                <w:sz w:val="24"/>
                <w:szCs w:val="24"/>
              </w:rPr>
              <w:t>b) Supuestos de clasificación.</w:t>
            </w:r>
          </w:p>
        </w:tc>
        <w:tc>
          <w:tcPr>
            <w:tcW w:w="6990" w:type="dxa"/>
            <w:hideMark/>
          </w:tcPr>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317BE" w:rsidRPr="00265631" w:rsidRDefault="00C317BE" w:rsidP="0026563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265631">
              <w:rPr>
                <w:rFonts w:ascii="Palatino Linotype" w:eastAsia="Times New Roman" w:hAnsi="Palatino Linotype" w:cs="Arial"/>
                <w:color w:val="000000"/>
                <w:sz w:val="24"/>
                <w:szCs w:val="24"/>
              </w:rPr>
              <w:t xml:space="preserve">El </w:t>
            </w:r>
            <w:r w:rsidRPr="00265631">
              <w:rPr>
                <w:rFonts w:ascii="Palatino Linotype" w:eastAsia="Times New Roman" w:hAnsi="Palatino Linotype" w:cs="Arial"/>
                <w:b/>
                <w:color w:val="000000"/>
                <w:sz w:val="24"/>
                <w:szCs w:val="24"/>
              </w:rPr>
              <w:t>Sujeto Obligado</w:t>
            </w:r>
            <w:r w:rsidRPr="00265631">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265631" w:rsidTr="00642319">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265631" w:rsidRDefault="00C317BE" w:rsidP="00265631">
            <w:pPr>
              <w:spacing w:line="360" w:lineRule="auto"/>
              <w:rPr>
                <w:rFonts w:ascii="Palatino Linotype" w:hAnsi="Palatino Linotype"/>
                <w:bCs w:val="0"/>
                <w:sz w:val="24"/>
                <w:szCs w:val="24"/>
              </w:rPr>
            </w:pPr>
            <w:r w:rsidRPr="00265631">
              <w:rPr>
                <w:rFonts w:ascii="Palatino Linotype" w:hAnsi="Palatino Linotype" w:cstheme="majorBidi"/>
                <w:bCs w:val="0"/>
                <w:sz w:val="24"/>
                <w:szCs w:val="24"/>
              </w:rPr>
              <w:t>c) Formalidades para emitir el acuerdo de clasificación.</w:t>
            </w:r>
          </w:p>
        </w:tc>
        <w:tc>
          <w:tcPr>
            <w:tcW w:w="6990" w:type="dxa"/>
            <w:hideMark/>
          </w:tcPr>
          <w:p w:rsidR="00C317BE" w:rsidRPr="00265631" w:rsidRDefault="00C317BE" w:rsidP="002656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317BE" w:rsidRPr="00265631" w:rsidRDefault="00C317BE" w:rsidP="002656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Es necesario que </w:t>
            </w:r>
            <w:r w:rsidRPr="00265631">
              <w:rPr>
                <w:rFonts w:ascii="Palatino Linotype" w:eastAsia="Times New Roman" w:hAnsi="Palatino Linotype" w:cs="Arial"/>
                <w:b/>
                <w:color w:val="000000"/>
                <w:sz w:val="24"/>
                <w:szCs w:val="24"/>
                <w:u w:val="single"/>
              </w:rPr>
              <w:t>el acto reúna con los requisitos elementales</w:t>
            </w:r>
            <w:r w:rsidRPr="00265631">
              <w:rPr>
                <w:rFonts w:ascii="Palatino Linotype" w:eastAsia="Times New Roman" w:hAnsi="Palatino Linotype" w:cs="Arial"/>
                <w:color w:val="000000"/>
                <w:sz w:val="24"/>
                <w:szCs w:val="24"/>
              </w:rPr>
              <w:t>, entre ellos, que la autoridad que va a emitir el acto de autoridad sea la legalmente facultada para ello.</w:t>
            </w:r>
          </w:p>
          <w:p w:rsidR="00C317BE" w:rsidRPr="00265631" w:rsidRDefault="00C317BE" w:rsidP="0026563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265631">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265631"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317BE" w:rsidRPr="00265631" w:rsidRDefault="00C317BE" w:rsidP="00265631">
            <w:pPr>
              <w:spacing w:line="360" w:lineRule="auto"/>
              <w:rPr>
                <w:rFonts w:ascii="Palatino Linotype" w:hAnsi="Palatino Linotype"/>
                <w:b w:val="0"/>
                <w:sz w:val="24"/>
                <w:szCs w:val="24"/>
              </w:rPr>
            </w:pPr>
          </w:p>
          <w:p w:rsidR="00C317BE" w:rsidRPr="00265631" w:rsidRDefault="00C317BE" w:rsidP="00265631">
            <w:pPr>
              <w:spacing w:line="360" w:lineRule="auto"/>
              <w:jc w:val="both"/>
              <w:rPr>
                <w:rFonts w:ascii="Palatino Linotype" w:hAnsi="Palatino Linotype"/>
                <w:bCs w:val="0"/>
                <w:sz w:val="24"/>
                <w:szCs w:val="24"/>
              </w:rPr>
            </w:pPr>
            <w:r w:rsidRPr="00265631">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65631">
              <w:rPr>
                <w:rFonts w:ascii="Palatino Linotype" w:eastAsia="Times New Roman" w:hAnsi="Palatino Linotype" w:cs="Arial"/>
                <w:b/>
                <w:color w:val="000000"/>
                <w:sz w:val="24"/>
                <w:szCs w:val="24"/>
              </w:rPr>
              <w:t>Sujetos Obligados</w:t>
            </w:r>
            <w:r w:rsidRPr="00265631">
              <w:rPr>
                <w:rFonts w:ascii="Palatino Linotype" w:eastAsia="Times New Roman" w:hAnsi="Palatino Linotype" w:cs="Arial"/>
                <w:color w:val="000000"/>
                <w:sz w:val="24"/>
                <w:szCs w:val="24"/>
              </w:rPr>
              <w:t xml:space="preserve">, por lo que deberán fundar y motivar debidamente la clasificación. </w:t>
            </w:r>
          </w:p>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De lo anterior, se desprende que para una correcta </w:t>
            </w:r>
            <w:r w:rsidRPr="00265631">
              <w:rPr>
                <w:rFonts w:ascii="Palatino Linotype" w:eastAsia="Times New Roman" w:hAnsi="Palatino Linotype" w:cs="Arial"/>
                <w:b/>
                <w:color w:val="000000"/>
                <w:sz w:val="24"/>
                <w:szCs w:val="24"/>
              </w:rPr>
              <w:t>clasificación total o parcial</w:t>
            </w:r>
            <w:r w:rsidRPr="00265631">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317BE" w:rsidRPr="00265631" w:rsidRDefault="00C317BE" w:rsidP="0026563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Ahora bien, </w:t>
            </w:r>
            <w:r w:rsidRPr="00265631">
              <w:rPr>
                <w:rFonts w:ascii="Palatino Linotype" w:eastAsia="Times New Roman" w:hAnsi="Palatino Linotype" w:cs="Arial"/>
                <w:b/>
                <w:color w:val="000000"/>
                <w:sz w:val="24"/>
                <w:szCs w:val="24"/>
                <w:u w:val="single"/>
              </w:rPr>
              <w:t>para cada caso además de fundar y motivar</w:t>
            </w:r>
            <w:r w:rsidRPr="00265631">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265631">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265631" w:rsidTr="00265631">
        <w:trPr>
          <w:trHeight w:val="4674"/>
        </w:trPr>
        <w:tc>
          <w:tcPr>
            <w:cnfStyle w:val="001000000000" w:firstRow="0" w:lastRow="0" w:firstColumn="1" w:lastColumn="0" w:oddVBand="0" w:evenVBand="0" w:oddHBand="0" w:evenHBand="0" w:firstRowFirstColumn="0" w:firstRowLastColumn="0" w:lastRowFirstColumn="0" w:lastRowLastColumn="0"/>
            <w:tcW w:w="1838" w:type="dxa"/>
          </w:tcPr>
          <w:p w:rsidR="00C317BE" w:rsidRPr="00265631" w:rsidRDefault="00C317BE" w:rsidP="00265631">
            <w:pPr>
              <w:spacing w:line="360" w:lineRule="auto"/>
              <w:ind w:right="49"/>
              <w:jc w:val="both"/>
              <w:rPr>
                <w:rFonts w:ascii="Palatino Linotype" w:eastAsia="Times New Roman" w:hAnsi="Palatino Linotype" w:cs="Arial"/>
                <w:bCs w:val="0"/>
                <w:sz w:val="24"/>
                <w:szCs w:val="24"/>
              </w:rPr>
            </w:pPr>
            <w:r w:rsidRPr="00265631">
              <w:rPr>
                <w:rFonts w:ascii="Palatino Linotype" w:eastAsia="MS Gothic" w:hAnsi="Palatino Linotype" w:cs="Times New Roman"/>
                <w:b w:val="0"/>
                <w:sz w:val="24"/>
                <w:szCs w:val="24"/>
              </w:rPr>
              <w:t>e</w:t>
            </w:r>
            <w:r w:rsidRPr="00265631">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rsidR="00C317BE" w:rsidRPr="00265631" w:rsidRDefault="00C317BE" w:rsidP="002656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C317BE" w:rsidRPr="00265631" w:rsidRDefault="00C317BE" w:rsidP="0026563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265631">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317BE" w:rsidRPr="00265631" w:rsidRDefault="00C317BE" w:rsidP="00265631">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265631">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317BE" w:rsidRPr="00265631" w:rsidRDefault="00C317BE" w:rsidP="00265631">
      <w:pPr>
        <w:pStyle w:val="Prrafodelista"/>
        <w:spacing w:after="0" w:line="360" w:lineRule="auto"/>
        <w:ind w:left="0"/>
        <w:jc w:val="both"/>
        <w:rPr>
          <w:rFonts w:ascii="Palatino Linotype" w:eastAsia="Calibri" w:hAnsi="Palatino Linotype" w:cs="Arial"/>
          <w:sz w:val="24"/>
          <w:szCs w:val="24"/>
        </w:rPr>
      </w:pPr>
    </w:p>
    <w:p w:rsidR="00C317BE" w:rsidRPr="00265631" w:rsidRDefault="00C317BE" w:rsidP="00265631">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65631">
        <w:rPr>
          <w:rFonts w:ascii="Palatino Linotype" w:eastAsia="MS Mincho" w:hAnsi="Palatino Linotype" w:cstheme="majorBidi"/>
          <w:sz w:val="24"/>
          <w:szCs w:val="24"/>
        </w:rPr>
        <w:t xml:space="preserve">Por lo anteriormente expuesto y fundado este </w:t>
      </w:r>
      <w:r w:rsidRPr="00265631">
        <w:rPr>
          <w:rFonts w:ascii="Palatino Linotype" w:eastAsia="MS Mincho" w:hAnsi="Palatino Linotype" w:cstheme="majorBidi"/>
          <w:b/>
          <w:sz w:val="24"/>
          <w:szCs w:val="24"/>
        </w:rPr>
        <w:t>ÓRGANO GARANTE</w:t>
      </w:r>
      <w:r w:rsidRPr="00265631">
        <w:rPr>
          <w:rFonts w:ascii="Palatino Linotype" w:eastAsia="MS Mincho" w:hAnsi="Palatino Linotype" w:cstheme="majorBidi"/>
          <w:sz w:val="24"/>
          <w:szCs w:val="24"/>
        </w:rPr>
        <w:t xml:space="preserve"> emite los siguientes.</w:t>
      </w:r>
    </w:p>
    <w:p w:rsidR="00693390" w:rsidRPr="00265631" w:rsidRDefault="00265631" w:rsidP="00265631">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43065</wp:posOffset>
                </wp:positionH>
                <wp:positionV relativeFrom="paragraph">
                  <wp:posOffset>22810</wp:posOffset>
                </wp:positionV>
                <wp:extent cx="5522400" cy="2023200"/>
                <wp:effectExtent l="19050" t="19050" r="21590" b="34290"/>
                <wp:wrapNone/>
                <wp:docPr id="4" name="Conector recto 4"/>
                <wp:cNvGraphicFramePr/>
                <a:graphic xmlns:a="http://schemas.openxmlformats.org/drawingml/2006/main">
                  <a:graphicData uri="http://schemas.microsoft.com/office/word/2010/wordprocessingShape">
                    <wps:wsp>
                      <wps:cNvCnPr/>
                      <wps:spPr>
                        <a:xfrm>
                          <a:off x="0" y="0"/>
                          <a:ext cx="5522400" cy="20232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D1344"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pt,1.8pt" to="438.2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0ZwAEAANYDAAAOAAAAZHJzL2Uyb0RvYy54bWysU9uO0zAQfUfiHyy/01y2i1ZR033oCl4Q&#10;VFw+wOuMG0u+aWya9O8Zu9nsCpAQiBfH9sw5PmdmsrufrWFnwKi963mzqTkDJ/2g3ann376+e3PH&#10;WUzCDcJ4Bz2/QOT3+9evdlPooPWjNwMgIxIXuyn0fEwpdFUV5QhWxI0P4CioPFqR6IinakAxEbs1&#10;VVvXb6vJ4xDQS4iRbh+uQb4v/EqBTJ+UipCY6TlpS2XFsj7mtdrvRHdCEUYtFxniH1RYoR09ulI9&#10;iCTYd9S/UFkt0Uev0kZ6W3mltITigdw09U9uvowiQPFCxYlhLVP8f7Ty4/mITA8933LmhKUWHahR&#10;MnlkmD9sm2s0hdhR6sEdcTnFcMRseFZo85essLnU9bLWFebEJF3e3rbttqbyS4q1dXtDncus1TM8&#10;YEzvwVuWNz032mXjohPnDzFdU59S8rVxbOr5zV2zEGV9V0Vlly4GrmmfQZE70tAUujJXcDDIzoIm&#10;QkgJLjWLFuMoO8OUNmYF1n8GLvkZCmXm/ga8IsrL3qUVbLXz+LvX0/wkWV3zqZQvfOftox8upVcl&#10;QMNTqr0Mep7Ol+cCf/4d9z8AAAD//wMAUEsDBBQABgAIAAAAIQDZqYCd2wAAAAcBAAAPAAAAZHJz&#10;L2Rvd25yZXYueG1sTM5BS8QwEAXgu+B/CCN4c1MjdpfadBGhCF52XUWv2WZsi82kJOm2++8dT3p8&#10;vOHNV24XN4gThth70nC7ykAgNd721Gp4f6tvNiBiMmTN4Ak1nDHCtrq8KE1h/UyveDqkVvAIxcJo&#10;6FIaCylj06EzceVHJO6+fHAmcQyttMHMPO4GqbIsl870xB86M+JTh833YXIa1Lw7f9JLNinX7NNz&#10;+KjXu32t9fXV8vgAIuGS/o7hl890qNh09BPZKAYNOcOThrscBLebdX4P4shZKQWyKuV/f/UDAAD/&#10;/wMAUEsBAi0AFAAGAAgAAAAhALaDOJL+AAAA4QEAABMAAAAAAAAAAAAAAAAAAAAAAFtDb250ZW50&#10;X1R5cGVzXS54bWxQSwECLQAUAAYACAAAACEAOP0h/9YAAACUAQAACwAAAAAAAAAAAAAAAAAvAQAA&#10;X3JlbHMvLnJlbHNQSwECLQAUAAYACAAAACEA0LC9GcABAADWAwAADgAAAAAAAAAAAAAAAAAuAgAA&#10;ZHJzL2Uyb0RvYy54bWxQSwECLQAUAAYACAAAACEA2amAndsAAAAHAQAADwAAAAAAAAAAAAAAAAAa&#10;BAAAZHJzL2Rvd25yZXYueG1sUEsFBgAAAAAEAAQA8wAAACIFAAAAAA==&#10;" strokecolor="#5b9bd5 [3204]" strokeweight="3pt">
                <v:stroke joinstyle="miter"/>
              </v:line>
            </w:pict>
          </mc:Fallback>
        </mc:AlternateContent>
      </w:r>
    </w:p>
    <w:p w:rsidR="007F397B" w:rsidRPr="00265631" w:rsidRDefault="007F397B" w:rsidP="00265631">
      <w:pPr>
        <w:spacing w:after="0" w:line="360" w:lineRule="auto"/>
        <w:jc w:val="both"/>
        <w:rPr>
          <w:rFonts w:ascii="Palatino Linotype" w:hAnsi="Palatino Linotype" w:cs="Arial"/>
          <w:color w:val="000000" w:themeColor="text1"/>
          <w:sz w:val="24"/>
          <w:szCs w:val="24"/>
        </w:rPr>
      </w:pPr>
    </w:p>
    <w:p w:rsidR="007F397B" w:rsidRPr="00265631" w:rsidRDefault="007F397B" w:rsidP="00265631">
      <w:pPr>
        <w:spacing w:after="0" w:line="360" w:lineRule="auto"/>
        <w:jc w:val="both"/>
        <w:rPr>
          <w:rFonts w:ascii="Palatino Linotype" w:hAnsi="Palatino Linotype" w:cs="Arial"/>
          <w:color w:val="000000" w:themeColor="text1"/>
          <w:sz w:val="24"/>
          <w:szCs w:val="24"/>
        </w:rPr>
      </w:pPr>
    </w:p>
    <w:p w:rsidR="00265631" w:rsidRPr="00265631" w:rsidRDefault="00265631" w:rsidP="00265631">
      <w:pPr>
        <w:spacing w:after="0" w:line="360" w:lineRule="auto"/>
        <w:jc w:val="both"/>
        <w:rPr>
          <w:rFonts w:ascii="Palatino Linotype" w:hAnsi="Palatino Linotype" w:cs="Arial"/>
          <w:color w:val="000000" w:themeColor="text1"/>
          <w:sz w:val="24"/>
          <w:szCs w:val="24"/>
        </w:rPr>
      </w:pPr>
    </w:p>
    <w:p w:rsidR="006F025F" w:rsidRPr="00265631" w:rsidRDefault="006F025F" w:rsidP="00265631">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57" w:name="_Toc494366431"/>
      <w:bookmarkStart w:id="58" w:name="_Toc21701099"/>
      <w:r w:rsidRPr="00265631">
        <w:rPr>
          <w:rFonts w:ascii="Palatino Linotype" w:eastAsia="Times New Roman" w:hAnsi="Palatino Linotype" w:cstheme="majorBidi"/>
          <w:b/>
          <w:sz w:val="24"/>
          <w:szCs w:val="24"/>
          <w:lang w:val="es-ES_tradnl" w:eastAsia="es-ES"/>
        </w:rPr>
        <w:t>R E S O L U T I V O S</w:t>
      </w:r>
      <w:bookmarkEnd w:id="57"/>
      <w:bookmarkEnd w:id="58"/>
    </w:p>
    <w:p w:rsidR="006F025F" w:rsidRPr="00265631" w:rsidRDefault="006F025F" w:rsidP="00265631">
      <w:pPr>
        <w:spacing w:after="0" w:line="360" w:lineRule="auto"/>
        <w:rPr>
          <w:rFonts w:ascii="Palatino Linotype" w:hAnsi="Palatino Linotype"/>
          <w:sz w:val="24"/>
          <w:szCs w:val="24"/>
          <w:lang w:val="es-ES_tradnl" w:eastAsia="es-ES"/>
        </w:rPr>
      </w:pPr>
    </w:p>
    <w:p w:rsidR="00845705" w:rsidRPr="00265631" w:rsidRDefault="006F025F" w:rsidP="00265631">
      <w:pPr>
        <w:spacing w:after="0" w:line="360" w:lineRule="auto"/>
        <w:jc w:val="both"/>
        <w:rPr>
          <w:rFonts w:ascii="Palatino Linotype" w:eastAsia="Times New Roman" w:hAnsi="Palatino Linotype" w:cs="Times New Roman"/>
          <w:sz w:val="24"/>
          <w:szCs w:val="24"/>
          <w:lang w:val="es-ES_tradnl" w:eastAsia="es-ES"/>
        </w:rPr>
      </w:pPr>
      <w:r w:rsidRPr="00265631">
        <w:rPr>
          <w:rFonts w:ascii="Palatino Linotype" w:eastAsia="Times New Roman" w:hAnsi="Palatino Linotype" w:cs="Arial"/>
          <w:b/>
          <w:sz w:val="24"/>
          <w:szCs w:val="24"/>
          <w:lang w:val="es-ES_tradnl" w:eastAsia="es-ES"/>
        </w:rPr>
        <w:t xml:space="preserve">PRIMERO. </w:t>
      </w:r>
      <w:r w:rsidR="002038F4" w:rsidRPr="00265631">
        <w:rPr>
          <w:rFonts w:ascii="Palatino Linotype" w:eastAsia="Times New Roman" w:hAnsi="Palatino Linotype" w:cs="Arial"/>
          <w:sz w:val="24"/>
          <w:szCs w:val="24"/>
          <w:lang w:val="es-ES_tradnl" w:eastAsia="es-ES"/>
        </w:rPr>
        <w:t>Resultan</w:t>
      </w:r>
      <w:r w:rsidRPr="00265631">
        <w:rPr>
          <w:rFonts w:ascii="Palatino Linotype" w:eastAsia="Times New Roman" w:hAnsi="Palatino Linotype" w:cs="Arial"/>
          <w:sz w:val="24"/>
          <w:szCs w:val="24"/>
          <w:lang w:val="es-ES_tradnl" w:eastAsia="es-ES"/>
        </w:rPr>
        <w:t xml:space="preserve"> </w:t>
      </w:r>
      <w:r w:rsidR="00C317BE" w:rsidRPr="00265631">
        <w:rPr>
          <w:rFonts w:ascii="Palatino Linotype" w:eastAsia="Times New Roman" w:hAnsi="Palatino Linotype" w:cs="Arial"/>
          <w:sz w:val="24"/>
          <w:szCs w:val="24"/>
          <w:lang w:val="es-ES_tradnl" w:eastAsia="es-ES"/>
        </w:rPr>
        <w:t>parcialmente fundadas</w:t>
      </w:r>
      <w:r w:rsidRPr="00265631">
        <w:rPr>
          <w:rFonts w:ascii="Palatino Linotype" w:eastAsia="Times New Roman" w:hAnsi="Palatino Linotype" w:cs="Arial"/>
          <w:sz w:val="24"/>
          <w:szCs w:val="24"/>
          <w:lang w:val="es-ES_tradnl" w:eastAsia="es-ES"/>
        </w:rPr>
        <w:t xml:space="preserve"> las</w:t>
      </w:r>
      <w:r w:rsidRPr="00265631">
        <w:rPr>
          <w:rFonts w:ascii="Palatino Linotype" w:eastAsia="Times New Roman" w:hAnsi="Palatino Linotype" w:cs="Arial"/>
          <w:b/>
          <w:sz w:val="24"/>
          <w:szCs w:val="24"/>
          <w:lang w:val="es-ES_tradnl" w:eastAsia="es-ES"/>
        </w:rPr>
        <w:t xml:space="preserve"> </w:t>
      </w:r>
      <w:r w:rsidRPr="00265631">
        <w:rPr>
          <w:rFonts w:ascii="Palatino Linotype" w:eastAsia="Times New Roman" w:hAnsi="Palatino Linotype" w:cs="Arial"/>
          <w:sz w:val="24"/>
          <w:szCs w:val="24"/>
          <w:lang w:val="es-ES" w:eastAsia="es-ES"/>
        </w:rPr>
        <w:t xml:space="preserve">razones o motivos de inconformidad hechos valer </w:t>
      </w:r>
      <w:r w:rsidR="0087682B" w:rsidRPr="00265631">
        <w:rPr>
          <w:rFonts w:ascii="Palatino Linotype" w:eastAsia="Calibri" w:hAnsi="Palatino Linotype" w:cs="Arial"/>
          <w:sz w:val="24"/>
          <w:szCs w:val="24"/>
          <w:lang w:val="es-ES" w:eastAsia="es-ES"/>
        </w:rPr>
        <w:t xml:space="preserve">en </w:t>
      </w:r>
      <w:r w:rsidRPr="00265631">
        <w:rPr>
          <w:rFonts w:ascii="Palatino Linotype" w:eastAsia="Calibri" w:hAnsi="Palatino Linotype" w:cs="Arial"/>
          <w:sz w:val="24"/>
          <w:szCs w:val="24"/>
          <w:lang w:val="es-ES" w:eastAsia="es-ES"/>
        </w:rPr>
        <w:t xml:space="preserve">el recurso de revisión </w:t>
      </w:r>
      <w:r w:rsidRPr="00265631">
        <w:rPr>
          <w:rFonts w:ascii="Palatino Linotype" w:eastAsia="Times New Roman" w:hAnsi="Palatino Linotype" w:cs="Times New Roman"/>
          <w:b/>
          <w:sz w:val="24"/>
          <w:szCs w:val="24"/>
          <w:lang w:val="es-ES_tradnl" w:eastAsia="es-ES"/>
        </w:rPr>
        <w:t>0</w:t>
      </w:r>
      <w:r w:rsidR="00C317BE" w:rsidRPr="00265631">
        <w:rPr>
          <w:rFonts w:ascii="Palatino Linotype" w:eastAsia="Times New Roman" w:hAnsi="Palatino Linotype" w:cs="Times New Roman"/>
          <w:b/>
          <w:sz w:val="24"/>
          <w:szCs w:val="24"/>
          <w:lang w:val="es-ES_tradnl" w:eastAsia="es-ES"/>
        </w:rPr>
        <w:t>6658</w:t>
      </w:r>
      <w:r w:rsidRPr="00265631">
        <w:rPr>
          <w:rFonts w:ascii="Palatino Linotype" w:eastAsia="Times New Roman" w:hAnsi="Palatino Linotype" w:cs="Times New Roman"/>
          <w:b/>
          <w:sz w:val="24"/>
          <w:szCs w:val="24"/>
          <w:lang w:val="es-ES_tradnl" w:eastAsia="es-ES"/>
        </w:rPr>
        <w:t>/INFOEM/IP/RR/201</w:t>
      </w:r>
      <w:r w:rsidR="00AA01E5" w:rsidRPr="00265631">
        <w:rPr>
          <w:rFonts w:ascii="Palatino Linotype" w:eastAsia="Times New Roman" w:hAnsi="Palatino Linotype" w:cs="Times New Roman"/>
          <w:b/>
          <w:sz w:val="24"/>
          <w:szCs w:val="24"/>
          <w:lang w:val="es-ES_tradnl" w:eastAsia="es-ES"/>
        </w:rPr>
        <w:t xml:space="preserve">9 </w:t>
      </w:r>
      <w:r w:rsidR="00871F55" w:rsidRPr="00265631">
        <w:rPr>
          <w:rFonts w:ascii="Palatino Linotype" w:eastAsia="Times New Roman" w:hAnsi="Palatino Linotype" w:cs="Times New Roman"/>
          <w:sz w:val="24"/>
          <w:szCs w:val="24"/>
          <w:lang w:val="es-ES_tradnl" w:eastAsia="es-ES"/>
        </w:rPr>
        <w:t>en términos de</w:t>
      </w:r>
      <w:r w:rsidR="00C317BE" w:rsidRPr="00265631">
        <w:rPr>
          <w:rFonts w:ascii="Palatino Linotype" w:eastAsia="Times New Roman" w:hAnsi="Palatino Linotype" w:cs="Times New Roman"/>
          <w:sz w:val="24"/>
          <w:szCs w:val="24"/>
          <w:lang w:val="es-ES_tradnl" w:eastAsia="es-ES"/>
        </w:rPr>
        <w:t xml:space="preserve"> </w:t>
      </w:r>
      <w:r w:rsidR="00871F55" w:rsidRPr="00265631">
        <w:rPr>
          <w:rFonts w:ascii="Palatino Linotype" w:eastAsia="Times New Roman" w:hAnsi="Palatino Linotype" w:cs="Times New Roman"/>
          <w:b/>
          <w:bCs/>
          <w:sz w:val="24"/>
          <w:szCs w:val="24"/>
          <w:lang w:val="es-ES_tradnl" w:eastAsia="es-ES"/>
        </w:rPr>
        <w:t>l</w:t>
      </w:r>
      <w:r w:rsidR="00C317BE" w:rsidRPr="00265631">
        <w:rPr>
          <w:rFonts w:ascii="Palatino Linotype" w:eastAsia="Times New Roman" w:hAnsi="Palatino Linotype" w:cs="Times New Roman"/>
          <w:b/>
          <w:bCs/>
          <w:sz w:val="24"/>
          <w:szCs w:val="24"/>
          <w:lang w:val="es-ES_tradnl" w:eastAsia="es-ES"/>
        </w:rPr>
        <w:t>os</w:t>
      </w:r>
      <w:r w:rsidR="00871F55" w:rsidRPr="00265631">
        <w:rPr>
          <w:rFonts w:ascii="Palatino Linotype" w:eastAsia="Times New Roman" w:hAnsi="Palatino Linotype" w:cs="Times New Roman"/>
          <w:b/>
          <w:bCs/>
          <w:sz w:val="24"/>
          <w:szCs w:val="24"/>
          <w:lang w:val="es-ES_tradnl" w:eastAsia="es-ES"/>
        </w:rPr>
        <w:t xml:space="preserve"> </w:t>
      </w:r>
      <w:r w:rsidR="00C317BE" w:rsidRPr="00265631">
        <w:rPr>
          <w:rFonts w:ascii="Palatino Linotype" w:eastAsia="Times New Roman" w:hAnsi="Palatino Linotype" w:cs="Times New Roman"/>
          <w:b/>
          <w:bCs/>
          <w:sz w:val="24"/>
          <w:szCs w:val="24"/>
          <w:lang w:val="es-ES_tradnl" w:eastAsia="es-ES"/>
        </w:rPr>
        <w:t>C</w:t>
      </w:r>
      <w:r w:rsidR="00871F55" w:rsidRPr="00265631">
        <w:rPr>
          <w:rFonts w:ascii="Palatino Linotype" w:eastAsia="Times New Roman" w:hAnsi="Palatino Linotype" w:cs="Times New Roman"/>
          <w:b/>
          <w:bCs/>
          <w:sz w:val="24"/>
          <w:szCs w:val="24"/>
          <w:lang w:val="es-ES_tradnl" w:eastAsia="es-ES"/>
        </w:rPr>
        <w:t>onsiderando</w:t>
      </w:r>
      <w:r w:rsidR="007F397B" w:rsidRPr="00265631">
        <w:rPr>
          <w:rFonts w:ascii="Palatino Linotype" w:eastAsia="Times New Roman" w:hAnsi="Palatino Linotype" w:cs="Times New Roman"/>
          <w:b/>
          <w:bCs/>
          <w:sz w:val="24"/>
          <w:szCs w:val="24"/>
          <w:lang w:val="es-ES_tradnl" w:eastAsia="es-ES"/>
        </w:rPr>
        <w:t>s</w:t>
      </w:r>
      <w:r w:rsidR="00871F55" w:rsidRPr="00265631">
        <w:rPr>
          <w:rFonts w:ascii="Palatino Linotype" w:eastAsia="Times New Roman" w:hAnsi="Palatino Linotype" w:cs="Times New Roman"/>
          <w:sz w:val="24"/>
          <w:szCs w:val="24"/>
          <w:lang w:val="es-ES_tradnl" w:eastAsia="es-ES"/>
        </w:rPr>
        <w:t xml:space="preserve"> </w:t>
      </w:r>
      <w:r w:rsidR="00871F55" w:rsidRPr="00265631">
        <w:rPr>
          <w:rFonts w:ascii="Palatino Linotype" w:eastAsia="Times New Roman" w:hAnsi="Palatino Linotype" w:cs="Times New Roman"/>
          <w:b/>
          <w:sz w:val="24"/>
          <w:szCs w:val="24"/>
          <w:lang w:val="es-ES_tradnl" w:eastAsia="es-ES"/>
        </w:rPr>
        <w:t xml:space="preserve">CUARTO </w:t>
      </w:r>
      <w:r w:rsidR="00C317BE" w:rsidRPr="00265631">
        <w:rPr>
          <w:rFonts w:ascii="Palatino Linotype" w:eastAsia="Times New Roman" w:hAnsi="Palatino Linotype" w:cs="Times New Roman"/>
          <w:b/>
          <w:sz w:val="24"/>
          <w:szCs w:val="24"/>
          <w:lang w:val="es-ES_tradnl" w:eastAsia="es-ES"/>
        </w:rPr>
        <w:t xml:space="preserve">y QUINTO </w:t>
      </w:r>
      <w:r w:rsidR="00D020D3" w:rsidRPr="00265631">
        <w:rPr>
          <w:rFonts w:ascii="Palatino Linotype" w:eastAsia="Times New Roman" w:hAnsi="Palatino Linotype" w:cs="Times New Roman"/>
          <w:sz w:val="24"/>
          <w:szCs w:val="24"/>
          <w:lang w:val="es-ES_tradnl" w:eastAsia="es-ES"/>
        </w:rPr>
        <w:t xml:space="preserve">de la presente resolución. </w:t>
      </w:r>
    </w:p>
    <w:p w:rsidR="0087682B" w:rsidRPr="00265631" w:rsidRDefault="0087682B" w:rsidP="00265631">
      <w:pPr>
        <w:spacing w:after="0" w:line="360" w:lineRule="auto"/>
        <w:jc w:val="both"/>
        <w:rPr>
          <w:rFonts w:ascii="Palatino Linotype" w:eastAsia="Times New Roman" w:hAnsi="Palatino Linotype" w:cs="Times New Roman"/>
          <w:sz w:val="24"/>
          <w:szCs w:val="24"/>
          <w:lang w:val="es-ES_tradnl" w:eastAsia="es-ES"/>
        </w:rPr>
      </w:pPr>
    </w:p>
    <w:p w:rsidR="0019761F" w:rsidRPr="00265631" w:rsidRDefault="006F025F" w:rsidP="00265631">
      <w:pPr>
        <w:spacing w:after="0" w:line="360" w:lineRule="auto"/>
        <w:contextualSpacing/>
        <w:jc w:val="both"/>
        <w:rPr>
          <w:rFonts w:ascii="Palatino Linotype" w:eastAsia="Times New Roman" w:hAnsi="Palatino Linotype" w:cs="Arial"/>
          <w:color w:val="000000"/>
          <w:sz w:val="24"/>
          <w:szCs w:val="24"/>
          <w:lang w:val="es-ES_tradnl" w:eastAsia="es-ES"/>
        </w:rPr>
      </w:pPr>
      <w:r w:rsidRPr="00265631">
        <w:rPr>
          <w:rFonts w:ascii="Palatino Linotype" w:eastAsia="Calibri" w:hAnsi="Palatino Linotype" w:cs="Arial"/>
          <w:b/>
          <w:bCs/>
          <w:sz w:val="24"/>
          <w:szCs w:val="24"/>
          <w:lang w:val="es-ES" w:eastAsia="es-ES"/>
        </w:rPr>
        <w:t xml:space="preserve">SEGUNDO. </w:t>
      </w:r>
      <w:r w:rsidRPr="00265631">
        <w:rPr>
          <w:rFonts w:ascii="Palatino Linotype" w:eastAsia="Calibri" w:hAnsi="Palatino Linotype" w:cs="Arial"/>
          <w:sz w:val="24"/>
          <w:szCs w:val="24"/>
          <w:lang w:val="es-ES" w:eastAsia="es-ES"/>
        </w:rPr>
        <w:t xml:space="preserve">Se </w:t>
      </w:r>
      <w:r w:rsidR="0043409C" w:rsidRPr="00265631">
        <w:rPr>
          <w:rFonts w:ascii="Palatino Linotype" w:eastAsia="Calibri" w:hAnsi="Palatino Linotype" w:cs="Arial"/>
          <w:b/>
          <w:sz w:val="24"/>
          <w:szCs w:val="24"/>
          <w:lang w:val="es-ES" w:eastAsia="es-ES"/>
        </w:rPr>
        <w:t>REVOCA</w:t>
      </w:r>
      <w:r w:rsidR="00871F55" w:rsidRPr="00265631">
        <w:rPr>
          <w:rFonts w:ascii="Palatino Linotype" w:eastAsia="Calibri" w:hAnsi="Palatino Linotype" w:cs="Arial"/>
          <w:sz w:val="24"/>
          <w:szCs w:val="24"/>
          <w:lang w:val="es-ES" w:eastAsia="es-ES"/>
        </w:rPr>
        <w:t xml:space="preserve"> la respuesta de</w:t>
      </w:r>
      <w:r w:rsidRPr="00265631">
        <w:rPr>
          <w:rFonts w:ascii="Palatino Linotype" w:eastAsia="Calibri" w:hAnsi="Palatino Linotype" w:cs="Arial"/>
          <w:sz w:val="24"/>
          <w:szCs w:val="24"/>
          <w:lang w:val="es-ES" w:eastAsia="es-ES"/>
        </w:rPr>
        <w:t xml:space="preserve"> </w:t>
      </w:r>
      <w:r w:rsidR="00D92794" w:rsidRPr="00265631">
        <w:rPr>
          <w:rFonts w:ascii="Palatino Linotype" w:eastAsia="Calibri" w:hAnsi="Palatino Linotype" w:cs="Arial"/>
          <w:b/>
          <w:sz w:val="24"/>
          <w:szCs w:val="24"/>
          <w:lang w:eastAsia="es-ES"/>
        </w:rPr>
        <w:t>Ayuntamient</w:t>
      </w:r>
      <w:r w:rsidR="0036142D" w:rsidRPr="00265631">
        <w:rPr>
          <w:rFonts w:ascii="Palatino Linotype" w:eastAsia="Calibri" w:hAnsi="Palatino Linotype" w:cs="Arial"/>
          <w:b/>
          <w:sz w:val="24"/>
          <w:szCs w:val="24"/>
          <w:lang w:eastAsia="es-ES"/>
        </w:rPr>
        <w:t xml:space="preserve">o de </w:t>
      </w:r>
      <w:r w:rsidR="00C317BE" w:rsidRPr="00265631">
        <w:rPr>
          <w:rFonts w:ascii="Palatino Linotype" w:eastAsia="Calibri" w:hAnsi="Palatino Linotype" w:cs="Arial"/>
          <w:b/>
          <w:sz w:val="24"/>
          <w:szCs w:val="24"/>
          <w:lang w:eastAsia="es-ES"/>
        </w:rPr>
        <w:t xml:space="preserve">Nicolás Romero </w:t>
      </w:r>
      <w:r w:rsidR="00871F55" w:rsidRPr="00265631">
        <w:rPr>
          <w:rFonts w:ascii="Palatino Linotype" w:eastAsia="Calibri" w:hAnsi="Palatino Linotype" w:cs="Arial"/>
          <w:sz w:val="24"/>
          <w:szCs w:val="24"/>
          <w:lang w:eastAsia="es-ES"/>
        </w:rPr>
        <w:t xml:space="preserve">y se </w:t>
      </w:r>
      <w:r w:rsidR="00871F55" w:rsidRPr="00265631">
        <w:rPr>
          <w:rFonts w:ascii="Palatino Linotype" w:eastAsia="Calibri" w:hAnsi="Palatino Linotype" w:cs="Arial"/>
          <w:b/>
          <w:sz w:val="24"/>
          <w:szCs w:val="24"/>
          <w:lang w:eastAsia="es-ES"/>
        </w:rPr>
        <w:t>ORDENA</w:t>
      </w:r>
      <w:r w:rsidRPr="00265631">
        <w:rPr>
          <w:rFonts w:ascii="Palatino Linotype" w:eastAsia="Calibri" w:hAnsi="Palatino Linotype" w:cs="Arial"/>
          <w:b/>
          <w:sz w:val="24"/>
          <w:szCs w:val="24"/>
          <w:lang w:val="es-ES" w:eastAsia="es-ES"/>
        </w:rPr>
        <w:t xml:space="preserve"> </w:t>
      </w:r>
      <w:r w:rsidR="00D020D3" w:rsidRPr="00265631">
        <w:rPr>
          <w:rFonts w:ascii="Palatino Linotype" w:eastAsia="Calibri" w:hAnsi="Palatino Linotype" w:cs="Arial"/>
          <w:sz w:val="24"/>
          <w:szCs w:val="24"/>
          <w:lang w:val="es-ES" w:eastAsia="es-ES"/>
        </w:rPr>
        <w:t>entregar</w:t>
      </w:r>
      <w:r w:rsidR="002B3998" w:rsidRPr="00265631">
        <w:rPr>
          <w:rFonts w:ascii="Palatino Linotype" w:eastAsia="Calibri" w:hAnsi="Palatino Linotype" w:cs="Arial"/>
          <w:sz w:val="24"/>
          <w:szCs w:val="24"/>
          <w:lang w:val="es-ES" w:eastAsia="es-ES"/>
        </w:rPr>
        <w:t xml:space="preserve"> </w:t>
      </w:r>
      <w:r w:rsidRPr="00265631">
        <w:rPr>
          <w:rFonts w:ascii="Palatino Linotype" w:eastAsia="Calibri" w:hAnsi="Palatino Linotype" w:cs="Arial"/>
          <w:sz w:val="24"/>
          <w:szCs w:val="24"/>
          <w:lang w:val="es-ES" w:eastAsia="es-ES"/>
        </w:rPr>
        <w:t>vía</w:t>
      </w:r>
      <w:r w:rsidRPr="00265631">
        <w:rPr>
          <w:rFonts w:ascii="Palatino Linotype" w:eastAsia="Times New Roman" w:hAnsi="Palatino Linotype" w:cs="Arial"/>
          <w:color w:val="000000"/>
          <w:sz w:val="24"/>
          <w:szCs w:val="24"/>
          <w:lang w:val="es-ES" w:eastAsia="es-ES"/>
        </w:rPr>
        <w:t xml:space="preserve"> </w:t>
      </w:r>
      <w:r w:rsidRPr="00265631">
        <w:rPr>
          <w:rFonts w:ascii="Palatino Linotype" w:eastAsia="Times New Roman" w:hAnsi="Palatino Linotype" w:cs="Arial"/>
          <w:color w:val="000000"/>
          <w:sz w:val="24"/>
          <w:szCs w:val="24"/>
          <w:lang w:val="es-ES_tradnl" w:eastAsia="es-ES"/>
        </w:rPr>
        <w:t>Sistema de Acceso a Información Mexiquense (</w:t>
      </w:r>
      <w:bookmarkStart w:id="59" w:name="_Toc460947013"/>
      <w:r w:rsidR="00AC7339" w:rsidRPr="00265631">
        <w:rPr>
          <w:rFonts w:ascii="Palatino Linotype" w:eastAsia="Times New Roman" w:hAnsi="Palatino Linotype" w:cs="Arial"/>
          <w:color w:val="000000"/>
          <w:sz w:val="24"/>
          <w:szCs w:val="24"/>
          <w:lang w:val="es-ES_tradnl" w:eastAsia="es-ES"/>
        </w:rPr>
        <w:t>SAIMEX)</w:t>
      </w:r>
      <w:r w:rsidR="00AC7339" w:rsidRPr="00265631">
        <w:rPr>
          <w:rFonts w:ascii="Palatino Linotype" w:eastAsia="Times New Roman" w:hAnsi="Palatino Linotype" w:cs="Arial"/>
          <w:b/>
          <w:color w:val="000000"/>
          <w:sz w:val="24"/>
          <w:szCs w:val="24"/>
          <w:lang w:val="es-ES_tradnl" w:eastAsia="es-ES"/>
        </w:rPr>
        <w:t>,</w:t>
      </w:r>
      <w:r w:rsidR="00AC7339" w:rsidRPr="00265631">
        <w:rPr>
          <w:rFonts w:ascii="Palatino Linotype" w:eastAsia="Times New Roman" w:hAnsi="Palatino Linotype" w:cs="Arial"/>
          <w:color w:val="000000"/>
          <w:sz w:val="24"/>
          <w:szCs w:val="24"/>
          <w:lang w:val="es-ES_tradnl" w:eastAsia="es-ES"/>
        </w:rPr>
        <w:t xml:space="preserve"> </w:t>
      </w:r>
      <w:r w:rsidR="007F397B" w:rsidRPr="00265631">
        <w:rPr>
          <w:rFonts w:ascii="Palatino Linotype" w:eastAsia="Times New Roman" w:hAnsi="Palatino Linotype" w:cs="Arial"/>
          <w:color w:val="000000"/>
          <w:sz w:val="24"/>
          <w:szCs w:val="24"/>
          <w:lang w:val="es-ES_tradnl" w:eastAsia="es-ES"/>
        </w:rPr>
        <w:t xml:space="preserve">en su caso en versión pública, </w:t>
      </w:r>
      <w:r w:rsidR="00871F55" w:rsidRPr="00265631">
        <w:rPr>
          <w:rFonts w:ascii="Palatino Linotype" w:eastAsia="Times New Roman" w:hAnsi="Palatino Linotype" w:cs="Arial"/>
          <w:color w:val="000000"/>
          <w:sz w:val="24"/>
          <w:szCs w:val="24"/>
          <w:lang w:val="es-ES_tradnl" w:eastAsia="es-ES"/>
        </w:rPr>
        <w:t>lo siguiente:</w:t>
      </w:r>
    </w:p>
    <w:p w:rsidR="00642319" w:rsidRPr="00265631" w:rsidRDefault="00642319" w:rsidP="00265631">
      <w:pPr>
        <w:spacing w:after="0" w:line="360" w:lineRule="auto"/>
        <w:contextualSpacing/>
        <w:jc w:val="both"/>
        <w:rPr>
          <w:rFonts w:ascii="Palatino Linotype" w:eastAsia="Times New Roman" w:hAnsi="Palatino Linotype" w:cs="Arial"/>
          <w:sz w:val="24"/>
          <w:szCs w:val="24"/>
          <w:lang w:val="es-ES_tradnl" w:eastAsia="es-ES"/>
        </w:rPr>
      </w:pPr>
    </w:p>
    <w:p w:rsidR="0011115A" w:rsidRPr="00265631" w:rsidRDefault="00642319" w:rsidP="00265631">
      <w:pPr>
        <w:pStyle w:val="Prrafodelista"/>
        <w:numPr>
          <w:ilvl w:val="0"/>
          <w:numId w:val="33"/>
        </w:numPr>
        <w:spacing w:after="0" w:line="360" w:lineRule="auto"/>
        <w:ind w:left="567" w:right="567" w:firstLine="0"/>
        <w:jc w:val="both"/>
        <w:rPr>
          <w:rFonts w:ascii="Palatino Linotype" w:eastAsia="MS Mincho" w:hAnsi="Palatino Linotype" w:cs="Times New Roman"/>
          <w:b/>
          <w:bCs/>
          <w:sz w:val="24"/>
          <w:szCs w:val="24"/>
          <w:lang w:val="es-ES_tradnl" w:eastAsia="es-ES"/>
        </w:rPr>
      </w:pPr>
      <w:r w:rsidRPr="00265631">
        <w:rPr>
          <w:rFonts w:ascii="Palatino Linotype" w:eastAsia="MS Mincho" w:hAnsi="Palatino Linotype" w:cs="Times New Roman"/>
          <w:b/>
          <w:bCs/>
          <w:sz w:val="24"/>
          <w:szCs w:val="24"/>
          <w:lang w:val="es-ES_tradnl" w:eastAsia="es-ES"/>
        </w:rPr>
        <w:t>Del Conjunto Urbano de Tipo Interés Social denominado “La Guadalupana del Lago” conocido como “Colonia del Lago”</w:t>
      </w:r>
      <w:r w:rsidR="00F00FE7" w:rsidRPr="00265631">
        <w:rPr>
          <w:rFonts w:ascii="Palatino Linotype" w:eastAsia="MS Mincho" w:hAnsi="Palatino Linotype" w:cs="Times New Roman"/>
          <w:b/>
          <w:bCs/>
          <w:sz w:val="24"/>
          <w:szCs w:val="24"/>
          <w:lang w:val="es-ES_tradnl" w:eastAsia="es-ES"/>
        </w:rPr>
        <w:t xml:space="preserve">, </w:t>
      </w:r>
      <w:r w:rsidR="002B3998" w:rsidRPr="00265631">
        <w:rPr>
          <w:rFonts w:ascii="Palatino Linotype" w:eastAsia="Calibri" w:hAnsi="Palatino Linotype" w:cs="Arial"/>
          <w:b/>
          <w:sz w:val="24"/>
          <w:szCs w:val="24"/>
          <w:lang w:val="es-ES" w:eastAsia="es-ES"/>
        </w:rPr>
        <w:t xml:space="preserve">previa búsqueda exhaustiva y razonable, </w:t>
      </w:r>
      <w:r w:rsidR="007F397B" w:rsidRPr="00265631">
        <w:rPr>
          <w:rFonts w:ascii="Palatino Linotype" w:eastAsia="MS Mincho" w:hAnsi="Palatino Linotype" w:cs="Times New Roman"/>
          <w:b/>
          <w:bCs/>
          <w:sz w:val="24"/>
          <w:szCs w:val="24"/>
          <w:lang w:val="es-ES_tradnl" w:eastAsia="es-ES"/>
        </w:rPr>
        <w:t>lo siguiente:</w:t>
      </w:r>
    </w:p>
    <w:p w:rsidR="00642319" w:rsidRPr="00265631" w:rsidRDefault="00642319" w:rsidP="00265631">
      <w:pPr>
        <w:pStyle w:val="Prrafodelista"/>
        <w:spacing w:after="0" w:line="360" w:lineRule="auto"/>
        <w:ind w:left="993" w:right="567"/>
        <w:jc w:val="both"/>
        <w:rPr>
          <w:rFonts w:ascii="Palatino Linotype" w:eastAsia="MS Mincho" w:hAnsi="Palatino Linotype" w:cs="Times New Roman"/>
          <w:b/>
          <w:bCs/>
          <w:sz w:val="24"/>
          <w:szCs w:val="24"/>
          <w:lang w:val="es-ES_tradnl" w:eastAsia="es-ES"/>
        </w:rPr>
      </w:pPr>
    </w:p>
    <w:p w:rsidR="00642319" w:rsidRPr="00265631" w:rsidRDefault="00642319" w:rsidP="00265631">
      <w:pPr>
        <w:pStyle w:val="Prrafodelista"/>
        <w:numPr>
          <w:ilvl w:val="0"/>
          <w:numId w:val="30"/>
        </w:numPr>
        <w:spacing w:after="0" w:line="360" w:lineRule="auto"/>
        <w:ind w:left="567" w:right="616" w:hanging="11"/>
        <w:jc w:val="both"/>
        <w:rPr>
          <w:rFonts w:ascii="Palatino Linotype" w:hAnsi="Palatino Linotype"/>
          <w:sz w:val="24"/>
          <w:szCs w:val="24"/>
        </w:rPr>
      </w:pPr>
      <w:r w:rsidRPr="00265631">
        <w:rPr>
          <w:rFonts w:ascii="Palatino Linotype" w:hAnsi="Palatino Linotype"/>
          <w:sz w:val="24"/>
          <w:szCs w:val="24"/>
        </w:rPr>
        <w:t xml:space="preserve">Dictamen de Impacto Regional. </w:t>
      </w:r>
    </w:p>
    <w:p w:rsidR="00642319" w:rsidRPr="00265631" w:rsidRDefault="00642319" w:rsidP="00265631">
      <w:pPr>
        <w:pStyle w:val="Prrafodelista"/>
        <w:numPr>
          <w:ilvl w:val="0"/>
          <w:numId w:val="30"/>
        </w:numPr>
        <w:spacing w:after="0" w:line="360" w:lineRule="auto"/>
        <w:ind w:left="567" w:right="616" w:hanging="11"/>
        <w:jc w:val="both"/>
        <w:rPr>
          <w:rFonts w:ascii="Palatino Linotype" w:hAnsi="Palatino Linotype"/>
          <w:sz w:val="24"/>
          <w:szCs w:val="24"/>
        </w:rPr>
      </w:pPr>
      <w:r w:rsidRPr="00265631">
        <w:rPr>
          <w:rFonts w:ascii="Palatino Linotype" w:hAnsi="Palatino Linotype"/>
          <w:sz w:val="24"/>
          <w:szCs w:val="24"/>
        </w:rPr>
        <w:t xml:space="preserve">Dictamen Único de Factibilidad. </w:t>
      </w:r>
    </w:p>
    <w:p w:rsidR="00642319" w:rsidRPr="00265631" w:rsidRDefault="00642319" w:rsidP="00265631">
      <w:pPr>
        <w:pStyle w:val="Prrafodelista"/>
        <w:numPr>
          <w:ilvl w:val="0"/>
          <w:numId w:val="30"/>
        </w:numPr>
        <w:spacing w:after="0" w:line="360" w:lineRule="auto"/>
        <w:ind w:left="567" w:right="616" w:hanging="11"/>
        <w:jc w:val="both"/>
        <w:rPr>
          <w:rFonts w:ascii="Palatino Linotype" w:hAnsi="Palatino Linotype"/>
          <w:sz w:val="24"/>
          <w:szCs w:val="24"/>
        </w:rPr>
      </w:pPr>
      <w:r w:rsidRPr="00265631">
        <w:rPr>
          <w:rFonts w:ascii="Palatino Linotype" w:hAnsi="Palatino Linotype"/>
          <w:sz w:val="24"/>
          <w:szCs w:val="24"/>
        </w:rPr>
        <w:t>Documento o documentos donde consten las referencias de la publicación de los acuerdos de autorización en el Periódico Oficial “Gaceta del Gobierno” del Proyecto Conjunto Urbano “La Guadalupana del Lago”</w:t>
      </w:r>
    </w:p>
    <w:p w:rsidR="00642319" w:rsidRPr="00265631" w:rsidRDefault="00642319" w:rsidP="00265631">
      <w:pPr>
        <w:pStyle w:val="Prrafodelista"/>
        <w:numPr>
          <w:ilvl w:val="0"/>
          <w:numId w:val="30"/>
        </w:numPr>
        <w:spacing w:after="0" w:line="360" w:lineRule="auto"/>
        <w:ind w:left="567" w:right="616" w:hanging="11"/>
        <w:jc w:val="both"/>
        <w:rPr>
          <w:rFonts w:ascii="Palatino Linotype" w:hAnsi="Palatino Linotype"/>
          <w:sz w:val="24"/>
          <w:szCs w:val="24"/>
        </w:rPr>
      </w:pPr>
      <w:r w:rsidRPr="00265631">
        <w:rPr>
          <w:rFonts w:ascii="Palatino Linotype" w:hAnsi="Palatino Linotype"/>
          <w:sz w:val="24"/>
          <w:szCs w:val="24"/>
        </w:rPr>
        <w:t>Evaluación técnica de factibilidad de agua, drenaje, alcantarillado y tratamiento de aguas residuales o el documento que acredite la existencia y dotación y agua potable;</w:t>
      </w:r>
    </w:p>
    <w:p w:rsidR="008C6663" w:rsidRPr="00265631" w:rsidRDefault="008C6663" w:rsidP="00265631">
      <w:pPr>
        <w:pStyle w:val="Prrafodelista"/>
        <w:spacing w:after="0" w:line="360" w:lineRule="auto"/>
        <w:ind w:left="567" w:right="616"/>
        <w:jc w:val="both"/>
        <w:rPr>
          <w:rFonts w:ascii="Palatino Linotype" w:hAnsi="Palatino Linotype"/>
          <w:sz w:val="24"/>
          <w:szCs w:val="24"/>
        </w:rPr>
      </w:pPr>
    </w:p>
    <w:p w:rsidR="008C6663" w:rsidRPr="00265631" w:rsidRDefault="008C6663" w:rsidP="00265631">
      <w:pPr>
        <w:spacing w:after="0" w:line="360" w:lineRule="auto"/>
        <w:jc w:val="both"/>
        <w:rPr>
          <w:rFonts w:ascii="Palatino Linotype" w:hAnsi="Palatino Linotype"/>
          <w:b/>
          <w:sz w:val="24"/>
          <w:szCs w:val="24"/>
        </w:rPr>
      </w:pPr>
      <w:r w:rsidRPr="00265631">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265631">
        <w:rPr>
          <w:rFonts w:ascii="Palatino Linotype" w:hAnsi="Palatino Linotype"/>
          <w:b/>
          <w:sz w:val="24"/>
          <w:szCs w:val="24"/>
        </w:rPr>
        <w:t xml:space="preserve"> RECURRENTE. </w:t>
      </w:r>
    </w:p>
    <w:p w:rsidR="008C6663" w:rsidRPr="00265631" w:rsidRDefault="008C6663" w:rsidP="00265631">
      <w:pPr>
        <w:tabs>
          <w:tab w:val="left" w:pos="8080"/>
        </w:tabs>
        <w:spacing w:after="0" w:line="360" w:lineRule="auto"/>
        <w:ind w:left="567" w:right="567"/>
        <w:jc w:val="both"/>
        <w:rPr>
          <w:rFonts w:ascii="Palatino Linotype" w:eastAsia="Calibri" w:hAnsi="Palatino Linotype" w:cs="Arial"/>
          <w:sz w:val="24"/>
          <w:szCs w:val="24"/>
          <w:lang w:val="es-ES"/>
        </w:rPr>
      </w:pPr>
    </w:p>
    <w:p w:rsidR="008C6663" w:rsidRPr="00265631" w:rsidRDefault="008C6663" w:rsidP="00265631">
      <w:pPr>
        <w:tabs>
          <w:tab w:val="left" w:pos="8080"/>
        </w:tabs>
        <w:spacing w:after="0" w:line="360" w:lineRule="auto"/>
        <w:jc w:val="both"/>
        <w:rPr>
          <w:rFonts w:ascii="Palatino Linotype" w:eastAsia="Palatino Linotype" w:hAnsi="Palatino Linotype" w:cs="Palatino Linotype"/>
          <w:sz w:val="24"/>
          <w:szCs w:val="24"/>
          <w:lang w:val="es-ES"/>
        </w:rPr>
      </w:pPr>
      <w:r w:rsidRPr="00265631">
        <w:rPr>
          <w:rFonts w:ascii="Palatino Linotype" w:eastAsia="Palatino Linotype" w:hAnsi="Palatino Linotype" w:cs="Palatino Linotype"/>
          <w:sz w:val="24"/>
          <w:szCs w:val="24"/>
          <w:lang w:val="es-ES"/>
        </w:rPr>
        <w:t xml:space="preserve">Para el caso de que el </w:t>
      </w:r>
      <w:r w:rsidRPr="00265631">
        <w:rPr>
          <w:rFonts w:ascii="Palatino Linotype" w:eastAsia="Palatino Linotype" w:hAnsi="Palatino Linotype" w:cs="Palatino Linotype"/>
          <w:b/>
          <w:sz w:val="24"/>
          <w:szCs w:val="24"/>
          <w:lang w:val="es-ES"/>
        </w:rPr>
        <w:t>SUJETO OBLIGADO</w:t>
      </w:r>
      <w:r w:rsidRPr="00265631">
        <w:rPr>
          <w:rFonts w:ascii="Palatino Linotype" w:eastAsia="Palatino Linotype" w:hAnsi="Palatino Linotype" w:cs="Palatino Linotype"/>
          <w:sz w:val="24"/>
          <w:szCs w:val="24"/>
          <w:lang w:val="es-ES"/>
        </w:rPr>
        <w:t xml:space="preserve"> no cuente con la información referida en el inicio “</w:t>
      </w:r>
      <w:r w:rsidRPr="00265631">
        <w:rPr>
          <w:rFonts w:ascii="Palatino Linotype" w:eastAsia="Palatino Linotype" w:hAnsi="Palatino Linotype" w:cs="Palatino Linotype"/>
          <w:b/>
          <w:sz w:val="24"/>
          <w:szCs w:val="24"/>
          <w:lang w:val="es-ES"/>
        </w:rPr>
        <w:t>a) y d)”</w:t>
      </w:r>
      <w:r w:rsidRPr="00265631">
        <w:rPr>
          <w:rFonts w:ascii="Palatino Linotype" w:eastAsia="Palatino Linotype" w:hAnsi="Palatino Linotype" w:cs="Palatino Linotype"/>
          <w:sz w:val="24"/>
          <w:szCs w:val="24"/>
          <w:lang w:val="es-ES"/>
        </w:rPr>
        <w:t>, éste deberá de manifestar de manera precisa y clara las razones que expliquen las causas por las que no se cuente con la información requerida.</w:t>
      </w:r>
    </w:p>
    <w:p w:rsidR="008C6663" w:rsidRPr="00265631" w:rsidRDefault="008C6663" w:rsidP="00265631">
      <w:pPr>
        <w:spacing w:after="0" w:line="360" w:lineRule="auto"/>
        <w:ind w:right="616"/>
        <w:jc w:val="both"/>
        <w:rPr>
          <w:rFonts w:ascii="Palatino Linotype" w:hAnsi="Palatino Linotype"/>
          <w:b/>
          <w:bCs/>
          <w:sz w:val="24"/>
          <w:szCs w:val="24"/>
        </w:rPr>
      </w:pPr>
    </w:p>
    <w:p w:rsidR="008C6663" w:rsidRPr="00265631" w:rsidRDefault="008C6663" w:rsidP="00265631">
      <w:pPr>
        <w:pStyle w:val="Prrafodelista"/>
        <w:numPr>
          <w:ilvl w:val="0"/>
          <w:numId w:val="33"/>
        </w:numPr>
        <w:spacing w:before="240" w:after="240" w:line="360" w:lineRule="auto"/>
        <w:ind w:left="567" w:right="616" w:firstLine="0"/>
        <w:jc w:val="both"/>
        <w:rPr>
          <w:rFonts w:ascii="Palatino Linotype" w:hAnsi="Palatino Linotype"/>
          <w:b/>
          <w:sz w:val="24"/>
          <w:szCs w:val="24"/>
        </w:rPr>
      </w:pPr>
      <w:r w:rsidRPr="00265631">
        <w:rPr>
          <w:rFonts w:ascii="Palatino Linotype" w:hAnsi="Palatino Linotype"/>
          <w:b/>
          <w:sz w:val="24"/>
          <w:szCs w:val="24"/>
        </w:rPr>
        <w:t xml:space="preserve">Acuerdo emitido por el Comité de Transparencia del Sujeto Obligado mediante el cual se declare la incompetencia para atender los requerimientos planteados en los numerales 2), 3), 4), 6) y; 8) referidos en el cuerpo de esta resolución. </w:t>
      </w:r>
    </w:p>
    <w:p w:rsidR="0011115A" w:rsidRPr="00265631" w:rsidRDefault="0011115A" w:rsidP="0026563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265631" w:rsidRDefault="00C07697" w:rsidP="00265631">
      <w:pPr>
        <w:spacing w:after="0" w:line="360" w:lineRule="auto"/>
        <w:jc w:val="both"/>
        <w:rPr>
          <w:rFonts w:ascii="Palatino Linotype" w:eastAsia="MS Mincho" w:hAnsi="Palatino Linotype" w:cs="Times New Roman"/>
          <w:color w:val="000000"/>
          <w:sz w:val="24"/>
          <w:szCs w:val="24"/>
          <w:lang w:val="es-ES_tradnl" w:eastAsia="es-ES"/>
        </w:rPr>
      </w:pPr>
      <w:r w:rsidRPr="00265631">
        <w:rPr>
          <w:rFonts w:ascii="Palatino Linotype" w:eastAsia="MS Mincho" w:hAnsi="Palatino Linotype" w:cs="Times New Roman"/>
          <w:b/>
          <w:color w:val="000000"/>
          <w:sz w:val="24"/>
          <w:szCs w:val="24"/>
          <w:lang w:val="es-ES_tradnl" w:eastAsia="es-ES"/>
        </w:rPr>
        <w:t>TERCERO</w:t>
      </w:r>
      <w:r w:rsidR="000201D1" w:rsidRPr="00265631">
        <w:rPr>
          <w:rFonts w:ascii="Palatino Linotype" w:eastAsia="MS Mincho" w:hAnsi="Palatino Linotype" w:cs="Times New Roman"/>
          <w:b/>
          <w:color w:val="000000"/>
          <w:sz w:val="24"/>
          <w:szCs w:val="24"/>
          <w:lang w:val="es-ES_tradnl" w:eastAsia="es-ES"/>
        </w:rPr>
        <w:t>.</w:t>
      </w:r>
      <w:r w:rsidR="000201D1" w:rsidRPr="00265631">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265631">
        <w:rPr>
          <w:rFonts w:ascii="Palatino Linotype" w:eastAsia="MS Mincho" w:hAnsi="Palatino Linotype" w:cs="Times New Roman"/>
          <w:b/>
          <w:color w:val="000000"/>
          <w:sz w:val="24"/>
          <w:szCs w:val="24"/>
          <w:lang w:val="es-ES_tradnl" w:eastAsia="es-ES"/>
        </w:rPr>
        <w:t xml:space="preserve"> </w:t>
      </w:r>
      <w:r w:rsidR="0087682B" w:rsidRPr="00265631">
        <w:rPr>
          <w:rFonts w:ascii="Palatino Linotype" w:eastAsia="MS Mincho" w:hAnsi="Palatino Linotype" w:cs="Times New Roman"/>
          <w:color w:val="000000"/>
          <w:sz w:val="24"/>
          <w:szCs w:val="24"/>
          <w:lang w:val="es-ES_tradnl" w:eastAsia="es-ES"/>
        </w:rPr>
        <w:t>Sujeto Obligado</w:t>
      </w:r>
      <w:r w:rsidR="000201D1" w:rsidRPr="0026563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265631" w:rsidRDefault="00C07697" w:rsidP="00265631">
      <w:pPr>
        <w:spacing w:after="0" w:line="360" w:lineRule="auto"/>
        <w:jc w:val="both"/>
        <w:rPr>
          <w:rFonts w:ascii="Palatino Linotype" w:eastAsia="MS Mincho" w:hAnsi="Palatino Linotype" w:cs="Times New Roman"/>
          <w:color w:val="000000"/>
          <w:sz w:val="24"/>
          <w:szCs w:val="24"/>
          <w:lang w:val="es-ES_tradnl" w:eastAsia="es-ES"/>
        </w:rPr>
      </w:pPr>
    </w:p>
    <w:p w:rsidR="00C07697" w:rsidRPr="00265631" w:rsidRDefault="00C07697" w:rsidP="00265631">
      <w:pPr>
        <w:spacing w:after="0" w:line="360" w:lineRule="auto"/>
        <w:jc w:val="both"/>
        <w:rPr>
          <w:rFonts w:ascii="Palatino Linotype" w:eastAsia="MS Mincho" w:hAnsi="Palatino Linotype" w:cs="Times New Roman"/>
          <w:color w:val="000000"/>
          <w:sz w:val="24"/>
          <w:szCs w:val="24"/>
          <w:lang w:val="es-ES_tradnl" w:eastAsia="es-ES"/>
        </w:rPr>
      </w:pPr>
      <w:r w:rsidRPr="00265631">
        <w:rPr>
          <w:rFonts w:ascii="Palatino Linotype" w:eastAsia="MS Mincho" w:hAnsi="Palatino Linotype" w:cs="Times New Roman"/>
          <w:b/>
          <w:color w:val="000000"/>
          <w:sz w:val="24"/>
          <w:szCs w:val="24"/>
          <w:lang w:val="es-ES_tradnl" w:eastAsia="es-ES"/>
        </w:rPr>
        <w:t>C</w:t>
      </w:r>
      <w:bookmarkStart w:id="60" w:name="_GoBack"/>
      <w:bookmarkEnd w:id="60"/>
      <w:r w:rsidRPr="00265631">
        <w:rPr>
          <w:rFonts w:ascii="Palatino Linotype" w:eastAsia="MS Mincho" w:hAnsi="Palatino Linotype" w:cs="Times New Roman"/>
          <w:b/>
          <w:color w:val="000000"/>
          <w:sz w:val="24"/>
          <w:szCs w:val="24"/>
          <w:lang w:val="es-ES_tradnl" w:eastAsia="es-ES"/>
        </w:rPr>
        <w:t>UARTO</w:t>
      </w:r>
      <w:r w:rsidR="000201D1" w:rsidRPr="00265631">
        <w:rPr>
          <w:rFonts w:ascii="Palatino Linotype" w:eastAsia="MS Mincho" w:hAnsi="Palatino Linotype" w:cs="Times New Roman"/>
          <w:b/>
          <w:color w:val="000000"/>
          <w:sz w:val="24"/>
          <w:szCs w:val="24"/>
          <w:lang w:val="es-ES_tradnl" w:eastAsia="es-ES"/>
        </w:rPr>
        <w:t xml:space="preserve">. </w:t>
      </w:r>
      <w:r w:rsidR="000201D1" w:rsidRPr="00265631">
        <w:rPr>
          <w:rFonts w:ascii="Palatino Linotype" w:eastAsia="MS Mincho" w:hAnsi="Palatino Linotype" w:cs="Times New Roman"/>
          <w:color w:val="000000"/>
          <w:sz w:val="24"/>
          <w:szCs w:val="24"/>
          <w:lang w:val="es-ES_tradnl" w:eastAsia="es-ES"/>
        </w:rPr>
        <w:t>Notifíquese a</w:t>
      </w:r>
      <w:r w:rsidR="00CC02A3" w:rsidRPr="00265631">
        <w:rPr>
          <w:rFonts w:ascii="Palatino Linotype" w:eastAsia="MS Mincho" w:hAnsi="Palatino Linotype" w:cs="Times New Roman"/>
          <w:b/>
          <w:color w:val="000000"/>
          <w:sz w:val="24"/>
          <w:szCs w:val="24"/>
          <w:lang w:val="es-ES_tradnl" w:eastAsia="es-ES"/>
        </w:rPr>
        <w:t xml:space="preserve">l </w:t>
      </w:r>
      <w:r w:rsidR="00451152" w:rsidRPr="00451152">
        <w:rPr>
          <w:rFonts w:ascii="Palatino Linotype" w:hAnsi="Palatino Linotype"/>
          <w:b/>
          <w:sz w:val="24"/>
          <w:szCs w:val="24"/>
          <w:highlight w:val="black"/>
        </w:rPr>
        <w:t>-------------------------------------------------------</w:t>
      </w:r>
      <w:r w:rsidR="0043409C" w:rsidRPr="00265631">
        <w:rPr>
          <w:rFonts w:ascii="Palatino Linotype" w:hAnsi="Palatino Linotype"/>
          <w:b/>
          <w:sz w:val="24"/>
          <w:szCs w:val="24"/>
        </w:rPr>
        <w:t xml:space="preserve"> </w:t>
      </w:r>
      <w:r w:rsidR="0043409C" w:rsidRPr="00265631">
        <w:rPr>
          <w:rFonts w:ascii="Palatino Linotype" w:eastAsia="MS Mincho" w:hAnsi="Palatino Linotype" w:cs="Times New Roman"/>
          <w:color w:val="000000"/>
          <w:sz w:val="24"/>
          <w:szCs w:val="24"/>
          <w:lang w:val="es-ES_tradnl" w:eastAsia="es-ES"/>
        </w:rPr>
        <w:t>la p</w:t>
      </w:r>
      <w:r w:rsidR="000201D1" w:rsidRPr="00265631">
        <w:rPr>
          <w:rFonts w:ascii="Palatino Linotype" w:eastAsia="MS Mincho" w:hAnsi="Palatino Linotype" w:cs="Times New Roman"/>
          <w:color w:val="000000"/>
          <w:sz w:val="24"/>
          <w:szCs w:val="24"/>
          <w:lang w:val="es-ES_tradnl" w:eastAsia="es-ES"/>
        </w:rPr>
        <w:t>resente resolución.</w:t>
      </w:r>
    </w:p>
    <w:p w:rsidR="0036142D" w:rsidRPr="00265631" w:rsidRDefault="0036142D" w:rsidP="00265631">
      <w:pPr>
        <w:spacing w:after="0" w:line="360" w:lineRule="auto"/>
        <w:jc w:val="both"/>
        <w:rPr>
          <w:rFonts w:ascii="Palatino Linotype" w:hAnsi="Palatino Linotype"/>
          <w:b/>
          <w:sz w:val="24"/>
          <w:szCs w:val="24"/>
        </w:rPr>
      </w:pPr>
    </w:p>
    <w:p w:rsidR="0016001E" w:rsidRPr="00265631" w:rsidRDefault="00C07697" w:rsidP="00265631">
      <w:pPr>
        <w:spacing w:after="0" w:line="360" w:lineRule="auto"/>
        <w:jc w:val="both"/>
        <w:rPr>
          <w:rFonts w:ascii="Palatino Linotype" w:eastAsia="MS Mincho" w:hAnsi="Palatino Linotype" w:cs="Times New Roman"/>
          <w:color w:val="000000"/>
          <w:sz w:val="24"/>
          <w:szCs w:val="24"/>
          <w:lang w:val="es-ES_tradnl" w:eastAsia="es-ES"/>
        </w:rPr>
      </w:pPr>
      <w:r w:rsidRPr="00265631">
        <w:rPr>
          <w:rFonts w:ascii="Palatino Linotype" w:eastAsia="MS Mincho" w:hAnsi="Palatino Linotype" w:cs="Times New Roman"/>
          <w:b/>
          <w:sz w:val="24"/>
          <w:szCs w:val="24"/>
          <w:lang w:val="es-ES_tradnl" w:eastAsia="es-ES"/>
        </w:rPr>
        <w:t>QUINTO</w:t>
      </w:r>
      <w:r w:rsidR="000201D1" w:rsidRPr="00265631">
        <w:rPr>
          <w:rFonts w:ascii="Palatino Linotype" w:eastAsia="MS Mincho" w:hAnsi="Palatino Linotype" w:cs="Times New Roman"/>
          <w:b/>
          <w:color w:val="000000"/>
          <w:sz w:val="24"/>
          <w:szCs w:val="24"/>
          <w:lang w:val="es-ES_tradnl" w:eastAsia="es-ES"/>
        </w:rPr>
        <w:t xml:space="preserve">. </w:t>
      </w:r>
      <w:r w:rsidR="000201D1" w:rsidRPr="00265631">
        <w:rPr>
          <w:rFonts w:ascii="Palatino Linotype" w:eastAsia="MS Mincho" w:hAnsi="Palatino Linotype" w:cs="Times New Roman"/>
          <w:color w:val="000000"/>
          <w:sz w:val="24"/>
          <w:szCs w:val="24"/>
          <w:lang w:val="es-ES_tradnl" w:eastAsia="es-ES"/>
        </w:rPr>
        <w:t>Se hace del conocimiento de</w:t>
      </w:r>
      <w:r w:rsidR="00CC02A3" w:rsidRPr="00265631">
        <w:rPr>
          <w:rFonts w:ascii="Palatino Linotype" w:eastAsia="MS Mincho" w:hAnsi="Palatino Linotype" w:cs="Times New Roman"/>
          <w:color w:val="000000"/>
          <w:sz w:val="24"/>
          <w:szCs w:val="24"/>
          <w:lang w:val="es-ES_tradnl" w:eastAsia="es-ES"/>
        </w:rPr>
        <w:t>l</w:t>
      </w:r>
      <w:r w:rsidR="0036142D" w:rsidRPr="00265631">
        <w:rPr>
          <w:rFonts w:ascii="Palatino Linotype" w:hAnsi="Palatino Linotype"/>
          <w:b/>
          <w:sz w:val="24"/>
          <w:szCs w:val="24"/>
        </w:rPr>
        <w:t xml:space="preserve"> </w:t>
      </w:r>
      <w:r w:rsidR="00451152" w:rsidRPr="00451152">
        <w:rPr>
          <w:rFonts w:ascii="Palatino Linotype" w:hAnsi="Palatino Linotype"/>
          <w:b/>
          <w:sz w:val="24"/>
          <w:szCs w:val="24"/>
          <w:highlight w:val="black"/>
        </w:rPr>
        <w:t>-------------------------------------------------------</w:t>
      </w:r>
      <w:r w:rsidR="00CC02A3" w:rsidRPr="00265631">
        <w:rPr>
          <w:rFonts w:ascii="Palatino Linotype" w:hAnsi="Palatino Linotype"/>
          <w:b/>
          <w:sz w:val="24"/>
          <w:szCs w:val="24"/>
        </w:rPr>
        <w:t xml:space="preserve"> </w:t>
      </w:r>
      <w:r w:rsidR="000201D1" w:rsidRPr="0026563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9"/>
    </w:p>
    <w:p w:rsidR="00240779" w:rsidRDefault="00240779" w:rsidP="00265631">
      <w:pPr>
        <w:spacing w:after="0" w:line="360" w:lineRule="auto"/>
        <w:jc w:val="both"/>
        <w:rPr>
          <w:rFonts w:ascii="Palatino Linotype" w:eastAsia="MS Mincho" w:hAnsi="Palatino Linotype" w:cs="Times New Roman"/>
          <w:color w:val="000000"/>
          <w:sz w:val="24"/>
          <w:szCs w:val="24"/>
          <w:lang w:val="es-ES_tradnl" w:eastAsia="es-ES"/>
        </w:rPr>
      </w:pPr>
    </w:p>
    <w:p w:rsidR="00265631" w:rsidRDefault="00265631" w:rsidP="00265631">
      <w:pPr>
        <w:spacing w:after="0" w:line="360" w:lineRule="auto"/>
        <w:jc w:val="both"/>
        <w:rPr>
          <w:rFonts w:ascii="Palatino Linotype" w:eastAsia="MS Mincho" w:hAnsi="Palatino Linotype" w:cs="Times New Roman"/>
          <w:color w:val="000000"/>
          <w:sz w:val="24"/>
          <w:szCs w:val="24"/>
          <w:lang w:val="es-ES_tradnl" w:eastAsia="es-ES"/>
        </w:rPr>
      </w:pPr>
    </w:p>
    <w:p w:rsidR="00265631" w:rsidRDefault="00265631" w:rsidP="00265631">
      <w:pPr>
        <w:spacing w:after="0" w:line="360" w:lineRule="auto"/>
        <w:jc w:val="both"/>
        <w:rPr>
          <w:rFonts w:ascii="Palatino Linotype" w:eastAsia="MS Mincho" w:hAnsi="Palatino Linotype" w:cs="Times New Roman"/>
          <w:color w:val="000000"/>
          <w:sz w:val="24"/>
          <w:szCs w:val="24"/>
          <w:lang w:val="es-ES_tradnl" w:eastAsia="es-ES"/>
        </w:rPr>
      </w:pPr>
    </w:p>
    <w:p w:rsidR="00265631" w:rsidRDefault="00265631" w:rsidP="00265631">
      <w:pPr>
        <w:spacing w:after="0" w:line="360" w:lineRule="auto"/>
        <w:jc w:val="both"/>
        <w:rPr>
          <w:rFonts w:ascii="Palatino Linotype" w:eastAsia="MS Mincho" w:hAnsi="Palatino Linotype" w:cs="Times New Roman"/>
          <w:color w:val="000000"/>
          <w:sz w:val="24"/>
          <w:szCs w:val="24"/>
          <w:lang w:val="es-ES_tradnl" w:eastAsia="es-ES"/>
        </w:rPr>
      </w:pPr>
    </w:p>
    <w:p w:rsidR="00265631" w:rsidRDefault="00265631" w:rsidP="00265631">
      <w:pPr>
        <w:spacing w:after="0" w:line="360" w:lineRule="auto"/>
        <w:jc w:val="both"/>
        <w:rPr>
          <w:rFonts w:ascii="Palatino Linotype" w:eastAsia="MS Mincho" w:hAnsi="Palatino Linotype" w:cs="Times New Roman"/>
          <w:color w:val="000000"/>
          <w:sz w:val="24"/>
          <w:szCs w:val="24"/>
          <w:lang w:val="es-ES_tradnl" w:eastAsia="es-ES"/>
        </w:rPr>
      </w:pPr>
    </w:p>
    <w:p w:rsidR="00265631" w:rsidRPr="00265631" w:rsidRDefault="00265631" w:rsidP="00265631">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265631">
      <w:pPr>
        <w:spacing w:after="0" w:line="360" w:lineRule="auto"/>
        <w:ind w:firstLine="1"/>
        <w:jc w:val="both"/>
        <w:rPr>
          <w:rFonts w:ascii="Palatino Linotype" w:hAnsi="Palatino Linotype"/>
          <w:sz w:val="24"/>
          <w:szCs w:val="24"/>
        </w:rPr>
      </w:pPr>
      <w:r w:rsidRPr="00265631">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265631">
        <w:rPr>
          <w:rFonts w:ascii="Palatino Linotype" w:hAnsi="Palatino Linotype"/>
          <w:sz w:val="24"/>
          <w:szCs w:val="24"/>
        </w:rPr>
        <w:t xml:space="preserve">JOSÉ GUADALUPE LUNA HERNÁNDEZ, </w:t>
      </w:r>
      <w:r w:rsidRPr="00265631">
        <w:rPr>
          <w:rFonts w:ascii="Palatino Linotype" w:hAnsi="Palatino Linotype"/>
          <w:sz w:val="24"/>
          <w:szCs w:val="24"/>
        </w:rPr>
        <w:t xml:space="preserve">JAVIER </w:t>
      </w:r>
      <w:r w:rsidR="00265631">
        <w:rPr>
          <w:rFonts w:ascii="Palatino Linotype" w:hAnsi="Palatino Linotype"/>
          <w:sz w:val="24"/>
          <w:szCs w:val="24"/>
        </w:rPr>
        <w:t>MARTÍNEZ CRUZ Y LUIS GUSTAVO PARRA NORIEGA,</w:t>
      </w:r>
      <w:r w:rsidRPr="00265631">
        <w:rPr>
          <w:rFonts w:ascii="Palatino Linotype" w:hAnsi="Palatino Linotype"/>
          <w:sz w:val="24"/>
          <w:szCs w:val="24"/>
        </w:rPr>
        <w:t xml:space="preserve"> </w:t>
      </w:r>
      <w:r w:rsidR="00265631">
        <w:rPr>
          <w:rFonts w:ascii="Palatino Linotype" w:hAnsi="Palatino Linotype"/>
          <w:sz w:val="24"/>
          <w:szCs w:val="24"/>
        </w:rPr>
        <w:t xml:space="preserve">EN LA TRIGÉSIMA OCTAVA </w:t>
      </w:r>
      <w:r w:rsidR="000F3365" w:rsidRPr="00265631">
        <w:rPr>
          <w:rFonts w:ascii="Palatino Linotype" w:hAnsi="Palatino Linotype"/>
          <w:sz w:val="24"/>
          <w:szCs w:val="24"/>
        </w:rPr>
        <w:t xml:space="preserve"> </w:t>
      </w:r>
      <w:r w:rsidRPr="00265631">
        <w:rPr>
          <w:rFonts w:ascii="Palatino Linotype" w:hAnsi="Palatino Linotype"/>
          <w:sz w:val="24"/>
          <w:szCs w:val="24"/>
        </w:rPr>
        <w:t>SESIÓN</w:t>
      </w:r>
      <w:r w:rsidR="00265631">
        <w:rPr>
          <w:rFonts w:ascii="Palatino Linotype" w:hAnsi="Palatino Linotype"/>
          <w:sz w:val="24"/>
          <w:szCs w:val="24"/>
        </w:rPr>
        <w:t xml:space="preserve"> ORDINARIA CELEBRADA EL DÍA DIECISÉIS DE OCTUBRE DE DOS MIL DIECINUEVE</w:t>
      </w:r>
      <w:r w:rsidRPr="00265631">
        <w:rPr>
          <w:rFonts w:ascii="Palatino Linotype" w:hAnsi="Palatino Linotype"/>
          <w:sz w:val="24"/>
          <w:szCs w:val="24"/>
        </w:rPr>
        <w:t xml:space="preserve">, ANTE EL SECRETARIO TÉCNICO DEL PLENO, ALEXIS TAPIA RAMÍREZ. </w:t>
      </w:r>
    </w:p>
    <w:tbl>
      <w:tblPr>
        <w:tblW w:w="9918" w:type="dxa"/>
        <w:jc w:val="center"/>
        <w:tblLayout w:type="fixed"/>
        <w:tblLook w:val="04A0" w:firstRow="1" w:lastRow="0" w:firstColumn="1" w:lastColumn="0" w:noHBand="0" w:noVBand="1"/>
      </w:tblPr>
      <w:tblGrid>
        <w:gridCol w:w="4905"/>
        <w:gridCol w:w="5013"/>
      </w:tblGrid>
      <w:tr w:rsidR="00A82A0B" w:rsidRPr="0055478F" w:rsidTr="006B3925">
        <w:trPr>
          <w:jc w:val="center"/>
        </w:trPr>
        <w:tc>
          <w:tcPr>
            <w:tcW w:w="9918" w:type="dxa"/>
            <w:gridSpan w:val="2"/>
          </w:tcPr>
          <w:p w:rsidR="00A82A0B" w:rsidRDefault="00A82A0B" w:rsidP="00A82A0B">
            <w:pPr>
              <w:tabs>
                <w:tab w:val="left" w:pos="0"/>
              </w:tabs>
              <w:spacing w:line="360" w:lineRule="auto"/>
              <w:jc w:val="center"/>
              <w:rPr>
                <w:rFonts w:ascii="Palatino Linotype" w:hAnsi="Palatino Linotype" w:cs="Arial"/>
                <w:b/>
              </w:rPr>
            </w:pPr>
          </w:p>
          <w:p w:rsidR="00A82A0B" w:rsidRPr="0055478F" w:rsidRDefault="00A82A0B" w:rsidP="00A82A0B">
            <w:pPr>
              <w:tabs>
                <w:tab w:val="left" w:pos="0"/>
              </w:tabs>
              <w:spacing w:line="360" w:lineRule="auto"/>
              <w:jc w:val="center"/>
              <w:rPr>
                <w:rFonts w:ascii="Palatino Linotype" w:hAnsi="Palatino Linotype" w:cs="Arial"/>
                <w:b/>
              </w:rPr>
            </w:pP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b/>
              </w:rPr>
              <w:t>Zulema Martínez Sánchez</w:t>
            </w: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rPr>
              <w:t>Comisionada Presidenta</w:t>
            </w:r>
          </w:p>
          <w:p w:rsidR="00A82A0B" w:rsidRPr="0055478F" w:rsidRDefault="00A82A0B" w:rsidP="00A82A0B">
            <w:pPr>
              <w:tabs>
                <w:tab w:val="left" w:pos="0"/>
              </w:tabs>
              <w:spacing w:line="360" w:lineRule="auto"/>
              <w:jc w:val="center"/>
              <w:rPr>
                <w:rFonts w:ascii="Palatino Linotype" w:hAnsi="Palatino Linotype" w:cs="Arial"/>
                <w:b/>
              </w:rPr>
            </w:pPr>
            <w:r>
              <w:rPr>
                <w:rFonts w:ascii="Palatino Linotype" w:hAnsi="Palatino Linotype" w:cs="Arial"/>
                <w:b/>
              </w:rPr>
              <w:t>(RÚBRICA)</w:t>
            </w:r>
          </w:p>
          <w:p w:rsidR="00A82A0B" w:rsidRPr="0055478F" w:rsidRDefault="00A82A0B" w:rsidP="00A82A0B">
            <w:pPr>
              <w:tabs>
                <w:tab w:val="left" w:pos="0"/>
              </w:tabs>
              <w:spacing w:line="360" w:lineRule="auto"/>
              <w:jc w:val="center"/>
              <w:rPr>
                <w:rFonts w:ascii="Palatino Linotype" w:hAnsi="Palatino Linotype" w:cs="Arial"/>
                <w:b/>
              </w:rPr>
            </w:pPr>
          </w:p>
        </w:tc>
      </w:tr>
      <w:tr w:rsidR="00A82A0B" w:rsidRPr="0055478F" w:rsidTr="006B3925">
        <w:trPr>
          <w:jc w:val="center"/>
        </w:trPr>
        <w:tc>
          <w:tcPr>
            <w:tcW w:w="4905" w:type="dxa"/>
          </w:tcPr>
          <w:p w:rsidR="00A82A0B" w:rsidRPr="0055478F" w:rsidRDefault="00A82A0B" w:rsidP="00A82A0B">
            <w:pPr>
              <w:tabs>
                <w:tab w:val="left" w:pos="0"/>
              </w:tabs>
              <w:spacing w:line="360" w:lineRule="auto"/>
              <w:jc w:val="center"/>
              <w:rPr>
                <w:rFonts w:ascii="Palatino Linotype" w:hAnsi="Palatino Linotype" w:cs="Arial"/>
                <w:b/>
              </w:rPr>
            </w:pP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b/>
              </w:rPr>
              <w:t xml:space="preserve">Eva </w:t>
            </w:r>
            <w:proofErr w:type="spellStart"/>
            <w:r w:rsidRPr="0055478F">
              <w:rPr>
                <w:rFonts w:ascii="Palatino Linotype" w:hAnsi="Palatino Linotype" w:cs="Arial"/>
                <w:b/>
              </w:rPr>
              <w:t>Abaid</w:t>
            </w:r>
            <w:proofErr w:type="spellEnd"/>
            <w:r w:rsidRPr="0055478F">
              <w:rPr>
                <w:rFonts w:ascii="Palatino Linotype" w:hAnsi="Palatino Linotype" w:cs="Arial"/>
                <w:b/>
              </w:rPr>
              <w:t xml:space="preserve"> </w:t>
            </w:r>
            <w:proofErr w:type="spellStart"/>
            <w:r w:rsidRPr="0055478F">
              <w:rPr>
                <w:rFonts w:ascii="Palatino Linotype" w:hAnsi="Palatino Linotype" w:cs="Arial"/>
                <w:b/>
              </w:rPr>
              <w:t>Yapur</w:t>
            </w:r>
            <w:proofErr w:type="spellEnd"/>
          </w:p>
          <w:p w:rsidR="00A82A0B" w:rsidRPr="0055478F" w:rsidRDefault="00A82A0B" w:rsidP="00A82A0B">
            <w:pPr>
              <w:tabs>
                <w:tab w:val="left" w:pos="0"/>
              </w:tabs>
              <w:spacing w:line="360" w:lineRule="auto"/>
              <w:jc w:val="center"/>
              <w:rPr>
                <w:rFonts w:ascii="Palatino Linotype" w:hAnsi="Palatino Linotype" w:cs="Arial"/>
              </w:rPr>
            </w:pPr>
            <w:r w:rsidRPr="0055478F">
              <w:rPr>
                <w:rFonts w:ascii="Palatino Linotype" w:hAnsi="Palatino Linotype" w:cs="Arial"/>
              </w:rPr>
              <w:t>Comisionada</w:t>
            </w: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b/>
              </w:rPr>
              <w:t>(RÚBRICA)</w:t>
            </w:r>
          </w:p>
        </w:tc>
        <w:tc>
          <w:tcPr>
            <w:tcW w:w="5013" w:type="dxa"/>
          </w:tcPr>
          <w:p w:rsidR="00A82A0B" w:rsidRPr="0055478F" w:rsidRDefault="00A82A0B" w:rsidP="00A82A0B">
            <w:pPr>
              <w:tabs>
                <w:tab w:val="left" w:pos="0"/>
              </w:tabs>
              <w:spacing w:line="360" w:lineRule="auto"/>
              <w:jc w:val="center"/>
              <w:rPr>
                <w:rFonts w:ascii="Palatino Linotype" w:hAnsi="Palatino Linotype" w:cs="Arial"/>
                <w:b/>
              </w:rPr>
            </w:pP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b/>
              </w:rPr>
              <w:t>José Guadalupe Luna Hernández</w:t>
            </w:r>
          </w:p>
          <w:p w:rsidR="00A82A0B" w:rsidRPr="0055478F" w:rsidRDefault="00A82A0B" w:rsidP="00A82A0B">
            <w:pPr>
              <w:tabs>
                <w:tab w:val="left" w:pos="0"/>
              </w:tabs>
              <w:spacing w:line="360" w:lineRule="auto"/>
              <w:jc w:val="center"/>
              <w:rPr>
                <w:rFonts w:ascii="Palatino Linotype" w:hAnsi="Palatino Linotype" w:cs="Arial"/>
              </w:rPr>
            </w:pPr>
            <w:r w:rsidRPr="0055478F">
              <w:rPr>
                <w:rFonts w:ascii="Palatino Linotype" w:hAnsi="Palatino Linotype" w:cs="Arial"/>
              </w:rPr>
              <w:t>Comisionado</w:t>
            </w:r>
          </w:p>
          <w:p w:rsidR="00A82A0B" w:rsidRPr="0055478F" w:rsidRDefault="00A82A0B" w:rsidP="00A82A0B">
            <w:pPr>
              <w:tabs>
                <w:tab w:val="left" w:pos="0"/>
              </w:tabs>
              <w:spacing w:line="360" w:lineRule="auto"/>
              <w:jc w:val="center"/>
              <w:rPr>
                <w:rFonts w:ascii="Palatino Linotype" w:hAnsi="Palatino Linotype" w:cs="Arial"/>
                <w:b/>
              </w:rPr>
            </w:pPr>
            <w:r w:rsidRPr="0055478F">
              <w:rPr>
                <w:rFonts w:ascii="Palatino Linotype" w:hAnsi="Palatino Linotype" w:cs="Arial"/>
                <w:b/>
              </w:rPr>
              <w:t>(RÚBRICA)</w:t>
            </w:r>
          </w:p>
          <w:p w:rsidR="00A82A0B" w:rsidRPr="0055478F" w:rsidRDefault="00A82A0B" w:rsidP="00A82A0B">
            <w:pPr>
              <w:tabs>
                <w:tab w:val="left" w:pos="0"/>
              </w:tabs>
              <w:spacing w:line="360" w:lineRule="auto"/>
              <w:jc w:val="center"/>
              <w:rPr>
                <w:rFonts w:ascii="Palatino Linotype" w:hAnsi="Palatino Linotype" w:cs="Arial"/>
                <w:b/>
              </w:rPr>
            </w:pPr>
          </w:p>
        </w:tc>
      </w:tr>
      <w:tr w:rsidR="00A82A0B" w:rsidRPr="0055478F" w:rsidTr="006B3925">
        <w:trPr>
          <w:jc w:val="center"/>
        </w:trPr>
        <w:tc>
          <w:tcPr>
            <w:tcW w:w="4905" w:type="dxa"/>
          </w:tcPr>
          <w:p w:rsidR="00A82A0B" w:rsidRPr="0055478F" w:rsidRDefault="00A82A0B" w:rsidP="006B3925">
            <w:pPr>
              <w:tabs>
                <w:tab w:val="left" w:pos="0"/>
              </w:tabs>
              <w:spacing w:line="360" w:lineRule="auto"/>
              <w:rPr>
                <w:rFonts w:ascii="Palatino Linotype" w:hAnsi="Palatino Linotype" w:cs="Arial"/>
                <w:b/>
              </w:rPr>
            </w:pPr>
          </w:p>
          <w:p w:rsidR="00A82A0B" w:rsidRPr="0055478F"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Javier Martínez Cruz</w:t>
            </w:r>
          </w:p>
          <w:p w:rsidR="00A82A0B" w:rsidRPr="0055478F" w:rsidRDefault="00A82A0B" w:rsidP="006B3925">
            <w:pPr>
              <w:tabs>
                <w:tab w:val="left" w:pos="0"/>
              </w:tabs>
              <w:spacing w:line="360" w:lineRule="auto"/>
              <w:jc w:val="center"/>
              <w:rPr>
                <w:rFonts w:ascii="Palatino Linotype" w:hAnsi="Palatino Linotype" w:cs="Arial"/>
              </w:rPr>
            </w:pPr>
            <w:r w:rsidRPr="0055478F">
              <w:rPr>
                <w:rFonts w:ascii="Palatino Linotype" w:hAnsi="Palatino Linotype" w:cs="Arial"/>
              </w:rPr>
              <w:t>Comisionado</w:t>
            </w:r>
          </w:p>
          <w:p w:rsidR="00A82A0B" w:rsidRPr="0055478F"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(RÚBRICA)</w:t>
            </w:r>
          </w:p>
        </w:tc>
        <w:tc>
          <w:tcPr>
            <w:tcW w:w="5013" w:type="dxa"/>
          </w:tcPr>
          <w:p w:rsidR="00A82A0B" w:rsidRPr="0055478F" w:rsidRDefault="00A82A0B" w:rsidP="006B3925">
            <w:pPr>
              <w:tabs>
                <w:tab w:val="left" w:pos="0"/>
              </w:tabs>
              <w:spacing w:line="360" w:lineRule="auto"/>
              <w:rPr>
                <w:rFonts w:ascii="Palatino Linotype" w:hAnsi="Palatino Linotype" w:cs="Arial"/>
                <w:b/>
              </w:rPr>
            </w:pPr>
          </w:p>
          <w:p w:rsidR="00A82A0B" w:rsidRPr="0055478F"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Luis Gustavo Parra Noriega</w:t>
            </w:r>
          </w:p>
          <w:p w:rsidR="00A82A0B" w:rsidRPr="0055478F" w:rsidRDefault="00A82A0B" w:rsidP="006B3925">
            <w:pPr>
              <w:tabs>
                <w:tab w:val="left" w:pos="0"/>
              </w:tabs>
              <w:spacing w:line="360" w:lineRule="auto"/>
              <w:jc w:val="center"/>
              <w:rPr>
                <w:rFonts w:ascii="Palatino Linotype" w:hAnsi="Palatino Linotype" w:cs="Arial"/>
              </w:rPr>
            </w:pPr>
            <w:r w:rsidRPr="0055478F">
              <w:rPr>
                <w:rFonts w:ascii="Palatino Linotype" w:hAnsi="Palatino Linotype" w:cs="Arial"/>
              </w:rPr>
              <w:t>Comisionado</w:t>
            </w:r>
          </w:p>
          <w:p w:rsidR="00A82A0B" w:rsidRPr="0055478F"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(RÚBRICA)</w:t>
            </w:r>
          </w:p>
        </w:tc>
      </w:tr>
      <w:tr w:rsidR="00A82A0B" w:rsidRPr="0055478F" w:rsidTr="006B3925">
        <w:trPr>
          <w:jc w:val="center"/>
        </w:trPr>
        <w:tc>
          <w:tcPr>
            <w:tcW w:w="9918" w:type="dxa"/>
            <w:gridSpan w:val="2"/>
          </w:tcPr>
          <w:p w:rsidR="00A82A0B" w:rsidRPr="0055478F" w:rsidRDefault="00A82A0B" w:rsidP="006B3925">
            <w:pPr>
              <w:tabs>
                <w:tab w:val="left" w:pos="0"/>
              </w:tabs>
              <w:spacing w:line="360" w:lineRule="auto"/>
              <w:jc w:val="center"/>
              <w:rPr>
                <w:rFonts w:ascii="Palatino Linotype" w:hAnsi="Palatino Linotype" w:cs="Arial"/>
                <w:b/>
              </w:rPr>
            </w:pPr>
          </w:p>
          <w:p w:rsidR="00A82A0B" w:rsidRPr="0055478F" w:rsidRDefault="00A82A0B" w:rsidP="006B3925">
            <w:pPr>
              <w:tabs>
                <w:tab w:val="left" w:pos="0"/>
              </w:tabs>
              <w:spacing w:line="360" w:lineRule="auto"/>
              <w:rPr>
                <w:rFonts w:ascii="Palatino Linotype" w:hAnsi="Palatino Linotype" w:cs="Arial"/>
                <w:b/>
              </w:rPr>
            </w:pPr>
          </w:p>
          <w:p w:rsidR="00A82A0B" w:rsidRPr="0055478F"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Alexis Tapia Ramírez</w:t>
            </w:r>
          </w:p>
          <w:p w:rsidR="00A82A0B" w:rsidRPr="0055478F" w:rsidRDefault="00A82A0B" w:rsidP="006B3925">
            <w:pPr>
              <w:tabs>
                <w:tab w:val="left" w:pos="0"/>
              </w:tabs>
              <w:spacing w:line="360" w:lineRule="auto"/>
              <w:jc w:val="center"/>
              <w:rPr>
                <w:rFonts w:ascii="Palatino Linotype" w:hAnsi="Palatino Linotype" w:cs="Arial"/>
              </w:rPr>
            </w:pPr>
            <w:r w:rsidRPr="0055478F">
              <w:rPr>
                <w:rFonts w:ascii="Palatino Linotype" w:hAnsi="Palatino Linotype" w:cs="Arial"/>
              </w:rPr>
              <w:t>Secretario Técnico del Pleno</w:t>
            </w:r>
          </w:p>
          <w:p w:rsidR="00A82A0B" w:rsidRDefault="00A82A0B" w:rsidP="006B3925">
            <w:pPr>
              <w:tabs>
                <w:tab w:val="left" w:pos="0"/>
              </w:tabs>
              <w:spacing w:line="360" w:lineRule="auto"/>
              <w:jc w:val="center"/>
              <w:rPr>
                <w:rFonts w:ascii="Palatino Linotype" w:hAnsi="Palatino Linotype" w:cs="Arial"/>
                <w:b/>
              </w:rPr>
            </w:pPr>
            <w:r w:rsidRPr="0055478F">
              <w:rPr>
                <w:rFonts w:ascii="Palatino Linotype" w:hAnsi="Palatino Linotype" w:cs="Arial"/>
                <w:b/>
              </w:rPr>
              <w:t>(RÚBRICA)</w:t>
            </w:r>
          </w:p>
          <w:p w:rsidR="00A82A0B" w:rsidRDefault="00A82A0B" w:rsidP="006B3925">
            <w:pPr>
              <w:tabs>
                <w:tab w:val="left" w:pos="0"/>
              </w:tabs>
              <w:spacing w:line="360" w:lineRule="auto"/>
              <w:jc w:val="center"/>
              <w:rPr>
                <w:rFonts w:ascii="Palatino Linotype" w:hAnsi="Palatino Linotype" w:cs="Arial"/>
                <w:b/>
              </w:rPr>
            </w:pPr>
          </w:p>
          <w:p w:rsidR="00A82A0B" w:rsidRDefault="00A82A0B" w:rsidP="00A82A0B">
            <w:pPr>
              <w:tabs>
                <w:tab w:val="left" w:pos="0"/>
              </w:tabs>
              <w:spacing w:line="360" w:lineRule="auto"/>
              <w:rPr>
                <w:rFonts w:ascii="Palatino Linotype" w:hAnsi="Palatino Linotype" w:cs="Arial"/>
                <w:b/>
              </w:rPr>
            </w:pPr>
          </w:p>
          <w:p w:rsidR="00A82A0B" w:rsidRPr="00AD6CEF" w:rsidRDefault="00A82A0B" w:rsidP="00A82A0B">
            <w:pPr>
              <w:spacing w:before="240" w:after="240" w:line="360" w:lineRule="auto"/>
              <w:ind w:right="49"/>
              <w:jc w:val="both"/>
              <w:rPr>
                <w:rFonts w:ascii="Palatino Linotype" w:hAnsi="Palatino Linotype"/>
                <w:color w:val="FF0000"/>
                <w:sz w:val="24"/>
                <w:szCs w:val="24"/>
              </w:rPr>
            </w:pPr>
            <w:r w:rsidRPr="00AD6CEF">
              <w:rPr>
                <w:rFonts w:ascii="Palatino Linotype" w:eastAsia="Times New Roman" w:hAnsi="Palatino Linotype" w:cs="Arial"/>
                <w:sz w:val="24"/>
                <w:szCs w:val="24"/>
                <w:lang w:val="es-ES_tradnl" w:eastAsia="es-ES"/>
              </w:rPr>
              <w:t xml:space="preserve">Esta hoja corresponde a la resolución de fecha dieciséis (16) de octubre de dos mil diecinueve, emitida en el recurso de revisión </w:t>
            </w:r>
            <w:r>
              <w:rPr>
                <w:rFonts w:ascii="Palatino Linotype" w:eastAsia="Times New Roman" w:hAnsi="Palatino Linotype" w:cs="Arial"/>
                <w:b/>
                <w:sz w:val="24"/>
                <w:szCs w:val="24"/>
                <w:lang w:val="es-ES_tradnl" w:eastAsia="es-ES"/>
              </w:rPr>
              <w:t>06658/INFOEM/IP/RR/2019.</w:t>
            </w:r>
          </w:p>
          <w:p w:rsidR="00A82A0B" w:rsidRPr="0055478F" w:rsidRDefault="00A82A0B" w:rsidP="006B3925">
            <w:pPr>
              <w:tabs>
                <w:tab w:val="left" w:pos="0"/>
              </w:tabs>
              <w:spacing w:line="360" w:lineRule="auto"/>
              <w:jc w:val="center"/>
              <w:rPr>
                <w:rFonts w:ascii="Palatino Linotype" w:hAnsi="Palatino Linotype" w:cs="Arial"/>
                <w:b/>
              </w:rPr>
            </w:pPr>
          </w:p>
          <w:p w:rsidR="00A82A0B" w:rsidRPr="0055478F" w:rsidRDefault="00A82A0B" w:rsidP="006B3925">
            <w:pPr>
              <w:tabs>
                <w:tab w:val="left" w:pos="0"/>
              </w:tabs>
              <w:spacing w:line="360" w:lineRule="auto"/>
              <w:jc w:val="center"/>
              <w:rPr>
                <w:rFonts w:ascii="Palatino Linotype" w:hAnsi="Palatino Linotype" w:cs="Arial"/>
                <w:b/>
              </w:rPr>
            </w:pPr>
          </w:p>
        </w:tc>
      </w:tr>
    </w:tbl>
    <w:p w:rsidR="00A82A0B" w:rsidRDefault="00A82A0B" w:rsidP="00265631">
      <w:pPr>
        <w:spacing w:after="0" w:line="360" w:lineRule="auto"/>
        <w:ind w:firstLine="1"/>
        <w:jc w:val="both"/>
        <w:rPr>
          <w:rFonts w:ascii="Palatino Linotype" w:hAnsi="Palatino Linotype"/>
          <w:sz w:val="24"/>
          <w:szCs w:val="24"/>
        </w:rPr>
      </w:pPr>
    </w:p>
    <w:p w:rsidR="00DE6AF4" w:rsidRPr="00265631" w:rsidRDefault="00DE6AF4" w:rsidP="00A82A0B">
      <w:pPr>
        <w:spacing w:after="0" w:line="360" w:lineRule="auto"/>
        <w:jc w:val="both"/>
        <w:rPr>
          <w:rFonts w:ascii="Palatino Linotype" w:hAnsi="Palatino Linotype"/>
          <w:sz w:val="24"/>
          <w:szCs w:val="24"/>
        </w:rPr>
      </w:pPr>
    </w:p>
    <w:sectPr w:rsidR="00DE6AF4" w:rsidRPr="00265631" w:rsidSect="00265631">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925" w:rsidRDefault="006B3925" w:rsidP="00792776">
      <w:pPr>
        <w:spacing w:after="0" w:line="240" w:lineRule="auto"/>
      </w:pPr>
      <w:r>
        <w:separator/>
      </w:r>
    </w:p>
  </w:endnote>
  <w:endnote w:type="continuationSeparator" w:id="0">
    <w:p w:rsidR="006B3925" w:rsidRDefault="006B3925"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B3925" w:rsidRPr="00883450" w:rsidRDefault="006B3925"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73915">
              <w:rPr>
                <w:rFonts w:ascii="Palatino Linotype" w:hAnsi="Palatino Linotype"/>
                <w:b/>
                <w:bCs/>
                <w:noProof/>
                <w:szCs w:val="20"/>
              </w:rPr>
              <w:t>73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73915">
              <w:rPr>
                <w:rFonts w:ascii="Palatino Linotype" w:hAnsi="Palatino Linotype"/>
                <w:b/>
                <w:bCs/>
                <w:noProof/>
                <w:szCs w:val="20"/>
              </w:rPr>
              <w:t>73</w:t>
            </w:r>
            <w:r w:rsidRPr="00883450">
              <w:rPr>
                <w:rFonts w:ascii="Palatino Linotype" w:hAnsi="Palatino Linotype"/>
                <w:b/>
                <w:bCs/>
                <w:szCs w:val="20"/>
              </w:rPr>
              <w:fldChar w:fldCharType="end"/>
            </w:r>
          </w:p>
        </w:sdtContent>
      </w:sdt>
    </w:sdtContent>
  </w:sdt>
  <w:p w:rsidR="006B3925" w:rsidRDefault="006B39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925" w:rsidRPr="00883450" w:rsidRDefault="006B3925"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73915" w:rsidRPr="0017391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73915" w:rsidRPr="00173915">
      <w:rPr>
        <w:rFonts w:ascii="Palatino Linotype" w:hAnsi="Palatino Linotype"/>
        <w:noProof/>
        <w:lang w:val="es-ES"/>
      </w:rPr>
      <w:t>73</w:t>
    </w:r>
    <w:r w:rsidRPr="00883450">
      <w:rPr>
        <w:rFonts w:ascii="Palatino Linotype" w:hAnsi="Palatino Linotype"/>
      </w:rPr>
      <w:fldChar w:fldCharType="end"/>
    </w:r>
  </w:p>
  <w:p w:rsidR="006B3925" w:rsidRPr="00883450" w:rsidRDefault="006B392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925" w:rsidRDefault="006B3925" w:rsidP="00792776">
      <w:pPr>
        <w:spacing w:after="0" w:line="240" w:lineRule="auto"/>
      </w:pPr>
      <w:r>
        <w:separator/>
      </w:r>
    </w:p>
  </w:footnote>
  <w:footnote w:type="continuationSeparator" w:id="0">
    <w:p w:rsidR="006B3925" w:rsidRDefault="006B3925" w:rsidP="00792776">
      <w:pPr>
        <w:spacing w:after="0" w:line="240" w:lineRule="auto"/>
      </w:pPr>
      <w:r>
        <w:continuationSeparator/>
      </w:r>
    </w:p>
  </w:footnote>
  <w:footnote w:id="1">
    <w:p w:rsidR="006B3925" w:rsidRDefault="006B3925">
      <w:pPr>
        <w:pStyle w:val="Textonotapie"/>
      </w:pPr>
      <w:r>
        <w:rPr>
          <w:rStyle w:val="Refdenotaalpie"/>
        </w:rPr>
        <w:footnoteRef/>
      </w:r>
      <w:r>
        <w:t xml:space="preserve"> Consultable en; </w:t>
      </w:r>
      <w:hyperlink r:id="rId1" w:history="1">
        <w:r>
          <w:rPr>
            <w:rStyle w:val="Hipervnculo"/>
          </w:rPr>
          <w:t>https://www.ipomex.org.mx/ipo3/lgt/indice/nicolasromero.web</w:t>
        </w:r>
      </w:hyperlink>
    </w:p>
  </w:footnote>
  <w:footnote w:id="2">
    <w:p w:rsidR="006B3925" w:rsidRPr="007E4F02" w:rsidRDefault="006B3925" w:rsidP="00C317BE">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925" w:rsidRDefault="006B3925">
    <w:pPr>
      <w:pStyle w:val="Encabezado"/>
    </w:pPr>
  </w:p>
  <w:p w:rsidR="006B3925" w:rsidRDefault="006B3925"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6B3925" w:rsidRPr="00EF13C1" w:rsidTr="008C6663">
      <w:trPr>
        <w:trHeight w:val="138"/>
      </w:trPr>
      <w:tc>
        <w:tcPr>
          <w:tcW w:w="2552" w:type="dxa"/>
          <w:vAlign w:val="center"/>
        </w:tcPr>
        <w:p w:rsidR="006B3925" w:rsidRPr="00EF13C1" w:rsidRDefault="006B3925"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6B3925" w:rsidRPr="005176BA" w:rsidRDefault="006B3925"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06658/INFOEM/IP/RR/2019</w:t>
          </w:r>
        </w:p>
      </w:tc>
    </w:tr>
    <w:tr w:rsidR="006B3925" w:rsidRPr="00EF13C1" w:rsidTr="008C6663">
      <w:trPr>
        <w:trHeight w:val="321"/>
      </w:trPr>
      <w:tc>
        <w:tcPr>
          <w:tcW w:w="2552" w:type="dxa"/>
          <w:vAlign w:val="center"/>
        </w:tcPr>
        <w:p w:rsidR="006B3925" w:rsidRPr="00EF13C1" w:rsidRDefault="006B3925"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6B3925" w:rsidRPr="00EF13C1" w:rsidRDefault="006B3925" w:rsidP="00842DE5">
          <w:pPr>
            <w:pStyle w:val="Encabezado"/>
            <w:ind w:left="-165"/>
            <w:jc w:val="right"/>
            <w:rPr>
              <w:rFonts w:ascii="Palatino Linotype" w:hAnsi="Palatino Linotype"/>
              <w:b/>
              <w:sz w:val="22"/>
              <w:szCs w:val="22"/>
            </w:rPr>
          </w:pPr>
          <w:r>
            <w:rPr>
              <w:rFonts w:ascii="Palatino Linotype" w:hAnsi="Palatino Linotype"/>
              <w:b/>
            </w:rPr>
            <w:t>Ayuntamiento de Nicolás Romero</w:t>
          </w:r>
        </w:p>
      </w:tc>
    </w:tr>
    <w:tr w:rsidR="006B3925" w:rsidRPr="00EF13C1" w:rsidTr="008C6663">
      <w:trPr>
        <w:trHeight w:val="321"/>
      </w:trPr>
      <w:tc>
        <w:tcPr>
          <w:tcW w:w="2552" w:type="dxa"/>
          <w:vAlign w:val="center"/>
        </w:tcPr>
        <w:p w:rsidR="006B3925" w:rsidRPr="00EF13C1" w:rsidRDefault="006B3925"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6B3925" w:rsidRPr="00EF13C1" w:rsidRDefault="006B3925"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B3925" w:rsidRDefault="006B3925"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925" w:rsidRDefault="006B3925"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6B3925" w:rsidRPr="005176BA" w:rsidTr="00CB69D0">
      <w:trPr>
        <w:trHeight w:val="416"/>
      </w:trPr>
      <w:tc>
        <w:tcPr>
          <w:tcW w:w="2667" w:type="dxa"/>
          <w:shd w:val="clear" w:color="auto" w:fill="FFFFFF" w:themeFill="background1"/>
        </w:tcPr>
        <w:p w:rsidR="006B3925" w:rsidRPr="005176BA" w:rsidRDefault="006B3925"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6B3925" w:rsidRPr="005176BA" w:rsidRDefault="006B3925" w:rsidP="00F40914">
          <w:pPr>
            <w:jc w:val="right"/>
            <w:rPr>
              <w:rFonts w:ascii="Palatino Linotype" w:hAnsi="Palatino Linotype"/>
              <w:b/>
            </w:rPr>
          </w:pPr>
          <w:r>
            <w:rPr>
              <w:rFonts w:ascii="Palatino Linotype" w:hAnsi="Palatino Linotype" w:cs="Arial"/>
              <w:b/>
              <w:bCs/>
              <w:lang w:eastAsia="es-MX"/>
            </w:rPr>
            <w:t>06658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6B3925" w:rsidRPr="005176BA" w:rsidTr="00CB69D0">
      <w:tc>
        <w:tcPr>
          <w:tcW w:w="2667" w:type="dxa"/>
          <w:shd w:val="clear" w:color="auto" w:fill="FFFFFF" w:themeFill="background1"/>
        </w:tcPr>
        <w:p w:rsidR="006B3925" w:rsidRPr="005176BA" w:rsidRDefault="006B3925"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6B3925" w:rsidRPr="003C79DF" w:rsidRDefault="006B3925" w:rsidP="00F40914">
          <w:pPr>
            <w:jc w:val="right"/>
            <w:rPr>
              <w:rFonts w:ascii="Palatino Linotype" w:hAnsi="Palatino Linotype"/>
              <w:b/>
              <w:highlight w:val="black"/>
            </w:rPr>
          </w:pPr>
          <w:r w:rsidRPr="003C79DF">
            <w:rPr>
              <w:rFonts w:ascii="Palatino Linotype" w:hAnsi="Palatino Linotype"/>
              <w:b/>
              <w:highlight w:val="black"/>
            </w:rPr>
            <w:t xml:space="preserve">-------------------------------------------------------------------------------------------------- </w:t>
          </w:r>
        </w:p>
      </w:tc>
    </w:tr>
    <w:tr w:rsidR="006B3925" w:rsidRPr="005176BA" w:rsidTr="00CB69D0">
      <w:tc>
        <w:tcPr>
          <w:tcW w:w="2667" w:type="dxa"/>
          <w:shd w:val="clear" w:color="auto" w:fill="FFFFFF" w:themeFill="background1"/>
        </w:tcPr>
        <w:p w:rsidR="006B3925" w:rsidRPr="005176BA" w:rsidRDefault="006B3925"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6B3925" w:rsidRPr="005176BA" w:rsidRDefault="006B3925" w:rsidP="00FA2C16">
          <w:pPr>
            <w:jc w:val="right"/>
            <w:rPr>
              <w:rFonts w:ascii="Palatino Linotype" w:hAnsi="Palatino Linotype"/>
              <w:b/>
            </w:rPr>
          </w:pPr>
          <w:r>
            <w:rPr>
              <w:rFonts w:ascii="Palatino Linotype" w:hAnsi="Palatino Linotype"/>
              <w:b/>
            </w:rPr>
            <w:t xml:space="preserve">Ayuntamiento de Nicolás Romero  </w:t>
          </w:r>
        </w:p>
      </w:tc>
    </w:tr>
    <w:tr w:rsidR="006B3925" w:rsidRPr="005176BA" w:rsidTr="00CB69D0">
      <w:tc>
        <w:tcPr>
          <w:tcW w:w="2667" w:type="dxa"/>
          <w:shd w:val="clear" w:color="auto" w:fill="FFFFFF" w:themeFill="background1"/>
        </w:tcPr>
        <w:p w:rsidR="006B3925" w:rsidRPr="005176BA" w:rsidRDefault="006B3925"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6B3925" w:rsidRPr="005176BA" w:rsidRDefault="006B3925"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6B3925" w:rsidRDefault="006B3925"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2832"/>
    <w:multiLevelType w:val="hybridMultilevel"/>
    <w:tmpl w:val="790AE8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94A0D30"/>
    <w:multiLevelType w:val="hybridMultilevel"/>
    <w:tmpl w:val="0AEC4378"/>
    <w:lvl w:ilvl="0" w:tplc="C57A682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F961293"/>
    <w:multiLevelType w:val="hybridMultilevel"/>
    <w:tmpl w:val="A7B2FFA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5C2296"/>
    <w:multiLevelType w:val="hybridMultilevel"/>
    <w:tmpl w:val="0A584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FF1D8A"/>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152557"/>
    <w:multiLevelType w:val="hybridMultilevel"/>
    <w:tmpl w:val="6CCA047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9E19F6"/>
    <w:multiLevelType w:val="hybridMultilevel"/>
    <w:tmpl w:val="7D16306C"/>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2318D9"/>
    <w:multiLevelType w:val="hybridMultilevel"/>
    <w:tmpl w:val="36B2D7EE"/>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F768C0"/>
    <w:multiLevelType w:val="hybridMultilevel"/>
    <w:tmpl w:val="A956C7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7E6358"/>
    <w:multiLevelType w:val="hybridMultilevel"/>
    <w:tmpl w:val="D666B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0A645C"/>
    <w:multiLevelType w:val="hybridMultilevel"/>
    <w:tmpl w:val="BE2876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4E546B60"/>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B032038"/>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A941EC"/>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BF1306"/>
    <w:multiLevelType w:val="hybridMultilevel"/>
    <w:tmpl w:val="C3F07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D433AE5"/>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462578"/>
    <w:multiLevelType w:val="hybridMultilevel"/>
    <w:tmpl w:val="4C2ED6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0FA5B11"/>
    <w:multiLevelType w:val="hybridMultilevel"/>
    <w:tmpl w:val="BBA66C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0E2C3B"/>
    <w:multiLevelType w:val="hybridMultilevel"/>
    <w:tmpl w:val="30BE4E4A"/>
    <w:lvl w:ilvl="0" w:tplc="F0BABB0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31794B"/>
    <w:multiLevelType w:val="hybridMultilevel"/>
    <w:tmpl w:val="38E63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D84879"/>
    <w:multiLevelType w:val="hybridMultilevel"/>
    <w:tmpl w:val="38E63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D5C5AB4"/>
    <w:multiLevelType w:val="hybridMultilevel"/>
    <w:tmpl w:val="0D783AE6"/>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4665A1A"/>
    <w:multiLevelType w:val="hybridMultilevel"/>
    <w:tmpl w:val="AF62B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5266CA"/>
    <w:multiLevelType w:val="hybridMultilevel"/>
    <w:tmpl w:val="4CC0F452"/>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AC5E75"/>
    <w:multiLevelType w:val="hybridMultilevel"/>
    <w:tmpl w:val="FFCA7E7C"/>
    <w:lvl w:ilvl="0" w:tplc="56EC285C">
      <w:start w:val="1"/>
      <w:numFmt w:val="lowerLetter"/>
      <w:lvlText w:val="%1)"/>
      <w:lvlJc w:val="left"/>
      <w:pPr>
        <w:ind w:left="1080" w:hanging="360"/>
      </w:pPr>
      <w:rPr>
        <w:b/>
        <w:bCs/>
        <w:sz w:val="22"/>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72E760F6"/>
    <w:multiLevelType w:val="hybridMultilevel"/>
    <w:tmpl w:val="EE409E52"/>
    <w:lvl w:ilvl="0" w:tplc="080A0017">
      <w:start w:val="1"/>
      <w:numFmt w:val="lowerLetter"/>
      <w:lvlText w:val="%1)"/>
      <w:lvlJc w:val="left"/>
      <w:pPr>
        <w:ind w:left="775" w:hanging="360"/>
      </w:pPr>
    </w:lvl>
    <w:lvl w:ilvl="1" w:tplc="080A0019" w:tentative="1">
      <w:start w:val="1"/>
      <w:numFmt w:val="lowerLetter"/>
      <w:lvlText w:val="%2."/>
      <w:lvlJc w:val="left"/>
      <w:pPr>
        <w:ind w:left="1495" w:hanging="360"/>
      </w:pPr>
    </w:lvl>
    <w:lvl w:ilvl="2" w:tplc="080A001B" w:tentative="1">
      <w:start w:val="1"/>
      <w:numFmt w:val="lowerRoman"/>
      <w:lvlText w:val="%3."/>
      <w:lvlJc w:val="right"/>
      <w:pPr>
        <w:ind w:left="2215" w:hanging="180"/>
      </w:pPr>
    </w:lvl>
    <w:lvl w:ilvl="3" w:tplc="080A000F" w:tentative="1">
      <w:start w:val="1"/>
      <w:numFmt w:val="decimal"/>
      <w:lvlText w:val="%4."/>
      <w:lvlJc w:val="left"/>
      <w:pPr>
        <w:ind w:left="2935" w:hanging="360"/>
      </w:pPr>
    </w:lvl>
    <w:lvl w:ilvl="4" w:tplc="080A0019" w:tentative="1">
      <w:start w:val="1"/>
      <w:numFmt w:val="lowerLetter"/>
      <w:lvlText w:val="%5."/>
      <w:lvlJc w:val="left"/>
      <w:pPr>
        <w:ind w:left="3655" w:hanging="360"/>
      </w:pPr>
    </w:lvl>
    <w:lvl w:ilvl="5" w:tplc="080A001B" w:tentative="1">
      <w:start w:val="1"/>
      <w:numFmt w:val="lowerRoman"/>
      <w:lvlText w:val="%6."/>
      <w:lvlJc w:val="right"/>
      <w:pPr>
        <w:ind w:left="4375" w:hanging="180"/>
      </w:pPr>
    </w:lvl>
    <w:lvl w:ilvl="6" w:tplc="080A000F" w:tentative="1">
      <w:start w:val="1"/>
      <w:numFmt w:val="decimal"/>
      <w:lvlText w:val="%7."/>
      <w:lvlJc w:val="left"/>
      <w:pPr>
        <w:ind w:left="5095" w:hanging="360"/>
      </w:pPr>
    </w:lvl>
    <w:lvl w:ilvl="7" w:tplc="080A0019" w:tentative="1">
      <w:start w:val="1"/>
      <w:numFmt w:val="lowerLetter"/>
      <w:lvlText w:val="%8."/>
      <w:lvlJc w:val="left"/>
      <w:pPr>
        <w:ind w:left="5815" w:hanging="360"/>
      </w:pPr>
    </w:lvl>
    <w:lvl w:ilvl="8" w:tplc="080A001B" w:tentative="1">
      <w:start w:val="1"/>
      <w:numFmt w:val="lowerRoman"/>
      <w:lvlText w:val="%9."/>
      <w:lvlJc w:val="right"/>
      <w:pPr>
        <w:ind w:left="6535" w:hanging="180"/>
      </w:pPr>
    </w:lvl>
  </w:abstractNum>
  <w:num w:numId="1">
    <w:abstractNumId w:val="9"/>
  </w:num>
  <w:num w:numId="2">
    <w:abstractNumId w:val="15"/>
  </w:num>
  <w:num w:numId="3">
    <w:abstractNumId w:val="28"/>
  </w:num>
  <w:num w:numId="4">
    <w:abstractNumId w:val="18"/>
  </w:num>
  <w:num w:numId="5">
    <w:abstractNumId w:val="17"/>
  </w:num>
  <w:num w:numId="6">
    <w:abstractNumId w:val="26"/>
  </w:num>
  <w:num w:numId="7">
    <w:abstractNumId w:val="25"/>
  </w:num>
  <w:num w:numId="8">
    <w:abstractNumId w:val="21"/>
  </w:num>
  <w:num w:numId="9">
    <w:abstractNumId w:val="16"/>
  </w:num>
  <w:num w:numId="10">
    <w:abstractNumId w:val="12"/>
  </w:num>
  <w:num w:numId="11">
    <w:abstractNumId w:val="19"/>
  </w:num>
  <w:num w:numId="12">
    <w:abstractNumId w:val="6"/>
  </w:num>
  <w:num w:numId="13">
    <w:abstractNumId w:val="1"/>
  </w:num>
  <w:num w:numId="14">
    <w:abstractNumId w:val="4"/>
  </w:num>
  <w:num w:numId="15">
    <w:abstractNumId w:val="13"/>
  </w:num>
  <w:num w:numId="16">
    <w:abstractNumId w:val="2"/>
  </w:num>
  <w:num w:numId="17">
    <w:abstractNumId w:val="32"/>
  </w:num>
  <w:num w:numId="18">
    <w:abstractNumId w:val="5"/>
  </w:num>
  <w:num w:numId="19">
    <w:abstractNumId w:val="14"/>
  </w:num>
  <w:num w:numId="20">
    <w:abstractNumId w:val="24"/>
  </w:num>
  <w:num w:numId="21">
    <w:abstractNumId w:val="10"/>
  </w:num>
  <w:num w:numId="22">
    <w:abstractNumId w:val="29"/>
  </w:num>
  <w:num w:numId="23">
    <w:abstractNumId w:val="30"/>
  </w:num>
  <w:num w:numId="24">
    <w:abstractNumId w:val="20"/>
  </w:num>
  <w:num w:numId="25">
    <w:abstractNumId w:val="31"/>
  </w:num>
  <w:num w:numId="26">
    <w:abstractNumId w:val="27"/>
  </w:num>
  <w:num w:numId="27">
    <w:abstractNumId w:val="0"/>
  </w:num>
  <w:num w:numId="28">
    <w:abstractNumId w:val="22"/>
  </w:num>
  <w:num w:numId="29">
    <w:abstractNumId w:val="7"/>
  </w:num>
  <w:num w:numId="30">
    <w:abstractNumId w:val="3"/>
  </w:num>
  <w:num w:numId="31">
    <w:abstractNumId w:val="11"/>
  </w:num>
  <w:num w:numId="32">
    <w:abstractNumId w:val="8"/>
  </w:num>
  <w:num w:numId="33">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5BC9"/>
    <w:rsid w:val="00076075"/>
    <w:rsid w:val="00077233"/>
    <w:rsid w:val="00083E35"/>
    <w:rsid w:val="000845C6"/>
    <w:rsid w:val="00084DF9"/>
    <w:rsid w:val="0009188D"/>
    <w:rsid w:val="0009442B"/>
    <w:rsid w:val="000966F8"/>
    <w:rsid w:val="000A4EA1"/>
    <w:rsid w:val="000A5860"/>
    <w:rsid w:val="000A7D5D"/>
    <w:rsid w:val="000B2EAF"/>
    <w:rsid w:val="000B336A"/>
    <w:rsid w:val="000B5A4C"/>
    <w:rsid w:val="000B5EB7"/>
    <w:rsid w:val="000C66EA"/>
    <w:rsid w:val="000C6868"/>
    <w:rsid w:val="000D1D31"/>
    <w:rsid w:val="000D25F2"/>
    <w:rsid w:val="000E210B"/>
    <w:rsid w:val="000E49B5"/>
    <w:rsid w:val="000E4A12"/>
    <w:rsid w:val="000E5BBE"/>
    <w:rsid w:val="000F1CC9"/>
    <w:rsid w:val="000F2441"/>
    <w:rsid w:val="000F3365"/>
    <w:rsid w:val="000F4901"/>
    <w:rsid w:val="00100DEF"/>
    <w:rsid w:val="00101818"/>
    <w:rsid w:val="00104BC4"/>
    <w:rsid w:val="00104F32"/>
    <w:rsid w:val="001052E8"/>
    <w:rsid w:val="00106806"/>
    <w:rsid w:val="00107A21"/>
    <w:rsid w:val="00110938"/>
    <w:rsid w:val="00110A90"/>
    <w:rsid w:val="0011115A"/>
    <w:rsid w:val="00114D5F"/>
    <w:rsid w:val="00124119"/>
    <w:rsid w:val="001256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3915"/>
    <w:rsid w:val="00174971"/>
    <w:rsid w:val="00181E44"/>
    <w:rsid w:val="00186301"/>
    <w:rsid w:val="0019022A"/>
    <w:rsid w:val="00190B36"/>
    <w:rsid w:val="00196B6A"/>
    <w:rsid w:val="0019761F"/>
    <w:rsid w:val="001A14FA"/>
    <w:rsid w:val="001B12E8"/>
    <w:rsid w:val="001B28F9"/>
    <w:rsid w:val="001B3A28"/>
    <w:rsid w:val="001B625E"/>
    <w:rsid w:val="001C18D2"/>
    <w:rsid w:val="001C263E"/>
    <w:rsid w:val="001C4776"/>
    <w:rsid w:val="001C487F"/>
    <w:rsid w:val="001C516D"/>
    <w:rsid w:val="001C537E"/>
    <w:rsid w:val="001C6D03"/>
    <w:rsid w:val="001D01D3"/>
    <w:rsid w:val="001D1D31"/>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1FC1"/>
    <w:rsid w:val="00232FEC"/>
    <w:rsid w:val="00233A15"/>
    <w:rsid w:val="00234EBF"/>
    <w:rsid w:val="0023622E"/>
    <w:rsid w:val="0023760B"/>
    <w:rsid w:val="00240779"/>
    <w:rsid w:val="0024202C"/>
    <w:rsid w:val="00244765"/>
    <w:rsid w:val="0024486E"/>
    <w:rsid w:val="002640DE"/>
    <w:rsid w:val="0026441B"/>
    <w:rsid w:val="00265631"/>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380"/>
    <w:rsid w:val="002B18B0"/>
    <w:rsid w:val="002B3998"/>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51415"/>
    <w:rsid w:val="00354158"/>
    <w:rsid w:val="00354999"/>
    <w:rsid w:val="00357179"/>
    <w:rsid w:val="0036142D"/>
    <w:rsid w:val="003664B3"/>
    <w:rsid w:val="00366B82"/>
    <w:rsid w:val="0037219D"/>
    <w:rsid w:val="0037277E"/>
    <w:rsid w:val="00374179"/>
    <w:rsid w:val="00375752"/>
    <w:rsid w:val="00376C60"/>
    <w:rsid w:val="00382836"/>
    <w:rsid w:val="00382BC1"/>
    <w:rsid w:val="00383D80"/>
    <w:rsid w:val="00385E76"/>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9DF"/>
    <w:rsid w:val="003C7BBB"/>
    <w:rsid w:val="003D04A4"/>
    <w:rsid w:val="003D2599"/>
    <w:rsid w:val="003D424F"/>
    <w:rsid w:val="003D4338"/>
    <w:rsid w:val="003D63CC"/>
    <w:rsid w:val="003D6D54"/>
    <w:rsid w:val="003E1440"/>
    <w:rsid w:val="003E34B5"/>
    <w:rsid w:val="003E585E"/>
    <w:rsid w:val="003E6B82"/>
    <w:rsid w:val="003F0067"/>
    <w:rsid w:val="003F2187"/>
    <w:rsid w:val="003F3FDE"/>
    <w:rsid w:val="003F4348"/>
    <w:rsid w:val="003F57ED"/>
    <w:rsid w:val="003F590D"/>
    <w:rsid w:val="003F6346"/>
    <w:rsid w:val="00402909"/>
    <w:rsid w:val="00404C2B"/>
    <w:rsid w:val="0040514C"/>
    <w:rsid w:val="004068F4"/>
    <w:rsid w:val="00415B60"/>
    <w:rsid w:val="0041783C"/>
    <w:rsid w:val="0042167E"/>
    <w:rsid w:val="0043409C"/>
    <w:rsid w:val="0043504A"/>
    <w:rsid w:val="004374EE"/>
    <w:rsid w:val="00450D60"/>
    <w:rsid w:val="00451152"/>
    <w:rsid w:val="00452DD1"/>
    <w:rsid w:val="00453580"/>
    <w:rsid w:val="00454AFA"/>
    <w:rsid w:val="00456131"/>
    <w:rsid w:val="0045789A"/>
    <w:rsid w:val="004605D3"/>
    <w:rsid w:val="00464173"/>
    <w:rsid w:val="004646D9"/>
    <w:rsid w:val="004653A7"/>
    <w:rsid w:val="00467C1C"/>
    <w:rsid w:val="00474E0F"/>
    <w:rsid w:val="004835DC"/>
    <w:rsid w:val="00485E23"/>
    <w:rsid w:val="00493730"/>
    <w:rsid w:val="004937AB"/>
    <w:rsid w:val="00495F9A"/>
    <w:rsid w:val="004A04FC"/>
    <w:rsid w:val="004A1681"/>
    <w:rsid w:val="004A2FBC"/>
    <w:rsid w:val="004A3422"/>
    <w:rsid w:val="004A56E3"/>
    <w:rsid w:val="004A70B0"/>
    <w:rsid w:val="004B0C02"/>
    <w:rsid w:val="004B2A20"/>
    <w:rsid w:val="004C07C4"/>
    <w:rsid w:val="004C1002"/>
    <w:rsid w:val="004C20EF"/>
    <w:rsid w:val="004C2D13"/>
    <w:rsid w:val="004C675B"/>
    <w:rsid w:val="004C69FF"/>
    <w:rsid w:val="004C7B94"/>
    <w:rsid w:val="004D3B01"/>
    <w:rsid w:val="004D4D48"/>
    <w:rsid w:val="004D7D6D"/>
    <w:rsid w:val="004E591E"/>
    <w:rsid w:val="004E6302"/>
    <w:rsid w:val="004F276A"/>
    <w:rsid w:val="004F4C05"/>
    <w:rsid w:val="004F6F41"/>
    <w:rsid w:val="004F6F42"/>
    <w:rsid w:val="00500259"/>
    <w:rsid w:val="00500425"/>
    <w:rsid w:val="0050327B"/>
    <w:rsid w:val="005053AB"/>
    <w:rsid w:val="00505C3A"/>
    <w:rsid w:val="00510198"/>
    <w:rsid w:val="0051337C"/>
    <w:rsid w:val="005176BA"/>
    <w:rsid w:val="00517DB8"/>
    <w:rsid w:val="00523819"/>
    <w:rsid w:val="00524A7E"/>
    <w:rsid w:val="00525360"/>
    <w:rsid w:val="00534CBE"/>
    <w:rsid w:val="005377B9"/>
    <w:rsid w:val="00544BAE"/>
    <w:rsid w:val="00547A87"/>
    <w:rsid w:val="005541A3"/>
    <w:rsid w:val="005563D9"/>
    <w:rsid w:val="005617EA"/>
    <w:rsid w:val="005627B0"/>
    <w:rsid w:val="00565A3D"/>
    <w:rsid w:val="005702BE"/>
    <w:rsid w:val="005706DC"/>
    <w:rsid w:val="00570A3F"/>
    <w:rsid w:val="0057226E"/>
    <w:rsid w:val="0057675A"/>
    <w:rsid w:val="0058189C"/>
    <w:rsid w:val="00581B3D"/>
    <w:rsid w:val="00581DCC"/>
    <w:rsid w:val="00582905"/>
    <w:rsid w:val="005865BB"/>
    <w:rsid w:val="00586A12"/>
    <w:rsid w:val="0059199C"/>
    <w:rsid w:val="005969D9"/>
    <w:rsid w:val="005974E5"/>
    <w:rsid w:val="005979B8"/>
    <w:rsid w:val="005A0283"/>
    <w:rsid w:val="005A2581"/>
    <w:rsid w:val="005A2B5F"/>
    <w:rsid w:val="005A6596"/>
    <w:rsid w:val="005A6F45"/>
    <w:rsid w:val="005A717C"/>
    <w:rsid w:val="005B31A8"/>
    <w:rsid w:val="005C2D31"/>
    <w:rsid w:val="005C4663"/>
    <w:rsid w:val="005C4F60"/>
    <w:rsid w:val="005C6BE3"/>
    <w:rsid w:val="005D1CFC"/>
    <w:rsid w:val="005D3C6B"/>
    <w:rsid w:val="005D5465"/>
    <w:rsid w:val="005E01F7"/>
    <w:rsid w:val="005E355A"/>
    <w:rsid w:val="005E406F"/>
    <w:rsid w:val="005E5C8C"/>
    <w:rsid w:val="005E6787"/>
    <w:rsid w:val="005E6B8D"/>
    <w:rsid w:val="005E7BEE"/>
    <w:rsid w:val="005F3A27"/>
    <w:rsid w:val="005F4922"/>
    <w:rsid w:val="005F5930"/>
    <w:rsid w:val="00600629"/>
    <w:rsid w:val="0060200F"/>
    <w:rsid w:val="006034DD"/>
    <w:rsid w:val="00606374"/>
    <w:rsid w:val="0061037B"/>
    <w:rsid w:val="00610965"/>
    <w:rsid w:val="00612344"/>
    <w:rsid w:val="006129A4"/>
    <w:rsid w:val="006158AA"/>
    <w:rsid w:val="00616052"/>
    <w:rsid w:val="00617410"/>
    <w:rsid w:val="006303CF"/>
    <w:rsid w:val="006307B0"/>
    <w:rsid w:val="00630814"/>
    <w:rsid w:val="00632BCB"/>
    <w:rsid w:val="00637B54"/>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835EF"/>
    <w:rsid w:val="00684C83"/>
    <w:rsid w:val="006869D2"/>
    <w:rsid w:val="00686EF7"/>
    <w:rsid w:val="00687BDA"/>
    <w:rsid w:val="0069321C"/>
    <w:rsid w:val="00693390"/>
    <w:rsid w:val="00694CC8"/>
    <w:rsid w:val="00695AED"/>
    <w:rsid w:val="006A1DD3"/>
    <w:rsid w:val="006A1F3D"/>
    <w:rsid w:val="006A60E4"/>
    <w:rsid w:val="006B3925"/>
    <w:rsid w:val="006B56C3"/>
    <w:rsid w:val="006B686C"/>
    <w:rsid w:val="006C4663"/>
    <w:rsid w:val="006D00D3"/>
    <w:rsid w:val="006D0FB6"/>
    <w:rsid w:val="006D146D"/>
    <w:rsid w:val="006E337A"/>
    <w:rsid w:val="006E77A3"/>
    <w:rsid w:val="006E7900"/>
    <w:rsid w:val="006F025F"/>
    <w:rsid w:val="006F2DF0"/>
    <w:rsid w:val="006F4AFE"/>
    <w:rsid w:val="006F7A53"/>
    <w:rsid w:val="00703547"/>
    <w:rsid w:val="00703C2B"/>
    <w:rsid w:val="00704A38"/>
    <w:rsid w:val="00704FC1"/>
    <w:rsid w:val="00705013"/>
    <w:rsid w:val="0070716A"/>
    <w:rsid w:val="00710CE2"/>
    <w:rsid w:val="00714C71"/>
    <w:rsid w:val="00720B31"/>
    <w:rsid w:val="0072210C"/>
    <w:rsid w:val="007230A3"/>
    <w:rsid w:val="00723A8D"/>
    <w:rsid w:val="0072503B"/>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7AA6"/>
    <w:rsid w:val="00792776"/>
    <w:rsid w:val="00793656"/>
    <w:rsid w:val="00794A8E"/>
    <w:rsid w:val="00795270"/>
    <w:rsid w:val="007A3E4E"/>
    <w:rsid w:val="007A7E33"/>
    <w:rsid w:val="007B222D"/>
    <w:rsid w:val="007B5031"/>
    <w:rsid w:val="007B5FFC"/>
    <w:rsid w:val="007D3AB1"/>
    <w:rsid w:val="007D5D25"/>
    <w:rsid w:val="007E0079"/>
    <w:rsid w:val="007E1D67"/>
    <w:rsid w:val="007E362F"/>
    <w:rsid w:val="007E4D1C"/>
    <w:rsid w:val="007E4E22"/>
    <w:rsid w:val="007E6BB3"/>
    <w:rsid w:val="007F0AC5"/>
    <w:rsid w:val="007F3526"/>
    <w:rsid w:val="007F387A"/>
    <w:rsid w:val="007F397B"/>
    <w:rsid w:val="007F70A4"/>
    <w:rsid w:val="0080587E"/>
    <w:rsid w:val="00811775"/>
    <w:rsid w:val="008138CE"/>
    <w:rsid w:val="00815846"/>
    <w:rsid w:val="008161A8"/>
    <w:rsid w:val="00820149"/>
    <w:rsid w:val="0082256E"/>
    <w:rsid w:val="0082320A"/>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565D"/>
    <w:rsid w:val="008679FC"/>
    <w:rsid w:val="00870BA2"/>
    <w:rsid w:val="00871F55"/>
    <w:rsid w:val="00873107"/>
    <w:rsid w:val="0087682B"/>
    <w:rsid w:val="00877158"/>
    <w:rsid w:val="00883B38"/>
    <w:rsid w:val="008841CE"/>
    <w:rsid w:val="0088496E"/>
    <w:rsid w:val="0088635D"/>
    <w:rsid w:val="008870CA"/>
    <w:rsid w:val="00887109"/>
    <w:rsid w:val="00887614"/>
    <w:rsid w:val="00890E4A"/>
    <w:rsid w:val="00891C81"/>
    <w:rsid w:val="00891E19"/>
    <w:rsid w:val="00892202"/>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17A6"/>
    <w:rsid w:val="00921E87"/>
    <w:rsid w:val="00924969"/>
    <w:rsid w:val="0093024F"/>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3E98"/>
    <w:rsid w:val="009A4420"/>
    <w:rsid w:val="009A4582"/>
    <w:rsid w:val="009B04E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6AAF"/>
    <w:rsid w:val="00A070E0"/>
    <w:rsid w:val="00A073E0"/>
    <w:rsid w:val="00A07496"/>
    <w:rsid w:val="00A16246"/>
    <w:rsid w:val="00A2340D"/>
    <w:rsid w:val="00A23CC3"/>
    <w:rsid w:val="00A25059"/>
    <w:rsid w:val="00A25A75"/>
    <w:rsid w:val="00A311F0"/>
    <w:rsid w:val="00A32953"/>
    <w:rsid w:val="00A36A8E"/>
    <w:rsid w:val="00A456C6"/>
    <w:rsid w:val="00A474D9"/>
    <w:rsid w:val="00A5163B"/>
    <w:rsid w:val="00A56228"/>
    <w:rsid w:val="00A57711"/>
    <w:rsid w:val="00A612C0"/>
    <w:rsid w:val="00A62DAF"/>
    <w:rsid w:val="00A63953"/>
    <w:rsid w:val="00A64D2E"/>
    <w:rsid w:val="00A65A4B"/>
    <w:rsid w:val="00A71726"/>
    <w:rsid w:val="00A744BF"/>
    <w:rsid w:val="00A75436"/>
    <w:rsid w:val="00A76D4A"/>
    <w:rsid w:val="00A81EC8"/>
    <w:rsid w:val="00A82851"/>
    <w:rsid w:val="00A82A0B"/>
    <w:rsid w:val="00A82E6A"/>
    <w:rsid w:val="00A8547B"/>
    <w:rsid w:val="00A86F8F"/>
    <w:rsid w:val="00A90DD1"/>
    <w:rsid w:val="00A9141A"/>
    <w:rsid w:val="00A93B4B"/>
    <w:rsid w:val="00A93DA7"/>
    <w:rsid w:val="00AA01E5"/>
    <w:rsid w:val="00AA0394"/>
    <w:rsid w:val="00AA0DEA"/>
    <w:rsid w:val="00AA1FA6"/>
    <w:rsid w:val="00AA60BB"/>
    <w:rsid w:val="00AB01AB"/>
    <w:rsid w:val="00AB4EDD"/>
    <w:rsid w:val="00AB56C1"/>
    <w:rsid w:val="00AC1862"/>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7266"/>
    <w:rsid w:val="00B07AE6"/>
    <w:rsid w:val="00B07E95"/>
    <w:rsid w:val="00B10E49"/>
    <w:rsid w:val="00B17F1D"/>
    <w:rsid w:val="00B205DC"/>
    <w:rsid w:val="00B21ED7"/>
    <w:rsid w:val="00B310C4"/>
    <w:rsid w:val="00B31373"/>
    <w:rsid w:val="00B334C9"/>
    <w:rsid w:val="00B35133"/>
    <w:rsid w:val="00B402DC"/>
    <w:rsid w:val="00B43D3A"/>
    <w:rsid w:val="00B45371"/>
    <w:rsid w:val="00B456F0"/>
    <w:rsid w:val="00B47F08"/>
    <w:rsid w:val="00B54680"/>
    <w:rsid w:val="00B5525E"/>
    <w:rsid w:val="00B6120E"/>
    <w:rsid w:val="00B63653"/>
    <w:rsid w:val="00B6542A"/>
    <w:rsid w:val="00B67478"/>
    <w:rsid w:val="00B76C22"/>
    <w:rsid w:val="00B7792E"/>
    <w:rsid w:val="00B85136"/>
    <w:rsid w:val="00B904AC"/>
    <w:rsid w:val="00B90D7C"/>
    <w:rsid w:val="00B94310"/>
    <w:rsid w:val="00B95257"/>
    <w:rsid w:val="00B9573B"/>
    <w:rsid w:val="00B96A56"/>
    <w:rsid w:val="00BA3D39"/>
    <w:rsid w:val="00BA4C01"/>
    <w:rsid w:val="00BA52E2"/>
    <w:rsid w:val="00BA74BE"/>
    <w:rsid w:val="00BB0639"/>
    <w:rsid w:val="00BB1412"/>
    <w:rsid w:val="00BB3FA7"/>
    <w:rsid w:val="00BB45D8"/>
    <w:rsid w:val="00BB5FAF"/>
    <w:rsid w:val="00BC2409"/>
    <w:rsid w:val="00BC2536"/>
    <w:rsid w:val="00BC5810"/>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3039"/>
    <w:rsid w:val="00C23A71"/>
    <w:rsid w:val="00C2496C"/>
    <w:rsid w:val="00C24986"/>
    <w:rsid w:val="00C25D6B"/>
    <w:rsid w:val="00C26336"/>
    <w:rsid w:val="00C26A49"/>
    <w:rsid w:val="00C310A5"/>
    <w:rsid w:val="00C317BE"/>
    <w:rsid w:val="00C31D07"/>
    <w:rsid w:val="00C347E4"/>
    <w:rsid w:val="00C37031"/>
    <w:rsid w:val="00C4023D"/>
    <w:rsid w:val="00C43FB8"/>
    <w:rsid w:val="00C541AA"/>
    <w:rsid w:val="00C54FC1"/>
    <w:rsid w:val="00C551AD"/>
    <w:rsid w:val="00C57DAD"/>
    <w:rsid w:val="00C60745"/>
    <w:rsid w:val="00C62521"/>
    <w:rsid w:val="00C62761"/>
    <w:rsid w:val="00C64E0E"/>
    <w:rsid w:val="00C64EC5"/>
    <w:rsid w:val="00C703CC"/>
    <w:rsid w:val="00C7171B"/>
    <w:rsid w:val="00C71D8F"/>
    <w:rsid w:val="00C71ED4"/>
    <w:rsid w:val="00C74ED9"/>
    <w:rsid w:val="00C762CC"/>
    <w:rsid w:val="00C7709D"/>
    <w:rsid w:val="00C80199"/>
    <w:rsid w:val="00C80865"/>
    <w:rsid w:val="00C8182C"/>
    <w:rsid w:val="00C82469"/>
    <w:rsid w:val="00C8288D"/>
    <w:rsid w:val="00C840A2"/>
    <w:rsid w:val="00C874D5"/>
    <w:rsid w:val="00C902EB"/>
    <w:rsid w:val="00C943AE"/>
    <w:rsid w:val="00C9537D"/>
    <w:rsid w:val="00C9708F"/>
    <w:rsid w:val="00CA0EE7"/>
    <w:rsid w:val="00CA10C1"/>
    <w:rsid w:val="00CA1996"/>
    <w:rsid w:val="00CA3C25"/>
    <w:rsid w:val="00CA4E53"/>
    <w:rsid w:val="00CA55D0"/>
    <w:rsid w:val="00CA7B56"/>
    <w:rsid w:val="00CB16AF"/>
    <w:rsid w:val="00CB27EA"/>
    <w:rsid w:val="00CB69D0"/>
    <w:rsid w:val="00CC02A3"/>
    <w:rsid w:val="00CC404F"/>
    <w:rsid w:val="00CC798E"/>
    <w:rsid w:val="00CC7E82"/>
    <w:rsid w:val="00CD19D2"/>
    <w:rsid w:val="00CD4716"/>
    <w:rsid w:val="00CD49B9"/>
    <w:rsid w:val="00CD53FE"/>
    <w:rsid w:val="00CE4F6D"/>
    <w:rsid w:val="00CE6BAF"/>
    <w:rsid w:val="00CE71CB"/>
    <w:rsid w:val="00CE773C"/>
    <w:rsid w:val="00CF1AD4"/>
    <w:rsid w:val="00D01849"/>
    <w:rsid w:val="00D020D3"/>
    <w:rsid w:val="00D04EF6"/>
    <w:rsid w:val="00D1104A"/>
    <w:rsid w:val="00D1161B"/>
    <w:rsid w:val="00D140CA"/>
    <w:rsid w:val="00D175DF"/>
    <w:rsid w:val="00D20F14"/>
    <w:rsid w:val="00D21751"/>
    <w:rsid w:val="00D240C9"/>
    <w:rsid w:val="00D317A8"/>
    <w:rsid w:val="00D32316"/>
    <w:rsid w:val="00D32F07"/>
    <w:rsid w:val="00D364DC"/>
    <w:rsid w:val="00D402B7"/>
    <w:rsid w:val="00D42A15"/>
    <w:rsid w:val="00D43695"/>
    <w:rsid w:val="00D44F77"/>
    <w:rsid w:val="00D4704F"/>
    <w:rsid w:val="00D52E6C"/>
    <w:rsid w:val="00D54A5D"/>
    <w:rsid w:val="00D54FA4"/>
    <w:rsid w:val="00D56654"/>
    <w:rsid w:val="00D60350"/>
    <w:rsid w:val="00D60C42"/>
    <w:rsid w:val="00D60F78"/>
    <w:rsid w:val="00D62954"/>
    <w:rsid w:val="00D6300C"/>
    <w:rsid w:val="00D64DD8"/>
    <w:rsid w:val="00D654B6"/>
    <w:rsid w:val="00D70802"/>
    <w:rsid w:val="00D71586"/>
    <w:rsid w:val="00D80A25"/>
    <w:rsid w:val="00D813AF"/>
    <w:rsid w:val="00D820A4"/>
    <w:rsid w:val="00D83B7F"/>
    <w:rsid w:val="00D83C6F"/>
    <w:rsid w:val="00D8617E"/>
    <w:rsid w:val="00D90182"/>
    <w:rsid w:val="00D92794"/>
    <w:rsid w:val="00D933FE"/>
    <w:rsid w:val="00D95A22"/>
    <w:rsid w:val="00D96DE0"/>
    <w:rsid w:val="00DA120A"/>
    <w:rsid w:val="00DA6628"/>
    <w:rsid w:val="00DA6915"/>
    <w:rsid w:val="00DA6B13"/>
    <w:rsid w:val="00DA7079"/>
    <w:rsid w:val="00DB164E"/>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B5F"/>
    <w:rsid w:val="00DF3188"/>
    <w:rsid w:val="00DF4623"/>
    <w:rsid w:val="00DF5C80"/>
    <w:rsid w:val="00DF621D"/>
    <w:rsid w:val="00E0005D"/>
    <w:rsid w:val="00E00869"/>
    <w:rsid w:val="00E05C8A"/>
    <w:rsid w:val="00E10778"/>
    <w:rsid w:val="00E107BA"/>
    <w:rsid w:val="00E10D62"/>
    <w:rsid w:val="00E122C9"/>
    <w:rsid w:val="00E1429E"/>
    <w:rsid w:val="00E15246"/>
    <w:rsid w:val="00E165B2"/>
    <w:rsid w:val="00E204F9"/>
    <w:rsid w:val="00E27B7B"/>
    <w:rsid w:val="00E300EC"/>
    <w:rsid w:val="00E31ACB"/>
    <w:rsid w:val="00E32BB3"/>
    <w:rsid w:val="00E36A14"/>
    <w:rsid w:val="00E404D0"/>
    <w:rsid w:val="00E4452E"/>
    <w:rsid w:val="00E4470A"/>
    <w:rsid w:val="00E50F9E"/>
    <w:rsid w:val="00E527D8"/>
    <w:rsid w:val="00E531F1"/>
    <w:rsid w:val="00E5332B"/>
    <w:rsid w:val="00E56826"/>
    <w:rsid w:val="00E5799E"/>
    <w:rsid w:val="00E610FD"/>
    <w:rsid w:val="00E64D75"/>
    <w:rsid w:val="00E65278"/>
    <w:rsid w:val="00E659ED"/>
    <w:rsid w:val="00E66EC1"/>
    <w:rsid w:val="00E75283"/>
    <w:rsid w:val="00E76189"/>
    <w:rsid w:val="00E76AC7"/>
    <w:rsid w:val="00E77D0C"/>
    <w:rsid w:val="00E80D76"/>
    <w:rsid w:val="00E834F6"/>
    <w:rsid w:val="00E85E6D"/>
    <w:rsid w:val="00E93981"/>
    <w:rsid w:val="00EA20FA"/>
    <w:rsid w:val="00EA26CC"/>
    <w:rsid w:val="00EA28A3"/>
    <w:rsid w:val="00EA33FA"/>
    <w:rsid w:val="00EA49F5"/>
    <w:rsid w:val="00EA79FF"/>
    <w:rsid w:val="00EB059F"/>
    <w:rsid w:val="00EB0758"/>
    <w:rsid w:val="00EB251D"/>
    <w:rsid w:val="00EB33AA"/>
    <w:rsid w:val="00EB3DB0"/>
    <w:rsid w:val="00EB676C"/>
    <w:rsid w:val="00EB6771"/>
    <w:rsid w:val="00EC549F"/>
    <w:rsid w:val="00ED1828"/>
    <w:rsid w:val="00ED549D"/>
    <w:rsid w:val="00ED5E30"/>
    <w:rsid w:val="00ED5F31"/>
    <w:rsid w:val="00EE025F"/>
    <w:rsid w:val="00EE3609"/>
    <w:rsid w:val="00EE50CD"/>
    <w:rsid w:val="00EE643B"/>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40914"/>
    <w:rsid w:val="00F44D54"/>
    <w:rsid w:val="00F4794D"/>
    <w:rsid w:val="00F47FB4"/>
    <w:rsid w:val="00F54FB7"/>
    <w:rsid w:val="00F55249"/>
    <w:rsid w:val="00F573BB"/>
    <w:rsid w:val="00F57829"/>
    <w:rsid w:val="00F67150"/>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C0A55"/>
    <w:rsid w:val="00FC2C22"/>
    <w:rsid w:val="00FC2C5D"/>
    <w:rsid w:val="00FC2E96"/>
    <w:rsid w:val="00FC4C22"/>
    <w:rsid w:val="00FD2223"/>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ve_periodico_oficia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nicolasromero.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1A6CC-E29C-48C0-985E-B5C6DF24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73</Pages>
  <Words>12805</Words>
  <Characters>70429</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2018-10-26T01:30:00Z</cp:lastPrinted>
  <dcterms:created xsi:type="dcterms:W3CDTF">2019-10-18T18:22:00Z</dcterms:created>
  <dcterms:modified xsi:type="dcterms:W3CDTF">2020-01-14T22:59:00Z</dcterms:modified>
</cp:coreProperties>
</file>