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D4" w:rsidRPr="008B1544" w:rsidRDefault="00002DD4" w:rsidP="008B1544">
      <w:pPr>
        <w:spacing w:after="0" w:line="360" w:lineRule="auto"/>
        <w:rPr>
          <w:rFonts w:ascii="Palatino Linotype" w:eastAsia="MS Mincho" w:hAnsi="Palatino Linotype" w:cs="Times New Roman"/>
          <w:b/>
          <w:sz w:val="24"/>
          <w:szCs w:val="24"/>
          <w:lang w:val="es-ES_tradnl" w:eastAsia="es-ES"/>
        </w:rPr>
      </w:pPr>
    </w:p>
    <w:p w:rsidR="00A612C0" w:rsidRDefault="00792776" w:rsidP="008B1544">
      <w:pPr>
        <w:spacing w:after="0" w:line="360" w:lineRule="auto"/>
        <w:jc w:val="center"/>
        <w:rPr>
          <w:rFonts w:ascii="Palatino Linotype" w:eastAsia="MS Mincho" w:hAnsi="Palatino Linotype" w:cs="Times New Roman"/>
          <w:b/>
          <w:sz w:val="24"/>
          <w:szCs w:val="24"/>
          <w:lang w:val="es-ES_tradnl" w:eastAsia="es-ES"/>
        </w:rPr>
      </w:pPr>
      <w:r w:rsidRPr="008B1544">
        <w:rPr>
          <w:rFonts w:ascii="Palatino Linotype" w:eastAsia="MS Mincho" w:hAnsi="Palatino Linotype" w:cs="Times New Roman"/>
          <w:b/>
          <w:sz w:val="24"/>
          <w:szCs w:val="24"/>
          <w:lang w:val="es-ES_tradnl" w:eastAsia="es-ES"/>
        </w:rPr>
        <w:t>LÍNEAS ARGUMENTATIVAS.</w:t>
      </w:r>
    </w:p>
    <w:p w:rsidR="008B1544" w:rsidRPr="008B1544" w:rsidRDefault="008B1544" w:rsidP="008B1544">
      <w:pPr>
        <w:spacing w:after="0" w:line="360" w:lineRule="auto"/>
        <w:jc w:val="center"/>
        <w:rPr>
          <w:rFonts w:ascii="Palatino Linotype" w:eastAsia="MS Mincho" w:hAnsi="Palatino Linotype" w:cs="Times New Roman"/>
          <w:b/>
          <w:sz w:val="12"/>
          <w:szCs w:val="24"/>
          <w:lang w:val="es-ES_tradnl" w:eastAsia="es-ES"/>
        </w:rPr>
      </w:pPr>
    </w:p>
    <w:p w:rsidR="00B85136" w:rsidRPr="008B1544" w:rsidRDefault="00202E6A" w:rsidP="008B1544">
      <w:pPr>
        <w:spacing w:after="0" w:line="360" w:lineRule="auto"/>
        <w:jc w:val="both"/>
        <w:rPr>
          <w:rFonts w:ascii="Palatino Linotype" w:eastAsia="Arial Unicode MS" w:hAnsi="Palatino Linotype" w:cs="Arial"/>
          <w:sz w:val="24"/>
          <w:szCs w:val="24"/>
          <w:lang w:val="es-ES_tradnl" w:eastAsia="es-ES"/>
        </w:rPr>
      </w:pPr>
      <w:r w:rsidRPr="008B1544">
        <w:rPr>
          <w:rFonts w:ascii="Palatino Linotype" w:eastAsia="Arial Unicode MS" w:hAnsi="Palatino Linotype" w:cs="Arial"/>
          <w:b/>
          <w:sz w:val="24"/>
          <w:szCs w:val="24"/>
          <w:lang w:val="es-ES_tradnl" w:eastAsia="es-ES"/>
        </w:rPr>
        <w:t>DEBERES DE LAS AUTORIDADES</w:t>
      </w:r>
      <w:r w:rsidRPr="008B1544">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8B1544">
        <w:rPr>
          <w:rFonts w:ascii="Palatino Linotype" w:eastAsia="Arial Unicode MS" w:hAnsi="Palatino Linotype" w:cs="Arial"/>
          <w:sz w:val="24"/>
          <w:szCs w:val="24"/>
          <w:lang w:val="es-ES_tradnl" w:eastAsia="es-ES"/>
        </w:rPr>
        <w:t>. T</w:t>
      </w:r>
      <w:r w:rsidRPr="008B1544">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B85136" w:rsidRPr="008B1544" w:rsidRDefault="00B85136" w:rsidP="008B1544">
      <w:pPr>
        <w:spacing w:after="0" w:line="360" w:lineRule="auto"/>
        <w:jc w:val="both"/>
        <w:rPr>
          <w:rFonts w:ascii="Palatino Linotype" w:eastAsia="Arial Unicode MS" w:hAnsi="Palatino Linotype" w:cs="Arial"/>
          <w:sz w:val="24"/>
          <w:szCs w:val="24"/>
          <w:lang w:val="es-ES_tradnl" w:eastAsia="es-ES"/>
        </w:rPr>
      </w:pPr>
    </w:p>
    <w:p w:rsidR="00A612C0" w:rsidRPr="008B1544" w:rsidRDefault="00B85136" w:rsidP="008B1544">
      <w:pPr>
        <w:spacing w:after="0" w:line="360" w:lineRule="auto"/>
        <w:jc w:val="both"/>
        <w:rPr>
          <w:rFonts w:ascii="Palatino Linotype" w:eastAsia="Arial Unicode MS" w:hAnsi="Palatino Linotype" w:cs="Arial"/>
          <w:sz w:val="24"/>
          <w:szCs w:val="24"/>
          <w:lang w:val="es-ES_tradnl" w:eastAsia="es-ES"/>
        </w:rPr>
      </w:pPr>
      <w:r w:rsidRPr="008B1544">
        <w:rPr>
          <w:rFonts w:ascii="Palatino Linotype" w:eastAsia="Arial Unicode MS" w:hAnsi="Palatino Linotype" w:cs="Arial"/>
          <w:b/>
          <w:sz w:val="24"/>
          <w:szCs w:val="24"/>
          <w:lang w:val="es-ES_tradnl" w:eastAsia="es-ES"/>
        </w:rPr>
        <w:t xml:space="preserve">DERECHO DE ACCESO A LA INFORMACIÓN PÚBLICA. </w:t>
      </w:r>
      <w:r w:rsidRPr="008B1544">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A612C0" w:rsidRPr="008B1544" w:rsidRDefault="00A612C0" w:rsidP="008B1544">
      <w:pPr>
        <w:spacing w:after="0" w:line="360" w:lineRule="auto"/>
        <w:jc w:val="both"/>
        <w:rPr>
          <w:rFonts w:ascii="Palatino Linotype" w:eastAsia="Times New Roman" w:hAnsi="Palatino Linotype" w:cs="Arial"/>
          <w:color w:val="000000"/>
          <w:sz w:val="24"/>
          <w:szCs w:val="24"/>
          <w:lang w:val="es-ES" w:eastAsia="es-MX"/>
        </w:rPr>
      </w:pPr>
    </w:p>
    <w:p w:rsidR="00202E6A" w:rsidRPr="008B1544" w:rsidRDefault="00202E6A" w:rsidP="008B1544">
      <w:pPr>
        <w:spacing w:after="0" w:line="360" w:lineRule="auto"/>
        <w:jc w:val="both"/>
        <w:rPr>
          <w:rFonts w:ascii="Palatino Linotype" w:eastAsia="Calibri" w:hAnsi="Palatino Linotype" w:cs="Times New Roman"/>
          <w:sz w:val="24"/>
          <w:szCs w:val="24"/>
          <w:lang w:val="es-ES_tradnl" w:eastAsia="es-ES"/>
        </w:rPr>
      </w:pPr>
      <w:r w:rsidRPr="008B1544">
        <w:rPr>
          <w:rFonts w:ascii="Palatino Linotype" w:eastAsia="Calibri" w:hAnsi="Palatino Linotype" w:cs="Times New Roman"/>
          <w:b/>
          <w:sz w:val="24"/>
          <w:szCs w:val="24"/>
          <w:lang w:val="es-ES_tradnl" w:eastAsia="es-ES"/>
        </w:rPr>
        <w:t>DE LA GARANTÍA DE PROPORCIONAR LA INFORMACIÓN PÚBLICA GUBERNAMENTAL.</w:t>
      </w:r>
      <w:r w:rsidRPr="008B1544">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E10F8" w:rsidRPr="008B1544" w:rsidRDefault="008E10F8" w:rsidP="008B1544">
      <w:pPr>
        <w:spacing w:after="0" w:line="360" w:lineRule="auto"/>
        <w:jc w:val="both"/>
        <w:rPr>
          <w:rFonts w:ascii="Palatino Linotype" w:eastAsia="Calibri" w:hAnsi="Palatino Linotype" w:cs="Times New Roman"/>
          <w:sz w:val="24"/>
          <w:szCs w:val="24"/>
          <w:lang w:val="es-ES_tradnl" w:eastAsia="es-ES"/>
        </w:rPr>
      </w:pPr>
    </w:p>
    <w:p w:rsidR="00202E6A" w:rsidRPr="008B1544" w:rsidRDefault="0049799F" w:rsidP="008B1544">
      <w:pPr>
        <w:spacing w:before="240" w:after="240" w:line="360" w:lineRule="auto"/>
        <w:contextualSpacing/>
        <w:jc w:val="both"/>
        <w:rPr>
          <w:rFonts w:ascii="Palatino Linotype" w:eastAsia="Times New Roman" w:hAnsi="Palatino Linotype" w:cs="Arial"/>
          <w:color w:val="000000"/>
          <w:sz w:val="24"/>
          <w:szCs w:val="24"/>
        </w:rPr>
      </w:pPr>
      <w:r w:rsidRPr="008B1544">
        <w:rPr>
          <w:rFonts w:ascii="Palatino Linotype" w:eastAsia="MS Mincho" w:hAnsi="Palatino Linotype" w:cs="Times New Roman"/>
          <w:b/>
          <w:sz w:val="24"/>
          <w:szCs w:val="24"/>
        </w:rPr>
        <w:t>PRORROGAS INDEBIDAS</w:t>
      </w:r>
      <w:r w:rsidRPr="008B1544">
        <w:rPr>
          <w:rFonts w:ascii="Palatino Linotype" w:eastAsia="MS Mincho" w:hAnsi="Palatino Linotype" w:cs="Times New Roman"/>
          <w:sz w:val="24"/>
          <w:szCs w:val="24"/>
        </w:rPr>
        <w:t xml:space="preserve">. </w:t>
      </w:r>
      <w:r w:rsidRPr="008B1544">
        <w:rPr>
          <w:rFonts w:ascii="Palatino Linotype" w:eastAsia="Times New Roman" w:hAnsi="Palatino Linotype" w:cs="Arial"/>
          <w:color w:val="000000"/>
          <w:sz w:val="24"/>
          <w:szCs w:val="24"/>
        </w:rPr>
        <w:t xml:space="preserve">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 </w:t>
      </w:r>
    </w:p>
    <w:p w:rsidR="00792776" w:rsidRPr="008B1544" w:rsidRDefault="00E13049" w:rsidP="008B1544">
      <w:pPr>
        <w:spacing w:after="0" w:line="360" w:lineRule="auto"/>
        <w:jc w:val="center"/>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b/>
          <w:sz w:val="24"/>
          <w:szCs w:val="24"/>
          <w:lang w:val="es-ES_tradnl" w:eastAsia="es-ES"/>
        </w:rPr>
        <w:lastRenderedPageBreak/>
        <w:t>ÍNDICE</w:t>
      </w:r>
      <w:r w:rsidRPr="008B1544">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8B1544" w:rsidRPr="008B1544" w:rsidRDefault="00B85136" w:rsidP="008B1544">
          <w:pPr>
            <w:pStyle w:val="TtulodeTDC"/>
            <w:spacing w:line="360" w:lineRule="auto"/>
            <w:rPr>
              <w:rFonts w:ascii="Palatino Linotype" w:hAnsi="Palatino Linotype"/>
              <w:b/>
              <w:noProof/>
              <w:color w:val="000000" w:themeColor="text1"/>
              <w:sz w:val="24"/>
              <w:szCs w:val="24"/>
            </w:rPr>
          </w:pPr>
          <w:r w:rsidRPr="008B1544">
            <w:rPr>
              <w:rFonts w:ascii="Palatino Linotype" w:hAnsi="Palatino Linotype"/>
              <w:b/>
              <w:bCs/>
              <w:sz w:val="24"/>
              <w:szCs w:val="24"/>
              <w:lang w:val="es-ES"/>
            </w:rPr>
            <w:fldChar w:fldCharType="begin"/>
          </w:r>
          <w:r w:rsidRPr="008B1544">
            <w:rPr>
              <w:rFonts w:ascii="Palatino Linotype" w:hAnsi="Palatino Linotype"/>
              <w:b/>
              <w:bCs/>
              <w:sz w:val="24"/>
              <w:szCs w:val="24"/>
              <w:lang w:val="es-ES"/>
            </w:rPr>
            <w:instrText xml:space="preserve"> TOC \o "1-3" \h \z \u </w:instrText>
          </w:r>
          <w:r w:rsidRPr="008B1544">
            <w:rPr>
              <w:rFonts w:ascii="Palatino Linotype" w:hAnsi="Palatino Linotype"/>
              <w:b/>
              <w:bCs/>
              <w:sz w:val="24"/>
              <w:szCs w:val="24"/>
              <w:lang w:val="es-ES"/>
            </w:rPr>
            <w:fldChar w:fldCharType="separate"/>
          </w:r>
          <w:hyperlink w:anchor="_Toc5788023" w:history="1">
            <w:r w:rsidR="00C11C6E" w:rsidRPr="008B1544">
              <w:rPr>
                <w:rStyle w:val="Hipervnculo"/>
                <w:rFonts w:ascii="Palatino Linotype" w:eastAsia="MS Gothic" w:hAnsi="Palatino Linotype" w:cs="Times New Roman"/>
                <w:b/>
                <w:noProof/>
                <w:color w:val="000000" w:themeColor="text1"/>
                <w:sz w:val="24"/>
                <w:szCs w:val="24"/>
              </w:rPr>
              <w:t>A N T E C E D E N T E S</w:t>
            </w:r>
            <w:r w:rsidR="00C11C6E" w:rsidRPr="008B1544">
              <w:rPr>
                <w:rFonts w:ascii="Palatino Linotype" w:hAnsi="Palatino Linotype"/>
                <w:b/>
                <w:noProof/>
                <w:webHidden/>
                <w:color w:val="000000" w:themeColor="text1"/>
                <w:sz w:val="24"/>
                <w:szCs w:val="24"/>
              </w:rPr>
              <w:tab/>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24" w:history="1">
            <w:r w:rsidR="00C11C6E" w:rsidRPr="008B1544">
              <w:rPr>
                <w:rStyle w:val="Hipervnculo"/>
                <w:rFonts w:ascii="Palatino Linotype" w:eastAsia="MS Gothic" w:hAnsi="Palatino Linotype" w:cs="Times New Roman"/>
                <w:b/>
                <w:noProof/>
                <w:sz w:val="24"/>
                <w:szCs w:val="24"/>
              </w:rPr>
              <w:t>CONSIDERANDO</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_Toc5788024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9</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25" w:history="1">
            <w:r w:rsidR="00C11C6E" w:rsidRPr="008B1544">
              <w:rPr>
                <w:rStyle w:val="Hipervnculo"/>
                <w:rFonts w:ascii="Palatino Linotype" w:eastAsia="MS Mincho" w:hAnsi="Palatino Linotype" w:cstheme="majorBidi"/>
                <w:b/>
                <w:noProof/>
                <w:sz w:val="24"/>
                <w:szCs w:val="24"/>
                <w:lang w:val="es-ES_tradnl" w:eastAsia="es-ES"/>
              </w:rPr>
              <w:t>PRIMERO</w:t>
            </w:r>
            <w:r w:rsidR="00C11C6E" w:rsidRPr="008B1544">
              <w:rPr>
                <w:rStyle w:val="Hipervnculo"/>
                <w:rFonts w:ascii="Palatino Linotype" w:eastAsia="MS Gothic" w:hAnsi="Palatino Linotype" w:cs="Times New Roman"/>
                <w:b/>
                <w:noProof/>
                <w:sz w:val="24"/>
                <w:szCs w:val="24"/>
              </w:rPr>
              <w:t>. De la competencia.</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_Toc5788025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9</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26" w:history="1">
            <w:r w:rsidR="00C11C6E" w:rsidRPr="008B1544">
              <w:rPr>
                <w:rStyle w:val="Hipervnculo"/>
                <w:rFonts w:ascii="Palatino Linotype" w:eastAsia="MS Mincho" w:hAnsi="Palatino Linotype" w:cstheme="majorBidi"/>
                <w:b/>
                <w:noProof/>
                <w:sz w:val="24"/>
                <w:szCs w:val="24"/>
                <w:lang w:val="es-ES_tradnl" w:eastAsia="es-ES"/>
              </w:rPr>
              <w:t>SEGUNDO</w:t>
            </w:r>
            <w:r w:rsidR="00C11C6E" w:rsidRPr="008B1544">
              <w:rPr>
                <w:rStyle w:val="Hipervnculo"/>
                <w:rFonts w:ascii="Palatino Linotype" w:eastAsia="MS Gothic" w:hAnsi="Palatino Linotype" w:cs="Times New Roman"/>
                <w:b/>
                <w:noProof/>
                <w:sz w:val="24"/>
                <w:szCs w:val="24"/>
              </w:rPr>
              <w:t>. De la oportunidad y procedibilidad del recurso de revisión.</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_Toc5788026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9</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27" w:history="1">
            <w:r w:rsidR="00C11C6E" w:rsidRPr="008B1544">
              <w:rPr>
                <w:rStyle w:val="Hipervnculo"/>
                <w:rFonts w:ascii="Palatino Linotype" w:eastAsia="MS Mincho" w:hAnsi="Palatino Linotype" w:cstheme="majorBidi"/>
                <w:b/>
                <w:noProof/>
                <w:sz w:val="24"/>
                <w:szCs w:val="24"/>
                <w:lang w:val="es-ES_tradnl" w:eastAsia="es-ES"/>
              </w:rPr>
              <w:t>TERCERO.</w:t>
            </w:r>
            <w:r w:rsidR="00C11C6E" w:rsidRPr="008B1544">
              <w:rPr>
                <w:rStyle w:val="Hipervnculo"/>
                <w:rFonts w:ascii="Palatino Linotype" w:eastAsia="MS Gothic" w:hAnsi="Palatino Linotype" w:cs="Times New Roman"/>
                <w:b/>
                <w:noProof/>
                <w:sz w:val="24"/>
                <w:szCs w:val="24"/>
              </w:rPr>
              <w:t xml:space="preserve"> </w:t>
            </w:r>
            <w:r w:rsidR="00C11C6E" w:rsidRPr="008B1544">
              <w:rPr>
                <w:rStyle w:val="Hipervnculo"/>
                <w:rFonts w:ascii="Palatino Linotype" w:eastAsia="MS Mincho" w:hAnsi="Palatino Linotype" w:cstheme="majorBidi"/>
                <w:b/>
                <w:noProof/>
                <w:sz w:val="24"/>
                <w:szCs w:val="24"/>
                <w:lang w:val="es-ES_tradnl" w:eastAsia="es-ES"/>
              </w:rPr>
              <w:t>Del planteamiento de la litis.</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_Toc5788027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10</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28" w:history="1">
            <w:r w:rsidR="00C11C6E" w:rsidRPr="008B1544">
              <w:rPr>
                <w:rStyle w:val="Hipervnculo"/>
                <w:rFonts w:ascii="Palatino Linotype" w:eastAsia="MS Gothic" w:hAnsi="Palatino Linotype" w:cs="Times New Roman"/>
                <w:b/>
                <w:noProof/>
                <w:sz w:val="24"/>
                <w:szCs w:val="24"/>
              </w:rPr>
              <w:t>QUINTO. Del estudio y resolución del asunto.</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_Toc5788028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11</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2"/>
            <w:tabs>
              <w:tab w:val="right" w:leader="dot" w:pos="8779"/>
            </w:tabs>
            <w:spacing w:line="360" w:lineRule="auto"/>
            <w:ind w:left="0"/>
            <w:rPr>
              <w:rFonts w:ascii="Palatino Linotype" w:eastAsiaTheme="minorEastAsia" w:hAnsi="Palatino Linotype"/>
              <w:b/>
              <w:noProof/>
              <w:sz w:val="24"/>
              <w:szCs w:val="24"/>
              <w:lang w:eastAsia="es-MX"/>
            </w:rPr>
          </w:pPr>
          <w:hyperlink w:anchor="_Toc5788029" w:history="1">
            <w:r w:rsidR="00C11C6E" w:rsidRPr="008B1544">
              <w:rPr>
                <w:rStyle w:val="Hipervnculo"/>
                <w:rFonts w:ascii="Palatino Linotype" w:hAnsi="Palatino Linotype"/>
                <w:b/>
                <w:noProof/>
                <w:sz w:val="24"/>
                <w:szCs w:val="24"/>
              </w:rPr>
              <w:t>I. Del deber de las autoridades de promover, respetar, proteger, y garantizar el derecho de acceso a la información pública.</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_Toc5788029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13</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30" w:history="1">
            <w:r w:rsidR="00C11C6E" w:rsidRPr="008B1544">
              <w:rPr>
                <w:rStyle w:val="Hipervnculo"/>
                <w:rFonts w:ascii="Palatino Linotype" w:eastAsia="MS Mincho" w:hAnsi="Palatino Linotype"/>
                <w:b/>
                <w:noProof/>
                <w:sz w:val="24"/>
                <w:szCs w:val="24"/>
              </w:rPr>
              <w:t>II. De la información puesta a disposición.</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_Toc5788030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16</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31" w:history="1">
            <w:r w:rsidR="00C11C6E" w:rsidRPr="008B1544">
              <w:rPr>
                <w:rStyle w:val="Hipervnculo"/>
                <w:rFonts w:ascii="Palatino Linotype" w:eastAsia="MS Mincho" w:hAnsi="Palatino Linotype"/>
                <w:b/>
                <w:noProof/>
                <w:sz w:val="24"/>
                <w:szCs w:val="24"/>
                <w:lang w:val="es-ES_tradnl" w:eastAsia="es-ES"/>
              </w:rPr>
              <w:t>QUINTO. De la Versión Pública.</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_Toc5788031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34</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32" w:history="1">
            <w:r w:rsidR="00C11C6E" w:rsidRPr="008B1544">
              <w:rPr>
                <w:rStyle w:val="Hipervnculo"/>
                <w:rFonts w:ascii="Palatino Linotype" w:eastAsia="MS Mincho" w:hAnsi="Palatino Linotype"/>
                <w:b/>
                <w:noProof/>
                <w:sz w:val="24"/>
                <w:szCs w:val="24"/>
                <w:lang w:eastAsia="es-ES"/>
              </w:rPr>
              <w:t>I. Requisitos previos.</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_Toc5788032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36</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33" w:history="1">
            <w:r w:rsidR="00C11C6E" w:rsidRPr="008B1544">
              <w:rPr>
                <w:rStyle w:val="Hipervnculo"/>
                <w:rFonts w:ascii="Palatino Linotype" w:eastAsia="MS Mincho" w:hAnsi="Palatino Linotype"/>
                <w:b/>
                <w:noProof/>
                <w:sz w:val="24"/>
                <w:szCs w:val="24"/>
                <w:lang w:eastAsia="es-ES"/>
              </w:rPr>
              <w:t>II. Supuestos de clasificación</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_Toc5788033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38</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34" w:history="1">
            <w:r w:rsidR="00C11C6E" w:rsidRPr="008B1544">
              <w:rPr>
                <w:rStyle w:val="Hipervnculo"/>
                <w:rFonts w:ascii="Palatino Linotype" w:eastAsia="MS Mincho" w:hAnsi="Palatino Linotype"/>
                <w:b/>
                <w:noProof/>
                <w:sz w:val="24"/>
                <w:szCs w:val="24"/>
                <w:lang w:eastAsia="es-ES"/>
              </w:rPr>
              <w:t>III. Formalidades para emitir el acuerdo de clasificación.</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_Toc5788034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40</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35" w:history="1">
            <w:r w:rsidR="00C11C6E" w:rsidRPr="008B1544">
              <w:rPr>
                <w:rStyle w:val="Hipervnculo"/>
                <w:rFonts w:ascii="Palatino Linotype" w:eastAsia="MS Mincho" w:hAnsi="Palatino Linotype"/>
                <w:b/>
                <w:noProof/>
                <w:sz w:val="24"/>
                <w:szCs w:val="24"/>
                <w:lang w:eastAsia="es-ES"/>
              </w:rPr>
              <w:t>IV. Requisitos de fondo del acuerdo de clasificación.</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_Toc5788035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41</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36" w:history="1">
            <w:r w:rsidR="00C11C6E" w:rsidRPr="008B1544">
              <w:rPr>
                <w:rStyle w:val="Hipervnculo"/>
                <w:rFonts w:ascii="Palatino Linotype" w:eastAsia="MS Mincho" w:hAnsi="Palatino Linotype"/>
                <w:b/>
                <w:noProof/>
                <w:sz w:val="24"/>
                <w:szCs w:val="24"/>
                <w:lang w:eastAsia="es-ES"/>
              </w:rPr>
              <w:t>V. Condiciones especiales de la clasificación de la información como confidencial.</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_Toc5788036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46</w:t>
            </w:r>
            <w:r w:rsidR="00C11C6E" w:rsidRPr="008B1544">
              <w:rPr>
                <w:rFonts w:ascii="Palatino Linotype" w:hAnsi="Palatino Linotype"/>
                <w:b/>
                <w:noProof/>
                <w:webHidden/>
                <w:sz w:val="24"/>
                <w:szCs w:val="24"/>
              </w:rPr>
              <w:fldChar w:fldCharType="end"/>
            </w:r>
          </w:hyperlink>
        </w:p>
        <w:p w:rsidR="00C11C6E" w:rsidRPr="008B1544" w:rsidRDefault="004F0F88" w:rsidP="008B1544">
          <w:pPr>
            <w:pStyle w:val="TDC1"/>
            <w:rPr>
              <w:rFonts w:ascii="Palatino Linotype" w:eastAsiaTheme="minorEastAsia" w:hAnsi="Palatino Linotype"/>
              <w:b/>
              <w:noProof/>
              <w:sz w:val="24"/>
              <w:szCs w:val="24"/>
              <w:lang w:eastAsia="es-MX"/>
            </w:rPr>
          </w:pPr>
          <w:hyperlink w:anchor="_Toc5788037" w:history="1">
            <w:r w:rsidR="00C11C6E" w:rsidRPr="008B1544">
              <w:rPr>
                <w:rStyle w:val="Hipervnculo"/>
                <w:rFonts w:ascii="Palatino Linotype" w:eastAsia="Times New Roman" w:hAnsi="Palatino Linotype" w:cstheme="majorBidi"/>
                <w:b/>
                <w:noProof/>
                <w:sz w:val="24"/>
                <w:szCs w:val="24"/>
                <w:lang w:val="es-ES_tradnl" w:eastAsia="es-ES"/>
              </w:rPr>
              <w:t>R E S O L U T I V O S</w:t>
            </w:r>
            <w:r w:rsidR="00C11C6E" w:rsidRPr="008B1544">
              <w:rPr>
                <w:rFonts w:ascii="Palatino Linotype" w:hAnsi="Palatino Linotype"/>
                <w:b/>
                <w:noProof/>
                <w:webHidden/>
                <w:sz w:val="24"/>
                <w:szCs w:val="24"/>
              </w:rPr>
              <w:tab/>
            </w:r>
            <w:r w:rsidR="00C11C6E" w:rsidRPr="008B1544">
              <w:rPr>
                <w:rFonts w:ascii="Palatino Linotype" w:hAnsi="Palatino Linotype"/>
                <w:b/>
                <w:noProof/>
                <w:webHidden/>
                <w:sz w:val="24"/>
                <w:szCs w:val="24"/>
              </w:rPr>
              <w:fldChar w:fldCharType="begin"/>
            </w:r>
            <w:r w:rsidR="00C11C6E" w:rsidRPr="008B1544">
              <w:rPr>
                <w:rFonts w:ascii="Palatino Linotype" w:hAnsi="Palatino Linotype"/>
                <w:b/>
                <w:noProof/>
                <w:webHidden/>
                <w:sz w:val="24"/>
                <w:szCs w:val="24"/>
              </w:rPr>
              <w:instrText xml:space="preserve"> PAGEREF _Toc5788037 \h </w:instrText>
            </w:r>
            <w:r w:rsidR="00C11C6E" w:rsidRPr="008B1544">
              <w:rPr>
                <w:rFonts w:ascii="Palatino Linotype" w:hAnsi="Palatino Linotype"/>
                <w:b/>
                <w:noProof/>
                <w:webHidden/>
                <w:sz w:val="24"/>
                <w:szCs w:val="24"/>
              </w:rPr>
            </w:r>
            <w:r w:rsidR="00C11C6E" w:rsidRPr="008B1544">
              <w:rPr>
                <w:rFonts w:ascii="Palatino Linotype" w:hAnsi="Palatino Linotype"/>
                <w:b/>
                <w:noProof/>
                <w:webHidden/>
                <w:sz w:val="24"/>
                <w:szCs w:val="24"/>
              </w:rPr>
              <w:fldChar w:fldCharType="separate"/>
            </w:r>
            <w:r w:rsidR="00D85D64">
              <w:rPr>
                <w:rFonts w:ascii="Palatino Linotype" w:hAnsi="Palatino Linotype"/>
                <w:b/>
                <w:noProof/>
                <w:webHidden/>
                <w:sz w:val="24"/>
                <w:szCs w:val="24"/>
              </w:rPr>
              <w:t>48</w:t>
            </w:r>
            <w:r w:rsidR="00C11C6E" w:rsidRPr="008B1544">
              <w:rPr>
                <w:rFonts w:ascii="Palatino Linotype" w:hAnsi="Palatino Linotype"/>
                <w:b/>
                <w:noProof/>
                <w:webHidden/>
                <w:sz w:val="24"/>
                <w:szCs w:val="24"/>
              </w:rPr>
              <w:fldChar w:fldCharType="end"/>
            </w:r>
          </w:hyperlink>
        </w:p>
        <w:p w:rsidR="00A612C0" w:rsidRPr="008B1544" w:rsidRDefault="00B85136" w:rsidP="008B1544">
          <w:pPr>
            <w:spacing w:line="360" w:lineRule="auto"/>
            <w:rPr>
              <w:rFonts w:ascii="Palatino Linotype" w:hAnsi="Palatino Linotype"/>
              <w:sz w:val="24"/>
              <w:szCs w:val="24"/>
            </w:rPr>
          </w:pPr>
          <w:r w:rsidRPr="008B1544">
            <w:rPr>
              <w:rFonts w:ascii="Palatino Linotype" w:hAnsi="Palatino Linotype"/>
              <w:b/>
              <w:bCs/>
              <w:sz w:val="24"/>
              <w:szCs w:val="24"/>
              <w:lang w:val="es-ES"/>
            </w:rPr>
            <w:lastRenderedPageBreak/>
            <w:fldChar w:fldCharType="end"/>
          </w:r>
        </w:p>
      </w:sdtContent>
    </w:sdt>
    <w:p w:rsidR="00C07697" w:rsidRDefault="00792776" w:rsidP="008B1544">
      <w:pPr>
        <w:spacing w:after="0" w:line="360" w:lineRule="auto"/>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5A2B5F" w:rsidRPr="008B1544">
        <w:rPr>
          <w:rFonts w:ascii="Palatino Linotype" w:eastAsia="MS Mincho" w:hAnsi="Palatino Linotype" w:cs="Times New Roman"/>
          <w:sz w:val="24"/>
          <w:szCs w:val="24"/>
          <w:lang w:val="es-ES_tradnl" w:eastAsia="es-ES"/>
        </w:rPr>
        <w:t xml:space="preserve"> fecha </w:t>
      </w:r>
      <w:r w:rsidR="00E32937" w:rsidRPr="008B1544">
        <w:rPr>
          <w:rFonts w:ascii="Palatino Linotype" w:eastAsia="MS Mincho" w:hAnsi="Palatino Linotype" w:cs="Times New Roman"/>
          <w:sz w:val="24"/>
          <w:szCs w:val="24"/>
          <w:lang w:val="es-ES_tradnl" w:eastAsia="es-ES"/>
        </w:rPr>
        <w:t>veinticuatro</w:t>
      </w:r>
      <w:r w:rsidR="00E13049" w:rsidRPr="008B1544">
        <w:rPr>
          <w:rFonts w:ascii="Palatino Linotype" w:eastAsia="MS Mincho" w:hAnsi="Palatino Linotype" w:cs="Times New Roman"/>
          <w:sz w:val="24"/>
          <w:szCs w:val="24"/>
          <w:lang w:val="es-ES_tradnl" w:eastAsia="es-ES"/>
        </w:rPr>
        <w:t xml:space="preserve"> (</w:t>
      </w:r>
      <w:r w:rsidR="00E32937" w:rsidRPr="008B1544">
        <w:rPr>
          <w:rFonts w:ascii="Palatino Linotype" w:eastAsia="MS Mincho" w:hAnsi="Palatino Linotype" w:cs="Times New Roman"/>
          <w:sz w:val="24"/>
          <w:szCs w:val="24"/>
          <w:lang w:val="es-ES_tradnl" w:eastAsia="es-ES"/>
        </w:rPr>
        <w:t>24</w:t>
      </w:r>
      <w:r w:rsidR="00AB56C1" w:rsidRPr="008B1544">
        <w:rPr>
          <w:rFonts w:ascii="Palatino Linotype" w:eastAsia="MS Mincho" w:hAnsi="Palatino Linotype" w:cs="Times New Roman"/>
          <w:sz w:val="24"/>
          <w:szCs w:val="24"/>
          <w:lang w:val="es-ES_tradnl" w:eastAsia="es-ES"/>
        </w:rPr>
        <w:t>) de</w:t>
      </w:r>
      <w:r w:rsidR="00E32937" w:rsidRPr="008B1544">
        <w:rPr>
          <w:rFonts w:ascii="Palatino Linotype" w:eastAsia="MS Mincho" w:hAnsi="Palatino Linotype" w:cs="Times New Roman"/>
          <w:sz w:val="24"/>
          <w:szCs w:val="24"/>
          <w:lang w:val="es-ES_tradnl" w:eastAsia="es-ES"/>
        </w:rPr>
        <w:t xml:space="preserve"> abril</w:t>
      </w:r>
      <w:r w:rsidR="00E13049" w:rsidRPr="008B1544">
        <w:rPr>
          <w:rFonts w:ascii="Palatino Linotype" w:eastAsia="MS Mincho" w:hAnsi="Palatino Linotype" w:cs="Times New Roman"/>
          <w:sz w:val="24"/>
          <w:szCs w:val="24"/>
          <w:lang w:val="es-ES_tradnl" w:eastAsia="es-ES"/>
        </w:rPr>
        <w:t xml:space="preserve"> d</w:t>
      </w:r>
      <w:r w:rsidR="007D2D0D">
        <w:rPr>
          <w:rFonts w:ascii="Palatino Linotype" w:eastAsia="MS Mincho" w:hAnsi="Palatino Linotype" w:cs="Times New Roman"/>
          <w:sz w:val="24"/>
          <w:szCs w:val="24"/>
          <w:lang w:val="es-ES_tradnl" w:eastAsia="es-ES"/>
        </w:rPr>
        <w:t xml:space="preserve">e dos mil </w:t>
      </w:r>
      <w:r w:rsidR="00D85D64">
        <w:rPr>
          <w:rFonts w:ascii="Palatino Linotype" w:eastAsia="MS Mincho" w:hAnsi="Palatino Linotype" w:cs="Times New Roman"/>
          <w:sz w:val="24"/>
          <w:szCs w:val="24"/>
          <w:lang w:val="es-ES_tradnl" w:eastAsia="es-ES"/>
        </w:rPr>
        <w:t>diecinueve</w:t>
      </w:r>
      <w:r w:rsidR="00C64E0E" w:rsidRPr="008B1544">
        <w:rPr>
          <w:rFonts w:ascii="Palatino Linotype" w:eastAsia="MS Mincho" w:hAnsi="Palatino Linotype" w:cs="Times New Roman"/>
          <w:sz w:val="24"/>
          <w:szCs w:val="24"/>
          <w:lang w:val="es-ES_tradnl" w:eastAsia="es-ES"/>
        </w:rPr>
        <w:t>.</w:t>
      </w:r>
    </w:p>
    <w:p w:rsidR="008B1544" w:rsidRPr="008B1544" w:rsidRDefault="008B1544" w:rsidP="008B1544">
      <w:pPr>
        <w:spacing w:after="0" w:line="360" w:lineRule="auto"/>
        <w:jc w:val="both"/>
        <w:rPr>
          <w:rFonts w:ascii="Palatino Linotype" w:eastAsia="MS Mincho" w:hAnsi="Palatino Linotype" w:cs="Times New Roman"/>
          <w:sz w:val="24"/>
          <w:szCs w:val="24"/>
          <w:lang w:val="es-ES_tradnl" w:eastAsia="es-ES"/>
        </w:rPr>
      </w:pPr>
    </w:p>
    <w:p w:rsidR="00792776" w:rsidRPr="008B1544" w:rsidRDefault="00792776" w:rsidP="008B1544">
      <w:pPr>
        <w:spacing w:after="0" w:line="360" w:lineRule="auto"/>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b/>
          <w:sz w:val="24"/>
          <w:szCs w:val="24"/>
          <w:lang w:val="es-ES_tradnl" w:eastAsia="es-ES"/>
        </w:rPr>
        <w:t>VISTO</w:t>
      </w:r>
      <w:r w:rsidRPr="008B1544">
        <w:rPr>
          <w:rFonts w:ascii="Palatino Linotype" w:eastAsia="MS Mincho" w:hAnsi="Palatino Linotype" w:cs="Times New Roman"/>
          <w:sz w:val="24"/>
          <w:szCs w:val="24"/>
          <w:lang w:val="es-ES_tradnl" w:eastAsia="es-ES"/>
        </w:rPr>
        <w:t xml:space="preserve"> el expediente electrónico formado con motivo del recurso de revisión</w:t>
      </w:r>
      <w:r w:rsidRPr="008B1544">
        <w:rPr>
          <w:rFonts w:ascii="Palatino Linotype" w:eastAsia="MS Mincho" w:hAnsi="Palatino Linotype" w:cs="Arial"/>
          <w:b/>
          <w:bCs/>
          <w:sz w:val="24"/>
          <w:szCs w:val="24"/>
          <w:lang w:val="es-ES_tradnl" w:eastAsia="es-ES"/>
        </w:rPr>
        <w:t>,</w:t>
      </w:r>
      <w:r w:rsidR="00987E5C" w:rsidRPr="008B1544">
        <w:rPr>
          <w:rFonts w:ascii="Palatino Linotype" w:hAnsi="Palatino Linotype" w:cs="Arial"/>
          <w:b/>
          <w:bCs/>
          <w:sz w:val="24"/>
          <w:szCs w:val="24"/>
          <w:lang w:eastAsia="es-MX"/>
        </w:rPr>
        <w:t xml:space="preserve">         </w:t>
      </w:r>
      <w:r w:rsidR="007D2D0D">
        <w:rPr>
          <w:rFonts w:ascii="Palatino Linotype" w:hAnsi="Palatino Linotype" w:cs="Arial"/>
          <w:b/>
          <w:bCs/>
          <w:sz w:val="24"/>
          <w:szCs w:val="24"/>
          <w:lang w:eastAsia="es-MX"/>
        </w:rPr>
        <w:t>00468/INFOEM/IP/RR/2019</w:t>
      </w:r>
      <w:r w:rsidR="00987E5C" w:rsidRPr="008B1544">
        <w:rPr>
          <w:rFonts w:ascii="Palatino Linotype" w:hAnsi="Palatino Linotype" w:cs="Arial"/>
          <w:b/>
          <w:bCs/>
          <w:sz w:val="24"/>
          <w:szCs w:val="24"/>
          <w:lang w:eastAsia="es-MX"/>
        </w:rPr>
        <w:t xml:space="preserve"> </w:t>
      </w:r>
      <w:r w:rsidRPr="008B1544">
        <w:rPr>
          <w:rFonts w:ascii="Palatino Linotype" w:eastAsia="MS Mincho" w:hAnsi="Palatino Linotype" w:cs="Times New Roman"/>
          <w:sz w:val="24"/>
          <w:szCs w:val="24"/>
          <w:lang w:val="es-ES_tradnl" w:eastAsia="es-ES"/>
        </w:rPr>
        <w:t>promovido por</w:t>
      </w:r>
      <w:r w:rsidRPr="008B1544">
        <w:rPr>
          <w:rFonts w:ascii="Palatino Linotype" w:hAnsi="Palatino Linotype"/>
          <w:b/>
          <w:sz w:val="24"/>
          <w:szCs w:val="24"/>
        </w:rPr>
        <w:t xml:space="preserve"> </w:t>
      </w:r>
      <w:r w:rsidR="00527E55" w:rsidRPr="00527E55">
        <w:rPr>
          <w:rFonts w:ascii="Palatino Linotype" w:hAnsi="Palatino Linotype"/>
          <w:b/>
          <w:sz w:val="24"/>
          <w:szCs w:val="24"/>
          <w:highlight w:val="black"/>
        </w:rPr>
        <w:t>--------------------------------------</w:t>
      </w:r>
      <w:r w:rsidR="00C64E0E" w:rsidRPr="008B1544">
        <w:rPr>
          <w:rFonts w:ascii="Palatino Linotype" w:hAnsi="Palatino Linotype"/>
          <w:b/>
          <w:sz w:val="24"/>
          <w:szCs w:val="24"/>
        </w:rPr>
        <w:t xml:space="preserve">, </w:t>
      </w:r>
      <w:r w:rsidRPr="008B1544">
        <w:rPr>
          <w:rFonts w:ascii="Palatino Linotype" w:eastAsia="MS Mincho" w:hAnsi="Palatino Linotype" w:cs="Arial"/>
          <w:sz w:val="24"/>
          <w:szCs w:val="24"/>
          <w:lang w:val="es-ES_tradnl" w:eastAsia="es-ES"/>
        </w:rPr>
        <w:t xml:space="preserve">en su calidad de </w:t>
      </w:r>
      <w:r w:rsidRPr="008B1544">
        <w:rPr>
          <w:rFonts w:ascii="Palatino Linotype" w:eastAsia="MS Mincho" w:hAnsi="Palatino Linotype" w:cs="Arial"/>
          <w:b/>
          <w:sz w:val="24"/>
          <w:szCs w:val="24"/>
          <w:lang w:val="es-ES_tradnl" w:eastAsia="es-ES"/>
        </w:rPr>
        <w:t>RECURRENTE</w:t>
      </w:r>
      <w:r w:rsidRPr="008B1544">
        <w:rPr>
          <w:rFonts w:ascii="Palatino Linotype" w:eastAsia="MS Mincho" w:hAnsi="Palatino Linotype" w:cs="Arial"/>
          <w:sz w:val="24"/>
          <w:szCs w:val="24"/>
          <w:lang w:val="es-ES_tradnl" w:eastAsia="es-ES"/>
        </w:rPr>
        <w:t>, en cont</w:t>
      </w:r>
      <w:r w:rsidR="000D2E4E" w:rsidRPr="008B1544">
        <w:rPr>
          <w:rFonts w:ascii="Palatino Linotype" w:eastAsia="MS Mincho" w:hAnsi="Palatino Linotype" w:cs="Arial"/>
          <w:sz w:val="24"/>
          <w:szCs w:val="24"/>
          <w:lang w:val="es-ES_tradnl" w:eastAsia="es-ES"/>
        </w:rPr>
        <w:t>ra de la</w:t>
      </w:r>
      <w:r w:rsidR="00A22FC3" w:rsidRPr="008B1544">
        <w:rPr>
          <w:rFonts w:ascii="Palatino Linotype" w:eastAsia="MS Mincho" w:hAnsi="Palatino Linotype" w:cs="Arial"/>
          <w:sz w:val="24"/>
          <w:szCs w:val="24"/>
          <w:lang w:val="es-ES_tradnl" w:eastAsia="es-ES"/>
        </w:rPr>
        <w:t xml:space="preserve"> respuesta de la </w:t>
      </w:r>
      <w:r w:rsidR="00A22FC3" w:rsidRPr="008B1544">
        <w:rPr>
          <w:rFonts w:ascii="Palatino Linotype" w:eastAsia="MS Mincho" w:hAnsi="Palatino Linotype" w:cs="Arial"/>
          <w:b/>
          <w:sz w:val="24"/>
          <w:szCs w:val="24"/>
          <w:lang w:val="es-ES_tradnl" w:eastAsia="es-ES"/>
        </w:rPr>
        <w:t>Universidad Politécnica del Valle de Toluca</w:t>
      </w:r>
      <w:r w:rsidR="00A22FC3" w:rsidRPr="008B1544">
        <w:rPr>
          <w:rFonts w:ascii="Palatino Linotype" w:eastAsia="MS Mincho" w:hAnsi="Palatino Linotype" w:cs="Arial"/>
          <w:sz w:val="24"/>
          <w:szCs w:val="24"/>
          <w:lang w:val="es-ES_tradnl" w:eastAsia="es-ES"/>
        </w:rPr>
        <w:t xml:space="preserve"> </w:t>
      </w:r>
      <w:r w:rsidRPr="008B1544">
        <w:rPr>
          <w:rFonts w:ascii="Palatino Linotype" w:eastAsia="MS Mincho" w:hAnsi="Palatino Linotype" w:cs="Times New Roman"/>
          <w:sz w:val="24"/>
          <w:szCs w:val="24"/>
          <w:lang w:val="es-ES_tradnl" w:eastAsia="es-ES"/>
        </w:rPr>
        <w:t>en lo sucesivo el</w:t>
      </w:r>
      <w:r w:rsidRPr="008B1544">
        <w:rPr>
          <w:rFonts w:ascii="Palatino Linotype" w:eastAsia="MS Mincho" w:hAnsi="Palatino Linotype" w:cs="Times New Roman"/>
          <w:b/>
          <w:sz w:val="24"/>
          <w:szCs w:val="24"/>
          <w:lang w:val="es-ES_tradnl" w:eastAsia="es-ES"/>
        </w:rPr>
        <w:t xml:space="preserve"> SUJETO OBLIGADO, </w:t>
      </w:r>
      <w:r w:rsidRPr="008B1544">
        <w:rPr>
          <w:rFonts w:ascii="Palatino Linotype" w:eastAsia="MS Mincho" w:hAnsi="Palatino Linotype" w:cs="Times New Roman"/>
          <w:sz w:val="24"/>
          <w:szCs w:val="24"/>
          <w:lang w:val="es-ES_tradnl" w:eastAsia="es-ES"/>
        </w:rPr>
        <w:t>se procede a dictar la presente resolución, con base en los siguientes:</w:t>
      </w:r>
    </w:p>
    <w:p w:rsidR="0080266C" w:rsidRPr="008B1544" w:rsidRDefault="0080266C" w:rsidP="008B1544">
      <w:pPr>
        <w:spacing w:after="0" w:line="360" w:lineRule="auto"/>
        <w:jc w:val="both"/>
        <w:rPr>
          <w:rFonts w:ascii="Palatino Linotype" w:eastAsia="MS Mincho" w:hAnsi="Palatino Linotype" w:cs="Times New Roman"/>
          <w:b/>
          <w:sz w:val="24"/>
          <w:szCs w:val="24"/>
          <w:lang w:val="es-ES_tradnl" w:eastAsia="es-ES"/>
        </w:rPr>
      </w:pPr>
    </w:p>
    <w:p w:rsidR="00792776" w:rsidRPr="008B1544" w:rsidRDefault="00792776" w:rsidP="008B1544">
      <w:pPr>
        <w:keepNext/>
        <w:keepLines/>
        <w:spacing w:after="0" w:line="360" w:lineRule="auto"/>
        <w:jc w:val="center"/>
        <w:outlineLvl w:val="0"/>
        <w:rPr>
          <w:rFonts w:ascii="Palatino Linotype" w:eastAsia="MS Gothic" w:hAnsi="Palatino Linotype" w:cs="Times New Roman"/>
          <w:b/>
          <w:sz w:val="24"/>
          <w:szCs w:val="24"/>
        </w:rPr>
      </w:pPr>
      <w:bookmarkStart w:id="0" w:name="_Toc5788023"/>
      <w:r w:rsidRPr="008B1544">
        <w:rPr>
          <w:rFonts w:ascii="Palatino Linotype" w:eastAsia="MS Gothic" w:hAnsi="Palatino Linotype" w:cs="Times New Roman"/>
          <w:b/>
          <w:sz w:val="24"/>
          <w:szCs w:val="24"/>
        </w:rPr>
        <w:t>A N T E C E D E N T E S</w:t>
      </w:r>
      <w:bookmarkEnd w:id="0"/>
    </w:p>
    <w:p w:rsidR="00792776" w:rsidRPr="008B1544" w:rsidRDefault="00792776" w:rsidP="008B1544">
      <w:pPr>
        <w:spacing w:after="0" w:line="360" w:lineRule="auto"/>
        <w:rPr>
          <w:rFonts w:ascii="Palatino Linotype" w:hAnsi="Palatino Linotype"/>
          <w:sz w:val="24"/>
          <w:szCs w:val="24"/>
        </w:rPr>
      </w:pPr>
    </w:p>
    <w:p w:rsidR="00792776" w:rsidRPr="008B1544" w:rsidRDefault="00E32937" w:rsidP="008B154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8B1544">
        <w:rPr>
          <w:rFonts w:ascii="Palatino Linotype" w:eastAsia="Calibri" w:hAnsi="Palatino Linotype" w:cs="Arial"/>
          <w:sz w:val="24"/>
          <w:szCs w:val="24"/>
          <w:lang w:val="es-ES" w:eastAsia="es-ES"/>
        </w:rPr>
        <w:t xml:space="preserve">El día diez </w:t>
      </w:r>
      <w:r w:rsidRPr="008B1544">
        <w:rPr>
          <w:rFonts w:ascii="Palatino Linotype" w:eastAsia="Times New Roman" w:hAnsi="Palatino Linotype" w:cs="Arial"/>
          <w:sz w:val="24"/>
          <w:szCs w:val="24"/>
          <w:lang w:val="es-ES" w:eastAsia="es-ES"/>
        </w:rPr>
        <w:t>(10</w:t>
      </w:r>
      <w:r w:rsidR="00960D99" w:rsidRPr="008B1544">
        <w:rPr>
          <w:rFonts w:ascii="Palatino Linotype" w:eastAsia="Times New Roman" w:hAnsi="Palatino Linotype" w:cs="Arial"/>
          <w:sz w:val="24"/>
          <w:szCs w:val="24"/>
          <w:lang w:val="es-ES" w:eastAsia="es-ES"/>
        </w:rPr>
        <w:t>) de</w:t>
      </w:r>
      <w:r w:rsidRPr="008B1544">
        <w:rPr>
          <w:rFonts w:ascii="Palatino Linotype" w:eastAsia="Times New Roman" w:hAnsi="Palatino Linotype" w:cs="Arial"/>
          <w:sz w:val="24"/>
          <w:szCs w:val="24"/>
          <w:lang w:val="es-ES" w:eastAsia="es-ES"/>
        </w:rPr>
        <w:t xml:space="preserve"> diciembre </w:t>
      </w:r>
      <w:r w:rsidR="00960D99" w:rsidRPr="008B1544">
        <w:rPr>
          <w:rFonts w:ascii="Palatino Linotype" w:eastAsia="Times New Roman" w:hAnsi="Palatino Linotype" w:cs="Arial"/>
          <w:sz w:val="24"/>
          <w:szCs w:val="24"/>
          <w:lang w:val="es-ES" w:eastAsia="es-ES"/>
        </w:rPr>
        <w:t>de dos mil dieciocho</w:t>
      </w:r>
      <w:r w:rsidR="00792776" w:rsidRPr="008B1544">
        <w:rPr>
          <w:rFonts w:ascii="Palatino Linotype" w:eastAsia="Calibri" w:hAnsi="Palatino Linotype" w:cs="Arial"/>
          <w:sz w:val="24"/>
          <w:szCs w:val="24"/>
          <w:lang w:val="es-ES" w:eastAsia="es-ES"/>
        </w:rPr>
        <w:t>,</w:t>
      </w:r>
      <w:r w:rsidR="00792776" w:rsidRPr="008B1544">
        <w:rPr>
          <w:rFonts w:ascii="Palatino Linotype" w:eastAsia="Calibri" w:hAnsi="Palatino Linotype" w:cs="Times New Roman"/>
          <w:sz w:val="24"/>
          <w:szCs w:val="24"/>
          <w:lang w:val="es-ES" w:eastAsia="es-ES"/>
        </w:rPr>
        <w:t xml:space="preserve"> se presentó </w:t>
      </w:r>
      <w:r w:rsidR="00792776" w:rsidRPr="008B1544">
        <w:rPr>
          <w:rFonts w:ascii="Palatino Linotype" w:eastAsia="Calibri" w:hAnsi="Palatino Linotype" w:cs="Arial"/>
          <w:sz w:val="24"/>
          <w:szCs w:val="24"/>
          <w:lang w:val="es-ES" w:eastAsia="es-ES"/>
        </w:rPr>
        <w:t xml:space="preserve">ante el </w:t>
      </w:r>
      <w:r w:rsidR="00792776" w:rsidRPr="008B1544">
        <w:rPr>
          <w:rFonts w:ascii="Palatino Linotype" w:eastAsia="Calibri" w:hAnsi="Palatino Linotype" w:cs="Arial"/>
          <w:b/>
          <w:sz w:val="24"/>
          <w:szCs w:val="24"/>
          <w:lang w:val="es-ES" w:eastAsia="es-ES"/>
        </w:rPr>
        <w:t>SUJETO OBLIGADO</w:t>
      </w:r>
      <w:r w:rsidR="00792776" w:rsidRPr="008B1544">
        <w:rPr>
          <w:rFonts w:ascii="Palatino Linotype" w:eastAsia="Calibri" w:hAnsi="Palatino Linotype" w:cs="Arial"/>
          <w:sz w:val="24"/>
          <w:szCs w:val="24"/>
          <w:lang w:val="es-ES_tradnl" w:eastAsia="es-ES"/>
        </w:rPr>
        <w:t xml:space="preserve"> vía </w:t>
      </w:r>
      <w:r w:rsidR="00792776" w:rsidRPr="008B1544">
        <w:rPr>
          <w:rFonts w:ascii="Palatino Linotype" w:eastAsia="Calibri" w:hAnsi="Palatino Linotype" w:cs="Arial"/>
          <w:sz w:val="24"/>
          <w:szCs w:val="24"/>
          <w:lang w:val="es-ES" w:eastAsia="es-ES"/>
        </w:rPr>
        <w:t xml:space="preserve">Sistema de Acceso a la Información Mexiquense </w:t>
      </w:r>
      <w:r w:rsidR="000D2E4E" w:rsidRPr="008B1544">
        <w:rPr>
          <w:rFonts w:ascii="Palatino Linotype" w:eastAsia="Calibri" w:hAnsi="Palatino Linotype" w:cs="Arial"/>
          <w:b/>
          <w:sz w:val="24"/>
          <w:szCs w:val="24"/>
          <w:lang w:val="es-ES" w:eastAsia="es-ES"/>
        </w:rPr>
        <w:t>(</w:t>
      </w:r>
      <w:r w:rsidR="00792776" w:rsidRPr="008B1544">
        <w:rPr>
          <w:rFonts w:ascii="Palatino Linotype" w:eastAsia="Calibri" w:hAnsi="Palatino Linotype" w:cs="Arial"/>
          <w:b/>
          <w:sz w:val="24"/>
          <w:szCs w:val="24"/>
          <w:lang w:val="es-ES" w:eastAsia="es-ES"/>
        </w:rPr>
        <w:t>SAIMEX</w:t>
      </w:r>
      <w:r w:rsidR="000D2E4E" w:rsidRPr="008B1544">
        <w:rPr>
          <w:rFonts w:ascii="Palatino Linotype" w:eastAsia="Calibri" w:hAnsi="Palatino Linotype" w:cs="Arial"/>
          <w:b/>
          <w:sz w:val="24"/>
          <w:szCs w:val="24"/>
          <w:lang w:val="es-ES" w:eastAsia="es-ES"/>
        </w:rPr>
        <w:t>)</w:t>
      </w:r>
      <w:r w:rsidR="00792776" w:rsidRPr="008B1544">
        <w:rPr>
          <w:rFonts w:ascii="Palatino Linotype" w:eastAsia="Calibri" w:hAnsi="Palatino Linotype" w:cs="Arial"/>
          <w:sz w:val="24"/>
          <w:szCs w:val="24"/>
          <w:lang w:val="es-ES" w:eastAsia="es-ES"/>
        </w:rPr>
        <w:t xml:space="preserve">, la solicitud de información pública registrada con el número </w:t>
      </w:r>
      <w:r w:rsidRPr="008B1544">
        <w:rPr>
          <w:rFonts w:ascii="Palatino Linotype" w:eastAsia="Times New Roman" w:hAnsi="Palatino Linotype" w:cs="Arial"/>
          <w:b/>
          <w:bCs/>
          <w:sz w:val="24"/>
          <w:szCs w:val="24"/>
          <w:lang w:eastAsia="es-ES"/>
        </w:rPr>
        <w:t>01745</w:t>
      </w:r>
      <w:r w:rsidR="00C64E0E" w:rsidRPr="008B1544">
        <w:rPr>
          <w:rFonts w:ascii="Palatino Linotype" w:eastAsia="Times New Roman" w:hAnsi="Palatino Linotype" w:cs="Arial"/>
          <w:b/>
          <w:bCs/>
          <w:sz w:val="24"/>
          <w:szCs w:val="24"/>
          <w:lang w:eastAsia="es-ES"/>
        </w:rPr>
        <w:t>/</w:t>
      </w:r>
      <w:r w:rsidR="00A22FC3" w:rsidRPr="008B1544">
        <w:rPr>
          <w:rFonts w:ascii="Palatino Linotype" w:eastAsia="Times New Roman" w:hAnsi="Palatino Linotype" w:cs="Arial"/>
          <w:b/>
          <w:bCs/>
          <w:sz w:val="24"/>
          <w:szCs w:val="24"/>
          <w:lang w:eastAsia="es-ES"/>
        </w:rPr>
        <w:t>UPVT</w:t>
      </w:r>
      <w:r w:rsidR="00C64E0E" w:rsidRPr="008B1544">
        <w:rPr>
          <w:rFonts w:ascii="Palatino Linotype" w:eastAsia="Times New Roman" w:hAnsi="Palatino Linotype" w:cs="Arial"/>
          <w:b/>
          <w:bCs/>
          <w:sz w:val="24"/>
          <w:szCs w:val="24"/>
          <w:lang w:eastAsia="es-ES"/>
        </w:rPr>
        <w:t>/IP/201</w:t>
      </w:r>
      <w:r w:rsidR="00960D99" w:rsidRPr="008B1544">
        <w:rPr>
          <w:rFonts w:ascii="Palatino Linotype" w:eastAsia="Times New Roman" w:hAnsi="Palatino Linotype" w:cs="Arial"/>
          <w:b/>
          <w:bCs/>
          <w:sz w:val="24"/>
          <w:szCs w:val="24"/>
          <w:lang w:eastAsia="es-ES"/>
        </w:rPr>
        <w:t>8</w:t>
      </w:r>
      <w:r w:rsidR="00792776" w:rsidRPr="008B1544">
        <w:rPr>
          <w:rFonts w:ascii="Palatino Linotype" w:eastAsia="MS Mincho" w:hAnsi="Palatino Linotype" w:cs="Times New Roman"/>
          <w:b/>
          <w:bCs/>
          <w:sz w:val="24"/>
          <w:szCs w:val="24"/>
          <w:lang w:val="es-ES_tradnl" w:eastAsia="es-ES"/>
        </w:rPr>
        <w:t xml:space="preserve">, </w:t>
      </w:r>
      <w:r w:rsidR="00792776" w:rsidRPr="008B1544">
        <w:rPr>
          <w:rFonts w:ascii="Palatino Linotype" w:eastAsia="Calibri" w:hAnsi="Palatino Linotype" w:cs="Arial"/>
          <w:sz w:val="24"/>
          <w:szCs w:val="24"/>
          <w:lang w:val="es-ES" w:eastAsia="es-ES"/>
        </w:rPr>
        <w:t>mediante la cual se solicitó:</w:t>
      </w:r>
    </w:p>
    <w:p w:rsidR="00792776" w:rsidRPr="008B1544" w:rsidRDefault="00792776" w:rsidP="008B1544">
      <w:pPr>
        <w:spacing w:after="0" w:line="360" w:lineRule="auto"/>
        <w:ind w:left="426"/>
        <w:contextualSpacing/>
        <w:jc w:val="both"/>
        <w:rPr>
          <w:rFonts w:ascii="Palatino Linotype" w:eastAsia="Calibri" w:hAnsi="Palatino Linotype" w:cs="Arial"/>
          <w:sz w:val="24"/>
          <w:szCs w:val="24"/>
          <w:lang w:val="es-ES" w:eastAsia="es-ES"/>
        </w:rPr>
      </w:pPr>
    </w:p>
    <w:p w:rsidR="00792776" w:rsidRPr="008B1544" w:rsidRDefault="00792776" w:rsidP="008B1544">
      <w:pPr>
        <w:spacing w:after="0" w:line="360" w:lineRule="auto"/>
        <w:contextualSpacing/>
        <w:rPr>
          <w:rFonts w:ascii="Palatino Linotype" w:eastAsia="Times New Roman" w:hAnsi="Palatino Linotype" w:cs="Arial"/>
          <w:sz w:val="24"/>
          <w:szCs w:val="24"/>
          <w:lang w:val="es-ES" w:eastAsia="es-ES"/>
        </w:rPr>
      </w:pPr>
    </w:p>
    <w:p w:rsidR="00E13049" w:rsidRPr="008B1544" w:rsidRDefault="00E13049" w:rsidP="008B1544">
      <w:pPr>
        <w:pStyle w:val="Prrafodelista"/>
        <w:numPr>
          <w:ilvl w:val="0"/>
          <w:numId w:val="2"/>
        </w:numPr>
        <w:spacing w:after="0" w:line="360" w:lineRule="auto"/>
        <w:ind w:left="0" w:right="34" w:firstLine="0"/>
        <w:jc w:val="both"/>
        <w:rPr>
          <w:rFonts w:ascii="Palatino Linotype" w:hAnsi="Palatino Linotype"/>
          <w:b/>
          <w:i/>
          <w:color w:val="000000" w:themeColor="text1"/>
          <w:sz w:val="24"/>
          <w:szCs w:val="24"/>
        </w:rPr>
      </w:pPr>
      <w:r w:rsidRPr="008B1544">
        <w:rPr>
          <w:rFonts w:ascii="Palatino Linotype" w:eastAsia="Calibri" w:hAnsi="Palatino Linotype" w:cs="Arial"/>
          <w:color w:val="000000" w:themeColor="text1"/>
          <w:sz w:val="24"/>
          <w:szCs w:val="24"/>
          <w:lang w:val="es-AR"/>
        </w:rPr>
        <w:lastRenderedPageBreak/>
        <w:t xml:space="preserve">Se hace constar que se señaló como modalidad de entrega de la información: a través del Sistema de Acceso a la Información Mexiquense </w:t>
      </w:r>
      <w:r w:rsidRPr="008B1544">
        <w:rPr>
          <w:rFonts w:ascii="Palatino Linotype" w:eastAsia="Calibri" w:hAnsi="Palatino Linotype" w:cs="Arial"/>
          <w:b/>
          <w:color w:val="000000" w:themeColor="text1"/>
          <w:sz w:val="24"/>
          <w:szCs w:val="24"/>
          <w:lang w:val="es-AR"/>
        </w:rPr>
        <w:t>(SAIMEX)</w:t>
      </w:r>
      <w:r w:rsidRPr="008B1544">
        <w:rPr>
          <w:rFonts w:ascii="Palatino Linotype" w:eastAsia="Calibri" w:hAnsi="Palatino Linotype" w:cs="Arial"/>
          <w:color w:val="000000" w:themeColor="text1"/>
          <w:sz w:val="24"/>
          <w:szCs w:val="24"/>
          <w:lang w:val="es-AR"/>
        </w:rPr>
        <w:t>.</w:t>
      </w:r>
    </w:p>
    <w:p w:rsidR="00E13049" w:rsidRPr="008B1544" w:rsidRDefault="00E13049" w:rsidP="008B1544">
      <w:pPr>
        <w:spacing w:after="0" w:line="360" w:lineRule="auto"/>
        <w:ind w:right="34"/>
        <w:contextualSpacing/>
        <w:jc w:val="both"/>
        <w:rPr>
          <w:rFonts w:ascii="Palatino Linotype" w:eastAsia="MS Mincho" w:hAnsi="Palatino Linotype" w:cs="Times New Roman"/>
          <w:sz w:val="24"/>
          <w:szCs w:val="24"/>
          <w:lang w:val="es-ES_tradnl" w:eastAsia="es-ES"/>
        </w:rPr>
      </w:pPr>
    </w:p>
    <w:p w:rsidR="00E32937" w:rsidRPr="008B1544" w:rsidRDefault="0049799F" w:rsidP="008B1544">
      <w:pPr>
        <w:numPr>
          <w:ilvl w:val="0"/>
          <w:numId w:val="2"/>
        </w:numPr>
        <w:spacing w:after="0" w:line="360" w:lineRule="auto"/>
        <w:ind w:left="0" w:firstLine="0"/>
        <w:contextualSpacing/>
        <w:jc w:val="both"/>
        <w:rPr>
          <w:rFonts w:ascii="Palatino Linotype" w:eastAsia="Times New Roman" w:hAnsi="Palatino Linotype" w:cs="Arial"/>
          <w:sz w:val="24"/>
          <w:szCs w:val="24"/>
          <w:lang w:val="es-ES"/>
        </w:rPr>
      </w:pPr>
      <w:r w:rsidRPr="008B1544">
        <w:rPr>
          <w:rFonts w:ascii="Palatino Linotype" w:eastAsia="Times New Roman" w:hAnsi="Palatino Linotype" w:cs="Arial"/>
          <w:sz w:val="24"/>
          <w:szCs w:val="24"/>
          <w:lang w:val="es-ES"/>
        </w:rPr>
        <w:t xml:space="preserve">El día seis (16) de enero del año dos mil diecinueve el </w:t>
      </w:r>
      <w:r w:rsidRPr="008B1544">
        <w:rPr>
          <w:rFonts w:ascii="Palatino Linotype" w:eastAsia="Times New Roman" w:hAnsi="Palatino Linotype" w:cs="Arial"/>
          <w:b/>
          <w:sz w:val="24"/>
          <w:szCs w:val="24"/>
          <w:lang w:val="es-ES"/>
        </w:rPr>
        <w:t>SUJETO OBLIGADO</w:t>
      </w:r>
      <w:r w:rsidRPr="008B1544">
        <w:rPr>
          <w:rFonts w:ascii="Palatino Linotype" w:eastAsia="Times New Roman" w:hAnsi="Palatino Linotype" w:cs="Arial"/>
          <w:sz w:val="24"/>
          <w:szCs w:val="24"/>
          <w:lang w:val="es-ES"/>
        </w:rPr>
        <w:t xml:space="preserve"> solicitó prórroga a efecto de proporcionar su respuesta; sin embargo, es de apreciar que no se advierten las razones de manera fundada o motivada para solicitar la ampliación de plazo para emitir respuesta, por lo anterior es de referir que nos encontramos ante una prorroga indebida.</w:t>
      </w:r>
    </w:p>
    <w:p w:rsidR="0049799F" w:rsidRPr="008B1544" w:rsidRDefault="0049799F" w:rsidP="008B1544">
      <w:pPr>
        <w:spacing w:after="0" w:line="360" w:lineRule="auto"/>
        <w:contextualSpacing/>
        <w:jc w:val="both"/>
        <w:rPr>
          <w:rFonts w:ascii="Palatino Linotype" w:eastAsia="Times New Roman" w:hAnsi="Palatino Linotype" w:cs="Arial"/>
          <w:sz w:val="24"/>
          <w:szCs w:val="24"/>
          <w:lang w:val="es-ES"/>
        </w:rPr>
      </w:pPr>
    </w:p>
    <w:p w:rsidR="00A22FC3" w:rsidRPr="008B1544" w:rsidRDefault="00E13049" w:rsidP="008B1544">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Calibri" w:hAnsi="Palatino Linotype" w:cs="Arial"/>
          <w:sz w:val="24"/>
          <w:szCs w:val="24"/>
          <w:lang w:val="es-ES" w:eastAsia="es-ES"/>
        </w:rPr>
        <w:t>En fecha veinticuatro (24) de</w:t>
      </w:r>
      <w:r w:rsidR="0049799F" w:rsidRPr="008B1544">
        <w:rPr>
          <w:rFonts w:ascii="Palatino Linotype" w:eastAsia="Calibri" w:hAnsi="Palatino Linotype" w:cs="Arial"/>
          <w:sz w:val="24"/>
          <w:szCs w:val="24"/>
          <w:lang w:val="es-ES" w:eastAsia="es-ES"/>
        </w:rPr>
        <w:t xml:space="preserve"> enero </w:t>
      </w:r>
      <w:r w:rsidRPr="008B1544">
        <w:rPr>
          <w:rFonts w:ascii="Palatino Linotype" w:eastAsia="Calibri" w:hAnsi="Palatino Linotype" w:cs="Arial"/>
          <w:sz w:val="24"/>
          <w:szCs w:val="24"/>
          <w:lang w:val="es-ES" w:eastAsia="es-ES"/>
        </w:rPr>
        <w:t>del año dos mil dieci</w:t>
      </w:r>
      <w:r w:rsidR="0049799F" w:rsidRPr="008B1544">
        <w:rPr>
          <w:rFonts w:ascii="Palatino Linotype" w:eastAsia="Calibri" w:hAnsi="Palatino Linotype" w:cs="Arial"/>
          <w:sz w:val="24"/>
          <w:szCs w:val="24"/>
          <w:lang w:val="es-ES" w:eastAsia="es-ES"/>
        </w:rPr>
        <w:t>nueve</w:t>
      </w:r>
      <w:r w:rsidRPr="008B1544">
        <w:rPr>
          <w:rFonts w:ascii="Palatino Linotype" w:eastAsia="Calibri" w:hAnsi="Palatino Linotype" w:cs="Arial"/>
          <w:sz w:val="24"/>
          <w:szCs w:val="24"/>
          <w:lang w:val="es-ES" w:eastAsia="es-ES"/>
        </w:rPr>
        <w:t xml:space="preserve">, </w:t>
      </w:r>
      <w:r w:rsidR="00E32937" w:rsidRPr="008B1544">
        <w:rPr>
          <w:rFonts w:ascii="Palatino Linotype" w:eastAsia="Calibri" w:hAnsi="Palatino Linotype" w:cs="Arial"/>
          <w:sz w:val="24"/>
          <w:szCs w:val="24"/>
          <w:lang w:val="es-ES" w:eastAsia="es-ES"/>
        </w:rPr>
        <w:t>e</w:t>
      </w:r>
      <w:r w:rsidR="0049799F" w:rsidRPr="008B1544">
        <w:rPr>
          <w:rFonts w:ascii="Palatino Linotype" w:eastAsia="Calibri" w:hAnsi="Palatino Linotype" w:cs="Arial"/>
          <w:sz w:val="24"/>
          <w:szCs w:val="24"/>
          <w:lang w:val="es-ES" w:eastAsia="es-ES"/>
        </w:rPr>
        <w:t>l</w:t>
      </w:r>
      <w:r w:rsidR="00792776" w:rsidRPr="008B1544">
        <w:rPr>
          <w:rFonts w:ascii="Palatino Linotype" w:eastAsia="Calibri" w:hAnsi="Palatino Linotype" w:cs="Arial"/>
          <w:sz w:val="24"/>
          <w:szCs w:val="24"/>
          <w:lang w:val="es-ES" w:eastAsia="es-ES"/>
        </w:rPr>
        <w:t xml:space="preserve"> </w:t>
      </w:r>
      <w:r w:rsidR="00792776" w:rsidRPr="008B1544">
        <w:rPr>
          <w:rFonts w:ascii="Palatino Linotype" w:eastAsia="Calibri" w:hAnsi="Palatino Linotype" w:cs="Arial"/>
          <w:b/>
          <w:sz w:val="24"/>
          <w:szCs w:val="24"/>
          <w:lang w:val="es-ES" w:eastAsia="es-ES"/>
        </w:rPr>
        <w:t>SUJETO OBLIGADO</w:t>
      </w:r>
      <w:r w:rsidR="00792776" w:rsidRPr="008B1544">
        <w:rPr>
          <w:rFonts w:ascii="Palatino Linotype" w:eastAsia="Calibri" w:hAnsi="Palatino Linotype" w:cs="Arial"/>
          <w:sz w:val="24"/>
          <w:szCs w:val="24"/>
          <w:lang w:val="es-ES" w:eastAsia="es-ES"/>
        </w:rPr>
        <w:t xml:space="preserve"> </w:t>
      </w:r>
      <w:r w:rsidRPr="008B1544">
        <w:rPr>
          <w:rFonts w:ascii="Palatino Linotype" w:eastAsia="Calibri" w:hAnsi="Palatino Linotype" w:cs="Arial"/>
          <w:sz w:val="24"/>
          <w:szCs w:val="24"/>
          <w:lang w:val="es-ES" w:eastAsia="es-ES"/>
        </w:rPr>
        <w:t xml:space="preserve">emitió su respectiva respuesta a la solicitud de información presentada, a través del escrito siguiente: </w:t>
      </w:r>
    </w:p>
    <w:p w:rsidR="00E13049" w:rsidRPr="008B1544" w:rsidRDefault="00E13049" w:rsidP="008B1544">
      <w:pPr>
        <w:spacing w:after="0" w:line="360" w:lineRule="auto"/>
        <w:ind w:right="34"/>
        <w:contextualSpacing/>
        <w:jc w:val="right"/>
        <w:rPr>
          <w:rFonts w:ascii="Palatino Linotype" w:eastAsia="MS Mincho" w:hAnsi="Palatino Linotype" w:cs="Times New Roman"/>
          <w:sz w:val="24"/>
          <w:szCs w:val="24"/>
          <w:lang w:val="es-ES_tradnl" w:eastAsia="es-ES"/>
        </w:rPr>
      </w:pPr>
    </w:p>
    <w:p w:rsidR="0049799F" w:rsidRPr="008B1544" w:rsidRDefault="00E13049" w:rsidP="008B1544">
      <w:pPr>
        <w:spacing w:after="0" w:line="360" w:lineRule="auto"/>
        <w:ind w:left="851" w:right="567"/>
        <w:contextualSpacing/>
        <w:jc w:val="right"/>
        <w:rPr>
          <w:rFonts w:ascii="Palatino Linotype" w:eastAsia="Times New Roman" w:hAnsi="Palatino Linotype" w:cs="Arial"/>
          <w:i/>
          <w:sz w:val="24"/>
          <w:szCs w:val="24"/>
          <w:lang w:val="es-ES" w:eastAsia="es-ES"/>
        </w:rPr>
      </w:pPr>
      <w:r w:rsidRPr="008B1544">
        <w:rPr>
          <w:rFonts w:ascii="Palatino Linotype" w:eastAsia="Times New Roman" w:hAnsi="Palatino Linotype" w:cs="Arial"/>
          <w:i/>
          <w:sz w:val="24"/>
          <w:szCs w:val="24"/>
          <w:lang w:val="es-ES" w:eastAsia="es-ES"/>
        </w:rPr>
        <w:t>“</w:t>
      </w:r>
      <w:r w:rsidR="0049799F" w:rsidRPr="008B1544">
        <w:rPr>
          <w:rFonts w:ascii="Palatino Linotype" w:eastAsia="Times New Roman" w:hAnsi="Palatino Linotype" w:cs="Arial"/>
          <w:i/>
          <w:sz w:val="24"/>
          <w:szCs w:val="24"/>
          <w:lang w:val="es-ES" w:eastAsia="es-ES"/>
        </w:rPr>
        <w:t>Metepec, México a 24 de Enero de 2019</w:t>
      </w:r>
    </w:p>
    <w:p w:rsidR="0049799F" w:rsidRPr="008B1544" w:rsidRDefault="0049799F" w:rsidP="008B1544">
      <w:pPr>
        <w:spacing w:after="0" w:line="360" w:lineRule="auto"/>
        <w:ind w:left="851" w:right="567"/>
        <w:contextualSpacing/>
        <w:jc w:val="right"/>
        <w:rPr>
          <w:rFonts w:ascii="Palatino Linotype" w:eastAsia="Times New Roman" w:hAnsi="Palatino Linotype" w:cs="Arial"/>
          <w:i/>
          <w:sz w:val="24"/>
          <w:szCs w:val="24"/>
          <w:lang w:val="es-ES" w:eastAsia="es-ES"/>
        </w:rPr>
      </w:pPr>
      <w:r w:rsidRPr="008B1544">
        <w:rPr>
          <w:rFonts w:ascii="Palatino Linotype" w:eastAsia="Times New Roman" w:hAnsi="Palatino Linotype" w:cs="Arial"/>
          <w:i/>
          <w:sz w:val="24"/>
          <w:szCs w:val="24"/>
          <w:lang w:val="es-ES" w:eastAsia="es-ES"/>
        </w:rPr>
        <w:t xml:space="preserve">Nombre del solicitante: </w:t>
      </w:r>
      <w:r w:rsidR="00527E55" w:rsidRPr="00527E55">
        <w:rPr>
          <w:rFonts w:ascii="Palatino Linotype" w:eastAsia="Times New Roman" w:hAnsi="Palatino Linotype" w:cs="Arial"/>
          <w:i/>
          <w:sz w:val="24"/>
          <w:szCs w:val="24"/>
          <w:highlight w:val="black"/>
          <w:lang w:val="es-ES" w:eastAsia="es-ES"/>
        </w:rPr>
        <w:t>-------------------------------------------------</w:t>
      </w:r>
    </w:p>
    <w:p w:rsidR="008119F2" w:rsidRPr="008B1544" w:rsidRDefault="0049799F" w:rsidP="008B1544">
      <w:pPr>
        <w:spacing w:after="0" w:line="360" w:lineRule="auto"/>
        <w:ind w:left="851" w:right="567"/>
        <w:contextualSpacing/>
        <w:jc w:val="right"/>
        <w:rPr>
          <w:rFonts w:ascii="Palatino Linotype" w:eastAsia="Times New Roman" w:hAnsi="Palatino Linotype" w:cs="Arial"/>
          <w:i/>
          <w:sz w:val="24"/>
          <w:szCs w:val="24"/>
          <w:lang w:val="es-ES" w:eastAsia="es-ES"/>
        </w:rPr>
      </w:pPr>
      <w:r w:rsidRPr="008B1544">
        <w:rPr>
          <w:rFonts w:ascii="Palatino Linotype" w:eastAsia="Times New Roman" w:hAnsi="Palatino Linotype" w:cs="Arial"/>
          <w:i/>
          <w:sz w:val="24"/>
          <w:szCs w:val="24"/>
          <w:lang w:val="es-ES" w:eastAsia="es-ES"/>
        </w:rPr>
        <w:t>Folio de la solicitud: 01745/UPVT/IP/2018</w:t>
      </w:r>
    </w:p>
    <w:p w:rsidR="0049799F" w:rsidRPr="008B1544" w:rsidRDefault="0049799F" w:rsidP="008B1544">
      <w:pPr>
        <w:spacing w:after="0" w:line="360" w:lineRule="auto"/>
        <w:ind w:left="851" w:right="567"/>
        <w:contextualSpacing/>
        <w:jc w:val="both"/>
        <w:rPr>
          <w:rFonts w:ascii="Palatino Linotype" w:eastAsia="Times New Roman" w:hAnsi="Palatino Linotype" w:cs="Arial"/>
          <w:i/>
          <w:sz w:val="24"/>
          <w:szCs w:val="24"/>
          <w:lang w:val="es-ES" w:eastAsia="es-ES"/>
        </w:rPr>
      </w:pPr>
      <w:r w:rsidRPr="008B1544">
        <w:rPr>
          <w:rFonts w:ascii="Palatino Linotype" w:eastAsia="Times New Roman" w:hAnsi="Palatino Linotype" w:cs="Arial"/>
          <w:i/>
          <w:sz w:val="24"/>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9799F" w:rsidRPr="008B1544" w:rsidRDefault="0049799F" w:rsidP="008B1544">
      <w:pPr>
        <w:spacing w:after="0" w:line="360" w:lineRule="auto"/>
        <w:ind w:left="851" w:right="567"/>
        <w:contextualSpacing/>
        <w:jc w:val="both"/>
        <w:rPr>
          <w:rFonts w:ascii="Palatino Linotype" w:eastAsia="Times New Roman" w:hAnsi="Palatino Linotype" w:cs="Arial"/>
          <w:i/>
          <w:sz w:val="24"/>
          <w:szCs w:val="24"/>
          <w:lang w:val="es-ES" w:eastAsia="es-ES"/>
        </w:rPr>
      </w:pPr>
      <w:r w:rsidRPr="008B1544">
        <w:rPr>
          <w:rFonts w:ascii="Palatino Linotype" w:eastAsia="Times New Roman" w:hAnsi="Palatino Linotype" w:cs="Arial"/>
          <w:i/>
          <w:sz w:val="24"/>
          <w:szCs w:val="24"/>
          <w:lang w:val="es-ES" w:eastAsia="es-ES"/>
        </w:rPr>
        <w:t xml:space="preserve">En atención a la solicitud de información registrada con el folio número 01745/UPVT/IP/2018, que realizó el 10 de diciembre del año 2018, sírvase </w:t>
      </w:r>
      <w:r w:rsidRPr="008B1544">
        <w:rPr>
          <w:rFonts w:ascii="Palatino Linotype" w:eastAsia="Times New Roman" w:hAnsi="Palatino Linotype" w:cs="Arial"/>
          <w:i/>
          <w:sz w:val="24"/>
          <w:szCs w:val="24"/>
          <w:lang w:val="es-ES" w:eastAsia="es-ES"/>
        </w:rPr>
        <w:lastRenderedPageBreak/>
        <w:t xml:space="preserve">encontrar en archivo adjunto copia digitalizada en formato </w:t>
      </w:r>
      <w:proofErr w:type="spellStart"/>
      <w:r w:rsidRPr="008B1544">
        <w:rPr>
          <w:rFonts w:ascii="Palatino Linotype" w:eastAsia="Times New Roman" w:hAnsi="Palatino Linotype" w:cs="Arial"/>
          <w:i/>
          <w:sz w:val="24"/>
          <w:szCs w:val="24"/>
          <w:lang w:val="es-ES" w:eastAsia="es-ES"/>
        </w:rPr>
        <w:t>pdf</w:t>
      </w:r>
      <w:proofErr w:type="spellEnd"/>
      <w:r w:rsidRPr="008B1544">
        <w:rPr>
          <w:rFonts w:ascii="Palatino Linotype" w:eastAsia="Times New Roman" w:hAnsi="Palatino Linotype" w:cs="Arial"/>
          <w:i/>
          <w:sz w:val="24"/>
          <w:szCs w:val="24"/>
          <w:lang w:val="es-ES" w:eastAsia="es-ES"/>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49799F" w:rsidRPr="008B1544" w:rsidRDefault="0049799F" w:rsidP="008B1544">
      <w:pPr>
        <w:spacing w:after="0" w:line="360" w:lineRule="auto"/>
        <w:ind w:left="851" w:right="567"/>
        <w:contextualSpacing/>
        <w:rPr>
          <w:rFonts w:ascii="Palatino Linotype" w:eastAsia="Times New Roman" w:hAnsi="Palatino Linotype" w:cs="Arial"/>
          <w:i/>
          <w:sz w:val="24"/>
          <w:szCs w:val="24"/>
          <w:lang w:val="es-ES" w:eastAsia="es-ES"/>
        </w:rPr>
      </w:pPr>
      <w:r w:rsidRPr="008B1544">
        <w:rPr>
          <w:rFonts w:ascii="Palatino Linotype" w:eastAsia="Times New Roman" w:hAnsi="Palatino Linotype" w:cs="Arial"/>
          <w:i/>
          <w:sz w:val="24"/>
          <w:szCs w:val="24"/>
          <w:lang w:val="es-ES" w:eastAsia="es-ES"/>
        </w:rPr>
        <w:t>ATENTAMENTE</w:t>
      </w:r>
    </w:p>
    <w:p w:rsidR="00792776" w:rsidRPr="008B1544" w:rsidRDefault="0049799F" w:rsidP="008B1544">
      <w:pPr>
        <w:spacing w:after="0" w:line="360" w:lineRule="auto"/>
        <w:ind w:left="851" w:right="567"/>
        <w:contextualSpacing/>
        <w:rPr>
          <w:rFonts w:ascii="Palatino Linotype" w:eastAsia="Times New Roman" w:hAnsi="Palatino Linotype" w:cs="Arial"/>
          <w:i/>
          <w:sz w:val="24"/>
          <w:szCs w:val="24"/>
          <w:lang w:val="es-ES" w:eastAsia="es-ES"/>
        </w:rPr>
      </w:pPr>
      <w:r w:rsidRPr="008B1544">
        <w:rPr>
          <w:rFonts w:ascii="Palatino Linotype" w:eastAsia="Times New Roman" w:hAnsi="Palatino Linotype" w:cs="Arial"/>
          <w:i/>
          <w:sz w:val="24"/>
          <w:szCs w:val="24"/>
          <w:lang w:val="es-ES" w:eastAsia="es-ES"/>
        </w:rPr>
        <w:t>LIC. GABRIELA AVILES OLIVARES</w:t>
      </w:r>
      <w:r w:rsidR="00E13049" w:rsidRPr="008B1544">
        <w:rPr>
          <w:rFonts w:ascii="Palatino Linotype" w:eastAsia="Times New Roman" w:hAnsi="Palatino Linotype" w:cs="Arial"/>
          <w:i/>
          <w:sz w:val="24"/>
          <w:szCs w:val="24"/>
          <w:lang w:val="es-ES" w:eastAsia="es-ES"/>
        </w:rPr>
        <w:t>”</w:t>
      </w:r>
    </w:p>
    <w:p w:rsidR="00E13049" w:rsidRPr="008B1544" w:rsidRDefault="00E13049" w:rsidP="008B1544">
      <w:pPr>
        <w:spacing w:after="0" w:line="360" w:lineRule="auto"/>
        <w:ind w:right="34"/>
        <w:contextualSpacing/>
        <w:jc w:val="both"/>
        <w:rPr>
          <w:rFonts w:ascii="Palatino Linotype" w:eastAsia="Times New Roman" w:hAnsi="Palatino Linotype" w:cs="Arial"/>
          <w:sz w:val="24"/>
          <w:szCs w:val="24"/>
          <w:lang w:val="es-ES" w:eastAsia="es-ES"/>
        </w:rPr>
      </w:pPr>
    </w:p>
    <w:p w:rsidR="00E13049" w:rsidRPr="008B1544" w:rsidRDefault="00D9622B" w:rsidP="008B1544">
      <w:pPr>
        <w:numPr>
          <w:ilvl w:val="0"/>
          <w:numId w:val="2"/>
        </w:numPr>
        <w:spacing w:after="0" w:line="360" w:lineRule="auto"/>
        <w:ind w:left="0" w:firstLine="0"/>
        <w:contextualSpacing/>
        <w:jc w:val="both"/>
        <w:rPr>
          <w:rFonts w:ascii="Palatino Linotype" w:eastAsia="MS Mincho" w:hAnsi="Palatino Linotype" w:cs="Times New Roman"/>
          <w:b/>
          <w:i/>
          <w:color w:val="000000"/>
          <w:sz w:val="24"/>
          <w:szCs w:val="24"/>
          <w:lang w:val="es-ES_tradnl" w:eastAsia="es-ES"/>
        </w:rPr>
      </w:pPr>
      <w:r w:rsidRPr="008B1544">
        <w:rPr>
          <w:rFonts w:ascii="Palatino Linotype" w:eastAsia="MS Mincho" w:hAnsi="Palatino Linotype" w:cs="Times New Roman"/>
          <w:color w:val="000000"/>
          <w:sz w:val="24"/>
          <w:szCs w:val="24"/>
          <w:lang w:val="es-ES_tradnl" w:eastAsia="es-ES"/>
        </w:rPr>
        <w:t>A dicha respuesta se anexaron (03</w:t>
      </w:r>
      <w:r w:rsidR="00E13049" w:rsidRPr="008B1544">
        <w:rPr>
          <w:rFonts w:ascii="Palatino Linotype" w:eastAsia="MS Mincho" w:hAnsi="Palatino Linotype" w:cs="Times New Roman"/>
          <w:color w:val="000000"/>
          <w:sz w:val="24"/>
          <w:szCs w:val="24"/>
          <w:lang w:val="es-ES_tradnl" w:eastAsia="es-ES"/>
        </w:rPr>
        <w:t>) archivo</w:t>
      </w:r>
      <w:r w:rsidRPr="008B1544">
        <w:rPr>
          <w:rFonts w:ascii="Palatino Linotype" w:eastAsia="MS Mincho" w:hAnsi="Palatino Linotype" w:cs="Times New Roman"/>
          <w:color w:val="000000"/>
          <w:sz w:val="24"/>
          <w:szCs w:val="24"/>
          <w:lang w:val="es-ES_tradnl" w:eastAsia="es-ES"/>
        </w:rPr>
        <w:t xml:space="preserve">s electrónicos </w:t>
      </w:r>
      <w:r w:rsidR="00E13049" w:rsidRPr="008B1544">
        <w:rPr>
          <w:rFonts w:ascii="Palatino Linotype" w:eastAsia="MS Mincho" w:hAnsi="Palatino Linotype" w:cs="Times New Roman"/>
          <w:color w:val="000000"/>
          <w:sz w:val="24"/>
          <w:szCs w:val="24"/>
          <w:lang w:val="es-ES_tradnl" w:eastAsia="es-ES"/>
        </w:rPr>
        <w:t xml:space="preserve">a saber: </w:t>
      </w:r>
    </w:p>
    <w:p w:rsidR="00E13049" w:rsidRPr="008B1544" w:rsidRDefault="00E13049" w:rsidP="008B1544">
      <w:pPr>
        <w:spacing w:after="0" w:line="360" w:lineRule="auto"/>
        <w:contextualSpacing/>
        <w:jc w:val="both"/>
        <w:rPr>
          <w:rFonts w:ascii="Palatino Linotype" w:eastAsia="MS Mincho" w:hAnsi="Palatino Linotype" w:cs="Times New Roman"/>
          <w:b/>
          <w:i/>
          <w:color w:val="000000"/>
          <w:sz w:val="24"/>
          <w:szCs w:val="24"/>
          <w:lang w:val="es-ES_tradnl" w:eastAsia="es-ES"/>
        </w:rPr>
      </w:pPr>
    </w:p>
    <w:p w:rsidR="00D9622B" w:rsidRPr="008B1544" w:rsidRDefault="00D9622B" w:rsidP="008B1544">
      <w:pPr>
        <w:numPr>
          <w:ilvl w:val="0"/>
          <w:numId w:val="10"/>
        </w:numPr>
        <w:spacing w:after="0" w:line="360" w:lineRule="auto"/>
        <w:ind w:right="567"/>
        <w:contextualSpacing/>
        <w:jc w:val="both"/>
        <w:rPr>
          <w:rFonts w:ascii="Palatino Linotype" w:eastAsia="MS Mincho" w:hAnsi="Palatino Linotype" w:cs="Arial"/>
          <w:i/>
          <w:sz w:val="24"/>
          <w:szCs w:val="24"/>
          <w:lang w:val="es-ES_tradnl" w:eastAsia="es-ES"/>
        </w:rPr>
      </w:pPr>
      <w:r w:rsidRPr="008B1544">
        <w:rPr>
          <w:rFonts w:ascii="Palatino Linotype" w:eastAsia="MS Mincho" w:hAnsi="Palatino Linotype" w:cs="Times New Roman"/>
          <w:b/>
          <w:color w:val="000000"/>
          <w:sz w:val="24"/>
          <w:szCs w:val="24"/>
          <w:lang w:val="es-ES_tradnl" w:eastAsia="es-ES"/>
        </w:rPr>
        <w:t>Renuncias.pdf</w:t>
      </w:r>
      <w:r w:rsidR="00E13049" w:rsidRPr="008B1544">
        <w:rPr>
          <w:rFonts w:ascii="Palatino Linotype" w:eastAsia="MS Mincho" w:hAnsi="Palatino Linotype" w:cs="Times New Roman"/>
          <w:b/>
          <w:color w:val="000000"/>
          <w:sz w:val="24"/>
          <w:szCs w:val="24"/>
          <w:lang w:val="es-ES_tradnl" w:eastAsia="es-ES"/>
        </w:rPr>
        <w:t xml:space="preserve">: </w:t>
      </w:r>
      <w:r w:rsidR="00E13049" w:rsidRPr="008B1544">
        <w:rPr>
          <w:rFonts w:ascii="Palatino Linotype" w:eastAsia="MS Mincho" w:hAnsi="Palatino Linotype" w:cs="Times New Roman"/>
          <w:color w:val="000000"/>
          <w:sz w:val="24"/>
          <w:szCs w:val="24"/>
          <w:lang w:val="es-ES_tradnl" w:eastAsia="es-ES"/>
        </w:rPr>
        <w:t xml:space="preserve">Correspondiente a un </w:t>
      </w:r>
      <w:r w:rsidRPr="008B1544">
        <w:rPr>
          <w:rFonts w:ascii="Palatino Linotype" w:eastAsia="MS Mincho" w:hAnsi="Palatino Linotype" w:cs="Times New Roman"/>
          <w:color w:val="000000"/>
          <w:sz w:val="24"/>
          <w:szCs w:val="24"/>
          <w:lang w:val="es-ES_tradnl" w:eastAsia="es-ES"/>
        </w:rPr>
        <w:t>documento electrónico que en cinco (05</w:t>
      </w:r>
      <w:r w:rsidR="00E13049" w:rsidRPr="008B1544">
        <w:rPr>
          <w:rFonts w:ascii="Palatino Linotype" w:eastAsia="MS Mincho" w:hAnsi="Palatino Linotype" w:cs="Times New Roman"/>
          <w:color w:val="000000"/>
          <w:sz w:val="24"/>
          <w:szCs w:val="24"/>
          <w:lang w:val="es-ES_tradnl" w:eastAsia="es-ES"/>
        </w:rPr>
        <w:t>)  hoja</w:t>
      </w:r>
      <w:r w:rsidRPr="008B1544">
        <w:rPr>
          <w:rFonts w:ascii="Palatino Linotype" w:eastAsia="MS Mincho" w:hAnsi="Palatino Linotype" w:cs="Times New Roman"/>
          <w:color w:val="000000"/>
          <w:sz w:val="24"/>
          <w:szCs w:val="24"/>
          <w:lang w:val="es-ES_tradnl" w:eastAsia="es-ES"/>
        </w:rPr>
        <w:t xml:space="preserve">s contiene diversas renuncias dirigidas a la Rectora de la Universidad Politécnica del Valle de Toluca. </w:t>
      </w:r>
    </w:p>
    <w:p w:rsidR="00C51ABB" w:rsidRPr="008B1544" w:rsidRDefault="00C51ABB" w:rsidP="008B1544">
      <w:pPr>
        <w:spacing w:after="0" w:line="360" w:lineRule="auto"/>
        <w:ind w:left="780" w:right="567"/>
        <w:contextualSpacing/>
        <w:jc w:val="both"/>
        <w:rPr>
          <w:rFonts w:ascii="Palatino Linotype" w:eastAsia="MS Mincho" w:hAnsi="Palatino Linotype" w:cs="Arial"/>
          <w:i/>
          <w:sz w:val="24"/>
          <w:szCs w:val="24"/>
          <w:lang w:val="es-ES_tradnl" w:eastAsia="es-ES"/>
        </w:rPr>
      </w:pPr>
    </w:p>
    <w:p w:rsidR="00C21599" w:rsidRPr="008B1544" w:rsidRDefault="004F0F88" w:rsidP="008B1544">
      <w:pPr>
        <w:numPr>
          <w:ilvl w:val="0"/>
          <w:numId w:val="10"/>
        </w:numPr>
        <w:spacing w:after="0" w:line="360" w:lineRule="auto"/>
        <w:ind w:right="567"/>
        <w:contextualSpacing/>
        <w:jc w:val="both"/>
        <w:rPr>
          <w:rFonts w:ascii="Palatino Linotype" w:eastAsia="MS Mincho" w:hAnsi="Palatino Linotype" w:cs="Arial"/>
          <w:i/>
          <w:sz w:val="24"/>
          <w:szCs w:val="24"/>
          <w:lang w:val="es-ES_tradnl" w:eastAsia="es-ES"/>
        </w:rPr>
      </w:pPr>
      <w:hyperlink r:id="rId8" w:tgtFrame="_blank" w:history="1">
        <w:r w:rsidR="00C51ABB" w:rsidRPr="008B1544">
          <w:rPr>
            <w:rStyle w:val="Hipervnculo"/>
            <w:rFonts w:ascii="Palatino Linotype" w:eastAsia="MS Mincho" w:hAnsi="Palatino Linotype" w:cs="Arial"/>
            <w:b/>
            <w:bCs/>
            <w:color w:val="000000" w:themeColor="text1"/>
            <w:sz w:val="24"/>
            <w:szCs w:val="24"/>
            <w:u w:val="none"/>
            <w:lang w:eastAsia="es-ES"/>
          </w:rPr>
          <w:t>01745UPVTIP2018.pd</w:t>
        </w:r>
        <w:r w:rsidR="00C51ABB" w:rsidRPr="008B1544">
          <w:rPr>
            <w:rStyle w:val="Hipervnculo"/>
            <w:rFonts w:ascii="Palatino Linotype" w:eastAsia="MS Mincho" w:hAnsi="Palatino Linotype" w:cs="Arial"/>
            <w:b/>
            <w:bCs/>
            <w:i/>
            <w:color w:val="000000" w:themeColor="text1"/>
            <w:sz w:val="24"/>
            <w:szCs w:val="24"/>
            <w:lang w:eastAsia="es-ES"/>
          </w:rPr>
          <w:t>f</w:t>
        </w:r>
      </w:hyperlink>
      <w:r w:rsidR="00C51ABB" w:rsidRPr="008B1544">
        <w:rPr>
          <w:rFonts w:ascii="Palatino Linotype" w:eastAsia="MS Mincho" w:hAnsi="Palatino Linotype" w:cs="Times New Roman"/>
          <w:b/>
          <w:color w:val="000000" w:themeColor="text1"/>
          <w:sz w:val="24"/>
          <w:szCs w:val="24"/>
          <w:lang w:val="es-ES_tradnl" w:eastAsia="es-ES"/>
        </w:rPr>
        <w:t xml:space="preserve">: </w:t>
      </w:r>
      <w:r w:rsidR="00C51ABB" w:rsidRPr="008B1544">
        <w:rPr>
          <w:rFonts w:ascii="Palatino Linotype" w:eastAsia="MS Mincho" w:hAnsi="Palatino Linotype" w:cs="Times New Roman"/>
          <w:color w:val="000000"/>
          <w:sz w:val="24"/>
          <w:szCs w:val="24"/>
          <w:lang w:val="es-ES_tradnl" w:eastAsia="es-ES"/>
        </w:rPr>
        <w:t>Correspondiente a un documento electrónico que en cinco</w:t>
      </w:r>
      <w:r w:rsidR="00C51ABB" w:rsidRPr="008B1544">
        <w:rPr>
          <w:rFonts w:ascii="Palatino Linotype" w:eastAsia="MS Mincho" w:hAnsi="Palatino Linotype" w:cs="Arial"/>
          <w:i/>
          <w:sz w:val="24"/>
          <w:szCs w:val="24"/>
          <w:lang w:val="es-ES_tradnl" w:eastAsia="es-ES"/>
        </w:rPr>
        <w:t xml:space="preserve"> </w:t>
      </w:r>
      <w:r w:rsidR="00C51ABB" w:rsidRPr="008B1544">
        <w:rPr>
          <w:rFonts w:ascii="Palatino Linotype" w:eastAsia="MS Mincho" w:hAnsi="Palatino Linotype" w:cs="Times New Roman"/>
          <w:color w:val="000000"/>
          <w:sz w:val="24"/>
          <w:szCs w:val="24"/>
          <w:lang w:val="es-ES_tradnl" w:eastAsia="es-ES"/>
        </w:rPr>
        <w:t>(05) hojas contiene el oficio 205BL14002/0140/2019</w:t>
      </w:r>
      <w:r w:rsidR="00C51ABB" w:rsidRPr="008B1544">
        <w:rPr>
          <w:rFonts w:ascii="Palatino Linotype" w:eastAsia="MS Mincho" w:hAnsi="Palatino Linotype" w:cs="Times New Roman"/>
          <w:b/>
          <w:color w:val="000000"/>
          <w:sz w:val="24"/>
          <w:szCs w:val="24"/>
          <w:lang w:val="es-ES_tradnl" w:eastAsia="es-ES"/>
        </w:rPr>
        <w:t xml:space="preserve"> </w:t>
      </w:r>
      <w:r w:rsidR="00C51ABB" w:rsidRPr="008B1544">
        <w:rPr>
          <w:rFonts w:ascii="Palatino Linotype" w:eastAsia="MS Mincho" w:hAnsi="Palatino Linotype" w:cs="Times New Roman"/>
          <w:color w:val="000000"/>
          <w:sz w:val="24"/>
          <w:szCs w:val="24"/>
          <w:lang w:val="es-ES_tradnl" w:eastAsia="es-ES"/>
        </w:rPr>
        <w:t xml:space="preserve">de fecha veintitrés (23) de enero de dos mil diecinueve, suscrito por la Jefa de Departamento de Recursos Humanos y Materiales y dirigido a la  Titular de la Unidad de Trasparencia, mediante el cual refiere que derivado de una búsqueda exhaustiva y razonable de la información </w:t>
      </w:r>
      <w:r w:rsidR="00C21599" w:rsidRPr="008B1544">
        <w:rPr>
          <w:rFonts w:ascii="Palatino Linotype" w:eastAsia="MS Mincho" w:hAnsi="Palatino Linotype" w:cs="Times New Roman"/>
          <w:color w:val="000000"/>
          <w:sz w:val="24"/>
          <w:szCs w:val="24"/>
          <w:lang w:val="es-ES_tradnl" w:eastAsia="es-ES"/>
        </w:rPr>
        <w:lastRenderedPageBreak/>
        <w:t>se adjuntan las renuncias en versión pública, recibidas durante el periodo de tres (03) de septiembre por ser el inicio del cuatrimestre solicitado a la fecha de la solicitud, testando los datos concernientes a la clave del ISSEMYM, motivo personal de la renuncia, firma y huella digital, así mismo también se refiere que por cuanto hace a las funciones que desempeñaba el personal que renunci</w:t>
      </w:r>
      <w:r w:rsidR="004220C5" w:rsidRPr="008B1544">
        <w:rPr>
          <w:rFonts w:ascii="Palatino Linotype" w:eastAsia="MS Mincho" w:hAnsi="Palatino Linotype" w:cs="Times New Roman"/>
          <w:color w:val="000000"/>
          <w:sz w:val="24"/>
          <w:szCs w:val="24"/>
          <w:lang w:val="es-ES_tradnl" w:eastAsia="es-ES"/>
        </w:rPr>
        <w:t>ó se encuentran en el p</w:t>
      </w:r>
      <w:r w:rsidR="00C21599" w:rsidRPr="008B1544">
        <w:rPr>
          <w:rFonts w:ascii="Palatino Linotype" w:eastAsia="MS Mincho" w:hAnsi="Palatino Linotype" w:cs="Times New Roman"/>
          <w:color w:val="000000"/>
          <w:sz w:val="24"/>
          <w:szCs w:val="24"/>
          <w:lang w:val="es-ES_tradnl" w:eastAsia="es-ES"/>
        </w:rPr>
        <w:t>ortal de Información</w:t>
      </w:r>
      <w:r w:rsidR="004220C5" w:rsidRPr="008B1544">
        <w:rPr>
          <w:rFonts w:ascii="Palatino Linotype" w:eastAsia="MS Mincho" w:hAnsi="Palatino Linotype" w:cs="Times New Roman"/>
          <w:color w:val="000000"/>
          <w:sz w:val="24"/>
          <w:szCs w:val="24"/>
          <w:lang w:val="es-ES_tradnl" w:eastAsia="es-ES"/>
        </w:rPr>
        <w:t xml:space="preserve"> Pública de Oficio</w:t>
      </w:r>
      <w:r w:rsidR="00C21599" w:rsidRPr="008B1544">
        <w:rPr>
          <w:rFonts w:ascii="Palatino Linotype" w:eastAsia="MS Mincho" w:hAnsi="Palatino Linotype" w:cs="Times New Roman"/>
          <w:color w:val="000000"/>
          <w:sz w:val="24"/>
          <w:szCs w:val="24"/>
          <w:lang w:val="es-ES_tradnl" w:eastAsia="es-ES"/>
        </w:rPr>
        <w:t xml:space="preserve"> Mexiquense </w:t>
      </w:r>
      <w:r w:rsidR="00C21599" w:rsidRPr="008B1544">
        <w:rPr>
          <w:rFonts w:ascii="Palatino Linotype" w:eastAsia="MS Mincho" w:hAnsi="Palatino Linotype" w:cs="Times New Roman"/>
          <w:b/>
          <w:color w:val="000000"/>
          <w:sz w:val="24"/>
          <w:szCs w:val="24"/>
          <w:lang w:val="es-ES_tradnl" w:eastAsia="es-ES"/>
        </w:rPr>
        <w:t>(IPOMEX).</w:t>
      </w:r>
    </w:p>
    <w:p w:rsidR="00C21599" w:rsidRPr="008B1544" w:rsidRDefault="00C21599" w:rsidP="008B1544">
      <w:pPr>
        <w:pStyle w:val="Prrafodelista"/>
        <w:spacing w:line="360" w:lineRule="auto"/>
        <w:rPr>
          <w:rFonts w:ascii="Palatino Linotype" w:eastAsia="MS Mincho" w:hAnsi="Palatino Linotype" w:cs="Times New Roman"/>
          <w:color w:val="000000"/>
          <w:sz w:val="24"/>
          <w:szCs w:val="24"/>
          <w:lang w:val="es-ES_tradnl" w:eastAsia="es-ES"/>
        </w:rPr>
      </w:pPr>
    </w:p>
    <w:p w:rsidR="00C21599" w:rsidRPr="008B1544" w:rsidRDefault="00C21599" w:rsidP="008B1544">
      <w:pPr>
        <w:numPr>
          <w:ilvl w:val="0"/>
          <w:numId w:val="10"/>
        </w:numPr>
        <w:spacing w:after="0" w:line="360" w:lineRule="auto"/>
        <w:ind w:right="567"/>
        <w:contextualSpacing/>
        <w:jc w:val="both"/>
        <w:rPr>
          <w:rFonts w:ascii="Palatino Linotype" w:eastAsia="MS Mincho" w:hAnsi="Palatino Linotype" w:cs="Arial"/>
          <w:i/>
          <w:sz w:val="24"/>
          <w:szCs w:val="24"/>
          <w:lang w:val="es-ES_tradnl" w:eastAsia="es-ES"/>
        </w:rPr>
      </w:pPr>
      <w:r w:rsidRPr="008B1544">
        <w:rPr>
          <w:rFonts w:ascii="Palatino Linotype" w:eastAsia="Calibri" w:hAnsi="Palatino Linotype" w:cs="Arial"/>
          <w:b/>
          <w:sz w:val="24"/>
          <w:szCs w:val="24"/>
          <w:lang w:val="es-ES" w:eastAsia="es-ES"/>
        </w:rPr>
        <w:t xml:space="preserve">UT_SOL 1745.pdf: </w:t>
      </w:r>
      <w:r w:rsidRPr="008B1544">
        <w:rPr>
          <w:rFonts w:ascii="Palatino Linotype" w:eastAsia="MS Mincho" w:hAnsi="Palatino Linotype" w:cs="Times New Roman"/>
          <w:sz w:val="24"/>
          <w:szCs w:val="24"/>
          <w:lang w:val="es-ES_tradnl" w:eastAsia="es-ES"/>
        </w:rPr>
        <w:t>Documento electrónico que en una (01) hoja contiene el Oficio 205BL16001/554/2019 de veinticuatro (24) de enero de dos mil diecinueve, signado por la Titular de la Unidad de Trasparencia del Sujeto Obligado, dirigido al particular, mediante el cual pone a disposición la información entregada por el servidor público habilitado.</w:t>
      </w:r>
    </w:p>
    <w:p w:rsidR="00050F93" w:rsidRPr="008B1544" w:rsidRDefault="00050F93" w:rsidP="008B1544">
      <w:pPr>
        <w:spacing w:after="0" w:line="360" w:lineRule="auto"/>
        <w:ind w:right="567"/>
        <w:contextualSpacing/>
        <w:jc w:val="both"/>
        <w:rPr>
          <w:rFonts w:ascii="Palatino Linotype" w:eastAsia="MS Mincho" w:hAnsi="Palatino Linotype" w:cs="Arial"/>
          <w:i/>
          <w:sz w:val="24"/>
          <w:szCs w:val="24"/>
          <w:lang w:val="es-ES_tradnl" w:eastAsia="es-ES"/>
        </w:rPr>
      </w:pPr>
    </w:p>
    <w:p w:rsidR="00792776" w:rsidRPr="008B1544" w:rsidRDefault="00792776" w:rsidP="008B1544">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8B1544">
        <w:rPr>
          <w:rFonts w:ascii="Palatino Linotype" w:eastAsia="Times New Roman" w:hAnsi="Palatino Linotype" w:cs="Arial"/>
          <w:sz w:val="24"/>
          <w:szCs w:val="24"/>
          <w:lang w:val="es-ES" w:eastAsia="es-ES"/>
        </w:rPr>
        <w:t>E</w:t>
      </w:r>
      <w:r w:rsidR="00C21599" w:rsidRPr="008B1544">
        <w:rPr>
          <w:rFonts w:ascii="Palatino Linotype" w:eastAsia="Times New Roman" w:hAnsi="Palatino Linotype" w:cs="Arial"/>
          <w:sz w:val="24"/>
          <w:szCs w:val="24"/>
          <w:lang w:val="es-ES" w:eastAsia="es-ES"/>
        </w:rPr>
        <w:t>l día seis (06</w:t>
      </w:r>
      <w:r w:rsidR="00050F93" w:rsidRPr="008B1544">
        <w:rPr>
          <w:rFonts w:ascii="Palatino Linotype" w:eastAsia="Times New Roman" w:hAnsi="Palatino Linotype" w:cs="Arial"/>
          <w:sz w:val="24"/>
          <w:szCs w:val="24"/>
          <w:lang w:val="es-ES" w:eastAsia="es-ES"/>
        </w:rPr>
        <w:t>)</w:t>
      </w:r>
      <w:r w:rsidR="00960D99" w:rsidRPr="008B1544">
        <w:rPr>
          <w:rFonts w:ascii="Palatino Linotype" w:eastAsia="Times New Roman" w:hAnsi="Palatino Linotype" w:cs="Arial"/>
          <w:sz w:val="24"/>
          <w:szCs w:val="24"/>
          <w:lang w:val="es-ES" w:eastAsia="es-ES"/>
        </w:rPr>
        <w:t xml:space="preserve"> de</w:t>
      </w:r>
      <w:r w:rsidR="00F44AB0" w:rsidRPr="008B1544">
        <w:rPr>
          <w:rFonts w:ascii="Palatino Linotype" w:eastAsia="Times New Roman" w:hAnsi="Palatino Linotype" w:cs="Arial"/>
          <w:sz w:val="24"/>
          <w:szCs w:val="24"/>
          <w:lang w:val="es-ES" w:eastAsia="es-ES"/>
        </w:rPr>
        <w:t xml:space="preserve"> febrero</w:t>
      </w:r>
      <w:r w:rsidR="00C64E0E" w:rsidRPr="008B1544">
        <w:rPr>
          <w:rFonts w:ascii="Palatino Linotype" w:eastAsia="Times New Roman" w:hAnsi="Palatino Linotype" w:cs="Arial"/>
          <w:sz w:val="24"/>
          <w:szCs w:val="24"/>
          <w:lang w:val="es-ES" w:eastAsia="es-ES"/>
        </w:rPr>
        <w:t xml:space="preserve"> de dos mil </w:t>
      </w:r>
      <w:r w:rsidR="006B5505" w:rsidRPr="008B1544">
        <w:rPr>
          <w:rFonts w:ascii="Palatino Linotype" w:eastAsia="Times New Roman" w:hAnsi="Palatino Linotype" w:cs="Arial"/>
          <w:sz w:val="24"/>
          <w:szCs w:val="24"/>
          <w:lang w:val="es-ES" w:eastAsia="es-ES"/>
        </w:rPr>
        <w:t>diecinueve</w:t>
      </w:r>
      <w:r w:rsidRPr="008B1544">
        <w:rPr>
          <w:rFonts w:ascii="Palatino Linotype" w:eastAsia="Times New Roman" w:hAnsi="Palatino Linotype" w:cs="Arial"/>
          <w:sz w:val="24"/>
          <w:szCs w:val="24"/>
          <w:lang w:val="es-ES" w:eastAsia="es-ES"/>
        </w:rPr>
        <w:t xml:space="preserve">, estando en tiempo y forma, </w:t>
      </w:r>
      <w:r w:rsidR="00527E55" w:rsidRPr="00527E55">
        <w:rPr>
          <w:rFonts w:ascii="Palatino Linotype" w:eastAsia="Times New Roman" w:hAnsi="Palatino Linotype" w:cs="Arial"/>
          <w:b/>
          <w:sz w:val="24"/>
          <w:szCs w:val="24"/>
          <w:highlight w:val="black"/>
          <w:lang w:val="es-ES" w:eastAsia="es-ES"/>
        </w:rPr>
        <w:t>-----------------------------------</w:t>
      </w:r>
      <w:r w:rsidR="00050F93" w:rsidRPr="008B1544">
        <w:rPr>
          <w:rFonts w:ascii="Palatino Linotype" w:eastAsia="Times New Roman" w:hAnsi="Palatino Linotype" w:cs="Arial"/>
          <w:sz w:val="24"/>
          <w:szCs w:val="24"/>
          <w:lang w:val="es-ES" w:eastAsia="es-ES"/>
        </w:rPr>
        <w:t xml:space="preserve">, interpuso </w:t>
      </w:r>
      <w:r w:rsidRPr="008B1544">
        <w:rPr>
          <w:rFonts w:ascii="Palatino Linotype" w:eastAsia="Times New Roman" w:hAnsi="Palatino Linotype" w:cs="Arial"/>
          <w:sz w:val="24"/>
          <w:szCs w:val="24"/>
          <w:lang w:val="es-ES" w:eastAsia="es-ES"/>
        </w:rPr>
        <w:t>recurso de revisión que a</w:t>
      </w:r>
      <w:r w:rsidR="00050F93" w:rsidRPr="008B1544">
        <w:rPr>
          <w:rFonts w:ascii="Palatino Linotype" w:eastAsia="Times New Roman" w:hAnsi="Palatino Linotype" w:cs="Arial"/>
          <w:sz w:val="24"/>
          <w:szCs w:val="24"/>
          <w:lang w:val="es-ES" w:eastAsia="es-ES"/>
        </w:rPr>
        <w:t xml:space="preserve">l rubro se indica, en contra de la </w:t>
      </w:r>
      <w:r w:rsidRPr="008B1544">
        <w:rPr>
          <w:rFonts w:ascii="Palatino Linotype" w:eastAsia="Times New Roman" w:hAnsi="Palatino Linotype" w:cs="Arial"/>
          <w:sz w:val="24"/>
          <w:szCs w:val="24"/>
          <w:lang w:val="es-ES" w:eastAsia="es-ES"/>
        </w:rPr>
        <w:t>respuesta</w:t>
      </w:r>
      <w:r w:rsidR="00050F93" w:rsidRPr="008B1544">
        <w:rPr>
          <w:rFonts w:ascii="Palatino Linotype" w:eastAsia="Times New Roman" w:hAnsi="Palatino Linotype" w:cs="Arial"/>
          <w:sz w:val="24"/>
          <w:szCs w:val="24"/>
          <w:lang w:val="es-ES" w:eastAsia="es-ES"/>
        </w:rPr>
        <w:t xml:space="preserve"> anteriormente referida</w:t>
      </w:r>
      <w:r w:rsidRPr="008B1544">
        <w:rPr>
          <w:rFonts w:ascii="Palatino Linotype" w:eastAsia="Times New Roman" w:hAnsi="Palatino Linotype" w:cs="Arial"/>
          <w:sz w:val="24"/>
          <w:szCs w:val="24"/>
          <w:lang w:val="es-ES" w:eastAsia="es-ES"/>
        </w:rPr>
        <w:t xml:space="preserve">, </w:t>
      </w:r>
      <w:r w:rsidR="00050F93" w:rsidRPr="008B1544">
        <w:rPr>
          <w:rFonts w:ascii="Palatino Linotype" w:eastAsia="Times New Roman" w:hAnsi="Palatino Linotype" w:cs="Arial"/>
          <w:sz w:val="24"/>
          <w:szCs w:val="24"/>
          <w:lang w:val="es-ES" w:eastAsia="es-ES"/>
        </w:rPr>
        <w:t>señalando como</w:t>
      </w:r>
      <w:r w:rsidRPr="008B1544">
        <w:rPr>
          <w:rFonts w:ascii="Palatino Linotype" w:eastAsia="Times New Roman" w:hAnsi="Palatino Linotype" w:cs="Arial"/>
          <w:sz w:val="24"/>
          <w:szCs w:val="24"/>
          <w:lang w:val="es-ES" w:eastAsia="es-ES"/>
        </w:rPr>
        <w:t>:</w:t>
      </w:r>
    </w:p>
    <w:p w:rsidR="00792776" w:rsidRPr="008B1544" w:rsidRDefault="00792776" w:rsidP="008B1544">
      <w:pPr>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8B1544" w:rsidRDefault="00792776" w:rsidP="008B1544">
      <w:pPr>
        <w:numPr>
          <w:ilvl w:val="0"/>
          <w:numId w:val="3"/>
        </w:numPr>
        <w:spacing w:after="0" w:line="360" w:lineRule="auto"/>
        <w:ind w:left="851" w:right="567"/>
        <w:contextualSpacing/>
        <w:jc w:val="both"/>
        <w:rPr>
          <w:rFonts w:ascii="Palatino Linotype" w:eastAsia="MS Mincho" w:hAnsi="Palatino Linotype" w:cs="Times New Roman"/>
          <w:i/>
          <w:sz w:val="24"/>
          <w:szCs w:val="24"/>
          <w:lang w:val="es-ES_tradnl" w:eastAsia="es-ES"/>
        </w:rPr>
      </w:pPr>
      <w:r w:rsidRPr="008B1544">
        <w:rPr>
          <w:rFonts w:ascii="Palatino Linotype" w:eastAsia="MS Gothic" w:hAnsi="Palatino Linotype" w:cs="Times New Roman"/>
          <w:b/>
          <w:sz w:val="24"/>
          <w:szCs w:val="24"/>
          <w:lang w:val="es-ES"/>
        </w:rPr>
        <w:t>Acto impugnado</w:t>
      </w:r>
      <w:r w:rsidRPr="008B1544">
        <w:rPr>
          <w:rFonts w:ascii="Palatino Linotype" w:eastAsia="MS Mincho" w:hAnsi="Palatino Linotype" w:cs="Times New Roman"/>
          <w:sz w:val="24"/>
          <w:szCs w:val="24"/>
          <w:lang w:val="es-ES_tradnl" w:eastAsia="es-ES"/>
        </w:rPr>
        <w:t xml:space="preserve">: </w:t>
      </w:r>
      <w:r w:rsidRPr="008B1544">
        <w:rPr>
          <w:rFonts w:ascii="Palatino Linotype" w:eastAsia="MS Mincho" w:hAnsi="Palatino Linotype" w:cs="Times New Roman"/>
          <w:i/>
          <w:sz w:val="24"/>
          <w:szCs w:val="24"/>
          <w:lang w:val="es-ES_tradnl" w:eastAsia="es-ES"/>
        </w:rPr>
        <w:t>“</w:t>
      </w:r>
      <w:r w:rsidR="00F44AB0" w:rsidRPr="008B1544">
        <w:rPr>
          <w:rFonts w:ascii="Palatino Linotype" w:eastAsia="MS Mincho" w:hAnsi="Palatino Linotype" w:cs="Times New Roman"/>
          <w:i/>
          <w:sz w:val="24"/>
          <w:szCs w:val="24"/>
          <w:lang w:eastAsia="es-ES"/>
        </w:rPr>
        <w:t>No es el total de lo solicitado</w:t>
      </w:r>
      <w:r w:rsidRPr="008B1544">
        <w:rPr>
          <w:rFonts w:ascii="Palatino Linotype" w:eastAsia="MS Mincho" w:hAnsi="Palatino Linotype" w:cs="Times New Roman"/>
          <w:i/>
          <w:sz w:val="24"/>
          <w:szCs w:val="24"/>
          <w:lang w:val="es-ES_tradnl" w:eastAsia="es-ES"/>
        </w:rPr>
        <w:t>”</w:t>
      </w:r>
      <w:r w:rsidR="004653A7" w:rsidRPr="008B1544">
        <w:rPr>
          <w:rFonts w:ascii="Palatino Linotype" w:eastAsia="MS Mincho" w:hAnsi="Palatino Linotype" w:cs="Times New Roman"/>
          <w:i/>
          <w:sz w:val="24"/>
          <w:szCs w:val="24"/>
          <w:lang w:val="es-ES_tradnl" w:eastAsia="es-ES"/>
        </w:rPr>
        <w:t xml:space="preserve">. </w:t>
      </w:r>
      <w:r w:rsidRPr="008B1544">
        <w:rPr>
          <w:rFonts w:ascii="Palatino Linotype" w:eastAsia="MS Mincho" w:hAnsi="Palatino Linotype" w:cs="Times New Roman"/>
          <w:i/>
          <w:sz w:val="24"/>
          <w:szCs w:val="24"/>
          <w:lang w:val="es-ES_tradnl" w:eastAsia="es-ES"/>
        </w:rPr>
        <w:t>(Sic)</w:t>
      </w:r>
    </w:p>
    <w:p w:rsidR="00A612C0" w:rsidRPr="008B1544" w:rsidRDefault="00A612C0" w:rsidP="008B1544">
      <w:pPr>
        <w:spacing w:after="0" w:line="360" w:lineRule="auto"/>
        <w:ind w:left="1080" w:right="567"/>
        <w:contextualSpacing/>
        <w:jc w:val="both"/>
        <w:rPr>
          <w:rFonts w:ascii="Palatino Linotype" w:eastAsia="MS Mincho" w:hAnsi="Palatino Linotype" w:cs="Times New Roman"/>
          <w:sz w:val="24"/>
          <w:szCs w:val="24"/>
          <w:lang w:val="es-ES_tradnl" w:eastAsia="es-ES"/>
        </w:rPr>
      </w:pPr>
    </w:p>
    <w:p w:rsidR="00792776" w:rsidRDefault="00792776" w:rsidP="008B1544">
      <w:pPr>
        <w:numPr>
          <w:ilvl w:val="0"/>
          <w:numId w:val="3"/>
        </w:numPr>
        <w:spacing w:after="0" w:line="360" w:lineRule="auto"/>
        <w:ind w:right="567"/>
        <w:contextualSpacing/>
        <w:jc w:val="both"/>
        <w:rPr>
          <w:rFonts w:ascii="Palatino Linotype" w:eastAsia="MS Mincho" w:hAnsi="Palatino Linotype" w:cs="Times New Roman"/>
          <w:sz w:val="24"/>
          <w:szCs w:val="24"/>
          <w:lang w:val="es-ES_tradnl" w:eastAsia="es-ES"/>
        </w:rPr>
      </w:pPr>
      <w:r w:rsidRPr="008B1544">
        <w:rPr>
          <w:rFonts w:ascii="Palatino Linotype" w:eastAsia="MS Gothic" w:hAnsi="Palatino Linotype" w:cs="Times New Roman"/>
          <w:b/>
          <w:sz w:val="24"/>
          <w:szCs w:val="24"/>
          <w:lang w:val="es-ES"/>
        </w:rPr>
        <w:lastRenderedPageBreak/>
        <w:t>Razones o Motivos de inconformidad</w:t>
      </w:r>
      <w:r w:rsidRPr="008B1544">
        <w:rPr>
          <w:rFonts w:ascii="Palatino Linotype" w:eastAsia="MS Mincho" w:hAnsi="Palatino Linotype" w:cs="Times New Roman"/>
          <w:sz w:val="24"/>
          <w:szCs w:val="24"/>
          <w:lang w:val="es-ES_tradnl" w:eastAsia="es-ES"/>
        </w:rPr>
        <w:t xml:space="preserve">: </w:t>
      </w:r>
      <w:r w:rsidRPr="008B1544">
        <w:rPr>
          <w:rFonts w:ascii="Palatino Linotype" w:eastAsia="MS Mincho" w:hAnsi="Palatino Linotype" w:cs="Times New Roman"/>
          <w:i/>
          <w:sz w:val="24"/>
          <w:szCs w:val="24"/>
          <w:lang w:val="es-ES_tradnl" w:eastAsia="es-ES"/>
        </w:rPr>
        <w:t>“</w:t>
      </w:r>
      <w:r w:rsidR="00F44AB0" w:rsidRPr="008B1544">
        <w:rPr>
          <w:rFonts w:ascii="Palatino Linotype" w:eastAsia="MS Mincho" w:hAnsi="Palatino Linotype" w:cs="Times New Roman"/>
          <w:i/>
          <w:sz w:val="24"/>
          <w:szCs w:val="24"/>
          <w:lang w:val="es-ES_tradnl" w:eastAsia="es-ES"/>
        </w:rPr>
        <w:t>No se da el reporte de renuncias solo se justifica con anexos sin las características de lo solicitado</w:t>
      </w:r>
      <w:proofErr w:type="gramStart"/>
      <w:r w:rsidR="00F44AB0" w:rsidRPr="008B1544">
        <w:rPr>
          <w:rFonts w:ascii="Palatino Linotype" w:eastAsia="MS Mincho" w:hAnsi="Palatino Linotype" w:cs="Times New Roman"/>
          <w:i/>
          <w:sz w:val="24"/>
          <w:szCs w:val="24"/>
          <w:lang w:eastAsia="es-ES"/>
        </w:rPr>
        <w:t>.</w:t>
      </w:r>
      <w:r w:rsidRPr="008B1544">
        <w:rPr>
          <w:rFonts w:ascii="Palatino Linotype" w:eastAsia="MS Mincho" w:hAnsi="Palatino Linotype" w:cs="Times New Roman"/>
          <w:i/>
          <w:sz w:val="24"/>
          <w:szCs w:val="24"/>
          <w:lang w:val="es-ES_tradnl" w:eastAsia="es-ES"/>
        </w:rPr>
        <w:t>“</w:t>
      </w:r>
      <w:proofErr w:type="gramEnd"/>
      <w:r w:rsidRPr="008B1544">
        <w:rPr>
          <w:rFonts w:ascii="Palatino Linotype" w:eastAsia="MS Mincho" w:hAnsi="Palatino Linotype" w:cs="Times New Roman"/>
          <w:i/>
          <w:sz w:val="24"/>
          <w:szCs w:val="24"/>
          <w:lang w:val="es-ES_tradnl" w:eastAsia="es-ES"/>
        </w:rPr>
        <w:t xml:space="preserve"> (Sic)</w:t>
      </w:r>
      <w:r w:rsidR="009C789B" w:rsidRPr="008B1544">
        <w:rPr>
          <w:rFonts w:ascii="Palatino Linotype" w:eastAsia="MS Mincho" w:hAnsi="Palatino Linotype" w:cs="Times New Roman"/>
          <w:sz w:val="24"/>
          <w:szCs w:val="24"/>
          <w:lang w:val="es-ES_tradnl" w:eastAsia="es-ES"/>
        </w:rPr>
        <w:t xml:space="preserve"> </w:t>
      </w:r>
    </w:p>
    <w:p w:rsidR="008B1544" w:rsidRPr="008B1544" w:rsidRDefault="008B1544" w:rsidP="008B1544">
      <w:pPr>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8B1544" w:rsidRDefault="00792776" w:rsidP="008B1544">
      <w:pPr>
        <w:numPr>
          <w:ilvl w:val="0"/>
          <w:numId w:val="2"/>
        </w:numPr>
        <w:spacing w:after="0" w:line="360" w:lineRule="auto"/>
        <w:ind w:left="0" w:firstLine="0"/>
        <w:contextualSpacing/>
        <w:jc w:val="both"/>
        <w:rPr>
          <w:rFonts w:ascii="Palatino Linotype" w:eastAsia="Times New Roman" w:hAnsi="Palatino Linotype" w:cs="Arial"/>
          <w:i/>
          <w:sz w:val="24"/>
          <w:szCs w:val="24"/>
          <w:lang w:val="es-ES_tradnl" w:eastAsia="es-ES"/>
        </w:rPr>
      </w:pPr>
      <w:r w:rsidRPr="008B1544">
        <w:rPr>
          <w:rFonts w:ascii="Palatino Linotype" w:eastAsia="Times New Roman" w:hAnsi="Palatino Linotype" w:cs="Arial"/>
          <w:sz w:val="24"/>
          <w:szCs w:val="24"/>
          <w:lang w:val="es-ES" w:eastAsia="es-ES"/>
        </w:rPr>
        <w:t xml:space="preserve">Se registró el recurso de revisión bajo el número de expediente al rubro indicado, </w:t>
      </w:r>
      <w:r w:rsidRPr="008B1544">
        <w:rPr>
          <w:rFonts w:ascii="Palatino Linotype" w:eastAsia="MS Mincho" w:hAnsi="Palatino Linotype" w:cs="Arial"/>
          <w:bCs/>
          <w:sz w:val="24"/>
          <w:szCs w:val="24"/>
          <w:lang w:val="es-ES_tradnl" w:eastAsia="es-ES"/>
        </w:rPr>
        <w:t xml:space="preserve">con fundamento en lo dispuesto por el </w:t>
      </w:r>
      <w:r w:rsidRPr="008B1544">
        <w:rPr>
          <w:rFonts w:ascii="Palatino Linotype" w:eastAsia="Calibri" w:hAnsi="Palatino Linotype" w:cs="Arial"/>
          <w:sz w:val="24"/>
          <w:szCs w:val="24"/>
          <w:lang w:val="es-ES" w:eastAsia="es-ES"/>
        </w:rPr>
        <w:t xml:space="preserve">artículo 185 fracción I de la </w:t>
      </w:r>
      <w:r w:rsidRPr="008B154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B1544">
        <w:rPr>
          <w:rFonts w:ascii="Palatino Linotype" w:eastAsia="Times New Roman" w:hAnsi="Palatino Linotype" w:cs="Arial"/>
          <w:sz w:val="24"/>
          <w:szCs w:val="24"/>
          <w:lang w:val="es-ES" w:eastAsia="es-ES"/>
        </w:rPr>
        <w:t xml:space="preserve">se turnó al </w:t>
      </w:r>
      <w:r w:rsidRPr="008B1544">
        <w:rPr>
          <w:rFonts w:ascii="Palatino Linotype" w:eastAsia="Times New Roman" w:hAnsi="Palatino Linotype" w:cs="Arial"/>
          <w:b/>
          <w:sz w:val="24"/>
          <w:szCs w:val="24"/>
          <w:lang w:val="es-ES" w:eastAsia="es-ES"/>
        </w:rPr>
        <w:t xml:space="preserve">Comisionado José Guadalupe Luna Hernández, </w:t>
      </w:r>
      <w:r w:rsidRPr="008B1544">
        <w:rPr>
          <w:rFonts w:ascii="Palatino Linotype" w:eastAsia="Times New Roman" w:hAnsi="Palatino Linotype" w:cs="Arial"/>
          <w:sz w:val="24"/>
          <w:szCs w:val="24"/>
          <w:lang w:val="es-ES" w:eastAsia="es-ES"/>
        </w:rPr>
        <w:t xml:space="preserve">con el objeto de </w:t>
      </w:r>
      <w:r w:rsidRPr="008B1544">
        <w:rPr>
          <w:rFonts w:ascii="Palatino Linotype" w:eastAsia="Times New Roman" w:hAnsi="Palatino Linotype" w:cs="Arial"/>
          <w:sz w:val="24"/>
          <w:szCs w:val="24"/>
          <w:lang w:eastAsia="es-ES"/>
        </w:rPr>
        <w:t>su análisis</w:t>
      </w:r>
      <w:r w:rsidRPr="008B1544">
        <w:rPr>
          <w:rFonts w:ascii="Palatino Linotype" w:eastAsia="Times New Roman" w:hAnsi="Palatino Linotype" w:cs="Arial"/>
          <w:sz w:val="24"/>
          <w:szCs w:val="24"/>
        </w:rPr>
        <w:t xml:space="preserve">. </w:t>
      </w:r>
    </w:p>
    <w:p w:rsidR="00792776" w:rsidRPr="008B1544" w:rsidRDefault="00792776" w:rsidP="008B1544">
      <w:pPr>
        <w:spacing w:after="0" w:line="360" w:lineRule="auto"/>
        <w:ind w:left="426"/>
        <w:contextualSpacing/>
        <w:jc w:val="both"/>
        <w:rPr>
          <w:rFonts w:ascii="Palatino Linotype" w:eastAsia="Times New Roman" w:hAnsi="Palatino Linotype" w:cs="Arial"/>
          <w:i/>
          <w:sz w:val="24"/>
          <w:szCs w:val="24"/>
          <w:lang w:val="es-ES_tradnl" w:eastAsia="es-ES"/>
        </w:rPr>
      </w:pPr>
    </w:p>
    <w:p w:rsidR="00050F93" w:rsidRPr="008B1544" w:rsidRDefault="00792776" w:rsidP="008B154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8B1544">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F44AB0" w:rsidRPr="008B1544">
        <w:rPr>
          <w:rFonts w:ascii="Palatino Linotype" w:eastAsia="Calibri" w:hAnsi="Palatino Linotype" w:cs="Arial"/>
          <w:sz w:val="24"/>
          <w:szCs w:val="24"/>
          <w:lang w:val="es-ES" w:eastAsia="es-ES"/>
        </w:rPr>
        <w:t xml:space="preserve"> acuerdo de admisión de fecha doce (12) de febrero de dos mil diecinueve</w:t>
      </w:r>
      <w:r w:rsidRPr="008B1544">
        <w:rPr>
          <w:rFonts w:ascii="Palatino Linotype" w:eastAsia="Calibri" w:hAnsi="Palatino Linotype" w:cs="Arial"/>
          <w:sz w:val="24"/>
          <w:szCs w:val="24"/>
          <w:lang w:val="es-ES" w:eastAsia="es-ES"/>
        </w:rPr>
        <w:t xml:space="preserve">, puso a disposición de las partes el expediente electrónico </w:t>
      </w:r>
      <w:r w:rsidRPr="008B1544">
        <w:rPr>
          <w:rFonts w:ascii="Palatino Linotype" w:eastAsia="Calibri" w:hAnsi="Palatino Linotype" w:cs="Arial"/>
          <w:sz w:val="24"/>
          <w:szCs w:val="24"/>
          <w:lang w:val="es-ES_tradnl" w:eastAsia="es-ES"/>
        </w:rPr>
        <w:t xml:space="preserve">vía </w:t>
      </w:r>
      <w:r w:rsidRPr="008B1544">
        <w:rPr>
          <w:rFonts w:ascii="Palatino Linotype" w:eastAsia="Calibri" w:hAnsi="Palatino Linotype" w:cs="Arial"/>
          <w:sz w:val="24"/>
          <w:szCs w:val="24"/>
          <w:lang w:val="es-ES" w:eastAsia="es-ES"/>
        </w:rPr>
        <w:t>Sistema de Acceso a la Información Mexiquense (</w:t>
      </w:r>
      <w:r w:rsidRPr="008B1544">
        <w:rPr>
          <w:rFonts w:ascii="Palatino Linotype" w:eastAsia="Calibri" w:hAnsi="Palatino Linotype" w:cs="Arial"/>
          <w:b/>
          <w:sz w:val="24"/>
          <w:szCs w:val="24"/>
          <w:lang w:val="es-ES" w:eastAsia="es-ES"/>
        </w:rPr>
        <w:t xml:space="preserve">SAIMEX) </w:t>
      </w:r>
      <w:r w:rsidRPr="008B1544">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8B1544">
        <w:rPr>
          <w:rFonts w:ascii="Palatino Linotype" w:eastAsia="Calibri" w:hAnsi="Palatino Linotype" w:cs="Arial"/>
          <w:sz w:val="24"/>
          <w:szCs w:val="24"/>
          <w:lang w:val="es-ES" w:eastAsia="es-ES"/>
        </w:rPr>
        <w:t xml:space="preserve">, de esta forma para que el </w:t>
      </w:r>
      <w:r w:rsidR="00A56228" w:rsidRPr="008B1544">
        <w:rPr>
          <w:rFonts w:ascii="Palatino Linotype" w:eastAsia="Calibri" w:hAnsi="Palatino Linotype" w:cs="Arial"/>
          <w:b/>
          <w:sz w:val="24"/>
          <w:szCs w:val="24"/>
          <w:lang w:val="es-ES" w:eastAsia="es-ES"/>
        </w:rPr>
        <w:t>SUJETO OBLIGADO</w:t>
      </w:r>
      <w:r w:rsidR="009C789B" w:rsidRPr="008B1544">
        <w:rPr>
          <w:rFonts w:ascii="Palatino Linotype" w:eastAsia="Calibri" w:hAnsi="Palatino Linotype" w:cs="Arial"/>
          <w:sz w:val="24"/>
          <w:szCs w:val="24"/>
          <w:lang w:val="es-ES" w:eastAsia="es-ES"/>
        </w:rPr>
        <w:t xml:space="preserve"> presentara</w:t>
      </w:r>
      <w:r w:rsidR="00A56228" w:rsidRPr="008B1544">
        <w:rPr>
          <w:rFonts w:ascii="Palatino Linotype" w:eastAsia="Calibri" w:hAnsi="Palatino Linotype" w:cs="Arial"/>
          <w:sz w:val="24"/>
          <w:szCs w:val="24"/>
          <w:lang w:val="es-ES" w:eastAsia="es-ES"/>
        </w:rPr>
        <w:t xml:space="preserve"> el </w:t>
      </w:r>
      <w:r w:rsidR="00244765" w:rsidRPr="008B1544">
        <w:rPr>
          <w:rFonts w:ascii="Palatino Linotype" w:eastAsia="Calibri" w:hAnsi="Palatino Linotype" w:cs="Arial"/>
          <w:sz w:val="24"/>
          <w:szCs w:val="24"/>
          <w:lang w:val="es-ES" w:eastAsia="es-ES"/>
        </w:rPr>
        <w:t xml:space="preserve">Informe Justificado procedente. </w:t>
      </w:r>
    </w:p>
    <w:p w:rsidR="00050F93" w:rsidRPr="008B1544" w:rsidRDefault="00050F93" w:rsidP="008B1544">
      <w:pPr>
        <w:spacing w:after="0" w:line="360" w:lineRule="auto"/>
        <w:contextualSpacing/>
        <w:jc w:val="both"/>
        <w:rPr>
          <w:rFonts w:ascii="Palatino Linotype" w:eastAsia="Calibri" w:hAnsi="Palatino Linotype" w:cs="Arial"/>
          <w:sz w:val="24"/>
          <w:szCs w:val="24"/>
          <w:lang w:val="es-ES" w:eastAsia="es-ES"/>
        </w:rPr>
      </w:pPr>
    </w:p>
    <w:p w:rsidR="00050F93" w:rsidRPr="008B1544" w:rsidRDefault="00F44AB0" w:rsidP="008B154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8B1544">
        <w:rPr>
          <w:rFonts w:ascii="Palatino Linotype" w:eastAsia="Calibri" w:hAnsi="Palatino Linotype" w:cs="Arial"/>
          <w:sz w:val="24"/>
          <w:szCs w:val="24"/>
          <w:lang w:val="es-ES" w:eastAsia="es-ES"/>
        </w:rPr>
        <w:t>En fecha veintiuno (21</w:t>
      </w:r>
      <w:r w:rsidR="00C000C8" w:rsidRPr="008B1544">
        <w:rPr>
          <w:rFonts w:ascii="Palatino Linotype" w:eastAsia="Calibri" w:hAnsi="Palatino Linotype" w:cs="Arial"/>
          <w:sz w:val="24"/>
          <w:szCs w:val="24"/>
          <w:lang w:val="es-ES" w:eastAsia="es-ES"/>
        </w:rPr>
        <w:t>) de</w:t>
      </w:r>
      <w:r w:rsidRPr="008B1544">
        <w:rPr>
          <w:rFonts w:ascii="Palatino Linotype" w:eastAsia="Calibri" w:hAnsi="Palatino Linotype" w:cs="Arial"/>
          <w:sz w:val="24"/>
          <w:szCs w:val="24"/>
          <w:lang w:val="es-ES" w:eastAsia="es-ES"/>
        </w:rPr>
        <w:t xml:space="preserve"> febrero de </w:t>
      </w:r>
      <w:r w:rsidR="00050F93" w:rsidRPr="008B1544">
        <w:rPr>
          <w:rFonts w:ascii="Palatino Linotype" w:eastAsia="Calibri" w:hAnsi="Palatino Linotype" w:cs="Arial"/>
          <w:sz w:val="24"/>
          <w:szCs w:val="24"/>
          <w:lang w:val="es-ES" w:eastAsia="es-ES"/>
        </w:rPr>
        <w:t>dos mil dieci</w:t>
      </w:r>
      <w:r w:rsidRPr="008B1544">
        <w:rPr>
          <w:rFonts w:ascii="Palatino Linotype" w:eastAsia="Calibri" w:hAnsi="Palatino Linotype" w:cs="Arial"/>
          <w:sz w:val="24"/>
          <w:szCs w:val="24"/>
          <w:lang w:val="es-ES" w:eastAsia="es-ES"/>
        </w:rPr>
        <w:t>nueve</w:t>
      </w:r>
      <w:r w:rsidR="00050F93" w:rsidRPr="008B1544">
        <w:rPr>
          <w:rFonts w:ascii="Palatino Linotype" w:eastAsia="Calibri" w:hAnsi="Palatino Linotype" w:cs="Arial"/>
          <w:sz w:val="24"/>
          <w:szCs w:val="24"/>
          <w:lang w:val="es-ES" w:eastAsia="es-ES"/>
        </w:rPr>
        <w:t xml:space="preserve">, el </w:t>
      </w:r>
      <w:r w:rsidR="00050F93" w:rsidRPr="008B1544">
        <w:rPr>
          <w:rFonts w:ascii="Palatino Linotype" w:eastAsia="Calibri" w:hAnsi="Palatino Linotype" w:cs="Arial"/>
          <w:b/>
          <w:sz w:val="24"/>
          <w:szCs w:val="24"/>
          <w:lang w:val="es-ES" w:eastAsia="es-ES"/>
        </w:rPr>
        <w:t>SUJETO OBLIGADO,</w:t>
      </w:r>
      <w:r w:rsidR="00050F93" w:rsidRPr="008B1544">
        <w:rPr>
          <w:rFonts w:ascii="Palatino Linotype" w:eastAsia="Calibri" w:hAnsi="Palatino Linotype" w:cs="Arial"/>
          <w:sz w:val="24"/>
          <w:szCs w:val="24"/>
          <w:lang w:val="es-ES" w:eastAsia="es-ES"/>
        </w:rPr>
        <w:t xml:space="preserve"> emitió el </w:t>
      </w:r>
      <w:r w:rsidR="00B07BE5" w:rsidRPr="008B1544">
        <w:rPr>
          <w:rFonts w:ascii="Palatino Linotype" w:eastAsia="Calibri" w:hAnsi="Palatino Linotype" w:cs="Arial"/>
          <w:sz w:val="24"/>
          <w:szCs w:val="24"/>
          <w:lang w:val="es-ES" w:eastAsia="es-ES"/>
        </w:rPr>
        <w:t>informe j</w:t>
      </w:r>
      <w:r w:rsidR="00232298" w:rsidRPr="008B1544">
        <w:rPr>
          <w:rFonts w:ascii="Palatino Linotype" w:eastAsia="Calibri" w:hAnsi="Palatino Linotype" w:cs="Arial"/>
          <w:sz w:val="24"/>
          <w:szCs w:val="24"/>
          <w:lang w:val="es-ES" w:eastAsia="es-ES"/>
        </w:rPr>
        <w:t xml:space="preserve">ustificado respectivo, el cual </w:t>
      </w:r>
      <w:r w:rsidR="00B07BE5" w:rsidRPr="008B1544">
        <w:rPr>
          <w:rFonts w:ascii="Palatino Linotype" w:eastAsia="Calibri" w:hAnsi="Palatino Linotype" w:cs="Arial"/>
          <w:sz w:val="24"/>
          <w:szCs w:val="24"/>
          <w:lang w:val="es-ES" w:eastAsia="es-ES"/>
        </w:rPr>
        <w:t>no se puso a la vista del</w:t>
      </w:r>
      <w:r w:rsidR="00050F93" w:rsidRPr="008B1544">
        <w:rPr>
          <w:rFonts w:ascii="Palatino Linotype" w:eastAsia="Calibri" w:hAnsi="Palatino Linotype" w:cs="Arial"/>
          <w:sz w:val="24"/>
          <w:szCs w:val="24"/>
          <w:lang w:val="es-ES" w:eastAsia="es-ES"/>
        </w:rPr>
        <w:t xml:space="preserve"> particular en virtud de que no aportaba elementos novedosos con relación a la respuesta primigenia. Sin embargo, con la finalidad de que no exista opacida</w:t>
      </w:r>
      <w:r w:rsidR="00B07BE5" w:rsidRPr="008B1544">
        <w:rPr>
          <w:rFonts w:ascii="Palatino Linotype" w:eastAsia="Calibri" w:hAnsi="Palatino Linotype" w:cs="Arial"/>
          <w:sz w:val="24"/>
          <w:szCs w:val="24"/>
          <w:lang w:val="es-ES" w:eastAsia="es-ES"/>
        </w:rPr>
        <w:t xml:space="preserve">d, se </w:t>
      </w:r>
      <w:r w:rsidR="00B07BE5" w:rsidRPr="008B1544">
        <w:rPr>
          <w:rFonts w:ascii="Palatino Linotype" w:eastAsia="Calibri" w:hAnsi="Palatino Linotype" w:cs="Arial"/>
          <w:sz w:val="24"/>
          <w:szCs w:val="24"/>
          <w:lang w:val="es-ES" w:eastAsia="es-ES"/>
        </w:rPr>
        <w:lastRenderedPageBreak/>
        <w:t xml:space="preserve">hará del conocimiento de la </w:t>
      </w:r>
      <w:r w:rsidR="00050F93" w:rsidRPr="008B1544">
        <w:rPr>
          <w:rFonts w:ascii="Palatino Linotype" w:eastAsia="Calibri" w:hAnsi="Palatino Linotype" w:cs="Arial"/>
          <w:sz w:val="24"/>
          <w:szCs w:val="24"/>
          <w:lang w:val="es-ES" w:eastAsia="es-ES"/>
        </w:rPr>
        <w:t>particular al momento de la notificación de la presente resolución.</w:t>
      </w:r>
    </w:p>
    <w:p w:rsidR="00F44AB0" w:rsidRPr="008B1544" w:rsidRDefault="00F44AB0" w:rsidP="008B1544">
      <w:pPr>
        <w:spacing w:after="0" w:line="360" w:lineRule="auto"/>
        <w:contextualSpacing/>
        <w:jc w:val="both"/>
        <w:rPr>
          <w:rFonts w:ascii="Palatino Linotype" w:eastAsia="Calibri" w:hAnsi="Palatino Linotype" w:cs="Arial"/>
          <w:sz w:val="24"/>
          <w:szCs w:val="24"/>
          <w:lang w:val="es-ES" w:eastAsia="es-ES"/>
        </w:rPr>
      </w:pPr>
    </w:p>
    <w:p w:rsidR="00A612C0" w:rsidRPr="008B1544" w:rsidRDefault="00354999" w:rsidP="008B1544">
      <w:pPr>
        <w:pStyle w:val="Prrafodelista"/>
        <w:numPr>
          <w:ilvl w:val="0"/>
          <w:numId w:val="2"/>
        </w:numPr>
        <w:spacing w:after="0" w:line="360" w:lineRule="auto"/>
        <w:ind w:left="0" w:firstLine="0"/>
        <w:jc w:val="both"/>
        <w:rPr>
          <w:rFonts w:ascii="Palatino Linotype" w:hAnsi="Palatino Linotype"/>
          <w:sz w:val="24"/>
          <w:szCs w:val="24"/>
        </w:rPr>
      </w:pPr>
      <w:r w:rsidRPr="008B1544">
        <w:rPr>
          <w:rFonts w:ascii="Palatino Linotype" w:hAnsi="Palatino Linotype"/>
          <w:sz w:val="24"/>
          <w:szCs w:val="24"/>
        </w:rPr>
        <w:t>El Comisionado Ponente decretó el cierre de instrucción</w:t>
      </w:r>
      <w:r w:rsidRPr="008B1544">
        <w:rPr>
          <w:rFonts w:ascii="Palatino Linotype" w:hAnsi="Palatino Linotype" w:cs="Arial"/>
          <w:sz w:val="24"/>
          <w:szCs w:val="24"/>
        </w:rPr>
        <w:t xml:space="preserve"> </w:t>
      </w:r>
      <w:r w:rsidRPr="008B1544">
        <w:rPr>
          <w:rFonts w:ascii="Palatino Linotype" w:hAnsi="Palatino Linotype"/>
          <w:sz w:val="24"/>
          <w:szCs w:val="24"/>
        </w:rPr>
        <w:t xml:space="preserve">mediante acuerdo de fecha </w:t>
      </w:r>
      <w:r w:rsidR="00F44AB0" w:rsidRPr="008B1544">
        <w:rPr>
          <w:rFonts w:ascii="Palatino Linotype" w:hAnsi="Palatino Linotype"/>
          <w:sz w:val="24"/>
          <w:szCs w:val="24"/>
        </w:rPr>
        <w:t>veintiséis (26</w:t>
      </w:r>
      <w:r w:rsidR="00A56228" w:rsidRPr="008B1544">
        <w:rPr>
          <w:rFonts w:ascii="Palatino Linotype" w:hAnsi="Palatino Linotype"/>
          <w:sz w:val="24"/>
          <w:szCs w:val="24"/>
        </w:rPr>
        <w:t>) de</w:t>
      </w:r>
      <w:r w:rsidR="00F44AB0" w:rsidRPr="008B1544">
        <w:rPr>
          <w:rFonts w:ascii="Palatino Linotype" w:hAnsi="Palatino Linotype"/>
          <w:sz w:val="24"/>
          <w:szCs w:val="24"/>
        </w:rPr>
        <w:t xml:space="preserve"> febrero </w:t>
      </w:r>
      <w:r w:rsidRPr="008B1544">
        <w:rPr>
          <w:rFonts w:ascii="Palatino Linotype" w:hAnsi="Palatino Linotype"/>
          <w:sz w:val="24"/>
          <w:szCs w:val="24"/>
        </w:rPr>
        <w:t xml:space="preserve">de la presente anualidad, </w:t>
      </w:r>
      <w:r w:rsidRPr="008B1544">
        <w:rPr>
          <w:rFonts w:ascii="Palatino Linotype" w:hAnsi="Palatino Linotype" w:cs="Arial"/>
          <w:sz w:val="24"/>
          <w:szCs w:val="24"/>
        </w:rPr>
        <w:t>por lo que, ordenó turnar el expediente a resolución, misma que ahora se pronuncia</w:t>
      </w:r>
      <w:r w:rsidR="00050F93" w:rsidRPr="008B1544">
        <w:rPr>
          <w:rFonts w:ascii="Palatino Linotype" w:hAnsi="Palatino Linotype" w:cs="Arial"/>
          <w:sz w:val="24"/>
          <w:szCs w:val="24"/>
        </w:rPr>
        <w:t>.</w:t>
      </w:r>
    </w:p>
    <w:p w:rsidR="00050F93" w:rsidRPr="008B1544" w:rsidRDefault="00050F93" w:rsidP="008B1544">
      <w:pPr>
        <w:pStyle w:val="Prrafodelista"/>
        <w:spacing w:line="360" w:lineRule="auto"/>
        <w:rPr>
          <w:rFonts w:ascii="Palatino Linotype" w:hAnsi="Palatino Linotype"/>
          <w:sz w:val="24"/>
          <w:szCs w:val="24"/>
        </w:rPr>
      </w:pPr>
    </w:p>
    <w:p w:rsidR="00050F93" w:rsidRPr="008B1544" w:rsidRDefault="00F44AB0" w:rsidP="008B1544">
      <w:pPr>
        <w:pStyle w:val="Prrafodelista"/>
        <w:numPr>
          <w:ilvl w:val="0"/>
          <w:numId w:val="2"/>
        </w:numPr>
        <w:spacing w:before="240" w:after="240" w:line="360" w:lineRule="auto"/>
        <w:ind w:left="0" w:firstLine="0"/>
        <w:jc w:val="both"/>
        <w:rPr>
          <w:rFonts w:ascii="Palatino Linotype" w:hAnsi="Palatino Linotype"/>
          <w:sz w:val="24"/>
          <w:szCs w:val="24"/>
        </w:rPr>
      </w:pPr>
      <w:r w:rsidRPr="008B1544">
        <w:rPr>
          <w:rFonts w:ascii="Palatino Linotype" w:eastAsia="Calibri" w:hAnsi="Palatino Linotype" w:cs="Arial"/>
          <w:color w:val="000000" w:themeColor="text1"/>
          <w:sz w:val="24"/>
          <w:szCs w:val="24"/>
        </w:rPr>
        <w:t xml:space="preserve">El día </w:t>
      </w:r>
      <w:r w:rsidR="00C9385B" w:rsidRPr="008B1544">
        <w:rPr>
          <w:rFonts w:ascii="Palatino Linotype" w:eastAsia="Calibri" w:hAnsi="Palatino Linotype" w:cs="Arial"/>
          <w:color w:val="000000" w:themeColor="text1"/>
          <w:sz w:val="24"/>
          <w:szCs w:val="24"/>
        </w:rPr>
        <w:t xml:space="preserve">diez </w:t>
      </w:r>
      <w:r w:rsidR="00050F93" w:rsidRPr="008B1544">
        <w:rPr>
          <w:rFonts w:ascii="Palatino Linotype" w:eastAsia="Calibri" w:hAnsi="Palatino Linotype" w:cs="Arial"/>
          <w:color w:val="000000" w:themeColor="text1"/>
          <w:sz w:val="24"/>
          <w:szCs w:val="24"/>
        </w:rPr>
        <w:t>(</w:t>
      </w:r>
      <w:r w:rsidR="00C9385B" w:rsidRPr="008B1544">
        <w:rPr>
          <w:rFonts w:ascii="Palatino Linotype" w:eastAsia="Calibri" w:hAnsi="Palatino Linotype" w:cs="Arial"/>
          <w:color w:val="000000" w:themeColor="text1"/>
          <w:sz w:val="24"/>
          <w:szCs w:val="24"/>
        </w:rPr>
        <w:t>10</w:t>
      </w:r>
      <w:r w:rsidR="00050F93" w:rsidRPr="008B1544">
        <w:rPr>
          <w:rFonts w:ascii="Palatino Linotype" w:eastAsia="Calibri" w:hAnsi="Palatino Linotype" w:cs="Arial"/>
          <w:color w:val="000000" w:themeColor="text1"/>
          <w:sz w:val="24"/>
          <w:szCs w:val="24"/>
        </w:rPr>
        <w:t>) de</w:t>
      </w:r>
      <w:r w:rsidRPr="008B1544">
        <w:rPr>
          <w:rFonts w:ascii="Palatino Linotype" w:eastAsia="Calibri" w:hAnsi="Palatino Linotype" w:cs="Arial"/>
          <w:color w:val="000000" w:themeColor="text1"/>
          <w:sz w:val="24"/>
          <w:szCs w:val="24"/>
        </w:rPr>
        <w:t xml:space="preserve"> abril de dos mil diecinueve</w:t>
      </w:r>
      <w:r w:rsidR="00050F93" w:rsidRPr="008B1544">
        <w:rPr>
          <w:rFonts w:ascii="Palatino Linotype" w:eastAsia="Calibri" w:hAnsi="Palatino Linotype" w:cs="Arial"/>
          <w:color w:val="000000" w:themeColor="text1"/>
          <w:sz w:val="24"/>
          <w:szCs w:val="24"/>
        </w:rPr>
        <w:t xml:space="preserve"> y con fundamento en el artículo 181 tercer párrafo de la </w:t>
      </w:r>
      <w:r w:rsidR="00050F93" w:rsidRPr="008B1544">
        <w:rPr>
          <w:rFonts w:ascii="Palatino Linotype" w:eastAsia="Calibri" w:hAnsi="Palatino Linotype" w:cs="Arial"/>
          <w:b/>
          <w:bCs/>
          <w:color w:val="000000" w:themeColor="text1"/>
          <w:sz w:val="24"/>
          <w:szCs w:val="24"/>
        </w:rPr>
        <w:t>Ley de Transparencia y Acceso a la Información Pública del Estado de México y Municipios, </w:t>
      </w:r>
      <w:r w:rsidR="00050F93" w:rsidRPr="008B1544">
        <w:rPr>
          <w:rFonts w:ascii="Palatino Linotype" w:eastAsia="Calibri" w:hAnsi="Palatino Linotype" w:cs="Arial"/>
          <w:color w:val="000000" w:themeColor="text1"/>
          <w:sz w:val="24"/>
          <w:szCs w:val="24"/>
        </w:rPr>
        <w:t>se notificó que el plazo de 30 días para resolver los recursos de revisión, serían ampliados por un periodo de 15 días hábiles adicionales, debido a la naturaleza, complejidad del asunto y para un mejor estudio.</w:t>
      </w:r>
    </w:p>
    <w:p w:rsidR="00050F93" w:rsidRPr="008B1544" w:rsidRDefault="00050F93" w:rsidP="008B1544">
      <w:pPr>
        <w:pStyle w:val="Prrafodelista"/>
        <w:spacing w:after="0" w:line="360" w:lineRule="auto"/>
        <w:ind w:left="0"/>
        <w:jc w:val="both"/>
        <w:rPr>
          <w:rFonts w:ascii="Palatino Linotype" w:hAnsi="Palatino Linotype"/>
          <w:sz w:val="24"/>
          <w:szCs w:val="24"/>
        </w:rPr>
      </w:pPr>
    </w:p>
    <w:p w:rsidR="00C07697" w:rsidRDefault="00792776" w:rsidP="008B1544">
      <w:pPr>
        <w:keepNext/>
        <w:keepLines/>
        <w:spacing w:after="0" w:line="360" w:lineRule="auto"/>
        <w:jc w:val="center"/>
        <w:outlineLvl w:val="0"/>
        <w:rPr>
          <w:rFonts w:ascii="Palatino Linotype" w:eastAsia="MS Gothic" w:hAnsi="Palatino Linotype" w:cs="Times New Roman"/>
          <w:b/>
          <w:sz w:val="24"/>
          <w:szCs w:val="24"/>
        </w:rPr>
      </w:pPr>
      <w:bookmarkStart w:id="1" w:name="_Toc5788024"/>
      <w:r w:rsidRPr="008B1544">
        <w:rPr>
          <w:rFonts w:ascii="Palatino Linotype" w:eastAsia="MS Gothic" w:hAnsi="Palatino Linotype" w:cs="Times New Roman"/>
          <w:b/>
          <w:sz w:val="24"/>
          <w:szCs w:val="24"/>
        </w:rPr>
        <w:t>CONSIDERANDO</w:t>
      </w:r>
      <w:bookmarkEnd w:id="1"/>
    </w:p>
    <w:p w:rsidR="008B1544" w:rsidRPr="008B1544" w:rsidRDefault="008B1544" w:rsidP="008B1544">
      <w:pPr>
        <w:keepNext/>
        <w:keepLines/>
        <w:spacing w:after="0" w:line="360" w:lineRule="auto"/>
        <w:jc w:val="center"/>
        <w:outlineLvl w:val="0"/>
        <w:rPr>
          <w:rFonts w:ascii="Palatino Linotype" w:eastAsia="MS Gothic" w:hAnsi="Palatino Linotype" w:cs="Times New Roman"/>
          <w:b/>
          <w:sz w:val="24"/>
          <w:szCs w:val="24"/>
        </w:rPr>
      </w:pPr>
    </w:p>
    <w:p w:rsidR="00792776" w:rsidRPr="008B1544" w:rsidRDefault="00792776" w:rsidP="008B1544">
      <w:pPr>
        <w:keepNext/>
        <w:keepLines/>
        <w:spacing w:after="0" w:line="360" w:lineRule="auto"/>
        <w:outlineLvl w:val="0"/>
        <w:rPr>
          <w:rFonts w:ascii="Palatino Linotype" w:eastAsia="MS Gothic" w:hAnsi="Palatino Linotype" w:cs="Times New Roman"/>
          <w:b/>
          <w:sz w:val="24"/>
          <w:szCs w:val="24"/>
        </w:rPr>
      </w:pPr>
      <w:bookmarkStart w:id="2" w:name="_Toc5788025"/>
      <w:r w:rsidRPr="008B1544">
        <w:rPr>
          <w:rFonts w:ascii="Palatino Linotype" w:eastAsia="MS Mincho" w:hAnsi="Palatino Linotype" w:cstheme="majorBidi"/>
          <w:b/>
          <w:sz w:val="24"/>
          <w:szCs w:val="24"/>
          <w:lang w:val="es-ES_tradnl" w:eastAsia="es-ES"/>
        </w:rPr>
        <w:t>PRIMERO</w:t>
      </w:r>
      <w:r w:rsidRPr="008B1544">
        <w:rPr>
          <w:rFonts w:ascii="Palatino Linotype" w:eastAsia="MS Gothic" w:hAnsi="Palatino Linotype" w:cs="Times New Roman"/>
          <w:b/>
          <w:sz w:val="24"/>
          <w:szCs w:val="24"/>
        </w:rPr>
        <w:t>. De la competencia.</w:t>
      </w:r>
      <w:bookmarkEnd w:id="2"/>
    </w:p>
    <w:p w:rsidR="00792776" w:rsidRPr="008B1544" w:rsidRDefault="00792776" w:rsidP="008B1544">
      <w:pPr>
        <w:spacing w:after="0" w:line="360" w:lineRule="auto"/>
        <w:rPr>
          <w:rFonts w:ascii="Palatino Linotype" w:hAnsi="Palatino Linotype"/>
          <w:sz w:val="24"/>
          <w:szCs w:val="24"/>
        </w:rPr>
      </w:pPr>
    </w:p>
    <w:p w:rsidR="00792776" w:rsidRPr="008B1544" w:rsidRDefault="00792776" w:rsidP="008B1544">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B1544">
        <w:rPr>
          <w:rFonts w:ascii="Palatino Linotype" w:eastAsia="Calibri" w:hAnsi="Palatino Linotype" w:cs="Times New Roman"/>
          <w:b/>
          <w:sz w:val="24"/>
          <w:szCs w:val="24"/>
          <w:lang w:val="es-ES" w:eastAsia="es-ES"/>
        </w:rPr>
        <w:t>Constitución Política de los Estados Unidos Mexicanos</w:t>
      </w:r>
      <w:r w:rsidRPr="008B1544">
        <w:rPr>
          <w:rFonts w:ascii="Palatino Linotype" w:eastAsia="Calibri" w:hAnsi="Palatino Linotype" w:cs="Times New Roman"/>
          <w:sz w:val="24"/>
          <w:szCs w:val="24"/>
          <w:lang w:val="es-ES" w:eastAsia="es-ES"/>
        </w:rPr>
        <w:t xml:space="preserve">; </w:t>
      </w:r>
      <w:r w:rsidRPr="008B1544">
        <w:rPr>
          <w:rFonts w:ascii="Palatino Linotype" w:hAnsi="Palatino Linotype" w:cs="Arial"/>
          <w:bCs/>
          <w:color w:val="222222"/>
          <w:sz w:val="24"/>
          <w:szCs w:val="24"/>
          <w:shd w:val="clear" w:color="auto" w:fill="FFFFFF"/>
          <w:lang w:val="es-ES"/>
        </w:rPr>
        <w:t>5, párrafos </w:t>
      </w:r>
      <w:r w:rsidRPr="008B1544">
        <w:rPr>
          <w:rFonts w:ascii="Palatino Linotype" w:hAnsi="Palatino Linotype" w:cs="Arial"/>
          <w:bCs/>
          <w:color w:val="222222"/>
          <w:sz w:val="24"/>
          <w:szCs w:val="24"/>
          <w:lang w:val="es-ES"/>
        </w:rPr>
        <w:t>vigésimo, vigésimo primero y vigésimo segundo</w:t>
      </w:r>
      <w:r w:rsidRPr="008B1544">
        <w:rPr>
          <w:rFonts w:ascii="Palatino Linotype" w:hAnsi="Palatino Linotype" w:cs="Arial"/>
          <w:bCs/>
          <w:color w:val="222222"/>
          <w:sz w:val="24"/>
          <w:szCs w:val="24"/>
          <w:shd w:val="clear" w:color="auto" w:fill="FFFFFF"/>
          <w:lang w:val="es-ES"/>
        </w:rPr>
        <w:t> fracciones IV y V </w:t>
      </w:r>
      <w:r w:rsidRPr="008B1544">
        <w:rPr>
          <w:rFonts w:ascii="Palatino Linotype" w:eastAsia="Calibri" w:hAnsi="Palatino Linotype" w:cs="Times New Roman"/>
          <w:sz w:val="24"/>
          <w:szCs w:val="24"/>
          <w:lang w:val="es-ES" w:eastAsia="es-ES"/>
        </w:rPr>
        <w:t xml:space="preserve">de la </w:t>
      </w:r>
      <w:r w:rsidRPr="008B1544">
        <w:rPr>
          <w:rFonts w:ascii="Palatino Linotype" w:eastAsia="Calibri" w:hAnsi="Palatino Linotype" w:cs="Times New Roman"/>
          <w:b/>
          <w:sz w:val="24"/>
          <w:szCs w:val="24"/>
          <w:lang w:val="es-ES" w:eastAsia="es-ES"/>
        </w:rPr>
        <w:lastRenderedPageBreak/>
        <w:t>Constitución Política del Estado Libre y Soberano de México</w:t>
      </w:r>
      <w:r w:rsidRPr="008B154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B1544">
        <w:rPr>
          <w:rFonts w:ascii="Palatino Linotype" w:eastAsia="Calibri" w:hAnsi="Palatino Linotype" w:cs="Arial"/>
          <w:sz w:val="24"/>
          <w:szCs w:val="24"/>
          <w:lang w:val="es-ES" w:eastAsia="es-ES"/>
        </w:rPr>
        <w:t xml:space="preserve">de la </w:t>
      </w:r>
      <w:r w:rsidRPr="008B1544">
        <w:rPr>
          <w:rFonts w:ascii="Palatino Linotype" w:eastAsia="Calibri" w:hAnsi="Palatino Linotype" w:cs="Arial"/>
          <w:b/>
          <w:sz w:val="24"/>
          <w:szCs w:val="24"/>
          <w:lang w:val="es-ES" w:eastAsia="es-ES"/>
        </w:rPr>
        <w:t>Ley de Transparencia y Acceso a la Información Pública del Estado de México y Municipios</w:t>
      </w:r>
      <w:r w:rsidRPr="008B1544">
        <w:rPr>
          <w:rFonts w:ascii="Palatino Linotype" w:eastAsia="Calibri" w:hAnsi="Palatino Linotype" w:cs="Arial"/>
          <w:sz w:val="24"/>
          <w:szCs w:val="24"/>
          <w:lang w:val="es-ES" w:eastAsia="es-ES"/>
        </w:rPr>
        <w:t xml:space="preserve">; </w:t>
      </w:r>
      <w:r w:rsidRPr="008B1544">
        <w:rPr>
          <w:rFonts w:ascii="Palatino Linotype" w:eastAsia="Calibri" w:hAnsi="Palatino Linotype" w:cs="Arial"/>
          <w:b/>
          <w:sz w:val="24"/>
          <w:szCs w:val="24"/>
          <w:lang w:val="es-ES" w:eastAsia="es-ES"/>
        </w:rPr>
        <w:t>7, 9 fracciones I y XXIV, y 11</w:t>
      </w:r>
      <w:r w:rsidRPr="008B1544">
        <w:rPr>
          <w:rFonts w:ascii="Palatino Linotype" w:eastAsia="Calibri" w:hAnsi="Palatino Linotype" w:cs="Arial"/>
          <w:sz w:val="24"/>
          <w:szCs w:val="24"/>
          <w:lang w:val="es-ES" w:eastAsia="es-ES"/>
        </w:rPr>
        <w:t xml:space="preserve"> del </w:t>
      </w:r>
      <w:r w:rsidRPr="008B154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B1544">
        <w:rPr>
          <w:rFonts w:ascii="Palatino Linotype" w:eastAsia="MS Mincho" w:hAnsi="Palatino Linotype" w:cs="Times New Roman"/>
          <w:sz w:val="24"/>
          <w:szCs w:val="24"/>
          <w:lang w:val="es-ES_tradnl" w:eastAsia="es-ES"/>
        </w:rPr>
        <w:t>.</w:t>
      </w:r>
    </w:p>
    <w:p w:rsidR="00792776" w:rsidRPr="008B1544" w:rsidRDefault="00792776" w:rsidP="008B1544">
      <w:pPr>
        <w:spacing w:after="0" w:line="360" w:lineRule="auto"/>
        <w:contextualSpacing/>
        <w:jc w:val="both"/>
        <w:rPr>
          <w:rFonts w:ascii="Palatino Linotype" w:eastAsia="MS Mincho" w:hAnsi="Palatino Linotype" w:cs="Times New Roman"/>
          <w:sz w:val="24"/>
          <w:szCs w:val="24"/>
          <w:lang w:val="es-ES_tradnl" w:eastAsia="es-ES"/>
        </w:rPr>
      </w:pPr>
    </w:p>
    <w:p w:rsidR="00792776" w:rsidRPr="008B1544" w:rsidRDefault="00792776" w:rsidP="008B1544">
      <w:pPr>
        <w:keepNext/>
        <w:keepLines/>
        <w:spacing w:after="0" w:line="360" w:lineRule="auto"/>
        <w:outlineLvl w:val="0"/>
        <w:rPr>
          <w:rFonts w:ascii="Palatino Linotype" w:eastAsia="MS Gothic" w:hAnsi="Palatino Linotype" w:cs="Times New Roman"/>
          <w:b/>
          <w:sz w:val="24"/>
          <w:szCs w:val="24"/>
        </w:rPr>
      </w:pPr>
      <w:bookmarkStart w:id="3" w:name="_Toc5788026"/>
      <w:r w:rsidRPr="008B1544">
        <w:rPr>
          <w:rFonts w:ascii="Palatino Linotype" w:eastAsia="MS Mincho" w:hAnsi="Palatino Linotype" w:cstheme="majorBidi"/>
          <w:b/>
          <w:sz w:val="24"/>
          <w:szCs w:val="24"/>
          <w:lang w:val="es-ES_tradnl" w:eastAsia="es-ES"/>
        </w:rPr>
        <w:t>SEGUNDO</w:t>
      </w:r>
      <w:r w:rsidRPr="008B1544">
        <w:rPr>
          <w:rFonts w:ascii="Palatino Linotype" w:eastAsia="MS Gothic" w:hAnsi="Palatino Linotype" w:cs="Times New Roman"/>
          <w:b/>
          <w:sz w:val="24"/>
          <w:szCs w:val="24"/>
        </w:rPr>
        <w:t>.</w:t>
      </w:r>
      <w:r w:rsidR="0004167E" w:rsidRPr="008B1544">
        <w:rPr>
          <w:rFonts w:ascii="Palatino Linotype" w:eastAsia="MS Gothic" w:hAnsi="Palatino Linotype" w:cs="Times New Roman"/>
          <w:b/>
          <w:sz w:val="24"/>
          <w:szCs w:val="24"/>
        </w:rPr>
        <w:t xml:space="preserve"> De la oportunidad y </w:t>
      </w:r>
      <w:proofErr w:type="spellStart"/>
      <w:r w:rsidR="0004167E" w:rsidRPr="008B1544">
        <w:rPr>
          <w:rFonts w:ascii="Palatino Linotype" w:eastAsia="MS Gothic" w:hAnsi="Palatino Linotype" w:cs="Times New Roman"/>
          <w:b/>
          <w:sz w:val="24"/>
          <w:szCs w:val="24"/>
        </w:rPr>
        <w:t>procedibilidad</w:t>
      </w:r>
      <w:proofErr w:type="spellEnd"/>
      <w:r w:rsidR="0004167E" w:rsidRPr="008B1544">
        <w:rPr>
          <w:rFonts w:ascii="Palatino Linotype" w:eastAsia="MS Gothic" w:hAnsi="Palatino Linotype" w:cs="Times New Roman"/>
          <w:b/>
          <w:sz w:val="24"/>
          <w:szCs w:val="24"/>
        </w:rPr>
        <w:t xml:space="preserve"> del recurso de revisión</w:t>
      </w:r>
      <w:r w:rsidRPr="008B1544">
        <w:rPr>
          <w:rFonts w:ascii="Palatino Linotype" w:eastAsia="MS Gothic" w:hAnsi="Palatino Linotype" w:cs="Times New Roman"/>
          <w:b/>
          <w:sz w:val="24"/>
          <w:szCs w:val="24"/>
        </w:rPr>
        <w:t>.</w:t>
      </w:r>
      <w:bookmarkEnd w:id="3"/>
    </w:p>
    <w:p w:rsidR="00792776" w:rsidRPr="008B1544" w:rsidRDefault="00792776" w:rsidP="008B1544">
      <w:pPr>
        <w:spacing w:after="0" w:line="360" w:lineRule="auto"/>
        <w:ind w:left="720"/>
        <w:contextualSpacing/>
        <w:rPr>
          <w:rFonts w:ascii="Palatino Linotype" w:eastAsia="Calibri" w:hAnsi="Palatino Linotype" w:cs="Arial"/>
          <w:sz w:val="24"/>
          <w:szCs w:val="24"/>
          <w:lang w:val="es-ES_tradnl" w:eastAsia="es-ES"/>
        </w:rPr>
      </w:pPr>
    </w:p>
    <w:p w:rsidR="00C76639" w:rsidRPr="008B1544" w:rsidRDefault="00C76639" w:rsidP="008B154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B1544">
        <w:rPr>
          <w:rFonts w:ascii="Palatino Linotype" w:eastAsia="Calibri" w:hAnsi="Palatino Linotype" w:cs="Arial"/>
          <w:sz w:val="24"/>
          <w:szCs w:val="24"/>
          <w:lang w:val="es-ES_tradnl" w:eastAsia="es-ES"/>
        </w:rPr>
        <w:t xml:space="preserve">El medio de impugnación fue presentado a través del </w:t>
      </w:r>
      <w:r w:rsidRPr="008B1544">
        <w:rPr>
          <w:rFonts w:ascii="Palatino Linotype" w:eastAsia="Calibri" w:hAnsi="Palatino Linotype" w:cs="Arial"/>
          <w:b/>
          <w:sz w:val="24"/>
          <w:szCs w:val="24"/>
          <w:lang w:val="es-ES_tradnl" w:eastAsia="es-ES"/>
        </w:rPr>
        <w:t>SAIMEX,</w:t>
      </w:r>
      <w:r w:rsidRPr="008B1544">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8B1544">
        <w:rPr>
          <w:rFonts w:ascii="Palatino Linotype" w:eastAsia="Calibri" w:hAnsi="Palatino Linotype" w:cs="Arial"/>
          <w:b/>
          <w:sz w:val="24"/>
          <w:szCs w:val="24"/>
          <w:lang w:val="es-ES_tradnl" w:eastAsia="es-ES"/>
        </w:rPr>
        <w:t>SUJETO OBLIGADO</w:t>
      </w:r>
      <w:r w:rsidRPr="008B1544">
        <w:rPr>
          <w:rFonts w:ascii="Palatino Linotype" w:eastAsia="Calibri" w:hAnsi="Palatino Linotype" w:cs="Arial"/>
          <w:sz w:val="24"/>
          <w:szCs w:val="24"/>
          <w:lang w:val="es-ES_tradnl" w:eastAsia="es-ES"/>
        </w:rPr>
        <w:t xml:space="preserve"> entregó respuesta el día veinticuatro (24) de </w:t>
      </w:r>
      <w:r w:rsidR="00F44AB0" w:rsidRPr="008B1544">
        <w:rPr>
          <w:rFonts w:ascii="Palatino Linotype" w:eastAsia="Calibri" w:hAnsi="Palatino Linotype" w:cs="Arial"/>
          <w:sz w:val="24"/>
          <w:szCs w:val="24"/>
          <w:lang w:val="es-ES_tradnl" w:eastAsia="es-ES"/>
        </w:rPr>
        <w:t>enero de dos mil diecinueve</w:t>
      </w:r>
      <w:r w:rsidRPr="008B1544">
        <w:rPr>
          <w:rFonts w:ascii="Palatino Linotype" w:eastAsia="Calibri" w:hAnsi="Palatino Linotype" w:cs="Arial"/>
          <w:sz w:val="24"/>
          <w:szCs w:val="24"/>
          <w:lang w:val="es-ES_tradnl" w:eastAsia="es-ES"/>
        </w:rPr>
        <w:t xml:space="preserve">, </w:t>
      </w:r>
      <w:r w:rsidRPr="008B1544">
        <w:rPr>
          <w:rFonts w:ascii="Palatino Linotype" w:eastAsiaTheme="minorEastAsia" w:hAnsi="Palatino Linotype" w:cs="Arial"/>
          <w:sz w:val="24"/>
          <w:szCs w:val="24"/>
          <w:lang w:val="es-ES_tradnl" w:eastAsia="es-ES"/>
        </w:rPr>
        <w:t>de tal forma que el plazo para interponer el recurso transcurrió del día veinticinco (25</w:t>
      </w:r>
      <w:r w:rsidR="00F44AB0" w:rsidRPr="008B1544">
        <w:rPr>
          <w:rFonts w:ascii="Palatino Linotype" w:eastAsiaTheme="minorEastAsia" w:hAnsi="Palatino Linotype" w:cs="Arial"/>
          <w:sz w:val="24"/>
          <w:szCs w:val="24"/>
          <w:lang w:val="es-ES_tradnl" w:eastAsia="es-ES"/>
        </w:rPr>
        <w:t>) enero</w:t>
      </w:r>
      <w:r w:rsidR="00AE466F" w:rsidRPr="008B1544">
        <w:rPr>
          <w:rFonts w:ascii="Palatino Linotype" w:eastAsiaTheme="minorEastAsia" w:hAnsi="Palatino Linotype" w:cs="Arial"/>
          <w:sz w:val="24"/>
          <w:szCs w:val="24"/>
          <w:lang w:val="es-ES_tradnl" w:eastAsia="es-ES"/>
        </w:rPr>
        <w:t xml:space="preserve"> al dieciocho (18</w:t>
      </w:r>
      <w:r w:rsidRPr="008B1544">
        <w:rPr>
          <w:rFonts w:ascii="Palatino Linotype" w:eastAsiaTheme="minorEastAsia" w:hAnsi="Palatino Linotype" w:cs="Arial"/>
          <w:sz w:val="24"/>
          <w:szCs w:val="24"/>
          <w:lang w:val="es-ES_tradnl" w:eastAsia="es-ES"/>
        </w:rPr>
        <w:t>) de</w:t>
      </w:r>
      <w:r w:rsidR="00AE466F" w:rsidRPr="008B1544">
        <w:rPr>
          <w:rFonts w:ascii="Palatino Linotype" w:eastAsiaTheme="minorEastAsia" w:hAnsi="Palatino Linotype" w:cs="Arial"/>
          <w:sz w:val="24"/>
          <w:szCs w:val="24"/>
          <w:lang w:val="es-ES_tradnl" w:eastAsia="es-ES"/>
        </w:rPr>
        <w:t xml:space="preserve"> febrero </w:t>
      </w:r>
      <w:r w:rsidRPr="008B1544">
        <w:rPr>
          <w:rFonts w:ascii="Palatino Linotype" w:eastAsiaTheme="minorEastAsia" w:hAnsi="Palatino Linotype" w:cs="Arial"/>
          <w:sz w:val="24"/>
          <w:szCs w:val="24"/>
          <w:lang w:val="es-ES_tradnl" w:eastAsia="es-ES"/>
        </w:rPr>
        <w:t>de dos mil dieci</w:t>
      </w:r>
      <w:r w:rsidR="00AE466F" w:rsidRPr="008B1544">
        <w:rPr>
          <w:rFonts w:ascii="Palatino Linotype" w:eastAsiaTheme="minorEastAsia" w:hAnsi="Palatino Linotype" w:cs="Arial"/>
          <w:sz w:val="24"/>
          <w:szCs w:val="24"/>
          <w:lang w:val="es-ES_tradnl" w:eastAsia="es-ES"/>
        </w:rPr>
        <w:t>nueve</w:t>
      </w:r>
      <w:r w:rsidRPr="008B1544">
        <w:rPr>
          <w:rFonts w:ascii="Palatino Linotype" w:eastAsiaTheme="minorEastAsia" w:hAnsi="Palatino Linotype" w:cs="Arial"/>
          <w:sz w:val="24"/>
          <w:szCs w:val="24"/>
          <w:lang w:val="es-ES_tradnl" w:eastAsia="es-ES"/>
        </w:rPr>
        <w:t xml:space="preserve">; en consecuencia, </w:t>
      </w:r>
      <w:r w:rsidR="00B07BE5" w:rsidRPr="008B1544">
        <w:rPr>
          <w:rFonts w:ascii="Palatino Linotype" w:eastAsiaTheme="minorEastAsia" w:hAnsi="Palatino Linotype" w:cs="Arial"/>
          <w:sz w:val="24"/>
          <w:szCs w:val="24"/>
          <w:lang w:val="es-ES_tradnl" w:eastAsia="es-ES"/>
        </w:rPr>
        <w:t xml:space="preserve">si </w:t>
      </w:r>
      <w:r w:rsidR="00AE466F" w:rsidRPr="008B1544">
        <w:rPr>
          <w:rFonts w:ascii="Palatino Linotype" w:eastAsiaTheme="minorEastAsia" w:hAnsi="Palatino Linotype" w:cs="Arial"/>
          <w:sz w:val="24"/>
          <w:szCs w:val="24"/>
          <w:lang w:val="es-ES_tradnl" w:eastAsia="es-ES"/>
        </w:rPr>
        <w:t xml:space="preserve">el particular </w:t>
      </w:r>
      <w:r w:rsidRPr="008B1544">
        <w:rPr>
          <w:rFonts w:ascii="Palatino Linotype" w:eastAsiaTheme="minorEastAsia" w:hAnsi="Palatino Linotype" w:cs="Arial"/>
          <w:sz w:val="24"/>
          <w:szCs w:val="24"/>
          <w:lang w:val="es-ES_tradnl" w:eastAsia="es-ES"/>
        </w:rPr>
        <w:t xml:space="preserve">presentó su </w:t>
      </w:r>
      <w:r w:rsidR="00232298" w:rsidRPr="008B1544">
        <w:rPr>
          <w:rFonts w:ascii="Palatino Linotype" w:eastAsiaTheme="minorEastAsia" w:hAnsi="Palatino Linotype" w:cs="Arial"/>
          <w:sz w:val="24"/>
          <w:szCs w:val="24"/>
          <w:lang w:val="es-ES_tradnl" w:eastAsia="es-ES"/>
        </w:rPr>
        <w:t xml:space="preserve">inconformidad el día </w:t>
      </w:r>
      <w:r w:rsidR="00AE466F" w:rsidRPr="008B1544">
        <w:rPr>
          <w:rFonts w:ascii="Palatino Linotype" w:eastAsiaTheme="minorEastAsia" w:hAnsi="Palatino Linotype" w:cs="Arial"/>
          <w:sz w:val="24"/>
          <w:szCs w:val="24"/>
          <w:lang w:val="es-ES_tradnl" w:eastAsia="es-ES"/>
        </w:rPr>
        <w:t>seis (06</w:t>
      </w:r>
      <w:r w:rsidRPr="008B1544">
        <w:rPr>
          <w:rFonts w:ascii="Palatino Linotype" w:eastAsiaTheme="minorEastAsia" w:hAnsi="Palatino Linotype" w:cs="Arial"/>
          <w:sz w:val="24"/>
          <w:szCs w:val="24"/>
          <w:lang w:val="es-ES_tradnl" w:eastAsia="es-ES"/>
        </w:rPr>
        <w:t>)</w:t>
      </w:r>
      <w:r w:rsidR="00AE466F" w:rsidRPr="008B1544">
        <w:rPr>
          <w:rFonts w:ascii="Palatino Linotype" w:eastAsiaTheme="minorEastAsia" w:hAnsi="Palatino Linotype" w:cs="Arial"/>
          <w:sz w:val="24"/>
          <w:szCs w:val="24"/>
          <w:lang w:val="es-ES_tradnl" w:eastAsia="es-ES"/>
        </w:rPr>
        <w:t xml:space="preserve"> de febrero de dos mil diecinueve</w:t>
      </w:r>
      <w:r w:rsidRPr="008B1544">
        <w:rPr>
          <w:rFonts w:ascii="Palatino Linotype" w:eastAsiaTheme="minorEastAsia" w:hAnsi="Palatino Linotype" w:cs="Arial"/>
          <w:sz w:val="24"/>
          <w:szCs w:val="24"/>
          <w:lang w:val="es-ES_tradnl" w:eastAsia="es-ES"/>
        </w:rPr>
        <w:t xml:space="preserve">, se encuentra dentro de los márgenes temporales previstos en el artículo 178 de la </w:t>
      </w:r>
      <w:r w:rsidRPr="008B1544">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8B1544">
        <w:rPr>
          <w:rFonts w:ascii="Palatino Linotype" w:eastAsiaTheme="minorEastAsia" w:hAnsi="Palatino Linotype" w:cs="Arial"/>
          <w:sz w:val="24"/>
          <w:szCs w:val="24"/>
          <w:lang w:val="es-ES_tradnl" w:eastAsia="es-ES"/>
        </w:rPr>
        <w:t xml:space="preserve">vigente. </w:t>
      </w:r>
    </w:p>
    <w:p w:rsidR="00C76639" w:rsidRPr="008B1544" w:rsidRDefault="00C76639" w:rsidP="008B1544">
      <w:pPr>
        <w:spacing w:after="0" w:line="360" w:lineRule="auto"/>
        <w:ind w:left="360" w:right="49"/>
        <w:contextualSpacing/>
        <w:jc w:val="both"/>
        <w:rPr>
          <w:rFonts w:ascii="Palatino Linotype" w:eastAsiaTheme="minorEastAsia" w:hAnsi="Palatino Linotype"/>
          <w:sz w:val="24"/>
          <w:szCs w:val="24"/>
          <w:highlight w:val="yellow"/>
          <w:lang w:val="es-ES_tradnl" w:eastAsia="es-ES"/>
        </w:rPr>
      </w:pPr>
    </w:p>
    <w:p w:rsidR="00C76639" w:rsidRDefault="00C76639" w:rsidP="008B154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8B1544">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w:t>
      </w:r>
      <w:r w:rsidRPr="008B1544">
        <w:rPr>
          <w:rFonts w:ascii="Palatino Linotype" w:eastAsia="Calibri" w:hAnsi="Palatino Linotype" w:cs="Arial"/>
          <w:sz w:val="24"/>
          <w:szCs w:val="24"/>
          <w:lang w:val="es-ES_tradnl" w:eastAsia="es-ES"/>
        </w:rPr>
        <w:lastRenderedPageBreak/>
        <w:t>Instituto de Transparencia, Acceso a la Información Pública y Protección de Datos Personales del Estado de México y Municipios, conozca y resuelva el presente recurso.</w:t>
      </w:r>
    </w:p>
    <w:p w:rsidR="008B1544" w:rsidRPr="008B1544" w:rsidRDefault="008B1544" w:rsidP="008B1544">
      <w:pPr>
        <w:spacing w:after="0" w:line="360" w:lineRule="auto"/>
        <w:ind w:right="49"/>
        <w:contextualSpacing/>
        <w:jc w:val="both"/>
        <w:rPr>
          <w:rFonts w:ascii="Palatino Linotype" w:eastAsiaTheme="minorEastAsia" w:hAnsi="Palatino Linotype"/>
          <w:sz w:val="24"/>
          <w:szCs w:val="24"/>
          <w:lang w:val="es-ES_tradnl" w:eastAsia="es-ES"/>
        </w:rPr>
      </w:pPr>
    </w:p>
    <w:p w:rsidR="006339DD" w:rsidRPr="008B1544" w:rsidRDefault="0080266C" w:rsidP="008B1544">
      <w:pPr>
        <w:keepNext/>
        <w:keepLines/>
        <w:spacing w:after="0" w:line="360" w:lineRule="auto"/>
        <w:outlineLvl w:val="0"/>
        <w:rPr>
          <w:rFonts w:ascii="Palatino Linotype" w:eastAsia="MS Gothic" w:hAnsi="Palatino Linotype" w:cstheme="majorBidi"/>
          <w:sz w:val="24"/>
          <w:szCs w:val="24"/>
          <w:lang w:val="es-ES_tradnl" w:eastAsia="es-ES"/>
        </w:rPr>
      </w:pPr>
      <w:bookmarkStart w:id="4" w:name="_Toc5788027"/>
      <w:r w:rsidRPr="008B1544">
        <w:rPr>
          <w:rFonts w:ascii="Palatino Linotype" w:eastAsia="MS Mincho" w:hAnsi="Palatino Linotype" w:cstheme="majorBidi"/>
          <w:b/>
          <w:sz w:val="24"/>
          <w:szCs w:val="24"/>
          <w:lang w:val="es-ES_tradnl" w:eastAsia="es-ES"/>
        </w:rPr>
        <w:t>TERCERO.</w:t>
      </w:r>
      <w:r w:rsidRPr="008B1544">
        <w:rPr>
          <w:rFonts w:ascii="Palatino Linotype" w:eastAsia="MS Gothic" w:hAnsi="Palatino Linotype" w:cs="Times New Roman"/>
          <w:b/>
          <w:sz w:val="24"/>
          <w:szCs w:val="24"/>
        </w:rPr>
        <w:t xml:space="preserve"> </w:t>
      </w: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00C522CF" w:rsidRPr="008B1544">
        <w:rPr>
          <w:rFonts w:ascii="Palatino Linotype" w:eastAsia="MS Mincho" w:hAnsi="Palatino Linotype" w:cstheme="majorBidi"/>
          <w:b/>
          <w:sz w:val="24"/>
          <w:szCs w:val="24"/>
          <w:lang w:val="es-ES_tradnl" w:eastAsia="es-ES"/>
        </w:rPr>
        <w:t xml:space="preserve">Del planteamiento de la </w:t>
      </w:r>
      <w:proofErr w:type="spellStart"/>
      <w:r w:rsidR="00C522CF" w:rsidRPr="008B1544">
        <w:rPr>
          <w:rFonts w:ascii="Palatino Linotype" w:eastAsia="MS Mincho" w:hAnsi="Palatino Linotype" w:cstheme="majorBidi"/>
          <w:b/>
          <w:i/>
          <w:sz w:val="24"/>
          <w:szCs w:val="24"/>
          <w:lang w:val="es-ES_tradnl" w:eastAsia="es-ES"/>
        </w:rPr>
        <w:t>l</w:t>
      </w:r>
      <w:r w:rsidR="006339DD" w:rsidRPr="008B1544">
        <w:rPr>
          <w:rFonts w:ascii="Palatino Linotype" w:eastAsia="MS Mincho" w:hAnsi="Palatino Linotype" w:cstheme="majorBidi"/>
          <w:b/>
          <w:i/>
          <w:sz w:val="24"/>
          <w:szCs w:val="24"/>
          <w:lang w:val="es-ES_tradnl" w:eastAsia="es-ES"/>
        </w:rPr>
        <w:t>itis</w:t>
      </w:r>
      <w:proofErr w:type="spellEnd"/>
      <w:r w:rsidR="00AE466F" w:rsidRPr="008B1544">
        <w:rPr>
          <w:rFonts w:ascii="Palatino Linotype" w:eastAsia="MS Mincho" w:hAnsi="Palatino Linotype" w:cstheme="majorBidi"/>
          <w:b/>
          <w:i/>
          <w:sz w:val="24"/>
          <w:szCs w:val="24"/>
          <w:lang w:val="es-ES_tradnl" w:eastAsia="es-ES"/>
        </w:rPr>
        <w:t>.</w:t>
      </w:r>
      <w:bookmarkEnd w:id="4"/>
    </w:p>
    <w:p w:rsidR="006339DD" w:rsidRPr="008B1544" w:rsidRDefault="006339DD" w:rsidP="008B1544">
      <w:pPr>
        <w:spacing w:after="0" w:line="360" w:lineRule="auto"/>
        <w:jc w:val="both"/>
        <w:rPr>
          <w:rFonts w:ascii="Palatino Linotype" w:eastAsia="MS Mincho" w:hAnsi="Palatino Linotype" w:cs="Times New Roman"/>
          <w:sz w:val="24"/>
          <w:szCs w:val="24"/>
          <w:lang w:val="es-ES_tradnl" w:eastAsia="es-ES"/>
        </w:rPr>
      </w:pPr>
    </w:p>
    <w:p w:rsidR="006339DD" w:rsidRPr="008B1544" w:rsidRDefault="006339DD" w:rsidP="008B1544">
      <w:pPr>
        <w:numPr>
          <w:ilvl w:val="0"/>
          <w:numId w:val="2"/>
        </w:numPr>
        <w:tabs>
          <w:tab w:val="left" w:pos="709"/>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eastAsia="es-ES"/>
        </w:rPr>
        <w:t>La particular, mediante su solicitud de información, esencialmente requirió a</w:t>
      </w:r>
      <w:r w:rsidR="00E64F81" w:rsidRPr="008B1544">
        <w:rPr>
          <w:rFonts w:ascii="Palatino Linotype" w:eastAsia="MS Mincho" w:hAnsi="Palatino Linotype" w:cs="Times New Roman"/>
          <w:sz w:val="24"/>
          <w:szCs w:val="24"/>
          <w:lang w:eastAsia="es-ES"/>
        </w:rPr>
        <w:t xml:space="preserve"> </w:t>
      </w:r>
      <w:r w:rsidR="00AF676B" w:rsidRPr="008B1544">
        <w:rPr>
          <w:rFonts w:ascii="Palatino Linotype" w:eastAsia="MS Mincho" w:hAnsi="Palatino Linotype" w:cs="Times New Roman"/>
          <w:sz w:val="24"/>
          <w:szCs w:val="24"/>
          <w:lang w:eastAsia="es-ES"/>
        </w:rPr>
        <w:t xml:space="preserve">la Universidad Politécnica del Valle de Toluca </w:t>
      </w:r>
      <w:r w:rsidRPr="008B1544">
        <w:rPr>
          <w:rFonts w:ascii="Palatino Linotype" w:eastAsia="MS Mincho" w:hAnsi="Palatino Linotype" w:cs="Times New Roman"/>
          <w:sz w:val="24"/>
          <w:szCs w:val="24"/>
          <w:lang w:eastAsia="es-ES"/>
        </w:rPr>
        <w:t>, la siguiente información:</w:t>
      </w:r>
    </w:p>
    <w:p w:rsidR="006339DD" w:rsidRPr="008B1544" w:rsidRDefault="006339DD" w:rsidP="008B1544">
      <w:pPr>
        <w:spacing w:after="0" w:line="360" w:lineRule="auto"/>
        <w:ind w:left="567" w:right="567"/>
        <w:jc w:val="both"/>
        <w:rPr>
          <w:rFonts w:ascii="Palatino Linotype" w:eastAsia="MS Mincho" w:hAnsi="Palatino Linotype" w:cs="Times New Roman"/>
          <w:sz w:val="24"/>
          <w:szCs w:val="24"/>
          <w:lang w:val="es-ES_tradnl" w:eastAsia="es-ES"/>
        </w:rPr>
      </w:pPr>
    </w:p>
    <w:p w:rsidR="008B1544" w:rsidRDefault="00AE466F" w:rsidP="008B1544">
      <w:pPr>
        <w:pStyle w:val="Prrafodelista"/>
        <w:numPr>
          <w:ilvl w:val="0"/>
          <w:numId w:val="19"/>
        </w:numPr>
        <w:spacing w:after="0" w:line="360" w:lineRule="auto"/>
        <w:ind w:right="425"/>
        <w:jc w:val="both"/>
        <w:rPr>
          <w:rFonts w:ascii="Palatino Linotype" w:eastAsia="MS Mincho" w:hAnsi="Palatino Linotype" w:cs="Times New Roman"/>
          <w:b/>
          <w:sz w:val="24"/>
          <w:szCs w:val="24"/>
          <w:lang w:val="es-ES_tradnl" w:eastAsia="es-ES"/>
        </w:rPr>
      </w:pPr>
      <w:r w:rsidRPr="008B1544">
        <w:rPr>
          <w:rFonts w:ascii="Palatino Linotype" w:eastAsia="MS Mincho" w:hAnsi="Palatino Linotype" w:cs="Times New Roman"/>
          <w:b/>
          <w:sz w:val="24"/>
          <w:szCs w:val="24"/>
          <w:lang w:val="es-ES_tradnl" w:eastAsia="es-ES"/>
        </w:rPr>
        <w:t>Reporte de las personas que han renunciado en el cuatrimestre septiembre - diciembre 2018, señalando funciones que desempeñaban, anexando la renuncia correspondiente.</w:t>
      </w:r>
    </w:p>
    <w:p w:rsidR="008B1544" w:rsidRPr="008B1544" w:rsidRDefault="008B1544" w:rsidP="008B1544">
      <w:pPr>
        <w:pStyle w:val="Prrafodelista"/>
        <w:spacing w:after="0" w:line="360" w:lineRule="auto"/>
        <w:ind w:right="425"/>
        <w:jc w:val="both"/>
        <w:rPr>
          <w:rFonts w:ascii="Palatino Linotype" w:eastAsia="MS Mincho" w:hAnsi="Palatino Linotype" w:cs="Times New Roman"/>
          <w:b/>
          <w:sz w:val="24"/>
          <w:szCs w:val="24"/>
          <w:lang w:val="es-ES_tradnl" w:eastAsia="es-ES"/>
        </w:rPr>
      </w:pPr>
    </w:p>
    <w:p w:rsidR="004220C5" w:rsidRPr="008B1544" w:rsidRDefault="006339DD" w:rsidP="008B1544">
      <w:pPr>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t xml:space="preserve">En su respuesta, el </w:t>
      </w:r>
      <w:r w:rsidRPr="008B1544">
        <w:rPr>
          <w:rFonts w:ascii="Palatino Linotype" w:eastAsia="MS Mincho" w:hAnsi="Palatino Linotype" w:cs="Times New Roman"/>
          <w:b/>
          <w:sz w:val="24"/>
          <w:szCs w:val="24"/>
          <w:lang w:val="es-ES_tradnl" w:eastAsia="es-ES"/>
        </w:rPr>
        <w:t xml:space="preserve">SUJETO OBLIGADO </w:t>
      </w:r>
      <w:r w:rsidRPr="008B1544">
        <w:rPr>
          <w:rFonts w:ascii="Palatino Linotype" w:eastAsia="MS Mincho" w:hAnsi="Palatino Linotype" w:cs="Times New Roman"/>
          <w:sz w:val="24"/>
          <w:szCs w:val="24"/>
          <w:lang w:val="es-ES_tradnl" w:eastAsia="es-ES"/>
        </w:rPr>
        <w:t xml:space="preserve">refiere </w:t>
      </w:r>
      <w:r w:rsidR="00202C4F" w:rsidRPr="008B1544">
        <w:rPr>
          <w:rFonts w:ascii="Palatino Linotype" w:eastAsia="MS Mincho" w:hAnsi="Palatino Linotype" w:cs="Times New Roman"/>
          <w:sz w:val="24"/>
          <w:szCs w:val="24"/>
          <w:lang w:val="es-ES_tradnl" w:eastAsia="es-ES"/>
        </w:rPr>
        <w:t>que</w:t>
      </w:r>
      <w:r w:rsidR="00AE466F" w:rsidRPr="008B1544">
        <w:rPr>
          <w:rFonts w:ascii="Palatino Linotype" w:eastAsia="MS Mincho" w:hAnsi="Palatino Linotype" w:cs="Times New Roman"/>
          <w:sz w:val="24"/>
          <w:szCs w:val="24"/>
          <w:lang w:val="es-ES_tradnl" w:eastAsia="es-ES"/>
        </w:rPr>
        <w:t xml:space="preserve"> derivado de una búsqueda exhaustiva se localizaron algunas renuncias del periodo señalado, mismas de las que se realiza entrega</w:t>
      </w:r>
      <w:r w:rsidR="004220C5" w:rsidRPr="008B1544">
        <w:rPr>
          <w:rFonts w:ascii="Palatino Linotype" w:eastAsia="MS Mincho" w:hAnsi="Palatino Linotype" w:cs="Times New Roman"/>
          <w:sz w:val="24"/>
          <w:szCs w:val="24"/>
          <w:lang w:val="es-ES_tradnl" w:eastAsia="es-ES"/>
        </w:rPr>
        <w:t xml:space="preserve"> en versión pública</w:t>
      </w:r>
      <w:r w:rsidR="00AE466F" w:rsidRPr="008B1544">
        <w:rPr>
          <w:rFonts w:ascii="Palatino Linotype" w:eastAsia="MS Mincho" w:hAnsi="Palatino Linotype" w:cs="Times New Roman"/>
          <w:sz w:val="24"/>
          <w:szCs w:val="24"/>
          <w:lang w:val="es-ES_tradnl" w:eastAsia="es-ES"/>
        </w:rPr>
        <w:t>, informando que en cuanto a las funciones de los servidores p</w:t>
      </w:r>
      <w:r w:rsidR="004220C5" w:rsidRPr="008B1544">
        <w:rPr>
          <w:rFonts w:ascii="Palatino Linotype" w:eastAsia="MS Mincho" w:hAnsi="Palatino Linotype" w:cs="Times New Roman"/>
          <w:sz w:val="24"/>
          <w:szCs w:val="24"/>
          <w:lang w:val="es-ES_tradnl" w:eastAsia="es-ES"/>
        </w:rPr>
        <w:t xml:space="preserve">úblicos se pueden </w:t>
      </w:r>
      <w:r w:rsidR="00AE466F" w:rsidRPr="008B1544">
        <w:rPr>
          <w:rFonts w:ascii="Palatino Linotype" w:eastAsia="MS Mincho" w:hAnsi="Palatino Linotype" w:cs="Times New Roman"/>
          <w:sz w:val="24"/>
          <w:szCs w:val="24"/>
          <w:lang w:val="es-ES_tradnl" w:eastAsia="es-ES"/>
        </w:rPr>
        <w:t>enc</w:t>
      </w:r>
      <w:r w:rsidR="004220C5" w:rsidRPr="008B1544">
        <w:rPr>
          <w:rFonts w:ascii="Palatino Linotype" w:eastAsia="MS Mincho" w:hAnsi="Palatino Linotype" w:cs="Times New Roman"/>
          <w:sz w:val="24"/>
          <w:szCs w:val="24"/>
          <w:lang w:val="es-ES_tradnl" w:eastAsia="es-ES"/>
        </w:rPr>
        <w:t>o</w:t>
      </w:r>
      <w:r w:rsidR="00AE466F" w:rsidRPr="008B1544">
        <w:rPr>
          <w:rFonts w:ascii="Palatino Linotype" w:eastAsia="MS Mincho" w:hAnsi="Palatino Linotype" w:cs="Times New Roman"/>
          <w:sz w:val="24"/>
          <w:szCs w:val="24"/>
          <w:lang w:val="es-ES_tradnl" w:eastAsia="es-ES"/>
        </w:rPr>
        <w:t>ntra</w:t>
      </w:r>
      <w:r w:rsidR="004220C5" w:rsidRPr="008B1544">
        <w:rPr>
          <w:rFonts w:ascii="Palatino Linotype" w:eastAsia="MS Mincho" w:hAnsi="Palatino Linotype" w:cs="Times New Roman"/>
          <w:sz w:val="24"/>
          <w:szCs w:val="24"/>
          <w:lang w:val="es-ES_tradnl" w:eastAsia="es-ES"/>
        </w:rPr>
        <w:t>r en el p</w:t>
      </w:r>
      <w:r w:rsidR="00AE466F" w:rsidRPr="008B1544">
        <w:rPr>
          <w:rFonts w:ascii="Palatino Linotype" w:eastAsia="MS Mincho" w:hAnsi="Palatino Linotype" w:cs="Times New Roman"/>
          <w:sz w:val="24"/>
          <w:szCs w:val="24"/>
          <w:lang w:val="es-ES_tradnl" w:eastAsia="es-ES"/>
        </w:rPr>
        <w:t>ortal de Información</w:t>
      </w:r>
      <w:r w:rsidR="004220C5" w:rsidRPr="008B1544">
        <w:rPr>
          <w:rFonts w:ascii="Palatino Linotype" w:eastAsia="MS Mincho" w:hAnsi="Palatino Linotype" w:cs="Times New Roman"/>
          <w:sz w:val="24"/>
          <w:szCs w:val="24"/>
          <w:lang w:val="es-ES_tradnl" w:eastAsia="es-ES"/>
        </w:rPr>
        <w:t xml:space="preserve"> Pública</w:t>
      </w:r>
      <w:r w:rsidR="00AE466F" w:rsidRPr="008B1544">
        <w:rPr>
          <w:rFonts w:ascii="Palatino Linotype" w:eastAsia="MS Mincho" w:hAnsi="Palatino Linotype" w:cs="Times New Roman"/>
          <w:sz w:val="24"/>
          <w:szCs w:val="24"/>
          <w:lang w:val="es-ES_tradnl" w:eastAsia="es-ES"/>
        </w:rPr>
        <w:t xml:space="preserve"> de Oficio Mexiquense </w:t>
      </w:r>
      <w:r w:rsidR="00AE466F" w:rsidRPr="008B1544">
        <w:rPr>
          <w:rFonts w:ascii="Palatino Linotype" w:eastAsia="MS Mincho" w:hAnsi="Palatino Linotype" w:cs="Times New Roman"/>
          <w:b/>
          <w:sz w:val="24"/>
          <w:szCs w:val="24"/>
          <w:lang w:val="es-ES_tradnl" w:eastAsia="es-ES"/>
        </w:rPr>
        <w:t>(IPOMEX)</w:t>
      </w:r>
      <w:r w:rsidR="00AE466F" w:rsidRPr="008B1544">
        <w:rPr>
          <w:rFonts w:ascii="Palatino Linotype" w:eastAsia="MS Mincho" w:hAnsi="Palatino Linotype" w:cs="Times New Roman"/>
          <w:sz w:val="24"/>
          <w:szCs w:val="24"/>
          <w:lang w:val="es-ES_tradnl" w:eastAsia="es-ES"/>
        </w:rPr>
        <w:t xml:space="preserve">.  </w:t>
      </w:r>
      <w:r w:rsidR="00202C4F" w:rsidRPr="008B1544">
        <w:rPr>
          <w:rFonts w:ascii="Palatino Linotype" w:eastAsia="MS Mincho" w:hAnsi="Palatino Linotype" w:cs="Times New Roman"/>
          <w:sz w:val="24"/>
          <w:szCs w:val="24"/>
          <w:lang w:val="es-ES_tradnl" w:eastAsia="es-ES"/>
        </w:rPr>
        <w:t xml:space="preserve"> </w:t>
      </w:r>
    </w:p>
    <w:p w:rsidR="004220C5" w:rsidRPr="008B1544" w:rsidRDefault="004220C5" w:rsidP="008B1544">
      <w:pPr>
        <w:spacing w:after="0" w:line="360" w:lineRule="auto"/>
        <w:jc w:val="both"/>
        <w:rPr>
          <w:rFonts w:ascii="Palatino Linotype" w:eastAsia="MS Mincho" w:hAnsi="Palatino Linotype" w:cs="Times New Roman"/>
          <w:sz w:val="24"/>
          <w:szCs w:val="24"/>
          <w:lang w:val="es-ES_tradnl" w:eastAsia="es-ES"/>
        </w:rPr>
      </w:pPr>
    </w:p>
    <w:p w:rsidR="006339DD" w:rsidRPr="008B1544" w:rsidRDefault="004220C5" w:rsidP="008B1544">
      <w:pPr>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t xml:space="preserve">Por su parte, la parte </w:t>
      </w:r>
      <w:r w:rsidRPr="008B1544">
        <w:rPr>
          <w:rFonts w:ascii="Palatino Linotype" w:eastAsia="MS Mincho" w:hAnsi="Palatino Linotype" w:cs="Times New Roman"/>
          <w:b/>
          <w:sz w:val="24"/>
          <w:szCs w:val="24"/>
          <w:lang w:val="es-ES_tradnl" w:eastAsia="es-ES"/>
        </w:rPr>
        <w:t>RECURRENTE</w:t>
      </w:r>
      <w:r w:rsidRPr="008B1544">
        <w:rPr>
          <w:rFonts w:ascii="Palatino Linotype" w:eastAsia="MS Mincho" w:hAnsi="Palatino Linotype" w:cs="Times New Roman"/>
          <w:sz w:val="24"/>
          <w:szCs w:val="24"/>
          <w:lang w:val="es-ES_tradnl" w:eastAsia="es-ES"/>
        </w:rPr>
        <w:t xml:space="preserve"> en términos generales se inconformó dentro del recurso de revisión materia de ésta resolución, porque la información proporcionada por parte del </w:t>
      </w:r>
      <w:r w:rsidRPr="008B1544">
        <w:rPr>
          <w:rFonts w:ascii="Palatino Linotype" w:eastAsia="MS Mincho" w:hAnsi="Palatino Linotype" w:cs="Times New Roman"/>
          <w:b/>
          <w:sz w:val="24"/>
          <w:szCs w:val="24"/>
          <w:lang w:val="es-ES_tradnl" w:eastAsia="es-ES"/>
        </w:rPr>
        <w:t>SUJETO OBLOGADO</w:t>
      </w:r>
      <w:r w:rsidRPr="008B1544">
        <w:rPr>
          <w:rFonts w:ascii="Palatino Linotype" w:eastAsia="MS Mincho" w:hAnsi="Palatino Linotype" w:cs="Times New Roman"/>
          <w:sz w:val="24"/>
          <w:szCs w:val="24"/>
          <w:lang w:val="es-ES_tradnl" w:eastAsia="es-ES"/>
        </w:rPr>
        <w:t xml:space="preserve"> es incompleta.  </w:t>
      </w:r>
    </w:p>
    <w:p w:rsidR="006339DD" w:rsidRDefault="004220C5" w:rsidP="008B1544">
      <w:pPr>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lastRenderedPageBreak/>
        <w:t xml:space="preserve">En dichas condiciones el presente recurso de revisión se circunscribe a determinar si el </w:t>
      </w:r>
      <w:r w:rsidRPr="008B1544">
        <w:rPr>
          <w:rFonts w:ascii="Palatino Linotype" w:eastAsia="MS Mincho" w:hAnsi="Palatino Linotype" w:cs="Times New Roman"/>
          <w:b/>
          <w:sz w:val="24"/>
          <w:szCs w:val="24"/>
          <w:lang w:val="es-ES_tradnl" w:eastAsia="es-ES"/>
        </w:rPr>
        <w:t>SUJETO OBLIGADO</w:t>
      </w:r>
      <w:r w:rsidRPr="008B1544">
        <w:rPr>
          <w:rFonts w:ascii="Palatino Linotype" w:eastAsia="MS Mincho" w:hAnsi="Palatino Linotype" w:cs="Times New Roman"/>
          <w:sz w:val="24"/>
          <w:szCs w:val="24"/>
          <w:lang w:val="es-ES_tradnl" w:eastAsia="es-ES"/>
        </w:rPr>
        <w:t xml:space="preserve"> con su respuesta a la solicitud satisface el derecho de acceso a la información o por el contrario actualiza las causales de procedencia previstas en e</w:t>
      </w:r>
      <w:r w:rsidR="00C11C6E" w:rsidRPr="008B1544">
        <w:rPr>
          <w:rFonts w:ascii="Palatino Linotype" w:eastAsia="MS Mincho" w:hAnsi="Palatino Linotype" w:cs="Times New Roman"/>
          <w:sz w:val="24"/>
          <w:szCs w:val="24"/>
          <w:lang w:val="es-ES_tradnl" w:eastAsia="es-ES"/>
        </w:rPr>
        <w:t>l artículo 179 fracciones V y XIII</w:t>
      </w:r>
      <w:r w:rsidRPr="008B1544">
        <w:rPr>
          <w:rFonts w:ascii="Palatino Linotype" w:eastAsia="MS Mincho" w:hAnsi="Palatino Linotype" w:cs="Times New Roman"/>
          <w:sz w:val="24"/>
          <w:szCs w:val="24"/>
          <w:lang w:val="es-ES_tradnl" w:eastAsia="es-ES"/>
        </w:rPr>
        <w:t xml:space="preserve"> de la Ley de Transparencia y Acceso a la Información del Estado de México y Municipios. </w:t>
      </w:r>
    </w:p>
    <w:p w:rsidR="008B1544" w:rsidRPr="008B1544" w:rsidRDefault="008B1544" w:rsidP="008B1544">
      <w:pPr>
        <w:spacing w:after="0" w:line="360" w:lineRule="auto"/>
        <w:jc w:val="both"/>
        <w:rPr>
          <w:rFonts w:ascii="Palatino Linotype" w:eastAsia="MS Mincho" w:hAnsi="Palatino Linotype" w:cs="Times New Roman"/>
          <w:sz w:val="24"/>
          <w:szCs w:val="24"/>
          <w:lang w:val="es-ES_tradnl" w:eastAsia="es-ES"/>
        </w:rPr>
      </w:pPr>
    </w:p>
    <w:p w:rsidR="00D71FBF" w:rsidRDefault="00C11C6E" w:rsidP="008B1544">
      <w:pPr>
        <w:pStyle w:val="Ttulo1"/>
        <w:spacing w:line="360" w:lineRule="auto"/>
        <w:rPr>
          <w:rFonts w:eastAsia="MS Gothic"/>
          <w:b/>
          <w:szCs w:val="24"/>
        </w:rPr>
      </w:pPr>
      <w:bookmarkStart w:id="26" w:name="_Toc5788028"/>
      <w:r w:rsidRPr="008B1544">
        <w:rPr>
          <w:rFonts w:eastAsia="MS Gothic"/>
          <w:b/>
          <w:szCs w:val="24"/>
        </w:rPr>
        <w:t>CUARTO</w:t>
      </w:r>
      <w:r w:rsidR="008E10F8" w:rsidRPr="008B1544">
        <w:rPr>
          <w:rFonts w:eastAsia="MS Gothic"/>
          <w:b/>
          <w:szCs w:val="24"/>
        </w:rPr>
        <w:t>.</w:t>
      </w:r>
      <w:r w:rsidR="00D71FBF" w:rsidRPr="008B1544">
        <w:rPr>
          <w:rFonts w:eastAsia="MS Gothic"/>
          <w:b/>
          <w:szCs w:val="24"/>
        </w:rPr>
        <w:t xml:space="preserve"> De previo y especial pronunciamiento. </w:t>
      </w:r>
    </w:p>
    <w:p w:rsidR="008B1544" w:rsidRPr="008B1544" w:rsidRDefault="008B1544" w:rsidP="008B1544"/>
    <w:p w:rsidR="00D71FBF" w:rsidRPr="008B1544" w:rsidRDefault="00D71FBF" w:rsidP="008B1544">
      <w:pPr>
        <w:pStyle w:val="Ttulo1"/>
        <w:spacing w:line="360" w:lineRule="auto"/>
        <w:rPr>
          <w:rFonts w:eastAsia="MS Mincho"/>
          <w:b/>
          <w:szCs w:val="24"/>
        </w:rPr>
      </w:pPr>
      <w:r w:rsidRPr="008B1544">
        <w:rPr>
          <w:rFonts w:eastAsia="MS Mincho"/>
          <w:b/>
          <w:szCs w:val="24"/>
        </w:rPr>
        <w:t xml:space="preserve">a) De la Legalidad de la Prórroga para Responder a la Solicitud. </w:t>
      </w:r>
    </w:p>
    <w:p w:rsidR="00D71FBF" w:rsidRPr="008B1544" w:rsidRDefault="00D71FBF" w:rsidP="008B1544">
      <w:pPr>
        <w:spacing w:after="0" w:line="360" w:lineRule="auto"/>
        <w:rPr>
          <w:rFonts w:ascii="Palatino Linotype" w:eastAsia="MS Mincho" w:hAnsi="Palatino Linotype" w:cs="Times New Roman"/>
          <w:sz w:val="24"/>
          <w:szCs w:val="24"/>
        </w:rPr>
      </w:pPr>
    </w:p>
    <w:p w:rsidR="00D71FBF" w:rsidRPr="008B1544" w:rsidRDefault="00D71FBF" w:rsidP="008B1544">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ES"/>
        </w:rPr>
      </w:pPr>
      <w:r w:rsidRPr="008B1544">
        <w:rPr>
          <w:rFonts w:ascii="Palatino Linotype" w:eastAsia="Calibri" w:hAnsi="Palatino Linotype" w:cs="Arial"/>
          <w:sz w:val="24"/>
          <w:szCs w:val="24"/>
          <w:lang w:val="es-ES_tradnl" w:eastAsia="es-ES"/>
        </w:rPr>
        <w:t xml:space="preserve">Por otro lado y antes de entrar al estudio y resolución del asunto es necesario puntualizar que  las prórrogas determinadas por el </w:t>
      </w:r>
      <w:r w:rsidRPr="008B1544">
        <w:rPr>
          <w:rFonts w:ascii="Palatino Linotype" w:eastAsia="Calibri" w:hAnsi="Palatino Linotype" w:cs="Arial"/>
          <w:b/>
          <w:sz w:val="24"/>
          <w:szCs w:val="24"/>
          <w:lang w:val="es-ES_tradnl" w:eastAsia="es-ES"/>
        </w:rPr>
        <w:t xml:space="preserve">Sujeto Obligado </w:t>
      </w:r>
      <w:r w:rsidRPr="008B1544">
        <w:rPr>
          <w:rFonts w:ascii="Palatino Linotype" w:eastAsia="Calibri" w:hAnsi="Palatino Linotype" w:cs="Arial"/>
          <w:sz w:val="24"/>
          <w:szCs w:val="24"/>
          <w:lang w:val="es-ES_tradnl" w:eastAsia="es-ES"/>
        </w:rPr>
        <w:t xml:space="preserve">en la solicitud de información, generan un retraso en la entrega de la información y por ende una restricción al derecho de acceso a la información pública. </w:t>
      </w:r>
    </w:p>
    <w:p w:rsidR="00D71FBF" w:rsidRPr="008B1544" w:rsidRDefault="00D71FBF" w:rsidP="008B1544">
      <w:pPr>
        <w:autoSpaceDE w:val="0"/>
        <w:autoSpaceDN w:val="0"/>
        <w:adjustRightInd w:val="0"/>
        <w:spacing w:after="0" w:line="360" w:lineRule="auto"/>
        <w:contextualSpacing/>
        <w:jc w:val="both"/>
        <w:rPr>
          <w:rFonts w:ascii="Palatino Linotype" w:eastAsia="Times New Roman" w:hAnsi="Palatino Linotype" w:cs="Times New Roman"/>
          <w:i/>
          <w:sz w:val="24"/>
          <w:szCs w:val="24"/>
          <w:lang w:val="es-ES_tradnl" w:eastAsia="es-ES"/>
        </w:rPr>
      </w:pPr>
    </w:p>
    <w:p w:rsidR="00D71FBF" w:rsidRPr="008B1544" w:rsidRDefault="00D71FBF" w:rsidP="008B1544">
      <w:pPr>
        <w:numPr>
          <w:ilvl w:val="0"/>
          <w:numId w:val="2"/>
        </w:numPr>
        <w:autoSpaceDE w:val="0"/>
        <w:autoSpaceDN w:val="0"/>
        <w:adjustRightInd w:val="0"/>
        <w:spacing w:after="0" w:line="360" w:lineRule="auto"/>
        <w:ind w:left="0" w:firstLine="0"/>
        <w:contextualSpacing/>
        <w:jc w:val="both"/>
        <w:rPr>
          <w:rFonts w:ascii="Palatino Linotype" w:eastAsia="Times New Roman" w:hAnsi="Palatino Linotype" w:cs="Times New Roman"/>
          <w:i/>
          <w:sz w:val="24"/>
          <w:szCs w:val="24"/>
          <w:lang w:val="es-ES_tradnl" w:eastAsia="es-ES"/>
        </w:rPr>
      </w:pPr>
      <w:r w:rsidRPr="008B1544">
        <w:rPr>
          <w:rFonts w:ascii="Palatino Linotype" w:eastAsia="Times New Roman" w:hAnsi="Palatino Linotype" w:cs="Times New Roman"/>
          <w:sz w:val="24"/>
          <w:szCs w:val="24"/>
          <w:lang w:val="es-ES_tradnl" w:eastAsia="es-ES"/>
        </w:rPr>
        <w:t xml:space="preserve">En ese sentido, el artículo 163 de la Ley de Transparencia y Acceso a la Información Pública del Estado de México y Municipios señala que el plazo de 15 días para atender una solicitud de acceso a la información, puede prorrogarse por siete días más </w:t>
      </w:r>
      <w:r w:rsidRPr="008B1544">
        <w:rPr>
          <w:rFonts w:ascii="Palatino Linotype" w:eastAsia="Times New Roman" w:hAnsi="Palatino Linotype" w:cs="Bookman Old Style"/>
          <w:i/>
          <w:sz w:val="24"/>
          <w:szCs w:val="24"/>
          <w:lang w:val="es-ES" w:eastAsia="es-ES"/>
        </w:rPr>
        <w:t>siempre y cuando existan razones fundadas y motivadas</w:t>
      </w:r>
      <w:r w:rsidRPr="008B1544">
        <w:rPr>
          <w:rFonts w:ascii="Palatino Linotype" w:eastAsia="Times New Roman" w:hAnsi="Palatino Linotype" w:cs="Times New Roman"/>
          <w:sz w:val="24"/>
          <w:szCs w:val="24"/>
          <w:lang w:val="es-ES_tradnl" w:eastAsia="es-ES"/>
        </w:rPr>
        <w:t xml:space="preserve">, además precisa que: </w:t>
      </w:r>
      <w:r w:rsidRPr="008B1544">
        <w:rPr>
          <w:rFonts w:ascii="Palatino Linotype" w:eastAsia="Times New Roman" w:hAnsi="Palatino Linotype" w:cs="Bookman Old Style"/>
          <w:i/>
          <w:sz w:val="24"/>
          <w:szCs w:val="24"/>
          <w:lang w:val="es-ES" w:eastAsia="es-ES"/>
        </w:rPr>
        <w:t xml:space="preserve">No podrán invocarse como causales de ampliación del plazo motivos que </w:t>
      </w:r>
      <w:r w:rsidRPr="008B1544">
        <w:rPr>
          <w:rFonts w:ascii="Palatino Linotype" w:eastAsia="Times New Roman" w:hAnsi="Palatino Linotype" w:cs="Bookman Old Style"/>
          <w:b/>
          <w:i/>
          <w:sz w:val="24"/>
          <w:szCs w:val="24"/>
          <w:lang w:val="es-ES" w:eastAsia="es-ES"/>
        </w:rPr>
        <w:t xml:space="preserve">supongan negligencia o descuido del sujeto obligado </w:t>
      </w:r>
      <w:r w:rsidRPr="008B1544">
        <w:rPr>
          <w:rFonts w:ascii="Palatino Linotype" w:eastAsia="Times New Roman" w:hAnsi="Palatino Linotype" w:cs="Bookman Old Style"/>
          <w:i/>
          <w:sz w:val="24"/>
          <w:szCs w:val="24"/>
          <w:lang w:val="es-ES" w:eastAsia="es-ES"/>
        </w:rPr>
        <w:t>en el desahogo de la solicitud.</w:t>
      </w:r>
    </w:p>
    <w:p w:rsidR="00D71FBF" w:rsidRPr="008B1544" w:rsidRDefault="00D71FBF" w:rsidP="008B1544">
      <w:pPr>
        <w:spacing w:after="0" w:line="360" w:lineRule="auto"/>
        <w:ind w:left="720"/>
        <w:contextualSpacing/>
        <w:rPr>
          <w:rFonts w:ascii="Palatino Linotype" w:eastAsia="Times New Roman" w:hAnsi="Palatino Linotype" w:cs="Times New Roman"/>
          <w:i/>
          <w:sz w:val="24"/>
          <w:szCs w:val="24"/>
          <w:lang w:val="es-ES_tradnl" w:eastAsia="es-ES"/>
        </w:rPr>
      </w:pPr>
    </w:p>
    <w:p w:rsidR="00D71FBF" w:rsidRPr="008B1544" w:rsidRDefault="00D71FBF" w:rsidP="008B1544">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lang w:eastAsia="es-ES"/>
        </w:rPr>
      </w:pPr>
      <w:r w:rsidRPr="008B1544">
        <w:rPr>
          <w:rFonts w:ascii="Palatino Linotype" w:eastAsia="Times New Roman" w:hAnsi="Palatino Linotype" w:cs="Times New Roman"/>
          <w:b/>
          <w:bCs/>
          <w:i/>
          <w:sz w:val="24"/>
          <w:szCs w:val="24"/>
          <w:lang w:eastAsia="es-ES"/>
        </w:rPr>
        <w:t xml:space="preserve">Artículo 163. </w:t>
      </w:r>
      <w:r w:rsidRPr="008B1544">
        <w:rPr>
          <w:rFonts w:ascii="Palatino Linotype" w:eastAsia="Times New Roman" w:hAnsi="Palatino Linotype" w:cs="Times New Roman"/>
          <w:i/>
          <w:sz w:val="24"/>
          <w:szCs w:val="24"/>
          <w:lang w:eastAsia="es-ES"/>
        </w:rPr>
        <w:t>La Unidad de Transparencia deberá notificar la respuesta a la solicitud al interesado en el menor tiempo posible, que no podrá exceder de quince días hábiles, contados a partir del día siguiente a la presentación de aquélla.</w:t>
      </w:r>
    </w:p>
    <w:p w:rsidR="00D71FBF" w:rsidRPr="008B1544" w:rsidRDefault="00D71FBF" w:rsidP="008B1544">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lang w:eastAsia="es-ES"/>
        </w:rPr>
      </w:pPr>
    </w:p>
    <w:p w:rsidR="00D71FBF" w:rsidRPr="008B1544" w:rsidRDefault="00D71FBF" w:rsidP="008B1544">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lang w:eastAsia="es-ES"/>
        </w:rPr>
      </w:pPr>
      <w:r w:rsidRPr="008B1544">
        <w:rPr>
          <w:rFonts w:ascii="Palatino Linotype" w:eastAsia="Times New Roman" w:hAnsi="Palatino Linotype" w:cs="Times New Roman"/>
          <w:i/>
          <w:sz w:val="24"/>
          <w:szCs w:val="24"/>
          <w:lang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71FBF" w:rsidRPr="008B1544" w:rsidRDefault="00D71FBF" w:rsidP="008B1544">
      <w:pPr>
        <w:autoSpaceDE w:val="0"/>
        <w:autoSpaceDN w:val="0"/>
        <w:adjustRightInd w:val="0"/>
        <w:spacing w:line="360" w:lineRule="auto"/>
        <w:ind w:left="567" w:right="616"/>
        <w:contextualSpacing/>
        <w:jc w:val="both"/>
        <w:rPr>
          <w:rFonts w:ascii="Palatino Linotype" w:eastAsia="Times New Roman" w:hAnsi="Palatino Linotype" w:cs="Times New Roman"/>
          <w:i/>
          <w:sz w:val="24"/>
          <w:szCs w:val="24"/>
          <w:lang w:eastAsia="es-ES"/>
        </w:rPr>
      </w:pPr>
    </w:p>
    <w:p w:rsidR="00D71FBF" w:rsidRPr="008B1544" w:rsidRDefault="00D71FBF" w:rsidP="008B1544">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8B1544">
        <w:rPr>
          <w:rFonts w:ascii="Palatino Linotype" w:eastAsia="Calibri" w:hAnsi="Palatino Linotype" w:cs="Arial"/>
          <w:sz w:val="24"/>
          <w:szCs w:val="24"/>
          <w:lang w:val="es-ES_tradnl" w:eastAsia="es-ES"/>
        </w:rPr>
        <w:t xml:space="preserve">Así las cosas en el caso que se resuelve, el </w:t>
      </w:r>
      <w:r w:rsidRPr="008B1544">
        <w:rPr>
          <w:rFonts w:ascii="Palatino Linotype" w:eastAsia="Calibri" w:hAnsi="Palatino Linotype" w:cs="Arial"/>
          <w:b/>
          <w:sz w:val="24"/>
          <w:szCs w:val="24"/>
          <w:lang w:val="es-ES_tradnl" w:eastAsia="es-ES"/>
        </w:rPr>
        <w:t>SUJETO OBLIGADO</w:t>
      </w:r>
      <w:r w:rsidRPr="008B1544">
        <w:rPr>
          <w:rFonts w:ascii="Palatino Linotype" w:eastAsia="Calibri" w:hAnsi="Palatino Linotype" w:cs="Arial"/>
          <w:sz w:val="24"/>
          <w:szCs w:val="24"/>
          <w:lang w:val="es-ES_tradnl" w:eastAsia="es-ES"/>
        </w:rPr>
        <w:t xml:space="preserve"> amplio el plazo para dar respuesta señalando lo siguiente:  </w:t>
      </w:r>
      <w:r w:rsidRPr="008B1544">
        <w:rPr>
          <w:rFonts w:ascii="Palatino Linotype" w:eastAsia="MS Mincho" w:hAnsi="Palatino Linotype" w:cs="Times New Roman"/>
          <w:i/>
          <w:sz w:val="24"/>
          <w:szCs w:val="24"/>
          <w:lang w:val="es-ES_tradnl" w:eastAsia="es-ES"/>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w:t>
      </w:r>
      <w:proofErr w:type="spellStart"/>
      <w:r w:rsidRPr="008B1544">
        <w:rPr>
          <w:rFonts w:ascii="Palatino Linotype" w:eastAsia="MS Mincho" w:hAnsi="Palatino Linotype" w:cs="Times New Roman"/>
          <w:i/>
          <w:sz w:val="24"/>
          <w:szCs w:val="24"/>
          <w:lang w:val="es-ES_tradnl" w:eastAsia="es-ES"/>
        </w:rPr>
        <w:t>razones:Se</w:t>
      </w:r>
      <w:proofErr w:type="spellEnd"/>
      <w:r w:rsidRPr="008B1544">
        <w:rPr>
          <w:rFonts w:ascii="Palatino Linotype" w:eastAsia="MS Mincho" w:hAnsi="Palatino Linotype" w:cs="Times New Roman"/>
          <w:i/>
          <w:sz w:val="24"/>
          <w:szCs w:val="24"/>
          <w:lang w:val="es-ES_tradnl" w:eastAsia="es-ES"/>
        </w:rPr>
        <w:t xml:space="preserve"> aprobó la prorroga mediante acuerdo del comité de Transparencia en la sexta sesión extraordinaria del comité de Transparencia</w:t>
      </w:r>
      <w:r w:rsidRPr="008B1544">
        <w:rPr>
          <w:rFonts w:ascii="Palatino Linotype" w:eastAsia="MS Mincho" w:hAnsi="Palatino Linotype" w:cs="Arial"/>
          <w:i/>
          <w:sz w:val="24"/>
          <w:szCs w:val="24"/>
          <w:lang w:val="es-ES_tradnl" w:eastAsia="es-ES"/>
        </w:rPr>
        <w:t>” (sic)</w:t>
      </w:r>
    </w:p>
    <w:p w:rsidR="00D71FBF" w:rsidRPr="008B1544" w:rsidRDefault="00D71FBF" w:rsidP="008B1544">
      <w:pPr>
        <w:spacing w:line="360" w:lineRule="auto"/>
        <w:contextualSpacing/>
        <w:jc w:val="both"/>
        <w:rPr>
          <w:rFonts w:ascii="Palatino Linotype" w:eastAsia="Calibri" w:hAnsi="Palatino Linotype" w:cs="Arial"/>
          <w:i/>
          <w:sz w:val="24"/>
          <w:szCs w:val="24"/>
          <w:lang w:val="es-ES_tradnl" w:eastAsia="es-ES"/>
        </w:rPr>
      </w:pPr>
    </w:p>
    <w:p w:rsidR="00D71FBF" w:rsidRPr="008B1544" w:rsidRDefault="00D71FBF" w:rsidP="008B1544">
      <w:pPr>
        <w:numPr>
          <w:ilvl w:val="0"/>
          <w:numId w:val="2"/>
        </w:numPr>
        <w:spacing w:before="240" w:after="24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8B1544">
        <w:rPr>
          <w:rFonts w:ascii="Palatino Linotype" w:eastAsia="MS Mincho" w:hAnsi="Palatino Linotype" w:cs="Times New Roman"/>
          <w:sz w:val="24"/>
          <w:szCs w:val="24"/>
          <w:lang w:val="es-ES_tradnl" w:eastAsia="es-ES"/>
        </w:rPr>
        <w:lastRenderedPageBreak/>
        <w:t xml:space="preserve">De dicha manifestación se aprecia el claro incumplimiento de lo establecido en el artículo 163 de la Ley de Transparencia y Acceso a la Información Pública del Estado de México y Municipios, ya que la prórroga carece de fundamentación y motivación, asimismo no menciona las razones por las cuales se solicita la ampliación del plazo legalmente establecido para dar respuesta, por lo que dicha prórroga fue indebida ya que no se encuentra debidamente, </w:t>
      </w:r>
      <w:r w:rsidRPr="008B1544">
        <w:rPr>
          <w:rFonts w:ascii="Palatino Linotype" w:eastAsia="Times New Roman" w:hAnsi="Palatino Linotype" w:cs="Arial"/>
          <w:color w:val="000000"/>
          <w:sz w:val="24"/>
          <w:szCs w:val="24"/>
          <w:lang w:val="es-ES_tradnl" w:eastAsia="es-ES"/>
        </w:rPr>
        <w:t xml:space="preserve">fundada y  motivada. </w:t>
      </w:r>
    </w:p>
    <w:p w:rsidR="00C54D18" w:rsidRDefault="008E10F8" w:rsidP="008B1544">
      <w:pPr>
        <w:pStyle w:val="Ttulo1"/>
        <w:spacing w:line="360" w:lineRule="auto"/>
        <w:rPr>
          <w:b/>
          <w:szCs w:val="24"/>
        </w:rPr>
      </w:pPr>
      <w:r w:rsidRPr="008B1544">
        <w:rPr>
          <w:rFonts w:eastAsia="MS Gothic"/>
          <w:szCs w:val="24"/>
        </w:rPr>
        <w:t xml:space="preserve"> </w:t>
      </w:r>
      <w:r w:rsidR="00D71FBF" w:rsidRPr="008B1544">
        <w:rPr>
          <w:b/>
          <w:szCs w:val="24"/>
        </w:rPr>
        <w:t xml:space="preserve">QUINTO. </w:t>
      </w:r>
      <w:r w:rsidRPr="008B1544">
        <w:rPr>
          <w:b/>
          <w:szCs w:val="24"/>
        </w:rPr>
        <w:t>Del estudio y resolución del asunto.</w:t>
      </w:r>
      <w:bookmarkEnd w:id="26"/>
      <w:r w:rsidRPr="008B1544">
        <w:rPr>
          <w:b/>
          <w:szCs w:val="24"/>
        </w:rPr>
        <w:t xml:space="preserve"> </w:t>
      </w:r>
    </w:p>
    <w:p w:rsidR="008B1544" w:rsidRPr="008B1544" w:rsidRDefault="008B1544" w:rsidP="008B1544"/>
    <w:p w:rsidR="00C54D18" w:rsidRPr="008B1544" w:rsidRDefault="00C54D18" w:rsidP="008B1544">
      <w:pPr>
        <w:pStyle w:val="Ttulo2"/>
        <w:spacing w:line="360" w:lineRule="auto"/>
        <w:rPr>
          <w:rFonts w:ascii="Palatino Linotype" w:hAnsi="Palatino Linotype"/>
          <w:b/>
          <w:color w:val="000000" w:themeColor="text1"/>
          <w:sz w:val="24"/>
          <w:szCs w:val="24"/>
        </w:rPr>
      </w:pPr>
      <w:bookmarkStart w:id="27" w:name="_Toc524437417"/>
      <w:bookmarkStart w:id="28" w:name="_Toc5788029"/>
      <w:r w:rsidRPr="008B1544">
        <w:rPr>
          <w:rFonts w:ascii="Palatino Linotype" w:hAnsi="Palatino Linotype"/>
          <w:b/>
          <w:color w:val="000000" w:themeColor="text1"/>
          <w:sz w:val="24"/>
          <w:szCs w:val="24"/>
        </w:rPr>
        <w:t>I. Del deber de las autoridades de promover, respetar, proteger, y garantizar el derecho de acceso a la información pública.</w:t>
      </w:r>
      <w:bookmarkEnd w:id="27"/>
      <w:bookmarkEnd w:id="28"/>
      <w:r w:rsidRPr="008B1544">
        <w:rPr>
          <w:rFonts w:ascii="Palatino Linotype" w:hAnsi="Palatino Linotype"/>
          <w:b/>
          <w:color w:val="000000" w:themeColor="text1"/>
          <w:sz w:val="24"/>
          <w:szCs w:val="24"/>
        </w:rPr>
        <w:t xml:space="preserve"> </w:t>
      </w:r>
    </w:p>
    <w:p w:rsidR="00C54D18" w:rsidRDefault="00C54D18" w:rsidP="008B1544">
      <w:pPr>
        <w:pStyle w:val="Prrafodelista"/>
        <w:numPr>
          <w:ilvl w:val="0"/>
          <w:numId w:val="2"/>
        </w:numPr>
        <w:spacing w:before="240" w:after="240" w:line="360" w:lineRule="auto"/>
        <w:ind w:left="0" w:firstLine="0"/>
        <w:jc w:val="both"/>
        <w:rPr>
          <w:rFonts w:ascii="Palatino Linotype" w:hAnsi="Palatino Linotype" w:cs="Arial"/>
          <w:sz w:val="24"/>
          <w:szCs w:val="24"/>
        </w:rPr>
      </w:pPr>
      <w:r w:rsidRPr="008B1544">
        <w:rPr>
          <w:rFonts w:ascii="Palatino Linotype" w:hAnsi="Palatino Linotype" w:cs="Arial"/>
          <w:sz w:val="24"/>
          <w:szCs w:val="24"/>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B1544">
        <w:rPr>
          <w:rFonts w:ascii="Palatino Linotype" w:hAnsi="Palatino Linotype" w:cs="Arial"/>
          <w:b/>
          <w:sz w:val="24"/>
          <w:szCs w:val="24"/>
        </w:rPr>
        <w:t>SUJETO OBLIGADO</w:t>
      </w:r>
      <w:r w:rsidRPr="008B1544">
        <w:rPr>
          <w:rFonts w:ascii="Palatino Linotype" w:hAnsi="Palatino Linotype" w:cs="Arial"/>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B1544">
        <w:rPr>
          <w:rFonts w:ascii="Palatino Linotype" w:hAnsi="Palatino Linotype" w:cs="Arial"/>
          <w:b/>
          <w:sz w:val="24"/>
          <w:szCs w:val="24"/>
        </w:rPr>
        <w:t xml:space="preserve">Constitución Política de los Estados Unidos Mexicanos </w:t>
      </w:r>
      <w:r w:rsidRPr="008B1544">
        <w:rPr>
          <w:rFonts w:ascii="Palatino Linotype" w:hAnsi="Palatino Linotype" w:cs="Arial"/>
          <w:sz w:val="24"/>
          <w:szCs w:val="24"/>
        </w:rPr>
        <w:t xml:space="preserve">al señalar la obligación de “promover, respetar, </w:t>
      </w:r>
      <w:r w:rsidRPr="008B1544">
        <w:rPr>
          <w:rFonts w:ascii="Palatino Linotype" w:hAnsi="Palatino Linotype" w:cs="Arial"/>
          <w:sz w:val="24"/>
          <w:szCs w:val="24"/>
        </w:rPr>
        <w:lastRenderedPageBreak/>
        <w:t xml:space="preserve">proteger y garantizar los derechos humanos”, entre los cuales se encuentra dicho derecho. </w:t>
      </w:r>
    </w:p>
    <w:p w:rsidR="008B1544" w:rsidRPr="008B1544" w:rsidRDefault="008B1544" w:rsidP="008B1544">
      <w:pPr>
        <w:pStyle w:val="Prrafodelista"/>
        <w:spacing w:before="240" w:after="240" w:line="360" w:lineRule="auto"/>
        <w:ind w:left="0"/>
        <w:jc w:val="both"/>
        <w:rPr>
          <w:rFonts w:ascii="Palatino Linotype" w:hAnsi="Palatino Linotype" w:cs="Arial"/>
          <w:sz w:val="24"/>
          <w:szCs w:val="24"/>
        </w:rPr>
      </w:pPr>
    </w:p>
    <w:p w:rsidR="00C54D18" w:rsidRPr="008B1544" w:rsidRDefault="00C54D18" w:rsidP="008B1544">
      <w:pPr>
        <w:pStyle w:val="Prrafodelista"/>
        <w:numPr>
          <w:ilvl w:val="0"/>
          <w:numId w:val="2"/>
        </w:numPr>
        <w:spacing w:before="240" w:after="240" w:line="360" w:lineRule="auto"/>
        <w:ind w:left="0" w:firstLine="0"/>
        <w:jc w:val="both"/>
        <w:rPr>
          <w:rFonts w:ascii="Palatino Linotype" w:hAnsi="Palatino Linotype" w:cs="Arial"/>
          <w:sz w:val="24"/>
          <w:szCs w:val="24"/>
        </w:rPr>
      </w:pPr>
      <w:r w:rsidRPr="008B1544">
        <w:rPr>
          <w:rFonts w:ascii="Palatino Linotype" w:hAnsi="Palatino Linotype" w:cs="Arial"/>
          <w:sz w:val="24"/>
          <w:szCs w:val="24"/>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rsidR="00C54D18" w:rsidRPr="008B1544" w:rsidRDefault="00C54D18" w:rsidP="008B1544">
      <w:pPr>
        <w:pStyle w:val="Prrafodelista"/>
        <w:spacing w:before="240" w:after="240" w:line="360" w:lineRule="auto"/>
        <w:ind w:left="927"/>
        <w:jc w:val="both"/>
        <w:rPr>
          <w:rFonts w:ascii="Palatino Linotype" w:hAnsi="Palatino Linotype" w:cs="Arial"/>
          <w:sz w:val="24"/>
          <w:szCs w:val="24"/>
        </w:rPr>
      </w:pPr>
    </w:p>
    <w:p w:rsidR="00C54D18" w:rsidRPr="008B1544" w:rsidRDefault="00C54D18" w:rsidP="008B1544">
      <w:pPr>
        <w:pStyle w:val="Prrafodelista"/>
        <w:numPr>
          <w:ilvl w:val="0"/>
          <w:numId w:val="2"/>
        </w:numPr>
        <w:spacing w:before="240" w:after="240" w:line="360" w:lineRule="auto"/>
        <w:ind w:left="0" w:firstLine="0"/>
        <w:jc w:val="both"/>
        <w:rPr>
          <w:rFonts w:ascii="Palatino Linotype" w:hAnsi="Palatino Linotype" w:cs="Arial"/>
          <w:sz w:val="24"/>
          <w:szCs w:val="24"/>
        </w:rPr>
      </w:pPr>
      <w:r w:rsidRPr="008B1544">
        <w:rPr>
          <w:rFonts w:ascii="Palatino Linotype" w:hAnsi="Palatino Linotype" w:cs="Arial"/>
          <w:sz w:val="24"/>
          <w:szCs w:val="24"/>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54D18" w:rsidRPr="008B1544" w:rsidRDefault="00C54D18" w:rsidP="008B1544">
      <w:pPr>
        <w:pStyle w:val="Prrafodelista"/>
        <w:spacing w:before="240" w:after="240" w:line="360" w:lineRule="auto"/>
        <w:ind w:left="927"/>
        <w:jc w:val="both"/>
        <w:rPr>
          <w:rFonts w:ascii="Palatino Linotype" w:hAnsi="Palatino Linotype" w:cs="Arial"/>
          <w:sz w:val="24"/>
          <w:szCs w:val="24"/>
        </w:rPr>
      </w:pPr>
    </w:p>
    <w:p w:rsidR="00C54D18" w:rsidRPr="008B1544" w:rsidRDefault="00C54D18" w:rsidP="008B1544">
      <w:pPr>
        <w:pStyle w:val="Prrafodelista"/>
        <w:numPr>
          <w:ilvl w:val="0"/>
          <w:numId w:val="2"/>
        </w:numPr>
        <w:spacing w:before="240" w:after="240" w:line="360" w:lineRule="auto"/>
        <w:ind w:left="0" w:firstLine="0"/>
        <w:jc w:val="both"/>
        <w:rPr>
          <w:rFonts w:ascii="Palatino Linotype" w:hAnsi="Palatino Linotype" w:cs="Arial"/>
          <w:b/>
          <w:sz w:val="24"/>
          <w:szCs w:val="24"/>
          <w:lang w:val="es-ES_tradnl"/>
        </w:rPr>
      </w:pPr>
      <w:r w:rsidRPr="008B1544">
        <w:rPr>
          <w:rFonts w:ascii="Palatino Linotype" w:hAnsi="Palatino Linotype" w:cs="Arial"/>
          <w:sz w:val="24"/>
          <w:szCs w:val="24"/>
        </w:rPr>
        <w:t>En el caso concreto que nos ocupa anal</w:t>
      </w:r>
      <w:r w:rsidR="003E6673" w:rsidRPr="008B1544">
        <w:rPr>
          <w:rFonts w:ascii="Palatino Linotype" w:hAnsi="Palatino Linotype" w:cs="Arial"/>
          <w:sz w:val="24"/>
          <w:szCs w:val="24"/>
        </w:rPr>
        <w:t xml:space="preserve">izar, el particular requirió de la Universidad Politécnica del Valle de Toluca </w:t>
      </w:r>
      <w:r w:rsidR="003E6673" w:rsidRPr="008B1544">
        <w:rPr>
          <w:rFonts w:ascii="Palatino Linotype" w:hAnsi="Palatino Linotype" w:cs="Arial"/>
          <w:i/>
          <w:sz w:val="24"/>
          <w:szCs w:val="24"/>
        </w:rPr>
        <w:t>“</w:t>
      </w:r>
      <w:r w:rsidR="003E6673" w:rsidRPr="008B1544">
        <w:rPr>
          <w:rFonts w:ascii="Palatino Linotype" w:hAnsi="Palatino Linotype" w:cs="Arial"/>
          <w:i/>
          <w:sz w:val="24"/>
          <w:szCs w:val="24"/>
          <w:lang w:val="es-ES_tradnl"/>
        </w:rPr>
        <w:t>r</w:t>
      </w:r>
      <w:r w:rsidR="00AE466F" w:rsidRPr="008B1544">
        <w:rPr>
          <w:rFonts w:ascii="Palatino Linotype" w:hAnsi="Palatino Linotype" w:cs="Arial"/>
          <w:i/>
          <w:sz w:val="24"/>
          <w:szCs w:val="24"/>
          <w:lang w:val="es-ES_tradnl"/>
        </w:rPr>
        <w:t>eporte de las personas que han renunciado en el cuatrimestre septiembre - diciembre 2018, señalando funciones que desempeñaban, anexando la renuncia correspondiente</w:t>
      </w:r>
      <w:r w:rsidR="003E6673" w:rsidRPr="008B1544">
        <w:rPr>
          <w:rFonts w:ascii="Palatino Linotype" w:hAnsi="Palatino Linotype" w:cs="Arial"/>
          <w:b/>
          <w:sz w:val="24"/>
          <w:szCs w:val="24"/>
          <w:lang w:val="es-ES_tradnl"/>
        </w:rPr>
        <w:t>”</w:t>
      </w:r>
      <w:r w:rsidRPr="008B1544">
        <w:rPr>
          <w:rFonts w:ascii="Palatino Linotype" w:hAnsi="Palatino Linotype" w:cs="Arial"/>
          <w:sz w:val="24"/>
          <w:szCs w:val="24"/>
        </w:rPr>
        <w:t xml:space="preserve">; siendo importante señalar que el </w:t>
      </w:r>
      <w:r w:rsidRPr="008B1544">
        <w:rPr>
          <w:rFonts w:ascii="Palatino Linotype" w:hAnsi="Palatino Linotype" w:cs="Arial"/>
          <w:b/>
          <w:sz w:val="24"/>
          <w:szCs w:val="24"/>
        </w:rPr>
        <w:t>SUJETO OBLIGADO</w:t>
      </w:r>
      <w:r w:rsidRPr="008B1544">
        <w:rPr>
          <w:rFonts w:ascii="Palatino Linotype" w:hAnsi="Palatino Linotype" w:cs="Arial"/>
          <w:sz w:val="24"/>
          <w:szCs w:val="24"/>
        </w:rPr>
        <w:t xml:space="preserve"> respondió parcialmente a la solicitud presentada, pues </w:t>
      </w:r>
      <w:r w:rsidR="003E6673" w:rsidRPr="008B1544">
        <w:rPr>
          <w:rFonts w:ascii="Palatino Linotype" w:hAnsi="Palatino Linotype" w:cs="Arial"/>
          <w:sz w:val="24"/>
          <w:szCs w:val="24"/>
        </w:rPr>
        <w:t>la versión pública no se encuentra debidamente realizada, además de que no se acompañó del acuerdo del comité de trasparencia que la sustentara</w:t>
      </w:r>
      <w:r w:rsidRPr="008B1544">
        <w:rPr>
          <w:rFonts w:ascii="Palatino Linotype" w:hAnsi="Palatino Linotype" w:cs="Arial"/>
          <w:sz w:val="24"/>
          <w:szCs w:val="24"/>
        </w:rPr>
        <w:t>, lo que</w:t>
      </w:r>
      <w:r w:rsidR="003E6673" w:rsidRPr="008B1544">
        <w:rPr>
          <w:rFonts w:ascii="Palatino Linotype" w:hAnsi="Palatino Linotype" w:cs="Arial"/>
          <w:sz w:val="24"/>
          <w:szCs w:val="24"/>
        </w:rPr>
        <w:t xml:space="preserve"> invariablemente </w:t>
      </w:r>
      <w:r w:rsidRPr="008B1544">
        <w:rPr>
          <w:rFonts w:ascii="Palatino Linotype" w:hAnsi="Palatino Linotype" w:cs="Arial"/>
          <w:sz w:val="24"/>
          <w:szCs w:val="24"/>
        </w:rPr>
        <w:t xml:space="preserv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rsidR="00C54D18" w:rsidRPr="008B1544" w:rsidRDefault="00C54D18" w:rsidP="008B1544">
      <w:pPr>
        <w:pStyle w:val="Prrafodelista"/>
        <w:spacing w:before="240" w:after="240" w:line="360" w:lineRule="auto"/>
        <w:ind w:left="927"/>
        <w:jc w:val="both"/>
        <w:rPr>
          <w:rFonts w:ascii="Palatino Linotype" w:hAnsi="Palatino Linotype" w:cs="Arial"/>
          <w:sz w:val="24"/>
          <w:szCs w:val="24"/>
        </w:rPr>
      </w:pPr>
    </w:p>
    <w:p w:rsidR="008B485D" w:rsidRPr="008B1544" w:rsidRDefault="00C54D18" w:rsidP="008B1544">
      <w:pPr>
        <w:pStyle w:val="Prrafodelista"/>
        <w:numPr>
          <w:ilvl w:val="0"/>
          <w:numId w:val="2"/>
        </w:numPr>
        <w:spacing w:before="240" w:after="240" w:line="360" w:lineRule="auto"/>
        <w:ind w:left="0" w:firstLine="0"/>
        <w:jc w:val="both"/>
        <w:rPr>
          <w:rFonts w:ascii="Palatino Linotype" w:hAnsi="Palatino Linotype" w:cs="Arial"/>
          <w:sz w:val="24"/>
          <w:szCs w:val="24"/>
        </w:rPr>
      </w:pPr>
      <w:r w:rsidRPr="008B1544">
        <w:rPr>
          <w:rFonts w:ascii="Palatino Linotype" w:hAnsi="Palatino Linotype" w:cs="Arial"/>
          <w:sz w:val="24"/>
          <w:szCs w:val="24"/>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w:t>
      </w:r>
      <w:r w:rsidRPr="008B1544">
        <w:rPr>
          <w:rFonts w:ascii="Palatino Linotype" w:hAnsi="Palatino Linotype" w:cs="Arial"/>
          <w:sz w:val="24"/>
          <w:szCs w:val="24"/>
        </w:rPr>
        <w:lastRenderedPageBreak/>
        <w:t xml:space="preserve">información, podrá determinar la posible afectación y, de ser el caso, ordenar la reparación a la violación del derecho en cuestión. </w:t>
      </w:r>
    </w:p>
    <w:p w:rsidR="003E6673" w:rsidRPr="008B1544" w:rsidRDefault="003E6673" w:rsidP="008B1544">
      <w:pPr>
        <w:pStyle w:val="Ttulo1"/>
        <w:spacing w:line="360" w:lineRule="auto"/>
        <w:rPr>
          <w:rFonts w:eastAsia="MS Mincho"/>
          <w:b/>
          <w:szCs w:val="24"/>
        </w:rPr>
      </w:pPr>
      <w:bookmarkStart w:id="29" w:name="_Toc5788030"/>
      <w:r w:rsidRPr="008B1544">
        <w:rPr>
          <w:rFonts w:eastAsia="MS Mincho"/>
          <w:b/>
          <w:szCs w:val="24"/>
        </w:rPr>
        <w:t>II. De la información puesta a disposición.</w:t>
      </w:r>
      <w:bookmarkEnd w:id="29"/>
      <w:r w:rsidRPr="008B1544">
        <w:rPr>
          <w:rFonts w:eastAsia="MS Mincho"/>
          <w:b/>
          <w:szCs w:val="24"/>
        </w:rPr>
        <w:t xml:space="preserve"> </w:t>
      </w:r>
    </w:p>
    <w:p w:rsidR="003E6673" w:rsidRPr="008B1544" w:rsidRDefault="003E6673" w:rsidP="008B1544">
      <w:pPr>
        <w:pStyle w:val="Prrafodelista"/>
        <w:numPr>
          <w:ilvl w:val="0"/>
          <w:numId w:val="2"/>
        </w:numPr>
        <w:spacing w:before="240" w:after="240" w:line="360" w:lineRule="auto"/>
        <w:ind w:left="0" w:firstLine="0"/>
        <w:jc w:val="both"/>
        <w:rPr>
          <w:rFonts w:ascii="Palatino Linotype" w:hAnsi="Palatino Linotype" w:cs="Arial"/>
          <w:i/>
          <w:sz w:val="24"/>
          <w:szCs w:val="24"/>
        </w:rPr>
      </w:pPr>
      <w:r w:rsidRPr="008B1544">
        <w:rPr>
          <w:rFonts w:ascii="Palatino Linotype" w:hAnsi="Palatino Linotype" w:cs="Arial"/>
          <w:sz w:val="24"/>
          <w:szCs w:val="24"/>
        </w:rPr>
        <w:t xml:space="preserve">Derivado del Planteamiento de la </w:t>
      </w:r>
      <w:r w:rsidRPr="008B1544">
        <w:rPr>
          <w:rFonts w:ascii="Palatino Linotype" w:hAnsi="Palatino Linotype" w:cs="Arial"/>
          <w:i/>
          <w:sz w:val="24"/>
          <w:szCs w:val="24"/>
        </w:rPr>
        <w:t>Litis</w:t>
      </w:r>
      <w:r w:rsidRPr="008B1544">
        <w:rPr>
          <w:rFonts w:ascii="Palatino Linotype" w:hAnsi="Palatino Linotype" w:cs="Arial"/>
          <w:sz w:val="24"/>
          <w:szCs w:val="24"/>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8B1544">
        <w:rPr>
          <w:rFonts w:ascii="Palatino Linotype" w:eastAsia="Calibri" w:hAnsi="Palatino Linotype" w:cs="Arial"/>
          <w:b/>
          <w:sz w:val="24"/>
          <w:szCs w:val="24"/>
          <w:lang w:val="es-ES"/>
        </w:rPr>
        <w:t>Ley de Transparencia y Acceso a la Información Pública del Estado de México y Municipios</w:t>
      </w:r>
      <w:r w:rsidRPr="008B1544">
        <w:rPr>
          <w:rFonts w:ascii="Palatino Linotype" w:eastAsia="Times New Roman" w:hAnsi="Palatino Linotype" w:cs="Arial"/>
          <w:sz w:val="24"/>
          <w:szCs w:val="24"/>
          <w:lang w:val="es-ES" w:eastAsia="es-MX"/>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3E6673" w:rsidRPr="008B1544" w:rsidRDefault="003E6673" w:rsidP="008B1544">
      <w:pPr>
        <w:pStyle w:val="Prrafodelista"/>
        <w:spacing w:before="240" w:after="240" w:line="360" w:lineRule="auto"/>
        <w:ind w:left="0"/>
        <w:jc w:val="both"/>
        <w:rPr>
          <w:rFonts w:ascii="Palatino Linotype" w:hAnsi="Palatino Linotype" w:cs="Arial"/>
          <w:i/>
          <w:sz w:val="24"/>
          <w:szCs w:val="24"/>
        </w:rPr>
      </w:pPr>
    </w:p>
    <w:p w:rsidR="003E6673" w:rsidRPr="008B1544" w:rsidRDefault="00FF5E5E" w:rsidP="008B1544">
      <w:pPr>
        <w:pStyle w:val="Prrafodelista"/>
        <w:numPr>
          <w:ilvl w:val="0"/>
          <w:numId w:val="2"/>
        </w:numPr>
        <w:spacing w:before="240" w:after="240" w:line="360" w:lineRule="auto"/>
        <w:ind w:left="0" w:firstLine="0"/>
        <w:jc w:val="both"/>
        <w:rPr>
          <w:rFonts w:ascii="Palatino Linotype" w:hAnsi="Palatino Linotype" w:cs="Arial"/>
          <w:i/>
          <w:sz w:val="24"/>
          <w:szCs w:val="24"/>
        </w:rPr>
      </w:pPr>
      <w:r w:rsidRPr="008B1544">
        <w:rPr>
          <w:rFonts w:ascii="Palatino Linotype" w:eastAsia="MS Mincho" w:hAnsi="Palatino Linotype" w:cs="Times New Roman"/>
          <w:sz w:val="24"/>
          <w:szCs w:val="24"/>
          <w:lang w:val="es-ES_tradnl" w:eastAsia="es-ES"/>
        </w:rPr>
        <w:t>En ese sentido</w:t>
      </w:r>
      <w:r w:rsidR="00AF3F90" w:rsidRPr="008B1544">
        <w:rPr>
          <w:rFonts w:ascii="Palatino Linotype" w:eastAsia="Times New Roman" w:hAnsi="Palatino Linotype" w:cs="Arial"/>
          <w:sz w:val="24"/>
          <w:szCs w:val="24"/>
          <w:lang w:val="es-ES" w:eastAsia="es-MX"/>
        </w:rPr>
        <w:t xml:space="preserve"> es pertinente mencionar</w:t>
      </w:r>
      <w:r w:rsidR="003E6673" w:rsidRPr="008B1544">
        <w:rPr>
          <w:rFonts w:ascii="Palatino Linotype" w:eastAsia="Times New Roman" w:hAnsi="Palatino Linotype" w:cs="Arial"/>
          <w:sz w:val="24"/>
          <w:szCs w:val="24"/>
          <w:lang w:val="es-ES" w:eastAsia="es-MX"/>
        </w:rPr>
        <w:t xml:space="preserve"> en primer término que </w:t>
      </w:r>
      <w:r w:rsidR="003E6673" w:rsidRPr="008B1544">
        <w:rPr>
          <w:rFonts w:ascii="Palatino Linotype" w:eastAsia="Times New Roman" w:hAnsi="Palatino Linotype" w:cs="Arial"/>
          <w:sz w:val="24"/>
          <w:szCs w:val="24"/>
          <w:lang w:val="es-ES" w:eastAsia="es-ES"/>
        </w:rPr>
        <w:t xml:space="preserve">este Instituto, no está facultado para pronunciarse sobre la veracidad de la información proporcionada por el </w:t>
      </w:r>
      <w:r w:rsidR="003E6673" w:rsidRPr="008B1544">
        <w:rPr>
          <w:rFonts w:ascii="Palatino Linotype" w:eastAsia="Times New Roman" w:hAnsi="Palatino Linotype" w:cs="Arial"/>
          <w:b/>
          <w:sz w:val="24"/>
          <w:szCs w:val="24"/>
          <w:lang w:val="es-ES" w:eastAsia="es-ES"/>
        </w:rPr>
        <w:t>SUJETO OBLIGADO</w:t>
      </w:r>
      <w:r w:rsidR="003E6673" w:rsidRPr="008B1544">
        <w:rPr>
          <w:rFonts w:ascii="Palatino Linotype" w:eastAsia="Times New Roman" w:hAnsi="Palatino Linotype" w:cs="Arial"/>
          <w:sz w:val="24"/>
          <w:szCs w:val="24"/>
          <w:lang w:val="es-ES" w:eastAsia="es-ES"/>
        </w:rPr>
        <w:t xml:space="preserve">, ello en virtud de que no existe precepto legal alaguno que en la Ley de la materia permita que, vía recurso de revisión, se pronuncie al respecto. Sirve de apoyo a lo anterior por analogía de criterio 31/10 emitido por el entonces Instituto Federal de Acceso a la Información y Protección de Datos Personales (IFAI), actualmente Instituto Nacional de Trasparencia, Acceso a la Información y Protección de Datos Personales (INAI) que a la letra dice: </w:t>
      </w:r>
    </w:p>
    <w:p w:rsidR="003E6673" w:rsidRPr="008B1544" w:rsidRDefault="003E6673" w:rsidP="008B1544">
      <w:pPr>
        <w:spacing w:after="0" w:line="360" w:lineRule="auto"/>
        <w:ind w:left="720"/>
        <w:contextualSpacing/>
        <w:rPr>
          <w:rFonts w:ascii="Palatino Linotype" w:eastAsia="Times New Roman" w:hAnsi="Palatino Linotype" w:cs="Arial"/>
          <w:sz w:val="24"/>
          <w:szCs w:val="24"/>
          <w:lang w:val="es-ES" w:eastAsia="es-ES"/>
        </w:rPr>
      </w:pPr>
    </w:p>
    <w:p w:rsidR="003E6673" w:rsidRPr="008B1544" w:rsidRDefault="003E6673" w:rsidP="008B1544">
      <w:pPr>
        <w:spacing w:before="240" w:after="240" w:line="360" w:lineRule="auto"/>
        <w:ind w:left="567" w:right="567"/>
        <w:contextualSpacing/>
        <w:jc w:val="both"/>
        <w:rPr>
          <w:rFonts w:ascii="Palatino Linotype" w:eastAsia="MS Mincho" w:hAnsi="Palatino Linotype" w:cs="Times New Roman"/>
          <w:i/>
          <w:sz w:val="24"/>
          <w:szCs w:val="24"/>
          <w:lang w:eastAsia="es-ES"/>
        </w:rPr>
      </w:pPr>
      <w:r w:rsidRPr="008B1544">
        <w:rPr>
          <w:rFonts w:ascii="Palatino Linotype" w:eastAsia="MS Mincho" w:hAnsi="Palatino Linotype" w:cs="Times New Roman"/>
          <w:i/>
          <w:sz w:val="24"/>
          <w:szCs w:val="24"/>
          <w:lang w:eastAsia="es-ES"/>
        </w:rPr>
        <w:t>“</w:t>
      </w:r>
      <w:r w:rsidRPr="008B1544">
        <w:rPr>
          <w:rFonts w:ascii="Palatino Linotype" w:eastAsia="MS Mincho" w:hAnsi="Palatino Linotype" w:cs="Times New Roman"/>
          <w:b/>
          <w:i/>
          <w:sz w:val="24"/>
          <w:szCs w:val="24"/>
          <w:lang w:eastAsia="es-ES"/>
        </w:rPr>
        <w:t>El Instituto Federal de Acceso a la Información y Protección de Datos no cuenta con facultades para pronunciarse respecto de la veracidad de los documentos proporcionados por los Sujetos Obligados.</w:t>
      </w:r>
      <w:r w:rsidRPr="008B1544">
        <w:rPr>
          <w:rFonts w:ascii="Palatino Linotype" w:eastAsia="MS Mincho" w:hAnsi="Palatino Linotype" w:cs="Times New Roman"/>
          <w:i/>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E6673" w:rsidRPr="008B1544" w:rsidRDefault="003E6673" w:rsidP="008B1544">
      <w:pPr>
        <w:spacing w:before="240" w:after="240" w:line="360" w:lineRule="auto"/>
        <w:ind w:left="567" w:right="567"/>
        <w:contextualSpacing/>
        <w:jc w:val="both"/>
        <w:rPr>
          <w:rFonts w:ascii="Palatino Linotype" w:eastAsia="MS Mincho" w:hAnsi="Palatino Linotype" w:cs="Times New Roman"/>
          <w:i/>
          <w:sz w:val="24"/>
          <w:szCs w:val="24"/>
          <w:lang w:eastAsia="es-ES"/>
        </w:rPr>
      </w:pPr>
    </w:p>
    <w:p w:rsidR="003E6673" w:rsidRPr="008B1544" w:rsidRDefault="003E6673" w:rsidP="008B1544">
      <w:pPr>
        <w:spacing w:before="240" w:after="240" w:line="360" w:lineRule="auto"/>
        <w:ind w:left="567" w:right="567"/>
        <w:contextualSpacing/>
        <w:jc w:val="both"/>
        <w:rPr>
          <w:rFonts w:ascii="Palatino Linotype" w:eastAsia="MS Mincho" w:hAnsi="Palatino Linotype" w:cs="Times New Roman"/>
          <w:i/>
          <w:sz w:val="24"/>
          <w:szCs w:val="24"/>
          <w:lang w:eastAsia="es-ES"/>
        </w:rPr>
      </w:pPr>
      <w:r w:rsidRPr="008B1544">
        <w:rPr>
          <w:rFonts w:ascii="Palatino Linotype" w:eastAsia="MS Mincho" w:hAnsi="Palatino Linotype" w:cs="Times New Roman"/>
          <w:i/>
          <w:sz w:val="24"/>
          <w:szCs w:val="24"/>
          <w:lang w:eastAsia="es-ES"/>
        </w:rPr>
        <w:t>Expedientes:</w:t>
      </w:r>
    </w:p>
    <w:p w:rsidR="003E6673" w:rsidRPr="008B1544" w:rsidRDefault="003E6673" w:rsidP="008B1544">
      <w:pPr>
        <w:spacing w:before="240" w:after="240" w:line="360" w:lineRule="auto"/>
        <w:ind w:left="567" w:right="567"/>
        <w:contextualSpacing/>
        <w:jc w:val="both"/>
        <w:rPr>
          <w:rFonts w:ascii="Palatino Linotype" w:eastAsia="MS Mincho" w:hAnsi="Palatino Linotype" w:cs="Times New Roman"/>
          <w:i/>
          <w:sz w:val="24"/>
          <w:szCs w:val="24"/>
          <w:lang w:eastAsia="es-ES"/>
        </w:rPr>
      </w:pPr>
      <w:r w:rsidRPr="008B1544">
        <w:rPr>
          <w:rFonts w:ascii="Palatino Linotype" w:eastAsia="MS Mincho" w:hAnsi="Palatino Linotype" w:cs="Times New Roman"/>
          <w:i/>
          <w:sz w:val="24"/>
          <w:szCs w:val="24"/>
          <w:lang w:eastAsia="es-ES"/>
        </w:rPr>
        <w:t>2440/07 Comisión Federal de Electricidad - Alonso Lujambio Irazábal</w:t>
      </w:r>
    </w:p>
    <w:p w:rsidR="003E6673" w:rsidRPr="008B1544" w:rsidRDefault="003E6673" w:rsidP="008B1544">
      <w:pPr>
        <w:spacing w:before="240" w:after="240" w:line="360" w:lineRule="auto"/>
        <w:ind w:left="567" w:right="567"/>
        <w:contextualSpacing/>
        <w:jc w:val="both"/>
        <w:rPr>
          <w:rFonts w:ascii="Palatino Linotype" w:eastAsia="MS Mincho" w:hAnsi="Palatino Linotype" w:cs="Times New Roman"/>
          <w:i/>
          <w:sz w:val="24"/>
          <w:szCs w:val="24"/>
          <w:lang w:eastAsia="es-ES"/>
        </w:rPr>
      </w:pPr>
      <w:r w:rsidRPr="008B1544">
        <w:rPr>
          <w:rFonts w:ascii="Palatino Linotype" w:eastAsia="MS Mincho" w:hAnsi="Palatino Linotype" w:cs="Times New Roman"/>
          <w:i/>
          <w:sz w:val="24"/>
          <w:szCs w:val="24"/>
          <w:lang w:eastAsia="es-ES"/>
        </w:rPr>
        <w:t>0113/09 Instituto de Seguridad y Servicios Sociales de los Trabajadores del Estado – Alonso Lujambio Irazábal</w:t>
      </w:r>
    </w:p>
    <w:p w:rsidR="003E6673" w:rsidRPr="008B1544" w:rsidRDefault="003E6673" w:rsidP="008B1544">
      <w:pPr>
        <w:spacing w:before="240" w:after="240" w:line="360" w:lineRule="auto"/>
        <w:ind w:left="567" w:right="567"/>
        <w:contextualSpacing/>
        <w:jc w:val="both"/>
        <w:rPr>
          <w:rFonts w:ascii="Palatino Linotype" w:eastAsia="MS Mincho" w:hAnsi="Palatino Linotype" w:cs="Times New Roman"/>
          <w:i/>
          <w:sz w:val="24"/>
          <w:szCs w:val="24"/>
          <w:lang w:eastAsia="es-ES"/>
        </w:rPr>
      </w:pPr>
      <w:r w:rsidRPr="008B1544">
        <w:rPr>
          <w:rFonts w:ascii="Palatino Linotype" w:eastAsia="MS Mincho" w:hAnsi="Palatino Linotype" w:cs="Times New Roman"/>
          <w:i/>
          <w:sz w:val="24"/>
          <w:szCs w:val="24"/>
          <w:lang w:eastAsia="es-ES"/>
        </w:rPr>
        <w:lastRenderedPageBreak/>
        <w:t xml:space="preserve">1624/09 Instituto Nacional para la Educación de los Adultos - María </w:t>
      </w:r>
      <w:proofErr w:type="spellStart"/>
      <w:r w:rsidRPr="008B1544">
        <w:rPr>
          <w:rFonts w:ascii="Palatino Linotype" w:eastAsia="MS Mincho" w:hAnsi="Palatino Linotype" w:cs="Times New Roman"/>
          <w:i/>
          <w:sz w:val="24"/>
          <w:szCs w:val="24"/>
          <w:lang w:eastAsia="es-ES"/>
        </w:rPr>
        <w:t>Marván</w:t>
      </w:r>
      <w:proofErr w:type="spellEnd"/>
      <w:r w:rsidRPr="008B1544">
        <w:rPr>
          <w:rFonts w:ascii="Palatino Linotype" w:eastAsia="MS Mincho" w:hAnsi="Palatino Linotype" w:cs="Times New Roman"/>
          <w:i/>
          <w:sz w:val="24"/>
          <w:szCs w:val="24"/>
          <w:lang w:eastAsia="es-ES"/>
        </w:rPr>
        <w:t xml:space="preserve"> Laborde</w:t>
      </w:r>
    </w:p>
    <w:p w:rsidR="003E6673" w:rsidRPr="008B1544" w:rsidRDefault="003E6673" w:rsidP="008B1544">
      <w:pPr>
        <w:spacing w:before="240" w:after="240" w:line="360" w:lineRule="auto"/>
        <w:ind w:left="567" w:right="567"/>
        <w:contextualSpacing/>
        <w:jc w:val="both"/>
        <w:rPr>
          <w:rFonts w:ascii="Palatino Linotype" w:eastAsia="MS Mincho" w:hAnsi="Palatino Linotype" w:cs="Times New Roman"/>
          <w:i/>
          <w:sz w:val="24"/>
          <w:szCs w:val="24"/>
          <w:lang w:eastAsia="es-ES"/>
        </w:rPr>
      </w:pPr>
      <w:r w:rsidRPr="008B1544">
        <w:rPr>
          <w:rFonts w:ascii="Palatino Linotype" w:eastAsia="MS Mincho" w:hAnsi="Palatino Linotype" w:cs="Times New Roman"/>
          <w:i/>
          <w:sz w:val="24"/>
          <w:szCs w:val="24"/>
          <w:lang w:eastAsia="es-ES"/>
        </w:rPr>
        <w:t xml:space="preserve">2395/09 Secretaría de Economía - María </w:t>
      </w:r>
      <w:proofErr w:type="spellStart"/>
      <w:r w:rsidRPr="008B1544">
        <w:rPr>
          <w:rFonts w:ascii="Palatino Linotype" w:eastAsia="MS Mincho" w:hAnsi="Palatino Linotype" w:cs="Times New Roman"/>
          <w:i/>
          <w:sz w:val="24"/>
          <w:szCs w:val="24"/>
          <w:lang w:eastAsia="es-ES"/>
        </w:rPr>
        <w:t>Marván</w:t>
      </w:r>
      <w:proofErr w:type="spellEnd"/>
      <w:r w:rsidRPr="008B1544">
        <w:rPr>
          <w:rFonts w:ascii="Palatino Linotype" w:eastAsia="MS Mincho" w:hAnsi="Palatino Linotype" w:cs="Times New Roman"/>
          <w:i/>
          <w:sz w:val="24"/>
          <w:szCs w:val="24"/>
          <w:lang w:eastAsia="es-ES"/>
        </w:rPr>
        <w:t xml:space="preserve"> Laborde</w:t>
      </w:r>
    </w:p>
    <w:p w:rsidR="003E6673" w:rsidRPr="008B1544" w:rsidRDefault="003E6673" w:rsidP="008B1544">
      <w:pPr>
        <w:spacing w:before="240" w:after="240" w:line="360" w:lineRule="auto"/>
        <w:ind w:left="567" w:right="567"/>
        <w:contextualSpacing/>
        <w:jc w:val="both"/>
        <w:rPr>
          <w:rFonts w:ascii="Palatino Linotype" w:eastAsia="MS Mincho" w:hAnsi="Palatino Linotype" w:cs="Times New Roman"/>
          <w:i/>
          <w:sz w:val="24"/>
          <w:szCs w:val="24"/>
          <w:lang w:eastAsia="es-ES"/>
        </w:rPr>
      </w:pPr>
      <w:r w:rsidRPr="008B1544">
        <w:rPr>
          <w:rFonts w:ascii="Palatino Linotype" w:eastAsia="MS Mincho" w:hAnsi="Palatino Linotype" w:cs="Times New Roman"/>
          <w:i/>
          <w:sz w:val="24"/>
          <w:szCs w:val="24"/>
          <w:lang w:eastAsia="es-ES"/>
        </w:rPr>
        <w:t xml:space="preserve">0837/10 Administración Portuaria Integral de Veracruz, S.A. de C.V. – María </w:t>
      </w:r>
      <w:proofErr w:type="spellStart"/>
      <w:r w:rsidRPr="008B1544">
        <w:rPr>
          <w:rFonts w:ascii="Palatino Linotype" w:eastAsia="MS Mincho" w:hAnsi="Palatino Linotype" w:cs="Times New Roman"/>
          <w:i/>
          <w:sz w:val="24"/>
          <w:szCs w:val="24"/>
          <w:lang w:eastAsia="es-ES"/>
        </w:rPr>
        <w:t>Marván</w:t>
      </w:r>
      <w:proofErr w:type="spellEnd"/>
      <w:r w:rsidRPr="008B1544">
        <w:rPr>
          <w:rFonts w:ascii="Palatino Linotype" w:eastAsia="MS Mincho" w:hAnsi="Palatino Linotype" w:cs="Times New Roman"/>
          <w:i/>
          <w:sz w:val="24"/>
          <w:szCs w:val="24"/>
          <w:lang w:eastAsia="es-ES"/>
        </w:rPr>
        <w:t xml:space="preserve"> Laborde”</w:t>
      </w:r>
    </w:p>
    <w:p w:rsidR="00C54D18" w:rsidRPr="008B1544" w:rsidRDefault="003E6673" w:rsidP="008B154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8B1544">
        <w:rPr>
          <w:rFonts w:ascii="Palatino Linotype" w:eastAsia="MS Mincho" w:hAnsi="Palatino Linotype" w:cs="Times New Roman"/>
          <w:sz w:val="24"/>
          <w:szCs w:val="24"/>
        </w:rPr>
        <w:t>Así</w:t>
      </w:r>
      <w:r w:rsidR="008B485D" w:rsidRPr="008B1544">
        <w:rPr>
          <w:rFonts w:ascii="Palatino Linotype" w:eastAsia="MS Mincho" w:hAnsi="Palatino Linotype" w:cs="Times New Roman"/>
          <w:sz w:val="24"/>
          <w:szCs w:val="24"/>
        </w:rPr>
        <w:t xml:space="preserve"> por otro lado </w:t>
      </w:r>
      <w:r w:rsidRPr="008B1544">
        <w:rPr>
          <w:rFonts w:ascii="Palatino Linotype" w:eastAsia="MS Mincho" w:hAnsi="Palatino Linotype" w:cs="Times New Roman"/>
          <w:sz w:val="24"/>
          <w:szCs w:val="24"/>
        </w:rPr>
        <w:t>se advierte que el</w:t>
      </w:r>
      <w:r w:rsidRPr="008B1544">
        <w:rPr>
          <w:rFonts w:ascii="Palatino Linotype" w:eastAsia="MS Mincho" w:hAnsi="Palatino Linotype" w:cs="Times New Roman"/>
          <w:b/>
          <w:sz w:val="24"/>
          <w:szCs w:val="24"/>
        </w:rPr>
        <w:t xml:space="preserve"> </w:t>
      </w:r>
      <w:r w:rsidR="00AF3F90" w:rsidRPr="008B1544">
        <w:rPr>
          <w:rFonts w:ascii="Palatino Linotype" w:eastAsia="Calibri" w:hAnsi="Palatino Linotype" w:cs="Arial"/>
          <w:b/>
          <w:bCs/>
          <w:sz w:val="24"/>
          <w:szCs w:val="24"/>
          <w:lang w:val="es-ES" w:eastAsia="es-ES"/>
        </w:rPr>
        <w:t>SUJETO OBLIGADO</w:t>
      </w:r>
      <w:r w:rsidR="00AF3F90" w:rsidRPr="008B1544">
        <w:rPr>
          <w:rFonts w:ascii="Palatino Linotype" w:eastAsia="Calibri" w:hAnsi="Palatino Linotype" w:cs="Arial"/>
          <w:bCs/>
          <w:sz w:val="24"/>
          <w:szCs w:val="24"/>
          <w:lang w:val="es-ES" w:eastAsia="es-ES"/>
        </w:rPr>
        <w:t xml:space="preserve"> no niega la existencia de la información solicitada, sino por el contrario, al</w:t>
      </w:r>
      <w:r w:rsidR="00AF3F90" w:rsidRPr="008B1544">
        <w:rPr>
          <w:rFonts w:ascii="Palatino Linotype" w:eastAsia="Times New Roman" w:hAnsi="Palatino Linotype" w:cs="Arial"/>
          <w:sz w:val="24"/>
          <w:szCs w:val="24"/>
          <w:lang w:val="es-ES" w:eastAsia="es-MX"/>
        </w:rPr>
        <w:t xml:space="preserve">  emitir respuesta asevera su existencia, por lo que el estudio de la naturaleza jurídica de la información solicitada,</w:t>
      </w:r>
      <w:r w:rsidR="00C54D18" w:rsidRPr="008B1544">
        <w:rPr>
          <w:rFonts w:ascii="Palatino Linotype" w:eastAsia="Times New Roman" w:hAnsi="Palatino Linotype" w:cs="Arial"/>
          <w:sz w:val="24"/>
          <w:szCs w:val="24"/>
          <w:lang w:val="es-ES" w:eastAsia="es-MX"/>
        </w:rPr>
        <w:t xml:space="preserve"> en el caso concreto, se obvia.</w:t>
      </w:r>
    </w:p>
    <w:p w:rsidR="00C54D18" w:rsidRPr="008B1544" w:rsidRDefault="00C54D18" w:rsidP="008B1544">
      <w:pPr>
        <w:pStyle w:val="Prrafodelista"/>
        <w:spacing w:line="360" w:lineRule="auto"/>
        <w:rPr>
          <w:rFonts w:ascii="Palatino Linotype" w:eastAsia="Times New Roman" w:hAnsi="Palatino Linotype" w:cs="Arial"/>
          <w:sz w:val="24"/>
          <w:szCs w:val="24"/>
          <w:lang w:val="es-ES" w:eastAsia="es-MX"/>
        </w:rPr>
      </w:pPr>
    </w:p>
    <w:p w:rsidR="00465D0F" w:rsidRPr="008B1544" w:rsidRDefault="00AF3F90" w:rsidP="008B154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8B1544">
        <w:rPr>
          <w:rFonts w:ascii="Palatino Linotype" w:eastAsia="Times New Roman" w:hAnsi="Palatino Linotype" w:cs="Arial"/>
          <w:sz w:val="24"/>
          <w:szCs w:val="24"/>
          <w:lang w:val="es-ES" w:eastAsia="es-MX"/>
        </w:rPr>
        <w:t>Lo anterior es así, ya que el estudio enunciado tiene por objeto determinar si el</w:t>
      </w:r>
      <w:r w:rsidRPr="008B1544">
        <w:rPr>
          <w:rFonts w:ascii="Palatino Linotype" w:eastAsia="Times New Roman" w:hAnsi="Palatino Linotype" w:cs="Arial"/>
          <w:b/>
          <w:sz w:val="24"/>
          <w:szCs w:val="24"/>
          <w:lang w:val="es-ES" w:eastAsia="es-MX"/>
        </w:rPr>
        <w:t xml:space="preserve"> SUJETO OBLIGADO</w:t>
      </w:r>
      <w:r w:rsidRPr="008B1544">
        <w:rPr>
          <w:rFonts w:ascii="Palatino Linotype" w:eastAsia="Times New Roman" w:hAnsi="Palatino Linotype" w:cs="Arial"/>
          <w:sz w:val="24"/>
          <w:szCs w:val="24"/>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00C54D18" w:rsidRPr="008B1544">
        <w:rPr>
          <w:rFonts w:ascii="Palatino Linotype" w:eastAsia="Times New Roman" w:hAnsi="Palatino Linotype" w:cs="Arial"/>
          <w:b/>
          <w:sz w:val="24"/>
          <w:szCs w:val="24"/>
          <w:lang w:val="es-ES" w:eastAsia="es-MX"/>
        </w:rPr>
        <w:t>SUJETO OBLIGADO.</w:t>
      </w:r>
    </w:p>
    <w:p w:rsidR="00465D0F" w:rsidRPr="008B1544" w:rsidRDefault="00465D0F" w:rsidP="008B1544">
      <w:pPr>
        <w:pStyle w:val="Prrafodelista"/>
        <w:spacing w:line="360" w:lineRule="auto"/>
        <w:rPr>
          <w:rFonts w:ascii="Palatino Linotype" w:eastAsia="MS Mincho" w:hAnsi="Palatino Linotype" w:cs="Arial"/>
          <w:sz w:val="24"/>
          <w:szCs w:val="24"/>
          <w:lang w:eastAsia="es-ES"/>
        </w:rPr>
      </w:pPr>
    </w:p>
    <w:p w:rsidR="008B485D" w:rsidRPr="008B1544" w:rsidRDefault="008B485D" w:rsidP="008B154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8B1544">
        <w:rPr>
          <w:rFonts w:ascii="Palatino Linotype" w:eastAsia="MS Mincho" w:hAnsi="Palatino Linotype" w:cs="Arial"/>
          <w:sz w:val="24"/>
          <w:szCs w:val="24"/>
          <w:lang w:eastAsia="es-ES"/>
        </w:rPr>
        <w:t xml:space="preserve">No obstante, lo conducente en el presente caso en concreto, es verificar si la información que remitió el </w:t>
      </w:r>
      <w:r w:rsidRPr="008B1544">
        <w:rPr>
          <w:rFonts w:ascii="Palatino Linotype" w:eastAsia="MS Mincho" w:hAnsi="Palatino Linotype" w:cs="Arial"/>
          <w:b/>
          <w:sz w:val="24"/>
          <w:szCs w:val="24"/>
          <w:lang w:eastAsia="es-ES"/>
        </w:rPr>
        <w:t xml:space="preserve">SUJETO OBLIGADO </w:t>
      </w:r>
      <w:r w:rsidRPr="008B1544">
        <w:rPr>
          <w:rFonts w:ascii="Palatino Linotype" w:eastAsia="MS Mincho" w:hAnsi="Palatino Linotype" w:cs="Arial"/>
          <w:sz w:val="24"/>
          <w:szCs w:val="24"/>
          <w:lang w:eastAsia="es-ES"/>
        </w:rPr>
        <w:t xml:space="preserve">es suficiente para colmar el derecho de acceso a la información accionado por la parte </w:t>
      </w:r>
      <w:r w:rsidRPr="008B1544">
        <w:rPr>
          <w:rFonts w:ascii="Palatino Linotype" w:eastAsia="MS Mincho" w:hAnsi="Palatino Linotype" w:cs="Arial"/>
          <w:b/>
          <w:sz w:val="24"/>
          <w:szCs w:val="24"/>
          <w:lang w:eastAsia="es-ES"/>
        </w:rPr>
        <w:t>RECURRENTE</w:t>
      </w:r>
      <w:r w:rsidRPr="008B1544">
        <w:rPr>
          <w:rFonts w:ascii="Palatino Linotype" w:eastAsia="MS Mincho" w:hAnsi="Palatino Linotype" w:cs="Arial"/>
          <w:sz w:val="24"/>
          <w:szCs w:val="24"/>
          <w:lang w:eastAsia="es-ES"/>
        </w:rPr>
        <w:t xml:space="preserve">. Por ello este Pleno </w:t>
      </w:r>
      <w:r w:rsidRPr="008B1544">
        <w:rPr>
          <w:rFonts w:ascii="Palatino Linotype" w:eastAsia="Calibri" w:hAnsi="Palatino Linotype" w:cs="Times New Roman"/>
          <w:sz w:val="24"/>
          <w:szCs w:val="24"/>
          <w:lang w:val="es-ES"/>
        </w:rPr>
        <w:t xml:space="preserve">considera necesario </w:t>
      </w:r>
      <w:r w:rsidRPr="008B1544">
        <w:rPr>
          <w:rFonts w:ascii="Palatino Linotype" w:eastAsia="Calibri" w:hAnsi="Palatino Linotype" w:cs="Arial"/>
          <w:sz w:val="24"/>
          <w:szCs w:val="24"/>
          <w:lang w:val="es-ES"/>
        </w:rPr>
        <w:t xml:space="preserve">mencionar que por cuestiones de técnica jurídica, así </w:t>
      </w:r>
      <w:r w:rsidRPr="008B1544">
        <w:rPr>
          <w:rFonts w:ascii="Palatino Linotype" w:eastAsia="Calibri" w:hAnsi="Palatino Linotype" w:cs="Arial"/>
          <w:sz w:val="24"/>
          <w:szCs w:val="24"/>
          <w:lang w:val="es-ES"/>
        </w:rPr>
        <w:lastRenderedPageBreak/>
        <w:t xml:space="preserve">como para determinar si </w:t>
      </w:r>
      <w:r w:rsidRPr="008B1544">
        <w:rPr>
          <w:rFonts w:ascii="Palatino Linotype" w:eastAsia="Calibri" w:hAnsi="Palatino Linotype" w:cs="Times New Roman"/>
          <w:sz w:val="24"/>
          <w:szCs w:val="24"/>
          <w:lang w:val="es-ES"/>
        </w:rPr>
        <w:t xml:space="preserve">la información emitida por el </w:t>
      </w:r>
      <w:r w:rsidRPr="008B1544">
        <w:rPr>
          <w:rFonts w:ascii="Palatino Linotype" w:eastAsia="Calibri" w:hAnsi="Palatino Linotype" w:cs="Times New Roman"/>
          <w:b/>
          <w:sz w:val="24"/>
          <w:szCs w:val="24"/>
          <w:lang w:val="es-ES"/>
        </w:rPr>
        <w:t>SUJETO OBLIGADO</w:t>
      </w:r>
      <w:r w:rsidRPr="008B1544">
        <w:rPr>
          <w:rFonts w:ascii="Palatino Linotype" w:eastAsia="Calibri" w:hAnsi="Palatino Linotype" w:cs="Times New Roman"/>
          <w:sz w:val="24"/>
          <w:szCs w:val="24"/>
          <w:lang w:val="es-ES"/>
        </w:rPr>
        <w:t xml:space="preserve"> atendió de manera puntual a todos y cada uno de los requerimientos formulados por la parte recurrente, </w:t>
      </w:r>
      <w:r w:rsidRPr="008B1544">
        <w:rPr>
          <w:rFonts w:ascii="Palatino Linotype" w:eastAsia="Calibri" w:hAnsi="Palatino Linotype" w:cs="Times New Roman"/>
          <w:color w:val="000000"/>
          <w:sz w:val="24"/>
          <w:szCs w:val="24"/>
          <w:lang w:val="es-ES"/>
        </w:rPr>
        <w:t>se considera pertinente elaborar un cuadro de análisis</w:t>
      </w:r>
      <w:r w:rsidRPr="008B1544">
        <w:rPr>
          <w:rFonts w:ascii="Palatino Linotype" w:hAnsi="Palatino Linotype"/>
          <w:color w:val="000000"/>
          <w:sz w:val="24"/>
          <w:szCs w:val="24"/>
          <w:vertAlign w:val="superscript"/>
          <w:lang w:val="es-ES"/>
        </w:rPr>
        <w:footnoteReference w:id="1"/>
      </w:r>
      <w:r w:rsidRPr="008B1544">
        <w:rPr>
          <w:rFonts w:ascii="Palatino Linotype" w:eastAsia="Calibri" w:hAnsi="Palatino Linotype" w:cs="Times New Roman"/>
          <w:color w:val="000000"/>
          <w:sz w:val="24"/>
          <w:szCs w:val="24"/>
          <w:lang w:val="es-ES"/>
        </w:rPr>
        <w:t>, mismo que se inserta a continuación:</w:t>
      </w:r>
    </w:p>
    <w:p w:rsidR="008B1544" w:rsidRPr="008B1544" w:rsidRDefault="008B1544" w:rsidP="008B1544">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tbl>
      <w:tblPr>
        <w:tblStyle w:val="Tablaconcuadrcula21"/>
        <w:tblW w:w="9214" w:type="dxa"/>
        <w:tblInd w:w="-5" w:type="dxa"/>
        <w:tblCellMar>
          <w:left w:w="70" w:type="dxa"/>
          <w:right w:w="70" w:type="dxa"/>
        </w:tblCellMar>
        <w:tblLook w:val="0000" w:firstRow="0" w:lastRow="0" w:firstColumn="0" w:lastColumn="0" w:noHBand="0" w:noVBand="0"/>
      </w:tblPr>
      <w:tblGrid>
        <w:gridCol w:w="1113"/>
        <w:gridCol w:w="2000"/>
        <w:gridCol w:w="3918"/>
        <w:gridCol w:w="2183"/>
      </w:tblGrid>
      <w:tr w:rsidR="008B485D" w:rsidRPr="008B1544" w:rsidTr="008119F2">
        <w:trPr>
          <w:trHeight w:val="825"/>
        </w:trPr>
        <w:tc>
          <w:tcPr>
            <w:tcW w:w="9214" w:type="dxa"/>
            <w:gridSpan w:val="4"/>
          </w:tcPr>
          <w:p w:rsidR="008B485D" w:rsidRPr="008B1544" w:rsidRDefault="008B485D" w:rsidP="008B1544">
            <w:pPr>
              <w:spacing w:line="360" w:lineRule="auto"/>
              <w:jc w:val="center"/>
              <w:rPr>
                <w:rFonts w:ascii="Palatino Linotype" w:hAnsi="Palatino Linotype" w:cs="Arial"/>
                <w:b/>
                <w:sz w:val="24"/>
                <w:szCs w:val="24"/>
              </w:rPr>
            </w:pPr>
          </w:p>
          <w:p w:rsidR="008B485D" w:rsidRPr="008B1544" w:rsidRDefault="008B485D" w:rsidP="008B1544">
            <w:pPr>
              <w:spacing w:line="360" w:lineRule="auto"/>
              <w:jc w:val="center"/>
              <w:rPr>
                <w:rFonts w:ascii="Palatino Linotype" w:hAnsi="Palatino Linotype" w:cs="Arial"/>
                <w:b/>
                <w:bCs/>
                <w:sz w:val="24"/>
                <w:szCs w:val="24"/>
              </w:rPr>
            </w:pPr>
            <w:r w:rsidRPr="008B1544">
              <w:rPr>
                <w:rFonts w:ascii="Palatino Linotype" w:hAnsi="Palatino Linotype" w:cs="Arial"/>
                <w:b/>
                <w:sz w:val="24"/>
                <w:szCs w:val="24"/>
              </w:rPr>
              <w:t xml:space="preserve">Solicitud </w:t>
            </w:r>
            <w:r w:rsidR="00465D0F" w:rsidRPr="008B1544">
              <w:rPr>
                <w:rFonts w:ascii="Palatino Linotype" w:hAnsi="Palatino Linotype" w:cs="Arial"/>
                <w:b/>
                <w:bCs/>
                <w:sz w:val="24"/>
                <w:szCs w:val="24"/>
              </w:rPr>
              <w:t>01745/UPVT/IP/2018</w:t>
            </w:r>
          </w:p>
          <w:p w:rsidR="00465D0F" w:rsidRPr="008B1544" w:rsidRDefault="00465D0F" w:rsidP="008B1544">
            <w:pPr>
              <w:spacing w:line="360" w:lineRule="auto"/>
              <w:jc w:val="center"/>
              <w:rPr>
                <w:rFonts w:ascii="Palatino Linotype" w:hAnsi="Palatino Linotype" w:cs="Arial"/>
                <w:b/>
                <w:bCs/>
                <w:sz w:val="24"/>
                <w:szCs w:val="24"/>
              </w:rPr>
            </w:pPr>
          </w:p>
          <w:p w:rsidR="00465D0F" w:rsidRPr="008B1544" w:rsidRDefault="00465D0F" w:rsidP="008B1544">
            <w:pPr>
              <w:spacing w:line="360" w:lineRule="auto"/>
              <w:jc w:val="center"/>
              <w:rPr>
                <w:rFonts w:ascii="Palatino Linotype" w:hAnsi="Palatino Linotype" w:cs="Arial"/>
                <w:b/>
                <w:sz w:val="24"/>
                <w:szCs w:val="24"/>
              </w:rPr>
            </w:pPr>
            <w:r w:rsidRPr="008B1544">
              <w:rPr>
                <w:rFonts w:ascii="Palatino Linotype" w:hAnsi="Palatino Linotype" w:cs="Arial"/>
                <w:b/>
                <w:bCs/>
                <w:sz w:val="24"/>
                <w:szCs w:val="24"/>
              </w:rPr>
              <w:t xml:space="preserve">De las personas que renunciaron en el cuatrimestre septiembre – diciembre 2018. </w:t>
            </w:r>
          </w:p>
        </w:tc>
      </w:tr>
      <w:tr w:rsidR="008B485D" w:rsidRPr="008B1544" w:rsidTr="008B485D">
        <w:tblPrEx>
          <w:tblCellMar>
            <w:left w:w="108" w:type="dxa"/>
            <w:right w:w="108" w:type="dxa"/>
          </w:tblCellMar>
          <w:tblLook w:val="04A0" w:firstRow="1" w:lastRow="0" w:firstColumn="1" w:lastColumn="0" w:noHBand="0" w:noVBand="1"/>
        </w:tblPrEx>
        <w:trPr>
          <w:trHeight w:val="582"/>
        </w:trPr>
        <w:tc>
          <w:tcPr>
            <w:tcW w:w="993" w:type="dxa"/>
            <w:shd w:val="clear" w:color="auto" w:fill="DBDBDB"/>
          </w:tcPr>
          <w:p w:rsidR="008B485D" w:rsidRPr="008B1544" w:rsidRDefault="008B485D" w:rsidP="008B1544">
            <w:pPr>
              <w:spacing w:line="360" w:lineRule="auto"/>
              <w:rPr>
                <w:rFonts w:ascii="Palatino Linotype" w:hAnsi="Palatino Linotype" w:cs="Times New Roman"/>
                <w:sz w:val="24"/>
                <w:szCs w:val="24"/>
              </w:rPr>
            </w:pPr>
          </w:p>
          <w:p w:rsidR="008B485D" w:rsidRPr="008B1544" w:rsidRDefault="008B485D" w:rsidP="008B1544">
            <w:pPr>
              <w:spacing w:line="360" w:lineRule="auto"/>
              <w:jc w:val="center"/>
              <w:rPr>
                <w:rFonts w:ascii="Palatino Linotype" w:hAnsi="Palatino Linotype" w:cs="Times New Roman"/>
                <w:sz w:val="24"/>
                <w:szCs w:val="24"/>
              </w:rPr>
            </w:pPr>
            <w:r w:rsidRPr="008B1544">
              <w:rPr>
                <w:rFonts w:ascii="Palatino Linotype" w:hAnsi="Palatino Linotype" w:cs="Times New Roman"/>
                <w:sz w:val="24"/>
                <w:szCs w:val="24"/>
              </w:rPr>
              <w:t>Número</w:t>
            </w:r>
          </w:p>
        </w:tc>
        <w:tc>
          <w:tcPr>
            <w:tcW w:w="1701" w:type="dxa"/>
            <w:shd w:val="clear" w:color="auto" w:fill="DBDBDB"/>
          </w:tcPr>
          <w:p w:rsidR="008B485D" w:rsidRPr="008B1544" w:rsidRDefault="008B485D" w:rsidP="008B1544">
            <w:pPr>
              <w:spacing w:line="360" w:lineRule="auto"/>
              <w:jc w:val="center"/>
              <w:rPr>
                <w:rFonts w:ascii="Palatino Linotype" w:hAnsi="Palatino Linotype" w:cs="Times New Roman"/>
                <w:sz w:val="24"/>
                <w:szCs w:val="24"/>
              </w:rPr>
            </w:pPr>
          </w:p>
          <w:p w:rsidR="008B485D" w:rsidRPr="008B1544" w:rsidRDefault="008B485D" w:rsidP="008B1544">
            <w:pPr>
              <w:spacing w:line="360" w:lineRule="auto"/>
              <w:jc w:val="center"/>
              <w:rPr>
                <w:rFonts w:ascii="Palatino Linotype" w:hAnsi="Palatino Linotype" w:cs="Times New Roman"/>
                <w:sz w:val="24"/>
                <w:szCs w:val="24"/>
              </w:rPr>
            </w:pPr>
            <w:r w:rsidRPr="008B1544">
              <w:rPr>
                <w:rFonts w:ascii="Palatino Linotype" w:hAnsi="Palatino Linotype" w:cs="Times New Roman"/>
                <w:sz w:val="24"/>
                <w:szCs w:val="24"/>
              </w:rPr>
              <w:t>Información Requerida:</w:t>
            </w:r>
          </w:p>
        </w:tc>
        <w:tc>
          <w:tcPr>
            <w:tcW w:w="4252" w:type="dxa"/>
            <w:shd w:val="clear" w:color="auto" w:fill="DBDBDB"/>
          </w:tcPr>
          <w:p w:rsidR="008B485D" w:rsidRPr="008B1544" w:rsidRDefault="008B485D" w:rsidP="008B1544">
            <w:pPr>
              <w:spacing w:line="360" w:lineRule="auto"/>
              <w:jc w:val="center"/>
              <w:rPr>
                <w:rFonts w:ascii="Palatino Linotype" w:hAnsi="Palatino Linotype" w:cs="Times New Roman"/>
                <w:sz w:val="24"/>
                <w:szCs w:val="24"/>
              </w:rPr>
            </w:pPr>
          </w:p>
          <w:p w:rsidR="008B485D" w:rsidRPr="008B1544" w:rsidRDefault="008B485D" w:rsidP="008B1544">
            <w:pPr>
              <w:spacing w:line="360" w:lineRule="auto"/>
              <w:jc w:val="center"/>
              <w:rPr>
                <w:rFonts w:ascii="Palatino Linotype" w:hAnsi="Palatino Linotype" w:cs="Times New Roman"/>
                <w:sz w:val="24"/>
                <w:szCs w:val="24"/>
              </w:rPr>
            </w:pPr>
            <w:r w:rsidRPr="008B1544">
              <w:rPr>
                <w:rFonts w:ascii="Palatino Linotype" w:hAnsi="Palatino Linotype" w:cs="Times New Roman"/>
                <w:sz w:val="24"/>
                <w:szCs w:val="24"/>
              </w:rPr>
              <w:t xml:space="preserve">Información entregada en respuesta: </w:t>
            </w:r>
          </w:p>
        </w:tc>
        <w:tc>
          <w:tcPr>
            <w:tcW w:w="2268" w:type="dxa"/>
            <w:shd w:val="clear" w:color="auto" w:fill="D9D9D9"/>
          </w:tcPr>
          <w:p w:rsidR="008B485D" w:rsidRPr="008B1544" w:rsidRDefault="008B485D" w:rsidP="008B1544">
            <w:pPr>
              <w:spacing w:line="360" w:lineRule="auto"/>
              <w:jc w:val="center"/>
              <w:rPr>
                <w:rFonts w:ascii="Palatino Linotype" w:hAnsi="Palatino Linotype" w:cs="Times New Roman"/>
                <w:sz w:val="24"/>
                <w:szCs w:val="24"/>
              </w:rPr>
            </w:pPr>
          </w:p>
          <w:p w:rsidR="008B485D" w:rsidRPr="008B1544" w:rsidRDefault="008B485D" w:rsidP="008B1544">
            <w:pPr>
              <w:spacing w:line="360" w:lineRule="auto"/>
              <w:jc w:val="center"/>
              <w:rPr>
                <w:rFonts w:ascii="Palatino Linotype" w:hAnsi="Palatino Linotype" w:cs="Times New Roman"/>
                <w:sz w:val="24"/>
                <w:szCs w:val="24"/>
              </w:rPr>
            </w:pPr>
            <w:r w:rsidRPr="008B1544">
              <w:rPr>
                <w:rFonts w:ascii="Palatino Linotype" w:hAnsi="Palatino Linotype" w:cs="Times New Roman"/>
                <w:sz w:val="24"/>
                <w:szCs w:val="24"/>
              </w:rPr>
              <w:t xml:space="preserve">¿Satisface la solicitud? </w:t>
            </w:r>
          </w:p>
        </w:tc>
      </w:tr>
      <w:tr w:rsidR="008B485D" w:rsidRPr="008B1544" w:rsidTr="008119F2">
        <w:tblPrEx>
          <w:tblCellMar>
            <w:left w:w="108" w:type="dxa"/>
            <w:right w:w="108" w:type="dxa"/>
          </w:tblCellMar>
          <w:tblLook w:val="04A0" w:firstRow="1" w:lastRow="0" w:firstColumn="1" w:lastColumn="0" w:noHBand="0" w:noVBand="1"/>
        </w:tblPrEx>
        <w:trPr>
          <w:trHeight w:val="635"/>
        </w:trPr>
        <w:tc>
          <w:tcPr>
            <w:tcW w:w="993" w:type="dxa"/>
            <w:shd w:val="clear" w:color="auto" w:fill="auto"/>
          </w:tcPr>
          <w:p w:rsidR="008B485D" w:rsidRPr="008B1544" w:rsidRDefault="008B485D" w:rsidP="008B1544">
            <w:pPr>
              <w:tabs>
                <w:tab w:val="left" w:pos="1627"/>
              </w:tabs>
              <w:spacing w:line="360" w:lineRule="auto"/>
              <w:rPr>
                <w:rFonts w:ascii="Palatino Linotype" w:hAnsi="Palatino Linotype" w:cs="Times New Roman"/>
                <w:b/>
                <w:sz w:val="24"/>
                <w:szCs w:val="24"/>
              </w:rPr>
            </w:pPr>
          </w:p>
          <w:p w:rsidR="008B485D" w:rsidRPr="008B1544" w:rsidRDefault="008B485D" w:rsidP="008B1544">
            <w:pPr>
              <w:tabs>
                <w:tab w:val="left" w:pos="1627"/>
              </w:tabs>
              <w:spacing w:line="360" w:lineRule="auto"/>
              <w:jc w:val="center"/>
              <w:rPr>
                <w:rFonts w:ascii="Palatino Linotype" w:hAnsi="Palatino Linotype" w:cs="Times New Roman"/>
                <w:b/>
                <w:sz w:val="24"/>
                <w:szCs w:val="24"/>
              </w:rPr>
            </w:pPr>
          </w:p>
          <w:p w:rsidR="008B485D" w:rsidRPr="008B1544" w:rsidRDefault="008B485D" w:rsidP="008B1544">
            <w:pPr>
              <w:tabs>
                <w:tab w:val="left" w:pos="1627"/>
              </w:tabs>
              <w:spacing w:line="360" w:lineRule="auto"/>
              <w:jc w:val="center"/>
              <w:rPr>
                <w:rFonts w:ascii="Palatino Linotype" w:hAnsi="Palatino Linotype" w:cs="Times New Roman"/>
                <w:b/>
                <w:sz w:val="24"/>
                <w:szCs w:val="24"/>
              </w:rPr>
            </w:pPr>
            <w:r w:rsidRPr="008B1544">
              <w:rPr>
                <w:rFonts w:ascii="Palatino Linotype" w:hAnsi="Palatino Linotype" w:cs="Times New Roman"/>
                <w:b/>
                <w:sz w:val="24"/>
                <w:szCs w:val="24"/>
              </w:rPr>
              <w:t>1</w:t>
            </w:r>
          </w:p>
        </w:tc>
        <w:tc>
          <w:tcPr>
            <w:tcW w:w="1701" w:type="dxa"/>
            <w:shd w:val="clear" w:color="auto" w:fill="auto"/>
          </w:tcPr>
          <w:p w:rsidR="008B485D" w:rsidRPr="008B1544" w:rsidRDefault="00465D0F" w:rsidP="008B1544">
            <w:pPr>
              <w:spacing w:line="360" w:lineRule="auto"/>
              <w:contextualSpacing/>
              <w:jc w:val="both"/>
              <w:rPr>
                <w:rFonts w:ascii="Palatino Linotype" w:eastAsia="Times New Roman" w:hAnsi="Palatino Linotype" w:cs="Times New Roman"/>
                <w:color w:val="000000"/>
                <w:sz w:val="24"/>
                <w:szCs w:val="24"/>
              </w:rPr>
            </w:pPr>
            <w:r w:rsidRPr="008B1544">
              <w:rPr>
                <w:rFonts w:ascii="Palatino Linotype" w:hAnsi="Palatino Linotype"/>
                <w:color w:val="000000"/>
                <w:sz w:val="24"/>
                <w:szCs w:val="24"/>
              </w:rPr>
              <w:t>Reporte de renuncias.</w:t>
            </w:r>
          </w:p>
        </w:tc>
        <w:tc>
          <w:tcPr>
            <w:tcW w:w="4252" w:type="dxa"/>
            <w:shd w:val="clear" w:color="auto" w:fill="auto"/>
          </w:tcPr>
          <w:p w:rsidR="008B485D" w:rsidRPr="008B1544" w:rsidRDefault="00465D0F" w:rsidP="008B1544">
            <w:pPr>
              <w:spacing w:line="360" w:lineRule="auto"/>
              <w:jc w:val="both"/>
              <w:rPr>
                <w:rFonts w:ascii="Palatino Linotype" w:hAnsi="Palatino Linotype" w:cs="Times New Roman"/>
                <w:i/>
                <w:sz w:val="24"/>
                <w:szCs w:val="24"/>
              </w:rPr>
            </w:pPr>
            <w:r w:rsidRPr="008B1544">
              <w:rPr>
                <w:rFonts w:ascii="Palatino Linotype" w:hAnsi="Palatino Linotype" w:cs="Times New Roman"/>
                <w:i/>
                <w:sz w:val="24"/>
                <w:szCs w:val="24"/>
              </w:rPr>
              <w:t xml:space="preserve">“Los Sujetos Obligados sólo proporcionaran la información pública que se les requiera y obre en sus archivos y en el estado en que se encuentre. La obligación de proporcionar información no </w:t>
            </w:r>
            <w:r w:rsidRPr="008B1544">
              <w:rPr>
                <w:rFonts w:ascii="Palatino Linotype" w:hAnsi="Palatino Linotype" w:cs="Times New Roman"/>
                <w:i/>
                <w:sz w:val="24"/>
                <w:szCs w:val="24"/>
              </w:rPr>
              <w:lastRenderedPageBreak/>
              <w:t xml:space="preserve">comprende el procesamiento de la misma ni el presentarla conforme al interés del solicitante; no están obligados a generarla, resumirla, efectuar cálculos o practicar investigaciones.” </w:t>
            </w:r>
          </w:p>
          <w:p w:rsidR="008B485D" w:rsidRPr="008B1544" w:rsidRDefault="008B485D" w:rsidP="008B1544">
            <w:pPr>
              <w:spacing w:line="360" w:lineRule="auto"/>
              <w:ind w:hanging="107"/>
              <w:jc w:val="center"/>
              <w:rPr>
                <w:rFonts w:ascii="Palatino Linotype" w:hAnsi="Palatino Linotype" w:cs="Times New Roman"/>
                <w:sz w:val="24"/>
                <w:szCs w:val="24"/>
              </w:rPr>
            </w:pPr>
          </w:p>
          <w:p w:rsidR="008B485D" w:rsidRPr="008B1544" w:rsidRDefault="008B485D" w:rsidP="008B1544">
            <w:pPr>
              <w:spacing w:line="360" w:lineRule="auto"/>
              <w:ind w:hanging="107"/>
              <w:jc w:val="both"/>
              <w:rPr>
                <w:rFonts w:ascii="Palatino Linotype" w:hAnsi="Palatino Linotype" w:cs="Times New Roman"/>
                <w:sz w:val="24"/>
                <w:szCs w:val="24"/>
              </w:rPr>
            </w:pPr>
          </w:p>
        </w:tc>
        <w:tc>
          <w:tcPr>
            <w:tcW w:w="2268" w:type="dxa"/>
          </w:tcPr>
          <w:p w:rsidR="008B485D" w:rsidRPr="008B1544" w:rsidRDefault="008B485D" w:rsidP="008B1544">
            <w:pPr>
              <w:spacing w:line="360" w:lineRule="auto"/>
              <w:rPr>
                <w:rFonts w:ascii="Palatino Linotype" w:hAnsi="Palatino Linotype" w:cs="Times New Roman"/>
                <w:sz w:val="24"/>
                <w:szCs w:val="24"/>
              </w:rPr>
            </w:pPr>
          </w:p>
          <w:p w:rsidR="008B485D" w:rsidRPr="008B1544" w:rsidRDefault="008B485D" w:rsidP="008B1544">
            <w:pPr>
              <w:spacing w:line="360" w:lineRule="auto"/>
              <w:rPr>
                <w:rFonts w:ascii="Palatino Linotype" w:hAnsi="Palatino Linotype" w:cs="Times New Roman"/>
                <w:sz w:val="24"/>
                <w:szCs w:val="24"/>
              </w:rPr>
            </w:pPr>
          </w:p>
          <w:p w:rsidR="008B485D" w:rsidRPr="008B1544" w:rsidRDefault="00465D0F" w:rsidP="008B1544">
            <w:pPr>
              <w:tabs>
                <w:tab w:val="left" w:pos="930"/>
                <w:tab w:val="center" w:pos="1026"/>
              </w:tabs>
              <w:spacing w:line="360" w:lineRule="auto"/>
              <w:jc w:val="center"/>
              <w:rPr>
                <w:rFonts w:ascii="Palatino Linotype" w:hAnsi="Palatino Linotype" w:cs="Times New Roman"/>
                <w:sz w:val="24"/>
                <w:szCs w:val="24"/>
              </w:rPr>
            </w:pPr>
            <w:r w:rsidRPr="008B1544">
              <w:rPr>
                <w:rFonts w:ascii="Palatino Linotype" w:hAnsi="Palatino Linotype" w:cs="Times New Roman"/>
                <w:sz w:val="24"/>
                <w:szCs w:val="24"/>
              </w:rPr>
              <w:t>SI</w:t>
            </w:r>
          </w:p>
        </w:tc>
      </w:tr>
      <w:tr w:rsidR="008B485D" w:rsidRPr="008B1544" w:rsidTr="008119F2">
        <w:tblPrEx>
          <w:tblCellMar>
            <w:left w:w="108" w:type="dxa"/>
            <w:right w:w="108" w:type="dxa"/>
          </w:tblCellMar>
          <w:tblLook w:val="04A0" w:firstRow="1" w:lastRow="0" w:firstColumn="1" w:lastColumn="0" w:noHBand="0" w:noVBand="1"/>
        </w:tblPrEx>
        <w:trPr>
          <w:trHeight w:val="1540"/>
        </w:trPr>
        <w:tc>
          <w:tcPr>
            <w:tcW w:w="993" w:type="dxa"/>
            <w:shd w:val="clear" w:color="auto" w:fill="auto"/>
          </w:tcPr>
          <w:p w:rsidR="008B485D" w:rsidRPr="008B1544" w:rsidRDefault="008B485D" w:rsidP="008B1544">
            <w:pPr>
              <w:tabs>
                <w:tab w:val="left" w:pos="1627"/>
              </w:tabs>
              <w:spacing w:line="360" w:lineRule="auto"/>
              <w:jc w:val="center"/>
              <w:rPr>
                <w:rFonts w:ascii="Palatino Linotype" w:hAnsi="Palatino Linotype" w:cs="Times New Roman"/>
                <w:b/>
                <w:sz w:val="24"/>
                <w:szCs w:val="24"/>
              </w:rPr>
            </w:pPr>
            <w:r w:rsidRPr="008B1544">
              <w:rPr>
                <w:rFonts w:ascii="Palatino Linotype" w:hAnsi="Palatino Linotype" w:cs="Times New Roman"/>
                <w:b/>
                <w:sz w:val="24"/>
                <w:szCs w:val="24"/>
              </w:rPr>
              <w:lastRenderedPageBreak/>
              <w:t>2</w:t>
            </w:r>
          </w:p>
        </w:tc>
        <w:tc>
          <w:tcPr>
            <w:tcW w:w="1701" w:type="dxa"/>
            <w:shd w:val="clear" w:color="auto" w:fill="auto"/>
          </w:tcPr>
          <w:p w:rsidR="008B485D" w:rsidRPr="008B1544" w:rsidRDefault="00465D0F" w:rsidP="008B1544">
            <w:pPr>
              <w:spacing w:line="360" w:lineRule="auto"/>
              <w:contextualSpacing/>
              <w:jc w:val="both"/>
              <w:rPr>
                <w:rFonts w:ascii="Palatino Linotype" w:eastAsia="Times New Roman" w:hAnsi="Palatino Linotype" w:cs="Times New Roman"/>
                <w:color w:val="000000"/>
                <w:sz w:val="24"/>
                <w:szCs w:val="24"/>
              </w:rPr>
            </w:pPr>
            <w:r w:rsidRPr="008B1544">
              <w:rPr>
                <w:rFonts w:ascii="Palatino Linotype" w:eastAsia="Times New Roman" w:hAnsi="Palatino Linotype" w:cs="Times New Roman"/>
                <w:color w:val="000000"/>
                <w:sz w:val="24"/>
                <w:szCs w:val="24"/>
              </w:rPr>
              <w:t xml:space="preserve">Funciones que desempeñaban. </w:t>
            </w:r>
          </w:p>
        </w:tc>
        <w:tc>
          <w:tcPr>
            <w:tcW w:w="4252" w:type="dxa"/>
            <w:shd w:val="clear" w:color="auto" w:fill="auto"/>
          </w:tcPr>
          <w:p w:rsidR="008B485D" w:rsidRPr="008B1544" w:rsidRDefault="00465D0F" w:rsidP="008B1544">
            <w:pPr>
              <w:spacing w:line="360" w:lineRule="auto"/>
              <w:jc w:val="both"/>
              <w:rPr>
                <w:rFonts w:ascii="Palatino Linotype" w:hAnsi="Palatino Linotype" w:cs="Times New Roman"/>
                <w:sz w:val="24"/>
                <w:szCs w:val="24"/>
              </w:rPr>
            </w:pPr>
            <w:r w:rsidRPr="008B1544">
              <w:rPr>
                <w:rFonts w:ascii="Palatino Linotype" w:hAnsi="Palatino Linotype" w:cs="Times New Roman"/>
                <w:sz w:val="24"/>
                <w:szCs w:val="24"/>
              </w:rPr>
              <w:t xml:space="preserve">Se refiere que la información relativa a las funciones que desempeñaban los servidores públicos que renunciaron se encuentran en el portal de información pública de oficio mexiquense.  </w:t>
            </w:r>
          </w:p>
        </w:tc>
        <w:tc>
          <w:tcPr>
            <w:tcW w:w="2268" w:type="dxa"/>
          </w:tcPr>
          <w:p w:rsidR="008B485D" w:rsidRPr="008B1544" w:rsidRDefault="008B485D" w:rsidP="008B1544">
            <w:pPr>
              <w:spacing w:line="360" w:lineRule="auto"/>
              <w:rPr>
                <w:rFonts w:ascii="Palatino Linotype" w:hAnsi="Palatino Linotype" w:cs="Times New Roman"/>
                <w:sz w:val="24"/>
                <w:szCs w:val="24"/>
              </w:rPr>
            </w:pPr>
          </w:p>
          <w:p w:rsidR="008B485D" w:rsidRPr="008B1544" w:rsidRDefault="008B485D" w:rsidP="008B1544">
            <w:pPr>
              <w:spacing w:line="360" w:lineRule="auto"/>
              <w:rPr>
                <w:rFonts w:ascii="Palatino Linotype" w:hAnsi="Palatino Linotype" w:cs="Times New Roman"/>
                <w:sz w:val="24"/>
                <w:szCs w:val="24"/>
              </w:rPr>
            </w:pPr>
          </w:p>
          <w:p w:rsidR="008B485D" w:rsidRPr="008B1544" w:rsidRDefault="00465D0F" w:rsidP="008B1544">
            <w:pPr>
              <w:spacing w:line="360" w:lineRule="auto"/>
              <w:jc w:val="center"/>
              <w:rPr>
                <w:rFonts w:ascii="Palatino Linotype" w:hAnsi="Palatino Linotype" w:cs="Times New Roman"/>
                <w:sz w:val="24"/>
                <w:szCs w:val="24"/>
              </w:rPr>
            </w:pPr>
            <w:r w:rsidRPr="008B1544">
              <w:rPr>
                <w:rFonts w:ascii="Palatino Linotype" w:hAnsi="Palatino Linotype" w:cs="Times New Roman"/>
                <w:sz w:val="24"/>
                <w:szCs w:val="24"/>
              </w:rPr>
              <w:t>NO</w:t>
            </w:r>
          </w:p>
        </w:tc>
      </w:tr>
      <w:tr w:rsidR="008B485D" w:rsidRPr="008B1544" w:rsidTr="008119F2">
        <w:tblPrEx>
          <w:tblCellMar>
            <w:left w:w="108" w:type="dxa"/>
            <w:right w:w="108" w:type="dxa"/>
          </w:tblCellMar>
          <w:tblLook w:val="04A0" w:firstRow="1" w:lastRow="0" w:firstColumn="1" w:lastColumn="0" w:noHBand="0" w:noVBand="1"/>
        </w:tblPrEx>
        <w:trPr>
          <w:trHeight w:val="1337"/>
        </w:trPr>
        <w:tc>
          <w:tcPr>
            <w:tcW w:w="993" w:type="dxa"/>
            <w:shd w:val="clear" w:color="auto" w:fill="auto"/>
          </w:tcPr>
          <w:p w:rsidR="008B485D" w:rsidRPr="008B1544" w:rsidRDefault="008B485D" w:rsidP="008B1544">
            <w:pPr>
              <w:tabs>
                <w:tab w:val="left" w:pos="1627"/>
              </w:tabs>
              <w:spacing w:line="360" w:lineRule="auto"/>
              <w:jc w:val="center"/>
              <w:rPr>
                <w:rFonts w:ascii="Palatino Linotype" w:hAnsi="Palatino Linotype" w:cs="Times New Roman"/>
                <w:b/>
                <w:sz w:val="24"/>
                <w:szCs w:val="24"/>
              </w:rPr>
            </w:pPr>
            <w:r w:rsidRPr="008B1544">
              <w:rPr>
                <w:rFonts w:ascii="Palatino Linotype" w:hAnsi="Palatino Linotype" w:cs="Times New Roman"/>
                <w:b/>
                <w:sz w:val="24"/>
                <w:szCs w:val="24"/>
              </w:rPr>
              <w:t>3</w:t>
            </w:r>
          </w:p>
        </w:tc>
        <w:tc>
          <w:tcPr>
            <w:tcW w:w="1701" w:type="dxa"/>
            <w:shd w:val="clear" w:color="auto" w:fill="auto"/>
          </w:tcPr>
          <w:p w:rsidR="008B485D" w:rsidRPr="008B1544" w:rsidRDefault="008B485D" w:rsidP="008B1544">
            <w:pPr>
              <w:spacing w:line="360" w:lineRule="auto"/>
              <w:contextualSpacing/>
              <w:jc w:val="both"/>
              <w:rPr>
                <w:rFonts w:ascii="Palatino Linotype" w:eastAsia="Times New Roman" w:hAnsi="Palatino Linotype" w:cs="Times New Roman"/>
                <w:color w:val="000000"/>
                <w:sz w:val="24"/>
                <w:szCs w:val="24"/>
              </w:rPr>
            </w:pPr>
          </w:p>
          <w:p w:rsidR="008B485D" w:rsidRPr="008B1544" w:rsidRDefault="00465D0F" w:rsidP="008B1544">
            <w:pPr>
              <w:spacing w:line="360" w:lineRule="auto"/>
              <w:contextualSpacing/>
              <w:jc w:val="both"/>
              <w:rPr>
                <w:rFonts w:ascii="Palatino Linotype" w:eastAsia="Times New Roman" w:hAnsi="Palatino Linotype" w:cs="Times New Roman"/>
                <w:color w:val="000000"/>
                <w:sz w:val="24"/>
                <w:szCs w:val="24"/>
              </w:rPr>
            </w:pPr>
            <w:r w:rsidRPr="008B1544">
              <w:rPr>
                <w:rFonts w:ascii="Palatino Linotype" w:eastAsia="Times New Roman" w:hAnsi="Palatino Linotype" w:cs="Times New Roman"/>
                <w:color w:val="000000"/>
                <w:sz w:val="24"/>
                <w:szCs w:val="24"/>
              </w:rPr>
              <w:t xml:space="preserve">Renuncia correspondiente. </w:t>
            </w:r>
          </w:p>
        </w:tc>
        <w:tc>
          <w:tcPr>
            <w:tcW w:w="4252" w:type="dxa"/>
            <w:shd w:val="clear" w:color="auto" w:fill="auto"/>
          </w:tcPr>
          <w:p w:rsidR="008B485D" w:rsidRPr="008B1544" w:rsidRDefault="008B485D" w:rsidP="008B1544">
            <w:pPr>
              <w:spacing w:line="360" w:lineRule="auto"/>
              <w:jc w:val="both"/>
              <w:rPr>
                <w:rFonts w:ascii="Palatino Linotype" w:hAnsi="Palatino Linotype" w:cs="Times New Roman"/>
                <w:sz w:val="24"/>
                <w:szCs w:val="24"/>
              </w:rPr>
            </w:pPr>
          </w:p>
          <w:p w:rsidR="008B485D" w:rsidRPr="008B1544" w:rsidRDefault="00465D0F" w:rsidP="008B1544">
            <w:pPr>
              <w:spacing w:line="360" w:lineRule="auto"/>
              <w:jc w:val="both"/>
              <w:rPr>
                <w:rFonts w:ascii="Palatino Linotype" w:hAnsi="Palatino Linotype" w:cs="Times New Roman"/>
                <w:sz w:val="24"/>
                <w:szCs w:val="24"/>
              </w:rPr>
            </w:pPr>
            <w:r w:rsidRPr="008B1544">
              <w:rPr>
                <w:rFonts w:ascii="Palatino Linotype" w:hAnsi="Palatino Linotype" w:cs="Times New Roman"/>
                <w:sz w:val="24"/>
                <w:szCs w:val="24"/>
              </w:rPr>
              <w:t xml:space="preserve">Se entregan diversos formatos de renuncia. </w:t>
            </w:r>
          </w:p>
        </w:tc>
        <w:tc>
          <w:tcPr>
            <w:tcW w:w="2268" w:type="dxa"/>
          </w:tcPr>
          <w:p w:rsidR="008B485D" w:rsidRPr="008B1544" w:rsidRDefault="008B485D" w:rsidP="008B1544">
            <w:pPr>
              <w:spacing w:line="360" w:lineRule="auto"/>
              <w:rPr>
                <w:rFonts w:ascii="Palatino Linotype" w:hAnsi="Palatino Linotype" w:cs="Times New Roman"/>
                <w:sz w:val="24"/>
                <w:szCs w:val="24"/>
              </w:rPr>
            </w:pPr>
          </w:p>
          <w:p w:rsidR="008B485D" w:rsidRPr="008B1544" w:rsidRDefault="008B485D" w:rsidP="008B1544">
            <w:pPr>
              <w:spacing w:line="360" w:lineRule="auto"/>
              <w:jc w:val="center"/>
              <w:rPr>
                <w:rFonts w:ascii="Palatino Linotype" w:hAnsi="Palatino Linotype" w:cs="Times New Roman"/>
                <w:sz w:val="24"/>
                <w:szCs w:val="24"/>
              </w:rPr>
            </w:pPr>
          </w:p>
          <w:p w:rsidR="008B485D" w:rsidRPr="008B1544" w:rsidRDefault="00465D0F" w:rsidP="008B1544">
            <w:pPr>
              <w:spacing w:line="360" w:lineRule="auto"/>
              <w:jc w:val="center"/>
              <w:rPr>
                <w:rFonts w:ascii="Palatino Linotype" w:hAnsi="Palatino Linotype" w:cs="Times New Roman"/>
                <w:sz w:val="24"/>
                <w:szCs w:val="24"/>
              </w:rPr>
            </w:pPr>
            <w:r w:rsidRPr="008B1544">
              <w:rPr>
                <w:rFonts w:ascii="Palatino Linotype" w:hAnsi="Palatino Linotype" w:cs="Times New Roman"/>
                <w:sz w:val="24"/>
                <w:szCs w:val="24"/>
              </w:rPr>
              <w:t>Parcialmente.</w:t>
            </w:r>
          </w:p>
          <w:p w:rsidR="008B485D" w:rsidRPr="008B1544" w:rsidRDefault="008B485D" w:rsidP="008B1544">
            <w:pPr>
              <w:spacing w:line="360" w:lineRule="auto"/>
              <w:jc w:val="center"/>
              <w:rPr>
                <w:rFonts w:ascii="Palatino Linotype" w:hAnsi="Palatino Linotype" w:cs="Times New Roman"/>
                <w:sz w:val="24"/>
                <w:szCs w:val="24"/>
              </w:rPr>
            </w:pPr>
          </w:p>
        </w:tc>
      </w:tr>
    </w:tbl>
    <w:p w:rsidR="008B485D" w:rsidRPr="008B1544" w:rsidRDefault="008B485D" w:rsidP="008B1544">
      <w:pPr>
        <w:spacing w:after="0" w:line="360" w:lineRule="auto"/>
        <w:rPr>
          <w:rFonts w:ascii="Palatino Linotype" w:eastAsia="MS Mincho" w:hAnsi="Palatino Linotype" w:cs="Times New Roman"/>
          <w:sz w:val="24"/>
          <w:szCs w:val="24"/>
          <w:lang w:val="es-ES_tradnl" w:eastAsia="es-ES_tradnl"/>
        </w:rPr>
      </w:pPr>
    </w:p>
    <w:p w:rsidR="002C05B8" w:rsidRPr="008B1544" w:rsidRDefault="00465D0F" w:rsidP="008B1544">
      <w:pPr>
        <w:pStyle w:val="Prrafodelista"/>
        <w:numPr>
          <w:ilvl w:val="0"/>
          <w:numId w:val="2"/>
        </w:numPr>
        <w:spacing w:before="240" w:after="240" w:line="360" w:lineRule="auto"/>
        <w:ind w:left="0" w:firstLine="0"/>
        <w:jc w:val="both"/>
        <w:rPr>
          <w:rFonts w:ascii="Palatino Linotype" w:eastAsia="MS Mincho" w:hAnsi="Palatino Linotype" w:cs="Times New Roman"/>
          <w:sz w:val="24"/>
          <w:szCs w:val="24"/>
          <w:lang w:val="es-ES_tradnl" w:eastAsia="es-ES_tradnl"/>
        </w:rPr>
      </w:pPr>
      <w:r w:rsidRPr="008B1544">
        <w:rPr>
          <w:rFonts w:ascii="Palatino Linotype" w:hAnsi="Palatino Linotype" w:cs="Arial"/>
          <w:sz w:val="24"/>
          <w:szCs w:val="24"/>
        </w:rPr>
        <w:lastRenderedPageBreak/>
        <w:t xml:space="preserve">Puntualizado lo anterior, resulta evidente para este </w:t>
      </w:r>
      <w:proofErr w:type="spellStart"/>
      <w:r w:rsidRPr="008B1544">
        <w:rPr>
          <w:rFonts w:ascii="Palatino Linotype" w:hAnsi="Palatino Linotype" w:cs="Arial"/>
          <w:sz w:val="24"/>
          <w:szCs w:val="24"/>
        </w:rPr>
        <w:t>resolutor</w:t>
      </w:r>
      <w:proofErr w:type="spellEnd"/>
      <w:r w:rsidRPr="008B1544">
        <w:rPr>
          <w:rFonts w:ascii="Palatino Linotype" w:hAnsi="Palatino Linotype" w:cs="Arial"/>
          <w:sz w:val="24"/>
          <w:szCs w:val="24"/>
        </w:rPr>
        <w:t xml:space="preserve"> que las razones o motivos de inconformidad aducidos por el particular resultan parcialmente fundados, en razón de que: a) </w:t>
      </w:r>
      <w:r w:rsidR="00A006CA" w:rsidRPr="008B1544">
        <w:rPr>
          <w:rFonts w:ascii="Palatino Linotype" w:hAnsi="Palatino Linotype" w:cs="Arial"/>
          <w:sz w:val="24"/>
          <w:szCs w:val="24"/>
        </w:rPr>
        <w:t xml:space="preserve">los formatos de renuncia entregados </w:t>
      </w:r>
      <w:r w:rsidRPr="008B1544">
        <w:rPr>
          <w:rFonts w:ascii="Palatino Linotype" w:hAnsi="Palatino Linotype" w:cs="Arial"/>
          <w:sz w:val="24"/>
          <w:szCs w:val="24"/>
        </w:rPr>
        <w:t>no se</w:t>
      </w:r>
      <w:r w:rsidR="00A006CA" w:rsidRPr="008B1544">
        <w:rPr>
          <w:rFonts w:ascii="Palatino Linotype" w:hAnsi="Palatino Linotype" w:cs="Arial"/>
          <w:sz w:val="24"/>
          <w:szCs w:val="24"/>
        </w:rPr>
        <w:t xml:space="preserve"> encuentran debidamente testados, </w:t>
      </w:r>
      <w:r w:rsidRPr="008B1544">
        <w:rPr>
          <w:rFonts w:ascii="Palatino Linotype" w:hAnsi="Palatino Linotype" w:cs="Arial"/>
          <w:sz w:val="24"/>
          <w:szCs w:val="24"/>
        </w:rPr>
        <w:t>b)</w:t>
      </w:r>
      <w:r w:rsidR="00A006CA" w:rsidRPr="008B1544">
        <w:rPr>
          <w:rFonts w:ascii="Palatino Linotype" w:hAnsi="Palatino Linotype" w:cs="Arial"/>
          <w:sz w:val="24"/>
          <w:szCs w:val="24"/>
        </w:rPr>
        <w:t xml:space="preserve"> el procedimiento señalado por el Sujeto Obligado para acceder a las funciones de que desempeñaban los servidores públicos que renunciaron no se encuentra apegado a ley </w:t>
      </w:r>
      <w:r w:rsidRPr="008B1544">
        <w:rPr>
          <w:rFonts w:ascii="Palatino Linotype" w:hAnsi="Palatino Linotype" w:cs="Arial"/>
          <w:sz w:val="24"/>
          <w:szCs w:val="24"/>
        </w:rPr>
        <w:t xml:space="preserve"> </w:t>
      </w:r>
      <w:r w:rsidR="002C05B8" w:rsidRPr="008B1544">
        <w:rPr>
          <w:rFonts w:ascii="Palatino Linotype" w:hAnsi="Palatino Linotype" w:cs="Arial"/>
          <w:sz w:val="24"/>
          <w:szCs w:val="24"/>
        </w:rPr>
        <w:t xml:space="preserve">y, c) el reporte de renuncias solicitado por el particular implica un procesamiento de la información. </w:t>
      </w:r>
    </w:p>
    <w:p w:rsidR="002C05B8" w:rsidRPr="008B1544" w:rsidRDefault="002C05B8" w:rsidP="008B1544">
      <w:pPr>
        <w:pStyle w:val="Prrafodelista"/>
        <w:spacing w:before="240" w:after="240" w:line="360" w:lineRule="auto"/>
        <w:ind w:left="0"/>
        <w:jc w:val="both"/>
        <w:rPr>
          <w:rFonts w:ascii="Palatino Linotype" w:eastAsia="MS Mincho" w:hAnsi="Palatino Linotype" w:cs="Times New Roman"/>
          <w:sz w:val="24"/>
          <w:szCs w:val="24"/>
          <w:lang w:val="es-ES_tradnl" w:eastAsia="es-ES_tradnl"/>
        </w:rPr>
      </w:pPr>
    </w:p>
    <w:p w:rsidR="002C05B8" w:rsidRPr="008B1544" w:rsidRDefault="002C05B8" w:rsidP="008B1544">
      <w:pPr>
        <w:pStyle w:val="Prrafodelista"/>
        <w:numPr>
          <w:ilvl w:val="0"/>
          <w:numId w:val="2"/>
        </w:numPr>
        <w:spacing w:before="240" w:after="240" w:line="360" w:lineRule="auto"/>
        <w:ind w:left="0" w:firstLine="0"/>
        <w:jc w:val="both"/>
        <w:rPr>
          <w:rFonts w:ascii="Palatino Linotype" w:hAnsi="Palatino Linotype" w:cs="Arial"/>
          <w:i/>
          <w:sz w:val="24"/>
          <w:szCs w:val="24"/>
        </w:rPr>
      </w:pPr>
      <w:r w:rsidRPr="008B1544">
        <w:rPr>
          <w:rFonts w:ascii="Palatino Linotype" w:hAnsi="Palatino Linotype" w:cs="Times New Roman"/>
          <w:sz w:val="24"/>
          <w:szCs w:val="24"/>
          <w:lang w:eastAsia="es-ES_tradnl"/>
        </w:rPr>
        <w:t xml:space="preserve">Así las cosas, uno de los objetivos 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poder de los Sujetos Obligados.  </w:t>
      </w:r>
    </w:p>
    <w:p w:rsidR="002C05B8" w:rsidRPr="008B1544" w:rsidRDefault="002C05B8" w:rsidP="008B1544">
      <w:pPr>
        <w:widowControl w:val="0"/>
        <w:numPr>
          <w:ilvl w:val="0"/>
          <w:numId w:val="2"/>
        </w:numPr>
        <w:autoSpaceDE w:val="0"/>
        <w:autoSpaceDN w:val="0"/>
        <w:adjustRightInd w:val="0"/>
        <w:spacing w:before="240" w:after="240" w:line="360" w:lineRule="auto"/>
        <w:ind w:left="0" w:firstLine="0"/>
        <w:jc w:val="both"/>
        <w:rPr>
          <w:rFonts w:ascii="Palatino Linotype" w:hAnsi="Palatino Linotype" w:cs="Times New Roman"/>
          <w:sz w:val="24"/>
          <w:szCs w:val="24"/>
          <w:lang w:eastAsia="es-ES_tradnl"/>
        </w:rPr>
      </w:pPr>
      <w:r w:rsidRPr="008B1544">
        <w:rPr>
          <w:rFonts w:ascii="Palatino Linotype" w:hAnsi="Palatino Linotype" w:cs="Arial"/>
          <w:color w:val="000000" w:themeColor="text1"/>
          <w:sz w:val="24"/>
          <w:szCs w:val="24"/>
        </w:rPr>
        <w:t>Luego entonces el artículo 18 de dicha Ley refiere que los Sujetos Obligados tienen el ineludible compromiso de documentar todos los actos que deriven de sus atribuciones, funciones y competencias considerando desde su origen la eventual publicidad de la información como a continuación se observa:</w:t>
      </w:r>
    </w:p>
    <w:p w:rsidR="002C05B8" w:rsidRPr="008B1544" w:rsidRDefault="002C05B8" w:rsidP="008B1544">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8B1544">
        <w:rPr>
          <w:rFonts w:ascii="Palatino Linotype" w:hAnsi="Palatino Linotype" w:cs="Times New Roman"/>
          <w:b/>
          <w:i/>
          <w:sz w:val="24"/>
          <w:szCs w:val="24"/>
          <w:lang w:eastAsia="es-ES_tradnl"/>
        </w:rPr>
        <w:t>Artículo 18.</w:t>
      </w:r>
      <w:r w:rsidRPr="008B1544">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w:t>
      </w:r>
      <w:r w:rsidRPr="008B1544">
        <w:rPr>
          <w:rFonts w:ascii="Palatino Linotype" w:hAnsi="Palatino Linotype" w:cs="Times New Roman"/>
          <w:i/>
          <w:sz w:val="24"/>
          <w:szCs w:val="24"/>
          <w:lang w:eastAsia="es-ES_tradnl"/>
        </w:rPr>
        <w:lastRenderedPageBreak/>
        <w:t>origen la eventual publicidad y reutilización de la información que generen.</w:t>
      </w:r>
    </w:p>
    <w:p w:rsidR="002C05B8" w:rsidRPr="008B1544" w:rsidRDefault="002C05B8" w:rsidP="008B1544">
      <w:pPr>
        <w:pStyle w:val="Prrafodelista"/>
        <w:numPr>
          <w:ilvl w:val="0"/>
          <w:numId w:val="2"/>
        </w:numPr>
        <w:spacing w:before="240" w:after="240" w:line="360" w:lineRule="auto"/>
        <w:ind w:left="0" w:right="49" w:firstLine="0"/>
        <w:jc w:val="both"/>
        <w:rPr>
          <w:rFonts w:ascii="Palatino Linotype" w:hAnsi="Palatino Linotype" w:cs="Arial"/>
          <w:sz w:val="24"/>
          <w:szCs w:val="24"/>
        </w:rPr>
      </w:pPr>
      <w:r w:rsidRPr="008B1544">
        <w:rPr>
          <w:rFonts w:ascii="Palatino Linotype" w:hAnsi="Palatino Linotype" w:cs="Arial"/>
          <w:color w:val="000000" w:themeColor="text1"/>
          <w:sz w:val="24"/>
          <w:szCs w:val="24"/>
        </w:rPr>
        <w:t xml:space="preserve">Así, por otro lado </w:t>
      </w:r>
      <w:r w:rsidRPr="008B1544">
        <w:rPr>
          <w:rFonts w:ascii="Palatino Linotype" w:eastAsia="Times New Roman" w:hAnsi="Palatino Linotype" w:cs="Times New Roman"/>
          <w:sz w:val="24"/>
          <w:szCs w:val="24"/>
          <w:lang w:eastAsia="es-MX"/>
        </w:rPr>
        <w:t xml:space="preserve">de acuerdo a la multicitada Ley de Transparencia vigente en la entidad, se entiende que la información pública es toda aquella que sea generada, obtenida, adquirida, transformada, administrada o en posesión de los </w:t>
      </w:r>
      <w:r w:rsidRPr="008B1544">
        <w:rPr>
          <w:rFonts w:ascii="Palatino Linotype" w:eastAsia="Times New Roman" w:hAnsi="Palatino Linotype" w:cs="Times New Roman"/>
          <w:b/>
          <w:sz w:val="24"/>
          <w:szCs w:val="24"/>
          <w:lang w:eastAsia="es-MX"/>
        </w:rPr>
        <w:t>SUJETOS OBLIGADOS</w:t>
      </w:r>
      <w:r w:rsidRPr="008B1544">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2C05B8" w:rsidRPr="008B1544" w:rsidRDefault="002C05B8" w:rsidP="008B1544">
      <w:pPr>
        <w:spacing w:line="360" w:lineRule="auto"/>
        <w:ind w:left="567" w:right="567"/>
        <w:jc w:val="both"/>
        <w:rPr>
          <w:rFonts w:ascii="Palatino Linotype" w:eastAsia="Times New Roman" w:hAnsi="Palatino Linotype" w:cs="Times New Roman"/>
          <w:i/>
          <w:sz w:val="24"/>
          <w:szCs w:val="24"/>
          <w:lang w:val="es-ES"/>
        </w:rPr>
      </w:pPr>
      <w:r w:rsidRPr="008B1544">
        <w:rPr>
          <w:rFonts w:ascii="Palatino Linotype" w:eastAsia="Times New Roman" w:hAnsi="Palatino Linotype" w:cs="Times New Roman"/>
          <w:i/>
          <w:sz w:val="24"/>
          <w:szCs w:val="24"/>
          <w:lang w:val="es-ES"/>
        </w:rPr>
        <w:t>“</w:t>
      </w:r>
      <w:r w:rsidRPr="008B1544">
        <w:rPr>
          <w:rFonts w:ascii="Palatino Linotype" w:eastAsia="Times New Roman" w:hAnsi="Palatino Linotype" w:cs="Times New Roman"/>
          <w:b/>
          <w:i/>
          <w:sz w:val="24"/>
          <w:szCs w:val="24"/>
          <w:lang w:val="es-ES"/>
        </w:rPr>
        <w:t>Artículo 4.</w:t>
      </w:r>
      <w:r w:rsidRPr="008B1544">
        <w:rPr>
          <w:rFonts w:ascii="Palatino Linotype" w:eastAsia="Times New Roman" w:hAnsi="Palatino Linotype" w:cs="Times New Roman"/>
          <w:i/>
          <w:sz w:val="24"/>
          <w:szCs w:val="24"/>
          <w:lang w:val="es-ES"/>
        </w:rPr>
        <w:t xml:space="preserve"> (…)</w:t>
      </w:r>
    </w:p>
    <w:p w:rsidR="002C05B8" w:rsidRPr="008B1544" w:rsidRDefault="002C05B8" w:rsidP="008B1544">
      <w:pPr>
        <w:spacing w:line="360" w:lineRule="auto"/>
        <w:ind w:left="567" w:right="567"/>
        <w:jc w:val="both"/>
        <w:rPr>
          <w:rFonts w:ascii="Palatino Linotype" w:eastAsia="Times New Roman" w:hAnsi="Palatino Linotype" w:cs="Times New Roman"/>
          <w:i/>
          <w:sz w:val="24"/>
          <w:szCs w:val="24"/>
          <w:lang w:val="es-ES"/>
        </w:rPr>
      </w:pPr>
      <w:r w:rsidRPr="008B1544">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8B1544">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8B1544">
        <w:rPr>
          <w:rFonts w:ascii="Palatino Linotype" w:eastAsia="Times New Roman" w:hAnsi="Palatino Linotype" w:cs="Times New Roman"/>
          <w:b/>
          <w:i/>
          <w:sz w:val="24"/>
          <w:szCs w:val="24"/>
          <w:lang w:val="es-ES"/>
        </w:rPr>
        <w:t>principio de máxima publicidad</w:t>
      </w:r>
      <w:r w:rsidRPr="008B1544">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rsidR="002C05B8" w:rsidRPr="008B1544" w:rsidRDefault="002C05B8" w:rsidP="008B1544">
      <w:pPr>
        <w:spacing w:line="360" w:lineRule="auto"/>
        <w:ind w:left="567" w:right="567"/>
        <w:jc w:val="both"/>
        <w:rPr>
          <w:rFonts w:ascii="Palatino Linotype" w:eastAsia="Times New Roman" w:hAnsi="Palatino Linotype" w:cs="Times New Roman"/>
          <w:b/>
          <w:i/>
          <w:sz w:val="24"/>
          <w:szCs w:val="24"/>
          <w:lang w:val="es-ES"/>
        </w:rPr>
      </w:pPr>
      <w:r w:rsidRPr="008B1544">
        <w:rPr>
          <w:rFonts w:ascii="Palatino Linotype" w:eastAsia="Times New Roman" w:hAnsi="Palatino Linotype" w:cs="Times New Roman"/>
          <w:b/>
          <w:i/>
          <w:sz w:val="24"/>
          <w:szCs w:val="24"/>
          <w:lang w:val="es-ES"/>
        </w:rPr>
        <w:t>(…)</w:t>
      </w:r>
    </w:p>
    <w:p w:rsidR="002C05B8" w:rsidRPr="008B1544" w:rsidRDefault="002C05B8" w:rsidP="008B1544">
      <w:pPr>
        <w:spacing w:line="360" w:lineRule="auto"/>
        <w:ind w:left="567" w:right="567"/>
        <w:jc w:val="both"/>
        <w:rPr>
          <w:rFonts w:ascii="Palatino Linotype" w:eastAsia="Times New Roman" w:hAnsi="Palatino Linotype" w:cs="Times New Roman"/>
          <w:i/>
          <w:sz w:val="24"/>
          <w:szCs w:val="24"/>
          <w:lang w:val="es-ES"/>
        </w:rPr>
      </w:pPr>
      <w:r w:rsidRPr="008B1544">
        <w:rPr>
          <w:rFonts w:ascii="Palatino Linotype" w:eastAsia="Times New Roman" w:hAnsi="Palatino Linotype" w:cs="Times New Roman"/>
          <w:i/>
          <w:sz w:val="24"/>
          <w:szCs w:val="24"/>
          <w:lang w:val="es-ES"/>
        </w:rPr>
        <w:t>(Énfasis añadido)</w:t>
      </w:r>
    </w:p>
    <w:p w:rsidR="002C05B8" w:rsidRPr="008B1544" w:rsidRDefault="002C05B8" w:rsidP="008B1544">
      <w:pPr>
        <w:spacing w:line="360" w:lineRule="auto"/>
        <w:ind w:right="567"/>
        <w:jc w:val="both"/>
        <w:rPr>
          <w:rFonts w:ascii="Palatino Linotype" w:eastAsia="Times New Roman" w:hAnsi="Palatino Linotype" w:cs="Times New Roman"/>
          <w:i/>
          <w:sz w:val="24"/>
          <w:szCs w:val="24"/>
          <w:lang w:val="es-ES"/>
        </w:rPr>
      </w:pPr>
    </w:p>
    <w:p w:rsidR="002C05B8" w:rsidRPr="008B1544" w:rsidRDefault="002C05B8" w:rsidP="008B1544">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8B1544">
        <w:rPr>
          <w:rFonts w:ascii="Palatino Linotype" w:hAnsi="Palatino Linotype" w:cs="Arial"/>
          <w:sz w:val="24"/>
          <w:szCs w:val="24"/>
        </w:rPr>
        <w:t xml:space="preserve">En ese sentido, no debe de pasar de vista para el </w:t>
      </w:r>
      <w:r w:rsidRPr="008B1544">
        <w:rPr>
          <w:rFonts w:ascii="Palatino Linotype" w:hAnsi="Palatino Linotype" w:cs="Arial"/>
          <w:b/>
          <w:sz w:val="24"/>
          <w:szCs w:val="24"/>
        </w:rPr>
        <w:t>SUJETO OBLIGADO</w:t>
      </w:r>
      <w:r w:rsidRPr="008B1544">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2C05B8" w:rsidRPr="008B1544" w:rsidRDefault="002C05B8" w:rsidP="008B1544">
      <w:pPr>
        <w:spacing w:before="240" w:after="240" w:line="360" w:lineRule="auto"/>
        <w:ind w:left="426" w:right="49"/>
        <w:contextualSpacing/>
        <w:jc w:val="both"/>
        <w:rPr>
          <w:rFonts w:ascii="Palatino Linotype" w:hAnsi="Palatino Linotype" w:cs="Arial"/>
          <w:sz w:val="24"/>
          <w:szCs w:val="24"/>
        </w:rPr>
      </w:pPr>
    </w:p>
    <w:p w:rsidR="002C05B8" w:rsidRPr="008B1544" w:rsidRDefault="002C05B8" w:rsidP="008B1544">
      <w:pPr>
        <w:spacing w:line="360" w:lineRule="auto"/>
        <w:ind w:left="567" w:right="567"/>
        <w:jc w:val="both"/>
        <w:rPr>
          <w:rFonts w:ascii="Palatino Linotype" w:hAnsi="Palatino Linotype"/>
          <w:i/>
          <w:sz w:val="24"/>
          <w:szCs w:val="24"/>
        </w:rPr>
      </w:pPr>
      <w:r w:rsidRPr="008B1544">
        <w:rPr>
          <w:rFonts w:ascii="Palatino Linotype" w:hAnsi="Palatino Linotype"/>
          <w:i/>
          <w:sz w:val="24"/>
          <w:szCs w:val="24"/>
        </w:rPr>
        <w:t>“</w:t>
      </w:r>
      <w:r w:rsidRPr="008B1544">
        <w:rPr>
          <w:rFonts w:ascii="Palatino Linotype" w:hAnsi="Palatino Linotype"/>
          <w:b/>
          <w:i/>
          <w:sz w:val="24"/>
          <w:szCs w:val="24"/>
        </w:rPr>
        <w:t>Artículo 8.</w:t>
      </w:r>
      <w:r w:rsidRPr="008B1544">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2C05B8" w:rsidRPr="008B1544" w:rsidRDefault="002C05B8" w:rsidP="008B1544">
      <w:pPr>
        <w:spacing w:line="360" w:lineRule="auto"/>
        <w:ind w:left="567" w:right="567"/>
        <w:jc w:val="both"/>
        <w:rPr>
          <w:rFonts w:ascii="Palatino Linotype" w:hAnsi="Palatino Linotype"/>
          <w:i/>
          <w:sz w:val="24"/>
          <w:szCs w:val="24"/>
        </w:rPr>
      </w:pPr>
      <w:r w:rsidRPr="008B1544">
        <w:rPr>
          <w:rFonts w:ascii="Palatino Linotype" w:hAnsi="Palatino Linotype"/>
          <w:b/>
          <w:i/>
          <w:sz w:val="24"/>
          <w:szCs w:val="24"/>
        </w:rPr>
        <w:t>En la aplicación e interpretación de la presente Ley deberá prevalecer el principio de máxima publicidad,</w:t>
      </w:r>
      <w:r w:rsidRPr="008B1544">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8B1544">
        <w:rPr>
          <w:rFonts w:ascii="Palatino Linotype" w:hAnsi="Palatino Linotype"/>
          <w:i/>
          <w:sz w:val="24"/>
          <w:szCs w:val="24"/>
        </w:rPr>
        <w:lastRenderedPageBreak/>
        <w:t xml:space="preserve">favoreciendo en todo tiempo a las personas la protección más amplia, atendiendo al principio </w:t>
      </w:r>
      <w:proofErr w:type="spellStart"/>
      <w:r w:rsidRPr="008B1544">
        <w:rPr>
          <w:rFonts w:ascii="Palatino Linotype" w:hAnsi="Palatino Linotype"/>
          <w:i/>
          <w:sz w:val="24"/>
          <w:szCs w:val="24"/>
        </w:rPr>
        <w:t>pro</w:t>
      </w:r>
      <w:proofErr w:type="spellEnd"/>
      <w:r w:rsidRPr="008B1544">
        <w:rPr>
          <w:rFonts w:ascii="Palatino Linotype" w:hAnsi="Palatino Linotype"/>
          <w:i/>
          <w:sz w:val="24"/>
          <w:szCs w:val="24"/>
        </w:rPr>
        <w:t xml:space="preserve"> persona.</w:t>
      </w:r>
    </w:p>
    <w:p w:rsidR="002C05B8" w:rsidRPr="008B1544" w:rsidRDefault="002C05B8" w:rsidP="008B1544">
      <w:pPr>
        <w:spacing w:line="360" w:lineRule="auto"/>
        <w:ind w:left="567" w:right="567"/>
        <w:jc w:val="both"/>
        <w:rPr>
          <w:rFonts w:ascii="Palatino Linotype" w:hAnsi="Palatino Linotype"/>
          <w:i/>
          <w:sz w:val="24"/>
          <w:szCs w:val="24"/>
        </w:rPr>
      </w:pPr>
      <w:r w:rsidRPr="008B1544">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derecho de acceso a la información.”</w:t>
      </w:r>
    </w:p>
    <w:p w:rsidR="002C05B8" w:rsidRPr="008B1544" w:rsidRDefault="002C05B8" w:rsidP="008B1544">
      <w:pPr>
        <w:spacing w:line="360" w:lineRule="auto"/>
        <w:ind w:left="567" w:right="567"/>
        <w:jc w:val="both"/>
        <w:rPr>
          <w:rFonts w:ascii="Palatino Linotype" w:hAnsi="Palatino Linotype"/>
          <w:i/>
          <w:sz w:val="24"/>
          <w:szCs w:val="24"/>
        </w:rPr>
      </w:pPr>
      <w:r w:rsidRPr="008B1544">
        <w:rPr>
          <w:rFonts w:ascii="Palatino Linotype" w:hAnsi="Palatino Linotype"/>
          <w:i/>
          <w:sz w:val="24"/>
          <w:szCs w:val="24"/>
        </w:rPr>
        <w:t>(Énfasis añadido)</w:t>
      </w:r>
    </w:p>
    <w:p w:rsidR="002C05B8" w:rsidRPr="008B1544" w:rsidRDefault="002C05B8" w:rsidP="008B1544">
      <w:pPr>
        <w:numPr>
          <w:ilvl w:val="0"/>
          <w:numId w:val="2"/>
        </w:numPr>
        <w:spacing w:before="240" w:after="240" w:line="360" w:lineRule="auto"/>
        <w:ind w:left="0" w:right="49" w:firstLine="0"/>
        <w:contextualSpacing/>
        <w:jc w:val="both"/>
        <w:rPr>
          <w:rFonts w:ascii="Palatino Linotype" w:eastAsia="MS Mincho" w:hAnsi="Palatino Linotype" w:cs="Arial"/>
          <w:sz w:val="24"/>
          <w:szCs w:val="24"/>
        </w:rPr>
      </w:pPr>
      <w:r w:rsidRPr="008B1544">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de conformidad con lo que establece el artículo 160 de la Ley de la Materia:  </w:t>
      </w:r>
    </w:p>
    <w:p w:rsidR="002C05B8" w:rsidRPr="008B1544" w:rsidRDefault="002C05B8" w:rsidP="008B1544">
      <w:pPr>
        <w:spacing w:before="240" w:after="240" w:line="360" w:lineRule="auto"/>
        <w:ind w:right="567"/>
        <w:contextualSpacing/>
        <w:jc w:val="both"/>
        <w:rPr>
          <w:rFonts w:ascii="Palatino Linotype" w:hAnsi="Palatino Linotype"/>
          <w:b/>
          <w:i/>
          <w:sz w:val="24"/>
          <w:szCs w:val="24"/>
        </w:rPr>
      </w:pPr>
    </w:p>
    <w:p w:rsidR="002C05B8" w:rsidRPr="008B1544" w:rsidRDefault="002C05B8" w:rsidP="008B1544">
      <w:pPr>
        <w:spacing w:before="240" w:after="240" w:line="360" w:lineRule="auto"/>
        <w:ind w:left="567" w:right="567"/>
        <w:contextualSpacing/>
        <w:jc w:val="both"/>
        <w:rPr>
          <w:rFonts w:ascii="Palatino Linotype" w:hAnsi="Palatino Linotype"/>
          <w:b/>
          <w:i/>
          <w:sz w:val="24"/>
          <w:szCs w:val="24"/>
        </w:rPr>
      </w:pPr>
      <w:r w:rsidRPr="008B1544">
        <w:rPr>
          <w:rFonts w:ascii="Palatino Linotype" w:hAnsi="Palatino Linotype"/>
          <w:b/>
          <w:i/>
          <w:sz w:val="24"/>
          <w:szCs w:val="24"/>
        </w:rPr>
        <w:t xml:space="preserve">“Artículo 160.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2C05B8" w:rsidRPr="008B1544" w:rsidRDefault="002C05B8" w:rsidP="008B1544">
      <w:pPr>
        <w:spacing w:before="240" w:after="240" w:line="360" w:lineRule="auto"/>
        <w:ind w:left="567" w:right="567"/>
        <w:contextualSpacing/>
        <w:jc w:val="both"/>
        <w:rPr>
          <w:rFonts w:ascii="Palatino Linotype" w:hAnsi="Palatino Linotype"/>
          <w:i/>
          <w:sz w:val="24"/>
          <w:szCs w:val="24"/>
        </w:rPr>
      </w:pPr>
    </w:p>
    <w:p w:rsidR="002C05B8" w:rsidRPr="008B1544" w:rsidRDefault="002C05B8" w:rsidP="008B1544">
      <w:pPr>
        <w:spacing w:before="240" w:after="240" w:line="360" w:lineRule="auto"/>
        <w:ind w:left="567" w:right="567"/>
        <w:contextualSpacing/>
        <w:jc w:val="both"/>
        <w:rPr>
          <w:rFonts w:ascii="Palatino Linotype" w:hAnsi="Palatino Linotype"/>
          <w:i/>
          <w:sz w:val="24"/>
          <w:szCs w:val="24"/>
        </w:rPr>
      </w:pPr>
      <w:r w:rsidRPr="008B1544">
        <w:rPr>
          <w:rFonts w:ascii="Palatino Linotype" w:hAnsi="Palatino Linotype"/>
          <w:i/>
          <w:sz w:val="24"/>
          <w:szCs w:val="24"/>
        </w:rPr>
        <w:t>En caso que la información solicitada consista en bases de datos se deberá privilegiar la entrega de la misma en formatos abiertos. “</w:t>
      </w:r>
    </w:p>
    <w:p w:rsidR="002C05B8" w:rsidRPr="008B1544" w:rsidRDefault="002C05B8" w:rsidP="008B1544">
      <w:pPr>
        <w:spacing w:before="240" w:after="240" w:line="360" w:lineRule="auto"/>
        <w:ind w:left="567" w:right="567"/>
        <w:contextualSpacing/>
        <w:jc w:val="both"/>
        <w:rPr>
          <w:rFonts w:ascii="Palatino Linotype" w:hAnsi="Palatino Linotype"/>
          <w:i/>
          <w:sz w:val="24"/>
          <w:szCs w:val="24"/>
        </w:rPr>
      </w:pPr>
    </w:p>
    <w:p w:rsidR="002C05B8" w:rsidRPr="008B1544" w:rsidRDefault="002C05B8" w:rsidP="008B1544">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sz w:val="24"/>
          <w:szCs w:val="24"/>
          <w:lang w:val="es-ES_tradnl" w:eastAsia="es-ES_tradnl"/>
        </w:rPr>
      </w:pPr>
      <w:r w:rsidRPr="008B1544">
        <w:rPr>
          <w:rFonts w:ascii="Palatino Linotype" w:eastAsia="MS Mincho" w:hAnsi="Palatino Linotype" w:cs="Times New Roman"/>
          <w:sz w:val="24"/>
          <w:szCs w:val="24"/>
          <w:lang w:val="es-ES_tradnl" w:eastAsia="es-ES_tradnl"/>
        </w:rPr>
        <w:lastRenderedPageBreak/>
        <w:t>En ese tenor la Ley de Transparencia, prevé en su artículo 23 fracción IV que son Sujetos Obligados a transparentar, permitir el acceso a su información, así como proteger los datos que obren en su poder:</w:t>
      </w:r>
    </w:p>
    <w:p w:rsidR="002C05B8" w:rsidRPr="008B1544" w:rsidRDefault="002C05B8" w:rsidP="008B1544">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4"/>
          <w:szCs w:val="24"/>
          <w:lang w:eastAsia="es-ES_tradnl"/>
        </w:rPr>
      </w:pPr>
      <w:r w:rsidRPr="008B1544">
        <w:rPr>
          <w:rFonts w:ascii="Palatino Linotype" w:eastAsia="MS Mincho" w:hAnsi="Palatino Linotype" w:cs="Times New Roman"/>
          <w:i/>
          <w:sz w:val="24"/>
          <w:szCs w:val="24"/>
          <w:lang w:eastAsia="es-ES_tradnl"/>
        </w:rPr>
        <w:t xml:space="preserve">I. El Poder Ejecutivo del Estado de México, </w:t>
      </w:r>
      <w:r w:rsidRPr="008B1544">
        <w:rPr>
          <w:rFonts w:ascii="Palatino Linotype" w:eastAsia="MS Mincho" w:hAnsi="Palatino Linotype" w:cs="Times New Roman"/>
          <w:b/>
          <w:i/>
          <w:sz w:val="24"/>
          <w:szCs w:val="24"/>
          <w:lang w:eastAsia="es-ES_tradnl"/>
        </w:rPr>
        <w:t>las dependencias, organismos auxiliares, órganos, entidades, fideicomisos y fondos públicos</w:t>
      </w:r>
      <w:r w:rsidRPr="008B1544">
        <w:rPr>
          <w:rFonts w:ascii="Palatino Linotype" w:eastAsia="MS Mincho" w:hAnsi="Palatino Linotype" w:cs="Times New Roman"/>
          <w:i/>
          <w:sz w:val="24"/>
          <w:szCs w:val="24"/>
          <w:lang w:eastAsia="es-ES_tradnl"/>
        </w:rPr>
        <w:t>, así como la Procuraduría General de Justicia;</w:t>
      </w:r>
    </w:p>
    <w:p w:rsidR="00AF4EC8" w:rsidRPr="008B1544" w:rsidRDefault="002C05B8" w:rsidP="008B1544">
      <w:pPr>
        <w:widowControl w:val="0"/>
        <w:numPr>
          <w:ilvl w:val="0"/>
          <w:numId w:val="2"/>
        </w:numPr>
        <w:autoSpaceDE w:val="0"/>
        <w:autoSpaceDN w:val="0"/>
        <w:adjustRightInd w:val="0"/>
        <w:spacing w:before="240" w:after="240" w:line="360" w:lineRule="auto"/>
        <w:ind w:left="0" w:firstLine="0"/>
        <w:jc w:val="both"/>
        <w:rPr>
          <w:rFonts w:ascii="Palatino Linotype" w:eastAsia="MS Mincho" w:hAnsi="Palatino Linotype" w:cs="Times New Roman"/>
          <w:i/>
          <w:sz w:val="24"/>
          <w:szCs w:val="24"/>
          <w:lang w:eastAsia="es-ES_tradnl"/>
        </w:rPr>
      </w:pPr>
      <w:r w:rsidRPr="008B1544">
        <w:rPr>
          <w:rFonts w:ascii="Palatino Linotype" w:eastAsia="MS Mincho" w:hAnsi="Palatino Linotype" w:cs="Times New Roman"/>
          <w:sz w:val="24"/>
          <w:szCs w:val="24"/>
          <w:lang w:val="es-ES_tradnl" w:eastAsia="es-ES_tradnl"/>
        </w:rPr>
        <w:t xml:space="preserve">Puntualizado lo anterior, se analizará por cuerda separada cada uno de los requerimientos realizados en la solicitud de información, por lo que de conformidad con el planteamiento marcado con el número 1 del cuadro de análisis anteriormente señalado consistente en </w:t>
      </w:r>
      <w:r w:rsidR="00AF4EC8" w:rsidRPr="008B1544">
        <w:rPr>
          <w:rFonts w:ascii="Palatino Linotype" w:eastAsia="MS Mincho" w:hAnsi="Palatino Linotype" w:cs="Times New Roman"/>
          <w:sz w:val="24"/>
          <w:szCs w:val="24"/>
          <w:lang w:val="es-ES_tradnl" w:eastAsia="es-ES_tradnl"/>
        </w:rPr>
        <w:t>acceder al “</w:t>
      </w:r>
      <w:r w:rsidR="00AF4EC8" w:rsidRPr="008B1544">
        <w:rPr>
          <w:rFonts w:ascii="Palatino Linotype" w:eastAsia="MS Mincho" w:hAnsi="Palatino Linotype" w:cs="Times New Roman"/>
          <w:i/>
          <w:sz w:val="24"/>
          <w:szCs w:val="24"/>
          <w:lang w:val="es-ES_tradnl" w:eastAsia="es-ES_tradnl"/>
        </w:rPr>
        <w:t>reporte de renuncias”</w:t>
      </w:r>
      <w:r w:rsidRPr="008B1544">
        <w:rPr>
          <w:rFonts w:ascii="Palatino Linotype" w:eastAsia="MS Mincho" w:hAnsi="Palatino Linotype" w:cs="Times New Roman"/>
          <w:i/>
          <w:sz w:val="24"/>
          <w:szCs w:val="24"/>
          <w:lang w:val="es-ES_tradnl" w:eastAsia="es-ES_tradnl"/>
        </w:rPr>
        <w:t xml:space="preserve">, </w:t>
      </w:r>
      <w:r w:rsidRPr="008B1544">
        <w:rPr>
          <w:rFonts w:ascii="Palatino Linotype" w:eastAsia="MS Mincho" w:hAnsi="Palatino Linotype" w:cs="Times New Roman"/>
          <w:sz w:val="24"/>
          <w:szCs w:val="24"/>
          <w:lang w:val="es-ES_tradnl" w:eastAsia="es-ES_tradnl"/>
        </w:rPr>
        <w:t xml:space="preserve">el </w:t>
      </w:r>
      <w:r w:rsidRPr="008B1544">
        <w:rPr>
          <w:rFonts w:ascii="Palatino Linotype" w:eastAsia="MS Mincho" w:hAnsi="Palatino Linotype" w:cs="Times New Roman"/>
          <w:b/>
          <w:sz w:val="24"/>
          <w:szCs w:val="24"/>
          <w:lang w:val="es-ES_tradnl" w:eastAsia="es-ES_tradnl"/>
        </w:rPr>
        <w:t>SUJETO OBLIGADO</w:t>
      </w:r>
      <w:r w:rsidRPr="008B1544">
        <w:rPr>
          <w:rFonts w:ascii="Palatino Linotype" w:eastAsia="MS Mincho" w:hAnsi="Palatino Linotype" w:cs="Times New Roman"/>
          <w:sz w:val="24"/>
          <w:szCs w:val="24"/>
          <w:lang w:val="es-ES_tradnl" w:eastAsia="es-ES_tradnl"/>
        </w:rPr>
        <w:t xml:space="preserve"> </w:t>
      </w:r>
      <w:r w:rsidR="00AF4EC8" w:rsidRPr="008B1544">
        <w:rPr>
          <w:rFonts w:ascii="Palatino Linotype" w:eastAsia="MS Mincho" w:hAnsi="Palatino Linotype" w:cs="Times New Roman"/>
          <w:sz w:val="24"/>
          <w:szCs w:val="24"/>
          <w:lang w:val="es-ES_tradnl" w:eastAsia="es-ES_tradnl"/>
        </w:rPr>
        <w:t>manifestó que no se encuentra obligado al procesamiento de la información</w:t>
      </w:r>
      <w:r w:rsidR="00AF4EC8" w:rsidRPr="008B1544">
        <w:rPr>
          <w:rFonts w:ascii="Palatino Linotype" w:eastAsia="MS Mincho" w:hAnsi="Palatino Linotype" w:cs="Times New Roman"/>
          <w:i/>
          <w:sz w:val="24"/>
          <w:szCs w:val="24"/>
          <w:lang w:eastAsia="es-ES_tradnl"/>
        </w:rPr>
        <w:t xml:space="preserve"> </w:t>
      </w:r>
      <w:r w:rsidR="00AF4EC8" w:rsidRPr="008B1544">
        <w:rPr>
          <w:rFonts w:ascii="Palatino Linotype" w:eastAsia="MS Mincho" w:hAnsi="Palatino Linotype" w:cs="Times New Roman"/>
          <w:sz w:val="24"/>
          <w:szCs w:val="24"/>
          <w:lang w:eastAsia="es-ES_tradnl"/>
        </w:rPr>
        <w:t>solicitada.</w:t>
      </w:r>
    </w:p>
    <w:p w:rsidR="00D06D13" w:rsidRPr="008B1544" w:rsidRDefault="00AF4EC8" w:rsidP="008B1544">
      <w:pPr>
        <w:widowControl w:val="0"/>
        <w:numPr>
          <w:ilvl w:val="0"/>
          <w:numId w:val="2"/>
        </w:numPr>
        <w:autoSpaceDE w:val="0"/>
        <w:autoSpaceDN w:val="0"/>
        <w:adjustRightInd w:val="0"/>
        <w:spacing w:before="240" w:after="240" w:line="360" w:lineRule="auto"/>
        <w:ind w:left="0" w:firstLine="0"/>
        <w:jc w:val="both"/>
        <w:rPr>
          <w:rFonts w:ascii="Palatino Linotype" w:eastAsia="Times New Roman" w:hAnsi="Palatino Linotype" w:cs="Times New Roman"/>
          <w:sz w:val="24"/>
          <w:szCs w:val="24"/>
          <w:lang w:val="es-ES" w:eastAsia="es-ES"/>
        </w:rPr>
      </w:pPr>
      <w:r w:rsidRPr="008B1544">
        <w:rPr>
          <w:rFonts w:ascii="Palatino Linotype" w:eastAsia="MS Mincho" w:hAnsi="Palatino Linotype" w:cs="Times New Roman"/>
          <w:sz w:val="24"/>
          <w:szCs w:val="24"/>
          <w:lang w:eastAsia="es-ES_tradnl"/>
        </w:rPr>
        <w:t xml:space="preserve">Así las cosas, </w:t>
      </w:r>
      <w:r w:rsidRPr="008B1544">
        <w:rPr>
          <w:rFonts w:ascii="Palatino Linotype" w:eastAsia="MS Mincho" w:hAnsi="Palatino Linotype" w:cs="Times New Roman"/>
          <w:sz w:val="24"/>
          <w:szCs w:val="24"/>
          <w:lang w:val="es-ES_tradnl" w:eastAsia="es-ES_tradnl"/>
        </w:rPr>
        <w:t xml:space="preserve">para este Órgano Garante </w:t>
      </w:r>
      <w:r w:rsidR="00D06D13" w:rsidRPr="008B1544">
        <w:rPr>
          <w:rFonts w:ascii="Palatino Linotype" w:eastAsia="MS Mincho" w:hAnsi="Palatino Linotype" w:cs="Times New Roman"/>
          <w:sz w:val="24"/>
          <w:szCs w:val="24"/>
          <w:lang w:val="es-ES_tradnl" w:eastAsia="es-ES"/>
        </w:rPr>
        <w:t xml:space="preserve">no pasa inadvertido que la ahora recurrente se inconforma dentro del recurso de revisión materia de esta resolución porque no se le entregó </w:t>
      </w:r>
      <w:r w:rsidR="00D06D13" w:rsidRPr="008B1544">
        <w:rPr>
          <w:rFonts w:ascii="Palatino Linotype" w:eastAsia="MS Mincho" w:hAnsi="Palatino Linotype" w:cs="Times New Roman"/>
          <w:i/>
          <w:sz w:val="24"/>
          <w:szCs w:val="24"/>
          <w:lang w:val="es-ES_tradnl" w:eastAsia="es-ES"/>
        </w:rPr>
        <w:t>“el reporte de renuncias”</w:t>
      </w:r>
      <w:r w:rsidR="00D06D13" w:rsidRPr="008B1544">
        <w:rPr>
          <w:rFonts w:ascii="Palatino Linotype" w:eastAsia="MS Mincho" w:hAnsi="Palatino Linotype" w:cs="Times New Roman"/>
          <w:sz w:val="24"/>
          <w:szCs w:val="24"/>
          <w:lang w:val="es-ES_tradnl" w:eastAsia="es-ES"/>
        </w:rPr>
        <w:t>, en ese sentido es necesario puntualizar que de conformidad con lo que establece el artículo 12 de la Ley de Transpare</w:t>
      </w:r>
      <w:r w:rsidR="00B519E0" w:rsidRPr="008B1544">
        <w:rPr>
          <w:rFonts w:ascii="Palatino Linotype" w:eastAsia="MS Mincho" w:hAnsi="Palatino Linotype" w:cs="Times New Roman"/>
          <w:sz w:val="24"/>
          <w:szCs w:val="24"/>
          <w:lang w:val="es-ES_tradnl" w:eastAsia="es-ES"/>
        </w:rPr>
        <w:t xml:space="preserve">ncia y Acceso a la Información Pública del Estado de México y Municipios, los Sujetos Obligados únicamente </w:t>
      </w:r>
      <w:r w:rsidRPr="008B1544">
        <w:rPr>
          <w:rFonts w:ascii="Palatino Linotype" w:eastAsia="MS Mincho" w:hAnsi="Palatino Linotype" w:cs="Times New Roman"/>
          <w:sz w:val="24"/>
          <w:szCs w:val="24"/>
          <w:lang w:val="es-ES_tradnl" w:eastAsia="es-ES"/>
        </w:rPr>
        <w:t xml:space="preserve">se encuentran obligados a </w:t>
      </w:r>
      <w:r w:rsidR="00B519E0" w:rsidRPr="008B1544">
        <w:rPr>
          <w:rFonts w:ascii="Palatino Linotype" w:eastAsia="MS Mincho" w:hAnsi="Palatino Linotype" w:cs="Times New Roman"/>
          <w:sz w:val="24"/>
          <w:szCs w:val="24"/>
          <w:lang w:val="es-ES_tradnl" w:eastAsia="es-ES"/>
        </w:rPr>
        <w:t>proporcionaran la información en el estado en que se encuentra, sin necesidad de procesarla</w:t>
      </w:r>
      <w:r w:rsidR="008B485D" w:rsidRPr="008B1544">
        <w:rPr>
          <w:rFonts w:ascii="Palatino Linotype" w:eastAsia="MS Mincho" w:hAnsi="Palatino Linotype" w:cs="Times New Roman"/>
          <w:sz w:val="24"/>
          <w:szCs w:val="24"/>
          <w:lang w:val="es-ES_tradnl" w:eastAsia="es-ES"/>
        </w:rPr>
        <w:t xml:space="preserve"> o realizar investigaciones</w:t>
      </w:r>
      <w:r w:rsidR="00B519E0" w:rsidRPr="008B1544">
        <w:rPr>
          <w:rFonts w:ascii="Palatino Linotype" w:eastAsia="MS Mincho" w:hAnsi="Palatino Linotype" w:cs="Times New Roman"/>
          <w:sz w:val="24"/>
          <w:szCs w:val="24"/>
          <w:lang w:val="es-ES_tradnl" w:eastAsia="es-ES"/>
        </w:rPr>
        <w:t xml:space="preserve"> como a continuación se observa:  </w:t>
      </w:r>
    </w:p>
    <w:p w:rsidR="00B519E0" w:rsidRPr="008B1544" w:rsidRDefault="00B519E0" w:rsidP="008B1544">
      <w:pPr>
        <w:pStyle w:val="Prrafodelista"/>
        <w:spacing w:before="100" w:beforeAutospacing="1" w:after="100" w:afterAutospacing="1" w:line="360" w:lineRule="auto"/>
        <w:ind w:left="0"/>
        <w:jc w:val="both"/>
        <w:rPr>
          <w:rFonts w:ascii="Palatino Linotype" w:eastAsia="Times New Roman" w:hAnsi="Palatino Linotype" w:cs="Arial"/>
          <w:sz w:val="24"/>
          <w:szCs w:val="24"/>
          <w:lang w:eastAsia="es-MX"/>
        </w:rPr>
      </w:pPr>
    </w:p>
    <w:p w:rsidR="00B519E0" w:rsidRPr="008B1544" w:rsidRDefault="00B519E0" w:rsidP="008B1544">
      <w:pPr>
        <w:pStyle w:val="Prrafodelista"/>
        <w:spacing w:line="360" w:lineRule="auto"/>
        <w:ind w:left="567" w:right="567"/>
        <w:jc w:val="both"/>
        <w:rPr>
          <w:rFonts w:ascii="Palatino Linotype" w:hAnsi="Palatino Linotype"/>
          <w:i/>
          <w:sz w:val="24"/>
          <w:szCs w:val="24"/>
        </w:rPr>
      </w:pPr>
      <w:r w:rsidRPr="008B1544">
        <w:rPr>
          <w:rFonts w:ascii="Palatino Linotype" w:hAnsi="Palatino Linotype"/>
          <w:i/>
          <w:sz w:val="24"/>
          <w:szCs w:val="24"/>
        </w:rPr>
        <w:t>“</w:t>
      </w:r>
      <w:r w:rsidRPr="008B1544">
        <w:rPr>
          <w:rFonts w:ascii="Palatino Linotype" w:hAnsi="Palatino Linotype"/>
          <w:b/>
          <w:i/>
          <w:sz w:val="24"/>
          <w:szCs w:val="24"/>
        </w:rPr>
        <w:t>Artículo 12.</w:t>
      </w:r>
      <w:r w:rsidRPr="008B1544">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B519E0" w:rsidRPr="008B1544" w:rsidRDefault="00B519E0" w:rsidP="008B1544">
      <w:pPr>
        <w:pStyle w:val="Prrafodelista"/>
        <w:spacing w:line="360" w:lineRule="auto"/>
        <w:ind w:left="567" w:right="567"/>
        <w:jc w:val="both"/>
        <w:rPr>
          <w:rFonts w:ascii="Palatino Linotype" w:hAnsi="Palatino Linotype"/>
          <w:b/>
          <w:i/>
          <w:sz w:val="24"/>
          <w:szCs w:val="24"/>
        </w:rPr>
      </w:pPr>
    </w:p>
    <w:p w:rsidR="00B519E0" w:rsidRDefault="00B519E0" w:rsidP="008B1544">
      <w:pPr>
        <w:pStyle w:val="Prrafodelista"/>
        <w:spacing w:line="360" w:lineRule="auto"/>
        <w:ind w:left="567" w:right="567"/>
        <w:jc w:val="both"/>
        <w:rPr>
          <w:rFonts w:ascii="Palatino Linotype" w:hAnsi="Palatino Linotype"/>
          <w:i/>
          <w:sz w:val="24"/>
          <w:szCs w:val="24"/>
        </w:rPr>
      </w:pPr>
      <w:r w:rsidRPr="008B1544">
        <w:rPr>
          <w:rFonts w:ascii="Palatino Linotype" w:hAnsi="Palatino Linotype"/>
          <w:b/>
          <w:i/>
          <w:sz w:val="24"/>
          <w:szCs w:val="24"/>
        </w:rPr>
        <w:t>Los sujetos obligados sólo proporcionarán la información pública que se les requiera y que obre en sus archivos y en el estado en que ésta se encuentre.</w:t>
      </w:r>
      <w:r w:rsidRPr="008B1544">
        <w:rPr>
          <w:rFonts w:ascii="Palatino Linotype" w:hAnsi="Palatino Linotype"/>
          <w:i/>
          <w:sz w:val="24"/>
          <w:szCs w:val="24"/>
        </w:rPr>
        <w:t xml:space="preserve"> La obligación de proporcionar información no comprende el procesamiento de la misma, ni el presentarla conforme al interés del solicitante; no estarán obligados a generarla, resumirla, efectuar cálculos o practicar investigaciones.”</w:t>
      </w:r>
    </w:p>
    <w:p w:rsidR="008B1544" w:rsidRPr="008B1544" w:rsidRDefault="008B1544" w:rsidP="008B1544">
      <w:pPr>
        <w:pStyle w:val="Prrafodelista"/>
        <w:spacing w:line="360" w:lineRule="auto"/>
        <w:ind w:left="567" w:right="567"/>
        <w:jc w:val="both"/>
        <w:rPr>
          <w:rFonts w:ascii="Palatino Linotype" w:hAnsi="Palatino Linotype"/>
          <w:i/>
          <w:sz w:val="24"/>
          <w:szCs w:val="24"/>
        </w:rPr>
      </w:pPr>
    </w:p>
    <w:p w:rsidR="008B1544" w:rsidRPr="008B1544" w:rsidRDefault="00B519E0" w:rsidP="008B1544">
      <w:pPr>
        <w:pStyle w:val="Prrafodelista"/>
        <w:numPr>
          <w:ilvl w:val="0"/>
          <w:numId w:val="2"/>
        </w:numPr>
        <w:tabs>
          <w:tab w:val="left" w:pos="851"/>
        </w:tabs>
        <w:spacing w:before="240" w:after="240" w:line="360" w:lineRule="auto"/>
        <w:ind w:left="0" w:right="49" w:firstLine="0"/>
        <w:jc w:val="both"/>
        <w:rPr>
          <w:rFonts w:ascii="Palatino Linotype" w:eastAsia="Times New Roman" w:hAnsi="Palatino Linotype" w:cs="Times New Roman"/>
          <w:sz w:val="24"/>
          <w:szCs w:val="24"/>
          <w:lang w:val="es-ES" w:eastAsia="es-ES"/>
        </w:rPr>
      </w:pPr>
      <w:r w:rsidRPr="008B1544">
        <w:rPr>
          <w:rFonts w:ascii="Palatino Linotype" w:eastAsia="MS Mincho" w:hAnsi="Palatino Linotype" w:cs="Times New Roman"/>
          <w:sz w:val="24"/>
          <w:szCs w:val="24"/>
          <w:lang w:val="es-ES_tradnl" w:eastAsia="es-ES"/>
        </w:rPr>
        <w:t xml:space="preserve">Robustece lo anterior </w:t>
      </w:r>
      <w:r w:rsidRPr="008B1544">
        <w:rPr>
          <w:rFonts w:ascii="Palatino Linotype" w:eastAsia="Times New Roman" w:hAnsi="Palatino Linotype" w:cs="Arial"/>
          <w:sz w:val="24"/>
          <w:szCs w:val="24"/>
          <w:lang w:val="es-ES_tradnl" w:eastAsia="es-ES"/>
        </w:rPr>
        <w:t xml:space="preserve">el criterio 09-10, emitido por </w:t>
      </w:r>
      <w:r w:rsidRPr="008B1544">
        <w:rPr>
          <w:rFonts w:ascii="Palatino Linotype" w:eastAsia="Arial Unicode MS" w:hAnsi="Palatino Linotype" w:cs="Arial"/>
          <w:sz w:val="24"/>
          <w:szCs w:val="24"/>
          <w:lang w:val="es-ES_tradnl" w:eastAsia="es-ES"/>
        </w:rPr>
        <w:t xml:space="preserve">el Pleno del entonces </w:t>
      </w:r>
      <w:r w:rsidRPr="008B1544">
        <w:rPr>
          <w:rFonts w:ascii="Palatino Linotype" w:eastAsia="Arial Unicode MS" w:hAnsi="Palatino Linotype" w:cs="Arial"/>
          <w:bCs/>
          <w:sz w:val="24"/>
          <w:szCs w:val="24"/>
          <w:lang w:val="es-ES_tradnl" w:eastAsia="es-ES"/>
        </w:rPr>
        <w:t xml:space="preserve">Instituto Federal de Acceso a la Información y Protección de Datos, </w:t>
      </w:r>
      <w:r w:rsidRPr="008B1544">
        <w:rPr>
          <w:rFonts w:ascii="Palatino Linotype" w:eastAsia="Arial Unicode MS" w:hAnsi="Palatino Linotype" w:cs="Arial"/>
          <w:sz w:val="24"/>
          <w:szCs w:val="24"/>
          <w:lang w:val="es-ES_tradnl" w:eastAsia="es-ES"/>
        </w:rPr>
        <w:t>ahora Instituto Nacional de Transparencia, Acceso a la Información y Protección de Datos Personales,</w:t>
      </w:r>
      <w:r w:rsidRPr="008B1544">
        <w:rPr>
          <w:rFonts w:ascii="Palatino Linotype" w:eastAsia="Times New Roman" w:hAnsi="Palatino Linotype" w:cs="Times New Roman"/>
          <w:bCs/>
          <w:sz w:val="24"/>
          <w:szCs w:val="24"/>
          <w:lang w:val="es-ES_tradnl" w:eastAsia="es-ES"/>
        </w:rPr>
        <w:t xml:space="preserve"> que a la letra dice:</w:t>
      </w:r>
      <w:r w:rsidRPr="008B1544">
        <w:rPr>
          <w:rFonts w:ascii="Palatino Linotype" w:eastAsia="Times New Roman" w:hAnsi="Palatino Linotype" w:cs="Times New Roman"/>
          <w:b/>
          <w:bCs/>
          <w:sz w:val="24"/>
          <w:szCs w:val="24"/>
          <w:lang w:val="es-ES_tradnl" w:eastAsia="es-ES"/>
        </w:rPr>
        <w:t xml:space="preserve"> </w:t>
      </w:r>
    </w:p>
    <w:p w:rsidR="00B519E0" w:rsidRPr="008B1544" w:rsidRDefault="00B519E0" w:rsidP="008B1544">
      <w:pPr>
        <w:spacing w:after="0" w:line="360" w:lineRule="auto"/>
        <w:ind w:left="851" w:right="851"/>
        <w:jc w:val="both"/>
        <w:rPr>
          <w:rFonts w:ascii="Palatino Linotype" w:eastAsia="Times New Roman" w:hAnsi="Palatino Linotype" w:cs="Arial"/>
          <w:i/>
          <w:sz w:val="24"/>
          <w:szCs w:val="24"/>
          <w:lang w:val="es-ES_tradnl" w:eastAsia="es-ES"/>
        </w:rPr>
      </w:pPr>
      <w:r w:rsidRPr="008B1544">
        <w:rPr>
          <w:rFonts w:ascii="Palatino Linotype" w:eastAsia="Times New Roman" w:hAnsi="Palatino Linotype" w:cs="Arial"/>
          <w:b/>
          <w:i/>
          <w:sz w:val="24"/>
          <w:szCs w:val="24"/>
          <w:lang w:val="es-ES_tradnl" w:eastAsia="es-ES"/>
        </w:rPr>
        <w:t>Las dependencias y entidades no están obligadas a generar documentos ad hoc para responder una solicitud de acceso a la información.</w:t>
      </w:r>
      <w:r w:rsidRPr="008B1544">
        <w:rPr>
          <w:rFonts w:ascii="Palatino Linotype" w:eastAsia="Times New Roman" w:hAnsi="Palatino Linotype" w:cs="Arial"/>
          <w:i/>
          <w:sz w:val="24"/>
          <w:szCs w:val="24"/>
          <w:lang w:val="es-ES_tradnl" w:eastAsia="es-ES"/>
        </w:rPr>
        <w:t xml:space="preserve"> Tomando en consideración lo establecido por el artículo 42 de la Ley Federal de Transparencia y Acceso a la Información Pública Gubernamental, que establece que las dependencias y entidades sólo </w:t>
      </w:r>
      <w:r w:rsidRPr="008B1544">
        <w:rPr>
          <w:rFonts w:ascii="Palatino Linotype" w:eastAsia="Times New Roman" w:hAnsi="Palatino Linotype" w:cs="Arial"/>
          <w:i/>
          <w:sz w:val="24"/>
          <w:szCs w:val="24"/>
          <w:lang w:val="es-ES_tradnl" w:eastAsia="es-ES"/>
        </w:rPr>
        <w:lastRenderedPageBreak/>
        <w:t>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B519E0" w:rsidRPr="008B1544" w:rsidRDefault="00B519E0" w:rsidP="008B1544">
      <w:pPr>
        <w:spacing w:after="0" w:line="360" w:lineRule="auto"/>
        <w:ind w:left="851" w:right="851"/>
        <w:jc w:val="both"/>
        <w:rPr>
          <w:rFonts w:ascii="Palatino Linotype" w:eastAsia="Times New Roman" w:hAnsi="Palatino Linotype" w:cs="Arial"/>
          <w:i/>
          <w:sz w:val="24"/>
          <w:szCs w:val="24"/>
          <w:lang w:val="es-ES_tradnl" w:eastAsia="es-ES"/>
        </w:rPr>
      </w:pPr>
      <w:r w:rsidRPr="008B1544">
        <w:rPr>
          <w:rFonts w:ascii="Palatino Linotype" w:eastAsia="Times New Roman" w:hAnsi="Palatino Linotype" w:cs="Arial"/>
          <w:i/>
          <w:sz w:val="24"/>
          <w:szCs w:val="24"/>
          <w:lang w:val="es-ES_tradnl" w:eastAsia="es-ES"/>
        </w:rPr>
        <w:t>Expedientes:</w:t>
      </w:r>
    </w:p>
    <w:p w:rsidR="00B519E0" w:rsidRPr="008B1544" w:rsidRDefault="00B519E0" w:rsidP="008B1544">
      <w:pPr>
        <w:spacing w:after="0" w:line="360" w:lineRule="auto"/>
        <w:ind w:left="851" w:right="851"/>
        <w:jc w:val="both"/>
        <w:rPr>
          <w:rFonts w:ascii="Palatino Linotype" w:eastAsia="Times New Roman" w:hAnsi="Palatino Linotype" w:cs="Arial"/>
          <w:i/>
          <w:sz w:val="24"/>
          <w:szCs w:val="24"/>
          <w:lang w:val="es-ES_tradnl" w:eastAsia="es-ES"/>
        </w:rPr>
      </w:pPr>
      <w:r w:rsidRPr="008B1544">
        <w:rPr>
          <w:rFonts w:ascii="Palatino Linotype" w:eastAsia="Times New Roman" w:hAnsi="Palatino Linotype" w:cs="Arial"/>
          <w:i/>
          <w:sz w:val="24"/>
          <w:szCs w:val="24"/>
          <w:lang w:val="es-ES_tradnl" w:eastAsia="es-ES"/>
        </w:rPr>
        <w:t>0438/08 Pemex Exploración y Producción – Alonso Lujambio Irazábal</w:t>
      </w:r>
    </w:p>
    <w:p w:rsidR="00B519E0" w:rsidRPr="008B1544" w:rsidRDefault="00B519E0" w:rsidP="008B1544">
      <w:pPr>
        <w:spacing w:after="0" w:line="360" w:lineRule="auto"/>
        <w:ind w:left="851" w:right="851"/>
        <w:jc w:val="both"/>
        <w:rPr>
          <w:rFonts w:ascii="Palatino Linotype" w:eastAsia="Times New Roman" w:hAnsi="Palatino Linotype" w:cs="Arial"/>
          <w:i/>
          <w:sz w:val="24"/>
          <w:szCs w:val="24"/>
          <w:lang w:val="es-ES_tradnl" w:eastAsia="es-ES"/>
        </w:rPr>
      </w:pPr>
      <w:r w:rsidRPr="008B1544">
        <w:rPr>
          <w:rFonts w:ascii="Palatino Linotype" w:eastAsia="Times New Roman" w:hAnsi="Palatino Linotype" w:cs="Arial"/>
          <w:i/>
          <w:sz w:val="24"/>
          <w:szCs w:val="24"/>
          <w:lang w:val="es-ES_tradnl" w:eastAsia="es-ES"/>
        </w:rPr>
        <w:t>1751/09 Laboratorios de Biológicos y Reactivos de México S.A. de C.V. –</w:t>
      </w:r>
    </w:p>
    <w:p w:rsidR="00B519E0" w:rsidRPr="008B1544" w:rsidRDefault="00B519E0" w:rsidP="008B1544">
      <w:pPr>
        <w:spacing w:after="0" w:line="360" w:lineRule="auto"/>
        <w:ind w:left="851" w:right="851"/>
        <w:jc w:val="both"/>
        <w:rPr>
          <w:rFonts w:ascii="Palatino Linotype" w:eastAsia="Times New Roman" w:hAnsi="Palatino Linotype" w:cs="Arial"/>
          <w:i/>
          <w:sz w:val="24"/>
          <w:szCs w:val="24"/>
          <w:lang w:val="es-ES_tradnl" w:eastAsia="es-ES"/>
        </w:rPr>
      </w:pPr>
      <w:r w:rsidRPr="008B1544">
        <w:rPr>
          <w:rFonts w:ascii="Palatino Linotype" w:eastAsia="Times New Roman" w:hAnsi="Palatino Linotype" w:cs="Arial"/>
          <w:i/>
          <w:sz w:val="24"/>
          <w:szCs w:val="24"/>
          <w:lang w:val="es-ES_tradnl" w:eastAsia="es-ES"/>
        </w:rPr>
        <w:t xml:space="preserve">María </w:t>
      </w:r>
      <w:proofErr w:type="spellStart"/>
      <w:r w:rsidRPr="008B1544">
        <w:rPr>
          <w:rFonts w:ascii="Palatino Linotype" w:eastAsia="Times New Roman" w:hAnsi="Palatino Linotype" w:cs="Arial"/>
          <w:i/>
          <w:sz w:val="24"/>
          <w:szCs w:val="24"/>
          <w:lang w:val="es-ES_tradnl" w:eastAsia="es-ES"/>
        </w:rPr>
        <w:t>Marván</w:t>
      </w:r>
      <w:proofErr w:type="spellEnd"/>
      <w:r w:rsidRPr="008B1544">
        <w:rPr>
          <w:rFonts w:ascii="Palatino Linotype" w:eastAsia="Times New Roman" w:hAnsi="Palatino Linotype" w:cs="Arial"/>
          <w:i/>
          <w:sz w:val="24"/>
          <w:szCs w:val="24"/>
          <w:lang w:val="es-ES_tradnl" w:eastAsia="es-ES"/>
        </w:rPr>
        <w:t xml:space="preserve"> Laborde</w:t>
      </w:r>
    </w:p>
    <w:p w:rsidR="00B519E0" w:rsidRPr="008B1544" w:rsidRDefault="00B519E0" w:rsidP="008B1544">
      <w:pPr>
        <w:spacing w:after="0" w:line="360" w:lineRule="auto"/>
        <w:ind w:left="851" w:right="851"/>
        <w:jc w:val="both"/>
        <w:rPr>
          <w:rFonts w:ascii="Palatino Linotype" w:eastAsia="Times New Roman" w:hAnsi="Palatino Linotype" w:cs="Arial"/>
          <w:i/>
          <w:sz w:val="24"/>
          <w:szCs w:val="24"/>
          <w:lang w:val="es-ES_tradnl" w:eastAsia="es-ES"/>
        </w:rPr>
      </w:pPr>
      <w:r w:rsidRPr="008B1544">
        <w:rPr>
          <w:rFonts w:ascii="Palatino Linotype" w:eastAsia="Times New Roman" w:hAnsi="Palatino Linotype" w:cs="Arial"/>
          <w:i/>
          <w:sz w:val="24"/>
          <w:szCs w:val="24"/>
          <w:lang w:val="es-ES_tradnl" w:eastAsia="es-ES"/>
        </w:rPr>
        <w:t xml:space="preserve">2868/09 Consejo Nacional de Ciencia y Tecnología – Jacqueline </w:t>
      </w:r>
      <w:proofErr w:type="spellStart"/>
      <w:r w:rsidRPr="008B1544">
        <w:rPr>
          <w:rFonts w:ascii="Palatino Linotype" w:eastAsia="Times New Roman" w:hAnsi="Palatino Linotype" w:cs="Arial"/>
          <w:i/>
          <w:sz w:val="24"/>
          <w:szCs w:val="24"/>
          <w:lang w:val="es-ES_tradnl" w:eastAsia="es-ES"/>
        </w:rPr>
        <w:t>Peschard</w:t>
      </w:r>
      <w:proofErr w:type="spellEnd"/>
    </w:p>
    <w:p w:rsidR="00B519E0" w:rsidRPr="008B1544" w:rsidRDefault="00B519E0" w:rsidP="008B1544">
      <w:pPr>
        <w:spacing w:after="0" w:line="360" w:lineRule="auto"/>
        <w:ind w:left="851" w:right="851"/>
        <w:jc w:val="both"/>
        <w:rPr>
          <w:rFonts w:ascii="Palatino Linotype" w:eastAsia="Times New Roman" w:hAnsi="Palatino Linotype" w:cs="Arial"/>
          <w:i/>
          <w:sz w:val="24"/>
          <w:szCs w:val="24"/>
          <w:lang w:val="es-ES_tradnl" w:eastAsia="es-ES"/>
        </w:rPr>
      </w:pPr>
      <w:r w:rsidRPr="008B1544">
        <w:rPr>
          <w:rFonts w:ascii="Palatino Linotype" w:eastAsia="Times New Roman" w:hAnsi="Palatino Linotype" w:cs="Arial"/>
          <w:i/>
          <w:sz w:val="24"/>
          <w:szCs w:val="24"/>
          <w:lang w:val="es-ES_tradnl" w:eastAsia="es-ES"/>
        </w:rPr>
        <w:t>Mariscal</w:t>
      </w:r>
    </w:p>
    <w:p w:rsidR="00B519E0" w:rsidRPr="008B1544" w:rsidRDefault="00B519E0" w:rsidP="008B1544">
      <w:pPr>
        <w:spacing w:after="0" w:line="360" w:lineRule="auto"/>
        <w:ind w:left="851" w:right="851"/>
        <w:jc w:val="both"/>
        <w:rPr>
          <w:rFonts w:ascii="Palatino Linotype" w:eastAsia="Times New Roman" w:hAnsi="Palatino Linotype" w:cs="Arial"/>
          <w:i/>
          <w:sz w:val="24"/>
          <w:szCs w:val="24"/>
          <w:lang w:val="es-ES_tradnl" w:eastAsia="es-ES"/>
        </w:rPr>
      </w:pPr>
      <w:r w:rsidRPr="008B1544">
        <w:rPr>
          <w:rFonts w:ascii="Palatino Linotype" w:eastAsia="Times New Roman" w:hAnsi="Palatino Linotype" w:cs="Arial"/>
          <w:i/>
          <w:sz w:val="24"/>
          <w:szCs w:val="24"/>
          <w:lang w:val="es-ES_tradnl" w:eastAsia="es-ES"/>
        </w:rPr>
        <w:t>5160/09 Secretaría de Hacienda y Crédito Público – Ángel Trinidad Zaldívar</w:t>
      </w:r>
    </w:p>
    <w:p w:rsidR="00B519E0" w:rsidRPr="008B1544" w:rsidRDefault="00B519E0" w:rsidP="008B1544">
      <w:pPr>
        <w:spacing w:after="0" w:line="360" w:lineRule="auto"/>
        <w:ind w:left="851" w:right="851"/>
        <w:jc w:val="both"/>
        <w:rPr>
          <w:rFonts w:ascii="Palatino Linotype" w:eastAsia="Times New Roman" w:hAnsi="Palatino Linotype" w:cs="Arial"/>
          <w:i/>
          <w:sz w:val="24"/>
          <w:szCs w:val="24"/>
          <w:lang w:val="es-ES_tradnl" w:eastAsia="es-ES"/>
        </w:rPr>
      </w:pPr>
      <w:r w:rsidRPr="008B1544">
        <w:rPr>
          <w:rFonts w:ascii="Palatino Linotype" w:eastAsia="Times New Roman" w:hAnsi="Palatino Linotype" w:cs="Arial"/>
          <w:i/>
          <w:sz w:val="24"/>
          <w:szCs w:val="24"/>
          <w:lang w:val="es-ES_tradnl" w:eastAsia="es-ES"/>
        </w:rPr>
        <w:t xml:space="preserve">0304/10 Instituto Nacional de Cancerología – Jacqueline </w:t>
      </w:r>
      <w:proofErr w:type="spellStart"/>
      <w:r w:rsidRPr="008B1544">
        <w:rPr>
          <w:rFonts w:ascii="Palatino Linotype" w:eastAsia="Times New Roman" w:hAnsi="Palatino Linotype" w:cs="Arial"/>
          <w:i/>
          <w:sz w:val="24"/>
          <w:szCs w:val="24"/>
          <w:lang w:val="es-ES_tradnl" w:eastAsia="es-ES"/>
        </w:rPr>
        <w:t>Peschard</w:t>
      </w:r>
      <w:proofErr w:type="spellEnd"/>
      <w:r w:rsidRPr="008B1544">
        <w:rPr>
          <w:rFonts w:ascii="Palatino Linotype" w:eastAsia="Times New Roman" w:hAnsi="Palatino Linotype" w:cs="Arial"/>
          <w:i/>
          <w:sz w:val="24"/>
          <w:szCs w:val="24"/>
          <w:lang w:val="es-ES_tradnl" w:eastAsia="es-ES"/>
        </w:rPr>
        <w:t xml:space="preserve"> Mariscal</w:t>
      </w:r>
    </w:p>
    <w:p w:rsidR="00B519E0" w:rsidRPr="008B1544" w:rsidRDefault="00B519E0" w:rsidP="008B1544">
      <w:pPr>
        <w:spacing w:after="0" w:line="360" w:lineRule="auto"/>
        <w:ind w:right="49"/>
        <w:contextualSpacing/>
        <w:jc w:val="both"/>
        <w:rPr>
          <w:rFonts w:ascii="Palatino Linotype" w:eastAsia="MS Mincho" w:hAnsi="Palatino Linotype" w:cs="Times New Roman"/>
          <w:sz w:val="24"/>
          <w:szCs w:val="24"/>
          <w:lang w:val="es-ES_tradnl" w:eastAsia="es-ES"/>
        </w:rPr>
      </w:pPr>
    </w:p>
    <w:p w:rsidR="005D0394" w:rsidRPr="008B1544" w:rsidRDefault="00AF4EC8" w:rsidP="008B15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t xml:space="preserve">Así, no se estima procedente la entrega de un </w:t>
      </w:r>
      <w:r w:rsidRPr="008B1544">
        <w:rPr>
          <w:rFonts w:ascii="Palatino Linotype" w:eastAsia="MS Mincho" w:hAnsi="Palatino Linotype" w:cs="Times New Roman"/>
          <w:i/>
          <w:sz w:val="24"/>
          <w:szCs w:val="24"/>
          <w:lang w:val="es-ES_tradnl" w:eastAsia="es-ES"/>
        </w:rPr>
        <w:t xml:space="preserve">“Reporte de renuncias” </w:t>
      </w:r>
      <w:r w:rsidRPr="008B1544">
        <w:rPr>
          <w:rFonts w:ascii="Palatino Linotype" w:eastAsia="MS Mincho" w:hAnsi="Palatino Linotype" w:cs="Times New Roman"/>
          <w:sz w:val="24"/>
          <w:szCs w:val="24"/>
          <w:lang w:val="es-ES_tradnl" w:eastAsia="es-ES"/>
        </w:rPr>
        <w:t xml:space="preserve">pues se le estaría ordenando al </w:t>
      </w:r>
      <w:r w:rsidRPr="008B1544">
        <w:rPr>
          <w:rFonts w:ascii="Palatino Linotype" w:eastAsia="MS Mincho" w:hAnsi="Palatino Linotype" w:cs="Times New Roman"/>
          <w:b/>
          <w:sz w:val="24"/>
          <w:szCs w:val="24"/>
          <w:lang w:val="es-ES_tradnl" w:eastAsia="es-ES"/>
        </w:rPr>
        <w:t xml:space="preserve">SUJETO OBLIGADO </w:t>
      </w:r>
      <w:r w:rsidRPr="008B1544">
        <w:rPr>
          <w:rFonts w:ascii="Palatino Linotype" w:eastAsia="MS Mincho" w:hAnsi="Palatino Linotype" w:cs="Times New Roman"/>
          <w:sz w:val="24"/>
          <w:szCs w:val="24"/>
          <w:lang w:val="es-ES_tradnl" w:eastAsia="es-ES"/>
        </w:rPr>
        <w:t>realizar un procesamiento de información</w:t>
      </w:r>
      <w:r w:rsidR="0028350B" w:rsidRPr="008B1544">
        <w:rPr>
          <w:rFonts w:ascii="Palatino Linotype" w:eastAsia="MS Mincho" w:hAnsi="Palatino Linotype" w:cs="Times New Roman"/>
          <w:sz w:val="24"/>
          <w:szCs w:val="24"/>
          <w:lang w:val="es-ES_tradnl" w:eastAsia="es-ES"/>
        </w:rPr>
        <w:t xml:space="preserve">, además que de la entrega de todas y cada una de las renuncias que se hayan presentado del periodo solicitado, se puede obtener esta información y el solicitante podrá elaborar los documentos que considere necesario a sus intereses. </w:t>
      </w:r>
    </w:p>
    <w:p w:rsidR="00AF4EC8" w:rsidRPr="008B1544" w:rsidRDefault="005D0394" w:rsidP="008B1544">
      <w:pPr>
        <w:spacing w:after="0" w:line="360" w:lineRule="auto"/>
        <w:ind w:right="49"/>
        <w:contextualSpacing/>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lastRenderedPageBreak/>
        <w:t xml:space="preserve"> </w:t>
      </w:r>
    </w:p>
    <w:p w:rsidR="00AF4EC8" w:rsidRPr="008B1544" w:rsidRDefault="00115BDE" w:rsidP="008B15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t>Consecuentemente,</w:t>
      </w:r>
      <w:r w:rsidR="00AF4EC8" w:rsidRPr="008B1544">
        <w:rPr>
          <w:rFonts w:ascii="Palatino Linotype" w:eastAsia="MS Mincho" w:hAnsi="Palatino Linotype" w:cs="Times New Roman"/>
          <w:sz w:val="24"/>
          <w:szCs w:val="24"/>
          <w:lang w:val="es-ES_tradnl" w:eastAsia="es-ES"/>
        </w:rPr>
        <w:t xml:space="preserve"> por lo que respecta al punto número 2 del cuadro de análisis antes menc</w:t>
      </w:r>
      <w:r w:rsidR="005D0394" w:rsidRPr="008B1544">
        <w:rPr>
          <w:rFonts w:ascii="Palatino Linotype" w:eastAsia="MS Mincho" w:hAnsi="Palatino Linotype" w:cs="Times New Roman"/>
          <w:sz w:val="24"/>
          <w:szCs w:val="24"/>
          <w:lang w:val="es-ES_tradnl" w:eastAsia="es-ES"/>
        </w:rPr>
        <w:t xml:space="preserve">ionado donde </w:t>
      </w:r>
      <w:r w:rsidR="00AF4EC8" w:rsidRPr="008B1544">
        <w:rPr>
          <w:rFonts w:ascii="Palatino Linotype" w:eastAsia="MS Mincho" w:hAnsi="Palatino Linotype" w:cs="Times New Roman"/>
          <w:sz w:val="24"/>
          <w:szCs w:val="24"/>
          <w:lang w:val="es-ES_tradnl" w:eastAsia="es-ES"/>
        </w:rPr>
        <w:t>se requiere conocer las funciones que desempeñaban los servidores públicos que renunciaron</w:t>
      </w:r>
      <w:r w:rsidR="005D0394" w:rsidRPr="008B1544">
        <w:rPr>
          <w:rFonts w:ascii="Palatino Linotype" w:eastAsia="MS Mincho" w:hAnsi="Palatino Linotype" w:cs="Times New Roman"/>
          <w:sz w:val="24"/>
          <w:szCs w:val="24"/>
          <w:lang w:val="es-ES_tradnl" w:eastAsia="es-ES"/>
        </w:rPr>
        <w:t xml:space="preserve">, </w:t>
      </w:r>
      <w:r w:rsidR="00AF4EC8" w:rsidRPr="008B1544">
        <w:rPr>
          <w:rFonts w:ascii="Palatino Linotype" w:eastAsia="MS Mincho" w:hAnsi="Palatino Linotype" w:cs="Times New Roman"/>
          <w:sz w:val="24"/>
          <w:szCs w:val="24"/>
          <w:lang w:val="es-ES_tradnl" w:eastAsia="es-ES"/>
        </w:rPr>
        <w:t xml:space="preserve">el </w:t>
      </w:r>
      <w:r w:rsidR="00AF4EC8" w:rsidRPr="008B1544">
        <w:rPr>
          <w:rFonts w:ascii="Palatino Linotype" w:eastAsia="MS Mincho" w:hAnsi="Palatino Linotype" w:cs="Times New Roman"/>
          <w:b/>
          <w:sz w:val="24"/>
          <w:szCs w:val="24"/>
          <w:lang w:val="es-ES_tradnl" w:eastAsia="es-ES"/>
        </w:rPr>
        <w:t>SUJETO OBLIGADO</w:t>
      </w:r>
      <w:r w:rsidR="00AF4EC8" w:rsidRPr="008B1544">
        <w:rPr>
          <w:rFonts w:ascii="Palatino Linotype" w:eastAsia="MS Mincho" w:hAnsi="Palatino Linotype" w:cs="Times New Roman"/>
          <w:sz w:val="24"/>
          <w:szCs w:val="24"/>
          <w:lang w:val="es-ES_tradnl" w:eastAsia="es-ES"/>
        </w:rPr>
        <w:t xml:space="preserve"> refirió que dichas funciones se encontraban en el portal de Información P</w:t>
      </w:r>
      <w:r w:rsidR="005D0394" w:rsidRPr="008B1544">
        <w:rPr>
          <w:rFonts w:ascii="Palatino Linotype" w:eastAsia="MS Mincho" w:hAnsi="Palatino Linotype" w:cs="Times New Roman"/>
          <w:sz w:val="24"/>
          <w:szCs w:val="24"/>
          <w:lang w:val="es-ES_tradnl" w:eastAsia="es-ES"/>
        </w:rPr>
        <w:t>ública de Oficio Mexiquense, sin embargo, se aprecia que no refirió debidamente el proceso para acceder a dicha información.</w:t>
      </w:r>
    </w:p>
    <w:p w:rsidR="005D0394" w:rsidRPr="008B1544" w:rsidRDefault="005D0394" w:rsidP="008B1544">
      <w:pPr>
        <w:spacing w:after="0" w:line="360" w:lineRule="auto"/>
        <w:ind w:right="49"/>
        <w:contextualSpacing/>
        <w:jc w:val="both"/>
        <w:rPr>
          <w:rFonts w:ascii="Palatino Linotype" w:eastAsia="MS Mincho" w:hAnsi="Palatino Linotype" w:cs="Times New Roman"/>
          <w:sz w:val="24"/>
          <w:szCs w:val="24"/>
          <w:lang w:val="es-ES_tradnl" w:eastAsia="es-ES"/>
        </w:rPr>
      </w:pPr>
    </w:p>
    <w:p w:rsidR="005D0394" w:rsidRPr="008B1544" w:rsidRDefault="005D0394" w:rsidP="008B15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t xml:space="preserve">En efecto, si bien como se advierte de la respuesta emitida por el </w:t>
      </w:r>
      <w:r w:rsidRPr="008B1544">
        <w:rPr>
          <w:rFonts w:ascii="Palatino Linotype" w:eastAsia="MS Mincho" w:hAnsi="Palatino Linotype" w:cs="Times New Roman"/>
          <w:b/>
          <w:sz w:val="24"/>
          <w:szCs w:val="24"/>
          <w:lang w:val="es-ES_tradnl" w:eastAsia="es-ES"/>
        </w:rPr>
        <w:t>SUJETO OBLIGADO</w:t>
      </w:r>
      <w:r w:rsidRPr="008B1544">
        <w:rPr>
          <w:rFonts w:ascii="Palatino Linotype" w:eastAsia="MS Mincho" w:hAnsi="Palatino Linotype" w:cs="Times New Roman"/>
          <w:sz w:val="24"/>
          <w:szCs w:val="24"/>
          <w:lang w:val="es-ES_tradnl" w:eastAsia="es-ES"/>
        </w:rPr>
        <w:t xml:space="preserve">, la información pudiera encontrase en el portal de Información Pública de Oficio Mexiquense como a continuación se observa: </w:t>
      </w:r>
    </w:p>
    <w:p w:rsidR="005D0394" w:rsidRPr="008B1544" w:rsidRDefault="00C11C6E" w:rsidP="008B1544">
      <w:pPr>
        <w:pStyle w:val="Prrafodelista"/>
        <w:spacing w:line="360" w:lineRule="auto"/>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340168</wp:posOffset>
                </wp:positionV>
                <wp:extent cx="5516752" cy="3534132"/>
                <wp:effectExtent l="19050" t="19050" r="27305" b="28575"/>
                <wp:wrapNone/>
                <wp:docPr id="2" name="Conector recto 2"/>
                <wp:cNvGraphicFramePr/>
                <a:graphic xmlns:a="http://schemas.openxmlformats.org/drawingml/2006/main">
                  <a:graphicData uri="http://schemas.microsoft.com/office/word/2010/wordprocessingShape">
                    <wps:wsp>
                      <wps:cNvCnPr/>
                      <wps:spPr>
                        <a:xfrm>
                          <a:off x="0" y="0"/>
                          <a:ext cx="5516752" cy="353413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9BE3D"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8pt" to="434.4pt,3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" strokecolor="#5b9bd5 [3204]" strokeweight="3pt">
                <v:stroke joinstyle="miter"/>
                <w10:wrap anchorx="margin"/>
              </v:line>
            </w:pict>
          </mc:Fallback>
        </mc:AlternateContent>
      </w:r>
    </w:p>
    <w:p w:rsidR="005D0394" w:rsidRPr="008B1544" w:rsidRDefault="005D0394" w:rsidP="008B1544">
      <w:pPr>
        <w:spacing w:after="0" w:line="360" w:lineRule="auto"/>
        <w:ind w:right="49"/>
        <w:contextualSpacing/>
        <w:jc w:val="center"/>
        <w:rPr>
          <w:rFonts w:ascii="Palatino Linotype" w:eastAsia="MS Mincho" w:hAnsi="Palatino Linotype" w:cs="Times New Roman"/>
          <w:sz w:val="24"/>
          <w:szCs w:val="24"/>
          <w:lang w:val="es-ES_tradnl" w:eastAsia="es-ES"/>
        </w:rPr>
      </w:pPr>
      <w:r w:rsidRPr="008B1544">
        <w:rPr>
          <w:rFonts w:ascii="Palatino Linotype" w:hAnsi="Palatino Linotype"/>
          <w:noProof/>
          <w:sz w:val="24"/>
          <w:szCs w:val="24"/>
          <w:lang w:eastAsia="es-MX"/>
        </w:rPr>
        <w:lastRenderedPageBreak/>
        <w:drawing>
          <wp:inline distT="0" distB="0" distL="0" distR="0" wp14:anchorId="2DADCE51" wp14:editId="4AE85C8E">
            <wp:extent cx="4836873" cy="7162800"/>
            <wp:effectExtent l="0" t="0" r="190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04" t="12439" r="34464" b="5340"/>
                    <a:stretch/>
                  </pic:blipFill>
                  <pic:spPr bwMode="auto">
                    <a:xfrm>
                      <a:off x="0" y="0"/>
                      <a:ext cx="4849135" cy="7180959"/>
                    </a:xfrm>
                    <a:prstGeom prst="rect">
                      <a:avLst/>
                    </a:prstGeom>
                    <a:ln>
                      <a:noFill/>
                    </a:ln>
                    <a:extLst>
                      <a:ext uri="{53640926-AAD7-44D8-BBD7-CCE9431645EC}">
                        <a14:shadowObscured xmlns:a14="http://schemas.microsoft.com/office/drawing/2010/main"/>
                      </a:ext>
                    </a:extLst>
                  </pic:spPr>
                </pic:pic>
              </a:graphicData>
            </a:graphic>
          </wp:inline>
        </w:drawing>
      </w:r>
    </w:p>
    <w:p w:rsidR="005D0394" w:rsidRPr="008B1544" w:rsidRDefault="005D0394" w:rsidP="008B1544">
      <w:pPr>
        <w:pStyle w:val="Prrafodelista"/>
        <w:spacing w:line="360" w:lineRule="auto"/>
        <w:jc w:val="center"/>
        <w:rPr>
          <w:rFonts w:ascii="Palatino Linotype" w:eastAsia="MS Mincho" w:hAnsi="Palatino Linotype" w:cs="Times New Roman"/>
          <w:sz w:val="24"/>
          <w:szCs w:val="24"/>
          <w:lang w:val="es-ES_tradnl" w:eastAsia="es-ES"/>
        </w:rPr>
      </w:pPr>
      <w:r w:rsidRPr="008B1544">
        <w:rPr>
          <w:rFonts w:ascii="Palatino Linotype" w:hAnsi="Palatino Linotype"/>
          <w:noProof/>
          <w:sz w:val="24"/>
          <w:szCs w:val="24"/>
          <w:lang w:eastAsia="es-MX"/>
        </w:rPr>
        <w:lastRenderedPageBreak/>
        <w:drawing>
          <wp:inline distT="0" distB="0" distL="0" distR="0" wp14:anchorId="44655DCF" wp14:editId="06A3717A">
            <wp:extent cx="5114116" cy="59245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475" t="19114" r="34293" b="16566"/>
                    <a:stretch/>
                  </pic:blipFill>
                  <pic:spPr bwMode="auto">
                    <a:xfrm>
                      <a:off x="0" y="0"/>
                      <a:ext cx="5132359" cy="5945684"/>
                    </a:xfrm>
                    <a:prstGeom prst="rect">
                      <a:avLst/>
                    </a:prstGeom>
                    <a:ln>
                      <a:noFill/>
                    </a:ln>
                    <a:extLst>
                      <a:ext uri="{53640926-AAD7-44D8-BBD7-CCE9431645EC}">
                        <a14:shadowObscured xmlns:a14="http://schemas.microsoft.com/office/drawing/2010/main"/>
                      </a:ext>
                    </a:extLst>
                  </pic:spPr>
                </pic:pic>
              </a:graphicData>
            </a:graphic>
          </wp:inline>
        </w:drawing>
      </w:r>
    </w:p>
    <w:p w:rsidR="005D0394" w:rsidRPr="008B1544" w:rsidRDefault="005D0394" w:rsidP="008B1544">
      <w:pPr>
        <w:spacing w:after="0" w:line="360" w:lineRule="auto"/>
        <w:ind w:right="49"/>
        <w:contextualSpacing/>
        <w:jc w:val="both"/>
        <w:rPr>
          <w:rFonts w:ascii="Palatino Linotype" w:eastAsia="MS Mincho" w:hAnsi="Palatino Linotype" w:cs="Times New Roman"/>
          <w:sz w:val="24"/>
          <w:szCs w:val="24"/>
          <w:lang w:val="es-ES_tradnl" w:eastAsia="es-ES"/>
        </w:rPr>
      </w:pPr>
    </w:p>
    <w:p w:rsidR="005D0394" w:rsidRPr="008B1544" w:rsidRDefault="005D0394" w:rsidP="008B15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lastRenderedPageBreak/>
        <w:t>Lo cierto es que de conformidad con el artículo 161 de la Ley de Transparencia Estatal, dicho procedimiento le implica una búsqueda al particular</w:t>
      </w:r>
      <w:r w:rsidR="00254995" w:rsidRPr="008B1544">
        <w:rPr>
          <w:rFonts w:ascii="Palatino Linotype" w:eastAsia="MS Mincho" w:hAnsi="Palatino Linotype" w:cs="Times New Roman"/>
          <w:sz w:val="24"/>
          <w:szCs w:val="24"/>
          <w:lang w:val="es-ES_tradnl" w:eastAsia="es-ES"/>
        </w:rPr>
        <w:t xml:space="preserve">, pues tiene que </w:t>
      </w:r>
      <w:r w:rsidR="008119F2" w:rsidRPr="008B1544">
        <w:rPr>
          <w:rFonts w:ascii="Palatino Linotype" w:eastAsia="MS Mincho" w:hAnsi="Palatino Linotype" w:cs="Times New Roman"/>
          <w:sz w:val="24"/>
          <w:szCs w:val="24"/>
          <w:lang w:val="es-ES_tradnl" w:eastAsia="es-ES"/>
        </w:rPr>
        <w:t xml:space="preserve">localizar la información </w:t>
      </w:r>
      <w:r w:rsidR="00254995" w:rsidRPr="008B1544">
        <w:rPr>
          <w:rFonts w:ascii="Palatino Linotype" w:eastAsia="MS Mincho" w:hAnsi="Palatino Linotype" w:cs="Times New Roman"/>
          <w:sz w:val="24"/>
          <w:szCs w:val="24"/>
          <w:lang w:val="es-ES_tradnl" w:eastAsia="es-ES"/>
        </w:rPr>
        <w:t>entre todos los registros posibles</w:t>
      </w:r>
      <w:r w:rsidRPr="008B1544">
        <w:rPr>
          <w:rFonts w:ascii="Palatino Linotype" w:eastAsia="MS Mincho" w:hAnsi="Palatino Linotype" w:cs="Times New Roman"/>
          <w:sz w:val="24"/>
          <w:szCs w:val="24"/>
          <w:lang w:val="es-ES_tradnl" w:eastAsia="es-ES"/>
        </w:rPr>
        <w:t xml:space="preserve">: </w:t>
      </w:r>
    </w:p>
    <w:p w:rsidR="005D0394" w:rsidRPr="008B1544" w:rsidRDefault="005D0394" w:rsidP="008B1544">
      <w:pPr>
        <w:spacing w:after="0" w:line="360" w:lineRule="auto"/>
        <w:ind w:right="49"/>
        <w:contextualSpacing/>
        <w:jc w:val="both"/>
        <w:rPr>
          <w:rFonts w:ascii="Palatino Linotype" w:eastAsia="MS Mincho" w:hAnsi="Palatino Linotype" w:cs="Times New Roman"/>
          <w:sz w:val="24"/>
          <w:szCs w:val="24"/>
          <w:lang w:val="es-ES_tradnl" w:eastAsia="es-ES"/>
        </w:rPr>
      </w:pPr>
    </w:p>
    <w:p w:rsidR="005D0394" w:rsidRPr="008B1544" w:rsidRDefault="005D0394" w:rsidP="008B1544">
      <w:pPr>
        <w:spacing w:after="0" w:line="360" w:lineRule="auto"/>
        <w:ind w:left="567" w:right="567"/>
        <w:contextualSpacing/>
        <w:jc w:val="both"/>
        <w:rPr>
          <w:rFonts w:ascii="Palatino Linotype" w:eastAsia="MS Mincho" w:hAnsi="Palatino Linotype" w:cs="Times New Roman"/>
          <w:b/>
          <w:i/>
          <w:sz w:val="24"/>
          <w:szCs w:val="24"/>
          <w:lang w:val="es-ES_tradnl" w:eastAsia="es-ES"/>
        </w:rPr>
      </w:pPr>
      <w:r w:rsidRPr="008B1544">
        <w:rPr>
          <w:rFonts w:ascii="Palatino Linotype" w:eastAsia="MS Mincho" w:hAnsi="Palatino Linotype" w:cs="Times New Roman"/>
          <w:i/>
          <w:sz w:val="24"/>
          <w:szCs w:val="24"/>
          <w:lang w:val="es-ES_tradnl" w:eastAsia="es-ES"/>
        </w:rPr>
        <w:t>“</w:t>
      </w:r>
      <w:r w:rsidRPr="008B1544">
        <w:rPr>
          <w:rFonts w:ascii="Palatino Linotype" w:eastAsia="MS Mincho" w:hAnsi="Palatino Linotype" w:cs="Times New Roman"/>
          <w:b/>
          <w:i/>
          <w:sz w:val="24"/>
          <w:szCs w:val="24"/>
          <w:lang w:val="es-ES_tradnl" w:eastAsia="es-ES"/>
        </w:rPr>
        <w:t>Artículo</w:t>
      </w:r>
      <w:r w:rsidRPr="008B1544">
        <w:rPr>
          <w:rFonts w:ascii="Palatino Linotype" w:hAnsi="Palatino Linotype"/>
          <w:b/>
          <w:i/>
          <w:sz w:val="24"/>
          <w:szCs w:val="24"/>
        </w:rPr>
        <w:t xml:space="preserve"> 161. </w:t>
      </w:r>
      <w:r w:rsidRPr="008B1544">
        <w:rPr>
          <w:rFonts w:ascii="Palatino Linotype" w:hAnsi="Palatino Linotype"/>
          <w:i/>
          <w:sz w:val="24"/>
          <w:szCs w:val="24"/>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8B1544">
        <w:rPr>
          <w:rFonts w:ascii="Palatino Linotype" w:hAnsi="Palatino Linotype"/>
          <w:b/>
          <w:i/>
          <w:sz w:val="24"/>
          <w:szCs w:val="24"/>
        </w:rPr>
        <w:t xml:space="preserve">La fuente deberá </w:t>
      </w:r>
      <w:r w:rsidRPr="008B1544">
        <w:rPr>
          <w:rFonts w:ascii="Palatino Linotype" w:hAnsi="Palatino Linotype"/>
          <w:b/>
          <w:i/>
          <w:sz w:val="24"/>
          <w:szCs w:val="24"/>
          <w:u w:val="single"/>
        </w:rPr>
        <w:t>ser precisa y concreta</w:t>
      </w:r>
      <w:r w:rsidRPr="008B1544">
        <w:rPr>
          <w:rFonts w:ascii="Palatino Linotype" w:hAnsi="Palatino Linotype"/>
          <w:b/>
          <w:i/>
          <w:sz w:val="24"/>
          <w:szCs w:val="24"/>
        </w:rPr>
        <w:t xml:space="preserve"> y no debe implicar que el solicitante realice una búsqueda en toda la información que se encuentre disponible.”</w:t>
      </w:r>
    </w:p>
    <w:p w:rsidR="005D0394" w:rsidRPr="008B1544" w:rsidRDefault="005D0394" w:rsidP="008B1544">
      <w:pPr>
        <w:spacing w:after="0" w:line="360" w:lineRule="auto"/>
        <w:ind w:right="49"/>
        <w:contextualSpacing/>
        <w:jc w:val="both"/>
        <w:rPr>
          <w:rFonts w:ascii="Palatino Linotype" w:eastAsia="MS Mincho" w:hAnsi="Palatino Linotype" w:cs="Times New Roman"/>
          <w:sz w:val="24"/>
          <w:szCs w:val="24"/>
          <w:lang w:val="es-ES_tradnl" w:eastAsia="es-ES"/>
        </w:rPr>
      </w:pPr>
    </w:p>
    <w:p w:rsidR="00AF4EC8" w:rsidRPr="008B1544" w:rsidRDefault="00254995" w:rsidP="008B15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t>Es por lo anterior</w:t>
      </w:r>
      <w:r w:rsidR="0028350B" w:rsidRPr="008B1544">
        <w:rPr>
          <w:rFonts w:ascii="Palatino Linotype" w:eastAsia="MS Mincho" w:hAnsi="Palatino Linotype" w:cs="Times New Roman"/>
          <w:sz w:val="24"/>
          <w:szCs w:val="24"/>
          <w:lang w:val="es-ES_tradnl" w:eastAsia="es-ES"/>
        </w:rPr>
        <w:t xml:space="preserve"> y bajo el principio de máxima publicidad</w:t>
      </w:r>
      <w:r w:rsidRPr="008B1544">
        <w:rPr>
          <w:rFonts w:ascii="Palatino Linotype" w:eastAsia="MS Mincho" w:hAnsi="Palatino Linotype" w:cs="Times New Roman"/>
          <w:sz w:val="24"/>
          <w:szCs w:val="24"/>
          <w:lang w:val="es-ES_tradnl" w:eastAsia="es-ES"/>
        </w:rPr>
        <w:t xml:space="preserve"> </w:t>
      </w:r>
      <w:r w:rsidR="008119F2" w:rsidRPr="008B1544">
        <w:rPr>
          <w:rFonts w:ascii="Palatino Linotype" w:eastAsia="MS Mincho" w:hAnsi="Palatino Linotype" w:cs="Times New Roman"/>
          <w:sz w:val="24"/>
          <w:szCs w:val="24"/>
          <w:lang w:val="es-ES_tradnl" w:eastAsia="es-ES"/>
        </w:rPr>
        <w:t xml:space="preserve">resulta </w:t>
      </w:r>
      <w:r w:rsidRPr="008B1544">
        <w:rPr>
          <w:rFonts w:ascii="Palatino Linotype" w:eastAsia="MS Mincho" w:hAnsi="Palatino Linotype" w:cs="Times New Roman"/>
          <w:sz w:val="24"/>
          <w:szCs w:val="24"/>
          <w:lang w:val="es-ES_tradnl" w:eastAsia="es-ES"/>
        </w:rPr>
        <w:t>viable ordenar la entrega del documento donde conste</w:t>
      </w:r>
      <w:r w:rsidR="0028350B" w:rsidRPr="008B1544">
        <w:rPr>
          <w:rFonts w:ascii="Palatino Linotype" w:eastAsia="MS Mincho" w:hAnsi="Palatino Linotype" w:cs="Times New Roman"/>
          <w:sz w:val="24"/>
          <w:szCs w:val="24"/>
          <w:lang w:val="es-ES_tradnl" w:eastAsia="es-ES"/>
        </w:rPr>
        <w:t>n</w:t>
      </w:r>
      <w:r w:rsidRPr="008B1544">
        <w:rPr>
          <w:rFonts w:ascii="Palatino Linotype" w:eastAsia="MS Mincho" w:hAnsi="Palatino Linotype" w:cs="Times New Roman"/>
          <w:sz w:val="24"/>
          <w:szCs w:val="24"/>
          <w:lang w:val="es-ES_tradnl" w:eastAsia="es-ES"/>
        </w:rPr>
        <w:t xml:space="preserve"> las funciones de los servidores públicos que</w:t>
      </w:r>
      <w:r w:rsidR="008119F2" w:rsidRPr="008B1544">
        <w:rPr>
          <w:rFonts w:ascii="Palatino Linotype" w:eastAsia="MS Mincho" w:hAnsi="Palatino Linotype" w:cs="Times New Roman"/>
          <w:sz w:val="24"/>
          <w:szCs w:val="24"/>
          <w:lang w:val="es-ES_tradnl" w:eastAsia="es-ES"/>
        </w:rPr>
        <w:t xml:space="preserve"> manifestaron su voluntad de separarse del cargo, puesto o comisión  </w:t>
      </w:r>
      <w:r w:rsidRPr="008B1544">
        <w:rPr>
          <w:rFonts w:ascii="Palatino Linotype" w:eastAsia="MS Mincho" w:hAnsi="Palatino Linotype" w:cs="Times New Roman"/>
          <w:sz w:val="24"/>
          <w:szCs w:val="24"/>
          <w:lang w:val="es-ES_tradnl" w:eastAsia="es-ES"/>
        </w:rPr>
        <w:t xml:space="preserve"> </w:t>
      </w:r>
      <w:r w:rsidR="008119F2" w:rsidRPr="008B1544">
        <w:rPr>
          <w:rFonts w:ascii="Palatino Linotype" w:eastAsia="MS Mincho" w:hAnsi="Palatino Linotype" w:cs="Times New Roman"/>
          <w:sz w:val="24"/>
          <w:szCs w:val="24"/>
          <w:lang w:val="es-ES_tradnl" w:eastAsia="es-ES"/>
        </w:rPr>
        <w:t xml:space="preserve">mediante </w:t>
      </w:r>
      <w:r w:rsidR="00860628" w:rsidRPr="008B1544">
        <w:rPr>
          <w:rFonts w:ascii="Palatino Linotype" w:eastAsia="MS Mincho" w:hAnsi="Palatino Linotype" w:cs="Times New Roman"/>
          <w:sz w:val="24"/>
          <w:szCs w:val="24"/>
          <w:lang w:val="es-ES_tradnl" w:eastAsia="es-ES"/>
        </w:rPr>
        <w:t>las renuncias entregadas en respuesta</w:t>
      </w:r>
      <w:r w:rsidRPr="008B1544">
        <w:rPr>
          <w:rFonts w:ascii="Palatino Linotype" w:eastAsia="MS Mincho" w:hAnsi="Palatino Linotype" w:cs="Times New Roman"/>
          <w:sz w:val="24"/>
          <w:szCs w:val="24"/>
          <w:lang w:val="es-ES_tradnl" w:eastAsia="es-ES"/>
        </w:rPr>
        <w:t xml:space="preserve"> por el </w:t>
      </w:r>
      <w:r w:rsidRPr="008B1544">
        <w:rPr>
          <w:rFonts w:ascii="Palatino Linotype" w:eastAsia="MS Mincho" w:hAnsi="Palatino Linotype" w:cs="Times New Roman"/>
          <w:b/>
          <w:sz w:val="24"/>
          <w:szCs w:val="24"/>
          <w:lang w:val="es-ES_tradnl" w:eastAsia="es-ES"/>
        </w:rPr>
        <w:t xml:space="preserve">SUJETO OBLIGADO. </w:t>
      </w:r>
    </w:p>
    <w:p w:rsidR="00254995" w:rsidRPr="008B1544" w:rsidRDefault="00254995" w:rsidP="008B1544">
      <w:pPr>
        <w:spacing w:after="0" w:line="360" w:lineRule="auto"/>
        <w:ind w:right="49"/>
        <w:contextualSpacing/>
        <w:jc w:val="both"/>
        <w:rPr>
          <w:rFonts w:ascii="Palatino Linotype" w:eastAsia="MS Mincho" w:hAnsi="Palatino Linotype" w:cs="Times New Roman"/>
          <w:sz w:val="24"/>
          <w:szCs w:val="24"/>
          <w:lang w:val="es-ES_tradnl" w:eastAsia="es-ES"/>
        </w:rPr>
      </w:pPr>
    </w:p>
    <w:p w:rsidR="004A5FA6" w:rsidRPr="008B1544" w:rsidRDefault="00254995" w:rsidP="008B15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t>Finalmente, por cuanto hace al punto 3 de la solicitu</w:t>
      </w:r>
      <w:r w:rsidR="00860628" w:rsidRPr="008B1544">
        <w:rPr>
          <w:rFonts w:ascii="Palatino Linotype" w:eastAsia="MS Mincho" w:hAnsi="Palatino Linotype" w:cs="Times New Roman"/>
          <w:sz w:val="24"/>
          <w:szCs w:val="24"/>
          <w:lang w:val="es-ES_tradnl" w:eastAsia="es-ES"/>
        </w:rPr>
        <w:t xml:space="preserve">d, la particular requirió </w:t>
      </w:r>
      <w:r w:rsidRPr="008B1544">
        <w:rPr>
          <w:rFonts w:ascii="Palatino Linotype" w:eastAsia="MS Mincho" w:hAnsi="Palatino Linotype" w:cs="Times New Roman"/>
          <w:sz w:val="24"/>
          <w:szCs w:val="24"/>
          <w:lang w:val="es-ES_tradnl" w:eastAsia="es-ES"/>
        </w:rPr>
        <w:t>acceso a las renuncias de las personas que terminaron voluntariamente su relación laboral  con el</w:t>
      </w:r>
      <w:r w:rsidRPr="008B1544">
        <w:rPr>
          <w:rFonts w:ascii="Palatino Linotype" w:eastAsia="MS Mincho" w:hAnsi="Palatino Linotype" w:cs="Times New Roman"/>
          <w:b/>
          <w:sz w:val="24"/>
          <w:szCs w:val="24"/>
          <w:lang w:val="es-ES_tradnl" w:eastAsia="es-ES"/>
        </w:rPr>
        <w:t xml:space="preserve"> SUJETO OBLIGADO</w:t>
      </w:r>
      <w:r w:rsidR="00860628" w:rsidRPr="008B1544">
        <w:rPr>
          <w:rFonts w:ascii="Palatino Linotype" w:eastAsia="MS Mincho" w:hAnsi="Palatino Linotype" w:cs="Times New Roman"/>
          <w:b/>
          <w:sz w:val="24"/>
          <w:szCs w:val="24"/>
          <w:lang w:val="es-ES_tradnl" w:eastAsia="es-ES"/>
        </w:rPr>
        <w:t xml:space="preserve"> del periodo comprendido del mes de septiembre a el día de la solicitud de información</w:t>
      </w:r>
      <w:r w:rsidRPr="008B1544">
        <w:rPr>
          <w:rFonts w:ascii="Palatino Linotype" w:eastAsia="MS Mincho" w:hAnsi="Palatino Linotype" w:cs="Times New Roman"/>
          <w:b/>
          <w:sz w:val="24"/>
          <w:szCs w:val="24"/>
          <w:lang w:val="es-ES_tradnl" w:eastAsia="es-ES"/>
        </w:rPr>
        <w:t xml:space="preserve">, </w:t>
      </w:r>
      <w:r w:rsidRPr="008B1544">
        <w:rPr>
          <w:rFonts w:ascii="Palatino Linotype" w:eastAsia="MS Mincho" w:hAnsi="Palatino Linotype" w:cs="Times New Roman"/>
          <w:sz w:val="24"/>
          <w:szCs w:val="24"/>
          <w:lang w:val="es-ES_tradnl" w:eastAsia="es-ES"/>
        </w:rPr>
        <w:t xml:space="preserve">en ese sentido, le fueron </w:t>
      </w:r>
      <w:r w:rsidRPr="008B1544">
        <w:rPr>
          <w:rFonts w:ascii="Palatino Linotype" w:eastAsia="MS Mincho" w:hAnsi="Palatino Linotype" w:cs="Times New Roman"/>
          <w:sz w:val="24"/>
          <w:szCs w:val="24"/>
          <w:lang w:val="es-ES_tradnl" w:eastAsia="es-ES"/>
        </w:rPr>
        <w:lastRenderedPageBreak/>
        <w:t>entregadas diversas renuncias del periodo solicitado, de conformidad con lo que se advierte del estudio al expe</w:t>
      </w:r>
      <w:r w:rsidR="00860628" w:rsidRPr="008B1544">
        <w:rPr>
          <w:rFonts w:ascii="Palatino Linotype" w:eastAsia="MS Mincho" w:hAnsi="Palatino Linotype" w:cs="Times New Roman"/>
          <w:sz w:val="24"/>
          <w:szCs w:val="24"/>
          <w:lang w:val="es-ES_tradnl" w:eastAsia="es-ES"/>
        </w:rPr>
        <w:t xml:space="preserve">diente electrónico, sin embargo, la versión pública de dichas documentales </w:t>
      </w:r>
      <w:r w:rsidRPr="008B1544">
        <w:rPr>
          <w:rFonts w:ascii="Palatino Linotype" w:eastAsia="MS Mincho" w:hAnsi="Palatino Linotype" w:cs="Times New Roman"/>
          <w:sz w:val="24"/>
          <w:szCs w:val="24"/>
          <w:u w:val="single"/>
          <w:lang w:val="es-ES_tradnl" w:eastAsia="es-ES"/>
        </w:rPr>
        <w:t xml:space="preserve">no se encuentran debidamente </w:t>
      </w:r>
      <w:r w:rsidR="00860628" w:rsidRPr="008B1544">
        <w:rPr>
          <w:rFonts w:ascii="Palatino Linotype" w:eastAsia="MS Mincho" w:hAnsi="Palatino Linotype" w:cs="Times New Roman"/>
          <w:sz w:val="24"/>
          <w:szCs w:val="24"/>
          <w:u w:val="single"/>
          <w:lang w:val="es-ES_tradnl" w:eastAsia="es-ES"/>
        </w:rPr>
        <w:t>realizada</w:t>
      </w:r>
      <w:r w:rsidR="00860628" w:rsidRPr="008B1544">
        <w:rPr>
          <w:rFonts w:ascii="Palatino Linotype" w:eastAsia="MS Mincho" w:hAnsi="Palatino Linotype" w:cs="Times New Roman"/>
          <w:sz w:val="24"/>
          <w:szCs w:val="24"/>
          <w:lang w:val="es-ES_tradnl" w:eastAsia="es-ES"/>
        </w:rPr>
        <w:t xml:space="preserve">. </w:t>
      </w:r>
    </w:p>
    <w:p w:rsidR="004A5FA6" w:rsidRPr="008B1544" w:rsidRDefault="004A5FA6" w:rsidP="008B1544">
      <w:pPr>
        <w:pStyle w:val="Prrafodelista"/>
        <w:spacing w:line="360" w:lineRule="auto"/>
        <w:rPr>
          <w:rFonts w:ascii="Palatino Linotype" w:eastAsia="MS Mincho" w:hAnsi="Palatino Linotype" w:cs="Times New Roman"/>
          <w:sz w:val="24"/>
          <w:szCs w:val="24"/>
          <w:lang w:val="es-ES_tradnl" w:eastAsia="es-ES"/>
        </w:rPr>
      </w:pPr>
    </w:p>
    <w:p w:rsidR="00115BDE" w:rsidRPr="008B1544" w:rsidRDefault="00860628" w:rsidP="008B15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t xml:space="preserve">En efecto, de las documentales entregadas en respuesta por </w:t>
      </w:r>
      <w:r w:rsidRPr="008B1544">
        <w:rPr>
          <w:rFonts w:ascii="Palatino Linotype" w:eastAsia="MS Mincho" w:hAnsi="Palatino Linotype" w:cs="Times New Roman"/>
          <w:b/>
          <w:sz w:val="24"/>
          <w:szCs w:val="24"/>
          <w:lang w:val="es-ES_tradnl" w:eastAsia="es-ES"/>
        </w:rPr>
        <w:t xml:space="preserve">SUJETO OBLIGADO, </w:t>
      </w:r>
      <w:r w:rsidRPr="008B1544">
        <w:rPr>
          <w:rFonts w:ascii="Palatino Linotype" w:eastAsia="MS Mincho" w:hAnsi="Palatino Linotype" w:cs="Times New Roman"/>
          <w:sz w:val="24"/>
          <w:szCs w:val="24"/>
          <w:lang w:val="es-ES_tradnl" w:eastAsia="es-ES"/>
        </w:rPr>
        <w:t xml:space="preserve">se puede advertir </w:t>
      </w:r>
      <w:r w:rsidR="002B67F6" w:rsidRPr="008B1544">
        <w:rPr>
          <w:rFonts w:ascii="Palatino Linotype" w:eastAsia="MS Mincho" w:hAnsi="Palatino Linotype" w:cs="Times New Roman"/>
          <w:sz w:val="24"/>
          <w:szCs w:val="24"/>
          <w:lang w:val="es-ES_tradnl" w:eastAsia="es-ES"/>
        </w:rPr>
        <w:t xml:space="preserve">además de que no se entregó el acuerdo de clasificación </w:t>
      </w:r>
      <w:r w:rsidR="00CA35B3" w:rsidRPr="008B1544">
        <w:rPr>
          <w:rFonts w:ascii="Palatino Linotype" w:eastAsia="MS Mincho" w:hAnsi="Palatino Linotype" w:cs="Times New Roman"/>
          <w:sz w:val="24"/>
          <w:szCs w:val="24"/>
          <w:lang w:val="es-ES_tradnl" w:eastAsia="es-ES"/>
        </w:rPr>
        <w:t xml:space="preserve">de la información </w:t>
      </w:r>
      <w:r w:rsidR="002B67F6" w:rsidRPr="008B1544">
        <w:rPr>
          <w:rFonts w:ascii="Palatino Linotype" w:eastAsia="MS Mincho" w:hAnsi="Palatino Linotype" w:cs="Times New Roman"/>
          <w:sz w:val="24"/>
          <w:szCs w:val="24"/>
          <w:lang w:val="es-ES_tradnl" w:eastAsia="es-ES"/>
        </w:rPr>
        <w:t>como confi</w:t>
      </w:r>
      <w:r w:rsidR="00CA35B3" w:rsidRPr="008B1544">
        <w:rPr>
          <w:rFonts w:ascii="Palatino Linotype" w:eastAsia="MS Mincho" w:hAnsi="Palatino Linotype" w:cs="Times New Roman"/>
          <w:sz w:val="24"/>
          <w:szCs w:val="24"/>
          <w:lang w:val="es-ES_tradnl" w:eastAsia="es-ES"/>
        </w:rPr>
        <w:t xml:space="preserve">dencial, </w:t>
      </w:r>
      <w:r w:rsidR="002B67F6" w:rsidRPr="008B1544">
        <w:rPr>
          <w:rFonts w:ascii="Palatino Linotype" w:eastAsia="MS Mincho" w:hAnsi="Palatino Linotype" w:cs="Times New Roman"/>
          <w:sz w:val="24"/>
          <w:szCs w:val="24"/>
          <w:lang w:val="es-ES_tradnl" w:eastAsia="es-ES"/>
        </w:rPr>
        <w:t xml:space="preserve">que la versión pública otorgada no se encuentra debidamente realizada, lo anterior </w:t>
      </w:r>
      <w:r w:rsidR="002B67F6" w:rsidRPr="008B1544">
        <w:rPr>
          <w:rFonts w:ascii="Palatino Linotype" w:eastAsia="MS Mincho" w:hAnsi="Palatino Linotype" w:cs="Times New Roman"/>
          <w:b/>
          <w:sz w:val="24"/>
          <w:szCs w:val="24"/>
          <w:lang w:val="es-ES_tradnl" w:eastAsia="es-ES"/>
        </w:rPr>
        <w:t xml:space="preserve">porque se suprimió la firma de </w:t>
      </w:r>
      <w:r w:rsidR="0028350B" w:rsidRPr="008B1544">
        <w:rPr>
          <w:rFonts w:ascii="Palatino Linotype" w:eastAsia="MS Mincho" w:hAnsi="Palatino Linotype" w:cs="Times New Roman"/>
          <w:b/>
          <w:sz w:val="24"/>
          <w:szCs w:val="24"/>
          <w:lang w:val="es-ES_tradnl" w:eastAsia="es-ES"/>
        </w:rPr>
        <w:t xml:space="preserve">hasta ese entonces </w:t>
      </w:r>
      <w:r w:rsidR="002B67F6" w:rsidRPr="008B1544">
        <w:rPr>
          <w:rFonts w:ascii="Palatino Linotype" w:eastAsia="MS Mincho" w:hAnsi="Palatino Linotype" w:cs="Times New Roman"/>
          <w:b/>
          <w:sz w:val="24"/>
          <w:szCs w:val="24"/>
          <w:lang w:val="es-ES_tradnl" w:eastAsia="es-ES"/>
        </w:rPr>
        <w:t>diversos servidores p</w:t>
      </w:r>
      <w:r w:rsidR="00CA35B3" w:rsidRPr="008B1544">
        <w:rPr>
          <w:rFonts w:ascii="Palatino Linotype" w:eastAsia="MS Mincho" w:hAnsi="Palatino Linotype" w:cs="Times New Roman"/>
          <w:b/>
          <w:sz w:val="24"/>
          <w:szCs w:val="24"/>
          <w:lang w:val="es-ES_tradnl" w:eastAsia="es-ES"/>
        </w:rPr>
        <w:t>úblicos</w:t>
      </w:r>
      <w:r w:rsidR="00CA35B3" w:rsidRPr="008B1544">
        <w:rPr>
          <w:rFonts w:ascii="Palatino Linotype" w:eastAsia="MS Mincho" w:hAnsi="Palatino Linotype" w:cs="Times New Roman"/>
          <w:sz w:val="24"/>
          <w:szCs w:val="24"/>
          <w:lang w:val="es-ES_tradnl" w:eastAsia="es-ES"/>
        </w:rPr>
        <w:t xml:space="preserve"> y </w:t>
      </w:r>
      <w:r w:rsidR="00115BDE" w:rsidRPr="008B1544">
        <w:rPr>
          <w:rFonts w:ascii="Palatino Linotype" w:eastAsia="MS Mincho" w:hAnsi="Palatino Linotype" w:cs="Times New Roman"/>
          <w:sz w:val="24"/>
          <w:szCs w:val="24"/>
          <w:lang w:val="es-ES_tradnl" w:eastAsia="es-ES"/>
        </w:rPr>
        <w:t>si bien la persona que renunció posiblemente ya no ocupe un cargo público, lo cierto es que genero diversos actos con esa envestidura</w:t>
      </w:r>
      <w:r w:rsidR="008B485D" w:rsidRPr="008B1544">
        <w:rPr>
          <w:rFonts w:ascii="Palatino Linotype" w:eastAsia="MS Mincho" w:hAnsi="Palatino Linotype" w:cs="Times New Roman"/>
          <w:sz w:val="24"/>
          <w:szCs w:val="24"/>
          <w:lang w:val="es-ES_tradnl" w:eastAsia="es-ES"/>
        </w:rPr>
        <w:t>, como en el pr</w:t>
      </w:r>
      <w:r w:rsidR="00CA35B3" w:rsidRPr="008B1544">
        <w:rPr>
          <w:rFonts w:ascii="Palatino Linotype" w:eastAsia="MS Mincho" w:hAnsi="Palatino Linotype" w:cs="Times New Roman"/>
          <w:sz w:val="24"/>
          <w:szCs w:val="24"/>
          <w:lang w:val="es-ES_tradnl" w:eastAsia="es-ES"/>
        </w:rPr>
        <w:t xml:space="preserve">esente caso lo es una renuncia, </w:t>
      </w:r>
      <w:r w:rsidR="004A5FA6" w:rsidRPr="008B1544">
        <w:rPr>
          <w:rFonts w:ascii="Palatino Linotype" w:eastAsia="MS Mincho" w:hAnsi="Palatino Linotype" w:cs="Times New Roman"/>
          <w:sz w:val="24"/>
          <w:szCs w:val="24"/>
          <w:lang w:val="es-ES_tradnl" w:eastAsia="es-ES"/>
        </w:rPr>
        <w:t xml:space="preserve">sirviendo de apoyo a lo </w:t>
      </w:r>
      <w:r w:rsidR="00CA35B3" w:rsidRPr="008B1544">
        <w:rPr>
          <w:rFonts w:ascii="Palatino Linotype" w:eastAsia="MS Mincho" w:hAnsi="Palatino Linotype" w:cs="Times New Roman"/>
          <w:sz w:val="24"/>
          <w:szCs w:val="24"/>
          <w:lang w:val="es-ES_tradnl" w:eastAsia="es-ES"/>
        </w:rPr>
        <w:t>anterior el criterio 10/10 emitido por el</w:t>
      </w:r>
      <w:r w:rsidR="004A5FA6" w:rsidRPr="008B1544">
        <w:rPr>
          <w:rFonts w:ascii="Palatino Linotype" w:eastAsia="MS Mincho" w:hAnsi="Palatino Linotype" w:cs="Times New Roman"/>
          <w:sz w:val="24"/>
          <w:szCs w:val="24"/>
          <w:lang w:val="es-ES_tradnl" w:eastAsia="es-ES"/>
        </w:rPr>
        <w:t xml:space="preserve"> ahora</w:t>
      </w:r>
      <w:r w:rsidR="00CA35B3" w:rsidRPr="008B1544">
        <w:rPr>
          <w:rFonts w:ascii="Palatino Linotype" w:eastAsia="MS Mincho" w:hAnsi="Palatino Linotype" w:cs="Times New Roman"/>
          <w:sz w:val="24"/>
          <w:szCs w:val="24"/>
          <w:lang w:val="es-ES_tradnl" w:eastAsia="es-ES"/>
        </w:rPr>
        <w:t xml:space="preserve"> Instituto Nacional de Tran</w:t>
      </w:r>
      <w:r w:rsidR="004A5FA6" w:rsidRPr="008B1544">
        <w:rPr>
          <w:rFonts w:ascii="Palatino Linotype" w:eastAsia="MS Mincho" w:hAnsi="Palatino Linotype" w:cs="Times New Roman"/>
          <w:sz w:val="24"/>
          <w:szCs w:val="24"/>
          <w:lang w:val="es-ES_tradnl" w:eastAsia="es-ES"/>
        </w:rPr>
        <w:t>sparencia Acceso a la Información y Protección de Datos Personales, que a la letra dice:</w:t>
      </w:r>
    </w:p>
    <w:p w:rsidR="004A5FA6" w:rsidRPr="008B1544" w:rsidRDefault="004A5FA6" w:rsidP="008B1544">
      <w:pPr>
        <w:spacing w:after="0" w:line="360" w:lineRule="auto"/>
        <w:ind w:right="567"/>
        <w:contextualSpacing/>
        <w:jc w:val="both"/>
        <w:rPr>
          <w:rFonts w:ascii="Palatino Linotype" w:eastAsia="MS Mincho" w:hAnsi="Palatino Linotype" w:cs="Times New Roman"/>
          <w:sz w:val="24"/>
          <w:szCs w:val="24"/>
          <w:lang w:val="es-ES_tradnl" w:eastAsia="es-ES"/>
        </w:rPr>
      </w:pP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B1544">
        <w:rPr>
          <w:rFonts w:ascii="Palatino Linotype" w:eastAsia="MS Mincho" w:hAnsi="Palatino Linotype" w:cs="Times New Roman"/>
          <w:b/>
          <w:i/>
          <w:sz w:val="24"/>
          <w:szCs w:val="24"/>
          <w:lang w:val="es-ES_tradnl" w:eastAsia="es-ES"/>
        </w:rPr>
        <w:t>La firma de los servidores públicos es información de carácter público cuando ésta es utilizada en el ejercicio de las facultades conferidas para el desempeño  del  servicio  público.</w:t>
      </w:r>
      <w:r w:rsidRPr="008B1544">
        <w:rPr>
          <w:rFonts w:ascii="Palatino Linotype" w:eastAsia="MS Mincho" w:hAnsi="Palatino Linotype" w:cs="Times New Roman"/>
          <w:i/>
          <w:sz w:val="24"/>
          <w:szCs w:val="24"/>
          <w:lang w:val="es-ES_tradnl" w:eastAsia="es-ES"/>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w:t>
      </w:r>
      <w:r w:rsidRPr="008B1544">
        <w:rPr>
          <w:rFonts w:ascii="Palatino Linotype" w:eastAsia="MS Mincho" w:hAnsi="Palatino Linotype" w:cs="Times New Roman"/>
          <w:i/>
          <w:sz w:val="24"/>
          <w:szCs w:val="24"/>
          <w:lang w:val="es-ES_tradnl" w:eastAsia="es-ES"/>
        </w:rPr>
        <w:lastRenderedPageBreak/>
        <w:t>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B1544">
        <w:rPr>
          <w:rFonts w:ascii="Palatino Linotype" w:eastAsia="MS Mincho" w:hAnsi="Palatino Linotype" w:cs="Times New Roman"/>
          <w:i/>
          <w:sz w:val="24"/>
          <w:szCs w:val="24"/>
          <w:lang w:val="es-ES_tradnl" w:eastAsia="es-ES"/>
        </w:rPr>
        <w:t>Expedientes:</w:t>
      </w: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B1544">
        <w:rPr>
          <w:rFonts w:ascii="Palatino Linotype" w:eastAsia="MS Mincho" w:hAnsi="Palatino Linotype" w:cs="Times New Roman"/>
          <w:i/>
          <w:sz w:val="24"/>
          <w:szCs w:val="24"/>
          <w:lang w:val="es-ES_tradnl" w:eastAsia="es-ES"/>
        </w:rPr>
        <w:t>636/08         Comisión Nacional Bancaria y de Valores – Alonso Gómez-Robledo</w:t>
      </w: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B1544">
        <w:rPr>
          <w:rFonts w:ascii="Palatino Linotype" w:eastAsia="MS Mincho" w:hAnsi="Palatino Linotype" w:cs="Times New Roman"/>
          <w:i/>
          <w:sz w:val="24"/>
          <w:szCs w:val="24"/>
          <w:lang w:val="es-ES_tradnl" w:eastAsia="es-ES"/>
        </w:rPr>
        <w:t>Verduzco</w:t>
      </w: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B1544">
        <w:rPr>
          <w:rFonts w:ascii="Palatino Linotype" w:eastAsia="MS Mincho" w:hAnsi="Palatino Linotype" w:cs="Times New Roman"/>
          <w:i/>
          <w:sz w:val="24"/>
          <w:szCs w:val="24"/>
          <w:lang w:val="es-ES_tradnl" w:eastAsia="es-ES"/>
        </w:rPr>
        <w:t>2700/09       Consejo Nacional para Prevenir la Discriminación - Jacqueline</w:t>
      </w: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proofErr w:type="spellStart"/>
      <w:r w:rsidRPr="008B1544">
        <w:rPr>
          <w:rFonts w:ascii="Palatino Linotype" w:eastAsia="MS Mincho" w:hAnsi="Palatino Linotype" w:cs="Times New Roman"/>
          <w:i/>
          <w:sz w:val="24"/>
          <w:szCs w:val="24"/>
          <w:lang w:val="es-ES_tradnl" w:eastAsia="es-ES"/>
        </w:rPr>
        <w:t>Peschard</w:t>
      </w:r>
      <w:proofErr w:type="spellEnd"/>
      <w:r w:rsidRPr="008B1544">
        <w:rPr>
          <w:rFonts w:ascii="Palatino Linotype" w:eastAsia="MS Mincho" w:hAnsi="Palatino Linotype" w:cs="Times New Roman"/>
          <w:i/>
          <w:sz w:val="24"/>
          <w:szCs w:val="24"/>
          <w:lang w:val="es-ES_tradnl" w:eastAsia="es-ES"/>
        </w:rPr>
        <w:t xml:space="preserve"> Mariscal</w:t>
      </w: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B1544">
        <w:rPr>
          <w:rFonts w:ascii="Palatino Linotype" w:eastAsia="MS Mincho" w:hAnsi="Palatino Linotype" w:cs="Times New Roman"/>
          <w:i/>
          <w:sz w:val="24"/>
          <w:szCs w:val="24"/>
          <w:lang w:val="es-ES_tradnl" w:eastAsia="es-ES"/>
        </w:rPr>
        <w:t xml:space="preserve">3415/09       Instituto Mexicano de Tecnología del Agua – María </w:t>
      </w:r>
      <w:proofErr w:type="spellStart"/>
      <w:r w:rsidRPr="008B1544">
        <w:rPr>
          <w:rFonts w:ascii="Palatino Linotype" w:eastAsia="MS Mincho" w:hAnsi="Palatino Linotype" w:cs="Times New Roman"/>
          <w:i/>
          <w:sz w:val="24"/>
          <w:szCs w:val="24"/>
          <w:lang w:val="es-ES_tradnl" w:eastAsia="es-ES"/>
        </w:rPr>
        <w:t>Marván</w:t>
      </w:r>
      <w:proofErr w:type="spellEnd"/>
      <w:r w:rsidRPr="008B1544">
        <w:rPr>
          <w:rFonts w:ascii="Palatino Linotype" w:eastAsia="MS Mincho" w:hAnsi="Palatino Linotype" w:cs="Times New Roman"/>
          <w:i/>
          <w:sz w:val="24"/>
          <w:szCs w:val="24"/>
          <w:lang w:val="es-ES_tradnl" w:eastAsia="es-ES"/>
        </w:rPr>
        <w:t xml:space="preserve"> Laborde</w:t>
      </w: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B1544">
        <w:rPr>
          <w:rFonts w:ascii="Palatino Linotype" w:eastAsia="MS Mincho" w:hAnsi="Palatino Linotype" w:cs="Times New Roman"/>
          <w:i/>
          <w:sz w:val="24"/>
          <w:szCs w:val="24"/>
          <w:lang w:val="es-ES_tradnl" w:eastAsia="es-ES"/>
        </w:rPr>
        <w:t xml:space="preserve">3701/09       Administración Portuaria Integral de Tuxpan, S.A. de C.V. - Jacqueline </w:t>
      </w:r>
      <w:proofErr w:type="spellStart"/>
      <w:r w:rsidRPr="008B1544">
        <w:rPr>
          <w:rFonts w:ascii="Palatino Linotype" w:eastAsia="MS Mincho" w:hAnsi="Palatino Linotype" w:cs="Times New Roman"/>
          <w:i/>
          <w:sz w:val="24"/>
          <w:szCs w:val="24"/>
          <w:lang w:val="es-ES_tradnl" w:eastAsia="es-ES"/>
        </w:rPr>
        <w:t>Peschard</w:t>
      </w:r>
      <w:proofErr w:type="spellEnd"/>
      <w:r w:rsidRPr="008B1544">
        <w:rPr>
          <w:rFonts w:ascii="Palatino Linotype" w:eastAsia="MS Mincho" w:hAnsi="Palatino Linotype" w:cs="Times New Roman"/>
          <w:i/>
          <w:sz w:val="24"/>
          <w:szCs w:val="24"/>
          <w:lang w:val="es-ES_tradnl" w:eastAsia="es-ES"/>
        </w:rPr>
        <w:t xml:space="preserve"> Mariscal</w:t>
      </w:r>
    </w:p>
    <w:p w:rsidR="004A5FA6" w:rsidRPr="008B1544" w:rsidRDefault="004A5FA6" w:rsidP="008B1544">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8B1544">
        <w:rPr>
          <w:rFonts w:ascii="Palatino Linotype" w:eastAsia="MS Mincho" w:hAnsi="Palatino Linotype" w:cs="Times New Roman"/>
          <w:i/>
          <w:sz w:val="24"/>
          <w:szCs w:val="24"/>
          <w:lang w:val="es-ES_tradnl" w:eastAsia="es-ES"/>
        </w:rPr>
        <w:t xml:space="preserve">599/10         Secretaría de Economía -  Jacqueline </w:t>
      </w:r>
      <w:proofErr w:type="spellStart"/>
      <w:r w:rsidRPr="008B1544">
        <w:rPr>
          <w:rFonts w:ascii="Palatino Linotype" w:eastAsia="MS Mincho" w:hAnsi="Palatino Linotype" w:cs="Times New Roman"/>
          <w:i/>
          <w:sz w:val="24"/>
          <w:szCs w:val="24"/>
          <w:lang w:val="es-ES_tradnl" w:eastAsia="es-ES"/>
        </w:rPr>
        <w:t>Peschard</w:t>
      </w:r>
      <w:proofErr w:type="spellEnd"/>
      <w:r w:rsidRPr="008B1544">
        <w:rPr>
          <w:rFonts w:ascii="Palatino Linotype" w:eastAsia="MS Mincho" w:hAnsi="Palatino Linotype" w:cs="Times New Roman"/>
          <w:i/>
          <w:sz w:val="24"/>
          <w:szCs w:val="24"/>
          <w:lang w:val="es-ES_tradnl" w:eastAsia="es-ES"/>
        </w:rPr>
        <w:t xml:space="preserve"> Mariscal</w:t>
      </w:r>
    </w:p>
    <w:p w:rsidR="00115BDE" w:rsidRPr="008B1544" w:rsidRDefault="00115BDE" w:rsidP="008B1544">
      <w:pPr>
        <w:spacing w:after="0" w:line="360" w:lineRule="auto"/>
        <w:ind w:right="49"/>
        <w:contextualSpacing/>
        <w:jc w:val="both"/>
        <w:rPr>
          <w:rFonts w:ascii="Palatino Linotype" w:eastAsia="MS Mincho" w:hAnsi="Palatino Linotype" w:cs="Times New Roman"/>
          <w:sz w:val="24"/>
          <w:szCs w:val="24"/>
          <w:lang w:val="es-ES_tradnl" w:eastAsia="es-ES"/>
        </w:rPr>
      </w:pPr>
    </w:p>
    <w:p w:rsidR="00A65111" w:rsidRPr="008B1544" w:rsidRDefault="00A65111" w:rsidP="008B1544">
      <w:pPr>
        <w:pStyle w:val="Prrafodelista"/>
        <w:numPr>
          <w:ilvl w:val="0"/>
          <w:numId w:val="2"/>
        </w:numPr>
        <w:shd w:val="clear" w:color="auto" w:fill="FFFFFF"/>
        <w:spacing w:after="0" w:line="360" w:lineRule="auto"/>
        <w:ind w:left="0" w:firstLine="0"/>
        <w:jc w:val="both"/>
        <w:rPr>
          <w:rFonts w:ascii="Palatino Linotype" w:eastAsia="Times New Roman" w:hAnsi="Palatino Linotype" w:cs="Arial"/>
          <w:sz w:val="24"/>
          <w:szCs w:val="24"/>
          <w:lang w:val="es-ES_tradnl" w:eastAsia="es-MX"/>
        </w:rPr>
      </w:pPr>
      <w:r w:rsidRPr="008B1544">
        <w:rPr>
          <w:rFonts w:ascii="Palatino Linotype" w:eastAsia="MS Mincho" w:hAnsi="Palatino Linotype" w:cs="Times New Roman"/>
          <w:sz w:val="24"/>
          <w:szCs w:val="24"/>
          <w:lang w:val="es-ES_tradnl" w:eastAsia="es-ES"/>
        </w:rPr>
        <w:t xml:space="preserve">Por otra parte es necesario precisar que </w:t>
      </w:r>
      <w:r w:rsidRPr="008B1544">
        <w:rPr>
          <w:rFonts w:ascii="Palatino Linotype" w:eastAsia="Calibri" w:hAnsi="Palatino Linotype" w:cs="Arial"/>
          <w:sz w:val="24"/>
          <w:szCs w:val="24"/>
          <w:lang w:val="es-ES" w:eastAsia="es-CO"/>
        </w:rPr>
        <w:t xml:space="preserve">la entrega de documentos, en su versión pública, debe </w:t>
      </w:r>
      <w:r w:rsidR="00311677" w:rsidRPr="008B1544">
        <w:rPr>
          <w:rFonts w:ascii="Palatino Linotype" w:eastAsia="Calibri" w:hAnsi="Palatino Linotype" w:cs="Arial"/>
          <w:sz w:val="24"/>
          <w:szCs w:val="24"/>
          <w:lang w:val="es-ES" w:eastAsia="es-CO"/>
        </w:rPr>
        <w:t>acompañarse necesariamente del a</w:t>
      </w:r>
      <w:r w:rsidRPr="008B1544">
        <w:rPr>
          <w:rFonts w:ascii="Palatino Linotype" w:eastAsia="Calibri" w:hAnsi="Palatino Linotype" w:cs="Arial"/>
          <w:sz w:val="24"/>
          <w:szCs w:val="24"/>
          <w:lang w:val="es-ES" w:eastAsia="es-CO"/>
        </w:rPr>
        <w:t xml:space="preserve">cuerdo del Comité de Transparencia que la sustente, en el que se expongan los fundamentos y </w:t>
      </w:r>
      <w:r w:rsidRPr="008B1544">
        <w:rPr>
          <w:rFonts w:ascii="Palatino Linotype" w:eastAsia="Calibri" w:hAnsi="Palatino Linotype" w:cs="Arial"/>
          <w:sz w:val="24"/>
          <w:szCs w:val="24"/>
          <w:lang w:val="es-ES" w:eastAsia="es-CO"/>
        </w:rPr>
        <w:lastRenderedPageBreak/>
        <w:t xml:space="preserve">razonamientos que llevaron al </w:t>
      </w:r>
      <w:r w:rsidRPr="008B1544">
        <w:rPr>
          <w:rFonts w:ascii="Palatino Linotype" w:eastAsia="Calibri" w:hAnsi="Palatino Linotype" w:cs="Arial"/>
          <w:b/>
          <w:sz w:val="24"/>
          <w:szCs w:val="24"/>
          <w:lang w:val="es-ES" w:eastAsia="es-CO"/>
        </w:rPr>
        <w:t>SUJETO OBLIGADO</w:t>
      </w:r>
      <w:r w:rsidRPr="008B1544">
        <w:rPr>
          <w:rFonts w:ascii="Palatino Linotype" w:eastAsia="Calibri" w:hAnsi="Palatino Linotype" w:cs="Arial"/>
          <w:sz w:val="24"/>
          <w:szCs w:val="24"/>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65111" w:rsidRPr="008B1544" w:rsidRDefault="00A65111" w:rsidP="008B1544">
      <w:pPr>
        <w:spacing w:after="0" w:line="360" w:lineRule="auto"/>
        <w:ind w:right="49"/>
        <w:contextualSpacing/>
        <w:jc w:val="both"/>
        <w:rPr>
          <w:rFonts w:ascii="Palatino Linotype" w:eastAsia="MS Mincho" w:hAnsi="Palatino Linotype" w:cs="Times New Roman"/>
          <w:sz w:val="24"/>
          <w:szCs w:val="24"/>
          <w:lang w:val="es-ES_tradnl" w:eastAsia="es-ES"/>
        </w:rPr>
      </w:pPr>
    </w:p>
    <w:p w:rsidR="004A5FA6" w:rsidRPr="008B1544" w:rsidRDefault="004A5FA6" w:rsidP="008B154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Times New Roman"/>
          <w:sz w:val="24"/>
          <w:szCs w:val="24"/>
          <w:lang w:val="es-ES_tradnl" w:eastAsia="es-ES"/>
        </w:rPr>
        <w:t xml:space="preserve">Es por lo anterior que resulta dable ordenar una nueva versión pública de la información entregada en respuesta por parte del </w:t>
      </w:r>
      <w:r w:rsidRPr="008B1544">
        <w:rPr>
          <w:rFonts w:ascii="Palatino Linotype" w:eastAsia="MS Mincho" w:hAnsi="Palatino Linotype" w:cs="Times New Roman"/>
          <w:b/>
          <w:sz w:val="24"/>
          <w:szCs w:val="24"/>
          <w:lang w:val="es-ES_tradnl" w:eastAsia="es-ES"/>
        </w:rPr>
        <w:t>SUJETO OBLIGADO</w:t>
      </w:r>
      <w:r w:rsidRPr="008B1544">
        <w:rPr>
          <w:rFonts w:ascii="Palatino Linotype" w:eastAsia="MS Mincho" w:hAnsi="Palatino Linotype" w:cs="Times New Roman"/>
          <w:sz w:val="24"/>
          <w:szCs w:val="24"/>
          <w:lang w:val="es-ES_tradnl" w:eastAsia="es-ES"/>
        </w:rPr>
        <w:t xml:space="preserve">, acompañada del acuerdo de clasificación emitido por el Comité de Trasparencia que la sustente debidamente, de conformidad con el considerando quinto de esta resolución.  </w:t>
      </w:r>
    </w:p>
    <w:p w:rsidR="005C5A3E" w:rsidRPr="008B1544" w:rsidRDefault="00D71FBF" w:rsidP="008B1544">
      <w:pPr>
        <w:pStyle w:val="Ttulo1"/>
        <w:spacing w:line="360" w:lineRule="auto"/>
        <w:rPr>
          <w:rFonts w:eastAsia="MS Mincho"/>
          <w:b/>
          <w:szCs w:val="24"/>
          <w:lang w:val="es-ES_tradnl" w:eastAsia="es-ES"/>
        </w:rPr>
      </w:pPr>
      <w:bookmarkStart w:id="30" w:name="_Toc5788031"/>
      <w:r w:rsidRPr="008B1544">
        <w:rPr>
          <w:rFonts w:eastAsia="MS Mincho"/>
          <w:b/>
          <w:szCs w:val="24"/>
          <w:lang w:val="es-ES_tradnl" w:eastAsia="es-ES"/>
        </w:rPr>
        <w:t>SEXTO</w:t>
      </w:r>
      <w:r w:rsidR="00E64F81" w:rsidRPr="008B1544">
        <w:rPr>
          <w:rFonts w:eastAsia="MS Mincho"/>
          <w:b/>
          <w:szCs w:val="24"/>
          <w:lang w:val="es-ES_tradnl" w:eastAsia="es-ES"/>
        </w:rPr>
        <w:t xml:space="preserve">. </w:t>
      </w:r>
      <w:r w:rsidR="005C5A3E" w:rsidRPr="008B1544">
        <w:rPr>
          <w:rFonts w:eastAsia="MS Mincho"/>
          <w:b/>
          <w:szCs w:val="24"/>
          <w:lang w:val="es-ES_tradnl" w:eastAsia="es-ES"/>
        </w:rPr>
        <w:t>De la Versión Pública.</w:t>
      </w:r>
      <w:bookmarkEnd w:id="30"/>
      <w:r w:rsidR="005C5A3E" w:rsidRPr="008B1544">
        <w:rPr>
          <w:rFonts w:eastAsia="MS Mincho"/>
          <w:b/>
          <w:szCs w:val="24"/>
          <w:lang w:val="es-ES_tradnl" w:eastAsia="es-ES"/>
        </w:rPr>
        <w:t xml:space="preserve"> </w:t>
      </w:r>
    </w:p>
    <w:p w:rsidR="00436768" w:rsidRPr="008B1544" w:rsidRDefault="00436768" w:rsidP="008B1544">
      <w:pPr>
        <w:spacing w:line="360" w:lineRule="auto"/>
        <w:rPr>
          <w:rFonts w:ascii="Palatino Linotype" w:hAnsi="Palatino Linotype"/>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Es necesario señalar que el </w:t>
      </w:r>
      <w:r w:rsidRPr="008B1544">
        <w:rPr>
          <w:rFonts w:ascii="Palatino Linotype" w:eastAsia="MS Mincho" w:hAnsi="Palatino Linotype" w:cs="Arial"/>
          <w:b/>
          <w:color w:val="000000"/>
          <w:sz w:val="24"/>
          <w:szCs w:val="24"/>
          <w:lang w:val="es-ES_tradnl" w:eastAsia="es-ES"/>
        </w:rPr>
        <w:t>SUJETO OBLIGADO</w:t>
      </w:r>
      <w:r w:rsidRPr="008B1544">
        <w:rPr>
          <w:rFonts w:ascii="Palatino Linotype" w:eastAsia="MS Mincho" w:hAnsi="Palatino Linotype" w:cs="Arial"/>
          <w:color w:val="000000"/>
          <w:sz w:val="24"/>
          <w:szCs w:val="24"/>
          <w:lang w:val="es-ES_tradnl" w:eastAsia="es-ES"/>
        </w:rPr>
        <w:t xml:space="preserve"> deberá de elaborar las versiones públicas de los documentos que entregará en cumplimiento a esta resolución.</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lastRenderedPageBreak/>
        <w:t xml:space="preserve">Entonces, debe destacarse que debido a la naturaleza de la información solicitada pudieran  obrar datos personales de particulares o  de la comunidad universitaria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B1544">
        <w:rPr>
          <w:rFonts w:ascii="Palatino Linotype" w:eastAsia="MS Mincho" w:hAnsi="Palatino Linotype" w:cs="Arial"/>
          <w:b/>
          <w:color w:val="000000"/>
          <w:sz w:val="24"/>
          <w:szCs w:val="24"/>
          <w:u w:val="single"/>
          <w:lang w:val="es-ES_tradnl" w:eastAsia="es-ES"/>
        </w:rPr>
        <w:t>versión pública</w:t>
      </w:r>
      <w:r w:rsidRPr="008B1544">
        <w:rPr>
          <w:rFonts w:ascii="Palatino Linotype" w:eastAsia="MS Mincho" w:hAnsi="Palatino Linotype" w:cs="Arial"/>
          <w:color w:val="000000"/>
          <w:sz w:val="24"/>
          <w:szCs w:val="24"/>
          <w:lang w:val="es-ES_tradnl" w:eastAsia="es-ES"/>
        </w:rPr>
        <w:t xml:space="preserve"> del documento por las consideraciones que se estimen pertinentes.</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B1544">
        <w:rPr>
          <w:rFonts w:ascii="Palatino Linotype" w:eastAsia="MS Mincho" w:hAnsi="Palatino Linotype" w:cs="Times New Roman"/>
          <w:sz w:val="24"/>
          <w:szCs w:val="24"/>
          <w:vertAlign w:val="superscript"/>
          <w:lang w:val="es-ES_tradnl" w:eastAsia="es-ES"/>
        </w:rPr>
        <w:footnoteReference w:id="2"/>
      </w:r>
      <w:r w:rsidRPr="008B1544">
        <w:rPr>
          <w:rFonts w:ascii="Palatino Linotype" w:eastAsia="MS Mincho" w:hAnsi="Palatino Linotype" w:cs="Arial"/>
          <w:color w:val="000000"/>
          <w:sz w:val="24"/>
          <w:szCs w:val="24"/>
          <w:lang w:val="es-ES_tradnl" w:eastAsia="es-ES"/>
        </w:rPr>
        <w:t xml:space="preserve"> aunque cualquier límite o restricción, para ser legítimo, debe reunir con tres requisitos: primero, debe de estar </w:t>
      </w:r>
      <w:r w:rsidRPr="008B1544">
        <w:rPr>
          <w:rFonts w:ascii="Palatino Linotype" w:eastAsia="MS Mincho" w:hAnsi="Palatino Linotype" w:cs="Arial"/>
          <w:color w:val="000000"/>
          <w:sz w:val="24"/>
          <w:szCs w:val="24"/>
          <w:lang w:val="es-ES_tradnl" w:eastAsia="es-ES"/>
        </w:rPr>
        <w:lastRenderedPageBreak/>
        <w:t>establecida en un ordenamiento legal, antes de su aplicación; debe de corresponder a un fin legítimo y ser estrictamente proporcional con el principio o valor que se pretende preservar.</w:t>
      </w:r>
      <w:r w:rsidRPr="008B1544">
        <w:rPr>
          <w:rFonts w:ascii="Palatino Linotype" w:eastAsia="MS Mincho" w:hAnsi="Palatino Linotype" w:cs="Times New Roman"/>
          <w:sz w:val="24"/>
          <w:szCs w:val="24"/>
          <w:vertAlign w:val="superscript"/>
          <w:lang w:val="es-ES_tradnl" w:eastAsia="es-ES"/>
        </w:rPr>
        <w:footnoteReference w:id="3"/>
      </w:r>
      <w:r w:rsidRPr="008B1544">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0800ED" w:rsidRPr="008B1544" w:rsidRDefault="009E6D21" w:rsidP="008B1544">
      <w:pPr>
        <w:pStyle w:val="Ttulo1"/>
        <w:spacing w:line="360" w:lineRule="auto"/>
        <w:rPr>
          <w:rFonts w:eastAsia="MS Mincho"/>
          <w:b/>
          <w:szCs w:val="24"/>
          <w:lang w:eastAsia="es-ES"/>
        </w:rPr>
      </w:pPr>
      <w:bookmarkStart w:id="31" w:name="_Toc5788032"/>
      <w:r w:rsidRPr="008B1544">
        <w:rPr>
          <w:rFonts w:eastAsia="MS Mincho"/>
          <w:b/>
          <w:szCs w:val="24"/>
          <w:lang w:eastAsia="es-ES"/>
        </w:rPr>
        <w:t xml:space="preserve">I. </w:t>
      </w:r>
      <w:r w:rsidR="000800ED" w:rsidRPr="008B1544">
        <w:rPr>
          <w:rFonts w:eastAsia="MS Mincho"/>
          <w:b/>
          <w:szCs w:val="24"/>
          <w:lang w:eastAsia="es-ES"/>
        </w:rPr>
        <w:t>Requisitos previos.</w:t>
      </w:r>
      <w:bookmarkEnd w:id="31"/>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w:t>
      </w:r>
      <w:r w:rsidRPr="008B1544">
        <w:rPr>
          <w:rFonts w:ascii="Palatino Linotype" w:eastAsia="MS Mincho" w:hAnsi="Palatino Linotype" w:cs="Arial"/>
          <w:color w:val="000000"/>
          <w:sz w:val="24"/>
          <w:szCs w:val="24"/>
          <w:lang w:val="es-ES_tradnl" w:eastAsia="es-ES"/>
        </w:rPr>
        <w:lastRenderedPageBreak/>
        <w:t>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8B1544">
        <w:rPr>
          <w:rFonts w:ascii="Palatino Linotype" w:eastAsia="MS Mincho" w:hAnsi="Palatino Linotype" w:cs="Arial"/>
          <w:b/>
          <w:color w:val="000000"/>
          <w:sz w:val="24"/>
          <w:szCs w:val="24"/>
          <w:u w:val="single"/>
          <w:lang w:val="es-ES_tradnl" w:eastAsia="es-ES"/>
        </w:rPr>
        <w:t xml:space="preserve">no se puede hacer un acuerdo para clasificar de manera general todos los documentos de un expediente o área,  </w:t>
      </w:r>
      <w:r w:rsidRPr="008B1544">
        <w:rPr>
          <w:rFonts w:ascii="Palatino Linotype" w:eastAsia="MS Mincho" w:hAnsi="Palatino Linotype" w:cs="Arial"/>
          <w:color w:val="000000"/>
          <w:sz w:val="24"/>
          <w:szCs w:val="24"/>
          <w:lang w:val="es-ES_tradnl" w:eastAsia="es-ES"/>
        </w:rPr>
        <w:t xml:space="preserve">sin individualizar su análisis y tampoco se puede hacer un </w:t>
      </w:r>
      <w:r w:rsidRPr="008B1544">
        <w:rPr>
          <w:rFonts w:ascii="Palatino Linotype" w:eastAsia="MS Mincho" w:hAnsi="Palatino Linotype" w:cs="Arial"/>
          <w:color w:val="000000"/>
          <w:sz w:val="24"/>
          <w:szCs w:val="24"/>
          <w:lang w:val="es-ES_tradnl" w:eastAsia="es-ES"/>
        </w:rPr>
        <w:lastRenderedPageBreak/>
        <w:t>acuerdo por cada dato que se vaya a clasificar dentro de un documento con diez datos, por ejemplo, susceptibles de ser clasificados.</w:t>
      </w:r>
    </w:p>
    <w:p w:rsidR="008B1544" w:rsidRPr="008B1544" w:rsidRDefault="008B1544" w:rsidP="008B1544">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0800ED" w:rsidRPr="008B1544" w:rsidRDefault="009E6D21" w:rsidP="008B1544">
      <w:pPr>
        <w:pStyle w:val="Ttulo1"/>
        <w:spacing w:line="360" w:lineRule="auto"/>
        <w:rPr>
          <w:rFonts w:eastAsia="MS Mincho"/>
          <w:b/>
          <w:szCs w:val="24"/>
          <w:lang w:eastAsia="es-ES"/>
        </w:rPr>
      </w:pPr>
      <w:bookmarkStart w:id="32" w:name="_Toc5788033"/>
      <w:r w:rsidRPr="008B1544">
        <w:rPr>
          <w:rFonts w:eastAsia="MS Mincho"/>
          <w:b/>
          <w:szCs w:val="24"/>
          <w:lang w:eastAsia="es-ES"/>
        </w:rPr>
        <w:t xml:space="preserve">II. </w:t>
      </w:r>
      <w:r w:rsidR="000800ED" w:rsidRPr="008B1544">
        <w:rPr>
          <w:rFonts w:eastAsia="MS Mincho"/>
          <w:b/>
          <w:szCs w:val="24"/>
          <w:lang w:eastAsia="es-ES"/>
        </w:rPr>
        <w:t>Supuestos de clasificación</w:t>
      </w:r>
      <w:bookmarkEnd w:id="32"/>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eastAsia="es-ES"/>
        </w:rPr>
      </w:pPr>
      <w:r w:rsidRPr="008B1544">
        <w:rPr>
          <w:rFonts w:ascii="Palatino Linotype" w:eastAsia="MS Mincho" w:hAnsi="Palatino Linotype" w:cs="Arial"/>
          <w:color w:val="000000"/>
          <w:sz w:val="24"/>
          <w:szCs w:val="24"/>
          <w:lang w:eastAsia="es-ES"/>
        </w:rPr>
        <w:t>Las disposiciones constitucionales y legales en la materia establecen los dos supuestos generales para clasificar la información: por reserva y por confidencialidad.</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bCs/>
          <w:i/>
          <w:color w:val="000000"/>
          <w:sz w:val="24"/>
          <w:szCs w:val="24"/>
          <w:lang w:eastAsia="es-ES"/>
        </w:rPr>
        <w:t xml:space="preserve">I. </w:t>
      </w:r>
      <w:r w:rsidRPr="008B1544">
        <w:rPr>
          <w:rFonts w:ascii="Palatino Linotype" w:eastAsia="MS Mincho" w:hAnsi="Palatino Linotype" w:cs="Arial"/>
          <w:i/>
          <w:color w:val="000000"/>
          <w:sz w:val="24"/>
          <w:szCs w:val="24"/>
          <w:lang w:eastAsia="es-ES"/>
        </w:rPr>
        <w:t xml:space="preserve">Se refiera a la información privada y los datos personales concernientes a una persona física o jurídica colectiva identificada o identificable; </w:t>
      </w:r>
    </w:p>
    <w:p w:rsidR="000800ED" w:rsidRPr="008B1544" w:rsidRDefault="000800ED" w:rsidP="008B1544">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bCs/>
          <w:i/>
          <w:color w:val="000000"/>
          <w:sz w:val="24"/>
          <w:szCs w:val="24"/>
          <w:lang w:eastAsia="es-ES"/>
        </w:rPr>
        <w:t xml:space="preserve">II. </w:t>
      </w:r>
      <w:r w:rsidRPr="008B1544">
        <w:rPr>
          <w:rFonts w:ascii="Palatino Linotype" w:eastAsia="MS Mincho" w:hAnsi="Palatino Linotype" w:cs="Arial"/>
          <w:i/>
          <w:color w:val="000000"/>
          <w:sz w:val="24"/>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0800ED" w:rsidRPr="008B1544" w:rsidRDefault="000800ED" w:rsidP="008B1544">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bCs/>
          <w:i/>
          <w:color w:val="000000"/>
          <w:sz w:val="24"/>
          <w:szCs w:val="24"/>
          <w:lang w:eastAsia="es-ES"/>
        </w:rPr>
        <w:t xml:space="preserve">III. </w:t>
      </w:r>
      <w:r w:rsidRPr="008B1544">
        <w:rPr>
          <w:rFonts w:ascii="Palatino Linotype" w:eastAsia="MS Mincho" w:hAnsi="Palatino Linotype" w:cs="Arial"/>
          <w:i/>
          <w:color w:val="000000"/>
          <w:sz w:val="24"/>
          <w:szCs w:val="24"/>
          <w:lang w:eastAsia="es-ES"/>
        </w:rPr>
        <w:t xml:space="preserve">La que presenten los particulares a los sujetos obligados, de conformidad con lo dispuesto por las leyes o los tratados internacionales. </w:t>
      </w:r>
    </w:p>
    <w:p w:rsidR="000800ED" w:rsidRPr="008B1544" w:rsidRDefault="000800ED" w:rsidP="008B1544">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i/>
          <w:color w:val="000000"/>
          <w:sz w:val="24"/>
          <w:szCs w:val="24"/>
          <w:lang w:eastAsia="es-ES"/>
        </w:rPr>
        <w:lastRenderedPageBreak/>
        <w:t xml:space="preserve">La información confidencial no estará sujeta a temporalidad alguna y sólo podrán tener acceso a ella los titulares de la misma, sus representantes y los servidores públicos facultados para ello. </w:t>
      </w:r>
    </w:p>
    <w:p w:rsidR="000800ED" w:rsidRPr="008B1544" w:rsidRDefault="000800ED" w:rsidP="008B1544">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i/>
          <w:color w:val="000000"/>
          <w:sz w:val="24"/>
          <w:szCs w:val="24"/>
          <w:lang w:eastAsia="es-ES"/>
        </w:rPr>
        <w:t xml:space="preserve">No se considerará confidencial la información que se encuentre en los registros públicos o en fuentes de acceso público, ni tampoco la que sea considerada por la presente ley como inform.3ación pública. </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i/>
          <w:color w:val="000000"/>
          <w:sz w:val="24"/>
          <w:szCs w:val="24"/>
          <w:lang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Como consecuencia de lo anterior, el </w:t>
      </w:r>
      <w:r w:rsidRPr="008B1544">
        <w:rPr>
          <w:rFonts w:ascii="Palatino Linotype" w:eastAsia="MS Mincho" w:hAnsi="Palatino Linotype" w:cs="Arial"/>
          <w:b/>
          <w:color w:val="000000"/>
          <w:sz w:val="24"/>
          <w:szCs w:val="24"/>
          <w:lang w:val="es-ES_tradnl" w:eastAsia="es-ES"/>
        </w:rPr>
        <w:t>SUJETO OBLIGADO</w:t>
      </w:r>
      <w:r w:rsidRPr="008B1544">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8B1544">
        <w:rPr>
          <w:rFonts w:ascii="Palatino Linotype" w:eastAsia="MS Mincho" w:hAnsi="Palatino Linotype" w:cs="Arial"/>
          <w:color w:val="000000"/>
          <w:sz w:val="24"/>
          <w:szCs w:val="24"/>
          <w:vertAlign w:val="superscript"/>
          <w:lang w:val="es-ES_tradnl" w:eastAsia="es-ES"/>
        </w:rPr>
        <w:footnoteReference w:id="4"/>
      </w:r>
      <w:r w:rsidRPr="008B1544">
        <w:rPr>
          <w:rFonts w:ascii="Palatino Linotype" w:eastAsia="MS Mincho" w:hAnsi="Palatino Linotype" w:cs="Arial"/>
          <w:color w:val="000000"/>
          <w:sz w:val="24"/>
          <w:szCs w:val="24"/>
          <w:lang w:val="es-ES_tradnl" w:eastAsia="es-ES"/>
        </w:rPr>
        <w:t xml:space="preserve"> para </w:t>
      </w:r>
      <w:r w:rsidRPr="008B1544">
        <w:rPr>
          <w:rFonts w:ascii="Palatino Linotype" w:eastAsia="MS Mincho" w:hAnsi="Palatino Linotype" w:cs="Arial"/>
          <w:color w:val="000000"/>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0800ED" w:rsidRPr="008B1544" w:rsidRDefault="009E6D21" w:rsidP="008B1544">
      <w:pPr>
        <w:pStyle w:val="Ttulo1"/>
        <w:spacing w:line="360" w:lineRule="auto"/>
        <w:rPr>
          <w:rFonts w:eastAsia="MS Mincho"/>
          <w:b/>
          <w:szCs w:val="24"/>
          <w:lang w:eastAsia="es-ES"/>
        </w:rPr>
      </w:pPr>
      <w:bookmarkStart w:id="33" w:name="_Toc5788034"/>
      <w:r w:rsidRPr="008B1544">
        <w:rPr>
          <w:rFonts w:eastAsia="MS Mincho"/>
          <w:b/>
          <w:szCs w:val="24"/>
          <w:lang w:eastAsia="es-ES"/>
        </w:rPr>
        <w:t xml:space="preserve">III. </w:t>
      </w:r>
      <w:r w:rsidR="000800ED" w:rsidRPr="008B1544">
        <w:rPr>
          <w:rFonts w:eastAsia="MS Mincho"/>
          <w:b/>
          <w:szCs w:val="24"/>
          <w:lang w:eastAsia="es-ES"/>
        </w:rPr>
        <w:t>Formalidades para emitir el acuerdo de clasificación.</w:t>
      </w:r>
      <w:bookmarkEnd w:id="33"/>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 la particular y, en consecuencia, es necesario que </w:t>
      </w:r>
      <w:r w:rsidRPr="008B1544">
        <w:rPr>
          <w:rFonts w:ascii="Palatino Linotype" w:eastAsia="MS Mincho" w:hAnsi="Palatino Linotype" w:cs="Arial"/>
          <w:b/>
          <w:color w:val="000000"/>
          <w:sz w:val="24"/>
          <w:szCs w:val="24"/>
          <w:u w:val="single"/>
          <w:lang w:val="es-ES_tradnl" w:eastAsia="es-ES"/>
        </w:rPr>
        <w:t>el acto reúna con los requisitos elementales</w:t>
      </w:r>
      <w:r w:rsidRPr="008B1544">
        <w:rPr>
          <w:rFonts w:ascii="Palatino Linotype" w:eastAsia="MS Mincho" w:hAnsi="Palatino Linotype" w:cs="Arial"/>
          <w:color w:val="000000"/>
          <w:sz w:val="24"/>
          <w:szCs w:val="24"/>
          <w:lang w:val="es-ES_tradnl" w:eastAsia="es-ES"/>
        </w:rPr>
        <w:t xml:space="preserve">, entre ellos, que la autoridad que va a emitir el acto de autoridad sea la legalmente facultada para ello, es decir, que cumpla con el principio de reserva de ley,  por lo que no está demás </w:t>
      </w:r>
      <w:r w:rsidRPr="008B1544">
        <w:rPr>
          <w:rFonts w:ascii="Palatino Linotype" w:eastAsia="MS Mincho" w:hAnsi="Palatino Linotype" w:cs="Arial"/>
          <w:color w:val="000000"/>
          <w:sz w:val="24"/>
          <w:szCs w:val="24"/>
          <w:lang w:val="es-ES_tradnl" w:eastAsia="es-ES"/>
        </w:rPr>
        <w:lastRenderedPageBreak/>
        <w:t>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B1544" w:rsidRPr="008B1544" w:rsidRDefault="008B1544" w:rsidP="008B1544">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0800ED" w:rsidRPr="008B1544" w:rsidRDefault="009E6D21" w:rsidP="008B1544">
      <w:pPr>
        <w:pStyle w:val="Ttulo1"/>
        <w:spacing w:line="360" w:lineRule="auto"/>
        <w:rPr>
          <w:rFonts w:eastAsia="MS Mincho"/>
          <w:b/>
          <w:szCs w:val="24"/>
          <w:lang w:eastAsia="es-ES"/>
        </w:rPr>
      </w:pPr>
      <w:bookmarkStart w:id="34" w:name="_Toc5788035"/>
      <w:r w:rsidRPr="008B1544">
        <w:rPr>
          <w:rFonts w:eastAsia="MS Mincho"/>
          <w:b/>
          <w:szCs w:val="24"/>
          <w:lang w:eastAsia="es-ES"/>
        </w:rPr>
        <w:t xml:space="preserve">IV. </w:t>
      </w:r>
      <w:r w:rsidR="000800ED" w:rsidRPr="008B1544">
        <w:rPr>
          <w:rFonts w:eastAsia="MS Mincho"/>
          <w:b/>
          <w:szCs w:val="24"/>
          <w:lang w:eastAsia="es-ES"/>
        </w:rPr>
        <w:t>Requisitos de fondo del acuerdo de clasificación</w:t>
      </w:r>
      <w:r w:rsidRPr="008B1544">
        <w:rPr>
          <w:rFonts w:eastAsia="MS Mincho"/>
          <w:b/>
          <w:szCs w:val="24"/>
          <w:lang w:eastAsia="es-ES"/>
        </w:rPr>
        <w:t>.</w:t>
      </w:r>
      <w:bookmarkEnd w:id="34"/>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Como se ha señalado antes, al hacer el juicio de subsunción o encaje entre el supuesto de hecho y la hipótesis jurídica, se debe acreditar la estricta </w:t>
      </w:r>
      <w:r w:rsidRPr="008B1544">
        <w:rPr>
          <w:rFonts w:ascii="Palatino Linotype" w:eastAsia="MS Mincho" w:hAnsi="Palatino Linotype" w:cs="Arial"/>
          <w:color w:val="000000"/>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De lo anterior, se desprende que para una correcta </w:t>
      </w:r>
      <w:r w:rsidRPr="008B1544">
        <w:rPr>
          <w:rFonts w:ascii="Palatino Linotype" w:eastAsia="MS Mincho" w:hAnsi="Palatino Linotype" w:cs="Arial"/>
          <w:b/>
          <w:color w:val="000000"/>
          <w:sz w:val="24"/>
          <w:szCs w:val="24"/>
          <w:lang w:val="es-ES_tradnl" w:eastAsia="es-ES"/>
        </w:rPr>
        <w:t>clasificación total o parcial</w:t>
      </w:r>
      <w:r w:rsidRPr="008B1544">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8B1544">
        <w:rPr>
          <w:rFonts w:ascii="Palatino Linotype" w:eastAsia="MS Mincho" w:hAnsi="Palatino Linotype" w:cs="Arial"/>
          <w:color w:val="000000"/>
          <w:sz w:val="24"/>
          <w:szCs w:val="24"/>
          <w:lang w:val="es-ES_tradnl" w:eastAsia="es-ES"/>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B1544">
        <w:rPr>
          <w:rFonts w:ascii="Palatino Linotype" w:eastAsia="MS Mincho" w:hAnsi="Palatino Linotype" w:cs="Arial"/>
          <w:color w:val="000000"/>
          <w:sz w:val="24"/>
          <w:szCs w:val="24"/>
          <w:vertAlign w:val="superscript"/>
          <w:lang w:val="es-ES_tradnl" w:eastAsia="es-ES"/>
        </w:rPr>
        <w:footnoteReference w:id="5"/>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eastAsia="es-ES"/>
        </w:rPr>
      </w:pPr>
    </w:p>
    <w:p w:rsidR="000800ED" w:rsidRPr="008B1544" w:rsidRDefault="000800ED" w:rsidP="008B1544">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b/>
          <w:i/>
          <w:color w:val="000000"/>
          <w:sz w:val="24"/>
          <w:szCs w:val="24"/>
          <w:lang w:eastAsia="es-ES"/>
        </w:rPr>
        <w:t>FUNDAMENTACIÓN Y MOTIVACIÓN.</w:t>
      </w:r>
      <w:r w:rsidRPr="008B1544">
        <w:rPr>
          <w:rFonts w:ascii="Palatino Linotype" w:eastAsia="MS Mincho" w:hAnsi="Palatino Linotype" w:cs="Arial"/>
          <w:i/>
          <w:color w:val="000000"/>
          <w:sz w:val="24"/>
          <w:szCs w:val="24"/>
          <w:lang w:eastAsia="es-ES"/>
        </w:rPr>
        <w:t xml:space="preserve"> La </w:t>
      </w:r>
      <w:r w:rsidRPr="008B1544">
        <w:rPr>
          <w:rFonts w:ascii="Palatino Linotype" w:eastAsia="MS Mincho" w:hAnsi="Palatino Linotype" w:cs="Arial"/>
          <w:i/>
          <w:color w:val="000000"/>
          <w:sz w:val="24"/>
          <w:szCs w:val="24"/>
          <w:u w:val="single"/>
          <w:lang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B1544">
        <w:rPr>
          <w:rFonts w:ascii="Palatino Linotype" w:eastAsia="MS Mincho" w:hAnsi="Palatino Linotype" w:cs="Arial"/>
          <w:i/>
          <w:color w:val="000000"/>
          <w:sz w:val="24"/>
          <w:szCs w:val="24"/>
          <w:lang w:eastAsia="es-ES"/>
        </w:rPr>
        <w:t>.</w:t>
      </w:r>
    </w:p>
    <w:p w:rsidR="000800ED" w:rsidRPr="008B1544" w:rsidRDefault="000800ED" w:rsidP="008B1544">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i/>
          <w:color w:val="000000"/>
          <w:sz w:val="24"/>
          <w:szCs w:val="24"/>
          <w:lang w:eastAsia="es-ES"/>
        </w:rPr>
        <w:t>SEGUNDO TRIBUNAL COLEGIADO DEL SEXTO CIRCUITO.</w:t>
      </w:r>
    </w:p>
    <w:p w:rsidR="000800ED" w:rsidRPr="008B1544" w:rsidRDefault="000800ED" w:rsidP="008B1544">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i/>
          <w:color w:val="000000"/>
          <w:sz w:val="24"/>
          <w:szCs w:val="24"/>
          <w:lang w:eastAsia="es-ES"/>
        </w:rPr>
        <w:t>Amparo directo 194/88. Bufete Industrial Construcciones, S.A. de C.V. 28 de junio de 1988. Unanimidad de votos. Ponente: Gustavo Calvillo Rangel. Secretario: Jorge Alberto González Álvarez.</w:t>
      </w:r>
    </w:p>
    <w:p w:rsidR="000800ED" w:rsidRPr="008B1544" w:rsidRDefault="000800ED" w:rsidP="008B1544">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i/>
          <w:color w:val="000000"/>
          <w:sz w:val="24"/>
          <w:szCs w:val="24"/>
          <w:lang w:eastAsia="es-ES"/>
        </w:rPr>
        <w:lastRenderedPageBreak/>
        <w:t>Revisión fiscal 103/88. Instituto Mexicano del Seguro Social. 18 de octubre de 1988. Unanimidad de votos. Ponente: Arnoldo Nájera Virgen. Secretario: Alejandro Responda Rincón.</w:t>
      </w:r>
    </w:p>
    <w:p w:rsidR="000800ED" w:rsidRPr="008B1544" w:rsidRDefault="000800ED" w:rsidP="008B1544">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i/>
          <w:color w:val="000000"/>
          <w:sz w:val="24"/>
          <w:szCs w:val="24"/>
          <w:lang w:eastAsia="es-ES"/>
        </w:rPr>
        <w:t xml:space="preserve">Amparo en revisión 333/88. </w:t>
      </w:r>
      <w:proofErr w:type="spellStart"/>
      <w:r w:rsidRPr="008B1544">
        <w:rPr>
          <w:rFonts w:ascii="Palatino Linotype" w:eastAsia="MS Mincho" w:hAnsi="Palatino Linotype" w:cs="Arial"/>
          <w:i/>
          <w:color w:val="000000"/>
          <w:sz w:val="24"/>
          <w:szCs w:val="24"/>
          <w:lang w:eastAsia="es-ES"/>
        </w:rPr>
        <w:t>Adilia</w:t>
      </w:r>
      <w:proofErr w:type="spellEnd"/>
      <w:r w:rsidRPr="008B1544">
        <w:rPr>
          <w:rFonts w:ascii="Palatino Linotype" w:eastAsia="MS Mincho" w:hAnsi="Palatino Linotype" w:cs="Arial"/>
          <w:i/>
          <w:color w:val="000000"/>
          <w:sz w:val="24"/>
          <w:szCs w:val="24"/>
          <w:lang w:eastAsia="es-ES"/>
        </w:rPr>
        <w:t xml:space="preserve"> Romero. 26 de octubre de 1988. Unanimidad de votos. Ponente: Arnoldo Nájera Virgen. Secretario: Enrique Crispín Campos Ramírez.</w:t>
      </w:r>
    </w:p>
    <w:p w:rsidR="000800ED" w:rsidRPr="008B1544" w:rsidRDefault="000800ED" w:rsidP="008B1544">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i/>
          <w:color w:val="000000"/>
          <w:sz w:val="24"/>
          <w:szCs w:val="24"/>
          <w:lang w:eastAsia="es-ES"/>
        </w:rPr>
        <w:t xml:space="preserve">Amparo en revisión 597/95. Emilio Maurer Bretón. 15 de noviembre de 1995. Unanimidad de votos. Ponente: Clementina Ramírez Moguel </w:t>
      </w:r>
      <w:proofErr w:type="spellStart"/>
      <w:r w:rsidRPr="008B1544">
        <w:rPr>
          <w:rFonts w:ascii="Palatino Linotype" w:eastAsia="MS Mincho" w:hAnsi="Palatino Linotype" w:cs="Arial"/>
          <w:i/>
          <w:color w:val="000000"/>
          <w:sz w:val="24"/>
          <w:szCs w:val="24"/>
          <w:lang w:eastAsia="es-ES"/>
        </w:rPr>
        <w:t>Goyzueta</w:t>
      </w:r>
      <w:proofErr w:type="spellEnd"/>
      <w:r w:rsidRPr="008B1544">
        <w:rPr>
          <w:rFonts w:ascii="Palatino Linotype" w:eastAsia="MS Mincho" w:hAnsi="Palatino Linotype" w:cs="Arial"/>
          <w:i/>
          <w:color w:val="000000"/>
          <w:sz w:val="24"/>
          <w:szCs w:val="24"/>
          <w:lang w:eastAsia="es-ES"/>
        </w:rPr>
        <w:t>. Secretario: Gonzalo Carrera Molina.</w:t>
      </w:r>
    </w:p>
    <w:p w:rsidR="000800ED" w:rsidRPr="008B1544" w:rsidRDefault="000800ED" w:rsidP="008B1544">
      <w:pPr>
        <w:spacing w:after="120" w:line="360" w:lineRule="auto"/>
        <w:ind w:left="709" w:right="425"/>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i/>
          <w:color w:val="000000"/>
          <w:sz w:val="24"/>
          <w:szCs w:val="24"/>
          <w:lang w:eastAsia="es-ES"/>
        </w:rPr>
        <w:t xml:space="preserve">Amparo directo 7/96. Pedro Vicente López Miro. 21 de febrero de 1996. Unanimidad de votos. Ponente: María Eugenia Estela Martínez Cardiel. Secretario: Enrique </w:t>
      </w:r>
      <w:proofErr w:type="spellStart"/>
      <w:r w:rsidRPr="008B1544">
        <w:rPr>
          <w:rFonts w:ascii="Palatino Linotype" w:eastAsia="MS Mincho" w:hAnsi="Palatino Linotype" w:cs="Arial"/>
          <w:i/>
          <w:color w:val="000000"/>
          <w:sz w:val="24"/>
          <w:szCs w:val="24"/>
          <w:lang w:eastAsia="es-ES"/>
        </w:rPr>
        <w:t>Baigts</w:t>
      </w:r>
      <w:proofErr w:type="spellEnd"/>
      <w:r w:rsidRPr="008B1544">
        <w:rPr>
          <w:rFonts w:ascii="Palatino Linotype" w:eastAsia="MS Mincho" w:hAnsi="Palatino Linotype" w:cs="Arial"/>
          <w:i/>
          <w:color w:val="000000"/>
          <w:sz w:val="24"/>
          <w:szCs w:val="24"/>
          <w:lang w:eastAsia="es-ES"/>
        </w:rPr>
        <w:t xml:space="preserve"> Muñoz.</w:t>
      </w:r>
    </w:p>
    <w:p w:rsidR="000800ED" w:rsidRPr="008B1544" w:rsidRDefault="000800ED" w:rsidP="008B1544">
      <w:pPr>
        <w:spacing w:after="120" w:line="360" w:lineRule="auto"/>
        <w:ind w:left="709" w:right="425"/>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8B1544">
        <w:rPr>
          <w:rFonts w:ascii="Palatino Linotype" w:eastAsia="MS Mincho" w:hAnsi="Palatino Linotype" w:cs="Arial"/>
          <w:color w:val="000000"/>
          <w:sz w:val="24"/>
          <w:szCs w:val="24"/>
          <w:lang w:val="es-ES_tradnl" w:eastAsia="es-ES"/>
        </w:rPr>
        <w:lastRenderedPageBreak/>
        <w:t>modo, la persona que se sienta afectada pueda impugnar la decisión, permitiéndole una real y auténtica defensa.</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Ahora bien, </w:t>
      </w:r>
      <w:r w:rsidRPr="008B1544">
        <w:rPr>
          <w:rFonts w:ascii="Palatino Linotype" w:eastAsia="MS Mincho" w:hAnsi="Palatino Linotype" w:cs="Arial"/>
          <w:b/>
          <w:color w:val="000000"/>
          <w:sz w:val="24"/>
          <w:szCs w:val="24"/>
          <w:u w:val="single"/>
          <w:lang w:val="es-ES_tradnl" w:eastAsia="es-ES"/>
        </w:rPr>
        <w:t>para cada caso además de fundar y motivar</w:t>
      </w:r>
      <w:r w:rsidRPr="008B1544">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B1544">
        <w:rPr>
          <w:rFonts w:ascii="Palatino Linotype" w:eastAsia="MS Mincho" w:hAnsi="Palatino Linotype" w:cs="Arial"/>
          <w:color w:val="000000"/>
          <w:sz w:val="24"/>
          <w:szCs w:val="24"/>
          <w:vertAlign w:val="superscript"/>
          <w:lang w:val="es-ES_tradnl" w:eastAsia="es-ES"/>
        </w:rPr>
        <w:footnoteReference w:id="6"/>
      </w:r>
      <w:r w:rsidRPr="008B1544">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b/>
          <w:color w:val="000000"/>
          <w:sz w:val="24"/>
          <w:szCs w:val="24"/>
          <w:u w:val="single"/>
          <w:lang w:val="es-ES_tradnl" w:eastAsia="es-ES"/>
        </w:rPr>
        <w:lastRenderedPageBreak/>
        <w:t>Otro tipo de información confidencial constituyen los secretos bancario, fiduciario, industrial, comercial, fiscal, bursátil y postal, cuya titularidad corresponda a particulares,</w:t>
      </w:r>
      <w:r w:rsidRPr="008B1544">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9E6D21" w:rsidP="008B1544">
      <w:pPr>
        <w:pStyle w:val="Ttulo1"/>
        <w:spacing w:line="360" w:lineRule="auto"/>
        <w:rPr>
          <w:rFonts w:eastAsia="MS Mincho"/>
          <w:b/>
          <w:szCs w:val="24"/>
          <w:lang w:eastAsia="es-ES"/>
        </w:rPr>
      </w:pPr>
      <w:bookmarkStart w:id="35" w:name="_Toc5788036"/>
      <w:r w:rsidRPr="008B1544">
        <w:rPr>
          <w:rFonts w:eastAsia="MS Mincho"/>
          <w:b/>
          <w:szCs w:val="24"/>
          <w:lang w:eastAsia="es-ES"/>
        </w:rPr>
        <w:t xml:space="preserve">V. </w:t>
      </w:r>
      <w:r w:rsidR="000800ED" w:rsidRPr="008B1544">
        <w:rPr>
          <w:rFonts w:eastAsia="MS Mincho"/>
          <w:b/>
          <w:szCs w:val="24"/>
          <w:lang w:eastAsia="es-ES"/>
        </w:rPr>
        <w:t>Condiciones especiales de la clasificación de la información como confidencial.</w:t>
      </w:r>
      <w:bookmarkEnd w:id="35"/>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b/>
          <w:color w:val="000000"/>
          <w:sz w:val="24"/>
          <w:szCs w:val="24"/>
          <w:lang w:eastAsia="es-ES"/>
        </w:rPr>
      </w:pPr>
    </w:p>
    <w:p w:rsidR="000800ED" w:rsidRPr="008B1544" w:rsidRDefault="000800ED" w:rsidP="008B1544">
      <w:pPr>
        <w:numPr>
          <w:ilvl w:val="0"/>
          <w:numId w:val="2"/>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8B1544">
        <w:rPr>
          <w:rFonts w:ascii="Palatino Linotype" w:eastAsia="MS Mincho" w:hAnsi="Palatino Linotype" w:cs="Arial"/>
          <w:bCs/>
          <w:i/>
          <w:color w:val="000000"/>
          <w:sz w:val="24"/>
          <w:szCs w:val="24"/>
          <w:lang w:eastAsia="es-ES"/>
        </w:rPr>
        <w:t>I.</w:t>
      </w:r>
      <w:r w:rsidRPr="008B1544">
        <w:rPr>
          <w:rFonts w:ascii="Palatino Linotype" w:eastAsia="MS Mincho" w:hAnsi="Palatino Linotype" w:cs="Arial"/>
          <w:i/>
          <w:color w:val="000000"/>
          <w:sz w:val="24"/>
          <w:szCs w:val="24"/>
          <w:lang w:eastAsia="es-ES"/>
        </w:rPr>
        <w:t xml:space="preserve"> La información se encuentre en registros públicos o fuentes de acceso público;</w:t>
      </w:r>
    </w:p>
    <w:p w:rsidR="000800ED" w:rsidRPr="008B1544" w:rsidRDefault="000800ED" w:rsidP="008B1544">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8B1544">
        <w:rPr>
          <w:rFonts w:ascii="Palatino Linotype" w:eastAsia="MS Mincho" w:hAnsi="Palatino Linotype" w:cs="Arial"/>
          <w:bCs/>
          <w:i/>
          <w:color w:val="000000"/>
          <w:sz w:val="24"/>
          <w:szCs w:val="24"/>
          <w:lang w:eastAsia="es-ES"/>
        </w:rPr>
        <w:t xml:space="preserve">II. </w:t>
      </w:r>
      <w:r w:rsidRPr="008B1544">
        <w:rPr>
          <w:rFonts w:ascii="Palatino Linotype" w:eastAsia="MS Mincho" w:hAnsi="Palatino Linotype" w:cs="Arial"/>
          <w:i/>
          <w:color w:val="000000"/>
          <w:sz w:val="24"/>
          <w:szCs w:val="24"/>
          <w:lang w:eastAsia="es-ES"/>
        </w:rPr>
        <w:t>Por Ley tenga el carácter de pública;</w:t>
      </w:r>
    </w:p>
    <w:p w:rsidR="000800ED" w:rsidRPr="008B1544" w:rsidRDefault="000800ED" w:rsidP="008B1544">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bCs/>
          <w:i/>
          <w:color w:val="000000"/>
          <w:sz w:val="24"/>
          <w:szCs w:val="24"/>
          <w:lang w:eastAsia="es-ES"/>
        </w:rPr>
        <w:t xml:space="preserve">III. </w:t>
      </w:r>
      <w:r w:rsidRPr="008B1544">
        <w:rPr>
          <w:rFonts w:ascii="Palatino Linotype" w:eastAsia="MS Mincho" w:hAnsi="Palatino Linotype" w:cs="Arial"/>
          <w:i/>
          <w:color w:val="000000"/>
          <w:sz w:val="24"/>
          <w:szCs w:val="24"/>
          <w:lang w:eastAsia="es-ES"/>
        </w:rPr>
        <w:t xml:space="preserve">Exista una orden judicial; </w:t>
      </w:r>
    </w:p>
    <w:p w:rsidR="000800ED" w:rsidRPr="008B1544" w:rsidRDefault="000800ED" w:rsidP="008B1544">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bCs/>
          <w:i/>
          <w:color w:val="000000"/>
          <w:sz w:val="24"/>
          <w:szCs w:val="24"/>
          <w:lang w:eastAsia="es-ES"/>
        </w:rPr>
        <w:t xml:space="preserve">IV. </w:t>
      </w:r>
      <w:r w:rsidRPr="008B1544">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rsidR="000800ED" w:rsidRPr="008B1544" w:rsidRDefault="000800ED" w:rsidP="008B1544">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8B1544">
        <w:rPr>
          <w:rFonts w:ascii="Palatino Linotype" w:eastAsia="MS Mincho" w:hAnsi="Palatino Linotype" w:cs="Arial"/>
          <w:bCs/>
          <w:i/>
          <w:color w:val="000000"/>
          <w:sz w:val="24"/>
          <w:szCs w:val="24"/>
          <w:lang w:eastAsia="es-ES"/>
        </w:rPr>
        <w:t xml:space="preserve">V. </w:t>
      </w:r>
      <w:r w:rsidRPr="008B1544">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w:t>
      </w:r>
      <w:r w:rsidRPr="008B1544">
        <w:rPr>
          <w:rFonts w:ascii="Palatino Linotype" w:eastAsia="MS Mincho" w:hAnsi="Palatino Linotype" w:cs="Arial"/>
          <w:i/>
          <w:color w:val="000000"/>
          <w:sz w:val="24"/>
          <w:szCs w:val="24"/>
          <w:lang w:eastAsia="es-ES"/>
        </w:rPr>
        <w:lastRenderedPageBreak/>
        <w:t xml:space="preserve">interinstitucionales, siempre y cuando la información se utilice para el ejercicio de facultades propias de los mismos. </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0800ED" w:rsidRPr="008B1544" w:rsidRDefault="000800ED" w:rsidP="008B1544">
      <w:pPr>
        <w:numPr>
          <w:ilvl w:val="0"/>
          <w:numId w:val="2"/>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8B1544">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800ED" w:rsidRPr="008B1544" w:rsidRDefault="000800ED" w:rsidP="008B1544">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8B1544" w:rsidRDefault="000800ED" w:rsidP="008B1544">
      <w:pPr>
        <w:numPr>
          <w:ilvl w:val="0"/>
          <w:numId w:val="2"/>
        </w:numPr>
        <w:spacing w:after="120" w:line="360" w:lineRule="auto"/>
        <w:ind w:left="0" w:right="49" w:firstLine="0"/>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8B1544" w:rsidRPr="008B1544" w:rsidRDefault="008B1544" w:rsidP="008B1544">
      <w:pPr>
        <w:spacing w:after="120" w:line="360" w:lineRule="auto"/>
        <w:ind w:right="49"/>
        <w:jc w:val="both"/>
        <w:rPr>
          <w:rFonts w:ascii="Palatino Linotype" w:eastAsia="MS Mincho" w:hAnsi="Palatino Linotype" w:cs="Times New Roman"/>
          <w:sz w:val="24"/>
          <w:szCs w:val="24"/>
          <w:lang w:val="es-ES_tradnl" w:eastAsia="es-ES"/>
        </w:rPr>
      </w:pPr>
    </w:p>
    <w:p w:rsidR="008B1544" w:rsidRDefault="000800ED" w:rsidP="008B1544">
      <w:pPr>
        <w:numPr>
          <w:ilvl w:val="0"/>
          <w:numId w:val="2"/>
        </w:numPr>
        <w:spacing w:after="120" w:line="360" w:lineRule="auto"/>
        <w:ind w:left="0" w:right="49" w:firstLine="0"/>
        <w:jc w:val="both"/>
        <w:rPr>
          <w:rFonts w:ascii="Palatino Linotype" w:eastAsia="MS Mincho" w:hAnsi="Palatino Linotype" w:cs="Times New Roman"/>
          <w:sz w:val="24"/>
          <w:szCs w:val="24"/>
          <w:lang w:val="es-ES_tradnl" w:eastAsia="es-ES"/>
        </w:rPr>
      </w:pPr>
      <w:r w:rsidRPr="008B1544">
        <w:rPr>
          <w:rFonts w:ascii="Palatino Linotype" w:eastAsia="MS Mincho" w:hAnsi="Palatino Linotype" w:cs="Arial"/>
          <w:color w:val="000000"/>
          <w:sz w:val="24"/>
          <w:szCs w:val="24"/>
          <w:lang w:val="es-ES_tradnl" w:eastAsia="es-ES"/>
        </w:rPr>
        <w:t>Luego entonces, en términos de</w:t>
      </w:r>
      <w:r w:rsidR="00C11C6E" w:rsidRPr="008B1544">
        <w:rPr>
          <w:rFonts w:ascii="Palatino Linotype" w:eastAsia="MS Mincho" w:hAnsi="Palatino Linotype" w:cs="Arial"/>
          <w:color w:val="000000"/>
          <w:sz w:val="24"/>
          <w:szCs w:val="24"/>
          <w:lang w:val="es-ES_tradnl" w:eastAsia="es-ES"/>
        </w:rPr>
        <w:t>l artículo 179 fracciones V y XIII</w:t>
      </w:r>
      <w:r w:rsidRPr="008B1544">
        <w:rPr>
          <w:rFonts w:ascii="Palatino Linotype" w:eastAsia="MS Mincho" w:hAnsi="Palatino Linotype" w:cs="Arial"/>
          <w:color w:val="000000"/>
          <w:sz w:val="24"/>
          <w:szCs w:val="24"/>
          <w:lang w:val="es-ES_tradnl" w:eastAsia="es-ES"/>
        </w:rPr>
        <w:t xml:space="preserve"> de la Ley de Trasparencia y Acceso a la Información Pública del Estado de México, resultan parciamente</w:t>
      </w:r>
      <w:r w:rsidRPr="008B1544">
        <w:rPr>
          <w:rFonts w:ascii="Palatino Linotype" w:eastAsia="MS Mincho" w:hAnsi="Palatino Linotype" w:cs="Times New Roman"/>
          <w:sz w:val="24"/>
          <w:szCs w:val="24"/>
          <w:lang w:val="es-ES_tradnl" w:eastAsia="es-ES"/>
        </w:rPr>
        <w:t xml:space="preserve"> </w:t>
      </w:r>
      <w:r w:rsidRPr="008B1544">
        <w:rPr>
          <w:rFonts w:ascii="Palatino Linotype" w:eastAsia="Times New Roman" w:hAnsi="Palatino Linotype" w:cs="Arial"/>
          <w:sz w:val="24"/>
          <w:szCs w:val="24"/>
          <w:lang w:val="es-ES_tradnl" w:eastAsia="es-ES"/>
        </w:rPr>
        <w:t xml:space="preserve">fundadas las </w:t>
      </w:r>
      <w:r w:rsidRPr="008B1544">
        <w:rPr>
          <w:rFonts w:ascii="Palatino Linotype" w:eastAsia="Times New Roman" w:hAnsi="Palatino Linotype" w:cs="Arial"/>
          <w:sz w:val="24"/>
          <w:szCs w:val="24"/>
          <w:lang w:val="es-ES" w:eastAsia="es-ES"/>
        </w:rPr>
        <w:t xml:space="preserve">razones o motivos de inconformidad hechos valer por la </w:t>
      </w:r>
      <w:r w:rsidRPr="008B1544">
        <w:rPr>
          <w:rFonts w:ascii="Palatino Linotype" w:eastAsia="Times New Roman" w:hAnsi="Palatino Linotype" w:cs="Arial"/>
          <w:b/>
          <w:sz w:val="24"/>
          <w:szCs w:val="24"/>
          <w:lang w:val="es-ES" w:eastAsia="es-ES"/>
        </w:rPr>
        <w:t>RECURRENTE</w:t>
      </w:r>
      <w:r w:rsidRPr="008B1544">
        <w:rPr>
          <w:rFonts w:ascii="Palatino Linotype" w:eastAsia="Times New Roman" w:hAnsi="Palatino Linotype" w:cs="Arial"/>
          <w:sz w:val="24"/>
          <w:szCs w:val="24"/>
          <w:lang w:val="es-ES" w:eastAsia="es-ES"/>
        </w:rPr>
        <w:t xml:space="preserve"> </w:t>
      </w:r>
      <w:r w:rsidRPr="008B1544">
        <w:rPr>
          <w:rFonts w:ascii="Palatino Linotype" w:eastAsia="Calibri" w:hAnsi="Palatino Linotype" w:cs="Arial"/>
          <w:sz w:val="24"/>
          <w:szCs w:val="24"/>
          <w:lang w:val="es-ES" w:eastAsia="es-ES"/>
        </w:rPr>
        <w:t>en el recurso de revisión de mérito, razón por lo cual es dable ordenar</w:t>
      </w:r>
      <w:r w:rsidR="009E6D21" w:rsidRPr="008B1544">
        <w:rPr>
          <w:rFonts w:ascii="Palatino Linotype" w:eastAsia="Calibri" w:hAnsi="Palatino Linotype" w:cs="Arial"/>
          <w:sz w:val="24"/>
          <w:szCs w:val="24"/>
          <w:lang w:val="es-ES" w:eastAsia="es-ES"/>
        </w:rPr>
        <w:t xml:space="preserve"> de nueva cuenta</w:t>
      </w:r>
      <w:r w:rsidRPr="008B1544">
        <w:rPr>
          <w:rFonts w:ascii="Palatino Linotype" w:eastAsia="Calibri" w:hAnsi="Palatino Linotype" w:cs="Arial"/>
          <w:sz w:val="24"/>
          <w:szCs w:val="24"/>
          <w:lang w:val="es-ES" w:eastAsia="es-ES"/>
        </w:rPr>
        <w:t xml:space="preserve"> en versión publica </w:t>
      </w:r>
      <w:r w:rsidR="002968B9" w:rsidRPr="008B1544">
        <w:rPr>
          <w:rFonts w:ascii="Palatino Linotype" w:eastAsia="MS Mincho" w:hAnsi="Palatino Linotype" w:cs="Times New Roman"/>
          <w:sz w:val="24"/>
          <w:szCs w:val="24"/>
          <w:lang w:val="es-ES_tradnl" w:eastAsia="es-ES"/>
        </w:rPr>
        <w:t xml:space="preserve">los documentos donde conste o se aprecien </w:t>
      </w:r>
      <w:r w:rsidR="009E6D21" w:rsidRPr="008B1544">
        <w:rPr>
          <w:rFonts w:ascii="Palatino Linotype" w:eastAsia="MS Mincho" w:hAnsi="Palatino Linotype" w:cs="Times New Roman"/>
          <w:sz w:val="24"/>
          <w:szCs w:val="24"/>
          <w:lang w:val="es-ES_tradnl" w:eastAsia="es-ES"/>
        </w:rPr>
        <w:t xml:space="preserve">las renuncias emitidas en respuesta así como las funciones que desempeñaban los servidores públicos que renunciaron.  </w:t>
      </w:r>
    </w:p>
    <w:p w:rsidR="008B1544" w:rsidRPr="008B1544" w:rsidRDefault="008B1544" w:rsidP="008B1544">
      <w:pPr>
        <w:spacing w:after="120" w:line="360" w:lineRule="auto"/>
        <w:ind w:right="49"/>
        <w:jc w:val="both"/>
        <w:rPr>
          <w:rFonts w:ascii="Palatino Linotype" w:eastAsia="MS Mincho" w:hAnsi="Palatino Linotype" w:cs="Times New Roman"/>
          <w:sz w:val="24"/>
          <w:szCs w:val="24"/>
          <w:lang w:val="es-ES_tradnl" w:eastAsia="es-ES"/>
        </w:rPr>
      </w:pPr>
    </w:p>
    <w:p w:rsidR="008B1544" w:rsidRPr="008B1544" w:rsidRDefault="000800ED" w:rsidP="008B1544">
      <w:pPr>
        <w:numPr>
          <w:ilvl w:val="0"/>
          <w:numId w:val="2"/>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8B1544">
        <w:rPr>
          <w:rFonts w:ascii="Palatino Linotype" w:eastAsia="MS Mincho" w:hAnsi="Palatino Linotype" w:cs="Times New Roman"/>
          <w:color w:val="000000"/>
          <w:sz w:val="24"/>
          <w:szCs w:val="24"/>
          <w:lang w:val="es-ES" w:eastAsia="es-MX"/>
        </w:rPr>
        <w:lastRenderedPageBreak/>
        <w:t xml:space="preserve">Por lo anteriormente expuesto y fundado, este </w:t>
      </w:r>
      <w:r w:rsidRPr="008B1544">
        <w:rPr>
          <w:rFonts w:ascii="Palatino Linotype" w:eastAsia="MS Mincho" w:hAnsi="Palatino Linotype" w:cs="Times New Roman"/>
          <w:b/>
          <w:bCs/>
          <w:color w:val="000000"/>
          <w:sz w:val="24"/>
          <w:szCs w:val="24"/>
          <w:lang w:val="es-ES" w:eastAsia="es-MX"/>
        </w:rPr>
        <w:t>ÓRGANO GARANTE</w:t>
      </w:r>
      <w:r w:rsidRPr="008B1544">
        <w:rPr>
          <w:rFonts w:ascii="Palatino Linotype" w:eastAsia="MS Mincho" w:hAnsi="Palatino Linotype" w:cs="Times New Roman"/>
          <w:color w:val="000000"/>
          <w:sz w:val="24"/>
          <w:szCs w:val="24"/>
          <w:lang w:val="es-ES" w:eastAsia="es-MX"/>
        </w:rPr>
        <w:t xml:space="preserve"> emite los siguientes:</w:t>
      </w:r>
    </w:p>
    <w:p w:rsidR="008B1544" w:rsidRPr="008B1544" w:rsidRDefault="008B1544" w:rsidP="008B1544">
      <w:pPr>
        <w:spacing w:after="0" w:line="360" w:lineRule="auto"/>
        <w:contextualSpacing/>
        <w:jc w:val="both"/>
        <w:rPr>
          <w:rFonts w:ascii="Palatino Linotype" w:eastAsia="MS Mincho" w:hAnsi="Palatino Linotype" w:cs="Times New Roman"/>
          <w:color w:val="000000"/>
          <w:sz w:val="24"/>
          <w:szCs w:val="24"/>
          <w:lang w:val="es-ES_tradnl" w:eastAsia="es-ES"/>
        </w:rPr>
      </w:pPr>
    </w:p>
    <w:p w:rsidR="00D71FBF" w:rsidRDefault="006F025F" w:rsidP="008B1544">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6" w:name="_Toc494366431"/>
      <w:bookmarkStart w:id="37" w:name="_Toc5788037"/>
      <w:r w:rsidRPr="008B1544">
        <w:rPr>
          <w:rFonts w:ascii="Palatino Linotype" w:eastAsia="Times New Roman" w:hAnsi="Palatino Linotype" w:cstheme="majorBidi"/>
          <w:b/>
          <w:sz w:val="24"/>
          <w:szCs w:val="24"/>
          <w:lang w:val="es-ES_tradnl" w:eastAsia="es-ES"/>
        </w:rPr>
        <w:t>R E S O L U T I V O S</w:t>
      </w:r>
      <w:bookmarkEnd w:id="36"/>
      <w:bookmarkEnd w:id="37"/>
    </w:p>
    <w:p w:rsidR="008B1544" w:rsidRPr="008B1544" w:rsidRDefault="008B1544" w:rsidP="008B1544">
      <w:pPr>
        <w:keepNext/>
        <w:keepLines/>
        <w:spacing w:after="0" w:line="360" w:lineRule="auto"/>
        <w:jc w:val="center"/>
        <w:outlineLvl w:val="0"/>
        <w:rPr>
          <w:rFonts w:ascii="Palatino Linotype" w:eastAsia="Times New Roman" w:hAnsi="Palatino Linotype" w:cstheme="majorBidi"/>
          <w:b/>
          <w:sz w:val="12"/>
          <w:szCs w:val="24"/>
          <w:lang w:val="es-ES_tradnl" w:eastAsia="es-ES"/>
        </w:rPr>
      </w:pPr>
    </w:p>
    <w:p w:rsidR="00845705" w:rsidRPr="008B1544" w:rsidRDefault="006F025F" w:rsidP="008B1544">
      <w:pPr>
        <w:spacing w:after="0" w:line="360" w:lineRule="auto"/>
        <w:jc w:val="both"/>
        <w:rPr>
          <w:rFonts w:ascii="Palatino Linotype" w:eastAsia="Times New Roman" w:hAnsi="Palatino Linotype" w:cs="Times New Roman"/>
          <w:sz w:val="24"/>
          <w:szCs w:val="24"/>
          <w:lang w:val="es-ES_tradnl" w:eastAsia="es-ES"/>
        </w:rPr>
      </w:pPr>
      <w:r w:rsidRPr="008B1544">
        <w:rPr>
          <w:rFonts w:ascii="Palatino Linotype" w:eastAsia="Times New Roman" w:hAnsi="Palatino Linotype" w:cs="Arial"/>
          <w:b/>
          <w:sz w:val="24"/>
          <w:szCs w:val="24"/>
          <w:lang w:val="es-ES_tradnl" w:eastAsia="es-ES"/>
        </w:rPr>
        <w:t xml:space="preserve">PRIMERO. </w:t>
      </w:r>
      <w:r w:rsidRPr="008B1544">
        <w:rPr>
          <w:rFonts w:ascii="Palatino Linotype" w:eastAsia="Times New Roman" w:hAnsi="Palatino Linotype" w:cs="Arial"/>
          <w:sz w:val="24"/>
          <w:szCs w:val="24"/>
          <w:lang w:val="es-ES_tradnl" w:eastAsia="es-ES"/>
        </w:rPr>
        <w:t xml:space="preserve">Son </w:t>
      </w:r>
      <w:r w:rsidR="00E46113" w:rsidRPr="008B1544">
        <w:rPr>
          <w:rFonts w:ascii="Palatino Linotype" w:eastAsia="Times New Roman" w:hAnsi="Palatino Linotype" w:cs="Arial"/>
          <w:sz w:val="24"/>
          <w:szCs w:val="24"/>
          <w:lang w:val="es-ES_tradnl" w:eastAsia="es-ES"/>
        </w:rPr>
        <w:t xml:space="preserve">parcialmente </w:t>
      </w:r>
      <w:r w:rsidRPr="008B1544">
        <w:rPr>
          <w:rFonts w:ascii="Palatino Linotype" w:eastAsia="Times New Roman" w:hAnsi="Palatino Linotype" w:cs="Arial"/>
          <w:sz w:val="24"/>
          <w:szCs w:val="24"/>
          <w:lang w:val="es-ES_tradnl" w:eastAsia="es-ES"/>
        </w:rPr>
        <w:t>fundadas las</w:t>
      </w:r>
      <w:r w:rsidRPr="008B1544">
        <w:rPr>
          <w:rFonts w:ascii="Palatino Linotype" w:eastAsia="Times New Roman" w:hAnsi="Palatino Linotype" w:cs="Arial"/>
          <w:b/>
          <w:sz w:val="24"/>
          <w:szCs w:val="24"/>
          <w:lang w:val="es-ES_tradnl" w:eastAsia="es-ES"/>
        </w:rPr>
        <w:t xml:space="preserve"> </w:t>
      </w:r>
      <w:r w:rsidRPr="008B1544">
        <w:rPr>
          <w:rFonts w:ascii="Palatino Linotype" w:eastAsia="Times New Roman" w:hAnsi="Palatino Linotype" w:cs="Arial"/>
          <w:sz w:val="24"/>
          <w:szCs w:val="24"/>
          <w:lang w:val="es-ES" w:eastAsia="es-ES"/>
        </w:rPr>
        <w:t>razones o motivos de inconformidad hechos valer</w:t>
      </w:r>
      <w:r w:rsidR="00767824" w:rsidRPr="008B1544">
        <w:rPr>
          <w:rFonts w:ascii="Palatino Linotype" w:eastAsia="Times New Roman" w:hAnsi="Palatino Linotype" w:cs="Arial"/>
          <w:sz w:val="24"/>
          <w:szCs w:val="24"/>
          <w:lang w:val="es-ES" w:eastAsia="es-ES"/>
        </w:rPr>
        <w:t xml:space="preserve"> en el recurso de revisión </w:t>
      </w:r>
      <w:r w:rsidR="00C11C6E" w:rsidRPr="008B1544">
        <w:rPr>
          <w:rFonts w:ascii="Palatino Linotype" w:eastAsia="Times New Roman" w:hAnsi="Palatino Linotype" w:cs="Arial"/>
          <w:b/>
          <w:sz w:val="24"/>
          <w:szCs w:val="24"/>
          <w:lang w:val="es-ES" w:eastAsia="es-ES"/>
        </w:rPr>
        <w:t>00468/INFOEM/IP/RR/2019</w:t>
      </w:r>
      <w:r w:rsidR="00767824" w:rsidRPr="008B1544">
        <w:rPr>
          <w:rFonts w:ascii="Palatino Linotype" w:eastAsia="Times New Roman" w:hAnsi="Palatino Linotype" w:cs="Arial"/>
          <w:sz w:val="24"/>
          <w:szCs w:val="24"/>
          <w:lang w:val="es-ES" w:eastAsia="es-ES"/>
        </w:rPr>
        <w:t xml:space="preserve"> en térmi</w:t>
      </w:r>
      <w:r w:rsidR="00482E22" w:rsidRPr="008B1544">
        <w:rPr>
          <w:rFonts w:ascii="Palatino Linotype" w:eastAsia="Times New Roman" w:hAnsi="Palatino Linotype" w:cs="Arial"/>
          <w:sz w:val="24"/>
          <w:szCs w:val="24"/>
          <w:lang w:val="es-ES" w:eastAsia="es-ES"/>
        </w:rPr>
        <w:t>nos de los</w:t>
      </w:r>
      <w:r w:rsidR="00767824" w:rsidRPr="008B1544">
        <w:rPr>
          <w:rFonts w:ascii="Palatino Linotype" w:eastAsia="Times New Roman" w:hAnsi="Palatino Linotype" w:cs="Arial"/>
          <w:sz w:val="24"/>
          <w:szCs w:val="24"/>
          <w:lang w:val="es-ES" w:eastAsia="es-ES"/>
        </w:rPr>
        <w:t xml:space="preserve"> </w:t>
      </w:r>
      <w:r w:rsidR="00767824" w:rsidRPr="008B1544">
        <w:rPr>
          <w:rFonts w:ascii="Palatino Linotype" w:eastAsia="Times New Roman" w:hAnsi="Palatino Linotype" w:cs="Arial"/>
          <w:b/>
          <w:sz w:val="24"/>
          <w:szCs w:val="24"/>
          <w:lang w:val="es-ES" w:eastAsia="es-ES"/>
        </w:rPr>
        <w:t>Considerando</w:t>
      </w:r>
      <w:r w:rsidR="00D71FBF" w:rsidRPr="008B1544">
        <w:rPr>
          <w:rFonts w:ascii="Palatino Linotype" w:eastAsia="Times New Roman" w:hAnsi="Palatino Linotype" w:cs="Arial"/>
          <w:b/>
          <w:sz w:val="24"/>
          <w:szCs w:val="24"/>
          <w:lang w:val="es-ES" w:eastAsia="es-ES"/>
        </w:rPr>
        <w:t xml:space="preserve">s QUINTO </w:t>
      </w:r>
      <w:r w:rsidR="00C11C6E" w:rsidRPr="008B1544">
        <w:rPr>
          <w:rFonts w:ascii="Palatino Linotype" w:eastAsia="Times New Roman" w:hAnsi="Palatino Linotype" w:cs="Arial"/>
          <w:b/>
          <w:sz w:val="24"/>
          <w:szCs w:val="24"/>
          <w:lang w:val="es-ES" w:eastAsia="es-ES"/>
        </w:rPr>
        <w:t>y</w:t>
      </w:r>
      <w:r w:rsidR="00D71FBF" w:rsidRPr="008B1544">
        <w:rPr>
          <w:rFonts w:ascii="Palatino Linotype" w:eastAsia="Times New Roman" w:hAnsi="Palatino Linotype" w:cs="Arial"/>
          <w:b/>
          <w:sz w:val="24"/>
          <w:szCs w:val="24"/>
          <w:lang w:val="es-ES" w:eastAsia="es-ES"/>
        </w:rPr>
        <w:t xml:space="preserve"> SEXTO </w:t>
      </w:r>
      <w:r w:rsidR="00767824" w:rsidRPr="008B1544">
        <w:rPr>
          <w:rFonts w:ascii="Palatino Linotype" w:eastAsia="Times New Roman" w:hAnsi="Palatino Linotype" w:cs="Arial"/>
          <w:sz w:val="24"/>
          <w:szCs w:val="24"/>
          <w:lang w:val="es-ES" w:eastAsia="es-ES"/>
        </w:rPr>
        <w:t xml:space="preserve">de la presente resolución. </w:t>
      </w:r>
    </w:p>
    <w:p w:rsidR="0087682B" w:rsidRPr="008B1544" w:rsidRDefault="0087682B" w:rsidP="008B1544">
      <w:pPr>
        <w:spacing w:after="0" w:line="360" w:lineRule="auto"/>
        <w:jc w:val="both"/>
        <w:rPr>
          <w:rFonts w:ascii="Palatino Linotype" w:eastAsia="Times New Roman" w:hAnsi="Palatino Linotype" w:cs="Times New Roman"/>
          <w:sz w:val="12"/>
          <w:szCs w:val="24"/>
          <w:lang w:val="es-ES_tradnl" w:eastAsia="es-ES"/>
        </w:rPr>
      </w:pPr>
    </w:p>
    <w:p w:rsidR="0019761F" w:rsidRPr="008B1544" w:rsidRDefault="006F025F" w:rsidP="008B1544">
      <w:pPr>
        <w:spacing w:after="0" w:line="360" w:lineRule="auto"/>
        <w:contextualSpacing/>
        <w:jc w:val="both"/>
        <w:rPr>
          <w:rFonts w:ascii="Palatino Linotype" w:eastAsia="Calibri" w:hAnsi="Palatino Linotype" w:cs="Arial"/>
          <w:sz w:val="24"/>
          <w:szCs w:val="24"/>
          <w:lang w:val="es-ES" w:eastAsia="es-ES"/>
        </w:rPr>
      </w:pPr>
      <w:r w:rsidRPr="008B1544">
        <w:rPr>
          <w:rFonts w:ascii="Palatino Linotype" w:eastAsia="Calibri" w:hAnsi="Palatino Linotype" w:cs="Arial"/>
          <w:b/>
          <w:bCs/>
          <w:sz w:val="24"/>
          <w:szCs w:val="24"/>
          <w:lang w:val="es-ES" w:eastAsia="es-ES"/>
        </w:rPr>
        <w:t xml:space="preserve">SEGUNDO. </w:t>
      </w:r>
      <w:r w:rsidRPr="008B1544">
        <w:rPr>
          <w:rFonts w:ascii="Palatino Linotype" w:eastAsia="Calibri" w:hAnsi="Palatino Linotype" w:cs="Arial"/>
          <w:sz w:val="24"/>
          <w:szCs w:val="24"/>
          <w:lang w:val="es-ES" w:eastAsia="es-ES"/>
        </w:rPr>
        <w:t xml:space="preserve">Se </w:t>
      </w:r>
      <w:bookmarkStart w:id="38" w:name="_Toc460947013"/>
      <w:r w:rsidR="00C11C6E" w:rsidRPr="008B1544">
        <w:rPr>
          <w:rFonts w:ascii="Palatino Linotype" w:eastAsia="Calibri" w:hAnsi="Palatino Linotype" w:cs="Arial"/>
          <w:b/>
          <w:sz w:val="24"/>
          <w:szCs w:val="24"/>
          <w:lang w:val="es-ES" w:eastAsia="es-ES"/>
        </w:rPr>
        <w:t>MODIFICA</w:t>
      </w:r>
      <w:r w:rsidR="00767824" w:rsidRPr="008B1544">
        <w:rPr>
          <w:rFonts w:ascii="Palatino Linotype" w:eastAsia="Calibri" w:hAnsi="Palatino Linotype" w:cs="Arial"/>
          <w:b/>
          <w:sz w:val="24"/>
          <w:szCs w:val="24"/>
          <w:lang w:val="es-ES" w:eastAsia="es-ES"/>
        </w:rPr>
        <w:t xml:space="preserve"> </w:t>
      </w:r>
      <w:r w:rsidR="00E46113" w:rsidRPr="008B1544">
        <w:rPr>
          <w:rFonts w:ascii="Palatino Linotype" w:eastAsia="Calibri" w:hAnsi="Palatino Linotype" w:cs="Arial"/>
          <w:sz w:val="24"/>
          <w:szCs w:val="24"/>
          <w:lang w:val="es-ES" w:eastAsia="es-ES"/>
        </w:rPr>
        <w:t>la respuesta</w:t>
      </w:r>
      <w:r w:rsidR="00767824" w:rsidRPr="008B1544">
        <w:rPr>
          <w:rFonts w:ascii="Palatino Linotype" w:eastAsia="Calibri" w:hAnsi="Palatino Linotype" w:cs="Arial"/>
          <w:sz w:val="24"/>
          <w:szCs w:val="24"/>
          <w:lang w:val="es-ES" w:eastAsia="es-ES"/>
        </w:rPr>
        <w:t xml:space="preserve"> emitida por la </w:t>
      </w:r>
      <w:r w:rsidR="00767824" w:rsidRPr="008B1544">
        <w:rPr>
          <w:rFonts w:ascii="Palatino Linotype" w:eastAsia="Calibri" w:hAnsi="Palatino Linotype" w:cs="Arial"/>
          <w:b/>
          <w:sz w:val="24"/>
          <w:szCs w:val="24"/>
          <w:lang w:val="es-ES" w:eastAsia="es-ES"/>
        </w:rPr>
        <w:t>Universidad Politécnica del Valle de Toluca</w:t>
      </w:r>
      <w:r w:rsidR="00767824" w:rsidRPr="008B1544">
        <w:rPr>
          <w:rFonts w:ascii="Palatino Linotype" w:eastAsia="Calibri" w:hAnsi="Palatino Linotype" w:cs="Arial"/>
          <w:sz w:val="24"/>
          <w:szCs w:val="24"/>
          <w:lang w:val="es-ES" w:eastAsia="es-ES"/>
        </w:rPr>
        <w:t xml:space="preserve"> y se </w:t>
      </w:r>
      <w:r w:rsidR="00767824" w:rsidRPr="008B1544">
        <w:rPr>
          <w:rFonts w:ascii="Palatino Linotype" w:eastAsia="Calibri" w:hAnsi="Palatino Linotype" w:cs="Arial"/>
          <w:b/>
          <w:sz w:val="24"/>
          <w:szCs w:val="24"/>
          <w:lang w:val="es-ES" w:eastAsia="es-ES"/>
        </w:rPr>
        <w:t xml:space="preserve">ORDENA </w:t>
      </w:r>
      <w:r w:rsidR="00767824" w:rsidRPr="008B1544">
        <w:rPr>
          <w:rFonts w:ascii="Palatino Linotype" w:eastAsia="Calibri" w:hAnsi="Palatino Linotype" w:cs="Arial"/>
          <w:sz w:val="24"/>
          <w:szCs w:val="24"/>
          <w:lang w:val="es-ES" w:eastAsia="es-ES"/>
        </w:rPr>
        <w:t xml:space="preserve">entregar vía Sistema de Acceso a la Información Mexiquense </w:t>
      </w:r>
      <w:r w:rsidR="00767824" w:rsidRPr="008B1544">
        <w:rPr>
          <w:rFonts w:ascii="Palatino Linotype" w:eastAsia="Calibri" w:hAnsi="Palatino Linotype" w:cs="Arial"/>
          <w:b/>
          <w:sz w:val="24"/>
          <w:szCs w:val="24"/>
          <w:lang w:val="es-ES" w:eastAsia="es-ES"/>
        </w:rPr>
        <w:t>(SAIMEX)</w:t>
      </w:r>
      <w:r w:rsidR="00767824" w:rsidRPr="008B1544">
        <w:rPr>
          <w:rFonts w:ascii="Palatino Linotype" w:eastAsia="Calibri" w:hAnsi="Palatino Linotype" w:cs="Arial"/>
          <w:sz w:val="24"/>
          <w:szCs w:val="24"/>
          <w:lang w:val="es-ES" w:eastAsia="es-ES"/>
        </w:rPr>
        <w:t>, en versión pública</w:t>
      </w:r>
      <w:r w:rsidR="00057005" w:rsidRPr="008B1544">
        <w:rPr>
          <w:rFonts w:ascii="Palatino Linotype" w:eastAsia="Calibri" w:hAnsi="Palatino Linotype" w:cs="Arial"/>
          <w:sz w:val="24"/>
          <w:szCs w:val="24"/>
          <w:lang w:val="es-ES" w:eastAsia="es-ES"/>
        </w:rPr>
        <w:t>,</w:t>
      </w:r>
      <w:r w:rsidR="00767824" w:rsidRPr="008B1544">
        <w:rPr>
          <w:rFonts w:ascii="Palatino Linotype" w:eastAsia="Calibri" w:hAnsi="Palatino Linotype" w:cs="Arial"/>
          <w:sz w:val="24"/>
          <w:szCs w:val="24"/>
          <w:lang w:val="es-ES" w:eastAsia="es-ES"/>
        </w:rPr>
        <w:t xml:space="preserve"> </w:t>
      </w:r>
      <w:r w:rsidR="00057005" w:rsidRPr="008B1544">
        <w:rPr>
          <w:rFonts w:ascii="Palatino Linotype" w:eastAsia="Calibri" w:hAnsi="Palatino Linotype" w:cs="Arial"/>
          <w:sz w:val="24"/>
          <w:szCs w:val="24"/>
          <w:lang w:val="es-ES" w:eastAsia="es-ES"/>
        </w:rPr>
        <w:t xml:space="preserve">la siguiente información: </w:t>
      </w:r>
    </w:p>
    <w:p w:rsidR="00657A3F" w:rsidRPr="008B1544" w:rsidRDefault="00657A3F" w:rsidP="008B1544">
      <w:pPr>
        <w:spacing w:after="0" w:line="360" w:lineRule="auto"/>
        <w:ind w:right="567"/>
        <w:jc w:val="both"/>
        <w:rPr>
          <w:rFonts w:ascii="Palatino Linotype" w:eastAsia="Calibri" w:hAnsi="Palatino Linotype" w:cs="Arial"/>
          <w:b/>
          <w:sz w:val="12"/>
          <w:szCs w:val="24"/>
          <w:lang w:val="es-ES" w:eastAsia="es-ES"/>
        </w:rPr>
      </w:pPr>
    </w:p>
    <w:p w:rsidR="0028350B" w:rsidRPr="008B1544" w:rsidRDefault="00C11C6E" w:rsidP="008B1544">
      <w:pPr>
        <w:pStyle w:val="Prrafodelista"/>
        <w:numPr>
          <w:ilvl w:val="0"/>
          <w:numId w:val="4"/>
        </w:numPr>
        <w:spacing w:after="0" w:line="360" w:lineRule="auto"/>
        <w:ind w:right="567"/>
        <w:jc w:val="both"/>
        <w:rPr>
          <w:rFonts w:ascii="Palatino Linotype" w:eastAsia="Calibri" w:hAnsi="Palatino Linotype" w:cs="Arial"/>
          <w:b/>
          <w:sz w:val="24"/>
          <w:szCs w:val="24"/>
          <w:lang w:val="es-ES" w:eastAsia="es-ES"/>
        </w:rPr>
      </w:pPr>
      <w:r w:rsidRPr="008B1544">
        <w:rPr>
          <w:rFonts w:ascii="Palatino Linotype" w:eastAsia="MS Mincho" w:hAnsi="Palatino Linotype" w:cs="Times New Roman"/>
          <w:b/>
          <w:sz w:val="24"/>
          <w:szCs w:val="24"/>
          <w:lang w:val="es-ES" w:eastAsia="es-ES"/>
        </w:rPr>
        <w:t xml:space="preserve">Las </w:t>
      </w:r>
      <w:r w:rsidR="0028350B" w:rsidRPr="008B1544">
        <w:rPr>
          <w:rFonts w:ascii="Palatino Linotype" w:eastAsia="MS Mincho" w:hAnsi="Palatino Linotype" w:cs="Times New Roman"/>
          <w:b/>
          <w:sz w:val="24"/>
          <w:szCs w:val="24"/>
          <w:lang w:val="es-ES" w:eastAsia="es-ES"/>
        </w:rPr>
        <w:t xml:space="preserve">renuncias proporcionadas en respuesta a la solicitud de información </w:t>
      </w:r>
      <w:r w:rsidR="0028350B" w:rsidRPr="008B1544">
        <w:rPr>
          <w:rFonts w:ascii="Palatino Linotype" w:eastAsia="Calibri" w:hAnsi="Palatino Linotype" w:cs="Arial"/>
          <w:b/>
          <w:sz w:val="24"/>
          <w:szCs w:val="24"/>
          <w:lang w:val="es-ES" w:eastAsia="es-ES"/>
        </w:rPr>
        <w:t>01745/UPVT/IP/2018; y</w:t>
      </w:r>
    </w:p>
    <w:p w:rsidR="00057005" w:rsidRPr="008B1544" w:rsidRDefault="00057005" w:rsidP="008B1544">
      <w:pPr>
        <w:pStyle w:val="Prrafodelista"/>
        <w:spacing w:after="0" w:line="360" w:lineRule="auto"/>
        <w:ind w:right="567"/>
        <w:jc w:val="both"/>
        <w:rPr>
          <w:rFonts w:ascii="Palatino Linotype" w:eastAsia="Calibri" w:hAnsi="Palatino Linotype" w:cs="Arial"/>
          <w:b/>
          <w:sz w:val="12"/>
          <w:szCs w:val="24"/>
          <w:lang w:val="es-ES" w:eastAsia="es-ES"/>
        </w:rPr>
      </w:pPr>
    </w:p>
    <w:p w:rsidR="00C11C6E" w:rsidRPr="008B1544" w:rsidRDefault="00057005" w:rsidP="008B1544">
      <w:pPr>
        <w:pStyle w:val="Prrafodelista"/>
        <w:numPr>
          <w:ilvl w:val="0"/>
          <w:numId w:val="4"/>
        </w:numPr>
        <w:spacing w:after="0" w:line="360" w:lineRule="auto"/>
        <w:ind w:right="567"/>
        <w:jc w:val="both"/>
        <w:rPr>
          <w:rFonts w:ascii="Palatino Linotype" w:eastAsia="Calibri" w:hAnsi="Palatino Linotype" w:cs="Arial"/>
          <w:b/>
          <w:sz w:val="24"/>
          <w:szCs w:val="24"/>
          <w:lang w:val="es-ES" w:eastAsia="es-ES"/>
        </w:rPr>
      </w:pPr>
      <w:r w:rsidRPr="008B1544">
        <w:rPr>
          <w:rFonts w:ascii="Palatino Linotype" w:eastAsia="MS Mincho" w:hAnsi="Palatino Linotype" w:cs="Times New Roman"/>
          <w:b/>
          <w:sz w:val="24"/>
          <w:szCs w:val="24"/>
          <w:lang w:val="es-ES" w:eastAsia="es-ES"/>
        </w:rPr>
        <w:t>Los documentos donde se aprecien l</w:t>
      </w:r>
      <w:r w:rsidR="00C11C6E" w:rsidRPr="008B1544">
        <w:rPr>
          <w:rFonts w:ascii="Palatino Linotype" w:eastAsia="MS Mincho" w:hAnsi="Palatino Linotype" w:cs="Times New Roman"/>
          <w:b/>
          <w:sz w:val="24"/>
          <w:szCs w:val="24"/>
          <w:lang w:val="es-ES" w:eastAsia="es-ES"/>
        </w:rPr>
        <w:t>as funciones realizadas por los servidores públicos que</w:t>
      </w:r>
      <w:r w:rsidRPr="008B1544">
        <w:rPr>
          <w:rFonts w:ascii="Palatino Linotype" w:eastAsia="MS Mincho" w:hAnsi="Palatino Linotype" w:cs="Times New Roman"/>
          <w:b/>
          <w:sz w:val="24"/>
          <w:szCs w:val="24"/>
          <w:lang w:val="es-ES" w:eastAsia="es-ES"/>
        </w:rPr>
        <w:t xml:space="preserve"> </w:t>
      </w:r>
      <w:r w:rsidR="0028350B" w:rsidRPr="008B1544">
        <w:rPr>
          <w:rFonts w:ascii="Palatino Linotype" w:eastAsia="MS Mincho" w:hAnsi="Palatino Linotype" w:cs="Times New Roman"/>
          <w:b/>
          <w:sz w:val="24"/>
          <w:szCs w:val="24"/>
          <w:lang w:val="es-ES" w:eastAsia="es-ES"/>
        </w:rPr>
        <w:t>presentaron</w:t>
      </w:r>
      <w:r w:rsidRPr="008B1544">
        <w:rPr>
          <w:rFonts w:ascii="Palatino Linotype" w:eastAsia="MS Mincho" w:hAnsi="Palatino Linotype" w:cs="Times New Roman"/>
          <w:b/>
          <w:sz w:val="24"/>
          <w:szCs w:val="24"/>
          <w:lang w:val="es-ES" w:eastAsia="es-ES"/>
        </w:rPr>
        <w:t xml:space="preserve"> las renuncias </w:t>
      </w:r>
      <w:r w:rsidR="0028350B" w:rsidRPr="008B1544">
        <w:rPr>
          <w:rFonts w:ascii="Palatino Linotype" w:eastAsia="MS Mincho" w:hAnsi="Palatino Linotype" w:cs="Times New Roman"/>
          <w:b/>
          <w:sz w:val="24"/>
          <w:szCs w:val="24"/>
          <w:lang w:val="es-ES" w:eastAsia="es-ES"/>
        </w:rPr>
        <w:t xml:space="preserve">entregadas en </w:t>
      </w:r>
      <w:r w:rsidR="00D06242" w:rsidRPr="008B1544">
        <w:rPr>
          <w:rFonts w:ascii="Palatino Linotype" w:eastAsia="MS Mincho" w:hAnsi="Palatino Linotype" w:cs="Times New Roman"/>
          <w:b/>
          <w:sz w:val="24"/>
          <w:szCs w:val="24"/>
          <w:lang w:val="es-ES" w:eastAsia="es-ES"/>
        </w:rPr>
        <w:t>respuesta a la solicitud de información 01745/UPVT/IP/2018.</w:t>
      </w:r>
    </w:p>
    <w:p w:rsidR="00057005" w:rsidRPr="008B1544" w:rsidRDefault="00057005" w:rsidP="008B1544">
      <w:pPr>
        <w:spacing w:after="0" w:line="360" w:lineRule="auto"/>
        <w:ind w:right="567"/>
        <w:jc w:val="both"/>
        <w:rPr>
          <w:rFonts w:ascii="Palatino Linotype" w:eastAsia="Calibri" w:hAnsi="Palatino Linotype" w:cs="Arial"/>
          <w:b/>
          <w:sz w:val="12"/>
          <w:szCs w:val="24"/>
          <w:highlight w:val="yellow"/>
          <w:lang w:val="es-ES" w:eastAsia="es-ES"/>
        </w:rPr>
      </w:pPr>
    </w:p>
    <w:p w:rsidR="00C11C6E" w:rsidRPr="008B1544" w:rsidRDefault="00FC13E7" w:rsidP="008B1544">
      <w:pPr>
        <w:spacing w:after="0" w:line="360" w:lineRule="auto"/>
        <w:jc w:val="both"/>
        <w:rPr>
          <w:rFonts w:ascii="Palatino Linotype" w:eastAsia="MS Mincho" w:hAnsi="Palatino Linotype" w:cs="Times New Roman"/>
          <w:b/>
          <w:sz w:val="24"/>
          <w:szCs w:val="24"/>
          <w:lang w:val="es-ES_tradnl" w:eastAsia="es-ES"/>
        </w:rPr>
      </w:pPr>
      <w:r w:rsidRPr="008B1544">
        <w:rPr>
          <w:rFonts w:ascii="Palatino Linotype" w:eastAsia="Calibri" w:hAnsi="Palatino Linotype" w:cs="Arial"/>
          <w:sz w:val="24"/>
          <w:szCs w:val="24"/>
          <w:lang w:val="es-ES_tradnl" w:eastAsia="es-ES"/>
        </w:rPr>
        <w:t xml:space="preserve">Para efectos de lo anterior se deberá emitir el Acuerdo del Comité de Transparencia en términos del Considerando Quinto y de los artículos 49 fracción VIII y 132 fracción II de la Ley de Transparencia y Acceso a la Información Pública del Estado de México y Municipios, en el que funde y motive las razones sobre los datos que </w:t>
      </w:r>
      <w:r w:rsidRPr="008B1544">
        <w:rPr>
          <w:rFonts w:ascii="Palatino Linotype" w:eastAsia="Calibri" w:hAnsi="Palatino Linotype" w:cs="Arial"/>
          <w:sz w:val="24"/>
          <w:szCs w:val="24"/>
          <w:lang w:val="es-ES_tradnl" w:eastAsia="es-ES"/>
        </w:rPr>
        <w:lastRenderedPageBreak/>
        <w:t>se supriman o eliminen dentro del soporte documental respectivo objeto de las versiones públicas que se formulen y se ponga a disposición de</w:t>
      </w:r>
      <w:r w:rsidR="00C11C6E" w:rsidRPr="008B1544">
        <w:rPr>
          <w:rFonts w:ascii="Palatino Linotype" w:eastAsia="Calibri" w:hAnsi="Palatino Linotype" w:cs="Arial"/>
          <w:sz w:val="24"/>
          <w:szCs w:val="24"/>
          <w:lang w:val="es-ES_tradnl" w:eastAsia="es-ES"/>
        </w:rPr>
        <w:t xml:space="preserve"> la</w:t>
      </w:r>
      <w:r w:rsidR="00C11C6E" w:rsidRPr="008B1544">
        <w:rPr>
          <w:rFonts w:ascii="Palatino Linotype" w:eastAsia="MS Mincho" w:hAnsi="Palatino Linotype" w:cs="Times New Roman"/>
          <w:sz w:val="24"/>
          <w:szCs w:val="24"/>
          <w:lang w:val="es-ES_tradnl" w:eastAsia="es-ES"/>
        </w:rPr>
        <w:t xml:space="preserve"> </w:t>
      </w:r>
      <w:r w:rsidR="00C11C6E" w:rsidRPr="008B1544">
        <w:rPr>
          <w:rFonts w:ascii="Palatino Linotype" w:eastAsia="MS Mincho" w:hAnsi="Palatino Linotype" w:cs="Times New Roman"/>
          <w:b/>
          <w:sz w:val="24"/>
          <w:szCs w:val="24"/>
          <w:lang w:val="es-ES_tradnl" w:eastAsia="es-ES"/>
        </w:rPr>
        <w:t>Recurrente</w:t>
      </w:r>
      <w:r w:rsidRPr="008B1544">
        <w:rPr>
          <w:rFonts w:ascii="Palatino Linotype" w:eastAsia="MS Mincho" w:hAnsi="Palatino Linotype" w:cs="Times New Roman"/>
          <w:b/>
          <w:sz w:val="24"/>
          <w:szCs w:val="24"/>
          <w:lang w:val="es-ES_tradnl" w:eastAsia="es-ES"/>
        </w:rPr>
        <w:t>.</w:t>
      </w:r>
    </w:p>
    <w:p w:rsidR="00C11C6E" w:rsidRPr="008B1544" w:rsidRDefault="00C11C6E" w:rsidP="008B1544">
      <w:pPr>
        <w:spacing w:after="0" w:line="360" w:lineRule="auto"/>
        <w:jc w:val="both"/>
        <w:rPr>
          <w:rFonts w:ascii="Palatino Linotype" w:eastAsia="MS Mincho" w:hAnsi="Palatino Linotype" w:cs="Times New Roman"/>
          <w:b/>
          <w:sz w:val="12"/>
          <w:szCs w:val="24"/>
          <w:lang w:val="es-ES_tradnl" w:eastAsia="es-ES"/>
        </w:rPr>
      </w:pPr>
    </w:p>
    <w:p w:rsidR="000201D1" w:rsidRPr="008B1544" w:rsidRDefault="00C07697" w:rsidP="008B1544">
      <w:pPr>
        <w:spacing w:after="0" w:line="360" w:lineRule="auto"/>
        <w:jc w:val="both"/>
        <w:rPr>
          <w:rFonts w:ascii="Palatino Linotype" w:eastAsia="MS Mincho" w:hAnsi="Palatino Linotype" w:cs="Times New Roman"/>
          <w:color w:val="000000"/>
          <w:sz w:val="24"/>
          <w:szCs w:val="24"/>
          <w:lang w:val="es-ES_tradnl" w:eastAsia="es-ES"/>
        </w:rPr>
      </w:pPr>
      <w:r w:rsidRPr="008B1544">
        <w:rPr>
          <w:rFonts w:ascii="Palatino Linotype" w:eastAsia="MS Mincho" w:hAnsi="Palatino Linotype" w:cs="Times New Roman"/>
          <w:b/>
          <w:color w:val="000000"/>
          <w:sz w:val="24"/>
          <w:szCs w:val="24"/>
          <w:lang w:val="es-ES_tradnl" w:eastAsia="es-ES"/>
        </w:rPr>
        <w:t>TERCERO</w:t>
      </w:r>
      <w:r w:rsidR="000201D1" w:rsidRPr="008B1544">
        <w:rPr>
          <w:rFonts w:ascii="Palatino Linotype" w:eastAsia="MS Mincho" w:hAnsi="Palatino Linotype" w:cs="Times New Roman"/>
          <w:b/>
          <w:color w:val="000000"/>
          <w:sz w:val="24"/>
          <w:szCs w:val="24"/>
          <w:lang w:val="es-ES_tradnl" w:eastAsia="es-ES"/>
        </w:rPr>
        <w:t>.</w:t>
      </w:r>
      <w:r w:rsidR="000201D1" w:rsidRPr="008B1544">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8B1544">
        <w:rPr>
          <w:rFonts w:ascii="Palatino Linotype" w:eastAsia="MS Mincho" w:hAnsi="Palatino Linotype" w:cs="Times New Roman"/>
          <w:b/>
          <w:color w:val="000000"/>
          <w:sz w:val="24"/>
          <w:szCs w:val="24"/>
          <w:lang w:val="es-ES_tradnl" w:eastAsia="es-ES"/>
        </w:rPr>
        <w:t xml:space="preserve"> </w:t>
      </w:r>
      <w:r w:rsidR="0087682B" w:rsidRPr="008B1544">
        <w:rPr>
          <w:rFonts w:ascii="Palatino Linotype" w:eastAsia="MS Mincho" w:hAnsi="Palatino Linotype" w:cs="Times New Roman"/>
          <w:color w:val="000000"/>
          <w:sz w:val="24"/>
          <w:szCs w:val="24"/>
          <w:lang w:val="es-ES_tradnl" w:eastAsia="es-ES"/>
        </w:rPr>
        <w:t>Sujeto Obligado</w:t>
      </w:r>
      <w:r w:rsidR="000201D1" w:rsidRPr="008B1544">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bookmarkStart w:id="39" w:name="_GoBack"/>
      <w:bookmarkEnd w:id="39"/>
    </w:p>
    <w:p w:rsidR="00C07697" w:rsidRPr="008B1544" w:rsidRDefault="00C07697" w:rsidP="008B1544">
      <w:pPr>
        <w:spacing w:after="0" w:line="360" w:lineRule="auto"/>
        <w:jc w:val="both"/>
        <w:rPr>
          <w:rFonts w:ascii="Palatino Linotype" w:eastAsia="MS Mincho" w:hAnsi="Palatino Linotype" w:cs="Times New Roman"/>
          <w:color w:val="000000"/>
          <w:sz w:val="12"/>
          <w:szCs w:val="24"/>
          <w:lang w:val="es-ES_tradnl" w:eastAsia="es-ES"/>
        </w:rPr>
      </w:pPr>
    </w:p>
    <w:p w:rsidR="000201D1" w:rsidRPr="008B1544" w:rsidRDefault="00C07697" w:rsidP="008B1544">
      <w:pPr>
        <w:spacing w:after="0" w:line="360" w:lineRule="auto"/>
        <w:jc w:val="both"/>
        <w:rPr>
          <w:rFonts w:ascii="Palatino Linotype" w:eastAsia="MS Mincho" w:hAnsi="Palatino Linotype" w:cs="Times New Roman"/>
          <w:color w:val="000000"/>
          <w:sz w:val="24"/>
          <w:szCs w:val="24"/>
          <w:lang w:val="es-ES_tradnl" w:eastAsia="es-ES"/>
        </w:rPr>
      </w:pPr>
      <w:r w:rsidRPr="008B1544">
        <w:rPr>
          <w:rFonts w:ascii="Palatino Linotype" w:eastAsia="MS Mincho" w:hAnsi="Palatino Linotype" w:cs="Times New Roman"/>
          <w:b/>
          <w:color w:val="000000"/>
          <w:sz w:val="24"/>
          <w:szCs w:val="24"/>
          <w:lang w:val="es-ES_tradnl" w:eastAsia="es-ES"/>
        </w:rPr>
        <w:t>CUARTO</w:t>
      </w:r>
      <w:r w:rsidR="000201D1" w:rsidRPr="008B1544">
        <w:rPr>
          <w:rFonts w:ascii="Palatino Linotype" w:eastAsia="MS Mincho" w:hAnsi="Palatino Linotype" w:cs="Times New Roman"/>
          <w:b/>
          <w:color w:val="000000"/>
          <w:sz w:val="24"/>
          <w:szCs w:val="24"/>
          <w:lang w:val="es-ES_tradnl" w:eastAsia="es-ES"/>
        </w:rPr>
        <w:t xml:space="preserve">. </w:t>
      </w:r>
      <w:r w:rsidR="000201D1" w:rsidRPr="008B1544">
        <w:rPr>
          <w:rFonts w:ascii="Palatino Linotype" w:eastAsia="MS Mincho" w:hAnsi="Palatino Linotype" w:cs="Times New Roman"/>
          <w:color w:val="000000"/>
          <w:sz w:val="24"/>
          <w:szCs w:val="24"/>
          <w:lang w:val="es-ES_tradnl" w:eastAsia="es-ES"/>
        </w:rPr>
        <w:t>Notifíquese a</w:t>
      </w:r>
      <w:r w:rsidR="00C11C6E" w:rsidRPr="008B1544">
        <w:rPr>
          <w:rFonts w:ascii="Palatino Linotype" w:eastAsia="MS Mincho" w:hAnsi="Palatino Linotype" w:cs="Times New Roman"/>
          <w:color w:val="000000"/>
          <w:sz w:val="24"/>
          <w:szCs w:val="24"/>
          <w:lang w:val="es-ES_tradnl" w:eastAsia="es-ES"/>
        </w:rPr>
        <w:t xml:space="preserve"> la </w:t>
      </w:r>
      <w:r w:rsidR="00527E55" w:rsidRPr="00527E55">
        <w:rPr>
          <w:rFonts w:ascii="Palatino Linotype" w:eastAsia="MS Mincho" w:hAnsi="Palatino Linotype" w:cs="Times New Roman"/>
          <w:b/>
          <w:color w:val="000000"/>
          <w:sz w:val="24"/>
          <w:szCs w:val="24"/>
          <w:highlight w:val="black"/>
          <w:lang w:val="es-ES_tradnl" w:eastAsia="es-ES"/>
        </w:rPr>
        <w:t>----------------------</w:t>
      </w:r>
      <w:r w:rsidR="00527E55" w:rsidRPr="004F0F88">
        <w:rPr>
          <w:rFonts w:ascii="Palatino Linotype" w:eastAsia="MS Mincho" w:hAnsi="Palatino Linotype" w:cs="Times New Roman"/>
          <w:b/>
          <w:color w:val="000000"/>
          <w:sz w:val="24"/>
          <w:szCs w:val="24"/>
          <w:highlight w:val="black"/>
          <w:lang w:val="es-ES_tradnl" w:eastAsia="es-ES"/>
        </w:rPr>
        <w:t>-------</w:t>
      </w:r>
      <w:r w:rsidR="00527E55" w:rsidRPr="00527E55">
        <w:rPr>
          <w:rFonts w:ascii="Palatino Linotype" w:eastAsia="MS Mincho" w:hAnsi="Palatino Linotype" w:cs="Times New Roman"/>
          <w:b/>
          <w:color w:val="000000"/>
          <w:sz w:val="24"/>
          <w:szCs w:val="24"/>
          <w:highlight w:val="black"/>
          <w:lang w:val="es-ES_tradnl" w:eastAsia="es-ES"/>
        </w:rPr>
        <w:t>-----</w:t>
      </w:r>
      <w:r w:rsidR="0028350B" w:rsidRPr="008B1544">
        <w:rPr>
          <w:rFonts w:ascii="Palatino Linotype" w:eastAsia="MS Mincho" w:hAnsi="Palatino Linotype" w:cs="Times New Roman"/>
          <w:b/>
          <w:color w:val="000000"/>
          <w:sz w:val="24"/>
          <w:szCs w:val="24"/>
          <w:lang w:val="es-ES_tradnl" w:eastAsia="es-ES"/>
        </w:rPr>
        <w:t xml:space="preserve"> </w:t>
      </w:r>
      <w:proofErr w:type="spellStart"/>
      <w:r w:rsidR="00C000C8" w:rsidRPr="008B1544">
        <w:rPr>
          <w:rFonts w:ascii="Palatino Linotype" w:eastAsia="MS Mincho" w:hAnsi="Palatino Linotype" w:cs="Times New Roman"/>
          <w:color w:val="000000"/>
          <w:sz w:val="24"/>
          <w:szCs w:val="24"/>
          <w:lang w:val="es-ES_tradnl" w:eastAsia="es-ES"/>
        </w:rPr>
        <w:t>la</w:t>
      </w:r>
      <w:proofErr w:type="spellEnd"/>
      <w:r w:rsidR="00C000C8" w:rsidRPr="008B1544">
        <w:rPr>
          <w:rFonts w:ascii="Palatino Linotype" w:eastAsia="MS Mincho" w:hAnsi="Palatino Linotype" w:cs="Times New Roman"/>
          <w:color w:val="000000"/>
          <w:sz w:val="24"/>
          <w:szCs w:val="24"/>
          <w:lang w:val="es-ES_tradnl" w:eastAsia="es-ES"/>
        </w:rPr>
        <w:t xml:space="preserve"> presente resolución y su</w:t>
      </w:r>
      <w:r w:rsidR="00B07BE5" w:rsidRPr="008B1544">
        <w:rPr>
          <w:rFonts w:ascii="Palatino Linotype" w:eastAsia="MS Mincho" w:hAnsi="Palatino Linotype" w:cs="Times New Roman"/>
          <w:color w:val="000000"/>
          <w:sz w:val="24"/>
          <w:szCs w:val="24"/>
          <w:lang w:val="es-ES_tradnl" w:eastAsia="es-ES"/>
        </w:rPr>
        <w:t xml:space="preserve"> informe justificado.</w:t>
      </w:r>
    </w:p>
    <w:p w:rsidR="00C07697" w:rsidRPr="008B1544" w:rsidRDefault="00C07697" w:rsidP="008B1544">
      <w:pPr>
        <w:spacing w:after="0" w:line="360" w:lineRule="auto"/>
        <w:jc w:val="both"/>
        <w:rPr>
          <w:rFonts w:ascii="Palatino Linotype" w:eastAsia="MS Mincho" w:hAnsi="Palatino Linotype" w:cs="Times New Roman"/>
          <w:color w:val="000000"/>
          <w:sz w:val="12"/>
          <w:szCs w:val="24"/>
          <w:lang w:val="es-ES_tradnl" w:eastAsia="es-ES"/>
        </w:rPr>
      </w:pPr>
    </w:p>
    <w:p w:rsidR="00792776" w:rsidRPr="008B1544" w:rsidRDefault="00C07697" w:rsidP="008B1544">
      <w:pPr>
        <w:spacing w:after="0" w:line="360" w:lineRule="auto"/>
        <w:jc w:val="both"/>
        <w:rPr>
          <w:rFonts w:ascii="Palatino Linotype" w:hAnsi="Palatino Linotype"/>
          <w:b/>
          <w:sz w:val="24"/>
          <w:szCs w:val="24"/>
        </w:rPr>
      </w:pPr>
      <w:r w:rsidRPr="008B1544">
        <w:rPr>
          <w:rFonts w:ascii="Palatino Linotype" w:eastAsia="MS Mincho" w:hAnsi="Palatino Linotype" w:cs="Times New Roman"/>
          <w:b/>
          <w:sz w:val="24"/>
          <w:szCs w:val="24"/>
          <w:lang w:val="es-ES_tradnl" w:eastAsia="es-ES"/>
        </w:rPr>
        <w:t>QUINTO</w:t>
      </w:r>
      <w:r w:rsidR="000201D1" w:rsidRPr="008B1544">
        <w:rPr>
          <w:rFonts w:ascii="Palatino Linotype" w:eastAsia="MS Mincho" w:hAnsi="Palatino Linotype" w:cs="Times New Roman"/>
          <w:b/>
          <w:color w:val="000000"/>
          <w:sz w:val="24"/>
          <w:szCs w:val="24"/>
          <w:lang w:val="es-ES_tradnl" w:eastAsia="es-ES"/>
        </w:rPr>
        <w:t xml:space="preserve">. </w:t>
      </w:r>
      <w:r w:rsidR="000201D1" w:rsidRPr="008B1544">
        <w:rPr>
          <w:rFonts w:ascii="Palatino Linotype" w:eastAsia="MS Mincho" w:hAnsi="Palatino Linotype" w:cs="Times New Roman"/>
          <w:color w:val="000000"/>
          <w:sz w:val="24"/>
          <w:szCs w:val="24"/>
          <w:lang w:val="es-ES_tradnl" w:eastAsia="es-ES"/>
        </w:rPr>
        <w:t xml:space="preserve">Se hace del conocimiento de </w:t>
      </w:r>
      <w:r w:rsidR="00527E55" w:rsidRPr="00527E55">
        <w:rPr>
          <w:rFonts w:ascii="Palatino Linotype" w:hAnsi="Palatino Linotype"/>
          <w:b/>
          <w:sz w:val="24"/>
          <w:szCs w:val="24"/>
          <w:highlight w:val="black"/>
          <w:lang w:val="es-ES_tradnl"/>
        </w:rPr>
        <w:t>--------------------------------</w:t>
      </w:r>
      <w:r w:rsidR="0028350B" w:rsidRPr="008B1544">
        <w:rPr>
          <w:rFonts w:ascii="Palatino Linotype" w:hAnsi="Palatino Linotype"/>
          <w:b/>
          <w:sz w:val="24"/>
          <w:szCs w:val="24"/>
        </w:rPr>
        <w:t xml:space="preserve"> </w:t>
      </w:r>
      <w:r w:rsidR="000201D1" w:rsidRPr="008B1544">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8"/>
    </w:p>
    <w:p w:rsidR="00C07697" w:rsidRPr="008B1544" w:rsidRDefault="00C07697" w:rsidP="008B1544">
      <w:pPr>
        <w:spacing w:after="0" w:line="360" w:lineRule="auto"/>
        <w:jc w:val="both"/>
        <w:rPr>
          <w:rFonts w:ascii="Palatino Linotype" w:eastAsia="MS Mincho" w:hAnsi="Palatino Linotype" w:cs="Times New Roman"/>
          <w:sz w:val="12"/>
          <w:szCs w:val="24"/>
          <w:lang w:val="es-ES_tradnl" w:eastAsia="es-ES"/>
        </w:rPr>
      </w:pPr>
    </w:p>
    <w:p w:rsidR="00436768" w:rsidRPr="008B1544" w:rsidRDefault="00E93981" w:rsidP="008B1544">
      <w:pPr>
        <w:spacing w:after="0" w:line="360" w:lineRule="auto"/>
        <w:ind w:firstLine="1"/>
        <w:jc w:val="both"/>
        <w:rPr>
          <w:rFonts w:ascii="Palatino Linotype" w:hAnsi="Palatino Linotype"/>
          <w:sz w:val="24"/>
          <w:szCs w:val="24"/>
        </w:rPr>
      </w:pPr>
      <w:r w:rsidRPr="008B1544">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B1544">
        <w:rPr>
          <w:rFonts w:ascii="Palatino Linotype" w:hAnsi="Palatino Linotype"/>
          <w:sz w:val="24"/>
          <w:szCs w:val="24"/>
        </w:rPr>
        <w:lastRenderedPageBreak/>
        <w:t>HERNÁNDEZ; JAVIER MARTÍNEZ CRUZ Y LUIS GUSTAVO PARRA NORIEGA;</w:t>
      </w:r>
      <w:r w:rsidRPr="008B1544">
        <w:rPr>
          <w:rFonts w:ascii="Palatino Linotype" w:hAnsi="Palatino Linotype"/>
          <w:sz w:val="24"/>
          <w:szCs w:val="24"/>
        </w:rPr>
        <w:t xml:space="preserve"> </w:t>
      </w:r>
      <w:r w:rsidR="00D85D64">
        <w:rPr>
          <w:rFonts w:ascii="Palatino Linotype" w:hAnsi="Palatino Linotype"/>
          <w:sz w:val="24"/>
          <w:szCs w:val="24"/>
        </w:rPr>
        <w:t>EN LA DÉ</w:t>
      </w:r>
      <w:r w:rsidR="00734B8A" w:rsidRPr="00734B8A">
        <w:rPr>
          <w:rFonts w:ascii="Palatino Linotype" w:hAnsi="Palatino Linotype"/>
          <w:sz w:val="24"/>
          <w:szCs w:val="24"/>
        </w:rPr>
        <w:t xml:space="preserve">CIMA QUINTA </w:t>
      </w:r>
      <w:r w:rsidRPr="00734B8A">
        <w:rPr>
          <w:rFonts w:ascii="Palatino Linotype" w:hAnsi="Palatino Linotype"/>
          <w:sz w:val="24"/>
          <w:szCs w:val="24"/>
        </w:rPr>
        <w:t xml:space="preserve">SESIÓN ORDINARIA CELEBRADA EL DÍA </w:t>
      </w:r>
      <w:r w:rsidR="00734B8A" w:rsidRPr="00734B8A">
        <w:rPr>
          <w:rFonts w:ascii="Palatino Linotype" w:hAnsi="Palatino Linotype"/>
          <w:sz w:val="24"/>
          <w:szCs w:val="24"/>
        </w:rPr>
        <w:t>VEINTICUATRO (24)  DE ABRIL DE DOS MIL DIECINUEVE</w:t>
      </w:r>
      <w:r w:rsidRPr="00734B8A">
        <w:rPr>
          <w:rFonts w:ascii="Palatino Linotype" w:hAnsi="Palatino Linotype"/>
          <w:sz w:val="24"/>
          <w:szCs w:val="24"/>
        </w:rPr>
        <w:t>,</w:t>
      </w:r>
      <w:r w:rsidRPr="008B1544">
        <w:rPr>
          <w:rFonts w:ascii="Palatino Linotype" w:hAnsi="Palatino Linotype"/>
          <w:sz w:val="24"/>
          <w:szCs w:val="24"/>
        </w:rPr>
        <w:t xml:space="preserve"> ANTE EL SECRETARIO TÉCNICO DEL PLENO, ALEXIS TAPIA RAMÍREZ.</w:t>
      </w:r>
      <w:r w:rsidR="00DE28D9" w:rsidRPr="008B1544">
        <w:rPr>
          <w:rFonts w:ascii="Palatino Linotype" w:hAnsi="Palatino Linotype"/>
          <w:sz w:val="24"/>
          <w:szCs w:val="24"/>
        </w:rPr>
        <w:t xml:space="preserve"> </w:t>
      </w:r>
    </w:p>
    <w:p w:rsidR="00DE28D9" w:rsidRPr="008B1544" w:rsidRDefault="00DE28D9" w:rsidP="008B1544">
      <w:pPr>
        <w:spacing w:after="0" w:line="360" w:lineRule="auto"/>
        <w:ind w:firstLine="1"/>
        <w:jc w:val="both"/>
        <w:rPr>
          <w:rFonts w:ascii="Palatino Linotype" w:hAnsi="Palatino Linotype"/>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436768" w:rsidRPr="008B1544" w:rsidTr="00057254">
        <w:trPr>
          <w:trHeight w:val="1168"/>
        </w:trPr>
        <w:tc>
          <w:tcPr>
            <w:tcW w:w="8697" w:type="dxa"/>
            <w:gridSpan w:val="2"/>
            <w:vAlign w:val="center"/>
          </w:tcPr>
          <w:p w:rsidR="00436768" w:rsidRPr="008B1544" w:rsidRDefault="00436768" w:rsidP="008B1544">
            <w:pPr>
              <w:spacing w:line="360" w:lineRule="auto"/>
              <w:jc w:val="center"/>
              <w:rPr>
                <w:rFonts w:ascii="Palatino Linotype" w:hAnsi="Palatino Linotype" w:cs="Times New Roman"/>
                <w:b/>
              </w:rPr>
            </w:pPr>
            <w:r w:rsidRPr="008B1544">
              <w:rPr>
                <w:rFonts w:ascii="Palatino Linotype" w:hAnsi="Palatino Linotype" w:cs="Times New Roman"/>
                <w:b/>
              </w:rPr>
              <w:t>Zulema Martínez Sánchez</w:t>
            </w:r>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Comisionada Presidenta</w:t>
            </w:r>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(Rúbrica)</w:t>
            </w:r>
          </w:p>
        </w:tc>
      </w:tr>
      <w:tr w:rsidR="00436768" w:rsidRPr="008B1544" w:rsidTr="00057254">
        <w:trPr>
          <w:trHeight w:val="1395"/>
        </w:trPr>
        <w:tc>
          <w:tcPr>
            <w:tcW w:w="4348" w:type="dxa"/>
            <w:vAlign w:val="center"/>
          </w:tcPr>
          <w:p w:rsidR="00436768" w:rsidRPr="008B1544" w:rsidRDefault="00436768" w:rsidP="008B1544">
            <w:pPr>
              <w:spacing w:line="360" w:lineRule="auto"/>
              <w:jc w:val="center"/>
              <w:rPr>
                <w:rFonts w:ascii="Palatino Linotype" w:hAnsi="Palatino Linotype" w:cs="Times New Roman"/>
                <w:b/>
              </w:rPr>
            </w:pPr>
            <w:r w:rsidRPr="008B1544">
              <w:rPr>
                <w:rFonts w:ascii="Palatino Linotype" w:hAnsi="Palatino Linotype" w:cs="Times New Roman"/>
                <w:b/>
              </w:rPr>
              <w:t xml:space="preserve">Eva </w:t>
            </w:r>
            <w:proofErr w:type="spellStart"/>
            <w:r w:rsidRPr="008B1544">
              <w:rPr>
                <w:rFonts w:ascii="Palatino Linotype" w:hAnsi="Palatino Linotype" w:cs="Times New Roman"/>
                <w:b/>
              </w:rPr>
              <w:t>Abaid</w:t>
            </w:r>
            <w:proofErr w:type="spellEnd"/>
            <w:r w:rsidRPr="008B1544">
              <w:rPr>
                <w:rFonts w:ascii="Palatino Linotype" w:hAnsi="Palatino Linotype" w:cs="Times New Roman"/>
                <w:b/>
              </w:rPr>
              <w:t xml:space="preserve"> </w:t>
            </w:r>
            <w:proofErr w:type="spellStart"/>
            <w:r w:rsidRPr="008B1544">
              <w:rPr>
                <w:rFonts w:ascii="Palatino Linotype" w:hAnsi="Palatino Linotype" w:cs="Times New Roman"/>
                <w:b/>
              </w:rPr>
              <w:t>Yapur</w:t>
            </w:r>
            <w:proofErr w:type="spellEnd"/>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Comisionada</w:t>
            </w:r>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(Rúbrica)</w:t>
            </w:r>
          </w:p>
        </w:tc>
        <w:tc>
          <w:tcPr>
            <w:tcW w:w="4349" w:type="dxa"/>
            <w:vAlign w:val="center"/>
          </w:tcPr>
          <w:p w:rsidR="00436768" w:rsidRPr="008B1544" w:rsidRDefault="00436768" w:rsidP="008B1544">
            <w:pPr>
              <w:spacing w:line="360" w:lineRule="auto"/>
              <w:jc w:val="center"/>
              <w:rPr>
                <w:rFonts w:ascii="Palatino Linotype" w:hAnsi="Palatino Linotype" w:cs="Times New Roman"/>
                <w:b/>
              </w:rPr>
            </w:pPr>
          </w:p>
          <w:p w:rsidR="00436768" w:rsidRPr="008B1544" w:rsidRDefault="00436768" w:rsidP="008B1544">
            <w:pPr>
              <w:spacing w:line="360" w:lineRule="auto"/>
              <w:jc w:val="center"/>
              <w:rPr>
                <w:rFonts w:ascii="Palatino Linotype" w:hAnsi="Palatino Linotype" w:cs="Times New Roman"/>
                <w:b/>
              </w:rPr>
            </w:pPr>
            <w:r w:rsidRPr="008B1544">
              <w:rPr>
                <w:rFonts w:ascii="Palatino Linotype" w:hAnsi="Palatino Linotype" w:cs="Times New Roman"/>
                <w:b/>
              </w:rPr>
              <w:t>José Guadalupe Luna Hernández</w:t>
            </w:r>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Comisionado</w:t>
            </w:r>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(Rúbrica)</w:t>
            </w:r>
          </w:p>
          <w:p w:rsidR="00436768" w:rsidRPr="008B1544" w:rsidRDefault="00436768" w:rsidP="008B1544">
            <w:pPr>
              <w:spacing w:line="360" w:lineRule="auto"/>
              <w:jc w:val="center"/>
              <w:rPr>
                <w:rFonts w:ascii="Palatino Linotype" w:hAnsi="Palatino Linotype" w:cs="Times New Roman"/>
              </w:rPr>
            </w:pPr>
          </w:p>
        </w:tc>
      </w:tr>
      <w:tr w:rsidR="00436768" w:rsidRPr="008B1544" w:rsidTr="00057254">
        <w:trPr>
          <w:trHeight w:val="1451"/>
        </w:trPr>
        <w:tc>
          <w:tcPr>
            <w:tcW w:w="4348" w:type="dxa"/>
            <w:vAlign w:val="center"/>
          </w:tcPr>
          <w:p w:rsidR="00436768" w:rsidRPr="008B1544" w:rsidRDefault="00436768" w:rsidP="008B1544">
            <w:pPr>
              <w:spacing w:line="360" w:lineRule="auto"/>
              <w:jc w:val="center"/>
              <w:rPr>
                <w:rFonts w:ascii="Palatino Linotype" w:hAnsi="Palatino Linotype" w:cs="Times New Roman"/>
                <w:b/>
              </w:rPr>
            </w:pPr>
            <w:r w:rsidRPr="008B1544">
              <w:rPr>
                <w:rFonts w:ascii="Palatino Linotype" w:hAnsi="Palatino Linotype" w:cs="Times New Roman"/>
                <w:b/>
              </w:rPr>
              <w:t>Javier Martínez Cruz</w:t>
            </w:r>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Comisionado</w:t>
            </w:r>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(Rúbrica)</w:t>
            </w:r>
          </w:p>
        </w:tc>
        <w:tc>
          <w:tcPr>
            <w:tcW w:w="4349" w:type="dxa"/>
            <w:vAlign w:val="center"/>
          </w:tcPr>
          <w:p w:rsidR="00436768" w:rsidRPr="008B1544" w:rsidRDefault="00436768" w:rsidP="008B1544">
            <w:pPr>
              <w:spacing w:line="360" w:lineRule="auto"/>
              <w:jc w:val="center"/>
              <w:rPr>
                <w:rFonts w:ascii="Palatino Linotype" w:hAnsi="Palatino Linotype" w:cs="Times New Roman"/>
                <w:b/>
              </w:rPr>
            </w:pPr>
            <w:r w:rsidRPr="008B1544">
              <w:rPr>
                <w:rFonts w:ascii="Palatino Linotype" w:hAnsi="Palatino Linotype" w:cs="Times New Roman"/>
                <w:b/>
              </w:rPr>
              <w:t>Luis Gustavo Parra Noriega</w:t>
            </w:r>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Comisionado</w:t>
            </w:r>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(Rúbrica)</w:t>
            </w:r>
          </w:p>
        </w:tc>
      </w:tr>
      <w:tr w:rsidR="00436768" w:rsidRPr="008B1544" w:rsidTr="00057254">
        <w:trPr>
          <w:trHeight w:val="1263"/>
        </w:trPr>
        <w:tc>
          <w:tcPr>
            <w:tcW w:w="8697" w:type="dxa"/>
            <w:gridSpan w:val="2"/>
            <w:vAlign w:val="center"/>
          </w:tcPr>
          <w:p w:rsidR="00436768" w:rsidRPr="008B1544" w:rsidRDefault="00436768" w:rsidP="008B1544">
            <w:pPr>
              <w:spacing w:line="360" w:lineRule="auto"/>
              <w:rPr>
                <w:rFonts w:ascii="Palatino Linotype" w:hAnsi="Palatino Linotype" w:cs="Times New Roman"/>
                <w:b/>
                <w:sz w:val="2"/>
              </w:rPr>
            </w:pPr>
          </w:p>
          <w:p w:rsidR="00436768" w:rsidRPr="008B1544" w:rsidRDefault="00436768" w:rsidP="008B1544">
            <w:pPr>
              <w:spacing w:line="360" w:lineRule="auto"/>
              <w:jc w:val="center"/>
              <w:rPr>
                <w:rFonts w:ascii="Palatino Linotype" w:hAnsi="Palatino Linotype" w:cs="Times New Roman"/>
                <w:b/>
              </w:rPr>
            </w:pPr>
            <w:r w:rsidRPr="008B1544">
              <w:rPr>
                <w:rFonts w:ascii="Palatino Linotype" w:hAnsi="Palatino Linotype" w:cs="Times New Roman"/>
                <w:b/>
              </w:rPr>
              <w:t>Alexis Tapia Ramírez</w:t>
            </w:r>
          </w:p>
          <w:p w:rsidR="00436768" w:rsidRPr="008B1544" w:rsidRDefault="00436768" w:rsidP="008B1544">
            <w:pPr>
              <w:spacing w:line="360" w:lineRule="auto"/>
              <w:jc w:val="center"/>
              <w:rPr>
                <w:rFonts w:ascii="Palatino Linotype" w:hAnsi="Palatino Linotype" w:cs="Times New Roman"/>
              </w:rPr>
            </w:pPr>
            <w:r w:rsidRPr="008B1544">
              <w:rPr>
                <w:rFonts w:ascii="Palatino Linotype" w:hAnsi="Palatino Linotype" w:cs="Times New Roman"/>
              </w:rPr>
              <w:t>Secretario Técnico del Pleno</w:t>
            </w:r>
          </w:p>
          <w:p w:rsidR="00436768" w:rsidRPr="008B1544" w:rsidRDefault="00734B8A" w:rsidP="00734B8A">
            <w:pPr>
              <w:spacing w:line="360" w:lineRule="auto"/>
              <w:jc w:val="center"/>
              <w:rPr>
                <w:rFonts w:ascii="Palatino Linotype" w:hAnsi="Palatino Linotype" w:cs="Times New Roman"/>
              </w:rPr>
            </w:pPr>
            <w:r>
              <w:rPr>
                <w:rFonts w:ascii="Palatino Linotype" w:hAnsi="Palatino Linotype" w:cs="Times New Roman"/>
              </w:rPr>
              <w:t>(Rúbrica)</w:t>
            </w:r>
          </w:p>
        </w:tc>
      </w:tr>
    </w:tbl>
    <w:p w:rsidR="00DE6AF4" w:rsidRPr="008B1544" w:rsidRDefault="00E93981" w:rsidP="008B1544">
      <w:pPr>
        <w:spacing w:after="0" w:line="360" w:lineRule="auto"/>
        <w:jc w:val="both"/>
        <w:rPr>
          <w:rFonts w:ascii="Palatino Linotype" w:hAnsi="Palatino Linotype"/>
          <w:sz w:val="24"/>
          <w:szCs w:val="24"/>
        </w:rPr>
      </w:pPr>
      <w:r w:rsidRPr="008B1544">
        <w:rPr>
          <w:rFonts w:ascii="Palatino Linotype" w:hAnsi="Palatino Linotype" w:cs="Arial"/>
          <w:sz w:val="24"/>
          <w:szCs w:val="24"/>
        </w:rPr>
        <w:t xml:space="preserve">Esta hoja corresponde a la resolución de fecha </w:t>
      </w:r>
      <w:r w:rsidR="00C11C6E" w:rsidRPr="008B1544">
        <w:rPr>
          <w:rFonts w:ascii="Palatino Linotype" w:hAnsi="Palatino Linotype" w:cs="Arial"/>
          <w:sz w:val="24"/>
          <w:szCs w:val="24"/>
        </w:rPr>
        <w:t>veinticuatro</w:t>
      </w:r>
      <w:r w:rsidR="004A04FC" w:rsidRPr="008B1544">
        <w:rPr>
          <w:rFonts w:ascii="Palatino Linotype" w:hAnsi="Palatino Linotype" w:cs="Arial"/>
          <w:sz w:val="24"/>
          <w:szCs w:val="24"/>
        </w:rPr>
        <w:t xml:space="preserve"> (</w:t>
      </w:r>
      <w:r w:rsidR="00C11C6E" w:rsidRPr="008B1544">
        <w:rPr>
          <w:rFonts w:ascii="Palatino Linotype" w:hAnsi="Palatino Linotype" w:cs="Arial"/>
          <w:sz w:val="24"/>
          <w:szCs w:val="24"/>
        </w:rPr>
        <w:t>24) de abril</w:t>
      </w:r>
      <w:r w:rsidR="00734B8A">
        <w:rPr>
          <w:rFonts w:ascii="Palatino Linotype" w:hAnsi="Palatino Linotype" w:cs="Arial"/>
          <w:sz w:val="24"/>
          <w:szCs w:val="24"/>
        </w:rPr>
        <w:t xml:space="preserve"> de dos mil diecinueve</w:t>
      </w:r>
      <w:r w:rsidRPr="008B1544">
        <w:rPr>
          <w:rFonts w:ascii="Palatino Linotype" w:hAnsi="Palatino Linotype" w:cs="Arial"/>
          <w:sz w:val="24"/>
          <w:szCs w:val="24"/>
        </w:rPr>
        <w:t xml:space="preserve">, emitida en el recurso de revisión </w:t>
      </w:r>
      <w:r w:rsidR="006B5505" w:rsidRPr="008B1544">
        <w:rPr>
          <w:rFonts w:ascii="Palatino Linotype" w:hAnsi="Palatino Linotype" w:cs="Arial"/>
          <w:b/>
          <w:bCs/>
          <w:sz w:val="24"/>
          <w:szCs w:val="24"/>
        </w:rPr>
        <w:t>00468/INFOEM/IP/RR/2019.</w:t>
      </w:r>
      <w:r w:rsidRPr="008B1544">
        <w:rPr>
          <w:rFonts w:ascii="Palatino Linotype" w:hAnsi="Palatino Linotype" w:cs="Arial"/>
          <w:b/>
          <w:bCs/>
          <w:sz w:val="24"/>
          <w:szCs w:val="24"/>
        </w:rPr>
        <w:t xml:space="preserve"> </w:t>
      </w:r>
    </w:p>
    <w:sectPr w:rsidR="00DE6AF4" w:rsidRPr="008B1544" w:rsidSect="008B1544">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5D0" w:rsidRDefault="001645D0" w:rsidP="00792776">
      <w:pPr>
        <w:spacing w:after="0" w:line="240" w:lineRule="auto"/>
      </w:pPr>
      <w:r>
        <w:separator/>
      </w:r>
    </w:p>
  </w:endnote>
  <w:endnote w:type="continuationSeparator" w:id="0">
    <w:p w:rsidR="001645D0" w:rsidRDefault="001645D0"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119F2" w:rsidRPr="00883450" w:rsidRDefault="008119F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F0F88">
              <w:rPr>
                <w:rFonts w:ascii="Palatino Linotype" w:hAnsi="Palatino Linotype"/>
                <w:b/>
                <w:bCs/>
                <w:noProof/>
                <w:szCs w:val="20"/>
              </w:rPr>
              <w:t>48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F0F88">
              <w:rPr>
                <w:rFonts w:ascii="Palatino Linotype" w:hAnsi="Palatino Linotype"/>
                <w:b/>
                <w:bCs/>
                <w:noProof/>
                <w:szCs w:val="20"/>
              </w:rPr>
              <w:t>50</w:t>
            </w:r>
            <w:r w:rsidRPr="00883450">
              <w:rPr>
                <w:rFonts w:ascii="Palatino Linotype" w:hAnsi="Palatino Linotype"/>
                <w:b/>
                <w:bCs/>
                <w:szCs w:val="20"/>
              </w:rPr>
              <w:fldChar w:fldCharType="end"/>
            </w:r>
          </w:p>
        </w:sdtContent>
      </w:sdt>
    </w:sdtContent>
  </w:sdt>
  <w:p w:rsidR="008119F2" w:rsidRDefault="008119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2" w:rsidRPr="00883450" w:rsidRDefault="008119F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F0F88" w:rsidRPr="004F0F8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F0F88" w:rsidRPr="004F0F88">
      <w:rPr>
        <w:rFonts w:ascii="Palatino Linotype" w:hAnsi="Palatino Linotype"/>
        <w:noProof/>
        <w:lang w:val="es-ES"/>
      </w:rPr>
      <w:t>50</w:t>
    </w:r>
    <w:r w:rsidRPr="00883450">
      <w:rPr>
        <w:rFonts w:ascii="Palatino Linotype" w:hAnsi="Palatino Linotype"/>
      </w:rPr>
      <w:fldChar w:fldCharType="end"/>
    </w:r>
  </w:p>
  <w:p w:rsidR="008119F2" w:rsidRPr="00883450" w:rsidRDefault="008119F2">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5D0" w:rsidRDefault="001645D0" w:rsidP="00792776">
      <w:pPr>
        <w:spacing w:after="0" w:line="240" w:lineRule="auto"/>
      </w:pPr>
      <w:r>
        <w:separator/>
      </w:r>
    </w:p>
  </w:footnote>
  <w:footnote w:type="continuationSeparator" w:id="0">
    <w:p w:rsidR="001645D0" w:rsidRDefault="001645D0" w:rsidP="00792776">
      <w:pPr>
        <w:spacing w:after="0" w:line="240" w:lineRule="auto"/>
      </w:pPr>
      <w:r>
        <w:continuationSeparator/>
      </w:r>
    </w:p>
  </w:footnote>
  <w:footnote w:id="1">
    <w:p w:rsidR="008119F2" w:rsidRDefault="008119F2" w:rsidP="008B485D">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8119F2" w:rsidRPr="00034B44" w:rsidRDefault="008119F2" w:rsidP="000800E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8119F2" w:rsidRPr="00034B44" w:rsidRDefault="008119F2" w:rsidP="000800E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8119F2" w:rsidRPr="00034B44" w:rsidRDefault="008119F2" w:rsidP="000800E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8119F2" w:rsidRPr="00034B44" w:rsidRDefault="008119F2" w:rsidP="000800E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119F2" w:rsidRPr="00034B44" w:rsidRDefault="008119F2" w:rsidP="000800E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119F2" w:rsidRPr="00034B44" w:rsidRDefault="008119F2" w:rsidP="000800E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8119F2" w:rsidRPr="00034B44" w:rsidRDefault="008119F2" w:rsidP="000800E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rsidR="008119F2" w:rsidRPr="00034B44" w:rsidRDefault="008119F2" w:rsidP="000800ED">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8119F2" w:rsidRPr="00034B44" w:rsidRDefault="008119F2" w:rsidP="000800ED">
      <w:pPr>
        <w:pStyle w:val="Textonotapie"/>
        <w:jc w:val="both"/>
        <w:rPr>
          <w:rFonts w:ascii="Palatino Linotype" w:hAnsi="Palatino Linotype"/>
          <w:sz w:val="18"/>
        </w:rPr>
      </w:pPr>
      <w:r w:rsidRPr="00034B44">
        <w:rPr>
          <w:rFonts w:ascii="Palatino Linotype" w:hAnsi="Palatino Linotype"/>
          <w:sz w:val="18"/>
        </w:rPr>
        <w:t xml:space="preserve"> (…)</w:t>
      </w:r>
    </w:p>
    <w:p w:rsidR="008119F2" w:rsidRPr="00034B44" w:rsidRDefault="008119F2" w:rsidP="000800E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2" w:rsidRDefault="008119F2">
    <w:pPr>
      <w:pStyle w:val="Encabezado"/>
    </w:pPr>
  </w:p>
  <w:p w:rsidR="008119F2" w:rsidRDefault="008119F2" w:rsidP="009A4582">
    <w:pPr>
      <w:pStyle w:val="Encabezado"/>
      <w:tabs>
        <w:tab w:val="clear" w:pos="4419"/>
        <w:tab w:val="clear" w:pos="8838"/>
        <w:tab w:val="left" w:pos="7283"/>
      </w:tabs>
    </w:pPr>
    <w:r>
      <w:tab/>
    </w:r>
  </w:p>
  <w:tbl>
    <w:tblPr>
      <w:tblStyle w:val="Tablaconcuadrcula"/>
      <w:tblW w:w="6378" w:type="dxa"/>
      <w:tblInd w:w="2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119F2" w:rsidRPr="00EF13C1" w:rsidTr="00E32937">
      <w:trPr>
        <w:trHeight w:val="138"/>
      </w:trPr>
      <w:tc>
        <w:tcPr>
          <w:tcW w:w="2552" w:type="dxa"/>
          <w:vAlign w:val="center"/>
        </w:tcPr>
        <w:p w:rsidR="008119F2" w:rsidRPr="00EF13C1" w:rsidRDefault="008119F2"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119F2" w:rsidRPr="00EF13C1" w:rsidRDefault="008119F2" w:rsidP="00E32937">
          <w:pPr>
            <w:pStyle w:val="Encabezado"/>
            <w:rPr>
              <w:rFonts w:ascii="Palatino Linotype" w:hAnsi="Palatino Linotype"/>
              <w:b/>
              <w:sz w:val="22"/>
              <w:szCs w:val="22"/>
            </w:rPr>
          </w:pPr>
          <w:r>
            <w:rPr>
              <w:rFonts w:ascii="Palatino Linotype" w:hAnsi="Palatino Linotype" w:cs="Arial"/>
              <w:b/>
              <w:bCs/>
              <w:sz w:val="22"/>
              <w:szCs w:val="22"/>
              <w:lang w:eastAsia="es-MX"/>
            </w:rPr>
            <w:t>00468/INFOEM/IP/RR/2019</w:t>
          </w:r>
        </w:p>
      </w:tc>
    </w:tr>
    <w:tr w:rsidR="008119F2" w:rsidRPr="00EF13C1" w:rsidTr="00E32937">
      <w:trPr>
        <w:trHeight w:val="321"/>
      </w:trPr>
      <w:tc>
        <w:tcPr>
          <w:tcW w:w="2552" w:type="dxa"/>
          <w:vAlign w:val="center"/>
        </w:tcPr>
        <w:p w:rsidR="008119F2" w:rsidRPr="00EF13C1" w:rsidRDefault="008119F2"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119F2" w:rsidRPr="00EF13C1" w:rsidRDefault="008119F2" w:rsidP="00E32937">
          <w:pPr>
            <w:pStyle w:val="Encabezado"/>
            <w:rPr>
              <w:rFonts w:ascii="Palatino Linotype" w:hAnsi="Palatino Linotype"/>
              <w:b/>
              <w:sz w:val="22"/>
              <w:szCs w:val="22"/>
            </w:rPr>
          </w:pPr>
          <w:r>
            <w:rPr>
              <w:rFonts w:ascii="Palatino Linotype" w:hAnsi="Palatino Linotype"/>
              <w:b/>
              <w:sz w:val="22"/>
              <w:szCs w:val="22"/>
            </w:rPr>
            <w:t xml:space="preserve">Universidad Politécnica del Valle de Toluca. </w:t>
          </w:r>
        </w:p>
      </w:tc>
    </w:tr>
    <w:tr w:rsidR="008119F2" w:rsidRPr="00EF13C1" w:rsidTr="00E32937">
      <w:trPr>
        <w:trHeight w:val="321"/>
      </w:trPr>
      <w:tc>
        <w:tcPr>
          <w:tcW w:w="2552" w:type="dxa"/>
          <w:vAlign w:val="center"/>
        </w:tcPr>
        <w:p w:rsidR="008119F2" w:rsidRPr="00EF13C1" w:rsidRDefault="008119F2"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119F2" w:rsidRPr="00EF13C1" w:rsidRDefault="008119F2" w:rsidP="00E32937">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119F2" w:rsidRDefault="008119F2"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9F2" w:rsidRDefault="008119F2" w:rsidP="009A4582">
    <w:pPr>
      <w:pStyle w:val="Encabezado"/>
      <w:tabs>
        <w:tab w:val="left" w:pos="3103"/>
      </w:tabs>
    </w:pPr>
    <w:r>
      <w:tab/>
    </w:r>
    <w:r>
      <w:tab/>
    </w:r>
  </w:p>
  <w:tbl>
    <w:tblPr>
      <w:tblStyle w:val="Tablaconcuadrcula"/>
      <w:tblW w:w="6854" w:type="dxa"/>
      <w:tblInd w:w="2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4130"/>
    </w:tblGrid>
    <w:tr w:rsidR="008119F2" w:rsidRPr="00182113" w:rsidTr="00E32937">
      <w:trPr>
        <w:trHeight w:val="145"/>
      </w:trPr>
      <w:tc>
        <w:tcPr>
          <w:tcW w:w="2724" w:type="dxa"/>
          <w:vAlign w:val="center"/>
        </w:tcPr>
        <w:p w:rsidR="008119F2" w:rsidRPr="00182113" w:rsidRDefault="008119F2" w:rsidP="009A4582">
          <w:pPr>
            <w:rPr>
              <w:rFonts w:ascii="Palatino Linotype" w:hAnsi="Palatino Linotype"/>
              <w:b/>
            </w:rPr>
          </w:pPr>
          <w:r w:rsidRPr="00182113">
            <w:rPr>
              <w:rFonts w:ascii="Palatino Linotype" w:hAnsi="Palatino Linotype"/>
              <w:b/>
            </w:rPr>
            <w:t>Recurso de revisión:</w:t>
          </w:r>
        </w:p>
      </w:tc>
      <w:tc>
        <w:tcPr>
          <w:tcW w:w="4130" w:type="dxa"/>
          <w:vAlign w:val="center"/>
        </w:tcPr>
        <w:p w:rsidR="008119F2" w:rsidRPr="00182113" w:rsidRDefault="008119F2" w:rsidP="00987E5C">
          <w:pPr>
            <w:pStyle w:val="Encabezado"/>
            <w:ind w:left="-126"/>
            <w:rPr>
              <w:rFonts w:ascii="Palatino Linotype" w:hAnsi="Palatino Linotype"/>
              <w:b/>
            </w:rPr>
          </w:pPr>
          <w:r>
            <w:rPr>
              <w:rFonts w:ascii="Palatino Linotype" w:hAnsi="Palatino Linotype" w:cs="Arial"/>
              <w:b/>
              <w:bCs/>
              <w:lang w:eastAsia="es-MX"/>
            </w:rPr>
            <w:t>00468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8119F2" w:rsidRPr="00182113" w:rsidTr="00E32937">
      <w:trPr>
        <w:trHeight w:val="239"/>
      </w:trPr>
      <w:tc>
        <w:tcPr>
          <w:tcW w:w="2724" w:type="dxa"/>
          <w:vAlign w:val="center"/>
        </w:tcPr>
        <w:p w:rsidR="008119F2" w:rsidRPr="00182113" w:rsidRDefault="008119F2" w:rsidP="009A4582">
          <w:pPr>
            <w:rPr>
              <w:rFonts w:ascii="Palatino Linotype" w:hAnsi="Palatino Linotype"/>
              <w:b/>
            </w:rPr>
          </w:pPr>
          <w:r w:rsidRPr="00182113">
            <w:rPr>
              <w:rFonts w:ascii="Palatino Linotype" w:hAnsi="Palatino Linotype"/>
              <w:b/>
            </w:rPr>
            <w:t>Recurrente:</w:t>
          </w:r>
        </w:p>
      </w:tc>
      <w:tc>
        <w:tcPr>
          <w:tcW w:w="4130" w:type="dxa"/>
          <w:vAlign w:val="center"/>
        </w:tcPr>
        <w:p w:rsidR="008119F2" w:rsidRPr="00182113" w:rsidRDefault="00527E55" w:rsidP="00A22FC3">
          <w:pPr>
            <w:pStyle w:val="Encabezado"/>
            <w:ind w:left="-126" w:right="884"/>
            <w:rPr>
              <w:rFonts w:ascii="Palatino Linotype" w:hAnsi="Palatino Linotype"/>
              <w:b/>
            </w:rPr>
          </w:pPr>
          <w:r w:rsidRPr="00527E55">
            <w:rPr>
              <w:rFonts w:ascii="Palatino Linotype" w:hAnsi="Palatino Linotype"/>
              <w:b/>
              <w:highlight w:val="black"/>
            </w:rPr>
            <w:t>--------------------------------------</w:t>
          </w:r>
        </w:p>
      </w:tc>
    </w:tr>
    <w:tr w:rsidR="008119F2" w:rsidRPr="00182113" w:rsidTr="00E32937">
      <w:trPr>
        <w:trHeight w:val="245"/>
      </w:trPr>
      <w:tc>
        <w:tcPr>
          <w:tcW w:w="2724" w:type="dxa"/>
          <w:vAlign w:val="center"/>
        </w:tcPr>
        <w:p w:rsidR="008119F2" w:rsidRPr="00182113" w:rsidRDefault="008119F2" w:rsidP="009A4582">
          <w:pPr>
            <w:rPr>
              <w:rFonts w:ascii="Palatino Linotype" w:hAnsi="Palatino Linotype"/>
              <w:b/>
            </w:rPr>
          </w:pPr>
          <w:r w:rsidRPr="00182113">
            <w:rPr>
              <w:rFonts w:ascii="Palatino Linotype" w:hAnsi="Palatino Linotype"/>
              <w:b/>
            </w:rPr>
            <w:t>Sujeto obligado:</w:t>
          </w:r>
        </w:p>
      </w:tc>
      <w:tc>
        <w:tcPr>
          <w:tcW w:w="4130" w:type="dxa"/>
          <w:vAlign w:val="center"/>
        </w:tcPr>
        <w:p w:rsidR="008119F2" w:rsidRPr="00182113" w:rsidRDefault="008119F2" w:rsidP="00E32937">
          <w:pPr>
            <w:pStyle w:val="Encabezado"/>
            <w:ind w:left="-108" w:right="-109"/>
            <w:rPr>
              <w:rFonts w:ascii="Palatino Linotype" w:hAnsi="Palatino Linotype"/>
              <w:b/>
            </w:rPr>
          </w:pPr>
          <w:r>
            <w:rPr>
              <w:rFonts w:ascii="Palatino Linotype" w:hAnsi="Palatino Linotype"/>
              <w:b/>
            </w:rPr>
            <w:t>Universidad Politécnica del Valle de Toluca</w:t>
          </w:r>
        </w:p>
      </w:tc>
    </w:tr>
    <w:tr w:rsidR="008119F2" w:rsidRPr="00182113" w:rsidTr="00E32937">
      <w:trPr>
        <w:trHeight w:val="337"/>
      </w:trPr>
      <w:tc>
        <w:tcPr>
          <w:tcW w:w="2724" w:type="dxa"/>
          <w:vAlign w:val="center"/>
        </w:tcPr>
        <w:p w:rsidR="008119F2" w:rsidRPr="00182113" w:rsidRDefault="008119F2" w:rsidP="009A4582">
          <w:pPr>
            <w:rPr>
              <w:rFonts w:ascii="Palatino Linotype" w:hAnsi="Palatino Linotype"/>
              <w:b/>
            </w:rPr>
          </w:pPr>
          <w:r w:rsidRPr="00182113">
            <w:rPr>
              <w:rFonts w:ascii="Palatino Linotype" w:hAnsi="Palatino Linotype"/>
              <w:b/>
            </w:rPr>
            <w:t>Comisionado ponente:</w:t>
          </w:r>
        </w:p>
      </w:tc>
      <w:tc>
        <w:tcPr>
          <w:tcW w:w="4130" w:type="dxa"/>
          <w:vAlign w:val="center"/>
        </w:tcPr>
        <w:p w:rsidR="008119F2" w:rsidRPr="00182113" w:rsidRDefault="008119F2" w:rsidP="00E32937">
          <w:pPr>
            <w:pStyle w:val="Encabezado"/>
            <w:ind w:left="-108"/>
            <w:rPr>
              <w:rFonts w:ascii="Palatino Linotype" w:hAnsi="Palatino Linotype"/>
              <w:b/>
            </w:rPr>
          </w:pPr>
          <w:r w:rsidRPr="00EF13C1">
            <w:rPr>
              <w:rFonts w:ascii="Palatino Linotype" w:hAnsi="Palatino Linotype"/>
              <w:b/>
              <w:sz w:val="22"/>
              <w:szCs w:val="22"/>
            </w:rPr>
            <w:t>José Guadalupe Luna Hernández</w:t>
          </w:r>
        </w:p>
      </w:tc>
    </w:tr>
  </w:tbl>
  <w:p w:rsidR="008119F2" w:rsidRDefault="008119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
    <w:nsid w:val="07964581"/>
    <w:multiLevelType w:val="hybridMultilevel"/>
    <w:tmpl w:val="6644A1BE"/>
    <w:lvl w:ilvl="0" w:tplc="C98A3C3E">
      <w:start w:val="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410B82"/>
    <w:multiLevelType w:val="hybridMultilevel"/>
    <w:tmpl w:val="7250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D01402"/>
    <w:multiLevelType w:val="hybridMultilevel"/>
    <w:tmpl w:val="1B1C63A6"/>
    <w:lvl w:ilvl="0" w:tplc="56ECFF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39E19F6"/>
    <w:multiLevelType w:val="hybridMultilevel"/>
    <w:tmpl w:val="7C3CB04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82181F"/>
    <w:multiLevelType w:val="hybridMultilevel"/>
    <w:tmpl w:val="B352D078"/>
    <w:lvl w:ilvl="0" w:tplc="9664F1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B810EB24"/>
    <w:lvl w:ilvl="0" w:tplc="5024074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813700"/>
    <w:multiLevelType w:val="hybridMultilevel"/>
    <w:tmpl w:val="62D2824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4AA847D8"/>
    <w:multiLevelType w:val="hybridMultilevel"/>
    <w:tmpl w:val="BBC29C4C"/>
    <w:lvl w:ilvl="0" w:tplc="88524A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FE71927"/>
    <w:multiLevelType w:val="hybridMultilevel"/>
    <w:tmpl w:val="69E0589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2">
    <w:nsid w:val="55E7425E"/>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4">
    <w:nsid w:val="5E4D7859"/>
    <w:multiLevelType w:val="hybridMultilevel"/>
    <w:tmpl w:val="303CF0B4"/>
    <w:lvl w:ilvl="0" w:tplc="DA84967E">
      <w:start w:val="1"/>
      <w:numFmt w:val="decimal"/>
      <w:lvlText w:val="%1."/>
      <w:lvlJc w:val="left"/>
      <w:pPr>
        <w:ind w:left="360" w:hanging="360"/>
      </w:pPr>
      <w:rPr>
        <w:rFonts w:ascii="Palatino Linotype" w:hAnsi="Palatino Linotype" w:hint="default"/>
        <w:b w:val="0"/>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B0A306E"/>
    <w:multiLevelType w:val="hybridMultilevel"/>
    <w:tmpl w:val="B810EB24"/>
    <w:lvl w:ilvl="0" w:tplc="5024074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792B42BB"/>
    <w:multiLevelType w:val="hybridMultilevel"/>
    <w:tmpl w:val="0A025104"/>
    <w:lvl w:ilvl="0" w:tplc="5A20FDFC">
      <w:start w:val="1"/>
      <w:numFmt w:val="lowerLetter"/>
      <w:lvlText w:val="%1)"/>
      <w:lvlJc w:val="left"/>
      <w:pPr>
        <w:ind w:left="644" w:hanging="360"/>
      </w:pPr>
      <w:rPr>
        <w:rFonts w:eastAsia="MS Mincho"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B3C731D"/>
    <w:multiLevelType w:val="hybridMultilevel"/>
    <w:tmpl w:val="84843F84"/>
    <w:lvl w:ilvl="0" w:tplc="51104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15"/>
  </w:num>
  <w:num w:numId="4">
    <w:abstractNumId w:val="18"/>
  </w:num>
  <w:num w:numId="5">
    <w:abstractNumId w:val="19"/>
  </w:num>
  <w:num w:numId="6">
    <w:abstractNumId w:val="0"/>
  </w:num>
  <w:num w:numId="7">
    <w:abstractNumId w:val="1"/>
  </w:num>
  <w:num w:numId="8">
    <w:abstractNumId w:val="3"/>
  </w:num>
  <w:num w:numId="9">
    <w:abstractNumId w:val="14"/>
  </w:num>
  <w:num w:numId="10">
    <w:abstractNumId w:val="7"/>
  </w:num>
  <w:num w:numId="11">
    <w:abstractNumId w:val="13"/>
  </w:num>
  <w:num w:numId="12">
    <w:abstractNumId w:val="10"/>
  </w:num>
  <w:num w:numId="13">
    <w:abstractNumId w:val="11"/>
  </w:num>
  <w:num w:numId="14">
    <w:abstractNumId w:val="17"/>
  </w:num>
  <w:num w:numId="15">
    <w:abstractNumId w:val="8"/>
  </w:num>
  <w:num w:numId="16">
    <w:abstractNumId w:val="12"/>
  </w:num>
  <w:num w:numId="17">
    <w:abstractNumId w:val="5"/>
  </w:num>
  <w:num w:numId="18">
    <w:abstractNumId w:val="16"/>
  </w:num>
  <w:num w:numId="19">
    <w:abstractNumId w:val="2"/>
  </w:num>
  <w:num w:numId="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082A"/>
    <w:rsid w:val="00024FA9"/>
    <w:rsid w:val="0004167E"/>
    <w:rsid w:val="00047FE1"/>
    <w:rsid w:val="00050F93"/>
    <w:rsid w:val="00056204"/>
    <w:rsid w:val="00057005"/>
    <w:rsid w:val="00057254"/>
    <w:rsid w:val="00060857"/>
    <w:rsid w:val="0007062A"/>
    <w:rsid w:val="00072EFA"/>
    <w:rsid w:val="00077233"/>
    <w:rsid w:val="000800ED"/>
    <w:rsid w:val="000A06E6"/>
    <w:rsid w:val="000A0A4A"/>
    <w:rsid w:val="000A7D5D"/>
    <w:rsid w:val="000B2EAF"/>
    <w:rsid w:val="000B5A4C"/>
    <w:rsid w:val="000C6323"/>
    <w:rsid w:val="000C66EA"/>
    <w:rsid w:val="000D1D31"/>
    <w:rsid w:val="000D2E4E"/>
    <w:rsid w:val="000D393E"/>
    <w:rsid w:val="000E4A12"/>
    <w:rsid w:val="000F1CC9"/>
    <w:rsid w:val="000F3365"/>
    <w:rsid w:val="00100DEF"/>
    <w:rsid w:val="00101818"/>
    <w:rsid w:val="00102B94"/>
    <w:rsid w:val="00104BC4"/>
    <w:rsid w:val="00106806"/>
    <w:rsid w:val="00107A21"/>
    <w:rsid w:val="00110A90"/>
    <w:rsid w:val="00114D5F"/>
    <w:rsid w:val="00115BDE"/>
    <w:rsid w:val="00117783"/>
    <w:rsid w:val="00124119"/>
    <w:rsid w:val="001321CE"/>
    <w:rsid w:val="00140674"/>
    <w:rsid w:val="00141BDA"/>
    <w:rsid w:val="0014596A"/>
    <w:rsid w:val="00145E3E"/>
    <w:rsid w:val="00147141"/>
    <w:rsid w:val="00152A54"/>
    <w:rsid w:val="00153924"/>
    <w:rsid w:val="00157664"/>
    <w:rsid w:val="001645D0"/>
    <w:rsid w:val="001655F5"/>
    <w:rsid w:val="0017140F"/>
    <w:rsid w:val="00181E44"/>
    <w:rsid w:val="00190B36"/>
    <w:rsid w:val="00196B6A"/>
    <w:rsid w:val="0019761F"/>
    <w:rsid w:val="001B12E8"/>
    <w:rsid w:val="001B28F9"/>
    <w:rsid w:val="001B625E"/>
    <w:rsid w:val="001C263E"/>
    <w:rsid w:val="001C487F"/>
    <w:rsid w:val="001D0ADD"/>
    <w:rsid w:val="001F5DBD"/>
    <w:rsid w:val="001F6670"/>
    <w:rsid w:val="00201BF3"/>
    <w:rsid w:val="00201CDE"/>
    <w:rsid w:val="00201F41"/>
    <w:rsid w:val="00202C4F"/>
    <w:rsid w:val="00202E6A"/>
    <w:rsid w:val="00210A6F"/>
    <w:rsid w:val="00211B1B"/>
    <w:rsid w:val="00216FB6"/>
    <w:rsid w:val="00220CA4"/>
    <w:rsid w:val="00232298"/>
    <w:rsid w:val="00232FEC"/>
    <w:rsid w:val="00234EBF"/>
    <w:rsid w:val="0024202C"/>
    <w:rsid w:val="00244765"/>
    <w:rsid w:val="00254995"/>
    <w:rsid w:val="00256325"/>
    <w:rsid w:val="002640DE"/>
    <w:rsid w:val="0026441B"/>
    <w:rsid w:val="002704F5"/>
    <w:rsid w:val="00273142"/>
    <w:rsid w:val="00275FB3"/>
    <w:rsid w:val="0028350B"/>
    <w:rsid w:val="002921DD"/>
    <w:rsid w:val="002968B9"/>
    <w:rsid w:val="002A16FE"/>
    <w:rsid w:val="002A38B7"/>
    <w:rsid w:val="002B64FF"/>
    <w:rsid w:val="002B67F6"/>
    <w:rsid w:val="002B6FAB"/>
    <w:rsid w:val="002B7F54"/>
    <w:rsid w:val="002C05B8"/>
    <w:rsid w:val="002C6556"/>
    <w:rsid w:val="002D16F1"/>
    <w:rsid w:val="002E1D67"/>
    <w:rsid w:val="002E7B04"/>
    <w:rsid w:val="002F3433"/>
    <w:rsid w:val="002F3BFA"/>
    <w:rsid w:val="002F4300"/>
    <w:rsid w:val="003003FF"/>
    <w:rsid w:val="00303A99"/>
    <w:rsid w:val="003044DA"/>
    <w:rsid w:val="00311677"/>
    <w:rsid w:val="00314F26"/>
    <w:rsid w:val="00315476"/>
    <w:rsid w:val="00315BF5"/>
    <w:rsid w:val="003219A8"/>
    <w:rsid w:val="0032356A"/>
    <w:rsid w:val="00323F76"/>
    <w:rsid w:val="0032530A"/>
    <w:rsid w:val="00327F6E"/>
    <w:rsid w:val="00336C1B"/>
    <w:rsid w:val="00352EC6"/>
    <w:rsid w:val="00354158"/>
    <w:rsid w:val="00354999"/>
    <w:rsid w:val="00366B82"/>
    <w:rsid w:val="0037277E"/>
    <w:rsid w:val="00373A22"/>
    <w:rsid w:val="00374179"/>
    <w:rsid w:val="00382BC1"/>
    <w:rsid w:val="00387F22"/>
    <w:rsid w:val="003A629F"/>
    <w:rsid w:val="003A6D6B"/>
    <w:rsid w:val="003B372B"/>
    <w:rsid w:val="003B4437"/>
    <w:rsid w:val="003B5F5E"/>
    <w:rsid w:val="003B69DE"/>
    <w:rsid w:val="003C7C7D"/>
    <w:rsid w:val="003D4338"/>
    <w:rsid w:val="003D5A6E"/>
    <w:rsid w:val="003D63CC"/>
    <w:rsid w:val="003E11D5"/>
    <w:rsid w:val="003E34B5"/>
    <w:rsid w:val="003E585E"/>
    <w:rsid w:val="003E6673"/>
    <w:rsid w:val="003E6B82"/>
    <w:rsid w:val="003F2187"/>
    <w:rsid w:val="003F4348"/>
    <w:rsid w:val="003F57ED"/>
    <w:rsid w:val="00404C2B"/>
    <w:rsid w:val="004068F4"/>
    <w:rsid w:val="0042167E"/>
    <w:rsid w:val="004220C5"/>
    <w:rsid w:val="00436768"/>
    <w:rsid w:val="00456CA9"/>
    <w:rsid w:val="0046307C"/>
    <w:rsid w:val="004653A7"/>
    <w:rsid w:val="00465D0F"/>
    <w:rsid w:val="00474E0F"/>
    <w:rsid w:val="00482E22"/>
    <w:rsid w:val="004835DC"/>
    <w:rsid w:val="00485E23"/>
    <w:rsid w:val="00493730"/>
    <w:rsid w:val="0049799F"/>
    <w:rsid w:val="004A04FC"/>
    <w:rsid w:val="004A1681"/>
    <w:rsid w:val="004A56E3"/>
    <w:rsid w:val="004A5FA6"/>
    <w:rsid w:val="004A70B0"/>
    <w:rsid w:val="004B0C02"/>
    <w:rsid w:val="004C20EF"/>
    <w:rsid w:val="004D4D48"/>
    <w:rsid w:val="004D7D6D"/>
    <w:rsid w:val="004E591E"/>
    <w:rsid w:val="004F0F88"/>
    <w:rsid w:val="004F4C05"/>
    <w:rsid w:val="00500259"/>
    <w:rsid w:val="0050327B"/>
    <w:rsid w:val="005065B8"/>
    <w:rsid w:val="00510198"/>
    <w:rsid w:val="0051337C"/>
    <w:rsid w:val="00523819"/>
    <w:rsid w:val="00525360"/>
    <w:rsid w:val="00527E55"/>
    <w:rsid w:val="00534CBE"/>
    <w:rsid w:val="00544BAE"/>
    <w:rsid w:val="00565A3D"/>
    <w:rsid w:val="005702BE"/>
    <w:rsid w:val="005706DC"/>
    <w:rsid w:val="00570A3F"/>
    <w:rsid w:val="00581B3D"/>
    <w:rsid w:val="00582905"/>
    <w:rsid w:val="00586A12"/>
    <w:rsid w:val="0059199C"/>
    <w:rsid w:val="005969D9"/>
    <w:rsid w:val="005A2B5F"/>
    <w:rsid w:val="005A6596"/>
    <w:rsid w:val="005A7CB8"/>
    <w:rsid w:val="005B2B02"/>
    <w:rsid w:val="005B31A8"/>
    <w:rsid w:val="005C2D31"/>
    <w:rsid w:val="005C4663"/>
    <w:rsid w:val="005C5A3E"/>
    <w:rsid w:val="005D0394"/>
    <w:rsid w:val="005D3C6B"/>
    <w:rsid w:val="005D5465"/>
    <w:rsid w:val="005E01F7"/>
    <w:rsid w:val="005E355A"/>
    <w:rsid w:val="005E406F"/>
    <w:rsid w:val="005E6787"/>
    <w:rsid w:val="005F3A27"/>
    <w:rsid w:val="00600629"/>
    <w:rsid w:val="0060200F"/>
    <w:rsid w:val="00607926"/>
    <w:rsid w:val="0061037B"/>
    <w:rsid w:val="00612344"/>
    <w:rsid w:val="006158AA"/>
    <w:rsid w:val="00616052"/>
    <w:rsid w:val="006307B0"/>
    <w:rsid w:val="00630814"/>
    <w:rsid w:val="00632BCB"/>
    <w:rsid w:val="006339DD"/>
    <w:rsid w:val="006448B0"/>
    <w:rsid w:val="00657A3F"/>
    <w:rsid w:val="00660330"/>
    <w:rsid w:val="00661A81"/>
    <w:rsid w:val="00663FF0"/>
    <w:rsid w:val="00664B64"/>
    <w:rsid w:val="00672EA1"/>
    <w:rsid w:val="006750F2"/>
    <w:rsid w:val="00684C83"/>
    <w:rsid w:val="00693390"/>
    <w:rsid w:val="00694CC8"/>
    <w:rsid w:val="006A1DD3"/>
    <w:rsid w:val="006A50BF"/>
    <w:rsid w:val="006B5505"/>
    <w:rsid w:val="006B56C3"/>
    <w:rsid w:val="006C2217"/>
    <w:rsid w:val="006C4663"/>
    <w:rsid w:val="006C569A"/>
    <w:rsid w:val="006E61C4"/>
    <w:rsid w:val="006E77A3"/>
    <w:rsid w:val="006F025F"/>
    <w:rsid w:val="006F7360"/>
    <w:rsid w:val="00704A38"/>
    <w:rsid w:val="00704FC1"/>
    <w:rsid w:val="0070716A"/>
    <w:rsid w:val="00714C71"/>
    <w:rsid w:val="00720B31"/>
    <w:rsid w:val="007230A3"/>
    <w:rsid w:val="00723A8D"/>
    <w:rsid w:val="00724A90"/>
    <w:rsid w:val="00732D0D"/>
    <w:rsid w:val="00734B8A"/>
    <w:rsid w:val="00735D06"/>
    <w:rsid w:val="00742576"/>
    <w:rsid w:val="00742BE5"/>
    <w:rsid w:val="007466C9"/>
    <w:rsid w:val="00754D45"/>
    <w:rsid w:val="00756441"/>
    <w:rsid w:val="007623BE"/>
    <w:rsid w:val="00767824"/>
    <w:rsid w:val="007737F5"/>
    <w:rsid w:val="00774451"/>
    <w:rsid w:val="00783D75"/>
    <w:rsid w:val="007841CA"/>
    <w:rsid w:val="00792776"/>
    <w:rsid w:val="00793656"/>
    <w:rsid w:val="007A0B31"/>
    <w:rsid w:val="007B222D"/>
    <w:rsid w:val="007B464E"/>
    <w:rsid w:val="007B5031"/>
    <w:rsid w:val="007B5FFC"/>
    <w:rsid w:val="007D1E0A"/>
    <w:rsid w:val="007D2D0D"/>
    <w:rsid w:val="007D3AB1"/>
    <w:rsid w:val="007D5D25"/>
    <w:rsid w:val="007E0079"/>
    <w:rsid w:val="007E362F"/>
    <w:rsid w:val="007E4E22"/>
    <w:rsid w:val="007F0151"/>
    <w:rsid w:val="007F0AC5"/>
    <w:rsid w:val="007F387A"/>
    <w:rsid w:val="007F70A4"/>
    <w:rsid w:val="0080266C"/>
    <w:rsid w:val="008119F2"/>
    <w:rsid w:val="008138CE"/>
    <w:rsid w:val="008161A8"/>
    <w:rsid w:val="00820149"/>
    <w:rsid w:val="0082320A"/>
    <w:rsid w:val="00833E7D"/>
    <w:rsid w:val="008346C9"/>
    <w:rsid w:val="00845705"/>
    <w:rsid w:val="00845D19"/>
    <w:rsid w:val="00847FFC"/>
    <w:rsid w:val="00852EC1"/>
    <w:rsid w:val="00860628"/>
    <w:rsid w:val="0086565D"/>
    <w:rsid w:val="00870BA2"/>
    <w:rsid w:val="00873107"/>
    <w:rsid w:val="0087682B"/>
    <w:rsid w:val="00883B38"/>
    <w:rsid w:val="008870CA"/>
    <w:rsid w:val="00887109"/>
    <w:rsid w:val="00887614"/>
    <w:rsid w:val="00892202"/>
    <w:rsid w:val="008B1544"/>
    <w:rsid w:val="008B485D"/>
    <w:rsid w:val="008B7033"/>
    <w:rsid w:val="008B7961"/>
    <w:rsid w:val="008C1879"/>
    <w:rsid w:val="008C18E6"/>
    <w:rsid w:val="008C2739"/>
    <w:rsid w:val="008D3FD7"/>
    <w:rsid w:val="008D45C3"/>
    <w:rsid w:val="008E05D2"/>
    <w:rsid w:val="008E10F8"/>
    <w:rsid w:val="008E3BAC"/>
    <w:rsid w:val="008E49E0"/>
    <w:rsid w:val="008F0EEC"/>
    <w:rsid w:val="008F520D"/>
    <w:rsid w:val="0090534F"/>
    <w:rsid w:val="0090539F"/>
    <w:rsid w:val="00913F26"/>
    <w:rsid w:val="00921E87"/>
    <w:rsid w:val="00924969"/>
    <w:rsid w:val="00931CF5"/>
    <w:rsid w:val="0094139E"/>
    <w:rsid w:val="00943A89"/>
    <w:rsid w:val="00960D99"/>
    <w:rsid w:val="009652B1"/>
    <w:rsid w:val="00966090"/>
    <w:rsid w:val="00966F60"/>
    <w:rsid w:val="009713F0"/>
    <w:rsid w:val="00971AFE"/>
    <w:rsid w:val="00985892"/>
    <w:rsid w:val="00987E5C"/>
    <w:rsid w:val="009910A2"/>
    <w:rsid w:val="0099139A"/>
    <w:rsid w:val="00991C4B"/>
    <w:rsid w:val="0099464D"/>
    <w:rsid w:val="00994BB5"/>
    <w:rsid w:val="00994D80"/>
    <w:rsid w:val="009A4582"/>
    <w:rsid w:val="009B7F08"/>
    <w:rsid w:val="009C789B"/>
    <w:rsid w:val="009D31A7"/>
    <w:rsid w:val="009D4641"/>
    <w:rsid w:val="009D6E07"/>
    <w:rsid w:val="009E113B"/>
    <w:rsid w:val="009E689B"/>
    <w:rsid w:val="009E6D21"/>
    <w:rsid w:val="009E6F3D"/>
    <w:rsid w:val="009F4560"/>
    <w:rsid w:val="009F6282"/>
    <w:rsid w:val="00A006CA"/>
    <w:rsid w:val="00A06AAF"/>
    <w:rsid w:val="00A070E0"/>
    <w:rsid w:val="00A073E0"/>
    <w:rsid w:val="00A10274"/>
    <w:rsid w:val="00A22FC3"/>
    <w:rsid w:val="00A311F0"/>
    <w:rsid w:val="00A456C6"/>
    <w:rsid w:val="00A4634F"/>
    <w:rsid w:val="00A474D9"/>
    <w:rsid w:val="00A56228"/>
    <w:rsid w:val="00A57711"/>
    <w:rsid w:val="00A612C0"/>
    <w:rsid w:val="00A62DAF"/>
    <w:rsid w:val="00A65111"/>
    <w:rsid w:val="00A76D4A"/>
    <w:rsid w:val="00A81EC8"/>
    <w:rsid w:val="00A82E6A"/>
    <w:rsid w:val="00A86F8F"/>
    <w:rsid w:val="00A93B4B"/>
    <w:rsid w:val="00AA0394"/>
    <w:rsid w:val="00AA1FA6"/>
    <w:rsid w:val="00AB4EDD"/>
    <w:rsid w:val="00AB56C1"/>
    <w:rsid w:val="00AC48DC"/>
    <w:rsid w:val="00AD19AF"/>
    <w:rsid w:val="00AE466F"/>
    <w:rsid w:val="00AE7F06"/>
    <w:rsid w:val="00AF0B5C"/>
    <w:rsid w:val="00AF2E2E"/>
    <w:rsid w:val="00AF3F90"/>
    <w:rsid w:val="00AF4EC8"/>
    <w:rsid w:val="00AF676B"/>
    <w:rsid w:val="00B07266"/>
    <w:rsid w:val="00B07AE6"/>
    <w:rsid w:val="00B07BE5"/>
    <w:rsid w:val="00B17F1D"/>
    <w:rsid w:val="00B2143C"/>
    <w:rsid w:val="00B267A7"/>
    <w:rsid w:val="00B310C4"/>
    <w:rsid w:val="00B43D3A"/>
    <w:rsid w:val="00B519E0"/>
    <w:rsid w:val="00B54680"/>
    <w:rsid w:val="00B7792E"/>
    <w:rsid w:val="00B85136"/>
    <w:rsid w:val="00B95257"/>
    <w:rsid w:val="00BA3D39"/>
    <w:rsid w:val="00BB0099"/>
    <w:rsid w:val="00BB0639"/>
    <w:rsid w:val="00BB3FA7"/>
    <w:rsid w:val="00BB45D8"/>
    <w:rsid w:val="00BC2536"/>
    <w:rsid w:val="00BC5810"/>
    <w:rsid w:val="00BD6780"/>
    <w:rsid w:val="00BE69E6"/>
    <w:rsid w:val="00C000B6"/>
    <w:rsid w:val="00C000C8"/>
    <w:rsid w:val="00C03E3D"/>
    <w:rsid w:val="00C07697"/>
    <w:rsid w:val="00C11C6E"/>
    <w:rsid w:val="00C13B8D"/>
    <w:rsid w:val="00C16223"/>
    <w:rsid w:val="00C21599"/>
    <w:rsid w:val="00C26A49"/>
    <w:rsid w:val="00C31D07"/>
    <w:rsid w:val="00C51ABB"/>
    <w:rsid w:val="00C522CF"/>
    <w:rsid w:val="00C54D18"/>
    <w:rsid w:val="00C62521"/>
    <w:rsid w:val="00C64E0E"/>
    <w:rsid w:val="00C64EC5"/>
    <w:rsid w:val="00C70BD3"/>
    <w:rsid w:val="00C7171B"/>
    <w:rsid w:val="00C71D8F"/>
    <w:rsid w:val="00C762CC"/>
    <w:rsid w:val="00C76639"/>
    <w:rsid w:val="00C7709D"/>
    <w:rsid w:val="00C874D5"/>
    <w:rsid w:val="00C902EB"/>
    <w:rsid w:val="00C9385B"/>
    <w:rsid w:val="00C9537D"/>
    <w:rsid w:val="00CA0EE7"/>
    <w:rsid w:val="00CA10C1"/>
    <w:rsid w:val="00CA35B3"/>
    <w:rsid w:val="00CA3C25"/>
    <w:rsid w:val="00CA4E53"/>
    <w:rsid w:val="00CA54C6"/>
    <w:rsid w:val="00CA55D0"/>
    <w:rsid w:val="00CB16AF"/>
    <w:rsid w:val="00CC404F"/>
    <w:rsid w:val="00CC798E"/>
    <w:rsid w:val="00CD1640"/>
    <w:rsid w:val="00CD3BA4"/>
    <w:rsid w:val="00CD4716"/>
    <w:rsid w:val="00CD49B9"/>
    <w:rsid w:val="00CD5889"/>
    <w:rsid w:val="00CE4F6D"/>
    <w:rsid w:val="00CF1AD4"/>
    <w:rsid w:val="00D01849"/>
    <w:rsid w:val="00D02064"/>
    <w:rsid w:val="00D020D3"/>
    <w:rsid w:val="00D04EF6"/>
    <w:rsid w:val="00D06242"/>
    <w:rsid w:val="00D06D13"/>
    <w:rsid w:val="00D140CA"/>
    <w:rsid w:val="00D175DF"/>
    <w:rsid w:val="00D317A8"/>
    <w:rsid w:val="00D353BB"/>
    <w:rsid w:val="00D402B7"/>
    <w:rsid w:val="00D42395"/>
    <w:rsid w:val="00D42A15"/>
    <w:rsid w:val="00D54A5D"/>
    <w:rsid w:val="00D56654"/>
    <w:rsid w:val="00D57E71"/>
    <w:rsid w:val="00D60F78"/>
    <w:rsid w:val="00D6300C"/>
    <w:rsid w:val="00D654B6"/>
    <w:rsid w:val="00D71586"/>
    <w:rsid w:val="00D71FBF"/>
    <w:rsid w:val="00D727ED"/>
    <w:rsid w:val="00D80A25"/>
    <w:rsid w:val="00D813AF"/>
    <w:rsid w:val="00D83C6F"/>
    <w:rsid w:val="00D85D64"/>
    <w:rsid w:val="00D9622B"/>
    <w:rsid w:val="00D96DE0"/>
    <w:rsid w:val="00D97535"/>
    <w:rsid w:val="00DA370A"/>
    <w:rsid w:val="00DA7079"/>
    <w:rsid w:val="00DC0CF8"/>
    <w:rsid w:val="00DD03AE"/>
    <w:rsid w:val="00DD0573"/>
    <w:rsid w:val="00DD4F0B"/>
    <w:rsid w:val="00DE28D9"/>
    <w:rsid w:val="00DE6AF4"/>
    <w:rsid w:val="00DF0B5F"/>
    <w:rsid w:val="00DF3188"/>
    <w:rsid w:val="00DF5C80"/>
    <w:rsid w:val="00DF621D"/>
    <w:rsid w:val="00E05C8A"/>
    <w:rsid w:val="00E10778"/>
    <w:rsid w:val="00E13049"/>
    <w:rsid w:val="00E1511C"/>
    <w:rsid w:val="00E165B2"/>
    <w:rsid w:val="00E204F9"/>
    <w:rsid w:val="00E300EC"/>
    <w:rsid w:val="00E31ACB"/>
    <w:rsid w:val="00E32937"/>
    <w:rsid w:val="00E36A14"/>
    <w:rsid w:val="00E4452E"/>
    <w:rsid w:val="00E4470A"/>
    <w:rsid w:val="00E459B1"/>
    <w:rsid w:val="00E46113"/>
    <w:rsid w:val="00E46735"/>
    <w:rsid w:val="00E531F1"/>
    <w:rsid w:val="00E56826"/>
    <w:rsid w:val="00E64F81"/>
    <w:rsid w:val="00E66EC1"/>
    <w:rsid w:val="00E76AC7"/>
    <w:rsid w:val="00E834F6"/>
    <w:rsid w:val="00E93981"/>
    <w:rsid w:val="00EA20FA"/>
    <w:rsid w:val="00EA28A3"/>
    <w:rsid w:val="00EA33FA"/>
    <w:rsid w:val="00EA49F5"/>
    <w:rsid w:val="00EB0758"/>
    <w:rsid w:val="00EB251D"/>
    <w:rsid w:val="00EB33AA"/>
    <w:rsid w:val="00EB3DB0"/>
    <w:rsid w:val="00ED1828"/>
    <w:rsid w:val="00EE025F"/>
    <w:rsid w:val="00EE4B44"/>
    <w:rsid w:val="00EE50CD"/>
    <w:rsid w:val="00EE643B"/>
    <w:rsid w:val="00F013D8"/>
    <w:rsid w:val="00F05E61"/>
    <w:rsid w:val="00F11B2C"/>
    <w:rsid w:val="00F11FAB"/>
    <w:rsid w:val="00F264E0"/>
    <w:rsid w:val="00F30EDB"/>
    <w:rsid w:val="00F315AB"/>
    <w:rsid w:val="00F350E6"/>
    <w:rsid w:val="00F3575F"/>
    <w:rsid w:val="00F364C5"/>
    <w:rsid w:val="00F44AB0"/>
    <w:rsid w:val="00F4794D"/>
    <w:rsid w:val="00F47FB4"/>
    <w:rsid w:val="00F573BB"/>
    <w:rsid w:val="00F57829"/>
    <w:rsid w:val="00F67150"/>
    <w:rsid w:val="00F73B52"/>
    <w:rsid w:val="00F801A8"/>
    <w:rsid w:val="00F81482"/>
    <w:rsid w:val="00F81740"/>
    <w:rsid w:val="00F86624"/>
    <w:rsid w:val="00FA2CCF"/>
    <w:rsid w:val="00FB3974"/>
    <w:rsid w:val="00FB3DED"/>
    <w:rsid w:val="00FB5BB0"/>
    <w:rsid w:val="00FC0A55"/>
    <w:rsid w:val="00FC13E7"/>
    <w:rsid w:val="00FC2E96"/>
    <w:rsid w:val="00FC4013"/>
    <w:rsid w:val="00FD24D6"/>
    <w:rsid w:val="00FD48E9"/>
    <w:rsid w:val="00FD70C1"/>
    <w:rsid w:val="00FE7731"/>
    <w:rsid w:val="00FF4513"/>
    <w:rsid w:val="00FF5A5B"/>
    <w:rsid w:val="00FF5E5E"/>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8B9"/>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FD24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975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styleId="Textoindependiente">
    <w:name w:val="Body Text"/>
    <w:basedOn w:val="Normal"/>
    <w:link w:val="TextoindependienteCar"/>
    <w:uiPriority w:val="1"/>
    <w:qFormat/>
    <w:rsid w:val="0046307C"/>
    <w:pPr>
      <w:widowControl w:val="0"/>
      <w:spacing w:after="0" w:line="240" w:lineRule="auto"/>
      <w:ind w:left="100"/>
    </w:pPr>
    <w:rPr>
      <w:rFonts w:ascii="Times New Roman" w:eastAsia="Times New Roman" w:hAnsi="Times New Roman"/>
      <w:lang w:val="en-US"/>
    </w:rPr>
  </w:style>
  <w:style w:type="character" w:customStyle="1" w:styleId="TextoindependienteCar">
    <w:name w:val="Texto independiente Car"/>
    <w:basedOn w:val="Fuentedeprrafopredeter"/>
    <w:link w:val="Textoindependiente"/>
    <w:uiPriority w:val="1"/>
    <w:rsid w:val="0046307C"/>
    <w:rPr>
      <w:rFonts w:ascii="Times New Roman" w:eastAsia="Times New Roman" w:hAnsi="Times New Roman"/>
      <w:lang w:val="en-US"/>
    </w:rPr>
  </w:style>
  <w:style w:type="paragraph" w:customStyle="1" w:styleId="Textonotapie1">
    <w:name w:val="Texto nota pie1"/>
    <w:basedOn w:val="Normal"/>
    <w:next w:val="Textonotapie"/>
    <w:uiPriority w:val="99"/>
    <w:unhideWhenUsed/>
    <w:rsid w:val="00A10274"/>
    <w:pPr>
      <w:spacing w:after="0" w:line="240" w:lineRule="auto"/>
    </w:pPr>
    <w:rPr>
      <w:rFonts w:eastAsia="Cambria"/>
      <w:sz w:val="20"/>
      <w:szCs w:val="20"/>
    </w:rPr>
  </w:style>
  <w:style w:type="character" w:customStyle="1" w:styleId="Ttulo2Car">
    <w:name w:val="Título 2 Car"/>
    <w:basedOn w:val="Fuentedeprrafopredeter"/>
    <w:link w:val="Ttulo2"/>
    <w:uiPriority w:val="9"/>
    <w:rsid w:val="00FD24D6"/>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D97535"/>
    <w:rPr>
      <w:rFonts w:asciiTheme="majorHAnsi" w:eastAsiaTheme="majorEastAsia" w:hAnsiTheme="majorHAnsi" w:cstheme="majorBidi"/>
      <w:color w:val="1F4D78" w:themeColor="accent1" w:themeShade="7F"/>
      <w:sz w:val="24"/>
      <w:szCs w:val="24"/>
    </w:rPr>
  </w:style>
  <w:style w:type="table" w:customStyle="1" w:styleId="Tablaconcuadrcula1">
    <w:name w:val="Tabla con cuadrícula1"/>
    <w:basedOn w:val="Tablanormal"/>
    <w:next w:val="Tablaconcuadrcula"/>
    <w:uiPriority w:val="59"/>
    <w:rsid w:val="0043676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D06D13"/>
    <w:pPr>
      <w:spacing w:after="0" w:line="240" w:lineRule="auto"/>
    </w:pPr>
    <w:rPr>
      <w:rFonts w:eastAsia="Cambria"/>
      <w:sz w:val="20"/>
      <w:szCs w:val="20"/>
    </w:rPr>
  </w:style>
  <w:style w:type="table" w:customStyle="1" w:styleId="Tablaconcuadrcula21">
    <w:name w:val="Tabla con cuadrícula21"/>
    <w:basedOn w:val="Tablanormal"/>
    <w:next w:val="Tablaconcuadrcula"/>
    <w:uiPriority w:val="39"/>
    <w:rsid w:val="008B485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564028217">
      <w:bodyDiv w:val="1"/>
      <w:marLeft w:val="0"/>
      <w:marRight w:val="0"/>
      <w:marTop w:val="0"/>
      <w:marBottom w:val="0"/>
      <w:divBdr>
        <w:top w:val="none" w:sz="0" w:space="0" w:color="auto"/>
        <w:left w:val="none" w:sz="0" w:space="0" w:color="auto"/>
        <w:bottom w:val="none" w:sz="0" w:space="0" w:color="auto"/>
        <w:right w:val="none" w:sz="0" w:space="0" w:color="auto"/>
      </w:divBdr>
    </w:div>
    <w:div w:id="569117217">
      <w:bodyDiv w:val="1"/>
      <w:marLeft w:val="0"/>
      <w:marRight w:val="0"/>
      <w:marTop w:val="0"/>
      <w:marBottom w:val="0"/>
      <w:divBdr>
        <w:top w:val="none" w:sz="0" w:space="0" w:color="auto"/>
        <w:left w:val="none" w:sz="0" w:space="0" w:color="auto"/>
        <w:bottom w:val="none" w:sz="0" w:space="0" w:color="auto"/>
        <w:right w:val="none" w:sz="0" w:space="0" w:color="auto"/>
      </w:divBdr>
    </w:div>
    <w:div w:id="695086580">
      <w:bodyDiv w:val="1"/>
      <w:marLeft w:val="0"/>
      <w:marRight w:val="0"/>
      <w:marTop w:val="0"/>
      <w:marBottom w:val="0"/>
      <w:divBdr>
        <w:top w:val="none" w:sz="0" w:space="0" w:color="auto"/>
        <w:left w:val="none" w:sz="0" w:space="0" w:color="auto"/>
        <w:bottom w:val="none" w:sz="0" w:space="0" w:color="auto"/>
        <w:right w:val="none" w:sz="0" w:space="0" w:color="auto"/>
      </w:divBdr>
    </w:div>
    <w:div w:id="717317003">
      <w:bodyDiv w:val="1"/>
      <w:marLeft w:val="0"/>
      <w:marRight w:val="0"/>
      <w:marTop w:val="0"/>
      <w:marBottom w:val="0"/>
      <w:divBdr>
        <w:top w:val="none" w:sz="0" w:space="0" w:color="auto"/>
        <w:left w:val="none" w:sz="0" w:space="0" w:color="auto"/>
        <w:bottom w:val="none" w:sz="0" w:space="0" w:color="auto"/>
        <w:right w:val="none" w:sz="0" w:space="0" w:color="auto"/>
      </w:divBdr>
    </w:div>
    <w:div w:id="883058837">
      <w:bodyDiv w:val="1"/>
      <w:marLeft w:val="0"/>
      <w:marRight w:val="0"/>
      <w:marTop w:val="0"/>
      <w:marBottom w:val="0"/>
      <w:divBdr>
        <w:top w:val="none" w:sz="0" w:space="0" w:color="auto"/>
        <w:left w:val="none" w:sz="0" w:space="0" w:color="auto"/>
        <w:bottom w:val="none" w:sz="0" w:space="0" w:color="auto"/>
        <w:right w:val="none" w:sz="0" w:space="0" w:color="auto"/>
      </w:divBdr>
    </w:div>
    <w:div w:id="109389366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35680784">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188639849">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28506.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15BAC-2834-45D5-92DC-E62EE7A7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50</Pages>
  <Words>8869</Words>
  <Characters>48782</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2019-04-29T17:09:00Z</cp:lastPrinted>
  <dcterms:created xsi:type="dcterms:W3CDTF">2019-04-10T19:58:00Z</dcterms:created>
  <dcterms:modified xsi:type="dcterms:W3CDTF">2019-05-30T01:01:00Z</dcterms:modified>
</cp:coreProperties>
</file>