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page" w:tblpX="4212" w:tblpY="556"/>
        <w:tblW w:w="65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35"/>
        <w:gridCol w:w="3686"/>
      </w:tblGrid>
      <w:tr w:rsidR="00264223" w:rsidRPr="004A2ED9" w:rsidTr="004E1A1F">
        <w:trPr>
          <w:trHeight w:val="144"/>
        </w:trPr>
        <w:tc>
          <w:tcPr>
            <w:tcW w:w="2835" w:type="dxa"/>
          </w:tcPr>
          <w:p w:rsidR="00264223" w:rsidRPr="004A2ED9" w:rsidRDefault="00264223" w:rsidP="00073528">
            <w:pPr>
              <w:tabs>
                <w:tab w:val="right" w:pos="8838"/>
              </w:tabs>
              <w:spacing w:line="360" w:lineRule="auto"/>
              <w:ind w:right="-105"/>
              <w:rPr>
                <w:rFonts w:ascii="Palatino Linotype" w:eastAsia="Calibri" w:hAnsi="Palatino Linotype" w:cs="Tahoma"/>
                <w:b/>
                <w:sz w:val="22"/>
                <w:szCs w:val="22"/>
                <w:lang w:val="es-MX" w:eastAsia="en-US"/>
              </w:rPr>
            </w:pPr>
            <w:r w:rsidRPr="004A2ED9">
              <w:rPr>
                <w:rFonts w:ascii="Palatino Linotype" w:eastAsia="Calibri" w:hAnsi="Palatino Linotype" w:cs="Tahoma"/>
                <w:b/>
                <w:sz w:val="22"/>
                <w:szCs w:val="22"/>
                <w:lang w:val="es-MX" w:eastAsia="en-US"/>
              </w:rPr>
              <w:t>Recurso de Revisión:</w:t>
            </w:r>
          </w:p>
        </w:tc>
        <w:tc>
          <w:tcPr>
            <w:tcW w:w="3686" w:type="dxa"/>
          </w:tcPr>
          <w:p w:rsidR="00264223" w:rsidRPr="004A2ED9" w:rsidRDefault="00156940" w:rsidP="00313834">
            <w:pPr>
              <w:tabs>
                <w:tab w:val="right" w:pos="8838"/>
              </w:tabs>
              <w:spacing w:line="360" w:lineRule="auto"/>
              <w:ind w:left="-28" w:right="171"/>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w:t>
            </w:r>
            <w:r w:rsidR="00313834">
              <w:rPr>
                <w:rFonts w:ascii="Palatino Linotype" w:eastAsia="Calibri" w:hAnsi="Palatino Linotype" w:cs="Tahoma"/>
                <w:bCs/>
                <w:sz w:val="22"/>
                <w:szCs w:val="22"/>
                <w:lang w:eastAsia="en-US"/>
              </w:rPr>
              <w:t>6286</w:t>
            </w:r>
            <w:r w:rsidR="000C766E" w:rsidRPr="004A2ED9">
              <w:rPr>
                <w:rFonts w:ascii="Palatino Linotype" w:eastAsia="Calibri" w:hAnsi="Palatino Linotype" w:cs="Tahoma"/>
                <w:bCs/>
                <w:sz w:val="22"/>
                <w:szCs w:val="22"/>
                <w:lang w:eastAsia="en-US"/>
              </w:rPr>
              <w:t>/INFOEM/IP/RR/2019</w:t>
            </w:r>
          </w:p>
        </w:tc>
      </w:tr>
      <w:tr w:rsidR="00264223" w:rsidRPr="004A2ED9" w:rsidTr="004E1A1F">
        <w:trPr>
          <w:trHeight w:val="144"/>
        </w:trPr>
        <w:tc>
          <w:tcPr>
            <w:tcW w:w="2835" w:type="dxa"/>
          </w:tcPr>
          <w:p w:rsidR="00264223" w:rsidRPr="004A2ED9" w:rsidRDefault="00264223" w:rsidP="00073528">
            <w:pPr>
              <w:tabs>
                <w:tab w:val="right" w:pos="8838"/>
              </w:tabs>
              <w:spacing w:line="360" w:lineRule="auto"/>
              <w:ind w:right="-105"/>
              <w:rPr>
                <w:rFonts w:ascii="Palatino Linotype" w:eastAsia="Calibri" w:hAnsi="Palatino Linotype" w:cs="Tahoma"/>
                <w:b/>
                <w:sz w:val="22"/>
                <w:szCs w:val="22"/>
                <w:lang w:val="es-MX" w:eastAsia="en-US"/>
              </w:rPr>
            </w:pPr>
            <w:r w:rsidRPr="004A2ED9">
              <w:rPr>
                <w:rFonts w:ascii="Palatino Linotype" w:eastAsia="Calibri" w:hAnsi="Palatino Linotype" w:cs="Tahoma"/>
                <w:b/>
                <w:sz w:val="22"/>
                <w:szCs w:val="22"/>
                <w:lang w:eastAsia="en-US"/>
              </w:rPr>
              <w:t>Recurrente:</w:t>
            </w:r>
          </w:p>
        </w:tc>
        <w:tc>
          <w:tcPr>
            <w:tcW w:w="3686" w:type="dxa"/>
          </w:tcPr>
          <w:p w:rsidR="00264223" w:rsidRPr="004A2ED9" w:rsidRDefault="00065F92" w:rsidP="00073528">
            <w:pPr>
              <w:tabs>
                <w:tab w:val="right" w:pos="8838"/>
              </w:tabs>
              <w:spacing w:line="360" w:lineRule="auto"/>
              <w:ind w:right="171"/>
              <w:jc w:val="both"/>
              <w:rPr>
                <w:rFonts w:ascii="Palatino Linotype" w:eastAsia="Calibri" w:hAnsi="Palatino Linotype" w:cs="Tahoma"/>
                <w:sz w:val="22"/>
                <w:szCs w:val="22"/>
                <w:lang w:val="es-MX" w:eastAsia="en-US"/>
              </w:rPr>
            </w:pPr>
            <w:r w:rsidRPr="00065F92">
              <w:rPr>
                <w:rFonts w:ascii="Palatino Linotype" w:eastAsia="Calibri" w:hAnsi="Palatino Linotype" w:cs="Tahoma"/>
                <w:bCs/>
                <w:sz w:val="22"/>
                <w:szCs w:val="22"/>
                <w:highlight w:val="black"/>
                <w:lang w:val="es-MX" w:eastAsia="en-US"/>
              </w:rPr>
              <w:t>XXXXX  XXXXXXXX</w:t>
            </w:r>
          </w:p>
        </w:tc>
      </w:tr>
      <w:tr w:rsidR="00264223" w:rsidRPr="004A2ED9" w:rsidTr="004E1A1F">
        <w:trPr>
          <w:trHeight w:val="283"/>
        </w:trPr>
        <w:tc>
          <w:tcPr>
            <w:tcW w:w="2835" w:type="dxa"/>
          </w:tcPr>
          <w:p w:rsidR="00264223" w:rsidRPr="004A2ED9" w:rsidRDefault="00386A93" w:rsidP="00073528">
            <w:pPr>
              <w:tabs>
                <w:tab w:val="right" w:pos="8838"/>
              </w:tabs>
              <w:spacing w:line="360" w:lineRule="auto"/>
              <w:ind w:right="-105"/>
              <w:rPr>
                <w:rFonts w:ascii="Palatino Linotype" w:eastAsia="Calibri" w:hAnsi="Palatino Linotype" w:cs="Tahoma"/>
                <w:b/>
                <w:sz w:val="22"/>
                <w:szCs w:val="22"/>
                <w:lang w:val="es-MX" w:eastAsia="en-US"/>
              </w:rPr>
            </w:pPr>
            <w:r w:rsidRPr="004A2ED9">
              <w:rPr>
                <w:rFonts w:ascii="Palatino Linotype" w:eastAsia="Calibri" w:hAnsi="Palatino Linotype" w:cs="Tahoma"/>
                <w:b/>
                <w:sz w:val="22"/>
                <w:szCs w:val="22"/>
                <w:lang w:eastAsia="en-US"/>
              </w:rPr>
              <w:t>Sujeto Obligado</w:t>
            </w:r>
            <w:r w:rsidR="00264223" w:rsidRPr="004A2ED9">
              <w:rPr>
                <w:rFonts w:ascii="Palatino Linotype" w:eastAsia="Calibri" w:hAnsi="Palatino Linotype" w:cs="Tahoma"/>
                <w:b/>
                <w:sz w:val="22"/>
                <w:szCs w:val="22"/>
                <w:lang w:eastAsia="en-US"/>
              </w:rPr>
              <w:t>:</w:t>
            </w:r>
          </w:p>
        </w:tc>
        <w:tc>
          <w:tcPr>
            <w:tcW w:w="3686" w:type="dxa"/>
          </w:tcPr>
          <w:p w:rsidR="00264223" w:rsidRPr="004A2ED9" w:rsidRDefault="00313834" w:rsidP="00073528">
            <w:pPr>
              <w:tabs>
                <w:tab w:val="left" w:pos="3153"/>
                <w:tab w:val="right" w:pos="8838"/>
              </w:tabs>
              <w:spacing w:line="360" w:lineRule="auto"/>
              <w:jc w:val="both"/>
              <w:rPr>
                <w:rFonts w:ascii="Palatino Linotype" w:eastAsia="Calibri" w:hAnsi="Palatino Linotype" w:cs="Tahoma"/>
                <w:sz w:val="22"/>
                <w:szCs w:val="22"/>
                <w:lang w:val="es-MX" w:eastAsia="en-US"/>
              </w:rPr>
            </w:pPr>
            <w:r w:rsidRPr="00313834">
              <w:rPr>
                <w:rFonts w:ascii="Palatino Linotype" w:eastAsia="Calibri" w:hAnsi="Palatino Linotype" w:cs="Tahoma"/>
                <w:bCs/>
                <w:sz w:val="22"/>
                <w:szCs w:val="22"/>
                <w:lang w:val="es-MX" w:eastAsia="en-US"/>
              </w:rPr>
              <w:t>Ayuntamiento de Tonanitla</w:t>
            </w:r>
          </w:p>
        </w:tc>
      </w:tr>
      <w:tr w:rsidR="00264223" w:rsidRPr="004A2ED9" w:rsidTr="004E1A1F">
        <w:trPr>
          <w:trHeight w:val="283"/>
        </w:trPr>
        <w:tc>
          <w:tcPr>
            <w:tcW w:w="2835" w:type="dxa"/>
          </w:tcPr>
          <w:p w:rsidR="00264223" w:rsidRPr="004A2ED9" w:rsidRDefault="00264223" w:rsidP="00073528">
            <w:pPr>
              <w:tabs>
                <w:tab w:val="right" w:pos="8838"/>
              </w:tabs>
              <w:spacing w:line="360" w:lineRule="auto"/>
              <w:ind w:right="-105"/>
              <w:rPr>
                <w:rFonts w:ascii="Palatino Linotype" w:eastAsia="Calibri" w:hAnsi="Palatino Linotype" w:cs="Tahoma"/>
                <w:b/>
                <w:sz w:val="22"/>
                <w:szCs w:val="22"/>
                <w:lang w:val="es-MX" w:eastAsia="en-US"/>
              </w:rPr>
            </w:pPr>
            <w:r w:rsidRPr="004A2ED9">
              <w:rPr>
                <w:rFonts w:ascii="Palatino Linotype" w:eastAsia="Calibri" w:hAnsi="Palatino Linotype" w:cs="Tahoma"/>
                <w:b/>
                <w:sz w:val="22"/>
                <w:szCs w:val="22"/>
                <w:lang w:eastAsia="en-US"/>
              </w:rPr>
              <w:t>Comisionado Ponente:</w:t>
            </w:r>
          </w:p>
        </w:tc>
        <w:tc>
          <w:tcPr>
            <w:tcW w:w="3686" w:type="dxa"/>
          </w:tcPr>
          <w:p w:rsidR="00264223" w:rsidRPr="004A2ED9" w:rsidRDefault="00264223" w:rsidP="00073528">
            <w:pPr>
              <w:tabs>
                <w:tab w:val="right" w:pos="8838"/>
              </w:tabs>
              <w:spacing w:line="360" w:lineRule="auto"/>
              <w:ind w:right="171"/>
              <w:jc w:val="both"/>
              <w:rPr>
                <w:rFonts w:ascii="Palatino Linotype" w:eastAsia="Calibri" w:hAnsi="Palatino Linotype" w:cs="Tahoma"/>
                <w:b/>
                <w:sz w:val="22"/>
                <w:szCs w:val="22"/>
                <w:lang w:val="es-MX" w:eastAsia="en-US"/>
              </w:rPr>
            </w:pPr>
            <w:r w:rsidRPr="004A2ED9">
              <w:rPr>
                <w:rFonts w:ascii="Palatino Linotype" w:eastAsia="Calibri" w:hAnsi="Palatino Linotype" w:cs="Tahoma"/>
                <w:sz w:val="22"/>
                <w:szCs w:val="22"/>
                <w:lang w:eastAsia="en-US"/>
              </w:rPr>
              <w:t>Luis Gustavo Parra Noriega</w:t>
            </w:r>
          </w:p>
        </w:tc>
      </w:tr>
    </w:tbl>
    <w:p w:rsidR="0024126C" w:rsidRDefault="0024126C" w:rsidP="00073528">
      <w:pPr>
        <w:spacing w:line="360" w:lineRule="auto"/>
        <w:jc w:val="both"/>
        <w:rPr>
          <w:rFonts w:ascii="Palatino Linotype" w:hAnsi="Palatino Linotype" w:cs="Tahoma"/>
          <w:bCs/>
          <w:sz w:val="22"/>
          <w:szCs w:val="22"/>
        </w:rPr>
      </w:pPr>
    </w:p>
    <w:p w:rsidR="0074285B" w:rsidRPr="004A2ED9" w:rsidRDefault="00D22B6A" w:rsidP="00073528">
      <w:pPr>
        <w:spacing w:line="360" w:lineRule="auto"/>
        <w:jc w:val="both"/>
        <w:rPr>
          <w:rFonts w:ascii="Palatino Linotype" w:hAnsi="Palatino Linotype"/>
          <w:noProof/>
          <w:sz w:val="22"/>
          <w:szCs w:val="22"/>
          <w:lang w:val="es-ES"/>
        </w:rPr>
      </w:pPr>
      <w:r w:rsidRPr="004A2ED9">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313834">
        <w:rPr>
          <w:rFonts w:ascii="Palatino Linotype" w:hAnsi="Palatino Linotype" w:cs="Tahoma"/>
          <w:bCs/>
          <w:sz w:val="22"/>
          <w:szCs w:val="22"/>
        </w:rPr>
        <w:t xml:space="preserve">dos de octubre </w:t>
      </w:r>
      <w:r w:rsidRPr="004A2ED9">
        <w:rPr>
          <w:rFonts w:ascii="Palatino Linotype" w:hAnsi="Palatino Linotype" w:cs="Tahoma"/>
          <w:bCs/>
          <w:sz w:val="22"/>
          <w:szCs w:val="22"/>
        </w:rPr>
        <w:t>de dos mil dieci</w:t>
      </w:r>
      <w:r w:rsidR="006B112B" w:rsidRPr="004A2ED9">
        <w:rPr>
          <w:rFonts w:ascii="Palatino Linotype" w:hAnsi="Palatino Linotype" w:cs="Tahoma"/>
          <w:bCs/>
          <w:sz w:val="22"/>
          <w:szCs w:val="22"/>
        </w:rPr>
        <w:t>nueve</w:t>
      </w:r>
      <w:r w:rsidRPr="004A2ED9">
        <w:rPr>
          <w:rFonts w:ascii="Palatino Linotype" w:hAnsi="Palatino Linotype" w:cs="Tahoma"/>
          <w:bCs/>
          <w:sz w:val="22"/>
          <w:szCs w:val="22"/>
        </w:rPr>
        <w:t>.</w:t>
      </w:r>
    </w:p>
    <w:p w:rsidR="00492DCA" w:rsidRPr="004A2ED9" w:rsidRDefault="00492DCA" w:rsidP="00073528">
      <w:pPr>
        <w:spacing w:line="360" w:lineRule="auto"/>
        <w:jc w:val="both"/>
        <w:rPr>
          <w:rFonts w:ascii="Palatino Linotype" w:hAnsi="Palatino Linotype"/>
          <w:noProof/>
          <w:sz w:val="22"/>
          <w:szCs w:val="22"/>
          <w:lang w:val="es-ES"/>
        </w:rPr>
      </w:pPr>
    </w:p>
    <w:p w:rsidR="00400FDE" w:rsidRPr="004A2ED9" w:rsidRDefault="00575DE3" w:rsidP="00073528">
      <w:pPr>
        <w:spacing w:line="360" w:lineRule="auto"/>
        <w:jc w:val="both"/>
        <w:rPr>
          <w:rFonts w:ascii="Palatino Linotype" w:hAnsi="Palatino Linotype" w:cs="Tahoma"/>
          <w:bCs/>
          <w:sz w:val="22"/>
          <w:szCs w:val="22"/>
        </w:rPr>
      </w:pPr>
      <w:r w:rsidRPr="004A2ED9">
        <w:rPr>
          <w:rFonts w:ascii="Palatino Linotype" w:hAnsi="Palatino Linotype" w:cs="Tahoma"/>
          <w:b/>
          <w:bCs/>
          <w:color w:val="0D0D0D" w:themeColor="text1" w:themeTint="F2"/>
          <w:sz w:val="22"/>
          <w:szCs w:val="22"/>
        </w:rPr>
        <w:t>VISTO</w:t>
      </w:r>
      <w:r w:rsidR="0019389B" w:rsidRPr="004A2ED9">
        <w:rPr>
          <w:rFonts w:ascii="Palatino Linotype" w:hAnsi="Palatino Linotype" w:cs="Tahoma"/>
          <w:bCs/>
          <w:color w:val="0D0D0D" w:themeColor="text1" w:themeTint="F2"/>
          <w:sz w:val="22"/>
          <w:szCs w:val="22"/>
        </w:rPr>
        <w:t xml:space="preserve"> el expediente conformado </w:t>
      </w:r>
      <w:r w:rsidR="00422869" w:rsidRPr="004A2ED9">
        <w:rPr>
          <w:rFonts w:ascii="Palatino Linotype" w:hAnsi="Palatino Linotype" w:cs="Tahoma"/>
          <w:bCs/>
          <w:color w:val="0D0D0D" w:themeColor="text1" w:themeTint="F2"/>
          <w:sz w:val="22"/>
          <w:szCs w:val="22"/>
        </w:rPr>
        <w:t xml:space="preserve">con motivo del Recurso de Revisión </w:t>
      </w:r>
      <w:r w:rsidR="0050449E" w:rsidRPr="004A2ED9">
        <w:rPr>
          <w:rFonts w:ascii="Palatino Linotype" w:hAnsi="Palatino Linotype" w:cs="Tahoma"/>
          <w:b/>
          <w:bCs/>
          <w:color w:val="0D0D0D" w:themeColor="text1" w:themeTint="F2"/>
          <w:sz w:val="22"/>
          <w:szCs w:val="22"/>
        </w:rPr>
        <w:t>0</w:t>
      </w:r>
      <w:r w:rsidR="00313834">
        <w:rPr>
          <w:rFonts w:ascii="Palatino Linotype" w:hAnsi="Palatino Linotype" w:cs="Tahoma"/>
          <w:b/>
          <w:bCs/>
          <w:color w:val="0D0D0D" w:themeColor="text1" w:themeTint="F2"/>
          <w:sz w:val="22"/>
          <w:szCs w:val="22"/>
        </w:rPr>
        <w:t>628</w:t>
      </w:r>
      <w:r w:rsidR="0053522E">
        <w:rPr>
          <w:rFonts w:ascii="Palatino Linotype" w:hAnsi="Palatino Linotype" w:cs="Tahoma"/>
          <w:b/>
          <w:bCs/>
          <w:color w:val="0D0D0D" w:themeColor="text1" w:themeTint="F2"/>
          <w:sz w:val="22"/>
          <w:szCs w:val="22"/>
        </w:rPr>
        <w:t>6</w:t>
      </w:r>
      <w:r w:rsidR="0050449E" w:rsidRPr="004A2ED9">
        <w:rPr>
          <w:rFonts w:ascii="Palatino Linotype" w:hAnsi="Palatino Linotype" w:cs="Tahoma"/>
          <w:b/>
          <w:bCs/>
          <w:color w:val="0D0D0D" w:themeColor="text1" w:themeTint="F2"/>
          <w:sz w:val="22"/>
          <w:szCs w:val="22"/>
        </w:rPr>
        <w:t>/INFOEM/IP/RR/201</w:t>
      </w:r>
      <w:r w:rsidR="002459FB" w:rsidRPr="004A2ED9">
        <w:rPr>
          <w:rFonts w:ascii="Palatino Linotype" w:hAnsi="Palatino Linotype" w:cs="Tahoma"/>
          <w:b/>
          <w:bCs/>
          <w:color w:val="0D0D0D" w:themeColor="text1" w:themeTint="F2"/>
          <w:sz w:val="22"/>
          <w:szCs w:val="22"/>
        </w:rPr>
        <w:t>9</w:t>
      </w:r>
      <w:r w:rsidR="00A37B60" w:rsidRPr="004A2ED9">
        <w:rPr>
          <w:rFonts w:ascii="Palatino Linotype" w:hAnsi="Palatino Linotype" w:cs="Tahoma"/>
          <w:b/>
          <w:bCs/>
          <w:color w:val="0D0D0D" w:themeColor="text1" w:themeTint="F2"/>
          <w:sz w:val="22"/>
          <w:szCs w:val="22"/>
        </w:rPr>
        <w:t>,</w:t>
      </w:r>
      <w:r w:rsidR="004E1AD9" w:rsidRPr="004A2ED9">
        <w:rPr>
          <w:rFonts w:ascii="Palatino Linotype" w:hAnsi="Palatino Linotype" w:cs="Tahoma"/>
          <w:b/>
          <w:bCs/>
          <w:color w:val="0D0D0D" w:themeColor="text1" w:themeTint="F2"/>
          <w:sz w:val="22"/>
          <w:szCs w:val="22"/>
        </w:rPr>
        <w:t xml:space="preserve"> </w:t>
      </w:r>
      <w:r w:rsidR="00127757" w:rsidRPr="004A2ED9">
        <w:rPr>
          <w:rFonts w:ascii="Palatino Linotype" w:hAnsi="Palatino Linotype" w:cs="Tahoma"/>
          <w:bCs/>
          <w:color w:val="0D0D0D" w:themeColor="text1" w:themeTint="F2"/>
          <w:sz w:val="22"/>
          <w:szCs w:val="22"/>
        </w:rPr>
        <w:t>interpuesto por</w:t>
      </w:r>
      <w:r w:rsidR="00E70503" w:rsidRPr="004A2ED9">
        <w:rPr>
          <w:rFonts w:ascii="Palatino Linotype" w:hAnsi="Palatino Linotype" w:cs="Tahoma"/>
          <w:bCs/>
          <w:color w:val="0D0D0D" w:themeColor="text1" w:themeTint="F2"/>
          <w:sz w:val="22"/>
          <w:szCs w:val="22"/>
        </w:rPr>
        <w:t xml:space="preserve"> </w:t>
      </w:r>
      <w:r w:rsidR="00065F92" w:rsidRPr="00065F92">
        <w:rPr>
          <w:rFonts w:ascii="Palatino Linotype" w:hAnsi="Palatino Linotype" w:cs="Tahoma"/>
          <w:b/>
          <w:bCs/>
          <w:color w:val="0D0D0D" w:themeColor="text1" w:themeTint="F2"/>
          <w:sz w:val="22"/>
          <w:szCs w:val="22"/>
          <w:highlight w:val="black"/>
        </w:rPr>
        <w:t>XXXXXXXXXXXXXXX</w:t>
      </w:r>
      <w:r w:rsidR="000A238F" w:rsidRPr="004A2ED9">
        <w:rPr>
          <w:rFonts w:ascii="Palatino Linotype" w:hAnsi="Palatino Linotype" w:cs="Tahoma"/>
          <w:bCs/>
          <w:color w:val="0D0D0D" w:themeColor="text1" w:themeTint="F2"/>
          <w:sz w:val="22"/>
          <w:szCs w:val="22"/>
        </w:rPr>
        <w:t xml:space="preserve">, en lo sucesivo </w:t>
      </w:r>
      <w:r w:rsidR="00EC7187" w:rsidRPr="004A2ED9">
        <w:rPr>
          <w:rFonts w:ascii="Palatino Linotype" w:hAnsi="Palatino Linotype" w:cs="Tahoma"/>
          <w:bCs/>
          <w:color w:val="0D0D0D" w:themeColor="text1" w:themeTint="F2"/>
          <w:sz w:val="22"/>
          <w:szCs w:val="22"/>
        </w:rPr>
        <w:t xml:space="preserve">el </w:t>
      </w:r>
      <w:r w:rsidR="00470619" w:rsidRPr="004A2ED9">
        <w:rPr>
          <w:rFonts w:ascii="Palatino Linotype" w:hAnsi="Palatino Linotype" w:cs="Tahoma"/>
          <w:bCs/>
          <w:color w:val="0D0D0D" w:themeColor="text1" w:themeTint="F2"/>
          <w:sz w:val="22"/>
          <w:szCs w:val="22"/>
        </w:rPr>
        <w:t xml:space="preserve">Recurrente </w:t>
      </w:r>
      <w:r w:rsidR="000A238F" w:rsidRPr="004A2ED9">
        <w:rPr>
          <w:rFonts w:ascii="Palatino Linotype" w:hAnsi="Palatino Linotype" w:cs="Tahoma"/>
          <w:bCs/>
          <w:color w:val="0D0D0D" w:themeColor="text1" w:themeTint="F2"/>
          <w:sz w:val="22"/>
          <w:szCs w:val="22"/>
        </w:rPr>
        <w:t xml:space="preserve">o </w:t>
      </w:r>
      <w:r w:rsidR="00470619" w:rsidRPr="004A2ED9">
        <w:rPr>
          <w:rFonts w:ascii="Palatino Linotype" w:hAnsi="Palatino Linotype" w:cs="Tahoma"/>
          <w:bCs/>
          <w:color w:val="0D0D0D" w:themeColor="text1" w:themeTint="F2"/>
          <w:sz w:val="22"/>
          <w:szCs w:val="22"/>
        </w:rPr>
        <w:t>P</w:t>
      </w:r>
      <w:r w:rsidR="000A238F" w:rsidRPr="004A2ED9">
        <w:rPr>
          <w:rFonts w:ascii="Palatino Linotype" w:hAnsi="Palatino Linotype" w:cs="Tahoma"/>
          <w:bCs/>
          <w:color w:val="0D0D0D" w:themeColor="text1" w:themeTint="F2"/>
          <w:sz w:val="22"/>
          <w:szCs w:val="22"/>
        </w:rPr>
        <w:t>articular,</w:t>
      </w:r>
      <w:r w:rsidR="00A9024A" w:rsidRPr="004A2ED9">
        <w:rPr>
          <w:rFonts w:ascii="Palatino Linotype" w:hAnsi="Palatino Linotype" w:cs="Tahoma"/>
          <w:bCs/>
          <w:color w:val="0D0D0D" w:themeColor="text1" w:themeTint="F2"/>
          <w:sz w:val="22"/>
          <w:szCs w:val="22"/>
        </w:rPr>
        <w:t xml:space="preserve"> </w:t>
      </w:r>
      <w:r w:rsidR="00DC1594" w:rsidRPr="004A2ED9">
        <w:rPr>
          <w:rFonts w:ascii="Palatino Linotype" w:hAnsi="Palatino Linotype" w:cs="Tahoma"/>
          <w:bCs/>
          <w:color w:val="0D0D0D" w:themeColor="text1" w:themeTint="F2"/>
          <w:sz w:val="22"/>
          <w:szCs w:val="22"/>
        </w:rPr>
        <w:t>en contra de la</w:t>
      </w:r>
      <w:r w:rsidR="00E5584C">
        <w:rPr>
          <w:rFonts w:ascii="Palatino Linotype" w:hAnsi="Palatino Linotype" w:cs="Tahoma"/>
          <w:bCs/>
          <w:color w:val="0D0D0D" w:themeColor="text1" w:themeTint="F2"/>
          <w:sz w:val="22"/>
          <w:szCs w:val="22"/>
        </w:rPr>
        <w:t xml:space="preserve"> falta de </w:t>
      </w:r>
      <w:r w:rsidR="00DC1594" w:rsidRPr="004A2ED9">
        <w:rPr>
          <w:rFonts w:ascii="Palatino Linotype" w:hAnsi="Palatino Linotype" w:cs="Tahoma"/>
          <w:bCs/>
          <w:color w:val="0D0D0D" w:themeColor="text1" w:themeTint="F2"/>
          <w:sz w:val="22"/>
          <w:szCs w:val="22"/>
        </w:rPr>
        <w:t xml:space="preserve"> respuesta del </w:t>
      </w:r>
      <w:r w:rsidR="00956793" w:rsidRPr="004A2ED9">
        <w:rPr>
          <w:rFonts w:ascii="Palatino Linotype" w:hAnsi="Palatino Linotype" w:cs="Tahoma"/>
          <w:b/>
          <w:bCs/>
          <w:color w:val="0D0D0D" w:themeColor="text1" w:themeTint="F2"/>
          <w:sz w:val="22"/>
          <w:szCs w:val="22"/>
        </w:rPr>
        <w:t>Sujeto Obligado</w:t>
      </w:r>
      <w:r w:rsidR="002A0FB8" w:rsidRPr="004A2ED9">
        <w:rPr>
          <w:rFonts w:ascii="Palatino Linotype" w:hAnsi="Palatino Linotype" w:cs="Tahoma"/>
          <w:b/>
          <w:bCs/>
          <w:color w:val="0D0D0D" w:themeColor="text1" w:themeTint="F2"/>
          <w:sz w:val="22"/>
          <w:szCs w:val="22"/>
        </w:rPr>
        <w:t xml:space="preserve"> </w:t>
      </w:r>
      <w:r w:rsidR="00313834">
        <w:rPr>
          <w:rFonts w:ascii="Palatino Linotype" w:hAnsi="Palatino Linotype" w:cs="Tahoma"/>
          <w:b/>
          <w:bCs/>
          <w:color w:val="0D0D0D" w:themeColor="text1" w:themeTint="F2"/>
          <w:sz w:val="22"/>
          <w:szCs w:val="22"/>
        </w:rPr>
        <w:t>Ayuntamiento de Tonanitla</w:t>
      </w:r>
      <w:r w:rsidR="00DC1594" w:rsidRPr="004A2ED9">
        <w:rPr>
          <w:rFonts w:ascii="Palatino Linotype" w:hAnsi="Palatino Linotype" w:cs="Tahoma"/>
          <w:bCs/>
          <w:color w:val="0D0D0D" w:themeColor="text1" w:themeTint="F2"/>
          <w:sz w:val="22"/>
          <w:szCs w:val="22"/>
        </w:rPr>
        <w:t xml:space="preserve">, </w:t>
      </w:r>
      <w:r w:rsidR="00422869" w:rsidRPr="004A2ED9">
        <w:rPr>
          <w:rFonts w:ascii="Palatino Linotype" w:hAnsi="Palatino Linotype" w:cs="Tahoma"/>
          <w:bCs/>
          <w:color w:val="0D0D0D" w:themeColor="text1" w:themeTint="F2"/>
          <w:sz w:val="22"/>
          <w:szCs w:val="22"/>
        </w:rPr>
        <w:t xml:space="preserve">se emite la presente Resolución, </w:t>
      </w:r>
      <w:r w:rsidR="00DC1594" w:rsidRPr="004A2ED9">
        <w:rPr>
          <w:rFonts w:ascii="Palatino Linotype" w:hAnsi="Palatino Linotype" w:cs="Tahoma"/>
          <w:bCs/>
          <w:color w:val="0D0D0D" w:themeColor="text1" w:themeTint="F2"/>
          <w:sz w:val="22"/>
          <w:szCs w:val="22"/>
        </w:rPr>
        <w:t>con base en</w:t>
      </w:r>
      <w:r w:rsidR="0098795A" w:rsidRPr="004A2ED9">
        <w:rPr>
          <w:rFonts w:ascii="Palatino Linotype" w:hAnsi="Palatino Linotype" w:cs="Tahoma"/>
          <w:bCs/>
          <w:color w:val="0D0D0D" w:themeColor="text1" w:themeTint="F2"/>
          <w:sz w:val="22"/>
          <w:szCs w:val="22"/>
        </w:rPr>
        <w:t xml:space="preserve"> </w:t>
      </w:r>
      <w:r w:rsidR="00DC1594" w:rsidRPr="004A2ED9">
        <w:rPr>
          <w:rFonts w:ascii="Palatino Linotype" w:hAnsi="Palatino Linotype" w:cs="Tahoma"/>
          <w:bCs/>
          <w:color w:val="0D0D0D" w:themeColor="text1" w:themeTint="F2"/>
          <w:sz w:val="22"/>
          <w:szCs w:val="22"/>
        </w:rPr>
        <w:t xml:space="preserve">los </w:t>
      </w:r>
      <w:r w:rsidR="006C1B1D" w:rsidRPr="004A2ED9">
        <w:rPr>
          <w:rFonts w:ascii="Palatino Linotype" w:hAnsi="Palatino Linotype" w:cs="Tahoma"/>
          <w:bCs/>
          <w:color w:val="0D0D0D" w:themeColor="text1" w:themeTint="F2"/>
          <w:sz w:val="22"/>
          <w:szCs w:val="22"/>
        </w:rPr>
        <w:t>A</w:t>
      </w:r>
      <w:r w:rsidR="00DC1594" w:rsidRPr="004A2ED9">
        <w:rPr>
          <w:rFonts w:ascii="Palatino Linotype" w:hAnsi="Palatino Linotype" w:cs="Tahoma"/>
          <w:bCs/>
          <w:color w:val="0D0D0D" w:themeColor="text1" w:themeTint="F2"/>
          <w:sz w:val="22"/>
          <w:szCs w:val="22"/>
        </w:rPr>
        <w:t xml:space="preserve">ntecedentes y </w:t>
      </w:r>
      <w:r w:rsidR="002A0FB8" w:rsidRPr="004A2ED9">
        <w:rPr>
          <w:rFonts w:ascii="Palatino Linotype" w:hAnsi="Palatino Linotype" w:cs="Tahoma"/>
          <w:bCs/>
          <w:color w:val="0D0D0D" w:themeColor="text1" w:themeTint="F2"/>
          <w:sz w:val="22"/>
          <w:szCs w:val="22"/>
        </w:rPr>
        <w:t>C</w:t>
      </w:r>
      <w:r w:rsidR="002A0FB8" w:rsidRPr="004A2ED9">
        <w:rPr>
          <w:rFonts w:ascii="Palatino Linotype" w:hAnsi="Palatino Linotype" w:cs="Tahoma"/>
          <w:bCs/>
          <w:sz w:val="22"/>
          <w:szCs w:val="22"/>
        </w:rPr>
        <w:t xml:space="preserve">onsiderandos </w:t>
      </w:r>
      <w:r w:rsidR="00DC1594" w:rsidRPr="004A2ED9">
        <w:rPr>
          <w:rFonts w:ascii="Palatino Linotype" w:hAnsi="Palatino Linotype" w:cs="Tahoma"/>
          <w:bCs/>
          <w:sz w:val="22"/>
          <w:szCs w:val="22"/>
        </w:rPr>
        <w:t>que a continuación se exponen</w:t>
      </w:r>
      <w:r w:rsidR="00B31222" w:rsidRPr="004A2ED9">
        <w:rPr>
          <w:rFonts w:ascii="Palatino Linotype" w:hAnsi="Palatino Linotype" w:cs="Tahoma"/>
          <w:bCs/>
          <w:sz w:val="22"/>
          <w:szCs w:val="22"/>
        </w:rPr>
        <w:t>:</w:t>
      </w:r>
    </w:p>
    <w:p w:rsidR="00634CEB" w:rsidRPr="004A2ED9" w:rsidRDefault="00634CEB" w:rsidP="00073528">
      <w:pPr>
        <w:tabs>
          <w:tab w:val="center" w:pos="4522"/>
          <w:tab w:val="left" w:pos="7245"/>
          <w:tab w:val="right" w:pos="9044"/>
        </w:tabs>
        <w:spacing w:line="360" w:lineRule="auto"/>
        <w:rPr>
          <w:rFonts w:ascii="Palatino Linotype" w:hAnsi="Palatino Linotype" w:cs="Tahoma"/>
          <w:b/>
          <w:sz w:val="22"/>
          <w:szCs w:val="22"/>
        </w:rPr>
      </w:pPr>
    </w:p>
    <w:p w:rsidR="00B31222" w:rsidRPr="004A2ED9" w:rsidRDefault="00E46195" w:rsidP="00073528">
      <w:pPr>
        <w:tabs>
          <w:tab w:val="center" w:pos="4522"/>
          <w:tab w:val="left" w:pos="7245"/>
          <w:tab w:val="right" w:pos="9044"/>
        </w:tabs>
        <w:spacing w:line="360" w:lineRule="auto"/>
        <w:jc w:val="center"/>
        <w:rPr>
          <w:rFonts w:ascii="Palatino Linotype" w:hAnsi="Palatino Linotype" w:cs="Tahoma"/>
          <w:b/>
          <w:sz w:val="22"/>
          <w:szCs w:val="22"/>
        </w:rPr>
      </w:pPr>
      <w:r w:rsidRPr="004A2ED9">
        <w:rPr>
          <w:rFonts w:ascii="Palatino Linotype" w:hAnsi="Palatino Linotype" w:cs="Tahoma"/>
          <w:b/>
          <w:sz w:val="22"/>
          <w:szCs w:val="22"/>
        </w:rPr>
        <w:t>A</w:t>
      </w:r>
      <w:r w:rsidR="002459FB" w:rsidRPr="004A2ED9">
        <w:rPr>
          <w:rFonts w:ascii="Palatino Linotype" w:hAnsi="Palatino Linotype" w:cs="Tahoma"/>
          <w:b/>
          <w:sz w:val="22"/>
          <w:szCs w:val="22"/>
        </w:rPr>
        <w:t xml:space="preserve"> </w:t>
      </w:r>
      <w:r w:rsidRPr="004A2ED9">
        <w:rPr>
          <w:rFonts w:ascii="Palatino Linotype" w:hAnsi="Palatino Linotype" w:cs="Tahoma"/>
          <w:b/>
          <w:sz w:val="22"/>
          <w:szCs w:val="22"/>
        </w:rPr>
        <w:t>N</w:t>
      </w:r>
      <w:r w:rsidR="002459FB" w:rsidRPr="004A2ED9">
        <w:rPr>
          <w:rFonts w:ascii="Palatino Linotype" w:hAnsi="Palatino Linotype" w:cs="Tahoma"/>
          <w:b/>
          <w:sz w:val="22"/>
          <w:szCs w:val="22"/>
        </w:rPr>
        <w:t xml:space="preserve"> </w:t>
      </w:r>
      <w:r w:rsidRPr="004A2ED9">
        <w:rPr>
          <w:rFonts w:ascii="Palatino Linotype" w:hAnsi="Palatino Linotype" w:cs="Tahoma"/>
          <w:b/>
          <w:sz w:val="22"/>
          <w:szCs w:val="22"/>
        </w:rPr>
        <w:t>T</w:t>
      </w:r>
      <w:r w:rsidR="002459FB" w:rsidRPr="004A2ED9">
        <w:rPr>
          <w:rFonts w:ascii="Palatino Linotype" w:hAnsi="Palatino Linotype" w:cs="Tahoma"/>
          <w:b/>
          <w:sz w:val="22"/>
          <w:szCs w:val="22"/>
        </w:rPr>
        <w:t xml:space="preserve"> </w:t>
      </w:r>
      <w:r w:rsidRPr="004A2ED9">
        <w:rPr>
          <w:rFonts w:ascii="Palatino Linotype" w:hAnsi="Palatino Linotype" w:cs="Tahoma"/>
          <w:b/>
          <w:sz w:val="22"/>
          <w:szCs w:val="22"/>
        </w:rPr>
        <w:t>E</w:t>
      </w:r>
      <w:r w:rsidR="002459FB" w:rsidRPr="004A2ED9">
        <w:rPr>
          <w:rFonts w:ascii="Palatino Linotype" w:hAnsi="Palatino Linotype" w:cs="Tahoma"/>
          <w:b/>
          <w:sz w:val="22"/>
          <w:szCs w:val="22"/>
        </w:rPr>
        <w:t xml:space="preserve"> </w:t>
      </w:r>
      <w:r w:rsidRPr="004A2ED9">
        <w:rPr>
          <w:rFonts w:ascii="Palatino Linotype" w:hAnsi="Palatino Linotype" w:cs="Tahoma"/>
          <w:b/>
          <w:sz w:val="22"/>
          <w:szCs w:val="22"/>
        </w:rPr>
        <w:t>C</w:t>
      </w:r>
      <w:r w:rsidR="002459FB" w:rsidRPr="004A2ED9">
        <w:rPr>
          <w:rFonts w:ascii="Palatino Linotype" w:hAnsi="Palatino Linotype" w:cs="Tahoma"/>
          <w:b/>
          <w:sz w:val="22"/>
          <w:szCs w:val="22"/>
        </w:rPr>
        <w:t xml:space="preserve"> </w:t>
      </w:r>
      <w:r w:rsidRPr="004A2ED9">
        <w:rPr>
          <w:rFonts w:ascii="Palatino Linotype" w:hAnsi="Palatino Linotype" w:cs="Tahoma"/>
          <w:b/>
          <w:sz w:val="22"/>
          <w:szCs w:val="22"/>
        </w:rPr>
        <w:t>E</w:t>
      </w:r>
      <w:r w:rsidR="002459FB" w:rsidRPr="004A2ED9">
        <w:rPr>
          <w:rFonts w:ascii="Palatino Linotype" w:hAnsi="Palatino Linotype" w:cs="Tahoma"/>
          <w:b/>
          <w:sz w:val="22"/>
          <w:szCs w:val="22"/>
        </w:rPr>
        <w:t xml:space="preserve"> </w:t>
      </w:r>
      <w:r w:rsidRPr="004A2ED9">
        <w:rPr>
          <w:rFonts w:ascii="Palatino Linotype" w:hAnsi="Palatino Linotype" w:cs="Tahoma"/>
          <w:b/>
          <w:sz w:val="22"/>
          <w:szCs w:val="22"/>
        </w:rPr>
        <w:t>D</w:t>
      </w:r>
      <w:r w:rsidR="002459FB" w:rsidRPr="004A2ED9">
        <w:rPr>
          <w:rFonts w:ascii="Palatino Linotype" w:hAnsi="Palatino Linotype" w:cs="Tahoma"/>
          <w:b/>
          <w:sz w:val="22"/>
          <w:szCs w:val="22"/>
        </w:rPr>
        <w:t xml:space="preserve"> </w:t>
      </w:r>
      <w:r w:rsidRPr="004A2ED9">
        <w:rPr>
          <w:rFonts w:ascii="Palatino Linotype" w:hAnsi="Palatino Linotype" w:cs="Tahoma"/>
          <w:b/>
          <w:sz w:val="22"/>
          <w:szCs w:val="22"/>
        </w:rPr>
        <w:t>E</w:t>
      </w:r>
      <w:r w:rsidR="002459FB" w:rsidRPr="004A2ED9">
        <w:rPr>
          <w:rFonts w:ascii="Palatino Linotype" w:hAnsi="Palatino Linotype" w:cs="Tahoma"/>
          <w:b/>
          <w:sz w:val="22"/>
          <w:szCs w:val="22"/>
        </w:rPr>
        <w:t xml:space="preserve"> </w:t>
      </w:r>
      <w:r w:rsidRPr="004A2ED9">
        <w:rPr>
          <w:rFonts w:ascii="Palatino Linotype" w:hAnsi="Palatino Linotype" w:cs="Tahoma"/>
          <w:b/>
          <w:sz w:val="22"/>
          <w:szCs w:val="22"/>
        </w:rPr>
        <w:t>N</w:t>
      </w:r>
      <w:r w:rsidR="002459FB" w:rsidRPr="004A2ED9">
        <w:rPr>
          <w:rFonts w:ascii="Palatino Linotype" w:hAnsi="Palatino Linotype" w:cs="Tahoma"/>
          <w:b/>
          <w:sz w:val="22"/>
          <w:szCs w:val="22"/>
        </w:rPr>
        <w:t xml:space="preserve"> </w:t>
      </w:r>
      <w:r w:rsidRPr="004A2ED9">
        <w:rPr>
          <w:rFonts w:ascii="Palatino Linotype" w:hAnsi="Palatino Linotype" w:cs="Tahoma"/>
          <w:b/>
          <w:sz w:val="22"/>
          <w:szCs w:val="22"/>
        </w:rPr>
        <w:t>T</w:t>
      </w:r>
      <w:r w:rsidR="002459FB" w:rsidRPr="004A2ED9">
        <w:rPr>
          <w:rFonts w:ascii="Palatino Linotype" w:hAnsi="Palatino Linotype" w:cs="Tahoma"/>
          <w:b/>
          <w:sz w:val="22"/>
          <w:szCs w:val="22"/>
        </w:rPr>
        <w:t xml:space="preserve"> </w:t>
      </w:r>
      <w:r w:rsidRPr="004A2ED9">
        <w:rPr>
          <w:rFonts w:ascii="Palatino Linotype" w:hAnsi="Palatino Linotype" w:cs="Tahoma"/>
          <w:b/>
          <w:sz w:val="22"/>
          <w:szCs w:val="22"/>
        </w:rPr>
        <w:t>E</w:t>
      </w:r>
      <w:r w:rsidR="002459FB" w:rsidRPr="004A2ED9">
        <w:rPr>
          <w:rFonts w:ascii="Palatino Linotype" w:hAnsi="Palatino Linotype" w:cs="Tahoma"/>
          <w:b/>
          <w:sz w:val="22"/>
          <w:szCs w:val="22"/>
        </w:rPr>
        <w:t xml:space="preserve"> </w:t>
      </w:r>
      <w:r w:rsidRPr="004A2ED9">
        <w:rPr>
          <w:rFonts w:ascii="Palatino Linotype" w:hAnsi="Palatino Linotype" w:cs="Tahoma"/>
          <w:b/>
          <w:sz w:val="22"/>
          <w:szCs w:val="22"/>
        </w:rPr>
        <w:t>S</w:t>
      </w:r>
    </w:p>
    <w:p w:rsidR="00683CB5" w:rsidRPr="004A2ED9" w:rsidRDefault="00683CB5" w:rsidP="00073528">
      <w:pPr>
        <w:tabs>
          <w:tab w:val="center" w:pos="4522"/>
          <w:tab w:val="left" w:pos="7245"/>
          <w:tab w:val="right" w:pos="9044"/>
        </w:tabs>
        <w:spacing w:line="360" w:lineRule="auto"/>
        <w:rPr>
          <w:rFonts w:ascii="Palatino Linotype" w:hAnsi="Palatino Linotype" w:cs="Tahoma"/>
          <w:b/>
          <w:sz w:val="22"/>
          <w:szCs w:val="22"/>
        </w:rPr>
      </w:pPr>
    </w:p>
    <w:p w:rsidR="00DC1594" w:rsidRPr="004A2ED9" w:rsidRDefault="00B31222" w:rsidP="00073528">
      <w:pPr>
        <w:pStyle w:val="Prrafodelista"/>
        <w:tabs>
          <w:tab w:val="left" w:pos="567"/>
        </w:tabs>
        <w:spacing w:line="360" w:lineRule="auto"/>
        <w:ind w:left="0"/>
        <w:contextualSpacing w:val="0"/>
        <w:jc w:val="both"/>
        <w:rPr>
          <w:rFonts w:ascii="Palatino Linotype" w:hAnsi="Palatino Linotype" w:cs="Tahoma"/>
          <w:b/>
          <w:szCs w:val="22"/>
        </w:rPr>
      </w:pPr>
      <w:r w:rsidRPr="004A2ED9">
        <w:rPr>
          <w:rFonts w:ascii="Palatino Linotype" w:hAnsi="Palatino Linotype" w:cs="Tahoma"/>
          <w:b/>
          <w:szCs w:val="22"/>
        </w:rPr>
        <w:t xml:space="preserve">I. Presentación de la solicitud de información. </w:t>
      </w:r>
    </w:p>
    <w:p w:rsidR="00DC1594" w:rsidRPr="004A2ED9" w:rsidRDefault="00DC1594" w:rsidP="00073528">
      <w:pPr>
        <w:pStyle w:val="Prrafodelista"/>
        <w:tabs>
          <w:tab w:val="left" w:pos="1050"/>
        </w:tabs>
        <w:spacing w:line="360" w:lineRule="auto"/>
        <w:ind w:left="0"/>
        <w:contextualSpacing w:val="0"/>
        <w:jc w:val="both"/>
        <w:rPr>
          <w:rFonts w:ascii="Palatino Linotype" w:hAnsi="Palatino Linotype" w:cs="Tahoma"/>
          <w:szCs w:val="22"/>
        </w:rPr>
      </w:pPr>
    </w:p>
    <w:p w:rsidR="00637179" w:rsidRPr="004A2ED9" w:rsidRDefault="00AA417B" w:rsidP="00073528">
      <w:pPr>
        <w:pStyle w:val="Prrafodelista"/>
        <w:tabs>
          <w:tab w:val="left" w:pos="567"/>
        </w:tabs>
        <w:spacing w:line="360" w:lineRule="auto"/>
        <w:ind w:left="0"/>
        <w:contextualSpacing w:val="0"/>
        <w:jc w:val="both"/>
        <w:rPr>
          <w:rFonts w:ascii="Palatino Linotype" w:hAnsi="Palatino Linotype" w:cs="Tahoma"/>
          <w:szCs w:val="22"/>
        </w:rPr>
      </w:pPr>
      <w:r w:rsidRPr="004A2ED9">
        <w:rPr>
          <w:rFonts w:ascii="Palatino Linotype" w:hAnsi="Palatino Linotype" w:cs="Tahoma"/>
          <w:szCs w:val="22"/>
        </w:rPr>
        <w:t>Con fecha</w:t>
      </w:r>
      <w:r w:rsidR="00A9024A" w:rsidRPr="004A2ED9">
        <w:rPr>
          <w:rFonts w:ascii="Palatino Linotype" w:hAnsi="Palatino Linotype" w:cs="Tahoma"/>
          <w:szCs w:val="22"/>
        </w:rPr>
        <w:t xml:space="preserve"> </w:t>
      </w:r>
      <w:r w:rsidR="00313834">
        <w:rPr>
          <w:rFonts w:ascii="Palatino Linotype" w:hAnsi="Palatino Linotype" w:cs="Tahoma"/>
          <w:szCs w:val="22"/>
        </w:rPr>
        <w:t xml:space="preserve">catorce </w:t>
      </w:r>
      <w:r w:rsidR="0024126C">
        <w:rPr>
          <w:rFonts w:ascii="Palatino Linotype" w:hAnsi="Palatino Linotype" w:cs="Tahoma"/>
          <w:szCs w:val="22"/>
        </w:rPr>
        <w:t xml:space="preserve">de junio </w:t>
      </w:r>
      <w:r w:rsidRPr="004A2ED9">
        <w:rPr>
          <w:rFonts w:ascii="Palatino Linotype" w:hAnsi="Palatino Linotype" w:cs="Tahoma"/>
          <w:szCs w:val="22"/>
        </w:rPr>
        <w:t>de</w:t>
      </w:r>
      <w:r w:rsidR="00B31222" w:rsidRPr="004A2ED9">
        <w:rPr>
          <w:rFonts w:ascii="Palatino Linotype" w:hAnsi="Palatino Linotype" w:cs="Tahoma"/>
          <w:szCs w:val="22"/>
        </w:rPr>
        <w:t xml:space="preserve"> dos mil dieci</w:t>
      </w:r>
      <w:r w:rsidR="00E95BD6" w:rsidRPr="004A2ED9">
        <w:rPr>
          <w:rFonts w:ascii="Palatino Linotype" w:hAnsi="Palatino Linotype" w:cs="Tahoma"/>
          <w:szCs w:val="22"/>
        </w:rPr>
        <w:t>nueve</w:t>
      </w:r>
      <w:r w:rsidR="00B31222" w:rsidRPr="004A2ED9">
        <w:rPr>
          <w:rFonts w:ascii="Palatino Linotype" w:hAnsi="Palatino Linotype" w:cs="Tahoma"/>
          <w:szCs w:val="22"/>
        </w:rPr>
        <w:t xml:space="preserve">, </w:t>
      </w:r>
      <w:r w:rsidR="00E573C6" w:rsidRPr="004A2ED9">
        <w:rPr>
          <w:rFonts w:ascii="Palatino Linotype" w:hAnsi="Palatino Linotype" w:cs="Tahoma"/>
          <w:szCs w:val="22"/>
        </w:rPr>
        <w:t>el</w:t>
      </w:r>
      <w:r w:rsidR="00A9024A" w:rsidRPr="004A2ED9">
        <w:rPr>
          <w:rFonts w:ascii="Palatino Linotype" w:hAnsi="Palatino Linotype" w:cs="Tahoma"/>
          <w:szCs w:val="22"/>
        </w:rPr>
        <w:t xml:space="preserve"> </w:t>
      </w:r>
      <w:r w:rsidR="002459FB" w:rsidRPr="004A2ED9">
        <w:rPr>
          <w:rFonts w:ascii="Palatino Linotype" w:hAnsi="Palatino Linotype" w:cs="Tahoma"/>
          <w:szCs w:val="22"/>
        </w:rPr>
        <w:t xml:space="preserve">Particular </w:t>
      </w:r>
      <w:r w:rsidR="00EA68DA" w:rsidRPr="004A2ED9">
        <w:rPr>
          <w:rFonts w:ascii="Palatino Linotype" w:hAnsi="Palatino Linotype" w:cs="Tahoma"/>
          <w:szCs w:val="22"/>
        </w:rPr>
        <w:t xml:space="preserve">presentó </w:t>
      </w:r>
      <w:r w:rsidR="00B31222" w:rsidRPr="004A2ED9">
        <w:rPr>
          <w:rFonts w:ascii="Palatino Linotype" w:hAnsi="Palatino Linotype" w:cs="Tahoma"/>
          <w:szCs w:val="22"/>
        </w:rPr>
        <w:t>solicitud de acceso a la información</w:t>
      </w:r>
      <w:r w:rsidR="00C55151" w:rsidRPr="004A2ED9">
        <w:rPr>
          <w:rFonts w:ascii="Palatino Linotype" w:hAnsi="Palatino Linotype" w:cs="Tahoma"/>
          <w:szCs w:val="22"/>
        </w:rPr>
        <w:t xml:space="preserve"> pública a través d</w:t>
      </w:r>
      <w:r w:rsidR="000C27CA" w:rsidRPr="004A2ED9">
        <w:rPr>
          <w:rFonts w:ascii="Palatino Linotype" w:hAnsi="Palatino Linotype" w:cs="Tahoma"/>
          <w:szCs w:val="22"/>
          <w:lang w:val="es-ES"/>
        </w:rPr>
        <w:t>el Sistema de Acceso a la Información Mexiquense</w:t>
      </w:r>
      <w:r w:rsidR="004100AA" w:rsidRPr="004A2ED9">
        <w:rPr>
          <w:rFonts w:ascii="Palatino Linotype" w:hAnsi="Palatino Linotype" w:cs="Tahoma"/>
          <w:szCs w:val="22"/>
          <w:lang w:val="es-ES"/>
        </w:rPr>
        <w:t xml:space="preserve"> (SAIMEX)</w:t>
      </w:r>
      <w:r w:rsidR="00B31222" w:rsidRPr="004A2ED9">
        <w:rPr>
          <w:rFonts w:ascii="Palatino Linotype" w:hAnsi="Palatino Linotype" w:cs="Tahoma"/>
          <w:szCs w:val="22"/>
        </w:rPr>
        <w:t xml:space="preserve">, </w:t>
      </w:r>
      <w:r w:rsidR="00C55151" w:rsidRPr="004A2ED9">
        <w:rPr>
          <w:rFonts w:ascii="Palatino Linotype" w:hAnsi="Palatino Linotype" w:cs="Tahoma"/>
          <w:szCs w:val="22"/>
        </w:rPr>
        <w:t>ante</w:t>
      </w:r>
      <w:r w:rsidR="00896DC7" w:rsidRPr="004A2ED9">
        <w:rPr>
          <w:rFonts w:ascii="Palatino Linotype" w:hAnsi="Palatino Linotype" w:cs="Tahoma"/>
          <w:szCs w:val="22"/>
        </w:rPr>
        <w:t xml:space="preserve"> </w:t>
      </w:r>
      <w:r w:rsidR="0053522E">
        <w:rPr>
          <w:rFonts w:ascii="Palatino Linotype" w:hAnsi="Palatino Linotype" w:cs="Tahoma"/>
          <w:szCs w:val="22"/>
        </w:rPr>
        <w:t xml:space="preserve">el </w:t>
      </w:r>
      <w:r w:rsidR="00313834">
        <w:rPr>
          <w:rFonts w:ascii="Palatino Linotype" w:hAnsi="Palatino Linotype" w:cs="Tahoma"/>
          <w:szCs w:val="22"/>
        </w:rPr>
        <w:t>Ayuntamiento de Tonanitla</w:t>
      </w:r>
      <w:r w:rsidR="00B31222" w:rsidRPr="004A2ED9">
        <w:rPr>
          <w:rFonts w:ascii="Palatino Linotype" w:hAnsi="Palatino Linotype" w:cs="Tahoma"/>
          <w:szCs w:val="22"/>
        </w:rPr>
        <w:t xml:space="preserve">, </w:t>
      </w:r>
      <w:r w:rsidR="00C55151" w:rsidRPr="004A2ED9">
        <w:rPr>
          <w:rFonts w:ascii="Palatino Linotype" w:hAnsi="Palatino Linotype" w:cs="Tahoma"/>
          <w:szCs w:val="22"/>
        </w:rPr>
        <w:t>mediante la cual</w:t>
      </w:r>
      <w:r w:rsidR="00156940">
        <w:rPr>
          <w:rFonts w:ascii="Palatino Linotype" w:hAnsi="Palatino Linotype" w:cs="Tahoma"/>
          <w:szCs w:val="22"/>
        </w:rPr>
        <w:t xml:space="preserve"> </w:t>
      </w:r>
      <w:r w:rsidR="00C55151" w:rsidRPr="004A2ED9">
        <w:rPr>
          <w:rFonts w:ascii="Palatino Linotype" w:hAnsi="Palatino Linotype" w:cs="Tahoma"/>
          <w:szCs w:val="22"/>
        </w:rPr>
        <w:t>requirió</w:t>
      </w:r>
      <w:r w:rsidR="00A37B60" w:rsidRPr="004A2ED9">
        <w:rPr>
          <w:rFonts w:ascii="Palatino Linotype" w:hAnsi="Palatino Linotype" w:cs="Tahoma"/>
          <w:szCs w:val="22"/>
        </w:rPr>
        <w:t xml:space="preserve"> lo siguiente</w:t>
      </w:r>
      <w:r w:rsidR="00B31222" w:rsidRPr="004A2ED9">
        <w:rPr>
          <w:rFonts w:ascii="Palatino Linotype" w:hAnsi="Palatino Linotype" w:cs="Tahoma"/>
          <w:szCs w:val="22"/>
        </w:rPr>
        <w:t>:</w:t>
      </w:r>
    </w:p>
    <w:p w:rsidR="0048505E" w:rsidRPr="004A2ED9" w:rsidRDefault="0048505E" w:rsidP="00073528">
      <w:pPr>
        <w:tabs>
          <w:tab w:val="left" w:pos="567"/>
        </w:tabs>
        <w:spacing w:line="360" w:lineRule="auto"/>
        <w:jc w:val="both"/>
        <w:rPr>
          <w:rFonts w:ascii="Palatino Linotype" w:hAnsi="Palatino Linotype" w:cs="Tahoma"/>
          <w:szCs w:val="22"/>
        </w:rPr>
      </w:pPr>
    </w:p>
    <w:p w:rsidR="00031B16" w:rsidRPr="004A2ED9" w:rsidRDefault="00031B16" w:rsidP="00073528">
      <w:pPr>
        <w:tabs>
          <w:tab w:val="left" w:pos="4667"/>
        </w:tabs>
        <w:spacing w:line="360" w:lineRule="auto"/>
        <w:ind w:left="567" w:right="567"/>
        <w:jc w:val="both"/>
        <w:rPr>
          <w:rFonts w:ascii="Palatino Linotype" w:hAnsi="Palatino Linotype" w:cs="Tahoma"/>
          <w:b/>
          <w:bCs/>
        </w:rPr>
      </w:pPr>
      <w:r w:rsidRPr="004A2ED9">
        <w:rPr>
          <w:rFonts w:ascii="Palatino Linotype" w:hAnsi="Palatino Linotype" w:cs="Tahoma"/>
          <w:b/>
          <w:bCs/>
        </w:rPr>
        <w:t>DESCRIPCIÓN CLARA Y PRECISA DE LA INFORMACIÓN SOLICITADA</w:t>
      </w:r>
    </w:p>
    <w:p w:rsidR="00156940" w:rsidRDefault="004378BB" w:rsidP="00073528">
      <w:pPr>
        <w:tabs>
          <w:tab w:val="left" w:pos="4667"/>
        </w:tabs>
        <w:spacing w:line="360" w:lineRule="auto"/>
        <w:ind w:left="567" w:right="567"/>
        <w:jc w:val="both"/>
        <w:rPr>
          <w:rFonts w:ascii="Palatino Linotype" w:hAnsi="Palatino Linotype" w:cs="Tahoma"/>
          <w:bCs/>
          <w:i/>
        </w:rPr>
      </w:pPr>
      <w:r w:rsidRPr="004A2ED9">
        <w:rPr>
          <w:rFonts w:ascii="Palatino Linotype" w:hAnsi="Palatino Linotype" w:cs="Tahoma"/>
          <w:bCs/>
          <w:i/>
        </w:rPr>
        <w:t>“</w:t>
      </w:r>
      <w:r w:rsidR="00313834" w:rsidRPr="00313834">
        <w:rPr>
          <w:rFonts w:ascii="Palatino Linotype" w:hAnsi="Palatino Linotype" w:cs="Tahoma"/>
          <w:bCs/>
          <w:i/>
        </w:rPr>
        <w:t>Solicito me sea entregada mediante el sistema saimex la version publica de la información contenida en los discos uno, dos, tres y cuatro de los informes mensuales de enero de 2019, febrero de 2019, marzo de 2019, abril de 2019 y mayo de 2019, esto en base a los lineamientos para la integración del informe mensual del OSFEM</w:t>
      </w:r>
      <w:r w:rsidR="00CD03C2">
        <w:rPr>
          <w:rFonts w:ascii="Palatino Linotype" w:hAnsi="Palatino Linotype" w:cs="Tahoma"/>
          <w:bCs/>
          <w:i/>
        </w:rPr>
        <w:t>”</w:t>
      </w:r>
    </w:p>
    <w:p w:rsidR="00156940" w:rsidRPr="00156940" w:rsidRDefault="00156940" w:rsidP="00073528">
      <w:pPr>
        <w:tabs>
          <w:tab w:val="left" w:pos="4667"/>
        </w:tabs>
        <w:spacing w:line="360" w:lineRule="auto"/>
        <w:ind w:left="567" w:right="567"/>
        <w:jc w:val="both"/>
        <w:rPr>
          <w:rFonts w:ascii="Palatino Linotype" w:hAnsi="Palatino Linotype" w:cs="Tahoma"/>
          <w:bCs/>
          <w:i/>
        </w:rPr>
      </w:pPr>
    </w:p>
    <w:p w:rsidR="00031B16" w:rsidRPr="004A2ED9" w:rsidRDefault="00031B16" w:rsidP="00073528">
      <w:pPr>
        <w:tabs>
          <w:tab w:val="left" w:pos="4667"/>
        </w:tabs>
        <w:spacing w:line="360" w:lineRule="auto"/>
        <w:ind w:left="567" w:right="567"/>
        <w:jc w:val="both"/>
        <w:rPr>
          <w:rFonts w:ascii="Palatino Linotype" w:hAnsi="Palatino Linotype" w:cs="Tahoma"/>
          <w:bCs/>
        </w:rPr>
      </w:pPr>
      <w:r w:rsidRPr="004A2ED9">
        <w:rPr>
          <w:rFonts w:ascii="Palatino Linotype" w:hAnsi="Palatino Linotype" w:cs="Tahoma"/>
          <w:b/>
          <w:bCs/>
        </w:rPr>
        <w:t>MODALIDAD DE ENTREGA</w:t>
      </w:r>
    </w:p>
    <w:p w:rsidR="00031B16" w:rsidRPr="004A2ED9" w:rsidRDefault="004441FE" w:rsidP="00073528">
      <w:pPr>
        <w:spacing w:line="360" w:lineRule="auto"/>
        <w:ind w:left="567" w:right="567"/>
        <w:jc w:val="both"/>
        <w:rPr>
          <w:rFonts w:ascii="Palatino Linotype" w:hAnsi="Palatino Linotype" w:cs="Arial"/>
          <w:bCs/>
          <w:i/>
        </w:rPr>
      </w:pPr>
      <w:r>
        <w:rPr>
          <w:rFonts w:ascii="Palatino Linotype" w:hAnsi="Palatino Linotype" w:cs="Arial"/>
          <w:bCs/>
          <w:i/>
        </w:rPr>
        <w:t>“</w:t>
      </w:r>
      <w:r w:rsidR="00031B16" w:rsidRPr="004A2ED9">
        <w:rPr>
          <w:rFonts w:ascii="Palatino Linotype" w:hAnsi="Palatino Linotype" w:cs="Arial"/>
          <w:bCs/>
          <w:i/>
        </w:rPr>
        <w:t>A través del SAIMEX”</w:t>
      </w:r>
    </w:p>
    <w:p w:rsidR="00006A4C" w:rsidRPr="004A2ED9" w:rsidRDefault="00006A4C" w:rsidP="00073528">
      <w:pPr>
        <w:spacing w:line="360" w:lineRule="auto"/>
        <w:ind w:left="567" w:right="567"/>
        <w:jc w:val="both"/>
        <w:rPr>
          <w:rFonts w:ascii="Palatino Linotype" w:hAnsi="Palatino Linotype" w:cs="Tahoma"/>
          <w:bCs/>
        </w:rPr>
      </w:pPr>
    </w:p>
    <w:p w:rsidR="0053522E" w:rsidRDefault="0053522E" w:rsidP="00073528">
      <w:pPr>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lastRenderedPageBreak/>
        <w:t>I</w:t>
      </w:r>
      <w:r w:rsidRPr="003E4E33">
        <w:rPr>
          <w:rFonts w:ascii="Palatino Linotype" w:eastAsia="Calibri" w:hAnsi="Palatino Linotype" w:cs="Tahoma"/>
          <w:b/>
          <w:bCs/>
          <w:sz w:val="22"/>
          <w:szCs w:val="22"/>
          <w:lang w:eastAsia="en-US"/>
        </w:rPr>
        <w:t xml:space="preserve">I. </w:t>
      </w:r>
      <w:r w:rsidRPr="00883168">
        <w:rPr>
          <w:rFonts w:ascii="Palatino Linotype" w:eastAsia="Calibri" w:hAnsi="Palatino Linotype" w:cs="Tahoma"/>
          <w:b/>
          <w:bCs/>
          <w:sz w:val="22"/>
          <w:szCs w:val="22"/>
          <w:lang w:eastAsia="en-US"/>
        </w:rPr>
        <w:t>Respuesta</w:t>
      </w:r>
      <w:r w:rsidRPr="003E4E33">
        <w:rPr>
          <w:rFonts w:ascii="Palatino Linotype" w:eastAsia="Calibri" w:hAnsi="Palatino Linotype" w:cs="Tahoma"/>
          <w:b/>
          <w:bCs/>
          <w:sz w:val="22"/>
          <w:szCs w:val="22"/>
          <w:lang w:eastAsia="en-US"/>
        </w:rPr>
        <w:t xml:space="preserve"> del Sujeto Obligado.</w:t>
      </w:r>
    </w:p>
    <w:p w:rsidR="0053522E" w:rsidRPr="003E4E33" w:rsidRDefault="0053522E" w:rsidP="00073528">
      <w:pPr>
        <w:spacing w:line="360" w:lineRule="auto"/>
        <w:jc w:val="both"/>
        <w:rPr>
          <w:rFonts w:ascii="Palatino Linotype" w:eastAsia="Calibri" w:hAnsi="Palatino Linotype" w:cs="Tahoma"/>
          <w:b/>
          <w:bCs/>
          <w:sz w:val="22"/>
          <w:szCs w:val="22"/>
          <w:lang w:eastAsia="en-US"/>
        </w:rPr>
      </w:pPr>
    </w:p>
    <w:p w:rsidR="0053522E" w:rsidRDefault="0053522E" w:rsidP="0024126C">
      <w:pPr>
        <w:autoSpaceDE w:val="0"/>
        <w:autoSpaceDN w:val="0"/>
        <w:adjustRightInd w:val="0"/>
        <w:spacing w:line="360" w:lineRule="auto"/>
        <w:jc w:val="both"/>
        <w:rPr>
          <w:rFonts w:ascii="Palatino Linotype" w:hAnsi="Palatino Linotype" w:cs="Tahoma"/>
          <w:bCs/>
          <w:sz w:val="22"/>
          <w:szCs w:val="22"/>
        </w:rPr>
      </w:pPr>
      <w:r>
        <w:rPr>
          <w:rFonts w:ascii="Palatino Linotype" w:hAnsi="Palatino Linotype" w:cs="Tahoma"/>
          <w:bCs/>
          <w:sz w:val="22"/>
          <w:szCs w:val="22"/>
        </w:rPr>
        <w:t xml:space="preserve">De las Constancias que obran en el Sistema de Acceso a la Información Mexiquense (SAIMEX), el Sujeto Obligado, fue omiso en dar respuesta </w:t>
      </w:r>
      <w:r w:rsidRPr="0024126C">
        <w:rPr>
          <w:rFonts w:ascii="Palatino Linotype" w:eastAsia="Calibri" w:hAnsi="Palatino Linotype" w:cs="Tahoma"/>
          <w:sz w:val="22"/>
          <w:szCs w:val="22"/>
          <w:lang w:eastAsia="en-US"/>
        </w:rPr>
        <w:t>respecto</w:t>
      </w:r>
      <w:r>
        <w:rPr>
          <w:rFonts w:ascii="Palatino Linotype" w:hAnsi="Palatino Linotype" w:cs="Tahoma"/>
          <w:bCs/>
          <w:sz w:val="22"/>
          <w:szCs w:val="22"/>
        </w:rPr>
        <w:t xml:space="preserve"> del folio </w:t>
      </w:r>
      <w:r w:rsidR="00313834" w:rsidRPr="00313834">
        <w:rPr>
          <w:rFonts w:ascii="Palatino Linotype" w:hAnsi="Palatino Linotype" w:cs="Tahoma"/>
          <w:bCs/>
          <w:sz w:val="22"/>
          <w:szCs w:val="22"/>
        </w:rPr>
        <w:t>00046/TONANI/IP/2019</w:t>
      </w:r>
      <w:r>
        <w:rPr>
          <w:rFonts w:ascii="Palatino Linotype" w:hAnsi="Palatino Linotype" w:cs="Tahoma"/>
          <w:bCs/>
          <w:sz w:val="22"/>
          <w:szCs w:val="22"/>
        </w:rPr>
        <w:t>.</w:t>
      </w:r>
    </w:p>
    <w:p w:rsidR="00D86156" w:rsidRDefault="00D86156" w:rsidP="00073528">
      <w:pPr>
        <w:autoSpaceDE w:val="0"/>
        <w:autoSpaceDN w:val="0"/>
        <w:adjustRightInd w:val="0"/>
        <w:spacing w:line="360" w:lineRule="auto"/>
        <w:jc w:val="both"/>
        <w:rPr>
          <w:rFonts w:ascii="Palatino Linotype" w:hAnsi="Palatino Linotype" w:cs="Tahoma"/>
          <w:b/>
          <w:sz w:val="22"/>
          <w:szCs w:val="22"/>
        </w:rPr>
      </w:pPr>
    </w:p>
    <w:p w:rsidR="00587F23" w:rsidRPr="004A2ED9" w:rsidRDefault="00D95C7A" w:rsidP="00073528">
      <w:pPr>
        <w:autoSpaceDE w:val="0"/>
        <w:autoSpaceDN w:val="0"/>
        <w:adjustRightInd w:val="0"/>
        <w:spacing w:line="360" w:lineRule="auto"/>
        <w:jc w:val="both"/>
        <w:rPr>
          <w:rFonts w:ascii="Palatino Linotype" w:hAnsi="Palatino Linotype" w:cs="Tahoma"/>
          <w:b/>
          <w:sz w:val="22"/>
          <w:szCs w:val="22"/>
        </w:rPr>
      </w:pPr>
      <w:r w:rsidRPr="004A2ED9">
        <w:rPr>
          <w:rFonts w:ascii="Palatino Linotype" w:hAnsi="Palatino Linotype" w:cs="Tahoma"/>
          <w:b/>
          <w:sz w:val="22"/>
          <w:szCs w:val="22"/>
        </w:rPr>
        <w:t>I</w:t>
      </w:r>
      <w:r w:rsidR="00A558CA" w:rsidRPr="004A2ED9">
        <w:rPr>
          <w:rFonts w:ascii="Palatino Linotype" w:hAnsi="Palatino Linotype" w:cs="Tahoma"/>
          <w:b/>
          <w:sz w:val="22"/>
          <w:szCs w:val="22"/>
        </w:rPr>
        <w:t>II</w:t>
      </w:r>
      <w:r w:rsidR="00AA5A86" w:rsidRPr="004A2ED9">
        <w:rPr>
          <w:rFonts w:ascii="Palatino Linotype" w:hAnsi="Palatino Linotype" w:cs="Tahoma"/>
          <w:b/>
          <w:sz w:val="22"/>
          <w:szCs w:val="22"/>
        </w:rPr>
        <w:t xml:space="preserve">. </w:t>
      </w:r>
      <w:r w:rsidR="004100AA" w:rsidRPr="004A2ED9">
        <w:rPr>
          <w:rFonts w:ascii="Palatino Linotype" w:hAnsi="Palatino Linotype" w:cs="Tahoma"/>
          <w:b/>
          <w:sz w:val="22"/>
          <w:szCs w:val="22"/>
        </w:rPr>
        <w:t>Interposición</w:t>
      </w:r>
      <w:r w:rsidR="00C459A9" w:rsidRPr="004A2ED9">
        <w:rPr>
          <w:rFonts w:ascii="Palatino Linotype" w:hAnsi="Palatino Linotype" w:cs="Tahoma"/>
          <w:b/>
          <w:sz w:val="22"/>
          <w:szCs w:val="22"/>
        </w:rPr>
        <w:t xml:space="preserve"> del Recurso de R</w:t>
      </w:r>
      <w:r w:rsidR="00C25238" w:rsidRPr="004A2ED9">
        <w:rPr>
          <w:rFonts w:ascii="Palatino Linotype" w:hAnsi="Palatino Linotype" w:cs="Tahoma"/>
          <w:b/>
          <w:sz w:val="22"/>
          <w:szCs w:val="22"/>
        </w:rPr>
        <w:t xml:space="preserve">evisión. </w:t>
      </w:r>
    </w:p>
    <w:p w:rsidR="0006419A" w:rsidRPr="004A2ED9" w:rsidRDefault="0006419A" w:rsidP="00073528">
      <w:pPr>
        <w:autoSpaceDE w:val="0"/>
        <w:autoSpaceDN w:val="0"/>
        <w:adjustRightInd w:val="0"/>
        <w:spacing w:line="360" w:lineRule="auto"/>
        <w:jc w:val="both"/>
        <w:rPr>
          <w:rFonts w:ascii="Palatino Linotype" w:hAnsi="Palatino Linotype" w:cs="Tahoma"/>
          <w:b/>
          <w:sz w:val="22"/>
          <w:szCs w:val="22"/>
        </w:rPr>
      </w:pPr>
    </w:p>
    <w:p w:rsidR="00264223" w:rsidRPr="004A2ED9" w:rsidRDefault="006C1B1D" w:rsidP="00073528">
      <w:pPr>
        <w:autoSpaceDE w:val="0"/>
        <w:autoSpaceDN w:val="0"/>
        <w:adjustRightInd w:val="0"/>
        <w:spacing w:line="360" w:lineRule="auto"/>
        <w:jc w:val="both"/>
        <w:rPr>
          <w:rFonts w:ascii="Palatino Linotype" w:hAnsi="Palatino Linotype" w:cs="Tahoma"/>
          <w:sz w:val="22"/>
          <w:szCs w:val="22"/>
        </w:rPr>
      </w:pPr>
      <w:r w:rsidRPr="004A2ED9">
        <w:rPr>
          <w:rFonts w:ascii="Palatino Linotype" w:hAnsi="Palatino Linotype" w:cs="Tahoma"/>
          <w:sz w:val="22"/>
          <w:szCs w:val="22"/>
        </w:rPr>
        <w:t xml:space="preserve">Con </w:t>
      </w:r>
      <w:r w:rsidR="00A9024A" w:rsidRPr="004A2ED9">
        <w:rPr>
          <w:rFonts w:ascii="Palatino Linotype" w:hAnsi="Palatino Linotype" w:cs="Tahoma"/>
          <w:sz w:val="22"/>
          <w:szCs w:val="22"/>
        </w:rPr>
        <w:t xml:space="preserve">fecha </w:t>
      </w:r>
      <w:r w:rsidR="0024126C">
        <w:rPr>
          <w:rFonts w:ascii="Palatino Linotype" w:hAnsi="Palatino Linotype" w:cs="Tahoma"/>
          <w:sz w:val="22"/>
          <w:szCs w:val="22"/>
        </w:rPr>
        <w:t>veinti</w:t>
      </w:r>
      <w:r w:rsidR="00313834">
        <w:rPr>
          <w:rFonts w:ascii="Palatino Linotype" w:hAnsi="Palatino Linotype" w:cs="Tahoma"/>
          <w:sz w:val="22"/>
          <w:szCs w:val="22"/>
        </w:rPr>
        <w:t>nueve</w:t>
      </w:r>
      <w:r w:rsidR="0024126C">
        <w:rPr>
          <w:rFonts w:ascii="Palatino Linotype" w:hAnsi="Palatino Linotype" w:cs="Tahoma"/>
          <w:sz w:val="22"/>
          <w:szCs w:val="22"/>
        </w:rPr>
        <w:t xml:space="preserve"> </w:t>
      </w:r>
      <w:r w:rsidR="0053522E">
        <w:rPr>
          <w:rFonts w:ascii="Palatino Linotype" w:hAnsi="Palatino Linotype" w:cs="Tahoma"/>
          <w:sz w:val="22"/>
          <w:szCs w:val="22"/>
        </w:rPr>
        <w:t>de ju</w:t>
      </w:r>
      <w:r w:rsidR="00313834">
        <w:rPr>
          <w:rFonts w:ascii="Palatino Linotype" w:hAnsi="Palatino Linotype" w:cs="Tahoma"/>
          <w:sz w:val="22"/>
          <w:szCs w:val="22"/>
        </w:rPr>
        <w:t>l</w:t>
      </w:r>
      <w:r w:rsidR="0053522E">
        <w:rPr>
          <w:rFonts w:ascii="Palatino Linotype" w:hAnsi="Palatino Linotype" w:cs="Tahoma"/>
          <w:sz w:val="22"/>
          <w:szCs w:val="22"/>
        </w:rPr>
        <w:t xml:space="preserve">io </w:t>
      </w:r>
      <w:r w:rsidR="00593A79" w:rsidRPr="004A2ED9">
        <w:rPr>
          <w:rFonts w:ascii="Palatino Linotype" w:hAnsi="Palatino Linotype" w:cs="Tahoma"/>
          <w:sz w:val="22"/>
          <w:szCs w:val="22"/>
        </w:rPr>
        <w:t>de dos mil diecinueve</w:t>
      </w:r>
      <w:r w:rsidR="00C25238" w:rsidRPr="004A2ED9">
        <w:rPr>
          <w:rFonts w:ascii="Palatino Linotype" w:hAnsi="Palatino Linotype" w:cs="Tahoma"/>
          <w:sz w:val="22"/>
          <w:szCs w:val="22"/>
        </w:rPr>
        <w:t xml:space="preserve">, se recibió en este </w:t>
      </w:r>
      <w:r w:rsidR="00C25238" w:rsidRPr="004A2ED9">
        <w:rPr>
          <w:rFonts w:ascii="Palatino Linotype" w:eastAsia="Calibri" w:hAnsi="Palatino Linotype" w:cs="Tahoma"/>
          <w:sz w:val="22"/>
          <w:szCs w:val="22"/>
          <w:lang w:eastAsia="en-US"/>
        </w:rPr>
        <w:t xml:space="preserve">Instituto, a través del </w:t>
      </w:r>
      <w:r w:rsidR="000313A7" w:rsidRPr="004A2ED9">
        <w:rPr>
          <w:rFonts w:ascii="Palatino Linotype" w:hAnsi="Palatino Linotype" w:cs="Tahoma"/>
          <w:sz w:val="22"/>
          <w:szCs w:val="22"/>
          <w:lang w:val="es-ES"/>
        </w:rPr>
        <w:t>Sistema de Acceso a la Información Mexiquense (SAIMEX)</w:t>
      </w:r>
      <w:r w:rsidRPr="004A2ED9">
        <w:rPr>
          <w:rFonts w:ascii="Palatino Linotype" w:hAnsi="Palatino Linotype" w:cs="Tahoma"/>
          <w:sz w:val="22"/>
          <w:szCs w:val="22"/>
        </w:rPr>
        <w:t xml:space="preserve">, </w:t>
      </w:r>
      <w:r w:rsidR="00593A79" w:rsidRPr="004A2ED9">
        <w:rPr>
          <w:rFonts w:ascii="Palatino Linotype" w:hAnsi="Palatino Linotype" w:cs="Tahoma"/>
          <w:sz w:val="22"/>
          <w:szCs w:val="22"/>
        </w:rPr>
        <w:t>e</w:t>
      </w:r>
      <w:r w:rsidR="00DD2303" w:rsidRPr="004A2ED9">
        <w:rPr>
          <w:rFonts w:ascii="Palatino Linotype" w:hAnsi="Palatino Linotype" w:cs="Tahoma"/>
          <w:sz w:val="22"/>
          <w:szCs w:val="22"/>
        </w:rPr>
        <w:t>l</w:t>
      </w:r>
      <w:r w:rsidRPr="004A2ED9">
        <w:rPr>
          <w:rFonts w:ascii="Palatino Linotype" w:hAnsi="Palatino Linotype" w:cs="Tahoma"/>
          <w:sz w:val="22"/>
          <w:szCs w:val="22"/>
        </w:rPr>
        <w:t xml:space="preserve"> Recurso</w:t>
      </w:r>
      <w:r w:rsidR="00593A79" w:rsidRPr="004A2ED9">
        <w:rPr>
          <w:rFonts w:ascii="Palatino Linotype" w:hAnsi="Palatino Linotype" w:cs="Tahoma"/>
          <w:sz w:val="22"/>
          <w:szCs w:val="22"/>
        </w:rPr>
        <w:t xml:space="preserve"> </w:t>
      </w:r>
      <w:r w:rsidRPr="004A2ED9">
        <w:rPr>
          <w:rFonts w:ascii="Palatino Linotype" w:hAnsi="Palatino Linotype" w:cs="Tahoma"/>
          <w:sz w:val="22"/>
          <w:szCs w:val="22"/>
        </w:rPr>
        <w:t>de R</w:t>
      </w:r>
      <w:r w:rsidR="00C25238" w:rsidRPr="004A2ED9">
        <w:rPr>
          <w:rFonts w:ascii="Palatino Linotype" w:hAnsi="Palatino Linotype" w:cs="Tahoma"/>
          <w:sz w:val="22"/>
          <w:szCs w:val="22"/>
        </w:rPr>
        <w:t xml:space="preserve">evisión </w:t>
      </w:r>
      <w:r w:rsidR="00DD2303" w:rsidRPr="004A2ED9">
        <w:rPr>
          <w:rFonts w:ascii="Palatino Linotype" w:hAnsi="Palatino Linotype" w:cs="Tahoma"/>
          <w:b/>
          <w:sz w:val="22"/>
          <w:szCs w:val="22"/>
        </w:rPr>
        <w:t>0</w:t>
      </w:r>
      <w:r w:rsidR="00313834">
        <w:rPr>
          <w:rFonts w:ascii="Palatino Linotype" w:hAnsi="Palatino Linotype" w:cs="Tahoma"/>
          <w:b/>
          <w:sz w:val="22"/>
          <w:szCs w:val="22"/>
        </w:rPr>
        <w:t>6286</w:t>
      </w:r>
      <w:r w:rsidR="00DD2303" w:rsidRPr="004A2ED9">
        <w:rPr>
          <w:rFonts w:ascii="Palatino Linotype" w:hAnsi="Palatino Linotype" w:cs="Tahoma"/>
          <w:b/>
          <w:sz w:val="22"/>
          <w:szCs w:val="22"/>
        </w:rPr>
        <w:t>/INFOEM/IP/RR/201</w:t>
      </w:r>
      <w:r w:rsidR="00593A79" w:rsidRPr="004A2ED9">
        <w:rPr>
          <w:rFonts w:ascii="Palatino Linotype" w:hAnsi="Palatino Linotype" w:cs="Tahoma"/>
          <w:b/>
          <w:sz w:val="22"/>
          <w:szCs w:val="22"/>
        </w:rPr>
        <w:t>9</w:t>
      </w:r>
      <w:r w:rsidR="00DD2303" w:rsidRPr="004A2ED9">
        <w:rPr>
          <w:rFonts w:ascii="Palatino Linotype" w:hAnsi="Palatino Linotype" w:cs="Tahoma"/>
          <w:b/>
          <w:sz w:val="22"/>
          <w:szCs w:val="22"/>
        </w:rPr>
        <w:t>,</w:t>
      </w:r>
      <w:r w:rsidR="00DD2303" w:rsidRPr="004A2ED9">
        <w:rPr>
          <w:rFonts w:ascii="Palatino Linotype" w:hAnsi="Palatino Linotype" w:cs="Tahoma"/>
          <w:sz w:val="22"/>
          <w:szCs w:val="22"/>
        </w:rPr>
        <w:t xml:space="preserve"> </w:t>
      </w:r>
      <w:r w:rsidR="00C25238" w:rsidRPr="004A2ED9">
        <w:rPr>
          <w:rFonts w:ascii="Palatino Linotype" w:hAnsi="Palatino Linotype" w:cs="Tahoma"/>
          <w:sz w:val="22"/>
          <w:szCs w:val="22"/>
        </w:rPr>
        <w:t xml:space="preserve">interpuesto por </w:t>
      </w:r>
      <w:r w:rsidR="00E573C6" w:rsidRPr="004A2ED9">
        <w:rPr>
          <w:rFonts w:ascii="Palatino Linotype" w:hAnsi="Palatino Linotype" w:cs="Tahoma"/>
          <w:sz w:val="22"/>
          <w:szCs w:val="22"/>
        </w:rPr>
        <w:t xml:space="preserve">el </w:t>
      </w:r>
      <w:r w:rsidR="008C357C" w:rsidRPr="004A2ED9">
        <w:rPr>
          <w:rFonts w:ascii="Palatino Linotype" w:hAnsi="Palatino Linotype" w:cs="Tahoma"/>
          <w:sz w:val="22"/>
          <w:szCs w:val="22"/>
        </w:rPr>
        <w:t>P</w:t>
      </w:r>
      <w:r w:rsidR="00E573C6" w:rsidRPr="004A2ED9">
        <w:rPr>
          <w:rFonts w:ascii="Palatino Linotype" w:hAnsi="Palatino Linotype" w:cs="Tahoma"/>
          <w:sz w:val="22"/>
          <w:szCs w:val="22"/>
        </w:rPr>
        <w:t>articular</w:t>
      </w:r>
      <w:r w:rsidR="00C25238" w:rsidRPr="004A2ED9">
        <w:rPr>
          <w:rFonts w:ascii="Palatino Linotype" w:hAnsi="Palatino Linotype" w:cs="Tahoma"/>
          <w:sz w:val="22"/>
          <w:szCs w:val="22"/>
        </w:rPr>
        <w:t xml:space="preserve">, en contra de la </w:t>
      </w:r>
      <w:r w:rsidR="00313834">
        <w:rPr>
          <w:rFonts w:ascii="Palatino Linotype" w:hAnsi="Palatino Linotype" w:cs="Tahoma"/>
          <w:sz w:val="22"/>
          <w:szCs w:val="22"/>
        </w:rPr>
        <w:t xml:space="preserve">falta de </w:t>
      </w:r>
      <w:r w:rsidR="00C25238" w:rsidRPr="004A2ED9">
        <w:rPr>
          <w:rFonts w:ascii="Palatino Linotype" w:hAnsi="Palatino Linotype" w:cs="Tahoma"/>
          <w:sz w:val="22"/>
          <w:szCs w:val="22"/>
        </w:rPr>
        <w:t xml:space="preserve">respuesta </w:t>
      </w:r>
      <w:r w:rsidR="00587F23" w:rsidRPr="004A2ED9">
        <w:rPr>
          <w:rFonts w:ascii="Palatino Linotype" w:hAnsi="Palatino Linotype" w:cs="Tahoma"/>
          <w:sz w:val="22"/>
          <w:szCs w:val="22"/>
        </w:rPr>
        <w:t xml:space="preserve">del </w:t>
      </w:r>
      <w:r w:rsidR="00956793" w:rsidRPr="004A2ED9">
        <w:rPr>
          <w:rFonts w:ascii="Palatino Linotype" w:hAnsi="Palatino Linotype" w:cs="Tahoma"/>
          <w:sz w:val="22"/>
          <w:szCs w:val="22"/>
        </w:rPr>
        <w:t>Sujeto Obligado</w:t>
      </w:r>
      <w:r w:rsidR="00C25238" w:rsidRPr="004A2ED9">
        <w:rPr>
          <w:rFonts w:ascii="Palatino Linotype" w:hAnsi="Palatino Linotype" w:cs="Tahoma"/>
          <w:sz w:val="22"/>
          <w:szCs w:val="22"/>
        </w:rPr>
        <w:t xml:space="preserve">, en </w:t>
      </w:r>
      <w:r w:rsidR="00DD2303" w:rsidRPr="004A2ED9">
        <w:rPr>
          <w:rFonts w:ascii="Palatino Linotype" w:hAnsi="Palatino Linotype" w:cs="Tahoma"/>
          <w:sz w:val="22"/>
          <w:szCs w:val="22"/>
        </w:rPr>
        <w:t xml:space="preserve">los </w:t>
      </w:r>
      <w:r w:rsidR="00593A79" w:rsidRPr="004A2ED9">
        <w:rPr>
          <w:rFonts w:ascii="Palatino Linotype" w:hAnsi="Palatino Linotype" w:cs="Tahoma"/>
          <w:sz w:val="22"/>
          <w:szCs w:val="22"/>
        </w:rPr>
        <w:t xml:space="preserve">siguientes </w:t>
      </w:r>
      <w:r w:rsidR="00626F66" w:rsidRPr="004A2ED9">
        <w:rPr>
          <w:rFonts w:ascii="Palatino Linotype" w:hAnsi="Palatino Linotype" w:cs="Tahoma"/>
          <w:sz w:val="22"/>
          <w:szCs w:val="22"/>
        </w:rPr>
        <w:t>términos</w:t>
      </w:r>
      <w:r w:rsidR="00C25238" w:rsidRPr="004A2ED9">
        <w:rPr>
          <w:rFonts w:ascii="Palatino Linotype" w:hAnsi="Palatino Linotype" w:cs="Tahoma"/>
          <w:sz w:val="22"/>
          <w:szCs w:val="22"/>
        </w:rPr>
        <w:t>:</w:t>
      </w:r>
    </w:p>
    <w:p w:rsidR="00DD2303" w:rsidRPr="004A2ED9" w:rsidRDefault="00DD2303" w:rsidP="00073528">
      <w:pPr>
        <w:tabs>
          <w:tab w:val="left" w:pos="4667"/>
        </w:tabs>
        <w:spacing w:line="360" w:lineRule="auto"/>
        <w:ind w:left="567" w:right="567"/>
        <w:jc w:val="both"/>
        <w:rPr>
          <w:rFonts w:ascii="Palatino Linotype" w:hAnsi="Palatino Linotype" w:cs="Tahoma"/>
          <w:b/>
          <w:bCs/>
          <w:sz w:val="22"/>
          <w:szCs w:val="22"/>
        </w:rPr>
      </w:pPr>
    </w:p>
    <w:p w:rsidR="00DD2303" w:rsidRPr="004A2ED9" w:rsidRDefault="00DD2303" w:rsidP="00073528">
      <w:pPr>
        <w:tabs>
          <w:tab w:val="left" w:pos="4667"/>
        </w:tabs>
        <w:spacing w:line="360" w:lineRule="auto"/>
        <w:ind w:left="567" w:right="567"/>
        <w:jc w:val="both"/>
        <w:rPr>
          <w:rFonts w:ascii="Palatino Linotype" w:hAnsi="Palatino Linotype" w:cs="Tahoma"/>
          <w:bCs/>
          <w:szCs w:val="22"/>
        </w:rPr>
      </w:pPr>
      <w:r w:rsidRPr="004A2ED9">
        <w:rPr>
          <w:rFonts w:ascii="Palatino Linotype" w:hAnsi="Palatino Linotype" w:cs="Tahoma"/>
          <w:b/>
          <w:bCs/>
          <w:szCs w:val="22"/>
        </w:rPr>
        <w:t>ACTO IMPUGNADO</w:t>
      </w:r>
    </w:p>
    <w:p w:rsidR="00DD2303" w:rsidRPr="004A2ED9" w:rsidRDefault="00855268" w:rsidP="00073528">
      <w:pPr>
        <w:autoSpaceDE w:val="0"/>
        <w:autoSpaceDN w:val="0"/>
        <w:adjustRightInd w:val="0"/>
        <w:spacing w:line="360" w:lineRule="auto"/>
        <w:ind w:left="567" w:right="567"/>
        <w:jc w:val="both"/>
        <w:rPr>
          <w:rFonts w:ascii="Palatino Linotype" w:hAnsi="Palatino Linotype" w:cs="Tahoma"/>
          <w:i/>
          <w:szCs w:val="22"/>
        </w:rPr>
      </w:pPr>
      <w:r w:rsidRPr="004A2ED9">
        <w:rPr>
          <w:rFonts w:ascii="Palatino Linotype" w:hAnsi="Palatino Linotype" w:cs="Tahoma"/>
          <w:i/>
          <w:szCs w:val="22"/>
        </w:rPr>
        <w:t>“</w:t>
      </w:r>
      <w:r w:rsidR="00313834" w:rsidRPr="00313834">
        <w:rPr>
          <w:rFonts w:ascii="Palatino Linotype" w:hAnsi="Palatino Linotype" w:cs="Tahoma"/>
          <w:i/>
          <w:szCs w:val="22"/>
        </w:rPr>
        <w:t>Negativa ficta</w:t>
      </w:r>
      <w:r w:rsidR="00DD2303" w:rsidRPr="004A2ED9">
        <w:rPr>
          <w:rFonts w:ascii="Palatino Linotype" w:hAnsi="Palatino Linotype" w:cs="Tahoma"/>
          <w:i/>
          <w:szCs w:val="22"/>
        </w:rPr>
        <w:t>”</w:t>
      </w:r>
      <w:r w:rsidR="00CE5DDA" w:rsidRPr="004A2ED9">
        <w:rPr>
          <w:rFonts w:ascii="Palatino Linotype" w:hAnsi="Palatino Linotype" w:cs="Tahoma"/>
          <w:i/>
          <w:szCs w:val="22"/>
        </w:rPr>
        <w:t xml:space="preserve"> (Sic)</w:t>
      </w:r>
    </w:p>
    <w:p w:rsidR="00DD2303" w:rsidRPr="004A2ED9" w:rsidRDefault="00DD2303" w:rsidP="00073528">
      <w:pPr>
        <w:autoSpaceDE w:val="0"/>
        <w:autoSpaceDN w:val="0"/>
        <w:adjustRightInd w:val="0"/>
        <w:spacing w:line="360" w:lineRule="auto"/>
        <w:ind w:left="567" w:right="567"/>
        <w:jc w:val="both"/>
        <w:rPr>
          <w:rFonts w:ascii="Palatino Linotype" w:hAnsi="Palatino Linotype" w:cs="Tahoma"/>
          <w:szCs w:val="22"/>
        </w:rPr>
      </w:pPr>
    </w:p>
    <w:p w:rsidR="00DD2303" w:rsidRPr="004A2ED9" w:rsidRDefault="00DD2303" w:rsidP="00073528">
      <w:pPr>
        <w:autoSpaceDE w:val="0"/>
        <w:autoSpaceDN w:val="0"/>
        <w:adjustRightInd w:val="0"/>
        <w:spacing w:line="360" w:lineRule="auto"/>
        <w:ind w:left="567" w:right="567"/>
        <w:jc w:val="both"/>
        <w:rPr>
          <w:rFonts w:ascii="Palatino Linotype" w:hAnsi="Palatino Linotype" w:cs="Tahoma"/>
          <w:b/>
          <w:szCs w:val="22"/>
        </w:rPr>
      </w:pPr>
      <w:r w:rsidRPr="004A2ED9">
        <w:rPr>
          <w:rFonts w:ascii="Palatino Linotype" w:hAnsi="Palatino Linotype" w:cs="Tahoma"/>
          <w:b/>
          <w:szCs w:val="22"/>
        </w:rPr>
        <w:t>RAZONES O MOTIVOS DE LA INCONFORMIDAD</w:t>
      </w:r>
    </w:p>
    <w:p w:rsidR="00DD2303" w:rsidRPr="004A2ED9" w:rsidRDefault="00855268" w:rsidP="00073528">
      <w:pPr>
        <w:autoSpaceDE w:val="0"/>
        <w:autoSpaceDN w:val="0"/>
        <w:adjustRightInd w:val="0"/>
        <w:spacing w:line="360" w:lineRule="auto"/>
        <w:ind w:left="567" w:right="567"/>
        <w:jc w:val="both"/>
        <w:rPr>
          <w:rFonts w:ascii="Palatino Linotype" w:hAnsi="Palatino Linotype" w:cs="Tahoma"/>
          <w:i/>
          <w:szCs w:val="22"/>
        </w:rPr>
      </w:pPr>
      <w:r w:rsidRPr="004A2ED9">
        <w:rPr>
          <w:rFonts w:ascii="Palatino Linotype" w:hAnsi="Palatino Linotype" w:cs="Tahoma"/>
          <w:i/>
          <w:szCs w:val="22"/>
        </w:rPr>
        <w:t>“</w:t>
      </w:r>
      <w:r w:rsidR="00313834" w:rsidRPr="00313834">
        <w:rPr>
          <w:rFonts w:ascii="Palatino Linotype" w:hAnsi="Palatino Linotype" w:cs="Tahoma"/>
          <w:i/>
          <w:szCs w:val="22"/>
        </w:rPr>
        <w:t>Transcurrido el plazo de tiempo establecido por la ley en la materia, el sujeto obligado no ha emitido una respuesta a la solicitud de información presentada.</w:t>
      </w:r>
      <w:r w:rsidR="00DD2303" w:rsidRPr="004A2ED9">
        <w:rPr>
          <w:rFonts w:ascii="Palatino Linotype" w:hAnsi="Palatino Linotype" w:cs="Tahoma"/>
          <w:i/>
          <w:szCs w:val="22"/>
        </w:rPr>
        <w:t>”</w:t>
      </w:r>
    </w:p>
    <w:p w:rsidR="00006A4C" w:rsidRDefault="00006A4C" w:rsidP="00073528">
      <w:pPr>
        <w:autoSpaceDE w:val="0"/>
        <w:autoSpaceDN w:val="0"/>
        <w:adjustRightInd w:val="0"/>
        <w:spacing w:line="360" w:lineRule="auto"/>
        <w:ind w:right="567"/>
        <w:jc w:val="both"/>
        <w:rPr>
          <w:rFonts w:ascii="Palatino Linotype" w:hAnsi="Palatino Linotype" w:cs="Tahoma"/>
          <w:sz w:val="22"/>
          <w:szCs w:val="22"/>
        </w:rPr>
      </w:pPr>
    </w:p>
    <w:p w:rsidR="00B31222" w:rsidRPr="004A2ED9" w:rsidRDefault="00F1692B" w:rsidP="00073528">
      <w:pPr>
        <w:spacing w:line="360" w:lineRule="auto"/>
        <w:jc w:val="both"/>
        <w:rPr>
          <w:rFonts w:ascii="Palatino Linotype" w:eastAsia="Batang" w:hAnsi="Palatino Linotype" w:cs="Tahoma"/>
          <w:b/>
          <w:bCs/>
          <w:sz w:val="22"/>
          <w:szCs w:val="22"/>
        </w:rPr>
      </w:pPr>
      <w:r w:rsidRPr="004A2ED9">
        <w:rPr>
          <w:rFonts w:ascii="Palatino Linotype" w:hAnsi="Palatino Linotype" w:cs="Tahoma"/>
          <w:b/>
          <w:sz w:val="22"/>
          <w:szCs w:val="22"/>
        </w:rPr>
        <w:t>I</w:t>
      </w:r>
      <w:r w:rsidR="0096693C" w:rsidRPr="004A2ED9">
        <w:rPr>
          <w:rFonts w:ascii="Palatino Linotype" w:hAnsi="Palatino Linotype" w:cs="Tahoma"/>
          <w:b/>
          <w:sz w:val="22"/>
          <w:szCs w:val="22"/>
        </w:rPr>
        <w:t>V</w:t>
      </w:r>
      <w:r w:rsidR="00B31222" w:rsidRPr="004A2ED9">
        <w:rPr>
          <w:rFonts w:ascii="Palatino Linotype" w:hAnsi="Palatino Linotype" w:cs="Tahoma"/>
          <w:b/>
          <w:sz w:val="22"/>
          <w:szCs w:val="22"/>
        </w:rPr>
        <w:t xml:space="preserve">. </w:t>
      </w:r>
      <w:r w:rsidR="00B31222" w:rsidRPr="004A2ED9">
        <w:rPr>
          <w:rFonts w:ascii="Palatino Linotype" w:eastAsia="Batang" w:hAnsi="Palatino Linotype" w:cs="Tahoma"/>
          <w:b/>
          <w:bCs/>
          <w:sz w:val="22"/>
          <w:szCs w:val="22"/>
        </w:rPr>
        <w:t xml:space="preserve">Trámite del </w:t>
      </w:r>
      <w:r w:rsidR="00C459A9" w:rsidRPr="004A2ED9">
        <w:rPr>
          <w:rFonts w:ascii="Palatino Linotype" w:hAnsi="Palatino Linotype" w:cs="Tahoma"/>
          <w:b/>
          <w:sz w:val="22"/>
          <w:szCs w:val="22"/>
        </w:rPr>
        <w:t>Recurso de Revisión</w:t>
      </w:r>
      <w:r w:rsidR="00B73823" w:rsidRPr="004A2ED9">
        <w:rPr>
          <w:rFonts w:ascii="Palatino Linotype" w:hAnsi="Palatino Linotype" w:cs="Tahoma"/>
          <w:b/>
          <w:sz w:val="22"/>
          <w:szCs w:val="22"/>
        </w:rPr>
        <w:t xml:space="preserve"> </w:t>
      </w:r>
      <w:r w:rsidR="00B31222" w:rsidRPr="004A2ED9">
        <w:rPr>
          <w:rFonts w:ascii="Palatino Linotype" w:eastAsia="Batang" w:hAnsi="Palatino Linotype" w:cs="Tahoma"/>
          <w:b/>
          <w:bCs/>
          <w:sz w:val="22"/>
          <w:szCs w:val="22"/>
        </w:rPr>
        <w:t>ante el Instituto</w:t>
      </w:r>
      <w:r w:rsidR="00E445DA" w:rsidRPr="004A2ED9">
        <w:rPr>
          <w:rFonts w:ascii="Palatino Linotype" w:eastAsia="Batang" w:hAnsi="Palatino Linotype" w:cs="Tahoma"/>
          <w:b/>
          <w:bCs/>
          <w:sz w:val="22"/>
          <w:szCs w:val="22"/>
        </w:rPr>
        <w:t>.</w:t>
      </w:r>
    </w:p>
    <w:p w:rsidR="00E445DA" w:rsidRPr="004A2ED9" w:rsidRDefault="00E445DA" w:rsidP="00073528">
      <w:pPr>
        <w:spacing w:line="360" w:lineRule="auto"/>
        <w:jc w:val="both"/>
        <w:rPr>
          <w:rFonts w:ascii="Palatino Linotype" w:eastAsia="Batang" w:hAnsi="Palatino Linotype" w:cs="Tahoma"/>
          <w:b/>
          <w:bCs/>
          <w:sz w:val="22"/>
          <w:szCs w:val="22"/>
        </w:rPr>
      </w:pPr>
    </w:p>
    <w:p w:rsidR="00B31222" w:rsidRPr="004A2ED9" w:rsidRDefault="00A90F9B" w:rsidP="00073528">
      <w:pPr>
        <w:spacing w:line="360" w:lineRule="auto"/>
        <w:jc w:val="both"/>
        <w:rPr>
          <w:rFonts w:ascii="Palatino Linotype" w:eastAsia="Batang" w:hAnsi="Palatino Linotype" w:cs="Tahoma"/>
          <w:bCs/>
          <w:sz w:val="22"/>
          <w:szCs w:val="22"/>
        </w:rPr>
      </w:pPr>
      <w:r w:rsidRPr="004A2ED9">
        <w:rPr>
          <w:rFonts w:ascii="Palatino Linotype" w:eastAsia="Batang" w:hAnsi="Palatino Linotype" w:cs="Tahoma"/>
          <w:b/>
          <w:bCs/>
          <w:sz w:val="22"/>
          <w:szCs w:val="22"/>
        </w:rPr>
        <w:t xml:space="preserve">a) </w:t>
      </w:r>
      <w:r w:rsidR="00B31222" w:rsidRPr="004A2ED9">
        <w:rPr>
          <w:rFonts w:ascii="Palatino Linotype" w:eastAsia="Batang" w:hAnsi="Palatino Linotype" w:cs="Tahoma"/>
          <w:b/>
          <w:bCs/>
          <w:sz w:val="22"/>
          <w:szCs w:val="22"/>
        </w:rPr>
        <w:t xml:space="preserve">Turno del </w:t>
      </w:r>
      <w:r w:rsidR="00C459A9" w:rsidRPr="004A2ED9">
        <w:rPr>
          <w:rFonts w:ascii="Palatino Linotype" w:hAnsi="Palatino Linotype" w:cs="Tahoma"/>
          <w:b/>
          <w:sz w:val="22"/>
          <w:szCs w:val="22"/>
        </w:rPr>
        <w:t>Recurso de Revisión</w:t>
      </w:r>
      <w:r w:rsidRPr="004A2ED9">
        <w:rPr>
          <w:rFonts w:ascii="Palatino Linotype" w:eastAsia="Batang" w:hAnsi="Palatino Linotype" w:cs="Tahoma"/>
          <w:b/>
          <w:bCs/>
          <w:sz w:val="22"/>
          <w:szCs w:val="22"/>
        </w:rPr>
        <w:t>.</w:t>
      </w:r>
      <w:r w:rsidR="00A9024A" w:rsidRPr="004A2ED9">
        <w:rPr>
          <w:rFonts w:ascii="Palatino Linotype" w:eastAsia="Batang" w:hAnsi="Palatino Linotype" w:cs="Tahoma"/>
          <w:b/>
          <w:bCs/>
          <w:sz w:val="22"/>
          <w:szCs w:val="22"/>
        </w:rPr>
        <w:t xml:space="preserve"> </w:t>
      </w:r>
      <w:r w:rsidR="00E573C6" w:rsidRPr="004A2ED9">
        <w:rPr>
          <w:rFonts w:ascii="Palatino Linotype" w:eastAsia="Batang" w:hAnsi="Palatino Linotype" w:cs="Tahoma"/>
          <w:bCs/>
          <w:sz w:val="22"/>
          <w:szCs w:val="22"/>
        </w:rPr>
        <w:t>Con fecha</w:t>
      </w:r>
      <w:r w:rsidR="00A9024A" w:rsidRPr="004A2ED9">
        <w:rPr>
          <w:rFonts w:ascii="Palatino Linotype" w:eastAsia="Batang" w:hAnsi="Palatino Linotype" w:cs="Tahoma"/>
          <w:bCs/>
          <w:sz w:val="22"/>
          <w:szCs w:val="22"/>
        </w:rPr>
        <w:t xml:space="preserve"> </w:t>
      </w:r>
      <w:r w:rsidR="00313834">
        <w:rPr>
          <w:rFonts w:ascii="Palatino Linotype" w:eastAsia="Batang" w:hAnsi="Palatino Linotype" w:cs="Tahoma"/>
          <w:bCs/>
          <w:sz w:val="22"/>
          <w:szCs w:val="22"/>
        </w:rPr>
        <w:t xml:space="preserve">veintinueve de julio </w:t>
      </w:r>
      <w:r w:rsidR="00593A79" w:rsidRPr="004A2ED9">
        <w:rPr>
          <w:rFonts w:ascii="Palatino Linotype" w:eastAsia="Batang" w:hAnsi="Palatino Linotype" w:cs="Tahoma"/>
          <w:bCs/>
          <w:sz w:val="22"/>
          <w:szCs w:val="22"/>
        </w:rPr>
        <w:t>de dos mil diecinueve</w:t>
      </w:r>
      <w:r w:rsidR="00B31222" w:rsidRPr="004A2ED9">
        <w:rPr>
          <w:rFonts w:ascii="Palatino Linotype" w:eastAsia="Batang" w:hAnsi="Palatino Linotype" w:cs="Tahoma"/>
          <w:bCs/>
          <w:sz w:val="22"/>
          <w:szCs w:val="22"/>
        </w:rPr>
        <w:t>, e</w:t>
      </w:r>
      <w:r w:rsidR="001F78D9" w:rsidRPr="004A2ED9">
        <w:rPr>
          <w:rFonts w:ascii="Palatino Linotype" w:eastAsia="Batang" w:hAnsi="Palatino Linotype" w:cs="Tahoma"/>
          <w:bCs/>
          <w:sz w:val="22"/>
          <w:szCs w:val="22"/>
        </w:rPr>
        <w:t>l</w:t>
      </w:r>
      <w:r w:rsidR="00A9024A" w:rsidRPr="004A2ED9">
        <w:rPr>
          <w:rFonts w:ascii="Palatino Linotype" w:eastAsia="Batang" w:hAnsi="Palatino Linotype" w:cs="Tahoma"/>
          <w:bCs/>
          <w:sz w:val="22"/>
          <w:szCs w:val="22"/>
        </w:rPr>
        <w:t xml:space="preserve"> </w:t>
      </w:r>
      <w:r w:rsidR="001F78D9" w:rsidRPr="004A2ED9">
        <w:rPr>
          <w:rFonts w:ascii="Palatino Linotype" w:hAnsi="Palatino Linotype" w:cs="Tahoma"/>
          <w:sz w:val="22"/>
          <w:szCs w:val="22"/>
          <w:lang w:val="es-ES"/>
        </w:rPr>
        <w:t>Sistema de Acceso a la Información Mexiquense (SAIMEX),</w:t>
      </w:r>
      <w:r w:rsidR="00B31222" w:rsidRPr="004A2ED9">
        <w:rPr>
          <w:rFonts w:ascii="Palatino Linotype" w:eastAsia="Batang" w:hAnsi="Palatino Linotype" w:cs="Tahoma"/>
          <w:bCs/>
          <w:sz w:val="22"/>
          <w:szCs w:val="22"/>
        </w:rPr>
        <w:t xml:space="preserve"> asignó </w:t>
      </w:r>
      <w:r w:rsidR="00593A79" w:rsidRPr="004A2ED9">
        <w:rPr>
          <w:rFonts w:ascii="Palatino Linotype" w:eastAsia="Batang" w:hAnsi="Palatino Linotype" w:cs="Tahoma"/>
          <w:bCs/>
          <w:sz w:val="22"/>
          <w:szCs w:val="22"/>
        </w:rPr>
        <w:t>e</w:t>
      </w:r>
      <w:r w:rsidR="00B31222" w:rsidRPr="004A2ED9">
        <w:rPr>
          <w:rFonts w:ascii="Palatino Linotype" w:eastAsia="Batang" w:hAnsi="Palatino Linotype" w:cs="Tahoma"/>
          <w:bCs/>
          <w:sz w:val="22"/>
          <w:szCs w:val="22"/>
        </w:rPr>
        <w:t xml:space="preserve">l número de expediente </w:t>
      </w:r>
      <w:r w:rsidR="00A9024A" w:rsidRPr="004A2ED9">
        <w:rPr>
          <w:rFonts w:ascii="Palatino Linotype" w:eastAsia="Batang" w:hAnsi="Palatino Linotype" w:cs="Tahoma"/>
          <w:b/>
          <w:bCs/>
          <w:sz w:val="22"/>
          <w:szCs w:val="22"/>
        </w:rPr>
        <w:t>0</w:t>
      </w:r>
      <w:r w:rsidR="00313834">
        <w:rPr>
          <w:rFonts w:ascii="Palatino Linotype" w:eastAsia="Batang" w:hAnsi="Palatino Linotype" w:cs="Tahoma"/>
          <w:b/>
          <w:bCs/>
          <w:sz w:val="22"/>
          <w:szCs w:val="22"/>
        </w:rPr>
        <w:t>6286</w:t>
      </w:r>
      <w:r w:rsidR="0053522E">
        <w:rPr>
          <w:rFonts w:ascii="Palatino Linotype" w:eastAsia="Batang" w:hAnsi="Palatino Linotype" w:cs="Tahoma"/>
          <w:b/>
          <w:bCs/>
          <w:sz w:val="22"/>
          <w:szCs w:val="22"/>
        </w:rPr>
        <w:t>/</w:t>
      </w:r>
      <w:r w:rsidR="000313A7" w:rsidRPr="004A2ED9">
        <w:rPr>
          <w:rFonts w:ascii="Palatino Linotype" w:eastAsia="Batang" w:hAnsi="Palatino Linotype" w:cs="Tahoma"/>
          <w:b/>
          <w:bCs/>
          <w:sz w:val="22"/>
          <w:szCs w:val="22"/>
        </w:rPr>
        <w:t>INFOEM/IP/RR/201</w:t>
      </w:r>
      <w:r w:rsidR="00593A79" w:rsidRPr="004A2ED9">
        <w:rPr>
          <w:rFonts w:ascii="Palatino Linotype" w:eastAsia="Batang" w:hAnsi="Palatino Linotype" w:cs="Tahoma"/>
          <w:b/>
          <w:bCs/>
          <w:sz w:val="22"/>
          <w:szCs w:val="22"/>
        </w:rPr>
        <w:t>9</w:t>
      </w:r>
      <w:r w:rsidR="00CA39B2" w:rsidRPr="004A2ED9">
        <w:rPr>
          <w:rFonts w:ascii="Palatino Linotype" w:eastAsia="Batang" w:hAnsi="Palatino Linotype" w:cs="Tahoma"/>
          <w:b/>
          <w:bCs/>
          <w:sz w:val="22"/>
          <w:szCs w:val="22"/>
        </w:rPr>
        <w:t>,</w:t>
      </w:r>
      <w:r w:rsidR="00593A79" w:rsidRPr="004A2ED9">
        <w:rPr>
          <w:rFonts w:ascii="Palatino Linotype" w:eastAsia="Batang" w:hAnsi="Palatino Linotype" w:cs="Tahoma"/>
          <w:bCs/>
          <w:sz w:val="22"/>
          <w:szCs w:val="22"/>
        </w:rPr>
        <w:t xml:space="preserve">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rsidR="00593A79" w:rsidRPr="004A2ED9" w:rsidRDefault="00593A79" w:rsidP="00073528">
      <w:pPr>
        <w:spacing w:line="360" w:lineRule="auto"/>
        <w:jc w:val="both"/>
        <w:rPr>
          <w:rFonts w:ascii="Palatino Linotype" w:eastAsia="Batang" w:hAnsi="Palatino Linotype" w:cs="Tahoma"/>
          <w:b/>
          <w:bCs/>
          <w:sz w:val="22"/>
          <w:szCs w:val="22"/>
        </w:rPr>
      </w:pPr>
    </w:p>
    <w:p w:rsidR="0024126C" w:rsidRDefault="00625DFB" w:rsidP="00073528">
      <w:pPr>
        <w:spacing w:line="360" w:lineRule="auto"/>
        <w:jc w:val="both"/>
        <w:rPr>
          <w:rFonts w:ascii="Palatino Linotype" w:eastAsia="Calibri" w:hAnsi="Palatino Linotype" w:cs="Tahoma"/>
          <w:sz w:val="22"/>
          <w:szCs w:val="22"/>
          <w:lang w:eastAsia="en-US"/>
        </w:rPr>
      </w:pPr>
      <w:r w:rsidRPr="004A2ED9">
        <w:rPr>
          <w:rFonts w:ascii="Palatino Linotype" w:eastAsia="Batang" w:hAnsi="Palatino Linotype" w:cs="Tahoma"/>
          <w:b/>
          <w:bCs/>
          <w:sz w:val="22"/>
          <w:szCs w:val="22"/>
        </w:rPr>
        <w:lastRenderedPageBreak/>
        <w:t>b</w:t>
      </w:r>
      <w:r w:rsidR="009F46DC" w:rsidRPr="004A2ED9">
        <w:rPr>
          <w:rFonts w:ascii="Palatino Linotype" w:eastAsia="Batang" w:hAnsi="Palatino Linotype" w:cs="Tahoma"/>
          <w:b/>
          <w:bCs/>
          <w:sz w:val="22"/>
          <w:szCs w:val="22"/>
        </w:rPr>
        <w:t xml:space="preserve">) </w:t>
      </w:r>
      <w:r w:rsidR="00B31222" w:rsidRPr="004A2ED9">
        <w:rPr>
          <w:rFonts w:ascii="Palatino Linotype" w:eastAsia="Batang" w:hAnsi="Palatino Linotype" w:cs="Tahoma"/>
          <w:b/>
          <w:bCs/>
          <w:sz w:val="22"/>
          <w:szCs w:val="22"/>
        </w:rPr>
        <w:t xml:space="preserve">Admisión del </w:t>
      </w:r>
      <w:r w:rsidR="00C459A9" w:rsidRPr="004A2ED9">
        <w:rPr>
          <w:rFonts w:ascii="Palatino Linotype" w:hAnsi="Palatino Linotype" w:cs="Tahoma"/>
          <w:b/>
          <w:sz w:val="22"/>
          <w:szCs w:val="22"/>
        </w:rPr>
        <w:t>Recurso de Revisión</w:t>
      </w:r>
      <w:r w:rsidR="00B31222" w:rsidRPr="004A2ED9">
        <w:rPr>
          <w:rFonts w:ascii="Palatino Linotype" w:eastAsia="Batang" w:hAnsi="Palatino Linotype" w:cs="Tahoma"/>
          <w:b/>
          <w:bCs/>
          <w:sz w:val="22"/>
          <w:szCs w:val="22"/>
          <w:lang w:val="es-ES_tradnl"/>
        </w:rPr>
        <w:t xml:space="preserve">. </w:t>
      </w:r>
      <w:r w:rsidR="00E573C6" w:rsidRPr="004A2ED9">
        <w:rPr>
          <w:rFonts w:ascii="Palatino Linotype" w:eastAsia="Batang" w:hAnsi="Palatino Linotype" w:cs="Tahoma"/>
          <w:bCs/>
          <w:sz w:val="22"/>
          <w:szCs w:val="22"/>
          <w:lang w:val="es-ES_tradnl"/>
        </w:rPr>
        <w:t>Con fecha</w:t>
      </w:r>
      <w:r w:rsidR="00A9024A" w:rsidRPr="004A2ED9">
        <w:rPr>
          <w:rFonts w:ascii="Palatino Linotype" w:eastAsia="Batang" w:hAnsi="Palatino Linotype" w:cs="Tahoma"/>
          <w:bCs/>
          <w:sz w:val="22"/>
          <w:szCs w:val="22"/>
          <w:lang w:val="es-ES_tradnl"/>
        </w:rPr>
        <w:t xml:space="preserve"> </w:t>
      </w:r>
      <w:r w:rsidR="00E8541F">
        <w:rPr>
          <w:rFonts w:ascii="Palatino Linotype" w:eastAsia="Batang" w:hAnsi="Palatino Linotype" w:cs="Tahoma"/>
          <w:bCs/>
          <w:sz w:val="22"/>
          <w:szCs w:val="22"/>
          <w:lang w:val="es-ES_tradnl"/>
        </w:rPr>
        <w:t xml:space="preserve">dos de agosto </w:t>
      </w:r>
      <w:r w:rsidR="00593A79" w:rsidRPr="004A2ED9">
        <w:rPr>
          <w:rFonts w:ascii="Palatino Linotype" w:eastAsia="Batang" w:hAnsi="Palatino Linotype" w:cs="Tahoma"/>
          <w:bCs/>
          <w:sz w:val="22"/>
          <w:szCs w:val="22"/>
          <w:lang w:val="es-ES_tradnl"/>
        </w:rPr>
        <w:t>de dos mil diecinueve</w:t>
      </w:r>
      <w:r w:rsidR="00B31222" w:rsidRPr="004A2ED9">
        <w:rPr>
          <w:rFonts w:ascii="Palatino Linotype" w:eastAsia="Batang" w:hAnsi="Palatino Linotype" w:cs="Tahoma"/>
          <w:bCs/>
          <w:sz w:val="22"/>
          <w:szCs w:val="22"/>
          <w:lang w:val="es-ES_tradnl"/>
        </w:rPr>
        <w:t xml:space="preserve">, </w:t>
      </w:r>
      <w:r w:rsidR="009F46DC" w:rsidRPr="004A2ED9">
        <w:rPr>
          <w:rFonts w:ascii="Palatino Linotype" w:hAnsi="Palatino Linotype" w:cs="Tahoma"/>
          <w:sz w:val="22"/>
          <w:szCs w:val="22"/>
        </w:rPr>
        <w:t>se</w:t>
      </w:r>
      <w:r w:rsidR="00A9024A" w:rsidRPr="004A2ED9">
        <w:rPr>
          <w:rFonts w:ascii="Palatino Linotype" w:hAnsi="Palatino Linotype" w:cs="Tahoma"/>
          <w:sz w:val="22"/>
          <w:szCs w:val="22"/>
        </w:rPr>
        <w:t xml:space="preserve"> </w:t>
      </w:r>
      <w:r w:rsidR="009F46DC" w:rsidRPr="004A2ED9">
        <w:rPr>
          <w:rFonts w:ascii="Palatino Linotype" w:eastAsia="Calibri" w:hAnsi="Palatino Linotype" w:cs="Tahoma"/>
          <w:sz w:val="22"/>
          <w:szCs w:val="22"/>
          <w:lang w:eastAsia="en-US"/>
        </w:rPr>
        <w:t xml:space="preserve">acordó la admisión </w:t>
      </w:r>
      <w:r w:rsidR="00593A79" w:rsidRPr="004A2ED9">
        <w:rPr>
          <w:rFonts w:ascii="Palatino Linotype" w:eastAsia="Calibri" w:hAnsi="Palatino Linotype" w:cs="Tahoma"/>
          <w:sz w:val="22"/>
          <w:szCs w:val="22"/>
          <w:lang w:eastAsia="en-US"/>
        </w:rPr>
        <w:t>del Recurso de Revisión interpuesto por el Recurrente en contra de</w:t>
      </w:r>
      <w:r w:rsidR="00C71409">
        <w:rPr>
          <w:rFonts w:ascii="Palatino Linotype" w:eastAsia="Calibri" w:hAnsi="Palatino Linotype" w:cs="Tahoma"/>
          <w:sz w:val="22"/>
          <w:szCs w:val="22"/>
          <w:lang w:eastAsia="en-US"/>
        </w:rPr>
        <w:t xml:space="preserve">l </w:t>
      </w:r>
      <w:r w:rsidR="00E8541F">
        <w:rPr>
          <w:rFonts w:ascii="Palatino Linotype" w:eastAsia="Calibri" w:hAnsi="Palatino Linotype" w:cs="Tahoma"/>
          <w:sz w:val="22"/>
          <w:szCs w:val="22"/>
          <w:lang w:eastAsia="en-US"/>
        </w:rPr>
        <w:t>Ayuntamiento de Tonanitla</w:t>
      </w:r>
      <w:r w:rsidR="00593A79" w:rsidRPr="004A2ED9">
        <w:rPr>
          <w:rFonts w:ascii="Palatino Linotype" w:eastAsia="Calibri" w:hAnsi="Palatino Linotype" w:cs="Tahoma"/>
          <w:sz w:val="22"/>
          <w:szCs w:val="22"/>
          <w:lang w:eastAsia="en-US"/>
        </w:rPr>
        <w:t>, la integración del expediente y su puesta a disposición de las partes, en términos del artículo 185, fracciones I y II, de la Ley de Transparencia y Acceso a la Información Pública del Estado de México y Municipios; acto que fue notificado el mismo día, a través del Sistema de Acceso a la Información Mexiquense (SAIMEX)</w:t>
      </w:r>
      <w:r w:rsidR="002E75A1" w:rsidRPr="004A2ED9">
        <w:rPr>
          <w:rFonts w:ascii="Palatino Linotype" w:eastAsia="Calibri" w:hAnsi="Palatino Linotype" w:cs="Tahoma"/>
          <w:sz w:val="22"/>
          <w:szCs w:val="22"/>
          <w:lang w:eastAsia="en-US"/>
        </w:rPr>
        <w:t xml:space="preserve"> y</w:t>
      </w:r>
      <w:r w:rsidR="00593A79" w:rsidRPr="004A2ED9">
        <w:rPr>
          <w:rFonts w:ascii="Palatino Linotype" w:eastAsia="Calibri" w:hAnsi="Palatino Linotype" w:cs="Tahoma"/>
          <w:sz w:val="22"/>
          <w:szCs w:val="22"/>
          <w:lang w:eastAsia="en-US"/>
        </w:rPr>
        <w:t>,</w:t>
      </w:r>
      <w:r w:rsidR="002E75A1" w:rsidRPr="004A2ED9">
        <w:rPr>
          <w:rFonts w:ascii="Palatino Linotype" w:eastAsia="Calibri" w:hAnsi="Palatino Linotype" w:cs="Tahoma"/>
          <w:sz w:val="22"/>
          <w:szCs w:val="22"/>
          <w:lang w:eastAsia="en-US"/>
        </w:rPr>
        <w:t xml:space="preserve"> se les </w:t>
      </w:r>
      <w:r w:rsidR="00593A79" w:rsidRPr="004A2ED9">
        <w:rPr>
          <w:rFonts w:ascii="Palatino Linotype" w:eastAsia="Calibri" w:hAnsi="Palatino Linotype" w:cs="Tahoma"/>
          <w:sz w:val="22"/>
          <w:szCs w:val="22"/>
          <w:lang w:eastAsia="en-US"/>
        </w:rPr>
        <w:t>otorg</w:t>
      </w:r>
      <w:r w:rsidR="002E75A1" w:rsidRPr="004A2ED9">
        <w:rPr>
          <w:rFonts w:ascii="Palatino Linotype" w:eastAsia="Calibri" w:hAnsi="Palatino Linotype" w:cs="Tahoma"/>
          <w:sz w:val="22"/>
          <w:szCs w:val="22"/>
          <w:lang w:eastAsia="en-US"/>
        </w:rPr>
        <w:t>ó</w:t>
      </w:r>
      <w:r w:rsidR="00593A79" w:rsidRPr="004A2ED9">
        <w:rPr>
          <w:rFonts w:ascii="Palatino Linotype" w:eastAsia="Calibri" w:hAnsi="Palatino Linotype" w:cs="Tahoma"/>
          <w:sz w:val="22"/>
          <w:szCs w:val="22"/>
          <w:lang w:eastAsia="en-US"/>
        </w:rPr>
        <w:t xml:space="preserve"> un plazo de siete días hábiles posteriores a dicha </w:t>
      </w:r>
      <w:r w:rsidR="003916E4" w:rsidRPr="004A2ED9">
        <w:rPr>
          <w:rFonts w:ascii="Palatino Linotype" w:eastAsia="Calibri" w:hAnsi="Palatino Linotype" w:cs="Tahoma"/>
          <w:sz w:val="22"/>
          <w:szCs w:val="22"/>
          <w:lang w:eastAsia="en-US"/>
        </w:rPr>
        <w:t xml:space="preserve">notificación </w:t>
      </w:r>
      <w:r w:rsidR="00593A79" w:rsidRPr="004A2ED9">
        <w:rPr>
          <w:rFonts w:ascii="Palatino Linotype" w:eastAsia="Calibri" w:hAnsi="Palatino Linotype" w:cs="Tahoma"/>
          <w:sz w:val="22"/>
          <w:szCs w:val="22"/>
          <w:lang w:eastAsia="en-US"/>
        </w:rPr>
        <w:t>para que manifestaran lo que a su derecho conviniera y formularan alegatos, en términos del artículo 185, fracción IV, de la Ley de Transparencia y Acceso a la Información Pública del Estado de México y Municipios.</w:t>
      </w:r>
      <w:r w:rsidR="0053522E">
        <w:rPr>
          <w:rFonts w:ascii="Palatino Linotype" w:eastAsia="Calibri" w:hAnsi="Palatino Linotype" w:cs="Tahoma"/>
          <w:sz w:val="22"/>
          <w:szCs w:val="22"/>
          <w:lang w:eastAsia="en-US"/>
        </w:rPr>
        <w:t xml:space="preserve"> </w:t>
      </w:r>
      <w:r w:rsidR="00E8541F">
        <w:rPr>
          <w:rFonts w:ascii="Palatino Linotype" w:eastAsia="Calibri" w:hAnsi="Palatino Linotype" w:cs="Tahoma"/>
          <w:sz w:val="22"/>
          <w:szCs w:val="22"/>
          <w:lang w:eastAsia="en-US"/>
        </w:rPr>
        <w:t>No obstante lo anterior tanto el Sujeto Obligado como el recurrente fueron omisos en realizar manifestación alguna que a su derecho asistiera.</w:t>
      </w:r>
    </w:p>
    <w:p w:rsidR="0024126C" w:rsidRDefault="0024126C" w:rsidP="00073528">
      <w:pPr>
        <w:spacing w:line="360" w:lineRule="auto"/>
        <w:jc w:val="both"/>
        <w:rPr>
          <w:rFonts w:ascii="Palatino Linotype" w:eastAsia="Calibri" w:hAnsi="Palatino Linotype" w:cs="Tahoma"/>
          <w:sz w:val="22"/>
          <w:szCs w:val="22"/>
          <w:lang w:eastAsia="en-US"/>
        </w:rPr>
      </w:pPr>
    </w:p>
    <w:p w:rsidR="006F5670" w:rsidRPr="004A2ED9" w:rsidRDefault="00E8541F" w:rsidP="00073528">
      <w:pPr>
        <w:spacing w:line="360" w:lineRule="auto"/>
        <w:jc w:val="both"/>
        <w:rPr>
          <w:rFonts w:ascii="Palatino Linotype" w:hAnsi="Palatino Linotype" w:cs="Tahoma"/>
          <w:sz w:val="22"/>
          <w:szCs w:val="22"/>
        </w:rPr>
      </w:pPr>
      <w:r>
        <w:rPr>
          <w:rFonts w:ascii="Palatino Linotype" w:hAnsi="Palatino Linotype" w:cs="Tahoma"/>
          <w:b/>
          <w:sz w:val="22"/>
          <w:szCs w:val="22"/>
        </w:rPr>
        <w:t>c</w:t>
      </w:r>
      <w:r w:rsidR="006F5670" w:rsidRPr="004A2ED9">
        <w:rPr>
          <w:rFonts w:ascii="Palatino Linotype" w:hAnsi="Palatino Linotype" w:cs="Tahoma"/>
          <w:b/>
          <w:sz w:val="22"/>
          <w:szCs w:val="22"/>
        </w:rPr>
        <w:t xml:space="preserve">) Ampliación de plazo: </w:t>
      </w:r>
      <w:r w:rsidR="006F5670" w:rsidRPr="004A2ED9">
        <w:rPr>
          <w:rFonts w:ascii="Palatino Linotype" w:hAnsi="Palatino Linotype" w:cs="Tahoma"/>
          <w:sz w:val="22"/>
          <w:szCs w:val="22"/>
        </w:rPr>
        <w:t xml:space="preserve">Con fundamento en el artículo 181, párrafo tercero, de la Ley de Transparencia y Acceso a la Información Pública del Estado de México y Municipios, </w:t>
      </w:r>
      <w:r w:rsidR="002562B1" w:rsidRPr="004A2ED9">
        <w:rPr>
          <w:rFonts w:ascii="Palatino Linotype" w:hAnsi="Palatino Linotype" w:cs="Tahoma"/>
          <w:sz w:val="22"/>
          <w:szCs w:val="22"/>
        </w:rPr>
        <w:t xml:space="preserve">el </w:t>
      </w:r>
      <w:r>
        <w:rPr>
          <w:rFonts w:ascii="Palatino Linotype" w:hAnsi="Palatino Linotype" w:cs="Tahoma"/>
          <w:sz w:val="22"/>
          <w:szCs w:val="22"/>
        </w:rPr>
        <w:t xml:space="preserve">trece de septiembre </w:t>
      </w:r>
      <w:r w:rsidR="006F5670" w:rsidRPr="004A2ED9">
        <w:rPr>
          <w:rFonts w:ascii="Palatino Linotype" w:hAnsi="Palatino Linotype" w:cs="Tahoma"/>
          <w:sz w:val="22"/>
          <w:szCs w:val="22"/>
        </w:rPr>
        <w:t>de dos mil diecinueve, se notificó a las partes a través del Sistema de Acceso a la Información Mexiquense (SAIMEX), el Acuerdo de ampliación de plazo para resolver el Recurso de Revisión materia de la presente resolución; ello con el fin de contar con los elementos suficientes para generar la resolución que en derecho corresponda.</w:t>
      </w:r>
    </w:p>
    <w:p w:rsidR="006F5670" w:rsidRPr="004A2ED9" w:rsidRDefault="006F5670" w:rsidP="00073528">
      <w:pPr>
        <w:spacing w:line="360" w:lineRule="auto"/>
        <w:jc w:val="both"/>
        <w:rPr>
          <w:rFonts w:ascii="Palatino Linotype" w:hAnsi="Palatino Linotype" w:cs="Tahoma"/>
          <w:b/>
          <w:sz w:val="22"/>
          <w:szCs w:val="22"/>
        </w:rPr>
      </w:pPr>
    </w:p>
    <w:p w:rsidR="00755EC9" w:rsidRPr="004A2ED9" w:rsidRDefault="00E8541F" w:rsidP="00073528">
      <w:pPr>
        <w:spacing w:line="360" w:lineRule="auto"/>
        <w:jc w:val="both"/>
        <w:rPr>
          <w:rFonts w:ascii="Palatino Linotype" w:hAnsi="Palatino Linotype" w:cs="Tahoma"/>
          <w:sz w:val="22"/>
          <w:szCs w:val="22"/>
        </w:rPr>
      </w:pPr>
      <w:r>
        <w:rPr>
          <w:rFonts w:ascii="Palatino Linotype" w:hAnsi="Palatino Linotype" w:cs="Tahoma"/>
          <w:b/>
          <w:sz w:val="22"/>
          <w:szCs w:val="22"/>
        </w:rPr>
        <w:t>d</w:t>
      </w:r>
      <w:r w:rsidR="00515CEB" w:rsidRPr="004A2ED9">
        <w:rPr>
          <w:rFonts w:ascii="Palatino Linotype" w:hAnsi="Palatino Linotype" w:cs="Tahoma"/>
          <w:b/>
          <w:sz w:val="22"/>
          <w:szCs w:val="22"/>
        </w:rPr>
        <w:t xml:space="preserve">) </w:t>
      </w:r>
      <w:r w:rsidR="00755EC9" w:rsidRPr="004A2ED9">
        <w:rPr>
          <w:rFonts w:ascii="Palatino Linotype" w:hAnsi="Palatino Linotype" w:cs="Tahoma"/>
          <w:b/>
          <w:sz w:val="22"/>
          <w:szCs w:val="22"/>
        </w:rPr>
        <w:t xml:space="preserve">Cierre de instrucción. </w:t>
      </w:r>
      <w:r w:rsidR="00755EC9" w:rsidRPr="004A2ED9">
        <w:rPr>
          <w:rFonts w:ascii="Palatino Linotype" w:hAnsi="Palatino Linotype" w:cs="Tahoma"/>
          <w:sz w:val="22"/>
          <w:szCs w:val="22"/>
        </w:rPr>
        <w:t xml:space="preserve">Con fecha </w:t>
      </w:r>
      <w:r>
        <w:rPr>
          <w:rFonts w:ascii="Palatino Linotype" w:hAnsi="Palatino Linotype" w:cs="Tahoma"/>
          <w:sz w:val="22"/>
          <w:szCs w:val="22"/>
        </w:rPr>
        <w:t xml:space="preserve">trece </w:t>
      </w:r>
      <w:r w:rsidR="0024126C">
        <w:rPr>
          <w:rFonts w:ascii="Palatino Linotype" w:hAnsi="Palatino Linotype" w:cs="Tahoma"/>
          <w:sz w:val="22"/>
          <w:szCs w:val="22"/>
        </w:rPr>
        <w:t xml:space="preserve">de septiembre </w:t>
      </w:r>
      <w:r w:rsidR="00755EC9" w:rsidRPr="004A2ED9">
        <w:rPr>
          <w:rFonts w:ascii="Palatino Linotype" w:hAnsi="Palatino Linotype" w:cs="Tahoma"/>
          <w:sz w:val="22"/>
          <w:szCs w:val="22"/>
        </w:rPr>
        <w:t xml:space="preserve">de dos mil diecinueve, al no existir diligencias pendientes por desahogar, se emitió el acuerdo por medio del cual se declaró cerrada la instrucción y se determinó pasar el expediente a resolución, en términos de lo dispuesto en el artículo 185, fracciones VI y VIII, de la Ley de Transparencia y Acceso a la Información Pública del Estado de México y Municipios, mismo que fue notificado a las partes el mismo día, a través del </w:t>
      </w:r>
      <w:r w:rsidR="00755EC9" w:rsidRPr="004A2ED9">
        <w:rPr>
          <w:rFonts w:ascii="Palatino Linotype" w:hAnsi="Palatino Linotype" w:cs="Tahoma"/>
          <w:sz w:val="22"/>
          <w:szCs w:val="22"/>
          <w:lang w:val="es-ES"/>
        </w:rPr>
        <w:t>Sistema de Acceso a la Información Mexiquense (SAIMEX)</w:t>
      </w:r>
      <w:r w:rsidR="00755EC9" w:rsidRPr="004A2ED9">
        <w:rPr>
          <w:rFonts w:ascii="Palatino Linotype" w:hAnsi="Palatino Linotype" w:cs="Tahoma"/>
          <w:sz w:val="22"/>
          <w:szCs w:val="22"/>
        </w:rPr>
        <w:t>.</w:t>
      </w:r>
    </w:p>
    <w:p w:rsidR="00755EC9" w:rsidRPr="004A2ED9" w:rsidRDefault="00755EC9" w:rsidP="00073528">
      <w:pPr>
        <w:spacing w:line="360" w:lineRule="auto"/>
        <w:jc w:val="both"/>
        <w:rPr>
          <w:rFonts w:ascii="Palatino Linotype" w:hAnsi="Palatino Linotype" w:cs="Tahoma"/>
          <w:sz w:val="22"/>
          <w:szCs w:val="22"/>
          <w:lang w:val="es-ES"/>
        </w:rPr>
      </w:pPr>
    </w:p>
    <w:p w:rsidR="004F2D88" w:rsidRPr="004A2ED9" w:rsidRDefault="004F2D88" w:rsidP="00073528">
      <w:pPr>
        <w:spacing w:line="360" w:lineRule="auto"/>
        <w:jc w:val="both"/>
        <w:rPr>
          <w:rFonts w:ascii="Palatino Linotype" w:hAnsi="Palatino Linotype" w:cs="Tahoma"/>
          <w:color w:val="000000"/>
          <w:sz w:val="22"/>
          <w:szCs w:val="22"/>
        </w:rPr>
      </w:pPr>
      <w:r w:rsidRPr="004A2ED9">
        <w:rPr>
          <w:rFonts w:ascii="Palatino Linotype" w:hAnsi="Palatino Linotype" w:cs="Tahoma"/>
          <w:color w:val="000000"/>
          <w:sz w:val="22"/>
          <w:szCs w:val="22"/>
        </w:rPr>
        <w:lastRenderedPageBreak/>
        <w:t xml:space="preserve">En </w:t>
      </w:r>
      <w:r w:rsidR="00367F82" w:rsidRPr="004A2ED9">
        <w:rPr>
          <w:rFonts w:ascii="Palatino Linotype" w:hAnsi="Palatino Linotype" w:cs="Tahoma"/>
          <w:color w:val="000000"/>
          <w:sz w:val="22"/>
          <w:szCs w:val="22"/>
        </w:rPr>
        <w:t>razón de que fue debidamente su</w:t>
      </w:r>
      <w:r w:rsidRPr="004A2ED9">
        <w:rPr>
          <w:rFonts w:ascii="Palatino Linotype" w:hAnsi="Palatino Linotype" w:cs="Tahoma"/>
          <w:color w:val="000000"/>
          <w:sz w:val="22"/>
          <w:szCs w:val="22"/>
        </w:rPr>
        <w:t xml:space="preserve">stanciado el expediente </w:t>
      </w:r>
      <w:r w:rsidR="00367F82" w:rsidRPr="004A2ED9">
        <w:rPr>
          <w:rFonts w:ascii="Palatino Linotype" w:hAnsi="Palatino Linotype" w:cs="Tahoma"/>
          <w:color w:val="000000"/>
          <w:sz w:val="22"/>
          <w:szCs w:val="22"/>
        </w:rPr>
        <w:t xml:space="preserve">electrónico </w:t>
      </w:r>
      <w:r w:rsidRPr="004A2ED9">
        <w:rPr>
          <w:rFonts w:ascii="Palatino Linotype" w:hAnsi="Palatino Linotype" w:cs="Tahoma"/>
          <w:color w:val="000000"/>
          <w:sz w:val="22"/>
          <w:szCs w:val="22"/>
        </w:rPr>
        <w:t>y no exist</w:t>
      </w:r>
      <w:r w:rsidR="00367F82" w:rsidRPr="004A2ED9">
        <w:rPr>
          <w:rFonts w:ascii="Palatino Linotype" w:hAnsi="Palatino Linotype" w:cs="Tahoma"/>
          <w:color w:val="000000"/>
          <w:sz w:val="22"/>
          <w:szCs w:val="22"/>
        </w:rPr>
        <w:t>e</w:t>
      </w:r>
      <w:r w:rsidRPr="004A2ED9">
        <w:rPr>
          <w:rFonts w:ascii="Palatino Linotype" w:hAnsi="Palatino Linotype" w:cs="Tahoma"/>
          <w:color w:val="000000"/>
          <w:sz w:val="22"/>
          <w:szCs w:val="22"/>
        </w:rPr>
        <w:t xml:space="preserve"> dilige</w:t>
      </w:r>
      <w:r w:rsidR="00367F82" w:rsidRPr="004A2ED9">
        <w:rPr>
          <w:rFonts w:ascii="Palatino Linotype" w:hAnsi="Palatino Linotype" w:cs="Tahoma"/>
          <w:color w:val="000000"/>
          <w:sz w:val="22"/>
          <w:szCs w:val="22"/>
        </w:rPr>
        <w:t xml:space="preserve">ncia pendiente de desahogo, se </w:t>
      </w:r>
      <w:r w:rsidRPr="004A2ED9">
        <w:rPr>
          <w:rFonts w:ascii="Palatino Linotype" w:hAnsi="Palatino Linotype" w:cs="Tahoma"/>
          <w:color w:val="000000"/>
          <w:sz w:val="22"/>
          <w:szCs w:val="22"/>
        </w:rPr>
        <w:t>emit</w:t>
      </w:r>
      <w:r w:rsidR="00367F82" w:rsidRPr="004A2ED9">
        <w:rPr>
          <w:rFonts w:ascii="Palatino Linotype" w:hAnsi="Palatino Linotype" w:cs="Tahoma"/>
          <w:color w:val="000000"/>
          <w:sz w:val="22"/>
          <w:szCs w:val="22"/>
        </w:rPr>
        <w:t>e</w:t>
      </w:r>
      <w:r w:rsidRPr="004A2ED9">
        <w:rPr>
          <w:rFonts w:ascii="Palatino Linotype" w:hAnsi="Palatino Linotype" w:cs="Tahoma"/>
          <w:color w:val="000000"/>
          <w:sz w:val="22"/>
          <w:szCs w:val="22"/>
        </w:rPr>
        <w:t xml:space="preserve"> la resolución que conforme a Derecho proceda, de acuerdo a l</w:t>
      </w:r>
      <w:r w:rsidR="009A620E" w:rsidRPr="004A2ED9">
        <w:rPr>
          <w:rFonts w:ascii="Palatino Linotype" w:hAnsi="Palatino Linotype" w:cs="Tahoma"/>
          <w:color w:val="000000"/>
          <w:sz w:val="22"/>
          <w:szCs w:val="22"/>
        </w:rPr>
        <w:t>o</w:t>
      </w:r>
      <w:r w:rsidR="007C4BDC" w:rsidRPr="004A2ED9">
        <w:rPr>
          <w:rFonts w:ascii="Palatino Linotype" w:hAnsi="Palatino Linotype" w:cs="Tahoma"/>
          <w:color w:val="000000"/>
          <w:sz w:val="22"/>
          <w:szCs w:val="22"/>
        </w:rPr>
        <w:t>s siguientes:</w:t>
      </w:r>
    </w:p>
    <w:p w:rsidR="00264223" w:rsidRPr="004A2ED9" w:rsidRDefault="00264223" w:rsidP="00073528">
      <w:pPr>
        <w:spacing w:line="360" w:lineRule="auto"/>
        <w:jc w:val="center"/>
        <w:rPr>
          <w:rFonts w:ascii="Palatino Linotype" w:hAnsi="Palatino Linotype" w:cs="Tahoma"/>
          <w:b/>
          <w:sz w:val="22"/>
          <w:szCs w:val="22"/>
        </w:rPr>
      </w:pPr>
    </w:p>
    <w:p w:rsidR="00264223" w:rsidRPr="004A2ED9" w:rsidRDefault="009A620E" w:rsidP="00073528">
      <w:pPr>
        <w:spacing w:line="360" w:lineRule="auto"/>
        <w:jc w:val="center"/>
        <w:rPr>
          <w:rFonts w:ascii="Palatino Linotype" w:hAnsi="Palatino Linotype" w:cs="Tahoma"/>
          <w:b/>
          <w:sz w:val="22"/>
          <w:szCs w:val="22"/>
          <w:lang w:val="es-ES"/>
        </w:rPr>
      </w:pPr>
      <w:r w:rsidRPr="004A2ED9">
        <w:rPr>
          <w:rFonts w:ascii="Palatino Linotype" w:hAnsi="Palatino Linotype" w:cs="Tahoma"/>
          <w:b/>
          <w:sz w:val="22"/>
          <w:szCs w:val="22"/>
          <w:lang w:val="es-ES"/>
        </w:rPr>
        <w:t>C</w:t>
      </w:r>
      <w:r w:rsidR="007C4BDC" w:rsidRPr="004A2ED9">
        <w:rPr>
          <w:rFonts w:ascii="Palatino Linotype" w:hAnsi="Palatino Linotype" w:cs="Tahoma"/>
          <w:b/>
          <w:sz w:val="22"/>
          <w:szCs w:val="22"/>
          <w:lang w:val="es-ES"/>
        </w:rPr>
        <w:t xml:space="preserve"> </w:t>
      </w:r>
      <w:r w:rsidRPr="004A2ED9">
        <w:rPr>
          <w:rFonts w:ascii="Palatino Linotype" w:hAnsi="Palatino Linotype" w:cs="Tahoma"/>
          <w:b/>
          <w:sz w:val="22"/>
          <w:szCs w:val="22"/>
          <w:lang w:val="es-ES"/>
        </w:rPr>
        <w:t>O</w:t>
      </w:r>
      <w:r w:rsidR="007C4BDC" w:rsidRPr="004A2ED9">
        <w:rPr>
          <w:rFonts w:ascii="Palatino Linotype" w:hAnsi="Palatino Linotype" w:cs="Tahoma"/>
          <w:b/>
          <w:sz w:val="22"/>
          <w:szCs w:val="22"/>
          <w:lang w:val="es-ES"/>
        </w:rPr>
        <w:t xml:space="preserve"> </w:t>
      </w:r>
      <w:r w:rsidRPr="004A2ED9">
        <w:rPr>
          <w:rFonts w:ascii="Palatino Linotype" w:hAnsi="Palatino Linotype" w:cs="Tahoma"/>
          <w:b/>
          <w:sz w:val="22"/>
          <w:szCs w:val="22"/>
          <w:lang w:val="es-ES"/>
        </w:rPr>
        <w:t>N</w:t>
      </w:r>
      <w:r w:rsidR="007C4BDC" w:rsidRPr="004A2ED9">
        <w:rPr>
          <w:rFonts w:ascii="Palatino Linotype" w:hAnsi="Palatino Linotype" w:cs="Tahoma"/>
          <w:b/>
          <w:sz w:val="22"/>
          <w:szCs w:val="22"/>
          <w:lang w:val="es-ES"/>
        </w:rPr>
        <w:t xml:space="preserve"> </w:t>
      </w:r>
      <w:r w:rsidRPr="004A2ED9">
        <w:rPr>
          <w:rFonts w:ascii="Palatino Linotype" w:hAnsi="Palatino Linotype" w:cs="Tahoma"/>
          <w:b/>
          <w:sz w:val="22"/>
          <w:szCs w:val="22"/>
          <w:lang w:val="es-ES"/>
        </w:rPr>
        <w:t>S</w:t>
      </w:r>
      <w:r w:rsidR="007C4BDC" w:rsidRPr="004A2ED9">
        <w:rPr>
          <w:rFonts w:ascii="Palatino Linotype" w:hAnsi="Palatino Linotype" w:cs="Tahoma"/>
          <w:b/>
          <w:sz w:val="22"/>
          <w:szCs w:val="22"/>
          <w:lang w:val="es-ES"/>
        </w:rPr>
        <w:t xml:space="preserve"> </w:t>
      </w:r>
      <w:r w:rsidRPr="004A2ED9">
        <w:rPr>
          <w:rFonts w:ascii="Palatino Linotype" w:hAnsi="Palatino Linotype" w:cs="Tahoma"/>
          <w:b/>
          <w:sz w:val="22"/>
          <w:szCs w:val="22"/>
          <w:lang w:val="es-ES"/>
        </w:rPr>
        <w:t>I</w:t>
      </w:r>
      <w:r w:rsidR="007C4BDC" w:rsidRPr="004A2ED9">
        <w:rPr>
          <w:rFonts w:ascii="Palatino Linotype" w:hAnsi="Palatino Linotype" w:cs="Tahoma"/>
          <w:b/>
          <w:sz w:val="22"/>
          <w:szCs w:val="22"/>
          <w:lang w:val="es-ES"/>
        </w:rPr>
        <w:t xml:space="preserve"> </w:t>
      </w:r>
      <w:r w:rsidRPr="004A2ED9">
        <w:rPr>
          <w:rFonts w:ascii="Palatino Linotype" w:hAnsi="Palatino Linotype" w:cs="Tahoma"/>
          <w:b/>
          <w:sz w:val="22"/>
          <w:szCs w:val="22"/>
          <w:lang w:val="es-ES"/>
        </w:rPr>
        <w:t>D</w:t>
      </w:r>
      <w:r w:rsidR="007C4BDC" w:rsidRPr="004A2ED9">
        <w:rPr>
          <w:rFonts w:ascii="Palatino Linotype" w:hAnsi="Palatino Linotype" w:cs="Tahoma"/>
          <w:b/>
          <w:sz w:val="22"/>
          <w:szCs w:val="22"/>
          <w:lang w:val="es-ES"/>
        </w:rPr>
        <w:t xml:space="preserve"> </w:t>
      </w:r>
      <w:r w:rsidRPr="004A2ED9">
        <w:rPr>
          <w:rFonts w:ascii="Palatino Linotype" w:hAnsi="Palatino Linotype" w:cs="Tahoma"/>
          <w:b/>
          <w:sz w:val="22"/>
          <w:szCs w:val="22"/>
          <w:lang w:val="es-ES"/>
        </w:rPr>
        <w:t>E</w:t>
      </w:r>
      <w:r w:rsidR="007C4BDC" w:rsidRPr="004A2ED9">
        <w:rPr>
          <w:rFonts w:ascii="Palatino Linotype" w:hAnsi="Palatino Linotype" w:cs="Tahoma"/>
          <w:b/>
          <w:sz w:val="22"/>
          <w:szCs w:val="22"/>
          <w:lang w:val="es-ES"/>
        </w:rPr>
        <w:t xml:space="preserve"> </w:t>
      </w:r>
      <w:r w:rsidRPr="004A2ED9">
        <w:rPr>
          <w:rFonts w:ascii="Palatino Linotype" w:hAnsi="Palatino Linotype" w:cs="Tahoma"/>
          <w:b/>
          <w:sz w:val="22"/>
          <w:szCs w:val="22"/>
          <w:lang w:val="es-ES"/>
        </w:rPr>
        <w:t>R</w:t>
      </w:r>
      <w:r w:rsidR="007C4BDC" w:rsidRPr="004A2ED9">
        <w:rPr>
          <w:rFonts w:ascii="Palatino Linotype" w:hAnsi="Palatino Linotype" w:cs="Tahoma"/>
          <w:b/>
          <w:sz w:val="22"/>
          <w:szCs w:val="22"/>
          <w:lang w:val="es-ES"/>
        </w:rPr>
        <w:t xml:space="preserve"> </w:t>
      </w:r>
      <w:r w:rsidRPr="004A2ED9">
        <w:rPr>
          <w:rFonts w:ascii="Palatino Linotype" w:hAnsi="Palatino Linotype" w:cs="Tahoma"/>
          <w:b/>
          <w:sz w:val="22"/>
          <w:szCs w:val="22"/>
          <w:lang w:val="es-ES"/>
        </w:rPr>
        <w:t>A</w:t>
      </w:r>
      <w:r w:rsidR="007C4BDC" w:rsidRPr="004A2ED9">
        <w:rPr>
          <w:rFonts w:ascii="Palatino Linotype" w:hAnsi="Palatino Linotype" w:cs="Tahoma"/>
          <w:b/>
          <w:sz w:val="22"/>
          <w:szCs w:val="22"/>
          <w:lang w:val="es-ES"/>
        </w:rPr>
        <w:t xml:space="preserve"> </w:t>
      </w:r>
      <w:r w:rsidRPr="004A2ED9">
        <w:rPr>
          <w:rFonts w:ascii="Palatino Linotype" w:hAnsi="Palatino Linotype" w:cs="Tahoma"/>
          <w:b/>
          <w:sz w:val="22"/>
          <w:szCs w:val="22"/>
          <w:lang w:val="es-ES"/>
        </w:rPr>
        <w:t>N</w:t>
      </w:r>
      <w:r w:rsidR="007C4BDC" w:rsidRPr="004A2ED9">
        <w:rPr>
          <w:rFonts w:ascii="Palatino Linotype" w:hAnsi="Palatino Linotype" w:cs="Tahoma"/>
          <w:b/>
          <w:sz w:val="22"/>
          <w:szCs w:val="22"/>
          <w:lang w:val="es-ES"/>
        </w:rPr>
        <w:t xml:space="preserve"> </w:t>
      </w:r>
      <w:r w:rsidRPr="004A2ED9">
        <w:rPr>
          <w:rFonts w:ascii="Palatino Linotype" w:hAnsi="Palatino Linotype" w:cs="Tahoma"/>
          <w:b/>
          <w:sz w:val="22"/>
          <w:szCs w:val="22"/>
          <w:lang w:val="es-ES"/>
        </w:rPr>
        <w:t>D</w:t>
      </w:r>
      <w:r w:rsidR="007C4BDC" w:rsidRPr="004A2ED9">
        <w:rPr>
          <w:rFonts w:ascii="Palatino Linotype" w:hAnsi="Palatino Linotype" w:cs="Tahoma"/>
          <w:b/>
          <w:sz w:val="22"/>
          <w:szCs w:val="22"/>
          <w:lang w:val="es-ES"/>
        </w:rPr>
        <w:t xml:space="preserve"> </w:t>
      </w:r>
      <w:r w:rsidRPr="004A2ED9">
        <w:rPr>
          <w:rFonts w:ascii="Palatino Linotype" w:hAnsi="Palatino Linotype" w:cs="Tahoma"/>
          <w:b/>
          <w:sz w:val="22"/>
          <w:szCs w:val="22"/>
          <w:lang w:val="es-ES"/>
        </w:rPr>
        <w:t>O</w:t>
      </w:r>
      <w:r w:rsidR="007C4BDC" w:rsidRPr="004A2ED9">
        <w:rPr>
          <w:rFonts w:ascii="Palatino Linotype" w:hAnsi="Palatino Linotype" w:cs="Tahoma"/>
          <w:b/>
          <w:sz w:val="22"/>
          <w:szCs w:val="22"/>
          <w:lang w:val="es-ES"/>
        </w:rPr>
        <w:t xml:space="preserve"> </w:t>
      </w:r>
      <w:r w:rsidRPr="004A2ED9">
        <w:rPr>
          <w:rFonts w:ascii="Palatino Linotype" w:hAnsi="Palatino Linotype" w:cs="Tahoma"/>
          <w:b/>
          <w:sz w:val="22"/>
          <w:szCs w:val="22"/>
          <w:lang w:val="es-ES"/>
        </w:rPr>
        <w:t>S</w:t>
      </w:r>
    </w:p>
    <w:p w:rsidR="0095079C" w:rsidRPr="004A2ED9" w:rsidRDefault="0095079C" w:rsidP="00073528">
      <w:pPr>
        <w:spacing w:line="360" w:lineRule="auto"/>
        <w:jc w:val="center"/>
        <w:rPr>
          <w:rFonts w:ascii="Palatino Linotype" w:hAnsi="Palatino Linotype" w:cs="Tahoma"/>
          <w:b/>
          <w:sz w:val="22"/>
          <w:szCs w:val="22"/>
          <w:lang w:val="es-ES"/>
        </w:rPr>
      </w:pPr>
    </w:p>
    <w:p w:rsidR="00B64641" w:rsidRPr="004A2ED9" w:rsidRDefault="0096693C" w:rsidP="00073528">
      <w:pPr>
        <w:autoSpaceDE w:val="0"/>
        <w:autoSpaceDN w:val="0"/>
        <w:adjustRightInd w:val="0"/>
        <w:spacing w:line="360" w:lineRule="auto"/>
        <w:jc w:val="both"/>
        <w:rPr>
          <w:rFonts w:ascii="Palatino Linotype" w:hAnsi="Palatino Linotype" w:cs="Tahoma"/>
          <w:b/>
          <w:sz w:val="22"/>
          <w:szCs w:val="22"/>
          <w:lang w:val="es-ES"/>
        </w:rPr>
      </w:pPr>
      <w:r w:rsidRPr="004A2ED9">
        <w:rPr>
          <w:rFonts w:ascii="Palatino Linotype" w:eastAsia="Calibri" w:hAnsi="Palatino Linotype" w:cs="Tahoma"/>
          <w:b/>
          <w:color w:val="000000"/>
          <w:sz w:val="22"/>
          <w:szCs w:val="22"/>
          <w:lang w:val="es-ES" w:eastAsia="es-MX"/>
        </w:rPr>
        <w:t>PRIMERO</w:t>
      </w:r>
      <w:r w:rsidR="00B64641" w:rsidRPr="004A2ED9">
        <w:rPr>
          <w:rFonts w:ascii="Palatino Linotype" w:eastAsia="Calibri" w:hAnsi="Palatino Linotype" w:cs="Tahoma"/>
          <w:color w:val="000000"/>
          <w:sz w:val="22"/>
          <w:szCs w:val="22"/>
          <w:lang w:val="es-ES" w:eastAsia="es-MX"/>
        </w:rPr>
        <w:t xml:space="preserve">. </w:t>
      </w:r>
      <w:r w:rsidR="00B64641" w:rsidRPr="004A2ED9">
        <w:rPr>
          <w:rFonts w:ascii="Palatino Linotype" w:hAnsi="Palatino Linotype" w:cs="Tahoma"/>
          <w:b/>
          <w:sz w:val="22"/>
          <w:szCs w:val="22"/>
          <w:lang w:val="es-ES"/>
        </w:rPr>
        <w:t>Competencia.</w:t>
      </w:r>
    </w:p>
    <w:p w:rsidR="00BA454D" w:rsidRPr="004A2ED9" w:rsidRDefault="00BA454D" w:rsidP="00073528">
      <w:pPr>
        <w:autoSpaceDE w:val="0"/>
        <w:autoSpaceDN w:val="0"/>
        <w:adjustRightInd w:val="0"/>
        <w:spacing w:line="360" w:lineRule="auto"/>
        <w:jc w:val="both"/>
        <w:rPr>
          <w:rFonts w:ascii="Palatino Linotype" w:hAnsi="Palatino Linotype" w:cs="Tahoma"/>
          <w:b/>
          <w:sz w:val="22"/>
          <w:szCs w:val="22"/>
          <w:lang w:val="es-ES"/>
        </w:rPr>
      </w:pPr>
    </w:p>
    <w:p w:rsidR="004F2D88" w:rsidRPr="004A2ED9" w:rsidRDefault="009C4081" w:rsidP="00073528">
      <w:pPr>
        <w:spacing w:line="360" w:lineRule="auto"/>
        <w:jc w:val="both"/>
        <w:rPr>
          <w:rFonts w:ascii="Palatino Linotype" w:hAnsi="Palatino Linotype" w:cs="Tahoma"/>
          <w:sz w:val="22"/>
          <w:szCs w:val="22"/>
          <w:shd w:val="clear" w:color="auto" w:fill="FFFFFF"/>
        </w:rPr>
      </w:pPr>
      <w:r w:rsidRPr="004A2ED9">
        <w:rPr>
          <w:rFonts w:ascii="Palatino Linotype" w:hAnsi="Palatino Linotype" w:cs="Tahoma"/>
          <w:sz w:val="22"/>
          <w:szCs w:val="22"/>
          <w:shd w:val="clear" w:color="auto" w:fill="FFFFFF"/>
        </w:rPr>
        <w:t xml:space="preserve">El Instituto de Transparencia, Acceso a la Información Pública y Protección de Datos Personales del Estado de México y Municipios, es competente para conocer y resolver el presente </w:t>
      </w:r>
      <w:r w:rsidR="00A55CDF" w:rsidRPr="004A2ED9">
        <w:rPr>
          <w:rFonts w:ascii="Palatino Linotype" w:hAnsi="Palatino Linotype" w:cs="Tahoma"/>
          <w:sz w:val="22"/>
          <w:szCs w:val="22"/>
          <w:shd w:val="clear" w:color="auto" w:fill="FFFFFF"/>
        </w:rPr>
        <w:t xml:space="preserve">Recurso </w:t>
      </w:r>
      <w:r w:rsidRPr="004A2ED9">
        <w:rPr>
          <w:rFonts w:ascii="Palatino Linotype" w:hAnsi="Palatino Linotype" w:cs="Tahoma"/>
          <w:sz w:val="22"/>
          <w:szCs w:val="22"/>
          <w:shd w:val="clear" w:color="auto" w:fill="FFFFFF"/>
        </w:rPr>
        <w:t xml:space="preserve">de </w:t>
      </w:r>
      <w:r w:rsidR="00A55CDF" w:rsidRPr="004A2ED9">
        <w:rPr>
          <w:rFonts w:ascii="Palatino Linotype" w:hAnsi="Palatino Linotype" w:cs="Tahoma"/>
          <w:sz w:val="22"/>
          <w:szCs w:val="22"/>
          <w:shd w:val="clear" w:color="auto" w:fill="FFFFFF"/>
        </w:rPr>
        <w:t xml:space="preserve">Revisión </w:t>
      </w:r>
      <w:r w:rsidRPr="004A2ED9">
        <w:rPr>
          <w:rFonts w:ascii="Palatino Linotype" w:hAnsi="Palatino Linotype" w:cs="Tahoma"/>
          <w:sz w:val="22"/>
          <w:szCs w:val="22"/>
          <w:shd w:val="clear" w:color="auto" w:fill="FFFFFF"/>
        </w:rPr>
        <w:t>interpuesto por la parte recurrente, conforme a lo dispuesto en los artículos 6</w:t>
      </w:r>
      <w:r w:rsidR="00973FDF" w:rsidRPr="004A2ED9">
        <w:rPr>
          <w:rFonts w:ascii="Palatino Linotype" w:hAnsi="Palatino Linotype" w:cs="Tahoma"/>
          <w:sz w:val="22"/>
          <w:szCs w:val="22"/>
          <w:shd w:val="clear" w:color="auto" w:fill="FFFFFF"/>
        </w:rPr>
        <w:t>º</w:t>
      </w:r>
      <w:r w:rsidRPr="004A2ED9">
        <w:rPr>
          <w:rFonts w:ascii="Palatino Linotype" w:hAnsi="Palatino Linotype" w:cs="Tahoma"/>
          <w:sz w:val="22"/>
          <w:szCs w:val="22"/>
          <w:shd w:val="clear" w:color="auto" w:fill="FFFFFF"/>
        </w:rPr>
        <w:t>, apartado A de la Constitución Política de los Estados Unidos Mexicanos; 5</w:t>
      </w:r>
      <w:r w:rsidR="00973FDF" w:rsidRPr="004A2ED9">
        <w:rPr>
          <w:rFonts w:ascii="Palatino Linotype" w:hAnsi="Palatino Linotype" w:cs="Tahoma"/>
          <w:sz w:val="22"/>
          <w:szCs w:val="22"/>
          <w:shd w:val="clear" w:color="auto" w:fill="FFFFFF"/>
        </w:rPr>
        <w:t>º</w:t>
      </w:r>
      <w:r w:rsidRPr="004A2ED9">
        <w:rPr>
          <w:rFonts w:ascii="Palatino Linotype" w:hAnsi="Palatino Linotype" w:cs="Tahoma"/>
          <w:sz w:val="22"/>
          <w:szCs w:val="22"/>
          <w:shd w:val="clear" w:color="auto" w:fill="FFFFFF"/>
        </w:rPr>
        <w:t xml:space="preserve">, párrafos </w:t>
      </w:r>
      <w:r w:rsidR="001A2A03" w:rsidRPr="00A56521">
        <w:rPr>
          <w:rFonts w:ascii="Palatino Linotype" w:hAnsi="Palatino Linotype" w:cs="Tahoma"/>
          <w:sz w:val="22"/>
          <w:szCs w:val="24"/>
          <w:shd w:val="clear" w:color="auto" w:fill="FFFFFF"/>
        </w:rPr>
        <w:t>vigésimo segundo</w:t>
      </w:r>
      <w:r w:rsidR="001A2A03">
        <w:rPr>
          <w:rFonts w:ascii="Palatino Linotype" w:hAnsi="Palatino Linotype" w:cs="Tahoma"/>
          <w:sz w:val="22"/>
          <w:szCs w:val="24"/>
          <w:shd w:val="clear" w:color="auto" w:fill="FFFFFF"/>
        </w:rPr>
        <w:t>, vigésimo tercero y vigésimo cuarto</w:t>
      </w:r>
      <w:r w:rsidRPr="004A2ED9">
        <w:rPr>
          <w:rFonts w:ascii="Palatino Linotype" w:hAnsi="Palatino Linotype" w:cs="Tahoma"/>
          <w:sz w:val="22"/>
          <w:szCs w:val="22"/>
          <w:shd w:val="clear" w:color="auto" w:fill="FFFFFF"/>
        </w:rPr>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00E70503" w:rsidRDefault="00E70503" w:rsidP="00073528">
      <w:pPr>
        <w:spacing w:line="360" w:lineRule="auto"/>
        <w:jc w:val="both"/>
        <w:rPr>
          <w:rFonts w:ascii="Palatino Linotype" w:eastAsia="Calibri" w:hAnsi="Palatino Linotype" w:cs="Tahoma"/>
          <w:bCs/>
          <w:color w:val="000000"/>
          <w:sz w:val="22"/>
          <w:szCs w:val="22"/>
          <w:lang w:val="es-ES" w:eastAsia="es-ES_tradnl"/>
        </w:rPr>
      </w:pPr>
    </w:p>
    <w:p w:rsidR="008756A5" w:rsidRPr="00AF6580" w:rsidRDefault="008756A5" w:rsidP="00073528">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AF6580">
        <w:rPr>
          <w:rFonts w:ascii="Palatino Linotype" w:eastAsia="Calibri" w:hAnsi="Palatino Linotype" w:cs="Tahoma"/>
          <w:b/>
          <w:color w:val="000000"/>
          <w:sz w:val="22"/>
          <w:szCs w:val="22"/>
          <w:lang w:eastAsia="es-MX"/>
        </w:rPr>
        <w:t>SEGUNDO</w:t>
      </w:r>
      <w:r w:rsidRPr="00AF6580">
        <w:rPr>
          <w:rFonts w:ascii="Palatino Linotype" w:eastAsia="Calibri" w:hAnsi="Palatino Linotype" w:cs="Tahoma"/>
          <w:color w:val="000000"/>
          <w:sz w:val="22"/>
          <w:szCs w:val="22"/>
          <w:lang w:eastAsia="es-MX"/>
        </w:rPr>
        <w:t xml:space="preserve">. </w:t>
      </w:r>
      <w:r w:rsidRPr="00AF6580">
        <w:rPr>
          <w:rFonts w:ascii="Palatino Linotype" w:eastAsia="Calibri" w:hAnsi="Palatino Linotype" w:cs="Tahoma"/>
          <w:b/>
          <w:color w:val="000000"/>
          <w:sz w:val="22"/>
          <w:szCs w:val="22"/>
          <w:lang w:eastAsia="es-MX"/>
        </w:rPr>
        <w:t>Causales de improcedencia y sobreseimiento.</w:t>
      </w:r>
      <w:r w:rsidRPr="00AF6580">
        <w:rPr>
          <w:rFonts w:ascii="Palatino Linotype" w:eastAsia="Calibri" w:hAnsi="Palatino Linotype" w:cs="Tahoma"/>
          <w:color w:val="000000"/>
          <w:sz w:val="22"/>
          <w:szCs w:val="22"/>
          <w:lang w:eastAsia="es-MX"/>
        </w:rPr>
        <w:t xml:space="preserve"> </w:t>
      </w:r>
    </w:p>
    <w:p w:rsidR="008756A5" w:rsidRPr="00AF6580" w:rsidRDefault="008756A5" w:rsidP="00073528">
      <w:pPr>
        <w:autoSpaceDE w:val="0"/>
        <w:autoSpaceDN w:val="0"/>
        <w:adjustRightInd w:val="0"/>
        <w:spacing w:line="360" w:lineRule="auto"/>
        <w:jc w:val="both"/>
        <w:rPr>
          <w:rFonts w:ascii="Palatino Linotype" w:eastAsia="Calibri" w:hAnsi="Palatino Linotype" w:cs="Tahoma"/>
          <w:color w:val="000000"/>
          <w:sz w:val="22"/>
          <w:szCs w:val="22"/>
          <w:lang w:eastAsia="es-MX"/>
        </w:rPr>
      </w:pPr>
    </w:p>
    <w:p w:rsidR="008756A5" w:rsidRPr="00AF6580" w:rsidRDefault="008756A5" w:rsidP="00073528">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AF6580">
        <w:rPr>
          <w:rFonts w:ascii="Palatino Linotype" w:eastAsia="Calibri" w:hAnsi="Palatino Linotype" w:cs="Tahoma"/>
          <w:color w:val="000000"/>
          <w:sz w:val="22"/>
          <w:szCs w:val="22"/>
          <w:lang w:eastAsia="es-MX"/>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w:t>
      </w:r>
      <w:r w:rsidRPr="00AF6580">
        <w:rPr>
          <w:rFonts w:ascii="Palatino Linotype" w:eastAsia="Calibri" w:hAnsi="Palatino Linotype" w:cs="Tahoma"/>
          <w:color w:val="000000"/>
          <w:sz w:val="22"/>
          <w:szCs w:val="22"/>
          <w:lang w:eastAsia="es-MX"/>
        </w:rPr>
        <w:lastRenderedPageBreak/>
        <w:t>suerte, deberá ser desechado cualquier Recurso de Revisión que actualice alguno de los supuestos establecidos en el artículo 191 de la Ley de Transparencia y Acceso a la Información Pública del Estado de México y Municipios, por ser improcedente.</w:t>
      </w:r>
    </w:p>
    <w:p w:rsidR="008756A5" w:rsidRPr="00AF6580" w:rsidRDefault="008756A5" w:rsidP="00073528">
      <w:pPr>
        <w:autoSpaceDE w:val="0"/>
        <w:autoSpaceDN w:val="0"/>
        <w:adjustRightInd w:val="0"/>
        <w:spacing w:line="360" w:lineRule="auto"/>
        <w:jc w:val="both"/>
        <w:rPr>
          <w:rFonts w:ascii="Palatino Linotype" w:eastAsia="Calibri" w:hAnsi="Palatino Linotype" w:cs="Tahoma"/>
          <w:color w:val="000000"/>
          <w:sz w:val="22"/>
          <w:szCs w:val="22"/>
          <w:lang w:eastAsia="es-MX"/>
        </w:rPr>
      </w:pPr>
    </w:p>
    <w:p w:rsidR="008756A5" w:rsidRPr="00AF6580" w:rsidRDefault="008756A5" w:rsidP="00073528">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AF6580">
        <w:rPr>
          <w:rFonts w:ascii="Palatino Linotype" w:eastAsia="Calibri" w:hAnsi="Palatino Linotype" w:cs="Tahoma"/>
          <w:color w:val="000000"/>
          <w:sz w:val="22"/>
          <w:szCs w:val="22"/>
          <w:lang w:eastAsia="es-MX"/>
        </w:rPr>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00F569C6" w:rsidRDefault="00F569C6" w:rsidP="00073528">
      <w:pPr>
        <w:spacing w:line="360" w:lineRule="auto"/>
        <w:jc w:val="both"/>
        <w:rPr>
          <w:rFonts w:ascii="Palatino Linotype" w:eastAsia="Calibri" w:hAnsi="Palatino Linotype" w:cs="Tahoma"/>
          <w:b/>
          <w:sz w:val="22"/>
          <w:szCs w:val="22"/>
          <w:lang w:eastAsia="es-ES_tradnl"/>
        </w:rPr>
      </w:pPr>
    </w:p>
    <w:p w:rsidR="00F569C6" w:rsidRPr="00F615CE" w:rsidRDefault="00F569C6" w:rsidP="00073528">
      <w:pPr>
        <w:spacing w:line="360" w:lineRule="auto"/>
        <w:jc w:val="both"/>
        <w:rPr>
          <w:rFonts w:ascii="Palatino Linotype" w:eastAsia="Calibri" w:hAnsi="Palatino Linotype" w:cs="Tahoma"/>
          <w:b/>
          <w:sz w:val="22"/>
          <w:szCs w:val="22"/>
          <w:lang w:eastAsia="es-ES_tradnl"/>
        </w:rPr>
      </w:pPr>
      <w:r w:rsidRPr="00F615CE">
        <w:rPr>
          <w:rFonts w:ascii="Palatino Linotype" w:eastAsia="Calibri" w:hAnsi="Palatino Linotype" w:cs="Tahoma"/>
          <w:b/>
          <w:sz w:val="22"/>
          <w:szCs w:val="22"/>
          <w:lang w:eastAsia="es-ES_tradnl"/>
        </w:rPr>
        <w:t>Causales de sobreseimiento.</w:t>
      </w:r>
    </w:p>
    <w:p w:rsidR="00F569C6" w:rsidRPr="00F615CE" w:rsidRDefault="00F569C6" w:rsidP="00073528">
      <w:pPr>
        <w:spacing w:line="360" w:lineRule="auto"/>
        <w:jc w:val="both"/>
        <w:rPr>
          <w:rFonts w:ascii="Palatino Linotype" w:eastAsia="Calibri" w:hAnsi="Palatino Linotype" w:cs="Tahoma"/>
          <w:sz w:val="22"/>
          <w:szCs w:val="22"/>
          <w:lang w:eastAsia="es-ES_tradnl"/>
        </w:rPr>
      </w:pPr>
    </w:p>
    <w:p w:rsidR="00F569C6" w:rsidRPr="00F615CE" w:rsidRDefault="00F569C6" w:rsidP="00073528">
      <w:pPr>
        <w:spacing w:line="360" w:lineRule="auto"/>
        <w:jc w:val="both"/>
        <w:rPr>
          <w:rFonts w:ascii="Palatino Linotype" w:hAnsi="Palatino Linotype" w:cs="Tahoma"/>
          <w:sz w:val="22"/>
          <w:szCs w:val="22"/>
        </w:rPr>
      </w:pPr>
      <w:r w:rsidRPr="00F615CE">
        <w:rPr>
          <w:rFonts w:ascii="Palatino Linotype" w:eastAsia="Calibri" w:hAnsi="Palatino Linotype" w:cs="Tahoma"/>
          <w:sz w:val="22"/>
          <w:szCs w:val="22"/>
          <w:lang w:eastAsia="es-ES_tradnl"/>
        </w:rPr>
        <w:t>Por lo que hace a las causales de sobreseimiento, del análisis realizado por este Instituto, se advierte que</w:t>
      </w:r>
      <w:r w:rsidRPr="00F615CE">
        <w:rPr>
          <w:rFonts w:ascii="Palatino Linotype" w:eastAsia="Calibri" w:hAnsi="Palatino Linotype" w:cs="Tahoma"/>
          <w:b/>
          <w:sz w:val="22"/>
          <w:szCs w:val="22"/>
          <w:lang w:eastAsia="es-ES_tradnl"/>
        </w:rPr>
        <w:t xml:space="preserve"> no se actualiza ninguna de las previstas por el artículo 192 de la Ley de Transparencia y Acceso a la Información Pública del Estado de México y Municipios; </w:t>
      </w:r>
      <w:r w:rsidRPr="00F615CE">
        <w:rPr>
          <w:rFonts w:ascii="Palatino Linotype" w:hAnsi="Palatino Linotype" w:cs="Tahoma"/>
          <w:sz w:val="22"/>
          <w:szCs w:val="22"/>
        </w:rPr>
        <w:t>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w:t>
      </w:r>
    </w:p>
    <w:p w:rsidR="00F569C6" w:rsidRPr="00F615CE" w:rsidRDefault="00F569C6" w:rsidP="00073528">
      <w:pPr>
        <w:spacing w:line="360" w:lineRule="auto"/>
        <w:jc w:val="both"/>
        <w:rPr>
          <w:rFonts w:ascii="Palatino Linotype" w:hAnsi="Palatino Linotype" w:cs="Tahoma"/>
          <w:sz w:val="22"/>
          <w:szCs w:val="22"/>
        </w:rPr>
      </w:pPr>
    </w:p>
    <w:p w:rsidR="00F569C6" w:rsidRPr="00F615CE" w:rsidRDefault="00F569C6" w:rsidP="00073528">
      <w:pPr>
        <w:spacing w:line="360" w:lineRule="auto"/>
        <w:jc w:val="both"/>
        <w:rPr>
          <w:rFonts w:ascii="Palatino Linotype" w:eastAsia="Calibri" w:hAnsi="Palatino Linotype" w:cs="Tahoma"/>
          <w:sz w:val="22"/>
          <w:szCs w:val="22"/>
          <w:lang w:eastAsia="es-ES_tradnl"/>
        </w:rPr>
      </w:pPr>
      <w:r w:rsidRPr="00F615CE">
        <w:rPr>
          <w:rFonts w:ascii="Palatino Linotype" w:eastAsia="Calibri" w:hAnsi="Palatino Linotype" w:cs="Tahoma"/>
          <w:bCs/>
          <w:sz w:val="22"/>
          <w:szCs w:val="22"/>
          <w:lang w:eastAsia="es-ES_tradnl"/>
        </w:rPr>
        <w:t xml:space="preserve">Por tales motivos, </w:t>
      </w:r>
      <w:r w:rsidRPr="00F615CE">
        <w:rPr>
          <w:rFonts w:ascii="Palatino Linotype" w:eastAsia="Calibri" w:hAnsi="Palatino Linotype" w:cs="Tahoma"/>
          <w:sz w:val="22"/>
          <w:szCs w:val="22"/>
          <w:lang w:eastAsia="es-ES_tradnl"/>
        </w:rPr>
        <w:t xml:space="preserve">se considera procedente entrar al fondo del presente asunto. </w:t>
      </w:r>
    </w:p>
    <w:p w:rsidR="00C02BC9" w:rsidRPr="00F615CE" w:rsidRDefault="00C02BC9" w:rsidP="00073528">
      <w:pPr>
        <w:autoSpaceDE w:val="0"/>
        <w:autoSpaceDN w:val="0"/>
        <w:adjustRightInd w:val="0"/>
        <w:spacing w:line="360" w:lineRule="auto"/>
        <w:jc w:val="both"/>
        <w:rPr>
          <w:rFonts w:ascii="Palatino Linotype" w:hAnsi="Palatino Linotype" w:cs="Tahoma"/>
          <w:sz w:val="22"/>
          <w:szCs w:val="22"/>
        </w:rPr>
      </w:pPr>
    </w:p>
    <w:p w:rsidR="00F00189" w:rsidRPr="00AD50F9" w:rsidRDefault="00F00189" w:rsidP="00073528">
      <w:pPr>
        <w:tabs>
          <w:tab w:val="left" w:pos="4962"/>
        </w:tabs>
        <w:spacing w:line="360" w:lineRule="auto"/>
        <w:jc w:val="both"/>
        <w:rPr>
          <w:rFonts w:ascii="Palatino Linotype" w:eastAsia="Calibri" w:hAnsi="Palatino Linotype" w:cs="Tahoma"/>
          <w:b/>
          <w:iCs/>
          <w:sz w:val="22"/>
          <w:szCs w:val="22"/>
          <w:lang w:val="es-ES" w:eastAsia="es-ES_tradnl"/>
        </w:rPr>
      </w:pPr>
      <w:r w:rsidRPr="00AD50F9">
        <w:rPr>
          <w:rFonts w:ascii="Palatino Linotype" w:eastAsia="Calibri" w:hAnsi="Palatino Linotype" w:cs="Tahoma"/>
          <w:b/>
          <w:iCs/>
          <w:sz w:val="22"/>
          <w:szCs w:val="22"/>
          <w:lang w:val="es-ES" w:eastAsia="es-ES_tradnl"/>
        </w:rPr>
        <w:t xml:space="preserve">TERCERO. Determinación de la Controversia. </w:t>
      </w:r>
    </w:p>
    <w:p w:rsidR="00F00189" w:rsidRPr="00AD50F9" w:rsidRDefault="00F00189" w:rsidP="00073528">
      <w:pPr>
        <w:tabs>
          <w:tab w:val="left" w:pos="4962"/>
        </w:tabs>
        <w:spacing w:line="360" w:lineRule="auto"/>
        <w:jc w:val="both"/>
        <w:rPr>
          <w:rFonts w:ascii="Palatino Linotype" w:eastAsia="Calibri" w:hAnsi="Palatino Linotype" w:cs="Tahoma"/>
          <w:b/>
          <w:iCs/>
          <w:sz w:val="22"/>
          <w:szCs w:val="22"/>
          <w:lang w:val="es-ES" w:eastAsia="es-ES_tradnl"/>
        </w:rPr>
      </w:pPr>
    </w:p>
    <w:p w:rsidR="00F00189" w:rsidRDefault="00F00189" w:rsidP="00073528">
      <w:pPr>
        <w:tabs>
          <w:tab w:val="left" w:pos="4962"/>
        </w:tabs>
        <w:spacing w:line="360" w:lineRule="auto"/>
        <w:jc w:val="both"/>
        <w:rPr>
          <w:rFonts w:ascii="Palatino Linotype" w:eastAsia="Calibri" w:hAnsi="Palatino Linotype" w:cs="Tahoma"/>
          <w:iCs/>
          <w:sz w:val="22"/>
          <w:szCs w:val="22"/>
          <w:lang w:val="es-ES" w:eastAsia="es-ES_tradnl"/>
        </w:rPr>
      </w:pPr>
      <w:r w:rsidRPr="00AD50F9">
        <w:rPr>
          <w:rFonts w:ascii="Palatino Linotype" w:eastAsia="Calibri" w:hAnsi="Palatino Linotype" w:cs="Tahoma"/>
          <w:iCs/>
          <w:sz w:val="22"/>
          <w:szCs w:val="22"/>
          <w:lang w:val="es-ES" w:eastAsia="es-ES_tradnl"/>
        </w:rPr>
        <w:lastRenderedPageBreak/>
        <w:t>Una vez realizado el estudio de las constancias que integran el expediente en que se actúa, se desprende lo siguiente:</w:t>
      </w:r>
    </w:p>
    <w:p w:rsidR="00F00189" w:rsidRPr="00AD50F9" w:rsidRDefault="00F00189" w:rsidP="00073528">
      <w:pPr>
        <w:tabs>
          <w:tab w:val="left" w:pos="4962"/>
        </w:tabs>
        <w:spacing w:line="360" w:lineRule="auto"/>
        <w:jc w:val="both"/>
        <w:rPr>
          <w:rFonts w:ascii="Palatino Linotype" w:eastAsia="Calibri" w:hAnsi="Palatino Linotype" w:cs="Tahoma"/>
          <w:iCs/>
          <w:sz w:val="22"/>
          <w:szCs w:val="22"/>
          <w:lang w:val="es-ES" w:eastAsia="es-ES_tradnl"/>
        </w:rPr>
      </w:pPr>
    </w:p>
    <w:p w:rsidR="00300024" w:rsidRDefault="00F00189" w:rsidP="00073528">
      <w:pPr>
        <w:spacing w:line="360" w:lineRule="auto"/>
        <w:jc w:val="both"/>
        <w:rPr>
          <w:rFonts w:ascii="Palatino Linotype" w:eastAsia="Calibri" w:hAnsi="Palatino Linotype" w:cs="Tahoma"/>
          <w:iCs/>
          <w:sz w:val="22"/>
          <w:szCs w:val="22"/>
          <w:lang w:val="es-ES" w:eastAsia="es-ES_tradnl"/>
        </w:rPr>
      </w:pPr>
      <w:r w:rsidRPr="0056453B">
        <w:rPr>
          <w:rFonts w:ascii="Palatino Linotype" w:eastAsia="Calibri" w:hAnsi="Palatino Linotype" w:cs="Tahoma"/>
          <w:iCs/>
          <w:sz w:val="22"/>
          <w:szCs w:val="22"/>
          <w:lang w:val="es-ES" w:eastAsia="es-ES_tradnl"/>
        </w:rPr>
        <w:t>El Particular, solicitó</w:t>
      </w:r>
      <w:r w:rsidR="00300024">
        <w:rPr>
          <w:rFonts w:ascii="Palatino Linotype" w:eastAsia="Calibri" w:hAnsi="Palatino Linotype" w:cs="Tahoma"/>
          <w:iCs/>
          <w:sz w:val="22"/>
          <w:szCs w:val="22"/>
          <w:lang w:val="es-ES" w:eastAsia="es-ES_tradnl"/>
        </w:rPr>
        <w:t xml:space="preserve"> al </w:t>
      </w:r>
      <w:r w:rsidR="00341EED">
        <w:rPr>
          <w:rFonts w:ascii="Palatino Linotype" w:eastAsia="Calibri" w:hAnsi="Palatino Linotype" w:cs="Tahoma"/>
          <w:iCs/>
          <w:sz w:val="22"/>
          <w:szCs w:val="22"/>
          <w:lang w:val="es-ES" w:eastAsia="es-ES_tradnl"/>
        </w:rPr>
        <w:t xml:space="preserve">Ayuntamiento de Tonanitla </w:t>
      </w:r>
      <w:r w:rsidR="00341EED" w:rsidRPr="00341EED">
        <w:rPr>
          <w:rFonts w:ascii="Palatino Linotype" w:eastAsia="Calibri" w:hAnsi="Palatino Linotype" w:cs="Tahoma"/>
          <w:iCs/>
          <w:sz w:val="22"/>
          <w:szCs w:val="22"/>
          <w:lang w:val="es-ES" w:eastAsia="es-ES_tradnl"/>
        </w:rPr>
        <w:t>la información contenida en los discos uno, dos, tres y cuatro de los informes mensuales de enero, febrero</w:t>
      </w:r>
      <w:r w:rsidR="006C4967">
        <w:rPr>
          <w:rFonts w:ascii="Palatino Linotype" w:eastAsia="Calibri" w:hAnsi="Palatino Linotype" w:cs="Tahoma"/>
          <w:iCs/>
          <w:sz w:val="22"/>
          <w:szCs w:val="22"/>
          <w:lang w:val="es-ES" w:eastAsia="es-ES_tradnl"/>
        </w:rPr>
        <w:t>, marzo,</w:t>
      </w:r>
      <w:r w:rsidR="00341EED" w:rsidRPr="00341EED">
        <w:rPr>
          <w:rFonts w:ascii="Palatino Linotype" w:eastAsia="Calibri" w:hAnsi="Palatino Linotype" w:cs="Tahoma"/>
          <w:iCs/>
          <w:sz w:val="22"/>
          <w:szCs w:val="22"/>
          <w:lang w:val="es-ES" w:eastAsia="es-ES_tradnl"/>
        </w:rPr>
        <w:t xml:space="preserve"> abril </w:t>
      </w:r>
      <w:r w:rsidR="006C4967">
        <w:rPr>
          <w:rFonts w:ascii="Palatino Linotype" w:eastAsia="Calibri" w:hAnsi="Palatino Linotype" w:cs="Tahoma"/>
          <w:iCs/>
          <w:sz w:val="22"/>
          <w:szCs w:val="22"/>
          <w:lang w:val="es-ES" w:eastAsia="es-ES_tradnl"/>
        </w:rPr>
        <w:t xml:space="preserve">y </w:t>
      </w:r>
      <w:r w:rsidR="00341EED" w:rsidRPr="00341EED">
        <w:rPr>
          <w:rFonts w:ascii="Palatino Linotype" w:eastAsia="Calibri" w:hAnsi="Palatino Linotype" w:cs="Tahoma"/>
          <w:iCs/>
          <w:sz w:val="22"/>
          <w:szCs w:val="22"/>
          <w:lang w:val="es-ES" w:eastAsia="es-ES_tradnl"/>
        </w:rPr>
        <w:t xml:space="preserve">mayo de </w:t>
      </w:r>
      <w:r w:rsidR="006C4967">
        <w:rPr>
          <w:rFonts w:ascii="Palatino Linotype" w:eastAsia="Calibri" w:hAnsi="Palatino Linotype" w:cs="Tahoma"/>
          <w:iCs/>
          <w:sz w:val="22"/>
          <w:szCs w:val="22"/>
          <w:lang w:val="es-ES" w:eastAsia="es-ES_tradnl"/>
        </w:rPr>
        <w:t xml:space="preserve">dos mil diecinueve </w:t>
      </w:r>
      <w:r w:rsidR="00341EED" w:rsidRPr="00341EED">
        <w:rPr>
          <w:rFonts w:ascii="Palatino Linotype" w:eastAsia="Calibri" w:hAnsi="Palatino Linotype" w:cs="Tahoma"/>
          <w:iCs/>
          <w:sz w:val="22"/>
          <w:szCs w:val="22"/>
          <w:lang w:val="es-ES" w:eastAsia="es-ES_tradnl"/>
        </w:rPr>
        <w:t>en base a los lineamientos para la integració</w:t>
      </w:r>
      <w:r w:rsidR="006C4967">
        <w:rPr>
          <w:rFonts w:ascii="Palatino Linotype" w:eastAsia="Calibri" w:hAnsi="Palatino Linotype" w:cs="Tahoma"/>
          <w:iCs/>
          <w:sz w:val="22"/>
          <w:szCs w:val="22"/>
          <w:lang w:val="es-ES" w:eastAsia="es-ES_tradnl"/>
        </w:rPr>
        <w:t>n del informe mensual del OSFEM</w:t>
      </w:r>
    </w:p>
    <w:p w:rsidR="00300024" w:rsidRDefault="00300024" w:rsidP="00073528">
      <w:pPr>
        <w:spacing w:line="360" w:lineRule="auto"/>
        <w:jc w:val="both"/>
        <w:rPr>
          <w:rFonts w:ascii="Palatino Linotype" w:eastAsia="Calibri" w:hAnsi="Palatino Linotype" w:cs="Tahoma"/>
          <w:iCs/>
          <w:sz w:val="22"/>
          <w:szCs w:val="22"/>
          <w:lang w:val="es-ES" w:eastAsia="es-ES_tradnl"/>
        </w:rPr>
      </w:pPr>
    </w:p>
    <w:p w:rsidR="00F00189" w:rsidRPr="001E0D8F" w:rsidRDefault="00F00189" w:rsidP="00073528">
      <w:pPr>
        <w:tabs>
          <w:tab w:val="left" w:pos="4962"/>
        </w:tabs>
        <w:spacing w:line="360" w:lineRule="auto"/>
        <w:jc w:val="both"/>
        <w:rPr>
          <w:rFonts w:ascii="Palatino Linotype" w:eastAsia="Calibri" w:hAnsi="Palatino Linotype" w:cs="Tahoma"/>
          <w:iCs/>
          <w:sz w:val="22"/>
          <w:szCs w:val="22"/>
          <w:lang w:eastAsia="es-ES_tradnl"/>
        </w:rPr>
      </w:pPr>
      <w:r w:rsidRPr="001E0D8F">
        <w:rPr>
          <w:rFonts w:ascii="Palatino Linotype" w:eastAsia="Calibri" w:hAnsi="Palatino Linotype" w:cs="Tahoma"/>
          <w:iCs/>
          <w:sz w:val="22"/>
          <w:szCs w:val="22"/>
          <w:lang w:eastAsia="es-ES_tradnl"/>
        </w:rPr>
        <w:t xml:space="preserve">Concluido el plazo para otorgar respuesta, el Sujeto Obligado fue omiso en atender la solicitud de acceso a la información pública que nos ocupa; razón por la cual, el Particular presentó un Recurso de Revisión ante este Instituto, en el que manifestó como agravio la falta de respuesta del Sujeto Obligado a la solicitud de acceso a la información con número de folio </w:t>
      </w:r>
      <w:r w:rsidR="006C4967" w:rsidRPr="006C4967">
        <w:rPr>
          <w:rFonts w:ascii="Palatino Linotype" w:hAnsi="Palatino Linotype"/>
          <w:b/>
          <w:bCs/>
          <w:sz w:val="22"/>
        </w:rPr>
        <w:t>00046/TONANI/IP/2019</w:t>
      </w:r>
      <w:r w:rsidRPr="001E0D8F">
        <w:rPr>
          <w:rFonts w:ascii="Palatino Linotype" w:eastAsia="Calibri" w:hAnsi="Palatino Linotype" w:cs="Tahoma"/>
          <w:iCs/>
          <w:sz w:val="22"/>
          <w:szCs w:val="22"/>
          <w:lang w:eastAsia="es-ES_tradnl"/>
        </w:rPr>
        <w:t>, dentro de los plazos previstos por la Ley de Transparencia y Acceso a la Información Pública del Estado de México y Municipios.</w:t>
      </w:r>
    </w:p>
    <w:p w:rsidR="00F00189" w:rsidRPr="001E0D8F" w:rsidRDefault="00F00189" w:rsidP="00073528">
      <w:pPr>
        <w:tabs>
          <w:tab w:val="left" w:pos="4962"/>
        </w:tabs>
        <w:spacing w:line="360" w:lineRule="auto"/>
        <w:jc w:val="both"/>
        <w:rPr>
          <w:rFonts w:ascii="Palatino Linotype" w:eastAsia="Calibri" w:hAnsi="Palatino Linotype" w:cs="Tahoma"/>
          <w:b/>
          <w:iCs/>
          <w:sz w:val="22"/>
          <w:szCs w:val="22"/>
          <w:lang w:eastAsia="es-ES_tradnl"/>
        </w:rPr>
      </w:pPr>
    </w:p>
    <w:p w:rsidR="00F00189" w:rsidRDefault="00F00189" w:rsidP="00073528">
      <w:pPr>
        <w:tabs>
          <w:tab w:val="left" w:pos="4962"/>
        </w:tabs>
        <w:spacing w:line="360" w:lineRule="auto"/>
        <w:jc w:val="both"/>
        <w:rPr>
          <w:rFonts w:ascii="Palatino Linotype" w:eastAsia="Calibri" w:hAnsi="Palatino Linotype" w:cs="Tahoma"/>
          <w:iCs/>
          <w:sz w:val="22"/>
          <w:szCs w:val="22"/>
          <w:lang w:eastAsia="es-ES_tradnl"/>
        </w:rPr>
      </w:pPr>
      <w:r w:rsidRPr="001E0D8F">
        <w:rPr>
          <w:rFonts w:ascii="Palatino Linotype" w:eastAsia="Calibri" w:hAnsi="Palatino Linotype" w:cs="Tahoma"/>
          <w:iCs/>
          <w:sz w:val="22"/>
          <w:szCs w:val="22"/>
          <w:lang w:eastAsia="es-ES_tradnl"/>
        </w:rP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rsidR="00F00189" w:rsidRDefault="00F00189" w:rsidP="00073528">
      <w:pPr>
        <w:tabs>
          <w:tab w:val="left" w:pos="4962"/>
        </w:tabs>
        <w:spacing w:line="360" w:lineRule="auto"/>
        <w:jc w:val="both"/>
        <w:rPr>
          <w:rFonts w:ascii="Palatino Linotype" w:eastAsia="Calibri" w:hAnsi="Palatino Linotype" w:cs="Tahoma"/>
          <w:iCs/>
          <w:sz w:val="22"/>
          <w:szCs w:val="22"/>
          <w:lang w:eastAsia="es-ES_tradnl"/>
        </w:rPr>
      </w:pPr>
    </w:p>
    <w:p w:rsidR="00F00189" w:rsidRPr="00AD50F9" w:rsidRDefault="00F00189" w:rsidP="00073528">
      <w:pPr>
        <w:spacing w:line="360" w:lineRule="auto"/>
        <w:ind w:right="-93"/>
        <w:jc w:val="both"/>
        <w:rPr>
          <w:rFonts w:ascii="Palatino Linotype" w:hAnsi="Palatino Linotype" w:cs="Tahoma"/>
          <w:b/>
          <w:sz w:val="22"/>
          <w:szCs w:val="22"/>
        </w:rPr>
      </w:pPr>
      <w:r w:rsidRPr="00AD50F9">
        <w:rPr>
          <w:rFonts w:ascii="Palatino Linotype" w:hAnsi="Palatino Linotype" w:cs="Tahoma"/>
          <w:b/>
          <w:sz w:val="22"/>
          <w:szCs w:val="22"/>
          <w:lang w:val="es-ES"/>
        </w:rPr>
        <w:t xml:space="preserve">CUARTO. </w:t>
      </w:r>
      <w:r w:rsidRPr="00AD50F9">
        <w:rPr>
          <w:rFonts w:ascii="Palatino Linotype" w:hAnsi="Palatino Linotype" w:cs="Tahoma"/>
          <w:b/>
          <w:sz w:val="22"/>
          <w:szCs w:val="22"/>
        </w:rPr>
        <w:t>Marco normativo aplicable en materia de transparencia y acceso a la información pública.</w:t>
      </w:r>
    </w:p>
    <w:p w:rsidR="00F00189" w:rsidRDefault="00F00189" w:rsidP="00073528">
      <w:pPr>
        <w:spacing w:line="360" w:lineRule="auto"/>
        <w:contextualSpacing/>
        <w:jc w:val="both"/>
        <w:rPr>
          <w:rFonts w:ascii="Palatino Linotype" w:hAnsi="Palatino Linotype" w:cs="Tahoma"/>
          <w:sz w:val="22"/>
          <w:szCs w:val="22"/>
        </w:rPr>
      </w:pPr>
    </w:p>
    <w:p w:rsidR="00F00189" w:rsidRPr="00AD50F9" w:rsidRDefault="00F00189" w:rsidP="00073528">
      <w:pPr>
        <w:widowControl w:val="0"/>
        <w:spacing w:line="360" w:lineRule="auto"/>
        <w:contextualSpacing/>
        <w:jc w:val="both"/>
        <w:rPr>
          <w:rFonts w:ascii="Palatino Linotype" w:hAnsi="Palatino Linotype" w:cs="Tahoma"/>
          <w:sz w:val="22"/>
          <w:szCs w:val="22"/>
        </w:rPr>
      </w:pPr>
      <w:r w:rsidRPr="00AD50F9">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F00189" w:rsidRPr="00AD50F9" w:rsidRDefault="00F00189" w:rsidP="00073528">
      <w:pPr>
        <w:spacing w:line="360" w:lineRule="auto"/>
        <w:contextualSpacing/>
        <w:jc w:val="both"/>
        <w:rPr>
          <w:rFonts w:ascii="Palatino Linotype" w:hAnsi="Palatino Linotype" w:cs="Tahoma"/>
          <w:sz w:val="22"/>
          <w:szCs w:val="22"/>
        </w:rPr>
      </w:pPr>
    </w:p>
    <w:p w:rsidR="00F00189" w:rsidRPr="00AD50F9" w:rsidRDefault="00F00189" w:rsidP="00073528">
      <w:pPr>
        <w:spacing w:line="360" w:lineRule="auto"/>
        <w:jc w:val="both"/>
        <w:rPr>
          <w:rFonts w:ascii="Palatino Linotype" w:hAnsi="Palatino Linotype" w:cs="Tahoma"/>
          <w:sz w:val="22"/>
          <w:szCs w:val="22"/>
        </w:rPr>
      </w:pPr>
      <w:r w:rsidRPr="00AD50F9">
        <w:rPr>
          <w:rFonts w:ascii="Palatino Linotype" w:hAnsi="Palatino Linotype" w:cs="Tahoma"/>
          <w:sz w:val="22"/>
          <w:szCs w:val="22"/>
        </w:rPr>
        <w:lastRenderedPageBreak/>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00F00189" w:rsidRPr="00AD50F9" w:rsidRDefault="00F00189" w:rsidP="00073528">
      <w:pPr>
        <w:spacing w:line="360" w:lineRule="auto"/>
        <w:jc w:val="both"/>
        <w:rPr>
          <w:rFonts w:ascii="Palatino Linotype" w:hAnsi="Palatino Linotype" w:cs="Tahoma"/>
          <w:sz w:val="22"/>
          <w:szCs w:val="22"/>
        </w:rPr>
      </w:pPr>
    </w:p>
    <w:p w:rsidR="00F00189" w:rsidRPr="00AD50F9" w:rsidRDefault="00F00189" w:rsidP="00073528">
      <w:pPr>
        <w:spacing w:line="360" w:lineRule="auto"/>
        <w:jc w:val="both"/>
        <w:rPr>
          <w:rFonts w:ascii="Palatino Linotype" w:hAnsi="Palatino Linotype" w:cs="Tahoma"/>
          <w:sz w:val="22"/>
          <w:szCs w:val="22"/>
        </w:rPr>
      </w:pPr>
      <w:r w:rsidRPr="00AD50F9">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00F00189" w:rsidRPr="00AD50F9" w:rsidRDefault="00F00189" w:rsidP="00073528">
      <w:pPr>
        <w:spacing w:line="360" w:lineRule="auto"/>
        <w:jc w:val="both"/>
        <w:rPr>
          <w:rFonts w:ascii="Palatino Linotype" w:hAnsi="Palatino Linotype" w:cs="Tahoma"/>
          <w:sz w:val="22"/>
          <w:szCs w:val="22"/>
        </w:rPr>
      </w:pPr>
    </w:p>
    <w:p w:rsidR="00F00189" w:rsidRPr="00AD50F9" w:rsidRDefault="00F00189" w:rsidP="00073528">
      <w:pPr>
        <w:spacing w:line="360" w:lineRule="auto"/>
        <w:jc w:val="both"/>
        <w:rPr>
          <w:rFonts w:ascii="Palatino Linotype" w:hAnsi="Palatino Linotype" w:cs="Tahoma"/>
          <w:sz w:val="22"/>
          <w:szCs w:val="22"/>
        </w:rPr>
      </w:pPr>
      <w:r>
        <w:rPr>
          <w:rFonts w:ascii="Palatino Linotype" w:hAnsi="Palatino Linotype" w:cs="Tahoma"/>
          <w:sz w:val="22"/>
          <w:szCs w:val="22"/>
        </w:rPr>
        <w:t>E</w:t>
      </w:r>
      <w:r w:rsidRPr="00AD50F9">
        <w:rPr>
          <w:rFonts w:ascii="Palatino Linotype" w:hAnsi="Palatino Linotype" w:cs="Tahoma"/>
          <w:sz w:val="22"/>
          <w:szCs w:val="22"/>
        </w:rPr>
        <w:t>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F00189" w:rsidRPr="00AD50F9" w:rsidRDefault="00F00189" w:rsidP="00073528">
      <w:pPr>
        <w:spacing w:line="360" w:lineRule="auto"/>
        <w:jc w:val="both"/>
        <w:rPr>
          <w:rFonts w:ascii="Palatino Linotype" w:hAnsi="Palatino Linotype" w:cs="Tahoma"/>
          <w:sz w:val="22"/>
          <w:szCs w:val="22"/>
        </w:rPr>
      </w:pPr>
    </w:p>
    <w:p w:rsidR="00F00189" w:rsidRPr="00AD50F9" w:rsidRDefault="00F00189" w:rsidP="00073528">
      <w:pPr>
        <w:spacing w:line="360" w:lineRule="auto"/>
        <w:jc w:val="both"/>
        <w:rPr>
          <w:rFonts w:ascii="Palatino Linotype" w:hAnsi="Palatino Linotype" w:cs="Tahoma"/>
          <w:sz w:val="22"/>
          <w:szCs w:val="22"/>
        </w:rPr>
      </w:pPr>
      <w:r w:rsidRPr="00AD50F9">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rsidR="00F00189" w:rsidRPr="00AD50F9" w:rsidRDefault="00F00189" w:rsidP="00073528">
      <w:pPr>
        <w:spacing w:line="360" w:lineRule="auto"/>
        <w:jc w:val="both"/>
        <w:rPr>
          <w:rFonts w:ascii="Palatino Linotype" w:hAnsi="Palatino Linotype" w:cs="Tahoma"/>
          <w:sz w:val="22"/>
          <w:szCs w:val="22"/>
        </w:rPr>
      </w:pPr>
    </w:p>
    <w:p w:rsidR="00F00189" w:rsidRPr="00AD50F9" w:rsidRDefault="00F00189" w:rsidP="00073528">
      <w:pPr>
        <w:spacing w:line="360" w:lineRule="auto"/>
        <w:jc w:val="both"/>
        <w:rPr>
          <w:rFonts w:ascii="Palatino Linotype" w:hAnsi="Palatino Linotype" w:cs="Tahoma"/>
          <w:sz w:val="22"/>
          <w:szCs w:val="22"/>
        </w:rPr>
      </w:pPr>
      <w:r w:rsidRPr="00AD50F9">
        <w:rPr>
          <w:rFonts w:ascii="Palatino Linotype" w:hAnsi="Palatino Linotype" w:cs="Tahoma"/>
          <w:sz w:val="22"/>
          <w:szCs w:val="22"/>
        </w:rPr>
        <w:t>El artículo 12, que, quienes generen, recopilen, administren, manejen, procesen, archiven o conserven información pública serán responsables de la misma.</w:t>
      </w:r>
    </w:p>
    <w:p w:rsidR="00F00189" w:rsidRPr="00AD50F9" w:rsidRDefault="00F00189" w:rsidP="00073528">
      <w:pPr>
        <w:spacing w:line="360" w:lineRule="auto"/>
        <w:jc w:val="both"/>
        <w:rPr>
          <w:rFonts w:ascii="Palatino Linotype" w:hAnsi="Palatino Linotype" w:cs="Tahoma"/>
          <w:sz w:val="22"/>
          <w:szCs w:val="22"/>
        </w:rPr>
      </w:pPr>
    </w:p>
    <w:p w:rsidR="00F00189" w:rsidRPr="00AD50F9" w:rsidRDefault="00F00189" w:rsidP="00073528">
      <w:pPr>
        <w:spacing w:line="360" w:lineRule="auto"/>
        <w:jc w:val="both"/>
        <w:rPr>
          <w:rFonts w:ascii="Palatino Linotype" w:hAnsi="Palatino Linotype" w:cs="Tahoma"/>
          <w:sz w:val="22"/>
          <w:szCs w:val="22"/>
        </w:rPr>
      </w:pPr>
      <w:r w:rsidRPr="00AD50F9">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00F00189" w:rsidRDefault="00F00189" w:rsidP="00073528">
      <w:pPr>
        <w:spacing w:line="360" w:lineRule="auto"/>
        <w:jc w:val="both"/>
        <w:rPr>
          <w:rFonts w:ascii="Palatino Linotype" w:hAnsi="Palatino Linotype" w:cs="Tahoma"/>
          <w:sz w:val="22"/>
          <w:szCs w:val="22"/>
        </w:rPr>
      </w:pPr>
      <w:r w:rsidRPr="00AD50F9">
        <w:rPr>
          <w:rFonts w:ascii="Palatino Linotype" w:hAnsi="Palatino Linotype" w:cs="Tahoma"/>
          <w:sz w:val="22"/>
          <w:szCs w:val="22"/>
        </w:rPr>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F00189" w:rsidRDefault="00F00189" w:rsidP="00073528">
      <w:pPr>
        <w:spacing w:line="360" w:lineRule="auto"/>
        <w:jc w:val="both"/>
        <w:rPr>
          <w:rFonts w:ascii="Palatino Linotype" w:hAnsi="Palatino Linotype" w:cs="Tahoma"/>
          <w:sz w:val="22"/>
          <w:szCs w:val="22"/>
        </w:rPr>
      </w:pPr>
    </w:p>
    <w:p w:rsidR="00F00189" w:rsidRPr="00AD50F9" w:rsidRDefault="00F00189" w:rsidP="00073528">
      <w:pPr>
        <w:spacing w:line="360" w:lineRule="auto"/>
        <w:ind w:right="-93"/>
        <w:jc w:val="both"/>
        <w:rPr>
          <w:rFonts w:ascii="Palatino Linotype" w:hAnsi="Palatino Linotype" w:cs="Tahoma"/>
          <w:b/>
          <w:sz w:val="22"/>
          <w:szCs w:val="22"/>
          <w:lang w:val="es-ES"/>
        </w:rPr>
      </w:pPr>
      <w:r w:rsidRPr="00AD50F9">
        <w:rPr>
          <w:rFonts w:ascii="Palatino Linotype" w:hAnsi="Palatino Linotype" w:cs="Tahoma"/>
          <w:b/>
          <w:sz w:val="22"/>
          <w:szCs w:val="22"/>
          <w:lang w:val="es-ES"/>
        </w:rPr>
        <w:t>QUINTO. Estudio de Fondo.</w:t>
      </w:r>
    </w:p>
    <w:p w:rsidR="00F00189" w:rsidRPr="00AD50F9" w:rsidRDefault="00F00189" w:rsidP="00073528">
      <w:pPr>
        <w:spacing w:line="360" w:lineRule="auto"/>
        <w:ind w:right="-93"/>
        <w:jc w:val="both"/>
        <w:rPr>
          <w:rFonts w:ascii="Palatino Linotype" w:hAnsi="Palatino Linotype" w:cs="Tahoma"/>
          <w:sz w:val="22"/>
          <w:szCs w:val="22"/>
          <w:lang w:val="es-ES"/>
        </w:rPr>
      </w:pPr>
    </w:p>
    <w:p w:rsidR="00F00189" w:rsidRPr="001E0D8F" w:rsidRDefault="00F00189" w:rsidP="00CF1E13">
      <w:pPr>
        <w:spacing w:line="360" w:lineRule="auto"/>
        <w:jc w:val="both"/>
        <w:rPr>
          <w:rFonts w:ascii="Palatino Linotype" w:eastAsia="Calibri" w:hAnsi="Palatino Linotype" w:cs="Tahoma"/>
          <w:bCs/>
          <w:sz w:val="22"/>
          <w:szCs w:val="22"/>
          <w:lang w:eastAsia="en-US"/>
        </w:rPr>
      </w:pPr>
      <w:r w:rsidRPr="00AD50F9">
        <w:rPr>
          <w:rFonts w:ascii="Palatino Linotype" w:eastAsia="Calibri" w:hAnsi="Palatino Linotype" w:cs="Tahoma"/>
          <w:bCs/>
          <w:sz w:val="22"/>
          <w:szCs w:val="22"/>
          <w:lang w:eastAsia="en-US"/>
        </w:rPr>
        <w:t>Expuestas las posturas de las partes, se procede al anális</w:t>
      </w:r>
      <w:r>
        <w:rPr>
          <w:rFonts w:ascii="Palatino Linotype" w:eastAsia="Calibri" w:hAnsi="Palatino Linotype" w:cs="Tahoma"/>
          <w:bCs/>
          <w:sz w:val="22"/>
          <w:szCs w:val="22"/>
          <w:lang w:eastAsia="en-US"/>
        </w:rPr>
        <w:t>is del agravio hecho valer por el</w:t>
      </w:r>
      <w:r w:rsidRPr="00AD50F9">
        <w:rPr>
          <w:rFonts w:ascii="Palatino Linotype" w:eastAsia="Calibri" w:hAnsi="Palatino Linotype" w:cs="Tahoma"/>
          <w:bCs/>
          <w:sz w:val="22"/>
          <w:szCs w:val="22"/>
          <w:lang w:eastAsia="en-US"/>
        </w:rPr>
        <w:t xml:space="preserve"> ahora Recurrente, concerniente </w:t>
      </w:r>
      <w:r>
        <w:rPr>
          <w:rFonts w:ascii="Palatino Linotype" w:eastAsia="Calibri" w:hAnsi="Palatino Linotype" w:cs="Tahoma"/>
          <w:bCs/>
          <w:sz w:val="22"/>
          <w:szCs w:val="22"/>
          <w:lang w:eastAsia="en-US"/>
        </w:rPr>
        <w:t>a la falta de respuesta del Sujeto Obligado</w:t>
      </w:r>
      <w:r w:rsidR="00CF1E13">
        <w:rPr>
          <w:rFonts w:ascii="Palatino Linotype" w:eastAsia="Calibri" w:hAnsi="Palatino Linotype" w:cs="Tahoma"/>
          <w:bCs/>
          <w:sz w:val="22"/>
          <w:szCs w:val="22"/>
          <w:lang w:eastAsia="en-US"/>
        </w:rPr>
        <w:t>, e</w:t>
      </w:r>
      <w:r w:rsidRPr="001E0D8F">
        <w:rPr>
          <w:rFonts w:ascii="Palatino Linotype" w:eastAsia="Calibri" w:hAnsi="Palatino Linotype" w:cs="Tahoma"/>
          <w:bCs/>
          <w:sz w:val="22"/>
          <w:szCs w:val="22"/>
          <w:lang w:eastAsia="en-US"/>
        </w:rPr>
        <w:t>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rsidR="00F00189" w:rsidRPr="001E0D8F" w:rsidRDefault="00F00189" w:rsidP="00073528">
      <w:pPr>
        <w:spacing w:line="360" w:lineRule="auto"/>
        <w:ind w:right="-93"/>
        <w:jc w:val="both"/>
        <w:rPr>
          <w:rFonts w:ascii="Palatino Linotype" w:eastAsia="Calibri" w:hAnsi="Palatino Linotype" w:cs="Tahoma"/>
          <w:bCs/>
          <w:sz w:val="22"/>
          <w:szCs w:val="22"/>
          <w:lang w:eastAsia="en-US"/>
        </w:rPr>
      </w:pPr>
    </w:p>
    <w:p w:rsidR="00F00189" w:rsidRPr="001E0D8F" w:rsidRDefault="00F00189" w:rsidP="00073528">
      <w:pPr>
        <w:pStyle w:val="Prrafodelista"/>
        <w:numPr>
          <w:ilvl w:val="0"/>
          <w:numId w:val="17"/>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rsidR="00F00189" w:rsidRPr="001E0D8F" w:rsidRDefault="00F00189" w:rsidP="00073528">
      <w:pPr>
        <w:spacing w:line="360" w:lineRule="auto"/>
        <w:ind w:left="360" w:right="-93"/>
        <w:jc w:val="both"/>
        <w:rPr>
          <w:rFonts w:ascii="Palatino Linotype" w:eastAsia="Calibri" w:hAnsi="Palatino Linotype" w:cs="Tahoma"/>
          <w:bCs/>
          <w:sz w:val="22"/>
          <w:szCs w:val="22"/>
          <w:lang w:eastAsia="en-US"/>
        </w:rPr>
      </w:pPr>
    </w:p>
    <w:p w:rsidR="00F00189" w:rsidRPr="001E0D8F" w:rsidRDefault="00F00189" w:rsidP="00073528">
      <w:pPr>
        <w:pStyle w:val="Prrafodelista"/>
        <w:numPr>
          <w:ilvl w:val="0"/>
          <w:numId w:val="17"/>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Transparentar la gestión pública, mediante la difusión de la información generada por los Sujetos Obligados, y</w:t>
      </w:r>
    </w:p>
    <w:p w:rsidR="00F00189" w:rsidRPr="001E0D8F" w:rsidRDefault="00F00189" w:rsidP="00073528">
      <w:pPr>
        <w:pStyle w:val="Prrafodelista"/>
        <w:spacing w:line="360" w:lineRule="auto"/>
        <w:rPr>
          <w:rFonts w:ascii="Palatino Linotype" w:eastAsia="Calibri" w:hAnsi="Palatino Linotype" w:cs="Tahoma"/>
          <w:bCs/>
          <w:szCs w:val="22"/>
          <w:lang w:eastAsia="en-US"/>
        </w:rPr>
      </w:pPr>
    </w:p>
    <w:p w:rsidR="00F00189" w:rsidRPr="001E0D8F" w:rsidRDefault="00F00189" w:rsidP="00073528">
      <w:pPr>
        <w:pStyle w:val="Prrafodelista"/>
        <w:numPr>
          <w:ilvl w:val="0"/>
          <w:numId w:val="17"/>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rsidR="00F00189" w:rsidRPr="001E0D8F" w:rsidRDefault="00F00189" w:rsidP="00073528">
      <w:pPr>
        <w:spacing w:line="360" w:lineRule="auto"/>
        <w:ind w:right="-93"/>
        <w:jc w:val="both"/>
        <w:rPr>
          <w:rFonts w:ascii="Palatino Linotype" w:eastAsia="Calibri" w:hAnsi="Palatino Linotype" w:cs="Tahoma"/>
          <w:bCs/>
          <w:sz w:val="22"/>
          <w:szCs w:val="22"/>
          <w:lang w:eastAsia="en-US"/>
        </w:rPr>
      </w:pPr>
    </w:p>
    <w:p w:rsidR="00F00189" w:rsidRPr="001E0D8F" w:rsidRDefault="00F00189" w:rsidP="00073528">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 xml:space="preserve">Conforme a lo anterior, se deprende que </w:t>
      </w:r>
      <w:r w:rsidRPr="001E0D8F">
        <w:rPr>
          <w:rFonts w:ascii="Palatino Linotype" w:eastAsia="Calibri" w:hAnsi="Palatino Linotype" w:cs="Tahoma"/>
          <w:b/>
          <w:bCs/>
          <w:sz w:val="22"/>
          <w:szCs w:val="22"/>
          <w:lang w:eastAsia="en-US"/>
        </w:rPr>
        <w:t>los objetivos de la Ley de la materia,</w:t>
      </w:r>
      <w:r w:rsidRPr="001E0D8F">
        <w:rPr>
          <w:rFonts w:ascii="Palatino Linotype" w:eastAsia="Calibri" w:hAnsi="Palatino Linotype" w:cs="Tahoma"/>
          <w:bCs/>
          <w:sz w:val="22"/>
          <w:szCs w:val="22"/>
          <w:lang w:eastAsia="en-US"/>
        </w:rPr>
        <w:t xml:space="preserve"> son establecer las bases que regirán las formas para garantizar el derecho de acceso a la información, mediante </w:t>
      </w:r>
      <w:r w:rsidRPr="001E0D8F">
        <w:rPr>
          <w:rFonts w:ascii="Palatino Linotype" w:eastAsia="Calibri" w:hAnsi="Palatino Linotype" w:cs="Tahoma"/>
          <w:bCs/>
          <w:sz w:val="22"/>
          <w:szCs w:val="22"/>
          <w:lang w:eastAsia="en-US"/>
        </w:rPr>
        <w:lastRenderedPageBreak/>
        <w:t>procesos sencillos y expeditos, la promoción, foment</w:t>
      </w:r>
      <w:r>
        <w:rPr>
          <w:rFonts w:ascii="Palatino Linotype" w:eastAsia="Calibri" w:hAnsi="Palatino Linotype" w:cs="Tahoma"/>
          <w:bCs/>
          <w:sz w:val="22"/>
          <w:szCs w:val="22"/>
          <w:lang w:eastAsia="en-US"/>
        </w:rPr>
        <w:t>o</w:t>
      </w:r>
      <w:r w:rsidRPr="001E0D8F">
        <w:rPr>
          <w:rFonts w:ascii="Palatino Linotype" w:eastAsia="Calibri" w:hAnsi="Palatino Linotype" w:cs="Tahoma"/>
          <w:bCs/>
          <w:sz w:val="22"/>
          <w:szCs w:val="22"/>
          <w:lang w:eastAsia="en-US"/>
        </w:rPr>
        <w:t xml:space="preserve"> y difusión de la cultura de transparencia y la rendición de cuentas, a través de establecimiento de políticas públicas y mecanismos que garanticen la publicidad de información oportuna, verificable, comprensible, actualizada y completa.</w:t>
      </w:r>
    </w:p>
    <w:p w:rsidR="00F00189" w:rsidRPr="001E0D8F" w:rsidRDefault="00F00189" w:rsidP="00073528">
      <w:pPr>
        <w:spacing w:line="360" w:lineRule="auto"/>
        <w:ind w:right="-93"/>
        <w:jc w:val="both"/>
        <w:rPr>
          <w:rFonts w:ascii="Palatino Linotype" w:eastAsia="Calibri" w:hAnsi="Palatino Linotype" w:cs="Tahoma"/>
          <w:bCs/>
          <w:sz w:val="22"/>
          <w:szCs w:val="22"/>
          <w:lang w:eastAsia="en-US"/>
        </w:rPr>
      </w:pPr>
    </w:p>
    <w:p w:rsidR="00F00189" w:rsidRDefault="00F00189" w:rsidP="00073528">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 xml:space="preserve">En ese orden de ideas, para la atención de las solicitud de acceso a la información, debe privilegiarse el </w:t>
      </w:r>
      <w:r w:rsidRPr="001E0D8F">
        <w:rPr>
          <w:rFonts w:ascii="Palatino Linotype" w:eastAsia="Calibri" w:hAnsi="Palatino Linotype" w:cs="Tahoma"/>
          <w:b/>
          <w:bCs/>
          <w:sz w:val="22"/>
          <w:szCs w:val="22"/>
          <w:lang w:eastAsia="en-US"/>
        </w:rPr>
        <w:t>principio de máxima publicidad</w:t>
      </w:r>
      <w:r w:rsidRPr="001E0D8F">
        <w:rPr>
          <w:rFonts w:ascii="Palatino Linotype" w:eastAsia="Calibri" w:hAnsi="Palatino Linotype" w:cs="Tahoma"/>
          <w:bCs/>
          <w:sz w:val="22"/>
          <w:szCs w:val="22"/>
          <w:lang w:eastAsia="en-US"/>
        </w:rPr>
        <w:t xml:space="preserve"> el cual dispone que toda la información en posesión de los sujetos </w:t>
      </w:r>
      <w:r w:rsidR="00177355" w:rsidRPr="001E0D8F">
        <w:rPr>
          <w:rFonts w:ascii="Palatino Linotype" w:eastAsia="Calibri" w:hAnsi="Palatino Linotype" w:cs="Tahoma"/>
          <w:bCs/>
          <w:sz w:val="22"/>
          <w:szCs w:val="22"/>
          <w:lang w:eastAsia="en-US"/>
        </w:rPr>
        <w:t xml:space="preserve">obligados </w:t>
      </w:r>
      <w:r w:rsidRPr="001E0D8F">
        <w:rPr>
          <w:rFonts w:ascii="Palatino Linotype" w:eastAsia="Calibri" w:hAnsi="Palatino Linotype" w:cs="Tahoma"/>
          <w:bCs/>
          <w:sz w:val="22"/>
          <w:szCs w:val="22"/>
          <w:lang w:eastAsia="en-US"/>
        </w:rPr>
        <w:t>será pública, completa, oportuna y accesible, sujeta a un claro régimen de excepciones que deberán estar definidas y ser legítimas y estrictamente necesarias en una sociedad democrática.</w:t>
      </w:r>
    </w:p>
    <w:p w:rsidR="00F00189" w:rsidRPr="001E0D8F" w:rsidRDefault="00F00189" w:rsidP="00073528">
      <w:pPr>
        <w:spacing w:line="360" w:lineRule="auto"/>
        <w:ind w:right="-93"/>
        <w:jc w:val="both"/>
        <w:rPr>
          <w:rFonts w:ascii="Palatino Linotype" w:eastAsia="Calibri" w:hAnsi="Palatino Linotype" w:cs="Tahoma"/>
          <w:bCs/>
          <w:sz w:val="22"/>
          <w:szCs w:val="22"/>
          <w:lang w:eastAsia="en-US"/>
        </w:rPr>
      </w:pPr>
    </w:p>
    <w:p w:rsidR="00F00189" w:rsidRPr="001E0D8F" w:rsidRDefault="00F00189" w:rsidP="00073528">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00F00189" w:rsidRPr="001E0D8F" w:rsidRDefault="00F00189" w:rsidP="00073528">
      <w:pPr>
        <w:spacing w:line="360" w:lineRule="auto"/>
        <w:ind w:right="-93"/>
        <w:jc w:val="both"/>
        <w:rPr>
          <w:rFonts w:ascii="Palatino Linotype" w:eastAsia="Calibri" w:hAnsi="Palatino Linotype" w:cs="Tahoma"/>
          <w:bCs/>
          <w:sz w:val="22"/>
          <w:szCs w:val="22"/>
          <w:lang w:eastAsia="en-US"/>
        </w:rPr>
      </w:pPr>
    </w:p>
    <w:p w:rsidR="00F00189" w:rsidRPr="001E0D8F" w:rsidRDefault="00F00189" w:rsidP="00073528">
      <w:pPr>
        <w:pStyle w:val="Prrafodelista"/>
        <w:numPr>
          <w:ilvl w:val="0"/>
          <w:numId w:val="18"/>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rsidR="00F00189" w:rsidRPr="001E0D8F" w:rsidRDefault="00F00189" w:rsidP="00073528">
      <w:pPr>
        <w:pStyle w:val="Prrafodelista"/>
        <w:spacing w:line="360" w:lineRule="auto"/>
        <w:ind w:right="-93"/>
        <w:jc w:val="both"/>
        <w:rPr>
          <w:rFonts w:ascii="Palatino Linotype" w:eastAsia="Calibri" w:hAnsi="Palatino Linotype" w:cs="Tahoma"/>
          <w:bCs/>
          <w:szCs w:val="22"/>
          <w:lang w:eastAsia="en-US"/>
        </w:rPr>
      </w:pPr>
    </w:p>
    <w:p w:rsidR="00F00189" w:rsidRPr="001E0D8F" w:rsidRDefault="00F00189" w:rsidP="00073528">
      <w:pPr>
        <w:pStyle w:val="Prrafodelista"/>
        <w:numPr>
          <w:ilvl w:val="0"/>
          <w:numId w:val="18"/>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La</w:t>
      </w:r>
      <w:r>
        <w:rPr>
          <w:rFonts w:ascii="Palatino Linotype" w:eastAsia="Calibri" w:hAnsi="Palatino Linotype" w:cs="Tahoma"/>
          <w:bCs/>
          <w:szCs w:val="22"/>
          <w:lang w:eastAsia="en-US"/>
        </w:rPr>
        <w:t>s</w:t>
      </w:r>
      <w:r w:rsidRPr="001E0D8F">
        <w:rPr>
          <w:rFonts w:ascii="Palatino Linotype" w:eastAsia="Calibri" w:hAnsi="Palatino Linotype" w:cs="Tahoma"/>
          <w:bCs/>
          <w:szCs w:val="22"/>
          <w:lang w:eastAsia="en-US"/>
        </w:rPr>
        <w:t xml:space="preserve"> respuesta</w:t>
      </w:r>
      <w:r>
        <w:rPr>
          <w:rFonts w:ascii="Palatino Linotype" w:eastAsia="Calibri" w:hAnsi="Palatino Linotype" w:cs="Tahoma"/>
          <w:bCs/>
          <w:szCs w:val="22"/>
          <w:lang w:eastAsia="en-US"/>
        </w:rPr>
        <w:t>s</w:t>
      </w:r>
      <w:r w:rsidRPr="001E0D8F">
        <w:rPr>
          <w:rFonts w:ascii="Palatino Linotype" w:eastAsia="Calibri" w:hAnsi="Palatino Linotype" w:cs="Tahoma"/>
          <w:bCs/>
          <w:szCs w:val="22"/>
          <w:lang w:eastAsia="en-US"/>
        </w:rPr>
        <w:t xml:space="preserve"> a los requerimientos informativos deberán notificarse al interesado en el menor tiempo posible, que no podrá exceder </w:t>
      </w:r>
      <w:r w:rsidRPr="001E0D8F">
        <w:rPr>
          <w:rFonts w:ascii="Palatino Linotype" w:eastAsia="Calibri" w:hAnsi="Palatino Linotype" w:cs="Tahoma"/>
          <w:b/>
          <w:bCs/>
          <w:szCs w:val="22"/>
          <w:lang w:eastAsia="en-US"/>
        </w:rPr>
        <w:t>quince días, contados a partir del día siguiente a la presentación de esta.</w:t>
      </w:r>
      <w:r w:rsidRPr="001E0D8F">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rsidR="00F00189" w:rsidRPr="001E0D8F" w:rsidRDefault="00F00189" w:rsidP="00073528">
      <w:pPr>
        <w:pStyle w:val="Prrafodelista"/>
        <w:numPr>
          <w:ilvl w:val="0"/>
          <w:numId w:val="18"/>
        </w:numPr>
        <w:spacing w:line="360" w:lineRule="auto"/>
        <w:ind w:right="-93"/>
        <w:jc w:val="both"/>
        <w:rPr>
          <w:rFonts w:ascii="Palatino Linotype" w:eastAsia="Calibri" w:hAnsi="Palatino Linotype" w:cs="Tahoma"/>
          <w:b/>
          <w:bCs/>
          <w:szCs w:val="22"/>
          <w:lang w:eastAsia="en-US"/>
        </w:rPr>
      </w:pPr>
      <w:r w:rsidRPr="001E0D8F">
        <w:rPr>
          <w:rFonts w:ascii="Palatino Linotype" w:eastAsia="Calibri" w:hAnsi="Palatino Linotype" w:cs="Tahoma"/>
          <w:bCs/>
          <w:szCs w:val="22"/>
          <w:lang w:eastAsia="en-US"/>
        </w:rPr>
        <w:lastRenderedPageBreak/>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1E0D8F">
        <w:rPr>
          <w:rFonts w:ascii="Palatino Linotype" w:eastAsia="Calibri" w:hAnsi="Palatino Linotype" w:cs="Tahoma"/>
          <w:b/>
          <w:bCs/>
          <w:szCs w:val="22"/>
          <w:lang w:eastAsia="en-US"/>
        </w:rPr>
        <w:t>que se encuentren en sus archivos o que estén constreñidos a elaborar;</w:t>
      </w:r>
    </w:p>
    <w:p w:rsidR="00F00189" w:rsidRPr="001E0D8F" w:rsidRDefault="00F00189" w:rsidP="00073528">
      <w:pPr>
        <w:pStyle w:val="Prrafodelista"/>
        <w:spacing w:line="360" w:lineRule="auto"/>
        <w:rPr>
          <w:rFonts w:ascii="Palatino Linotype" w:eastAsia="Calibri" w:hAnsi="Palatino Linotype" w:cs="Tahoma"/>
          <w:b/>
          <w:bCs/>
          <w:szCs w:val="22"/>
          <w:lang w:eastAsia="en-US"/>
        </w:rPr>
      </w:pPr>
    </w:p>
    <w:p w:rsidR="00F00189" w:rsidRPr="00BA50F1" w:rsidRDefault="00F00189" w:rsidP="00073528">
      <w:pPr>
        <w:pStyle w:val="Prrafodelista"/>
        <w:numPr>
          <w:ilvl w:val="0"/>
          <w:numId w:val="18"/>
        </w:numPr>
        <w:spacing w:line="360" w:lineRule="auto"/>
        <w:ind w:right="-93"/>
        <w:jc w:val="both"/>
        <w:rPr>
          <w:rFonts w:ascii="Palatino Linotype" w:eastAsia="Calibri" w:hAnsi="Palatino Linotype" w:cs="Tahoma"/>
          <w:b/>
          <w:bCs/>
          <w:szCs w:val="22"/>
          <w:lang w:eastAsia="en-US"/>
        </w:rPr>
      </w:pPr>
      <w:r w:rsidRPr="001E0D8F">
        <w:rPr>
          <w:rFonts w:ascii="Palatino Linotype" w:eastAsia="Calibri" w:hAnsi="Palatino Linotype" w:cs="Tahoma"/>
          <w:bCs/>
          <w:szCs w:val="22"/>
          <w:lang w:eastAsia="en-US"/>
        </w:rPr>
        <w:t>El acceso se dará en la modalidad de entrega y en su caso, de envío elegido por la solicitante, cuando no se pueda entregarse en dicha modalidad, el Sujeto Obligado deberá ofrecer otras; por lo cual, deberá fundamentar y motivar la necesidad de modificar el medio de entrega, y</w:t>
      </w:r>
    </w:p>
    <w:p w:rsidR="00F00189" w:rsidRPr="00BA50F1" w:rsidRDefault="00F00189" w:rsidP="00073528">
      <w:pPr>
        <w:pStyle w:val="Prrafodelista"/>
        <w:rPr>
          <w:rFonts w:ascii="Palatino Linotype" w:eastAsia="Calibri" w:hAnsi="Palatino Linotype" w:cs="Tahoma"/>
          <w:b/>
          <w:bCs/>
          <w:szCs w:val="22"/>
          <w:lang w:eastAsia="en-US"/>
        </w:rPr>
      </w:pPr>
    </w:p>
    <w:p w:rsidR="00F00189" w:rsidRPr="00BA50F1" w:rsidRDefault="00F00189" w:rsidP="00073528">
      <w:pPr>
        <w:pStyle w:val="Prrafodelista"/>
        <w:numPr>
          <w:ilvl w:val="0"/>
          <w:numId w:val="18"/>
        </w:numPr>
        <w:spacing w:line="360" w:lineRule="auto"/>
        <w:ind w:right="-93"/>
        <w:jc w:val="both"/>
        <w:rPr>
          <w:rFonts w:ascii="Palatino Linotype" w:eastAsia="Calibri" w:hAnsi="Palatino Linotype" w:cs="Tahoma"/>
          <w:b/>
          <w:bCs/>
          <w:szCs w:val="22"/>
          <w:lang w:eastAsia="en-US"/>
        </w:rPr>
      </w:pPr>
      <w:r w:rsidRPr="00BA50F1">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rsidR="00F00189" w:rsidRDefault="00F00189" w:rsidP="00073528">
      <w:pPr>
        <w:tabs>
          <w:tab w:val="left" w:pos="4962"/>
        </w:tabs>
        <w:spacing w:line="360" w:lineRule="auto"/>
        <w:jc w:val="both"/>
        <w:rPr>
          <w:rFonts w:ascii="Palatino Linotype" w:eastAsia="Calibri" w:hAnsi="Palatino Linotype" w:cs="Tahoma"/>
          <w:b/>
          <w:iCs/>
          <w:szCs w:val="22"/>
          <w:lang w:eastAsia="es-ES_tradnl"/>
        </w:rPr>
      </w:pPr>
    </w:p>
    <w:p w:rsidR="00F00189" w:rsidRPr="001E0D8F" w:rsidRDefault="00F00189" w:rsidP="00073528">
      <w:pPr>
        <w:spacing w:line="360" w:lineRule="auto"/>
        <w:ind w:right="-93"/>
        <w:jc w:val="both"/>
        <w:rPr>
          <w:rFonts w:ascii="Palatino Linotype" w:hAnsi="Palatino Linotype" w:cs="Tahoma"/>
          <w:sz w:val="22"/>
          <w:szCs w:val="22"/>
        </w:rPr>
      </w:pPr>
      <w:r w:rsidRPr="001E0D8F">
        <w:rPr>
          <w:rFonts w:ascii="Palatino Linotype" w:eastAsia="Calibri" w:hAnsi="Palatino Linotype" w:cs="Tahoma"/>
          <w:bCs/>
          <w:sz w:val="22"/>
          <w:szCs w:val="22"/>
          <w:lang w:eastAsia="en-US"/>
        </w:rPr>
        <w:t xml:space="preserve">Una vez establecido lo anterior, es preciso indicar que el agravio del peticionario consistió en que a la fecha de la interposición del Recurso de Revisión, el </w:t>
      </w:r>
      <w:r w:rsidR="00177355">
        <w:rPr>
          <w:rFonts w:ascii="Palatino Linotype" w:eastAsia="Calibri" w:hAnsi="Palatino Linotype" w:cs="Tahoma"/>
          <w:bCs/>
          <w:sz w:val="22"/>
          <w:szCs w:val="22"/>
          <w:lang w:eastAsia="en-US"/>
        </w:rPr>
        <w:t xml:space="preserve">Ayuntamiento de Tonanitla </w:t>
      </w:r>
      <w:r w:rsidRPr="001E0D8F">
        <w:rPr>
          <w:rFonts w:ascii="Palatino Linotype" w:eastAsia="Calibri" w:hAnsi="Palatino Linotype" w:cs="Tahoma"/>
          <w:bCs/>
          <w:sz w:val="22"/>
          <w:szCs w:val="22"/>
          <w:lang w:eastAsia="en-US"/>
        </w:rPr>
        <w:t xml:space="preserve">no registró respuesta o prórroga a su requerimiento de acceso a la información, como se verificó en el  </w:t>
      </w:r>
      <w:r w:rsidRPr="001E0D8F">
        <w:rPr>
          <w:rFonts w:ascii="Palatino Linotype" w:hAnsi="Palatino Linotype" w:cs="Tahoma"/>
          <w:sz w:val="22"/>
          <w:szCs w:val="22"/>
        </w:rPr>
        <w:t>Sistema de Acceso a la Información Mexiquense (SAIMEX), plataforma utilizada para presentar el requerimiento de información.</w:t>
      </w:r>
    </w:p>
    <w:p w:rsidR="00F00189" w:rsidRDefault="00F00189" w:rsidP="00073528">
      <w:pPr>
        <w:tabs>
          <w:tab w:val="left" w:pos="4962"/>
        </w:tabs>
        <w:spacing w:line="360" w:lineRule="auto"/>
        <w:jc w:val="both"/>
        <w:rPr>
          <w:rFonts w:ascii="Palatino Linotype" w:eastAsia="Calibri" w:hAnsi="Palatino Linotype" w:cs="Tahoma"/>
          <w:b/>
          <w:iCs/>
          <w:szCs w:val="22"/>
          <w:lang w:eastAsia="es-ES_tradnl"/>
        </w:rPr>
      </w:pPr>
    </w:p>
    <w:p w:rsidR="00F00189" w:rsidRPr="004E14F0" w:rsidRDefault="00F00189" w:rsidP="00073528">
      <w:pPr>
        <w:spacing w:line="360" w:lineRule="auto"/>
        <w:ind w:right="-93" w:firstLine="1"/>
        <w:jc w:val="both"/>
        <w:rPr>
          <w:rFonts w:ascii="Palatino Linotype" w:eastAsia="Calibri" w:hAnsi="Palatino Linotype" w:cs="Tahoma"/>
          <w:b/>
          <w:bCs/>
          <w:sz w:val="22"/>
          <w:szCs w:val="22"/>
          <w:lang w:eastAsia="en-US"/>
        </w:rPr>
      </w:pPr>
      <w:r w:rsidRPr="001E0D8F">
        <w:rPr>
          <w:rFonts w:ascii="Palatino Linotype" w:eastAsia="Calibri" w:hAnsi="Palatino Linotype" w:cs="Tahoma"/>
          <w:bCs/>
          <w:sz w:val="22"/>
          <w:szCs w:val="22"/>
          <w:lang w:eastAsia="en-US"/>
        </w:rPr>
        <w:t xml:space="preserve">En ese orden de ideas, el plazo con el que contaba el Sujeto Obligado para emitir contestación al requerimiento informativo, comenzó a correr el </w:t>
      </w:r>
      <w:r w:rsidR="00177355">
        <w:rPr>
          <w:rFonts w:ascii="Palatino Linotype" w:eastAsia="Calibri" w:hAnsi="Palatino Linotype" w:cs="Tahoma"/>
          <w:b/>
          <w:bCs/>
          <w:sz w:val="22"/>
          <w:szCs w:val="22"/>
          <w:lang w:eastAsia="en-US"/>
        </w:rPr>
        <w:t xml:space="preserve">diecisiete </w:t>
      </w:r>
      <w:r w:rsidR="00CF1E13">
        <w:rPr>
          <w:rFonts w:ascii="Palatino Linotype" w:eastAsia="Calibri" w:hAnsi="Palatino Linotype" w:cs="Tahoma"/>
          <w:b/>
          <w:bCs/>
          <w:sz w:val="22"/>
          <w:szCs w:val="22"/>
          <w:lang w:eastAsia="en-US"/>
        </w:rPr>
        <w:t xml:space="preserve">de junio </w:t>
      </w:r>
      <w:r w:rsidRPr="001E0D8F">
        <w:rPr>
          <w:rFonts w:ascii="Palatino Linotype" w:eastAsia="Calibri" w:hAnsi="Palatino Linotype" w:cs="Tahoma"/>
          <w:b/>
          <w:bCs/>
          <w:sz w:val="22"/>
          <w:szCs w:val="22"/>
          <w:lang w:eastAsia="en-US"/>
        </w:rPr>
        <w:t>de la presente anualidad</w:t>
      </w:r>
      <w:r w:rsidRPr="001E0D8F">
        <w:rPr>
          <w:rFonts w:ascii="Palatino Linotype" w:eastAsia="Calibri" w:hAnsi="Palatino Linotype" w:cs="Tahoma"/>
          <w:bCs/>
          <w:sz w:val="22"/>
          <w:szCs w:val="22"/>
          <w:lang w:eastAsia="en-US"/>
        </w:rPr>
        <w:t xml:space="preserve"> y feneció el </w:t>
      </w:r>
      <w:r w:rsidR="00177355">
        <w:rPr>
          <w:rFonts w:ascii="Palatino Linotype" w:eastAsia="Calibri" w:hAnsi="Palatino Linotype" w:cs="Tahoma"/>
          <w:b/>
          <w:bCs/>
          <w:sz w:val="22"/>
          <w:szCs w:val="22"/>
          <w:lang w:eastAsia="en-US"/>
        </w:rPr>
        <w:t xml:space="preserve">cinco de julio </w:t>
      </w:r>
      <w:r>
        <w:rPr>
          <w:rFonts w:ascii="Palatino Linotype" w:eastAsia="Calibri" w:hAnsi="Palatino Linotype" w:cs="Tahoma"/>
          <w:b/>
          <w:bCs/>
          <w:sz w:val="22"/>
          <w:szCs w:val="22"/>
          <w:lang w:eastAsia="en-US"/>
        </w:rPr>
        <w:t xml:space="preserve">del mismo </w:t>
      </w:r>
      <w:r w:rsidRPr="001E0D8F">
        <w:rPr>
          <w:rFonts w:ascii="Palatino Linotype" w:eastAsia="Calibri" w:hAnsi="Palatino Linotype" w:cs="Tahoma"/>
          <w:b/>
          <w:bCs/>
          <w:sz w:val="22"/>
          <w:szCs w:val="22"/>
          <w:lang w:eastAsia="en-US"/>
        </w:rPr>
        <w:t xml:space="preserve">año; </w:t>
      </w:r>
      <w:r w:rsidRPr="001E0D8F">
        <w:rPr>
          <w:rFonts w:ascii="Palatino Linotype" w:eastAsia="Calibri" w:hAnsi="Palatino Linotype" w:cs="Tahoma"/>
          <w:bCs/>
          <w:sz w:val="22"/>
          <w:szCs w:val="22"/>
          <w:lang w:eastAsia="en-US"/>
        </w:rPr>
        <w:t xml:space="preserve">lo anterior, sin contar los </w:t>
      </w:r>
      <w:r>
        <w:rPr>
          <w:rFonts w:ascii="Palatino Linotype" w:eastAsia="Calibri" w:hAnsi="Palatino Linotype" w:cs="Tahoma"/>
          <w:bCs/>
          <w:sz w:val="22"/>
          <w:szCs w:val="22"/>
          <w:lang w:eastAsia="en-US"/>
        </w:rPr>
        <w:t xml:space="preserve">días </w:t>
      </w:r>
      <w:r w:rsidR="00177355">
        <w:rPr>
          <w:rFonts w:ascii="Palatino Linotype" w:eastAsia="Calibri" w:hAnsi="Palatino Linotype" w:cs="Tahoma"/>
          <w:bCs/>
          <w:sz w:val="22"/>
          <w:szCs w:val="22"/>
          <w:lang w:eastAsia="en-US"/>
        </w:rPr>
        <w:t xml:space="preserve">quince, dieciséis, </w:t>
      </w:r>
      <w:r w:rsidR="00177355">
        <w:rPr>
          <w:rFonts w:ascii="Palatino Linotype" w:eastAsia="Calibri" w:hAnsi="Palatino Linotype" w:cs="Tahoma"/>
          <w:bCs/>
          <w:sz w:val="22"/>
          <w:szCs w:val="22"/>
          <w:lang w:eastAsia="en-US"/>
        </w:rPr>
        <w:lastRenderedPageBreak/>
        <w:t xml:space="preserve">veintidós, veintitrés, veintinueve y treinta de junio </w:t>
      </w:r>
      <w:r>
        <w:rPr>
          <w:rFonts w:ascii="Palatino Linotype" w:eastAsia="Calibri" w:hAnsi="Palatino Linotype" w:cs="Tahoma"/>
          <w:bCs/>
          <w:sz w:val="22"/>
          <w:szCs w:val="22"/>
          <w:lang w:eastAsia="en-US"/>
        </w:rPr>
        <w:t xml:space="preserve">de la presente anualidad </w:t>
      </w:r>
      <w:r w:rsidRPr="001E0D8F">
        <w:rPr>
          <w:rFonts w:ascii="Palatino Linotype" w:eastAsia="Calibri" w:hAnsi="Palatino Linotype" w:cs="Tahoma"/>
          <w:bCs/>
          <w:sz w:val="22"/>
          <w:szCs w:val="22"/>
          <w:lang w:eastAsia="en-US"/>
        </w:rPr>
        <w:t>al ser inhábiles de conformidad con el artículo 3, fracción X, de la Ley de Transparencia y Acceso a la Información Pública del Estado de México y Municipios, así como, el Calendario Oficial en Materia de Transparencia, Acceso a la Información Pública del Estado de México y Municipios, para el año dos mil diecinueve y enero dos mil veinte, publicado en el Periódico Oficial del Gobierno del Estado de México “Gaceta del Gobierno” el diecinueve de diciembre de dos mil dieciocho.</w:t>
      </w:r>
    </w:p>
    <w:p w:rsidR="00F00189" w:rsidRPr="001E0D8F" w:rsidRDefault="00F00189" w:rsidP="00073528">
      <w:pPr>
        <w:spacing w:line="360" w:lineRule="auto"/>
        <w:ind w:right="-93"/>
        <w:jc w:val="both"/>
        <w:rPr>
          <w:rFonts w:ascii="Palatino Linotype" w:eastAsia="Calibri" w:hAnsi="Palatino Linotype" w:cs="Tahoma"/>
          <w:bCs/>
          <w:sz w:val="22"/>
          <w:szCs w:val="22"/>
          <w:lang w:eastAsia="en-US"/>
        </w:rPr>
      </w:pPr>
    </w:p>
    <w:p w:rsidR="00F00189" w:rsidRDefault="00F00189" w:rsidP="00073528">
      <w:pPr>
        <w:spacing w:line="360" w:lineRule="auto"/>
        <w:ind w:right="-93"/>
        <w:jc w:val="both"/>
        <w:rPr>
          <w:rFonts w:ascii="Palatino Linotype" w:eastAsia="Calibri" w:hAnsi="Palatino Linotype" w:cs="Tahoma"/>
          <w:b/>
          <w:bCs/>
          <w:sz w:val="22"/>
          <w:szCs w:val="22"/>
          <w:lang w:eastAsia="en-US"/>
        </w:rPr>
      </w:pPr>
      <w:r w:rsidRPr="001E0D8F">
        <w:rPr>
          <w:rFonts w:ascii="Palatino Linotype" w:eastAsia="Calibri" w:hAnsi="Palatino Linotype" w:cs="Tahoma"/>
          <w:bCs/>
          <w:sz w:val="22"/>
          <w:szCs w:val="22"/>
          <w:lang w:eastAsia="en-US"/>
        </w:rPr>
        <w:t xml:space="preserve">De la revisión de las constancias que obran en el Sistema de acceso a la Información Mexiquense (SAIMEX), se advierte que, tal como lo indicó el Particular, el </w:t>
      </w:r>
      <w:r w:rsidR="00177355">
        <w:rPr>
          <w:rFonts w:ascii="Palatino Linotype" w:eastAsia="Calibri" w:hAnsi="Palatino Linotype" w:cs="Tahoma"/>
          <w:bCs/>
          <w:sz w:val="22"/>
          <w:szCs w:val="22"/>
          <w:lang w:eastAsia="en-US"/>
        </w:rPr>
        <w:t xml:space="preserve">Ayuntamiento de Tonanitla </w:t>
      </w:r>
      <w:r w:rsidRPr="001E0D8F">
        <w:rPr>
          <w:rFonts w:ascii="Palatino Linotype" w:eastAsia="Calibri" w:hAnsi="Palatino Linotype" w:cs="Tahoma"/>
          <w:bCs/>
          <w:sz w:val="22"/>
          <w:szCs w:val="22"/>
          <w:lang w:eastAsia="en-US"/>
        </w:rPr>
        <w:t>no e</w:t>
      </w:r>
      <w:r>
        <w:rPr>
          <w:rFonts w:ascii="Palatino Linotype" w:eastAsia="Calibri" w:hAnsi="Palatino Linotype" w:cs="Tahoma"/>
          <w:bCs/>
          <w:sz w:val="22"/>
          <w:szCs w:val="22"/>
          <w:lang w:eastAsia="en-US"/>
        </w:rPr>
        <w:t>mitió respuesta, ni solicitó</w:t>
      </w:r>
      <w:r w:rsidRPr="001E0D8F">
        <w:rPr>
          <w:rFonts w:ascii="Palatino Linotype" w:eastAsia="Calibri" w:hAnsi="Palatino Linotype" w:cs="Tahoma"/>
          <w:bCs/>
          <w:sz w:val="22"/>
          <w:szCs w:val="22"/>
          <w:lang w:eastAsia="en-US"/>
        </w:rPr>
        <w:t xml:space="preserve"> prórroga para dar contestación a la solicitud de información, dentro de los plazos establecidos en el artículo 163 de la Ley de la materia, pues tenía hasta el </w:t>
      </w:r>
      <w:r w:rsidR="00177355">
        <w:rPr>
          <w:rFonts w:ascii="Palatino Linotype" w:eastAsia="Calibri" w:hAnsi="Palatino Linotype" w:cs="Tahoma"/>
          <w:bCs/>
          <w:sz w:val="22"/>
          <w:szCs w:val="22"/>
          <w:lang w:eastAsia="en-US"/>
        </w:rPr>
        <w:t xml:space="preserve">cinco de julio </w:t>
      </w:r>
      <w:r w:rsidRPr="001E0D8F">
        <w:rPr>
          <w:rFonts w:ascii="Palatino Linotype" w:eastAsia="Calibri" w:hAnsi="Palatino Linotype" w:cs="Tahoma"/>
          <w:bCs/>
          <w:sz w:val="22"/>
          <w:szCs w:val="22"/>
          <w:lang w:eastAsia="en-US"/>
        </w:rPr>
        <w:t xml:space="preserve">de dos mil diecinueve para notificar alguna de las dos situaciones; por lo que, resulta evidente que </w:t>
      </w:r>
      <w:r w:rsidRPr="001E0D8F">
        <w:rPr>
          <w:rFonts w:ascii="Palatino Linotype" w:eastAsia="Calibri" w:hAnsi="Palatino Linotype" w:cs="Tahoma"/>
          <w:b/>
          <w:bCs/>
          <w:sz w:val="22"/>
          <w:szCs w:val="22"/>
          <w:lang w:eastAsia="en-US"/>
        </w:rPr>
        <w:t>el agravio hecho valer por el Recurrente resulta fundado.</w:t>
      </w:r>
    </w:p>
    <w:p w:rsidR="00F00189" w:rsidRDefault="00F00189" w:rsidP="00073528">
      <w:pPr>
        <w:spacing w:line="360" w:lineRule="auto"/>
        <w:ind w:right="-93"/>
        <w:jc w:val="both"/>
        <w:rPr>
          <w:rFonts w:ascii="Palatino Linotype" w:eastAsia="Calibri" w:hAnsi="Palatino Linotype" w:cs="Tahoma"/>
          <w:b/>
          <w:bCs/>
          <w:sz w:val="22"/>
          <w:szCs w:val="22"/>
          <w:lang w:eastAsia="en-US"/>
        </w:rPr>
      </w:pPr>
    </w:p>
    <w:p w:rsidR="00D81CA9" w:rsidRPr="00A50EAF" w:rsidRDefault="00D81CA9" w:rsidP="00D81CA9">
      <w:pPr>
        <w:tabs>
          <w:tab w:val="left" w:pos="4962"/>
        </w:tabs>
        <w:spacing w:line="360" w:lineRule="auto"/>
        <w:jc w:val="both"/>
        <w:rPr>
          <w:rFonts w:ascii="Palatino Linotype" w:eastAsia="Calibri" w:hAnsi="Palatino Linotype" w:cs="Tahoma"/>
          <w:iCs/>
          <w:sz w:val="22"/>
          <w:szCs w:val="22"/>
          <w:lang w:val="es-ES" w:eastAsia="es-ES_tradnl"/>
        </w:rPr>
      </w:pPr>
      <w:r w:rsidRPr="00A50EAF">
        <w:rPr>
          <w:rFonts w:ascii="Palatino Linotype" w:eastAsia="Calibri" w:hAnsi="Palatino Linotype" w:cs="Tahoma"/>
          <w:iCs/>
          <w:sz w:val="22"/>
          <w:szCs w:val="22"/>
          <w:lang w:val="es-ES" w:eastAsia="es-ES_tradnl"/>
        </w:rPr>
        <w:t>Una vez realizado el estudio de las constancias que integran el expediente en que se actúa, se desprende lo siguiente:</w:t>
      </w:r>
    </w:p>
    <w:p w:rsidR="00D81CA9" w:rsidRPr="00A50EAF" w:rsidRDefault="00D81CA9" w:rsidP="00D81CA9">
      <w:pPr>
        <w:tabs>
          <w:tab w:val="left" w:pos="4962"/>
        </w:tabs>
        <w:spacing w:line="360" w:lineRule="auto"/>
        <w:jc w:val="both"/>
        <w:rPr>
          <w:rFonts w:ascii="Palatino Linotype" w:eastAsia="Calibri" w:hAnsi="Palatino Linotype" w:cs="Tahoma"/>
          <w:iCs/>
          <w:sz w:val="22"/>
          <w:szCs w:val="22"/>
          <w:lang w:val="es-ES" w:eastAsia="es-ES_tradnl"/>
        </w:rPr>
      </w:pPr>
    </w:p>
    <w:p w:rsidR="008E5047" w:rsidRDefault="008E5047" w:rsidP="008E5047">
      <w:pPr>
        <w:spacing w:line="360" w:lineRule="auto"/>
        <w:jc w:val="both"/>
        <w:rPr>
          <w:rFonts w:ascii="Palatino Linotype" w:eastAsia="Calibri" w:hAnsi="Palatino Linotype" w:cs="Tahoma"/>
          <w:iCs/>
          <w:sz w:val="22"/>
          <w:szCs w:val="22"/>
          <w:lang w:val="es-ES" w:eastAsia="es-ES_tradnl"/>
        </w:rPr>
      </w:pPr>
      <w:r w:rsidRPr="0056453B">
        <w:rPr>
          <w:rFonts w:ascii="Palatino Linotype" w:eastAsia="Calibri" w:hAnsi="Palatino Linotype" w:cs="Tahoma"/>
          <w:iCs/>
          <w:sz w:val="22"/>
          <w:szCs w:val="22"/>
          <w:lang w:val="es-ES" w:eastAsia="es-ES_tradnl"/>
        </w:rPr>
        <w:t>El Particular, solicitó</w:t>
      </w:r>
      <w:r>
        <w:rPr>
          <w:rFonts w:ascii="Palatino Linotype" w:eastAsia="Calibri" w:hAnsi="Palatino Linotype" w:cs="Tahoma"/>
          <w:iCs/>
          <w:sz w:val="22"/>
          <w:szCs w:val="22"/>
          <w:lang w:val="es-ES" w:eastAsia="es-ES_tradnl"/>
        </w:rPr>
        <w:t xml:space="preserve"> al Ayuntamiento de Tonanitla </w:t>
      </w:r>
      <w:r w:rsidRPr="00341EED">
        <w:rPr>
          <w:rFonts w:ascii="Palatino Linotype" w:eastAsia="Calibri" w:hAnsi="Palatino Linotype" w:cs="Tahoma"/>
          <w:iCs/>
          <w:sz w:val="22"/>
          <w:szCs w:val="22"/>
          <w:lang w:val="es-ES" w:eastAsia="es-ES_tradnl"/>
        </w:rPr>
        <w:t>la información contenida en los discos uno, dos, tres y cuatro de los informes mensuales de enero, febrero</w:t>
      </w:r>
      <w:r>
        <w:rPr>
          <w:rFonts w:ascii="Palatino Linotype" w:eastAsia="Calibri" w:hAnsi="Palatino Linotype" w:cs="Tahoma"/>
          <w:iCs/>
          <w:sz w:val="22"/>
          <w:szCs w:val="22"/>
          <w:lang w:val="es-ES" w:eastAsia="es-ES_tradnl"/>
        </w:rPr>
        <w:t>, marzo,</w:t>
      </w:r>
      <w:r w:rsidRPr="00341EED">
        <w:rPr>
          <w:rFonts w:ascii="Palatino Linotype" w:eastAsia="Calibri" w:hAnsi="Palatino Linotype" w:cs="Tahoma"/>
          <w:iCs/>
          <w:sz w:val="22"/>
          <w:szCs w:val="22"/>
          <w:lang w:val="es-ES" w:eastAsia="es-ES_tradnl"/>
        </w:rPr>
        <w:t xml:space="preserve"> abril </w:t>
      </w:r>
      <w:r>
        <w:rPr>
          <w:rFonts w:ascii="Palatino Linotype" w:eastAsia="Calibri" w:hAnsi="Palatino Linotype" w:cs="Tahoma"/>
          <w:iCs/>
          <w:sz w:val="22"/>
          <w:szCs w:val="22"/>
          <w:lang w:val="es-ES" w:eastAsia="es-ES_tradnl"/>
        </w:rPr>
        <w:t xml:space="preserve">y </w:t>
      </w:r>
      <w:r w:rsidRPr="00341EED">
        <w:rPr>
          <w:rFonts w:ascii="Palatino Linotype" w:eastAsia="Calibri" w:hAnsi="Palatino Linotype" w:cs="Tahoma"/>
          <w:iCs/>
          <w:sz w:val="22"/>
          <w:szCs w:val="22"/>
          <w:lang w:val="es-ES" w:eastAsia="es-ES_tradnl"/>
        </w:rPr>
        <w:t xml:space="preserve">mayo de </w:t>
      </w:r>
      <w:r>
        <w:rPr>
          <w:rFonts w:ascii="Palatino Linotype" w:eastAsia="Calibri" w:hAnsi="Palatino Linotype" w:cs="Tahoma"/>
          <w:iCs/>
          <w:sz w:val="22"/>
          <w:szCs w:val="22"/>
          <w:lang w:val="es-ES" w:eastAsia="es-ES_tradnl"/>
        </w:rPr>
        <w:t xml:space="preserve">dos mil diecinueve </w:t>
      </w:r>
      <w:r w:rsidRPr="00341EED">
        <w:rPr>
          <w:rFonts w:ascii="Palatino Linotype" w:eastAsia="Calibri" w:hAnsi="Palatino Linotype" w:cs="Tahoma"/>
          <w:iCs/>
          <w:sz w:val="22"/>
          <w:szCs w:val="22"/>
          <w:lang w:val="es-ES" w:eastAsia="es-ES_tradnl"/>
        </w:rPr>
        <w:t>en base a los lineamientos para la integració</w:t>
      </w:r>
      <w:r>
        <w:rPr>
          <w:rFonts w:ascii="Palatino Linotype" w:eastAsia="Calibri" w:hAnsi="Palatino Linotype" w:cs="Tahoma"/>
          <w:iCs/>
          <w:sz w:val="22"/>
          <w:szCs w:val="22"/>
          <w:lang w:val="es-ES" w:eastAsia="es-ES_tradnl"/>
        </w:rPr>
        <w:t>n del informe mensual del OSFEM</w:t>
      </w:r>
    </w:p>
    <w:p w:rsidR="00D81CA9" w:rsidRDefault="00D81CA9" w:rsidP="00D81CA9">
      <w:pPr>
        <w:spacing w:line="360" w:lineRule="auto"/>
        <w:jc w:val="both"/>
        <w:rPr>
          <w:rFonts w:ascii="Palatino Linotype" w:eastAsia="Calibri" w:hAnsi="Palatino Linotype" w:cs="Tahoma"/>
          <w:iCs/>
          <w:sz w:val="22"/>
          <w:szCs w:val="22"/>
          <w:lang w:val="es-ES" w:eastAsia="es-ES_tradnl"/>
        </w:rPr>
      </w:pPr>
    </w:p>
    <w:p w:rsidR="008E5047" w:rsidRDefault="00AE33BA" w:rsidP="008E5047">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ese contexto y en relación a l</w:t>
      </w:r>
      <w:r w:rsidR="00D81CA9">
        <w:rPr>
          <w:rFonts w:ascii="Palatino Linotype" w:eastAsia="Calibri" w:hAnsi="Palatino Linotype" w:cs="Tahoma"/>
          <w:bCs/>
          <w:sz w:val="22"/>
          <w:szCs w:val="22"/>
          <w:lang w:eastAsia="en-US"/>
        </w:rPr>
        <w:t>os puntos de la</w:t>
      </w:r>
      <w:r>
        <w:rPr>
          <w:rFonts w:ascii="Palatino Linotype" w:eastAsia="Calibri" w:hAnsi="Palatino Linotype" w:cs="Tahoma"/>
          <w:bCs/>
          <w:sz w:val="22"/>
          <w:szCs w:val="22"/>
          <w:lang w:eastAsia="en-US"/>
        </w:rPr>
        <w:t xml:space="preserve"> solicitud de acceso a la información </w:t>
      </w:r>
      <w:r w:rsidR="00C87C8D">
        <w:rPr>
          <w:rFonts w:ascii="Palatino Linotype" w:eastAsia="Calibri" w:hAnsi="Palatino Linotype" w:cs="Tahoma"/>
          <w:bCs/>
          <w:sz w:val="22"/>
          <w:szCs w:val="22"/>
          <w:lang w:eastAsia="en-US"/>
        </w:rPr>
        <w:t>cabe traer a colación</w:t>
      </w:r>
      <w:r w:rsidR="008E5047" w:rsidRPr="008E5047">
        <w:rPr>
          <w:rFonts w:ascii="Palatino Linotype" w:eastAsia="Calibri" w:hAnsi="Palatino Linotype" w:cs="Tahoma"/>
          <w:bCs/>
          <w:sz w:val="22"/>
          <w:szCs w:val="22"/>
          <w:lang w:eastAsia="en-US"/>
        </w:rPr>
        <w:t xml:space="preserve">, el artículo 86 de la Ley Orgánica Municipal del Estado de México, establece que para el ejercicio de sus atribuciones, el Ayuntamiento se auxiliará con las dependencias y entidades de la administración pública municipal, que en cada caso acuerde el cabildo a propuesta del presidente municipal que estarán subordinadas a este servidor público, </w:t>
      </w:r>
      <w:r w:rsidR="008E5047">
        <w:rPr>
          <w:rFonts w:ascii="Palatino Linotype" w:eastAsia="Calibri" w:hAnsi="Palatino Linotype" w:cs="Tahoma"/>
          <w:bCs/>
          <w:sz w:val="22"/>
          <w:szCs w:val="22"/>
          <w:lang w:eastAsia="en-US"/>
        </w:rPr>
        <w:t>a lo que el</w:t>
      </w:r>
      <w:r w:rsidR="008E5047" w:rsidRPr="008E5047">
        <w:rPr>
          <w:rFonts w:ascii="Palatino Linotype" w:eastAsia="Calibri" w:hAnsi="Palatino Linotype" w:cs="Tahoma"/>
          <w:bCs/>
          <w:sz w:val="22"/>
          <w:szCs w:val="22"/>
          <w:lang w:eastAsia="en-US"/>
        </w:rPr>
        <w:t xml:space="preserve"> el artículo </w:t>
      </w:r>
      <w:r w:rsidR="008E5047" w:rsidRPr="008E5047">
        <w:rPr>
          <w:rFonts w:ascii="Palatino Linotype" w:eastAsia="Calibri" w:hAnsi="Palatino Linotype" w:cs="Tahoma"/>
          <w:bCs/>
          <w:sz w:val="22"/>
          <w:szCs w:val="22"/>
          <w:lang w:eastAsia="en-US"/>
        </w:rPr>
        <w:lastRenderedPageBreak/>
        <w:t>87 del mismo ordenamiento legal establece que el Ayuntamiento contará por lo menos con las siguientes Dependencias:</w:t>
      </w:r>
    </w:p>
    <w:p w:rsidR="00EF37F3" w:rsidRPr="008E5047" w:rsidRDefault="00EF37F3" w:rsidP="008E5047">
      <w:pPr>
        <w:spacing w:line="360" w:lineRule="auto"/>
        <w:ind w:right="-93"/>
        <w:jc w:val="both"/>
        <w:rPr>
          <w:rFonts w:ascii="Palatino Linotype" w:eastAsia="Calibri" w:hAnsi="Palatino Linotype" w:cs="Tahoma"/>
          <w:bCs/>
          <w:sz w:val="22"/>
          <w:szCs w:val="22"/>
          <w:lang w:eastAsia="en-US"/>
        </w:rPr>
      </w:pPr>
    </w:p>
    <w:p w:rsidR="008E5047" w:rsidRPr="008E5047" w:rsidRDefault="008E5047" w:rsidP="008E5047">
      <w:pPr>
        <w:spacing w:line="360" w:lineRule="auto"/>
        <w:ind w:right="-93"/>
        <w:jc w:val="both"/>
        <w:rPr>
          <w:rFonts w:ascii="Palatino Linotype" w:eastAsia="Calibri" w:hAnsi="Palatino Linotype" w:cs="Tahoma"/>
          <w:bCs/>
          <w:sz w:val="22"/>
          <w:szCs w:val="22"/>
          <w:lang w:eastAsia="en-US"/>
        </w:rPr>
      </w:pPr>
      <w:r w:rsidRPr="008E5047">
        <w:rPr>
          <w:rFonts w:ascii="Palatino Linotype" w:eastAsia="Calibri" w:hAnsi="Palatino Linotype" w:cs="Tahoma"/>
          <w:bCs/>
          <w:sz w:val="22"/>
          <w:szCs w:val="22"/>
          <w:lang w:eastAsia="en-US"/>
        </w:rPr>
        <w:t>I. La secretaría del ayuntamiento;</w:t>
      </w:r>
    </w:p>
    <w:p w:rsidR="008E5047" w:rsidRPr="008E5047" w:rsidRDefault="008E5047" w:rsidP="008E5047">
      <w:pPr>
        <w:spacing w:line="360" w:lineRule="auto"/>
        <w:ind w:right="-93"/>
        <w:jc w:val="both"/>
        <w:rPr>
          <w:rFonts w:ascii="Palatino Linotype" w:eastAsia="Calibri" w:hAnsi="Palatino Linotype" w:cs="Tahoma"/>
          <w:bCs/>
          <w:sz w:val="22"/>
          <w:szCs w:val="22"/>
          <w:lang w:eastAsia="en-US"/>
        </w:rPr>
      </w:pPr>
      <w:r w:rsidRPr="008E5047">
        <w:rPr>
          <w:rFonts w:ascii="Palatino Linotype" w:eastAsia="Calibri" w:hAnsi="Palatino Linotype" w:cs="Tahoma"/>
          <w:bCs/>
          <w:sz w:val="22"/>
          <w:szCs w:val="22"/>
          <w:lang w:eastAsia="en-US"/>
        </w:rPr>
        <w:t>II. La tesorería municipal.</w:t>
      </w:r>
    </w:p>
    <w:p w:rsidR="008E5047" w:rsidRPr="008E5047" w:rsidRDefault="008E5047" w:rsidP="008E5047">
      <w:pPr>
        <w:spacing w:line="360" w:lineRule="auto"/>
        <w:ind w:right="-93"/>
        <w:jc w:val="both"/>
        <w:rPr>
          <w:rFonts w:ascii="Palatino Linotype" w:eastAsia="Calibri" w:hAnsi="Palatino Linotype" w:cs="Tahoma"/>
          <w:bCs/>
          <w:sz w:val="22"/>
          <w:szCs w:val="22"/>
          <w:lang w:eastAsia="en-US"/>
        </w:rPr>
      </w:pPr>
      <w:r w:rsidRPr="008E5047">
        <w:rPr>
          <w:rFonts w:ascii="Palatino Linotype" w:eastAsia="Calibri" w:hAnsi="Palatino Linotype" w:cs="Tahoma"/>
          <w:bCs/>
          <w:sz w:val="22"/>
          <w:szCs w:val="22"/>
          <w:lang w:eastAsia="en-US"/>
        </w:rPr>
        <w:t>III. La Dirección de Obras Públicas o equivalente.</w:t>
      </w:r>
    </w:p>
    <w:p w:rsidR="008E5047" w:rsidRDefault="008E5047" w:rsidP="008E5047">
      <w:pPr>
        <w:spacing w:line="360" w:lineRule="auto"/>
        <w:ind w:right="-93"/>
        <w:jc w:val="both"/>
        <w:rPr>
          <w:rFonts w:ascii="Palatino Linotype" w:eastAsia="Calibri" w:hAnsi="Palatino Linotype" w:cs="Tahoma"/>
          <w:bCs/>
          <w:sz w:val="22"/>
          <w:szCs w:val="22"/>
          <w:lang w:eastAsia="en-US"/>
        </w:rPr>
      </w:pPr>
      <w:r w:rsidRPr="008E5047">
        <w:rPr>
          <w:rFonts w:ascii="Palatino Linotype" w:eastAsia="Calibri" w:hAnsi="Palatino Linotype" w:cs="Tahoma"/>
          <w:bCs/>
          <w:sz w:val="22"/>
          <w:szCs w:val="22"/>
          <w:lang w:eastAsia="en-US"/>
        </w:rPr>
        <w:t>IV. La Dirección de Desarrollo Económico o equivalente.</w:t>
      </w:r>
    </w:p>
    <w:p w:rsidR="00EF37F3" w:rsidRDefault="00EF37F3" w:rsidP="008E5047">
      <w:pPr>
        <w:spacing w:line="360" w:lineRule="auto"/>
        <w:ind w:right="-93"/>
        <w:jc w:val="both"/>
        <w:rPr>
          <w:rFonts w:ascii="Palatino Linotype" w:eastAsia="Calibri" w:hAnsi="Palatino Linotype" w:cs="Tahoma"/>
          <w:bCs/>
          <w:sz w:val="22"/>
          <w:szCs w:val="22"/>
          <w:lang w:eastAsia="en-US"/>
        </w:rPr>
      </w:pPr>
      <w:r w:rsidRPr="00EF37F3">
        <w:rPr>
          <w:rFonts w:ascii="Palatino Linotype" w:eastAsia="Calibri" w:hAnsi="Palatino Linotype" w:cs="Tahoma"/>
          <w:bCs/>
          <w:sz w:val="22"/>
          <w:szCs w:val="22"/>
          <w:lang w:eastAsia="en-US"/>
        </w:rPr>
        <w:t>V. La Dirección de Desarrollo Urbano o equivalente;</w:t>
      </w:r>
    </w:p>
    <w:p w:rsidR="00EF37F3" w:rsidRPr="00EF37F3" w:rsidRDefault="00EF37F3" w:rsidP="00EF37F3">
      <w:pPr>
        <w:spacing w:line="360" w:lineRule="auto"/>
        <w:ind w:right="-93"/>
        <w:jc w:val="both"/>
        <w:rPr>
          <w:rFonts w:ascii="Palatino Linotype" w:eastAsia="Calibri" w:hAnsi="Palatino Linotype" w:cs="Tahoma"/>
          <w:bCs/>
          <w:sz w:val="22"/>
          <w:szCs w:val="22"/>
          <w:lang w:eastAsia="en-US"/>
        </w:rPr>
      </w:pPr>
      <w:r w:rsidRPr="00EF37F3">
        <w:rPr>
          <w:rFonts w:ascii="Palatino Linotype" w:eastAsia="Calibri" w:hAnsi="Palatino Linotype" w:cs="Tahoma"/>
          <w:bCs/>
          <w:sz w:val="22"/>
          <w:szCs w:val="22"/>
          <w:lang w:eastAsia="en-US"/>
        </w:rPr>
        <w:t>VI. La Dirección de Ecología o equivalente; y</w:t>
      </w:r>
    </w:p>
    <w:p w:rsidR="008E5047" w:rsidRDefault="00EF37F3" w:rsidP="00EF37F3">
      <w:pPr>
        <w:spacing w:line="360" w:lineRule="auto"/>
        <w:ind w:right="-93"/>
        <w:jc w:val="both"/>
        <w:rPr>
          <w:rFonts w:ascii="Palatino Linotype" w:eastAsia="Calibri" w:hAnsi="Palatino Linotype" w:cs="Tahoma"/>
          <w:bCs/>
          <w:sz w:val="22"/>
          <w:szCs w:val="22"/>
          <w:lang w:eastAsia="en-US"/>
        </w:rPr>
      </w:pPr>
      <w:r w:rsidRPr="00EF37F3">
        <w:rPr>
          <w:rFonts w:ascii="Palatino Linotype" w:eastAsia="Calibri" w:hAnsi="Palatino Linotype" w:cs="Tahoma"/>
          <w:bCs/>
          <w:sz w:val="22"/>
          <w:szCs w:val="22"/>
          <w:lang w:eastAsia="en-US"/>
        </w:rPr>
        <w:t>VII. Unidad Municipal de Protección Civil o equivalente.</w:t>
      </w:r>
    </w:p>
    <w:p w:rsidR="00EF37F3" w:rsidRPr="008E5047" w:rsidRDefault="00EF37F3" w:rsidP="00EF37F3">
      <w:pPr>
        <w:spacing w:line="360" w:lineRule="auto"/>
        <w:ind w:right="-93"/>
        <w:jc w:val="both"/>
        <w:rPr>
          <w:rFonts w:ascii="Palatino Linotype" w:eastAsia="Calibri" w:hAnsi="Palatino Linotype" w:cs="Tahoma"/>
          <w:bCs/>
          <w:sz w:val="22"/>
          <w:szCs w:val="22"/>
          <w:lang w:eastAsia="en-US"/>
        </w:rPr>
      </w:pPr>
    </w:p>
    <w:p w:rsidR="008E5047" w:rsidRDefault="008E5047" w:rsidP="008E5047">
      <w:pPr>
        <w:spacing w:line="360" w:lineRule="auto"/>
        <w:ind w:right="-93"/>
        <w:jc w:val="both"/>
        <w:rPr>
          <w:rFonts w:ascii="Palatino Linotype" w:eastAsia="Calibri" w:hAnsi="Palatino Linotype" w:cs="Tahoma"/>
          <w:bCs/>
          <w:sz w:val="22"/>
          <w:szCs w:val="22"/>
          <w:lang w:eastAsia="en-US"/>
        </w:rPr>
      </w:pPr>
      <w:r w:rsidRPr="008E5047">
        <w:rPr>
          <w:rFonts w:ascii="Palatino Linotype" w:eastAsia="Calibri" w:hAnsi="Palatino Linotype" w:cs="Tahoma"/>
          <w:bCs/>
          <w:sz w:val="22"/>
          <w:szCs w:val="22"/>
          <w:lang w:eastAsia="en-US"/>
        </w:rPr>
        <w:t xml:space="preserve">En </w:t>
      </w:r>
      <w:r>
        <w:rPr>
          <w:rFonts w:ascii="Palatino Linotype" w:eastAsia="Calibri" w:hAnsi="Palatino Linotype" w:cs="Tahoma"/>
          <w:bCs/>
          <w:sz w:val="22"/>
          <w:szCs w:val="22"/>
          <w:lang w:eastAsia="en-US"/>
        </w:rPr>
        <w:t>relación</w:t>
      </w:r>
      <w:r w:rsidRPr="008E5047">
        <w:rPr>
          <w:rFonts w:ascii="Palatino Linotype" w:eastAsia="Calibri" w:hAnsi="Palatino Linotype" w:cs="Tahoma"/>
          <w:bCs/>
          <w:sz w:val="22"/>
          <w:szCs w:val="22"/>
          <w:lang w:eastAsia="en-US"/>
        </w:rPr>
        <w:t xml:space="preserve"> a lo anterior, debe mencionarse que las fracciones sus I, IV, VI, XVI, y XXI </w:t>
      </w:r>
      <w:r>
        <w:rPr>
          <w:rFonts w:ascii="Palatino Linotype" w:eastAsia="Calibri" w:hAnsi="Palatino Linotype" w:cs="Tahoma"/>
          <w:bCs/>
          <w:sz w:val="22"/>
          <w:szCs w:val="22"/>
          <w:lang w:eastAsia="en-US"/>
        </w:rPr>
        <w:t>del a</w:t>
      </w:r>
      <w:r w:rsidRPr="008E5047">
        <w:rPr>
          <w:rFonts w:ascii="Palatino Linotype" w:eastAsia="Calibri" w:hAnsi="Palatino Linotype" w:cs="Tahoma"/>
          <w:bCs/>
          <w:sz w:val="22"/>
          <w:szCs w:val="22"/>
          <w:lang w:eastAsia="en-US"/>
        </w:rPr>
        <w:t>rtículo 95 de la Ley Orgánica Municipal para el Estado de México estable</w:t>
      </w:r>
      <w:r>
        <w:rPr>
          <w:rFonts w:ascii="Palatino Linotype" w:eastAsia="Calibri" w:hAnsi="Palatino Linotype" w:cs="Tahoma"/>
          <w:bCs/>
          <w:sz w:val="22"/>
          <w:szCs w:val="22"/>
          <w:lang w:eastAsia="en-US"/>
        </w:rPr>
        <w:t>cen</w:t>
      </w:r>
      <w:r w:rsidRPr="008E5047">
        <w:rPr>
          <w:rFonts w:ascii="Palatino Linotype" w:eastAsia="Calibri" w:hAnsi="Palatino Linotype" w:cs="Tahoma"/>
          <w:bCs/>
          <w:sz w:val="22"/>
          <w:szCs w:val="22"/>
          <w:lang w:eastAsia="en-US"/>
        </w:rPr>
        <w:t xml:space="preserve"> que es facultad de la Tesorería Municipal administra</w:t>
      </w:r>
      <w:r w:rsidR="00C65C94">
        <w:rPr>
          <w:rFonts w:ascii="Palatino Linotype" w:eastAsia="Calibri" w:hAnsi="Palatino Linotype" w:cs="Tahoma"/>
          <w:bCs/>
          <w:sz w:val="22"/>
          <w:szCs w:val="22"/>
          <w:lang w:eastAsia="en-US"/>
        </w:rPr>
        <w:t>r</w:t>
      </w:r>
      <w:r w:rsidRPr="008E5047">
        <w:rPr>
          <w:rFonts w:ascii="Palatino Linotype" w:eastAsia="Calibri" w:hAnsi="Palatino Linotype" w:cs="Tahoma"/>
          <w:bCs/>
          <w:sz w:val="22"/>
          <w:szCs w:val="22"/>
          <w:lang w:eastAsia="en-US"/>
        </w:rPr>
        <w:t xml:space="preserve"> la hacienda pública municipal, de conformidad con las disposiciones legales aplicables; llevar los registros contables, financieros y administrativos de los ingresos, egresos, e inventarios; </w:t>
      </w:r>
      <w:r w:rsidR="00EF37F3">
        <w:rPr>
          <w:rFonts w:ascii="Palatino Linotype" w:eastAsia="Calibri" w:hAnsi="Palatino Linotype" w:cs="Tahoma"/>
          <w:bCs/>
          <w:sz w:val="22"/>
          <w:szCs w:val="22"/>
          <w:lang w:eastAsia="en-US"/>
        </w:rPr>
        <w:t xml:space="preserve">así como </w:t>
      </w:r>
      <w:r w:rsidRPr="008E5047">
        <w:rPr>
          <w:rFonts w:ascii="Palatino Linotype" w:eastAsia="Calibri" w:hAnsi="Palatino Linotype" w:cs="Tahoma"/>
          <w:bCs/>
          <w:sz w:val="22"/>
          <w:szCs w:val="22"/>
          <w:lang w:eastAsia="en-US"/>
        </w:rPr>
        <w:t xml:space="preserve">presentar anualmente al </w:t>
      </w:r>
      <w:r w:rsidR="00C65C94" w:rsidRPr="008E5047">
        <w:rPr>
          <w:rFonts w:ascii="Palatino Linotype" w:eastAsia="Calibri" w:hAnsi="Palatino Linotype" w:cs="Tahoma"/>
          <w:bCs/>
          <w:sz w:val="22"/>
          <w:szCs w:val="22"/>
          <w:lang w:eastAsia="en-US"/>
        </w:rPr>
        <w:t xml:space="preserve">Ayuntamiento </w:t>
      </w:r>
      <w:r w:rsidRPr="008E5047">
        <w:rPr>
          <w:rFonts w:ascii="Palatino Linotype" w:eastAsia="Calibri" w:hAnsi="Palatino Linotype" w:cs="Tahoma"/>
          <w:bCs/>
          <w:sz w:val="22"/>
          <w:szCs w:val="22"/>
          <w:lang w:eastAsia="en-US"/>
        </w:rPr>
        <w:t xml:space="preserve">un informe de la situación contable financiera de la Tesorería Municipal; glosar oportunamente las cuentas del ayuntamiento; </w:t>
      </w:r>
      <w:r w:rsidR="00EF37F3">
        <w:rPr>
          <w:rFonts w:ascii="Palatino Linotype" w:eastAsia="Calibri" w:hAnsi="Palatino Linotype" w:cs="Tahoma"/>
          <w:bCs/>
          <w:sz w:val="22"/>
          <w:szCs w:val="22"/>
          <w:lang w:eastAsia="en-US"/>
        </w:rPr>
        <w:t>además de</w:t>
      </w:r>
      <w:r w:rsidRPr="008E5047">
        <w:rPr>
          <w:rFonts w:ascii="Palatino Linotype" w:eastAsia="Calibri" w:hAnsi="Palatino Linotype" w:cs="Tahoma"/>
          <w:bCs/>
          <w:sz w:val="22"/>
          <w:szCs w:val="22"/>
          <w:lang w:eastAsia="en-US"/>
        </w:rPr>
        <w:t xml:space="preserve"> entregar oportunamente a él o los Síndicos, según sea el caso, el informe mensual que corresponda, a fin de que se revise, y de ser necesario, para que se formulen las observaciones respectivas. </w:t>
      </w:r>
    </w:p>
    <w:p w:rsidR="00C65C94" w:rsidRPr="008E5047" w:rsidRDefault="00C65C94" w:rsidP="008E5047">
      <w:pPr>
        <w:spacing w:line="360" w:lineRule="auto"/>
        <w:ind w:right="-93"/>
        <w:jc w:val="both"/>
        <w:rPr>
          <w:rFonts w:ascii="Palatino Linotype" w:eastAsia="Calibri" w:hAnsi="Palatino Linotype" w:cs="Tahoma"/>
          <w:bCs/>
          <w:sz w:val="22"/>
          <w:szCs w:val="22"/>
          <w:lang w:eastAsia="en-US"/>
        </w:rPr>
      </w:pPr>
    </w:p>
    <w:p w:rsidR="008E5047" w:rsidRPr="008E5047" w:rsidRDefault="008E5047" w:rsidP="008E5047">
      <w:pPr>
        <w:spacing w:line="360" w:lineRule="auto"/>
        <w:ind w:right="-93"/>
        <w:jc w:val="both"/>
        <w:rPr>
          <w:rFonts w:ascii="Palatino Linotype" w:eastAsia="Calibri" w:hAnsi="Palatino Linotype" w:cs="Tahoma"/>
          <w:bCs/>
          <w:sz w:val="22"/>
          <w:szCs w:val="22"/>
          <w:lang w:eastAsia="en-US"/>
        </w:rPr>
      </w:pPr>
      <w:r w:rsidRPr="008E5047">
        <w:rPr>
          <w:rFonts w:ascii="Palatino Linotype" w:eastAsia="Calibri" w:hAnsi="Palatino Linotype" w:cs="Tahoma"/>
          <w:bCs/>
          <w:sz w:val="22"/>
          <w:szCs w:val="22"/>
          <w:lang w:eastAsia="en-US"/>
        </w:rPr>
        <w:t>En este sentido, es pertinente referir que conforme a lo establecido por la Ley de Fiscalización Superior del Estado de México, en su artículo 2 fracción XI, entiende al informe mensual como:</w:t>
      </w:r>
    </w:p>
    <w:p w:rsidR="00C65C94" w:rsidRDefault="00C65C94" w:rsidP="008E5047">
      <w:pPr>
        <w:spacing w:line="360" w:lineRule="auto"/>
        <w:ind w:right="-93"/>
        <w:jc w:val="both"/>
        <w:rPr>
          <w:rFonts w:ascii="Palatino Linotype" w:eastAsia="Calibri" w:hAnsi="Palatino Linotype" w:cs="Tahoma"/>
          <w:bCs/>
          <w:sz w:val="22"/>
          <w:szCs w:val="22"/>
          <w:lang w:eastAsia="en-US"/>
        </w:rPr>
      </w:pPr>
    </w:p>
    <w:p w:rsidR="008E5047" w:rsidRPr="00EF37F3" w:rsidRDefault="00EF37F3" w:rsidP="00C65C94">
      <w:pPr>
        <w:spacing w:line="360" w:lineRule="auto"/>
        <w:ind w:left="567" w:right="539"/>
        <w:jc w:val="both"/>
        <w:rPr>
          <w:rFonts w:ascii="Palatino Linotype" w:eastAsia="Calibri" w:hAnsi="Palatino Linotype" w:cs="Tahoma"/>
          <w:bCs/>
          <w:i/>
          <w:szCs w:val="22"/>
          <w:lang w:eastAsia="en-US"/>
        </w:rPr>
      </w:pPr>
      <w:r w:rsidRPr="00EF37F3">
        <w:rPr>
          <w:rFonts w:ascii="Palatino Linotype" w:eastAsia="Calibri" w:hAnsi="Palatino Linotype" w:cs="Tahoma"/>
          <w:bCs/>
          <w:i/>
          <w:szCs w:val="22"/>
          <w:lang w:eastAsia="en-US"/>
        </w:rPr>
        <w:t>“</w:t>
      </w:r>
      <w:r w:rsidRPr="00EF37F3">
        <w:rPr>
          <w:rFonts w:ascii="Palatino Linotype" w:eastAsia="Calibri" w:hAnsi="Palatino Linotype" w:cs="Tahoma"/>
          <w:b/>
          <w:bCs/>
          <w:i/>
          <w:szCs w:val="22"/>
          <w:lang w:eastAsia="en-US"/>
        </w:rPr>
        <w:t>Artículo 2</w:t>
      </w:r>
      <w:r w:rsidRPr="00EF37F3">
        <w:rPr>
          <w:rFonts w:ascii="Palatino Linotype" w:eastAsia="Calibri" w:hAnsi="Palatino Linotype" w:cs="Tahoma"/>
          <w:bCs/>
          <w:i/>
          <w:szCs w:val="22"/>
          <w:lang w:eastAsia="en-US"/>
        </w:rPr>
        <w:t>.  Para los efectos de la presente Ley, se entenderá por:</w:t>
      </w:r>
    </w:p>
    <w:p w:rsidR="00EF37F3" w:rsidRPr="00EF37F3" w:rsidRDefault="00EF37F3" w:rsidP="00C65C94">
      <w:pPr>
        <w:spacing w:line="360" w:lineRule="auto"/>
        <w:ind w:left="567" w:right="539"/>
        <w:jc w:val="both"/>
        <w:rPr>
          <w:rFonts w:ascii="Palatino Linotype" w:eastAsia="Calibri" w:hAnsi="Palatino Linotype" w:cs="Tahoma"/>
          <w:b/>
          <w:bCs/>
          <w:i/>
          <w:szCs w:val="22"/>
          <w:lang w:eastAsia="en-US"/>
        </w:rPr>
      </w:pPr>
      <w:r w:rsidRPr="00EF37F3">
        <w:rPr>
          <w:rFonts w:ascii="Palatino Linotype" w:eastAsia="Calibri" w:hAnsi="Palatino Linotype" w:cs="Tahoma"/>
          <w:b/>
          <w:bCs/>
          <w:i/>
          <w:szCs w:val="22"/>
          <w:lang w:eastAsia="en-US"/>
        </w:rPr>
        <w:t>I a X…</w:t>
      </w:r>
    </w:p>
    <w:p w:rsidR="008E5047" w:rsidRPr="00EF37F3" w:rsidRDefault="008E5047" w:rsidP="00C65C94">
      <w:pPr>
        <w:spacing w:line="360" w:lineRule="auto"/>
        <w:ind w:left="567" w:right="539"/>
        <w:jc w:val="both"/>
        <w:rPr>
          <w:rFonts w:ascii="Palatino Linotype" w:eastAsia="Calibri" w:hAnsi="Palatino Linotype" w:cs="Tahoma"/>
          <w:bCs/>
          <w:i/>
          <w:szCs w:val="22"/>
          <w:lang w:eastAsia="en-US"/>
        </w:rPr>
      </w:pPr>
      <w:r w:rsidRPr="00EF37F3">
        <w:rPr>
          <w:rFonts w:ascii="Palatino Linotype" w:eastAsia="Calibri" w:hAnsi="Palatino Linotype" w:cs="Tahoma"/>
          <w:b/>
          <w:bCs/>
          <w:i/>
          <w:szCs w:val="22"/>
          <w:lang w:eastAsia="en-US"/>
        </w:rPr>
        <w:lastRenderedPageBreak/>
        <w:t>XI</w:t>
      </w:r>
      <w:r w:rsidRPr="00EF37F3">
        <w:rPr>
          <w:rFonts w:ascii="Palatino Linotype" w:eastAsia="Calibri" w:hAnsi="Palatino Linotype" w:cs="Tahoma"/>
          <w:bCs/>
          <w:i/>
          <w:szCs w:val="22"/>
          <w:lang w:eastAsia="en-US"/>
        </w:rPr>
        <w:t xml:space="preserve">. Informe Mensual: Al documento que mensualmente envían para su análisis al Órgano Superior de Fiscalización de la Legislatura, las Tesorerías Municipales y </w:t>
      </w:r>
      <w:r w:rsidR="00EF37F3" w:rsidRPr="00EF37F3">
        <w:rPr>
          <w:rFonts w:ascii="Palatino Linotype" w:eastAsia="Calibri" w:hAnsi="Palatino Linotype" w:cs="Tahoma"/>
          <w:bCs/>
          <w:i/>
          <w:szCs w:val="22"/>
          <w:lang w:eastAsia="en-US"/>
        </w:rPr>
        <w:t>la Secretaría de Finanzas.</w:t>
      </w:r>
    </w:p>
    <w:p w:rsidR="00EF37F3" w:rsidRPr="00EF37F3" w:rsidRDefault="00EF37F3" w:rsidP="00C65C94">
      <w:pPr>
        <w:spacing w:line="360" w:lineRule="auto"/>
        <w:ind w:left="567" w:right="539"/>
        <w:jc w:val="both"/>
        <w:rPr>
          <w:rFonts w:ascii="Palatino Linotype" w:eastAsia="Calibri" w:hAnsi="Palatino Linotype" w:cs="Tahoma"/>
          <w:b/>
          <w:bCs/>
          <w:i/>
          <w:szCs w:val="22"/>
          <w:lang w:eastAsia="en-US"/>
        </w:rPr>
      </w:pPr>
      <w:r w:rsidRPr="00EF37F3">
        <w:rPr>
          <w:rFonts w:ascii="Palatino Linotype" w:eastAsia="Calibri" w:hAnsi="Palatino Linotype" w:cs="Tahoma"/>
          <w:b/>
          <w:bCs/>
          <w:i/>
          <w:szCs w:val="22"/>
          <w:lang w:eastAsia="en-US"/>
        </w:rPr>
        <w:t>XII a XIX…</w:t>
      </w:r>
    </w:p>
    <w:p w:rsidR="008E5047" w:rsidRPr="008E5047" w:rsidRDefault="008E5047" w:rsidP="008E5047">
      <w:pPr>
        <w:spacing w:line="360" w:lineRule="auto"/>
        <w:ind w:right="-93"/>
        <w:jc w:val="both"/>
        <w:rPr>
          <w:rFonts w:ascii="Palatino Linotype" w:eastAsia="Calibri" w:hAnsi="Palatino Linotype" w:cs="Tahoma"/>
          <w:bCs/>
          <w:sz w:val="22"/>
          <w:szCs w:val="22"/>
          <w:lang w:eastAsia="en-US"/>
        </w:rPr>
      </w:pPr>
    </w:p>
    <w:p w:rsidR="008E5047" w:rsidRDefault="00EF37F3" w:rsidP="008E5047">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lo anterior</w:t>
      </w:r>
      <w:r w:rsidR="008E5047" w:rsidRPr="008E5047">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se advierte que </w:t>
      </w:r>
      <w:r w:rsidR="008E5047" w:rsidRPr="008E5047">
        <w:rPr>
          <w:rFonts w:ascii="Palatino Linotype" w:eastAsia="Calibri" w:hAnsi="Palatino Linotype" w:cs="Tahoma"/>
          <w:bCs/>
          <w:sz w:val="22"/>
          <w:szCs w:val="22"/>
          <w:lang w:eastAsia="en-US"/>
        </w:rPr>
        <w:t>el informe mensual, es el documento por medio del cual la Tesorería del Sujeto Obligado, describe la</w:t>
      </w:r>
      <w:r>
        <w:rPr>
          <w:rFonts w:ascii="Palatino Linotype" w:eastAsia="Calibri" w:hAnsi="Palatino Linotype" w:cs="Tahoma"/>
          <w:bCs/>
          <w:sz w:val="22"/>
          <w:szCs w:val="22"/>
          <w:lang w:eastAsia="en-US"/>
        </w:rPr>
        <w:t xml:space="preserve"> manera en como ejerce y aplica sus recursos</w:t>
      </w:r>
      <w:r w:rsidR="008E5047" w:rsidRPr="008E5047">
        <w:rPr>
          <w:rFonts w:ascii="Palatino Linotype" w:eastAsia="Calibri" w:hAnsi="Palatino Linotype" w:cs="Tahoma"/>
          <w:bCs/>
          <w:sz w:val="22"/>
          <w:szCs w:val="22"/>
          <w:lang w:eastAsia="en-US"/>
        </w:rPr>
        <w:t>, el cual deberá enviar al Órgano Superior de Fiscalización para su estudio de manera mensual.</w:t>
      </w:r>
    </w:p>
    <w:p w:rsidR="00EF37F3" w:rsidRPr="008E5047" w:rsidRDefault="00EF37F3" w:rsidP="008E5047">
      <w:pPr>
        <w:spacing w:line="360" w:lineRule="auto"/>
        <w:ind w:right="-93"/>
        <w:jc w:val="both"/>
        <w:rPr>
          <w:rFonts w:ascii="Palatino Linotype" w:eastAsia="Calibri" w:hAnsi="Palatino Linotype" w:cs="Tahoma"/>
          <w:bCs/>
          <w:sz w:val="22"/>
          <w:szCs w:val="22"/>
          <w:lang w:eastAsia="en-US"/>
        </w:rPr>
      </w:pPr>
    </w:p>
    <w:p w:rsidR="008E5047" w:rsidRDefault="008E5047" w:rsidP="008E5047">
      <w:pPr>
        <w:spacing w:line="360" w:lineRule="auto"/>
        <w:ind w:right="-93"/>
        <w:jc w:val="both"/>
        <w:rPr>
          <w:rFonts w:ascii="Palatino Linotype" w:eastAsia="Calibri" w:hAnsi="Palatino Linotype" w:cs="Tahoma"/>
          <w:bCs/>
          <w:sz w:val="22"/>
          <w:szCs w:val="22"/>
          <w:lang w:eastAsia="en-US"/>
        </w:rPr>
      </w:pPr>
      <w:r w:rsidRPr="008E5047">
        <w:rPr>
          <w:rFonts w:ascii="Palatino Linotype" w:eastAsia="Calibri" w:hAnsi="Palatino Linotype" w:cs="Tahoma"/>
          <w:bCs/>
          <w:sz w:val="22"/>
          <w:szCs w:val="22"/>
          <w:lang w:eastAsia="en-US"/>
        </w:rPr>
        <w:t xml:space="preserve">Ahora bien, los informes </w:t>
      </w:r>
      <w:r w:rsidR="00EF37F3">
        <w:rPr>
          <w:rFonts w:ascii="Palatino Linotype" w:eastAsia="Calibri" w:hAnsi="Palatino Linotype" w:cs="Tahoma"/>
          <w:bCs/>
          <w:sz w:val="22"/>
          <w:szCs w:val="22"/>
          <w:lang w:eastAsia="en-US"/>
        </w:rPr>
        <w:t xml:space="preserve">que remite </w:t>
      </w:r>
      <w:r w:rsidRPr="008E5047">
        <w:rPr>
          <w:rFonts w:ascii="Palatino Linotype" w:eastAsia="Calibri" w:hAnsi="Palatino Linotype" w:cs="Tahoma"/>
          <w:bCs/>
          <w:sz w:val="22"/>
          <w:szCs w:val="22"/>
          <w:lang w:eastAsia="en-US"/>
        </w:rPr>
        <w:t xml:space="preserve"> mensualmente el Tesorero del Sujeto Obligado al </w:t>
      </w:r>
      <w:r w:rsidR="00EF37F3">
        <w:rPr>
          <w:rFonts w:ascii="Palatino Linotype" w:eastAsia="Calibri" w:hAnsi="Palatino Linotype" w:cs="Tahoma"/>
          <w:bCs/>
          <w:sz w:val="22"/>
          <w:szCs w:val="22"/>
          <w:lang w:eastAsia="en-US"/>
        </w:rPr>
        <w:t>Órgano Superior de Fiscalización del Estado de México (</w:t>
      </w:r>
      <w:r w:rsidRPr="008E5047">
        <w:rPr>
          <w:rFonts w:ascii="Palatino Linotype" w:eastAsia="Calibri" w:hAnsi="Palatino Linotype" w:cs="Tahoma"/>
          <w:bCs/>
          <w:sz w:val="22"/>
          <w:szCs w:val="22"/>
          <w:lang w:eastAsia="en-US"/>
        </w:rPr>
        <w:t>OSFEM</w:t>
      </w:r>
      <w:r w:rsidR="00EF37F3">
        <w:rPr>
          <w:rFonts w:ascii="Palatino Linotype" w:eastAsia="Calibri" w:hAnsi="Palatino Linotype" w:cs="Tahoma"/>
          <w:bCs/>
          <w:sz w:val="22"/>
          <w:szCs w:val="22"/>
          <w:lang w:eastAsia="en-US"/>
        </w:rPr>
        <w:t>)</w:t>
      </w:r>
      <w:r w:rsidRPr="008E5047">
        <w:rPr>
          <w:rFonts w:ascii="Palatino Linotype" w:eastAsia="Calibri" w:hAnsi="Palatino Linotype" w:cs="Tahoma"/>
          <w:bCs/>
          <w:sz w:val="22"/>
          <w:szCs w:val="22"/>
          <w:lang w:eastAsia="en-US"/>
        </w:rPr>
        <w:t xml:space="preserve">, deben contener todo lo relacionado al tema a examinar y toda vez que </w:t>
      </w:r>
      <w:r w:rsidR="00EF37F3">
        <w:rPr>
          <w:rFonts w:ascii="Palatino Linotype" w:eastAsia="Calibri" w:hAnsi="Palatino Linotype" w:cs="Tahoma"/>
          <w:bCs/>
          <w:sz w:val="22"/>
          <w:szCs w:val="22"/>
          <w:lang w:eastAsia="en-US"/>
        </w:rPr>
        <w:t xml:space="preserve">este Órgano e4s el encargado </w:t>
      </w:r>
      <w:r w:rsidRPr="008E5047">
        <w:rPr>
          <w:rFonts w:ascii="Palatino Linotype" w:eastAsia="Calibri" w:hAnsi="Palatino Linotype" w:cs="Tahoma"/>
          <w:bCs/>
          <w:sz w:val="22"/>
          <w:szCs w:val="22"/>
          <w:lang w:eastAsia="en-US"/>
        </w:rPr>
        <w:t>de fiscalizar al Sujeto Obligado</w:t>
      </w:r>
      <w:r w:rsidR="00EF37F3">
        <w:rPr>
          <w:rFonts w:ascii="Palatino Linotype" w:eastAsia="Calibri" w:hAnsi="Palatino Linotype" w:cs="Tahoma"/>
          <w:bCs/>
          <w:sz w:val="22"/>
          <w:szCs w:val="22"/>
          <w:lang w:eastAsia="en-US"/>
        </w:rPr>
        <w:t xml:space="preserve"> de acuerdo a lo señalado por la </w:t>
      </w:r>
      <w:r w:rsidRPr="008E5047">
        <w:rPr>
          <w:rFonts w:ascii="Palatino Linotype" w:eastAsia="Calibri" w:hAnsi="Palatino Linotype" w:cs="Tahoma"/>
          <w:bCs/>
          <w:sz w:val="22"/>
          <w:szCs w:val="22"/>
          <w:lang w:eastAsia="en-US"/>
        </w:rPr>
        <w:t xml:space="preserve">Ley de Fiscalización </w:t>
      </w:r>
      <w:r w:rsidR="00EF37F3">
        <w:rPr>
          <w:rFonts w:ascii="Palatino Linotype" w:eastAsia="Calibri" w:hAnsi="Palatino Linotype" w:cs="Tahoma"/>
          <w:bCs/>
          <w:sz w:val="22"/>
          <w:szCs w:val="22"/>
          <w:lang w:eastAsia="en-US"/>
        </w:rPr>
        <w:t xml:space="preserve">Superior del Estado de México la cual lo </w:t>
      </w:r>
      <w:r w:rsidRPr="008E5047">
        <w:rPr>
          <w:rFonts w:ascii="Palatino Linotype" w:eastAsia="Calibri" w:hAnsi="Palatino Linotype" w:cs="Tahoma"/>
          <w:bCs/>
          <w:sz w:val="22"/>
          <w:szCs w:val="22"/>
          <w:lang w:eastAsia="en-US"/>
        </w:rPr>
        <w:t xml:space="preserve">faculta para crear los lineamientos, criterios, procedimientos, métodos y sistemas para las acciones de control y evaluación que se deben de seguir para los informes mensuales; </w:t>
      </w:r>
      <w:r w:rsidR="00EF37F3">
        <w:rPr>
          <w:rFonts w:ascii="Palatino Linotype" w:eastAsia="Calibri" w:hAnsi="Palatino Linotype" w:cs="Tahoma"/>
          <w:bCs/>
          <w:sz w:val="22"/>
          <w:szCs w:val="22"/>
          <w:lang w:eastAsia="en-US"/>
        </w:rPr>
        <w:t xml:space="preserve">según lo establecido en </w:t>
      </w:r>
      <w:r w:rsidRPr="008E5047">
        <w:rPr>
          <w:rFonts w:ascii="Palatino Linotype" w:eastAsia="Calibri" w:hAnsi="Palatino Linotype" w:cs="Tahoma"/>
          <w:bCs/>
          <w:sz w:val="22"/>
          <w:szCs w:val="22"/>
          <w:lang w:eastAsia="en-US"/>
        </w:rPr>
        <w:t>el artículo 8, que a la letra dice:</w:t>
      </w:r>
    </w:p>
    <w:p w:rsidR="00EF37F3" w:rsidRPr="008E5047" w:rsidRDefault="00EF37F3" w:rsidP="008E5047">
      <w:pPr>
        <w:spacing w:line="360" w:lineRule="auto"/>
        <w:ind w:right="-93"/>
        <w:jc w:val="both"/>
        <w:rPr>
          <w:rFonts w:ascii="Palatino Linotype" w:eastAsia="Calibri" w:hAnsi="Palatino Linotype" w:cs="Tahoma"/>
          <w:bCs/>
          <w:sz w:val="22"/>
          <w:szCs w:val="22"/>
          <w:lang w:eastAsia="en-US"/>
        </w:rPr>
      </w:pPr>
    </w:p>
    <w:p w:rsidR="008E5047" w:rsidRDefault="008E5047" w:rsidP="00EF37F3">
      <w:pPr>
        <w:spacing w:line="360" w:lineRule="auto"/>
        <w:ind w:left="567" w:right="539"/>
        <w:jc w:val="both"/>
        <w:rPr>
          <w:rFonts w:ascii="Palatino Linotype" w:eastAsia="Calibri" w:hAnsi="Palatino Linotype" w:cs="Tahoma"/>
          <w:bCs/>
          <w:i/>
          <w:szCs w:val="22"/>
          <w:lang w:eastAsia="en-US"/>
        </w:rPr>
      </w:pPr>
      <w:r w:rsidRPr="00EF37F3">
        <w:rPr>
          <w:rFonts w:ascii="Palatino Linotype" w:eastAsia="Calibri" w:hAnsi="Palatino Linotype" w:cs="Tahoma"/>
          <w:bCs/>
          <w:i/>
          <w:szCs w:val="22"/>
          <w:lang w:eastAsia="en-US"/>
        </w:rPr>
        <w:t>“</w:t>
      </w:r>
      <w:r w:rsidRPr="00EF37F3">
        <w:rPr>
          <w:rFonts w:ascii="Palatino Linotype" w:eastAsia="Calibri" w:hAnsi="Palatino Linotype" w:cs="Tahoma"/>
          <w:b/>
          <w:bCs/>
          <w:i/>
          <w:szCs w:val="22"/>
          <w:lang w:eastAsia="en-US"/>
        </w:rPr>
        <w:t>Artículo 8</w:t>
      </w:r>
      <w:r w:rsidRPr="00EF37F3">
        <w:rPr>
          <w:rFonts w:ascii="Palatino Linotype" w:eastAsia="Calibri" w:hAnsi="Palatino Linotype" w:cs="Tahoma"/>
          <w:bCs/>
          <w:i/>
          <w:szCs w:val="22"/>
          <w:lang w:eastAsia="en-US"/>
        </w:rPr>
        <w:t>.- El Órgano Superior tendrá las siguientes atribuciones:</w:t>
      </w:r>
    </w:p>
    <w:p w:rsidR="00EF37F3" w:rsidRPr="00EF37F3" w:rsidRDefault="00EF37F3" w:rsidP="00EF37F3">
      <w:pPr>
        <w:spacing w:line="360" w:lineRule="auto"/>
        <w:ind w:left="567" w:right="539"/>
        <w:jc w:val="both"/>
        <w:rPr>
          <w:rFonts w:ascii="Palatino Linotype" w:eastAsia="Calibri" w:hAnsi="Palatino Linotype" w:cs="Tahoma"/>
          <w:b/>
          <w:bCs/>
          <w:i/>
          <w:szCs w:val="22"/>
          <w:lang w:eastAsia="en-US"/>
        </w:rPr>
      </w:pPr>
      <w:r w:rsidRPr="00EF37F3">
        <w:rPr>
          <w:rFonts w:ascii="Palatino Linotype" w:eastAsia="Calibri" w:hAnsi="Palatino Linotype" w:cs="Tahoma"/>
          <w:b/>
          <w:bCs/>
          <w:i/>
          <w:szCs w:val="22"/>
          <w:lang w:eastAsia="en-US"/>
        </w:rPr>
        <w:t>I a X…</w:t>
      </w:r>
    </w:p>
    <w:p w:rsidR="008E5047" w:rsidRDefault="008E5047" w:rsidP="00EF37F3">
      <w:pPr>
        <w:spacing w:line="360" w:lineRule="auto"/>
        <w:ind w:left="567" w:right="539"/>
        <w:jc w:val="both"/>
        <w:rPr>
          <w:rFonts w:ascii="Palatino Linotype" w:eastAsia="Calibri" w:hAnsi="Palatino Linotype" w:cs="Tahoma"/>
          <w:bCs/>
          <w:i/>
          <w:szCs w:val="22"/>
          <w:lang w:eastAsia="en-US"/>
        </w:rPr>
      </w:pPr>
      <w:r w:rsidRPr="00EF37F3">
        <w:rPr>
          <w:rFonts w:ascii="Palatino Linotype" w:eastAsia="Calibri" w:hAnsi="Palatino Linotype" w:cs="Tahoma"/>
          <w:b/>
          <w:bCs/>
          <w:i/>
          <w:szCs w:val="22"/>
          <w:lang w:eastAsia="en-US"/>
        </w:rPr>
        <w:t>XI</w:t>
      </w:r>
      <w:r w:rsidRPr="00EF37F3">
        <w:rPr>
          <w:rFonts w:ascii="Palatino Linotype" w:eastAsia="Calibri" w:hAnsi="Palatino Linotype" w:cs="Tahoma"/>
          <w:bCs/>
          <w:i/>
          <w:szCs w:val="22"/>
          <w:lang w:eastAsia="en-US"/>
        </w:rPr>
        <w:t>. Establecer los lineamientos, criterios, procedimientos, métodos y sistemas para las acciones de control y evaluación, necesarios para la fiscalización de las cuentas públicas</w:t>
      </w:r>
      <w:r w:rsidR="00EF37F3">
        <w:rPr>
          <w:rFonts w:ascii="Palatino Linotype" w:eastAsia="Calibri" w:hAnsi="Palatino Linotype" w:cs="Tahoma"/>
          <w:bCs/>
          <w:i/>
          <w:szCs w:val="22"/>
          <w:lang w:eastAsia="en-US"/>
        </w:rPr>
        <w:t xml:space="preserve"> y los informes mensuales.</w:t>
      </w:r>
    </w:p>
    <w:p w:rsidR="00EF37F3" w:rsidRPr="00EF37F3" w:rsidRDefault="00EF37F3" w:rsidP="00EF37F3">
      <w:pPr>
        <w:spacing w:line="360" w:lineRule="auto"/>
        <w:ind w:left="567" w:right="539"/>
        <w:jc w:val="both"/>
        <w:rPr>
          <w:rFonts w:ascii="Palatino Linotype" w:eastAsia="Calibri" w:hAnsi="Palatino Linotype" w:cs="Tahoma"/>
          <w:b/>
          <w:bCs/>
          <w:i/>
          <w:szCs w:val="22"/>
          <w:lang w:eastAsia="en-US"/>
        </w:rPr>
      </w:pPr>
      <w:r w:rsidRPr="00EF37F3">
        <w:rPr>
          <w:rFonts w:ascii="Palatino Linotype" w:eastAsia="Calibri" w:hAnsi="Palatino Linotype" w:cs="Tahoma"/>
          <w:b/>
          <w:bCs/>
          <w:i/>
          <w:szCs w:val="22"/>
          <w:lang w:eastAsia="en-US"/>
        </w:rPr>
        <w:t>XII a XXXVI</w:t>
      </w:r>
      <w:r>
        <w:rPr>
          <w:rFonts w:ascii="Palatino Linotype" w:eastAsia="Calibri" w:hAnsi="Palatino Linotype" w:cs="Tahoma"/>
          <w:b/>
          <w:bCs/>
          <w:i/>
          <w:szCs w:val="22"/>
          <w:lang w:eastAsia="en-US"/>
        </w:rPr>
        <w:t>…</w:t>
      </w:r>
    </w:p>
    <w:p w:rsidR="008E5047" w:rsidRPr="008E5047" w:rsidRDefault="008E5047" w:rsidP="008E5047">
      <w:pPr>
        <w:spacing w:line="360" w:lineRule="auto"/>
        <w:ind w:right="-93"/>
        <w:jc w:val="both"/>
        <w:rPr>
          <w:rFonts w:ascii="Palatino Linotype" w:eastAsia="Calibri" w:hAnsi="Palatino Linotype" w:cs="Tahoma"/>
          <w:bCs/>
          <w:sz w:val="22"/>
          <w:szCs w:val="22"/>
          <w:lang w:eastAsia="en-US"/>
        </w:rPr>
      </w:pPr>
    </w:p>
    <w:p w:rsidR="000A3AD8" w:rsidRDefault="000A3AD8" w:rsidP="000A3AD8">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lo anterior</w:t>
      </w:r>
      <w:r w:rsidRPr="001E0D8F">
        <w:rPr>
          <w:rFonts w:ascii="Palatino Linotype" w:eastAsia="Calibri" w:hAnsi="Palatino Linotype" w:cs="Tahoma"/>
          <w:bCs/>
          <w:sz w:val="22"/>
          <w:szCs w:val="22"/>
          <w:lang w:eastAsia="en-US"/>
        </w:rPr>
        <w:t>, el Órgano Superior de Fiscalización emite anualmente los Lineamientos para la elaboración y presentación del Informe Mensual Municipal, los cuales tienen como objetivo establecer las especificaciones necesarias que las entidades fiscalizables deben cumplir para la elaboración y presentación de los informes mensuales.</w:t>
      </w:r>
    </w:p>
    <w:p w:rsidR="000A3AD8" w:rsidRDefault="000A3AD8" w:rsidP="000A3AD8">
      <w:pPr>
        <w:spacing w:line="360" w:lineRule="auto"/>
        <w:ind w:right="-93"/>
        <w:jc w:val="both"/>
        <w:rPr>
          <w:rFonts w:ascii="Palatino Linotype" w:eastAsia="Calibri" w:hAnsi="Palatino Linotype" w:cs="Tahoma"/>
          <w:bCs/>
          <w:sz w:val="22"/>
          <w:szCs w:val="22"/>
          <w:lang w:eastAsia="en-US"/>
        </w:rPr>
      </w:pPr>
    </w:p>
    <w:p w:rsidR="000A3AD8" w:rsidRPr="001E0D8F" w:rsidRDefault="000A3AD8" w:rsidP="000A3AD8">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lastRenderedPageBreak/>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tal y como lo señala el artículo 32 de la Ley de Fiscalización Superior del Estado de México.</w:t>
      </w:r>
    </w:p>
    <w:p w:rsidR="000A3AD8" w:rsidRDefault="000A3AD8" w:rsidP="000A3AD8">
      <w:pPr>
        <w:spacing w:line="360" w:lineRule="auto"/>
        <w:ind w:right="-93"/>
        <w:jc w:val="both"/>
        <w:rPr>
          <w:rFonts w:ascii="Palatino Linotype" w:eastAsia="Calibri" w:hAnsi="Palatino Linotype" w:cs="Tahoma"/>
          <w:bCs/>
          <w:sz w:val="22"/>
          <w:szCs w:val="22"/>
          <w:lang w:eastAsia="en-US"/>
        </w:rPr>
      </w:pPr>
    </w:p>
    <w:p w:rsidR="000A3AD8" w:rsidRPr="001E0D8F" w:rsidRDefault="000A3AD8" w:rsidP="000A3AD8">
      <w:pPr>
        <w:spacing w:line="360" w:lineRule="auto"/>
        <w:ind w:right="-93"/>
        <w:jc w:val="both"/>
        <w:rPr>
          <w:rFonts w:ascii="Palatino Linotype" w:eastAsia="Calibri" w:hAnsi="Palatino Linotype" w:cs="Tahoma"/>
          <w:bCs/>
          <w:sz w:val="22"/>
          <w:szCs w:val="22"/>
          <w:lang w:val="es-ES" w:eastAsia="en-US"/>
        </w:rPr>
      </w:pPr>
      <w:r w:rsidRPr="001E0D8F">
        <w:rPr>
          <w:rFonts w:ascii="Palatino Linotype" w:eastAsia="Calibri" w:hAnsi="Palatino Linotype" w:cs="Tahoma"/>
          <w:bCs/>
          <w:sz w:val="22"/>
          <w:szCs w:val="22"/>
          <w:lang w:eastAsia="en-US"/>
        </w:rPr>
        <w:t xml:space="preserve">Ahora bien, en los Lineamientos referidos, se advierte el análisis que nos ocupa, </w:t>
      </w:r>
      <w:r>
        <w:rPr>
          <w:rFonts w:ascii="Palatino Linotype" w:eastAsia="Calibri" w:hAnsi="Palatino Linotype" w:cs="Tahoma"/>
          <w:bCs/>
          <w:sz w:val="22"/>
          <w:szCs w:val="22"/>
          <w:lang w:eastAsia="en-US"/>
        </w:rPr>
        <w:t xml:space="preserve">referente a los Discos del 1 al </w:t>
      </w:r>
      <w:r w:rsidRPr="001E0D8F">
        <w:rPr>
          <w:rFonts w:ascii="Palatino Linotype" w:eastAsia="Calibri" w:hAnsi="Palatino Linotype" w:cs="Tahoma"/>
          <w:bCs/>
          <w:sz w:val="22"/>
          <w:szCs w:val="22"/>
          <w:lang w:eastAsia="en-US"/>
        </w:rPr>
        <w:t>4</w:t>
      </w:r>
      <w:r>
        <w:rPr>
          <w:rFonts w:ascii="Palatino Linotype" w:eastAsia="Calibri" w:hAnsi="Palatino Linotype" w:cs="Tahoma"/>
          <w:bCs/>
          <w:sz w:val="22"/>
          <w:szCs w:val="22"/>
          <w:lang w:eastAsia="en-US"/>
        </w:rPr>
        <w:t xml:space="preserve"> de los meses de enero a mayo de dos mil diecinueve,</w:t>
      </w:r>
      <w:r w:rsidRPr="001E0D8F">
        <w:rPr>
          <w:rFonts w:ascii="Palatino Linotype" w:eastAsia="Calibri" w:hAnsi="Palatino Linotype" w:cs="Tahoma"/>
          <w:bCs/>
          <w:sz w:val="22"/>
          <w:szCs w:val="22"/>
          <w:lang w:val="es-ES" w:eastAsia="en-US"/>
        </w:rPr>
        <w:t xml:space="preserve"> tal y como se muestra en las siguientes imágenes: </w:t>
      </w:r>
    </w:p>
    <w:p w:rsidR="000A3AD8" w:rsidRDefault="000A3AD8" w:rsidP="000A3AD8">
      <w:pPr>
        <w:spacing w:line="360" w:lineRule="auto"/>
        <w:ind w:right="-93"/>
        <w:jc w:val="center"/>
        <w:rPr>
          <w:rFonts w:ascii="Palatino Linotype" w:eastAsia="Calibri" w:hAnsi="Palatino Linotype" w:cs="Tahoma"/>
          <w:bCs/>
          <w:sz w:val="22"/>
          <w:szCs w:val="22"/>
          <w:lang w:eastAsia="en-US"/>
        </w:rPr>
      </w:pPr>
      <w:r>
        <w:rPr>
          <w:noProof/>
          <w:lang w:val="es-ES"/>
        </w:rPr>
        <w:drawing>
          <wp:inline distT="0" distB="0" distL="0" distR="0" wp14:anchorId="4A222B96" wp14:editId="768EB95D">
            <wp:extent cx="2769568" cy="3962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439" t="9436" r="54058" b="5346"/>
                    <a:stretch/>
                  </pic:blipFill>
                  <pic:spPr bwMode="auto">
                    <a:xfrm>
                      <a:off x="0" y="0"/>
                      <a:ext cx="2783879" cy="3982874"/>
                    </a:xfrm>
                    <a:prstGeom prst="rect">
                      <a:avLst/>
                    </a:prstGeom>
                    <a:ln>
                      <a:noFill/>
                    </a:ln>
                    <a:extLst>
                      <a:ext uri="{53640926-AAD7-44D8-BBD7-CCE9431645EC}">
                        <a14:shadowObscured xmlns:a14="http://schemas.microsoft.com/office/drawing/2010/main"/>
                      </a:ext>
                    </a:extLst>
                  </pic:spPr>
                </pic:pic>
              </a:graphicData>
            </a:graphic>
          </wp:inline>
        </w:drawing>
      </w:r>
    </w:p>
    <w:p w:rsidR="000A3AD8" w:rsidRDefault="000A3AD8" w:rsidP="000A3AD8">
      <w:pPr>
        <w:spacing w:line="360" w:lineRule="auto"/>
        <w:ind w:right="-93"/>
        <w:jc w:val="center"/>
        <w:rPr>
          <w:rFonts w:ascii="Palatino Linotype" w:eastAsia="Calibri" w:hAnsi="Palatino Linotype" w:cs="Tahoma"/>
          <w:bCs/>
          <w:sz w:val="22"/>
          <w:szCs w:val="22"/>
          <w:lang w:eastAsia="en-US"/>
        </w:rPr>
      </w:pPr>
    </w:p>
    <w:p w:rsidR="000A3AD8" w:rsidRDefault="000A3AD8" w:rsidP="008E5047">
      <w:pPr>
        <w:spacing w:line="360" w:lineRule="auto"/>
        <w:ind w:right="-93"/>
        <w:jc w:val="both"/>
        <w:rPr>
          <w:rFonts w:ascii="Palatino Linotype" w:eastAsia="Calibri" w:hAnsi="Palatino Linotype" w:cs="Tahoma"/>
          <w:bCs/>
          <w:sz w:val="22"/>
          <w:szCs w:val="22"/>
          <w:lang w:eastAsia="en-US"/>
        </w:rPr>
      </w:pPr>
    </w:p>
    <w:p w:rsidR="008E5047" w:rsidRDefault="00E12DE2" w:rsidP="00E12DE2">
      <w:pPr>
        <w:spacing w:line="360" w:lineRule="auto"/>
        <w:ind w:right="-93"/>
        <w:jc w:val="center"/>
        <w:rPr>
          <w:rFonts w:ascii="Palatino Linotype" w:eastAsia="Calibri" w:hAnsi="Palatino Linotype" w:cs="Tahoma"/>
          <w:bCs/>
          <w:sz w:val="22"/>
          <w:szCs w:val="22"/>
          <w:lang w:eastAsia="en-US"/>
        </w:rPr>
      </w:pPr>
      <w:r>
        <w:rPr>
          <w:noProof/>
          <w:lang w:val="es-ES"/>
        </w:rPr>
        <w:lastRenderedPageBreak/>
        <w:drawing>
          <wp:inline distT="0" distB="0" distL="0" distR="0" wp14:anchorId="4AC8ED9D" wp14:editId="1120A378">
            <wp:extent cx="3130192" cy="2723225"/>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772" t="26091" r="54720" b="23628"/>
                    <a:stretch/>
                  </pic:blipFill>
                  <pic:spPr bwMode="auto">
                    <a:xfrm>
                      <a:off x="0" y="0"/>
                      <a:ext cx="3142543" cy="2733970"/>
                    </a:xfrm>
                    <a:prstGeom prst="rect">
                      <a:avLst/>
                    </a:prstGeom>
                    <a:ln>
                      <a:noFill/>
                    </a:ln>
                    <a:extLst>
                      <a:ext uri="{53640926-AAD7-44D8-BBD7-CCE9431645EC}">
                        <a14:shadowObscured xmlns:a14="http://schemas.microsoft.com/office/drawing/2010/main"/>
                      </a:ext>
                    </a:extLst>
                  </pic:spPr>
                </pic:pic>
              </a:graphicData>
            </a:graphic>
          </wp:inline>
        </w:drawing>
      </w:r>
    </w:p>
    <w:p w:rsidR="00E12DE2" w:rsidRDefault="00E12DE2" w:rsidP="00E12DE2">
      <w:pPr>
        <w:spacing w:line="360" w:lineRule="auto"/>
        <w:ind w:right="-93"/>
        <w:jc w:val="center"/>
        <w:rPr>
          <w:rFonts w:ascii="Palatino Linotype" w:eastAsia="Calibri" w:hAnsi="Palatino Linotype" w:cs="Tahoma"/>
          <w:bCs/>
          <w:sz w:val="22"/>
          <w:szCs w:val="22"/>
          <w:lang w:eastAsia="en-US"/>
        </w:rPr>
      </w:pPr>
      <w:r>
        <w:rPr>
          <w:noProof/>
          <w:lang w:val="es-ES"/>
        </w:rPr>
        <w:drawing>
          <wp:inline distT="0" distB="0" distL="0" distR="0" wp14:anchorId="6E197CC3" wp14:editId="6D1C6288">
            <wp:extent cx="3223617" cy="4318148"/>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449" t="6487" r="53891" b="8591"/>
                    <a:stretch/>
                  </pic:blipFill>
                  <pic:spPr bwMode="auto">
                    <a:xfrm>
                      <a:off x="0" y="0"/>
                      <a:ext cx="3240282" cy="4340471"/>
                    </a:xfrm>
                    <a:prstGeom prst="rect">
                      <a:avLst/>
                    </a:prstGeom>
                    <a:ln>
                      <a:noFill/>
                    </a:ln>
                    <a:extLst>
                      <a:ext uri="{53640926-AAD7-44D8-BBD7-CCE9431645EC}">
                        <a14:shadowObscured xmlns:a14="http://schemas.microsoft.com/office/drawing/2010/main"/>
                      </a:ext>
                    </a:extLst>
                  </pic:spPr>
                </pic:pic>
              </a:graphicData>
            </a:graphic>
          </wp:inline>
        </w:drawing>
      </w:r>
    </w:p>
    <w:p w:rsidR="00E12DE2" w:rsidRDefault="00E12DE2" w:rsidP="00E12DE2">
      <w:pPr>
        <w:spacing w:line="360" w:lineRule="auto"/>
        <w:ind w:right="-93"/>
        <w:jc w:val="center"/>
        <w:rPr>
          <w:rFonts w:ascii="Palatino Linotype" w:eastAsia="Calibri" w:hAnsi="Palatino Linotype" w:cs="Tahoma"/>
          <w:bCs/>
          <w:sz w:val="22"/>
          <w:szCs w:val="22"/>
          <w:lang w:eastAsia="en-US"/>
        </w:rPr>
      </w:pPr>
      <w:r>
        <w:rPr>
          <w:noProof/>
          <w:lang w:val="es-ES"/>
        </w:rPr>
        <w:lastRenderedPageBreak/>
        <w:drawing>
          <wp:inline distT="0" distB="0" distL="0" distR="0" wp14:anchorId="1E8A7578" wp14:editId="426BC411">
            <wp:extent cx="3400425" cy="2642984"/>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780" t="13564" r="54225" b="38077"/>
                    <a:stretch/>
                  </pic:blipFill>
                  <pic:spPr bwMode="auto">
                    <a:xfrm>
                      <a:off x="0" y="0"/>
                      <a:ext cx="3412760" cy="2652571"/>
                    </a:xfrm>
                    <a:prstGeom prst="rect">
                      <a:avLst/>
                    </a:prstGeom>
                    <a:ln>
                      <a:noFill/>
                    </a:ln>
                    <a:extLst>
                      <a:ext uri="{53640926-AAD7-44D8-BBD7-CCE9431645EC}">
                        <a14:shadowObscured xmlns:a14="http://schemas.microsoft.com/office/drawing/2010/main"/>
                      </a:ext>
                    </a:extLst>
                  </pic:spPr>
                </pic:pic>
              </a:graphicData>
            </a:graphic>
          </wp:inline>
        </w:drawing>
      </w:r>
    </w:p>
    <w:p w:rsidR="00E12DE2" w:rsidRDefault="00E12DE2" w:rsidP="00E12DE2">
      <w:pPr>
        <w:spacing w:line="360" w:lineRule="auto"/>
        <w:ind w:right="-93"/>
        <w:jc w:val="center"/>
        <w:rPr>
          <w:rFonts w:ascii="Palatino Linotype" w:eastAsia="Calibri" w:hAnsi="Palatino Linotype" w:cs="Tahoma"/>
          <w:bCs/>
          <w:sz w:val="22"/>
          <w:szCs w:val="22"/>
          <w:lang w:eastAsia="en-US"/>
        </w:rPr>
      </w:pPr>
    </w:p>
    <w:p w:rsidR="00E12DE2" w:rsidRDefault="00E12DE2" w:rsidP="00E12DE2">
      <w:pPr>
        <w:spacing w:line="360" w:lineRule="auto"/>
        <w:ind w:right="-93"/>
        <w:jc w:val="center"/>
        <w:rPr>
          <w:rFonts w:ascii="Palatino Linotype" w:eastAsia="Calibri" w:hAnsi="Palatino Linotype" w:cs="Tahoma"/>
          <w:bCs/>
          <w:sz w:val="22"/>
          <w:szCs w:val="22"/>
          <w:lang w:eastAsia="en-US"/>
        </w:rPr>
      </w:pPr>
      <w:r>
        <w:rPr>
          <w:noProof/>
          <w:lang w:val="es-ES"/>
        </w:rPr>
        <w:drawing>
          <wp:inline distT="0" distB="0" distL="0" distR="0" wp14:anchorId="5A3DE00E" wp14:editId="570E1009">
            <wp:extent cx="3584563" cy="146621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615" t="11450" r="53229" b="62257"/>
                    <a:stretch/>
                  </pic:blipFill>
                  <pic:spPr bwMode="auto">
                    <a:xfrm>
                      <a:off x="0" y="0"/>
                      <a:ext cx="3591429" cy="1469024"/>
                    </a:xfrm>
                    <a:prstGeom prst="rect">
                      <a:avLst/>
                    </a:prstGeom>
                    <a:ln>
                      <a:noFill/>
                    </a:ln>
                    <a:extLst>
                      <a:ext uri="{53640926-AAD7-44D8-BBD7-CCE9431645EC}">
                        <a14:shadowObscured xmlns:a14="http://schemas.microsoft.com/office/drawing/2010/main"/>
                      </a:ext>
                    </a:extLst>
                  </pic:spPr>
                </pic:pic>
              </a:graphicData>
            </a:graphic>
          </wp:inline>
        </w:drawing>
      </w:r>
    </w:p>
    <w:p w:rsidR="00E12DE2" w:rsidRDefault="00E12DE2" w:rsidP="00E12DE2">
      <w:pPr>
        <w:spacing w:line="360" w:lineRule="auto"/>
        <w:ind w:right="-93"/>
        <w:jc w:val="center"/>
        <w:rPr>
          <w:rFonts w:ascii="Palatino Linotype" w:eastAsia="Calibri" w:hAnsi="Palatino Linotype" w:cs="Tahoma"/>
          <w:bCs/>
          <w:sz w:val="22"/>
          <w:szCs w:val="22"/>
          <w:lang w:eastAsia="en-US"/>
        </w:rPr>
      </w:pPr>
    </w:p>
    <w:p w:rsidR="00E12DE2" w:rsidRDefault="00E12DE2" w:rsidP="00E12DE2">
      <w:pPr>
        <w:spacing w:line="360" w:lineRule="auto"/>
        <w:ind w:right="-93"/>
        <w:jc w:val="center"/>
        <w:rPr>
          <w:rFonts w:ascii="Palatino Linotype" w:eastAsia="Calibri" w:hAnsi="Palatino Linotype" w:cs="Tahoma"/>
          <w:bCs/>
          <w:sz w:val="22"/>
          <w:szCs w:val="22"/>
          <w:lang w:eastAsia="en-US"/>
        </w:rPr>
      </w:pPr>
      <w:r>
        <w:rPr>
          <w:noProof/>
          <w:lang w:val="es-ES"/>
        </w:rPr>
        <w:drawing>
          <wp:inline distT="0" distB="0" distL="0" distR="0" wp14:anchorId="0A8B698C" wp14:editId="7C91083E">
            <wp:extent cx="3467100" cy="219745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615" t="40986" r="54058" b="19206"/>
                    <a:stretch/>
                  </pic:blipFill>
                  <pic:spPr bwMode="auto">
                    <a:xfrm>
                      <a:off x="0" y="0"/>
                      <a:ext cx="3489882" cy="2211897"/>
                    </a:xfrm>
                    <a:prstGeom prst="rect">
                      <a:avLst/>
                    </a:prstGeom>
                    <a:ln>
                      <a:noFill/>
                    </a:ln>
                    <a:extLst>
                      <a:ext uri="{53640926-AAD7-44D8-BBD7-CCE9431645EC}">
                        <a14:shadowObscured xmlns:a14="http://schemas.microsoft.com/office/drawing/2010/main"/>
                      </a:ext>
                    </a:extLst>
                  </pic:spPr>
                </pic:pic>
              </a:graphicData>
            </a:graphic>
          </wp:inline>
        </w:drawing>
      </w:r>
    </w:p>
    <w:p w:rsidR="00E12DE2" w:rsidRDefault="00E12DE2" w:rsidP="00E12DE2">
      <w:pPr>
        <w:spacing w:line="360" w:lineRule="auto"/>
        <w:ind w:right="-93"/>
        <w:jc w:val="center"/>
        <w:rPr>
          <w:rFonts w:ascii="Palatino Linotype" w:eastAsia="Calibri" w:hAnsi="Palatino Linotype" w:cs="Tahoma"/>
          <w:bCs/>
          <w:sz w:val="22"/>
          <w:szCs w:val="22"/>
          <w:lang w:eastAsia="en-US"/>
        </w:rPr>
      </w:pPr>
      <w:r>
        <w:rPr>
          <w:noProof/>
          <w:lang w:val="es-ES"/>
        </w:rPr>
        <w:lastRenderedPageBreak/>
        <w:drawing>
          <wp:inline distT="0" distB="0" distL="0" distR="0" wp14:anchorId="5C2C8010" wp14:editId="041CFE0D">
            <wp:extent cx="3294320" cy="1362075"/>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444" t="46294" r="54058" b="28347"/>
                    <a:stretch/>
                  </pic:blipFill>
                  <pic:spPr bwMode="auto">
                    <a:xfrm>
                      <a:off x="0" y="0"/>
                      <a:ext cx="3314210" cy="1370299"/>
                    </a:xfrm>
                    <a:prstGeom prst="rect">
                      <a:avLst/>
                    </a:prstGeom>
                    <a:ln>
                      <a:noFill/>
                    </a:ln>
                    <a:extLst>
                      <a:ext uri="{53640926-AAD7-44D8-BBD7-CCE9431645EC}">
                        <a14:shadowObscured xmlns:a14="http://schemas.microsoft.com/office/drawing/2010/main"/>
                      </a:ext>
                    </a:extLst>
                  </pic:spPr>
                </pic:pic>
              </a:graphicData>
            </a:graphic>
          </wp:inline>
        </w:drawing>
      </w:r>
    </w:p>
    <w:p w:rsidR="00E12DE2" w:rsidRDefault="00E12DE2" w:rsidP="00E12DE2">
      <w:pPr>
        <w:spacing w:line="360" w:lineRule="auto"/>
        <w:ind w:right="-93"/>
        <w:jc w:val="center"/>
        <w:rPr>
          <w:rFonts w:ascii="Palatino Linotype" w:eastAsia="Calibri" w:hAnsi="Palatino Linotype" w:cs="Tahoma"/>
          <w:bCs/>
          <w:sz w:val="22"/>
          <w:szCs w:val="22"/>
          <w:lang w:eastAsia="en-US"/>
        </w:rPr>
      </w:pPr>
    </w:p>
    <w:p w:rsidR="00E12DE2" w:rsidRDefault="00E12DE2" w:rsidP="00E12DE2">
      <w:pPr>
        <w:spacing w:line="360" w:lineRule="auto"/>
        <w:ind w:right="-93"/>
        <w:jc w:val="center"/>
        <w:rPr>
          <w:rFonts w:ascii="Palatino Linotype" w:eastAsia="Calibri" w:hAnsi="Palatino Linotype" w:cs="Tahoma"/>
          <w:bCs/>
          <w:sz w:val="22"/>
          <w:szCs w:val="22"/>
          <w:lang w:eastAsia="en-US"/>
        </w:rPr>
      </w:pPr>
      <w:r>
        <w:rPr>
          <w:noProof/>
          <w:lang w:val="es-ES"/>
        </w:rPr>
        <w:drawing>
          <wp:inline distT="0" distB="0" distL="0" distR="0" wp14:anchorId="1ED4536B" wp14:editId="2ACAB2CB">
            <wp:extent cx="3105150" cy="2797709"/>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108" t="35385" r="54390" b="10950"/>
                    <a:stretch/>
                  </pic:blipFill>
                  <pic:spPr bwMode="auto">
                    <a:xfrm>
                      <a:off x="0" y="0"/>
                      <a:ext cx="3116515" cy="2807949"/>
                    </a:xfrm>
                    <a:prstGeom prst="rect">
                      <a:avLst/>
                    </a:prstGeom>
                    <a:ln>
                      <a:noFill/>
                    </a:ln>
                    <a:extLst>
                      <a:ext uri="{53640926-AAD7-44D8-BBD7-CCE9431645EC}">
                        <a14:shadowObscured xmlns:a14="http://schemas.microsoft.com/office/drawing/2010/main"/>
                      </a:ext>
                    </a:extLst>
                  </pic:spPr>
                </pic:pic>
              </a:graphicData>
            </a:graphic>
          </wp:inline>
        </w:drawing>
      </w:r>
    </w:p>
    <w:p w:rsidR="00E12DE2" w:rsidRDefault="00E12DE2" w:rsidP="00E12DE2">
      <w:pPr>
        <w:spacing w:line="360" w:lineRule="auto"/>
        <w:ind w:right="-93"/>
        <w:jc w:val="center"/>
        <w:rPr>
          <w:rFonts w:ascii="Palatino Linotype" w:eastAsia="Calibri" w:hAnsi="Palatino Linotype" w:cs="Tahoma"/>
          <w:bCs/>
          <w:sz w:val="22"/>
          <w:szCs w:val="22"/>
          <w:lang w:eastAsia="en-US"/>
        </w:rPr>
      </w:pPr>
      <w:r>
        <w:rPr>
          <w:noProof/>
          <w:lang w:val="es-ES"/>
        </w:rPr>
        <w:drawing>
          <wp:inline distT="0" distB="0" distL="0" distR="0" wp14:anchorId="1257571A" wp14:editId="6C2B674D">
            <wp:extent cx="3284696" cy="28289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116" t="31551" r="55220" b="15372"/>
                    <a:stretch/>
                  </pic:blipFill>
                  <pic:spPr bwMode="auto">
                    <a:xfrm>
                      <a:off x="0" y="0"/>
                      <a:ext cx="3298437" cy="2840759"/>
                    </a:xfrm>
                    <a:prstGeom prst="rect">
                      <a:avLst/>
                    </a:prstGeom>
                    <a:ln>
                      <a:noFill/>
                    </a:ln>
                    <a:extLst>
                      <a:ext uri="{53640926-AAD7-44D8-BBD7-CCE9431645EC}">
                        <a14:shadowObscured xmlns:a14="http://schemas.microsoft.com/office/drawing/2010/main"/>
                      </a:ext>
                    </a:extLst>
                  </pic:spPr>
                </pic:pic>
              </a:graphicData>
            </a:graphic>
          </wp:inline>
        </w:drawing>
      </w:r>
    </w:p>
    <w:p w:rsidR="00E12DE2" w:rsidRPr="008E5047" w:rsidRDefault="00E12DE2" w:rsidP="00E12DE2">
      <w:pPr>
        <w:spacing w:line="360" w:lineRule="auto"/>
        <w:ind w:right="-93"/>
        <w:jc w:val="center"/>
        <w:rPr>
          <w:rFonts w:ascii="Palatino Linotype" w:eastAsia="Calibri" w:hAnsi="Palatino Linotype" w:cs="Tahoma"/>
          <w:bCs/>
          <w:sz w:val="22"/>
          <w:szCs w:val="22"/>
          <w:lang w:eastAsia="en-US"/>
        </w:rPr>
      </w:pPr>
    </w:p>
    <w:p w:rsidR="00277D6E" w:rsidRPr="001E0D8F" w:rsidRDefault="00277D6E" w:rsidP="00277D6E">
      <w:pPr>
        <w:spacing w:line="360" w:lineRule="auto"/>
        <w:ind w:right="-91"/>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val="es-ES" w:eastAsia="en-US"/>
        </w:rPr>
        <w:lastRenderedPageBreak/>
        <w:t>Atento a lo anterior, resulta claro que existe fuente obligacional que constriñe al Sujeto Obligado, para entregar los informes mensuales al OSFEM,</w:t>
      </w:r>
      <w:r w:rsidRPr="001E0D8F">
        <w:rPr>
          <w:rFonts w:ascii="Palatino Linotype" w:eastAsia="Calibri" w:hAnsi="Palatino Linotype" w:cs="Tahoma"/>
          <w:bCs/>
          <w:sz w:val="22"/>
          <w:szCs w:val="22"/>
          <w:lang w:eastAsia="en-US"/>
        </w:rPr>
        <w:t xml:space="preserve"> en consecuencia, la información solicitada; por el Recurrente debe obrar en los archivos del Sujeto Obligado.</w:t>
      </w:r>
    </w:p>
    <w:p w:rsidR="00277D6E" w:rsidRPr="001E0D8F" w:rsidRDefault="00277D6E" w:rsidP="00277D6E">
      <w:pPr>
        <w:spacing w:line="360" w:lineRule="auto"/>
        <w:ind w:right="-91"/>
        <w:jc w:val="both"/>
        <w:rPr>
          <w:rFonts w:ascii="Palatino Linotype" w:eastAsia="Calibri" w:hAnsi="Palatino Linotype" w:cs="Tahoma"/>
          <w:bCs/>
          <w:sz w:val="22"/>
          <w:szCs w:val="22"/>
          <w:lang w:eastAsia="en-US"/>
        </w:rPr>
      </w:pPr>
    </w:p>
    <w:p w:rsidR="00277D6E" w:rsidRPr="001E0D8F" w:rsidRDefault="00277D6E" w:rsidP="00277D6E">
      <w:pPr>
        <w:spacing w:line="360" w:lineRule="auto"/>
        <w:ind w:right="-91"/>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En este sentido, de acuerdo a la naturaleza de la información solicitada se concluye que ésta</w:t>
      </w:r>
      <w:r w:rsidRPr="001E0D8F">
        <w:rPr>
          <w:rFonts w:ascii="Palatino Linotype" w:hAnsi="Palatino Linotype" w:cs="Arial"/>
          <w:sz w:val="22"/>
          <w:szCs w:val="22"/>
          <w:lang w:val="es-ES"/>
        </w:rPr>
        <w:t xml:space="preserve"> es de</w:t>
      </w:r>
      <w:r w:rsidRPr="001E0D8F">
        <w:rPr>
          <w:rFonts w:ascii="Palatino Linotype" w:hAnsi="Palatino Linotype" w:cs="Arial"/>
          <w:bCs/>
          <w:sz w:val="22"/>
          <w:szCs w:val="22"/>
          <w:lang w:val="es-ES"/>
        </w:rPr>
        <w:t xml:space="preserve"> interés general y de alcance público, puesto que la ciudadanía tiene derecho a saber cuánto es el gasto ejercido p</w:t>
      </w:r>
      <w:r>
        <w:rPr>
          <w:rFonts w:ascii="Palatino Linotype" w:hAnsi="Palatino Linotype" w:cs="Arial"/>
          <w:bCs/>
          <w:sz w:val="22"/>
          <w:szCs w:val="22"/>
          <w:lang w:val="es-ES"/>
        </w:rPr>
        <w:t>or el Sujeto Obligado en el ámbito de sus actividades y atribuciones</w:t>
      </w:r>
      <w:r w:rsidRPr="001E0D8F">
        <w:rPr>
          <w:rFonts w:ascii="Palatino Linotype" w:hAnsi="Palatino Linotype" w:cs="Arial"/>
          <w:bCs/>
          <w:sz w:val="22"/>
          <w:szCs w:val="22"/>
          <w:lang w:val="es-ES"/>
        </w:rPr>
        <w:t>, esto es, su acceso</w:t>
      </w:r>
      <w:r w:rsidRPr="001E0D8F">
        <w:rPr>
          <w:rFonts w:ascii="Palatino Linotype" w:hAnsi="Palatino Linotype" w:cs="Arial"/>
          <w:sz w:val="22"/>
          <w:szCs w:val="22"/>
          <w:lang w:val="es-ES"/>
        </w:rPr>
        <w:t xml:space="preserve"> </w:t>
      </w:r>
      <w:r w:rsidRPr="001E0D8F">
        <w:rPr>
          <w:rFonts w:ascii="Palatino Linotype" w:hAnsi="Palatino Linotype" w:cs="Arial"/>
          <w:bCs/>
          <w:sz w:val="22"/>
          <w:szCs w:val="22"/>
          <w:lang w:val="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mismo que establece como deber de los Sujetos Obligados el hacer pública toda la información respecto a los montos y </w:t>
      </w:r>
      <w:r w:rsidRPr="001E0D8F">
        <w:rPr>
          <w:rFonts w:ascii="Palatino Linotype" w:eastAsia="Calibri" w:hAnsi="Palatino Linotype" w:cs="Tahoma"/>
          <w:bCs/>
          <w:sz w:val="22"/>
          <w:szCs w:val="22"/>
          <w:lang w:eastAsia="en-US"/>
        </w:rPr>
        <w:t>nombres de las personas a quienes se entreguen recursos públicos y con ello transparentar la forma, términos, causas y finalidad en la disposición de esos recursos.</w:t>
      </w:r>
    </w:p>
    <w:p w:rsidR="00277D6E" w:rsidRPr="001E0D8F" w:rsidRDefault="00277D6E" w:rsidP="00277D6E">
      <w:pPr>
        <w:spacing w:line="360" w:lineRule="auto"/>
        <w:ind w:right="-93"/>
        <w:jc w:val="both"/>
        <w:rPr>
          <w:rFonts w:ascii="Palatino Linotype" w:eastAsia="Calibri" w:hAnsi="Palatino Linotype" w:cs="Tahoma"/>
          <w:bCs/>
          <w:sz w:val="22"/>
          <w:szCs w:val="22"/>
          <w:lang w:eastAsia="en-US"/>
        </w:rPr>
      </w:pPr>
    </w:p>
    <w:p w:rsidR="00277D6E" w:rsidRPr="00331629" w:rsidRDefault="00277D6E" w:rsidP="00277D6E">
      <w:pPr>
        <w:pStyle w:val="Sinespaciado"/>
        <w:spacing w:line="360" w:lineRule="auto"/>
        <w:ind w:left="0" w:right="-28"/>
        <w:rPr>
          <w:rFonts w:ascii="Palatino Linotype" w:eastAsia="Calibri" w:hAnsi="Palatino Linotype" w:cs="Tahoma"/>
          <w:bCs/>
          <w:sz w:val="22"/>
          <w:szCs w:val="22"/>
          <w:lang w:eastAsia="en-US"/>
        </w:rPr>
      </w:pPr>
      <w:r w:rsidRPr="00331629">
        <w:rPr>
          <w:rFonts w:ascii="Palatino Linotype" w:eastAsia="Calibri" w:hAnsi="Palatino Linotype" w:cs="Tahoma"/>
          <w:bCs/>
          <w:sz w:val="22"/>
          <w:szCs w:val="22"/>
          <w:lang w:eastAsia="en-US"/>
        </w:rPr>
        <w:t xml:space="preserve">Ahora bien y toda vez que el Recurrente solicitó los informes mensuales </w:t>
      </w:r>
      <w:r>
        <w:rPr>
          <w:rFonts w:ascii="Palatino Linotype" w:eastAsia="Calibri" w:hAnsi="Palatino Linotype" w:cs="Tahoma"/>
          <w:bCs/>
          <w:sz w:val="22"/>
          <w:szCs w:val="22"/>
          <w:lang w:eastAsia="en-US"/>
        </w:rPr>
        <w:t xml:space="preserve">de enero, febrero, marzo, abril y mayo de dos mil diecinueve </w:t>
      </w:r>
      <w:r w:rsidRPr="00331629">
        <w:rPr>
          <w:rFonts w:ascii="Palatino Linotype" w:eastAsia="Calibri" w:hAnsi="Palatino Linotype" w:cs="Tahoma"/>
          <w:bCs/>
          <w:sz w:val="22"/>
          <w:szCs w:val="22"/>
          <w:lang w:eastAsia="en-US"/>
        </w:rPr>
        <w:t>remitidos al OSFEM contenidos en l</w:t>
      </w:r>
      <w:r>
        <w:rPr>
          <w:rFonts w:ascii="Palatino Linotype" w:eastAsia="Calibri" w:hAnsi="Palatino Linotype" w:cs="Tahoma"/>
          <w:bCs/>
          <w:sz w:val="22"/>
          <w:szCs w:val="22"/>
          <w:lang w:eastAsia="en-US"/>
        </w:rPr>
        <w:t>os</w:t>
      </w:r>
      <w:r w:rsidRPr="00331629">
        <w:rPr>
          <w:rFonts w:ascii="Palatino Linotype" w:eastAsia="Calibri" w:hAnsi="Palatino Linotype" w:cs="Tahoma"/>
          <w:bCs/>
          <w:sz w:val="22"/>
          <w:szCs w:val="22"/>
          <w:lang w:eastAsia="en-US"/>
        </w:rPr>
        <w:t xml:space="preserve"> disco</w:t>
      </w:r>
      <w:r>
        <w:rPr>
          <w:rFonts w:ascii="Palatino Linotype" w:eastAsia="Calibri" w:hAnsi="Palatino Linotype" w:cs="Tahoma"/>
          <w:bCs/>
          <w:sz w:val="22"/>
          <w:szCs w:val="22"/>
          <w:lang w:eastAsia="en-US"/>
        </w:rPr>
        <w:t>s</w:t>
      </w:r>
      <w:r w:rsidRPr="00331629">
        <w:rPr>
          <w:rFonts w:ascii="Palatino Linotype" w:eastAsia="Calibri" w:hAnsi="Palatino Linotype" w:cs="Tahoma"/>
          <w:bCs/>
          <w:sz w:val="22"/>
          <w:szCs w:val="22"/>
          <w:lang w:eastAsia="en-US"/>
        </w:rPr>
        <w:t xml:space="preserve"> número </w:t>
      </w:r>
      <w:r>
        <w:rPr>
          <w:rFonts w:ascii="Palatino Linotype" w:eastAsia="Calibri" w:hAnsi="Palatino Linotype" w:cs="Tahoma"/>
          <w:bCs/>
          <w:sz w:val="22"/>
          <w:szCs w:val="22"/>
          <w:lang w:eastAsia="en-US"/>
        </w:rPr>
        <w:t xml:space="preserve">1, 2, 3 y </w:t>
      </w:r>
      <w:r w:rsidRPr="00331629">
        <w:rPr>
          <w:rFonts w:ascii="Palatino Linotype" w:eastAsia="Calibri" w:hAnsi="Palatino Linotype" w:cs="Tahoma"/>
          <w:bCs/>
          <w:sz w:val="22"/>
          <w:szCs w:val="22"/>
          <w:lang w:eastAsia="en-US"/>
        </w:rPr>
        <w:t xml:space="preserve">4, es conveniente resaltar que el </w:t>
      </w:r>
      <w:r w:rsidRPr="00331629">
        <w:rPr>
          <w:rFonts w:ascii="Palatino Linotype" w:eastAsia="Calibri" w:hAnsi="Palatino Linotype" w:cs="Tahoma"/>
          <w:bCs/>
          <w:caps/>
          <w:sz w:val="22"/>
          <w:szCs w:val="22"/>
          <w:lang w:eastAsia="en-US"/>
        </w:rPr>
        <w:t>ó</w:t>
      </w:r>
      <w:r w:rsidRPr="00331629">
        <w:rPr>
          <w:rFonts w:ascii="Palatino Linotype" w:eastAsia="Calibri" w:hAnsi="Palatino Linotype" w:cs="Tahoma"/>
          <w:bCs/>
          <w:sz w:val="22"/>
          <w:szCs w:val="22"/>
          <w:lang w:eastAsia="en-US"/>
        </w:rPr>
        <w:t xml:space="preserve">rgano Superior de Fiscalización, publica en su página electrónica el cumplimiento de los ayuntamientos, dentro de su </w:t>
      </w:r>
      <w:r w:rsidRPr="00331629">
        <w:rPr>
          <w:rFonts w:ascii="Palatino Linotype" w:eastAsia="Calibri" w:hAnsi="Palatino Linotype" w:cs="Tahoma"/>
          <w:bCs/>
          <w:i/>
          <w:sz w:val="22"/>
          <w:szCs w:val="22"/>
          <w:lang w:eastAsia="en-US"/>
        </w:rPr>
        <w:t xml:space="preserve">apartado “Cumplimiento de Obligaciones Periodicas de Entidades Fiscalizables” </w:t>
      </w:r>
      <w:r w:rsidRPr="00331629">
        <w:rPr>
          <w:rFonts w:ascii="Palatino Linotype" w:hAnsi="Palatino Linotype"/>
          <w:sz w:val="22"/>
          <w:szCs w:val="22"/>
        </w:rPr>
        <w:t>(</w:t>
      </w:r>
      <w:r w:rsidRPr="00331629">
        <w:rPr>
          <w:rFonts w:ascii="Palatino Linotype" w:hAnsi="Palatino Linotype"/>
          <w:i/>
          <w:sz w:val="22"/>
          <w:szCs w:val="22"/>
        </w:rPr>
        <w:t>Sic.</w:t>
      </w:r>
      <w:r w:rsidRPr="00331629">
        <w:rPr>
          <w:rFonts w:ascii="Palatino Linotype" w:hAnsi="Palatino Linotype"/>
          <w:sz w:val="22"/>
          <w:szCs w:val="22"/>
        </w:rPr>
        <w:t xml:space="preserve">), disponible en la dirección electrónica </w:t>
      </w:r>
      <w:r w:rsidR="00D2075D" w:rsidRPr="00D2075D">
        <w:rPr>
          <w:rStyle w:val="Hipervnculo"/>
          <w:rFonts w:ascii="Palatino Linotype" w:hAnsi="Palatino Linotype"/>
          <w:sz w:val="22"/>
          <w:szCs w:val="22"/>
        </w:rPr>
        <w:t>https://www.osfem.gob.mx/09_Iconografia/Cumplimiento/Aytto/Aytto_19.html</w:t>
      </w:r>
      <w:r w:rsidRPr="00331629">
        <w:rPr>
          <w:rFonts w:ascii="Palatino Linotype" w:hAnsi="Palatino Linotype"/>
          <w:sz w:val="22"/>
          <w:szCs w:val="22"/>
        </w:rPr>
        <w:t xml:space="preserve"> (consultada el </w:t>
      </w:r>
      <w:r w:rsidR="00D2075D">
        <w:rPr>
          <w:rFonts w:ascii="Palatino Linotype" w:hAnsi="Palatino Linotype"/>
          <w:sz w:val="22"/>
          <w:szCs w:val="22"/>
        </w:rPr>
        <w:t xml:space="preserve">veinticinco de septiembre </w:t>
      </w:r>
      <w:r w:rsidRPr="00331629">
        <w:rPr>
          <w:rFonts w:ascii="Palatino Linotype" w:hAnsi="Palatino Linotype"/>
          <w:sz w:val="22"/>
          <w:szCs w:val="22"/>
        </w:rPr>
        <w:t xml:space="preserve">de dos mil diecinueve a las catorce horas con diez minutos), </w:t>
      </w:r>
      <w:r w:rsidRPr="00331629">
        <w:rPr>
          <w:rFonts w:ascii="Palatino Linotype" w:eastAsia="Calibri" w:hAnsi="Palatino Linotype" w:cs="Tahoma"/>
          <w:bCs/>
          <w:sz w:val="22"/>
          <w:szCs w:val="22"/>
          <w:lang w:eastAsia="en-US"/>
        </w:rPr>
        <w:t>se verificó si el Sujeto Obligado cumplió con la obligación establecida en la Ley de Fiscalización Superior del Estado de México, lo cual se demuestra con la siguiente captura</w:t>
      </w:r>
      <w:r w:rsidR="00D2075D">
        <w:rPr>
          <w:rFonts w:ascii="Palatino Linotype" w:eastAsia="Calibri" w:hAnsi="Palatino Linotype" w:cs="Tahoma"/>
          <w:bCs/>
          <w:sz w:val="22"/>
          <w:szCs w:val="22"/>
          <w:lang w:eastAsia="en-US"/>
        </w:rPr>
        <w:t xml:space="preserve"> </w:t>
      </w:r>
      <w:r w:rsidRPr="00331629">
        <w:rPr>
          <w:rFonts w:ascii="Palatino Linotype" w:eastAsia="Calibri" w:hAnsi="Palatino Linotype" w:cs="Tahoma"/>
          <w:bCs/>
          <w:sz w:val="22"/>
          <w:szCs w:val="22"/>
          <w:lang w:eastAsia="en-US"/>
        </w:rPr>
        <w:t>de pantalla:</w:t>
      </w:r>
    </w:p>
    <w:p w:rsidR="00277D6E" w:rsidRPr="00331629" w:rsidRDefault="00277D6E" w:rsidP="00277D6E">
      <w:pPr>
        <w:pStyle w:val="Sinespaciado"/>
        <w:spacing w:line="360" w:lineRule="auto"/>
        <w:ind w:left="0" w:right="-28"/>
        <w:rPr>
          <w:rFonts w:ascii="Palatino Linotype" w:eastAsia="Calibri" w:hAnsi="Palatino Linotype" w:cs="Tahoma"/>
          <w:bCs/>
          <w:sz w:val="22"/>
          <w:szCs w:val="22"/>
          <w:lang w:eastAsia="en-US"/>
        </w:rPr>
      </w:pPr>
    </w:p>
    <w:p w:rsidR="00277D6E" w:rsidRDefault="003D6361" w:rsidP="00D2075D">
      <w:pPr>
        <w:spacing w:line="360" w:lineRule="auto"/>
        <w:ind w:right="-93"/>
        <w:jc w:val="center"/>
        <w:rPr>
          <w:rFonts w:ascii="Palatino Linotype" w:eastAsia="Calibri" w:hAnsi="Palatino Linotype" w:cs="Tahoma"/>
          <w:bCs/>
          <w:sz w:val="22"/>
          <w:szCs w:val="22"/>
          <w:lang w:eastAsia="en-US"/>
        </w:rPr>
      </w:pPr>
      <w:r>
        <w:rPr>
          <w:noProof/>
          <w:lang w:val="es-ES"/>
        </w:rPr>
        <w:lastRenderedPageBreak/>
        <mc:AlternateContent>
          <mc:Choice Requires="wps">
            <w:drawing>
              <wp:anchor distT="0" distB="0" distL="114300" distR="114300" simplePos="0" relativeHeight="251659264" behindDoc="0" locked="0" layoutInCell="1" allowOverlap="1">
                <wp:simplePos x="0" y="0"/>
                <wp:positionH relativeFrom="column">
                  <wp:posOffset>515620</wp:posOffset>
                </wp:positionH>
                <wp:positionV relativeFrom="paragraph">
                  <wp:posOffset>2289175</wp:posOffset>
                </wp:positionV>
                <wp:extent cx="3562350" cy="161925"/>
                <wp:effectExtent l="19050" t="19050" r="19050" b="28575"/>
                <wp:wrapNone/>
                <wp:docPr id="12" name="Rectángulo 12"/>
                <wp:cNvGraphicFramePr/>
                <a:graphic xmlns:a="http://schemas.openxmlformats.org/drawingml/2006/main">
                  <a:graphicData uri="http://schemas.microsoft.com/office/word/2010/wordprocessingShape">
                    <wps:wsp>
                      <wps:cNvSpPr/>
                      <wps:spPr>
                        <a:xfrm>
                          <a:off x="0" y="0"/>
                          <a:ext cx="3562350" cy="161925"/>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305F0F" id="Rectángulo 12" o:spid="_x0000_s1026" style="position:absolute;margin-left:40.6pt;margin-top:180.25pt;width:280.5pt;height:1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" filled="f" strokecolor="red" strokeweight="2.5pt"/>
            </w:pict>
          </mc:Fallback>
        </mc:AlternateContent>
      </w:r>
      <w:r w:rsidR="00D2075D">
        <w:rPr>
          <w:noProof/>
          <w:lang w:val="es-ES"/>
        </w:rPr>
        <w:drawing>
          <wp:inline distT="0" distB="0" distL="0" distR="0" wp14:anchorId="7E15136D" wp14:editId="186C22B2">
            <wp:extent cx="5436577" cy="2667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386" t="7077" r="23872" b="46924"/>
                    <a:stretch/>
                  </pic:blipFill>
                  <pic:spPr bwMode="auto">
                    <a:xfrm>
                      <a:off x="0" y="0"/>
                      <a:ext cx="5452493" cy="2674808"/>
                    </a:xfrm>
                    <a:prstGeom prst="rect">
                      <a:avLst/>
                    </a:prstGeom>
                    <a:ln>
                      <a:noFill/>
                    </a:ln>
                    <a:extLst>
                      <a:ext uri="{53640926-AAD7-44D8-BBD7-CCE9431645EC}">
                        <a14:shadowObscured xmlns:a14="http://schemas.microsoft.com/office/drawing/2010/main"/>
                      </a:ext>
                    </a:extLst>
                  </pic:spPr>
                </pic:pic>
              </a:graphicData>
            </a:graphic>
          </wp:inline>
        </w:drawing>
      </w:r>
    </w:p>
    <w:p w:rsidR="00277D6E" w:rsidRDefault="00277D6E" w:rsidP="00277D6E">
      <w:pPr>
        <w:spacing w:line="360" w:lineRule="auto"/>
        <w:ind w:right="-93"/>
        <w:jc w:val="both"/>
        <w:rPr>
          <w:rFonts w:ascii="Palatino Linotype" w:eastAsia="Calibri" w:hAnsi="Palatino Linotype" w:cs="Tahoma"/>
          <w:bCs/>
          <w:sz w:val="22"/>
          <w:szCs w:val="22"/>
          <w:lang w:eastAsia="en-US"/>
        </w:rPr>
      </w:pPr>
    </w:p>
    <w:p w:rsidR="00D2075D" w:rsidRPr="00331629" w:rsidRDefault="00D2075D" w:rsidP="00D2075D">
      <w:pPr>
        <w:pStyle w:val="Sinespaciado"/>
        <w:tabs>
          <w:tab w:val="left" w:pos="8222"/>
        </w:tabs>
        <w:spacing w:line="360" w:lineRule="auto"/>
        <w:ind w:left="0" w:right="-28"/>
        <w:rPr>
          <w:rFonts w:ascii="Palatino Linotype" w:eastAsia="Calibri" w:hAnsi="Palatino Linotype" w:cs="Tahoma"/>
          <w:bCs/>
          <w:sz w:val="22"/>
          <w:szCs w:val="22"/>
          <w:lang w:eastAsia="en-US"/>
        </w:rPr>
      </w:pPr>
      <w:r w:rsidRPr="00331629">
        <w:rPr>
          <w:rFonts w:ascii="Palatino Linotype" w:eastAsia="Calibri" w:hAnsi="Palatino Linotype" w:cs="Tahoma"/>
          <w:bCs/>
          <w:sz w:val="22"/>
          <w:szCs w:val="22"/>
          <w:lang w:eastAsia="en-US"/>
        </w:rPr>
        <w:t>De lo anterior, se desprende que el Sujeto Obligado cumplió con la obligación de presentar los informes mensuales, los cuales, como se señaló anteriormente, se i</w:t>
      </w:r>
      <w:r>
        <w:rPr>
          <w:rFonts w:ascii="Palatino Linotype" w:eastAsia="Calibri" w:hAnsi="Palatino Linotype" w:cs="Tahoma"/>
          <w:bCs/>
          <w:sz w:val="22"/>
          <w:szCs w:val="22"/>
          <w:lang w:eastAsia="en-US"/>
        </w:rPr>
        <w:t>ntegran por diversa información</w:t>
      </w:r>
      <w:r w:rsidRPr="00331629">
        <w:rPr>
          <w:rFonts w:ascii="Palatino Linotype" w:eastAsia="Calibri" w:hAnsi="Palatino Linotype" w:cs="Tahoma"/>
          <w:bCs/>
          <w:sz w:val="22"/>
          <w:szCs w:val="22"/>
          <w:lang w:eastAsia="en-US"/>
        </w:rPr>
        <w:t>.</w:t>
      </w:r>
    </w:p>
    <w:p w:rsidR="00D2075D" w:rsidRPr="00331629" w:rsidRDefault="00D2075D" w:rsidP="00D2075D">
      <w:pPr>
        <w:pStyle w:val="Sinespaciado"/>
        <w:spacing w:line="360" w:lineRule="auto"/>
        <w:rPr>
          <w:rFonts w:ascii="Palatino Linotype" w:hAnsi="Palatino Linotype" w:cs="Arial"/>
          <w:sz w:val="22"/>
          <w:szCs w:val="22"/>
        </w:rPr>
      </w:pPr>
    </w:p>
    <w:p w:rsidR="00D2075D" w:rsidRPr="00331629" w:rsidRDefault="00D2075D" w:rsidP="00D2075D">
      <w:pPr>
        <w:pStyle w:val="Sinespaciado"/>
        <w:tabs>
          <w:tab w:val="left" w:pos="8222"/>
        </w:tabs>
        <w:spacing w:line="360" w:lineRule="auto"/>
        <w:ind w:left="0" w:right="-28"/>
        <w:rPr>
          <w:rFonts w:ascii="Palatino Linotype" w:hAnsi="Palatino Linotype" w:cs="Arial"/>
          <w:sz w:val="22"/>
          <w:szCs w:val="22"/>
        </w:rPr>
      </w:pPr>
      <w:r w:rsidRPr="00331629">
        <w:rPr>
          <w:rFonts w:ascii="Palatino Linotype" w:eastAsia="Calibri" w:hAnsi="Palatino Linotype" w:cs="Tahoma"/>
          <w:bCs/>
          <w:sz w:val="22"/>
          <w:szCs w:val="22"/>
          <w:lang w:eastAsia="en-US"/>
        </w:rPr>
        <w:t>Por</w:t>
      </w:r>
      <w:r w:rsidRPr="00331629">
        <w:rPr>
          <w:rFonts w:ascii="Palatino Linotype" w:hAnsi="Palatino Linotype" w:cs="Arial"/>
          <w:sz w:val="22"/>
          <w:szCs w:val="22"/>
        </w:rPr>
        <w:t xml:space="preserve"> lo </w:t>
      </w:r>
      <w:r w:rsidR="009273DB">
        <w:rPr>
          <w:rFonts w:ascii="Palatino Linotype" w:hAnsi="Palatino Linotype" w:cs="Arial"/>
          <w:sz w:val="22"/>
          <w:szCs w:val="22"/>
        </w:rPr>
        <w:t>expuesto</w:t>
      </w:r>
      <w:r w:rsidRPr="00331629">
        <w:rPr>
          <w:rFonts w:ascii="Palatino Linotype" w:hAnsi="Palatino Linotype" w:cs="Arial"/>
          <w:sz w:val="22"/>
          <w:szCs w:val="22"/>
        </w:rPr>
        <w:t xml:space="preserve">, </w:t>
      </w:r>
      <w:r w:rsidR="009273DB">
        <w:rPr>
          <w:rFonts w:ascii="Palatino Linotype" w:hAnsi="Palatino Linotype" w:cs="Arial"/>
          <w:sz w:val="22"/>
          <w:szCs w:val="22"/>
        </w:rPr>
        <w:t xml:space="preserve">se advierte que </w:t>
      </w:r>
      <w:r w:rsidRPr="00331629">
        <w:rPr>
          <w:rFonts w:ascii="Palatino Linotype" w:hAnsi="Palatino Linotype" w:cs="Arial"/>
          <w:sz w:val="22"/>
          <w:szCs w:val="22"/>
        </w:rPr>
        <w:t>el Sujeto Obligado generó, poseyó y administró la documentación requerida por el Particular en su solicitud de información pública, por lo que se considera que las razones o motivos de inconformidad resultan fundadas y es procedente ordenar al Sujeto Obligado a que realice una búsqueda exhaustiva y razonable de la información en todas las áreas que pudieran contar con ella y haga entrega al Recurrente de los informes mensuales remitidos al OSFEM contenidos en l</w:t>
      </w:r>
      <w:r w:rsidR="009273DB">
        <w:rPr>
          <w:rFonts w:ascii="Palatino Linotype" w:hAnsi="Palatino Linotype" w:cs="Arial"/>
          <w:sz w:val="22"/>
          <w:szCs w:val="22"/>
        </w:rPr>
        <w:t>os</w:t>
      </w:r>
      <w:r w:rsidRPr="00331629">
        <w:rPr>
          <w:rFonts w:ascii="Palatino Linotype" w:hAnsi="Palatino Linotype" w:cs="Arial"/>
          <w:sz w:val="22"/>
          <w:szCs w:val="22"/>
        </w:rPr>
        <w:t xml:space="preserve"> disco</w:t>
      </w:r>
      <w:r w:rsidR="009273DB">
        <w:rPr>
          <w:rFonts w:ascii="Palatino Linotype" w:hAnsi="Palatino Linotype" w:cs="Arial"/>
          <w:sz w:val="22"/>
          <w:szCs w:val="22"/>
        </w:rPr>
        <w:t>s</w:t>
      </w:r>
      <w:r w:rsidRPr="00331629">
        <w:rPr>
          <w:rFonts w:ascii="Palatino Linotype" w:hAnsi="Palatino Linotype" w:cs="Arial"/>
          <w:sz w:val="22"/>
          <w:szCs w:val="22"/>
        </w:rPr>
        <w:t xml:space="preserve"> número</w:t>
      </w:r>
      <w:r w:rsidR="009273DB">
        <w:rPr>
          <w:rFonts w:ascii="Palatino Linotype" w:hAnsi="Palatino Linotype" w:cs="Arial"/>
          <w:sz w:val="22"/>
          <w:szCs w:val="22"/>
        </w:rPr>
        <w:t>s</w:t>
      </w:r>
      <w:r w:rsidRPr="00331629">
        <w:rPr>
          <w:rFonts w:ascii="Palatino Linotype" w:hAnsi="Palatino Linotype" w:cs="Arial"/>
          <w:sz w:val="22"/>
          <w:szCs w:val="22"/>
        </w:rPr>
        <w:t xml:space="preserve"> </w:t>
      </w:r>
      <w:r w:rsidR="009273DB">
        <w:rPr>
          <w:rFonts w:ascii="Palatino Linotype" w:hAnsi="Palatino Linotype" w:cs="Arial"/>
          <w:sz w:val="22"/>
          <w:szCs w:val="22"/>
        </w:rPr>
        <w:t xml:space="preserve">1, 2, 3 y </w:t>
      </w:r>
      <w:r w:rsidRPr="00331629">
        <w:rPr>
          <w:rFonts w:ascii="Palatino Linotype" w:hAnsi="Palatino Linotype" w:cs="Arial"/>
          <w:sz w:val="22"/>
          <w:szCs w:val="22"/>
        </w:rPr>
        <w:t xml:space="preserve">4 de los meses de </w:t>
      </w:r>
      <w:r w:rsidR="009273DB">
        <w:rPr>
          <w:rFonts w:ascii="Palatino Linotype" w:hAnsi="Palatino Linotype" w:cs="Arial"/>
          <w:sz w:val="22"/>
          <w:szCs w:val="22"/>
        </w:rPr>
        <w:t>enero, febrero, marzo, abril y mayo de dos mil diecinueve</w:t>
      </w:r>
      <w:r w:rsidRPr="00331629">
        <w:rPr>
          <w:rFonts w:ascii="Palatino Linotype" w:hAnsi="Palatino Linotype" w:cs="Arial"/>
          <w:sz w:val="22"/>
          <w:szCs w:val="22"/>
        </w:rPr>
        <w:t>.</w:t>
      </w:r>
    </w:p>
    <w:p w:rsidR="00D2075D" w:rsidRDefault="00D2075D" w:rsidP="00D2075D">
      <w:pPr>
        <w:pStyle w:val="Sinespaciado"/>
        <w:tabs>
          <w:tab w:val="left" w:pos="8222"/>
        </w:tabs>
        <w:spacing w:line="360" w:lineRule="auto"/>
        <w:ind w:left="0" w:right="-28"/>
        <w:rPr>
          <w:rFonts w:ascii="Palatino Linotype" w:hAnsi="Palatino Linotype" w:cs="Arial"/>
          <w:sz w:val="22"/>
          <w:szCs w:val="22"/>
        </w:rPr>
      </w:pPr>
    </w:p>
    <w:p w:rsidR="00763508" w:rsidRPr="00F618F1" w:rsidRDefault="00E51527" w:rsidP="00763508">
      <w:pPr>
        <w:shd w:val="clear" w:color="auto" w:fill="FFFFFF" w:themeFill="background1"/>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Ahora bien</w:t>
      </w:r>
      <w:r w:rsidR="00763508">
        <w:rPr>
          <w:rFonts w:ascii="Palatino Linotype" w:hAnsi="Palatino Linotype" w:cs="Tahoma"/>
          <w:sz w:val="22"/>
          <w:szCs w:val="22"/>
          <w:lang w:val="es-ES"/>
        </w:rPr>
        <w:t xml:space="preserve">, no pasa desapercibido que la información contenida en el disco 4 puede contener información relacionada con elementos de seguridad </w:t>
      </w:r>
      <w:r w:rsidR="00763508" w:rsidRPr="00F618F1">
        <w:rPr>
          <w:rFonts w:ascii="Palatino Linotype" w:hAnsi="Palatino Linotype" w:cs="Tahoma"/>
          <w:bCs/>
          <w:sz w:val="22"/>
          <w:szCs w:val="22"/>
          <w:lang w:val="es-ES"/>
        </w:rPr>
        <w:t>encargad</w:t>
      </w:r>
      <w:r w:rsidR="004B5FB6">
        <w:rPr>
          <w:rFonts w:ascii="Palatino Linotype" w:hAnsi="Palatino Linotype" w:cs="Tahoma"/>
          <w:bCs/>
          <w:sz w:val="22"/>
          <w:szCs w:val="22"/>
          <w:lang w:val="es-ES"/>
        </w:rPr>
        <w:t>os</w:t>
      </w:r>
      <w:r w:rsidR="00763508" w:rsidRPr="00F618F1">
        <w:rPr>
          <w:rFonts w:ascii="Palatino Linotype" w:hAnsi="Palatino Linotype" w:cs="Tahoma"/>
          <w:bCs/>
          <w:sz w:val="22"/>
          <w:szCs w:val="22"/>
          <w:lang w:val="es-ES"/>
        </w:rPr>
        <w:t xml:space="preserve"> de garantizar el orden público, la paz social, la prevención de la comisión de cualquier delito e inhibir la manifestación de conductas antisociales; por lo que, este Instituto considera que </w:t>
      </w:r>
      <w:r w:rsidR="004B5FB6">
        <w:rPr>
          <w:rFonts w:ascii="Palatino Linotype" w:hAnsi="Palatino Linotype" w:cs="Tahoma"/>
          <w:bCs/>
          <w:sz w:val="22"/>
          <w:szCs w:val="22"/>
          <w:lang w:val="es-ES"/>
        </w:rPr>
        <w:t xml:space="preserve">dentro de la </w:t>
      </w:r>
      <w:r w:rsidR="004B5FB6">
        <w:rPr>
          <w:rFonts w:ascii="Palatino Linotype" w:hAnsi="Palatino Linotype" w:cs="Tahoma"/>
          <w:bCs/>
          <w:sz w:val="22"/>
          <w:szCs w:val="22"/>
          <w:lang w:val="es-ES"/>
        </w:rPr>
        <w:lastRenderedPageBreak/>
        <w:t xml:space="preserve">información que se ordena entregar puede contener </w:t>
      </w:r>
      <w:r w:rsidR="00763508" w:rsidRPr="00F618F1">
        <w:rPr>
          <w:rFonts w:ascii="Palatino Linotype" w:hAnsi="Palatino Linotype" w:cs="Tahoma"/>
          <w:bCs/>
          <w:sz w:val="22"/>
          <w:szCs w:val="22"/>
          <w:lang w:val="es-ES"/>
        </w:rPr>
        <w:t>servidores públicos que realizan funciones operativas, tales como policías u oficiales.</w:t>
      </w:r>
    </w:p>
    <w:p w:rsidR="00763508" w:rsidRDefault="00763508" w:rsidP="00763508">
      <w:pPr>
        <w:shd w:val="clear" w:color="auto" w:fill="FFFFFF" w:themeFill="background1"/>
        <w:spacing w:line="360" w:lineRule="auto"/>
        <w:jc w:val="both"/>
        <w:rPr>
          <w:rFonts w:ascii="Palatino Linotype" w:eastAsia="Calibri" w:hAnsi="Palatino Linotype" w:cs="Tahoma"/>
          <w:bCs/>
          <w:sz w:val="22"/>
          <w:szCs w:val="22"/>
          <w:lang w:eastAsia="en-US"/>
        </w:rPr>
      </w:pPr>
    </w:p>
    <w:p w:rsidR="00763508" w:rsidRPr="00885F09" w:rsidRDefault="00763508" w:rsidP="00763508">
      <w:pPr>
        <w:spacing w:line="360" w:lineRule="auto"/>
        <w:jc w:val="both"/>
        <w:rPr>
          <w:rFonts w:ascii="Palatino Linotype" w:hAnsi="Palatino Linotype"/>
          <w:bCs/>
          <w:sz w:val="22"/>
          <w:szCs w:val="22"/>
        </w:rPr>
      </w:pPr>
      <w:r>
        <w:rPr>
          <w:rFonts w:ascii="Palatino Linotype" w:eastAsia="Calibri" w:hAnsi="Palatino Linotype" w:cs="Tahoma"/>
          <w:bCs/>
          <w:sz w:val="22"/>
          <w:szCs w:val="22"/>
          <w:lang w:eastAsia="en-US"/>
        </w:rPr>
        <w:t xml:space="preserve">En ese contexto, cabe señalar que este Instituto </w:t>
      </w:r>
      <w:r w:rsidRPr="00885F09">
        <w:rPr>
          <w:rFonts w:ascii="Palatino Linotype" w:hAnsi="Palatino Linotype"/>
          <w:sz w:val="22"/>
          <w:szCs w:val="22"/>
          <w:lang w:val="es-ES"/>
        </w:rPr>
        <w:t xml:space="preserve">ha sostenido el criterio de no dar a conocer aquellos servidores públicos que realizan funciones operativas en materia de seguridad pública, tal como es, el caso de los policías, pues </w:t>
      </w:r>
      <w:r w:rsidRPr="00885F09">
        <w:rPr>
          <w:rFonts w:ascii="Palatino Linotype" w:hAnsi="Palatino Linotype"/>
          <w:bCs/>
          <w:sz w:val="22"/>
          <w:szCs w:val="22"/>
        </w:rPr>
        <w:t xml:space="preserve">los vuelve identificables y posiblemente reconocibles para grupos delictivos, que pudieran relacionarlos directamente con actividades u operativos pasados, presentes, o ubicarlos simplemente por el hecho de pertenecer o haber pertenecido a una organización que lleve a cabo actividades de prevención y salvaguarda de la integridad de las personas en el combate a la delincuencia; así, dicha información puede ser utilizada para </w:t>
      </w:r>
      <w:r w:rsidRPr="00885F09">
        <w:rPr>
          <w:rFonts w:ascii="Palatino Linotype" w:hAnsi="Palatino Linotype"/>
          <w:b/>
          <w:bCs/>
          <w:sz w:val="22"/>
          <w:szCs w:val="22"/>
        </w:rPr>
        <w:t>vulnerar la vida, seguridad o salud de dichos elementos, incluso la de sus familias o entorno social.</w:t>
      </w:r>
      <w:r w:rsidRPr="00885F09">
        <w:rPr>
          <w:rFonts w:ascii="Palatino Linotype" w:hAnsi="Palatino Linotype"/>
          <w:bCs/>
          <w:sz w:val="22"/>
          <w:szCs w:val="22"/>
        </w:rPr>
        <w:t xml:space="preserve"> Además, que aumenta el riesgo de que personas ajenas a los intereses institucionales</w:t>
      </w:r>
      <w:r w:rsidR="00E51527">
        <w:rPr>
          <w:rFonts w:ascii="Palatino Linotype" w:hAnsi="Palatino Linotype"/>
          <w:bCs/>
          <w:sz w:val="22"/>
          <w:szCs w:val="22"/>
        </w:rPr>
        <w:t xml:space="preserve"> e</w:t>
      </w:r>
      <w:r w:rsidRPr="00885F09">
        <w:rPr>
          <w:rFonts w:ascii="Palatino Linotype" w:hAnsi="Palatino Linotype"/>
          <w:bCs/>
          <w:sz w:val="22"/>
          <w:szCs w:val="22"/>
        </w:rPr>
        <w:t xml:space="preserve"> intenten realizar actos tendientes a inhibir o entrometerse en las funciones de los policías municipales, lo cual causaría una vulneración a la seguridad municipal.</w:t>
      </w:r>
    </w:p>
    <w:p w:rsidR="00763508" w:rsidRDefault="00763508" w:rsidP="00763508">
      <w:pPr>
        <w:shd w:val="clear" w:color="auto" w:fill="FFFFFF" w:themeFill="background1"/>
        <w:spacing w:line="360" w:lineRule="auto"/>
        <w:jc w:val="both"/>
        <w:rPr>
          <w:rFonts w:ascii="Palatino Linotype" w:eastAsia="Calibri" w:hAnsi="Palatino Linotype" w:cs="Tahoma"/>
          <w:bCs/>
          <w:sz w:val="22"/>
          <w:szCs w:val="22"/>
          <w:lang w:eastAsia="en-US"/>
        </w:rPr>
      </w:pPr>
    </w:p>
    <w:p w:rsidR="00763508" w:rsidRDefault="00763508" w:rsidP="00763508">
      <w:pPr>
        <w:spacing w:line="360" w:lineRule="auto"/>
        <w:jc w:val="both"/>
        <w:rPr>
          <w:rFonts w:ascii="Palatino Linotype" w:hAnsi="Palatino Linotype"/>
          <w:sz w:val="22"/>
          <w:szCs w:val="22"/>
          <w:lang w:val="es-ES"/>
        </w:rPr>
      </w:pPr>
      <w:r>
        <w:rPr>
          <w:rFonts w:ascii="Palatino Linotype" w:eastAsia="Calibri" w:hAnsi="Palatino Linotype" w:cs="Tahoma"/>
          <w:bCs/>
          <w:sz w:val="22"/>
          <w:szCs w:val="22"/>
          <w:lang w:eastAsia="en-US"/>
        </w:rPr>
        <w:t xml:space="preserve">En ese contexto, </w:t>
      </w:r>
      <w:r>
        <w:rPr>
          <w:rFonts w:ascii="Palatino Linotype" w:hAnsi="Palatino Linotype"/>
          <w:sz w:val="22"/>
          <w:szCs w:val="22"/>
          <w:lang w:val="es-ES"/>
        </w:rPr>
        <w:t>el artículo 3°, fracción XIII de la Ley General de Protección de Datos Personales en Posesión de Sujetos Obligados, establece que la disociación es el procedimiento mediante el cual los datos personales no pueden asociarse al titular, ni permitir, por su estructura, contenido o grado de desagregación, la identificación del mismo. De la misma manera, lo establece el artículo 3°, fracción XVI de la Ley de Transparencia y Acceso a la Información Pública del Estado de México y Municipios.</w:t>
      </w:r>
    </w:p>
    <w:p w:rsidR="00763508" w:rsidRDefault="00763508" w:rsidP="00763508">
      <w:pPr>
        <w:spacing w:line="360" w:lineRule="auto"/>
        <w:jc w:val="both"/>
        <w:rPr>
          <w:rFonts w:ascii="Palatino Linotype" w:hAnsi="Palatino Linotype"/>
          <w:sz w:val="22"/>
          <w:szCs w:val="22"/>
          <w:lang w:val="es-ES"/>
        </w:rPr>
      </w:pPr>
    </w:p>
    <w:p w:rsidR="00763508" w:rsidRDefault="00763508" w:rsidP="00763508">
      <w:pPr>
        <w:spacing w:line="360" w:lineRule="auto"/>
        <w:jc w:val="both"/>
        <w:rPr>
          <w:rFonts w:ascii="Palatino Linotype" w:hAnsi="Palatino Linotype"/>
          <w:sz w:val="22"/>
          <w:szCs w:val="22"/>
          <w:lang w:val="es-ES"/>
        </w:rPr>
      </w:pPr>
      <w:r w:rsidRPr="0082621E">
        <w:rPr>
          <w:rFonts w:ascii="Palatino Linotype" w:hAnsi="Palatino Linotype"/>
          <w:bCs/>
          <w:sz w:val="22"/>
          <w:szCs w:val="22"/>
        </w:rPr>
        <w:t xml:space="preserve">En ese contexto, según </w:t>
      </w:r>
      <w:r>
        <w:rPr>
          <w:rFonts w:ascii="Palatino Linotype" w:hAnsi="Palatino Linotype"/>
          <w:bCs/>
          <w:sz w:val="22"/>
          <w:szCs w:val="22"/>
        </w:rPr>
        <w:t>Solange</w:t>
      </w:r>
      <w:r w:rsidRPr="0082621E">
        <w:rPr>
          <w:rFonts w:ascii="Palatino Linotype" w:hAnsi="Palatino Linotype"/>
          <w:bCs/>
          <w:sz w:val="22"/>
          <w:szCs w:val="22"/>
        </w:rPr>
        <w:t xml:space="preserve">, </w:t>
      </w:r>
      <w:r>
        <w:rPr>
          <w:rFonts w:ascii="Palatino Linotype" w:hAnsi="Palatino Linotype"/>
          <w:bCs/>
          <w:sz w:val="22"/>
          <w:szCs w:val="22"/>
        </w:rPr>
        <w:t>María (2018</w:t>
      </w:r>
      <w:r w:rsidRPr="0082621E">
        <w:rPr>
          <w:rFonts w:ascii="Palatino Linotype" w:hAnsi="Palatino Linotype"/>
          <w:bCs/>
          <w:sz w:val="22"/>
          <w:szCs w:val="22"/>
        </w:rPr>
        <w:t>), en la “</w:t>
      </w:r>
      <w:r w:rsidRPr="007D6298">
        <w:rPr>
          <w:rFonts w:ascii="Palatino Linotype" w:hAnsi="Palatino Linotype"/>
          <w:bCs/>
          <w:i/>
          <w:sz w:val="22"/>
          <w:szCs w:val="22"/>
        </w:rPr>
        <w:t>Ley General de Protección de Datos Personales en Posesión de Sujetos Obligados Comentada”</w:t>
      </w:r>
      <w:r w:rsidRPr="0082621E">
        <w:rPr>
          <w:rFonts w:ascii="Palatino Linotype" w:hAnsi="Palatino Linotype"/>
          <w:bCs/>
          <w:sz w:val="22"/>
          <w:szCs w:val="22"/>
        </w:rPr>
        <w:t xml:space="preserve"> (p. </w:t>
      </w:r>
      <w:r>
        <w:rPr>
          <w:rFonts w:ascii="Palatino Linotype" w:hAnsi="Palatino Linotype"/>
          <w:bCs/>
          <w:sz w:val="22"/>
          <w:szCs w:val="22"/>
        </w:rPr>
        <w:t>44</w:t>
      </w:r>
      <w:r w:rsidRPr="0082621E">
        <w:rPr>
          <w:rFonts w:ascii="Palatino Linotype" w:hAnsi="Palatino Linotype"/>
          <w:bCs/>
          <w:sz w:val="22"/>
          <w:szCs w:val="22"/>
        </w:rPr>
        <w:t xml:space="preserve">), </w:t>
      </w:r>
      <w:r>
        <w:rPr>
          <w:rFonts w:ascii="Palatino Linotype" w:hAnsi="Palatino Linotype"/>
          <w:bCs/>
          <w:sz w:val="22"/>
          <w:szCs w:val="22"/>
        </w:rPr>
        <w:t xml:space="preserve">que la eficacia de la disociación depende de los resultados obtenidos, que deben ser similares o equivalentes a la eliminación o borrado de </w:t>
      </w:r>
      <w:r>
        <w:rPr>
          <w:rFonts w:ascii="Palatino Linotype" w:hAnsi="Palatino Linotype"/>
          <w:bCs/>
          <w:sz w:val="22"/>
          <w:szCs w:val="22"/>
        </w:rPr>
        <w:lastRenderedPageBreak/>
        <w:t>los datos, sin perder de vista los posibles riesgos residuales de la r</w:t>
      </w:r>
      <w:r w:rsidRPr="003A0293">
        <w:rPr>
          <w:rFonts w:ascii="Palatino Linotype" w:hAnsi="Palatino Linotype"/>
          <w:bCs/>
          <w:sz w:val="22"/>
          <w:szCs w:val="22"/>
        </w:rPr>
        <w:t xml:space="preserve">eidentificación ante las tecnologías disponibles. </w:t>
      </w:r>
    </w:p>
    <w:p w:rsidR="00763508" w:rsidRDefault="00763508" w:rsidP="00763508">
      <w:pPr>
        <w:shd w:val="clear" w:color="auto" w:fill="FFFFFF" w:themeFill="background1"/>
        <w:spacing w:line="360" w:lineRule="auto"/>
        <w:jc w:val="both"/>
        <w:rPr>
          <w:rFonts w:ascii="Palatino Linotype" w:eastAsia="Calibri" w:hAnsi="Palatino Linotype" w:cs="Tahoma"/>
          <w:bCs/>
          <w:sz w:val="22"/>
          <w:szCs w:val="22"/>
          <w:lang w:eastAsia="en-US"/>
        </w:rPr>
      </w:pPr>
    </w:p>
    <w:p w:rsidR="00763508" w:rsidRDefault="00763508" w:rsidP="00763508">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ese orden de ideas, en  el Informe Jurídico 283/2009, de la Agencia Española de Protección de Datos, traído a manera de referencia, se establece que para llevar a cabo de manera correcta un procedimiento de disociación, es necesario verificar que no se permita por ningún medio identificar el dato.</w:t>
      </w:r>
    </w:p>
    <w:p w:rsidR="00763508" w:rsidRDefault="00763508" w:rsidP="00763508">
      <w:pPr>
        <w:shd w:val="clear" w:color="auto" w:fill="FFFFFF" w:themeFill="background1"/>
        <w:spacing w:line="360" w:lineRule="auto"/>
        <w:jc w:val="both"/>
        <w:rPr>
          <w:rFonts w:ascii="Palatino Linotype" w:eastAsia="Calibri" w:hAnsi="Palatino Linotype" w:cs="Tahoma"/>
          <w:bCs/>
          <w:sz w:val="22"/>
          <w:szCs w:val="22"/>
          <w:lang w:eastAsia="en-US"/>
        </w:rPr>
      </w:pPr>
    </w:p>
    <w:p w:rsidR="00763508" w:rsidRPr="00242330" w:rsidRDefault="00763508" w:rsidP="00763508">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ese orden de ideas, según </w:t>
      </w:r>
      <w:r w:rsidRPr="00242330">
        <w:rPr>
          <w:rFonts w:ascii="Palatino Linotype" w:eastAsia="Calibri" w:hAnsi="Palatino Linotype" w:cs="Tahoma"/>
          <w:bCs/>
          <w:sz w:val="22"/>
          <w:szCs w:val="22"/>
          <w:lang w:eastAsia="en-US"/>
        </w:rPr>
        <w:t>Solange, María</w:t>
      </w:r>
      <w:r>
        <w:rPr>
          <w:rFonts w:ascii="Palatino Linotype" w:eastAsia="Calibri" w:hAnsi="Palatino Linotype" w:cs="Tahoma"/>
          <w:bCs/>
          <w:sz w:val="22"/>
          <w:szCs w:val="22"/>
          <w:lang w:eastAsia="en-US"/>
        </w:rPr>
        <w:t xml:space="preserve"> (2019), en el “</w:t>
      </w:r>
      <w:r w:rsidRPr="00242330">
        <w:rPr>
          <w:rFonts w:ascii="Palatino Linotype" w:eastAsia="Calibri" w:hAnsi="Palatino Linotype" w:cs="Tahoma"/>
          <w:bCs/>
          <w:i/>
          <w:sz w:val="22"/>
          <w:szCs w:val="22"/>
          <w:lang w:eastAsia="en-US"/>
        </w:rPr>
        <w:t>Diccionario de Transparencia y Acceso a la Información Pública</w:t>
      </w:r>
      <w:r>
        <w:rPr>
          <w:rFonts w:ascii="Palatino Linotype" w:eastAsia="Calibri" w:hAnsi="Palatino Linotype" w:cs="Tahoma"/>
          <w:bCs/>
          <w:i/>
          <w:sz w:val="22"/>
          <w:szCs w:val="22"/>
          <w:lang w:eastAsia="en-US"/>
        </w:rPr>
        <w:t xml:space="preserve">” </w:t>
      </w:r>
      <w:r>
        <w:rPr>
          <w:rFonts w:ascii="Palatino Linotype" w:eastAsia="Calibri" w:hAnsi="Palatino Linotype" w:cs="Tahoma"/>
          <w:bCs/>
          <w:sz w:val="22"/>
          <w:szCs w:val="22"/>
          <w:lang w:eastAsia="en-US"/>
        </w:rPr>
        <w:t xml:space="preserve">(p.65), establece que la </w:t>
      </w:r>
      <w:r>
        <w:rPr>
          <w:rFonts w:ascii="Palatino Linotype" w:eastAsia="Calibri" w:hAnsi="Palatino Linotype" w:cs="Tahoma"/>
          <w:b/>
          <w:bCs/>
          <w:sz w:val="22"/>
          <w:szCs w:val="22"/>
          <w:lang w:eastAsia="en-US"/>
        </w:rPr>
        <w:t xml:space="preserve">anonimización, </w:t>
      </w:r>
      <w:r>
        <w:rPr>
          <w:rFonts w:ascii="Palatino Linotype" w:eastAsia="Calibri" w:hAnsi="Palatino Linotype" w:cs="Tahoma"/>
          <w:bCs/>
          <w:sz w:val="22"/>
          <w:szCs w:val="22"/>
          <w:lang w:eastAsia="en-US"/>
        </w:rPr>
        <w:t xml:space="preserve">es una técnica que suponen el tratamiento de datos personales con el objeto de </w:t>
      </w:r>
      <w:r w:rsidRPr="003B1380">
        <w:rPr>
          <w:rFonts w:ascii="Palatino Linotype" w:eastAsia="Calibri" w:hAnsi="Palatino Linotype" w:cs="Tahoma"/>
          <w:b/>
          <w:bCs/>
          <w:sz w:val="22"/>
          <w:szCs w:val="22"/>
          <w:lang w:eastAsia="en-US"/>
        </w:rPr>
        <w:t>disociar</w:t>
      </w:r>
      <w:r>
        <w:rPr>
          <w:rFonts w:ascii="Palatino Linotype" w:eastAsia="Calibri" w:hAnsi="Palatino Linotype" w:cs="Tahoma"/>
          <w:bCs/>
          <w:sz w:val="22"/>
          <w:szCs w:val="22"/>
          <w:lang w:eastAsia="en-US"/>
        </w:rPr>
        <w:t xml:space="preserve"> de </w:t>
      </w:r>
      <w:r>
        <w:rPr>
          <w:rFonts w:ascii="Palatino Linotype" w:eastAsia="Calibri" w:hAnsi="Palatino Linotype" w:cs="Tahoma"/>
          <w:b/>
          <w:bCs/>
          <w:sz w:val="22"/>
          <w:szCs w:val="22"/>
          <w:lang w:eastAsia="en-US"/>
        </w:rPr>
        <w:t xml:space="preserve">manera irreversible o definitiva la información personal de su titular con el fin de que no pueda asociarse con él, ni permitir su identificación por su estructura, contenido o grado de desagregación; </w:t>
      </w:r>
      <w:r>
        <w:rPr>
          <w:rFonts w:ascii="Palatino Linotype" w:eastAsia="Calibri" w:hAnsi="Palatino Linotype" w:cs="Tahoma"/>
          <w:bCs/>
          <w:sz w:val="22"/>
          <w:szCs w:val="22"/>
          <w:lang w:eastAsia="en-US"/>
        </w:rPr>
        <w:t>además, que la eficacia dependen de los resultados obtenidos, que deben ser similares o equivalentes a la eliminación o borrado de dichos datos, sin que se puedan re identificar con las tecnologías disponibles.</w:t>
      </w:r>
    </w:p>
    <w:p w:rsidR="00763508" w:rsidRDefault="00763508" w:rsidP="00763508">
      <w:pPr>
        <w:shd w:val="clear" w:color="auto" w:fill="FFFFFF" w:themeFill="background1"/>
        <w:spacing w:line="360" w:lineRule="auto"/>
        <w:jc w:val="both"/>
        <w:rPr>
          <w:rFonts w:ascii="Palatino Linotype" w:eastAsia="Calibri" w:hAnsi="Palatino Linotype" w:cs="Tahoma"/>
          <w:bCs/>
          <w:sz w:val="22"/>
          <w:szCs w:val="22"/>
          <w:lang w:eastAsia="en-US"/>
        </w:rPr>
      </w:pPr>
    </w:p>
    <w:p w:rsidR="00763508" w:rsidRDefault="00763508" w:rsidP="00763508">
      <w:pPr>
        <w:spacing w:line="360" w:lineRule="auto"/>
        <w:jc w:val="both"/>
        <w:rPr>
          <w:rFonts w:ascii="Palatino Linotype" w:hAnsi="Palatino Linotype"/>
          <w:sz w:val="22"/>
          <w:szCs w:val="22"/>
          <w:lang w:val="es-ES"/>
        </w:rPr>
      </w:pPr>
      <w:r>
        <w:rPr>
          <w:rFonts w:ascii="Palatino Linotype" w:hAnsi="Palatino Linotype"/>
          <w:sz w:val="22"/>
          <w:szCs w:val="22"/>
          <w:lang w:val="es-ES"/>
        </w:rPr>
        <w:t>En ese orden de ideas,  a manera de referencia, se traen a colación los Criterios de Disociación de Datos Personales, emitidos por la Unidad Reguladora y de Control de Datos Personales del Gobierno de Uruguay, establece como técnica para anonimizar la información, entre otras las siguientes:</w:t>
      </w:r>
    </w:p>
    <w:p w:rsidR="00763508" w:rsidRDefault="00763508" w:rsidP="00763508">
      <w:pPr>
        <w:spacing w:line="360" w:lineRule="auto"/>
        <w:jc w:val="both"/>
        <w:rPr>
          <w:rFonts w:ascii="Palatino Linotype" w:hAnsi="Palatino Linotype"/>
          <w:sz w:val="22"/>
          <w:szCs w:val="22"/>
          <w:lang w:val="es-ES"/>
        </w:rPr>
      </w:pPr>
    </w:p>
    <w:p w:rsidR="00763508" w:rsidRPr="0063214D" w:rsidRDefault="00763508" w:rsidP="00763508">
      <w:pPr>
        <w:pStyle w:val="Prrafodelista"/>
        <w:numPr>
          <w:ilvl w:val="0"/>
          <w:numId w:val="26"/>
        </w:numPr>
        <w:spacing w:line="360" w:lineRule="auto"/>
        <w:jc w:val="both"/>
        <w:rPr>
          <w:rFonts w:ascii="Palatino Linotype" w:hAnsi="Palatino Linotype"/>
          <w:b/>
          <w:szCs w:val="22"/>
          <w:lang w:val="es-ES"/>
        </w:rPr>
      </w:pPr>
      <w:r w:rsidRPr="00AD36E9">
        <w:rPr>
          <w:rFonts w:ascii="Palatino Linotype" w:hAnsi="Palatino Linotype"/>
          <w:b/>
          <w:szCs w:val="22"/>
          <w:lang w:val="es-ES"/>
        </w:rPr>
        <w:t>Aleatorización:</w:t>
      </w:r>
      <w:r>
        <w:rPr>
          <w:rFonts w:ascii="Palatino Linotype" w:hAnsi="Palatino Linotype"/>
          <w:b/>
          <w:szCs w:val="22"/>
          <w:lang w:val="es-ES"/>
        </w:rPr>
        <w:t xml:space="preserve"> </w:t>
      </w:r>
      <w:r>
        <w:rPr>
          <w:rFonts w:ascii="Palatino Linotype" w:hAnsi="Palatino Linotype"/>
          <w:szCs w:val="22"/>
          <w:lang w:val="es-ES"/>
        </w:rPr>
        <w:t>Técnica que modifica la veracidad de los datos, con el fin de eliminar el vínculo existente entre ellos y su titular; por lo cual, si se vuelven lo suficiente ambiguos los datos, no se podrá identificar a una persona en concreto.</w:t>
      </w:r>
    </w:p>
    <w:p w:rsidR="00763508" w:rsidRPr="00AD36E9" w:rsidRDefault="00763508" w:rsidP="00763508">
      <w:pPr>
        <w:pStyle w:val="Prrafodelista"/>
        <w:spacing w:line="360" w:lineRule="auto"/>
        <w:jc w:val="both"/>
        <w:rPr>
          <w:rFonts w:ascii="Palatino Linotype" w:hAnsi="Palatino Linotype"/>
          <w:b/>
          <w:szCs w:val="22"/>
          <w:lang w:val="es-ES"/>
        </w:rPr>
      </w:pPr>
    </w:p>
    <w:p w:rsidR="00763508" w:rsidRPr="00AD36E9" w:rsidRDefault="00763508" w:rsidP="00763508">
      <w:pPr>
        <w:pStyle w:val="Prrafodelista"/>
        <w:numPr>
          <w:ilvl w:val="0"/>
          <w:numId w:val="26"/>
        </w:numPr>
        <w:spacing w:line="360" w:lineRule="auto"/>
        <w:jc w:val="both"/>
        <w:rPr>
          <w:rFonts w:ascii="Palatino Linotype" w:hAnsi="Palatino Linotype"/>
          <w:b/>
          <w:szCs w:val="22"/>
          <w:lang w:val="es-ES"/>
        </w:rPr>
      </w:pPr>
      <w:r>
        <w:rPr>
          <w:rFonts w:ascii="Palatino Linotype" w:hAnsi="Palatino Linotype"/>
          <w:b/>
          <w:szCs w:val="22"/>
          <w:lang w:val="es-ES"/>
        </w:rPr>
        <w:lastRenderedPageBreak/>
        <w:t xml:space="preserve">Agregación y Anonimato: </w:t>
      </w:r>
      <w:r>
        <w:rPr>
          <w:rFonts w:ascii="Palatino Linotype" w:hAnsi="Palatino Linotype"/>
          <w:szCs w:val="22"/>
          <w:lang w:val="es-ES"/>
        </w:rPr>
        <w:t xml:space="preserve">Que tiene como objetivo el impedir que una persona sea singularizada cuando se le agrupa con un grupo de individuos; esta técnica, incluye el método </w:t>
      </w:r>
      <w:r w:rsidRPr="003B5107">
        <w:rPr>
          <w:rFonts w:ascii="Palatino Linotype" w:hAnsi="Palatino Linotype"/>
          <w:b/>
          <w:szCs w:val="22"/>
          <w:lang w:val="es-ES"/>
        </w:rPr>
        <w:t>de supresión</w:t>
      </w:r>
      <w:r>
        <w:rPr>
          <w:rFonts w:ascii="Palatino Linotype" w:hAnsi="Palatino Linotype"/>
          <w:szCs w:val="22"/>
          <w:lang w:val="es-ES"/>
        </w:rPr>
        <w:t xml:space="preserve">, </w:t>
      </w:r>
      <w:r w:rsidRPr="00133F8A">
        <w:rPr>
          <w:rFonts w:ascii="Palatino Linotype" w:hAnsi="Palatino Linotype"/>
          <w:szCs w:val="22"/>
          <w:lang w:val="es-ES"/>
        </w:rPr>
        <w:t>en la cual todos o algunos valores son remplazados por “*”.</w:t>
      </w:r>
    </w:p>
    <w:p w:rsidR="00763508" w:rsidRDefault="00763508" w:rsidP="00763508">
      <w:pPr>
        <w:spacing w:line="360" w:lineRule="auto"/>
        <w:jc w:val="both"/>
        <w:rPr>
          <w:rFonts w:ascii="Palatino Linotype" w:hAnsi="Palatino Linotype"/>
          <w:sz w:val="22"/>
          <w:szCs w:val="22"/>
          <w:lang w:val="es-ES"/>
        </w:rPr>
      </w:pPr>
    </w:p>
    <w:p w:rsidR="00763508" w:rsidRDefault="00763508" w:rsidP="00763508">
      <w:pPr>
        <w:spacing w:line="360" w:lineRule="auto"/>
        <w:jc w:val="both"/>
        <w:rPr>
          <w:rFonts w:ascii="Palatino Linotype" w:hAnsi="Palatino Linotype"/>
          <w:sz w:val="22"/>
          <w:szCs w:val="22"/>
          <w:lang w:val="es-ES"/>
        </w:rPr>
      </w:pPr>
      <w:r>
        <w:rPr>
          <w:rFonts w:ascii="Palatino Linotype" w:hAnsi="Palatino Linotype"/>
          <w:sz w:val="22"/>
          <w:szCs w:val="22"/>
          <w:lang w:val="es-ES"/>
        </w:rPr>
        <w:t xml:space="preserve">Conforme a lo analizado, se puede advertir que la disociación no es un proceso que tenga que pasar ante el Comité de Transparencia, </w:t>
      </w:r>
      <w:r w:rsidRPr="003B5107">
        <w:rPr>
          <w:rFonts w:ascii="Palatino Linotype" w:hAnsi="Palatino Linotype"/>
          <w:b/>
          <w:sz w:val="22"/>
          <w:szCs w:val="22"/>
          <w:lang w:val="es-ES"/>
        </w:rPr>
        <w:t>pues no implica la actualización de una inexistencia, una incompetencia o clasificación,</w:t>
      </w:r>
      <w:r>
        <w:rPr>
          <w:rFonts w:ascii="Palatino Linotype" w:hAnsi="Palatino Linotype"/>
          <w:sz w:val="22"/>
          <w:szCs w:val="22"/>
          <w:lang w:val="es-ES"/>
        </w:rPr>
        <w:t xml:space="preserve"> sino únicamente un procedimiento para que un dato personal no pueda asociarse a otro, que pueda hacerlo identificable. Para tal situación, el procedimiento de disociación, cuenta con una técnica denominada </w:t>
      </w:r>
      <w:r>
        <w:rPr>
          <w:rFonts w:ascii="Palatino Linotype" w:hAnsi="Palatino Linotype"/>
          <w:b/>
          <w:sz w:val="22"/>
          <w:szCs w:val="22"/>
          <w:lang w:val="es-ES"/>
        </w:rPr>
        <w:t xml:space="preserve">anonimización, </w:t>
      </w:r>
      <w:r>
        <w:rPr>
          <w:rFonts w:ascii="Palatino Linotype" w:hAnsi="Palatino Linotype"/>
          <w:sz w:val="22"/>
          <w:szCs w:val="22"/>
          <w:lang w:val="es-ES"/>
        </w:rPr>
        <w:t>que tiene como fin eliminar el vínculo de manera irreversible y definitiva de los datos personales, con otros, que permitan si identificación.</w:t>
      </w:r>
      <w:r w:rsidRPr="00B42780">
        <w:rPr>
          <w:rFonts w:ascii="Palatino Linotype" w:hAnsi="Palatino Linotype"/>
          <w:sz w:val="22"/>
          <w:szCs w:val="22"/>
          <w:lang w:val="es-ES"/>
        </w:rPr>
        <w:t xml:space="preserve"> </w:t>
      </w:r>
    </w:p>
    <w:p w:rsidR="00763508" w:rsidRDefault="00763508" w:rsidP="00763508">
      <w:pPr>
        <w:spacing w:line="360" w:lineRule="auto"/>
        <w:jc w:val="both"/>
        <w:rPr>
          <w:rFonts w:ascii="Palatino Linotype" w:hAnsi="Palatino Linotype"/>
          <w:sz w:val="22"/>
          <w:szCs w:val="22"/>
          <w:lang w:val="es-ES"/>
        </w:rPr>
      </w:pPr>
    </w:p>
    <w:p w:rsidR="00763508" w:rsidRDefault="00763508" w:rsidP="00763508">
      <w:pPr>
        <w:spacing w:line="360" w:lineRule="auto"/>
        <w:jc w:val="both"/>
        <w:rPr>
          <w:rFonts w:ascii="Palatino Linotype" w:hAnsi="Palatino Linotype"/>
          <w:sz w:val="22"/>
          <w:szCs w:val="22"/>
          <w:lang w:val="es-ES"/>
        </w:rPr>
      </w:pPr>
      <w:r>
        <w:rPr>
          <w:rFonts w:ascii="Palatino Linotype" w:hAnsi="Palatino Linotype"/>
          <w:sz w:val="22"/>
          <w:szCs w:val="22"/>
          <w:lang w:val="es-ES"/>
        </w:rPr>
        <w:t>Conforme a lo anterior, para realizar una correcta disociación de la información, el Sujeto Obligado, en el presente caso, deberá evitar la existencia de un vínculo entre el servidor público y el hecho de que se trate de un elemento operativo en materia de seguridad pública, de manera de ejemplo se establece lo siguiente:</w:t>
      </w:r>
    </w:p>
    <w:p w:rsidR="00763508" w:rsidRDefault="00763508" w:rsidP="00763508">
      <w:pPr>
        <w:spacing w:line="360" w:lineRule="auto"/>
        <w:jc w:val="both"/>
        <w:rPr>
          <w:rFonts w:ascii="Palatino Linotype" w:hAnsi="Palatino Linotype"/>
          <w:sz w:val="22"/>
          <w:szCs w:val="22"/>
          <w:lang w:val="es-ES"/>
        </w:rPr>
      </w:pPr>
    </w:p>
    <w:p w:rsidR="00763508" w:rsidRPr="009C1F01" w:rsidRDefault="00763508" w:rsidP="00763508">
      <w:pPr>
        <w:numPr>
          <w:ilvl w:val="0"/>
          <w:numId w:val="26"/>
        </w:numPr>
        <w:spacing w:line="360" w:lineRule="auto"/>
        <w:jc w:val="both"/>
        <w:rPr>
          <w:rFonts w:ascii="Palatino Linotype" w:hAnsi="Palatino Linotype"/>
          <w:b/>
          <w:sz w:val="22"/>
          <w:szCs w:val="22"/>
          <w:lang w:val="es-ES"/>
        </w:rPr>
      </w:pPr>
      <w:r w:rsidRPr="009C1F01">
        <w:rPr>
          <w:rFonts w:ascii="Palatino Linotype" w:hAnsi="Palatino Linotype"/>
          <w:b/>
          <w:sz w:val="22"/>
          <w:szCs w:val="22"/>
          <w:lang w:val="es-ES"/>
        </w:rPr>
        <w:t xml:space="preserve">Aleatorización: </w:t>
      </w:r>
      <w:r>
        <w:rPr>
          <w:rFonts w:ascii="Palatino Linotype" w:hAnsi="Palatino Linotype"/>
          <w:sz w:val="22"/>
          <w:szCs w:val="22"/>
          <w:lang w:val="es-ES"/>
        </w:rPr>
        <w:t>Separar de los documentos, el nombre de los servidores públicos, a efecto de proporcionarlos en un listado aparte, organizados alfabéticamente, con el fin de evitar que dicho dato se pueda vincular con el cargo o adscripción.</w:t>
      </w:r>
    </w:p>
    <w:p w:rsidR="00763508" w:rsidRPr="009C1F01" w:rsidRDefault="00763508" w:rsidP="00763508">
      <w:pPr>
        <w:spacing w:line="360" w:lineRule="auto"/>
        <w:jc w:val="both"/>
        <w:rPr>
          <w:rFonts w:ascii="Palatino Linotype" w:hAnsi="Palatino Linotype"/>
          <w:b/>
          <w:sz w:val="22"/>
          <w:szCs w:val="22"/>
          <w:lang w:val="es-ES"/>
        </w:rPr>
      </w:pPr>
    </w:p>
    <w:p w:rsidR="00763508" w:rsidRPr="009C1F01" w:rsidRDefault="00763508" w:rsidP="00763508">
      <w:pPr>
        <w:numPr>
          <w:ilvl w:val="0"/>
          <w:numId w:val="26"/>
        </w:numPr>
        <w:spacing w:line="360" w:lineRule="auto"/>
        <w:jc w:val="both"/>
        <w:rPr>
          <w:rFonts w:ascii="Palatino Linotype" w:hAnsi="Palatino Linotype"/>
          <w:b/>
          <w:sz w:val="22"/>
          <w:szCs w:val="22"/>
          <w:lang w:val="es-ES"/>
        </w:rPr>
      </w:pPr>
      <w:r>
        <w:rPr>
          <w:rFonts w:ascii="Palatino Linotype" w:hAnsi="Palatino Linotype"/>
          <w:b/>
          <w:sz w:val="22"/>
          <w:szCs w:val="22"/>
          <w:lang w:val="es-ES"/>
        </w:rPr>
        <w:t>Supresión</w:t>
      </w:r>
      <w:r w:rsidRPr="009C1F01">
        <w:rPr>
          <w:rFonts w:ascii="Palatino Linotype" w:hAnsi="Palatino Linotype"/>
          <w:b/>
          <w:sz w:val="22"/>
          <w:szCs w:val="22"/>
          <w:lang w:val="es-ES"/>
        </w:rPr>
        <w:t xml:space="preserve">: </w:t>
      </w:r>
      <w:r>
        <w:rPr>
          <w:rFonts w:ascii="Palatino Linotype" w:hAnsi="Palatino Linotype"/>
          <w:sz w:val="22"/>
          <w:szCs w:val="22"/>
          <w:lang w:val="es-ES"/>
        </w:rPr>
        <w:t>De los documentos que den cuenta de la información, eliminar el dato de cargo, adscripción, puesto, departamento u análogo y proporcionar un documento aparte, que contenga dicho dato, tal como el tabulador de sueldos.</w:t>
      </w:r>
    </w:p>
    <w:p w:rsidR="00763508" w:rsidRDefault="00763508" w:rsidP="00763508">
      <w:pPr>
        <w:spacing w:line="360" w:lineRule="auto"/>
        <w:jc w:val="both"/>
        <w:rPr>
          <w:rFonts w:ascii="Palatino Linotype" w:hAnsi="Palatino Linotype"/>
          <w:sz w:val="22"/>
          <w:szCs w:val="22"/>
          <w:lang w:val="es-ES"/>
        </w:rPr>
      </w:pPr>
    </w:p>
    <w:p w:rsidR="00763508" w:rsidRPr="00965361" w:rsidRDefault="00763508" w:rsidP="00763508">
      <w:pPr>
        <w:spacing w:line="360" w:lineRule="auto"/>
        <w:jc w:val="both"/>
        <w:rPr>
          <w:rFonts w:ascii="Palatino Linotype" w:hAnsi="Palatino Linotype"/>
          <w:sz w:val="22"/>
          <w:szCs w:val="22"/>
          <w:lang w:val="es-ES"/>
        </w:rPr>
      </w:pPr>
      <w:r>
        <w:rPr>
          <w:rFonts w:ascii="Palatino Linotype" w:hAnsi="Palatino Linotype"/>
          <w:sz w:val="22"/>
          <w:szCs w:val="22"/>
          <w:lang w:val="es-ES"/>
        </w:rPr>
        <w:t xml:space="preserve">Conforme a lo anterior, se considera que para atender el requerimiento informativo, el Sujeto Obligado deberá entregar la nómina general y, en su caso, la lista de raya, </w:t>
      </w:r>
      <w:r w:rsidRPr="00393F54">
        <w:rPr>
          <w:rFonts w:ascii="Palatino Linotype" w:hAnsi="Palatino Linotype"/>
          <w:b/>
          <w:sz w:val="22"/>
          <w:szCs w:val="22"/>
          <w:lang w:val="es-ES"/>
        </w:rPr>
        <w:t>disociada,</w:t>
      </w:r>
      <w:r>
        <w:rPr>
          <w:rFonts w:ascii="Palatino Linotype" w:hAnsi="Palatino Linotype"/>
          <w:sz w:val="22"/>
          <w:szCs w:val="22"/>
          <w:lang w:val="es-ES"/>
        </w:rPr>
        <w:t xml:space="preserve"> con el </w:t>
      </w:r>
      <w:r>
        <w:rPr>
          <w:rFonts w:ascii="Palatino Linotype" w:hAnsi="Palatino Linotype"/>
          <w:sz w:val="22"/>
          <w:szCs w:val="22"/>
          <w:lang w:val="es-ES"/>
        </w:rPr>
        <w:lastRenderedPageBreak/>
        <w:t>fin de eliminar cualquier el vínculo que permita identificar que determinados servidores públicos, realicen funciones operativas en materia de seguridad pública y así no poner en riesgo su</w:t>
      </w:r>
      <w:r w:rsidRPr="00965361">
        <w:rPr>
          <w:rFonts w:ascii="Palatino Linotype" w:hAnsi="Palatino Linotype"/>
          <w:b/>
          <w:bCs/>
          <w:sz w:val="22"/>
          <w:szCs w:val="22"/>
        </w:rPr>
        <w:t xml:space="preserve"> vida, seguridad o salud, </w:t>
      </w:r>
      <w:r>
        <w:rPr>
          <w:rFonts w:ascii="Palatino Linotype" w:hAnsi="Palatino Linotype"/>
          <w:b/>
          <w:bCs/>
          <w:sz w:val="22"/>
          <w:szCs w:val="22"/>
        </w:rPr>
        <w:t>o bien,</w:t>
      </w:r>
      <w:r w:rsidRPr="00965361">
        <w:rPr>
          <w:rFonts w:ascii="Palatino Linotype" w:hAnsi="Palatino Linotype"/>
          <w:b/>
          <w:bCs/>
          <w:sz w:val="22"/>
          <w:szCs w:val="22"/>
        </w:rPr>
        <w:t xml:space="preserve"> de sus familias o entorno social</w:t>
      </w:r>
      <w:r>
        <w:rPr>
          <w:rFonts w:ascii="Palatino Linotype" w:hAnsi="Palatino Linotype"/>
          <w:b/>
          <w:bCs/>
          <w:sz w:val="22"/>
          <w:szCs w:val="22"/>
        </w:rPr>
        <w:t xml:space="preserve">; </w:t>
      </w:r>
      <w:r>
        <w:rPr>
          <w:rFonts w:ascii="Palatino Linotype" w:hAnsi="Palatino Linotype"/>
          <w:bCs/>
          <w:sz w:val="22"/>
          <w:szCs w:val="22"/>
        </w:rPr>
        <w:t>además, de evitar que se menoscaben las actividades de prevención y persecución de delitos, que realiza</w:t>
      </w:r>
      <w:r w:rsidR="00E51527">
        <w:rPr>
          <w:rFonts w:ascii="Palatino Linotype" w:hAnsi="Palatino Linotype"/>
          <w:bCs/>
          <w:sz w:val="22"/>
          <w:szCs w:val="22"/>
        </w:rPr>
        <w:t>n</w:t>
      </w:r>
      <w:r>
        <w:rPr>
          <w:rFonts w:ascii="Palatino Linotype" w:hAnsi="Palatino Linotype"/>
          <w:bCs/>
          <w:sz w:val="22"/>
          <w:szCs w:val="22"/>
        </w:rPr>
        <w:t>.</w:t>
      </w:r>
    </w:p>
    <w:p w:rsidR="00763508" w:rsidRPr="00331629" w:rsidRDefault="00763508" w:rsidP="00D2075D">
      <w:pPr>
        <w:pStyle w:val="Sinespaciado"/>
        <w:tabs>
          <w:tab w:val="left" w:pos="8222"/>
        </w:tabs>
        <w:spacing w:line="360" w:lineRule="auto"/>
        <w:ind w:left="0" w:right="-28"/>
        <w:rPr>
          <w:rFonts w:ascii="Palatino Linotype" w:hAnsi="Palatino Linotype" w:cs="Arial"/>
          <w:sz w:val="22"/>
          <w:szCs w:val="22"/>
        </w:rPr>
      </w:pPr>
    </w:p>
    <w:p w:rsidR="009273DB" w:rsidRPr="0068213E" w:rsidRDefault="009273DB" w:rsidP="009273DB">
      <w:pPr>
        <w:tabs>
          <w:tab w:val="left" w:pos="4962"/>
        </w:tabs>
        <w:spacing w:line="360" w:lineRule="auto"/>
        <w:jc w:val="both"/>
        <w:rPr>
          <w:rFonts w:ascii="Palatino Linotype" w:hAnsi="Palatino Linotype" w:cs="Tahoma"/>
          <w:b/>
          <w:sz w:val="22"/>
          <w:szCs w:val="22"/>
        </w:rPr>
      </w:pPr>
      <w:r w:rsidRPr="00A50EAF">
        <w:rPr>
          <w:rFonts w:ascii="Palatino Linotype" w:hAnsi="Palatino Linotype" w:cs="Tahoma"/>
          <w:b/>
          <w:caps/>
          <w:sz w:val="22"/>
          <w:szCs w:val="22"/>
        </w:rPr>
        <w:t xml:space="preserve">SextO. </w:t>
      </w:r>
      <w:r>
        <w:rPr>
          <w:rFonts w:ascii="Palatino Linotype" w:hAnsi="Palatino Linotype" w:cs="Tahoma"/>
          <w:b/>
          <w:sz w:val="22"/>
          <w:szCs w:val="22"/>
        </w:rPr>
        <w:t>D</w:t>
      </w:r>
      <w:r w:rsidRPr="0068213E">
        <w:rPr>
          <w:rFonts w:ascii="Palatino Linotype" w:hAnsi="Palatino Linotype" w:cs="Tahoma"/>
          <w:b/>
          <w:sz w:val="22"/>
          <w:szCs w:val="22"/>
        </w:rPr>
        <w:t>e la versión pública.</w:t>
      </w:r>
    </w:p>
    <w:p w:rsidR="009273DB" w:rsidRDefault="009273DB" w:rsidP="009273DB">
      <w:pPr>
        <w:tabs>
          <w:tab w:val="left" w:pos="4962"/>
        </w:tabs>
        <w:spacing w:line="360" w:lineRule="auto"/>
        <w:jc w:val="both"/>
        <w:rPr>
          <w:rFonts w:ascii="Palatino Linotype" w:hAnsi="Palatino Linotype" w:cs="Tahoma"/>
          <w:sz w:val="22"/>
          <w:szCs w:val="22"/>
          <w:lang w:val="es-ES"/>
        </w:rPr>
      </w:pPr>
    </w:p>
    <w:p w:rsidR="009273DB" w:rsidRPr="00A50EAF" w:rsidRDefault="009273DB" w:rsidP="009273DB">
      <w:pPr>
        <w:spacing w:line="360" w:lineRule="auto"/>
        <w:ind w:right="-93"/>
        <w:jc w:val="both"/>
        <w:rPr>
          <w:rFonts w:ascii="Palatino Linotype" w:hAnsi="Palatino Linotype" w:cs="Tahoma"/>
          <w:sz w:val="22"/>
          <w:szCs w:val="22"/>
        </w:rPr>
      </w:pPr>
      <w:r>
        <w:rPr>
          <w:rFonts w:ascii="Palatino Linotype" w:hAnsi="Palatino Linotype" w:cs="Tahoma"/>
          <w:bCs/>
          <w:iCs/>
          <w:sz w:val="22"/>
          <w:szCs w:val="22"/>
        </w:rPr>
        <w:t>En efecto</w:t>
      </w:r>
      <w:r w:rsidRPr="00A50EAF">
        <w:rPr>
          <w:rFonts w:ascii="Palatino Linotype" w:hAnsi="Palatino Linotype" w:cs="Tahoma"/>
          <w:bCs/>
          <w:iCs/>
          <w:sz w:val="22"/>
          <w:szCs w:val="22"/>
        </w:rPr>
        <w:t xml:space="preserve">, </w:t>
      </w:r>
      <w:r>
        <w:rPr>
          <w:rFonts w:ascii="Palatino Linotype" w:hAnsi="Palatino Linotype" w:cs="Tahoma"/>
          <w:bCs/>
          <w:iCs/>
          <w:sz w:val="22"/>
          <w:szCs w:val="22"/>
        </w:rPr>
        <w:t>cuando los documentos de acceso público</w:t>
      </w:r>
      <w:r w:rsidRPr="00A50EAF">
        <w:rPr>
          <w:rFonts w:ascii="Palatino Linotype" w:hAnsi="Palatino Linotype" w:cs="Tahoma"/>
          <w:sz w:val="22"/>
          <w:szCs w:val="22"/>
        </w:rPr>
        <w:t xml:space="preserve"> puede</w:t>
      </w:r>
      <w:r>
        <w:rPr>
          <w:rFonts w:ascii="Palatino Linotype" w:hAnsi="Palatino Linotype" w:cs="Tahoma"/>
          <w:sz w:val="22"/>
          <w:szCs w:val="22"/>
        </w:rPr>
        <w:t>n</w:t>
      </w:r>
      <w:r w:rsidRPr="00A50EAF">
        <w:rPr>
          <w:rFonts w:ascii="Palatino Linotype" w:hAnsi="Palatino Linotype" w:cs="Tahoma"/>
          <w:sz w:val="22"/>
          <w:szCs w:val="22"/>
        </w:rPr>
        <w:t xml:space="preserve"> contener datos personales, que de hacerse públicos afectarían la intimidad, patrimonio y vida privada de sus titulares</w:t>
      </w:r>
      <w:r>
        <w:rPr>
          <w:rFonts w:ascii="Palatino Linotype" w:hAnsi="Palatino Linotype" w:cs="Tahoma"/>
          <w:sz w:val="22"/>
          <w:szCs w:val="22"/>
        </w:rPr>
        <w:t xml:space="preserve">, </w:t>
      </w:r>
      <w:r w:rsidRPr="00DE056E">
        <w:rPr>
          <w:rFonts w:ascii="Palatino Linotype" w:hAnsi="Palatino Linotype" w:cs="Tahoma"/>
          <w:sz w:val="22"/>
          <w:szCs w:val="22"/>
        </w:rPr>
        <w:t>se consideran confidenciales</w:t>
      </w:r>
      <w:r>
        <w:rPr>
          <w:rFonts w:ascii="Palatino Linotype" w:hAnsi="Palatino Linotype" w:cs="Tahoma"/>
          <w:sz w:val="22"/>
          <w:szCs w:val="22"/>
        </w:rPr>
        <w:t xml:space="preserve"> y</w:t>
      </w:r>
      <w:r w:rsidRPr="00D31710">
        <w:rPr>
          <w:rFonts w:ascii="Palatino Linotype" w:hAnsi="Palatino Linotype" w:cs="Tahoma"/>
          <w:sz w:val="22"/>
          <w:szCs w:val="22"/>
        </w:rPr>
        <w:t xml:space="preserve"> por tanto deben testarse al momento de la elaboración de versiones públicas</w:t>
      </w:r>
      <w:r>
        <w:rPr>
          <w:rFonts w:ascii="Palatino Linotype" w:hAnsi="Palatino Linotype" w:cs="Tahoma"/>
          <w:sz w:val="22"/>
          <w:szCs w:val="22"/>
        </w:rPr>
        <w:t xml:space="preserve">, </w:t>
      </w:r>
      <w:r w:rsidRPr="00A50EAF">
        <w:rPr>
          <w:rFonts w:ascii="Palatino Linotype" w:hAnsi="Palatino Linotype" w:cs="Tahoma"/>
          <w:sz w:val="22"/>
          <w:szCs w:val="22"/>
        </w:rPr>
        <w:t>de conformidad con la Ley de Transparencia y Acceso a la Información Pública del</w:t>
      </w:r>
      <w:r>
        <w:rPr>
          <w:rFonts w:ascii="Palatino Linotype" w:hAnsi="Palatino Linotype" w:cs="Tahoma"/>
          <w:sz w:val="22"/>
          <w:szCs w:val="22"/>
        </w:rPr>
        <w:t xml:space="preserve"> Estado de México y Municipios.</w:t>
      </w:r>
    </w:p>
    <w:p w:rsidR="009273DB" w:rsidRPr="00A50EAF" w:rsidRDefault="009273DB" w:rsidP="009273DB">
      <w:pPr>
        <w:spacing w:line="360" w:lineRule="auto"/>
        <w:ind w:right="-93"/>
        <w:jc w:val="both"/>
        <w:rPr>
          <w:rFonts w:ascii="Palatino Linotype" w:hAnsi="Palatino Linotype" w:cs="Tahoma"/>
          <w:sz w:val="22"/>
          <w:szCs w:val="22"/>
        </w:rPr>
      </w:pPr>
    </w:p>
    <w:p w:rsidR="009273DB" w:rsidRPr="00A50EAF" w:rsidRDefault="009273DB" w:rsidP="009273DB">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009273DB" w:rsidRPr="00A50EAF" w:rsidRDefault="009273DB" w:rsidP="009273DB">
      <w:pPr>
        <w:spacing w:line="360" w:lineRule="auto"/>
        <w:ind w:right="-93"/>
        <w:jc w:val="both"/>
        <w:rPr>
          <w:rFonts w:ascii="Palatino Linotype" w:hAnsi="Palatino Linotype" w:cs="Tahoma"/>
          <w:bCs/>
          <w:iCs/>
          <w:sz w:val="22"/>
          <w:szCs w:val="22"/>
        </w:rPr>
      </w:pPr>
    </w:p>
    <w:p w:rsidR="009273DB" w:rsidRPr="00A50EAF" w:rsidRDefault="009273DB" w:rsidP="009273DB">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rsidR="009273DB" w:rsidRPr="00A50EAF" w:rsidRDefault="009273DB" w:rsidP="009273DB">
      <w:pPr>
        <w:spacing w:line="360" w:lineRule="auto"/>
        <w:ind w:right="-93"/>
        <w:jc w:val="both"/>
        <w:rPr>
          <w:rFonts w:ascii="Palatino Linotype" w:hAnsi="Palatino Linotype" w:cs="Tahoma"/>
          <w:bCs/>
          <w:iCs/>
          <w:sz w:val="22"/>
          <w:szCs w:val="22"/>
        </w:rPr>
      </w:pPr>
    </w:p>
    <w:p w:rsidR="009273DB" w:rsidRPr="00A50EAF" w:rsidRDefault="009273DB" w:rsidP="009273DB">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009273DB" w:rsidRPr="00A50EAF" w:rsidRDefault="009273DB" w:rsidP="009273DB">
      <w:pPr>
        <w:spacing w:line="360" w:lineRule="auto"/>
        <w:ind w:right="-93"/>
        <w:jc w:val="both"/>
        <w:rPr>
          <w:rFonts w:ascii="Palatino Linotype" w:hAnsi="Palatino Linotype" w:cs="Tahoma"/>
          <w:bCs/>
          <w:iCs/>
          <w:sz w:val="22"/>
          <w:szCs w:val="22"/>
        </w:rPr>
      </w:pPr>
    </w:p>
    <w:p w:rsidR="009273DB" w:rsidRPr="00A50EAF" w:rsidRDefault="009273DB" w:rsidP="009273DB">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009273DB" w:rsidRPr="00A50EAF" w:rsidRDefault="009273DB" w:rsidP="009273DB">
      <w:pPr>
        <w:spacing w:line="360" w:lineRule="auto"/>
        <w:ind w:right="-93"/>
        <w:jc w:val="both"/>
        <w:rPr>
          <w:rFonts w:ascii="Palatino Linotype" w:hAnsi="Palatino Linotype" w:cs="Tahoma"/>
          <w:bCs/>
          <w:iCs/>
          <w:sz w:val="22"/>
          <w:szCs w:val="22"/>
        </w:rPr>
      </w:pPr>
    </w:p>
    <w:p w:rsidR="009273DB" w:rsidRPr="00A50EAF" w:rsidRDefault="009273DB" w:rsidP="009273DB">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rsidR="009273DB" w:rsidRPr="00A50EAF" w:rsidRDefault="009273DB" w:rsidP="009273DB">
      <w:pPr>
        <w:spacing w:line="360" w:lineRule="auto"/>
        <w:ind w:right="-93"/>
        <w:jc w:val="both"/>
        <w:rPr>
          <w:rFonts w:ascii="Palatino Linotype" w:hAnsi="Palatino Linotype" w:cs="Tahoma"/>
          <w:bCs/>
          <w:iCs/>
          <w:sz w:val="22"/>
          <w:szCs w:val="22"/>
        </w:rPr>
      </w:pPr>
    </w:p>
    <w:p w:rsidR="009273DB" w:rsidRPr="00A50EAF" w:rsidRDefault="009273DB" w:rsidP="009273DB">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w:t>
      </w:r>
      <w:r w:rsidRPr="00A50EAF">
        <w:rPr>
          <w:rFonts w:ascii="Palatino Linotype" w:hAnsi="Palatino Linotype" w:cs="Tahoma"/>
          <w:bCs/>
          <w:iCs/>
          <w:sz w:val="22"/>
          <w:szCs w:val="22"/>
          <w:lang w:val="es-ES"/>
        </w:rPr>
        <w:t>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009273DB" w:rsidRPr="00A50EAF" w:rsidRDefault="009273DB" w:rsidP="009273DB">
      <w:pPr>
        <w:spacing w:line="360" w:lineRule="auto"/>
        <w:ind w:right="-93"/>
        <w:jc w:val="both"/>
        <w:rPr>
          <w:rFonts w:ascii="Palatino Linotype" w:hAnsi="Palatino Linotype" w:cs="Tahoma"/>
          <w:bCs/>
          <w:iCs/>
          <w:sz w:val="22"/>
          <w:szCs w:val="22"/>
        </w:rPr>
      </w:pPr>
    </w:p>
    <w:p w:rsidR="009273DB" w:rsidRPr="00A50EAF" w:rsidRDefault="009273DB" w:rsidP="009273DB">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rsidR="009273DB" w:rsidRPr="00A50EAF" w:rsidRDefault="009273DB" w:rsidP="009273DB">
      <w:pPr>
        <w:spacing w:line="360" w:lineRule="auto"/>
        <w:ind w:right="-93"/>
        <w:jc w:val="both"/>
        <w:rPr>
          <w:rFonts w:ascii="Palatino Linotype" w:hAnsi="Palatino Linotype" w:cs="Tahoma"/>
          <w:bCs/>
          <w:iCs/>
          <w:sz w:val="22"/>
          <w:szCs w:val="22"/>
          <w:lang w:val="es-ES"/>
        </w:rPr>
      </w:pPr>
    </w:p>
    <w:p w:rsidR="009273DB" w:rsidRPr="00A50EAF" w:rsidRDefault="009273DB" w:rsidP="009273DB">
      <w:pPr>
        <w:numPr>
          <w:ilvl w:val="0"/>
          <w:numId w:val="15"/>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lastRenderedPageBreak/>
        <w:t xml:space="preserve">Se trate de datos personales o información privada; esto es, información concerniente a una persona física o jurídico colectiva y que </w:t>
      </w:r>
      <w:r>
        <w:rPr>
          <w:rFonts w:ascii="Palatino Linotype" w:hAnsi="Palatino Linotype" w:cs="Tahoma"/>
          <w:bCs/>
          <w:iCs/>
          <w:sz w:val="22"/>
          <w:szCs w:val="22"/>
          <w:lang w:val="es-ES"/>
        </w:rPr>
        <w:t>e</w:t>
      </w:r>
      <w:r w:rsidRPr="00A50EAF">
        <w:rPr>
          <w:rFonts w:ascii="Palatino Linotype" w:hAnsi="Palatino Linotype" w:cs="Tahoma"/>
          <w:bCs/>
          <w:iCs/>
          <w:sz w:val="22"/>
          <w:szCs w:val="22"/>
          <w:lang w:val="es-ES"/>
        </w:rPr>
        <w:t xml:space="preserve">sta sea identificada o identificable. </w:t>
      </w:r>
    </w:p>
    <w:p w:rsidR="009273DB" w:rsidRPr="00A50EAF" w:rsidRDefault="009273DB" w:rsidP="009273DB">
      <w:pPr>
        <w:spacing w:line="360" w:lineRule="auto"/>
        <w:ind w:right="-93"/>
        <w:jc w:val="both"/>
        <w:rPr>
          <w:rFonts w:ascii="Palatino Linotype" w:hAnsi="Palatino Linotype" w:cs="Tahoma"/>
          <w:bCs/>
          <w:iCs/>
          <w:sz w:val="22"/>
          <w:szCs w:val="22"/>
          <w:lang w:val="es-ES"/>
        </w:rPr>
      </w:pPr>
    </w:p>
    <w:p w:rsidR="009273DB" w:rsidRPr="00A50EAF" w:rsidRDefault="009273DB" w:rsidP="009273DB">
      <w:pPr>
        <w:numPr>
          <w:ilvl w:val="0"/>
          <w:numId w:val="15"/>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 xml:space="preserve">Para la difusión de los datos, se requiera el consentimiento del titular. </w:t>
      </w:r>
    </w:p>
    <w:p w:rsidR="009273DB" w:rsidRPr="00A50EAF" w:rsidRDefault="009273DB" w:rsidP="009273DB">
      <w:pPr>
        <w:spacing w:line="360" w:lineRule="auto"/>
        <w:ind w:right="-93"/>
        <w:jc w:val="both"/>
        <w:rPr>
          <w:rFonts w:ascii="Palatino Linotype" w:hAnsi="Palatino Linotype" w:cs="Tahoma"/>
          <w:bCs/>
          <w:iCs/>
          <w:sz w:val="22"/>
          <w:szCs w:val="22"/>
        </w:rPr>
      </w:pPr>
    </w:p>
    <w:p w:rsidR="009273DB" w:rsidRPr="00A50EAF" w:rsidRDefault="009273DB" w:rsidP="009273DB">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rsidR="009273DB" w:rsidRPr="00A50EAF" w:rsidRDefault="009273DB" w:rsidP="009273DB">
      <w:pPr>
        <w:spacing w:line="360" w:lineRule="auto"/>
        <w:ind w:right="-93"/>
        <w:jc w:val="both"/>
        <w:rPr>
          <w:rFonts w:ascii="Palatino Linotype" w:hAnsi="Palatino Linotype" w:cs="Tahoma"/>
          <w:bCs/>
          <w:iCs/>
          <w:sz w:val="22"/>
          <w:szCs w:val="22"/>
        </w:rPr>
      </w:pPr>
    </w:p>
    <w:p w:rsidR="009273DB" w:rsidRPr="00A50EAF" w:rsidRDefault="009273DB" w:rsidP="009273DB">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Además, en el artículo 5° de dicho ordenamiento jurídico, establece que es la Ley aplicable para todo tratamiento de datos personales.</w:t>
      </w:r>
    </w:p>
    <w:p w:rsidR="009273DB" w:rsidRPr="00A50EAF" w:rsidRDefault="009273DB" w:rsidP="009273DB">
      <w:pPr>
        <w:spacing w:line="360" w:lineRule="auto"/>
        <w:ind w:right="-93"/>
        <w:jc w:val="both"/>
        <w:rPr>
          <w:rFonts w:ascii="Palatino Linotype" w:hAnsi="Palatino Linotype" w:cs="Tahoma"/>
          <w:bCs/>
          <w:iCs/>
          <w:sz w:val="22"/>
          <w:szCs w:val="22"/>
        </w:rPr>
      </w:pPr>
    </w:p>
    <w:p w:rsidR="009273DB" w:rsidRPr="00A50EAF" w:rsidRDefault="009273DB" w:rsidP="009273DB">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009273DB" w:rsidRPr="00A50EAF" w:rsidRDefault="009273DB" w:rsidP="009273DB">
      <w:pPr>
        <w:spacing w:line="360" w:lineRule="auto"/>
        <w:ind w:right="-93"/>
        <w:jc w:val="both"/>
        <w:rPr>
          <w:rFonts w:ascii="Palatino Linotype" w:hAnsi="Palatino Linotype" w:cs="Tahoma"/>
          <w:bCs/>
          <w:iCs/>
          <w:sz w:val="22"/>
          <w:szCs w:val="22"/>
        </w:rPr>
      </w:pPr>
    </w:p>
    <w:p w:rsidR="009273DB" w:rsidRPr="00A50EAF" w:rsidRDefault="009273DB" w:rsidP="009273DB">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Por tales situaciones, un dato personal es cualquier información que pueda hacer a una persona física identificada e identificable, como su nombre o imagen. Asimismo, la doctrina desarrollada a nivel internacional, respecto del tema de datos personales, establece que también </w:t>
      </w:r>
      <w:r w:rsidRPr="00A50EAF">
        <w:rPr>
          <w:rFonts w:ascii="Palatino Linotype" w:hAnsi="Palatino Linotype" w:cs="Tahoma"/>
          <w:bCs/>
          <w:iCs/>
          <w:sz w:val="22"/>
          <w:szCs w:val="22"/>
        </w:rPr>
        <w:lastRenderedPageBreak/>
        <w:t>las preferencias, gustos, cualidades, opiniones y creencias, constituyen datos personales. En este sentido, cualquier información que por sí sola o relacionada con otra permita hacer identificable a una persona, es un dato personal, susceptible de ser clasificado.</w:t>
      </w:r>
    </w:p>
    <w:p w:rsidR="009273DB" w:rsidRPr="00A50EAF" w:rsidRDefault="009273DB" w:rsidP="009273DB">
      <w:pPr>
        <w:spacing w:line="360" w:lineRule="auto"/>
        <w:ind w:right="-93"/>
        <w:jc w:val="both"/>
        <w:rPr>
          <w:rFonts w:ascii="Palatino Linotype" w:hAnsi="Palatino Linotype" w:cs="Tahoma"/>
          <w:bCs/>
          <w:iCs/>
          <w:sz w:val="22"/>
          <w:szCs w:val="22"/>
        </w:rPr>
      </w:pPr>
    </w:p>
    <w:p w:rsidR="009273DB" w:rsidRPr="00A50EAF" w:rsidRDefault="009273DB" w:rsidP="009273DB">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009273DB" w:rsidRPr="00A50EAF" w:rsidRDefault="009273DB" w:rsidP="009273DB">
      <w:pPr>
        <w:spacing w:line="360" w:lineRule="auto"/>
        <w:ind w:right="-93"/>
        <w:jc w:val="both"/>
        <w:rPr>
          <w:rFonts w:ascii="Palatino Linotype" w:hAnsi="Palatino Linotype" w:cs="Tahoma"/>
          <w:bCs/>
          <w:iCs/>
          <w:sz w:val="22"/>
          <w:szCs w:val="22"/>
        </w:rPr>
      </w:pPr>
    </w:p>
    <w:p w:rsidR="009273DB" w:rsidRPr="00A50EAF" w:rsidRDefault="009273DB" w:rsidP="009273DB">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rsidR="009273DB" w:rsidRPr="00A50EAF" w:rsidRDefault="009273DB" w:rsidP="009273DB">
      <w:pPr>
        <w:spacing w:line="360" w:lineRule="auto"/>
        <w:ind w:right="-93"/>
        <w:jc w:val="both"/>
        <w:rPr>
          <w:rFonts w:ascii="Palatino Linotype" w:hAnsi="Palatino Linotype" w:cs="Tahoma"/>
          <w:bCs/>
          <w:iCs/>
          <w:sz w:val="22"/>
          <w:szCs w:val="22"/>
        </w:rPr>
      </w:pPr>
    </w:p>
    <w:p w:rsidR="009273DB" w:rsidRPr="00A50EAF" w:rsidRDefault="009273DB" w:rsidP="009273DB">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rsidR="009273DB" w:rsidRPr="00A50EAF" w:rsidRDefault="009273DB" w:rsidP="009273DB">
      <w:pPr>
        <w:spacing w:line="360" w:lineRule="auto"/>
        <w:ind w:right="-93"/>
        <w:jc w:val="both"/>
        <w:rPr>
          <w:rFonts w:ascii="Palatino Linotype" w:hAnsi="Palatino Linotype" w:cs="Tahoma"/>
          <w:bCs/>
          <w:iCs/>
          <w:sz w:val="22"/>
          <w:szCs w:val="22"/>
        </w:rPr>
      </w:pPr>
    </w:p>
    <w:p w:rsidR="009273DB" w:rsidRPr="00A50EAF" w:rsidRDefault="009273DB" w:rsidP="009273DB">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w:t>
      </w:r>
      <w:r w:rsidRPr="00A50EAF">
        <w:rPr>
          <w:rFonts w:ascii="Palatino Linotype" w:hAnsi="Palatino Linotype" w:cs="Tahoma"/>
          <w:bCs/>
          <w:iCs/>
          <w:sz w:val="22"/>
          <w:szCs w:val="22"/>
        </w:rPr>
        <w:lastRenderedPageBreak/>
        <w:t>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009273DB" w:rsidRPr="00A50EAF" w:rsidRDefault="009273DB" w:rsidP="009273DB">
      <w:pPr>
        <w:spacing w:line="360" w:lineRule="auto"/>
        <w:ind w:right="-93"/>
        <w:jc w:val="both"/>
        <w:rPr>
          <w:rFonts w:ascii="Palatino Linotype" w:hAnsi="Palatino Linotype" w:cs="Tahoma"/>
          <w:bCs/>
          <w:iCs/>
          <w:sz w:val="22"/>
          <w:szCs w:val="22"/>
        </w:rPr>
      </w:pPr>
    </w:p>
    <w:p w:rsidR="009273DB" w:rsidRPr="00A50EAF" w:rsidRDefault="009273DB" w:rsidP="009273DB">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Ahora bien, cuando las personas tienen una relación comercial, </w:t>
      </w:r>
      <w:r w:rsidRPr="00BC1085">
        <w:rPr>
          <w:rFonts w:ascii="Palatino Linotype" w:hAnsi="Palatino Linotype" w:cs="Tahoma"/>
          <w:bCs/>
          <w:iCs/>
          <w:sz w:val="22"/>
          <w:szCs w:val="22"/>
          <w:u w:val="single"/>
        </w:rPr>
        <w:t>laboral</w:t>
      </w:r>
      <w:r w:rsidRPr="00A50EAF">
        <w:rPr>
          <w:rFonts w:ascii="Palatino Linotype" w:hAnsi="Palatino Linotype" w:cs="Tahoma"/>
          <w:bCs/>
          <w:iCs/>
          <w:sz w:val="22"/>
          <w:szCs w:val="22"/>
        </w:rPr>
        <w:t>,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009273DB" w:rsidRPr="00A50EAF" w:rsidRDefault="009273DB" w:rsidP="009273DB">
      <w:pPr>
        <w:spacing w:line="360" w:lineRule="auto"/>
        <w:ind w:right="-93"/>
        <w:jc w:val="both"/>
        <w:rPr>
          <w:rFonts w:ascii="Palatino Linotype" w:hAnsi="Palatino Linotype" w:cs="Tahoma"/>
          <w:bCs/>
          <w:iCs/>
          <w:sz w:val="22"/>
          <w:szCs w:val="22"/>
        </w:rPr>
      </w:pPr>
    </w:p>
    <w:p w:rsidR="009273DB" w:rsidRPr="00A50EAF" w:rsidRDefault="009273DB" w:rsidP="009273DB">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Bajo este esquema a continuación se analizan los datos personales susceptibles de clasificación que podrían estar contenidos en los</w:t>
      </w:r>
      <w:r>
        <w:rPr>
          <w:rFonts w:ascii="Palatino Linotype" w:hAnsi="Palatino Linotype" w:cs="Tahoma"/>
          <w:bCs/>
          <w:iCs/>
          <w:sz w:val="22"/>
          <w:szCs w:val="22"/>
        </w:rPr>
        <w:t xml:space="preserve"> documentos que se ordenan entregar, </w:t>
      </w:r>
      <w:r w:rsidRPr="00A50EAF">
        <w:rPr>
          <w:rFonts w:ascii="Palatino Linotype" w:hAnsi="Palatino Linotype" w:cs="Tahoma"/>
          <w:bCs/>
          <w:iCs/>
          <w:sz w:val="22"/>
          <w:szCs w:val="22"/>
        </w:rPr>
        <w:t xml:space="preserve">tales como el </w:t>
      </w:r>
      <w:r w:rsidRPr="00A50EAF">
        <w:rPr>
          <w:rFonts w:ascii="Palatino Linotype" w:hAnsi="Palatino Linotype" w:cs="Tahoma"/>
          <w:b/>
          <w:bCs/>
          <w:iCs/>
          <w:sz w:val="22"/>
          <w:szCs w:val="22"/>
        </w:rPr>
        <w:t>Registro Federal de Contribuyentes</w:t>
      </w:r>
      <w:r w:rsidRPr="00A50EAF">
        <w:rPr>
          <w:rFonts w:ascii="Palatino Linotype" w:hAnsi="Palatino Linotype" w:cs="Tahoma"/>
          <w:bCs/>
          <w:iCs/>
          <w:sz w:val="22"/>
          <w:szCs w:val="22"/>
        </w:rPr>
        <w:t xml:space="preserve"> (RFC), la </w:t>
      </w:r>
      <w:r w:rsidRPr="00A50EAF">
        <w:rPr>
          <w:rFonts w:ascii="Palatino Linotype" w:hAnsi="Palatino Linotype" w:cs="Tahoma"/>
          <w:b/>
          <w:bCs/>
          <w:iCs/>
          <w:sz w:val="22"/>
          <w:szCs w:val="22"/>
        </w:rPr>
        <w:t>Clave Única de Registro de Población</w:t>
      </w:r>
      <w:r w:rsidRPr="00A50EAF">
        <w:rPr>
          <w:rFonts w:ascii="Palatino Linotype" w:hAnsi="Palatino Linotype" w:cs="Tahoma"/>
          <w:bCs/>
          <w:iCs/>
          <w:sz w:val="22"/>
          <w:szCs w:val="22"/>
        </w:rPr>
        <w:t xml:space="preserve"> (CURP), la </w:t>
      </w:r>
      <w:r w:rsidRPr="00A50EAF">
        <w:rPr>
          <w:rFonts w:ascii="Palatino Linotype" w:hAnsi="Palatino Linotype" w:cs="Tahoma"/>
          <w:b/>
          <w:bCs/>
          <w:iCs/>
          <w:sz w:val="22"/>
          <w:szCs w:val="22"/>
        </w:rPr>
        <w:t>Clave de cualquier tipo de seguridad social</w:t>
      </w:r>
      <w:r w:rsidRPr="00A50EAF">
        <w:rPr>
          <w:rFonts w:ascii="Palatino Linotype" w:hAnsi="Palatino Linotype" w:cs="Tahoma"/>
          <w:bCs/>
          <w:iCs/>
          <w:sz w:val="22"/>
          <w:szCs w:val="22"/>
        </w:rPr>
        <w:t xml:space="preserve"> (ISSEMYM, u otros), los </w:t>
      </w:r>
      <w:r w:rsidRPr="00A50EAF">
        <w:rPr>
          <w:rFonts w:ascii="Palatino Linotype" w:hAnsi="Palatino Linotype" w:cs="Tahoma"/>
          <w:b/>
          <w:bCs/>
          <w:iCs/>
          <w:sz w:val="22"/>
          <w:szCs w:val="22"/>
        </w:rPr>
        <w:t xml:space="preserve">préstamos o descuentos </w:t>
      </w:r>
      <w:r w:rsidRPr="00A50EAF">
        <w:rPr>
          <w:rFonts w:ascii="Palatino Linotype" w:hAnsi="Palatino Linotype" w:cs="Tahoma"/>
          <w:bCs/>
          <w:iCs/>
          <w:sz w:val="22"/>
          <w:szCs w:val="22"/>
        </w:rPr>
        <w:t>que se le hagan al servidor público</w:t>
      </w:r>
      <w:r w:rsidR="00E51527">
        <w:rPr>
          <w:rFonts w:ascii="Palatino Linotype" w:hAnsi="Palatino Linotype" w:cs="Tahoma"/>
          <w:bCs/>
          <w:iCs/>
          <w:sz w:val="22"/>
          <w:szCs w:val="22"/>
        </w:rPr>
        <w:t>,</w:t>
      </w:r>
      <w:r>
        <w:rPr>
          <w:rFonts w:ascii="Palatino Linotype" w:hAnsi="Palatino Linotype" w:cs="Tahoma"/>
          <w:bCs/>
          <w:iCs/>
          <w:sz w:val="22"/>
          <w:szCs w:val="22"/>
        </w:rPr>
        <w:t xml:space="preserve"> la clave interbancaria de depósito</w:t>
      </w:r>
      <w:r w:rsidR="00E51527">
        <w:rPr>
          <w:rFonts w:ascii="Palatino Linotype" w:hAnsi="Palatino Linotype" w:cs="Tahoma"/>
          <w:bCs/>
          <w:iCs/>
          <w:sz w:val="22"/>
          <w:szCs w:val="22"/>
        </w:rPr>
        <w:t xml:space="preserve"> y Recaudación de Impuestos</w:t>
      </w:r>
      <w:r w:rsidRPr="00A50EAF">
        <w:rPr>
          <w:rFonts w:ascii="Palatino Linotype" w:hAnsi="Palatino Linotype" w:cs="Tahoma"/>
          <w:bCs/>
          <w:iCs/>
          <w:sz w:val="22"/>
          <w:szCs w:val="22"/>
        </w:rPr>
        <w:t>.</w:t>
      </w:r>
    </w:p>
    <w:p w:rsidR="009273DB" w:rsidRPr="00A50EAF" w:rsidRDefault="009273DB" w:rsidP="009273DB">
      <w:pPr>
        <w:spacing w:line="360" w:lineRule="auto"/>
        <w:ind w:right="-93"/>
        <w:jc w:val="both"/>
        <w:rPr>
          <w:rFonts w:ascii="Palatino Linotype" w:hAnsi="Palatino Linotype" w:cs="Tahoma"/>
          <w:bCs/>
          <w:iCs/>
          <w:sz w:val="22"/>
          <w:szCs w:val="22"/>
        </w:rPr>
      </w:pPr>
    </w:p>
    <w:p w:rsidR="009273DB" w:rsidRPr="00A50EAF" w:rsidRDefault="009273DB" w:rsidP="009273DB">
      <w:pPr>
        <w:pStyle w:val="Prrafodelista"/>
        <w:numPr>
          <w:ilvl w:val="0"/>
          <w:numId w:val="19"/>
        </w:numPr>
        <w:spacing w:line="360" w:lineRule="auto"/>
        <w:ind w:right="-93"/>
        <w:jc w:val="both"/>
        <w:rPr>
          <w:rFonts w:ascii="Palatino Linotype" w:hAnsi="Palatino Linotype" w:cs="Tahoma"/>
          <w:bCs/>
          <w:iCs/>
          <w:szCs w:val="22"/>
        </w:rPr>
      </w:pPr>
      <w:r w:rsidRPr="00A50EAF">
        <w:rPr>
          <w:rFonts w:ascii="Palatino Linotype" w:hAnsi="Palatino Linotype" w:cs="Tahoma"/>
          <w:b/>
          <w:bCs/>
          <w:iCs/>
          <w:szCs w:val="22"/>
        </w:rPr>
        <w:t>Registro Federal de Contribuyentes</w:t>
      </w:r>
      <w:r w:rsidRPr="00A50EAF">
        <w:rPr>
          <w:rFonts w:ascii="Palatino Linotype" w:hAnsi="Palatino Linotype" w:cs="Tahoma"/>
          <w:bCs/>
          <w:iCs/>
          <w:szCs w:val="22"/>
        </w:rPr>
        <w:t xml:space="preserve"> (RFC)</w:t>
      </w:r>
    </w:p>
    <w:p w:rsidR="009273DB" w:rsidRPr="00A50EAF" w:rsidRDefault="009273DB" w:rsidP="009273DB">
      <w:pPr>
        <w:spacing w:line="360" w:lineRule="auto"/>
        <w:ind w:left="360" w:right="-93"/>
        <w:jc w:val="both"/>
        <w:rPr>
          <w:rFonts w:ascii="Palatino Linotype" w:hAnsi="Palatino Linotype" w:cs="Tahoma"/>
          <w:bCs/>
          <w:iCs/>
          <w:szCs w:val="22"/>
        </w:rPr>
      </w:pPr>
    </w:p>
    <w:p w:rsidR="009273DB" w:rsidRDefault="009273DB" w:rsidP="009273DB">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t>L</w:t>
      </w:r>
      <w:r w:rsidRPr="00A50EAF">
        <w:rPr>
          <w:rFonts w:ascii="Palatino Linotype" w:hAnsi="Palatino Linotype" w:cs="Tahoma"/>
          <w:bCs/>
          <w:iCs/>
          <w:sz w:val="22"/>
          <w:szCs w:val="22"/>
        </w:rPr>
        <w:t xml:space="preserve">as personas físicas que deban presentar declaraciones periódicas o que están obligadas a expedir comprobantes fiscales, tienen que solicitar su inscripción en el Registro Federal de </w:t>
      </w:r>
      <w:r w:rsidRPr="00A50EAF">
        <w:rPr>
          <w:rFonts w:ascii="Palatino Linotype" w:hAnsi="Palatino Linotype" w:cs="Tahoma"/>
          <w:bCs/>
          <w:iCs/>
          <w:sz w:val="22"/>
          <w:szCs w:val="22"/>
        </w:rPr>
        <w:lastRenderedPageBreak/>
        <w:t>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rsidR="009273DB" w:rsidRPr="00A50EAF" w:rsidRDefault="009273DB" w:rsidP="009273DB">
      <w:pPr>
        <w:spacing w:line="360" w:lineRule="auto"/>
        <w:ind w:right="-93"/>
        <w:jc w:val="both"/>
        <w:rPr>
          <w:rFonts w:ascii="Palatino Linotype" w:hAnsi="Palatino Linotype" w:cs="Tahoma"/>
          <w:bCs/>
          <w:iCs/>
          <w:sz w:val="22"/>
          <w:szCs w:val="22"/>
        </w:rPr>
      </w:pPr>
    </w:p>
    <w:p w:rsidR="009273DB" w:rsidRPr="00A50EAF" w:rsidRDefault="009273DB" w:rsidP="009273DB">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rsidR="009273DB" w:rsidRPr="00A50EAF" w:rsidRDefault="009273DB" w:rsidP="009273DB">
      <w:pPr>
        <w:spacing w:line="360" w:lineRule="auto"/>
        <w:ind w:right="-93"/>
        <w:jc w:val="both"/>
        <w:rPr>
          <w:rFonts w:ascii="Palatino Linotype" w:hAnsi="Palatino Linotype" w:cs="Tahoma"/>
          <w:bCs/>
          <w:iCs/>
          <w:sz w:val="22"/>
          <w:szCs w:val="22"/>
        </w:rPr>
      </w:pPr>
    </w:p>
    <w:p w:rsidR="009273DB" w:rsidRPr="00A50EAF" w:rsidRDefault="009273DB" w:rsidP="009273DB">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009273DB" w:rsidRPr="00A50EAF" w:rsidRDefault="009273DB" w:rsidP="009273DB">
      <w:pPr>
        <w:spacing w:line="360" w:lineRule="auto"/>
        <w:ind w:right="-93"/>
        <w:jc w:val="both"/>
        <w:rPr>
          <w:rFonts w:ascii="Palatino Linotype" w:hAnsi="Palatino Linotype" w:cs="Tahoma"/>
          <w:bCs/>
          <w:iCs/>
          <w:sz w:val="22"/>
          <w:szCs w:val="22"/>
        </w:rPr>
      </w:pPr>
    </w:p>
    <w:p w:rsidR="009273DB" w:rsidRPr="00A50EAF" w:rsidRDefault="009273DB" w:rsidP="009273DB">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rsidR="009273DB" w:rsidRPr="00A50EAF" w:rsidRDefault="009273DB" w:rsidP="009273DB">
      <w:pPr>
        <w:spacing w:line="360" w:lineRule="auto"/>
        <w:ind w:right="-93"/>
        <w:jc w:val="both"/>
        <w:rPr>
          <w:rFonts w:ascii="Palatino Linotype" w:hAnsi="Palatino Linotype" w:cs="Tahoma"/>
          <w:bCs/>
          <w:iCs/>
          <w:sz w:val="22"/>
          <w:szCs w:val="22"/>
        </w:rPr>
      </w:pPr>
    </w:p>
    <w:p w:rsidR="009273DB" w:rsidRPr="00A50EAF" w:rsidRDefault="009273DB" w:rsidP="009273DB">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rsidR="009273DB" w:rsidRPr="00A50EAF" w:rsidRDefault="009273DB" w:rsidP="009273DB">
      <w:pPr>
        <w:spacing w:line="360" w:lineRule="auto"/>
        <w:ind w:right="-93"/>
        <w:jc w:val="both"/>
        <w:rPr>
          <w:rFonts w:ascii="Palatino Linotype" w:hAnsi="Palatino Linotype" w:cs="Tahoma"/>
          <w:bCs/>
          <w:iCs/>
          <w:sz w:val="22"/>
          <w:szCs w:val="22"/>
        </w:rPr>
      </w:pPr>
    </w:p>
    <w:p w:rsidR="009273DB" w:rsidRPr="008121C0" w:rsidRDefault="009273DB" w:rsidP="009273DB">
      <w:pPr>
        <w:spacing w:line="360" w:lineRule="auto"/>
        <w:ind w:left="567" w:right="539"/>
        <w:jc w:val="both"/>
        <w:rPr>
          <w:rFonts w:ascii="Palatino Linotype" w:hAnsi="Palatino Linotype" w:cs="Tahoma"/>
          <w:bCs/>
          <w:i/>
          <w:iCs/>
          <w:szCs w:val="22"/>
        </w:rPr>
      </w:pPr>
      <w:r w:rsidRPr="008121C0">
        <w:rPr>
          <w:rFonts w:ascii="Palatino Linotype" w:hAnsi="Palatino Linotype" w:cs="Tahoma"/>
          <w:bCs/>
          <w:i/>
          <w:iCs/>
          <w:szCs w:val="22"/>
        </w:rPr>
        <w:lastRenderedPageBreak/>
        <w:t>“</w:t>
      </w:r>
      <w:r w:rsidRPr="008121C0">
        <w:rPr>
          <w:rFonts w:ascii="Palatino Linotype" w:hAnsi="Palatino Linotype" w:cs="Tahoma"/>
          <w:b/>
          <w:bCs/>
          <w:i/>
          <w:iCs/>
          <w:szCs w:val="22"/>
        </w:rPr>
        <w:t>Registro Federal de Contribuyentes (RFC) de personas físicas</w:t>
      </w:r>
      <w:r w:rsidRPr="008121C0">
        <w:rPr>
          <w:rFonts w:ascii="Palatino Linotype" w:hAnsi="Palatino Linotype" w:cs="Tahoma"/>
          <w:bCs/>
          <w:i/>
          <w:iCs/>
          <w:szCs w:val="22"/>
        </w:rPr>
        <w:t>. El RFC es una clave de carácter fiscal, única e irrepetible, que permite identificar al titular, su edad y fecha de nacimiento, por lo que es un dato personal de carácter confidencial.”</w:t>
      </w:r>
    </w:p>
    <w:p w:rsidR="009273DB" w:rsidRPr="00A50EAF" w:rsidRDefault="009273DB" w:rsidP="009273DB">
      <w:pPr>
        <w:spacing w:line="360" w:lineRule="auto"/>
        <w:ind w:right="-93"/>
        <w:jc w:val="both"/>
        <w:rPr>
          <w:rFonts w:ascii="Palatino Linotype" w:hAnsi="Palatino Linotype" w:cs="Tahoma"/>
          <w:bCs/>
          <w:iCs/>
          <w:sz w:val="22"/>
          <w:szCs w:val="22"/>
        </w:rPr>
      </w:pPr>
    </w:p>
    <w:p w:rsidR="009273DB" w:rsidRPr="00A50EAF" w:rsidRDefault="009273DB" w:rsidP="009273DB">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rsidR="009273DB" w:rsidRPr="00A50EAF" w:rsidRDefault="009273DB" w:rsidP="009273DB">
      <w:pPr>
        <w:pStyle w:val="Prrafodelista"/>
        <w:numPr>
          <w:ilvl w:val="0"/>
          <w:numId w:val="5"/>
        </w:numPr>
        <w:spacing w:before="240" w:after="240" w:line="360" w:lineRule="auto"/>
        <w:jc w:val="both"/>
        <w:rPr>
          <w:rFonts w:ascii="Palatino Linotype" w:hAnsi="Palatino Linotype" w:cs="Tahoma"/>
          <w:b/>
          <w:szCs w:val="22"/>
        </w:rPr>
      </w:pPr>
      <w:r w:rsidRPr="00A50EAF">
        <w:rPr>
          <w:rFonts w:ascii="Palatino Linotype" w:hAnsi="Palatino Linotype" w:cs="Tahoma"/>
          <w:b/>
          <w:szCs w:val="22"/>
        </w:rPr>
        <w:t xml:space="preserve">Clave </w:t>
      </w:r>
      <w:r w:rsidRPr="00A50EAF">
        <w:rPr>
          <w:rFonts w:ascii="Palatino Linotype" w:hAnsi="Palatino Linotype" w:cs="Tahoma"/>
          <w:b/>
          <w:caps/>
          <w:szCs w:val="22"/>
        </w:rPr>
        <w:t>ú</w:t>
      </w:r>
      <w:r w:rsidRPr="00A50EAF">
        <w:rPr>
          <w:rFonts w:ascii="Palatino Linotype" w:hAnsi="Palatino Linotype" w:cs="Tahoma"/>
          <w:b/>
          <w:szCs w:val="22"/>
        </w:rPr>
        <w:t>nica de Registro de Población –CURP-.</w:t>
      </w:r>
    </w:p>
    <w:p w:rsidR="009273DB" w:rsidRPr="00A50EAF" w:rsidRDefault="009273DB" w:rsidP="009273DB">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rsidR="009273DB" w:rsidRPr="00A50EAF" w:rsidRDefault="009273DB" w:rsidP="009273DB">
      <w:pPr>
        <w:spacing w:line="360" w:lineRule="auto"/>
        <w:contextualSpacing/>
        <w:jc w:val="both"/>
        <w:rPr>
          <w:rFonts w:ascii="Palatino Linotype" w:hAnsi="Palatino Linotype" w:cs="Tahoma"/>
          <w:sz w:val="22"/>
          <w:szCs w:val="22"/>
          <w:lang w:eastAsia="es-MX"/>
        </w:rPr>
      </w:pPr>
    </w:p>
    <w:p w:rsidR="009273DB" w:rsidRPr="00A50EAF" w:rsidRDefault="009273DB" w:rsidP="009273DB">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rsidR="009273DB" w:rsidRPr="00A50EAF" w:rsidRDefault="009273DB" w:rsidP="009273DB">
      <w:pPr>
        <w:spacing w:line="360" w:lineRule="auto"/>
        <w:contextualSpacing/>
        <w:jc w:val="both"/>
        <w:rPr>
          <w:rFonts w:ascii="Palatino Linotype" w:hAnsi="Palatino Linotype" w:cs="Tahoma"/>
          <w:sz w:val="22"/>
          <w:szCs w:val="22"/>
          <w:lang w:eastAsia="es-MX"/>
        </w:rPr>
      </w:pPr>
    </w:p>
    <w:p w:rsidR="009273DB" w:rsidRPr="00A50EAF" w:rsidRDefault="009273DB" w:rsidP="009273DB">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009273DB" w:rsidRPr="00A50EAF" w:rsidRDefault="009273DB" w:rsidP="009273DB">
      <w:pPr>
        <w:spacing w:line="360" w:lineRule="auto"/>
        <w:contextualSpacing/>
        <w:jc w:val="both"/>
        <w:rPr>
          <w:rFonts w:ascii="Palatino Linotype" w:hAnsi="Palatino Linotype" w:cs="Tahoma"/>
          <w:b/>
          <w:sz w:val="22"/>
          <w:szCs w:val="22"/>
          <w:lang w:eastAsia="es-MX"/>
        </w:rPr>
      </w:pPr>
    </w:p>
    <w:p w:rsidR="009273DB" w:rsidRPr="00A50EAF" w:rsidRDefault="009273DB" w:rsidP="009273DB">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De conformidad con lo precisado por la propia Secretaría de Gobernación en la dirección </w:t>
      </w:r>
      <w:hyperlink r:id="rId17" w:history="1">
        <w:r w:rsidRPr="00A50EAF">
          <w:rPr>
            <w:rStyle w:val="Hipervnculo"/>
            <w:rFonts w:ascii="Palatino Linotype" w:hAnsi="Palatino Linotype" w:cs="Tahoma"/>
            <w:sz w:val="22"/>
            <w:szCs w:val="22"/>
            <w:lang w:eastAsia="es-MX"/>
          </w:rPr>
          <w:t>https://consultas.curp.gob.mx/CurpSP/html/informacionecurpPS.html</w:t>
        </w:r>
      </w:hyperlink>
      <w:r w:rsidRPr="00A50EAF">
        <w:rPr>
          <w:rFonts w:ascii="Palatino Linotype" w:hAnsi="Palatino Linotype" w:cs="Tahoma"/>
          <w:sz w:val="22"/>
          <w:szCs w:val="22"/>
          <w:lang w:eastAsia="es-MX"/>
        </w:rPr>
        <w:t>, la Clave Ú</w:t>
      </w:r>
      <w:r>
        <w:rPr>
          <w:rFonts w:ascii="Palatino Linotype" w:hAnsi="Palatino Linotype" w:cs="Tahoma"/>
          <w:sz w:val="22"/>
          <w:szCs w:val="22"/>
          <w:lang w:eastAsia="es-MX"/>
        </w:rPr>
        <w:t xml:space="preserve">nica del Registro de Población  </w:t>
      </w:r>
      <w:r w:rsidRPr="00A50EAF">
        <w:rPr>
          <w:rFonts w:ascii="Palatino Linotype" w:hAnsi="Palatino Linotype" w:cs="Tahoma"/>
          <w:sz w:val="22"/>
          <w:szCs w:val="22"/>
          <w:lang w:eastAsia="es-MX"/>
        </w:rPr>
        <w:t xml:space="preserve">CURP-, es un instrumento de registro que se asigna a todas las personas </w:t>
      </w:r>
      <w:r w:rsidRPr="00A50EAF">
        <w:rPr>
          <w:rFonts w:ascii="Palatino Linotype" w:hAnsi="Palatino Linotype" w:cs="Tahoma"/>
          <w:sz w:val="22"/>
          <w:szCs w:val="22"/>
          <w:lang w:eastAsia="es-MX"/>
        </w:rPr>
        <w:lastRenderedPageBreak/>
        <w:t xml:space="preserve">que viven en el territorio nacional, así como a los mexicanos que residen en el extranjero y se compone de dieciocho elementos, representados por letras y números, que </w:t>
      </w:r>
      <w:r w:rsidRPr="00A50EAF">
        <w:rPr>
          <w:rFonts w:ascii="Palatino Linotype" w:hAnsi="Palatino Linotype" w:cs="Tahoma"/>
          <w:b/>
          <w:sz w:val="22"/>
          <w:szCs w:val="22"/>
          <w:lang w:eastAsia="es-MX"/>
        </w:rPr>
        <w:t xml:space="preserve">se generan a partir de los datos contenidos en el documento probatorio de la identidad del interesado </w:t>
      </w:r>
      <w:r w:rsidRPr="00A50EAF">
        <w:rPr>
          <w:rFonts w:ascii="Palatino Linotype" w:hAnsi="Palatino Linotype" w:cs="Tahoma"/>
          <w:sz w:val="22"/>
          <w:szCs w:val="22"/>
          <w:lang w:eastAsia="es-MX"/>
        </w:rPr>
        <w:t>(acta de nacimiento, carta de naturalización o documento migratorio) de la siguiente forma:</w:t>
      </w:r>
    </w:p>
    <w:p w:rsidR="009273DB" w:rsidRPr="00A50EAF" w:rsidRDefault="009273DB" w:rsidP="009273DB">
      <w:pPr>
        <w:spacing w:line="360" w:lineRule="auto"/>
        <w:contextualSpacing/>
        <w:jc w:val="both"/>
        <w:rPr>
          <w:rFonts w:ascii="Palatino Linotype" w:hAnsi="Palatino Linotype" w:cs="Tahoma"/>
          <w:sz w:val="22"/>
          <w:szCs w:val="22"/>
          <w:lang w:eastAsia="es-MX"/>
        </w:rPr>
      </w:pPr>
    </w:p>
    <w:p w:rsidR="009273DB" w:rsidRPr="00A50EAF" w:rsidRDefault="009273DB" w:rsidP="009273DB">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primero y segundo apellidos, así como al nombre de pila.</w:t>
      </w:r>
    </w:p>
    <w:p w:rsidR="009273DB" w:rsidRPr="00A50EAF" w:rsidRDefault="009273DB" w:rsidP="009273DB">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fecha de nacimiento.</w:t>
      </w:r>
    </w:p>
    <w:p w:rsidR="009273DB" w:rsidRPr="00A50EAF" w:rsidRDefault="009273DB" w:rsidP="009273DB">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sexo.</w:t>
      </w:r>
    </w:p>
    <w:p w:rsidR="009273DB" w:rsidRPr="00A50EAF" w:rsidRDefault="009273DB" w:rsidP="009273DB">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entidad federativa de nacimiento.</w:t>
      </w:r>
    </w:p>
    <w:p w:rsidR="009273DB" w:rsidRPr="00A50EAF" w:rsidRDefault="009273DB" w:rsidP="009273DB">
      <w:pPr>
        <w:spacing w:line="360" w:lineRule="auto"/>
        <w:contextualSpacing/>
        <w:jc w:val="both"/>
        <w:rPr>
          <w:rFonts w:ascii="Palatino Linotype" w:hAnsi="Palatino Linotype" w:cs="Tahoma"/>
          <w:sz w:val="22"/>
          <w:szCs w:val="22"/>
          <w:lang w:eastAsia="es-MX"/>
        </w:rPr>
      </w:pPr>
    </w:p>
    <w:p w:rsidR="009273DB" w:rsidRPr="00A50EAF" w:rsidRDefault="009273DB" w:rsidP="009273DB">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Los dos últimos elementos de la CURP evitan la duplicidad de la Clave y garantizan su correcta integración.</w:t>
      </w:r>
    </w:p>
    <w:p w:rsidR="009273DB" w:rsidRPr="00A50EAF" w:rsidRDefault="009273DB" w:rsidP="009273DB">
      <w:pPr>
        <w:spacing w:line="360" w:lineRule="auto"/>
        <w:contextualSpacing/>
        <w:jc w:val="both"/>
        <w:rPr>
          <w:rFonts w:ascii="Palatino Linotype" w:hAnsi="Palatino Linotype" w:cs="Tahoma"/>
          <w:sz w:val="22"/>
          <w:szCs w:val="22"/>
          <w:lang w:eastAsia="es-MX"/>
        </w:rPr>
      </w:pPr>
    </w:p>
    <w:p w:rsidR="009273DB" w:rsidRPr="00A50EAF" w:rsidRDefault="009273DB" w:rsidP="009273DB">
      <w:pPr>
        <w:spacing w:line="360" w:lineRule="auto"/>
        <w:contextualSpacing/>
        <w:jc w:val="both"/>
        <w:rPr>
          <w:rFonts w:ascii="Palatino Linotype" w:hAnsi="Palatino Linotype" w:cs="Tahoma"/>
          <w:sz w:val="22"/>
          <w:szCs w:val="22"/>
        </w:rPr>
      </w:pPr>
      <w:r w:rsidRPr="00A50EAF">
        <w:rPr>
          <w:rFonts w:ascii="Palatino Linotype" w:hAnsi="Palatino Linotype" w:cs="Tahoma"/>
          <w:sz w:val="22"/>
          <w:szCs w:val="22"/>
        </w:rPr>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009273DB" w:rsidRPr="00A50EAF" w:rsidRDefault="009273DB" w:rsidP="009273DB">
      <w:pPr>
        <w:spacing w:line="360" w:lineRule="auto"/>
        <w:contextualSpacing/>
        <w:jc w:val="both"/>
        <w:rPr>
          <w:rFonts w:ascii="Palatino Linotype" w:hAnsi="Palatino Linotype" w:cs="Tahoma"/>
          <w:sz w:val="22"/>
          <w:szCs w:val="22"/>
        </w:rPr>
      </w:pPr>
    </w:p>
    <w:p w:rsidR="009273DB" w:rsidRPr="00A50EAF" w:rsidRDefault="009273DB" w:rsidP="009273DB">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Resulta aplicable en la especie, como argumento orientador, el Criterio 3/10, emitido por el INAI.</w:t>
      </w:r>
    </w:p>
    <w:p w:rsidR="009273DB" w:rsidRPr="00A50EAF" w:rsidRDefault="009273DB" w:rsidP="009273DB">
      <w:pPr>
        <w:spacing w:line="360" w:lineRule="auto"/>
        <w:contextualSpacing/>
        <w:jc w:val="both"/>
        <w:rPr>
          <w:rFonts w:ascii="Palatino Linotype" w:hAnsi="Palatino Linotype" w:cs="Tahoma"/>
          <w:sz w:val="22"/>
          <w:szCs w:val="22"/>
        </w:rPr>
      </w:pPr>
    </w:p>
    <w:p w:rsidR="009273DB" w:rsidRPr="005A29A9" w:rsidRDefault="009273DB" w:rsidP="009273DB">
      <w:pPr>
        <w:autoSpaceDE w:val="0"/>
        <w:autoSpaceDN w:val="0"/>
        <w:adjustRightInd w:val="0"/>
        <w:spacing w:line="360" w:lineRule="auto"/>
        <w:ind w:left="567" w:right="567"/>
        <w:jc w:val="both"/>
        <w:rPr>
          <w:rFonts w:ascii="Palatino Linotype" w:eastAsia="Calibri" w:hAnsi="Palatino Linotype" w:cs="Tahoma"/>
          <w:i/>
          <w:color w:val="000000"/>
        </w:rPr>
      </w:pPr>
      <w:r w:rsidRPr="005A29A9">
        <w:rPr>
          <w:rFonts w:ascii="Palatino Linotype" w:eastAsia="Calibri" w:hAnsi="Palatino Linotype" w:cs="Tahoma"/>
          <w:b/>
          <w:bCs/>
          <w:i/>
          <w:color w:val="000000"/>
        </w:rPr>
        <w:t xml:space="preserve">Clave Única de Registro de Población (CURP) es un dato personal confidencial. </w:t>
      </w:r>
      <w:r w:rsidRPr="005A29A9">
        <w:rPr>
          <w:rFonts w:ascii="Palatino Linotype" w:eastAsia="Calibri" w:hAnsi="Palatino Linotype" w:cs="Tahoma"/>
          <w:i/>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w:t>
      </w:r>
      <w:r w:rsidRPr="005A29A9">
        <w:rPr>
          <w:rFonts w:ascii="Palatino Linotype" w:eastAsia="Calibri" w:hAnsi="Palatino Linotype" w:cs="Tahoma"/>
          <w:i/>
          <w:color w:val="000000"/>
        </w:rPr>
        <w:lastRenderedPageBreak/>
        <w:t xml:space="preserve">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rsidR="009273DB" w:rsidRPr="00A50EAF" w:rsidRDefault="009273DB" w:rsidP="009273DB">
      <w:pPr>
        <w:spacing w:before="240" w:after="240" w:line="360" w:lineRule="auto"/>
        <w:jc w:val="both"/>
        <w:rPr>
          <w:rFonts w:ascii="Palatino Linotype" w:hAnsi="Palatino Linotype" w:cs="Tahoma"/>
          <w:sz w:val="22"/>
          <w:szCs w:val="22"/>
        </w:rPr>
      </w:pPr>
      <w:r w:rsidRPr="00A50EAF">
        <w:rPr>
          <w:rFonts w:ascii="Palatino Linotype" w:hAnsi="Palatino Linotype" w:cs="Tahoma"/>
          <w:sz w:val="22"/>
          <w:szCs w:val="22"/>
        </w:rPr>
        <w:t>De acuerdo con lo anterior, se la clave CURP, es un dato personal confidencial, en términos del artículo 143, fracción I de la Ley de Transparencia y Acceso a la Información Pública del Estado de México y Municipios.</w:t>
      </w:r>
    </w:p>
    <w:p w:rsidR="009273DB" w:rsidRPr="00A50EAF" w:rsidRDefault="009273DB" w:rsidP="009273DB">
      <w:pPr>
        <w:pStyle w:val="Prrafodelista"/>
        <w:numPr>
          <w:ilvl w:val="0"/>
          <w:numId w:val="4"/>
        </w:numPr>
        <w:spacing w:line="360" w:lineRule="auto"/>
        <w:jc w:val="both"/>
        <w:rPr>
          <w:rFonts w:ascii="Palatino Linotype" w:hAnsi="Palatino Linotype" w:cs="Tahoma"/>
          <w:b/>
          <w:szCs w:val="22"/>
          <w:lang w:eastAsia="es-MX"/>
        </w:rPr>
      </w:pPr>
      <w:r w:rsidRPr="00A50EAF">
        <w:rPr>
          <w:rFonts w:ascii="Palatino Linotype" w:hAnsi="Palatino Linotype" w:cs="Tahoma"/>
          <w:b/>
          <w:szCs w:val="22"/>
        </w:rPr>
        <w:t>Clave de seguridad social ISSEMYM.</w:t>
      </w:r>
    </w:p>
    <w:p w:rsidR="009273DB" w:rsidRPr="00A50EAF" w:rsidRDefault="009273DB" w:rsidP="009273DB">
      <w:pPr>
        <w:pStyle w:val="Prrafodelista"/>
        <w:spacing w:line="360" w:lineRule="auto"/>
        <w:jc w:val="both"/>
        <w:rPr>
          <w:rFonts w:ascii="Palatino Linotype" w:hAnsi="Palatino Linotype" w:cs="Tahoma"/>
          <w:szCs w:val="22"/>
          <w:lang w:eastAsia="es-MX"/>
        </w:rPr>
      </w:pPr>
    </w:p>
    <w:p w:rsidR="009273DB" w:rsidRPr="00A50EAF" w:rsidRDefault="009273DB" w:rsidP="009273DB">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rsidR="009273DB" w:rsidRPr="00A50EAF" w:rsidRDefault="009273DB" w:rsidP="009273DB">
      <w:pPr>
        <w:spacing w:line="360" w:lineRule="auto"/>
        <w:jc w:val="both"/>
        <w:rPr>
          <w:rFonts w:ascii="Palatino Linotype" w:hAnsi="Palatino Linotype" w:cs="Tahoma"/>
          <w:sz w:val="22"/>
          <w:szCs w:val="22"/>
          <w:lang w:eastAsia="es-MX"/>
        </w:rPr>
      </w:pPr>
    </w:p>
    <w:p w:rsidR="009273DB" w:rsidRPr="00A50EAF" w:rsidRDefault="009273DB" w:rsidP="009273DB">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A50EAF">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rsidR="009273DB" w:rsidRPr="00A50EAF" w:rsidRDefault="009273DB" w:rsidP="009273DB">
      <w:pPr>
        <w:pStyle w:val="Prrafodelista"/>
        <w:spacing w:line="360" w:lineRule="auto"/>
        <w:jc w:val="both"/>
        <w:rPr>
          <w:rFonts w:ascii="Palatino Linotype" w:hAnsi="Palatino Linotype" w:cs="Tahoma"/>
          <w:szCs w:val="22"/>
          <w:lang w:eastAsia="es-MX"/>
        </w:rPr>
      </w:pPr>
    </w:p>
    <w:p w:rsidR="009273DB" w:rsidRPr="00A50EAF" w:rsidRDefault="009273DB" w:rsidP="009273DB">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Como se advierte, la clave ISSEMYM es un dato personal que permite identificar que una persona ya trabajó o trabaja en alguna institución pública del Estado de México, por la que </w:t>
      </w:r>
      <w:r w:rsidRPr="00A50EAF">
        <w:rPr>
          <w:rFonts w:ascii="Palatino Linotype" w:hAnsi="Palatino Linotype" w:cs="Tahoma"/>
          <w:sz w:val="22"/>
          <w:szCs w:val="22"/>
          <w:lang w:eastAsia="es-MX"/>
        </w:rPr>
        <w:lastRenderedPageBreak/>
        <w:t>tiene o tuvo derecho a esta prestación de seguridad social; es de destacar que la clave ISSEMYM no cambia, aunque el trabajador se dé de baja y alta en diversas ocasiones, con motivo de haber trabajado en diferentes instituciones públicas de la Entidad.</w:t>
      </w:r>
    </w:p>
    <w:p w:rsidR="009273DB" w:rsidRPr="00A50EAF" w:rsidRDefault="009273DB" w:rsidP="009273DB">
      <w:pPr>
        <w:pStyle w:val="Prrafodelista"/>
        <w:spacing w:line="360" w:lineRule="auto"/>
        <w:jc w:val="both"/>
        <w:rPr>
          <w:rFonts w:ascii="Palatino Linotype" w:hAnsi="Palatino Linotype" w:cs="Tahoma"/>
          <w:szCs w:val="22"/>
          <w:lang w:eastAsia="es-MX"/>
        </w:rPr>
      </w:pPr>
    </w:p>
    <w:p w:rsidR="009273DB" w:rsidRPr="00A50EAF" w:rsidRDefault="009273DB" w:rsidP="009273DB">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rsidR="009273DB" w:rsidRPr="00A50EAF" w:rsidRDefault="009273DB" w:rsidP="009273DB">
      <w:pPr>
        <w:spacing w:line="360" w:lineRule="auto"/>
        <w:contextualSpacing/>
        <w:jc w:val="both"/>
        <w:rPr>
          <w:rFonts w:ascii="Palatino Linotype" w:hAnsi="Palatino Linotype" w:cs="Tahoma"/>
          <w:b/>
          <w:sz w:val="22"/>
          <w:szCs w:val="22"/>
        </w:rPr>
      </w:pPr>
    </w:p>
    <w:p w:rsidR="009273DB" w:rsidRPr="00BC1085" w:rsidRDefault="009273DB" w:rsidP="009273DB">
      <w:pPr>
        <w:pStyle w:val="Prrafodelista"/>
        <w:numPr>
          <w:ilvl w:val="0"/>
          <w:numId w:val="19"/>
        </w:numPr>
        <w:spacing w:line="360" w:lineRule="auto"/>
        <w:ind w:right="-93"/>
        <w:jc w:val="both"/>
        <w:rPr>
          <w:rFonts w:ascii="Palatino Linotype" w:hAnsi="Palatino Linotype" w:cs="Tahoma"/>
          <w:b/>
          <w:szCs w:val="22"/>
        </w:rPr>
      </w:pPr>
      <w:r w:rsidRPr="00A50EAF">
        <w:rPr>
          <w:rFonts w:ascii="Palatino Linotype" w:hAnsi="Palatino Linotype" w:cs="Tahoma"/>
          <w:b/>
          <w:bCs/>
          <w:iCs/>
          <w:szCs w:val="22"/>
        </w:rPr>
        <w:t>Préstamos o descuentos que se le hagan al servidor público.</w:t>
      </w:r>
    </w:p>
    <w:p w:rsidR="009273DB" w:rsidRDefault="009273DB" w:rsidP="009273DB">
      <w:pPr>
        <w:spacing w:line="360" w:lineRule="auto"/>
        <w:ind w:right="-93"/>
        <w:jc w:val="both"/>
        <w:rPr>
          <w:rFonts w:ascii="Palatino Linotype" w:hAnsi="Palatino Linotype" w:cs="Tahoma"/>
          <w:b/>
          <w:bCs/>
          <w:iCs/>
          <w:szCs w:val="22"/>
        </w:rPr>
      </w:pPr>
    </w:p>
    <w:p w:rsidR="009273DB" w:rsidRPr="00784DBB" w:rsidRDefault="009273DB" w:rsidP="009273DB">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Existen deducciones que se generan con motivo de una decisión libre y voluntaria de los servidores públicos, como son: contratar seguros de vida, de gastos médicos mayores (potenciación) o de automóvil.</w:t>
      </w:r>
    </w:p>
    <w:p w:rsidR="009273DB" w:rsidRPr="00784DBB" w:rsidRDefault="009273DB" w:rsidP="009273DB">
      <w:pPr>
        <w:spacing w:line="360" w:lineRule="auto"/>
        <w:ind w:right="-93"/>
        <w:jc w:val="both"/>
        <w:rPr>
          <w:rFonts w:ascii="Palatino Linotype" w:hAnsi="Palatino Linotype" w:cs="Tahoma"/>
          <w:sz w:val="22"/>
          <w:szCs w:val="22"/>
        </w:rPr>
      </w:pPr>
    </w:p>
    <w:p w:rsidR="009273DB" w:rsidRPr="00784DBB" w:rsidRDefault="009273DB" w:rsidP="009273DB">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 xml:space="preserve">Asimismo, pueden existir deducciones que se generan con motivo de una sentencia judicial, como es la pensión alimenticia que periódicamente se deposita en la cuenta de un trabajador, o bien, que se retira de la cuenta de un empleado, a efecto de que sea entregado a un tercero.  </w:t>
      </w:r>
    </w:p>
    <w:p w:rsidR="009273DB" w:rsidRPr="00784DBB" w:rsidRDefault="009273DB" w:rsidP="009273DB">
      <w:pPr>
        <w:spacing w:line="360" w:lineRule="auto"/>
        <w:ind w:right="-93"/>
        <w:jc w:val="both"/>
        <w:rPr>
          <w:rFonts w:ascii="Palatino Linotype" w:hAnsi="Palatino Linotype" w:cs="Tahoma"/>
          <w:sz w:val="22"/>
          <w:szCs w:val="22"/>
        </w:rPr>
      </w:pPr>
    </w:p>
    <w:p w:rsidR="009273DB" w:rsidRDefault="009273DB" w:rsidP="009273DB">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w:t>
      </w:r>
      <w:r w:rsidRPr="00784DBB">
        <w:rPr>
          <w:rFonts w:ascii="Palatino Linotype" w:hAnsi="Palatino Linotype" w:cs="Tahoma"/>
          <w:sz w:val="22"/>
          <w:szCs w:val="22"/>
        </w:rPr>
        <w:lastRenderedPageBreak/>
        <w:t>patrimonio. Por lo anterior, dichas deducciones reflejan el destino que un servi</w:t>
      </w:r>
      <w:r>
        <w:rPr>
          <w:rFonts w:ascii="Palatino Linotype" w:hAnsi="Palatino Linotype" w:cs="Tahoma"/>
          <w:sz w:val="22"/>
          <w:szCs w:val="22"/>
        </w:rPr>
        <w:t>dor público da a su patrimonio.</w:t>
      </w:r>
    </w:p>
    <w:p w:rsidR="009273DB" w:rsidRPr="00784DBB" w:rsidRDefault="009273DB" w:rsidP="009273DB">
      <w:pPr>
        <w:spacing w:line="360" w:lineRule="auto"/>
        <w:ind w:right="-93"/>
        <w:jc w:val="both"/>
        <w:rPr>
          <w:rFonts w:ascii="Palatino Linotype" w:hAnsi="Palatino Linotype" w:cs="Tahoma"/>
          <w:sz w:val="22"/>
          <w:szCs w:val="22"/>
        </w:rPr>
      </w:pPr>
    </w:p>
    <w:p w:rsidR="009273DB" w:rsidRPr="00784DBB" w:rsidRDefault="009273DB" w:rsidP="009273DB">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Por lo tanto</w:t>
      </w:r>
      <w:r>
        <w:rPr>
          <w:rFonts w:ascii="Palatino Linotype" w:hAnsi="Palatino Linotype" w:cs="Tahoma"/>
          <w:sz w:val="22"/>
          <w:szCs w:val="22"/>
        </w:rPr>
        <w:t>,</w:t>
      </w:r>
      <w:r w:rsidRPr="00784DBB">
        <w:rPr>
          <w:rFonts w:ascii="Palatino Linotype" w:hAnsi="Palatino Linotype" w:cs="Tahoma"/>
          <w:sz w:val="22"/>
          <w:szCs w:val="22"/>
        </w:rPr>
        <w:t xml:space="preserve"> resulta procedente clasificar dicho dato en términos del artículo 143, fracción I de la Ley de Transparencia y Acceso a la Información Pública del Estado de México y Municipios.</w:t>
      </w:r>
    </w:p>
    <w:p w:rsidR="009273DB" w:rsidRPr="00BC1085" w:rsidRDefault="009273DB" w:rsidP="009273DB">
      <w:pPr>
        <w:pStyle w:val="Prrafodelista"/>
        <w:spacing w:line="360" w:lineRule="auto"/>
        <w:ind w:right="-93"/>
        <w:rPr>
          <w:rFonts w:ascii="Palatino Linotype" w:hAnsi="Palatino Linotype" w:cs="Tahoma"/>
          <w:b/>
          <w:szCs w:val="22"/>
        </w:rPr>
      </w:pPr>
    </w:p>
    <w:p w:rsidR="009273DB" w:rsidRPr="00A50EAF" w:rsidRDefault="009273DB" w:rsidP="009273DB">
      <w:pPr>
        <w:pStyle w:val="Prrafodelista"/>
        <w:numPr>
          <w:ilvl w:val="0"/>
          <w:numId w:val="19"/>
        </w:numPr>
        <w:spacing w:line="360" w:lineRule="auto"/>
        <w:ind w:right="-93"/>
        <w:jc w:val="both"/>
        <w:rPr>
          <w:rFonts w:ascii="Palatino Linotype" w:hAnsi="Palatino Linotype" w:cs="Tahoma"/>
          <w:b/>
          <w:szCs w:val="22"/>
        </w:rPr>
      </w:pPr>
      <w:r>
        <w:rPr>
          <w:rFonts w:ascii="Palatino Linotype" w:hAnsi="Palatino Linotype" w:cs="Tahoma"/>
          <w:b/>
          <w:bCs/>
          <w:iCs/>
          <w:szCs w:val="22"/>
        </w:rPr>
        <w:t>Número de cuenta bancario.</w:t>
      </w:r>
    </w:p>
    <w:p w:rsidR="009273DB" w:rsidRPr="00A50EAF" w:rsidRDefault="009273DB" w:rsidP="009273DB">
      <w:pPr>
        <w:spacing w:line="360" w:lineRule="auto"/>
        <w:ind w:right="-93"/>
        <w:jc w:val="both"/>
        <w:rPr>
          <w:rFonts w:ascii="Palatino Linotype" w:hAnsi="Palatino Linotype" w:cs="Tahoma"/>
          <w:sz w:val="22"/>
          <w:szCs w:val="22"/>
        </w:rPr>
      </w:pPr>
    </w:p>
    <w:p w:rsidR="009273DB" w:rsidRDefault="009273DB" w:rsidP="009273DB">
      <w:pPr>
        <w:spacing w:line="360" w:lineRule="auto"/>
        <w:contextualSpacing/>
        <w:jc w:val="both"/>
        <w:rPr>
          <w:rFonts w:ascii="Palatino Linotype" w:hAnsi="Palatino Linotype" w:cs="Tahoma"/>
          <w:sz w:val="22"/>
          <w:szCs w:val="22"/>
          <w:lang w:eastAsia="es-MX"/>
        </w:rPr>
      </w:pPr>
      <w:r>
        <w:rPr>
          <w:rFonts w:ascii="Palatino Linotype" w:hAnsi="Palatino Linotype" w:cs="Tahoma"/>
          <w:sz w:val="22"/>
          <w:szCs w:val="22"/>
        </w:rPr>
        <w:t xml:space="preserve">Como se precisó anteriormente, uno de los requisitos que indica la nómina del OSFEM que se </w:t>
      </w:r>
      <w:r w:rsidRPr="007C3800">
        <w:rPr>
          <w:rFonts w:ascii="Palatino Linotype" w:hAnsi="Palatino Linotype" w:cs="Tahoma"/>
          <w:sz w:val="22"/>
          <w:szCs w:val="22"/>
        </w:rPr>
        <w:t>deben agregar es el número de cuenta bancario al que se deposita</w:t>
      </w:r>
      <w:r w:rsidRPr="00BC1085">
        <w:rPr>
          <w:rFonts w:ascii="Palatino Linotype" w:hAnsi="Palatino Linotype" w:cs="Tahoma"/>
          <w:sz w:val="22"/>
          <w:szCs w:val="22"/>
          <w:lang w:eastAsia="es-MX"/>
        </w:rPr>
        <w:t xml:space="preserve"> el sueldo del servidor público</w:t>
      </w:r>
      <w:r>
        <w:rPr>
          <w:rFonts w:ascii="Palatino Linotype" w:hAnsi="Palatino Linotype" w:cs="Tahoma"/>
          <w:sz w:val="22"/>
          <w:szCs w:val="22"/>
          <w:lang w:eastAsia="es-MX"/>
        </w:rPr>
        <w:t>; esto quiere decir, que no necesariamente el pago del salario se realiza de manera directa y en efectivo al trabajador, sino que se cubre mediante un depósito bancario realizado a la cuenta personal del trabajador.</w:t>
      </w:r>
    </w:p>
    <w:p w:rsidR="009273DB" w:rsidRDefault="009273DB" w:rsidP="009273DB">
      <w:pPr>
        <w:spacing w:line="360" w:lineRule="auto"/>
        <w:contextualSpacing/>
        <w:jc w:val="both"/>
        <w:rPr>
          <w:rFonts w:ascii="Palatino Linotype" w:hAnsi="Palatino Linotype" w:cs="Tahoma"/>
          <w:sz w:val="22"/>
          <w:szCs w:val="22"/>
          <w:lang w:eastAsia="es-MX"/>
        </w:rPr>
      </w:pPr>
    </w:p>
    <w:p w:rsidR="009273DB" w:rsidRDefault="009273DB" w:rsidP="009273DB">
      <w:pPr>
        <w:shd w:val="clear" w:color="auto" w:fill="FFFFFF" w:themeFill="background1"/>
        <w:spacing w:line="360" w:lineRule="auto"/>
        <w:jc w:val="both"/>
        <w:rPr>
          <w:rFonts w:ascii="Palatino Linotype" w:hAnsi="Palatino Linotype" w:cs="Tahoma"/>
          <w:sz w:val="22"/>
          <w:szCs w:val="22"/>
        </w:rPr>
      </w:pPr>
      <w:r w:rsidRPr="00B810E2">
        <w:rPr>
          <w:rFonts w:ascii="Palatino Linotype" w:hAnsi="Palatino Linotype" w:cs="Tahoma"/>
          <w:sz w:val="22"/>
          <w:szCs w:val="22"/>
        </w:rPr>
        <w:t xml:space="preserve">Al respecto, </w:t>
      </w:r>
      <w:r>
        <w:rPr>
          <w:rFonts w:ascii="Palatino Linotype" w:hAnsi="Palatino Linotype" w:cs="Tahoma"/>
          <w:sz w:val="22"/>
          <w:szCs w:val="22"/>
        </w:rPr>
        <w:t>en el Criterio 10/</w:t>
      </w:r>
      <w:r w:rsidRPr="00B810E2">
        <w:rPr>
          <w:rFonts w:ascii="Palatino Linotype" w:hAnsi="Palatino Linotype" w:cs="Tahoma"/>
          <w:sz w:val="22"/>
          <w:szCs w:val="22"/>
        </w:rPr>
        <w:t xml:space="preserve">17 emitido por el Pleno </w:t>
      </w:r>
      <w:r>
        <w:rPr>
          <w:rFonts w:ascii="Palatino Linotype" w:hAnsi="Palatino Linotype" w:cs="Tahoma"/>
          <w:sz w:val="22"/>
          <w:szCs w:val="22"/>
        </w:rPr>
        <w:t xml:space="preserve">del Instituto Nacional de Transparencia, Acceso a la Información y Protección de Datos Personales </w:t>
      </w:r>
      <w:r w:rsidRPr="00B810E2">
        <w:rPr>
          <w:rFonts w:ascii="Palatino Linotype" w:hAnsi="Palatino Linotype" w:cs="Tahoma"/>
          <w:sz w:val="22"/>
          <w:szCs w:val="22"/>
        </w:rPr>
        <w:t xml:space="preserve"> </w:t>
      </w:r>
      <w:r>
        <w:rPr>
          <w:rFonts w:ascii="Palatino Linotype" w:hAnsi="Palatino Linotype" w:cs="Tahoma"/>
          <w:sz w:val="22"/>
          <w:szCs w:val="22"/>
        </w:rPr>
        <w:t>se</w:t>
      </w:r>
      <w:r w:rsidRPr="00B810E2">
        <w:rPr>
          <w:rFonts w:ascii="Palatino Linotype" w:hAnsi="Palatino Linotype" w:cs="Tahoma"/>
          <w:sz w:val="22"/>
          <w:szCs w:val="22"/>
        </w:rPr>
        <w:t xml:space="preserve"> establece lo siguiente:</w:t>
      </w:r>
    </w:p>
    <w:p w:rsidR="009273DB" w:rsidRPr="005141C6" w:rsidRDefault="009273DB" w:rsidP="009273DB">
      <w:pPr>
        <w:shd w:val="clear" w:color="auto" w:fill="FFFFFF" w:themeFill="background1"/>
        <w:spacing w:line="360" w:lineRule="auto"/>
        <w:ind w:left="567" w:right="567"/>
        <w:jc w:val="both"/>
        <w:rPr>
          <w:rFonts w:ascii="Palatino Linotype" w:hAnsi="Palatino Linotype" w:cs="Tahoma"/>
          <w:sz w:val="22"/>
        </w:rPr>
      </w:pPr>
    </w:p>
    <w:p w:rsidR="009273DB" w:rsidRPr="005A29A9" w:rsidRDefault="009273DB" w:rsidP="009273DB">
      <w:pPr>
        <w:shd w:val="clear" w:color="auto" w:fill="FFFFFF" w:themeFill="background1"/>
        <w:spacing w:line="360" w:lineRule="auto"/>
        <w:ind w:left="567" w:right="567"/>
        <w:jc w:val="both"/>
        <w:rPr>
          <w:rFonts w:ascii="Palatino Linotype" w:hAnsi="Palatino Linotype" w:cs="Tahoma"/>
          <w:i/>
        </w:rPr>
      </w:pPr>
      <w:r w:rsidRPr="005A29A9">
        <w:rPr>
          <w:rFonts w:ascii="Palatino Linotype" w:hAnsi="Palatino Linotype" w:cs="Tahoma"/>
          <w:i/>
        </w:rPr>
        <w:t>“</w:t>
      </w:r>
      <w:r w:rsidRPr="005A29A9">
        <w:rPr>
          <w:rFonts w:ascii="Palatino Linotype" w:hAnsi="Palatino Linotype" w:cs="Tahoma"/>
          <w:b/>
          <w:i/>
        </w:rPr>
        <w:t>Cuentas bancarias y/o CLABE interbancaria de personas físicas y morales privadas.</w:t>
      </w:r>
      <w:r w:rsidRPr="005A29A9">
        <w:rPr>
          <w:rFonts w:ascii="Palatino Linotype" w:hAnsi="Palatino Linotype" w:cs="Tahoma"/>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9273DB" w:rsidRDefault="009273DB" w:rsidP="009273DB">
      <w:pPr>
        <w:spacing w:line="360" w:lineRule="auto"/>
        <w:contextualSpacing/>
        <w:jc w:val="both"/>
        <w:rPr>
          <w:rFonts w:ascii="Palatino Linotype" w:hAnsi="Palatino Linotype" w:cs="Tahoma"/>
          <w:sz w:val="22"/>
          <w:szCs w:val="22"/>
          <w:lang w:eastAsia="es-MX"/>
        </w:rPr>
      </w:pPr>
    </w:p>
    <w:p w:rsidR="009273DB" w:rsidRPr="00784DBB" w:rsidRDefault="009273DB" w:rsidP="009273DB">
      <w:pPr>
        <w:spacing w:line="360" w:lineRule="auto"/>
        <w:ind w:right="-93"/>
        <w:jc w:val="both"/>
        <w:rPr>
          <w:rFonts w:ascii="Palatino Linotype" w:hAnsi="Palatino Linotype" w:cs="Tahoma"/>
          <w:sz w:val="22"/>
          <w:szCs w:val="22"/>
        </w:rPr>
      </w:pPr>
      <w:r>
        <w:rPr>
          <w:rFonts w:ascii="Palatino Linotype" w:hAnsi="Palatino Linotype" w:cs="Tahoma"/>
          <w:sz w:val="22"/>
          <w:szCs w:val="22"/>
          <w:lang w:eastAsia="es-MX"/>
        </w:rPr>
        <w:t xml:space="preserve">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w:t>
      </w:r>
      <w:r>
        <w:rPr>
          <w:rFonts w:ascii="Palatino Linotype" w:hAnsi="Palatino Linotype" w:cs="Tahoma"/>
          <w:sz w:val="22"/>
          <w:szCs w:val="22"/>
          <w:lang w:eastAsia="es-MX"/>
        </w:rPr>
        <w:lastRenderedPageBreak/>
        <w:t xml:space="preserve">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w:t>
      </w:r>
      <w:r w:rsidRPr="00784DBB">
        <w:rPr>
          <w:rFonts w:ascii="Palatino Linotype" w:hAnsi="Palatino Linotype" w:cs="Tahoma"/>
          <w:sz w:val="22"/>
          <w:szCs w:val="22"/>
        </w:rPr>
        <w:t>artículo 143, fracción I de la Ley de Transparencia y Acceso a la Información Pública del Estado de México y Municipios.</w:t>
      </w:r>
    </w:p>
    <w:p w:rsidR="009273DB" w:rsidRDefault="009273DB" w:rsidP="009273DB">
      <w:pPr>
        <w:spacing w:line="360" w:lineRule="auto"/>
        <w:contextualSpacing/>
        <w:jc w:val="both"/>
        <w:rPr>
          <w:rFonts w:ascii="Palatino Linotype" w:hAnsi="Palatino Linotype" w:cs="Tahoma"/>
          <w:sz w:val="22"/>
          <w:szCs w:val="22"/>
          <w:lang w:eastAsia="es-MX"/>
        </w:rPr>
      </w:pPr>
    </w:p>
    <w:p w:rsidR="00E51527" w:rsidRPr="00E51527" w:rsidRDefault="00E51527" w:rsidP="00E51527">
      <w:pPr>
        <w:pStyle w:val="Prrafodelista"/>
        <w:numPr>
          <w:ilvl w:val="0"/>
          <w:numId w:val="19"/>
        </w:numPr>
        <w:spacing w:line="360" w:lineRule="auto"/>
        <w:jc w:val="both"/>
        <w:rPr>
          <w:rFonts w:ascii="Palatino Linotype" w:hAnsi="Palatino Linotype" w:cs="Tahoma"/>
          <w:b/>
          <w:szCs w:val="22"/>
          <w:lang w:eastAsia="es-MX"/>
        </w:rPr>
      </w:pPr>
      <w:r w:rsidRPr="00E51527">
        <w:rPr>
          <w:rFonts w:ascii="Palatino Linotype" w:hAnsi="Palatino Linotype" w:cs="Tahoma"/>
          <w:b/>
          <w:bCs/>
          <w:iCs/>
          <w:szCs w:val="22"/>
        </w:rPr>
        <w:t>Recaudación de Impuestos</w:t>
      </w:r>
    </w:p>
    <w:p w:rsidR="00E51527" w:rsidRDefault="00E51527" w:rsidP="009273DB">
      <w:pPr>
        <w:spacing w:line="360" w:lineRule="auto"/>
        <w:contextualSpacing/>
        <w:jc w:val="both"/>
        <w:rPr>
          <w:rFonts w:ascii="Palatino Linotype" w:hAnsi="Palatino Linotype" w:cs="Tahoma"/>
          <w:sz w:val="22"/>
          <w:szCs w:val="22"/>
          <w:lang w:eastAsia="es-MX"/>
        </w:rPr>
      </w:pPr>
    </w:p>
    <w:p w:rsidR="00E51527" w:rsidRPr="00477372" w:rsidRDefault="00E51527" w:rsidP="00E51527">
      <w:pPr>
        <w:spacing w:line="360" w:lineRule="auto"/>
        <w:jc w:val="both"/>
        <w:rPr>
          <w:rFonts w:ascii="Palatino Linotype" w:eastAsia="Calibri" w:hAnsi="Palatino Linotype" w:cs="Tahoma"/>
          <w:bCs/>
          <w:sz w:val="22"/>
          <w:szCs w:val="22"/>
          <w:lang w:val="es-ES" w:eastAsia="en-US"/>
        </w:rPr>
      </w:pPr>
      <w:r w:rsidRPr="00477372">
        <w:rPr>
          <w:rFonts w:ascii="Palatino Linotype" w:eastAsia="Calibri" w:hAnsi="Palatino Linotype" w:cs="Tahoma"/>
          <w:bCs/>
          <w:sz w:val="22"/>
          <w:szCs w:val="22"/>
          <w:lang w:val="es-ES" w:eastAsia="en-US"/>
        </w:rPr>
        <w:t>Dada la naturaleza de la información relacionada con el pago de contribuciones, esta no está sujeta a temporalidad alguna de clasificación y únicamente pueden tener acceso a ella los titulares de la misma, sus representantes legales y los servidores públicos facultados para ello, por lo que no procede su entrega vía una solicitud de acceso a información pública, ya que al no existir ejercicio de recursos públicos, este tipo de información no reviste un interés público, por el contrario entra dentro del aspecto privado de las personas físicas o jurídico-colectivas, pues la clasificación de la misma no se da en función del tipo de propietario sino de la naturaleza fiscal de la información.</w:t>
      </w:r>
    </w:p>
    <w:p w:rsidR="00E51527" w:rsidRPr="00477372" w:rsidRDefault="00E51527" w:rsidP="00E51527">
      <w:pPr>
        <w:spacing w:line="360" w:lineRule="auto"/>
        <w:jc w:val="both"/>
        <w:rPr>
          <w:rFonts w:ascii="Palatino Linotype" w:eastAsia="Calibri" w:hAnsi="Palatino Linotype" w:cs="Tahoma"/>
          <w:bCs/>
          <w:sz w:val="22"/>
          <w:szCs w:val="22"/>
          <w:lang w:val="es-ES" w:eastAsia="en-US"/>
        </w:rPr>
      </w:pPr>
    </w:p>
    <w:p w:rsidR="00E51527" w:rsidRPr="00477372" w:rsidRDefault="00E51527" w:rsidP="00E51527">
      <w:pPr>
        <w:spacing w:line="360" w:lineRule="auto"/>
        <w:jc w:val="both"/>
        <w:rPr>
          <w:rFonts w:ascii="Palatino Linotype" w:eastAsia="Calibri" w:hAnsi="Palatino Linotype" w:cs="Tahoma"/>
          <w:bCs/>
          <w:sz w:val="22"/>
          <w:szCs w:val="22"/>
          <w:lang w:val="es-ES" w:eastAsia="en-US"/>
        </w:rPr>
      </w:pPr>
      <w:r w:rsidRPr="00477372">
        <w:rPr>
          <w:rFonts w:ascii="Palatino Linotype" w:eastAsia="Calibri" w:hAnsi="Palatino Linotype" w:cs="Tahoma"/>
          <w:bCs/>
          <w:sz w:val="22"/>
          <w:szCs w:val="22"/>
          <w:lang w:val="es-ES" w:eastAsia="en-US"/>
        </w:rPr>
        <w:t xml:space="preserve">De igual forma, los sujetos obligados que se constituyan como contribuyentes o como autoridades en materia tributaria no podrán clasificar la información relativa al cumplimiento de sus obligaciones fiscales en ejercicio de recursos públicos como secreto fiscal, tal y como lo prevé la Ley de la materia, al excluir de manera clara la posibilidad de clasificar la información fiscal cuanto está relacionada con el ejercicio de recursos públicos. </w:t>
      </w:r>
    </w:p>
    <w:p w:rsidR="00E51527" w:rsidRPr="00477372" w:rsidRDefault="00E51527" w:rsidP="00E51527">
      <w:pPr>
        <w:spacing w:line="360" w:lineRule="auto"/>
        <w:jc w:val="both"/>
        <w:rPr>
          <w:rFonts w:ascii="Palatino Linotype" w:eastAsia="Calibri" w:hAnsi="Palatino Linotype" w:cs="Tahoma"/>
          <w:bCs/>
          <w:sz w:val="22"/>
          <w:szCs w:val="22"/>
          <w:lang w:val="es-ES" w:eastAsia="en-US"/>
        </w:rPr>
      </w:pPr>
    </w:p>
    <w:p w:rsidR="00E51527" w:rsidRPr="00477372" w:rsidRDefault="00E51527" w:rsidP="00E51527">
      <w:pPr>
        <w:spacing w:line="360" w:lineRule="auto"/>
        <w:jc w:val="both"/>
        <w:rPr>
          <w:rFonts w:ascii="Palatino Linotype" w:eastAsia="Calibri" w:hAnsi="Palatino Linotype" w:cs="Tahoma"/>
          <w:bCs/>
          <w:iCs/>
          <w:sz w:val="22"/>
          <w:szCs w:val="22"/>
          <w:lang w:val="es-ES" w:eastAsia="en-US"/>
        </w:rPr>
      </w:pPr>
      <w:r w:rsidRPr="00477372">
        <w:rPr>
          <w:rFonts w:ascii="Palatino Linotype" w:eastAsia="Calibri" w:hAnsi="Palatino Linotype" w:cs="Tahoma"/>
          <w:bCs/>
          <w:sz w:val="22"/>
          <w:szCs w:val="22"/>
          <w:lang w:val="es-ES" w:eastAsia="en-US"/>
        </w:rPr>
        <w:t>Sobre el particular, resulta aplicable la tesis aislada con número 1a.</w:t>
      </w:r>
      <w:r w:rsidRPr="00477372">
        <w:rPr>
          <w:rFonts w:ascii="Palatino Linotype" w:eastAsia="Calibri" w:hAnsi="Palatino Linotype" w:cs="Tahoma"/>
          <w:bCs/>
          <w:iCs/>
          <w:sz w:val="22"/>
          <w:szCs w:val="22"/>
          <w:lang w:val="es-ES" w:eastAsia="en-US"/>
        </w:rPr>
        <w:t xml:space="preserve"> CVII/2013 (10a.), emitida por la Primera Sala de la Suprema Corte de Justicia de la Nación, publicada en el Semanario Judicial de la Federación y su Gaceta, Libro XIX, Tomo 1, página 970, de abril de 2013, Décima Época, materia administrativa, de rubro y texto siguiente:</w:t>
      </w:r>
    </w:p>
    <w:p w:rsidR="00E51527" w:rsidRPr="00477372" w:rsidRDefault="00E51527" w:rsidP="00E51527">
      <w:pPr>
        <w:spacing w:line="360" w:lineRule="auto"/>
        <w:ind w:left="567" w:right="567"/>
        <w:jc w:val="both"/>
        <w:rPr>
          <w:rFonts w:ascii="Palatino Linotype" w:eastAsia="Calibri" w:hAnsi="Palatino Linotype" w:cs="Tahoma"/>
          <w:bCs/>
          <w:i/>
          <w:iCs/>
          <w:szCs w:val="22"/>
          <w:lang w:val="es-ES" w:eastAsia="en-US"/>
        </w:rPr>
      </w:pPr>
      <w:r w:rsidRPr="00477372">
        <w:rPr>
          <w:rFonts w:ascii="Palatino Linotype" w:eastAsia="Calibri" w:hAnsi="Palatino Linotype" w:cs="Tahoma"/>
          <w:b/>
          <w:bCs/>
          <w:i/>
          <w:iCs/>
          <w:szCs w:val="22"/>
          <w:lang w:val="es-ES" w:eastAsia="en-US"/>
        </w:rPr>
        <w:lastRenderedPageBreak/>
        <w:t xml:space="preserve">SECRETO FISCAL. CONCEPTO DE. </w:t>
      </w:r>
      <w:r w:rsidRPr="00477372">
        <w:rPr>
          <w:rFonts w:ascii="Palatino Linotype" w:eastAsia="Calibri" w:hAnsi="Palatino Linotype" w:cs="Tahoma"/>
          <w:bCs/>
          <w:i/>
          <w:iCs/>
          <w:szCs w:val="22"/>
          <w:lang w:val="es-ES" w:eastAsia="en-US"/>
        </w:rPr>
        <w:t>El artículo 69 del Código Fiscal de la Federación establece la obligación de reserva absoluta en lo concerniente a la información tributaria del contribuyente (declaraciones y datos suministrados por los contribuyentes o por terceros con ellos relacionados, así como los obtenidos en el ejercicio de las facultades de comprobación), a cargo del personal de la autoridad fiscal que intervenga en los trámites relativos a la aplicación de disposiciones fiscales. Así, en principio, dicha medida legislativa establece una concreta carga -de no hacer- impuesta al personal -servidores públicos- de la autoridad fiscal, consistente en que al aplicar las disposiciones fiscales no deben revelar de ninguna forma información tributaria de los contribuyentes. En esto precisamente, desde la perspectiva del derecho positivo, consiste el `secreto fiscal´. Por ende, la intervención legislativa por la cual se estableció el secreto fiscal no se encuentra diseñada normativamente como un principio o derecho fundamental, sino más bien como una regla-fin en los términos señalados. Pero la reserva del secreto fiscal no es absoluta, tal y como lo dispone el mismo artículo 69, con independencia de que en principio así se encuentre establecido textualmente, sino relativa al establecer dicho precepto distintas excepciones al respecto.”</w:t>
      </w:r>
    </w:p>
    <w:p w:rsidR="00E51527" w:rsidRPr="00477372" w:rsidRDefault="00E51527" w:rsidP="00E51527">
      <w:pPr>
        <w:spacing w:line="360" w:lineRule="auto"/>
        <w:jc w:val="both"/>
        <w:rPr>
          <w:rFonts w:ascii="Palatino Linotype" w:eastAsia="Calibri" w:hAnsi="Palatino Linotype" w:cs="Tahoma"/>
          <w:bCs/>
          <w:iCs/>
          <w:sz w:val="22"/>
          <w:szCs w:val="22"/>
          <w:lang w:val="es-ES" w:eastAsia="en-US"/>
        </w:rPr>
      </w:pPr>
    </w:p>
    <w:p w:rsidR="00E51527" w:rsidRPr="00477372" w:rsidRDefault="00E51527" w:rsidP="00E51527">
      <w:pPr>
        <w:spacing w:line="360" w:lineRule="auto"/>
        <w:jc w:val="both"/>
        <w:rPr>
          <w:rFonts w:ascii="Palatino Linotype" w:eastAsia="Calibri" w:hAnsi="Palatino Linotype" w:cs="Tahoma"/>
          <w:bCs/>
          <w:iCs/>
          <w:sz w:val="22"/>
          <w:szCs w:val="22"/>
          <w:lang w:val="es-ES" w:eastAsia="en-US"/>
        </w:rPr>
      </w:pPr>
      <w:r w:rsidRPr="00477372">
        <w:rPr>
          <w:rFonts w:ascii="Palatino Linotype" w:eastAsia="Calibri" w:hAnsi="Palatino Linotype" w:cs="Tahoma"/>
          <w:bCs/>
          <w:iCs/>
          <w:sz w:val="22"/>
          <w:szCs w:val="22"/>
          <w:lang w:val="es-ES" w:eastAsia="en-US"/>
        </w:rPr>
        <w:t xml:space="preserve">Como se aprecia, el </w:t>
      </w:r>
      <w:r w:rsidRPr="00477372">
        <w:rPr>
          <w:rFonts w:ascii="Palatino Linotype" w:eastAsia="Calibri" w:hAnsi="Palatino Linotype" w:cs="Tahoma"/>
          <w:b/>
          <w:bCs/>
          <w:iCs/>
          <w:sz w:val="22"/>
          <w:szCs w:val="22"/>
          <w:lang w:val="es-ES" w:eastAsia="en-US"/>
        </w:rPr>
        <w:t>secreto fiscal</w:t>
      </w:r>
      <w:r w:rsidRPr="00477372">
        <w:rPr>
          <w:rFonts w:ascii="Palatino Linotype" w:eastAsia="Calibri" w:hAnsi="Palatino Linotype" w:cs="Tahoma"/>
          <w:bCs/>
          <w:iCs/>
          <w:sz w:val="22"/>
          <w:szCs w:val="22"/>
          <w:lang w:val="es-ES" w:eastAsia="en-US"/>
        </w:rPr>
        <w:t xml:space="preserve"> consiste en la </w:t>
      </w:r>
      <w:r w:rsidRPr="00477372">
        <w:rPr>
          <w:rFonts w:ascii="Palatino Linotype" w:eastAsia="Calibri" w:hAnsi="Palatino Linotype" w:cs="Tahoma"/>
          <w:b/>
          <w:bCs/>
          <w:iCs/>
          <w:sz w:val="22"/>
          <w:szCs w:val="22"/>
          <w:lang w:val="es-ES" w:eastAsia="en-US"/>
        </w:rPr>
        <w:t>obligación de protección absoluta</w:t>
      </w:r>
      <w:r w:rsidRPr="00477372">
        <w:rPr>
          <w:rFonts w:ascii="Palatino Linotype" w:eastAsia="Calibri" w:hAnsi="Palatino Linotype" w:cs="Tahoma"/>
          <w:bCs/>
          <w:iCs/>
          <w:sz w:val="22"/>
          <w:szCs w:val="22"/>
          <w:lang w:val="es-ES" w:eastAsia="en-US"/>
        </w:rPr>
        <w:t xml:space="preserve"> en lo concerniente </w:t>
      </w:r>
      <w:r w:rsidRPr="00477372">
        <w:rPr>
          <w:rFonts w:ascii="Palatino Linotype" w:eastAsia="Calibri" w:hAnsi="Palatino Linotype" w:cs="Tahoma"/>
          <w:b/>
          <w:bCs/>
          <w:iCs/>
          <w:sz w:val="22"/>
          <w:szCs w:val="22"/>
          <w:lang w:val="es-ES" w:eastAsia="en-US"/>
        </w:rPr>
        <w:t>a la información tributaria del contribuyente</w:t>
      </w:r>
      <w:r w:rsidRPr="00477372">
        <w:rPr>
          <w:rFonts w:ascii="Palatino Linotype" w:eastAsia="Calibri" w:hAnsi="Palatino Linotype" w:cs="Tahoma"/>
          <w:bCs/>
          <w:iCs/>
          <w:sz w:val="22"/>
          <w:szCs w:val="22"/>
          <w:lang w:val="es-ES" w:eastAsia="en-US"/>
        </w:rPr>
        <w:t xml:space="preserve"> (declaraciones y datos suministrados por los contribuyentes o por terceros con ellos relacionados, así como los obtenidos en el ejercicio de las facultades de comprobación), </w:t>
      </w:r>
      <w:r w:rsidRPr="00477372">
        <w:rPr>
          <w:rFonts w:ascii="Palatino Linotype" w:eastAsia="Calibri" w:hAnsi="Palatino Linotype" w:cs="Tahoma"/>
          <w:b/>
          <w:bCs/>
          <w:iCs/>
          <w:sz w:val="22"/>
          <w:szCs w:val="22"/>
          <w:lang w:val="es-ES" w:eastAsia="en-US"/>
        </w:rPr>
        <w:t>a cargo del personal de la autoridad fiscal que intervenga en los trámites relativos a la aplicación de disposiciones fiscales.</w:t>
      </w:r>
      <w:r w:rsidRPr="00477372">
        <w:rPr>
          <w:rFonts w:ascii="Palatino Linotype" w:eastAsia="Calibri" w:hAnsi="Palatino Linotype" w:cs="Tahoma"/>
          <w:bCs/>
          <w:iCs/>
          <w:sz w:val="22"/>
          <w:szCs w:val="22"/>
          <w:lang w:val="es-ES" w:eastAsia="en-US"/>
        </w:rPr>
        <w:t xml:space="preserve"> </w:t>
      </w:r>
    </w:p>
    <w:p w:rsidR="00E51527" w:rsidRPr="00477372" w:rsidRDefault="00E51527" w:rsidP="00E51527">
      <w:pPr>
        <w:spacing w:line="360" w:lineRule="auto"/>
        <w:jc w:val="both"/>
        <w:rPr>
          <w:rFonts w:ascii="Palatino Linotype" w:eastAsia="Calibri" w:hAnsi="Palatino Linotype" w:cs="Tahoma"/>
          <w:bCs/>
          <w:iCs/>
          <w:sz w:val="22"/>
          <w:szCs w:val="22"/>
          <w:lang w:val="es-ES" w:eastAsia="en-US"/>
        </w:rPr>
      </w:pPr>
    </w:p>
    <w:p w:rsidR="00E51527" w:rsidRPr="00477372" w:rsidRDefault="00E51527" w:rsidP="00E51527">
      <w:pPr>
        <w:spacing w:line="360" w:lineRule="auto"/>
        <w:jc w:val="both"/>
        <w:rPr>
          <w:rFonts w:ascii="Palatino Linotype" w:eastAsia="Calibri" w:hAnsi="Palatino Linotype" w:cs="Tahoma"/>
          <w:bCs/>
          <w:sz w:val="22"/>
          <w:szCs w:val="22"/>
          <w:lang w:val="es-ES" w:eastAsia="en-US"/>
        </w:rPr>
      </w:pPr>
      <w:r w:rsidRPr="00477372">
        <w:rPr>
          <w:rFonts w:ascii="Palatino Linotype" w:eastAsia="Calibri" w:hAnsi="Palatino Linotype" w:cs="Tahoma"/>
          <w:bCs/>
          <w:iCs/>
          <w:sz w:val="22"/>
          <w:szCs w:val="22"/>
          <w:lang w:val="es-ES" w:eastAsia="en-US"/>
        </w:rPr>
        <w:t>Lo cual, se traduce en una concreta carga -de no hacer- impuesta a la autoridad fiscal, consistente en que al aplicar las disposiciones fiscales no deben revelar de ninguna forma información tributaria de lo</w:t>
      </w:r>
      <w:r w:rsidR="00477372">
        <w:rPr>
          <w:rFonts w:ascii="Palatino Linotype" w:eastAsia="Calibri" w:hAnsi="Palatino Linotype" w:cs="Tahoma"/>
          <w:bCs/>
          <w:iCs/>
          <w:sz w:val="22"/>
          <w:szCs w:val="22"/>
          <w:lang w:val="es-ES" w:eastAsia="en-US"/>
        </w:rPr>
        <w:t xml:space="preserve">s </w:t>
      </w:r>
      <w:r w:rsidR="00477372" w:rsidRPr="00477372">
        <w:rPr>
          <w:rFonts w:ascii="Palatino Linotype" w:eastAsia="Calibri" w:hAnsi="Palatino Linotype" w:cs="Tahoma"/>
          <w:bCs/>
          <w:iCs/>
          <w:sz w:val="22"/>
          <w:szCs w:val="22"/>
          <w:lang w:val="es-ES" w:eastAsia="en-US"/>
        </w:rPr>
        <w:t>contribuyentes</w:t>
      </w:r>
      <w:r w:rsidRPr="00477372">
        <w:rPr>
          <w:rFonts w:ascii="Palatino Linotype" w:eastAsia="Calibri" w:hAnsi="Palatino Linotype" w:cs="Tahoma"/>
          <w:bCs/>
          <w:sz w:val="22"/>
          <w:szCs w:val="22"/>
          <w:lang w:val="es-ES" w:eastAsia="en-US"/>
        </w:rPr>
        <w:t>,</w:t>
      </w:r>
      <w:r w:rsidR="00477372" w:rsidRPr="00477372">
        <w:rPr>
          <w:rFonts w:ascii="Palatino Linotype" w:eastAsia="Calibri" w:hAnsi="Palatino Linotype" w:cs="Tahoma"/>
          <w:bCs/>
          <w:sz w:val="22"/>
          <w:szCs w:val="22"/>
          <w:lang w:val="es-ES" w:eastAsia="en-US"/>
        </w:rPr>
        <w:t xml:space="preserve"> por lo que se </w:t>
      </w:r>
      <w:r w:rsidRPr="00477372">
        <w:rPr>
          <w:rFonts w:ascii="Palatino Linotype" w:eastAsia="Calibri" w:hAnsi="Palatino Linotype" w:cs="Tahoma"/>
          <w:bCs/>
          <w:sz w:val="22"/>
          <w:szCs w:val="22"/>
          <w:lang w:val="es-ES" w:eastAsia="en-US"/>
        </w:rPr>
        <w:t>actualiza el supuesto de confidencialidad establecido en el artículo 143, fracción II, de la Ley de Transparencia y Acceso a la Información Pública del Estado de México y Municipios.</w:t>
      </w:r>
    </w:p>
    <w:p w:rsidR="00E51527" w:rsidRDefault="00E51527" w:rsidP="00E51527">
      <w:pPr>
        <w:spacing w:line="360" w:lineRule="auto"/>
        <w:jc w:val="both"/>
        <w:rPr>
          <w:rFonts w:ascii="Palatino Linotype" w:hAnsi="Palatino Linotype" w:cs="Tahoma"/>
          <w:sz w:val="22"/>
          <w:szCs w:val="22"/>
          <w:lang w:val="es-ES"/>
        </w:rPr>
      </w:pPr>
    </w:p>
    <w:p w:rsidR="009273DB" w:rsidRPr="00160AAF" w:rsidRDefault="009273DB" w:rsidP="009273DB">
      <w:pPr>
        <w:spacing w:line="360" w:lineRule="auto"/>
        <w:ind w:right="-93"/>
        <w:jc w:val="both"/>
        <w:rPr>
          <w:rFonts w:ascii="Palatino Linotype" w:hAnsi="Palatino Linotype" w:cs="Tahoma"/>
          <w:sz w:val="22"/>
          <w:szCs w:val="22"/>
        </w:rPr>
      </w:pPr>
      <w:r w:rsidRPr="00A50EAF">
        <w:rPr>
          <w:rFonts w:ascii="Palatino Linotype" w:hAnsi="Palatino Linotype" w:cs="Tahoma"/>
          <w:sz w:val="22"/>
          <w:szCs w:val="22"/>
        </w:rPr>
        <w:lastRenderedPageBreak/>
        <w:t>Ahora bien, en armonía entre los principios constitucionales de máxima publicidad y de protección de datos personales, se debe entregar la documentación señalada en versión pública e</w:t>
      </w:r>
      <w:r w:rsidRPr="00160AAF">
        <w:rPr>
          <w:rFonts w:ascii="Palatino Linotype" w:hAnsi="Palatino Linotype" w:cs="Tahoma"/>
          <w:sz w:val="22"/>
          <w:szCs w:val="22"/>
        </w:rPr>
        <w:t>n la que se suprima aquella información relacionada con la vida privada de los particulares.</w:t>
      </w:r>
    </w:p>
    <w:p w:rsidR="004829D3" w:rsidRPr="00875058" w:rsidRDefault="004829D3" w:rsidP="00073528">
      <w:pPr>
        <w:spacing w:line="360" w:lineRule="auto"/>
        <w:ind w:right="-93"/>
        <w:jc w:val="both"/>
        <w:rPr>
          <w:rFonts w:ascii="Palatino Linotype" w:eastAsia="Calibri" w:hAnsi="Palatino Linotype" w:cs="Tahoma"/>
          <w:bCs/>
          <w:iCs/>
          <w:sz w:val="22"/>
          <w:szCs w:val="22"/>
          <w:lang w:eastAsia="es-ES_tradnl"/>
        </w:rPr>
      </w:pPr>
    </w:p>
    <w:p w:rsidR="00F316B8" w:rsidRDefault="008F2E92" w:rsidP="00073528">
      <w:pPr>
        <w:spacing w:line="360" w:lineRule="auto"/>
        <w:ind w:right="-93"/>
        <w:jc w:val="both"/>
        <w:rPr>
          <w:rFonts w:ascii="Palatino Linotype" w:eastAsia="Calibri" w:hAnsi="Palatino Linotype" w:cs="Tahoma"/>
          <w:iCs/>
          <w:sz w:val="22"/>
          <w:szCs w:val="22"/>
          <w:lang w:eastAsia="es-ES_tradnl"/>
        </w:rPr>
      </w:pPr>
      <w:r>
        <w:rPr>
          <w:rFonts w:ascii="Palatino Linotype" w:hAnsi="Palatino Linotype" w:cs="Tahoma"/>
          <w:b/>
          <w:sz w:val="22"/>
          <w:szCs w:val="22"/>
        </w:rPr>
        <w:t>SÉPTIMO</w:t>
      </w:r>
      <w:r w:rsidR="00F66CC2" w:rsidRPr="00AD50F9">
        <w:rPr>
          <w:rFonts w:ascii="Palatino Linotype" w:hAnsi="Palatino Linotype" w:cs="Tahoma"/>
          <w:b/>
          <w:sz w:val="22"/>
          <w:szCs w:val="22"/>
        </w:rPr>
        <w:t xml:space="preserve">. </w:t>
      </w:r>
      <w:r w:rsidR="00F66CC2" w:rsidRPr="00AD50F9">
        <w:rPr>
          <w:rFonts w:ascii="Palatino Linotype" w:hAnsi="Palatino Linotype" w:cs="Tahoma"/>
          <w:sz w:val="22"/>
          <w:szCs w:val="22"/>
        </w:rPr>
        <w:t>Con fundamento en el artículo 186, fracción I</w:t>
      </w:r>
      <w:r w:rsidR="008A1041">
        <w:rPr>
          <w:rFonts w:ascii="Palatino Linotype" w:hAnsi="Palatino Linotype" w:cs="Tahoma"/>
          <w:sz w:val="22"/>
          <w:szCs w:val="22"/>
        </w:rPr>
        <w:t>V</w:t>
      </w:r>
      <w:r w:rsidR="00F66CC2" w:rsidRPr="00AD50F9">
        <w:rPr>
          <w:rFonts w:ascii="Palatino Linotype" w:hAnsi="Palatino Linotype" w:cs="Tahoma"/>
          <w:sz w:val="22"/>
          <w:szCs w:val="22"/>
        </w:rPr>
        <w:t xml:space="preserve">, de la Ley de Transparencia y Acceso a la Información Pública del Estado de México y Municipios, este Instituto considera procedente </w:t>
      </w:r>
      <w:r w:rsidR="008A1041" w:rsidRPr="00264223">
        <w:rPr>
          <w:rFonts w:ascii="Palatino Linotype" w:eastAsia="Calibri" w:hAnsi="Palatino Linotype" w:cs="Tahoma"/>
          <w:b/>
          <w:sz w:val="22"/>
          <w:szCs w:val="22"/>
          <w:lang w:eastAsia="es-MX"/>
        </w:rPr>
        <w:t>ORDENA</w:t>
      </w:r>
      <w:r w:rsidR="008A1041">
        <w:rPr>
          <w:rFonts w:ascii="Palatino Linotype" w:eastAsia="Calibri" w:hAnsi="Palatino Linotype" w:cs="Tahoma"/>
          <w:b/>
          <w:sz w:val="22"/>
          <w:szCs w:val="22"/>
          <w:lang w:eastAsia="es-MX"/>
        </w:rPr>
        <w:t>R</w:t>
      </w:r>
      <w:r w:rsidR="008A1041" w:rsidRPr="00264223">
        <w:rPr>
          <w:rFonts w:ascii="Palatino Linotype" w:eastAsia="Calibri" w:hAnsi="Palatino Linotype" w:cs="Tahoma"/>
          <w:b/>
          <w:sz w:val="22"/>
          <w:szCs w:val="22"/>
          <w:lang w:eastAsia="es-MX"/>
        </w:rPr>
        <w:t xml:space="preserve"> </w:t>
      </w:r>
      <w:r w:rsidR="008A1041" w:rsidRPr="00264223">
        <w:rPr>
          <w:rFonts w:ascii="Palatino Linotype" w:eastAsia="Calibri" w:hAnsi="Palatino Linotype" w:cs="Tahoma"/>
          <w:sz w:val="22"/>
          <w:szCs w:val="22"/>
          <w:lang w:eastAsia="es-MX"/>
        </w:rPr>
        <w:t xml:space="preserve">al </w:t>
      </w:r>
      <w:r>
        <w:rPr>
          <w:rFonts w:ascii="Palatino Linotype" w:eastAsia="Calibri" w:hAnsi="Palatino Linotype" w:cs="Tahoma"/>
          <w:sz w:val="22"/>
          <w:szCs w:val="22"/>
          <w:lang w:eastAsia="es-MX"/>
        </w:rPr>
        <w:t>Ayuntamiento de Tonanitla</w:t>
      </w:r>
      <w:r w:rsidR="008A1041" w:rsidRPr="00264223">
        <w:rPr>
          <w:rFonts w:ascii="Palatino Linotype" w:eastAsia="Calibri" w:hAnsi="Palatino Linotype" w:cs="Tahoma"/>
          <w:sz w:val="22"/>
          <w:szCs w:val="22"/>
          <w:lang w:eastAsia="es-MX"/>
        </w:rPr>
        <w:t xml:space="preserve">, </w:t>
      </w:r>
      <w:r w:rsidR="008A1041" w:rsidRPr="00994396">
        <w:rPr>
          <w:rFonts w:ascii="Palatino Linotype" w:hAnsi="Palatino Linotype" w:cs="Tahoma"/>
          <w:sz w:val="22"/>
        </w:rPr>
        <w:t>a efecto de que,</w:t>
      </w:r>
      <w:r w:rsidR="008A1041">
        <w:rPr>
          <w:rFonts w:ascii="Palatino Linotype" w:hAnsi="Palatino Linotype" w:cs="Tahoma"/>
          <w:sz w:val="22"/>
        </w:rPr>
        <w:t xml:space="preserve"> proporcione </w:t>
      </w:r>
      <w:r w:rsidR="008A1041" w:rsidRPr="004533D6">
        <w:rPr>
          <w:rFonts w:ascii="Palatino Linotype" w:hAnsi="Palatino Linotype" w:cs="Tahoma"/>
          <w:sz w:val="22"/>
        </w:rPr>
        <w:t xml:space="preserve">a través del </w:t>
      </w:r>
      <w:r w:rsidR="008A1041" w:rsidRPr="004533D6">
        <w:rPr>
          <w:rFonts w:ascii="Palatino Linotype" w:hAnsi="Palatino Linotype" w:cs="Tahoma"/>
          <w:sz w:val="22"/>
          <w:lang w:val="es-ES"/>
        </w:rPr>
        <w:t>Sistema de Acceso a la Información Mexiquense (SAIMEX</w:t>
      </w:r>
      <w:r w:rsidR="008A1041" w:rsidRPr="0008525E">
        <w:rPr>
          <w:rFonts w:ascii="Palatino Linotype" w:hAnsi="Palatino Linotype" w:cs="Tahoma"/>
          <w:sz w:val="22"/>
          <w:lang w:val="es-ES"/>
        </w:rPr>
        <w:t>)</w:t>
      </w:r>
      <w:r w:rsidR="008A1041" w:rsidRPr="0008525E">
        <w:rPr>
          <w:rFonts w:ascii="Palatino Linotype" w:eastAsia="Calibri" w:hAnsi="Palatino Linotype" w:cs="Tahoma"/>
          <w:bCs/>
          <w:sz w:val="22"/>
          <w:szCs w:val="22"/>
          <w:lang w:eastAsia="en-US"/>
        </w:rPr>
        <w:t xml:space="preserve">, </w:t>
      </w:r>
      <w:r w:rsidR="008A1041">
        <w:rPr>
          <w:rFonts w:ascii="Palatino Linotype" w:eastAsia="Calibri" w:hAnsi="Palatino Linotype" w:cs="Tahoma"/>
          <w:iCs/>
          <w:sz w:val="22"/>
          <w:szCs w:val="22"/>
          <w:lang w:eastAsia="es-ES_tradnl"/>
        </w:rPr>
        <w:t>de ser pro</w:t>
      </w:r>
      <w:r>
        <w:rPr>
          <w:rFonts w:ascii="Palatino Linotype" w:eastAsia="Calibri" w:hAnsi="Palatino Linotype" w:cs="Tahoma"/>
          <w:iCs/>
          <w:sz w:val="22"/>
          <w:szCs w:val="22"/>
          <w:lang w:eastAsia="es-ES_tradnl"/>
        </w:rPr>
        <w:t>cedente en versión pública, los documentos donde conste el contenido de los discos uno, dos, tres y cuatro de los meses de enero a mayo de dos mil diecinueve.</w:t>
      </w:r>
    </w:p>
    <w:p w:rsidR="00950C97" w:rsidRDefault="00950C97" w:rsidP="00073528">
      <w:pPr>
        <w:spacing w:line="360" w:lineRule="auto"/>
        <w:ind w:right="-93"/>
        <w:jc w:val="both"/>
        <w:rPr>
          <w:rFonts w:ascii="Palatino Linotype" w:hAnsi="Palatino Linotype" w:cs="Tahoma"/>
          <w:bCs/>
          <w:sz w:val="22"/>
          <w:szCs w:val="22"/>
        </w:rPr>
      </w:pPr>
    </w:p>
    <w:p w:rsidR="008F2E92" w:rsidRPr="00331629" w:rsidRDefault="008F2E92" w:rsidP="008F2E92">
      <w:pPr>
        <w:tabs>
          <w:tab w:val="left" w:pos="4962"/>
        </w:tabs>
        <w:spacing w:line="360" w:lineRule="auto"/>
        <w:jc w:val="both"/>
        <w:rPr>
          <w:rFonts w:ascii="Palatino Linotype" w:eastAsia="Calibri" w:hAnsi="Palatino Linotype" w:cs="Tahoma"/>
          <w:iCs/>
          <w:sz w:val="22"/>
          <w:szCs w:val="22"/>
          <w:lang w:val="es-ES" w:eastAsia="es-ES_tradnl"/>
        </w:rPr>
      </w:pPr>
      <w:r w:rsidRPr="00331629">
        <w:rPr>
          <w:rFonts w:ascii="Palatino Linotype" w:eastAsia="Calibri" w:hAnsi="Palatino Linotype" w:cs="Tahoma"/>
          <w:iCs/>
          <w:sz w:val="22"/>
          <w:szCs w:val="22"/>
          <w:lang w:val="es-ES" w:eastAsia="es-ES_tradnl"/>
        </w:rPr>
        <w:t xml:space="preserve">De ser necesaria la versión pública de los documentos por contener datos personales confidenciales, se deberá emitir Acuerdo del Comité de Transparencia en el que se funde y motive la eliminación de información, de conformidad con los artículos 49, fracciones II y VIII, 143, fracción I </w:t>
      </w:r>
      <w:r>
        <w:rPr>
          <w:rFonts w:ascii="Palatino Linotype" w:eastAsia="Calibri" w:hAnsi="Palatino Linotype" w:cs="Tahoma"/>
          <w:iCs/>
          <w:sz w:val="22"/>
          <w:szCs w:val="22"/>
          <w:lang w:val="es-ES" w:eastAsia="es-ES_tradnl"/>
        </w:rPr>
        <w:t>y II, así como el</w:t>
      </w:r>
      <w:r w:rsidRPr="00331629">
        <w:rPr>
          <w:rFonts w:ascii="Palatino Linotype" w:eastAsia="Calibri" w:hAnsi="Palatino Linotype" w:cs="Tahoma"/>
          <w:iCs/>
          <w:sz w:val="22"/>
          <w:szCs w:val="22"/>
          <w:lang w:val="es-ES" w:eastAsia="es-ES_tradnl"/>
        </w:rPr>
        <w:t xml:space="preserve"> 149 de la Ley de Transparencia y Acceso a la Información Pública del Estado de México y Municipios.</w:t>
      </w:r>
    </w:p>
    <w:p w:rsidR="008A1041" w:rsidRDefault="008A1041" w:rsidP="00073528">
      <w:pPr>
        <w:tabs>
          <w:tab w:val="left" w:pos="4962"/>
        </w:tabs>
        <w:spacing w:line="360" w:lineRule="auto"/>
        <w:jc w:val="both"/>
        <w:rPr>
          <w:rFonts w:ascii="Palatino Linotype" w:eastAsia="Calibri" w:hAnsi="Palatino Linotype" w:cs="Tahoma"/>
          <w:b/>
          <w:iCs/>
          <w:sz w:val="22"/>
          <w:szCs w:val="22"/>
          <w:lang w:eastAsia="es-ES_tradnl"/>
        </w:rPr>
      </w:pPr>
    </w:p>
    <w:p w:rsidR="008A1041" w:rsidRPr="00261227" w:rsidRDefault="008F2E92" w:rsidP="00073528">
      <w:pPr>
        <w:tabs>
          <w:tab w:val="left" w:pos="4962"/>
        </w:tabs>
        <w:spacing w:line="360" w:lineRule="auto"/>
        <w:jc w:val="both"/>
        <w:rPr>
          <w:rFonts w:ascii="Palatino Linotype" w:eastAsia="Calibri" w:hAnsi="Palatino Linotype" w:cs="Tahoma"/>
          <w:b/>
          <w:iCs/>
          <w:sz w:val="22"/>
          <w:szCs w:val="22"/>
          <w:lang w:eastAsia="es-ES_tradnl"/>
        </w:rPr>
      </w:pPr>
      <w:r>
        <w:rPr>
          <w:rFonts w:ascii="Palatino Linotype" w:eastAsia="Calibri" w:hAnsi="Palatino Linotype" w:cs="Tahoma"/>
          <w:b/>
          <w:iCs/>
          <w:sz w:val="22"/>
          <w:szCs w:val="22"/>
          <w:lang w:eastAsia="es-ES_tradnl"/>
        </w:rPr>
        <w:t>OCTAVO</w:t>
      </w:r>
      <w:r w:rsidR="008A1041" w:rsidRPr="00261227">
        <w:rPr>
          <w:rFonts w:ascii="Palatino Linotype" w:eastAsia="Calibri" w:hAnsi="Palatino Linotype" w:cs="Tahoma"/>
          <w:b/>
          <w:iCs/>
          <w:sz w:val="22"/>
          <w:szCs w:val="22"/>
          <w:lang w:eastAsia="es-ES_tradnl"/>
        </w:rPr>
        <w:t xml:space="preserve">. Vista a la Contraloría Interna y Órgano de Control y Vigilancia. </w:t>
      </w:r>
    </w:p>
    <w:p w:rsidR="008A1041" w:rsidRDefault="008A1041" w:rsidP="00073528">
      <w:pPr>
        <w:spacing w:line="360" w:lineRule="auto"/>
        <w:ind w:right="-93"/>
        <w:jc w:val="both"/>
        <w:rPr>
          <w:rFonts w:ascii="Palatino Linotype" w:hAnsi="Palatino Linotype" w:cs="Tahoma"/>
          <w:sz w:val="22"/>
          <w:szCs w:val="22"/>
        </w:rPr>
      </w:pPr>
    </w:p>
    <w:p w:rsidR="008A1041" w:rsidRPr="001E0D8F" w:rsidRDefault="008A1041" w:rsidP="00073528">
      <w:pPr>
        <w:spacing w:line="360" w:lineRule="auto"/>
        <w:ind w:right="-93"/>
        <w:jc w:val="both"/>
        <w:rPr>
          <w:rFonts w:ascii="Palatino Linotype" w:hAnsi="Palatino Linotype" w:cs="Tahoma"/>
          <w:sz w:val="22"/>
          <w:szCs w:val="22"/>
        </w:rPr>
      </w:pPr>
      <w:r w:rsidRPr="001E0D8F">
        <w:rPr>
          <w:rFonts w:ascii="Palatino Linotype" w:hAnsi="Palatino Linotype" w:cs="Tahoma"/>
          <w:sz w:val="22"/>
          <w:szCs w:val="22"/>
        </w:rPr>
        <w:t xml:space="preserve">En el caso en estudio, ha quedado acreditado que el </w:t>
      </w:r>
      <w:r>
        <w:rPr>
          <w:rFonts w:ascii="Palatino Linotype" w:hAnsi="Palatino Linotype" w:cs="Tahoma"/>
          <w:sz w:val="22"/>
          <w:szCs w:val="22"/>
        </w:rPr>
        <w:t xml:space="preserve">Ayuntamiento de </w:t>
      </w:r>
      <w:r w:rsidR="008F2E92">
        <w:rPr>
          <w:rFonts w:ascii="Palatino Linotype" w:hAnsi="Palatino Linotype" w:cs="Tahoma"/>
          <w:sz w:val="22"/>
          <w:szCs w:val="22"/>
        </w:rPr>
        <w:t xml:space="preserve">Tonanitla </w:t>
      </w:r>
      <w:r>
        <w:rPr>
          <w:rFonts w:ascii="Palatino Linotype" w:hAnsi="Palatino Linotype" w:cs="Tahoma"/>
          <w:sz w:val="22"/>
          <w:szCs w:val="22"/>
        </w:rPr>
        <w:t>omitió dar</w:t>
      </w:r>
      <w:r w:rsidRPr="001E0D8F">
        <w:rPr>
          <w:rFonts w:ascii="Palatino Linotype" w:hAnsi="Palatino Linotype" w:cs="Tahoma"/>
          <w:sz w:val="22"/>
          <w:szCs w:val="22"/>
        </w:rPr>
        <w:t xml:space="preserve"> respuesta en el plazo señalado en el artículo 163 de la Ley de Transparencia y Acceso a la Información Pública del Estado de México y Municipios.</w:t>
      </w:r>
    </w:p>
    <w:p w:rsidR="008A1041" w:rsidRPr="001E0D8F" w:rsidRDefault="008A1041" w:rsidP="00073528">
      <w:pPr>
        <w:spacing w:line="360" w:lineRule="auto"/>
        <w:ind w:right="-93"/>
        <w:jc w:val="both"/>
        <w:rPr>
          <w:rFonts w:ascii="Palatino Linotype" w:hAnsi="Palatino Linotype" w:cs="Tahoma"/>
          <w:sz w:val="22"/>
          <w:szCs w:val="22"/>
        </w:rPr>
      </w:pPr>
    </w:p>
    <w:p w:rsidR="008A1041" w:rsidRDefault="008A1041" w:rsidP="00073528">
      <w:pPr>
        <w:spacing w:line="360" w:lineRule="auto"/>
        <w:ind w:right="-93"/>
        <w:jc w:val="both"/>
        <w:rPr>
          <w:rFonts w:ascii="Palatino Linotype" w:eastAsia="Calibri" w:hAnsi="Palatino Linotype" w:cs="Tahoma"/>
          <w:bCs/>
          <w:sz w:val="22"/>
          <w:szCs w:val="22"/>
          <w:lang w:eastAsia="en-US"/>
        </w:rPr>
      </w:pPr>
      <w:r w:rsidRPr="001E0D8F">
        <w:rPr>
          <w:rFonts w:ascii="Palatino Linotype" w:hAnsi="Palatino Linotype" w:cs="Tahoma"/>
          <w:sz w:val="22"/>
          <w:szCs w:val="22"/>
        </w:rPr>
        <w:t>Al respecto, el artículo 36, fracción X, del ordenamiento jurídico en cita, establece que es atribución de este Instituto hacer del conocimiento del Órgano Interno de Control o equivalente de cada Sujeto Obligado las infracciones a esta Ley.</w:t>
      </w:r>
      <w:r w:rsidRPr="001E0D8F">
        <w:rPr>
          <w:rFonts w:ascii="Palatino Linotype" w:eastAsia="Calibri" w:hAnsi="Palatino Linotype" w:cs="Tahoma"/>
          <w:bCs/>
          <w:sz w:val="22"/>
          <w:szCs w:val="22"/>
          <w:lang w:eastAsia="en-US"/>
        </w:rPr>
        <w:t xml:space="preserve"> En ese sentido, de conformidad con lo previsto en el artículo 222, fracción II, de dicho ordenamiento, son causas de responsabilidad </w:t>
      </w:r>
      <w:r w:rsidRPr="001E0D8F">
        <w:rPr>
          <w:rFonts w:ascii="Palatino Linotype" w:eastAsia="Calibri" w:hAnsi="Palatino Linotype" w:cs="Tahoma"/>
          <w:bCs/>
          <w:sz w:val="22"/>
          <w:szCs w:val="22"/>
          <w:lang w:eastAsia="en-US"/>
        </w:rPr>
        <w:lastRenderedPageBreak/>
        <w:t>administrativa los incumplimiento de las obligaciones establecida en la Ley de la materia, entre otras conductas, la falta de respuesta a las solicitudes de información en los plazos señalados, a saber, dentro de los quince días siguientes a la presentación del requerimiento.</w:t>
      </w:r>
    </w:p>
    <w:p w:rsidR="008A1041" w:rsidRPr="001E0D8F" w:rsidRDefault="008A1041" w:rsidP="00073528">
      <w:pPr>
        <w:spacing w:line="360" w:lineRule="auto"/>
        <w:ind w:right="-93"/>
        <w:jc w:val="both"/>
        <w:rPr>
          <w:rFonts w:ascii="Palatino Linotype" w:eastAsia="Calibri" w:hAnsi="Palatino Linotype" w:cs="Tahoma"/>
          <w:bCs/>
          <w:sz w:val="22"/>
          <w:szCs w:val="22"/>
          <w:lang w:eastAsia="en-US"/>
        </w:rPr>
      </w:pPr>
    </w:p>
    <w:p w:rsidR="008A1041" w:rsidRPr="001E0D8F" w:rsidRDefault="008A1041" w:rsidP="00073528">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Por su parte,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w:t>
      </w:r>
    </w:p>
    <w:p w:rsidR="008A1041" w:rsidRPr="001E0D8F" w:rsidRDefault="008A1041" w:rsidP="00073528">
      <w:pPr>
        <w:spacing w:line="360" w:lineRule="auto"/>
        <w:ind w:right="-93"/>
        <w:jc w:val="both"/>
        <w:rPr>
          <w:rFonts w:ascii="Palatino Linotype" w:eastAsia="Calibri" w:hAnsi="Palatino Linotype" w:cs="Tahoma"/>
          <w:bCs/>
          <w:sz w:val="22"/>
          <w:szCs w:val="22"/>
          <w:lang w:eastAsia="en-US"/>
        </w:rPr>
      </w:pPr>
    </w:p>
    <w:p w:rsidR="008A1041" w:rsidRPr="001E0D8F" w:rsidRDefault="008A1041" w:rsidP="00073528">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 xml:space="preserve">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w:t>
      </w:r>
      <w:r w:rsidRPr="001E0D8F">
        <w:rPr>
          <w:rFonts w:ascii="Palatino Linotype" w:eastAsia="Calibri" w:hAnsi="Palatino Linotype" w:cs="Tahoma"/>
          <w:bCs/>
          <w:sz w:val="22"/>
          <w:szCs w:val="22"/>
          <w:lang w:val="es-ES_tradnl" w:eastAsia="en-US"/>
        </w:rPr>
        <w:t>al Contralor Interno y Titular del Órgano de Control y Vigilancia de este Instituto</w:t>
      </w:r>
      <w:r w:rsidRPr="001E0D8F">
        <w:rPr>
          <w:rFonts w:ascii="Palatino Linotype" w:eastAsia="Calibri" w:hAnsi="Palatino Linotype" w:cs="Tahoma"/>
          <w:bCs/>
          <w:sz w:val="22"/>
          <w:szCs w:val="22"/>
          <w:lang w:eastAsia="en-US"/>
        </w:rPr>
        <w:t>.</w:t>
      </w:r>
    </w:p>
    <w:p w:rsidR="008A1041" w:rsidRDefault="008A1041" w:rsidP="00073528">
      <w:pPr>
        <w:spacing w:line="360" w:lineRule="auto"/>
        <w:ind w:right="-93"/>
        <w:jc w:val="both"/>
        <w:rPr>
          <w:rFonts w:ascii="Palatino Linotype" w:hAnsi="Palatino Linotype" w:cs="Tahoma"/>
          <w:sz w:val="22"/>
          <w:szCs w:val="22"/>
        </w:rPr>
      </w:pPr>
    </w:p>
    <w:p w:rsidR="00F66CC2" w:rsidRDefault="00F66CC2" w:rsidP="00073528">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Por lo expuesto y fundado, este Pleno:</w:t>
      </w:r>
    </w:p>
    <w:p w:rsidR="00F66CC2" w:rsidRPr="00871BE0" w:rsidRDefault="00F66CC2" w:rsidP="00073528">
      <w:pPr>
        <w:spacing w:line="360" w:lineRule="auto"/>
        <w:ind w:right="-93"/>
        <w:jc w:val="both"/>
        <w:rPr>
          <w:rFonts w:ascii="Palatino Linotype" w:hAnsi="Palatino Linotype" w:cs="Tahoma"/>
          <w:sz w:val="22"/>
          <w:szCs w:val="22"/>
        </w:rPr>
      </w:pPr>
    </w:p>
    <w:p w:rsidR="00F66CC2" w:rsidRPr="00AD50F9" w:rsidRDefault="00F66CC2" w:rsidP="00073528">
      <w:pPr>
        <w:spacing w:line="360" w:lineRule="auto"/>
        <w:ind w:right="-91"/>
        <w:jc w:val="center"/>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R E S U E L V E</w:t>
      </w:r>
    </w:p>
    <w:p w:rsidR="00F66CC2" w:rsidRDefault="00F66CC2" w:rsidP="00073528">
      <w:pPr>
        <w:spacing w:line="360" w:lineRule="auto"/>
        <w:jc w:val="center"/>
        <w:rPr>
          <w:rFonts w:ascii="Palatino Linotype" w:hAnsi="Palatino Linotype" w:cs="Tahoma"/>
          <w:b/>
          <w:bCs/>
          <w:sz w:val="22"/>
          <w:szCs w:val="22"/>
        </w:rPr>
      </w:pPr>
    </w:p>
    <w:p w:rsidR="008A1041" w:rsidRPr="001E0D8F" w:rsidRDefault="008A1041" w:rsidP="00073528">
      <w:pPr>
        <w:shd w:val="clear" w:color="auto" w:fill="FFFFFF" w:themeFill="background1"/>
        <w:spacing w:line="360" w:lineRule="auto"/>
        <w:jc w:val="both"/>
        <w:rPr>
          <w:rFonts w:ascii="Palatino Linotype" w:eastAsia="Calibri" w:hAnsi="Palatino Linotype" w:cs="Tahoma"/>
          <w:bCs/>
          <w:sz w:val="22"/>
          <w:szCs w:val="22"/>
          <w:lang w:eastAsia="en-US"/>
        </w:rPr>
      </w:pPr>
      <w:r w:rsidRPr="00AD50F9">
        <w:rPr>
          <w:rFonts w:ascii="Palatino Linotype" w:hAnsi="Palatino Linotype" w:cs="Tahoma"/>
          <w:b/>
          <w:bCs/>
          <w:sz w:val="22"/>
          <w:szCs w:val="22"/>
        </w:rPr>
        <w:t xml:space="preserve">PRIMERO. </w:t>
      </w:r>
      <w:r w:rsidRPr="001E0D8F">
        <w:rPr>
          <w:rFonts w:ascii="Palatino Linotype" w:eastAsia="Calibri" w:hAnsi="Palatino Linotype" w:cs="Tahoma"/>
          <w:bCs/>
          <w:sz w:val="22"/>
          <w:szCs w:val="22"/>
          <w:lang w:eastAsia="en-US"/>
        </w:rPr>
        <w:t xml:space="preserve">Resultan </w:t>
      </w:r>
      <w:r w:rsidRPr="001E0D8F">
        <w:rPr>
          <w:rFonts w:ascii="Palatino Linotype" w:eastAsia="Calibri" w:hAnsi="Palatino Linotype" w:cs="Tahoma"/>
          <w:b/>
          <w:bCs/>
          <w:sz w:val="22"/>
          <w:szCs w:val="22"/>
          <w:lang w:eastAsia="en-US"/>
        </w:rPr>
        <w:t>FUNDADAS</w:t>
      </w:r>
      <w:r w:rsidRPr="001E0D8F">
        <w:rPr>
          <w:rFonts w:ascii="Palatino Linotype" w:eastAsia="Calibri" w:hAnsi="Palatino Linotype" w:cs="Tahoma"/>
          <w:bCs/>
          <w:sz w:val="22"/>
          <w:szCs w:val="22"/>
          <w:lang w:eastAsia="en-US"/>
        </w:rPr>
        <w:t xml:space="preserve"> las razones o motivos de inconformidad hechos valer por el  Recurrente, en términos de</w:t>
      </w:r>
      <w:r>
        <w:rPr>
          <w:rFonts w:ascii="Palatino Linotype" w:eastAsia="Calibri" w:hAnsi="Palatino Linotype" w:cs="Tahoma"/>
          <w:bCs/>
          <w:sz w:val="22"/>
          <w:szCs w:val="22"/>
          <w:lang w:eastAsia="en-US"/>
        </w:rPr>
        <w:t xml:space="preserve"> los</w:t>
      </w:r>
      <w:r w:rsidRPr="001E0D8F">
        <w:rPr>
          <w:rFonts w:ascii="Palatino Linotype" w:eastAsia="Calibri" w:hAnsi="Palatino Linotype" w:cs="Tahoma"/>
          <w:bCs/>
          <w:sz w:val="22"/>
          <w:szCs w:val="22"/>
          <w:lang w:eastAsia="en-US"/>
        </w:rPr>
        <w:t xml:space="preserve"> considerando</w:t>
      </w:r>
      <w:r>
        <w:rPr>
          <w:rFonts w:ascii="Palatino Linotype" w:eastAsia="Calibri" w:hAnsi="Palatino Linotype" w:cs="Tahoma"/>
          <w:bCs/>
          <w:sz w:val="22"/>
          <w:szCs w:val="22"/>
          <w:lang w:eastAsia="en-US"/>
        </w:rPr>
        <w:t>s</w:t>
      </w:r>
      <w:r w:rsidRPr="001E0D8F">
        <w:rPr>
          <w:rFonts w:ascii="Palatino Linotype" w:eastAsia="Calibri" w:hAnsi="Palatino Linotype" w:cs="Tahoma"/>
          <w:bCs/>
          <w:sz w:val="22"/>
          <w:szCs w:val="22"/>
          <w:lang w:eastAsia="en-US"/>
        </w:rPr>
        <w:t xml:space="preserve"> </w:t>
      </w:r>
      <w:r w:rsidRPr="00814055">
        <w:rPr>
          <w:rFonts w:ascii="Palatino Linotype" w:eastAsia="Calibri" w:hAnsi="Palatino Linotype" w:cs="Tahoma"/>
          <w:b/>
          <w:bCs/>
          <w:sz w:val="22"/>
          <w:szCs w:val="22"/>
          <w:lang w:eastAsia="en-US"/>
        </w:rPr>
        <w:t xml:space="preserve">QUINTO </w:t>
      </w:r>
      <w:r w:rsidRPr="00A42979">
        <w:rPr>
          <w:rFonts w:ascii="Palatino Linotype" w:eastAsia="Calibri" w:hAnsi="Palatino Linotype" w:cs="Tahoma"/>
          <w:b/>
          <w:bCs/>
          <w:sz w:val="22"/>
          <w:szCs w:val="22"/>
          <w:lang w:eastAsia="en-US"/>
        </w:rPr>
        <w:t xml:space="preserve">y </w:t>
      </w:r>
      <w:r w:rsidR="008F2E92">
        <w:rPr>
          <w:rFonts w:ascii="Palatino Linotype" w:eastAsia="Calibri" w:hAnsi="Palatino Linotype" w:cs="Tahoma"/>
          <w:b/>
          <w:bCs/>
          <w:sz w:val="22"/>
          <w:szCs w:val="22"/>
          <w:lang w:eastAsia="en-US"/>
        </w:rPr>
        <w:t xml:space="preserve">SÉPTIMO </w:t>
      </w:r>
      <w:r w:rsidRPr="001E0D8F">
        <w:rPr>
          <w:rFonts w:ascii="Palatino Linotype" w:eastAsia="Calibri" w:hAnsi="Palatino Linotype" w:cs="Tahoma"/>
          <w:bCs/>
          <w:sz w:val="22"/>
          <w:szCs w:val="22"/>
          <w:lang w:eastAsia="en-US"/>
        </w:rPr>
        <w:t xml:space="preserve">de la presente </w:t>
      </w:r>
      <w:r>
        <w:rPr>
          <w:rFonts w:ascii="Palatino Linotype" w:eastAsia="Calibri" w:hAnsi="Palatino Linotype" w:cs="Tahoma"/>
          <w:bCs/>
          <w:sz w:val="22"/>
          <w:szCs w:val="22"/>
          <w:lang w:eastAsia="en-US"/>
        </w:rPr>
        <w:t>R</w:t>
      </w:r>
      <w:r w:rsidRPr="001E0D8F">
        <w:rPr>
          <w:rFonts w:ascii="Palatino Linotype" w:eastAsia="Calibri" w:hAnsi="Palatino Linotype" w:cs="Tahoma"/>
          <w:bCs/>
          <w:sz w:val="22"/>
          <w:szCs w:val="22"/>
          <w:lang w:eastAsia="en-US"/>
        </w:rPr>
        <w:t>esolución.</w:t>
      </w:r>
    </w:p>
    <w:p w:rsidR="008A1041" w:rsidRDefault="008A1041" w:rsidP="00073528">
      <w:pPr>
        <w:spacing w:line="360" w:lineRule="auto"/>
        <w:jc w:val="both"/>
        <w:rPr>
          <w:rFonts w:ascii="Palatino Linotype" w:hAnsi="Palatino Linotype" w:cs="Tahoma"/>
          <w:b/>
          <w:bCs/>
          <w:sz w:val="22"/>
          <w:szCs w:val="22"/>
        </w:rPr>
      </w:pPr>
    </w:p>
    <w:p w:rsidR="008F2E92" w:rsidRDefault="008A1041" w:rsidP="008F2E92">
      <w:pPr>
        <w:spacing w:line="360" w:lineRule="auto"/>
        <w:ind w:right="-93"/>
        <w:jc w:val="both"/>
        <w:rPr>
          <w:rFonts w:ascii="Palatino Linotype" w:eastAsia="Calibri" w:hAnsi="Palatino Linotype" w:cs="Tahoma"/>
          <w:iCs/>
          <w:sz w:val="22"/>
          <w:szCs w:val="22"/>
          <w:lang w:eastAsia="es-ES_tradnl"/>
        </w:rPr>
      </w:pPr>
      <w:r w:rsidRPr="00264223">
        <w:rPr>
          <w:rFonts w:ascii="Palatino Linotype" w:eastAsia="Calibri" w:hAnsi="Palatino Linotype" w:cs="Tahoma"/>
          <w:b/>
          <w:bCs/>
          <w:sz w:val="22"/>
          <w:szCs w:val="22"/>
          <w:lang w:eastAsia="en-US"/>
        </w:rPr>
        <w:t>SEGUNDO.</w:t>
      </w:r>
      <w:r w:rsidRPr="00264223">
        <w:rPr>
          <w:rFonts w:ascii="Palatino Linotype" w:eastAsia="Calibri" w:hAnsi="Palatino Linotype" w:cs="Tahoma"/>
          <w:sz w:val="22"/>
          <w:szCs w:val="22"/>
          <w:lang w:eastAsia="es-MX"/>
        </w:rPr>
        <w:t xml:space="preserve">  Se </w:t>
      </w:r>
      <w:r w:rsidRPr="00264223">
        <w:rPr>
          <w:rFonts w:ascii="Palatino Linotype" w:eastAsia="Calibri" w:hAnsi="Palatino Linotype" w:cs="Tahoma"/>
          <w:b/>
          <w:sz w:val="22"/>
          <w:szCs w:val="22"/>
          <w:lang w:eastAsia="es-MX"/>
        </w:rPr>
        <w:t xml:space="preserve">ORDENA </w:t>
      </w:r>
      <w:r w:rsidRPr="00264223">
        <w:rPr>
          <w:rFonts w:ascii="Palatino Linotype" w:eastAsia="Calibri" w:hAnsi="Palatino Linotype" w:cs="Tahoma"/>
          <w:sz w:val="22"/>
          <w:szCs w:val="22"/>
          <w:lang w:eastAsia="es-MX"/>
        </w:rPr>
        <w:t xml:space="preserve">al </w:t>
      </w:r>
      <w:r w:rsidR="001A15FF">
        <w:rPr>
          <w:rFonts w:ascii="Palatino Linotype" w:eastAsia="Calibri" w:hAnsi="Palatino Linotype" w:cs="Tahoma"/>
          <w:sz w:val="22"/>
          <w:szCs w:val="22"/>
          <w:lang w:eastAsia="es-MX"/>
        </w:rPr>
        <w:t>Sujeto Obligado</w:t>
      </w:r>
      <w:r w:rsidRPr="00264223">
        <w:rPr>
          <w:rFonts w:ascii="Palatino Linotype" w:eastAsia="Calibri" w:hAnsi="Palatino Linotype" w:cs="Tahoma"/>
          <w:sz w:val="22"/>
          <w:szCs w:val="22"/>
          <w:lang w:eastAsia="es-MX"/>
        </w:rPr>
        <w:t xml:space="preserve">, </w:t>
      </w:r>
      <w:r w:rsidRPr="00994396">
        <w:rPr>
          <w:rFonts w:ascii="Palatino Linotype" w:hAnsi="Palatino Linotype" w:cs="Tahoma"/>
          <w:sz w:val="22"/>
        </w:rPr>
        <w:t>a efecto de que,</w:t>
      </w:r>
      <w:r>
        <w:rPr>
          <w:rFonts w:ascii="Palatino Linotype" w:hAnsi="Palatino Linotype" w:cs="Tahoma"/>
          <w:sz w:val="22"/>
        </w:rPr>
        <w:t xml:space="preserve"> proporcione </w:t>
      </w:r>
      <w:r w:rsidRPr="004533D6">
        <w:rPr>
          <w:rFonts w:ascii="Palatino Linotype" w:hAnsi="Palatino Linotype" w:cs="Tahoma"/>
          <w:sz w:val="22"/>
        </w:rPr>
        <w:t xml:space="preserve">a través del </w:t>
      </w:r>
      <w:r w:rsidRPr="004533D6">
        <w:rPr>
          <w:rFonts w:ascii="Palatino Linotype" w:hAnsi="Palatino Linotype" w:cs="Tahoma"/>
          <w:sz w:val="22"/>
          <w:lang w:val="es-ES"/>
        </w:rPr>
        <w:t>Sistema de Acceso a la Información Mexiquense (SAIMEX</w:t>
      </w:r>
      <w:r w:rsidRPr="0008525E">
        <w:rPr>
          <w:rFonts w:ascii="Palatino Linotype" w:hAnsi="Palatino Linotype" w:cs="Tahoma"/>
          <w:sz w:val="22"/>
          <w:lang w:val="es-ES"/>
        </w:rPr>
        <w:t>)</w:t>
      </w:r>
      <w:r w:rsidRPr="0008525E">
        <w:rPr>
          <w:rFonts w:ascii="Palatino Linotype" w:eastAsia="Calibri" w:hAnsi="Palatino Linotype" w:cs="Tahoma"/>
          <w:bCs/>
          <w:sz w:val="22"/>
          <w:szCs w:val="22"/>
          <w:lang w:eastAsia="en-US"/>
        </w:rPr>
        <w:t xml:space="preserve">, </w:t>
      </w:r>
      <w:r>
        <w:rPr>
          <w:rFonts w:ascii="Palatino Linotype" w:eastAsia="Calibri" w:hAnsi="Palatino Linotype" w:cs="Tahoma"/>
          <w:iCs/>
          <w:sz w:val="22"/>
          <w:szCs w:val="22"/>
          <w:lang w:eastAsia="es-ES_tradnl"/>
        </w:rPr>
        <w:t>de ser procedente en versión pública</w:t>
      </w:r>
      <w:r w:rsidR="00E962B6">
        <w:rPr>
          <w:rFonts w:ascii="Palatino Linotype" w:eastAsia="Calibri" w:hAnsi="Palatino Linotype" w:cs="Tahoma"/>
          <w:iCs/>
          <w:sz w:val="22"/>
          <w:szCs w:val="22"/>
          <w:lang w:eastAsia="es-ES_tradnl"/>
        </w:rPr>
        <w:t xml:space="preserve"> </w:t>
      </w:r>
      <w:r w:rsidR="008F2E92">
        <w:rPr>
          <w:rFonts w:ascii="Palatino Linotype" w:eastAsia="Calibri" w:hAnsi="Palatino Linotype" w:cs="Tahoma"/>
          <w:iCs/>
          <w:sz w:val="22"/>
          <w:szCs w:val="22"/>
          <w:lang w:eastAsia="es-ES_tradnl"/>
        </w:rPr>
        <w:t xml:space="preserve">los documentos donde conste el contenido de los discos uno, dos, tres y cuatro de los meses de enero a mayo de dos mil diecinueve, remitidos al </w:t>
      </w:r>
      <w:r w:rsidR="008F2E92">
        <w:rPr>
          <w:rFonts w:ascii="Palatino Linotype" w:eastAsia="Calibri" w:hAnsi="Palatino Linotype" w:cs="Tahoma"/>
          <w:bCs/>
          <w:sz w:val="22"/>
          <w:szCs w:val="22"/>
          <w:lang w:eastAsia="en-US"/>
        </w:rPr>
        <w:t>Órgano Superior de Fiscalización del Estado de México (</w:t>
      </w:r>
      <w:r w:rsidR="008F2E92" w:rsidRPr="008E5047">
        <w:rPr>
          <w:rFonts w:ascii="Palatino Linotype" w:eastAsia="Calibri" w:hAnsi="Palatino Linotype" w:cs="Tahoma"/>
          <w:bCs/>
          <w:sz w:val="22"/>
          <w:szCs w:val="22"/>
          <w:lang w:eastAsia="en-US"/>
        </w:rPr>
        <w:t>OSFEM</w:t>
      </w:r>
      <w:r w:rsidR="008F2E92">
        <w:rPr>
          <w:rFonts w:ascii="Palatino Linotype" w:eastAsia="Calibri" w:hAnsi="Palatino Linotype" w:cs="Tahoma"/>
          <w:bCs/>
          <w:sz w:val="22"/>
          <w:szCs w:val="22"/>
          <w:lang w:eastAsia="en-US"/>
        </w:rPr>
        <w:t>).</w:t>
      </w:r>
    </w:p>
    <w:p w:rsidR="00950C97" w:rsidRDefault="00950C97" w:rsidP="00950C97">
      <w:pPr>
        <w:spacing w:line="360" w:lineRule="auto"/>
        <w:ind w:right="-93"/>
        <w:jc w:val="both"/>
        <w:rPr>
          <w:rFonts w:ascii="Palatino Linotype" w:hAnsi="Palatino Linotype" w:cs="Tahoma"/>
          <w:bCs/>
          <w:sz w:val="22"/>
          <w:szCs w:val="22"/>
        </w:rPr>
      </w:pPr>
    </w:p>
    <w:p w:rsidR="008F2E92" w:rsidRPr="00331629" w:rsidRDefault="008F2E92" w:rsidP="008F2E92">
      <w:pPr>
        <w:tabs>
          <w:tab w:val="left" w:pos="4962"/>
        </w:tabs>
        <w:spacing w:line="360" w:lineRule="auto"/>
        <w:jc w:val="both"/>
        <w:rPr>
          <w:rFonts w:ascii="Palatino Linotype" w:eastAsia="Calibri" w:hAnsi="Palatino Linotype" w:cs="Tahoma"/>
          <w:iCs/>
          <w:sz w:val="22"/>
          <w:szCs w:val="22"/>
          <w:lang w:val="es-ES" w:eastAsia="es-ES_tradnl"/>
        </w:rPr>
      </w:pPr>
      <w:r w:rsidRPr="00331629">
        <w:rPr>
          <w:rFonts w:ascii="Palatino Linotype" w:eastAsia="Calibri" w:hAnsi="Palatino Linotype" w:cs="Tahoma"/>
          <w:iCs/>
          <w:sz w:val="22"/>
          <w:szCs w:val="22"/>
          <w:lang w:val="es-ES" w:eastAsia="es-ES_tradnl"/>
        </w:rPr>
        <w:t xml:space="preserve">De ser necesaria la versión pública de los documentos por contener </w:t>
      </w:r>
      <w:r w:rsidR="00C02BC9">
        <w:rPr>
          <w:rFonts w:ascii="Palatino Linotype" w:eastAsia="Calibri" w:hAnsi="Palatino Linotype" w:cs="Tahoma"/>
          <w:iCs/>
          <w:sz w:val="22"/>
          <w:szCs w:val="22"/>
          <w:lang w:val="es-ES" w:eastAsia="es-ES_tradnl"/>
        </w:rPr>
        <w:t>información clasificada</w:t>
      </w:r>
      <w:r w:rsidRPr="00331629">
        <w:rPr>
          <w:rFonts w:ascii="Palatino Linotype" w:eastAsia="Calibri" w:hAnsi="Palatino Linotype" w:cs="Tahoma"/>
          <w:iCs/>
          <w:sz w:val="22"/>
          <w:szCs w:val="22"/>
          <w:lang w:val="es-ES" w:eastAsia="es-ES_tradnl"/>
        </w:rPr>
        <w:t>, se deberá emitir Acuerdo del Comité de Transparencia en el que se funde y motive la eliminación de información, de conformidad con los artículos 49, fracciones II y VIII</w:t>
      </w:r>
      <w:r w:rsidR="00C02BC9">
        <w:rPr>
          <w:rFonts w:ascii="Palatino Linotype" w:eastAsia="Calibri" w:hAnsi="Palatino Linotype" w:cs="Tahoma"/>
          <w:iCs/>
          <w:sz w:val="22"/>
          <w:szCs w:val="22"/>
          <w:lang w:val="es-ES" w:eastAsia="es-ES_tradnl"/>
        </w:rPr>
        <w:t xml:space="preserve"> y</w:t>
      </w:r>
      <w:r w:rsidRPr="00331629">
        <w:rPr>
          <w:rFonts w:ascii="Palatino Linotype" w:eastAsia="Calibri" w:hAnsi="Palatino Linotype" w:cs="Tahoma"/>
          <w:iCs/>
          <w:sz w:val="22"/>
          <w:szCs w:val="22"/>
          <w:lang w:val="es-ES" w:eastAsia="es-ES_tradnl"/>
        </w:rPr>
        <w:t xml:space="preserve"> 1</w:t>
      </w:r>
      <w:r w:rsidR="00C02BC9">
        <w:rPr>
          <w:rFonts w:ascii="Palatino Linotype" w:eastAsia="Calibri" w:hAnsi="Palatino Linotype" w:cs="Tahoma"/>
          <w:iCs/>
          <w:sz w:val="22"/>
          <w:szCs w:val="22"/>
          <w:lang w:val="es-ES" w:eastAsia="es-ES_tradnl"/>
        </w:rPr>
        <w:t>32</w:t>
      </w:r>
      <w:r w:rsidRPr="00331629">
        <w:rPr>
          <w:rFonts w:ascii="Palatino Linotype" w:eastAsia="Calibri" w:hAnsi="Palatino Linotype" w:cs="Tahoma"/>
          <w:iCs/>
          <w:sz w:val="22"/>
          <w:szCs w:val="22"/>
          <w:lang w:val="es-ES" w:eastAsia="es-ES_tradnl"/>
        </w:rPr>
        <w:t>, fracción</w:t>
      </w:r>
      <w:r w:rsidR="00C02BC9">
        <w:rPr>
          <w:rFonts w:ascii="Palatino Linotype" w:eastAsia="Calibri" w:hAnsi="Palatino Linotype" w:cs="Tahoma"/>
          <w:iCs/>
          <w:sz w:val="22"/>
          <w:szCs w:val="22"/>
          <w:lang w:val="es-ES" w:eastAsia="es-ES_tradnl"/>
        </w:rPr>
        <w:t xml:space="preserve"> </w:t>
      </w:r>
      <w:r>
        <w:rPr>
          <w:rFonts w:ascii="Palatino Linotype" w:eastAsia="Calibri" w:hAnsi="Palatino Linotype" w:cs="Tahoma"/>
          <w:iCs/>
          <w:sz w:val="22"/>
          <w:szCs w:val="22"/>
          <w:lang w:val="es-ES" w:eastAsia="es-ES_tradnl"/>
        </w:rPr>
        <w:t>II</w:t>
      </w:r>
      <w:r w:rsidR="00055C20">
        <w:rPr>
          <w:rFonts w:ascii="Palatino Linotype" w:eastAsia="Calibri" w:hAnsi="Palatino Linotype" w:cs="Tahoma"/>
          <w:iCs/>
          <w:sz w:val="22"/>
          <w:szCs w:val="22"/>
          <w:lang w:val="es-ES" w:eastAsia="es-ES_tradnl"/>
        </w:rPr>
        <w:t>,</w:t>
      </w:r>
      <w:r w:rsidR="00C02BC9">
        <w:rPr>
          <w:rFonts w:ascii="Palatino Linotype" w:eastAsia="Calibri" w:hAnsi="Palatino Linotype" w:cs="Tahoma"/>
          <w:iCs/>
          <w:sz w:val="22"/>
          <w:szCs w:val="22"/>
          <w:lang w:val="es-ES" w:eastAsia="es-ES_tradnl"/>
        </w:rPr>
        <w:t xml:space="preserve"> </w:t>
      </w:r>
      <w:r w:rsidRPr="00331629">
        <w:rPr>
          <w:rFonts w:ascii="Palatino Linotype" w:eastAsia="Calibri" w:hAnsi="Palatino Linotype" w:cs="Tahoma"/>
          <w:iCs/>
          <w:sz w:val="22"/>
          <w:szCs w:val="22"/>
          <w:lang w:val="es-ES" w:eastAsia="es-ES_tradnl"/>
        </w:rPr>
        <w:t>de la Ley de Transparencia y Acceso a la Información Pública del Estado de México y Municipios.</w:t>
      </w:r>
    </w:p>
    <w:p w:rsidR="00A41643" w:rsidRDefault="00A41643" w:rsidP="00073528">
      <w:pPr>
        <w:spacing w:line="360" w:lineRule="auto"/>
        <w:ind w:right="-93"/>
        <w:jc w:val="both"/>
        <w:rPr>
          <w:rFonts w:ascii="Palatino Linotype" w:hAnsi="Palatino Linotype" w:cs="Tahoma"/>
          <w:bCs/>
          <w:sz w:val="22"/>
          <w:szCs w:val="22"/>
        </w:rPr>
      </w:pPr>
    </w:p>
    <w:p w:rsidR="008A1041" w:rsidRPr="00AD50F9" w:rsidRDefault="008A1041" w:rsidP="00073528">
      <w:pPr>
        <w:spacing w:line="360" w:lineRule="auto"/>
        <w:jc w:val="both"/>
        <w:rPr>
          <w:rFonts w:ascii="Palatino Linotype" w:hAnsi="Palatino Linotype" w:cs="Tahoma"/>
          <w:i/>
          <w:sz w:val="22"/>
          <w:szCs w:val="22"/>
        </w:rPr>
      </w:pPr>
      <w:r w:rsidRPr="00AD50F9">
        <w:rPr>
          <w:rFonts w:ascii="Palatino Linotype" w:hAnsi="Palatino Linotype" w:cs="Tahoma"/>
          <w:b/>
          <w:sz w:val="22"/>
          <w:szCs w:val="22"/>
        </w:rPr>
        <w:t xml:space="preserve">TERCERO. NOTIFÍQUESE </w:t>
      </w:r>
      <w:r w:rsidRPr="00AD50F9">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008A1041" w:rsidRPr="00AD50F9" w:rsidRDefault="008A1041" w:rsidP="00073528">
      <w:pPr>
        <w:shd w:val="clear" w:color="auto" w:fill="FFFFFF" w:themeFill="background1"/>
        <w:spacing w:line="360" w:lineRule="auto"/>
        <w:jc w:val="both"/>
        <w:rPr>
          <w:rFonts w:ascii="Palatino Linotype" w:eastAsia="Calibri" w:hAnsi="Palatino Linotype" w:cs="Tahoma"/>
          <w:sz w:val="22"/>
          <w:szCs w:val="22"/>
          <w:lang w:eastAsia="es-MX"/>
        </w:rPr>
      </w:pPr>
    </w:p>
    <w:p w:rsidR="008A1041" w:rsidRDefault="008A1041" w:rsidP="00073528">
      <w:pPr>
        <w:shd w:val="clear" w:color="auto" w:fill="FFFFFF" w:themeFill="background1"/>
        <w:spacing w:line="360" w:lineRule="auto"/>
        <w:jc w:val="both"/>
        <w:rPr>
          <w:rFonts w:ascii="Palatino Linotype" w:hAnsi="Palatino Linotype" w:cs="Tahoma"/>
          <w:sz w:val="22"/>
          <w:szCs w:val="22"/>
        </w:rPr>
      </w:pPr>
      <w:r w:rsidRPr="00AD50F9">
        <w:rPr>
          <w:rFonts w:ascii="Palatino Linotype" w:eastAsia="Calibri" w:hAnsi="Palatino Linotype" w:cs="Tahoma"/>
          <w:b/>
          <w:sz w:val="22"/>
          <w:szCs w:val="22"/>
          <w:lang w:eastAsia="es-MX"/>
        </w:rPr>
        <w:t>CUARTO</w:t>
      </w:r>
      <w:r w:rsidRPr="00AD50F9">
        <w:rPr>
          <w:rFonts w:ascii="Palatino Linotype" w:eastAsia="Calibri" w:hAnsi="Palatino Linotype" w:cs="Tahoma"/>
          <w:b/>
          <w:bCs/>
          <w:sz w:val="22"/>
          <w:szCs w:val="22"/>
          <w:lang w:eastAsia="en-US"/>
        </w:rPr>
        <w:t xml:space="preserve">. </w:t>
      </w:r>
      <w:r w:rsidRPr="00AD50F9">
        <w:rPr>
          <w:rFonts w:ascii="Palatino Linotype" w:hAnsi="Palatino Linotype" w:cs="Tahoma"/>
          <w:b/>
          <w:sz w:val="22"/>
          <w:szCs w:val="22"/>
        </w:rPr>
        <w:t>NOTIFÍQUESE</w:t>
      </w:r>
      <w:r w:rsidRPr="00AD50F9">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8A1041" w:rsidRDefault="008A1041" w:rsidP="00073528">
      <w:pPr>
        <w:shd w:val="clear" w:color="auto" w:fill="FFFFFF" w:themeFill="background1"/>
        <w:spacing w:line="360" w:lineRule="auto"/>
        <w:jc w:val="both"/>
        <w:rPr>
          <w:rFonts w:ascii="Palatino Linotype" w:hAnsi="Palatino Linotype" w:cs="Tahoma"/>
          <w:sz w:val="22"/>
          <w:szCs w:val="22"/>
        </w:rPr>
      </w:pPr>
    </w:p>
    <w:p w:rsidR="008A1041" w:rsidRDefault="008A1041" w:rsidP="00073528">
      <w:pPr>
        <w:spacing w:line="360" w:lineRule="auto"/>
        <w:jc w:val="both"/>
        <w:rPr>
          <w:rFonts w:ascii="Palatino Linotype" w:eastAsia="Calibri" w:hAnsi="Palatino Linotype" w:cs="Tahoma"/>
          <w:bCs/>
          <w:sz w:val="22"/>
          <w:szCs w:val="22"/>
          <w:lang w:val="es-ES_tradnl" w:eastAsia="en-US"/>
        </w:rPr>
      </w:pPr>
      <w:r w:rsidRPr="00473AA4">
        <w:rPr>
          <w:rFonts w:ascii="Palatino Linotype" w:hAnsi="Palatino Linotype" w:cs="Tahoma"/>
          <w:b/>
          <w:sz w:val="22"/>
          <w:szCs w:val="22"/>
        </w:rPr>
        <w:t xml:space="preserve">QUINTO. </w:t>
      </w:r>
      <w:r w:rsidRPr="00473AA4">
        <w:rPr>
          <w:rFonts w:ascii="Palatino Linotype" w:eastAsia="Calibri" w:hAnsi="Palatino Linotype" w:cs="Tahoma"/>
          <w:bCs/>
          <w:sz w:val="22"/>
          <w:szCs w:val="22"/>
          <w:lang w:val="es-ES_tradnl" w:eastAsia="en-US"/>
        </w:rPr>
        <w:t xml:space="preserve">Con fundamento en lo dispuesto en los artículos 190 de la </w:t>
      </w:r>
      <w:r w:rsidRPr="00473AA4">
        <w:rPr>
          <w:rFonts w:ascii="Palatino Linotype" w:hAnsi="Palatino Linotype" w:cs="Tahoma"/>
          <w:sz w:val="22"/>
          <w:szCs w:val="22"/>
        </w:rPr>
        <w:t xml:space="preserve">Ley de Transparencia y Acceso a la Información Pública del Estado de México y Municipios, gírese </w:t>
      </w:r>
      <w:r w:rsidRPr="00473AA4">
        <w:rPr>
          <w:rFonts w:ascii="Palatino Linotype" w:eastAsia="Calibri" w:hAnsi="Palatino Linotype" w:cs="Tahoma"/>
          <w:bCs/>
          <w:sz w:val="22"/>
          <w:szCs w:val="22"/>
          <w:lang w:val="es-ES_tradnl" w:eastAsia="en-US"/>
        </w:rPr>
        <w:t xml:space="preserve">oficio al Contralor Interno y Titular del Órgano de Control y Vigilancia de este Instituto con la finalidad de que actúe en razón de su competencia, en términos de lo dispuesto en el Considerando </w:t>
      </w:r>
      <w:r w:rsidR="008F2E92">
        <w:rPr>
          <w:rFonts w:ascii="Palatino Linotype" w:eastAsia="Calibri" w:hAnsi="Palatino Linotype" w:cs="Tahoma"/>
          <w:b/>
          <w:bCs/>
          <w:sz w:val="22"/>
          <w:szCs w:val="22"/>
          <w:lang w:val="es-ES_tradnl" w:eastAsia="en-US"/>
        </w:rPr>
        <w:t xml:space="preserve">OCTAVO </w:t>
      </w:r>
      <w:r w:rsidRPr="00473AA4">
        <w:rPr>
          <w:rFonts w:ascii="Palatino Linotype" w:eastAsia="Calibri" w:hAnsi="Palatino Linotype" w:cs="Tahoma"/>
          <w:bCs/>
          <w:sz w:val="22"/>
          <w:szCs w:val="22"/>
          <w:lang w:val="es-ES_tradnl" w:eastAsia="en-US"/>
        </w:rPr>
        <w:t>de la presente Resolución.</w:t>
      </w:r>
    </w:p>
    <w:p w:rsidR="008A1041" w:rsidRPr="00AD50F9" w:rsidRDefault="008A1041" w:rsidP="00073528">
      <w:pPr>
        <w:spacing w:line="360" w:lineRule="auto"/>
        <w:jc w:val="center"/>
        <w:rPr>
          <w:rFonts w:ascii="Palatino Linotype" w:hAnsi="Palatino Linotype" w:cs="Tahoma"/>
          <w:b/>
          <w:bCs/>
          <w:sz w:val="22"/>
          <w:szCs w:val="22"/>
        </w:rPr>
      </w:pPr>
    </w:p>
    <w:p w:rsidR="00FB6553" w:rsidRPr="00F012DF" w:rsidRDefault="00FB6553" w:rsidP="00FB6553">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w:t>
      </w:r>
      <w:r>
        <w:rPr>
          <w:rFonts w:ascii="Palatino Linotype" w:eastAsia="Calibri" w:hAnsi="Palatino Linotype" w:cs="Tahoma"/>
          <w:bCs/>
          <w:sz w:val="22"/>
          <w:szCs w:val="22"/>
          <w:lang w:val="es-ES_tradnl" w:eastAsia="en-US"/>
        </w:rPr>
        <w:t xml:space="preserve"> EL PLENO DEL </w:t>
      </w:r>
      <w:r w:rsidRPr="00F012DF">
        <w:rPr>
          <w:rFonts w:ascii="Palatino Linotype" w:eastAsia="Calibri" w:hAnsi="Palatino Linotype" w:cs="Tahoma"/>
          <w:bCs/>
          <w:sz w:val="22"/>
          <w:szCs w:val="22"/>
          <w:lang w:val="es-ES_tradnl" w:eastAsia="en-US"/>
        </w:rPr>
        <w:t xml:space="preserve">INSTITUTO DE TRANSPARENCIA, ACCESO A LA INFORMACIÓN PÚBLICA Y PROTECCIÓN DE DATOS </w:t>
      </w:r>
      <w:r w:rsidRPr="00F012DF">
        <w:rPr>
          <w:rFonts w:ascii="Palatino Linotype" w:eastAsia="Calibri" w:hAnsi="Palatino Linotype" w:cs="Tahoma"/>
          <w:bCs/>
          <w:sz w:val="22"/>
          <w:szCs w:val="22"/>
          <w:lang w:val="es-ES_tradnl" w:eastAsia="en-US"/>
        </w:rPr>
        <w:lastRenderedPageBreak/>
        <w:t>PERSONALES DEL ESTADO DE MÉXICO Y MUNICIPIOS,</w:t>
      </w:r>
      <w:r>
        <w:rPr>
          <w:rFonts w:ascii="Palatino Linotype" w:eastAsia="Calibri" w:hAnsi="Palatino Linotype" w:cs="Tahoma"/>
          <w:bCs/>
          <w:sz w:val="22"/>
          <w:szCs w:val="22"/>
          <w:lang w:val="es-ES_tradnl" w:eastAsia="en-US"/>
        </w:rPr>
        <w:t xml:space="preserve"> CONFORMADO POR LOS COMISIONADOS</w:t>
      </w:r>
      <w:r w:rsidRPr="00F012DF">
        <w:rPr>
          <w:rFonts w:ascii="Palatino Linotype" w:eastAsia="Calibri" w:hAnsi="Palatino Linotype" w:cs="Tahoma"/>
          <w:bCs/>
          <w:sz w:val="22"/>
          <w:szCs w:val="22"/>
          <w:lang w:val="es-ES_tradnl" w:eastAsia="en-US"/>
        </w:rPr>
        <w:t xml:space="preserve"> ZULEMA MARTÍNEZ SÁNCHEZ; EVA ABAID YAPUR; JOSÉ GUADALUPE LUNA HERNÁNDEZ; JAVIER MARTÍNEZ CRUZ Y LUIS GUSTAVO PARRA NORIEGA, EN LA </w:t>
      </w:r>
      <w:r>
        <w:rPr>
          <w:rFonts w:ascii="Palatino Linotype" w:eastAsia="Calibri" w:hAnsi="Palatino Linotype" w:cs="Tahoma"/>
          <w:bCs/>
          <w:sz w:val="22"/>
          <w:szCs w:val="22"/>
          <w:lang w:val="es-ES_tradnl" w:eastAsia="en-US"/>
        </w:rPr>
        <w:t xml:space="preserve">TRIGÉSIMA SEXTA </w:t>
      </w:r>
      <w:r w:rsidRPr="00F012DF">
        <w:rPr>
          <w:rFonts w:ascii="Palatino Linotype" w:eastAsia="Calibri" w:hAnsi="Palatino Linotype" w:cs="Tahoma"/>
          <w:bCs/>
          <w:sz w:val="22"/>
          <w:szCs w:val="22"/>
          <w:lang w:val="es-ES_tradnl" w:eastAsia="en-US"/>
        </w:rPr>
        <w:t xml:space="preserve">SESIÓN ORDINARIA, CELEBRADA EL </w:t>
      </w:r>
      <w:r>
        <w:rPr>
          <w:rFonts w:ascii="Palatino Linotype" w:eastAsia="Calibri" w:hAnsi="Palatino Linotype" w:cs="Tahoma"/>
          <w:bCs/>
          <w:sz w:val="22"/>
          <w:szCs w:val="22"/>
          <w:lang w:val="es-ES_tradnl" w:eastAsia="en-US"/>
        </w:rPr>
        <w:t xml:space="preserve">DOS DE OCTUBRE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rsidR="00FB6553" w:rsidRDefault="00FB6553" w:rsidP="00FB6553">
      <w:pPr>
        <w:spacing w:line="360" w:lineRule="auto"/>
        <w:ind w:right="-93"/>
        <w:jc w:val="both"/>
        <w:rPr>
          <w:rFonts w:ascii="Palatino Linotype" w:eastAsia="Calibri" w:hAnsi="Palatino Linotype" w:cs="Tahoma"/>
          <w:bCs/>
          <w:sz w:val="22"/>
          <w:szCs w:val="22"/>
          <w:lang w:eastAsia="en-US"/>
        </w:rPr>
      </w:pPr>
    </w:p>
    <w:p w:rsidR="00FB6553" w:rsidRDefault="00FB6553" w:rsidP="00FB6553">
      <w:pPr>
        <w:spacing w:line="360" w:lineRule="auto"/>
        <w:ind w:right="-93"/>
        <w:jc w:val="both"/>
        <w:rPr>
          <w:rFonts w:ascii="Palatino Linotype" w:eastAsia="Calibri" w:hAnsi="Palatino Linotype" w:cs="Tahoma"/>
          <w:b/>
          <w:bCs/>
          <w:sz w:val="22"/>
          <w:szCs w:val="22"/>
          <w:lang w:eastAsia="en-US"/>
        </w:rPr>
      </w:pPr>
    </w:p>
    <w:p w:rsidR="00FB6553" w:rsidRDefault="00FB6553" w:rsidP="00FB6553">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1312" behindDoc="0" locked="0" layoutInCell="1" allowOverlap="1" wp14:anchorId="48ABD549" wp14:editId="03222478">
                <wp:simplePos x="0" y="0"/>
                <wp:positionH relativeFrom="margin">
                  <wp:align>center</wp:align>
                </wp:positionH>
                <wp:positionV relativeFrom="paragraph">
                  <wp:posOffset>129540</wp:posOffset>
                </wp:positionV>
                <wp:extent cx="2551430" cy="809625"/>
                <wp:effectExtent l="0" t="0" r="20320" b="2857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B6553" w:rsidRPr="00DA1AD1" w:rsidRDefault="00FB6553" w:rsidP="00FB6553">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rsidR="00FB6553" w:rsidRPr="00DA1AD1" w:rsidRDefault="00FB6553" w:rsidP="00FB6553">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rsidR="00FB6553" w:rsidRPr="00DA1AD1" w:rsidRDefault="00FB6553" w:rsidP="00FB6553">
                            <w:pPr>
                              <w:jc w:val="center"/>
                              <w:rPr>
                                <w:rFonts w:ascii="Palatino Linotype" w:hAnsi="Palatino Linotype"/>
                                <w:b/>
                                <w:sz w:val="22"/>
                                <w:szCs w:val="24"/>
                              </w:rPr>
                            </w:pPr>
                            <w:r w:rsidRPr="00DA1AD1">
                              <w:rPr>
                                <w:rFonts w:ascii="Palatino Linotype" w:hAnsi="Palatino Linotype"/>
                                <w:b/>
                                <w:sz w:val="22"/>
                                <w:szCs w:val="24"/>
                              </w:rPr>
                              <w:t>(Rúbrica)</w:t>
                            </w:r>
                          </w:p>
                          <w:p w:rsidR="00FB6553" w:rsidRPr="00016AF3" w:rsidRDefault="00FB6553" w:rsidP="00FB6553">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ABD549" id="_x0000_t202" coordsize="21600,21600" o:spt="202" path="m,l,21600r21600,l21600,xe">
                <v:stroke joinstyle="miter"/>
                <v:path gradientshapeok="t" o:connecttype="rect"/>
              </v:shapetype>
              <v:shape id="Cuadro de texto 3" o:spid="_x0000_s1026" type="#_x0000_t202" style="position:absolute;left:0;text-align:left;margin-left:0;margin-top:10.2pt;width:200.9pt;height:63.7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" fillcolor="white [3201]" strokecolor="white [3212]" strokeweight=".5pt">
                <v:path arrowok="t"/>
                <v:textbox>
                  <w:txbxContent>
                    <w:p w:rsidR="00FB6553" w:rsidRPr="00DA1AD1" w:rsidRDefault="00FB6553" w:rsidP="00FB6553">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rsidR="00FB6553" w:rsidRPr="00DA1AD1" w:rsidRDefault="00FB6553" w:rsidP="00FB6553">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rsidR="00FB6553" w:rsidRPr="00DA1AD1" w:rsidRDefault="00FB6553" w:rsidP="00FB6553">
                      <w:pPr>
                        <w:jc w:val="center"/>
                        <w:rPr>
                          <w:rFonts w:ascii="Palatino Linotype" w:hAnsi="Palatino Linotype"/>
                          <w:b/>
                          <w:sz w:val="22"/>
                          <w:szCs w:val="24"/>
                        </w:rPr>
                      </w:pPr>
                      <w:r w:rsidRPr="00DA1AD1">
                        <w:rPr>
                          <w:rFonts w:ascii="Palatino Linotype" w:hAnsi="Palatino Linotype"/>
                          <w:b/>
                          <w:sz w:val="22"/>
                          <w:szCs w:val="24"/>
                        </w:rPr>
                        <w:t>(Rúbrica)</w:t>
                      </w:r>
                    </w:p>
                    <w:p w:rsidR="00FB6553" w:rsidRPr="00016AF3" w:rsidRDefault="00FB6553" w:rsidP="00FB6553">
                      <w:pPr>
                        <w:jc w:val="center"/>
                        <w:rPr>
                          <w:rFonts w:ascii="Palatino Linotype" w:hAnsi="Palatino Linotype"/>
                          <w:b/>
                          <w:sz w:val="24"/>
                          <w:szCs w:val="24"/>
                        </w:rPr>
                      </w:pPr>
                    </w:p>
                  </w:txbxContent>
                </v:textbox>
                <w10:wrap anchorx="margin"/>
              </v:shape>
            </w:pict>
          </mc:Fallback>
        </mc:AlternateContent>
      </w:r>
    </w:p>
    <w:p w:rsidR="00FB6553" w:rsidRDefault="00FB6553" w:rsidP="00FB6553">
      <w:pPr>
        <w:spacing w:line="360" w:lineRule="auto"/>
        <w:ind w:right="-93"/>
        <w:jc w:val="both"/>
        <w:rPr>
          <w:rFonts w:ascii="Palatino Linotype" w:eastAsia="Calibri" w:hAnsi="Palatino Linotype" w:cs="Tahoma"/>
          <w:b/>
          <w:bCs/>
          <w:sz w:val="22"/>
          <w:szCs w:val="22"/>
          <w:lang w:eastAsia="en-US"/>
        </w:rPr>
      </w:pPr>
    </w:p>
    <w:p w:rsidR="00FB6553" w:rsidRDefault="00FB6553" w:rsidP="00FB6553">
      <w:pPr>
        <w:spacing w:line="360" w:lineRule="auto"/>
        <w:ind w:right="-93"/>
        <w:jc w:val="both"/>
        <w:rPr>
          <w:rFonts w:ascii="Palatino Linotype" w:eastAsia="Calibri" w:hAnsi="Palatino Linotype" w:cs="Tahoma"/>
          <w:b/>
          <w:bCs/>
          <w:sz w:val="22"/>
          <w:szCs w:val="22"/>
          <w:lang w:eastAsia="en-US"/>
        </w:rPr>
      </w:pPr>
    </w:p>
    <w:p w:rsidR="00FB6553" w:rsidRDefault="00FB6553" w:rsidP="00FB6553">
      <w:pPr>
        <w:spacing w:line="360" w:lineRule="auto"/>
        <w:ind w:right="-93"/>
        <w:jc w:val="both"/>
        <w:rPr>
          <w:rFonts w:ascii="Palatino Linotype" w:eastAsia="Calibri" w:hAnsi="Palatino Linotype" w:cs="Tahoma"/>
          <w:b/>
          <w:bCs/>
          <w:sz w:val="22"/>
          <w:szCs w:val="22"/>
          <w:lang w:eastAsia="en-US"/>
        </w:rPr>
      </w:pPr>
    </w:p>
    <w:p w:rsidR="00FB6553" w:rsidRPr="00F012DF" w:rsidRDefault="00FB6553" w:rsidP="00FB6553">
      <w:pPr>
        <w:spacing w:line="360" w:lineRule="auto"/>
        <w:ind w:right="-93"/>
        <w:jc w:val="both"/>
        <w:rPr>
          <w:rFonts w:ascii="Palatino Linotype" w:eastAsia="Calibri" w:hAnsi="Palatino Linotype" w:cs="Tahoma"/>
          <w:b/>
          <w:bCs/>
          <w:sz w:val="22"/>
          <w:szCs w:val="22"/>
          <w:lang w:eastAsia="en-US"/>
        </w:rPr>
      </w:pPr>
    </w:p>
    <w:p w:rsidR="00FB6553" w:rsidRPr="00F012DF" w:rsidRDefault="00FB6553" w:rsidP="00FB6553">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3360" behindDoc="0" locked="0" layoutInCell="1" allowOverlap="1" wp14:anchorId="4FDDC5FE" wp14:editId="0A01762C">
                <wp:simplePos x="0" y="0"/>
                <wp:positionH relativeFrom="margin">
                  <wp:posOffset>3011805</wp:posOffset>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B6553" w:rsidRPr="00DA1AD1" w:rsidRDefault="00FB6553" w:rsidP="00FB6553">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rsidR="00FB6553" w:rsidRPr="00DA1AD1" w:rsidRDefault="00FB6553" w:rsidP="00FB6553">
                            <w:pPr>
                              <w:jc w:val="center"/>
                              <w:rPr>
                                <w:rFonts w:ascii="Palatino Linotype" w:hAnsi="Palatino Linotype" w:cs="Tahoma"/>
                                <w:sz w:val="22"/>
                                <w:szCs w:val="24"/>
                              </w:rPr>
                            </w:pPr>
                            <w:r w:rsidRPr="00DA1AD1">
                              <w:rPr>
                                <w:rFonts w:ascii="Palatino Linotype" w:hAnsi="Palatino Linotype" w:cs="Tahoma"/>
                                <w:sz w:val="22"/>
                                <w:szCs w:val="24"/>
                              </w:rPr>
                              <w:t>Comisionado</w:t>
                            </w:r>
                          </w:p>
                          <w:p w:rsidR="00FB6553" w:rsidRPr="00DA1AD1" w:rsidRDefault="00FB6553" w:rsidP="00FB6553">
                            <w:pPr>
                              <w:jc w:val="center"/>
                              <w:rPr>
                                <w:rFonts w:ascii="Palatino Linotype" w:hAnsi="Palatino Linotype"/>
                                <w:b/>
                                <w:sz w:val="22"/>
                                <w:szCs w:val="24"/>
                              </w:rPr>
                            </w:pPr>
                            <w:r w:rsidRPr="00DA1AD1">
                              <w:rPr>
                                <w:rFonts w:ascii="Palatino Linotype" w:hAnsi="Palatino Linotype"/>
                                <w:b/>
                                <w:sz w:val="22"/>
                                <w:szCs w:val="24"/>
                              </w:rPr>
                              <w:t>(Rúbrica)</w:t>
                            </w:r>
                          </w:p>
                          <w:p w:rsidR="00FB6553" w:rsidRPr="00DA1AD1" w:rsidRDefault="00FB6553" w:rsidP="00FB6553">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DC5FE" id="Cuadro de texto 35" o:spid="_x0000_s1027" type="#_x0000_t202" style="position:absolute;left:0;text-align:left;margin-left:237.15pt;margin-top:.75pt;width:220.5pt;height:61.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N/nQIAANs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" fillcolor="white [3201]" strokecolor="white [3212]" strokeweight=".5pt">
                <v:path arrowok="t"/>
                <v:textbox>
                  <w:txbxContent>
                    <w:p w:rsidR="00FB6553" w:rsidRPr="00DA1AD1" w:rsidRDefault="00FB6553" w:rsidP="00FB6553">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rsidR="00FB6553" w:rsidRPr="00DA1AD1" w:rsidRDefault="00FB6553" w:rsidP="00FB6553">
                      <w:pPr>
                        <w:jc w:val="center"/>
                        <w:rPr>
                          <w:rFonts w:ascii="Palatino Linotype" w:hAnsi="Palatino Linotype" w:cs="Tahoma"/>
                          <w:sz w:val="22"/>
                          <w:szCs w:val="24"/>
                        </w:rPr>
                      </w:pPr>
                      <w:r w:rsidRPr="00DA1AD1">
                        <w:rPr>
                          <w:rFonts w:ascii="Palatino Linotype" w:hAnsi="Palatino Linotype" w:cs="Tahoma"/>
                          <w:sz w:val="22"/>
                          <w:szCs w:val="24"/>
                        </w:rPr>
                        <w:t>Comisionado</w:t>
                      </w:r>
                    </w:p>
                    <w:p w:rsidR="00FB6553" w:rsidRPr="00DA1AD1" w:rsidRDefault="00FB6553" w:rsidP="00FB6553">
                      <w:pPr>
                        <w:jc w:val="center"/>
                        <w:rPr>
                          <w:rFonts w:ascii="Palatino Linotype" w:hAnsi="Palatino Linotype"/>
                          <w:b/>
                          <w:sz w:val="22"/>
                          <w:szCs w:val="24"/>
                        </w:rPr>
                      </w:pPr>
                      <w:r w:rsidRPr="00DA1AD1">
                        <w:rPr>
                          <w:rFonts w:ascii="Palatino Linotype" w:hAnsi="Palatino Linotype"/>
                          <w:b/>
                          <w:sz w:val="22"/>
                          <w:szCs w:val="24"/>
                        </w:rPr>
                        <w:t>(Rúbrica)</w:t>
                      </w:r>
                    </w:p>
                    <w:p w:rsidR="00FB6553" w:rsidRPr="00DA1AD1" w:rsidRDefault="00FB6553" w:rsidP="00FB6553">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2336" behindDoc="0" locked="0" layoutInCell="1" allowOverlap="1" wp14:anchorId="751F38BE" wp14:editId="49D0CB28">
                <wp:simplePos x="0" y="0"/>
                <wp:positionH relativeFrom="margin">
                  <wp:align>left</wp:align>
                </wp:positionH>
                <wp:positionV relativeFrom="paragraph">
                  <wp:posOffset>12328</wp:posOffset>
                </wp:positionV>
                <wp:extent cx="1943100" cy="752475"/>
                <wp:effectExtent l="0" t="0" r="19050" b="28575"/>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B6553" w:rsidRPr="00DA1AD1" w:rsidRDefault="00FB6553" w:rsidP="00FB6553">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rsidR="00FB6553" w:rsidRPr="00DA1AD1" w:rsidRDefault="00FB6553" w:rsidP="00FB6553">
                            <w:pPr>
                              <w:jc w:val="center"/>
                              <w:rPr>
                                <w:rFonts w:ascii="Palatino Linotype" w:hAnsi="Palatino Linotype" w:cs="Tahoma"/>
                                <w:sz w:val="22"/>
                                <w:szCs w:val="24"/>
                              </w:rPr>
                            </w:pPr>
                            <w:r w:rsidRPr="00DA1AD1">
                              <w:rPr>
                                <w:rFonts w:ascii="Palatino Linotype" w:hAnsi="Palatino Linotype" w:cs="Tahoma"/>
                                <w:sz w:val="22"/>
                                <w:szCs w:val="24"/>
                              </w:rPr>
                              <w:t>Comisionada</w:t>
                            </w:r>
                          </w:p>
                          <w:p w:rsidR="00FB6553" w:rsidRPr="00DA1AD1" w:rsidRDefault="00FB6553" w:rsidP="00FB6553">
                            <w:pPr>
                              <w:jc w:val="center"/>
                              <w:rPr>
                                <w:rFonts w:ascii="Palatino Linotype" w:hAnsi="Palatino Linotype"/>
                                <w:b/>
                                <w:sz w:val="22"/>
                                <w:szCs w:val="24"/>
                              </w:rPr>
                            </w:pPr>
                            <w:r w:rsidRPr="00DA1AD1">
                              <w:rPr>
                                <w:rFonts w:ascii="Palatino Linotype" w:hAnsi="Palatino Linotype"/>
                                <w:b/>
                                <w:sz w:val="22"/>
                                <w:szCs w:val="24"/>
                              </w:rPr>
                              <w:t>(Rúbrica)</w:t>
                            </w:r>
                          </w:p>
                          <w:p w:rsidR="00FB6553" w:rsidRPr="00DA1AD1" w:rsidRDefault="00FB6553" w:rsidP="00FB6553">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38BE" id="Cuadro de texto 13" o:spid="_x0000_s1028" type="#_x0000_t202" style="position:absolute;left:0;text-align:left;margin-left:0;margin-top:.95pt;width:153pt;height:59.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" fillcolor="white [3201]" strokecolor="white [3212]" strokeweight=".5pt">
                <v:path arrowok="t"/>
                <v:textbox>
                  <w:txbxContent>
                    <w:p w:rsidR="00FB6553" w:rsidRPr="00DA1AD1" w:rsidRDefault="00FB6553" w:rsidP="00FB6553">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rsidR="00FB6553" w:rsidRPr="00DA1AD1" w:rsidRDefault="00FB6553" w:rsidP="00FB6553">
                      <w:pPr>
                        <w:jc w:val="center"/>
                        <w:rPr>
                          <w:rFonts w:ascii="Palatino Linotype" w:hAnsi="Palatino Linotype" w:cs="Tahoma"/>
                          <w:sz w:val="22"/>
                          <w:szCs w:val="24"/>
                        </w:rPr>
                      </w:pPr>
                      <w:r w:rsidRPr="00DA1AD1">
                        <w:rPr>
                          <w:rFonts w:ascii="Palatino Linotype" w:hAnsi="Palatino Linotype" w:cs="Tahoma"/>
                          <w:sz w:val="22"/>
                          <w:szCs w:val="24"/>
                        </w:rPr>
                        <w:t>Comisionada</w:t>
                      </w:r>
                    </w:p>
                    <w:p w:rsidR="00FB6553" w:rsidRPr="00DA1AD1" w:rsidRDefault="00FB6553" w:rsidP="00FB6553">
                      <w:pPr>
                        <w:jc w:val="center"/>
                        <w:rPr>
                          <w:rFonts w:ascii="Palatino Linotype" w:hAnsi="Palatino Linotype"/>
                          <w:b/>
                          <w:sz w:val="22"/>
                          <w:szCs w:val="24"/>
                        </w:rPr>
                      </w:pPr>
                      <w:r w:rsidRPr="00DA1AD1">
                        <w:rPr>
                          <w:rFonts w:ascii="Palatino Linotype" w:hAnsi="Palatino Linotype"/>
                          <w:b/>
                          <w:sz w:val="22"/>
                          <w:szCs w:val="24"/>
                        </w:rPr>
                        <w:t>(Rúbrica)</w:t>
                      </w:r>
                    </w:p>
                    <w:p w:rsidR="00FB6553" w:rsidRPr="00DA1AD1" w:rsidRDefault="00FB6553" w:rsidP="00FB6553">
                      <w:pPr>
                        <w:jc w:val="center"/>
                        <w:rPr>
                          <w:sz w:val="18"/>
                        </w:rPr>
                      </w:pPr>
                    </w:p>
                  </w:txbxContent>
                </v:textbox>
                <w10:wrap anchorx="margin"/>
              </v:shape>
            </w:pict>
          </mc:Fallback>
        </mc:AlternateContent>
      </w:r>
    </w:p>
    <w:p w:rsidR="00FB6553" w:rsidRPr="00F012DF" w:rsidRDefault="00FB6553" w:rsidP="00FB6553">
      <w:pPr>
        <w:spacing w:line="360" w:lineRule="auto"/>
        <w:ind w:right="-93"/>
        <w:jc w:val="both"/>
        <w:rPr>
          <w:rFonts w:ascii="Palatino Linotype" w:eastAsia="Calibri" w:hAnsi="Palatino Linotype" w:cs="Tahoma"/>
          <w:b/>
          <w:bCs/>
          <w:sz w:val="22"/>
          <w:szCs w:val="22"/>
          <w:lang w:eastAsia="en-US"/>
        </w:rPr>
      </w:pPr>
    </w:p>
    <w:p w:rsidR="00FB6553" w:rsidRPr="00F012DF" w:rsidRDefault="00FB6553" w:rsidP="00FB6553">
      <w:pPr>
        <w:spacing w:line="360" w:lineRule="auto"/>
        <w:ind w:right="-93"/>
        <w:jc w:val="both"/>
        <w:rPr>
          <w:rFonts w:ascii="Palatino Linotype" w:eastAsia="Calibri" w:hAnsi="Palatino Linotype" w:cs="Tahoma"/>
          <w:b/>
          <w:bCs/>
          <w:sz w:val="22"/>
          <w:szCs w:val="22"/>
          <w:lang w:eastAsia="en-US"/>
        </w:rPr>
      </w:pPr>
    </w:p>
    <w:p w:rsidR="00FB6553" w:rsidRDefault="00FB6553" w:rsidP="00FB6553">
      <w:pPr>
        <w:spacing w:line="360" w:lineRule="auto"/>
        <w:ind w:right="-93"/>
        <w:jc w:val="both"/>
        <w:rPr>
          <w:rFonts w:ascii="Palatino Linotype" w:eastAsia="Calibri" w:hAnsi="Palatino Linotype" w:cs="Tahoma"/>
          <w:b/>
          <w:bCs/>
          <w:sz w:val="22"/>
          <w:szCs w:val="22"/>
          <w:lang w:eastAsia="en-US"/>
        </w:rPr>
      </w:pPr>
    </w:p>
    <w:p w:rsidR="00FB6553" w:rsidRPr="00F012DF" w:rsidRDefault="00FB6553" w:rsidP="00FB6553">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6432" behindDoc="0" locked="0" layoutInCell="1" allowOverlap="1" wp14:anchorId="6A0E9A5D" wp14:editId="4D44E403">
                <wp:simplePos x="0" y="0"/>
                <wp:positionH relativeFrom="margin">
                  <wp:align>right</wp:align>
                </wp:positionH>
                <wp:positionV relativeFrom="paragraph">
                  <wp:posOffset>5080</wp:posOffset>
                </wp:positionV>
                <wp:extent cx="2276475" cy="724618"/>
                <wp:effectExtent l="0" t="0" r="28575" b="18415"/>
                <wp:wrapNone/>
                <wp:docPr id="14"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B6553" w:rsidRPr="00DA1AD1" w:rsidRDefault="00FB6553" w:rsidP="00FB6553">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rsidR="00FB6553" w:rsidRPr="00DA1AD1" w:rsidRDefault="00FB6553" w:rsidP="00FB6553">
                            <w:pPr>
                              <w:jc w:val="center"/>
                              <w:rPr>
                                <w:rFonts w:ascii="Palatino Linotype" w:hAnsi="Palatino Linotype" w:cs="Tahoma"/>
                                <w:sz w:val="22"/>
                                <w:szCs w:val="24"/>
                              </w:rPr>
                            </w:pPr>
                            <w:r w:rsidRPr="00DA1AD1">
                              <w:rPr>
                                <w:rFonts w:ascii="Palatino Linotype" w:hAnsi="Palatino Linotype" w:cs="Tahoma"/>
                                <w:sz w:val="22"/>
                                <w:szCs w:val="24"/>
                              </w:rPr>
                              <w:t>Comisionado</w:t>
                            </w:r>
                          </w:p>
                          <w:p w:rsidR="00FB6553" w:rsidRPr="00DA1AD1" w:rsidRDefault="00FB6553" w:rsidP="00FB6553">
                            <w:pPr>
                              <w:jc w:val="center"/>
                              <w:rPr>
                                <w:rFonts w:ascii="Palatino Linotype" w:hAnsi="Palatino Linotype"/>
                                <w:b/>
                                <w:sz w:val="18"/>
                              </w:rPr>
                            </w:pPr>
                            <w:r w:rsidRPr="00DA1AD1">
                              <w:rPr>
                                <w:rFonts w:ascii="Palatino Linotype" w:hAnsi="Palatino Linotype"/>
                                <w:b/>
                                <w:sz w:val="22"/>
                                <w:szCs w:val="24"/>
                              </w:rPr>
                              <w:t>(Rúbrica)</w:t>
                            </w:r>
                          </w:p>
                          <w:p w:rsidR="00FB6553" w:rsidRDefault="00FB6553" w:rsidP="00FB65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E9A5D" id="Cuadro de texto 9" o:spid="_x0000_s1029" type="#_x0000_t202" style="position:absolute;left:0;text-align:left;margin-left:128.05pt;margin-top:.4pt;width:179.25pt;height:57.0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SEcoQIAANo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BnYSEcoQIAANoFAAAOAAAAAAAAAAAAAAAAAC4CAABkcnMv&#10;ZTJvRG9jLnhtbFBLAQItABQABgAIAAAAIQBKKZtS2gAAAAUBAAAPAAAAAAAAAAAAAAAAAPsEAABk&#10;cnMvZG93bnJldi54bWxQSwUGAAAAAAQABADzAAAAAgYAAAAA&#10;" fillcolor="white [3201]" strokecolor="white [3212]" strokeweight=".5pt">
                <v:path arrowok="t"/>
                <v:textbox>
                  <w:txbxContent>
                    <w:p w:rsidR="00FB6553" w:rsidRPr="00DA1AD1" w:rsidRDefault="00FB6553" w:rsidP="00FB6553">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rsidR="00FB6553" w:rsidRPr="00DA1AD1" w:rsidRDefault="00FB6553" w:rsidP="00FB6553">
                      <w:pPr>
                        <w:jc w:val="center"/>
                        <w:rPr>
                          <w:rFonts w:ascii="Palatino Linotype" w:hAnsi="Palatino Linotype" w:cs="Tahoma"/>
                          <w:sz w:val="22"/>
                          <w:szCs w:val="24"/>
                        </w:rPr>
                      </w:pPr>
                      <w:r w:rsidRPr="00DA1AD1">
                        <w:rPr>
                          <w:rFonts w:ascii="Palatino Linotype" w:hAnsi="Palatino Linotype" w:cs="Tahoma"/>
                          <w:sz w:val="22"/>
                          <w:szCs w:val="24"/>
                        </w:rPr>
                        <w:t>Comisionado</w:t>
                      </w:r>
                    </w:p>
                    <w:p w:rsidR="00FB6553" w:rsidRPr="00DA1AD1" w:rsidRDefault="00FB6553" w:rsidP="00FB6553">
                      <w:pPr>
                        <w:jc w:val="center"/>
                        <w:rPr>
                          <w:rFonts w:ascii="Palatino Linotype" w:hAnsi="Palatino Linotype"/>
                          <w:b/>
                          <w:sz w:val="18"/>
                        </w:rPr>
                      </w:pPr>
                      <w:r w:rsidRPr="00DA1AD1">
                        <w:rPr>
                          <w:rFonts w:ascii="Palatino Linotype" w:hAnsi="Palatino Linotype"/>
                          <w:b/>
                          <w:sz w:val="22"/>
                          <w:szCs w:val="24"/>
                        </w:rPr>
                        <w:t>(Rúbrica)</w:t>
                      </w:r>
                    </w:p>
                    <w:p w:rsidR="00FB6553" w:rsidRDefault="00FB6553" w:rsidP="00FB6553"/>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5408" behindDoc="0" locked="0" layoutInCell="1" allowOverlap="1" wp14:anchorId="66EC1517" wp14:editId="09F1F092">
                <wp:simplePos x="0" y="0"/>
                <wp:positionH relativeFrom="margin">
                  <wp:align>left</wp:align>
                </wp:positionH>
                <wp:positionV relativeFrom="paragraph">
                  <wp:posOffset>8890</wp:posOffset>
                </wp:positionV>
                <wp:extent cx="2133600" cy="681486"/>
                <wp:effectExtent l="0" t="0" r="19050" b="2349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B6553" w:rsidRPr="00DA1AD1" w:rsidRDefault="00FB6553" w:rsidP="00FB6553">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rsidR="00FB6553" w:rsidRPr="00DA1AD1" w:rsidRDefault="00FB6553" w:rsidP="00FB6553">
                            <w:pPr>
                              <w:jc w:val="center"/>
                              <w:rPr>
                                <w:rFonts w:ascii="Palatino Linotype" w:hAnsi="Palatino Linotype" w:cs="Tahoma"/>
                                <w:sz w:val="22"/>
                                <w:szCs w:val="24"/>
                              </w:rPr>
                            </w:pPr>
                            <w:r w:rsidRPr="00DA1AD1">
                              <w:rPr>
                                <w:rFonts w:ascii="Palatino Linotype" w:hAnsi="Palatino Linotype" w:cs="Tahoma"/>
                                <w:sz w:val="22"/>
                                <w:szCs w:val="24"/>
                              </w:rPr>
                              <w:t>Comisionado</w:t>
                            </w:r>
                          </w:p>
                          <w:p w:rsidR="00FB6553" w:rsidRPr="00DA1AD1" w:rsidRDefault="00FB6553" w:rsidP="00FB6553">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C1517" id="Cuadro de texto 8" o:spid="_x0000_s1030" type="#_x0000_t202" style="position:absolute;left:0;text-align:left;margin-left:0;margin-top:.7pt;width:168pt;height:53.6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BTDB4toAIAANoFAAAOAAAAAAAAAAAAAAAAAC4CAABkcnMvZTJv&#10;RG9jLnhtbFBLAQItABQABgAIAAAAIQCyy/MP2AAAAAYBAAAPAAAAAAAAAAAAAAAAAPoEAABkcnMv&#10;ZG93bnJldi54bWxQSwUGAAAAAAQABADzAAAA/wUAAAAA&#10;" fillcolor="white [3201]" strokecolor="white [3212]" strokeweight=".5pt">
                <v:path arrowok="t"/>
                <v:textbox>
                  <w:txbxContent>
                    <w:p w:rsidR="00FB6553" w:rsidRPr="00DA1AD1" w:rsidRDefault="00FB6553" w:rsidP="00FB6553">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rsidR="00FB6553" w:rsidRPr="00DA1AD1" w:rsidRDefault="00FB6553" w:rsidP="00FB6553">
                      <w:pPr>
                        <w:jc w:val="center"/>
                        <w:rPr>
                          <w:rFonts w:ascii="Palatino Linotype" w:hAnsi="Palatino Linotype" w:cs="Tahoma"/>
                          <w:sz w:val="22"/>
                          <w:szCs w:val="24"/>
                        </w:rPr>
                      </w:pPr>
                      <w:r w:rsidRPr="00DA1AD1">
                        <w:rPr>
                          <w:rFonts w:ascii="Palatino Linotype" w:hAnsi="Palatino Linotype" w:cs="Tahoma"/>
                          <w:sz w:val="22"/>
                          <w:szCs w:val="24"/>
                        </w:rPr>
                        <w:t>Comisionado</w:t>
                      </w:r>
                    </w:p>
                    <w:p w:rsidR="00FB6553" w:rsidRPr="00DA1AD1" w:rsidRDefault="00FB6553" w:rsidP="00FB6553">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rsidR="00FB6553" w:rsidRPr="00F012DF" w:rsidRDefault="00FB6553" w:rsidP="00FB6553">
      <w:pPr>
        <w:spacing w:line="360" w:lineRule="auto"/>
        <w:ind w:right="-93"/>
        <w:jc w:val="both"/>
        <w:rPr>
          <w:rFonts w:ascii="Palatino Linotype" w:eastAsia="Calibri" w:hAnsi="Palatino Linotype" w:cs="Tahoma"/>
          <w:bCs/>
          <w:sz w:val="22"/>
          <w:szCs w:val="22"/>
          <w:lang w:eastAsia="en-US"/>
        </w:rPr>
      </w:pPr>
    </w:p>
    <w:p w:rsidR="00FB6553" w:rsidRDefault="00FB6553" w:rsidP="00FB6553">
      <w:pPr>
        <w:spacing w:line="360" w:lineRule="auto"/>
        <w:ind w:right="-93"/>
        <w:jc w:val="both"/>
        <w:rPr>
          <w:rFonts w:ascii="Palatino Linotype" w:eastAsia="Calibri" w:hAnsi="Palatino Linotype" w:cs="Tahoma"/>
          <w:bCs/>
          <w:sz w:val="22"/>
          <w:szCs w:val="22"/>
          <w:lang w:eastAsia="en-US"/>
        </w:rPr>
      </w:pPr>
    </w:p>
    <w:p w:rsidR="00FB6553" w:rsidRDefault="00FB6553" w:rsidP="00FB6553">
      <w:pPr>
        <w:spacing w:line="360" w:lineRule="auto"/>
        <w:ind w:right="-93"/>
        <w:jc w:val="both"/>
        <w:rPr>
          <w:rFonts w:ascii="Palatino Linotype" w:eastAsia="Calibri" w:hAnsi="Palatino Linotype" w:cs="Tahoma"/>
          <w:bCs/>
          <w:sz w:val="22"/>
          <w:szCs w:val="22"/>
          <w:lang w:eastAsia="en-US"/>
        </w:rPr>
      </w:pPr>
    </w:p>
    <w:p w:rsidR="00FB6553" w:rsidRDefault="00FB6553" w:rsidP="00FB6553">
      <w:pPr>
        <w:spacing w:line="360" w:lineRule="auto"/>
        <w:ind w:right="-93"/>
        <w:jc w:val="both"/>
        <w:rPr>
          <w:rFonts w:ascii="Palatino Linotype" w:eastAsia="Calibri" w:hAnsi="Palatino Linotype" w:cs="Tahoma"/>
          <w:bCs/>
          <w:sz w:val="22"/>
          <w:szCs w:val="22"/>
          <w:lang w:eastAsia="en-US"/>
        </w:rPr>
      </w:pPr>
    </w:p>
    <w:p w:rsidR="00FB6553" w:rsidRDefault="00FB6553" w:rsidP="00FB6553">
      <w:pPr>
        <w:spacing w:line="360" w:lineRule="auto"/>
        <w:ind w:right="-93"/>
        <w:jc w:val="both"/>
        <w:rPr>
          <w:rFonts w:ascii="Palatino Linotype" w:eastAsia="Calibri" w:hAnsi="Palatino Linotype" w:cs="Tahoma"/>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4384" behindDoc="0" locked="0" layoutInCell="1" allowOverlap="1" wp14:anchorId="21A6C305" wp14:editId="15945037">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B6553" w:rsidRPr="00DA1AD1" w:rsidRDefault="00FB6553" w:rsidP="00FB6553">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rsidR="00FB6553" w:rsidRPr="00DA1AD1" w:rsidRDefault="00FB6553" w:rsidP="00FB6553">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rsidR="00FB6553" w:rsidRDefault="00FB6553" w:rsidP="00FB6553">
                            <w:pPr>
                              <w:jc w:val="center"/>
                              <w:rPr>
                                <w:rFonts w:ascii="Palatino Linotype" w:hAnsi="Palatino Linotype"/>
                                <w:b/>
                                <w:sz w:val="22"/>
                                <w:szCs w:val="24"/>
                              </w:rPr>
                            </w:pPr>
                            <w:r w:rsidRPr="00DA1AD1">
                              <w:rPr>
                                <w:rFonts w:ascii="Palatino Linotype" w:hAnsi="Palatino Linotype"/>
                                <w:b/>
                                <w:sz w:val="22"/>
                                <w:szCs w:val="24"/>
                              </w:rPr>
                              <w:t>(Rúbrica)</w:t>
                            </w:r>
                          </w:p>
                          <w:p w:rsidR="00FB6553" w:rsidRDefault="00FB6553" w:rsidP="00FB6553">
                            <w:pPr>
                              <w:jc w:val="center"/>
                              <w:rPr>
                                <w:rFonts w:ascii="Palatino Linotype" w:hAnsi="Palatino Linotype"/>
                                <w:b/>
                                <w:sz w:val="22"/>
                                <w:szCs w:val="24"/>
                              </w:rPr>
                            </w:pPr>
                          </w:p>
                          <w:p w:rsidR="00FB6553" w:rsidRPr="00DA1AD1" w:rsidRDefault="00FB6553" w:rsidP="00FB6553">
                            <w:pPr>
                              <w:jc w:val="center"/>
                              <w:rPr>
                                <w:rFonts w:ascii="Palatino Linotype" w:hAnsi="Palatino Linotype"/>
                                <w:b/>
                                <w:sz w:val="22"/>
                                <w:szCs w:val="24"/>
                              </w:rPr>
                            </w:pPr>
                          </w:p>
                          <w:p w:rsidR="00FB6553" w:rsidRPr="00DA1AD1" w:rsidRDefault="00FB6553" w:rsidP="00FB6553">
                            <w:pPr>
                              <w:jc w:val="center"/>
                              <w:rPr>
                                <w:rFonts w:ascii="Palatino Linotype" w:hAnsi="Palatino Linotype"/>
                                <w:sz w:val="22"/>
                                <w:szCs w:val="24"/>
                              </w:rPr>
                            </w:pPr>
                          </w:p>
                          <w:p w:rsidR="00FB6553" w:rsidRPr="00EF2FC0" w:rsidRDefault="00FB6553" w:rsidP="00FB6553">
                            <w:pPr>
                              <w:jc w:val="center"/>
                              <w:rPr>
                                <w:rFonts w:ascii="Palatino Linotype" w:hAnsi="Palatino Linotype"/>
                                <w:sz w:val="24"/>
                                <w:szCs w:val="24"/>
                              </w:rPr>
                            </w:pPr>
                          </w:p>
                          <w:p w:rsidR="00FB6553" w:rsidRDefault="00FB6553" w:rsidP="00FB65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6C305" id="Cuadro de texto 24" o:spid="_x0000_s1031" type="#_x0000_t202" style="position:absolute;left:0;text-align:left;margin-left:180.7pt;margin-top:.8pt;width:248.25pt;height:55.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SWoQIAANs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smNt2o&#10;66w1FAdsLAtpQp3h1yUWecmcv2MWRxJbBteMv8VDKsAiQXujZAv291v/Ax4nBaWU1DjiOXW/dswK&#10;StR3jTP0pT8chp0QH8PRZIAPeypZn0r0rloAdk4fF5rh8RrwXnVXaaF6wG00D15RxDRH3zn13XXh&#10;0+LBbcbFfB5BuAUM80u9Mrybp9DC980Ds6bt8zCFN9AtAzZ91e4JG+qjYb7zIMs4C4HnxGrLP26Q&#10;OE3ttgsr6vQdUc87efYE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LtXVJahAgAA2wUAAA4AAAAAAAAAAAAAAAAALgIAAGRy&#10;cy9lMm9Eb2MueG1sUEsBAi0AFAAGAAgAAAAhAFQfC/PcAAAACQEAAA8AAAAAAAAAAAAAAAAA+wQA&#10;AGRycy9kb3ducmV2LnhtbFBLBQYAAAAABAAEAPMAAAAEBgAAAAA=&#10;" fillcolor="white [3201]" strokecolor="white [3212]" strokeweight=".5pt">
                <v:path arrowok="t"/>
                <v:textbox>
                  <w:txbxContent>
                    <w:p w:rsidR="00FB6553" w:rsidRPr="00DA1AD1" w:rsidRDefault="00FB6553" w:rsidP="00FB6553">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rsidR="00FB6553" w:rsidRPr="00DA1AD1" w:rsidRDefault="00FB6553" w:rsidP="00FB6553">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rsidR="00FB6553" w:rsidRDefault="00FB6553" w:rsidP="00FB6553">
                      <w:pPr>
                        <w:jc w:val="center"/>
                        <w:rPr>
                          <w:rFonts w:ascii="Palatino Linotype" w:hAnsi="Palatino Linotype"/>
                          <w:b/>
                          <w:sz w:val="22"/>
                          <w:szCs w:val="24"/>
                        </w:rPr>
                      </w:pPr>
                      <w:r w:rsidRPr="00DA1AD1">
                        <w:rPr>
                          <w:rFonts w:ascii="Palatino Linotype" w:hAnsi="Palatino Linotype"/>
                          <w:b/>
                          <w:sz w:val="22"/>
                          <w:szCs w:val="24"/>
                        </w:rPr>
                        <w:t>(Rúbrica)</w:t>
                      </w:r>
                    </w:p>
                    <w:p w:rsidR="00FB6553" w:rsidRDefault="00FB6553" w:rsidP="00FB6553">
                      <w:pPr>
                        <w:jc w:val="center"/>
                        <w:rPr>
                          <w:rFonts w:ascii="Palatino Linotype" w:hAnsi="Palatino Linotype"/>
                          <w:b/>
                          <w:sz w:val="22"/>
                          <w:szCs w:val="24"/>
                        </w:rPr>
                      </w:pPr>
                    </w:p>
                    <w:p w:rsidR="00FB6553" w:rsidRPr="00DA1AD1" w:rsidRDefault="00FB6553" w:rsidP="00FB6553">
                      <w:pPr>
                        <w:jc w:val="center"/>
                        <w:rPr>
                          <w:rFonts w:ascii="Palatino Linotype" w:hAnsi="Palatino Linotype"/>
                          <w:b/>
                          <w:sz w:val="22"/>
                          <w:szCs w:val="24"/>
                        </w:rPr>
                      </w:pPr>
                    </w:p>
                    <w:p w:rsidR="00FB6553" w:rsidRPr="00DA1AD1" w:rsidRDefault="00FB6553" w:rsidP="00FB6553">
                      <w:pPr>
                        <w:jc w:val="center"/>
                        <w:rPr>
                          <w:rFonts w:ascii="Palatino Linotype" w:hAnsi="Palatino Linotype"/>
                          <w:sz w:val="22"/>
                          <w:szCs w:val="24"/>
                        </w:rPr>
                      </w:pPr>
                    </w:p>
                    <w:p w:rsidR="00FB6553" w:rsidRPr="00EF2FC0" w:rsidRDefault="00FB6553" w:rsidP="00FB6553">
                      <w:pPr>
                        <w:jc w:val="center"/>
                        <w:rPr>
                          <w:rFonts w:ascii="Palatino Linotype" w:hAnsi="Palatino Linotype"/>
                          <w:sz w:val="24"/>
                          <w:szCs w:val="24"/>
                        </w:rPr>
                      </w:pPr>
                    </w:p>
                    <w:p w:rsidR="00FB6553" w:rsidRDefault="00FB6553" w:rsidP="00FB6553"/>
                  </w:txbxContent>
                </v:textbox>
                <w10:wrap anchorx="page"/>
              </v:shape>
            </w:pict>
          </mc:Fallback>
        </mc:AlternateContent>
      </w:r>
    </w:p>
    <w:p w:rsidR="00FB6553" w:rsidRDefault="00FB6553" w:rsidP="00073528">
      <w:pPr>
        <w:spacing w:line="360" w:lineRule="auto"/>
        <w:jc w:val="both"/>
        <w:rPr>
          <w:rFonts w:ascii="Palatino Linotype" w:eastAsia="Calibri" w:hAnsi="Palatino Linotype" w:cs="Tahoma"/>
          <w:sz w:val="22"/>
          <w:lang w:eastAsia="en-US"/>
        </w:rPr>
      </w:pPr>
    </w:p>
    <w:p w:rsidR="00FB6553" w:rsidRDefault="00FB6553" w:rsidP="00073528">
      <w:pPr>
        <w:spacing w:line="360" w:lineRule="auto"/>
        <w:jc w:val="both"/>
        <w:rPr>
          <w:rFonts w:ascii="Palatino Linotype" w:eastAsia="Calibri" w:hAnsi="Palatino Linotype" w:cs="Tahoma"/>
          <w:sz w:val="22"/>
          <w:lang w:eastAsia="en-US"/>
        </w:rPr>
      </w:pPr>
    </w:p>
    <w:p w:rsidR="00DA25CF" w:rsidRPr="004A2ED9" w:rsidRDefault="005A7A4E" w:rsidP="00073528">
      <w:pPr>
        <w:spacing w:line="360" w:lineRule="auto"/>
        <w:jc w:val="both"/>
        <w:rPr>
          <w:rFonts w:ascii="Palatino Linotype" w:hAnsi="Palatino Linotype" w:cs="Tahoma"/>
          <w:sz w:val="22"/>
          <w:szCs w:val="22"/>
        </w:rPr>
      </w:pPr>
      <w:r w:rsidRPr="004A2ED9">
        <w:rPr>
          <w:rFonts w:ascii="Palatino Linotype" w:eastAsia="Calibri" w:hAnsi="Palatino Linotype" w:cs="Tahoma"/>
          <w:sz w:val="22"/>
          <w:lang w:eastAsia="en-US"/>
        </w:rPr>
        <w:t>E</w:t>
      </w:r>
      <w:r w:rsidR="00DA25CF" w:rsidRPr="004A2ED9">
        <w:rPr>
          <w:rFonts w:ascii="Palatino Linotype" w:eastAsia="Calibri" w:hAnsi="Palatino Linotype" w:cs="Tahoma"/>
          <w:sz w:val="22"/>
          <w:lang w:eastAsia="en-US"/>
        </w:rPr>
        <w:t xml:space="preserve">sta foja corresponde a la </w:t>
      </w:r>
      <w:r w:rsidR="00FB6553">
        <w:rPr>
          <w:rFonts w:ascii="Palatino Linotype" w:eastAsia="Calibri" w:hAnsi="Palatino Linotype" w:cs="Tahoma"/>
          <w:sz w:val="22"/>
          <w:lang w:eastAsia="en-US"/>
        </w:rPr>
        <w:t>r</w:t>
      </w:r>
      <w:r w:rsidR="00E20118" w:rsidRPr="004A2ED9">
        <w:rPr>
          <w:rFonts w:ascii="Palatino Linotype" w:eastAsia="Calibri" w:hAnsi="Palatino Linotype" w:cs="Tahoma"/>
          <w:sz w:val="22"/>
          <w:lang w:eastAsia="en-US"/>
        </w:rPr>
        <w:t xml:space="preserve">esolución </w:t>
      </w:r>
      <w:r w:rsidR="00890C75">
        <w:rPr>
          <w:rFonts w:ascii="Palatino Linotype" w:eastAsia="Calibri" w:hAnsi="Palatino Linotype" w:cs="Tahoma"/>
          <w:sz w:val="22"/>
          <w:lang w:eastAsia="en-US"/>
        </w:rPr>
        <w:t>de</w:t>
      </w:r>
      <w:r w:rsidR="00DA25CF" w:rsidRPr="004A2ED9">
        <w:rPr>
          <w:rFonts w:ascii="Palatino Linotype" w:eastAsia="Calibri" w:hAnsi="Palatino Linotype" w:cs="Tahoma"/>
          <w:sz w:val="22"/>
          <w:lang w:eastAsia="en-US"/>
        </w:rPr>
        <w:t xml:space="preserve"> fecha </w:t>
      </w:r>
      <w:r w:rsidR="00AD7CC0">
        <w:rPr>
          <w:rFonts w:ascii="Palatino Linotype" w:eastAsia="Calibri" w:hAnsi="Palatino Linotype" w:cs="Tahoma"/>
          <w:sz w:val="22"/>
          <w:lang w:eastAsia="en-US"/>
        </w:rPr>
        <w:t xml:space="preserve">dos de octubre </w:t>
      </w:r>
      <w:r w:rsidR="00DA25CF" w:rsidRPr="004A2ED9">
        <w:rPr>
          <w:rFonts w:ascii="Palatino Linotype" w:eastAsia="Calibri" w:hAnsi="Palatino Linotype" w:cs="Tahoma"/>
          <w:sz w:val="22"/>
          <w:lang w:eastAsia="en-US"/>
        </w:rPr>
        <w:t xml:space="preserve">de dos mil diecinueve, emitida en el Recurso de Revisión número </w:t>
      </w:r>
      <w:bookmarkStart w:id="0" w:name="_GoBack"/>
      <w:r w:rsidR="00DA25CF" w:rsidRPr="004A2ED9">
        <w:rPr>
          <w:rFonts w:ascii="Palatino Linotype" w:eastAsia="Calibri" w:hAnsi="Palatino Linotype" w:cs="Tahoma"/>
          <w:sz w:val="22"/>
          <w:lang w:eastAsia="en-US"/>
        </w:rPr>
        <w:t>0</w:t>
      </w:r>
      <w:r w:rsidR="00AD7CC0">
        <w:rPr>
          <w:rFonts w:ascii="Palatino Linotype" w:eastAsia="Calibri" w:hAnsi="Palatino Linotype" w:cs="Tahoma"/>
          <w:sz w:val="22"/>
          <w:lang w:eastAsia="en-US"/>
        </w:rPr>
        <w:t>6286</w:t>
      </w:r>
      <w:r w:rsidR="004D4C78" w:rsidRPr="004A2ED9">
        <w:rPr>
          <w:rFonts w:ascii="Palatino Linotype" w:eastAsia="Calibri" w:hAnsi="Palatino Linotype" w:cs="Tahoma"/>
          <w:sz w:val="22"/>
          <w:lang w:eastAsia="en-US"/>
        </w:rPr>
        <w:t>/INFOEM/IP/RR/2019</w:t>
      </w:r>
      <w:bookmarkEnd w:id="0"/>
      <w:r w:rsidR="004D4C78" w:rsidRPr="004A2ED9">
        <w:rPr>
          <w:rFonts w:ascii="Palatino Linotype" w:eastAsia="Calibri" w:hAnsi="Palatino Linotype" w:cs="Tahoma"/>
          <w:sz w:val="22"/>
          <w:lang w:eastAsia="en-US"/>
        </w:rPr>
        <w:t>.</w:t>
      </w:r>
    </w:p>
    <w:sectPr w:rsidR="00DA25CF" w:rsidRPr="004A2ED9" w:rsidSect="00DB7E5F">
      <w:headerReference w:type="default" r:id="rId18"/>
      <w:footerReference w:type="default" r:id="rId19"/>
      <w:headerReference w:type="first" r:id="rId20"/>
      <w:footerReference w:type="first" r:id="rId21"/>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2C55" w:rsidRDefault="00F92C55" w:rsidP="00B31222">
      <w:r>
        <w:separator/>
      </w:r>
    </w:p>
  </w:endnote>
  <w:endnote w:type="continuationSeparator" w:id="0">
    <w:p w:rsidR="00F92C55" w:rsidRDefault="00F92C55"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altName w:val="Garamond"/>
    <w:panose1 w:val="020204040303010108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rsidR="009273DB" w:rsidRDefault="009273D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65F92">
              <w:rPr>
                <w:b/>
                <w:bCs/>
                <w:noProof/>
              </w:rPr>
              <w:t>39</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65F92">
              <w:rPr>
                <w:b/>
                <w:bCs/>
                <w:noProof/>
              </w:rPr>
              <w:t>39</w:t>
            </w:r>
            <w:r>
              <w:rPr>
                <w:b/>
                <w:bCs/>
                <w:sz w:val="24"/>
                <w:szCs w:val="24"/>
              </w:rPr>
              <w:fldChar w:fldCharType="end"/>
            </w:r>
          </w:p>
        </w:sdtContent>
      </w:sdt>
    </w:sdtContent>
  </w:sdt>
  <w:p w:rsidR="009273DB" w:rsidRDefault="009273D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rsidR="009273DB" w:rsidRDefault="009273D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65F92">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65F92">
              <w:rPr>
                <w:b/>
                <w:bCs/>
                <w:noProof/>
              </w:rPr>
              <w:t>39</w:t>
            </w:r>
            <w:r>
              <w:rPr>
                <w:b/>
                <w:bCs/>
                <w:sz w:val="24"/>
                <w:szCs w:val="24"/>
              </w:rPr>
              <w:fldChar w:fldCharType="end"/>
            </w:r>
          </w:p>
        </w:sdtContent>
      </w:sdt>
    </w:sdtContent>
  </w:sdt>
  <w:p w:rsidR="009273DB" w:rsidRDefault="009273D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2C55" w:rsidRDefault="00F92C55" w:rsidP="00B31222">
      <w:r>
        <w:separator/>
      </w:r>
    </w:p>
  </w:footnote>
  <w:footnote w:type="continuationSeparator" w:id="0">
    <w:p w:rsidR="00F92C55" w:rsidRDefault="00F92C55"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9273DB" w:rsidRPr="005C106F" w:rsidTr="00202DB8">
      <w:trPr>
        <w:trHeight w:val="1435"/>
      </w:trPr>
      <w:tc>
        <w:tcPr>
          <w:tcW w:w="2835" w:type="dxa"/>
          <w:shd w:val="clear" w:color="auto" w:fill="auto"/>
        </w:tcPr>
        <w:p w:rsidR="009273DB" w:rsidRPr="005C106F" w:rsidRDefault="009273DB" w:rsidP="00EF4A64">
          <w:pPr>
            <w:tabs>
              <w:tab w:val="right" w:pos="4273"/>
            </w:tabs>
            <w:rPr>
              <w:rFonts w:ascii="Garamond" w:eastAsia="Calibri" w:hAnsi="Garamond"/>
              <w:sz w:val="16"/>
              <w:szCs w:val="16"/>
              <w:lang w:eastAsia="en-US"/>
            </w:rPr>
          </w:pPr>
        </w:p>
      </w:tc>
      <w:tc>
        <w:tcPr>
          <w:tcW w:w="6733" w:type="dxa"/>
          <w:shd w:val="clear" w:color="auto" w:fill="auto"/>
        </w:tcPr>
        <w:p w:rsidR="009273DB" w:rsidRDefault="009273DB" w:rsidP="005743D2"/>
        <w:tbl>
          <w:tblPr>
            <w:tblStyle w:val="Tablaconcuadrcula"/>
            <w:tblW w:w="6100"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10"/>
            <w:gridCol w:w="3690"/>
          </w:tblGrid>
          <w:tr w:rsidR="009273DB" w:rsidTr="004E1A1F">
            <w:trPr>
              <w:trHeight w:val="144"/>
            </w:trPr>
            <w:tc>
              <w:tcPr>
                <w:tcW w:w="2410" w:type="dxa"/>
              </w:tcPr>
              <w:p w:rsidR="009273DB" w:rsidRPr="00026EBB" w:rsidRDefault="009273DB"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3690" w:type="dxa"/>
              </w:tcPr>
              <w:p w:rsidR="009273DB" w:rsidRPr="00026EBB" w:rsidRDefault="009273DB" w:rsidP="00313834">
                <w:pPr>
                  <w:tabs>
                    <w:tab w:val="right" w:pos="8838"/>
                  </w:tabs>
                  <w:ind w:left="-28"/>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06286</w:t>
                </w:r>
                <w:r w:rsidRPr="00026EBB">
                  <w:rPr>
                    <w:rFonts w:ascii="Palatino Linotype" w:eastAsia="Calibri" w:hAnsi="Palatino Linotype" w:cs="Tahoma"/>
                    <w:bCs/>
                    <w:sz w:val="22"/>
                    <w:szCs w:val="22"/>
                    <w:lang w:eastAsia="en-US"/>
                  </w:rPr>
                  <w:t>/INFOEM/IP/RR/201</w:t>
                </w:r>
                <w:r>
                  <w:rPr>
                    <w:rFonts w:ascii="Palatino Linotype" w:eastAsia="Calibri" w:hAnsi="Palatino Linotype" w:cs="Tahoma"/>
                    <w:bCs/>
                    <w:sz w:val="22"/>
                    <w:szCs w:val="22"/>
                    <w:lang w:eastAsia="en-US"/>
                  </w:rPr>
                  <w:t xml:space="preserve">9 </w:t>
                </w:r>
              </w:p>
            </w:tc>
          </w:tr>
          <w:tr w:rsidR="009273DB" w:rsidTr="004E1A1F">
            <w:trPr>
              <w:trHeight w:val="138"/>
            </w:trPr>
            <w:tc>
              <w:tcPr>
                <w:tcW w:w="2410" w:type="dxa"/>
              </w:tcPr>
              <w:p w:rsidR="009273DB" w:rsidRPr="00026EBB" w:rsidRDefault="009273DB" w:rsidP="00753ABF">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026EBB">
                  <w:rPr>
                    <w:rFonts w:ascii="Palatino Linotype" w:eastAsia="Calibri" w:hAnsi="Palatino Linotype" w:cs="Tahoma"/>
                    <w:b/>
                    <w:sz w:val="22"/>
                    <w:szCs w:val="22"/>
                    <w:lang w:val="es-MX" w:eastAsia="en-US"/>
                  </w:rPr>
                  <w:t>:</w:t>
                </w:r>
              </w:p>
            </w:tc>
            <w:tc>
              <w:tcPr>
                <w:tcW w:w="3690" w:type="dxa"/>
              </w:tcPr>
              <w:p w:rsidR="009273DB" w:rsidRPr="00026EBB" w:rsidRDefault="009273DB" w:rsidP="004441FE">
                <w:pPr>
                  <w:tabs>
                    <w:tab w:val="right" w:pos="8838"/>
                  </w:tabs>
                  <w:ind w:right="171"/>
                  <w:jc w:val="both"/>
                  <w:rPr>
                    <w:rFonts w:ascii="Palatino Linotype" w:eastAsia="Calibri" w:hAnsi="Palatino Linotype" w:cs="Tahoma"/>
                    <w:b/>
                    <w:sz w:val="22"/>
                    <w:szCs w:val="22"/>
                    <w:lang w:val="es-MX" w:eastAsia="en-US"/>
                  </w:rPr>
                </w:pPr>
                <w:r w:rsidRPr="00313834">
                  <w:rPr>
                    <w:rFonts w:ascii="Palatino Linotype" w:eastAsia="Calibri" w:hAnsi="Palatino Linotype" w:cs="Tahoma"/>
                    <w:sz w:val="22"/>
                    <w:szCs w:val="22"/>
                    <w:lang w:val="es-MX" w:eastAsia="en-US"/>
                  </w:rPr>
                  <w:t>Ayuntamiento de Tonanitla</w:t>
                </w:r>
              </w:p>
            </w:tc>
          </w:tr>
          <w:tr w:rsidR="009273DB" w:rsidTr="004E1A1F">
            <w:trPr>
              <w:trHeight w:val="283"/>
            </w:trPr>
            <w:tc>
              <w:tcPr>
                <w:tcW w:w="2410" w:type="dxa"/>
              </w:tcPr>
              <w:p w:rsidR="009273DB" w:rsidRPr="00026EBB" w:rsidRDefault="009273DB"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Comisionado Ponente:</w:t>
                </w:r>
              </w:p>
            </w:tc>
            <w:tc>
              <w:tcPr>
                <w:tcW w:w="3690" w:type="dxa"/>
              </w:tcPr>
              <w:p w:rsidR="009273DB" w:rsidRPr="00026EBB" w:rsidRDefault="009273DB" w:rsidP="00753ABF">
                <w:pPr>
                  <w:tabs>
                    <w:tab w:val="right" w:pos="8838"/>
                  </w:tabs>
                  <w:ind w:right="171"/>
                  <w:jc w:val="both"/>
                  <w:rPr>
                    <w:rFonts w:ascii="Palatino Linotype" w:eastAsia="Calibri" w:hAnsi="Palatino Linotype" w:cs="Tahoma"/>
                    <w:b/>
                    <w:sz w:val="22"/>
                    <w:szCs w:val="22"/>
                    <w:lang w:val="es-MX" w:eastAsia="en-US"/>
                  </w:rPr>
                </w:pPr>
                <w:r w:rsidRPr="00026EBB">
                  <w:rPr>
                    <w:rFonts w:ascii="Palatino Linotype" w:eastAsia="Calibri" w:hAnsi="Palatino Linotype" w:cs="Tahoma"/>
                    <w:sz w:val="22"/>
                    <w:szCs w:val="22"/>
                    <w:lang w:val="es-MX" w:eastAsia="en-US"/>
                  </w:rPr>
                  <w:t>Luis Gustavo Parra Noriega</w:t>
                </w:r>
              </w:p>
            </w:tc>
          </w:tr>
        </w:tbl>
        <w:p w:rsidR="009273DB" w:rsidRPr="005C106F" w:rsidRDefault="009273DB" w:rsidP="005743D2">
          <w:pPr>
            <w:tabs>
              <w:tab w:val="right" w:pos="8838"/>
            </w:tabs>
            <w:ind w:left="-28"/>
            <w:jc w:val="both"/>
            <w:rPr>
              <w:rFonts w:ascii="Arial" w:eastAsia="Calibri" w:hAnsi="Arial" w:cs="Arial"/>
              <w:b/>
              <w:sz w:val="22"/>
              <w:szCs w:val="22"/>
              <w:lang w:eastAsia="en-US"/>
            </w:rPr>
          </w:pPr>
        </w:p>
      </w:tc>
    </w:tr>
  </w:tbl>
  <w:p w:rsidR="009273DB" w:rsidRPr="00443C6B" w:rsidRDefault="009273DB"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9273DB" w:rsidRPr="005C106F" w:rsidTr="003B165A">
      <w:trPr>
        <w:trHeight w:val="1435"/>
      </w:trPr>
      <w:tc>
        <w:tcPr>
          <w:tcW w:w="2835" w:type="dxa"/>
          <w:shd w:val="clear" w:color="auto" w:fill="auto"/>
        </w:tcPr>
        <w:p w:rsidR="009273DB" w:rsidRPr="005C106F" w:rsidRDefault="009273DB" w:rsidP="00DB7E5F">
          <w:pPr>
            <w:tabs>
              <w:tab w:val="right" w:pos="4273"/>
            </w:tabs>
            <w:rPr>
              <w:rFonts w:ascii="Garamond" w:eastAsia="Calibri" w:hAnsi="Garamond"/>
              <w:sz w:val="16"/>
              <w:szCs w:val="16"/>
              <w:lang w:eastAsia="en-US"/>
            </w:rPr>
          </w:pPr>
        </w:p>
      </w:tc>
      <w:tc>
        <w:tcPr>
          <w:tcW w:w="6733" w:type="dxa"/>
          <w:shd w:val="clear" w:color="auto" w:fill="auto"/>
        </w:tcPr>
        <w:p w:rsidR="009273DB" w:rsidRPr="005C106F" w:rsidRDefault="009273DB" w:rsidP="00DB7E5F">
          <w:pPr>
            <w:tabs>
              <w:tab w:val="right" w:pos="8838"/>
            </w:tabs>
            <w:ind w:left="-28"/>
            <w:jc w:val="both"/>
            <w:rPr>
              <w:rFonts w:ascii="Arial" w:eastAsia="Calibri" w:hAnsi="Arial" w:cs="Arial"/>
              <w:b/>
              <w:sz w:val="22"/>
              <w:szCs w:val="22"/>
              <w:lang w:eastAsia="en-US"/>
            </w:rPr>
          </w:pPr>
        </w:p>
      </w:tc>
    </w:tr>
  </w:tbl>
  <w:p w:rsidR="009273DB" w:rsidRDefault="009273DB" w:rsidP="00B72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C30C446E"/>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18A3A90"/>
    <w:multiLevelType w:val="hybridMultilevel"/>
    <w:tmpl w:val="C96CF0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A22C6D"/>
    <w:multiLevelType w:val="hybridMultilevel"/>
    <w:tmpl w:val="37E01A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9041F9"/>
    <w:multiLevelType w:val="hybridMultilevel"/>
    <w:tmpl w:val="811452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5C37D8C"/>
    <w:multiLevelType w:val="hybridMultilevel"/>
    <w:tmpl w:val="1F787E9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A736E0"/>
    <w:multiLevelType w:val="hybridMultilevel"/>
    <w:tmpl w:val="EC7E32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BA60E1"/>
    <w:multiLevelType w:val="hybridMultilevel"/>
    <w:tmpl w:val="3114294E"/>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7D7352"/>
    <w:multiLevelType w:val="hybridMultilevel"/>
    <w:tmpl w:val="AC5607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56F453C"/>
    <w:multiLevelType w:val="hybridMultilevel"/>
    <w:tmpl w:val="EC7E32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5A96B14"/>
    <w:multiLevelType w:val="hybridMultilevel"/>
    <w:tmpl w:val="6408F0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D93770D"/>
    <w:multiLevelType w:val="hybridMultilevel"/>
    <w:tmpl w:val="EC7E32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2DF3360"/>
    <w:multiLevelType w:val="hybridMultilevel"/>
    <w:tmpl w:val="EC7E32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6DF2EEA"/>
    <w:multiLevelType w:val="hybridMultilevel"/>
    <w:tmpl w:val="0736FF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95E4E96"/>
    <w:multiLevelType w:val="hybridMultilevel"/>
    <w:tmpl w:val="0FC2D4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E1253DB"/>
    <w:multiLevelType w:val="hybridMultilevel"/>
    <w:tmpl w:val="EC7E32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C0D1D37"/>
    <w:multiLevelType w:val="hybridMultilevel"/>
    <w:tmpl w:val="7A98A8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E9D3D29"/>
    <w:multiLevelType w:val="hybridMultilevel"/>
    <w:tmpl w:val="6408F0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5E24028"/>
    <w:multiLevelType w:val="hybridMultilevel"/>
    <w:tmpl w:val="F05EE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D9A4291"/>
    <w:multiLevelType w:val="hybridMultilevel"/>
    <w:tmpl w:val="DDACB4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4"/>
  </w:num>
  <w:num w:numId="4">
    <w:abstractNumId w:val="4"/>
  </w:num>
  <w:num w:numId="5">
    <w:abstractNumId w:val="12"/>
  </w:num>
  <w:num w:numId="6">
    <w:abstractNumId w:val="5"/>
  </w:num>
  <w:num w:numId="7">
    <w:abstractNumId w:val="2"/>
  </w:num>
  <w:num w:numId="8">
    <w:abstractNumId w:val="24"/>
  </w:num>
  <w:num w:numId="9">
    <w:abstractNumId w:val="18"/>
  </w:num>
  <w:num w:numId="10">
    <w:abstractNumId w:val="9"/>
  </w:num>
  <w:num w:numId="11">
    <w:abstractNumId w:val="3"/>
  </w:num>
  <w:num w:numId="12">
    <w:abstractNumId w:val="11"/>
  </w:num>
  <w:num w:numId="13">
    <w:abstractNumId w:val="22"/>
  </w:num>
  <w:num w:numId="14">
    <w:abstractNumId w:val="19"/>
  </w:num>
  <w:num w:numId="15">
    <w:abstractNumId w:val="15"/>
  </w:num>
  <w:num w:numId="16">
    <w:abstractNumId w:val="8"/>
  </w:num>
  <w:num w:numId="17">
    <w:abstractNumId w:val="13"/>
  </w:num>
  <w:num w:numId="18">
    <w:abstractNumId w:val="23"/>
  </w:num>
  <w:num w:numId="19">
    <w:abstractNumId w:val="21"/>
  </w:num>
  <w:num w:numId="20">
    <w:abstractNumId w:val="16"/>
  </w:num>
  <w:num w:numId="21">
    <w:abstractNumId w:val="17"/>
  </w:num>
  <w:num w:numId="22">
    <w:abstractNumId w:val="7"/>
  </w:num>
  <w:num w:numId="23">
    <w:abstractNumId w:val="10"/>
  </w:num>
  <w:num w:numId="24">
    <w:abstractNumId w:val="6"/>
  </w:num>
  <w:num w:numId="25">
    <w:abstractNumId w:val="20"/>
  </w:num>
  <w:num w:numId="26">
    <w:abstractNumId w:val="2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6A2"/>
    <w:rsid w:val="00001C00"/>
    <w:rsid w:val="000027EB"/>
    <w:rsid w:val="000044DB"/>
    <w:rsid w:val="0000485A"/>
    <w:rsid w:val="00006543"/>
    <w:rsid w:val="00006A4C"/>
    <w:rsid w:val="0001068E"/>
    <w:rsid w:val="00013A19"/>
    <w:rsid w:val="00014465"/>
    <w:rsid w:val="00014920"/>
    <w:rsid w:val="00015DB5"/>
    <w:rsid w:val="000169F6"/>
    <w:rsid w:val="00017019"/>
    <w:rsid w:val="00020D0B"/>
    <w:rsid w:val="000212E5"/>
    <w:rsid w:val="00021C64"/>
    <w:rsid w:val="000237D8"/>
    <w:rsid w:val="000241C5"/>
    <w:rsid w:val="0002463D"/>
    <w:rsid w:val="00026A38"/>
    <w:rsid w:val="00026EBB"/>
    <w:rsid w:val="00027DBC"/>
    <w:rsid w:val="000313A7"/>
    <w:rsid w:val="00031B16"/>
    <w:rsid w:val="00032F5B"/>
    <w:rsid w:val="00034E9D"/>
    <w:rsid w:val="00035486"/>
    <w:rsid w:val="000365DC"/>
    <w:rsid w:val="000366D9"/>
    <w:rsid w:val="00036DD1"/>
    <w:rsid w:val="000373BC"/>
    <w:rsid w:val="000375E0"/>
    <w:rsid w:val="00037B34"/>
    <w:rsid w:val="00037F4B"/>
    <w:rsid w:val="0004168D"/>
    <w:rsid w:val="00043868"/>
    <w:rsid w:val="00043C4B"/>
    <w:rsid w:val="00046167"/>
    <w:rsid w:val="0004646B"/>
    <w:rsid w:val="000477E7"/>
    <w:rsid w:val="00047D67"/>
    <w:rsid w:val="000528E6"/>
    <w:rsid w:val="00055C20"/>
    <w:rsid w:val="00056128"/>
    <w:rsid w:val="00057CD5"/>
    <w:rsid w:val="0006017B"/>
    <w:rsid w:val="000632F1"/>
    <w:rsid w:val="0006419A"/>
    <w:rsid w:val="000642FD"/>
    <w:rsid w:val="0006462F"/>
    <w:rsid w:val="00065F92"/>
    <w:rsid w:val="000664DA"/>
    <w:rsid w:val="00071B38"/>
    <w:rsid w:val="00073528"/>
    <w:rsid w:val="000813B0"/>
    <w:rsid w:val="0008148B"/>
    <w:rsid w:val="0008165E"/>
    <w:rsid w:val="000829DA"/>
    <w:rsid w:val="0008330E"/>
    <w:rsid w:val="0008510A"/>
    <w:rsid w:val="00091753"/>
    <w:rsid w:val="00091E18"/>
    <w:rsid w:val="00094124"/>
    <w:rsid w:val="00097211"/>
    <w:rsid w:val="00097371"/>
    <w:rsid w:val="00097753"/>
    <w:rsid w:val="000A1813"/>
    <w:rsid w:val="000A20A4"/>
    <w:rsid w:val="000A238F"/>
    <w:rsid w:val="000A24C9"/>
    <w:rsid w:val="000A36D1"/>
    <w:rsid w:val="000A3AD8"/>
    <w:rsid w:val="000A461E"/>
    <w:rsid w:val="000A5EA8"/>
    <w:rsid w:val="000A7211"/>
    <w:rsid w:val="000B1D37"/>
    <w:rsid w:val="000B24D1"/>
    <w:rsid w:val="000B28D1"/>
    <w:rsid w:val="000B2C93"/>
    <w:rsid w:val="000B36DD"/>
    <w:rsid w:val="000B40D0"/>
    <w:rsid w:val="000B5672"/>
    <w:rsid w:val="000B5711"/>
    <w:rsid w:val="000B6020"/>
    <w:rsid w:val="000B6883"/>
    <w:rsid w:val="000B691A"/>
    <w:rsid w:val="000C0C9E"/>
    <w:rsid w:val="000C14D6"/>
    <w:rsid w:val="000C2283"/>
    <w:rsid w:val="000C251B"/>
    <w:rsid w:val="000C27CA"/>
    <w:rsid w:val="000C5940"/>
    <w:rsid w:val="000C59CB"/>
    <w:rsid w:val="000C766E"/>
    <w:rsid w:val="000D02A0"/>
    <w:rsid w:val="000D0B08"/>
    <w:rsid w:val="000D337F"/>
    <w:rsid w:val="000D5918"/>
    <w:rsid w:val="000D6EDE"/>
    <w:rsid w:val="000D6F62"/>
    <w:rsid w:val="000E06A4"/>
    <w:rsid w:val="000E0BEA"/>
    <w:rsid w:val="000E2B8A"/>
    <w:rsid w:val="000E5D77"/>
    <w:rsid w:val="000E67E4"/>
    <w:rsid w:val="000F17A9"/>
    <w:rsid w:val="000F239A"/>
    <w:rsid w:val="000F24C8"/>
    <w:rsid w:val="000F2C3D"/>
    <w:rsid w:val="000F3DA0"/>
    <w:rsid w:val="000F4876"/>
    <w:rsid w:val="000F4921"/>
    <w:rsid w:val="000F555D"/>
    <w:rsid w:val="000F5A2B"/>
    <w:rsid w:val="000F7A45"/>
    <w:rsid w:val="000F7FD8"/>
    <w:rsid w:val="00100BAC"/>
    <w:rsid w:val="001016B7"/>
    <w:rsid w:val="001017B7"/>
    <w:rsid w:val="001034C6"/>
    <w:rsid w:val="001049B0"/>
    <w:rsid w:val="00104ADB"/>
    <w:rsid w:val="00104B27"/>
    <w:rsid w:val="0010500B"/>
    <w:rsid w:val="00105220"/>
    <w:rsid w:val="001057BC"/>
    <w:rsid w:val="00107D2F"/>
    <w:rsid w:val="0011073A"/>
    <w:rsid w:val="001127E2"/>
    <w:rsid w:val="001133D5"/>
    <w:rsid w:val="00114068"/>
    <w:rsid w:val="001150E9"/>
    <w:rsid w:val="0011605E"/>
    <w:rsid w:val="001174AB"/>
    <w:rsid w:val="001178E8"/>
    <w:rsid w:val="001204F2"/>
    <w:rsid w:val="00123214"/>
    <w:rsid w:val="0012692A"/>
    <w:rsid w:val="00127757"/>
    <w:rsid w:val="00130CF3"/>
    <w:rsid w:val="00130F33"/>
    <w:rsid w:val="00132A80"/>
    <w:rsid w:val="00132F95"/>
    <w:rsid w:val="001426E4"/>
    <w:rsid w:val="0014307A"/>
    <w:rsid w:val="00143CFC"/>
    <w:rsid w:val="00144D0B"/>
    <w:rsid w:val="00145463"/>
    <w:rsid w:val="001458F4"/>
    <w:rsid w:val="00147566"/>
    <w:rsid w:val="00151053"/>
    <w:rsid w:val="001513F7"/>
    <w:rsid w:val="00151FBB"/>
    <w:rsid w:val="0015211F"/>
    <w:rsid w:val="001548BE"/>
    <w:rsid w:val="00155F96"/>
    <w:rsid w:val="00156408"/>
    <w:rsid w:val="00156940"/>
    <w:rsid w:val="00156A6B"/>
    <w:rsid w:val="00160817"/>
    <w:rsid w:val="00160AAF"/>
    <w:rsid w:val="00160AD2"/>
    <w:rsid w:val="00161DF9"/>
    <w:rsid w:val="001621D1"/>
    <w:rsid w:val="00162CCE"/>
    <w:rsid w:val="0016310B"/>
    <w:rsid w:val="00165891"/>
    <w:rsid w:val="00167281"/>
    <w:rsid w:val="00170545"/>
    <w:rsid w:val="00171ADD"/>
    <w:rsid w:val="0017332C"/>
    <w:rsid w:val="00173688"/>
    <w:rsid w:val="0017459B"/>
    <w:rsid w:val="00174DA8"/>
    <w:rsid w:val="00177355"/>
    <w:rsid w:val="001816BA"/>
    <w:rsid w:val="00182F0F"/>
    <w:rsid w:val="00183D24"/>
    <w:rsid w:val="001851A6"/>
    <w:rsid w:val="001875A7"/>
    <w:rsid w:val="001879E1"/>
    <w:rsid w:val="00191EE7"/>
    <w:rsid w:val="0019389B"/>
    <w:rsid w:val="00193B6B"/>
    <w:rsid w:val="00194582"/>
    <w:rsid w:val="00195359"/>
    <w:rsid w:val="001978D9"/>
    <w:rsid w:val="00197D20"/>
    <w:rsid w:val="001A15FF"/>
    <w:rsid w:val="001A1B94"/>
    <w:rsid w:val="001A22F5"/>
    <w:rsid w:val="001A2A03"/>
    <w:rsid w:val="001A7FD2"/>
    <w:rsid w:val="001B107D"/>
    <w:rsid w:val="001B2207"/>
    <w:rsid w:val="001B2320"/>
    <w:rsid w:val="001B2CD9"/>
    <w:rsid w:val="001B62A0"/>
    <w:rsid w:val="001C282F"/>
    <w:rsid w:val="001C3257"/>
    <w:rsid w:val="001C5506"/>
    <w:rsid w:val="001C5526"/>
    <w:rsid w:val="001C6180"/>
    <w:rsid w:val="001D0086"/>
    <w:rsid w:val="001D0094"/>
    <w:rsid w:val="001D3ABF"/>
    <w:rsid w:val="001D6A22"/>
    <w:rsid w:val="001D7012"/>
    <w:rsid w:val="001D7BD2"/>
    <w:rsid w:val="001E093D"/>
    <w:rsid w:val="001E2A4D"/>
    <w:rsid w:val="001E3BA6"/>
    <w:rsid w:val="001E53C2"/>
    <w:rsid w:val="001E61E4"/>
    <w:rsid w:val="001E67E3"/>
    <w:rsid w:val="001F0E9C"/>
    <w:rsid w:val="001F1540"/>
    <w:rsid w:val="001F652C"/>
    <w:rsid w:val="001F739F"/>
    <w:rsid w:val="001F78D9"/>
    <w:rsid w:val="00200EA6"/>
    <w:rsid w:val="00202279"/>
    <w:rsid w:val="0020247A"/>
    <w:rsid w:val="002024F1"/>
    <w:rsid w:val="00202DB8"/>
    <w:rsid w:val="00203535"/>
    <w:rsid w:val="002050A8"/>
    <w:rsid w:val="002064DA"/>
    <w:rsid w:val="00206F55"/>
    <w:rsid w:val="00207736"/>
    <w:rsid w:val="00212460"/>
    <w:rsid w:val="0021401A"/>
    <w:rsid w:val="00215D0D"/>
    <w:rsid w:val="0021653D"/>
    <w:rsid w:val="00217A1F"/>
    <w:rsid w:val="00217AEF"/>
    <w:rsid w:val="00221C27"/>
    <w:rsid w:val="00221EC9"/>
    <w:rsid w:val="00222757"/>
    <w:rsid w:val="00223E0A"/>
    <w:rsid w:val="00223ECD"/>
    <w:rsid w:val="002241A6"/>
    <w:rsid w:val="002241E8"/>
    <w:rsid w:val="00224774"/>
    <w:rsid w:val="002247B0"/>
    <w:rsid w:val="00224F7A"/>
    <w:rsid w:val="00225152"/>
    <w:rsid w:val="00226709"/>
    <w:rsid w:val="00230E81"/>
    <w:rsid w:val="00232673"/>
    <w:rsid w:val="002354A9"/>
    <w:rsid w:val="00235612"/>
    <w:rsid w:val="00236863"/>
    <w:rsid w:val="00237C1F"/>
    <w:rsid w:val="00237D0D"/>
    <w:rsid w:val="002402A9"/>
    <w:rsid w:val="00240764"/>
    <w:rsid w:val="00241163"/>
    <w:rsid w:val="0024126C"/>
    <w:rsid w:val="002433A4"/>
    <w:rsid w:val="002435DC"/>
    <w:rsid w:val="002459FB"/>
    <w:rsid w:val="00245A7B"/>
    <w:rsid w:val="00245C11"/>
    <w:rsid w:val="0024708D"/>
    <w:rsid w:val="002477F2"/>
    <w:rsid w:val="00247B17"/>
    <w:rsid w:val="00250389"/>
    <w:rsid w:val="002513F4"/>
    <w:rsid w:val="00252669"/>
    <w:rsid w:val="00254209"/>
    <w:rsid w:val="00254288"/>
    <w:rsid w:val="0025469C"/>
    <w:rsid w:val="002562B1"/>
    <w:rsid w:val="00257903"/>
    <w:rsid w:val="002579CE"/>
    <w:rsid w:val="00260FEC"/>
    <w:rsid w:val="00261DD6"/>
    <w:rsid w:val="00264223"/>
    <w:rsid w:val="002642EC"/>
    <w:rsid w:val="002657E2"/>
    <w:rsid w:val="00266513"/>
    <w:rsid w:val="002705D2"/>
    <w:rsid w:val="002727CC"/>
    <w:rsid w:val="00272EB9"/>
    <w:rsid w:val="00273679"/>
    <w:rsid w:val="002739E6"/>
    <w:rsid w:val="002743B3"/>
    <w:rsid w:val="00277D6E"/>
    <w:rsid w:val="00281A35"/>
    <w:rsid w:val="00283748"/>
    <w:rsid w:val="00283DDD"/>
    <w:rsid w:val="00283E90"/>
    <w:rsid w:val="00284486"/>
    <w:rsid w:val="00284CB1"/>
    <w:rsid w:val="00285644"/>
    <w:rsid w:val="0028581E"/>
    <w:rsid w:val="00286505"/>
    <w:rsid w:val="00290395"/>
    <w:rsid w:val="00291209"/>
    <w:rsid w:val="00293491"/>
    <w:rsid w:val="00293A8C"/>
    <w:rsid w:val="00293E0D"/>
    <w:rsid w:val="00295BA6"/>
    <w:rsid w:val="00296C5E"/>
    <w:rsid w:val="002A0FB8"/>
    <w:rsid w:val="002A3B3C"/>
    <w:rsid w:val="002A5BE5"/>
    <w:rsid w:val="002A6193"/>
    <w:rsid w:val="002A7BD4"/>
    <w:rsid w:val="002A7D0D"/>
    <w:rsid w:val="002A7F32"/>
    <w:rsid w:val="002B1DEC"/>
    <w:rsid w:val="002B20A1"/>
    <w:rsid w:val="002B226E"/>
    <w:rsid w:val="002B32CC"/>
    <w:rsid w:val="002B3619"/>
    <w:rsid w:val="002B425F"/>
    <w:rsid w:val="002B46D4"/>
    <w:rsid w:val="002B54CF"/>
    <w:rsid w:val="002B6436"/>
    <w:rsid w:val="002B6A09"/>
    <w:rsid w:val="002C030D"/>
    <w:rsid w:val="002C5695"/>
    <w:rsid w:val="002C57F8"/>
    <w:rsid w:val="002C7041"/>
    <w:rsid w:val="002D0CE8"/>
    <w:rsid w:val="002D1BE4"/>
    <w:rsid w:val="002D2209"/>
    <w:rsid w:val="002D263D"/>
    <w:rsid w:val="002D5DDD"/>
    <w:rsid w:val="002D6D44"/>
    <w:rsid w:val="002D7C33"/>
    <w:rsid w:val="002E12B1"/>
    <w:rsid w:val="002E2047"/>
    <w:rsid w:val="002E287D"/>
    <w:rsid w:val="002E5015"/>
    <w:rsid w:val="002E6811"/>
    <w:rsid w:val="002E75A1"/>
    <w:rsid w:val="002E7ACF"/>
    <w:rsid w:val="002F01CF"/>
    <w:rsid w:val="002F0CE9"/>
    <w:rsid w:val="002F199F"/>
    <w:rsid w:val="002F3BD0"/>
    <w:rsid w:val="002F5B6A"/>
    <w:rsid w:val="00300024"/>
    <w:rsid w:val="00300A0B"/>
    <w:rsid w:val="00301F46"/>
    <w:rsid w:val="0030322E"/>
    <w:rsid w:val="003039A4"/>
    <w:rsid w:val="00303CAD"/>
    <w:rsid w:val="003042C3"/>
    <w:rsid w:val="00306418"/>
    <w:rsid w:val="003070FA"/>
    <w:rsid w:val="003100F3"/>
    <w:rsid w:val="00310C11"/>
    <w:rsid w:val="00311B3D"/>
    <w:rsid w:val="003121BB"/>
    <w:rsid w:val="003130CA"/>
    <w:rsid w:val="00313834"/>
    <w:rsid w:val="00315492"/>
    <w:rsid w:val="00316600"/>
    <w:rsid w:val="003172EC"/>
    <w:rsid w:val="003201BA"/>
    <w:rsid w:val="00320AE5"/>
    <w:rsid w:val="00321439"/>
    <w:rsid w:val="0032170B"/>
    <w:rsid w:val="00321A39"/>
    <w:rsid w:val="00323325"/>
    <w:rsid w:val="003243B0"/>
    <w:rsid w:val="00324601"/>
    <w:rsid w:val="00324AB4"/>
    <w:rsid w:val="00325D31"/>
    <w:rsid w:val="00325EC0"/>
    <w:rsid w:val="00325F1D"/>
    <w:rsid w:val="00327165"/>
    <w:rsid w:val="00332C27"/>
    <w:rsid w:val="003338FA"/>
    <w:rsid w:val="00333CF5"/>
    <w:rsid w:val="003340EC"/>
    <w:rsid w:val="003350FF"/>
    <w:rsid w:val="00337BE0"/>
    <w:rsid w:val="00337DDB"/>
    <w:rsid w:val="0034057C"/>
    <w:rsid w:val="00341EED"/>
    <w:rsid w:val="00350142"/>
    <w:rsid w:val="003530F8"/>
    <w:rsid w:val="003533CE"/>
    <w:rsid w:val="00353B6D"/>
    <w:rsid w:val="00354920"/>
    <w:rsid w:val="00355DC6"/>
    <w:rsid w:val="00356EB4"/>
    <w:rsid w:val="003602B2"/>
    <w:rsid w:val="003604D7"/>
    <w:rsid w:val="00361B2F"/>
    <w:rsid w:val="0036351E"/>
    <w:rsid w:val="003635D7"/>
    <w:rsid w:val="00364521"/>
    <w:rsid w:val="00365026"/>
    <w:rsid w:val="00366DBC"/>
    <w:rsid w:val="0036792A"/>
    <w:rsid w:val="00367F82"/>
    <w:rsid w:val="0037037B"/>
    <w:rsid w:val="0037045D"/>
    <w:rsid w:val="0037141F"/>
    <w:rsid w:val="00372F7D"/>
    <w:rsid w:val="003738D2"/>
    <w:rsid w:val="003756AF"/>
    <w:rsid w:val="00375815"/>
    <w:rsid w:val="0037721E"/>
    <w:rsid w:val="00380441"/>
    <w:rsid w:val="003808CC"/>
    <w:rsid w:val="00381D7F"/>
    <w:rsid w:val="00382696"/>
    <w:rsid w:val="00382C59"/>
    <w:rsid w:val="0038438A"/>
    <w:rsid w:val="00385C6B"/>
    <w:rsid w:val="003864D2"/>
    <w:rsid w:val="00386A93"/>
    <w:rsid w:val="00390249"/>
    <w:rsid w:val="00390ABC"/>
    <w:rsid w:val="00390BF8"/>
    <w:rsid w:val="003916E4"/>
    <w:rsid w:val="00391F3D"/>
    <w:rsid w:val="00392877"/>
    <w:rsid w:val="00392C66"/>
    <w:rsid w:val="00392E12"/>
    <w:rsid w:val="00394D7E"/>
    <w:rsid w:val="003956E9"/>
    <w:rsid w:val="003965EC"/>
    <w:rsid w:val="00396BA0"/>
    <w:rsid w:val="003A0E17"/>
    <w:rsid w:val="003A0EC2"/>
    <w:rsid w:val="003A251C"/>
    <w:rsid w:val="003A357E"/>
    <w:rsid w:val="003A67E6"/>
    <w:rsid w:val="003A6E62"/>
    <w:rsid w:val="003A78B5"/>
    <w:rsid w:val="003A7BE8"/>
    <w:rsid w:val="003A7C85"/>
    <w:rsid w:val="003A7FBE"/>
    <w:rsid w:val="003B0BEE"/>
    <w:rsid w:val="003B0D09"/>
    <w:rsid w:val="003B165A"/>
    <w:rsid w:val="003B2140"/>
    <w:rsid w:val="003B35EA"/>
    <w:rsid w:val="003C2478"/>
    <w:rsid w:val="003C28B8"/>
    <w:rsid w:val="003C41BB"/>
    <w:rsid w:val="003C4CEF"/>
    <w:rsid w:val="003C6934"/>
    <w:rsid w:val="003C6EAE"/>
    <w:rsid w:val="003C7287"/>
    <w:rsid w:val="003C74F9"/>
    <w:rsid w:val="003C7BC1"/>
    <w:rsid w:val="003C7FD0"/>
    <w:rsid w:val="003D0268"/>
    <w:rsid w:val="003D1A43"/>
    <w:rsid w:val="003D1A64"/>
    <w:rsid w:val="003D5A22"/>
    <w:rsid w:val="003D6361"/>
    <w:rsid w:val="003D63C5"/>
    <w:rsid w:val="003D678E"/>
    <w:rsid w:val="003E13A6"/>
    <w:rsid w:val="003E1F86"/>
    <w:rsid w:val="003E25BF"/>
    <w:rsid w:val="003E31E5"/>
    <w:rsid w:val="003E32ED"/>
    <w:rsid w:val="003E3972"/>
    <w:rsid w:val="003E3A39"/>
    <w:rsid w:val="003E3CBF"/>
    <w:rsid w:val="003E50BB"/>
    <w:rsid w:val="003E58C9"/>
    <w:rsid w:val="003F0CAE"/>
    <w:rsid w:val="003F131E"/>
    <w:rsid w:val="003F2F91"/>
    <w:rsid w:val="003F578D"/>
    <w:rsid w:val="003F650B"/>
    <w:rsid w:val="003F67B8"/>
    <w:rsid w:val="003F6E2E"/>
    <w:rsid w:val="003F6E47"/>
    <w:rsid w:val="004004E9"/>
    <w:rsid w:val="00400FDE"/>
    <w:rsid w:val="00401BF5"/>
    <w:rsid w:val="0040227F"/>
    <w:rsid w:val="00402595"/>
    <w:rsid w:val="004042D9"/>
    <w:rsid w:val="004052C5"/>
    <w:rsid w:val="004061EB"/>
    <w:rsid w:val="004100AA"/>
    <w:rsid w:val="00411603"/>
    <w:rsid w:val="00412203"/>
    <w:rsid w:val="004130A2"/>
    <w:rsid w:val="00413F8C"/>
    <w:rsid w:val="0041563A"/>
    <w:rsid w:val="00415C2A"/>
    <w:rsid w:val="00417929"/>
    <w:rsid w:val="00417D45"/>
    <w:rsid w:val="00417DE3"/>
    <w:rsid w:val="00420B07"/>
    <w:rsid w:val="00420D57"/>
    <w:rsid w:val="00422869"/>
    <w:rsid w:val="00426448"/>
    <w:rsid w:val="0043257A"/>
    <w:rsid w:val="00436A89"/>
    <w:rsid w:val="00436FD3"/>
    <w:rsid w:val="004378BB"/>
    <w:rsid w:val="004406CF"/>
    <w:rsid w:val="00440937"/>
    <w:rsid w:val="004409B7"/>
    <w:rsid w:val="00441804"/>
    <w:rsid w:val="0044260A"/>
    <w:rsid w:val="004435B4"/>
    <w:rsid w:val="004441FE"/>
    <w:rsid w:val="0044428C"/>
    <w:rsid w:val="0045066C"/>
    <w:rsid w:val="00452AEB"/>
    <w:rsid w:val="0045394A"/>
    <w:rsid w:val="0045478C"/>
    <w:rsid w:val="00454F47"/>
    <w:rsid w:val="004553CE"/>
    <w:rsid w:val="00457537"/>
    <w:rsid w:val="0046048A"/>
    <w:rsid w:val="00460D9E"/>
    <w:rsid w:val="00461690"/>
    <w:rsid w:val="00464132"/>
    <w:rsid w:val="00465A56"/>
    <w:rsid w:val="00465AC6"/>
    <w:rsid w:val="00466104"/>
    <w:rsid w:val="00466346"/>
    <w:rsid w:val="00470619"/>
    <w:rsid w:val="0047089C"/>
    <w:rsid w:val="00470AC2"/>
    <w:rsid w:val="00472043"/>
    <w:rsid w:val="0047334E"/>
    <w:rsid w:val="0047461F"/>
    <w:rsid w:val="004750E7"/>
    <w:rsid w:val="004751D6"/>
    <w:rsid w:val="00475544"/>
    <w:rsid w:val="00476637"/>
    <w:rsid w:val="0047669B"/>
    <w:rsid w:val="00477372"/>
    <w:rsid w:val="00477DBA"/>
    <w:rsid w:val="00477E20"/>
    <w:rsid w:val="00480BB8"/>
    <w:rsid w:val="004814BD"/>
    <w:rsid w:val="00481674"/>
    <w:rsid w:val="00481D51"/>
    <w:rsid w:val="004829D3"/>
    <w:rsid w:val="00483B53"/>
    <w:rsid w:val="00484192"/>
    <w:rsid w:val="0048505E"/>
    <w:rsid w:val="0048519E"/>
    <w:rsid w:val="00485EC7"/>
    <w:rsid w:val="004860BD"/>
    <w:rsid w:val="00487430"/>
    <w:rsid w:val="00487AE9"/>
    <w:rsid w:val="00490975"/>
    <w:rsid w:val="00490B5A"/>
    <w:rsid w:val="0049120F"/>
    <w:rsid w:val="00492DCA"/>
    <w:rsid w:val="00496AAD"/>
    <w:rsid w:val="004A038C"/>
    <w:rsid w:val="004A0A7B"/>
    <w:rsid w:val="004A0BB0"/>
    <w:rsid w:val="004A1542"/>
    <w:rsid w:val="004A26CD"/>
    <w:rsid w:val="004A2ED9"/>
    <w:rsid w:val="004A3584"/>
    <w:rsid w:val="004A4D3B"/>
    <w:rsid w:val="004A5121"/>
    <w:rsid w:val="004A577A"/>
    <w:rsid w:val="004A74B3"/>
    <w:rsid w:val="004A7990"/>
    <w:rsid w:val="004B017A"/>
    <w:rsid w:val="004B0944"/>
    <w:rsid w:val="004B1796"/>
    <w:rsid w:val="004B40F3"/>
    <w:rsid w:val="004B4D49"/>
    <w:rsid w:val="004B4F49"/>
    <w:rsid w:val="004B591D"/>
    <w:rsid w:val="004B5FB6"/>
    <w:rsid w:val="004B6A23"/>
    <w:rsid w:val="004B7070"/>
    <w:rsid w:val="004B7443"/>
    <w:rsid w:val="004B7542"/>
    <w:rsid w:val="004C3363"/>
    <w:rsid w:val="004C4ACC"/>
    <w:rsid w:val="004C7E83"/>
    <w:rsid w:val="004D34F2"/>
    <w:rsid w:val="004D3E42"/>
    <w:rsid w:val="004D40B9"/>
    <w:rsid w:val="004D443F"/>
    <w:rsid w:val="004D457A"/>
    <w:rsid w:val="004D4C78"/>
    <w:rsid w:val="004D5DB3"/>
    <w:rsid w:val="004D65B7"/>
    <w:rsid w:val="004E0350"/>
    <w:rsid w:val="004E1A1F"/>
    <w:rsid w:val="004E1A57"/>
    <w:rsid w:val="004E1AD9"/>
    <w:rsid w:val="004E345F"/>
    <w:rsid w:val="004E41C7"/>
    <w:rsid w:val="004F1F98"/>
    <w:rsid w:val="004F2D88"/>
    <w:rsid w:val="004F41A2"/>
    <w:rsid w:val="004F5180"/>
    <w:rsid w:val="004F5FC5"/>
    <w:rsid w:val="00502664"/>
    <w:rsid w:val="0050449E"/>
    <w:rsid w:val="005070C3"/>
    <w:rsid w:val="005124DC"/>
    <w:rsid w:val="00514036"/>
    <w:rsid w:val="00515CEB"/>
    <w:rsid w:val="00517CF9"/>
    <w:rsid w:val="005208D3"/>
    <w:rsid w:val="00520C7F"/>
    <w:rsid w:val="00520EE4"/>
    <w:rsid w:val="0052167E"/>
    <w:rsid w:val="005220BE"/>
    <w:rsid w:val="005261E0"/>
    <w:rsid w:val="00526BBF"/>
    <w:rsid w:val="00534975"/>
    <w:rsid w:val="0053522E"/>
    <w:rsid w:val="0053782E"/>
    <w:rsid w:val="005400D1"/>
    <w:rsid w:val="00540588"/>
    <w:rsid w:val="00542D5F"/>
    <w:rsid w:val="005435DE"/>
    <w:rsid w:val="005448BD"/>
    <w:rsid w:val="00544C28"/>
    <w:rsid w:val="00546BAE"/>
    <w:rsid w:val="005472B9"/>
    <w:rsid w:val="0055001D"/>
    <w:rsid w:val="00551964"/>
    <w:rsid w:val="00552EBD"/>
    <w:rsid w:val="00553827"/>
    <w:rsid w:val="00554856"/>
    <w:rsid w:val="00554FF1"/>
    <w:rsid w:val="00555F71"/>
    <w:rsid w:val="00560241"/>
    <w:rsid w:val="005613B8"/>
    <w:rsid w:val="00562A54"/>
    <w:rsid w:val="005660FF"/>
    <w:rsid w:val="005703FD"/>
    <w:rsid w:val="00572380"/>
    <w:rsid w:val="0057338D"/>
    <w:rsid w:val="005740F6"/>
    <w:rsid w:val="005743D2"/>
    <w:rsid w:val="00575D47"/>
    <w:rsid w:val="00575DE3"/>
    <w:rsid w:val="00576ABF"/>
    <w:rsid w:val="00576C93"/>
    <w:rsid w:val="00576F74"/>
    <w:rsid w:val="005801C7"/>
    <w:rsid w:val="005802BD"/>
    <w:rsid w:val="00581E95"/>
    <w:rsid w:val="0058389F"/>
    <w:rsid w:val="00586FA8"/>
    <w:rsid w:val="00587F23"/>
    <w:rsid w:val="00591E3A"/>
    <w:rsid w:val="00593A79"/>
    <w:rsid w:val="00593CB4"/>
    <w:rsid w:val="00594BDF"/>
    <w:rsid w:val="00596493"/>
    <w:rsid w:val="005A12AD"/>
    <w:rsid w:val="005A1803"/>
    <w:rsid w:val="005A3131"/>
    <w:rsid w:val="005A4FE8"/>
    <w:rsid w:val="005A7A4E"/>
    <w:rsid w:val="005B0D7C"/>
    <w:rsid w:val="005B0E86"/>
    <w:rsid w:val="005B12BD"/>
    <w:rsid w:val="005B2BC6"/>
    <w:rsid w:val="005B2BE4"/>
    <w:rsid w:val="005B5DCF"/>
    <w:rsid w:val="005B5DEE"/>
    <w:rsid w:val="005B6854"/>
    <w:rsid w:val="005C0DBE"/>
    <w:rsid w:val="005C2BD3"/>
    <w:rsid w:val="005C4034"/>
    <w:rsid w:val="005C465F"/>
    <w:rsid w:val="005C4D52"/>
    <w:rsid w:val="005C5344"/>
    <w:rsid w:val="005C651C"/>
    <w:rsid w:val="005C6DA6"/>
    <w:rsid w:val="005C6EFF"/>
    <w:rsid w:val="005D1427"/>
    <w:rsid w:val="005D2B62"/>
    <w:rsid w:val="005D30BF"/>
    <w:rsid w:val="005D3391"/>
    <w:rsid w:val="005D49C8"/>
    <w:rsid w:val="005D4DD4"/>
    <w:rsid w:val="005D5607"/>
    <w:rsid w:val="005E1D9A"/>
    <w:rsid w:val="005E2F2D"/>
    <w:rsid w:val="005E37E9"/>
    <w:rsid w:val="005E3922"/>
    <w:rsid w:val="005E3B81"/>
    <w:rsid w:val="005E72B7"/>
    <w:rsid w:val="005F03DB"/>
    <w:rsid w:val="005F1701"/>
    <w:rsid w:val="005F5BC9"/>
    <w:rsid w:val="0060027A"/>
    <w:rsid w:val="00603A46"/>
    <w:rsid w:val="00605414"/>
    <w:rsid w:val="0061195A"/>
    <w:rsid w:val="00611A49"/>
    <w:rsid w:val="00613017"/>
    <w:rsid w:val="00613A54"/>
    <w:rsid w:val="00613D3F"/>
    <w:rsid w:val="00614839"/>
    <w:rsid w:val="006155F8"/>
    <w:rsid w:val="00615BA8"/>
    <w:rsid w:val="00616189"/>
    <w:rsid w:val="00621211"/>
    <w:rsid w:val="00621760"/>
    <w:rsid w:val="00621785"/>
    <w:rsid w:val="006217BB"/>
    <w:rsid w:val="00622F3A"/>
    <w:rsid w:val="00623A31"/>
    <w:rsid w:val="00625BD5"/>
    <w:rsid w:val="00625CAE"/>
    <w:rsid w:val="00625DFB"/>
    <w:rsid w:val="00626F66"/>
    <w:rsid w:val="00627DDC"/>
    <w:rsid w:val="00632987"/>
    <w:rsid w:val="00634777"/>
    <w:rsid w:val="00634CEB"/>
    <w:rsid w:val="00637179"/>
    <w:rsid w:val="006372F5"/>
    <w:rsid w:val="006407C9"/>
    <w:rsid w:val="00642893"/>
    <w:rsid w:val="00643776"/>
    <w:rsid w:val="00646100"/>
    <w:rsid w:val="006476CA"/>
    <w:rsid w:val="00652D6A"/>
    <w:rsid w:val="006552AE"/>
    <w:rsid w:val="00655773"/>
    <w:rsid w:val="006563CA"/>
    <w:rsid w:val="006578FC"/>
    <w:rsid w:val="006607B2"/>
    <w:rsid w:val="006608AB"/>
    <w:rsid w:val="00660DBF"/>
    <w:rsid w:val="00663E29"/>
    <w:rsid w:val="00664587"/>
    <w:rsid w:val="0066520E"/>
    <w:rsid w:val="006653BF"/>
    <w:rsid w:val="00666E62"/>
    <w:rsid w:val="00666F25"/>
    <w:rsid w:val="00667C1C"/>
    <w:rsid w:val="006716D5"/>
    <w:rsid w:val="00671885"/>
    <w:rsid w:val="00673DD4"/>
    <w:rsid w:val="00674AEB"/>
    <w:rsid w:val="006753B0"/>
    <w:rsid w:val="0068037B"/>
    <w:rsid w:val="00681656"/>
    <w:rsid w:val="00683CB5"/>
    <w:rsid w:val="0068455C"/>
    <w:rsid w:val="006851C1"/>
    <w:rsid w:val="00685328"/>
    <w:rsid w:val="006910B0"/>
    <w:rsid w:val="00691615"/>
    <w:rsid w:val="0069333E"/>
    <w:rsid w:val="00693673"/>
    <w:rsid w:val="00693C8E"/>
    <w:rsid w:val="00694A7C"/>
    <w:rsid w:val="00695210"/>
    <w:rsid w:val="00695D4F"/>
    <w:rsid w:val="006969BA"/>
    <w:rsid w:val="006A026A"/>
    <w:rsid w:val="006A0425"/>
    <w:rsid w:val="006A1D62"/>
    <w:rsid w:val="006A3EA8"/>
    <w:rsid w:val="006A507A"/>
    <w:rsid w:val="006A5829"/>
    <w:rsid w:val="006A6D7F"/>
    <w:rsid w:val="006B0298"/>
    <w:rsid w:val="006B0E83"/>
    <w:rsid w:val="006B112B"/>
    <w:rsid w:val="006B344A"/>
    <w:rsid w:val="006B3477"/>
    <w:rsid w:val="006B5493"/>
    <w:rsid w:val="006B67F1"/>
    <w:rsid w:val="006B6946"/>
    <w:rsid w:val="006C10C0"/>
    <w:rsid w:val="006C1B1D"/>
    <w:rsid w:val="006C2B1F"/>
    <w:rsid w:val="006C32BB"/>
    <w:rsid w:val="006C3747"/>
    <w:rsid w:val="006C42C3"/>
    <w:rsid w:val="006C4967"/>
    <w:rsid w:val="006C4A68"/>
    <w:rsid w:val="006C7760"/>
    <w:rsid w:val="006C7EEA"/>
    <w:rsid w:val="006D31E7"/>
    <w:rsid w:val="006D3A39"/>
    <w:rsid w:val="006D522C"/>
    <w:rsid w:val="006D56AA"/>
    <w:rsid w:val="006D7795"/>
    <w:rsid w:val="006D7ACB"/>
    <w:rsid w:val="006E00EF"/>
    <w:rsid w:val="006E1A7A"/>
    <w:rsid w:val="006E29F7"/>
    <w:rsid w:val="006E3288"/>
    <w:rsid w:val="006E7216"/>
    <w:rsid w:val="006E76AC"/>
    <w:rsid w:val="006E7EB5"/>
    <w:rsid w:val="006F01E7"/>
    <w:rsid w:val="006F0C39"/>
    <w:rsid w:val="006F1F3A"/>
    <w:rsid w:val="006F5670"/>
    <w:rsid w:val="006F76DD"/>
    <w:rsid w:val="006F7EB8"/>
    <w:rsid w:val="00702A38"/>
    <w:rsid w:val="00702DD7"/>
    <w:rsid w:val="00703B8D"/>
    <w:rsid w:val="007043BE"/>
    <w:rsid w:val="007047D3"/>
    <w:rsid w:val="007049C8"/>
    <w:rsid w:val="00705C3A"/>
    <w:rsid w:val="00705C40"/>
    <w:rsid w:val="007066E2"/>
    <w:rsid w:val="0070683A"/>
    <w:rsid w:val="007074B7"/>
    <w:rsid w:val="0071060D"/>
    <w:rsid w:val="0071087E"/>
    <w:rsid w:val="007128E9"/>
    <w:rsid w:val="0071645E"/>
    <w:rsid w:val="00716962"/>
    <w:rsid w:val="00720AB6"/>
    <w:rsid w:val="007227AC"/>
    <w:rsid w:val="007229A1"/>
    <w:rsid w:val="00722DA9"/>
    <w:rsid w:val="007235AA"/>
    <w:rsid w:val="007247FD"/>
    <w:rsid w:val="00724858"/>
    <w:rsid w:val="00730319"/>
    <w:rsid w:val="0073132C"/>
    <w:rsid w:val="007319E6"/>
    <w:rsid w:val="00732289"/>
    <w:rsid w:val="00732EAF"/>
    <w:rsid w:val="00733CF8"/>
    <w:rsid w:val="0073402E"/>
    <w:rsid w:val="00735915"/>
    <w:rsid w:val="00735C21"/>
    <w:rsid w:val="0073614A"/>
    <w:rsid w:val="00736FF2"/>
    <w:rsid w:val="00740B98"/>
    <w:rsid w:val="00740C8C"/>
    <w:rsid w:val="00741AC4"/>
    <w:rsid w:val="0074285B"/>
    <w:rsid w:val="00744E0C"/>
    <w:rsid w:val="00745D0A"/>
    <w:rsid w:val="0074721E"/>
    <w:rsid w:val="007511AE"/>
    <w:rsid w:val="007515BC"/>
    <w:rsid w:val="0075399D"/>
    <w:rsid w:val="00753ABF"/>
    <w:rsid w:val="00755EC9"/>
    <w:rsid w:val="007562FC"/>
    <w:rsid w:val="007573B2"/>
    <w:rsid w:val="007574BB"/>
    <w:rsid w:val="0075764C"/>
    <w:rsid w:val="00762198"/>
    <w:rsid w:val="00763508"/>
    <w:rsid w:val="00763CE8"/>
    <w:rsid w:val="00764E7C"/>
    <w:rsid w:val="00770792"/>
    <w:rsid w:val="00771404"/>
    <w:rsid w:val="00771963"/>
    <w:rsid w:val="007736F9"/>
    <w:rsid w:val="00774184"/>
    <w:rsid w:val="00774FFE"/>
    <w:rsid w:val="00775638"/>
    <w:rsid w:val="00775677"/>
    <w:rsid w:val="0077599A"/>
    <w:rsid w:val="00777066"/>
    <w:rsid w:val="00777108"/>
    <w:rsid w:val="00777353"/>
    <w:rsid w:val="00780CD6"/>
    <w:rsid w:val="00782EA4"/>
    <w:rsid w:val="0078322E"/>
    <w:rsid w:val="00784E56"/>
    <w:rsid w:val="00785461"/>
    <w:rsid w:val="00786FF3"/>
    <w:rsid w:val="007876CF"/>
    <w:rsid w:val="00787778"/>
    <w:rsid w:val="00793090"/>
    <w:rsid w:val="007943A2"/>
    <w:rsid w:val="00795A4C"/>
    <w:rsid w:val="00796F2A"/>
    <w:rsid w:val="007A0176"/>
    <w:rsid w:val="007A2F67"/>
    <w:rsid w:val="007A3918"/>
    <w:rsid w:val="007A3AE5"/>
    <w:rsid w:val="007A5D3E"/>
    <w:rsid w:val="007A6199"/>
    <w:rsid w:val="007B0E7E"/>
    <w:rsid w:val="007B0E89"/>
    <w:rsid w:val="007B1652"/>
    <w:rsid w:val="007B213D"/>
    <w:rsid w:val="007B2C38"/>
    <w:rsid w:val="007B2E54"/>
    <w:rsid w:val="007B31A3"/>
    <w:rsid w:val="007B3772"/>
    <w:rsid w:val="007B5620"/>
    <w:rsid w:val="007B6F5A"/>
    <w:rsid w:val="007B7498"/>
    <w:rsid w:val="007B7AEE"/>
    <w:rsid w:val="007B7DA3"/>
    <w:rsid w:val="007C1830"/>
    <w:rsid w:val="007C33EC"/>
    <w:rsid w:val="007C3800"/>
    <w:rsid w:val="007C4BDC"/>
    <w:rsid w:val="007C51C9"/>
    <w:rsid w:val="007C66F4"/>
    <w:rsid w:val="007C698B"/>
    <w:rsid w:val="007C6E6C"/>
    <w:rsid w:val="007C76D2"/>
    <w:rsid w:val="007C7EB6"/>
    <w:rsid w:val="007D1032"/>
    <w:rsid w:val="007D2689"/>
    <w:rsid w:val="007D290E"/>
    <w:rsid w:val="007D2F75"/>
    <w:rsid w:val="007D3C0E"/>
    <w:rsid w:val="007D4493"/>
    <w:rsid w:val="007D46D1"/>
    <w:rsid w:val="007D4D1B"/>
    <w:rsid w:val="007D6255"/>
    <w:rsid w:val="007D75BF"/>
    <w:rsid w:val="007E0F76"/>
    <w:rsid w:val="007E22E7"/>
    <w:rsid w:val="007E3941"/>
    <w:rsid w:val="007E3AE9"/>
    <w:rsid w:val="007E3F64"/>
    <w:rsid w:val="007E4232"/>
    <w:rsid w:val="007E69BB"/>
    <w:rsid w:val="007E6AB8"/>
    <w:rsid w:val="007F2109"/>
    <w:rsid w:val="007F21C5"/>
    <w:rsid w:val="007F3EF1"/>
    <w:rsid w:val="007F6331"/>
    <w:rsid w:val="007F6DE9"/>
    <w:rsid w:val="00800CC3"/>
    <w:rsid w:val="00801BCE"/>
    <w:rsid w:val="00802515"/>
    <w:rsid w:val="00805DD4"/>
    <w:rsid w:val="00805E96"/>
    <w:rsid w:val="0081054F"/>
    <w:rsid w:val="00812497"/>
    <w:rsid w:val="0081283F"/>
    <w:rsid w:val="00813AA1"/>
    <w:rsid w:val="0081480A"/>
    <w:rsid w:val="008162E0"/>
    <w:rsid w:val="008202EB"/>
    <w:rsid w:val="008207DD"/>
    <w:rsid w:val="00821659"/>
    <w:rsid w:val="008240D3"/>
    <w:rsid w:val="00824BC1"/>
    <w:rsid w:val="00826C09"/>
    <w:rsid w:val="0082721C"/>
    <w:rsid w:val="00827F88"/>
    <w:rsid w:val="00830401"/>
    <w:rsid w:val="0083049D"/>
    <w:rsid w:val="00830693"/>
    <w:rsid w:val="008336A5"/>
    <w:rsid w:val="00835474"/>
    <w:rsid w:val="008373C0"/>
    <w:rsid w:val="008401DA"/>
    <w:rsid w:val="0084145F"/>
    <w:rsid w:val="00841DA2"/>
    <w:rsid w:val="00844A2F"/>
    <w:rsid w:val="00844B0C"/>
    <w:rsid w:val="008458F6"/>
    <w:rsid w:val="00845AED"/>
    <w:rsid w:val="0084708E"/>
    <w:rsid w:val="008478A4"/>
    <w:rsid w:val="00847F6D"/>
    <w:rsid w:val="00850267"/>
    <w:rsid w:val="00851AE4"/>
    <w:rsid w:val="008526F9"/>
    <w:rsid w:val="008529BA"/>
    <w:rsid w:val="00852F20"/>
    <w:rsid w:val="00853876"/>
    <w:rsid w:val="00855268"/>
    <w:rsid w:val="0085598D"/>
    <w:rsid w:val="00855C21"/>
    <w:rsid w:val="00857E84"/>
    <w:rsid w:val="00862771"/>
    <w:rsid w:val="008628BB"/>
    <w:rsid w:val="0086682F"/>
    <w:rsid w:val="008708DB"/>
    <w:rsid w:val="0087095E"/>
    <w:rsid w:val="00870D9B"/>
    <w:rsid w:val="00872A6D"/>
    <w:rsid w:val="008742B1"/>
    <w:rsid w:val="008756A5"/>
    <w:rsid w:val="00876F54"/>
    <w:rsid w:val="00877292"/>
    <w:rsid w:val="0087754A"/>
    <w:rsid w:val="00877558"/>
    <w:rsid w:val="0087766C"/>
    <w:rsid w:val="00880552"/>
    <w:rsid w:val="008839DA"/>
    <w:rsid w:val="00884EE8"/>
    <w:rsid w:val="00885168"/>
    <w:rsid w:val="00887E7F"/>
    <w:rsid w:val="00890C75"/>
    <w:rsid w:val="0089173B"/>
    <w:rsid w:val="00891E76"/>
    <w:rsid w:val="0089220F"/>
    <w:rsid w:val="0089328B"/>
    <w:rsid w:val="008935AA"/>
    <w:rsid w:val="008963F0"/>
    <w:rsid w:val="00896DC7"/>
    <w:rsid w:val="00897C84"/>
    <w:rsid w:val="008A03A5"/>
    <w:rsid w:val="008A0DF3"/>
    <w:rsid w:val="008A1041"/>
    <w:rsid w:val="008A4138"/>
    <w:rsid w:val="008A4358"/>
    <w:rsid w:val="008A4950"/>
    <w:rsid w:val="008A503E"/>
    <w:rsid w:val="008A5D96"/>
    <w:rsid w:val="008A74A2"/>
    <w:rsid w:val="008B17AB"/>
    <w:rsid w:val="008B34C7"/>
    <w:rsid w:val="008B3E18"/>
    <w:rsid w:val="008B51F7"/>
    <w:rsid w:val="008B5C93"/>
    <w:rsid w:val="008B60FB"/>
    <w:rsid w:val="008B64DB"/>
    <w:rsid w:val="008B6848"/>
    <w:rsid w:val="008B7928"/>
    <w:rsid w:val="008C26EC"/>
    <w:rsid w:val="008C2FA1"/>
    <w:rsid w:val="008C34B9"/>
    <w:rsid w:val="008C357C"/>
    <w:rsid w:val="008C4EA0"/>
    <w:rsid w:val="008C6E8B"/>
    <w:rsid w:val="008D1069"/>
    <w:rsid w:val="008D1275"/>
    <w:rsid w:val="008D2C41"/>
    <w:rsid w:val="008D2C4C"/>
    <w:rsid w:val="008D366D"/>
    <w:rsid w:val="008D5FF7"/>
    <w:rsid w:val="008D60A1"/>
    <w:rsid w:val="008D6305"/>
    <w:rsid w:val="008D7E0D"/>
    <w:rsid w:val="008D7EDB"/>
    <w:rsid w:val="008E14AF"/>
    <w:rsid w:val="008E1829"/>
    <w:rsid w:val="008E2327"/>
    <w:rsid w:val="008E5047"/>
    <w:rsid w:val="008E5077"/>
    <w:rsid w:val="008E5D51"/>
    <w:rsid w:val="008E64F0"/>
    <w:rsid w:val="008E6FF3"/>
    <w:rsid w:val="008E7B05"/>
    <w:rsid w:val="008F18ED"/>
    <w:rsid w:val="008F2E92"/>
    <w:rsid w:val="008F2F63"/>
    <w:rsid w:val="008F3EA1"/>
    <w:rsid w:val="008F46C2"/>
    <w:rsid w:val="009001FC"/>
    <w:rsid w:val="00900BEE"/>
    <w:rsid w:val="0090102D"/>
    <w:rsid w:val="009020A8"/>
    <w:rsid w:val="00902D75"/>
    <w:rsid w:val="009036E3"/>
    <w:rsid w:val="00903D37"/>
    <w:rsid w:val="009067CE"/>
    <w:rsid w:val="0091023A"/>
    <w:rsid w:val="0091055D"/>
    <w:rsid w:val="00912082"/>
    <w:rsid w:val="00912615"/>
    <w:rsid w:val="0091300B"/>
    <w:rsid w:val="00914C61"/>
    <w:rsid w:val="00916F03"/>
    <w:rsid w:val="009179DF"/>
    <w:rsid w:val="00917D6F"/>
    <w:rsid w:val="0092075F"/>
    <w:rsid w:val="00921B1A"/>
    <w:rsid w:val="00921DDA"/>
    <w:rsid w:val="00922F3B"/>
    <w:rsid w:val="0092600D"/>
    <w:rsid w:val="009273DB"/>
    <w:rsid w:val="00927D70"/>
    <w:rsid w:val="00927D80"/>
    <w:rsid w:val="0093039D"/>
    <w:rsid w:val="00931E4F"/>
    <w:rsid w:val="009330F9"/>
    <w:rsid w:val="0093364D"/>
    <w:rsid w:val="00934693"/>
    <w:rsid w:val="00936574"/>
    <w:rsid w:val="00936D19"/>
    <w:rsid w:val="00942BF8"/>
    <w:rsid w:val="00943BCE"/>
    <w:rsid w:val="0094487F"/>
    <w:rsid w:val="00945030"/>
    <w:rsid w:val="00945D89"/>
    <w:rsid w:val="00946BF2"/>
    <w:rsid w:val="0095079C"/>
    <w:rsid w:val="00950C97"/>
    <w:rsid w:val="00952CC2"/>
    <w:rsid w:val="00955268"/>
    <w:rsid w:val="0095568C"/>
    <w:rsid w:val="00956793"/>
    <w:rsid w:val="009570C0"/>
    <w:rsid w:val="00957541"/>
    <w:rsid w:val="00960346"/>
    <w:rsid w:val="009617D3"/>
    <w:rsid w:val="0096406A"/>
    <w:rsid w:val="0096463B"/>
    <w:rsid w:val="0096693C"/>
    <w:rsid w:val="00967869"/>
    <w:rsid w:val="00971F54"/>
    <w:rsid w:val="009725C5"/>
    <w:rsid w:val="00972FA1"/>
    <w:rsid w:val="00973F40"/>
    <w:rsid w:val="00973FDF"/>
    <w:rsid w:val="00975569"/>
    <w:rsid w:val="00975DC0"/>
    <w:rsid w:val="00975FC1"/>
    <w:rsid w:val="00976201"/>
    <w:rsid w:val="00981ED0"/>
    <w:rsid w:val="00983AA1"/>
    <w:rsid w:val="009849EF"/>
    <w:rsid w:val="00984F18"/>
    <w:rsid w:val="00985849"/>
    <w:rsid w:val="00986C01"/>
    <w:rsid w:val="00986DB7"/>
    <w:rsid w:val="0098795A"/>
    <w:rsid w:val="0099200F"/>
    <w:rsid w:val="00992DBD"/>
    <w:rsid w:val="009934CF"/>
    <w:rsid w:val="00993DCF"/>
    <w:rsid w:val="009A0C8C"/>
    <w:rsid w:val="009A0D75"/>
    <w:rsid w:val="009A0EA5"/>
    <w:rsid w:val="009A261A"/>
    <w:rsid w:val="009A347A"/>
    <w:rsid w:val="009A521D"/>
    <w:rsid w:val="009A620E"/>
    <w:rsid w:val="009B0913"/>
    <w:rsid w:val="009B1279"/>
    <w:rsid w:val="009B548D"/>
    <w:rsid w:val="009B5819"/>
    <w:rsid w:val="009B5B27"/>
    <w:rsid w:val="009B5F8C"/>
    <w:rsid w:val="009B6A6F"/>
    <w:rsid w:val="009C10B3"/>
    <w:rsid w:val="009C1AFE"/>
    <w:rsid w:val="009C4081"/>
    <w:rsid w:val="009C4521"/>
    <w:rsid w:val="009C5F24"/>
    <w:rsid w:val="009C6FAD"/>
    <w:rsid w:val="009C76B7"/>
    <w:rsid w:val="009C799C"/>
    <w:rsid w:val="009C7DD9"/>
    <w:rsid w:val="009D048B"/>
    <w:rsid w:val="009D0858"/>
    <w:rsid w:val="009D1681"/>
    <w:rsid w:val="009D4DD5"/>
    <w:rsid w:val="009D69C6"/>
    <w:rsid w:val="009E0686"/>
    <w:rsid w:val="009E20CD"/>
    <w:rsid w:val="009E29B7"/>
    <w:rsid w:val="009E2EDB"/>
    <w:rsid w:val="009E4549"/>
    <w:rsid w:val="009E5419"/>
    <w:rsid w:val="009E5A6E"/>
    <w:rsid w:val="009E6916"/>
    <w:rsid w:val="009E6D87"/>
    <w:rsid w:val="009F2047"/>
    <w:rsid w:val="009F46DC"/>
    <w:rsid w:val="009F67B2"/>
    <w:rsid w:val="009F714F"/>
    <w:rsid w:val="00A01C00"/>
    <w:rsid w:val="00A0439D"/>
    <w:rsid w:val="00A06C4B"/>
    <w:rsid w:val="00A105D2"/>
    <w:rsid w:val="00A10F9F"/>
    <w:rsid w:val="00A112F7"/>
    <w:rsid w:val="00A11CAD"/>
    <w:rsid w:val="00A1206F"/>
    <w:rsid w:val="00A13AA9"/>
    <w:rsid w:val="00A13D97"/>
    <w:rsid w:val="00A143CD"/>
    <w:rsid w:val="00A15C39"/>
    <w:rsid w:val="00A1620D"/>
    <w:rsid w:val="00A16AC0"/>
    <w:rsid w:val="00A17ABC"/>
    <w:rsid w:val="00A22E26"/>
    <w:rsid w:val="00A23D31"/>
    <w:rsid w:val="00A24A7F"/>
    <w:rsid w:val="00A24C9B"/>
    <w:rsid w:val="00A27D2B"/>
    <w:rsid w:val="00A301A7"/>
    <w:rsid w:val="00A303F8"/>
    <w:rsid w:val="00A30BD7"/>
    <w:rsid w:val="00A30C34"/>
    <w:rsid w:val="00A30FD3"/>
    <w:rsid w:val="00A33126"/>
    <w:rsid w:val="00A33D15"/>
    <w:rsid w:val="00A35E2F"/>
    <w:rsid w:val="00A35EFA"/>
    <w:rsid w:val="00A36A06"/>
    <w:rsid w:val="00A37891"/>
    <w:rsid w:val="00A37B60"/>
    <w:rsid w:val="00A40A51"/>
    <w:rsid w:val="00A41643"/>
    <w:rsid w:val="00A46069"/>
    <w:rsid w:val="00A472B2"/>
    <w:rsid w:val="00A47916"/>
    <w:rsid w:val="00A50EAF"/>
    <w:rsid w:val="00A50FAD"/>
    <w:rsid w:val="00A52482"/>
    <w:rsid w:val="00A52D58"/>
    <w:rsid w:val="00A536DA"/>
    <w:rsid w:val="00A55625"/>
    <w:rsid w:val="00A558CA"/>
    <w:rsid w:val="00A55CDF"/>
    <w:rsid w:val="00A56159"/>
    <w:rsid w:val="00A56C76"/>
    <w:rsid w:val="00A5700D"/>
    <w:rsid w:val="00A571CD"/>
    <w:rsid w:val="00A57C3D"/>
    <w:rsid w:val="00A63E05"/>
    <w:rsid w:val="00A65983"/>
    <w:rsid w:val="00A6697B"/>
    <w:rsid w:val="00A721FF"/>
    <w:rsid w:val="00A74C2D"/>
    <w:rsid w:val="00A76B34"/>
    <w:rsid w:val="00A83487"/>
    <w:rsid w:val="00A854FF"/>
    <w:rsid w:val="00A85D9F"/>
    <w:rsid w:val="00A866F3"/>
    <w:rsid w:val="00A86AAB"/>
    <w:rsid w:val="00A87035"/>
    <w:rsid w:val="00A8745D"/>
    <w:rsid w:val="00A9024A"/>
    <w:rsid w:val="00A90F9B"/>
    <w:rsid w:val="00A91876"/>
    <w:rsid w:val="00A92694"/>
    <w:rsid w:val="00A93072"/>
    <w:rsid w:val="00A9629C"/>
    <w:rsid w:val="00A9748C"/>
    <w:rsid w:val="00AA35D5"/>
    <w:rsid w:val="00AA417B"/>
    <w:rsid w:val="00AA533F"/>
    <w:rsid w:val="00AA5A86"/>
    <w:rsid w:val="00AA70FB"/>
    <w:rsid w:val="00AA7BBF"/>
    <w:rsid w:val="00AB010D"/>
    <w:rsid w:val="00AB0749"/>
    <w:rsid w:val="00AB1341"/>
    <w:rsid w:val="00AB5901"/>
    <w:rsid w:val="00AB76D8"/>
    <w:rsid w:val="00AB7E6A"/>
    <w:rsid w:val="00AC0ABB"/>
    <w:rsid w:val="00AC1B61"/>
    <w:rsid w:val="00AC2C6E"/>
    <w:rsid w:val="00AC584A"/>
    <w:rsid w:val="00AC5EE6"/>
    <w:rsid w:val="00AC6A05"/>
    <w:rsid w:val="00AC6BBF"/>
    <w:rsid w:val="00AC76CA"/>
    <w:rsid w:val="00AD0D24"/>
    <w:rsid w:val="00AD1923"/>
    <w:rsid w:val="00AD2611"/>
    <w:rsid w:val="00AD29FD"/>
    <w:rsid w:val="00AD3979"/>
    <w:rsid w:val="00AD3AC5"/>
    <w:rsid w:val="00AD3D57"/>
    <w:rsid w:val="00AD4480"/>
    <w:rsid w:val="00AD5489"/>
    <w:rsid w:val="00AD7301"/>
    <w:rsid w:val="00AD7CC0"/>
    <w:rsid w:val="00AE0733"/>
    <w:rsid w:val="00AE33BA"/>
    <w:rsid w:val="00AE47BF"/>
    <w:rsid w:val="00AE4B81"/>
    <w:rsid w:val="00AF06EE"/>
    <w:rsid w:val="00AF148D"/>
    <w:rsid w:val="00AF29F7"/>
    <w:rsid w:val="00AF3218"/>
    <w:rsid w:val="00AF34D0"/>
    <w:rsid w:val="00AF3745"/>
    <w:rsid w:val="00AF4D4C"/>
    <w:rsid w:val="00AF6432"/>
    <w:rsid w:val="00AF682E"/>
    <w:rsid w:val="00AF79BD"/>
    <w:rsid w:val="00B00F32"/>
    <w:rsid w:val="00B01BE6"/>
    <w:rsid w:val="00B04421"/>
    <w:rsid w:val="00B04C14"/>
    <w:rsid w:val="00B07A22"/>
    <w:rsid w:val="00B07F12"/>
    <w:rsid w:val="00B1415B"/>
    <w:rsid w:val="00B147FF"/>
    <w:rsid w:val="00B15278"/>
    <w:rsid w:val="00B21BEE"/>
    <w:rsid w:val="00B22846"/>
    <w:rsid w:val="00B234EC"/>
    <w:rsid w:val="00B25504"/>
    <w:rsid w:val="00B274AE"/>
    <w:rsid w:val="00B274BF"/>
    <w:rsid w:val="00B31222"/>
    <w:rsid w:val="00B334E9"/>
    <w:rsid w:val="00B35682"/>
    <w:rsid w:val="00B36D17"/>
    <w:rsid w:val="00B37CF8"/>
    <w:rsid w:val="00B407E0"/>
    <w:rsid w:val="00B4201F"/>
    <w:rsid w:val="00B42E81"/>
    <w:rsid w:val="00B4329D"/>
    <w:rsid w:val="00B443F5"/>
    <w:rsid w:val="00B50220"/>
    <w:rsid w:val="00B517D5"/>
    <w:rsid w:val="00B51D6E"/>
    <w:rsid w:val="00B520F9"/>
    <w:rsid w:val="00B52812"/>
    <w:rsid w:val="00B54716"/>
    <w:rsid w:val="00B5495A"/>
    <w:rsid w:val="00B54BBD"/>
    <w:rsid w:val="00B54E04"/>
    <w:rsid w:val="00B55669"/>
    <w:rsid w:val="00B571CD"/>
    <w:rsid w:val="00B577A3"/>
    <w:rsid w:val="00B6258B"/>
    <w:rsid w:val="00B64641"/>
    <w:rsid w:val="00B64BBF"/>
    <w:rsid w:val="00B67D38"/>
    <w:rsid w:val="00B7262F"/>
    <w:rsid w:val="00B727C5"/>
    <w:rsid w:val="00B73823"/>
    <w:rsid w:val="00B73FD4"/>
    <w:rsid w:val="00B74FC5"/>
    <w:rsid w:val="00B75A6C"/>
    <w:rsid w:val="00B75DE3"/>
    <w:rsid w:val="00B81035"/>
    <w:rsid w:val="00B82F2D"/>
    <w:rsid w:val="00B8342E"/>
    <w:rsid w:val="00B83E2A"/>
    <w:rsid w:val="00B83E38"/>
    <w:rsid w:val="00B83E3F"/>
    <w:rsid w:val="00B84C77"/>
    <w:rsid w:val="00B84DA3"/>
    <w:rsid w:val="00B85DF3"/>
    <w:rsid w:val="00B86C19"/>
    <w:rsid w:val="00B92EDF"/>
    <w:rsid w:val="00B93510"/>
    <w:rsid w:val="00B93E33"/>
    <w:rsid w:val="00B950D8"/>
    <w:rsid w:val="00B95291"/>
    <w:rsid w:val="00B954F3"/>
    <w:rsid w:val="00B95BCD"/>
    <w:rsid w:val="00B95CDC"/>
    <w:rsid w:val="00B95CE5"/>
    <w:rsid w:val="00B961D7"/>
    <w:rsid w:val="00BA0CE7"/>
    <w:rsid w:val="00BA0D0B"/>
    <w:rsid w:val="00BA0ED5"/>
    <w:rsid w:val="00BA1037"/>
    <w:rsid w:val="00BA1A16"/>
    <w:rsid w:val="00BA3B4C"/>
    <w:rsid w:val="00BA3B91"/>
    <w:rsid w:val="00BA454D"/>
    <w:rsid w:val="00BA4DCA"/>
    <w:rsid w:val="00BB0220"/>
    <w:rsid w:val="00BB375D"/>
    <w:rsid w:val="00BB49A0"/>
    <w:rsid w:val="00BB515F"/>
    <w:rsid w:val="00BB530D"/>
    <w:rsid w:val="00BB66FD"/>
    <w:rsid w:val="00BC1085"/>
    <w:rsid w:val="00BC11E7"/>
    <w:rsid w:val="00BC159B"/>
    <w:rsid w:val="00BC1FA5"/>
    <w:rsid w:val="00BC2266"/>
    <w:rsid w:val="00BC2C0C"/>
    <w:rsid w:val="00BC4A77"/>
    <w:rsid w:val="00BC5753"/>
    <w:rsid w:val="00BC6205"/>
    <w:rsid w:val="00BC732A"/>
    <w:rsid w:val="00BC758B"/>
    <w:rsid w:val="00BD04B0"/>
    <w:rsid w:val="00BD0C28"/>
    <w:rsid w:val="00BD181B"/>
    <w:rsid w:val="00BD28B5"/>
    <w:rsid w:val="00BD2EAC"/>
    <w:rsid w:val="00BD4BB3"/>
    <w:rsid w:val="00BD5CDF"/>
    <w:rsid w:val="00BD631F"/>
    <w:rsid w:val="00BE17C6"/>
    <w:rsid w:val="00BE2BD3"/>
    <w:rsid w:val="00BE468A"/>
    <w:rsid w:val="00BE474A"/>
    <w:rsid w:val="00BE4865"/>
    <w:rsid w:val="00BE69BF"/>
    <w:rsid w:val="00BE725A"/>
    <w:rsid w:val="00BE7430"/>
    <w:rsid w:val="00BE7B48"/>
    <w:rsid w:val="00BF23B6"/>
    <w:rsid w:val="00BF3381"/>
    <w:rsid w:val="00C027E3"/>
    <w:rsid w:val="00C02BC9"/>
    <w:rsid w:val="00C07852"/>
    <w:rsid w:val="00C1036F"/>
    <w:rsid w:val="00C105B6"/>
    <w:rsid w:val="00C105BE"/>
    <w:rsid w:val="00C10649"/>
    <w:rsid w:val="00C10AB5"/>
    <w:rsid w:val="00C10FCF"/>
    <w:rsid w:val="00C121D0"/>
    <w:rsid w:val="00C13F61"/>
    <w:rsid w:val="00C15704"/>
    <w:rsid w:val="00C16B4B"/>
    <w:rsid w:val="00C1708D"/>
    <w:rsid w:val="00C17427"/>
    <w:rsid w:val="00C17885"/>
    <w:rsid w:val="00C20C00"/>
    <w:rsid w:val="00C210FD"/>
    <w:rsid w:val="00C21EB2"/>
    <w:rsid w:val="00C22901"/>
    <w:rsid w:val="00C22F6B"/>
    <w:rsid w:val="00C24F48"/>
    <w:rsid w:val="00C25238"/>
    <w:rsid w:val="00C253EA"/>
    <w:rsid w:val="00C305F2"/>
    <w:rsid w:val="00C3345C"/>
    <w:rsid w:val="00C3396A"/>
    <w:rsid w:val="00C33B8D"/>
    <w:rsid w:val="00C3515C"/>
    <w:rsid w:val="00C35258"/>
    <w:rsid w:val="00C407E5"/>
    <w:rsid w:val="00C42DAC"/>
    <w:rsid w:val="00C4342B"/>
    <w:rsid w:val="00C459A9"/>
    <w:rsid w:val="00C502A5"/>
    <w:rsid w:val="00C50EF0"/>
    <w:rsid w:val="00C51651"/>
    <w:rsid w:val="00C521F7"/>
    <w:rsid w:val="00C53008"/>
    <w:rsid w:val="00C54866"/>
    <w:rsid w:val="00C55151"/>
    <w:rsid w:val="00C558FF"/>
    <w:rsid w:val="00C560FA"/>
    <w:rsid w:val="00C5640E"/>
    <w:rsid w:val="00C56AE3"/>
    <w:rsid w:val="00C570C5"/>
    <w:rsid w:val="00C57FF9"/>
    <w:rsid w:val="00C6034B"/>
    <w:rsid w:val="00C64434"/>
    <w:rsid w:val="00C65C94"/>
    <w:rsid w:val="00C7063C"/>
    <w:rsid w:val="00C71409"/>
    <w:rsid w:val="00C73C57"/>
    <w:rsid w:val="00C74BAE"/>
    <w:rsid w:val="00C74CD6"/>
    <w:rsid w:val="00C74D43"/>
    <w:rsid w:val="00C753AA"/>
    <w:rsid w:val="00C75CA7"/>
    <w:rsid w:val="00C76B5E"/>
    <w:rsid w:val="00C8079B"/>
    <w:rsid w:val="00C80BD1"/>
    <w:rsid w:val="00C81961"/>
    <w:rsid w:val="00C832E5"/>
    <w:rsid w:val="00C83C1D"/>
    <w:rsid w:val="00C8512F"/>
    <w:rsid w:val="00C87C8D"/>
    <w:rsid w:val="00C901BB"/>
    <w:rsid w:val="00C90CD3"/>
    <w:rsid w:val="00C92552"/>
    <w:rsid w:val="00C93F1B"/>
    <w:rsid w:val="00C976D1"/>
    <w:rsid w:val="00CA1623"/>
    <w:rsid w:val="00CA39B2"/>
    <w:rsid w:val="00CA4329"/>
    <w:rsid w:val="00CA435C"/>
    <w:rsid w:val="00CA654E"/>
    <w:rsid w:val="00CA6909"/>
    <w:rsid w:val="00CA71D4"/>
    <w:rsid w:val="00CB4844"/>
    <w:rsid w:val="00CB5D29"/>
    <w:rsid w:val="00CB6461"/>
    <w:rsid w:val="00CB675A"/>
    <w:rsid w:val="00CB68B1"/>
    <w:rsid w:val="00CB782B"/>
    <w:rsid w:val="00CC0529"/>
    <w:rsid w:val="00CC0E77"/>
    <w:rsid w:val="00CC2092"/>
    <w:rsid w:val="00CC23A0"/>
    <w:rsid w:val="00CC5E76"/>
    <w:rsid w:val="00CC7B01"/>
    <w:rsid w:val="00CD03C2"/>
    <w:rsid w:val="00CD0E7F"/>
    <w:rsid w:val="00CD2546"/>
    <w:rsid w:val="00CD3A5D"/>
    <w:rsid w:val="00CD5154"/>
    <w:rsid w:val="00CD5FD4"/>
    <w:rsid w:val="00CD7B62"/>
    <w:rsid w:val="00CE0DCE"/>
    <w:rsid w:val="00CE1BC9"/>
    <w:rsid w:val="00CE1C2B"/>
    <w:rsid w:val="00CE1ED1"/>
    <w:rsid w:val="00CE27C1"/>
    <w:rsid w:val="00CE33C1"/>
    <w:rsid w:val="00CE4DD6"/>
    <w:rsid w:val="00CE4E77"/>
    <w:rsid w:val="00CE50C0"/>
    <w:rsid w:val="00CE5DDA"/>
    <w:rsid w:val="00CE5F04"/>
    <w:rsid w:val="00CE76FF"/>
    <w:rsid w:val="00CF1E13"/>
    <w:rsid w:val="00CF204F"/>
    <w:rsid w:val="00CF2DB2"/>
    <w:rsid w:val="00CF4012"/>
    <w:rsid w:val="00CF4515"/>
    <w:rsid w:val="00CF4E8F"/>
    <w:rsid w:val="00CF57BB"/>
    <w:rsid w:val="00CF5C25"/>
    <w:rsid w:val="00D02BC6"/>
    <w:rsid w:val="00D0310D"/>
    <w:rsid w:val="00D048D4"/>
    <w:rsid w:val="00D05803"/>
    <w:rsid w:val="00D05C7C"/>
    <w:rsid w:val="00D06906"/>
    <w:rsid w:val="00D07742"/>
    <w:rsid w:val="00D07EC3"/>
    <w:rsid w:val="00D10B4D"/>
    <w:rsid w:val="00D1276A"/>
    <w:rsid w:val="00D12DF2"/>
    <w:rsid w:val="00D14716"/>
    <w:rsid w:val="00D14721"/>
    <w:rsid w:val="00D14DB7"/>
    <w:rsid w:val="00D15C75"/>
    <w:rsid w:val="00D15ED5"/>
    <w:rsid w:val="00D17446"/>
    <w:rsid w:val="00D2075D"/>
    <w:rsid w:val="00D21110"/>
    <w:rsid w:val="00D22B6A"/>
    <w:rsid w:val="00D266B9"/>
    <w:rsid w:val="00D26C49"/>
    <w:rsid w:val="00D32B8F"/>
    <w:rsid w:val="00D348F7"/>
    <w:rsid w:val="00D36AA4"/>
    <w:rsid w:val="00D36AC2"/>
    <w:rsid w:val="00D3703D"/>
    <w:rsid w:val="00D40BC3"/>
    <w:rsid w:val="00D410EC"/>
    <w:rsid w:val="00D434EC"/>
    <w:rsid w:val="00D44E9D"/>
    <w:rsid w:val="00D46CEA"/>
    <w:rsid w:val="00D472A7"/>
    <w:rsid w:val="00D47945"/>
    <w:rsid w:val="00D47A95"/>
    <w:rsid w:val="00D47F59"/>
    <w:rsid w:val="00D5077B"/>
    <w:rsid w:val="00D51986"/>
    <w:rsid w:val="00D52E13"/>
    <w:rsid w:val="00D554D3"/>
    <w:rsid w:val="00D575C9"/>
    <w:rsid w:val="00D578B2"/>
    <w:rsid w:val="00D600E7"/>
    <w:rsid w:val="00D61A0E"/>
    <w:rsid w:val="00D645A4"/>
    <w:rsid w:val="00D64DB3"/>
    <w:rsid w:val="00D66E58"/>
    <w:rsid w:val="00D66E5A"/>
    <w:rsid w:val="00D679BC"/>
    <w:rsid w:val="00D702FD"/>
    <w:rsid w:val="00D71CF9"/>
    <w:rsid w:val="00D75FF9"/>
    <w:rsid w:val="00D76D53"/>
    <w:rsid w:val="00D77BDB"/>
    <w:rsid w:val="00D80F9D"/>
    <w:rsid w:val="00D81BAE"/>
    <w:rsid w:val="00D81CA9"/>
    <w:rsid w:val="00D81D3B"/>
    <w:rsid w:val="00D82250"/>
    <w:rsid w:val="00D822E4"/>
    <w:rsid w:val="00D82681"/>
    <w:rsid w:val="00D849DD"/>
    <w:rsid w:val="00D84B17"/>
    <w:rsid w:val="00D85059"/>
    <w:rsid w:val="00D8507D"/>
    <w:rsid w:val="00D86156"/>
    <w:rsid w:val="00D86275"/>
    <w:rsid w:val="00D8648C"/>
    <w:rsid w:val="00D86735"/>
    <w:rsid w:val="00D868E8"/>
    <w:rsid w:val="00D870C7"/>
    <w:rsid w:val="00D8718E"/>
    <w:rsid w:val="00D871FB"/>
    <w:rsid w:val="00D905E7"/>
    <w:rsid w:val="00D90C9D"/>
    <w:rsid w:val="00D90E57"/>
    <w:rsid w:val="00D91910"/>
    <w:rsid w:val="00D91AA8"/>
    <w:rsid w:val="00D92643"/>
    <w:rsid w:val="00D931D4"/>
    <w:rsid w:val="00D944A6"/>
    <w:rsid w:val="00D95B92"/>
    <w:rsid w:val="00D95C7A"/>
    <w:rsid w:val="00D96BF1"/>
    <w:rsid w:val="00D96FC3"/>
    <w:rsid w:val="00DA07D5"/>
    <w:rsid w:val="00DA12C3"/>
    <w:rsid w:val="00DA2571"/>
    <w:rsid w:val="00DA25CF"/>
    <w:rsid w:val="00DA28CA"/>
    <w:rsid w:val="00DA495D"/>
    <w:rsid w:val="00DA7BA0"/>
    <w:rsid w:val="00DB0920"/>
    <w:rsid w:val="00DB38AE"/>
    <w:rsid w:val="00DB469A"/>
    <w:rsid w:val="00DB4FE7"/>
    <w:rsid w:val="00DB52C3"/>
    <w:rsid w:val="00DB5DA3"/>
    <w:rsid w:val="00DB7937"/>
    <w:rsid w:val="00DB7DA7"/>
    <w:rsid w:val="00DB7E5F"/>
    <w:rsid w:val="00DC1074"/>
    <w:rsid w:val="00DC10B0"/>
    <w:rsid w:val="00DC1594"/>
    <w:rsid w:val="00DC4BCD"/>
    <w:rsid w:val="00DC55E3"/>
    <w:rsid w:val="00DC5AF4"/>
    <w:rsid w:val="00DC60DE"/>
    <w:rsid w:val="00DC68D1"/>
    <w:rsid w:val="00DC6961"/>
    <w:rsid w:val="00DC6B8A"/>
    <w:rsid w:val="00DD1107"/>
    <w:rsid w:val="00DD178F"/>
    <w:rsid w:val="00DD1804"/>
    <w:rsid w:val="00DD1FE4"/>
    <w:rsid w:val="00DD2303"/>
    <w:rsid w:val="00DD4600"/>
    <w:rsid w:val="00DD4779"/>
    <w:rsid w:val="00DD53DC"/>
    <w:rsid w:val="00DD598D"/>
    <w:rsid w:val="00DE2966"/>
    <w:rsid w:val="00DE36D2"/>
    <w:rsid w:val="00DE4107"/>
    <w:rsid w:val="00DE6AB6"/>
    <w:rsid w:val="00DE6B36"/>
    <w:rsid w:val="00DF0B5E"/>
    <w:rsid w:val="00DF0ED5"/>
    <w:rsid w:val="00DF12BC"/>
    <w:rsid w:val="00DF3EFC"/>
    <w:rsid w:val="00DF72D9"/>
    <w:rsid w:val="00DF74A5"/>
    <w:rsid w:val="00DF7725"/>
    <w:rsid w:val="00DF7EC8"/>
    <w:rsid w:val="00E01A81"/>
    <w:rsid w:val="00E01AFF"/>
    <w:rsid w:val="00E028ED"/>
    <w:rsid w:val="00E0417F"/>
    <w:rsid w:val="00E04A38"/>
    <w:rsid w:val="00E104F6"/>
    <w:rsid w:val="00E10748"/>
    <w:rsid w:val="00E12DE2"/>
    <w:rsid w:val="00E12F57"/>
    <w:rsid w:val="00E1343E"/>
    <w:rsid w:val="00E14282"/>
    <w:rsid w:val="00E16E9E"/>
    <w:rsid w:val="00E20118"/>
    <w:rsid w:val="00E23D36"/>
    <w:rsid w:val="00E24D87"/>
    <w:rsid w:val="00E255E3"/>
    <w:rsid w:val="00E27494"/>
    <w:rsid w:val="00E27DDF"/>
    <w:rsid w:val="00E27E01"/>
    <w:rsid w:val="00E30A90"/>
    <w:rsid w:val="00E32DBA"/>
    <w:rsid w:val="00E350F4"/>
    <w:rsid w:val="00E360D1"/>
    <w:rsid w:val="00E36323"/>
    <w:rsid w:val="00E366C2"/>
    <w:rsid w:val="00E41400"/>
    <w:rsid w:val="00E42ED4"/>
    <w:rsid w:val="00E43469"/>
    <w:rsid w:val="00E445DA"/>
    <w:rsid w:val="00E45379"/>
    <w:rsid w:val="00E45786"/>
    <w:rsid w:val="00E46195"/>
    <w:rsid w:val="00E47EBE"/>
    <w:rsid w:val="00E5009B"/>
    <w:rsid w:val="00E50B22"/>
    <w:rsid w:val="00E51527"/>
    <w:rsid w:val="00E51E18"/>
    <w:rsid w:val="00E533BD"/>
    <w:rsid w:val="00E53706"/>
    <w:rsid w:val="00E54FC8"/>
    <w:rsid w:val="00E55246"/>
    <w:rsid w:val="00E55614"/>
    <w:rsid w:val="00E5584C"/>
    <w:rsid w:val="00E571B5"/>
    <w:rsid w:val="00E573C6"/>
    <w:rsid w:val="00E577FA"/>
    <w:rsid w:val="00E57CE2"/>
    <w:rsid w:val="00E617BD"/>
    <w:rsid w:val="00E6756F"/>
    <w:rsid w:val="00E70503"/>
    <w:rsid w:val="00E705B4"/>
    <w:rsid w:val="00E71616"/>
    <w:rsid w:val="00E72084"/>
    <w:rsid w:val="00E72967"/>
    <w:rsid w:val="00E8155D"/>
    <w:rsid w:val="00E84B29"/>
    <w:rsid w:val="00E8541F"/>
    <w:rsid w:val="00E861C3"/>
    <w:rsid w:val="00E86361"/>
    <w:rsid w:val="00E86A80"/>
    <w:rsid w:val="00E90C37"/>
    <w:rsid w:val="00E9571C"/>
    <w:rsid w:val="00E95BD6"/>
    <w:rsid w:val="00E962B6"/>
    <w:rsid w:val="00EA0E04"/>
    <w:rsid w:val="00EA220D"/>
    <w:rsid w:val="00EA3156"/>
    <w:rsid w:val="00EA40A2"/>
    <w:rsid w:val="00EA4CD5"/>
    <w:rsid w:val="00EA5D2C"/>
    <w:rsid w:val="00EA5D8E"/>
    <w:rsid w:val="00EA68DA"/>
    <w:rsid w:val="00EB07CF"/>
    <w:rsid w:val="00EB3B88"/>
    <w:rsid w:val="00EB67AA"/>
    <w:rsid w:val="00EB76D3"/>
    <w:rsid w:val="00EC2BB1"/>
    <w:rsid w:val="00EC3B8F"/>
    <w:rsid w:val="00EC5CA0"/>
    <w:rsid w:val="00EC7187"/>
    <w:rsid w:val="00EC7372"/>
    <w:rsid w:val="00ED2C39"/>
    <w:rsid w:val="00ED30E8"/>
    <w:rsid w:val="00ED3B69"/>
    <w:rsid w:val="00ED4F62"/>
    <w:rsid w:val="00ED669A"/>
    <w:rsid w:val="00ED6CD1"/>
    <w:rsid w:val="00ED729D"/>
    <w:rsid w:val="00ED74A3"/>
    <w:rsid w:val="00EE2981"/>
    <w:rsid w:val="00EE3577"/>
    <w:rsid w:val="00EE3735"/>
    <w:rsid w:val="00EE4BAA"/>
    <w:rsid w:val="00EE5F2E"/>
    <w:rsid w:val="00EE7F2F"/>
    <w:rsid w:val="00EF3750"/>
    <w:rsid w:val="00EF37F3"/>
    <w:rsid w:val="00EF4A64"/>
    <w:rsid w:val="00F00189"/>
    <w:rsid w:val="00F00407"/>
    <w:rsid w:val="00F01114"/>
    <w:rsid w:val="00F01854"/>
    <w:rsid w:val="00F020B4"/>
    <w:rsid w:val="00F02171"/>
    <w:rsid w:val="00F02EC5"/>
    <w:rsid w:val="00F033EF"/>
    <w:rsid w:val="00F061A6"/>
    <w:rsid w:val="00F107AF"/>
    <w:rsid w:val="00F11AB3"/>
    <w:rsid w:val="00F143EA"/>
    <w:rsid w:val="00F14D63"/>
    <w:rsid w:val="00F15D77"/>
    <w:rsid w:val="00F16441"/>
    <w:rsid w:val="00F1692B"/>
    <w:rsid w:val="00F20633"/>
    <w:rsid w:val="00F218DA"/>
    <w:rsid w:val="00F23E81"/>
    <w:rsid w:val="00F24317"/>
    <w:rsid w:val="00F25CFE"/>
    <w:rsid w:val="00F25D76"/>
    <w:rsid w:val="00F316B8"/>
    <w:rsid w:val="00F32D8B"/>
    <w:rsid w:val="00F35243"/>
    <w:rsid w:val="00F36AD0"/>
    <w:rsid w:val="00F36DFE"/>
    <w:rsid w:val="00F400D7"/>
    <w:rsid w:val="00F4018F"/>
    <w:rsid w:val="00F43E6E"/>
    <w:rsid w:val="00F44282"/>
    <w:rsid w:val="00F44423"/>
    <w:rsid w:val="00F46CE3"/>
    <w:rsid w:val="00F46DFC"/>
    <w:rsid w:val="00F479BF"/>
    <w:rsid w:val="00F51236"/>
    <w:rsid w:val="00F512DF"/>
    <w:rsid w:val="00F5374C"/>
    <w:rsid w:val="00F538C9"/>
    <w:rsid w:val="00F541B8"/>
    <w:rsid w:val="00F569C6"/>
    <w:rsid w:val="00F56CC2"/>
    <w:rsid w:val="00F574B7"/>
    <w:rsid w:val="00F60BC0"/>
    <w:rsid w:val="00F61B7F"/>
    <w:rsid w:val="00F62370"/>
    <w:rsid w:val="00F628D3"/>
    <w:rsid w:val="00F62A4B"/>
    <w:rsid w:val="00F63A08"/>
    <w:rsid w:val="00F63B42"/>
    <w:rsid w:val="00F6497E"/>
    <w:rsid w:val="00F658D2"/>
    <w:rsid w:val="00F66CC2"/>
    <w:rsid w:val="00F66D2B"/>
    <w:rsid w:val="00F677E2"/>
    <w:rsid w:val="00F67D0E"/>
    <w:rsid w:val="00F70B8D"/>
    <w:rsid w:val="00F73751"/>
    <w:rsid w:val="00F74324"/>
    <w:rsid w:val="00F75EAD"/>
    <w:rsid w:val="00F77154"/>
    <w:rsid w:val="00F80010"/>
    <w:rsid w:val="00F80F33"/>
    <w:rsid w:val="00F846D6"/>
    <w:rsid w:val="00F87295"/>
    <w:rsid w:val="00F9173A"/>
    <w:rsid w:val="00F91800"/>
    <w:rsid w:val="00F92C55"/>
    <w:rsid w:val="00F936E9"/>
    <w:rsid w:val="00F9499D"/>
    <w:rsid w:val="00F94C45"/>
    <w:rsid w:val="00F94C7D"/>
    <w:rsid w:val="00F94E99"/>
    <w:rsid w:val="00F9630A"/>
    <w:rsid w:val="00F9650A"/>
    <w:rsid w:val="00F967C7"/>
    <w:rsid w:val="00FA0437"/>
    <w:rsid w:val="00FA233F"/>
    <w:rsid w:val="00FA294C"/>
    <w:rsid w:val="00FA2E05"/>
    <w:rsid w:val="00FA31E7"/>
    <w:rsid w:val="00FA4111"/>
    <w:rsid w:val="00FA53E0"/>
    <w:rsid w:val="00FA7D57"/>
    <w:rsid w:val="00FB0008"/>
    <w:rsid w:val="00FB071C"/>
    <w:rsid w:val="00FB3EA0"/>
    <w:rsid w:val="00FB4127"/>
    <w:rsid w:val="00FB55F4"/>
    <w:rsid w:val="00FB574B"/>
    <w:rsid w:val="00FB5FC7"/>
    <w:rsid w:val="00FB609C"/>
    <w:rsid w:val="00FB6553"/>
    <w:rsid w:val="00FB66FA"/>
    <w:rsid w:val="00FC0B63"/>
    <w:rsid w:val="00FC2151"/>
    <w:rsid w:val="00FC2209"/>
    <w:rsid w:val="00FC293B"/>
    <w:rsid w:val="00FC3DC5"/>
    <w:rsid w:val="00FC5AA8"/>
    <w:rsid w:val="00FC6E5D"/>
    <w:rsid w:val="00FC7531"/>
    <w:rsid w:val="00FC7EAA"/>
    <w:rsid w:val="00FD2704"/>
    <w:rsid w:val="00FD2D96"/>
    <w:rsid w:val="00FD4FA5"/>
    <w:rsid w:val="00FD5166"/>
    <w:rsid w:val="00FD57AC"/>
    <w:rsid w:val="00FD635D"/>
    <w:rsid w:val="00FE5235"/>
    <w:rsid w:val="00FE5410"/>
    <w:rsid w:val="00FE5705"/>
    <w:rsid w:val="00FE5ED9"/>
    <w:rsid w:val="00FE6151"/>
    <w:rsid w:val="00FE6E46"/>
    <w:rsid w:val="00FF0D96"/>
    <w:rsid w:val="00FF131E"/>
    <w:rsid w:val="00FF37FF"/>
    <w:rsid w:val="00FF456A"/>
    <w:rsid w:val="00FF6127"/>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34B8524-4D15-4C2E-BC0B-2C724ADF3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29B7"/>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Francesa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Puesto1">
    <w:name w:val="Puesto1"/>
    <w:basedOn w:val="Fuentedeprrafopredeter"/>
    <w:rsid w:val="00BE474A"/>
  </w:style>
  <w:style w:type="paragraph" w:styleId="Listaconvietas">
    <w:name w:val="List Bullet"/>
    <w:basedOn w:val="Normal"/>
    <w:uiPriority w:val="99"/>
    <w:unhideWhenUsed/>
    <w:rsid w:val="00554856"/>
    <w:pPr>
      <w:numPr>
        <w:numId w:val="2"/>
      </w:numPr>
      <w:contextualSpacing/>
    </w:pPr>
  </w:style>
  <w:style w:type="paragraph" w:styleId="Revisin">
    <w:name w:val="Revision"/>
    <w:hidden/>
    <w:uiPriority w:val="99"/>
    <w:semiHidden/>
    <w:rsid w:val="000C766E"/>
    <w:pPr>
      <w:spacing w:after="0" w:line="240" w:lineRule="auto"/>
    </w:pPr>
    <w:rPr>
      <w:rFonts w:ascii="Times New Roman" w:eastAsia="Times New Roman" w:hAnsi="Times New Roman" w:cs="Times New Roman"/>
      <w:sz w:val="20"/>
      <w:szCs w:val="20"/>
      <w:lang w:eastAsia="es-ES"/>
    </w:rPr>
  </w:style>
  <w:style w:type="paragraph" w:styleId="Continuarlista">
    <w:name w:val="List Continue"/>
    <w:basedOn w:val="Normal"/>
    <w:uiPriority w:val="99"/>
    <w:unhideWhenUsed/>
    <w:rsid w:val="00DF3EFC"/>
    <w:pPr>
      <w:spacing w:after="120"/>
      <w:ind w:left="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86817364">
      <w:bodyDiv w:val="1"/>
      <w:marLeft w:val="0"/>
      <w:marRight w:val="0"/>
      <w:marTop w:val="0"/>
      <w:marBottom w:val="0"/>
      <w:divBdr>
        <w:top w:val="none" w:sz="0" w:space="0" w:color="auto"/>
        <w:left w:val="none" w:sz="0" w:space="0" w:color="auto"/>
        <w:bottom w:val="none" w:sz="0" w:space="0" w:color="auto"/>
        <w:right w:val="none" w:sz="0" w:space="0" w:color="auto"/>
      </w:divBdr>
    </w:div>
    <w:div w:id="322317982">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1987527">
      <w:bodyDiv w:val="1"/>
      <w:marLeft w:val="0"/>
      <w:marRight w:val="0"/>
      <w:marTop w:val="0"/>
      <w:marBottom w:val="0"/>
      <w:divBdr>
        <w:top w:val="none" w:sz="0" w:space="0" w:color="auto"/>
        <w:left w:val="none" w:sz="0" w:space="0" w:color="auto"/>
        <w:bottom w:val="none" w:sz="0" w:space="0" w:color="auto"/>
        <w:right w:val="none" w:sz="0" w:space="0" w:color="auto"/>
      </w:divBdr>
      <w:divsChild>
        <w:div w:id="1037776620">
          <w:marLeft w:val="0"/>
          <w:marRight w:val="0"/>
          <w:marTop w:val="0"/>
          <w:marBottom w:val="0"/>
          <w:divBdr>
            <w:top w:val="none" w:sz="0" w:space="0" w:color="auto"/>
            <w:left w:val="none" w:sz="0" w:space="0" w:color="auto"/>
            <w:bottom w:val="none" w:sz="0" w:space="0" w:color="auto"/>
            <w:right w:val="none" w:sz="0" w:space="0" w:color="auto"/>
          </w:divBdr>
        </w:div>
      </w:divsChild>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29331591">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3608331">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consultas.curp.gob.mx/CurpSP/html/informacionecurpPS.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4E9BBB-039E-4B97-8F74-08A152ABD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39</Pages>
  <Words>9497</Words>
  <Characters>52238</Characters>
  <Application>Microsoft Office Word</Application>
  <DocSecurity>0</DocSecurity>
  <Lines>435</Lines>
  <Paragraphs>123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61612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INFOEM</dc:creator>
  <cp:lastModifiedBy>USUARIO</cp:lastModifiedBy>
  <cp:revision>6</cp:revision>
  <cp:lastPrinted>2019-01-21T17:58:00Z</cp:lastPrinted>
  <dcterms:created xsi:type="dcterms:W3CDTF">2019-09-26T18:01:00Z</dcterms:created>
  <dcterms:modified xsi:type="dcterms:W3CDTF">2020-01-30T23:03:00Z</dcterms:modified>
</cp:coreProperties>
</file>