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356C" w:rsidRPr="00305CA1" w:rsidRDefault="0010356C" w:rsidP="0010356C">
      <w:pPr>
        <w:spacing w:after="240" w:line="360" w:lineRule="auto"/>
        <w:jc w:val="both"/>
        <w:rPr>
          <w:rFonts w:ascii="Palatino Linotype" w:hAnsi="Palatino Linotype"/>
        </w:rPr>
      </w:pPr>
      <w:r w:rsidRPr="00305CA1">
        <w:rPr>
          <w:rFonts w:ascii="Palatino Linotype" w:hAnsi="Palatino Linotype"/>
        </w:rPr>
        <w:t>Resolución del Pleno del Instituto de Transparencia, Acceso a la Información Pública y Protección de Datos Personales del Estado de México y Municipios, con domicilio en Metepec, Estado de México, de fecha seis de noviembre de dos mil diecinueve.</w:t>
      </w:r>
    </w:p>
    <w:p w:rsidR="0010356C" w:rsidRPr="00305CA1" w:rsidRDefault="0010356C" w:rsidP="0010356C">
      <w:pPr>
        <w:spacing w:line="360" w:lineRule="auto"/>
        <w:jc w:val="both"/>
        <w:rPr>
          <w:rFonts w:ascii="Palatino Linotype" w:hAnsi="Palatino Linotype" w:cs="Arial"/>
          <w:lang w:val="es-ES"/>
        </w:rPr>
      </w:pPr>
      <w:r w:rsidRPr="00305CA1">
        <w:rPr>
          <w:rFonts w:ascii="Palatino Linotype" w:hAnsi="Palatino Linotype"/>
          <w:lang w:val="es-ES"/>
        </w:rPr>
        <w:t xml:space="preserve">VISTO el expediente formado con motivo del recurso de revisión </w:t>
      </w:r>
      <w:r w:rsidRPr="00305CA1">
        <w:rPr>
          <w:rFonts w:ascii="Palatino Linotype" w:hAnsi="Palatino Linotype"/>
          <w:b/>
          <w:lang w:val="es-ES"/>
        </w:rPr>
        <w:t>06887/INFOEM/IP/RR/2019</w:t>
      </w:r>
      <w:r w:rsidRPr="00305CA1">
        <w:rPr>
          <w:rFonts w:ascii="Palatino Linotype" w:hAnsi="Palatino Linotype"/>
          <w:lang w:val="es-ES"/>
        </w:rPr>
        <w:t xml:space="preserve"> interpuesto por un particular de manera anónima</w:t>
      </w:r>
      <w:r w:rsidR="00BE7DF2" w:rsidRPr="00305CA1">
        <w:rPr>
          <w:rFonts w:ascii="Palatino Linotype" w:hAnsi="Palatino Linotype"/>
          <w:lang w:val="es-ES"/>
        </w:rPr>
        <w:t>,</w:t>
      </w:r>
      <w:r w:rsidRPr="00305CA1">
        <w:rPr>
          <w:rFonts w:ascii="Palatino Linotype" w:hAnsi="Palatino Linotype"/>
          <w:lang w:val="es-ES"/>
        </w:rPr>
        <w:t xml:space="preserve"> en lo sucesivo </w:t>
      </w:r>
      <w:r w:rsidRPr="00305CA1">
        <w:rPr>
          <w:rFonts w:ascii="Palatino Linotype" w:hAnsi="Palatino Linotype"/>
          <w:b/>
          <w:lang w:val="es-ES"/>
        </w:rPr>
        <w:t>EL RECURRENTE,</w:t>
      </w:r>
      <w:r w:rsidRPr="00305CA1">
        <w:rPr>
          <w:rFonts w:ascii="Palatino Linotype" w:hAnsi="Palatino Linotype"/>
          <w:lang w:val="es-ES"/>
        </w:rPr>
        <w:t xml:space="preserve"> </w:t>
      </w:r>
      <w:r w:rsidRPr="00305CA1">
        <w:rPr>
          <w:rFonts w:ascii="Palatino Linotype" w:hAnsi="Palatino Linotype" w:cs="Arial"/>
          <w:lang w:val="es-ES"/>
        </w:rPr>
        <w:t xml:space="preserve">en contra de la respuesta del </w:t>
      </w:r>
      <w:r w:rsidRPr="00305CA1">
        <w:rPr>
          <w:rFonts w:ascii="Palatino Linotype" w:hAnsi="Palatino Linotype"/>
          <w:b/>
          <w:lang w:val="es-ES_tradnl"/>
        </w:rPr>
        <w:t xml:space="preserve">Instituto de Salud del Estado de México, </w:t>
      </w:r>
      <w:r w:rsidRPr="00305CA1">
        <w:rPr>
          <w:rFonts w:ascii="Palatino Linotype" w:hAnsi="Palatino Linotype" w:cs="Arial"/>
          <w:lang w:val="es-ES"/>
        </w:rPr>
        <w:t xml:space="preserve">en lo subsecuente </w:t>
      </w:r>
      <w:r w:rsidRPr="00305CA1">
        <w:rPr>
          <w:rFonts w:ascii="Palatino Linotype" w:hAnsi="Palatino Linotype" w:cs="Arial"/>
          <w:b/>
          <w:lang w:val="es-ES"/>
        </w:rPr>
        <w:t xml:space="preserve">EL SUJETO OBLIGADO, </w:t>
      </w:r>
      <w:r w:rsidRPr="00305CA1">
        <w:rPr>
          <w:rFonts w:ascii="Palatino Linotype" w:hAnsi="Palatino Linotype" w:cs="Arial"/>
          <w:lang w:val="es-ES"/>
        </w:rPr>
        <w:t>se procede a dictar la presente resolución con base en lo siguiente:</w:t>
      </w:r>
    </w:p>
    <w:p w:rsidR="0010356C" w:rsidRPr="00305CA1" w:rsidRDefault="0010356C" w:rsidP="0010356C">
      <w:pPr>
        <w:spacing w:before="240" w:after="120" w:line="360" w:lineRule="auto"/>
        <w:jc w:val="center"/>
        <w:rPr>
          <w:rFonts w:ascii="Palatino Linotype" w:hAnsi="Palatino Linotype"/>
          <w:b/>
          <w:bCs/>
          <w:spacing w:val="60"/>
          <w:sz w:val="28"/>
        </w:rPr>
      </w:pPr>
      <w:r w:rsidRPr="00305CA1">
        <w:rPr>
          <w:rFonts w:ascii="Palatino Linotype" w:hAnsi="Palatino Linotype"/>
          <w:b/>
          <w:bCs/>
          <w:spacing w:val="60"/>
          <w:sz w:val="28"/>
        </w:rPr>
        <w:t>RESULTANDO</w:t>
      </w:r>
    </w:p>
    <w:p w:rsidR="0010356C" w:rsidRPr="00305CA1"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cs="Arial"/>
          <w:lang w:val="es-ES"/>
        </w:rPr>
      </w:pPr>
      <w:r w:rsidRPr="00305CA1">
        <w:rPr>
          <w:rFonts w:ascii="Palatino Linotype" w:hAnsi="Palatino Linotype" w:cs="Arial"/>
          <w:lang w:val="es-ES"/>
        </w:rPr>
        <w:t xml:space="preserve">En fecha treinta y uno de julio de dos mil diecinueve, </w:t>
      </w:r>
      <w:r w:rsidRPr="00305CA1">
        <w:rPr>
          <w:rFonts w:ascii="Palatino Linotype" w:hAnsi="Palatino Linotype" w:cs="Arial"/>
          <w:b/>
          <w:lang w:val="es-ES"/>
        </w:rPr>
        <w:t>EL RECURRENTE</w:t>
      </w:r>
      <w:r w:rsidRPr="00305CA1">
        <w:rPr>
          <w:rFonts w:ascii="Palatino Linotype" w:hAnsi="Palatino Linotype" w:cs="Arial"/>
          <w:lang w:val="es-ES"/>
        </w:rPr>
        <w:t xml:space="preserve"> presentó a través del Sistema </w:t>
      </w:r>
      <w:r w:rsidRPr="00305CA1">
        <w:rPr>
          <w:rFonts w:ascii="Palatino Linotype" w:hAnsi="Palatino Linotype"/>
        </w:rPr>
        <w:t>de</w:t>
      </w:r>
      <w:r w:rsidRPr="00305CA1">
        <w:rPr>
          <w:rFonts w:ascii="Palatino Linotype" w:hAnsi="Palatino Linotype" w:cs="Arial"/>
          <w:lang w:val="es-ES"/>
        </w:rPr>
        <w:t xml:space="preserve"> Acceso a la Información Mexiquense, en lo subsecuente </w:t>
      </w:r>
      <w:r w:rsidRPr="00305CA1">
        <w:rPr>
          <w:rFonts w:ascii="Palatino Linotype" w:hAnsi="Palatino Linotype" w:cs="Arial"/>
          <w:b/>
          <w:lang w:val="es-ES"/>
        </w:rPr>
        <w:t>EL SAIMEX</w:t>
      </w:r>
      <w:r w:rsidRPr="00305CA1">
        <w:rPr>
          <w:rFonts w:ascii="Palatino Linotype" w:hAnsi="Palatino Linotype" w:cs="Arial"/>
          <w:lang w:val="es-ES"/>
        </w:rPr>
        <w:t xml:space="preserve"> ante </w:t>
      </w:r>
      <w:r w:rsidRPr="00305CA1">
        <w:rPr>
          <w:rFonts w:ascii="Palatino Linotype" w:hAnsi="Palatino Linotype" w:cs="Arial"/>
          <w:b/>
          <w:lang w:val="es-ES"/>
        </w:rPr>
        <w:t>EL SUJETO OBLIGADO</w:t>
      </w:r>
      <w:r w:rsidRPr="00305CA1">
        <w:rPr>
          <w:rFonts w:ascii="Palatino Linotype" w:hAnsi="Palatino Linotype" w:cs="Arial"/>
          <w:lang w:val="es-ES"/>
        </w:rPr>
        <w:t xml:space="preserve">, </w:t>
      </w:r>
      <w:r w:rsidRPr="00305CA1">
        <w:rPr>
          <w:rFonts w:ascii="Palatino Linotype" w:hAnsi="Palatino Linotype"/>
          <w:lang w:val="es-ES"/>
        </w:rPr>
        <w:t xml:space="preserve">la solicitud de acceso a información pública, a la que se le asignó el número </w:t>
      </w:r>
      <w:r w:rsidRPr="00305CA1">
        <w:rPr>
          <w:rFonts w:ascii="Palatino Linotype" w:hAnsi="Palatino Linotype" w:cs="Arial"/>
          <w:b/>
          <w:lang w:val="es-ES"/>
        </w:rPr>
        <w:t xml:space="preserve">00325/ISEM/IP/2019, </w:t>
      </w:r>
      <w:r w:rsidRPr="00305CA1">
        <w:rPr>
          <w:rFonts w:ascii="Palatino Linotype" w:hAnsi="Palatino Linotype" w:cs="Arial"/>
          <w:lang w:val="es-ES"/>
        </w:rPr>
        <w:t>mediante la cual requirió</w:t>
      </w:r>
      <w:r w:rsidR="00264685" w:rsidRPr="00305CA1">
        <w:rPr>
          <w:rFonts w:ascii="Palatino Linotype" w:hAnsi="Palatino Linotype" w:cs="Arial"/>
          <w:lang w:val="es-ES"/>
        </w:rPr>
        <w:t>, por dicha vía, lo siguiente</w:t>
      </w:r>
      <w:r w:rsidRPr="00305CA1">
        <w:rPr>
          <w:rFonts w:ascii="Palatino Linotype" w:hAnsi="Palatino Linotype" w:cs="Arial"/>
          <w:lang w:val="es-ES"/>
        </w:rPr>
        <w:t>:</w:t>
      </w:r>
    </w:p>
    <w:p w:rsidR="0010356C" w:rsidRPr="00305CA1" w:rsidRDefault="0010356C" w:rsidP="00264685">
      <w:pPr>
        <w:ind w:left="709" w:right="709"/>
        <w:jc w:val="both"/>
        <w:rPr>
          <w:rFonts w:ascii="Palatino Linotype" w:hAnsi="Palatino Linotype" w:cs="Arial"/>
          <w:i/>
          <w:sz w:val="22"/>
          <w:szCs w:val="22"/>
          <w:lang w:val="es-ES"/>
        </w:rPr>
      </w:pPr>
      <w:r w:rsidRPr="00305CA1">
        <w:rPr>
          <w:rFonts w:ascii="Palatino Linotype" w:hAnsi="Palatino Linotype"/>
          <w:i/>
          <w:color w:val="000000"/>
          <w:sz w:val="22"/>
          <w:szCs w:val="22"/>
        </w:rPr>
        <w:t xml:space="preserve">“1.- EN EL HOSPITAL MONICA PRETELINI, DEPENDIENTE DEL INSTITUTO DE SALUD DEL ESTADO DE MEXICO, CUALES SON LOS CRITERIOS PARA OTORGAR A UN SERVIDOR (A) PUBLICO (A), SU REGULARIZACIÓN Y/O FORMALIZACIÓN Y/O BASIFICACIÓN. 2.- EN EL HOSPITAL MONICA PRETELINI, DEPENDIENTE DEL INSTITUTO DE SALUD DEL ESTADO DE MEXICO, CUALES SON LOS REQUISITOS PARA OTORGAR A UN SERVIDOR (A) PUBLICO (A), SU REGULARIZACIÓN Y/O FORMALIZACIÓN Y/O BASIFICACIÓN. 3.- EN EL HOSPITAL MONICA PRETELINI, DEPENDIENTE DEL INSTITUTO DE SALUD DEL ESTADO DE MEXICO, CUANTOS SERVIDORES (AS) PUBLICOS, SE LES HA OTORGADO, SU REGULARIZACIÓN Y/O FORMALIZACIÓN Y/O BASIFICACIÓN EN LOS </w:t>
      </w:r>
      <w:r w:rsidRPr="00305CA1">
        <w:rPr>
          <w:rFonts w:ascii="Palatino Linotype" w:hAnsi="Palatino Linotype"/>
          <w:i/>
          <w:color w:val="000000"/>
          <w:sz w:val="22"/>
          <w:szCs w:val="22"/>
        </w:rPr>
        <w:lastRenderedPageBreak/>
        <w:t>AÑOS 2011, 2012, 2013, 2014, 2015, 2016, 2017, 2018 Y 2019. 4.- EN EL HOSPITAL MONICA PRETELINI, DEPENDIENTE DEL INSTITUTO DE SALUD DEL ESTADO DE MEXICO, CUANTOS SERVIDORES (AS) PUBLICOS, QUE SON MEDICOS SE LES HA OTORGADO, SU REGULARIZACIÓN Y/O FORMALIZACIÓN Y/O BASIFICACIÓN EN LOS AÑOS 2011, 2012, 2013, 2014, 2015, 2016, 2017, 2018 Y 2019. 5.- EN EL HOSPITAL MONICA PRETELINI, DEPENDIENTE DEL INSTITUTO DE SALUD DEL ESTADO DE MÉXICO, CUANTOS SERVIDORES (AS) PUBLICOS, QUE SEAN PERSONAL DE ENFERMERÍA SE LES HA OTORGADO, SU REGULARIZACIÓN Y/O FORMALIZACIÓN Y/O BASIFICACIÓN EN LOS AÑOS 2011, 2012, 2013, 2014, 2015, 2016, 2017, 2018 Y 2019. 6.- EN EL HOSPITAL MONICA PRETELINI, DEPENDIENTE DEL INSTITUTO DE SALUD DEL ESTADO DE MÉXICO, QUE ÁREA ES LA ENCARGADA DE DECIDIR QUE PERSONAL MEDICO Y DE ENFERMERÍA SEAN REGULARIZADOS Y/O FORMALIZADOS Y/O BASIFICADOS.” (Sic)</w:t>
      </w:r>
    </w:p>
    <w:p w:rsidR="00264685" w:rsidRPr="00305CA1"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0" w:name="_Ref516764469"/>
      <w:r w:rsidRPr="00305CA1">
        <w:rPr>
          <w:rFonts w:ascii="Palatino Linotype" w:hAnsi="Palatino Linotype"/>
        </w:rPr>
        <w:t xml:space="preserve">De las constancias que obran en </w:t>
      </w:r>
      <w:r w:rsidRPr="00305CA1">
        <w:rPr>
          <w:rFonts w:ascii="Palatino Linotype" w:hAnsi="Palatino Linotype"/>
          <w:b/>
        </w:rPr>
        <w:t>EL SAIMEX,</w:t>
      </w:r>
      <w:r w:rsidRPr="00305CA1">
        <w:rPr>
          <w:rFonts w:ascii="Palatino Linotype" w:hAnsi="Palatino Linotype"/>
        </w:rPr>
        <w:t xml:space="preserve"> se advierte que,</w:t>
      </w:r>
      <w:r w:rsidRPr="00305CA1">
        <w:rPr>
          <w:rFonts w:ascii="Palatino Linotype" w:hAnsi="Palatino Linotype"/>
          <w:b/>
        </w:rPr>
        <w:t xml:space="preserve"> EL </w:t>
      </w:r>
      <w:r w:rsidRPr="00305CA1">
        <w:rPr>
          <w:rFonts w:ascii="Palatino Linotype" w:hAnsi="Palatino Linotype" w:cs="Arial"/>
          <w:b/>
          <w:lang w:val="es-ES_tradnl"/>
        </w:rPr>
        <w:t xml:space="preserve">SUJETO OBLIGADO </w:t>
      </w:r>
      <w:r w:rsidRPr="00305CA1">
        <w:rPr>
          <w:rFonts w:ascii="Palatino Linotype" w:hAnsi="Palatino Linotype" w:cs="Arial"/>
        </w:rPr>
        <w:t xml:space="preserve">en fecha cinco de agosto de dos mil diecinueve, el Titular de la Unidad de Transparencia del </w:t>
      </w:r>
      <w:r w:rsidRPr="00305CA1">
        <w:rPr>
          <w:rFonts w:ascii="Palatino Linotype" w:hAnsi="Palatino Linotype" w:cs="Arial"/>
          <w:b/>
        </w:rPr>
        <w:t>SUJETO OBLIGADO,</w:t>
      </w:r>
      <w:r w:rsidRPr="00305CA1">
        <w:rPr>
          <w:rFonts w:ascii="Palatino Linotype" w:hAnsi="Palatino Linotype" w:cs="Arial"/>
        </w:rPr>
        <w:t xml:space="preserve"> </w:t>
      </w:r>
      <w:r w:rsidR="00264685" w:rsidRPr="00305CA1">
        <w:rPr>
          <w:rFonts w:ascii="Palatino Linotype" w:hAnsi="Palatino Linotype"/>
        </w:rPr>
        <w:t>turnó mediante requerimiento, el contenido de la solicitud de información al Director de Administración, en su carácter de Servidor Público Habilitado, el cual fue respondido el día veinte de mayo de la referida anualidad, tal y como se aprecia a continuación:</w:t>
      </w:r>
    </w:p>
    <w:p w:rsidR="00264685" w:rsidRPr="00305CA1" w:rsidRDefault="00264685" w:rsidP="00264685">
      <w:pPr>
        <w:pStyle w:val="Prrafodelista"/>
        <w:tabs>
          <w:tab w:val="left" w:pos="567"/>
        </w:tabs>
        <w:spacing w:before="240" w:after="120"/>
        <w:ind w:left="0"/>
        <w:jc w:val="center"/>
        <w:rPr>
          <w:rFonts w:ascii="Palatino Linotype" w:hAnsi="Palatino Linotype"/>
        </w:rPr>
      </w:pPr>
      <w:r w:rsidRPr="00305CA1">
        <w:rPr>
          <w:noProof/>
          <w:lang w:val="es-ES"/>
        </w:rPr>
        <w:drawing>
          <wp:inline distT="0" distB="0" distL="0" distR="0" wp14:anchorId="0E7DD0AD" wp14:editId="0BBB258A">
            <wp:extent cx="5791835" cy="1318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18260"/>
                    </a:xfrm>
                    <a:prstGeom prst="rect">
                      <a:avLst/>
                    </a:prstGeom>
                  </pic:spPr>
                </pic:pic>
              </a:graphicData>
            </a:graphic>
          </wp:inline>
        </w:drawing>
      </w:r>
    </w:p>
    <w:p w:rsidR="00264685" w:rsidRPr="00305CA1" w:rsidRDefault="00264685" w:rsidP="00264685">
      <w:pPr>
        <w:pStyle w:val="Prrafodelista"/>
        <w:tabs>
          <w:tab w:val="left" w:pos="567"/>
        </w:tabs>
        <w:spacing w:before="360" w:after="120"/>
        <w:ind w:left="0"/>
        <w:jc w:val="center"/>
        <w:rPr>
          <w:rFonts w:ascii="Palatino Linotype" w:hAnsi="Palatino Linotype"/>
        </w:rPr>
      </w:pPr>
      <w:r w:rsidRPr="00305CA1">
        <w:rPr>
          <w:noProof/>
          <w:lang w:val="es-ES"/>
        </w:rPr>
        <w:drawing>
          <wp:inline distT="0" distB="0" distL="0" distR="0" wp14:anchorId="259BC473" wp14:editId="63CC34C9">
            <wp:extent cx="5791835" cy="904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904875"/>
                    </a:xfrm>
                    <a:prstGeom prst="rect">
                      <a:avLst/>
                    </a:prstGeom>
                  </pic:spPr>
                </pic:pic>
              </a:graphicData>
            </a:graphic>
          </wp:inline>
        </w:drawing>
      </w:r>
    </w:p>
    <w:p w:rsidR="00264685" w:rsidRPr="00305CA1" w:rsidRDefault="00264685" w:rsidP="00264685">
      <w:pPr>
        <w:pStyle w:val="Prrafodelista"/>
        <w:tabs>
          <w:tab w:val="left" w:pos="567"/>
        </w:tabs>
        <w:spacing w:before="360" w:after="120"/>
        <w:ind w:left="0"/>
        <w:jc w:val="center"/>
        <w:rPr>
          <w:rFonts w:ascii="Palatino Linotype" w:hAnsi="Palatino Linotype"/>
        </w:rPr>
      </w:pPr>
      <w:r w:rsidRPr="00305CA1">
        <w:rPr>
          <w:noProof/>
          <w:lang w:val="es-ES"/>
        </w:rPr>
        <w:lastRenderedPageBreak/>
        <w:drawing>
          <wp:inline distT="0" distB="0" distL="0" distR="0" wp14:anchorId="2C11E806" wp14:editId="45FF0253">
            <wp:extent cx="4218535" cy="188055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59510" cy="1898824"/>
                    </a:xfrm>
                    <a:prstGeom prst="rect">
                      <a:avLst/>
                    </a:prstGeom>
                  </pic:spPr>
                </pic:pic>
              </a:graphicData>
            </a:graphic>
          </wp:inline>
        </w:drawing>
      </w:r>
    </w:p>
    <w:p w:rsidR="0010356C" w:rsidRPr="00305CA1"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305CA1">
        <w:rPr>
          <w:rFonts w:ascii="Palatino Linotype" w:hAnsi="Palatino Linotype"/>
          <w:lang w:val="es-ES"/>
        </w:rPr>
        <w:t xml:space="preserve">En fecha veinte de agosto de dos mil diecinueve, </w:t>
      </w:r>
      <w:r w:rsidRPr="00305CA1">
        <w:rPr>
          <w:rFonts w:ascii="Palatino Linotype" w:hAnsi="Palatino Linotype" w:cs="Arial"/>
          <w:b/>
          <w:lang w:val="es-ES_tradnl"/>
        </w:rPr>
        <w:t>EL</w:t>
      </w:r>
      <w:r w:rsidRPr="00305CA1">
        <w:rPr>
          <w:rFonts w:ascii="Palatino Linotype" w:hAnsi="Palatino Linotype" w:cs="Arial"/>
          <w:lang w:val="es-ES_tradnl"/>
        </w:rPr>
        <w:t xml:space="preserve"> </w:t>
      </w:r>
      <w:r w:rsidRPr="00305CA1">
        <w:rPr>
          <w:rFonts w:ascii="Palatino Linotype" w:hAnsi="Palatino Linotype" w:cs="Arial"/>
          <w:b/>
          <w:lang w:val="es-ES_tradnl"/>
        </w:rPr>
        <w:t>SUJETO OBLIGADO</w:t>
      </w:r>
      <w:r w:rsidRPr="00305CA1">
        <w:rPr>
          <w:rFonts w:ascii="Palatino Linotype" w:hAnsi="Palatino Linotype" w:cs="Arial"/>
          <w:lang w:val="es-ES_tradnl"/>
        </w:rPr>
        <w:t xml:space="preserve"> dio respuesta a la solicitud de información, en los siguientes términos:</w:t>
      </w:r>
    </w:p>
    <w:p w:rsidR="0010356C" w:rsidRPr="00305CA1" w:rsidRDefault="0010356C" w:rsidP="00264685">
      <w:pPr>
        <w:spacing w:before="120" w:after="120"/>
        <w:ind w:left="709" w:right="709"/>
        <w:jc w:val="both"/>
        <w:rPr>
          <w:rFonts w:ascii="Palatino Linotype" w:hAnsi="Palatino Linotype"/>
          <w:i/>
          <w:color w:val="000000"/>
          <w:sz w:val="22"/>
          <w:szCs w:val="22"/>
        </w:rPr>
      </w:pPr>
      <w:r w:rsidRPr="00305CA1">
        <w:rPr>
          <w:rFonts w:ascii="Palatino Linotype" w:hAnsi="Palatino Linotype"/>
          <w:i/>
          <w:color w:val="000000"/>
          <w:sz w:val="22"/>
          <w:szCs w:val="22"/>
        </w:rPr>
        <w:t xml:space="preserve">“Refiero </w:t>
      </w:r>
      <w:proofErr w:type="spellStart"/>
      <w:r w:rsidRPr="00305CA1">
        <w:rPr>
          <w:rFonts w:ascii="Palatino Linotype" w:hAnsi="Palatino Linotype"/>
          <w:i/>
          <w:color w:val="000000"/>
          <w:sz w:val="22"/>
          <w:szCs w:val="22"/>
        </w:rPr>
        <w:t>respetuosamentesu</w:t>
      </w:r>
      <w:proofErr w:type="spellEnd"/>
      <w:r w:rsidRPr="00305CA1">
        <w:rPr>
          <w:rFonts w:ascii="Palatino Linotype" w:hAnsi="Palatino Linotype"/>
          <w:i/>
          <w:color w:val="000000"/>
          <w:sz w:val="22"/>
          <w:szCs w:val="22"/>
        </w:rPr>
        <w:t xml:space="preserve"> solicitud de información captada a través del Sistema de Acceso a la Información Mexiquense (SAIMEX) del Instituto de Salud del Estado de México con número de folio: 00325/ISEM/IP/2019, que textualmente señala:</w:t>
      </w:r>
    </w:p>
    <w:p w:rsidR="0010356C" w:rsidRPr="00305CA1" w:rsidRDefault="0010356C" w:rsidP="00264685">
      <w:pPr>
        <w:spacing w:before="120" w:after="120"/>
        <w:ind w:left="709" w:right="709"/>
        <w:jc w:val="both"/>
        <w:rPr>
          <w:rFonts w:ascii="Palatino Linotype" w:hAnsi="Palatino Linotype"/>
          <w:i/>
          <w:color w:val="000000"/>
          <w:sz w:val="22"/>
          <w:szCs w:val="22"/>
        </w:rPr>
      </w:pPr>
      <w:r w:rsidRPr="00305CA1">
        <w:rPr>
          <w:rFonts w:ascii="Palatino Linotype" w:hAnsi="Palatino Linotype"/>
          <w:i/>
          <w:color w:val="000000"/>
          <w:sz w:val="22"/>
          <w:szCs w:val="22"/>
        </w:rPr>
        <w:t xml:space="preserve">“1.- EN EL HOSPITAL MONICA PRETELINI, DEPENDIENTE DEL INSTITUTO DE SALUD DEL ESTADO DE MEXICO, CUALES SON LOS CRITERIOS PARA OTORGAR A UN SERVIDOR (A) PUBLICO (A), SU REGULARIZACIÓN Y/O FORMALIZACIÓN Y/O BASIFICACIÓN. 2.- EN EL HOSPITAL MONICA PRETELINI, DEPENDIENTE DEL INSTITUTO DE SALUD DEL ESTADO DE MEXICO, CUALES SON LOS REQUISITOS PARA OTORGAR A UN SERVIDOR (A) PUBLICO (A), SU REGULARIZACIÓN Y/O FORMALIZACIÓN Y/O BASIFICACIÓN. 3.- EN EL HOSPITAL MONICA PRETELINI, DEPENDIENTE DEL INSTITUTO DE SALUD DEL ESTADO DE MEXICO, CUANTOS SERVIDORES (AS) PUBLICOS, SE LES HA OTORGADO, SU REGULARIZACIÓN Y/O FORMALIZACIÓN Y/O BASIFICACIÓN EN LOS AÑOS 2011, 2012, 2013, 2014, 2015, 2016, 2017, 2018 Y 2019. 4.- EN EL HOSPITAL MONICA PRETELINI, DEPENDIENTE DEL INSTITUTO DE SALUD DEL ESTADO DE MEXICO, CUANTOS SERVIDORES (AS) PUBLICOS, QUE SON MEDICOS SE LES HA OTORGADO, SU REGULARIZACIÓN Y/O FORMALIZACIÓN Y/O BASIFICACIÓN EN LOS AÑOS 2011, 2012, 2013, 2014, 2015, 2016, 2017, 2018 Y 2019. 5.- EN EL HOSPITAL MONICA PRETELINI, DEPENDIENTE DEL INSTITUTO DE SALUD DEL ESTADO DE MÉXICO, CUANTOS SERVIDORES (AS) PUBLICOS, QUE SEAN PERSONAL DE ENFERMERÍA SE LES HA OTORGADO, SU REGULARIZACIÓN Y/O FORMALIZACIÓN Y/O BASIFICACIÓN EN LOS AÑOS 2011, 2012, 2013, 2014, </w:t>
      </w:r>
      <w:r w:rsidRPr="00305CA1">
        <w:rPr>
          <w:rFonts w:ascii="Palatino Linotype" w:hAnsi="Palatino Linotype"/>
          <w:i/>
          <w:color w:val="000000"/>
          <w:sz w:val="22"/>
          <w:szCs w:val="22"/>
        </w:rPr>
        <w:lastRenderedPageBreak/>
        <w:t>2015, 2016, 2017, 2018 Y 2019. 6.- EN EL HOSPITAL MONICA PRETELINI, DEPENDIENTE DEL INSTITUTO DE SALUD DEL ESTADO DE MÉXICO, QUE ÁREA ES LA ENCARGADA DE DECIDIR QUE PERSONAL MEDICO Y DE ENFERMERÍA SEAN REGULARIZADOS Y/O FORMALIZADOS Y/O BASIFICADOS.”</w:t>
      </w:r>
    </w:p>
    <w:p w:rsidR="0010356C" w:rsidRPr="00305CA1" w:rsidRDefault="0010356C" w:rsidP="00264685">
      <w:pPr>
        <w:spacing w:before="120" w:after="120"/>
        <w:ind w:left="709" w:right="709"/>
        <w:jc w:val="both"/>
        <w:rPr>
          <w:rFonts w:ascii="Palatino Linotype" w:hAnsi="Palatino Linotype"/>
          <w:i/>
          <w:color w:val="000000"/>
          <w:sz w:val="22"/>
          <w:szCs w:val="22"/>
        </w:rPr>
      </w:pPr>
      <w:r w:rsidRPr="00305CA1">
        <w:rPr>
          <w:rFonts w:ascii="Palatino Linotype" w:hAnsi="Palatino Linotype"/>
          <w:i/>
          <w:color w:val="000000"/>
          <w:sz w:val="22"/>
          <w:szCs w:val="22"/>
        </w:rPr>
        <w:t>Con fundamento en el artículo 163 de la Ley de Transparencia y Acceso a la Información Pública del Estado de México y Municipios, en adjunto encontrará la respuesta proporcionada a su solicitud por la Subdirección de Recursos Humanos, mediante el documento 208C0101320100L/12236/2019.</w:t>
      </w:r>
    </w:p>
    <w:p w:rsidR="0010356C" w:rsidRPr="00305CA1" w:rsidRDefault="0010356C" w:rsidP="00264685">
      <w:pPr>
        <w:spacing w:before="120" w:after="120"/>
        <w:ind w:left="709" w:right="709"/>
        <w:jc w:val="both"/>
        <w:rPr>
          <w:rFonts w:ascii="Palatino Linotype" w:hAnsi="Palatino Linotype"/>
          <w:i/>
          <w:color w:val="000000"/>
          <w:sz w:val="22"/>
          <w:szCs w:val="22"/>
        </w:rPr>
      </w:pPr>
      <w:r w:rsidRPr="00305CA1">
        <w:rPr>
          <w:rFonts w:ascii="Palatino Linotype" w:hAnsi="Palatino Linotype"/>
          <w:i/>
          <w:color w:val="000000"/>
          <w:sz w:val="22"/>
          <w:szCs w:val="22"/>
        </w:rPr>
        <w:t>Sin otro particular por el momento, reciba un cordial saludo.” (Sic)</w:t>
      </w:r>
    </w:p>
    <w:p w:rsidR="0010356C" w:rsidRPr="00305CA1" w:rsidRDefault="0010356C" w:rsidP="00E571C8">
      <w:pPr>
        <w:ind w:right="902"/>
        <w:jc w:val="center"/>
        <w:rPr>
          <w:rFonts w:ascii="Palatino Linotype" w:hAnsi="Palatino Linotype"/>
          <w:i/>
          <w:color w:val="000000"/>
          <w:sz w:val="22"/>
          <w:szCs w:val="22"/>
        </w:rPr>
      </w:pPr>
      <w:r w:rsidRPr="00305CA1">
        <w:rPr>
          <w:noProof/>
          <w:lang w:val="es-ES"/>
        </w:rPr>
        <w:drawing>
          <wp:inline distT="0" distB="0" distL="0" distR="0" wp14:anchorId="66F08709" wp14:editId="02081FB7">
            <wp:extent cx="5457190" cy="542925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409" t="8380" r="25227" b="7816"/>
                    <a:stretch/>
                  </pic:blipFill>
                  <pic:spPr bwMode="auto">
                    <a:xfrm>
                      <a:off x="0" y="0"/>
                      <a:ext cx="5490239" cy="5462130"/>
                    </a:xfrm>
                    <a:prstGeom prst="rect">
                      <a:avLst/>
                    </a:prstGeom>
                    <a:ln>
                      <a:noFill/>
                    </a:ln>
                    <a:extLst>
                      <a:ext uri="{53640926-AAD7-44D8-BBD7-CCE9431645EC}">
                        <a14:shadowObscured xmlns:a14="http://schemas.microsoft.com/office/drawing/2010/main"/>
                      </a:ext>
                    </a:extLst>
                  </pic:spPr>
                </pic:pic>
              </a:graphicData>
            </a:graphic>
          </wp:inline>
        </w:drawing>
      </w:r>
    </w:p>
    <w:p w:rsidR="0010356C" w:rsidRPr="00305CA1"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305CA1">
        <w:rPr>
          <w:rFonts w:ascii="Palatino Linotype" w:hAnsi="Palatino Linotype"/>
        </w:rPr>
        <w:lastRenderedPageBreak/>
        <w:t xml:space="preserve">Inconforme con la </w:t>
      </w:r>
      <w:r w:rsidRPr="00305CA1">
        <w:rPr>
          <w:rFonts w:ascii="Palatino Linotype" w:hAnsi="Palatino Linotype" w:cs="Arial"/>
        </w:rPr>
        <w:t xml:space="preserve">respuesta en fecha </w:t>
      </w:r>
      <w:r w:rsidR="00E571C8" w:rsidRPr="00305CA1">
        <w:rPr>
          <w:rFonts w:ascii="Palatino Linotype" w:hAnsi="Palatino Linotype" w:cs="Arial"/>
        </w:rPr>
        <w:t xml:space="preserve">veintiocho </w:t>
      </w:r>
      <w:r w:rsidRPr="00305CA1">
        <w:rPr>
          <w:rFonts w:ascii="Palatino Linotype" w:hAnsi="Palatino Linotype" w:cs="Arial"/>
        </w:rPr>
        <w:t xml:space="preserve">de agosto de dos mil diecinueve, </w:t>
      </w:r>
      <w:r w:rsidRPr="00305CA1">
        <w:rPr>
          <w:rFonts w:ascii="Palatino Linotype" w:hAnsi="Palatino Linotype"/>
          <w:b/>
        </w:rPr>
        <w:t>EL RECURRENTE</w:t>
      </w:r>
      <w:r w:rsidRPr="00305CA1">
        <w:rPr>
          <w:rFonts w:ascii="Palatino Linotype" w:hAnsi="Palatino Linotype"/>
        </w:rPr>
        <w:t xml:space="preserve"> interpuso el recurso de </w:t>
      </w:r>
      <w:r w:rsidRPr="00305CA1">
        <w:rPr>
          <w:rFonts w:ascii="Palatino Linotype" w:hAnsi="Palatino Linotype" w:cs="Arial"/>
          <w:lang w:val="es-ES"/>
        </w:rPr>
        <w:t>revisión</w:t>
      </w:r>
      <w:r w:rsidRPr="00305CA1">
        <w:rPr>
          <w:rFonts w:ascii="Palatino Linotype" w:hAnsi="Palatino Linotype"/>
        </w:rPr>
        <w:t xml:space="preserve"> objeto del presente estudio, el cual fue registrado en </w:t>
      </w:r>
      <w:r w:rsidRPr="00305CA1">
        <w:rPr>
          <w:rFonts w:ascii="Palatino Linotype" w:hAnsi="Palatino Linotype"/>
          <w:b/>
        </w:rPr>
        <w:t>EL SAIMEX</w:t>
      </w:r>
      <w:r w:rsidRPr="00305CA1">
        <w:rPr>
          <w:rFonts w:ascii="Palatino Linotype" w:hAnsi="Palatino Linotype"/>
        </w:rPr>
        <w:t xml:space="preserve"> y se le asignó el número de expediente </w:t>
      </w:r>
      <w:r w:rsidR="00E571C8" w:rsidRPr="00305CA1">
        <w:rPr>
          <w:rFonts w:ascii="Palatino Linotype" w:hAnsi="Palatino Linotype"/>
          <w:b/>
        </w:rPr>
        <w:t>06887</w:t>
      </w:r>
      <w:r w:rsidRPr="00305CA1">
        <w:rPr>
          <w:rFonts w:ascii="Palatino Linotype" w:hAnsi="Palatino Linotype"/>
          <w:b/>
        </w:rPr>
        <w:t xml:space="preserve">/INFOEM/IP/RR/2019, </w:t>
      </w:r>
      <w:r w:rsidRPr="00305CA1">
        <w:rPr>
          <w:rFonts w:ascii="Palatino Linotype" w:hAnsi="Palatino Linotype" w:cs="Arial"/>
        </w:rPr>
        <w:t xml:space="preserve">en el que señaló </w:t>
      </w:r>
      <w:r w:rsidR="00BE7DF2" w:rsidRPr="00305CA1">
        <w:rPr>
          <w:rFonts w:ascii="Palatino Linotype" w:hAnsi="Palatino Linotype" w:cs="Arial"/>
        </w:rPr>
        <w:t>tanto en</w:t>
      </w:r>
      <w:r w:rsidRPr="00305CA1">
        <w:rPr>
          <w:rFonts w:ascii="Palatino Linotype" w:hAnsi="Palatino Linotype" w:cs="Arial"/>
        </w:rPr>
        <w:t xml:space="preserve"> acto impugnado</w:t>
      </w:r>
      <w:r w:rsidR="00BE7DF2" w:rsidRPr="00305CA1">
        <w:rPr>
          <w:rFonts w:ascii="Palatino Linotype" w:hAnsi="Palatino Linotype" w:cs="Arial"/>
        </w:rPr>
        <w:t>, como en razones o motivos de inconformidad, lo siguiente</w:t>
      </w:r>
      <w:r w:rsidRPr="00305CA1">
        <w:rPr>
          <w:rFonts w:ascii="Palatino Linotype" w:hAnsi="Palatino Linotype" w:cs="Arial"/>
        </w:rPr>
        <w:t>:</w:t>
      </w:r>
    </w:p>
    <w:p w:rsidR="0010356C" w:rsidRPr="00305CA1" w:rsidRDefault="0010356C" w:rsidP="00E571C8">
      <w:pPr>
        <w:ind w:left="851" w:right="902"/>
        <w:jc w:val="both"/>
        <w:rPr>
          <w:rFonts w:ascii="Palatino Linotype" w:hAnsi="Palatino Linotype"/>
          <w:i/>
          <w:color w:val="000000"/>
          <w:sz w:val="22"/>
          <w:szCs w:val="22"/>
        </w:rPr>
      </w:pPr>
      <w:r w:rsidRPr="00305CA1">
        <w:rPr>
          <w:rFonts w:ascii="Palatino Linotype" w:hAnsi="Palatino Linotype"/>
          <w:i/>
          <w:color w:val="000000"/>
          <w:sz w:val="22"/>
          <w:szCs w:val="22"/>
        </w:rPr>
        <w:t>“</w:t>
      </w:r>
      <w:r w:rsidR="00E571C8" w:rsidRPr="00305CA1">
        <w:rPr>
          <w:rFonts w:ascii="Palatino Linotype" w:hAnsi="Palatino Linotype"/>
          <w:i/>
          <w:color w:val="000000"/>
          <w:sz w:val="22"/>
          <w:szCs w:val="22"/>
        </w:rPr>
        <w:t xml:space="preserve">no da contestación a todas y cada una de las </w:t>
      </w:r>
      <w:proofErr w:type="spellStart"/>
      <w:r w:rsidR="00E571C8" w:rsidRPr="00305CA1">
        <w:rPr>
          <w:rFonts w:ascii="Palatino Linotype" w:hAnsi="Palatino Linotype"/>
          <w:i/>
          <w:color w:val="000000"/>
          <w:sz w:val="22"/>
          <w:szCs w:val="22"/>
        </w:rPr>
        <w:t>cuestionantes</w:t>
      </w:r>
      <w:proofErr w:type="spellEnd"/>
      <w:r w:rsidR="00E571C8" w:rsidRPr="00305CA1">
        <w:rPr>
          <w:rFonts w:ascii="Palatino Linotype" w:hAnsi="Palatino Linotype"/>
          <w:i/>
          <w:color w:val="000000"/>
          <w:sz w:val="22"/>
          <w:szCs w:val="22"/>
        </w:rPr>
        <w:t xml:space="preserve"> o solicitudes; ya que no entrega la información completa de las peticiones realizadas</w:t>
      </w:r>
      <w:r w:rsidRPr="00305CA1">
        <w:rPr>
          <w:rFonts w:ascii="Palatino Linotype" w:hAnsi="Palatino Linotype"/>
          <w:i/>
          <w:color w:val="000000"/>
          <w:sz w:val="22"/>
          <w:szCs w:val="22"/>
        </w:rPr>
        <w:t>.” (Sic)</w:t>
      </w:r>
    </w:p>
    <w:bookmarkEnd w:id="0"/>
    <w:p w:rsidR="0010356C" w:rsidRPr="00305CA1"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305CA1">
        <w:rPr>
          <w:rFonts w:ascii="Palatino Linotype" w:hAnsi="Palatino Linotype" w:cs="Arial"/>
          <w:lang w:val="es-ES"/>
        </w:rPr>
        <w:t xml:space="preserve">El </w:t>
      </w:r>
      <w:r w:rsidR="00E571C8" w:rsidRPr="00305CA1">
        <w:rPr>
          <w:rFonts w:ascii="Palatino Linotype" w:hAnsi="Palatino Linotype" w:cs="Arial"/>
          <w:lang w:val="es-ES"/>
        </w:rPr>
        <w:t>veintiocho</w:t>
      </w:r>
      <w:r w:rsidRPr="00305CA1">
        <w:rPr>
          <w:rFonts w:ascii="Palatino Linotype" w:hAnsi="Palatino Linotype" w:cs="Arial"/>
          <w:lang w:val="es-ES"/>
        </w:rPr>
        <w:t xml:space="preserve"> de agosto de dos mil diecinueve</w:t>
      </w:r>
      <w:r w:rsidRPr="00305CA1">
        <w:rPr>
          <w:rFonts w:ascii="Palatino Linotype" w:hAnsi="Palatino Linotype"/>
          <w:lang w:val="es-ES"/>
        </w:rPr>
        <w:t>, el recurso de revisión</w:t>
      </w:r>
      <w:r w:rsidRPr="00305CA1">
        <w:rPr>
          <w:rFonts w:ascii="Palatino Linotype" w:hAnsi="Palatino Linotype" w:cs="Arial"/>
          <w:lang w:val="es-ES_tradnl"/>
        </w:rPr>
        <w:t xml:space="preserve"> de que</w:t>
      </w:r>
      <w:r w:rsidRPr="00305CA1">
        <w:rPr>
          <w:rFonts w:ascii="Palatino Linotype" w:hAnsi="Palatino Linotype" w:cs="Arial"/>
          <w:lang w:val="es-ES"/>
        </w:rPr>
        <w:t xml:space="preserve"> se trata</w:t>
      </w:r>
      <w:r w:rsidRPr="00305CA1">
        <w:rPr>
          <w:rFonts w:ascii="Palatino Linotype" w:hAnsi="Palatino Linotype" w:cs="Arial"/>
          <w:lang w:val="es-ES_tradnl"/>
        </w:rPr>
        <w:t xml:space="preserve"> se envió electrónicamente al Instituto de </w:t>
      </w:r>
      <w:r w:rsidRPr="00305CA1">
        <w:rPr>
          <w:rFonts w:ascii="Palatino Linotype" w:eastAsia="Arial Unicode MS" w:hAnsi="Palatino Linotype" w:cs="Arial"/>
          <w:lang w:val="es-ES"/>
        </w:rPr>
        <w:t>Transparencia</w:t>
      </w:r>
      <w:r w:rsidRPr="00305CA1">
        <w:rPr>
          <w:rFonts w:ascii="Palatino Linotype" w:hAnsi="Palatino Linotype" w:cs="Arial"/>
          <w:lang w:val="es-ES_tradnl"/>
        </w:rPr>
        <w:t xml:space="preserve">, Acceso a la Información Pública y Protección de Datos Personales del Estado de México y Municipios y con fundamento en el artículo 185, </w:t>
      </w:r>
      <w:r w:rsidRPr="00305CA1">
        <w:rPr>
          <w:rFonts w:ascii="Palatino Linotype" w:hAnsi="Palatino Linotype" w:cs="Arial"/>
          <w:lang w:val="es-ES"/>
        </w:rPr>
        <w:t>fracción</w:t>
      </w:r>
      <w:r w:rsidRPr="00305CA1">
        <w:rPr>
          <w:rFonts w:ascii="Palatino Linotype" w:hAnsi="Palatino Linotype" w:cs="Arial"/>
          <w:lang w:val="es-ES_tradnl"/>
        </w:rPr>
        <w:t xml:space="preserve"> I de la </w:t>
      </w:r>
      <w:r w:rsidRPr="00305CA1">
        <w:rPr>
          <w:rFonts w:ascii="Palatino Linotype" w:hAnsi="Palatino Linotype"/>
          <w:lang w:val="es-ES"/>
        </w:rPr>
        <w:t>Ley de Transparencia y Acceso a la Información Pública del Estado de México y Municipios</w:t>
      </w:r>
      <w:r w:rsidRPr="00305CA1">
        <w:rPr>
          <w:rFonts w:ascii="Palatino Linotype" w:hAnsi="Palatino Linotype" w:cs="Arial"/>
          <w:lang w:val="es-ES_tradnl"/>
        </w:rPr>
        <w:t>, se turnó, a través del</w:t>
      </w:r>
      <w:r w:rsidRPr="00305CA1">
        <w:rPr>
          <w:rFonts w:ascii="Palatino Linotype" w:eastAsia="Arial Unicode MS" w:hAnsi="Palatino Linotype" w:cs="Arial"/>
          <w:lang w:val="es-ES_tradnl"/>
        </w:rPr>
        <w:t xml:space="preserve"> </w:t>
      </w:r>
      <w:r w:rsidRPr="00305CA1">
        <w:rPr>
          <w:rFonts w:ascii="Palatino Linotype" w:eastAsia="Arial Unicode MS" w:hAnsi="Palatino Linotype" w:cs="Arial"/>
          <w:b/>
          <w:lang w:val="es-ES_tradnl"/>
        </w:rPr>
        <w:t>SAIMEX</w:t>
      </w:r>
      <w:r w:rsidRPr="00305CA1">
        <w:rPr>
          <w:rFonts w:ascii="Palatino Linotype" w:hAnsi="Palatino Linotype"/>
          <w:lang w:val="es-ES"/>
        </w:rPr>
        <w:t xml:space="preserve">, el recurso de revisión a la </w:t>
      </w:r>
      <w:r w:rsidRPr="00305CA1">
        <w:rPr>
          <w:rFonts w:ascii="Palatino Linotype" w:hAnsi="Palatino Linotype" w:cs="Arial"/>
          <w:lang w:val="es-ES_tradnl"/>
        </w:rPr>
        <w:t xml:space="preserve">Comisionada </w:t>
      </w:r>
      <w:r w:rsidRPr="00305CA1">
        <w:rPr>
          <w:rFonts w:ascii="Palatino Linotype" w:hAnsi="Palatino Linotype" w:cs="Arial"/>
          <w:b/>
          <w:lang w:val="es-ES_tradnl"/>
        </w:rPr>
        <w:t xml:space="preserve">Eva </w:t>
      </w:r>
      <w:proofErr w:type="spellStart"/>
      <w:r w:rsidRPr="00305CA1">
        <w:rPr>
          <w:rFonts w:ascii="Palatino Linotype" w:hAnsi="Palatino Linotype" w:cs="Arial"/>
          <w:b/>
          <w:lang w:val="es-ES_tradnl"/>
        </w:rPr>
        <w:t>Abaid</w:t>
      </w:r>
      <w:proofErr w:type="spellEnd"/>
      <w:r w:rsidRPr="00305CA1">
        <w:rPr>
          <w:rFonts w:ascii="Palatino Linotype" w:hAnsi="Palatino Linotype" w:cs="Arial"/>
          <w:b/>
          <w:lang w:val="es-ES_tradnl"/>
        </w:rPr>
        <w:t xml:space="preserve"> </w:t>
      </w:r>
      <w:proofErr w:type="spellStart"/>
      <w:r w:rsidRPr="00305CA1">
        <w:rPr>
          <w:rFonts w:ascii="Palatino Linotype" w:hAnsi="Palatino Linotype" w:cs="Arial"/>
          <w:b/>
          <w:lang w:val="es-ES_tradnl"/>
        </w:rPr>
        <w:t>Yapur</w:t>
      </w:r>
      <w:proofErr w:type="spellEnd"/>
      <w:r w:rsidRPr="00305CA1">
        <w:rPr>
          <w:rFonts w:ascii="Palatino Linotype" w:hAnsi="Palatino Linotype" w:cs="Arial"/>
          <w:b/>
          <w:lang w:val="es-ES_tradnl"/>
        </w:rPr>
        <w:t xml:space="preserve">, </w:t>
      </w:r>
      <w:r w:rsidRPr="00305CA1">
        <w:rPr>
          <w:rFonts w:ascii="Palatino Linotype" w:hAnsi="Palatino Linotype" w:cs="Arial"/>
          <w:lang w:val="es-ES_tradnl"/>
        </w:rPr>
        <w:t xml:space="preserve">a efecto de que se decretará su admisión o </w:t>
      </w:r>
      <w:proofErr w:type="spellStart"/>
      <w:r w:rsidRPr="00305CA1">
        <w:rPr>
          <w:rFonts w:ascii="Palatino Linotype" w:hAnsi="Palatino Linotype" w:cs="Arial"/>
          <w:lang w:val="es-ES_tradnl"/>
        </w:rPr>
        <w:t>desechamiento</w:t>
      </w:r>
      <w:proofErr w:type="spellEnd"/>
      <w:r w:rsidRPr="00305CA1">
        <w:rPr>
          <w:rFonts w:ascii="Palatino Linotype" w:hAnsi="Palatino Linotype" w:cs="Arial"/>
          <w:lang w:val="es-ES_tradnl"/>
        </w:rPr>
        <w:t>.</w:t>
      </w:r>
    </w:p>
    <w:p w:rsidR="0010356C" w:rsidRPr="00305CA1" w:rsidRDefault="0010356C" w:rsidP="00264685">
      <w:pPr>
        <w:pStyle w:val="Prrafodelista"/>
        <w:numPr>
          <w:ilvl w:val="0"/>
          <w:numId w:val="6"/>
        </w:numPr>
        <w:tabs>
          <w:tab w:val="left" w:pos="567"/>
        </w:tabs>
        <w:spacing w:before="360" w:after="240" w:line="360" w:lineRule="auto"/>
        <w:ind w:left="0" w:firstLine="0"/>
        <w:jc w:val="both"/>
        <w:rPr>
          <w:rFonts w:ascii="Palatino Linotype" w:eastAsia="MS Mincho" w:hAnsi="Palatino Linotype" w:cs="Arial"/>
          <w:lang w:val="es-ES_tradnl"/>
        </w:rPr>
      </w:pPr>
      <w:r w:rsidRPr="00305CA1">
        <w:rPr>
          <w:rFonts w:ascii="Palatino Linotype" w:eastAsia="MS Mincho" w:hAnsi="Palatino Linotype" w:cs="Arial"/>
          <w:lang w:val="es-ES_tradnl"/>
        </w:rPr>
        <w:t>De las constancias de los expedientes electrónicos del</w:t>
      </w:r>
      <w:r w:rsidRPr="00305CA1">
        <w:rPr>
          <w:rFonts w:ascii="Palatino Linotype" w:eastAsia="MS Mincho" w:hAnsi="Palatino Linotype" w:cs="Arial"/>
          <w:b/>
          <w:lang w:val="es-ES_tradnl"/>
        </w:rPr>
        <w:t xml:space="preserve"> SAIMEX</w:t>
      </w:r>
      <w:r w:rsidRPr="00305CA1">
        <w:rPr>
          <w:rFonts w:ascii="Palatino Linotype" w:eastAsia="MS Mincho" w:hAnsi="Palatino Linotype" w:cs="Arial"/>
          <w:lang w:val="es-ES_tradnl"/>
        </w:rPr>
        <w:t xml:space="preserve">, se desprende que el </w:t>
      </w:r>
      <w:r w:rsidR="00E571C8" w:rsidRPr="00305CA1">
        <w:rPr>
          <w:rFonts w:ascii="Palatino Linotype" w:eastAsia="MS Mincho" w:hAnsi="Palatino Linotype" w:cs="Arial"/>
          <w:lang w:val="es-ES_tradnl"/>
        </w:rPr>
        <w:t>tres de septiembre d</w:t>
      </w:r>
      <w:r w:rsidRPr="00305CA1">
        <w:rPr>
          <w:rFonts w:ascii="Palatino Linotype" w:eastAsia="MS Mincho" w:hAnsi="Palatino Linotype" w:cs="Arial"/>
          <w:lang w:val="es-ES_tradnl"/>
        </w:rPr>
        <w:t xml:space="preserve">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05CA1">
        <w:rPr>
          <w:rFonts w:ascii="Palatino Linotype" w:eastAsia="MS Mincho" w:hAnsi="Palatino Linotype" w:cs="Arial"/>
          <w:b/>
          <w:lang w:val="es-ES_tradnl"/>
        </w:rPr>
        <w:t xml:space="preserve">EL SUJETO OBLIGADO </w:t>
      </w:r>
      <w:r w:rsidRPr="00305CA1">
        <w:rPr>
          <w:rFonts w:ascii="Palatino Linotype" w:eastAsia="MS Mincho" w:hAnsi="Palatino Linotype" w:cs="Arial"/>
          <w:lang w:val="es-ES_tradnl"/>
        </w:rPr>
        <w:t>rindiera su Informe Justificado respectivamente.</w:t>
      </w:r>
    </w:p>
    <w:p w:rsidR="0010356C" w:rsidRPr="00305CA1" w:rsidRDefault="0010356C" w:rsidP="00264685">
      <w:pPr>
        <w:pStyle w:val="Prrafodelista"/>
        <w:numPr>
          <w:ilvl w:val="0"/>
          <w:numId w:val="6"/>
        </w:numPr>
        <w:tabs>
          <w:tab w:val="left" w:pos="567"/>
        </w:tabs>
        <w:spacing w:before="360" w:after="240" w:line="360" w:lineRule="auto"/>
        <w:ind w:left="0" w:firstLine="0"/>
        <w:jc w:val="both"/>
        <w:rPr>
          <w:rFonts w:ascii="Palatino Linotype" w:eastAsia="MS Mincho" w:hAnsi="Palatino Linotype" w:cs="Arial"/>
          <w:lang w:val="es-ES_tradnl"/>
        </w:rPr>
      </w:pPr>
      <w:r w:rsidRPr="00305CA1">
        <w:rPr>
          <w:rFonts w:ascii="Palatino Linotype" w:hAnsi="Palatino Linotype" w:cs="Arial"/>
        </w:rPr>
        <w:lastRenderedPageBreak/>
        <w:t>De</w:t>
      </w:r>
      <w:r w:rsidRPr="00305CA1">
        <w:rPr>
          <w:rFonts w:ascii="Palatino Linotype" w:hAnsi="Palatino Linotype" w:cs="Arial"/>
          <w:lang w:val="es-ES_tradnl"/>
        </w:rPr>
        <w:t xml:space="preserve"> las </w:t>
      </w:r>
      <w:r w:rsidRPr="00305CA1">
        <w:rPr>
          <w:rFonts w:ascii="Palatino Linotype" w:hAnsi="Palatino Linotype"/>
        </w:rPr>
        <w:t>constancias</w:t>
      </w:r>
      <w:r w:rsidRPr="00305CA1">
        <w:rPr>
          <w:rFonts w:ascii="Palatino Linotype" w:hAnsi="Palatino Linotype" w:cs="Arial"/>
          <w:lang w:val="es-ES_tradnl"/>
        </w:rPr>
        <w:t xml:space="preserve"> que obran en el </w:t>
      </w:r>
      <w:r w:rsidRPr="00305CA1">
        <w:rPr>
          <w:rFonts w:ascii="Palatino Linotype" w:hAnsi="Palatino Linotype" w:cs="Arial"/>
          <w:b/>
          <w:lang w:val="es-ES_tradnl"/>
        </w:rPr>
        <w:t>SAIMEX</w:t>
      </w:r>
      <w:r w:rsidRPr="00305CA1">
        <w:rPr>
          <w:rFonts w:ascii="Palatino Linotype" w:hAnsi="Palatino Linotype" w:cs="Arial"/>
          <w:lang w:val="es-ES_tradnl"/>
        </w:rPr>
        <w:t xml:space="preserve">, se advierte que, </w:t>
      </w:r>
      <w:r w:rsidRPr="00305CA1">
        <w:rPr>
          <w:rFonts w:ascii="Palatino Linotype" w:hAnsi="Palatino Linotype" w:cs="Arial"/>
          <w:b/>
        </w:rPr>
        <w:t xml:space="preserve">EL RECURRENTE </w:t>
      </w:r>
      <w:r w:rsidRPr="00305CA1">
        <w:rPr>
          <w:rFonts w:ascii="Palatino Linotype" w:hAnsi="Palatino Linotype" w:cs="Arial"/>
        </w:rPr>
        <w:t xml:space="preserve">fue omiso en realizar manifestaciones, alegatos y ofrecer las pruebas que a su derecho </w:t>
      </w:r>
      <w:r w:rsidRPr="00305CA1">
        <w:rPr>
          <w:rFonts w:ascii="Palatino Linotype" w:hAnsi="Palatino Linotype" w:cs="Arial"/>
          <w:lang w:val="es-ES_tradnl"/>
        </w:rPr>
        <w:t xml:space="preserve">conviniera. Por </w:t>
      </w:r>
      <w:r w:rsidR="00E571C8" w:rsidRPr="00305CA1">
        <w:rPr>
          <w:rFonts w:ascii="Palatino Linotype" w:hAnsi="Palatino Linotype" w:cs="Arial"/>
          <w:lang w:val="es-ES_tradnl"/>
        </w:rPr>
        <w:t xml:space="preserve">su </w:t>
      </w:r>
      <w:r w:rsidRPr="00305CA1">
        <w:rPr>
          <w:rFonts w:ascii="Palatino Linotype" w:hAnsi="Palatino Linotype" w:cs="Arial"/>
          <w:lang w:val="es-ES_tradnl"/>
        </w:rPr>
        <w:t xml:space="preserve">parte, </w:t>
      </w:r>
      <w:r w:rsidRPr="00305CA1">
        <w:rPr>
          <w:rFonts w:ascii="Palatino Linotype" w:hAnsi="Palatino Linotype" w:cs="Arial"/>
          <w:b/>
          <w:lang w:val="es-ES_tradnl"/>
        </w:rPr>
        <w:t xml:space="preserve">EL SUJETO OBLIGADO </w:t>
      </w:r>
      <w:r w:rsidR="00E571C8" w:rsidRPr="00305CA1">
        <w:rPr>
          <w:rFonts w:ascii="Palatino Linotype" w:hAnsi="Palatino Linotype" w:cs="Arial"/>
          <w:lang w:val="es-ES_tradnl"/>
        </w:rPr>
        <w:t xml:space="preserve">fue omiso en rendir </w:t>
      </w:r>
      <w:r w:rsidRPr="00305CA1">
        <w:rPr>
          <w:rFonts w:ascii="Palatino Linotype" w:hAnsi="Palatino Linotype" w:cs="Arial"/>
          <w:lang w:val="es-ES_tradnl"/>
        </w:rPr>
        <w:t xml:space="preserve">el Informe Justificado </w:t>
      </w:r>
      <w:r w:rsidRPr="00305CA1">
        <w:rPr>
          <w:rFonts w:ascii="Palatino Linotype" w:hAnsi="Palatino Linotype" w:cs="Arial"/>
          <w:lang w:val="es-ES"/>
        </w:rPr>
        <w:t>correspondiente</w:t>
      </w:r>
      <w:r w:rsidR="00BE7DF2" w:rsidRPr="00305CA1">
        <w:rPr>
          <w:rFonts w:ascii="Palatino Linotype" w:hAnsi="Palatino Linotype" w:cs="Arial"/>
          <w:lang w:val="es-ES_tradnl"/>
        </w:rPr>
        <w:t>.</w:t>
      </w:r>
    </w:p>
    <w:p w:rsidR="0010356C" w:rsidRPr="00305CA1" w:rsidRDefault="0010356C" w:rsidP="00264685">
      <w:pPr>
        <w:pStyle w:val="Prrafodelista"/>
        <w:numPr>
          <w:ilvl w:val="0"/>
          <w:numId w:val="6"/>
        </w:numPr>
        <w:tabs>
          <w:tab w:val="left" w:pos="567"/>
        </w:tabs>
        <w:spacing w:before="360" w:after="240" w:line="360" w:lineRule="auto"/>
        <w:ind w:left="0" w:firstLine="0"/>
        <w:jc w:val="both"/>
        <w:rPr>
          <w:rFonts w:ascii="Palatino Linotype" w:hAnsi="Palatino Linotype" w:cs="Arial"/>
        </w:rPr>
      </w:pPr>
      <w:bookmarkStart w:id="1" w:name="_Ref529870989"/>
      <w:r w:rsidRPr="00305CA1">
        <w:rPr>
          <w:rFonts w:ascii="Palatino Linotype" w:hAnsi="Palatino Linotype" w:cs="Arial"/>
        </w:rPr>
        <w:t xml:space="preserve">Una vez analizado el estado procesal que guarda el expediente, en fecha </w:t>
      </w:r>
      <w:r w:rsidR="00E571C8" w:rsidRPr="00305CA1">
        <w:rPr>
          <w:rFonts w:ascii="Palatino Linotype" w:hAnsi="Palatino Linotype" w:cs="Arial"/>
        </w:rPr>
        <w:t xml:space="preserve">trece de septiembre </w:t>
      </w:r>
      <w:r w:rsidRPr="00305CA1">
        <w:rPr>
          <w:rFonts w:ascii="Palatino Linotype" w:hAnsi="Palatino Linotype" w:cs="Arial"/>
        </w:rPr>
        <w:t xml:space="preserve">de </w:t>
      </w:r>
      <w:r w:rsidRPr="00305CA1">
        <w:rPr>
          <w:rFonts w:ascii="Palatino Linotype" w:hAnsi="Palatino Linotype" w:cs="Arial"/>
          <w:lang w:val="es-ES"/>
        </w:rPr>
        <w:t>dos</w:t>
      </w:r>
      <w:r w:rsidRPr="00305CA1">
        <w:rPr>
          <w:rFonts w:ascii="Palatino Linotype" w:hAnsi="Palatino Linotype" w:cs="Arial"/>
        </w:rPr>
        <w:t xml:space="preserve"> mil diecinueve, la Comisionada Ponente acordó el cierre de instrucción, así </w:t>
      </w:r>
      <w:r w:rsidRPr="00305CA1">
        <w:rPr>
          <w:rFonts w:ascii="Palatino Linotype" w:hAnsi="Palatino Linotype" w:cs="Arial"/>
          <w:lang w:val="es-ES_tradnl"/>
        </w:rPr>
        <w:t>como</w:t>
      </w:r>
      <w:r w:rsidRPr="00305CA1">
        <w:rPr>
          <w:rFonts w:ascii="Palatino Linotype" w:hAnsi="Palatino Linotype" w:cs="Arial"/>
        </w:rPr>
        <w:t xml:space="preserve"> la remisión del mismo a efecto </w:t>
      </w:r>
      <w:r w:rsidRPr="00305CA1">
        <w:rPr>
          <w:rFonts w:ascii="Palatino Linotype" w:hAnsi="Palatino Linotype" w:cs="Arial"/>
          <w:lang w:val="es-ES_tradnl"/>
        </w:rPr>
        <w:t>de</w:t>
      </w:r>
      <w:r w:rsidRPr="00305CA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8354EB" w:rsidRPr="00305CA1" w:rsidRDefault="00A952FA" w:rsidP="008354EB">
      <w:pPr>
        <w:spacing w:before="240" w:after="240" w:line="360" w:lineRule="auto"/>
        <w:jc w:val="both"/>
        <w:rPr>
          <w:rFonts w:ascii="Palatino Linotype" w:hAnsi="Palatino Linotype" w:cs="Arial"/>
        </w:rPr>
      </w:pPr>
      <w:r w:rsidRPr="00305CA1">
        <w:rPr>
          <w:rFonts w:ascii="Palatino Linotype" w:hAnsi="Palatino Linotype" w:cs="Arial"/>
        </w:rPr>
        <w:t xml:space="preserve">En fecha </w:t>
      </w:r>
      <w:r w:rsidRPr="00305CA1">
        <w:rPr>
          <w:rFonts w:ascii="Palatino Linotype" w:hAnsi="Palatino Linotype"/>
        </w:rPr>
        <w:t>dieciséis de octubre de dos mil diecinueve</w:t>
      </w:r>
      <w:r w:rsidRPr="00305CA1">
        <w:rPr>
          <w:rFonts w:ascii="Palatino Linotype" w:hAnsi="Palatino Linotype" w:cs="Arial"/>
        </w:rPr>
        <w:t xml:space="preserve">, </w:t>
      </w:r>
      <w:bookmarkEnd w:id="1"/>
      <w:r w:rsidR="008354EB" w:rsidRPr="00305CA1">
        <w:rPr>
          <w:rFonts w:ascii="Palatino Linotype" w:hAnsi="Palatino Linotype" w:cs="Arial"/>
        </w:rPr>
        <w:t>se notificó a las partes el Acuerdo de Ampliación de Plazo para resolver el medio de impugnación que nos ocupa, en términos de lo dispuesto por el artículo 181, párrafo tercero de la Ley de Transparencia y Acceso a la Información Pública del Estado de México y Municipios; lo anterior, dada la cantidad de recursos de revisión que en este año dos mil diecinueve, han ingresado al Instituto de Transparencia, Acceso a la Información Pública y Protección de Datos Personales del Estado de México y Municipios; así como, a efecto de realizar un análisis exhaustivo de las constancias que obran en el expediente electrónico, adoptando las medidas pertinentes, a fin de aminorar los efectos que conlleva.</w:t>
      </w:r>
    </w:p>
    <w:p w:rsidR="008354EB" w:rsidRPr="00305CA1" w:rsidRDefault="008354EB" w:rsidP="008354EB">
      <w:pPr>
        <w:spacing w:before="240" w:after="240" w:line="360" w:lineRule="auto"/>
        <w:jc w:val="both"/>
      </w:pPr>
      <w:r w:rsidRPr="00305CA1">
        <w:rPr>
          <w:rFonts w:ascii="Palatino Linotype" w:hAnsi="Palatino Linotype" w:cs="Arial"/>
        </w:rPr>
        <w:t>En ese contexto, es menester indicar lo que refiere la Tesis Jurisprudencial con número de localización 2002351</w:t>
      </w:r>
      <w:r w:rsidRPr="00305CA1">
        <w:rPr>
          <w:rStyle w:val="Refdenotaalpie"/>
          <w:rFonts w:ascii="Palatino Linotype" w:hAnsi="Palatino Linotype" w:cs="Arial"/>
        </w:rPr>
        <w:footnoteReference w:id="1"/>
      </w:r>
      <w:r w:rsidRPr="00305CA1">
        <w:rPr>
          <w:rFonts w:ascii="Palatino Linotype" w:hAnsi="Palatino Linotype" w:cs="Arial"/>
        </w:rPr>
        <w:t xml:space="preserve">, la cual refiere que el Estado Mexicano cuenta con un catálogo </w:t>
      </w:r>
      <w:r w:rsidRPr="00305CA1">
        <w:rPr>
          <w:rFonts w:ascii="Palatino Linotype" w:hAnsi="Palatino Linotype" w:cs="Arial"/>
        </w:rPr>
        <w:lastRenderedPageBreak/>
        <w:t xml:space="preserve">de derechos y garantías que vinculan normativamente y permite salvar situaciones que diversas leyes plantean; así, tomando en cuenta que el plazo previsto en las leyes para resolver un asunto pudiera no corresponder a la realidad, es factible acudir, en tal supuesto, a los ordenamientos internacionales, a fin de establecer el contenido del concepto de </w:t>
      </w:r>
      <w:r w:rsidRPr="00305CA1">
        <w:rPr>
          <w:rFonts w:ascii="Palatino Linotype" w:hAnsi="Palatino Linotype" w:cs="Arial"/>
          <w:i/>
        </w:rPr>
        <w:t>"plazo razonable"</w:t>
      </w:r>
      <w:r w:rsidRPr="00305CA1">
        <w:rPr>
          <w:rFonts w:ascii="Palatino Linotype" w:hAnsi="Palatino Linotype" w:cs="Arial"/>
        </w:rPr>
        <w:t xml:space="preserve">, conforme a las particularidades del caso; más aún, un criterio de razonabilidad y justificación de eventuales demoras, siendo aplicables los artículos 8 y 25 de la Convención Internacional de Derechos Humanos que permiten configurar un proceso justo; así como, una tutela judicial efectiva. Por ello, el concepto de </w:t>
      </w:r>
      <w:r w:rsidRPr="00305CA1">
        <w:rPr>
          <w:rFonts w:ascii="Palatino Linotype" w:hAnsi="Palatino Linotype" w:cs="Arial"/>
          <w:i/>
        </w:rPr>
        <w:t>"plazo razonable"</w:t>
      </w:r>
      <w:r w:rsidRPr="00305CA1">
        <w:rPr>
          <w:rFonts w:ascii="Palatino Linotype" w:hAnsi="Palatino Linotype" w:cs="Arial"/>
        </w:rPr>
        <w:t xml:space="preserve"> es aplicable no sólo a la solución jurisdiccional de una controversia, sino a procedimientos análogos seguidos en forma de juicio, lo que implica que haya razonabilidad en el trámite y en la conclusión de las diversas etapas del procedimiento.</w:t>
      </w:r>
    </w:p>
    <w:p w:rsidR="0010356C" w:rsidRPr="00305CA1" w:rsidRDefault="0010356C" w:rsidP="008354EB">
      <w:pPr>
        <w:pStyle w:val="Prrafodelista"/>
        <w:tabs>
          <w:tab w:val="left" w:pos="567"/>
        </w:tabs>
        <w:spacing w:before="360" w:after="360" w:line="360" w:lineRule="auto"/>
        <w:ind w:left="0"/>
        <w:jc w:val="center"/>
        <w:rPr>
          <w:rFonts w:ascii="Palatino Linotype" w:hAnsi="Palatino Linotype"/>
          <w:b/>
          <w:bCs/>
          <w:spacing w:val="60"/>
          <w:sz w:val="28"/>
        </w:rPr>
      </w:pPr>
      <w:r w:rsidRPr="00305CA1">
        <w:rPr>
          <w:rFonts w:ascii="Palatino Linotype" w:hAnsi="Palatino Linotype"/>
          <w:b/>
          <w:bCs/>
          <w:spacing w:val="60"/>
          <w:sz w:val="28"/>
        </w:rPr>
        <w:t>CONSIDERANDO</w:t>
      </w:r>
    </w:p>
    <w:p w:rsidR="0010356C" w:rsidRPr="00305CA1" w:rsidRDefault="0010356C" w:rsidP="00BE7DF2">
      <w:pPr>
        <w:pStyle w:val="Prrafodelista"/>
        <w:widowControl w:val="0"/>
        <w:numPr>
          <w:ilvl w:val="0"/>
          <w:numId w:val="3"/>
        </w:numPr>
        <w:tabs>
          <w:tab w:val="left" w:pos="1560"/>
        </w:tabs>
        <w:autoSpaceDE w:val="0"/>
        <w:autoSpaceDN w:val="0"/>
        <w:adjustRightInd w:val="0"/>
        <w:spacing w:before="360" w:after="240" w:line="360" w:lineRule="auto"/>
        <w:ind w:left="0" w:firstLine="0"/>
        <w:jc w:val="both"/>
        <w:rPr>
          <w:rFonts w:ascii="Palatino Linotype" w:hAnsi="Palatino Linotype" w:cs="Arial"/>
        </w:rPr>
      </w:pPr>
      <w:r w:rsidRPr="00305CA1">
        <w:rPr>
          <w:rFonts w:ascii="Palatino Linotype" w:hAnsi="Palatino Linotype"/>
          <w:b/>
        </w:rPr>
        <w:t>Competencia</w:t>
      </w:r>
      <w:r w:rsidRPr="00305CA1">
        <w:rPr>
          <w:rFonts w:ascii="Palatino Linotype" w:hAnsi="Palatino Linotype"/>
        </w:rPr>
        <w:t>.</w:t>
      </w:r>
      <w:r w:rsidRPr="00305CA1">
        <w:rPr>
          <w:rFonts w:ascii="Palatino Linotype" w:hAnsi="Palatino Linotype"/>
          <w:b/>
        </w:rPr>
        <w:t xml:space="preserve"> </w:t>
      </w:r>
      <w:r w:rsidRPr="00305CA1">
        <w:rPr>
          <w:rFonts w:ascii="Palatino Linotype" w:hAnsi="Palatino Linotype"/>
        </w:rPr>
        <w:t xml:space="preserve">Este Instituto de Transparencia, Acceso a la Información Pública y Protección de Datos Personales del Estado de México y Municipios, es competente </w:t>
      </w:r>
      <w:r w:rsidRPr="00305CA1">
        <w:rPr>
          <w:rFonts w:ascii="Palatino Linotype" w:hAnsi="Palatino Linotype" w:cs="Arial"/>
        </w:rPr>
        <w:t>para</w:t>
      </w:r>
      <w:r w:rsidRPr="00305CA1">
        <w:rPr>
          <w:rFonts w:ascii="Palatino Linotype" w:hAnsi="Palatino Linotype"/>
        </w:rPr>
        <w:t xml:space="preserve"> conocer y resolver el </w:t>
      </w:r>
      <w:r w:rsidRPr="00305CA1">
        <w:rPr>
          <w:rFonts w:ascii="Palatino Linotype" w:hAnsi="Palatino Linotype" w:cs="Arial"/>
        </w:rPr>
        <w:t>presente</w:t>
      </w:r>
      <w:r w:rsidRPr="00305CA1">
        <w:rPr>
          <w:rFonts w:ascii="Palatino Linotype" w:hAnsi="Palatino Linotype"/>
        </w:rPr>
        <w:t xml:space="preserve"> recurso, conforme a lo dispuesto en el artículo 6, Apartado A, de la </w:t>
      </w:r>
      <w:r w:rsidRPr="00305CA1">
        <w:rPr>
          <w:rFonts w:ascii="Palatino Linotype" w:hAnsi="Palatino Linotype" w:cs="Arial"/>
        </w:rPr>
        <w:t>Constitución</w:t>
      </w:r>
      <w:r w:rsidRPr="00305CA1">
        <w:rPr>
          <w:rFonts w:ascii="Palatino Linotype" w:hAnsi="Palatino Linotype"/>
        </w:rPr>
        <w:t xml:space="preserve">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Pr="00305CA1">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r w:rsidRPr="00305CA1">
        <w:rPr>
          <w:rFonts w:ascii="Palatino Linotype" w:hAnsi="Palatino Linotype" w:cs="Arial"/>
        </w:rPr>
        <w:t>.</w:t>
      </w:r>
    </w:p>
    <w:p w:rsidR="0010356C" w:rsidRPr="00305CA1" w:rsidRDefault="0010356C" w:rsidP="00BE7DF2">
      <w:pPr>
        <w:pStyle w:val="Prrafodelista"/>
        <w:widowControl w:val="0"/>
        <w:numPr>
          <w:ilvl w:val="0"/>
          <w:numId w:val="3"/>
        </w:numPr>
        <w:tabs>
          <w:tab w:val="left" w:pos="1843"/>
        </w:tabs>
        <w:autoSpaceDE w:val="0"/>
        <w:autoSpaceDN w:val="0"/>
        <w:adjustRightInd w:val="0"/>
        <w:spacing w:before="360" w:after="240" w:line="360" w:lineRule="auto"/>
        <w:ind w:left="0" w:firstLine="0"/>
        <w:jc w:val="both"/>
        <w:rPr>
          <w:rFonts w:ascii="Palatino Linotype" w:hAnsi="Palatino Linotype" w:cs="Arial"/>
          <w:snapToGrid w:val="0"/>
        </w:rPr>
      </w:pPr>
      <w:r w:rsidRPr="00305CA1">
        <w:rPr>
          <w:rFonts w:ascii="Palatino Linotype" w:hAnsi="Palatino Linotype" w:cs="Arial"/>
          <w:b/>
        </w:rPr>
        <w:t>Interés.</w:t>
      </w:r>
      <w:r w:rsidRPr="00305CA1">
        <w:rPr>
          <w:rFonts w:ascii="Palatino Linotype" w:hAnsi="Palatino Linotype" w:cs="Arial"/>
        </w:rPr>
        <w:t xml:space="preserve"> El </w:t>
      </w:r>
      <w:r w:rsidRPr="00305CA1">
        <w:rPr>
          <w:rFonts w:ascii="Palatino Linotype" w:hAnsi="Palatino Linotype"/>
        </w:rPr>
        <w:t>recurso</w:t>
      </w:r>
      <w:r w:rsidRPr="00305CA1">
        <w:rPr>
          <w:rFonts w:ascii="Palatino Linotype" w:hAnsi="Palatino Linotype" w:cs="Arial"/>
        </w:rPr>
        <w:t xml:space="preserve"> de revisión fue </w:t>
      </w:r>
      <w:r w:rsidRPr="00305CA1">
        <w:rPr>
          <w:rFonts w:ascii="Palatino Linotype" w:hAnsi="Palatino Linotype"/>
        </w:rPr>
        <w:t>interpuesto</w:t>
      </w:r>
      <w:r w:rsidRPr="00305CA1">
        <w:rPr>
          <w:rFonts w:ascii="Palatino Linotype" w:hAnsi="Palatino Linotype" w:cs="Arial"/>
        </w:rPr>
        <w:t xml:space="preserve"> por parte legítima en atención a que fue </w:t>
      </w:r>
      <w:r w:rsidRPr="00305CA1">
        <w:rPr>
          <w:rFonts w:ascii="Palatino Linotype" w:hAnsi="Palatino Linotype"/>
        </w:rPr>
        <w:t>presentado</w:t>
      </w:r>
      <w:r w:rsidRPr="00305CA1">
        <w:rPr>
          <w:rFonts w:ascii="Palatino Linotype" w:hAnsi="Palatino Linotype" w:cs="Arial"/>
        </w:rPr>
        <w:t xml:space="preserve"> por </w:t>
      </w:r>
      <w:r w:rsidRPr="00305CA1">
        <w:rPr>
          <w:rFonts w:ascii="Palatino Linotype" w:hAnsi="Palatino Linotype" w:cs="Arial"/>
          <w:b/>
        </w:rPr>
        <w:t>EL RECURRENTE</w:t>
      </w:r>
      <w:r w:rsidRPr="00305CA1">
        <w:rPr>
          <w:rFonts w:ascii="Palatino Linotype" w:hAnsi="Palatino Linotype" w:cs="Arial"/>
          <w:snapToGrid w:val="0"/>
        </w:rPr>
        <w:t xml:space="preserve">, </w:t>
      </w:r>
      <w:r w:rsidRPr="00305CA1">
        <w:rPr>
          <w:rFonts w:ascii="Palatino Linotype" w:hAnsi="Palatino Linotype" w:cs="Arial"/>
        </w:rPr>
        <w:t>quien</w:t>
      </w:r>
      <w:r w:rsidRPr="00305CA1">
        <w:rPr>
          <w:rFonts w:ascii="Palatino Linotype" w:hAnsi="Palatino Linotype" w:cs="Arial"/>
          <w:snapToGrid w:val="0"/>
        </w:rPr>
        <w:t xml:space="preserve"> </w:t>
      </w:r>
      <w:r w:rsidRPr="00305CA1">
        <w:rPr>
          <w:rFonts w:ascii="Palatino Linotype" w:hAnsi="Palatino Linotype"/>
        </w:rPr>
        <w:t>formuló</w:t>
      </w:r>
      <w:r w:rsidRPr="00305CA1">
        <w:rPr>
          <w:rFonts w:ascii="Palatino Linotype" w:hAnsi="Palatino Linotype" w:cs="Arial"/>
          <w:snapToGrid w:val="0"/>
        </w:rPr>
        <w:t xml:space="preserve"> la </w:t>
      </w:r>
      <w:r w:rsidRPr="00305CA1">
        <w:rPr>
          <w:rFonts w:ascii="Palatino Linotype" w:hAnsi="Palatino Linotype" w:cs="Arial"/>
        </w:rPr>
        <w:t>solicitud</w:t>
      </w:r>
      <w:r w:rsidRPr="00305CA1">
        <w:rPr>
          <w:rFonts w:ascii="Palatino Linotype" w:hAnsi="Palatino Linotype" w:cs="Arial"/>
          <w:snapToGrid w:val="0"/>
        </w:rPr>
        <w:t xml:space="preserve"> de información pública al </w:t>
      </w:r>
      <w:r w:rsidRPr="00305CA1">
        <w:rPr>
          <w:rFonts w:ascii="Palatino Linotype" w:hAnsi="Palatino Linotype" w:cs="Arial"/>
          <w:b/>
          <w:snapToGrid w:val="0"/>
        </w:rPr>
        <w:t>SUJETO OBLIGADO.</w:t>
      </w:r>
      <w:r w:rsidRPr="00305CA1">
        <w:rPr>
          <w:rFonts w:ascii="Palatino Linotype" w:hAnsi="Palatino Linotype" w:cs="Arial"/>
          <w:snapToGrid w:val="0"/>
        </w:rPr>
        <w:t xml:space="preserve"> </w:t>
      </w:r>
    </w:p>
    <w:p w:rsidR="0010356C" w:rsidRPr="00305CA1" w:rsidRDefault="0010356C" w:rsidP="00BE7DF2">
      <w:pPr>
        <w:pStyle w:val="Prrafodelista"/>
        <w:widowControl w:val="0"/>
        <w:numPr>
          <w:ilvl w:val="0"/>
          <w:numId w:val="3"/>
        </w:numPr>
        <w:tabs>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305CA1">
        <w:rPr>
          <w:rFonts w:ascii="Palatino Linotype" w:hAnsi="Palatino Linotype" w:cs="Arial"/>
          <w:b/>
        </w:rPr>
        <w:t xml:space="preserve">Oportunidad. </w:t>
      </w:r>
      <w:r w:rsidRPr="00305CA1">
        <w:rPr>
          <w:rFonts w:ascii="Palatino Linotype" w:hAnsi="Palatino Linotype" w:cs="Arial"/>
        </w:rPr>
        <w:t xml:space="preserve">El </w:t>
      </w:r>
      <w:r w:rsidRPr="00305CA1">
        <w:rPr>
          <w:rFonts w:ascii="Palatino Linotype" w:hAnsi="Palatino Linotype"/>
        </w:rPr>
        <w:t>recurso</w:t>
      </w:r>
      <w:r w:rsidRPr="00305CA1">
        <w:rPr>
          <w:rFonts w:ascii="Palatino Linotype" w:hAnsi="Palatino Linotype" w:cs="Arial"/>
        </w:rPr>
        <w:t xml:space="preserve"> de revisión fue interpuesto dentro del plazo de quince días hábiles </w:t>
      </w:r>
      <w:r w:rsidRPr="00305CA1">
        <w:rPr>
          <w:rFonts w:ascii="Palatino Linotype" w:hAnsi="Palatino Linotype"/>
        </w:rPr>
        <w:t>contados</w:t>
      </w:r>
      <w:r w:rsidRPr="00305CA1">
        <w:rPr>
          <w:rFonts w:ascii="Palatino Linotype" w:hAnsi="Palatino Linotype" w:cs="Arial"/>
        </w:rPr>
        <w:t xml:space="preserve"> a </w:t>
      </w:r>
      <w:r w:rsidRPr="00305CA1">
        <w:rPr>
          <w:rFonts w:ascii="Palatino Linotype" w:hAnsi="Palatino Linotype"/>
        </w:rPr>
        <w:t>partir</w:t>
      </w:r>
      <w:r w:rsidRPr="00305CA1">
        <w:rPr>
          <w:rFonts w:ascii="Palatino Linotype" w:hAnsi="Palatino Linotype" w:cs="Arial"/>
        </w:rPr>
        <w:t xml:space="preserve"> del día siguiente al que </w:t>
      </w:r>
      <w:r w:rsidRPr="00305CA1">
        <w:rPr>
          <w:rFonts w:ascii="Palatino Linotype" w:hAnsi="Palatino Linotype" w:cs="Arial"/>
          <w:b/>
        </w:rPr>
        <w:t>EL RECURRENTE</w:t>
      </w:r>
      <w:r w:rsidRPr="00305CA1">
        <w:rPr>
          <w:rFonts w:ascii="Palatino Linotype" w:hAnsi="Palatino Linotype" w:cs="Arial"/>
          <w:b/>
          <w:bCs/>
        </w:rPr>
        <w:t xml:space="preserve"> </w:t>
      </w:r>
      <w:r w:rsidRPr="00305CA1">
        <w:rPr>
          <w:rFonts w:ascii="Palatino Linotype" w:hAnsi="Palatino Linotype" w:cs="Arial"/>
        </w:rPr>
        <w:t xml:space="preserve">tuvo conocimiento de la respuesta </w:t>
      </w:r>
      <w:r w:rsidRPr="00305CA1">
        <w:rPr>
          <w:rFonts w:ascii="Palatino Linotype" w:hAnsi="Palatino Linotype"/>
        </w:rPr>
        <w:t>impugnada</w:t>
      </w:r>
      <w:r w:rsidRPr="00305CA1">
        <w:rPr>
          <w:rFonts w:ascii="Palatino Linotype" w:hAnsi="Palatino Linotype" w:cs="Arial"/>
        </w:rPr>
        <w:t>, tal y como lo prevé el artículo 178 de la Ley de Transparencia y Acceso a la Información Pública del Estado de México y Municipios, que establece:</w:t>
      </w:r>
    </w:p>
    <w:p w:rsidR="0010356C" w:rsidRPr="00305CA1" w:rsidRDefault="0010356C" w:rsidP="0010356C">
      <w:pPr>
        <w:ind w:left="851" w:right="902"/>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Artículo 178.</w:t>
      </w:r>
      <w:r w:rsidRPr="00305CA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0356C" w:rsidRPr="00305CA1" w:rsidRDefault="0010356C" w:rsidP="0010356C">
      <w:pPr>
        <w:ind w:left="851" w:right="902"/>
        <w:jc w:val="both"/>
        <w:rPr>
          <w:rFonts w:ascii="Palatino Linotype" w:hAnsi="Palatino Linotype" w:cs="Arial"/>
          <w:i/>
          <w:sz w:val="22"/>
          <w:szCs w:val="22"/>
        </w:rPr>
      </w:pPr>
      <w:r w:rsidRPr="00305CA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0356C" w:rsidRPr="00305CA1" w:rsidRDefault="0010356C" w:rsidP="0010356C">
      <w:pPr>
        <w:ind w:left="851" w:right="902"/>
        <w:jc w:val="both"/>
        <w:rPr>
          <w:rFonts w:ascii="Palatino Linotype" w:hAnsi="Palatino Linotype" w:cs="Arial"/>
          <w:i/>
          <w:sz w:val="22"/>
          <w:szCs w:val="22"/>
        </w:rPr>
      </w:pPr>
      <w:r w:rsidRPr="00305CA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305CA1">
        <w:rPr>
          <w:rFonts w:ascii="Palatino Linotype" w:hAnsi="Palatino Linotype" w:cs="Arial"/>
          <w:i/>
          <w:sz w:val="22"/>
          <w:szCs w:val="22"/>
          <w:lang w:eastAsia="es-MX"/>
        </w:rPr>
        <w:t>siguiente</w:t>
      </w:r>
      <w:r w:rsidRPr="00305CA1">
        <w:rPr>
          <w:rFonts w:ascii="Palatino Linotype" w:hAnsi="Palatino Linotype" w:cs="Arial"/>
          <w:i/>
          <w:sz w:val="22"/>
          <w:szCs w:val="22"/>
        </w:rPr>
        <w:t xml:space="preserve"> de haberlo recibido.”</w:t>
      </w:r>
    </w:p>
    <w:p w:rsidR="0010356C" w:rsidRPr="00305CA1" w:rsidRDefault="0010356C" w:rsidP="006E746B">
      <w:pPr>
        <w:spacing w:before="360" w:after="240" w:line="360" w:lineRule="auto"/>
        <w:jc w:val="both"/>
        <w:rPr>
          <w:rFonts w:ascii="Palatino Linotype" w:hAnsi="Palatino Linotype" w:cs="Arial"/>
        </w:rPr>
      </w:pPr>
      <w:r w:rsidRPr="00305CA1">
        <w:rPr>
          <w:rFonts w:ascii="Palatino Linotype" w:hAnsi="Palatino Linotype" w:cs="Arial"/>
        </w:rPr>
        <w:t xml:space="preserve">En esa tesitura, atendiendo a que </w:t>
      </w:r>
      <w:r w:rsidRPr="00305CA1">
        <w:rPr>
          <w:rFonts w:ascii="Palatino Linotype" w:hAnsi="Palatino Linotype" w:cs="Arial"/>
          <w:b/>
        </w:rPr>
        <w:t>EL SUJETO OBLIGADO</w:t>
      </w:r>
      <w:r w:rsidRPr="00305CA1">
        <w:rPr>
          <w:rFonts w:ascii="Palatino Linotype" w:hAnsi="Palatino Linotype" w:cs="Arial"/>
        </w:rPr>
        <w:t xml:space="preserve"> notificó la respuesta a la solicitud de información pública el día </w:t>
      </w:r>
      <w:r w:rsidR="00E571C8" w:rsidRPr="00305CA1">
        <w:rPr>
          <w:rFonts w:ascii="Palatino Linotype" w:hAnsi="Palatino Linotype" w:cs="Arial"/>
          <w:b/>
        </w:rPr>
        <w:t xml:space="preserve">veinte </w:t>
      </w:r>
      <w:r w:rsidRPr="00305CA1">
        <w:rPr>
          <w:rFonts w:ascii="Palatino Linotype" w:hAnsi="Palatino Linotype" w:cs="Arial"/>
          <w:b/>
        </w:rPr>
        <w:t>de agosto de dos mil diecinueve</w:t>
      </w:r>
      <w:r w:rsidRPr="00305CA1">
        <w:rPr>
          <w:rFonts w:ascii="Palatino Linotype" w:hAnsi="Palatino Linotype" w:cs="Arial"/>
        </w:rPr>
        <w:t>; así, el plazo de quince días hábiles que el artículo 178 de la Ley de la materia otorga al hoy</w:t>
      </w:r>
      <w:r w:rsidRPr="00305CA1">
        <w:rPr>
          <w:rFonts w:ascii="Palatino Linotype" w:hAnsi="Palatino Linotype" w:cs="Arial"/>
          <w:b/>
        </w:rPr>
        <w:t xml:space="preserve"> RECURRENTE </w:t>
      </w:r>
      <w:r w:rsidRPr="00305CA1">
        <w:rPr>
          <w:rFonts w:ascii="Palatino Linotype" w:hAnsi="Palatino Linotype" w:cs="Arial"/>
        </w:rPr>
        <w:t>para presentar el recurso de revisión, transcurrió del</w:t>
      </w:r>
      <w:r w:rsidR="00E571C8" w:rsidRPr="00305CA1">
        <w:rPr>
          <w:rFonts w:ascii="Palatino Linotype" w:hAnsi="Palatino Linotype" w:cs="Arial"/>
          <w:b/>
        </w:rPr>
        <w:t xml:space="preserve"> veintiuno </w:t>
      </w:r>
      <w:r w:rsidRPr="00305CA1">
        <w:rPr>
          <w:rFonts w:ascii="Palatino Linotype" w:hAnsi="Palatino Linotype" w:cs="Arial"/>
          <w:b/>
        </w:rPr>
        <w:t xml:space="preserve">de </w:t>
      </w:r>
      <w:r w:rsidRPr="00305CA1">
        <w:rPr>
          <w:rFonts w:ascii="Palatino Linotype" w:hAnsi="Palatino Linotype" w:cs="Arial"/>
          <w:b/>
        </w:rPr>
        <w:lastRenderedPageBreak/>
        <w:t xml:space="preserve">agosto al </w:t>
      </w:r>
      <w:r w:rsidR="00E571C8" w:rsidRPr="00305CA1">
        <w:rPr>
          <w:rFonts w:ascii="Palatino Linotype" w:hAnsi="Palatino Linotype" w:cs="Arial"/>
          <w:b/>
        </w:rPr>
        <w:t xml:space="preserve">diez de </w:t>
      </w:r>
      <w:r w:rsidRPr="00305CA1">
        <w:rPr>
          <w:rFonts w:ascii="Palatino Linotype" w:hAnsi="Palatino Linotype" w:cs="Arial"/>
          <w:b/>
        </w:rPr>
        <w:t>septiembre de dos mil diecinueve</w:t>
      </w:r>
      <w:r w:rsidRPr="00305CA1">
        <w:rPr>
          <w:rFonts w:ascii="Palatino Linotype" w:hAnsi="Palatino Linotype" w:cs="Arial"/>
        </w:rPr>
        <w:t>, sin contemplar en el cómputo los días veinticuatro, veint</w:t>
      </w:r>
      <w:r w:rsidR="00E571C8" w:rsidRPr="00305CA1">
        <w:rPr>
          <w:rFonts w:ascii="Palatino Linotype" w:hAnsi="Palatino Linotype" w:cs="Arial"/>
        </w:rPr>
        <w:t xml:space="preserve">icinco, treinta y uno de agosto, uno, siete y ocho </w:t>
      </w:r>
      <w:r w:rsidRPr="00305CA1">
        <w:rPr>
          <w:rFonts w:ascii="Palatino Linotype" w:hAnsi="Palatino Linotype" w:cs="Arial"/>
        </w:rPr>
        <w:t xml:space="preserve">de septiembre de dos mil diecinueve, por corresponder a sábados y domingos, en términos del artículo 3, fracción X, de la </w:t>
      </w:r>
      <w:r w:rsidRPr="00305CA1">
        <w:rPr>
          <w:rFonts w:ascii="Palatino Linotype" w:hAnsi="Palatino Linotype"/>
        </w:rPr>
        <w:t>Ley de Transparencia y Acceso a la Información Pública del Estado de México y Municipios.</w:t>
      </w:r>
    </w:p>
    <w:p w:rsidR="0010356C" w:rsidRPr="00305CA1" w:rsidRDefault="0010356C" w:rsidP="006E746B">
      <w:pPr>
        <w:spacing w:before="360" w:after="240" w:line="360" w:lineRule="auto"/>
        <w:jc w:val="both"/>
        <w:rPr>
          <w:rFonts w:ascii="Palatino Linotype" w:hAnsi="Palatino Linotype" w:cs="Arial"/>
        </w:rPr>
      </w:pPr>
      <w:r w:rsidRPr="00305CA1">
        <w:rPr>
          <w:rFonts w:ascii="Palatino Linotype" w:hAnsi="Palatino Linotype" w:cs="Arial"/>
        </w:rPr>
        <w:t>En ese tenor, si el recurso de revisión que nos ocupa, se interpuso el día</w:t>
      </w:r>
      <w:r w:rsidR="00E571C8" w:rsidRPr="00305CA1">
        <w:rPr>
          <w:rFonts w:ascii="Palatino Linotype" w:hAnsi="Palatino Linotype" w:cs="Arial"/>
          <w:b/>
        </w:rPr>
        <w:t xml:space="preserve"> veintiocho</w:t>
      </w:r>
      <w:r w:rsidRPr="00305CA1">
        <w:rPr>
          <w:rFonts w:ascii="Palatino Linotype" w:hAnsi="Palatino Linotype" w:cs="Arial"/>
          <w:b/>
        </w:rPr>
        <w:t xml:space="preserve"> de agosto de dos mil diecinueve, </w:t>
      </w:r>
      <w:r w:rsidRPr="00305CA1">
        <w:rPr>
          <w:rFonts w:ascii="Palatino Linotype" w:hAnsi="Palatino Linotype" w:cs="Arial"/>
        </w:rPr>
        <w:t>éste se encuentra dentro de los márgenes temporales previstos en el precepto legal señalado en el párrafo anterior y, por tanto, su interposición se considera oportuna.</w:t>
      </w:r>
    </w:p>
    <w:p w:rsidR="00BE7DF2" w:rsidRPr="00305CA1" w:rsidRDefault="0010356C" w:rsidP="00BE7DF2">
      <w:pPr>
        <w:pStyle w:val="Prrafodelista"/>
        <w:widowControl w:val="0"/>
        <w:numPr>
          <w:ilvl w:val="0"/>
          <w:numId w:val="3"/>
        </w:numPr>
        <w:tabs>
          <w:tab w:val="left" w:pos="1560"/>
        </w:tabs>
        <w:autoSpaceDE w:val="0"/>
        <w:autoSpaceDN w:val="0"/>
        <w:adjustRightInd w:val="0"/>
        <w:spacing w:before="360" w:after="240" w:line="360" w:lineRule="auto"/>
        <w:ind w:left="0" w:firstLine="0"/>
        <w:jc w:val="both"/>
        <w:rPr>
          <w:rFonts w:ascii="Palatino Linotype" w:hAnsi="Palatino Linotype" w:cs="Arial"/>
        </w:rPr>
      </w:pPr>
      <w:proofErr w:type="spellStart"/>
      <w:r w:rsidRPr="00305CA1">
        <w:rPr>
          <w:rFonts w:ascii="Palatino Linotype" w:hAnsi="Palatino Linotype" w:cs="Arial"/>
          <w:b/>
          <w:szCs w:val="28"/>
        </w:rPr>
        <w:t>Procedibilidad</w:t>
      </w:r>
      <w:proofErr w:type="spellEnd"/>
      <w:r w:rsidRPr="00305CA1">
        <w:rPr>
          <w:rFonts w:ascii="Palatino Linotype" w:hAnsi="Palatino Linotype" w:cs="Arial"/>
          <w:b/>
          <w:szCs w:val="28"/>
        </w:rPr>
        <w:t xml:space="preserve">. </w:t>
      </w:r>
      <w:r w:rsidR="00BE7DF2" w:rsidRPr="00305CA1">
        <w:rPr>
          <w:rFonts w:ascii="Palatino Linotype" w:hAnsi="Palatino Linotype" w:cs="Arial"/>
        </w:rPr>
        <w:t xml:space="preserve">Esta Ponencia considera importante abordar el análisis de los requisitos de </w:t>
      </w:r>
      <w:proofErr w:type="spellStart"/>
      <w:r w:rsidR="00BE7DF2" w:rsidRPr="00305CA1">
        <w:rPr>
          <w:rFonts w:ascii="Palatino Linotype" w:hAnsi="Palatino Linotype" w:cs="Arial"/>
        </w:rPr>
        <w:t>procedibilidad</w:t>
      </w:r>
      <w:proofErr w:type="spellEnd"/>
      <w:r w:rsidR="00BE7DF2" w:rsidRPr="00305CA1">
        <w:rPr>
          <w:rFonts w:ascii="Palatino Linotype" w:hAnsi="Palatino Linotype" w:cs="Arial"/>
        </w:rPr>
        <w:t xml:space="preserve"> del recurso de revisión, así el artículo 180, de la </w:t>
      </w:r>
      <w:r w:rsidR="00BE7DF2" w:rsidRPr="00305CA1">
        <w:rPr>
          <w:rFonts w:ascii="Palatino Linotype" w:hAnsi="Palatino Linotype" w:cs="Arial"/>
          <w:lang w:eastAsia="es-MX"/>
        </w:rPr>
        <w:t xml:space="preserve">Ley de Transparencia y Acceso a la </w:t>
      </w:r>
      <w:r w:rsidR="00BE7DF2" w:rsidRPr="00305CA1">
        <w:rPr>
          <w:rFonts w:ascii="Palatino Linotype" w:hAnsi="Palatino Linotype" w:cs="Arial"/>
        </w:rPr>
        <w:t>Información</w:t>
      </w:r>
      <w:r w:rsidR="00BE7DF2" w:rsidRPr="00305CA1">
        <w:rPr>
          <w:rFonts w:ascii="Palatino Linotype" w:hAnsi="Palatino Linotype" w:cs="Arial"/>
          <w:lang w:eastAsia="es-MX"/>
        </w:rPr>
        <w:t xml:space="preserve"> Pública del Estado de México y Municipios, que </w:t>
      </w:r>
      <w:r w:rsidR="00BE7DF2" w:rsidRPr="00305CA1">
        <w:rPr>
          <w:rFonts w:ascii="Palatino Linotype" w:hAnsi="Palatino Linotype" w:cs="Arial"/>
        </w:rPr>
        <w:t>establece lo siguiente:</w:t>
      </w:r>
    </w:p>
    <w:p w:rsidR="00BE7DF2" w:rsidRPr="00305CA1" w:rsidRDefault="00BE7DF2" w:rsidP="00BE7DF2">
      <w:pPr>
        <w:spacing w:before="160" w:after="160"/>
        <w:ind w:left="709" w:right="709"/>
        <w:jc w:val="both"/>
        <w:rPr>
          <w:rFonts w:ascii="Palatino Linotype" w:hAnsi="Palatino Linotype"/>
          <w:b/>
          <w:i/>
          <w:sz w:val="22"/>
          <w:szCs w:val="22"/>
        </w:rPr>
      </w:pPr>
      <w:r w:rsidRPr="00305CA1">
        <w:rPr>
          <w:rFonts w:ascii="Palatino Linotype" w:hAnsi="Palatino Linotype"/>
          <w:i/>
          <w:sz w:val="22"/>
          <w:szCs w:val="22"/>
        </w:rPr>
        <w:t>“</w:t>
      </w:r>
      <w:r w:rsidRPr="00305CA1">
        <w:rPr>
          <w:rFonts w:ascii="Palatino Linotype" w:hAnsi="Palatino Linotype"/>
          <w:b/>
          <w:i/>
          <w:sz w:val="22"/>
          <w:szCs w:val="22"/>
        </w:rPr>
        <w:t xml:space="preserve">Artículo 180. </w:t>
      </w:r>
      <w:r w:rsidRPr="00305CA1">
        <w:rPr>
          <w:rFonts w:ascii="Palatino Linotype" w:hAnsi="Palatino Linotype"/>
          <w:i/>
          <w:sz w:val="22"/>
          <w:szCs w:val="22"/>
        </w:rPr>
        <w:t xml:space="preserve">El </w:t>
      </w:r>
      <w:r w:rsidRPr="00305CA1">
        <w:rPr>
          <w:rFonts w:ascii="Palatino Linotype" w:hAnsi="Palatino Linotype" w:cs="Arial"/>
          <w:i/>
          <w:sz w:val="22"/>
          <w:szCs w:val="22"/>
        </w:rPr>
        <w:t>recurso</w:t>
      </w:r>
      <w:r w:rsidRPr="00305CA1">
        <w:rPr>
          <w:rFonts w:ascii="Palatino Linotype" w:hAnsi="Palatino Linotype"/>
          <w:i/>
          <w:sz w:val="22"/>
          <w:szCs w:val="22"/>
        </w:rPr>
        <w:t xml:space="preserve"> </w:t>
      </w:r>
      <w:r w:rsidRPr="00305CA1">
        <w:rPr>
          <w:rFonts w:ascii="Palatino Linotype" w:hAnsi="Palatino Linotype" w:cs="Arial"/>
          <w:i/>
          <w:color w:val="222222"/>
          <w:sz w:val="22"/>
          <w:szCs w:val="22"/>
          <w:lang w:eastAsia="es-MX"/>
        </w:rPr>
        <w:t>de</w:t>
      </w:r>
      <w:r w:rsidRPr="00305CA1">
        <w:rPr>
          <w:rFonts w:ascii="Palatino Linotype" w:hAnsi="Palatino Linotype"/>
          <w:i/>
          <w:sz w:val="22"/>
          <w:szCs w:val="22"/>
        </w:rPr>
        <w:t xml:space="preserve"> revisión contendrá:</w:t>
      </w:r>
    </w:p>
    <w:p w:rsidR="00BE7DF2" w:rsidRPr="00305CA1" w:rsidRDefault="00BE7DF2" w:rsidP="00BE7DF2">
      <w:pPr>
        <w:spacing w:before="160" w:after="160"/>
        <w:ind w:left="709" w:right="709"/>
        <w:jc w:val="both"/>
        <w:rPr>
          <w:rFonts w:ascii="Palatino Linotype" w:hAnsi="Palatino Linotype"/>
          <w:b/>
          <w:i/>
          <w:sz w:val="22"/>
          <w:szCs w:val="22"/>
        </w:rPr>
      </w:pPr>
      <w:r w:rsidRPr="00305CA1">
        <w:rPr>
          <w:rFonts w:ascii="Palatino Linotype" w:hAnsi="Palatino Linotype"/>
          <w:b/>
          <w:i/>
          <w:sz w:val="22"/>
          <w:szCs w:val="22"/>
        </w:rPr>
        <w:t xml:space="preserve">I. </w:t>
      </w:r>
      <w:r w:rsidRPr="00305CA1">
        <w:rPr>
          <w:rFonts w:ascii="Palatino Linotype" w:hAnsi="Palatino Linotype"/>
          <w:i/>
          <w:sz w:val="22"/>
          <w:szCs w:val="22"/>
        </w:rPr>
        <w:t xml:space="preserve">El sujeto obligado ante </w:t>
      </w:r>
      <w:r w:rsidRPr="00305CA1">
        <w:rPr>
          <w:rFonts w:ascii="Palatino Linotype" w:hAnsi="Palatino Linotype" w:cs="Arial"/>
          <w:i/>
          <w:sz w:val="22"/>
          <w:szCs w:val="22"/>
        </w:rPr>
        <w:t>la</w:t>
      </w:r>
      <w:r w:rsidRPr="00305CA1">
        <w:rPr>
          <w:rFonts w:ascii="Palatino Linotype" w:hAnsi="Palatino Linotype"/>
          <w:i/>
          <w:sz w:val="22"/>
          <w:szCs w:val="22"/>
        </w:rPr>
        <w:t xml:space="preserve"> cual </w:t>
      </w:r>
      <w:r w:rsidRPr="00305CA1">
        <w:rPr>
          <w:rFonts w:ascii="Palatino Linotype" w:hAnsi="Palatino Linotype" w:cs="Arial"/>
          <w:i/>
          <w:color w:val="222222"/>
          <w:sz w:val="22"/>
          <w:szCs w:val="22"/>
          <w:lang w:eastAsia="es-MX"/>
        </w:rPr>
        <w:t>se</w:t>
      </w:r>
      <w:r w:rsidRPr="00305CA1">
        <w:rPr>
          <w:rFonts w:ascii="Palatino Linotype" w:hAnsi="Palatino Linotype"/>
          <w:i/>
          <w:sz w:val="22"/>
          <w:szCs w:val="22"/>
        </w:rPr>
        <w:t xml:space="preserve"> presentó la solicitud;</w:t>
      </w:r>
    </w:p>
    <w:p w:rsidR="00BE7DF2" w:rsidRPr="00305CA1" w:rsidRDefault="00BE7DF2" w:rsidP="00BE7DF2">
      <w:pPr>
        <w:spacing w:before="160" w:after="160"/>
        <w:ind w:left="709" w:right="709"/>
        <w:jc w:val="both"/>
        <w:rPr>
          <w:rFonts w:ascii="Palatino Linotype" w:hAnsi="Palatino Linotype"/>
          <w:b/>
          <w:i/>
          <w:sz w:val="22"/>
          <w:szCs w:val="22"/>
        </w:rPr>
      </w:pPr>
      <w:r w:rsidRPr="00305CA1">
        <w:rPr>
          <w:rFonts w:ascii="Palatino Linotype" w:hAnsi="Palatino Linotype"/>
          <w:b/>
          <w:i/>
          <w:sz w:val="22"/>
          <w:szCs w:val="22"/>
        </w:rPr>
        <w:t xml:space="preserve">II. </w:t>
      </w:r>
      <w:r w:rsidRPr="00305CA1">
        <w:rPr>
          <w:rFonts w:ascii="Palatino Linotype" w:hAnsi="Palatino Linotype"/>
          <w:b/>
          <w:i/>
          <w:sz w:val="22"/>
          <w:szCs w:val="22"/>
          <w:u w:val="single"/>
        </w:rPr>
        <w:t xml:space="preserve">El nombre del solicitante </w:t>
      </w:r>
      <w:r w:rsidRPr="00305CA1">
        <w:rPr>
          <w:rFonts w:ascii="Palatino Linotype" w:hAnsi="Palatino Linotype" w:cs="Arial"/>
          <w:b/>
          <w:i/>
          <w:color w:val="222222"/>
          <w:sz w:val="22"/>
          <w:szCs w:val="22"/>
          <w:u w:val="single"/>
          <w:lang w:eastAsia="es-MX"/>
        </w:rPr>
        <w:t>que</w:t>
      </w:r>
      <w:r w:rsidRPr="00305CA1">
        <w:rPr>
          <w:rFonts w:ascii="Palatino Linotype" w:hAnsi="Palatino Linotype"/>
          <w:b/>
          <w:i/>
          <w:sz w:val="22"/>
          <w:szCs w:val="22"/>
          <w:u w:val="single"/>
        </w:rPr>
        <w:t xml:space="preserve"> recurre</w:t>
      </w:r>
      <w:r w:rsidRPr="00305CA1">
        <w:rPr>
          <w:rFonts w:ascii="Palatino Linotype" w:hAnsi="Palatino Linotype"/>
          <w:b/>
          <w:i/>
          <w:sz w:val="22"/>
          <w:szCs w:val="22"/>
        </w:rPr>
        <w:t xml:space="preserve"> </w:t>
      </w:r>
      <w:r w:rsidRPr="00305CA1">
        <w:rPr>
          <w:rFonts w:ascii="Palatino Linotype" w:hAnsi="Palatino Linotype"/>
          <w:i/>
          <w:sz w:val="22"/>
          <w:szCs w:val="22"/>
        </w:rPr>
        <w:t>o de su representante y, en su caso, del tercero interesado, así como la dirección o medio que señale para recibir notificaciones;</w:t>
      </w:r>
    </w:p>
    <w:p w:rsidR="00BE7DF2" w:rsidRPr="00305CA1" w:rsidRDefault="00BE7DF2" w:rsidP="00BE7DF2">
      <w:pPr>
        <w:spacing w:before="160" w:after="160"/>
        <w:ind w:left="709" w:right="709"/>
        <w:jc w:val="both"/>
        <w:rPr>
          <w:rFonts w:ascii="Palatino Linotype" w:hAnsi="Palatino Linotype"/>
          <w:b/>
          <w:i/>
          <w:sz w:val="22"/>
          <w:szCs w:val="22"/>
        </w:rPr>
      </w:pPr>
      <w:r w:rsidRPr="00305CA1">
        <w:rPr>
          <w:rFonts w:ascii="Palatino Linotype" w:hAnsi="Palatino Linotype"/>
          <w:b/>
          <w:i/>
          <w:sz w:val="22"/>
          <w:szCs w:val="22"/>
        </w:rPr>
        <w:t xml:space="preserve">III. </w:t>
      </w:r>
      <w:r w:rsidRPr="00305CA1">
        <w:rPr>
          <w:rFonts w:ascii="Palatino Linotype" w:hAnsi="Palatino Linotype"/>
          <w:i/>
          <w:sz w:val="22"/>
          <w:szCs w:val="22"/>
        </w:rPr>
        <w:t xml:space="preserve">El número de folio de </w:t>
      </w:r>
      <w:r w:rsidRPr="00305CA1">
        <w:rPr>
          <w:rFonts w:ascii="Palatino Linotype" w:hAnsi="Palatino Linotype" w:cs="Arial"/>
          <w:i/>
          <w:color w:val="222222"/>
          <w:sz w:val="22"/>
          <w:szCs w:val="22"/>
          <w:lang w:eastAsia="es-MX"/>
        </w:rPr>
        <w:t>respuesta</w:t>
      </w:r>
      <w:r w:rsidRPr="00305CA1">
        <w:rPr>
          <w:rFonts w:ascii="Palatino Linotype" w:hAnsi="Palatino Linotype"/>
          <w:i/>
          <w:sz w:val="22"/>
          <w:szCs w:val="22"/>
        </w:rPr>
        <w:t xml:space="preserve"> de la solicitud de acceso;</w:t>
      </w:r>
    </w:p>
    <w:p w:rsidR="00BE7DF2" w:rsidRPr="00305CA1" w:rsidRDefault="00BE7DF2" w:rsidP="00BE7DF2">
      <w:pPr>
        <w:spacing w:before="160" w:after="160"/>
        <w:ind w:left="709" w:right="709"/>
        <w:jc w:val="both"/>
        <w:rPr>
          <w:rFonts w:ascii="Palatino Linotype" w:hAnsi="Palatino Linotype"/>
          <w:b/>
          <w:i/>
          <w:sz w:val="22"/>
          <w:szCs w:val="22"/>
        </w:rPr>
      </w:pPr>
      <w:r w:rsidRPr="00305CA1">
        <w:rPr>
          <w:rFonts w:ascii="Palatino Linotype" w:hAnsi="Palatino Linotype"/>
          <w:b/>
          <w:i/>
          <w:sz w:val="22"/>
          <w:szCs w:val="22"/>
        </w:rPr>
        <w:t xml:space="preserve">IV. </w:t>
      </w:r>
      <w:r w:rsidRPr="00305CA1">
        <w:rPr>
          <w:rFonts w:ascii="Palatino Linotype" w:hAnsi="Palatino Linotype"/>
          <w:i/>
          <w:sz w:val="22"/>
          <w:szCs w:val="22"/>
        </w:rPr>
        <w:t xml:space="preserve">La fecha en que fue </w:t>
      </w:r>
      <w:r w:rsidRPr="00305CA1">
        <w:rPr>
          <w:rFonts w:ascii="Palatino Linotype" w:hAnsi="Palatino Linotype" w:cs="Arial"/>
          <w:i/>
          <w:color w:val="222222"/>
          <w:sz w:val="22"/>
          <w:szCs w:val="22"/>
          <w:lang w:eastAsia="es-MX"/>
        </w:rPr>
        <w:t>notificada</w:t>
      </w:r>
      <w:r w:rsidRPr="00305CA1">
        <w:rPr>
          <w:rFonts w:ascii="Palatino Linotype" w:hAnsi="Palatino Linotype"/>
          <w:i/>
          <w:sz w:val="22"/>
          <w:szCs w:val="22"/>
        </w:rPr>
        <w:t xml:space="preserve"> la respuesta al solicitante o tuvo conocimiento del acto reclamado, o de presentación de la solicitud, en caso de falta de respuesta;</w:t>
      </w:r>
    </w:p>
    <w:p w:rsidR="00BE7DF2" w:rsidRPr="00305CA1" w:rsidRDefault="00BE7DF2" w:rsidP="00BE7DF2">
      <w:pPr>
        <w:spacing w:before="160" w:after="160"/>
        <w:ind w:left="709" w:right="709"/>
        <w:jc w:val="both"/>
        <w:rPr>
          <w:rFonts w:ascii="Palatino Linotype" w:hAnsi="Palatino Linotype"/>
          <w:b/>
          <w:i/>
          <w:sz w:val="22"/>
          <w:szCs w:val="22"/>
        </w:rPr>
      </w:pPr>
      <w:r w:rsidRPr="00305CA1">
        <w:rPr>
          <w:rFonts w:ascii="Palatino Linotype" w:hAnsi="Palatino Linotype"/>
          <w:b/>
          <w:i/>
          <w:sz w:val="22"/>
          <w:szCs w:val="22"/>
        </w:rPr>
        <w:t xml:space="preserve">V. </w:t>
      </w:r>
      <w:r w:rsidRPr="00305CA1">
        <w:rPr>
          <w:rFonts w:ascii="Palatino Linotype" w:hAnsi="Palatino Linotype"/>
          <w:i/>
          <w:sz w:val="22"/>
          <w:szCs w:val="22"/>
        </w:rPr>
        <w:t xml:space="preserve">El acto que se </w:t>
      </w:r>
      <w:r w:rsidRPr="00305CA1">
        <w:rPr>
          <w:rFonts w:ascii="Palatino Linotype" w:hAnsi="Palatino Linotype" w:cs="Arial"/>
          <w:i/>
          <w:color w:val="222222"/>
          <w:sz w:val="22"/>
          <w:szCs w:val="22"/>
          <w:lang w:eastAsia="es-MX"/>
        </w:rPr>
        <w:t>recurre</w:t>
      </w:r>
      <w:r w:rsidRPr="00305CA1">
        <w:rPr>
          <w:rFonts w:ascii="Palatino Linotype" w:hAnsi="Palatino Linotype"/>
          <w:i/>
          <w:sz w:val="22"/>
          <w:szCs w:val="22"/>
        </w:rPr>
        <w:t>;</w:t>
      </w:r>
    </w:p>
    <w:p w:rsidR="00BE7DF2" w:rsidRPr="00305CA1" w:rsidRDefault="00BE7DF2" w:rsidP="00BE7DF2">
      <w:pPr>
        <w:spacing w:before="160" w:after="160"/>
        <w:ind w:left="709" w:right="709"/>
        <w:jc w:val="both"/>
        <w:rPr>
          <w:rFonts w:ascii="Palatino Linotype" w:hAnsi="Palatino Linotype"/>
          <w:b/>
          <w:i/>
          <w:sz w:val="22"/>
          <w:szCs w:val="22"/>
        </w:rPr>
      </w:pPr>
      <w:r w:rsidRPr="00305CA1">
        <w:rPr>
          <w:rFonts w:ascii="Palatino Linotype" w:hAnsi="Palatino Linotype"/>
          <w:b/>
          <w:i/>
          <w:sz w:val="22"/>
          <w:szCs w:val="22"/>
        </w:rPr>
        <w:t xml:space="preserve">VI. </w:t>
      </w:r>
      <w:r w:rsidRPr="00305CA1">
        <w:rPr>
          <w:rFonts w:ascii="Palatino Linotype" w:hAnsi="Palatino Linotype"/>
          <w:i/>
          <w:sz w:val="22"/>
          <w:szCs w:val="22"/>
        </w:rPr>
        <w:t xml:space="preserve">Las razones o </w:t>
      </w:r>
      <w:r w:rsidRPr="00305CA1">
        <w:rPr>
          <w:rFonts w:ascii="Palatino Linotype" w:hAnsi="Palatino Linotype" w:cs="Arial"/>
          <w:i/>
          <w:color w:val="222222"/>
          <w:sz w:val="22"/>
          <w:szCs w:val="22"/>
          <w:lang w:eastAsia="es-MX"/>
        </w:rPr>
        <w:t>motivos</w:t>
      </w:r>
      <w:r w:rsidRPr="00305CA1">
        <w:rPr>
          <w:rFonts w:ascii="Palatino Linotype" w:hAnsi="Palatino Linotype"/>
          <w:i/>
          <w:sz w:val="22"/>
          <w:szCs w:val="22"/>
        </w:rPr>
        <w:t xml:space="preserve"> de inconformidad;</w:t>
      </w:r>
    </w:p>
    <w:p w:rsidR="00BE7DF2" w:rsidRPr="00305CA1" w:rsidRDefault="00BE7DF2" w:rsidP="00BE7DF2">
      <w:pPr>
        <w:spacing w:before="160" w:after="160"/>
        <w:ind w:left="709" w:right="709"/>
        <w:jc w:val="both"/>
        <w:rPr>
          <w:rFonts w:ascii="Palatino Linotype" w:hAnsi="Palatino Linotype"/>
          <w:b/>
          <w:i/>
          <w:sz w:val="22"/>
          <w:szCs w:val="22"/>
        </w:rPr>
      </w:pPr>
      <w:r w:rsidRPr="00305CA1">
        <w:rPr>
          <w:rFonts w:ascii="Palatino Linotype" w:hAnsi="Palatino Linotype"/>
          <w:b/>
          <w:i/>
          <w:sz w:val="22"/>
          <w:szCs w:val="22"/>
        </w:rPr>
        <w:t xml:space="preserve">VII. </w:t>
      </w:r>
      <w:r w:rsidRPr="00305CA1">
        <w:rPr>
          <w:rFonts w:ascii="Palatino Linotype" w:hAnsi="Palatino Linotype"/>
          <w:i/>
          <w:sz w:val="22"/>
          <w:szCs w:val="22"/>
        </w:rPr>
        <w:t>La copia de la respuesta que se impugna y, en su caso, de la notificación correspondiente, en el caso de respuesta de la solicitud; y</w:t>
      </w:r>
    </w:p>
    <w:p w:rsidR="00BE7DF2" w:rsidRPr="00305CA1" w:rsidRDefault="00BE7DF2" w:rsidP="00BE7DF2">
      <w:pPr>
        <w:spacing w:before="160" w:after="160"/>
        <w:ind w:left="709" w:right="709"/>
        <w:jc w:val="both"/>
        <w:rPr>
          <w:rFonts w:ascii="Palatino Linotype" w:hAnsi="Palatino Linotype"/>
          <w:i/>
          <w:sz w:val="22"/>
          <w:szCs w:val="22"/>
        </w:rPr>
      </w:pPr>
      <w:r w:rsidRPr="00305CA1">
        <w:rPr>
          <w:rFonts w:ascii="Palatino Linotype" w:hAnsi="Palatino Linotype"/>
          <w:b/>
          <w:i/>
          <w:sz w:val="22"/>
          <w:szCs w:val="22"/>
        </w:rPr>
        <w:lastRenderedPageBreak/>
        <w:t xml:space="preserve">VIII. </w:t>
      </w:r>
      <w:r w:rsidRPr="00305CA1">
        <w:rPr>
          <w:rFonts w:ascii="Palatino Linotype" w:hAnsi="Palatino Linotype"/>
          <w:i/>
          <w:sz w:val="22"/>
          <w:szCs w:val="22"/>
        </w:rPr>
        <w:t>Firma del recurrente, en su caso, cuando se presente por escrito, requisito sin el cual se dará trámite al recurso.</w:t>
      </w:r>
    </w:p>
    <w:p w:rsidR="00BE7DF2" w:rsidRPr="00305CA1" w:rsidRDefault="00BE7DF2" w:rsidP="00BE7DF2">
      <w:pPr>
        <w:spacing w:before="160" w:after="160"/>
        <w:ind w:left="709" w:right="709"/>
        <w:jc w:val="both"/>
        <w:rPr>
          <w:rFonts w:ascii="Palatino Linotype" w:hAnsi="Palatino Linotype"/>
          <w:i/>
          <w:sz w:val="22"/>
          <w:szCs w:val="22"/>
        </w:rPr>
      </w:pPr>
      <w:r w:rsidRPr="00305CA1">
        <w:rPr>
          <w:rFonts w:ascii="Palatino Linotype" w:hAnsi="Palatino Linotype"/>
          <w:i/>
          <w:sz w:val="22"/>
          <w:szCs w:val="22"/>
        </w:rPr>
        <w:t>Adicionalmente, se podrán anexar las pruebas y demás elementos que considere procedentes someter a juicio del Instituto.</w:t>
      </w:r>
    </w:p>
    <w:p w:rsidR="00BE7DF2" w:rsidRPr="00305CA1" w:rsidRDefault="00BE7DF2" w:rsidP="00BE7DF2">
      <w:pPr>
        <w:spacing w:before="160" w:after="160"/>
        <w:ind w:left="709" w:right="709"/>
        <w:jc w:val="both"/>
        <w:rPr>
          <w:rFonts w:ascii="Palatino Linotype" w:hAnsi="Palatino Linotype"/>
          <w:i/>
          <w:sz w:val="22"/>
          <w:szCs w:val="22"/>
        </w:rPr>
      </w:pPr>
      <w:r w:rsidRPr="00305CA1">
        <w:rPr>
          <w:rFonts w:ascii="Palatino Linotype" w:hAnsi="Palatino Linotype"/>
          <w:i/>
          <w:sz w:val="22"/>
          <w:szCs w:val="22"/>
        </w:rPr>
        <w:t>En ningún caso será necesario que el particular ratifique el recurso de revisión interpuesto.</w:t>
      </w:r>
    </w:p>
    <w:p w:rsidR="00BE7DF2" w:rsidRPr="00305CA1" w:rsidRDefault="00BE7DF2" w:rsidP="00BE7DF2">
      <w:pPr>
        <w:spacing w:before="160" w:after="160"/>
        <w:ind w:left="709" w:right="709"/>
        <w:jc w:val="both"/>
        <w:rPr>
          <w:rFonts w:ascii="Palatino Linotype" w:hAnsi="Palatino Linotype"/>
          <w:i/>
          <w:sz w:val="22"/>
          <w:szCs w:val="22"/>
        </w:rPr>
      </w:pPr>
      <w:r w:rsidRPr="00305CA1">
        <w:rPr>
          <w:rFonts w:ascii="Palatino Linotype" w:hAnsi="Palatino Linotype"/>
          <w:b/>
          <w:i/>
          <w:sz w:val="22"/>
          <w:szCs w:val="22"/>
          <w:u w:val="single"/>
        </w:rPr>
        <w:t xml:space="preserve">En caso de </w:t>
      </w:r>
      <w:r w:rsidRPr="00305CA1">
        <w:rPr>
          <w:rFonts w:ascii="Palatino Linotype" w:hAnsi="Palatino Linotype" w:cs="Arial"/>
          <w:b/>
          <w:i/>
          <w:color w:val="222222"/>
          <w:sz w:val="22"/>
          <w:szCs w:val="22"/>
          <w:u w:val="single"/>
          <w:lang w:eastAsia="es-MX"/>
        </w:rPr>
        <w:t>que</w:t>
      </w:r>
      <w:r w:rsidRPr="00305CA1">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305CA1">
        <w:rPr>
          <w:rFonts w:ascii="Palatino Linotype" w:hAnsi="Palatino Linotype"/>
          <w:i/>
          <w:sz w:val="22"/>
          <w:szCs w:val="22"/>
        </w:rPr>
        <w:t>, IV, VII y VIII.”</w:t>
      </w:r>
    </w:p>
    <w:p w:rsidR="00BE7DF2" w:rsidRPr="00305CA1" w:rsidRDefault="00BE7DF2" w:rsidP="00BE7DF2">
      <w:pPr>
        <w:spacing w:before="160" w:after="160"/>
        <w:ind w:left="709" w:right="709"/>
        <w:jc w:val="both"/>
        <w:rPr>
          <w:rFonts w:ascii="Palatino Linotype" w:hAnsi="Palatino Linotype"/>
          <w:sz w:val="22"/>
          <w:szCs w:val="22"/>
        </w:rPr>
      </w:pPr>
      <w:r w:rsidRPr="00305CA1">
        <w:rPr>
          <w:rFonts w:ascii="Palatino Linotype" w:hAnsi="Palatino Linotype"/>
          <w:sz w:val="22"/>
          <w:szCs w:val="22"/>
        </w:rPr>
        <w:t>(Énfasis añadido)</w:t>
      </w:r>
    </w:p>
    <w:p w:rsidR="00BE7DF2" w:rsidRPr="00305CA1" w:rsidRDefault="00BE7DF2" w:rsidP="00BE7DF2">
      <w:pPr>
        <w:pStyle w:val="Prrafodelista"/>
        <w:widowControl w:val="0"/>
        <w:autoSpaceDE w:val="0"/>
        <w:autoSpaceDN w:val="0"/>
        <w:adjustRightInd w:val="0"/>
        <w:spacing w:before="480" w:after="240" w:line="360" w:lineRule="auto"/>
        <w:ind w:left="0"/>
        <w:jc w:val="both"/>
        <w:rPr>
          <w:rFonts w:ascii="Palatino Linotype" w:hAnsi="Palatino Linotype"/>
        </w:rPr>
      </w:pPr>
      <w:r w:rsidRPr="00305CA1">
        <w:rPr>
          <w:rFonts w:ascii="Palatino Linotype" w:hAnsi="Palatino Linotype"/>
        </w:rPr>
        <w:t xml:space="preserve">En principio, de una interpretación del artículo transcrito se observan los requisitos que </w:t>
      </w:r>
      <w:r w:rsidRPr="00305CA1">
        <w:rPr>
          <w:rFonts w:ascii="Palatino Linotype" w:hAnsi="Palatino Linotype" w:cs="Arial"/>
        </w:rPr>
        <w:t>deberán</w:t>
      </w:r>
      <w:r w:rsidRPr="00305CA1">
        <w:rPr>
          <w:rFonts w:ascii="Palatino Linotype" w:hAnsi="Palatino Linotype"/>
        </w:rPr>
        <w:t xml:space="preserve"> contener los recursos de revisión; sobre el particular, de la revisión del expediente electrónico del </w:t>
      </w:r>
      <w:r w:rsidRPr="00305CA1">
        <w:rPr>
          <w:rFonts w:ascii="Palatino Linotype" w:hAnsi="Palatino Linotype"/>
          <w:b/>
        </w:rPr>
        <w:t>SAIMEX</w:t>
      </w:r>
      <w:r w:rsidRPr="00305CA1">
        <w:rPr>
          <w:rFonts w:ascii="Palatino Linotype" w:hAnsi="Palatino Linotype"/>
        </w:rPr>
        <w:t xml:space="preserve"> se desprende que la parte solicitante y ahora </w:t>
      </w:r>
      <w:r w:rsidRPr="00305CA1">
        <w:rPr>
          <w:rFonts w:ascii="Palatino Linotype" w:hAnsi="Palatino Linotype"/>
          <w:b/>
        </w:rPr>
        <w:t>RECURRENTE</w:t>
      </w:r>
      <w:r w:rsidRPr="00305CA1">
        <w:rPr>
          <w:rFonts w:ascii="Palatino Linotype" w:hAnsi="Palatino Linotype"/>
        </w:rPr>
        <w:t xml:space="preserve">, en ejercicio de su derecho de acceso a la información pública, no proporcionó su nombre para </w:t>
      </w:r>
      <w:r w:rsidRPr="00305CA1">
        <w:rPr>
          <w:rFonts w:ascii="Palatino Linotype" w:hAnsi="Palatino Linotype" w:cs="Arial"/>
        </w:rPr>
        <w:t xml:space="preserve">ser </w:t>
      </w:r>
      <w:r w:rsidRPr="00305CA1">
        <w:rPr>
          <w:rFonts w:ascii="Palatino Linotype" w:hAnsi="Palatino Linotype"/>
        </w:rPr>
        <w:t xml:space="preserve">identificado, ya que en el apartado correspondiente a datos del solicitante, </w:t>
      </w:r>
      <w:r w:rsidRPr="00305CA1">
        <w:rPr>
          <w:rFonts w:ascii="Palatino Linotype" w:hAnsi="Palatino Linotype"/>
          <w:b/>
        </w:rPr>
        <w:t>EL RECURRENTE</w:t>
      </w:r>
      <w:r w:rsidRPr="00305CA1">
        <w:rPr>
          <w:rFonts w:ascii="Palatino Linotype" w:hAnsi="Palatino Linotype"/>
        </w:rPr>
        <w:t xml:space="preserve"> fue omiso en </w:t>
      </w:r>
      <w:proofErr w:type="spellStart"/>
      <w:r w:rsidRPr="00305CA1">
        <w:rPr>
          <w:rFonts w:ascii="Palatino Linotype" w:hAnsi="Palatino Linotype"/>
        </w:rPr>
        <w:t>requisitar</w:t>
      </w:r>
      <w:proofErr w:type="spellEnd"/>
      <w:r w:rsidRPr="00305CA1">
        <w:rPr>
          <w:rFonts w:ascii="Palatino Linotype" w:hAnsi="Palatino Linotype"/>
        </w:rPr>
        <w:t xml:space="preserve"> su nombre y apellidos; por lo que, no se tiene certeza sobre su identidad, lo cual, en primera instancia, podría traducirse en que, no se colmaron los requisitos establecidos en el citado artículo 180, de la Ley de la materia.</w:t>
      </w:r>
    </w:p>
    <w:p w:rsidR="00BE7DF2" w:rsidRPr="00305CA1" w:rsidRDefault="00BE7DF2" w:rsidP="00BE7DF2">
      <w:pPr>
        <w:pStyle w:val="Prrafodelista"/>
        <w:widowControl w:val="0"/>
        <w:autoSpaceDE w:val="0"/>
        <w:autoSpaceDN w:val="0"/>
        <w:adjustRightInd w:val="0"/>
        <w:spacing w:before="360" w:after="240" w:line="360" w:lineRule="auto"/>
        <w:ind w:left="0"/>
        <w:jc w:val="both"/>
        <w:rPr>
          <w:rFonts w:ascii="Palatino Linotype" w:hAnsi="Palatino Linotype" w:cs="Arial"/>
          <w:color w:val="000000"/>
        </w:rPr>
      </w:pPr>
      <w:r w:rsidRPr="00305CA1">
        <w:rPr>
          <w:rFonts w:ascii="Palatino Linotype" w:hAnsi="Palatino Linotype"/>
        </w:rPr>
        <w:t xml:space="preserve">Empero lo anterior, debe destacarse que el artículo 15, de la </w:t>
      </w:r>
      <w:r w:rsidRPr="00305CA1">
        <w:rPr>
          <w:rFonts w:ascii="Palatino Linotype" w:hAnsi="Palatino Linotype" w:cs="Arial"/>
          <w:lang w:eastAsia="es-MX"/>
        </w:rPr>
        <w:t xml:space="preserve">Ley de Transparencia y Acceso a la </w:t>
      </w:r>
      <w:r w:rsidRPr="00305CA1">
        <w:rPr>
          <w:rFonts w:ascii="Palatino Linotype" w:hAnsi="Palatino Linotype" w:cs="Arial"/>
        </w:rPr>
        <w:t>Información</w:t>
      </w:r>
      <w:r w:rsidRPr="00305CA1">
        <w:rPr>
          <w:rFonts w:ascii="Palatino Linotype" w:hAnsi="Palatino Linotype" w:cs="Arial"/>
          <w:lang w:eastAsia="es-MX"/>
        </w:rPr>
        <w:t xml:space="preserve"> Pública del Estado de México y Municipios </w:t>
      </w:r>
      <w:r w:rsidRPr="00305CA1">
        <w:rPr>
          <w:rFonts w:ascii="Palatino Linotype" w:hAnsi="Palatino Linotype" w:cs="Arial"/>
          <w:iCs/>
        </w:rPr>
        <w:t xml:space="preserve">prevé que, </w:t>
      </w:r>
      <w:r w:rsidRPr="00305CA1">
        <w:rPr>
          <w:rFonts w:ascii="Palatino Linotype" w:hAnsi="Palatino Linotype"/>
        </w:rPr>
        <w:t xml:space="preserve">toda persona tendrá acceso a la </w:t>
      </w:r>
      <w:r w:rsidRPr="00305CA1">
        <w:rPr>
          <w:rFonts w:ascii="Palatino Linotype" w:hAnsi="Palatino Linotype" w:cs="Arial"/>
        </w:rPr>
        <w:t>información</w:t>
      </w:r>
      <w:r w:rsidRPr="00305CA1">
        <w:rPr>
          <w:rFonts w:ascii="Palatino Linotype" w:hAnsi="Palatino Linotype"/>
        </w:rPr>
        <w:t xml:space="preserve"> </w:t>
      </w:r>
      <w:r w:rsidRPr="00305CA1">
        <w:rPr>
          <w:rFonts w:ascii="Palatino Linotype" w:hAnsi="Palatino Linotype" w:cs="Arial"/>
          <w:color w:val="000000"/>
        </w:rPr>
        <w:t xml:space="preserve">sin necesidad de acreditar interés alguno o justificar su </w:t>
      </w:r>
      <w:r w:rsidRPr="00305CA1">
        <w:rPr>
          <w:rFonts w:ascii="Palatino Linotype" w:hAnsi="Palatino Linotype"/>
        </w:rPr>
        <w:t>utilización</w:t>
      </w:r>
      <w:r w:rsidRPr="00305CA1">
        <w:rPr>
          <w:rFonts w:ascii="Palatino Linotype" w:hAnsi="Palatino Linotype" w:cs="Arial"/>
          <w:color w:val="000000"/>
        </w:rPr>
        <w:t xml:space="preserve">, de lo que se advierte que, para el </w:t>
      </w:r>
      <w:r w:rsidRPr="00305CA1">
        <w:rPr>
          <w:rFonts w:ascii="Palatino Linotype" w:hAnsi="Palatino Linotype"/>
        </w:rPr>
        <w:t>ejercicio</w:t>
      </w:r>
      <w:r w:rsidRPr="00305CA1">
        <w:rPr>
          <w:rFonts w:ascii="Palatino Linotype" w:hAnsi="Palatino Linotype" w:cs="Arial"/>
          <w:color w:val="000000"/>
        </w:rPr>
        <w:t xml:space="preserve"> del derecho de acceso a la información pública, el nombre completo no es un requisito </w:t>
      </w:r>
      <w:r w:rsidRPr="00305CA1">
        <w:rPr>
          <w:rFonts w:ascii="Palatino Linotype" w:hAnsi="Palatino Linotype" w:cs="Arial"/>
          <w:i/>
          <w:color w:val="000000"/>
        </w:rPr>
        <w:t>sine qua non</w:t>
      </w:r>
      <w:r w:rsidRPr="00305CA1">
        <w:rPr>
          <w:rFonts w:ascii="Palatino Linotype" w:hAnsi="Palatino Linotype" w:cs="Arial"/>
          <w:color w:val="000000"/>
        </w:rPr>
        <w:t xml:space="preserve"> para que los particulares ejerzan el derecho de acceso a la información pública, pues, por el </w:t>
      </w:r>
      <w:r w:rsidRPr="00305CA1">
        <w:rPr>
          <w:rFonts w:ascii="Palatino Linotype" w:hAnsi="Palatino Linotype" w:cs="Arial"/>
          <w:color w:val="000000"/>
        </w:rPr>
        <w:lastRenderedPageBreak/>
        <w:t>contrario, la Ley de la materia prevé en su artículo 155, segundo párrafo, la posibilidad de que las solicitudes de información sean anónimas, por lo que, los particulares pueden optar por utilizar un nombre incompleto o, inclusive, un seudónimo.</w:t>
      </w:r>
    </w:p>
    <w:p w:rsidR="00BE7DF2" w:rsidRPr="00305CA1" w:rsidRDefault="00BE7DF2" w:rsidP="00BE7DF2">
      <w:pPr>
        <w:pStyle w:val="Prrafodelista"/>
        <w:widowControl w:val="0"/>
        <w:autoSpaceDE w:val="0"/>
        <w:autoSpaceDN w:val="0"/>
        <w:adjustRightInd w:val="0"/>
        <w:spacing w:before="360" w:after="240" w:line="360" w:lineRule="auto"/>
        <w:ind w:left="0"/>
        <w:jc w:val="both"/>
        <w:rPr>
          <w:rFonts w:ascii="Palatino Linotype" w:hAnsi="Palatino Linotype"/>
        </w:rPr>
      </w:pPr>
      <w:r w:rsidRPr="00305CA1">
        <w:rPr>
          <w:rFonts w:ascii="Palatino Linotype" w:hAnsi="Palatino Linotype"/>
        </w:rPr>
        <w:t xml:space="preserve">Correlativo a </w:t>
      </w:r>
      <w:r w:rsidRPr="00305CA1">
        <w:rPr>
          <w:rFonts w:ascii="Palatino Linotype" w:hAnsi="Palatino Linotype" w:cs="Arial"/>
          <w:color w:val="000000"/>
        </w:rPr>
        <w:t>ello</w:t>
      </w:r>
      <w:r w:rsidRPr="00305CA1">
        <w:rPr>
          <w:rFonts w:ascii="Palatino Linotype" w:hAnsi="Palatino Linotype"/>
        </w:rPr>
        <w:t xml:space="preserve">, cabe mencionar que los artículos 6, Apartado A, fracciones I, III, V y VI, de la </w:t>
      </w:r>
      <w:r w:rsidRPr="00305CA1">
        <w:rPr>
          <w:rFonts w:ascii="Palatino Linotype" w:hAnsi="Palatino Linotype" w:cs="Arial"/>
        </w:rPr>
        <w:t>Constitución</w:t>
      </w:r>
      <w:r w:rsidRPr="00305CA1">
        <w:rPr>
          <w:rFonts w:ascii="Palatino Linotype" w:hAnsi="Palatino Linotype"/>
        </w:rPr>
        <w:t xml:space="preserve"> </w:t>
      </w:r>
      <w:r w:rsidRPr="00305CA1">
        <w:rPr>
          <w:rFonts w:ascii="Palatino Linotype" w:hAnsi="Palatino Linotype" w:cs="Arial"/>
        </w:rPr>
        <w:t>Política</w:t>
      </w:r>
      <w:r w:rsidRPr="00305CA1">
        <w:rPr>
          <w:rFonts w:ascii="Palatino Linotype" w:hAnsi="Palatino Linotype"/>
        </w:rPr>
        <w:t xml:space="preserve"> de los Estados Unidos Mexicanos y el artículo 5, párrafos vigésimo</w:t>
      </w:r>
      <w:r w:rsidR="001364AD">
        <w:rPr>
          <w:rFonts w:ascii="Palatino Linotype" w:hAnsi="Palatino Linotype"/>
        </w:rPr>
        <w:t xml:space="preserve"> segundo</w:t>
      </w:r>
      <w:r w:rsidRPr="00305CA1">
        <w:rPr>
          <w:rFonts w:ascii="Palatino Linotype" w:hAnsi="Palatino Linotype"/>
        </w:rPr>
        <w:t xml:space="preserve">, vigésimo </w:t>
      </w:r>
      <w:r w:rsidR="001364AD">
        <w:rPr>
          <w:rFonts w:ascii="Palatino Linotype" w:hAnsi="Palatino Linotype"/>
        </w:rPr>
        <w:t xml:space="preserve">tercero </w:t>
      </w:r>
      <w:r w:rsidRPr="00305CA1">
        <w:rPr>
          <w:rFonts w:ascii="Palatino Linotype" w:hAnsi="Palatino Linotype"/>
        </w:rPr>
        <w:t>y vigésimo</w:t>
      </w:r>
      <w:r w:rsidR="001364AD">
        <w:rPr>
          <w:rFonts w:ascii="Palatino Linotype" w:hAnsi="Palatino Linotype"/>
        </w:rPr>
        <w:t xml:space="preserve"> cuarto</w:t>
      </w:r>
      <w:r w:rsidRPr="00305CA1">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w:t>
      </w:r>
      <w:r w:rsidRPr="00305CA1">
        <w:rPr>
          <w:rFonts w:ascii="Palatino Linotype" w:hAnsi="Palatino Linotype" w:cs="Arial"/>
        </w:rPr>
        <w:t>sentido</w:t>
      </w:r>
      <w:r w:rsidRPr="00305CA1">
        <w:rPr>
          <w:rFonts w:ascii="Palatino Linotype" w:hAnsi="Palatino Linotype"/>
        </w:rPr>
        <w:t xml:space="preserve"> literal es el siguiente:</w:t>
      </w:r>
    </w:p>
    <w:p w:rsidR="00BE7DF2" w:rsidRPr="00305CA1" w:rsidRDefault="00BE7DF2" w:rsidP="00BE7DF2">
      <w:pPr>
        <w:spacing w:before="120" w:after="120"/>
        <w:ind w:left="709" w:right="709"/>
        <w:jc w:val="center"/>
        <w:rPr>
          <w:rFonts w:ascii="Palatino Linotype" w:hAnsi="Palatino Linotype" w:cs="Arial"/>
          <w:b/>
          <w:i/>
          <w:sz w:val="22"/>
          <w:szCs w:val="22"/>
        </w:rPr>
      </w:pPr>
      <w:r w:rsidRPr="00305CA1">
        <w:rPr>
          <w:rFonts w:ascii="Palatino Linotype" w:hAnsi="Palatino Linotype" w:cs="Arial"/>
          <w:b/>
          <w:i/>
          <w:sz w:val="22"/>
          <w:szCs w:val="22"/>
        </w:rPr>
        <w:t>Constitución Política de los Estados Unidos Mexicanos</w:t>
      </w:r>
    </w:p>
    <w:p w:rsidR="00BE7DF2" w:rsidRPr="00305CA1" w:rsidRDefault="00BE7DF2" w:rsidP="00BE7DF2">
      <w:pPr>
        <w:spacing w:before="240" w:after="140"/>
        <w:ind w:left="709" w:right="709"/>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Artículo 6o.</w:t>
      </w:r>
      <w:r w:rsidRPr="00305CA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05CA1">
        <w:rPr>
          <w:rFonts w:ascii="Palatino Linotype" w:hAnsi="Palatino Linotype" w:cs="Arial"/>
          <w:b/>
          <w:i/>
          <w:sz w:val="22"/>
          <w:szCs w:val="22"/>
          <w:u w:val="single"/>
        </w:rPr>
        <w:t>El derecho a la información será garantizado por el Estado</w:t>
      </w:r>
      <w:r w:rsidRPr="00305CA1">
        <w:rPr>
          <w:rFonts w:ascii="Palatino Linotype" w:hAnsi="Palatino Linotype" w:cs="Arial"/>
          <w:b/>
          <w:i/>
          <w:sz w:val="22"/>
          <w:szCs w:val="22"/>
        </w:rPr>
        <w:t>.</w:t>
      </w:r>
      <w:r w:rsidRPr="00305CA1">
        <w:rPr>
          <w:rFonts w:ascii="Palatino Linotype" w:hAnsi="Palatino Linotype" w:cs="Arial"/>
          <w:i/>
          <w:sz w:val="22"/>
          <w:szCs w:val="22"/>
        </w:rPr>
        <w:t xml:space="preserve"> </w:t>
      </w:r>
    </w:p>
    <w:p w:rsidR="00BE7DF2" w:rsidRPr="00305CA1" w:rsidRDefault="00BE7DF2" w:rsidP="00BE7DF2">
      <w:pPr>
        <w:spacing w:before="140" w:after="140"/>
        <w:ind w:left="709" w:right="709"/>
        <w:jc w:val="both"/>
        <w:rPr>
          <w:rFonts w:ascii="Palatino Linotype" w:hAnsi="Palatino Linotype" w:cs="Arial"/>
          <w:i/>
          <w:sz w:val="22"/>
          <w:szCs w:val="22"/>
        </w:rPr>
      </w:pPr>
      <w:r w:rsidRPr="00305CA1">
        <w:rPr>
          <w:rFonts w:ascii="Palatino Linotype" w:hAnsi="Palatino Linotype" w:cs="Arial"/>
          <w:b/>
          <w:i/>
          <w:sz w:val="22"/>
          <w:szCs w:val="22"/>
          <w:u w:val="single"/>
        </w:rPr>
        <w:t xml:space="preserve">Toda persona tiene </w:t>
      </w:r>
      <w:r w:rsidRPr="00305CA1">
        <w:rPr>
          <w:rFonts w:ascii="Palatino Linotype" w:hAnsi="Palatino Linotype"/>
          <w:b/>
          <w:i/>
          <w:sz w:val="22"/>
          <w:szCs w:val="22"/>
          <w:u w:val="single"/>
        </w:rPr>
        <w:t>derecho</w:t>
      </w:r>
      <w:r w:rsidRPr="00305CA1">
        <w:rPr>
          <w:rFonts w:ascii="Palatino Linotype" w:hAnsi="Palatino Linotype" w:cs="Arial"/>
          <w:b/>
          <w:i/>
          <w:sz w:val="22"/>
          <w:szCs w:val="22"/>
          <w:u w:val="single"/>
        </w:rPr>
        <w:t xml:space="preserve"> al libre acceso a información plural y oportuna, así como a buscar, recibir y difundir información e ideas de toda índole por cualquier medio de expresión</w:t>
      </w:r>
      <w:r w:rsidRPr="00305CA1">
        <w:rPr>
          <w:rFonts w:ascii="Palatino Linotype" w:hAnsi="Palatino Linotype" w:cs="Arial"/>
          <w:i/>
          <w:sz w:val="22"/>
          <w:szCs w:val="22"/>
        </w:rPr>
        <w:t>.</w:t>
      </w:r>
    </w:p>
    <w:p w:rsidR="00BE7DF2" w:rsidRPr="00305CA1" w:rsidRDefault="00BE7DF2" w:rsidP="00BE7DF2">
      <w:pPr>
        <w:spacing w:before="140" w:after="14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Para efectos de lo </w:t>
      </w:r>
      <w:r w:rsidRPr="00305CA1">
        <w:rPr>
          <w:rFonts w:ascii="Palatino Linotype" w:hAnsi="Palatino Linotype"/>
          <w:i/>
          <w:sz w:val="22"/>
          <w:szCs w:val="22"/>
        </w:rPr>
        <w:t>dispuesto</w:t>
      </w:r>
      <w:r w:rsidRPr="00305CA1">
        <w:rPr>
          <w:rFonts w:ascii="Palatino Linotype" w:hAnsi="Palatino Linotype" w:cs="Arial"/>
          <w:i/>
          <w:sz w:val="22"/>
          <w:szCs w:val="22"/>
        </w:rPr>
        <w:t xml:space="preserve"> en el presente artículo se observará lo siguiente:</w:t>
      </w:r>
    </w:p>
    <w:p w:rsidR="00BE7DF2" w:rsidRPr="00305CA1" w:rsidRDefault="00BE7DF2" w:rsidP="00BE7DF2">
      <w:pPr>
        <w:spacing w:before="140" w:after="140"/>
        <w:ind w:left="709" w:right="709"/>
        <w:jc w:val="both"/>
        <w:rPr>
          <w:rFonts w:ascii="Palatino Linotype" w:hAnsi="Palatino Linotype" w:cs="Arial"/>
          <w:i/>
          <w:sz w:val="22"/>
          <w:szCs w:val="22"/>
        </w:rPr>
      </w:pPr>
      <w:r w:rsidRPr="00305CA1">
        <w:rPr>
          <w:rFonts w:ascii="Palatino Linotype" w:hAnsi="Palatino Linotype" w:cs="Arial"/>
          <w:b/>
          <w:i/>
          <w:sz w:val="22"/>
          <w:szCs w:val="22"/>
        </w:rPr>
        <w:t>A.</w:t>
      </w:r>
      <w:r w:rsidRPr="00305CA1">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BE7DF2" w:rsidRPr="00305CA1" w:rsidRDefault="00BE7DF2" w:rsidP="00BE7DF2">
      <w:pPr>
        <w:spacing w:before="140" w:after="140"/>
        <w:ind w:left="709" w:right="709"/>
        <w:jc w:val="both"/>
        <w:rPr>
          <w:rFonts w:ascii="Palatino Linotype" w:hAnsi="Palatino Linotype" w:cs="Arial"/>
          <w:b/>
          <w:i/>
          <w:sz w:val="22"/>
          <w:szCs w:val="22"/>
        </w:rPr>
      </w:pPr>
      <w:r w:rsidRPr="00305CA1">
        <w:rPr>
          <w:rFonts w:ascii="Palatino Linotype" w:hAnsi="Palatino Linotype" w:cs="Arial"/>
          <w:b/>
          <w:i/>
          <w:sz w:val="22"/>
          <w:szCs w:val="22"/>
        </w:rPr>
        <w:t xml:space="preserve">I. </w:t>
      </w:r>
      <w:r w:rsidRPr="00305CA1">
        <w:rPr>
          <w:rFonts w:ascii="Palatino Linotype" w:hAnsi="Palatino Linotype" w:cs="Arial"/>
          <w:b/>
          <w:i/>
          <w:sz w:val="22"/>
          <w:szCs w:val="22"/>
          <w:u w:val="single"/>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w:t>
      </w:r>
      <w:r w:rsidRPr="00305CA1">
        <w:rPr>
          <w:rFonts w:ascii="Palatino Linotype" w:hAnsi="Palatino Linotype" w:cs="Arial"/>
          <w:b/>
          <w:i/>
          <w:sz w:val="22"/>
          <w:szCs w:val="22"/>
          <w:u w:val="single"/>
        </w:rPr>
        <w:lastRenderedPageBreak/>
        <w:t>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305CA1">
        <w:rPr>
          <w:rFonts w:ascii="Palatino Linotype" w:hAnsi="Palatino Linotype" w:cs="Arial"/>
          <w:b/>
          <w:i/>
          <w:sz w:val="22"/>
          <w:szCs w:val="22"/>
        </w:rPr>
        <w:t>.</w:t>
      </w:r>
    </w:p>
    <w:p w:rsidR="00BE7DF2" w:rsidRPr="00305CA1" w:rsidRDefault="00BE7DF2" w:rsidP="00BE7DF2">
      <w:pPr>
        <w:spacing w:before="140" w:after="140"/>
        <w:ind w:left="709" w:right="709"/>
        <w:jc w:val="both"/>
        <w:rPr>
          <w:rFonts w:ascii="Palatino Linotype" w:hAnsi="Palatino Linotype" w:cs="Arial"/>
          <w:i/>
          <w:sz w:val="22"/>
          <w:szCs w:val="22"/>
        </w:rPr>
      </w:pPr>
      <w:r w:rsidRPr="00305CA1">
        <w:rPr>
          <w:rFonts w:ascii="Palatino Linotype" w:hAnsi="Palatino Linotype" w:cs="Arial"/>
          <w:i/>
          <w:sz w:val="22"/>
          <w:szCs w:val="22"/>
        </w:rPr>
        <w:t>[…]</w:t>
      </w:r>
    </w:p>
    <w:p w:rsidR="00BE7DF2" w:rsidRPr="00305CA1" w:rsidRDefault="00BE7DF2" w:rsidP="00BE7DF2">
      <w:pPr>
        <w:spacing w:before="140" w:after="140"/>
        <w:ind w:left="709" w:right="709"/>
        <w:jc w:val="both"/>
        <w:rPr>
          <w:rFonts w:ascii="Palatino Linotype" w:hAnsi="Palatino Linotype" w:cs="Arial"/>
          <w:b/>
          <w:i/>
          <w:sz w:val="22"/>
          <w:szCs w:val="22"/>
        </w:rPr>
      </w:pPr>
      <w:r w:rsidRPr="00305CA1">
        <w:rPr>
          <w:rFonts w:ascii="Palatino Linotype" w:hAnsi="Palatino Linotype" w:cs="Arial"/>
          <w:b/>
          <w:i/>
          <w:sz w:val="22"/>
          <w:szCs w:val="22"/>
        </w:rPr>
        <w:t xml:space="preserve">III. </w:t>
      </w:r>
      <w:r w:rsidRPr="00305CA1">
        <w:rPr>
          <w:rFonts w:ascii="Palatino Linotype" w:hAnsi="Palatino Linotype" w:cs="Arial"/>
          <w:b/>
          <w:i/>
          <w:sz w:val="22"/>
          <w:szCs w:val="22"/>
          <w:u w:val="single"/>
        </w:rPr>
        <w:t>Toda persona, sin necesidad de acreditar interés alguno o justificar su utilización, tendrá acceso gratuito a la información pública, a sus datos personales o a la rectificación de éstos</w:t>
      </w:r>
      <w:r w:rsidRPr="00305CA1">
        <w:rPr>
          <w:rFonts w:ascii="Palatino Linotype" w:hAnsi="Palatino Linotype" w:cs="Arial"/>
          <w:b/>
          <w:i/>
          <w:sz w:val="22"/>
          <w:szCs w:val="22"/>
        </w:rPr>
        <w:t>.</w:t>
      </w:r>
    </w:p>
    <w:p w:rsidR="00BE7DF2" w:rsidRPr="00305CA1" w:rsidRDefault="00BE7DF2" w:rsidP="00BE7DF2">
      <w:pPr>
        <w:spacing w:before="140" w:after="140"/>
        <w:ind w:left="709" w:right="709"/>
        <w:jc w:val="both"/>
        <w:rPr>
          <w:rFonts w:ascii="Palatino Linotype" w:hAnsi="Palatino Linotype" w:cs="Arial"/>
          <w:i/>
          <w:sz w:val="22"/>
          <w:szCs w:val="22"/>
        </w:rPr>
      </w:pPr>
      <w:r w:rsidRPr="00305CA1">
        <w:rPr>
          <w:rFonts w:ascii="Palatino Linotype" w:hAnsi="Palatino Linotype" w:cs="Arial"/>
          <w:i/>
          <w:sz w:val="22"/>
          <w:szCs w:val="22"/>
        </w:rPr>
        <w:t>[…]</w:t>
      </w:r>
    </w:p>
    <w:p w:rsidR="00BE7DF2" w:rsidRPr="00305CA1" w:rsidRDefault="00BE7DF2" w:rsidP="00BE7DF2">
      <w:pPr>
        <w:spacing w:before="140" w:after="140"/>
        <w:ind w:left="709" w:right="709"/>
        <w:jc w:val="both"/>
        <w:rPr>
          <w:rFonts w:ascii="Palatino Linotype" w:hAnsi="Palatino Linotype" w:cs="Arial"/>
          <w:b/>
          <w:i/>
          <w:sz w:val="22"/>
          <w:szCs w:val="22"/>
        </w:rPr>
      </w:pPr>
      <w:r w:rsidRPr="00305CA1">
        <w:rPr>
          <w:rFonts w:ascii="Palatino Linotype" w:hAnsi="Palatino Linotype" w:cs="Arial"/>
          <w:b/>
          <w:i/>
          <w:sz w:val="22"/>
          <w:szCs w:val="22"/>
        </w:rPr>
        <w:t xml:space="preserve">V. </w:t>
      </w:r>
      <w:r w:rsidRPr="00305CA1">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E7DF2" w:rsidRPr="00305CA1" w:rsidRDefault="00BE7DF2" w:rsidP="00BE7DF2">
      <w:pPr>
        <w:spacing w:before="140" w:after="140"/>
        <w:ind w:left="709" w:right="709"/>
        <w:jc w:val="both"/>
        <w:rPr>
          <w:rFonts w:ascii="Palatino Linotype" w:hAnsi="Palatino Linotype" w:cs="Arial"/>
          <w:b/>
          <w:i/>
          <w:sz w:val="22"/>
          <w:szCs w:val="22"/>
          <w:u w:val="single"/>
        </w:rPr>
      </w:pPr>
      <w:r w:rsidRPr="00305CA1">
        <w:rPr>
          <w:rFonts w:ascii="Palatino Linotype" w:hAnsi="Palatino Linotype" w:cs="Arial"/>
          <w:b/>
          <w:i/>
          <w:sz w:val="22"/>
          <w:szCs w:val="22"/>
        </w:rPr>
        <w:t xml:space="preserve">VI. </w:t>
      </w:r>
      <w:r w:rsidRPr="00305CA1">
        <w:rPr>
          <w:rFonts w:ascii="Palatino Linotype" w:hAnsi="Palatino Linotype" w:cs="Arial"/>
          <w:b/>
          <w:i/>
          <w:sz w:val="22"/>
          <w:szCs w:val="22"/>
          <w:u w:val="single"/>
        </w:rPr>
        <w:t>Las leyes determinarán la manera en que los sujetos obligados deberán hacer pública la información relativa a los recursos públicos que entreguen a personas físicas o morales</w:t>
      </w:r>
      <w:r w:rsidRPr="00305CA1">
        <w:rPr>
          <w:rFonts w:ascii="Palatino Linotype" w:hAnsi="Palatino Linotype" w:cs="Arial"/>
          <w:i/>
          <w:sz w:val="22"/>
          <w:szCs w:val="22"/>
        </w:rPr>
        <w:t>.”</w:t>
      </w:r>
    </w:p>
    <w:p w:rsidR="00BE7DF2" w:rsidRPr="00305CA1" w:rsidRDefault="00BE7DF2" w:rsidP="00BE7DF2">
      <w:pPr>
        <w:spacing w:before="140" w:after="140"/>
        <w:ind w:left="709" w:right="709"/>
        <w:jc w:val="both"/>
        <w:rPr>
          <w:rFonts w:ascii="Palatino Linotype" w:hAnsi="Palatino Linotype" w:cs="Arial"/>
          <w:i/>
          <w:sz w:val="22"/>
          <w:szCs w:val="22"/>
        </w:rPr>
      </w:pPr>
      <w:r w:rsidRPr="00305CA1">
        <w:rPr>
          <w:rFonts w:ascii="Palatino Linotype" w:hAnsi="Palatino Linotype" w:cs="Arial"/>
          <w:i/>
          <w:sz w:val="22"/>
          <w:szCs w:val="22"/>
        </w:rPr>
        <w:t>[…]</w:t>
      </w:r>
    </w:p>
    <w:p w:rsidR="00BE7DF2" w:rsidRPr="00305CA1" w:rsidRDefault="00BE7DF2" w:rsidP="00BE7DF2">
      <w:pPr>
        <w:spacing w:before="140" w:after="140"/>
        <w:ind w:left="709" w:right="709"/>
        <w:jc w:val="both"/>
        <w:rPr>
          <w:rFonts w:ascii="Palatino Linotype" w:hAnsi="Palatino Linotype" w:cs="Arial"/>
          <w:b/>
          <w:i/>
          <w:sz w:val="22"/>
          <w:szCs w:val="22"/>
        </w:rPr>
      </w:pPr>
      <w:r w:rsidRPr="00305CA1">
        <w:rPr>
          <w:rFonts w:ascii="Palatino Linotype" w:hAnsi="Palatino Linotype" w:cs="Arial"/>
          <w:b/>
          <w:i/>
          <w:sz w:val="22"/>
          <w:szCs w:val="22"/>
          <w:u w:val="single"/>
        </w:rPr>
        <w:t>La ley establecerá aquella información que se considere reservada o confidencial</w:t>
      </w:r>
      <w:r w:rsidRPr="00305CA1">
        <w:rPr>
          <w:rFonts w:ascii="Palatino Linotype" w:hAnsi="Palatino Linotype" w:cs="Arial"/>
          <w:b/>
          <w:i/>
          <w:sz w:val="22"/>
          <w:szCs w:val="22"/>
        </w:rPr>
        <w:t>.</w:t>
      </w:r>
      <w:r w:rsidRPr="00305CA1">
        <w:rPr>
          <w:rFonts w:ascii="Palatino Linotype" w:hAnsi="Palatino Linotype" w:cs="Arial"/>
          <w:i/>
          <w:sz w:val="22"/>
          <w:szCs w:val="22"/>
        </w:rPr>
        <w:t>”</w:t>
      </w:r>
    </w:p>
    <w:p w:rsidR="00BE7DF2" w:rsidRPr="00305CA1" w:rsidRDefault="00BE7DF2" w:rsidP="00BE7DF2">
      <w:pPr>
        <w:spacing w:before="360" w:after="120"/>
        <w:ind w:left="709" w:right="709"/>
        <w:jc w:val="center"/>
        <w:rPr>
          <w:rFonts w:ascii="Palatino Linotype" w:hAnsi="Palatino Linotype" w:cs="Arial"/>
          <w:b/>
          <w:i/>
          <w:sz w:val="22"/>
          <w:szCs w:val="22"/>
        </w:rPr>
      </w:pPr>
      <w:r w:rsidRPr="00305CA1">
        <w:rPr>
          <w:rFonts w:ascii="Palatino Linotype" w:hAnsi="Palatino Linotype" w:cs="Arial"/>
          <w:b/>
          <w:i/>
          <w:sz w:val="22"/>
          <w:szCs w:val="22"/>
        </w:rPr>
        <w:t>Constitución Política del Estado Libre y Soberano de México</w:t>
      </w:r>
    </w:p>
    <w:p w:rsidR="00BE7DF2" w:rsidRPr="00305CA1" w:rsidRDefault="00BE7DF2" w:rsidP="00BE7DF2">
      <w:pPr>
        <w:spacing w:before="140" w:after="140"/>
        <w:ind w:left="709" w:right="709"/>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 xml:space="preserve">Artículo 5. </w:t>
      </w:r>
      <w:r w:rsidRPr="00305CA1">
        <w:rPr>
          <w:rFonts w:ascii="Palatino Linotype" w:hAnsi="Palatino Linotype" w:cs="Arial"/>
          <w:i/>
          <w:sz w:val="22"/>
          <w:szCs w:val="22"/>
        </w:rPr>
        <w:t>[…]</w:t>
      </w:r>
    </w:p>
    <w:p w:rsidR="00BE7DF2" w:rsidRPr="00305CA1" w:rsidRDefault="00BE7DF2" w:rsidP="00BE7DF2">
      <w:pPr>
        <w:spacing w:before="140" w:after="140"/>
        <w:ind w:left="709" w:right="709"/>
        <w:jc w:val="both"/>
        <w:rPr>
          <w:rFonts w:ascii="Palatino Linotype" w:hAnsi="Palatino Linotype"/>
          <w:i/>
          <w:sz w:val="22"/>
          <w:szCs w:val="22"/>
        </w:rPr>
      </w:pPr>
      <w:r w:rsidRPr="00305CA1">
        <w:rPr>
          <w:rFonts w:ascii="Palatino Linotype" w:hAnsi="Palatino Linotype"/>
          <w:i/>
          <w:sz w:val="22"/>
          <w:szCs w:val="22"/>
        </w:rPr>
        <w:t>[…]</w:t>
      </w:r>
    </w:p>
    <w:p w:rsidR="00BE7DF2" w:rsidRPr="00305CA1" w:rsidRDefault="00BE7DF2" w:rsidP="00BE7DF2">
      <w:pPr>
        <w:spacing w:before="140" w:after="140"/>
        <w:ind w:left="709" w:right="709"/>
        <w:jc w:val="both"/>
        <w:rPr>
          <w:rFonts w:ascii="Palatino Linotype" w:hAnsi="Palatino Linotype"/>
          <w:i/>
          <w:sz w:val="22"/>
          <w:szCs w:val="22"/>
        </w:rPr>
      </w:pPr>
      <w:r w:rsidRPr="00305CA1">
        <w:rPr>
          <w:rFonts w:ascii="Palatino Linotype" w:hAnsi="Palatino Linotype"/>
          <w:b/>
          <w:i/>
          <w:sz w:val="22"/>
          <w:szCs w:val="22"/>
          <w:u w:val="single"/>
        </w:rPr>
        <w:t>El derecho a la información será garantizado por el Estado</w:t>
      </w:r>
      <w:r w:rsidRPr="00305CA1">
        <w:rPr>
          <w:rFonts w:ascii="Palatino Linotype" w:hAnsi="Palatino Linotype"/>
          <w:i/>
          <w:sz w:val="22"/>
          <w:szCs w:val="22"/>
        </w:rPr>
        <w:t>. La ley establecerá las previsiones que permitan asegurar la protección, el respeto y la difusión de este derecho.</w:t>
      </w:r>
    </w:p>
    <w:p w:rsidR="00BE7DF2" w:rsidRPr="00305CA1" w:rsidRDefault="00BE7DF2" w:rsidP="00BE7DF2">
      <w:pPr>
        <w:spacing w:before="140" w:after="140"/>
        <w:ind w:left="709" w:right="709"/>
        <w:jc w:val="both"/>
        <w:rPr>
          <w:rFonts w:ascii="Palatino Linotype" w:hAnsi="Palatino Linotype"/>
          <w:i/>
          <w:sz w:val="22"/>
          <w:szCs w:val="22"/>
        </w:rPr>
      </w:pPr>
      <w:r w:rsidRPr="00305CA1">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E7DF2" w:rsidRPr="00305CA1" w:rsidRDefault="00BE7DF2" w:rsidP="00BE7DF2">
      <w:pPr>
        <w:spacing w:before="140" w:after="140"/>
        <w:ind w:left="709" w:right="709"/>
        <w:jc w:val="both"/>
        <w:rPr>
          <w:rFonts w:ascii="Palatino Linotype" w:hAnsi="Palatino Linotype"/>
          <w:i/>
          <w:sz w:val="22"/>
          <w:szCs w:val="22"/>
        </w:rPr>
      </w:pPr>
      <w:r w:rsidRPr="00305CA1">
        <w:rPr>
          <w:rFonts w:ascii="Palatino Linotype" w:hAnsi="Palatino Linotype"/>
          <w:i/>
          <w:sz w:val="22"/>
          <w:szCs w:val="22"/>
        </w:rPr>
        <w:t>Este derecho se regirá por los principios y bases siguientes:</w:t>
      </w:r>
    </w:p>
    <w:p w:rsidR="00BE7DF2" w:rsidRPr="00305CA1" w:rsidRDefault="00BE7DF2" w:rsidP="00BE7DF2">
      <w:pPr>
        <w:spacing w:before="140" w:after="140"/>
        <w:ind w:left="709" w:right="709"/>
        <w:jc w:val="both"/>
        <w:rPr>
          <w:rFonts w:ascii="Palatino Linotype" w:hAnsi="Palatino Linotype"/>
          <w:i/>
          <w:sz w:val="22"/>
          <w:szCs w:val="22"/>
        </w:rPr>
      </w:pPr>
      <w:r w:rsidRPr="00305CA1">
        <w:rPr>
          <w:rFonts w:ascii="Palatino Linotype" w:hAnsi="Palatino Linotype"/>
          <w:b/>
          <w:i/>
          <w:sz w:val="22"/>
          <w:szCs w:val="22"/>
        </w:rPr>
        <w:lastRenderedPageBreak/>
        <w:t xml:space="preserve">I. </w:t>
      </w:r>
      <w:r w:rsidRPr="00305CA1">
        <w:rPr>
          <w:rFonts w:ascii="Palatino Linotype" w:hAnsi="Palatino Linotype"/>
          <w:b/>
          <w:i/>
          <w:sz w:val="22"/>
          <w:szCs w:val="22"/>
          <w:u w:val="single"/>
        </w:rPr>
        <w:t>Toda la información en posesión de cualquier</w:t>
      </w:r>
      <w:r w:rsidRPr="00305CA1">
        <w:rPr>
          <w:rFonts w:ascii="Palatino Linotype" w:hAnsi="Palatino Linotype"/>
          <w:b/>
          <w:i/>
          <w:sz w:val="22"/>
          <w:szCs w:val="22"/>
        </w:rPr>
        <w:t xml:space="preserve"> </w:t>
      </w:r>
      <w:r w:rsidRPr="00305CA1">
        <w:rPr>
          <w:rFonts w:ascii="Palatino Linotype" w:hAnsi="Palatino Linotype"/>
          <w:i/>
          <w:sz w:val="22"/>
          <w:szCs w:val="22"/>
        </w:rPr>
        <w:t xml:space="preserve">autoridad, entidad, órgano y organismos de los Poderes Ejecutivo, Legislativo y Judicial, órganos autónomos, </w:t>
      </w:r>
      <w:r w:rsidRPr="00305CA1">
        <w:rPr>
          <w:rFonts w:ascii="Palatino Linotype" w:hAnsi="Palatino Linotype"/>
          <w:b/>
          <w:i/>
          <w:sz w:val="22"/>
          <w:szCs w:val="22"/>
          <w:u w:val="single"/>
        </w:rPr>
        <w:t>partidos políticos</w:t>
      </w:r>
      <w:r w:rsidRPr="00305CA1">
        <w:rPr>
          <w:rFonts w:ascii="Palatino Linotype" w:hAnsi="Palatino Linotype"/>
          <w:i/>
          <w:sz w:val="22"/>
          <w:szCs w:val="22"/>
        </w:rPr>
        <w:t>, fideicomisos y fondos públicos estatales y municipales</w:t>
      </w:r>
      <w:r w:rsidRPr="00305CA1">
        <w:rPr>
          <w:rFonts w:ascii="Palatino Linotype" w:hAnsi="Palatino Linotype"/>
          <w:b/>
          <w:i/>
          <w:sz w:val="22"/>
          <w:szCs w:val="22"/>
        </w:rPr>
        <w:t>,</w:t>
      </w:r>
      <w:r w:rsidRPr="00305CA1">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305CA1">
        <w:rPr>
          <w:rFonts w:ascii="Palatino Linotype" w:hAnsi="Palatino Linotype" w:cs="Arial"/>
          <w:i/>
          <w:sz w:val="22"/>
          <w:szCs w:val="22"/>
        </w:rPr>
        <w:t>determinará</w:t>
      </w:r>
      <w:r w:rsidRPr="00305CA1">
        <w:rPr>
          <w:rFonts w:ascii="Palatino Linotype" w:hAnsi="Palatino Linotype"/>
          <w:i/>
          <w:sz w:val="22"/>
          <w:szCs w:val="22"/>
        </w:rPr>
        <w:t xml:space="preserve"> los supuestos específicos bajo los cuales procederá la declaración de inexistencia de la información.</w:t>
      </w:r>
    </w:p>
    <w:p w:rsidR="00BE7DF2" w:rsidRPr="00305CA1" w:rsidRDefault="00BE7DF2" w:rsidP="00BE7DF2">
      <w:pPr>
        <w:spacing w:before="140" w:after="140"/>
        <w:ind w:left="709" w:right="709"/>
        <w:jc w:val="both"/>
        <w:rPr>
          <w:rFonts w:ascii="Palatino Linotype" w:hAnsi="Palatino Linotype"/>
          <w:i/>
          <w:sz w:val="22"/>
          <w:szCs w:val="22"/>
        </w:rPr>
      </w:pPr>
      <w:r w:rsidRPr="00305CA1">
        <w:rPr>
          <w:rFonts w:ascii="Palatino Linotype" w:hAnsi="Palatino Linotype"/>
          <w:i/>
          <w:sz w:val="22"/>
          <w:szCs w:val="22"/>
        </w:rPr>
        <w:t>[…]</w:t>
      </w:r>
    </w:p>
    <w:p w:rsidR="00BE7DF2" w:rsidRPr="00305CA1" w:rsidRDefault="00BE7DF2" w:rsidP="00BE7DF2">
      <w:pPr>
        <w:spacing w:before="140" w:after="140"/>
        <w:ind w:left="709" w:right="709"/>
        <w:jc w:val="both"/>
        <w:rPr>
          <w:rFonts w:ascii="Palatino Linotype" w:hAnsi="Palatino Linotype"/>
          <w:i/>
          <w:sz w:val="22"/>
          <w:szCs w:val="22"/>
        </w:rPr>
      </w:pPr>
      <w:r w:rsidRPr="00305CA1">
        <w:rPr>
          <w:rFonts w:ascii="Palatino Linotype" w:hAnsi="Palatino Linotype"/>
          <w:b/>
          <w:i/>
          <w:sz w:val="22"/>
          <w:szCs w:val="22"/>
        </w:rPr>
        <w:t xml:space="preserve">III. </w:t>
      </w:r>
      <w:r w:rsidRPr="00305CA1">
        <w:rPr>
          <w:rFonts w:ascii="Palatino Linotype" w:hAnsi="Palatino Linotype"/>
          <w:b/>
          <w:i/>
          <w:sz w:val="22"/>
          <w:szCs w:val="22"/>
          <w:u w:val="single"/>
        </w:rPr>
        <w:t>Toda persona, sin necesidad de acreditar interés alguno o justificar su utilización, tendrá acceso gratuito a la información pública, a sus datos personales o a la rectificación de éstos</w:t>
      </w:r>
      <w:r w:rsidRPr="00305CA1">
        <w:rPr>
          <w:rFonts w:ascii="Palatino Linotype" w:hAnsi="Palatino Linotype"/>
          <w:i/>
          <w:sz w:val="22"/>
          <w:szCs w:val="22"/>
        </w:rPr>
        <w:t>.”</w:t>
      </w:r>
    </w:p>
    <w:p w:rsidR="00BE7DF2" w:rsidRPr="00305CA1" w:rsidRDefault="00BE7DF2" w:rsidP="00BE7DF2">
      <w:pPr>
        <w:spacing w:before="140" w:after="140"/>
        <w:ind w:left="709" w:right="709"/>
        <w:jc w:val="both"/>
        <w:rPr>
          <w:rFonts w:ascii="Palatino Linotype" w:hAnsi="Palatino Linotype"/>
          <w:sz w:val="22"/>
          <w:szCs w:val="22"/>
        </w:rPr>
      </w:pPr>
      <w:r w:rsidRPr="00305CA1">
        <w:rPr>
          <w:rFonts w:ascii="Palatino Linotype" w:hAnsi="Palatino Linotype"/>
          <w:sz w:val="22"/>
          <w:szCs w:val="22"/>
        </w:rPr>
        <w:t>(Énfasis añadido)</w:t>
      </w:r>
    </w:p>
    <w:p w:rsidR="00BE7DF2" w:rsidRPr="00305CA1" w:rsidRDefault="00BE7DF2" w:rsidP="00BE7DF2">
      <w:pPr>
        <w:pStyle w:val="Prrafodelista"/>
        <w:widowControl w:val="0"/>
        <w:autoSpaceDE w:val="0"/>
        <w:autoSpaceDN w:val="0"/>
        <w:adjustRightInd w:val="0"/>
        <w:spacing w:before="360" w:after="240" w:line="360" w:lineRule="auto"/>
        <w:ind w:left="0"/>
        <w:jc w:val="both"/>
        <w:rPr>
          <w:rFonts w:ascii="Palatino Linotype" w:hAnsi="Palatino Linotype"/>
        </w:rPr>
      </w:pPr>
      <w:r w:rsidRPr="00305CA1">
        <w:rPr>
          <w:rFonts w:ascii="Palatino Linotype" w:hAnsi="Palatino Linotype"/>
        </w:rPr>
        <w:t xml:space="preserve">Por otra parte, del contenido del artículo 1 de la Constitución Política de los Estados Unidos Mexicanos, se </w:t>
      </w:r>
      <w:r w:rsidRPr="00305CA1">
        <w:rPr>
          <w:rFonts w:ascii="Palatino Linotype" w:hAnsi="Palatino Linotype" w:cs="Arial"/>
          <w:color w:val="000000"/>
        </w:rPr>
        <w:t>destaca</w:t>
      </w:r>
      <w:r w:rsidRPr="00305CA1">
        <w:rPr>
          <w:rFonts w:ascii="Palatino Linotype" w:hAnsi="Palatino Linotype"/>
        </w:rPr>
        <w:t xml:space="preserve"> lo siguiente:</w:t>
      </w:r>
    </w:p>
    <w:p w:rsidR="00BE7DF2" w:rsidRPr="00305CA1" w:rsidRDefault="00BE7DF2" w:rsidP="00BE7DF2">
      <w:pPr>
        <w:spacing w:before="80" w:after="80"/>
        <w:ind w:left="709" w:right="709"/>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Artículo 1o</w:t>
      </w:r>
      <w:r w:rsidRPr="00305CA1">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E7DF2" w:rsidRPr="00305CA1" w:rsidRDefault="00BE7DF2" w:rsidP="00BE7DF2">
      <w:pPr>
        <w:spacing w:before="80" w:after="80"/>
        <w:ind w:left="709" w:right="709"/>
        <w:jc w:val="both"/>
        <w:rPr>
          <w:rFonts w:ascii="Palatino Linotype" w:hAnsi="Palatino Linotype" w:cs="Arial"/>
          <w:b/>
          <w:i/>
          <w:sz w:val="22"/>
          <w:szCs w:val="22"/>
        </w:rPr>
      </w:pPr>
      <w:r w:rsidRPr="00305CA1">
        <w:rPr>
          <w:rFonts w:ascii="Palatino Linotype" w:hAnsi="Palatino Linotype" w:cs="Arial"/>
          <w:b/>
          <w:i/>
          <w:sz w:val="22"/>
          <w:szCs w:val="22"/>
          <w:u w:val="single"/>
        </w:rPr>
        <w:t>Las normas relativas a los derechos humanos se interpretarán</w:t>
      </w:r>
      <w:r w:rsidRPr="00305CA1">
        <w:rPr>
          <w:rFonts w:ascii="Palatino Linotype" w:hAnsi="Palatino Linotype" w:cs="Arial"/>
          <w:i/>
          <w:sz w:val="22"/>
          <w:szCs w:val="22"/>
        </w:rPr>
        <w:t xml:space="preserve"> de conformidad con esta Constitución y con los tratados internacionales de la </w:t>
      </w:r>
      <w:r w:rsidRPr="00305CA1">
        <w:rPr>
          <w:rFonts w:ascii="Palatino Linotype" w:hAnsi="Palatino Linotype" w:cs="Arial"/>
          <w:b/>
          <w:i/>
          <w:sz w:val="22"/>
          <w:szCs w:val="22"/>
        </w:rPr>
        <w:t xml:space="preserve">materia </w:t>
      </w:r>
      <w:r w:rsidRPr="00305CA1">
        <w:rPr>
          <w:rFonts w:ascii="Palatino Linotype" w:hAnsi="Palatino Linotype" w:cs="Arial"/>
          <w:b/>
          <w:i/>
          <w:sz w:val="22"/>
          <w:szCs w:val="22"/>
          <w:u w:val="single"/>
        </w:rPr>
        <w:t>favoreciendo en todo tiempo a las personas la protección más amplia</w:t>
      </w:r>
      <w:r w:rsidRPr="00305CA1">
        <w:rPr>
          <w:rFonts w:ascii="Palatino Linotype" w:hAnsi="Palatino Linotype" w:cs="Arial"/>
          <w:b/>
          <w:i/>
          <w:sz w:val="22"/>
          <w:szCs w:val="22"/>
        </w:rPr>
        <w:t>.</w:t>
      </w:r>
    </w:p>
    <w:p w:rsidR="00BE7DF2" w:rsidRPr="00305CA1" w:rsidRDefault="00BE7DF2" w:rsidP="00BE7DF2">
      <w:pPr>
        <w:spacing w:before="80" w:after="80"/>
        <w:ind w:left="709" w:right="709"/>
        <w:jc w:val="both"/>
        <w:rPr>
          <w:rFonts w:ascii="Palatino Linotype" w:hAnsi="Palatino Linotype" w:cs="Arial"/>
          <w:i/>
          <w:sz w:val="22"/>
          <w:szCs w:val="22"/>
        </w:rPr>
      </w:pPr>
      <w:r w:rsidRPr="00305CA1">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05CA1">
        <w:rPr>
          <w:rFonts w:ascii="Palatino Linotype" w:hAnsi="Palatino Linotype" w:cs="Arial"/>
          <w:i/>
          <w:sz w:val="22"/>
          <w:szCs w:val="22"/>
        </w:rPr>
        <w:t>. En consecuencia, el Estado deberá prevenir, investigar, sancionar y reparar las violaciones a los derechos humanos, en los términos que establezca la ley.”</w:t>
      </w:r>
    </w:p>
    <w:p w:rsidR="00BE7DF2" w:rsidRPr="00305CA1" w:rsidRDefault="00BE7DF2" w:rsidP="00BE7DF2">
      <w:pPr>
        <w:spacing w:before="120"/>
        <w:ind w:left="709" w:right="709"/>
        <w:jc w:val="both"/>
        <w:rPr>
          <w:rFonts w:ascii="Palatino Linotype" w:hAnsi="Palatino Linotype"/>
          <w:sz w:val="22"/>
          <w:szCs w:val="22"/>
        </w:rPr>
      </w:pPr>
      <w:r w:rsidRPr="00305CA1">
        <w:rPr>
          <w:rFonts w:ascii="Palatino Linotype" w:hAnsi="Palatino Linotype"/>
          <w:sz w:val="22"/>
          <w:szCs w:val="22"/>
        </w:rPr>
        <w:t>(Énfasis añadido)</w:t>
      </w:r>
    </w:p>
    <w:p w:rsidR="00BE7DF2" w:rsidRPr="00305CA1" w:rsidRDefault="00BE7DF2" w:rsidP="00BE7DF2">
      <w:pPr>
        <w:pStyle w:val="Prrafodelista"/>
        <w:widowControl w:val="0"/>
        <w:autoSpaceDE w:val="0"/>
        <w:autoSpaceDN w:val="0"/>
        <w:adjustRightInd w:val="0"/>
        <w:spacing w:before="360" w:after="240" w:line="360" w:lineRule="auto"/>
        <w:ind w:left="0"/>
        <w:jc w:val="both"/>
        <w:rPr>
          <w:rFonts w:ascii="Palatino Linotype" w:hAnsi="Palatino Linotype"/>
        </w:rPr>
      </w:pPr>
      <w:r w:rsidRPr="00305CA1">
        <w:rPr>
          <w:rFonts w:ascii="Palatino Linotype" w:hAnsi="Palatino Linotype"/>
        </w:rPr>
        <w:lastRenderedPageBreak/>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w:t>
      </w:r>
      <w:r w:rsidRPr="00305CA1">
        <w:rPr>
          <w:rFonts w:ascii="Palatino Linotype" w:hAnsi="Palatino Linotype" w:cs="Arial"/>
          <w:color w:val="000000"/>
        </w:rPr>
        <w:t>legitimación</w:t>
      </w:r>
      <w:r w:rsidRPr="00305CA1">
        <w:rPr>
          <w:rFonts w:ascii="Palatino Linotype" w:hAnsi="Palatino Linotype"/>
        </w:rPr>
        <w:t xml:space="preserve"> en la causa o su interés en el asunto, lo que permite la posibilidad de que inclusive, la solicitud de acceso a la información pueda ser anónima o no contener un nombre que identifique al solicitante o que permita tener certeza sobre su identidad. </w:t>
      </w:r>
    </w:p>
    <w:p w:rsidR="00BE7DF2" w:rsidRPr="00305CA1" w:rsidRDefault="00BE7DF2" w:rsidP="00935113">
      <w:pPr>
        <w:pStyle w:val="Prrafodelista"/>
        <w:widowControl w:val="0"/>
        <w:autoSpaceDE w:val="0"/>
        <w:autoSpaceDN w:val="0"/>
        <w:adjustRightInd w:val="0"/>
        <w:spacing w:before="300" w:after="240" w:line="360" w:lineRule="auto"/>
        <w:ind w:left="0"/>
        <w:jc w:val="both"/>
        <w:rPr>
          <w:rFonts w:ascii="Palatino Linotype" w:hAnsi="Palatino Linotype"/>
        </w:rPr>
      </w:pPr>
      <w:r w:rsidRPr="00305CA1">
        <w:rPr>
          <w:rFonts w:ascii="Palatino Linotype" w:hAnsi="Palatino Linotype"/>
        </w:rPr>
        <w:t xml:space="preserve">Robustece lo </w:t>
      </w:r>
      <w:r w:rsidRPr="00305CA1">
        <w:rPr>
          <w:rFonts w:ascii="Palatino Linotype" w:hAnsi="Palatino Linotype" w:cs="Arial"/>
          <w:color w:val="000000"/>
        </w:rPr>
        <w:t>anterior</w:t>
      </w:r>
      <w:r w:rsidRPr="00305CA1">
        <w:rPr>
          <w:rFonts w:ascii="Palatino Linotype" w:hAnsi="Palatino Linotype"/>
        </w:rPr>
        <w:t xml:space="preserve">, </w:t>
      </w:r>
      <w:r w:rsidRPr="00305CA1">
        <w:rPr>
          <w:rFonts w:ascii="Palatino Linotype" w:hAnsi="Palatino Linotype"/>
          <w:szCs w:val="20"/>
        </w:rPr>
        <w:t xml:space="preserve">en términos del artículo 202, segundo párrafo, de </w:t>
      </w:r>
      <w:r w:rsidRPr="00305CA1">
        <w:rPr>
          <w:rFonts w:ascii="Palatino Linotype" w:hAnsi="Palatino Linotype"/>
          <w:szCs w:val="17"/>
          <w:lang w:eastAsia="es-ES_tradnl"/>
        </w:rPr>
        <w:t xml:space="preserve">la Ley de Transparencia y Acceso a la Información Pública del </w:t>
      </w:r>
      <w:r w:rsidRPr="00305CA1">
        <w:rPr>
          <w:rFonts w:ascii="Palatino Linotype" w:hAnsi="Palatino Linotype"/>
        </w:rPr>
        <w:t>Estado</w:t>
      </w:r>
      <w:r w:rsidRPr="00305CA1">
        <w:rPr>
          <w:rFonts w:ascii="Palatino Linotype" w:hAnsi="Palatino Linotype"/>
          <w:szCs w:val="17"/>
          <w:lang w:eastAsia="es-ES_tradnl"/>
        </w:rPr>
        <w:t xml:space="preserve"> de México y Municipios</w:t>
      </w:r>
      <w:r w:rsidRPr="00305CA1">
        <w:rPr>
          <w:rStyle w:val="Refdenotaalpie"/>
          <w:rFonts w:ascii="Palatino Linotype" w:hAnsi="Palatino Linotype"/>
          <w:szCs w:val="17"/>
          <w:lang w:eastAsia="es-ES_tradnl"/>
        </w:rPr>
        <w:footnoteReference w:id="2"/>
      </w:r>
      <w:r w:rsidRPr="00305CA1">
        <w:rPr>
          <w:rFonts w:ascii="Palatino Linotype" w:hAnsi="Palatino Linotype"/>
          <w:szCs w:val="17"/>
          <w:lang w:eastAsia="es-ES_tradnl"/>
        </w:rPr>
        <w:t xml:space="preserve">, </w:t>
      </w:r>
      <w:r w:rsidRPr="00305CA1">
        <w:rPr>
          <w:rFonts w:ascii="Palatino Linotype" w:hAnsi="Palatino Linotype"/>
        </w:rPr>
        <w:t xml:space="preserve">el Criterio 6/2014 del entonces </w:t>
      </w:r>
      <w:r w:rsidRPr="00305CA1">
        <w:rPr>
          <w:rFonts w:ascii="Palatino Linotype" w:hAnsi="Palatino Linotype"/>
          <w:szCs w:val="20"/>
        </w:rPr>
        <w:t xml:space="preserve">Instituto Federal de Acceso a la Información y </w:t>
      </w:r>
      <w:r w:rsidRPr="00305CA1">
        <w:rPr>
          <w:rFonts w:ascii="Palatino Linotype" w:hAnsi="Palatino Linotype" w:cs="Arial"/>
        </w:rPr>
        <w:t>Protección</w:t>
      </w:r>
      <w:r w:rsidRPr="00305CA1">
        <w:rPr>
          <w:rFonts w:ascii="Palatino Linotype" w:hAnsi="Palatino Linotype"/>
          <w:szCs w:val="20"/>
        </w:rPr>
        <w:t xml:space="preserve"> de Datos (IFAI) hoy Instituto Nacional de Transparencia, Acceso a la </w:t>
      </w:r>
      <w:r w:rsidRPr="00305CA1">
        <w:rPr>
          <w:rFonts w:ascii="Palatino Linotype" w:hAnsi="Palatino Linotype"/>
        </w:rPr>
        <w:t>Información</w:t>
      </w:r>
      <w:r w:rsidRPr="00305CA1">
        <w:rPr>
          <w:rFonts w:ascii="Palatino Linotype" w:hAnsi="Palatino Linotype"/>
          <w:szCs w:val="20"/>
        </w:rPr>
        <w:t xml:space="preserve"> y Protección de Datos Personales (INAI)</w:t>
      </w:r>
      <w:r w:rsidRPr="00305CA1">
        <w:rPr>
          <w:rFonts w:ascii="Palatino Linotype" w:hAnsi="Palatino Linotype"/>
        </w:rPr>
        <w:t>, el cual se reproduce para una mayor referencia:</w:t>
      </w:r>
    </w:p>
    <w:p w:rsidR="00BE7DF2" w:rsidRPr="00305CA1" w:rsidRDefault="00BE7DF2" w:rsidP="00935113">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305CA1">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BE7DF2" w:rsidRPr="00305CA1" w:rsidRDefault="00BE7DF2" w:rsidP="00935113">
      <w:pPr>
        <w:spacing w:before="100" w:after="100"/>
        <w:ind w:left="709" w:right="709"/>
        <w:jc w:val="both"/>
        <w:rPr>
          <w:rFonts w:ascii="Palatino Linotype" w:hAnsi="Palatino Linotype" w:cs="Arial"/>
          <w:b/>
          <w:i/>
          <w:sz w:val="22"/>
          <w:szCs w:val="22"/>
        </w:rPr>
      </w:pPr>
      <w:r w:rsidRPr="00305CA1">
        <w:rPr>
          <w:rFonts w:ascii="Palatino Linotype" w:hAnsi="Palatino Linotype" w:cs="Arial"/>
          <w:b/>
          <w:i/>
          <w:sz w:val="22"/>
          <w:szCs w:val="22"/>
        </w:rPr>
        <w:lastRenderedPageBreak/>
        <w:t>Resoluciones</w:t>
      </w:r>
    </w:p>
    <w:p w:rsidR="00BE7DF2" w:rsidRPr="00305CA1" w:rsidRDefault="00BE7DF2" w:rsidP="00935113">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 </w:t>
      </w:r>
      <w:r w:rsidRPr="00305CA1">
        <w:rPr>
          <w:rFonts w:ascii="Palatino Linotype" w:hAnsi="Palatino Linotype" w:cs="Arial"/>
          <w:b/>
          <w:i/>
          <w:sz w:val="22"/>
          <w:szCs w:val="22"/>
        </w:rPr>
        <w:t>RDA 5275/13</w:t>
      </w:r>
      <w:r w:rsidRPr="00305CA1">
        <w:rPr>
          <w:rFonts w:ascii="Palatino Linotype" w:hAnsi="Palatino Linotype" w:cs="Arial"/>
          <w:i/>
          <w:sz w:val="22"/>
          <w:szCs w:val="22"/>
        </w:rPr>
        <w:t>. Interpuesto en contra de la Secretaría de la Defensa Nacional. Comisionado Ponente Ángel Trinidad Zaldívar.</w:t>
      </w:r>
    </w:p>
    <w:p w:rsidR="00BE7DF2" w:rsidRPr="00305CA1" w:rsidRDefault="00BE7DF2" w:rsidP="00935113">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 </w:t>
      </w:r>
      <w:r w:rsidRPr="00305CA1">
        <w:rPr>
          <w:rFonts w:ascii="Palatino Linotype" w:hAnsi="Palatino Linotype" w:cs="Arial"/>
          <w:b/>
          <w:i/>
          <w:sz w:val="22"/>
          <w:szCs w:val="22"/>
        </w:rPr>
        <w:t>RDA 2937/13</w:t>
      </w:r>
      <w:r w:rsidRPr="00305CA1">
        <w:rPr>
          <w:rFonts w:ascii="Palatino Linotype" w:hAnsi="Palatino Linotype" w:cs="Arial"/>
          <w:i/>
          <w:sz w:val="22"/>
          <w:szCs w:val="22"/>
        </w:rPr>
        <w:t xml:space="preserve">. Interpuesto en contra de LICONSA, S.A. de C.V. Comisionado. Ponente Gerardo </w:t>
      </w:r>
      <w:proofErr w:type="spellStart"/>
      <w:r w:rsidRPr="00305CA1">
        <w:rPr>
          <w:rFonts w:ascii="Palatino Linotype" w:hAnsi="Palatino Linotype" w:cs="Arial"/>
          <w:i/>
          <w:sz w:val="22"/>
          <w:szCs w:val="22"/>
        </w:rPr>
        <w:t>Laveaga</w:t>
      </w:r>
      <w:proofErr w:type="spellEnd"/>
      <w:r w:rsidRPr="00305CA1">
        <w:rPr>
          <w:rFonts w:ascii="Palatino Linotype" w:hAnsi="Palatino Linotype" w:cs="Arial"/>
          <w:i/>
          <w:sz w:val="22"/>
          <w:szCs w:val="22"/>
        </w:rPr>
        <w:t xml:space="preserve"> Rendón.</w:t>
      </w:r>
    </w:p>
    <w:p w:rsidR="00BE7DF2" w:rsidRPr="00305CA1" w:rsidRDefault="00BE7DF2" w:rsidP="00935113">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 </w:t>
      </w:r>
      <w:r w:rsidRPr="00305CA1">
        <w:rPr>
          <w:rFonts w:ascii="Palatino Linotype" w:hAnsi="Palatino Linotype" w:cs="Arial"/>
          <w:b/>
          <w:i/>
          <w:sz w:val="22"/>
          <w:szCs w:val="22"/>
        </w:rPr>
        <w:t>RDA 3609/12</w:t>
      </w:r>
      <w:r w:rsidRPr="00305CA1">
        <w:rPr>
          <w:rFonts w:ascii="Palatino Linotype" w:hAnsi="Palatino Linotype" w:cs="Arial"/>
          <w:i/>
          <w:sz w:val="22"/>
          <w:szCs w:val="22"/>
        </w:rPr>
        <w:t xml:space="preserve">. Interpuesto en contra de la Secretaría de Educación Pública. Comisionada Ponente Sigrid </w:t>
      </w:r>
      <w:proofErr w:type="spellStart"/>
      <w:r w:rsidRPr="00305CA1">
        <w:rPr>
          <w:rFonts w:ascii="Palatino Linotype" w:hAnsi="Palatino Linotype" w:cs="Arial"/>
          <w:i/>
          <w:sz w:val="22"/>
          <w:szCs w:val="22"/>
        </w:rPr>
        <w:t>Arzt</w:t>
      </w:r>
      <w:proofErr w:type="spellEnd"/>
      <w:r w:rsidRPr="00305CA1">
        <w:rPr>
          <w:rFonts w:ascii="Palatino Linotype" w:hAnsi="Palatino Linotype" w:cs="Arial"/>
          <w:i/>
          <w:sz w:val="22"/>
          <w:szCs w:val="22"/>
        </w:rPr>
        <w:t xml:space="preserve"> Colunga.</w:t>
      </w:r>
    </w:p>
    <w:p w:rsidR="00BE7DF2" w:rsidRPr="00305CA1" w:rsidRDefault="00BE7DF2" w:rsidP="00935113">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 </w:t>
      </w:r>
      <w:r w:rsidRPr="00305CA1">
        <w:rPr>
          <w:rFonts w:ascii="Palatino Linotype" w:hAnsi="Palatino Linotype" w:cs="Arial"/>
          <w:b/>
          <w:i/>
          <w:sz w:val="22"/>
          <w:szCs w:val="22"/>
        </w:rPr>
        <w:t>RDA 3361/12</w:t>
      </w:r>
      <w:r w:rsidRPr="00305CA1">
        <w:rPr>
          <w:rFonts w:ascii="Palatino Linotype" w:hAnsi="Palatino Linotype" w:cs="Arial"/>
          <w:i/>
          <w:sz w:val="22"/>
          <w:szCs w:val="22"/>
        </w:rPr>
        <w:t>. Interpuesto en contra del Servicio de Administración Tributaria. Comisionada Ponente María Elena Pérez-Jaén Zermeño.</w:t>
      </w:r>
    </w:p>
    <w:p w:rsidR="00BE7DF2" w:rsidRPr="00305CA1" w:rsidRDefault="00BE7DF2" w:rsidP="00935113">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 </w:t>
      </w:r>
      <w:r w:rsidRPr="00305CA1">
        <w:rPr>
          <w:rFonts w:ascii="Palatino Linotype" w:hAnsi="Palatino Linotype" w:cs="Arial"/>
          <w:b/>
          <w:i/>
          <w:sz w:val="22"/>
          <w:szCs w:val="22"/>
        </w:rPr>
        <w:t>RDA 0563/12</w:t>
      </w:r>
      <w:r w:rsidRPr="00305CA1">
        <w:rPr>
          <w:rFonts w:ascii="Palatino Linotype" w:hAnsi="Palatino Linotype" w:cs="Arial"/>
          <w:i/>
          <w:sz w:val="22"/>
          <w:szCs w:val="22"/>
        </w:rPr>
        <w:t xml:space="preserve">. Interpuesto en contra de la Secretaría de la Función Pública. Comisionada Ponente Jacqueline </w:t>
      </w:r>
      <w:proofErr w:type="spellStart"/>
      <w:r w:rsidRPr="00305CA1">
        <w:rPr>
          <w:rFonts w:ascii="Palatino Linotype" w:hAnsi="Palatino Linotype" w:cs="Arial"/>
          <w:i/>
          <w:sz w:val="22"/>
          <w:szCs w:val="22"/>
        </w:rPr>
        <w:t>Peschard</w:t>
      </w:r>
      <w:proofErr w:type="spellEnd"/>
      <w:r w:rsidRPr="00305CA1">
        <w:rPr>
          <w:rFonts w:ascii="Palatino Linotype" w:hAnsi="Palatino Linotype" w:cs="Arial"/>
          <w:i/>
          <w:sz w:val="22"/>
          <w:szCs w:val="22"/>
        </w:rPr>
        <w:t xml:space="preserve"> Mariscal.”</w:t>
      </w:r>
    </w:p>
    <w:p w:rsidR="00BE7DF2" w:rsidRPr="00305CA1" w:rsidRDefault="00BE7DF2" w:rsidP="00BE7DF2">
      <w:pPr>
        <w:pStyle w:val="Prrafodelista"/>
        <w:widowControl w:val="0"/>
        <w:autoSpaceDE w:val="0"/>
        <w:autoSpaceDN w:val="0"/>
        <w:adjustRightInd w:val="0"/>
        <w:spacing w:before="360" w:after="240" w:line="360" w:lineRule="auto"/>
        <w:ind w:left="0"/>
        <w:jc w:val="both"/>
        <w:rPr>
          <w:rFonts w:ascii="Palatino Linotype" w:hAnsi="Palatino Linotype"/>
        </w:rPr>
      </w:pPr>
      <w:r w:rsidRPr="00305CA1">
        <w:rPr>
          <w:rFonts w:ascii="Palatino Linotype" w:hAnsi="Palatino Linotype"/>
        </w:rPr>
        <w:t xml:space="preserve">En ese orden </w:t>
      </w:r>
      <w:r w:rsidRPr="00305CA1">
        <w:rPr>
          <w:rFonts w:ascii="Palatino Linotype" w:hAnsi="Palatino Linotype" w:cs="Arial"/>
          <w:color w:val="000000"/>
        </w:rPr>
        <w:t>de</w:t>
      </w:r>
      <w:r w:rsidRPr="00305CA1">
        <w:rPr>
          <w:rFonts w:ascii="Palatino Linotype" w:hAnsi="Palatino Linotype"/>
        </w:rPr>
        <w:t xml:space="preserve"> ideas, se estima que el requerimiento relativo al nombre como presupuesto de </w:t>
      </w:r>
      <w:proofErr w:type="spellStart"/>
      <w:r w:rsidRPr="00305CA1">
        <w:rPr>
          <w:rFonts w:ascii="Palatino Linotype" w:hAnsi="Palatino Linotype"/>
        </w:rPr>
        <w:t>procedibilidad</w:t>
      </w:r>
      <w:proofErr w:type="spellEnd"/>
      <w:r w:rsidRPr="00305CA1">
        <w:rPr>
          <w:rFonts w:ascii="Palatino Linotype" w:hAnsi="Palatino Linotype"/>
        </w:rPr>
        <w:t>, podría limitar el ejercicio del derecho de acceso a la información pública, debido a que, el hecho de solicitar la identificación de los</w:t>
      </w:r>
      <w:r w:rsidRPr="00305CA1">
        <w:rPr>
          <w:rFonts w:ascii="Palatino Linotype" w:hAnsi="Palatino Linotype" w:cs="Arial"/>
          <w:b/>
        </w:rPr>
        <w:t xml:space="preserve"> </w:t>
      </w:r>
      <w:r w:rsidRPr="00305CA1">
        <w:rPr>
          <w:rFonts w:ascii="Palatino Linotype" w:hAnsi="Palatino Linotype" w:cs="Arial"/>
        </w:rPr>
        <w:t>recurrentes</w:t>
      </w:r>
      <w:r w:rsidRPr="00305CA1">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BE7DF2" w:rsidRPr="00305CA1" w:rsidRDefault="00BE7DF2" w:rsidP="00935113">
      <w:pPr>
        <w:pStyle w:val="Prrafodelista"/>
        <w:widowControl w:val="0"/>
        <w:autoSpaceDE w:val="0"/>
        <w:autoSpaceDN w:val="0"/>
        <w:adjustRightInd w:val="0"/>
        <w:spacing w:before="300" w:after="240" w:line="360" w:lineRule="auto"/>
        <w:ind w:left="0"/>
        <w:jc w:val="both"/>
        <w:rPr>
          <w:rFonts w:ascii="Palatino Linotype" w:hAnsi="Palatino Linotype"/>
        </w:rPr>
      </w:pPr>
      <w:r w:rsidRPr="00305CA1">
        <w:rPr>
          <w:rFonts w:ascii="Palatino Linotype" w:hAnsi="Palatino Linotype"/>
        </w:rPr>
        <w:t xml:space="preserve">Aunado a ello, para el estudio de la materia sobre la que se resuelve el presente recurso de revisión, resulta </w:t>
      </w:r>
      <w:r w:rsidRPr="00305CA1">
        <w:rPr>
          <w:rFonts w:ascii="Palatino Linotype" w:hAnsi="Palatino Linotype" w:cs="Arial"/>
        </w:rPr>
        <w:t>intrascendente</w:t>
      </w:r>
      <w:r w:rsidRPr="00305CA1">
        <w:rPr>
          <w:rFonts w:ascii="Palatino Linotype" w:hAnsi="Palatino Linotype"/>
        </w:rPr>
        <w:t xml:space="preserve"> conocer el nombre de la persona que lo hubiere promovido, en virtud de que tanto la </w:t>
      </w:r>
      <w:r w:rsidRPr="00305CA1">
        <w:rPr>
          <w:rFonts w:ascii="Palatino Linotype" w:hAnsi="Palatino Linotype" w:cs="Arial"/>
        </w:rPr>
        <w:t>Constitución</w:t>
      </w:r>
      <w:r w:rsidRPr="00305CA1">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su utilización de la </w:t>
      </w:r>
      <w:r w:rsidRPr="00305CA1">
        <w:rPr>
          <w:rFonts w:ascii="Palatino Linotype" w:hAnsi="Palatino Linotype" w:cs="Arial"/>
          <w:color w:val="000000"/>
        </w:rPr>
        <w:t>información;</w:t>
      </w:r>
      <w:r w:rsidRPr="00305CA1">
        <w:rPr>
          <w:rFonts w:ascii="Palatino Linotype" w:hAnsi="Palatino Linotype"/>
        </w:rPr>
        <w:t xml:space="preserve"> por lo que, resulta ocioso realizar dicho análisis, en la inteligencia de que se limitaría el ejercicio de un derecho humano, como el derecho de acceso a la información pública, por una cuestión procedimental. Asimismo, se estima que el requisito relativo al nombre del</w:t>
      </w:r>
      <w:r w:rsidRPr="00305CA1">
        <w:rPr>
          <w:rFonts w:ascii="Palatino Linotype" w:hAnsi="Palatino Linotype" w:cs="Arial"/>
          <w:b/>
        </w:rPr>
        <w:t xml:space="preserve"> </w:t>
      </w:r>
      <w:r w:rsidRPr="00305CA1">
        <w:rPr>
          <w:rFonts w:ascii="Palatino Linotype" w:hAnsi="Palatino Linotype" w:cs="Arial"/>
        </w:rPr>
        <w:t>recurrente</w:t>
      </w:r>
      <w:r w:rsidRPr="00305CA1">
        <w:rPr>
          <w:rFonts w:ascii="Palatino Linotype" w:hAnsi="Palatino Linotype"/>
        </w:rPr>
        <w:t xml:space="preserve"> no constituye un presupuesto </w:t>
      </w:r>
      <w:r w:rsidRPr="00305CA1">
        <w:rPr>
          <w:rFonts w:ascii="Palatino Linotype" w:hAnsi="Palatino Linotype"/>
        </w:rPr>
        <w:lastRenderedPageBreak/>
        <w:t xml:space="preserve">indispensable de </w:t>
      </w:r>
      <w:proofErr w:type="spellStart"/>
      <w:r w:rsidRPr="00305CA1">
        <w:rPr>
          <w:rFonts w:ascii="Palatino Linotype" w:hAnsi="Palatino Linotype"/>
        </w:rPr>
        <w:t>procedibilidad</w:t>
      </w:r>
      <w:proofErr w:type="spellEnd"/>
      <w:r w:rsidRPr="00305CA1">
        <w:rPr>
          <w:rFonts w:ascii="Palatino Linotype" w:hAnsi="Palatino Linotype"/>
        </w:rPr>
        <w:t xml:space="preserve"> de los recursos de revisión, en términos del artículo 25, de la Convención Americana de Derechos Humanos; los artículos 1, párrafos segundo y tercero, 6, apartado A, fracciones III y IV, de la Constitución Política de los Estados Unidos Mexicanos, y el artículo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w:t>
      </w:r>
      <w:r w:rsidRPr="00305CA1">
        <w:rPr>
          <w:rFonts w:ascii="Palatino Linotype" w:hAnsi="Palatino Linotype" w:cs="Arial"/>
        </w:rPr>
        <w:t>las</w:t>
      </w:r>
      <w:r w:rsidRPr="00305CA1">
        <w:rPr>
          <w:rFonts w:ascii="Palatino Linotype" w:hAnsi="Palatino Linotype"/>
        </w:rPr>
        <w:t xml:space="preserve"> que se </w:t>
      </w:r>
      <w:r w:rsidRPr="00305CA1">
        <w:rPr>
          <w:rFonts w:ascii="Palatino Linotype" w:hAnsi="Palatino Linotype" w:cs="Arial"/>
        </w:rPr>
        <w:t>desprende</w:t>
      </w:r>
      <w:r w:rsidRPr="00305CA1">
        <w:rPr>
          <w:rFonts w:ascii="Palatino Linotype" w:hAnsi="Palatino Linotype"/>
        </w:rPr>
        <w:t xml:space="preserve"> que </w:t>
      </w:r>
      <w:r w:rsidRPr="00305CA1">
        <w:rPr>
          <w:rFonts w:ascii="Palatino Linotype" w:hAnsi="Palatino Linotype"/>
          <w:b/>
          <w:szCs w:val="17"/>
          <w:lang w:eastAsia="es-ES_tradnl"/>
        </w:rPr>
        <w:t>EL</w:t>
      </w:r>
      <w:r w:rsidRPr="00305CA1">
        <w:rPr>
          <w:rFonts w:ascii="Palatino Linotype" w:hAnsi="Palatino Linotype" w:cs="Arial"/>
          <w:b/>
        </w:rPr>
        <w:t xml:space="preserve"> RECURRENTE</w:t>
      </w:r>
      <w:r w:rsidRPr="00305CA1">
        <w:rPr>
          <w:rFonts w:ascii="Palatino Linotype" w:hAnsi="Palatino Linotype"/>
        </w:rPr>
        <w:t xml:space="preserve">, es la </w:t>
      </w:r>
      <w:r w:rsidRPr="00305CA1">
        <w:rPr>
          <w:rFonts w:ascii="Palatino Linotype" w:hAnsi="Palatino Linotype" w:cs="Arial"/>
          <w:color w:val="000000"/>
        </w:rPr>
        <w:t>misma</w:t>
      </w:r>
      <w:r w:rsidRPr="00305CA1">
        <w:rPr>
          <w:rFonts w:ascii="Palatino Linotype" w:hAnsi="Palatino Linotype"/>
        </w:rPr>
        <w:t xml:space="preserve"> persona que realizó la solicitud de acceso a la información pública que ahora se </w:t>
      </w:r>
      <w:r w:rsidRPr="00305CA1">
        <w:rPr>
          <w:rFonts w:ascii="Palatino Linotype" w:hAnsi="Palatino Linotype" w:cs="Arial"/>
        </w:rPr>
        <w:t>impugna</w:t>
      </w:r>
      <w:r w:rsidRPr="00305CA1">
        <w:rPr>
          <w:rFonts w:ascii="Palatino Linotype" w:hAnsi="Palatino Linotype"/>
        </w:rPr>
        <w:t>.</w:t>
      </w:r>
    </w:p>
    <w:p w:rsidR="00BE7DF2" w:rsidRPr="00305CA1" w:rsidRDefault="00BE7DF2" w:rsidP="00935113">
      <w:pPr>
        <w:pStyle w:val="Prrafodelista"/>
        <w:widowControl w:val="0"/>
        <w:autoSpaceDE w:val="0"/>
        <w:autoSpaceDN w:val="0"/>
        <w:adjustRightInd w:val="0"/>
        <w:spacing w:before="360" w:after="240" w:line="360" w:lineRule="auto"/>
        <w:ind w:left="0"/>
        <w:jc w:val="both"/>
        <w:rPr>
          <w:rFonts w:ascii="Palatino Linotype" w:hAnsi="Palatino Linotype"/>
          <w:b/>
        </w:rPr>
      </w:pPr>
      <w:r w:rsidRPr="00305CA1">
        <w:rPr>
          <w:rFonts w:ascii="Palatino Linotype" w:hAnsi="Palatino Linotype"/>
        </w:rPr>
        <w:t xml:space="preserve">En adición a lo </w:t>
      </w:r>
      <w:r w:rsidRPr="00305CA1">
        <w:rPr>
          <w:rFonts w:ascii="Palatino Linotype" w:hAnsi="Palatino Linotype" w:cs="Arial"/>
        </w:rPr>
        <w:t>anterior</w:t>
      </w:r>
      <w:r w:rsidRPr="00305CA1">
        <w:rPr>
          <w:rFonts w:ascii="Palatino Linotype" w:hAnsi="Palatino Linotype"/>
        </w:rPr>
        <w:t xml:space="preserve">, el referido artículo 180 en su último párrafo, establece que, cuando el recurso de revisión se </w:t>
      </w:r>
      <w:r w:rsidRPr="00305CA1">
        <w:rPr>
          <w:rFonts w:ascii="Palatino Linotype" w:hAnsi="Palatino Linotype" w:cs="Arial"/>
          <w:color w:val="000000"/>
        </w:rPr>
        <w:t>interponga</w:t>
      </w:r>
      <w:r w:rsidRPr="00305CA1">
        <w:rPr>
          <w:rFonts w:ascii="Palatino Linotype" w:hAnsi="Palatino Linotype"/>
        </w:rPr>
        <w:t xml:space="preserve"> de manera electrónica, no será indispensable que contenga </w:t>
      </w:r>
      <w:r w:rsidRPr="00305CA1">
        <w:rPr>
          <w:rFonts w:ascii="Palatino Linotype" w:hAnsi="Palatino Linotype" w:cs="Arial"/>
        </w:rPr>
        <w:t>determinados</w:t>
      </w:r>
      <w:r w:rsidRPr="00305CA1">
        <w:rPr>
          <w:rFonts w:ascii="Palatino Linotype" w:hAnsi="Palatino Linotype"/>
        </w:rPr>
        <w:t xml:space="preserve"> </w:t>
      </w:r>
      <w:r w:rsidRPr="00305CA1">
        <w:rPr>
          <w:rFonts w:ascii="Palatino Linotype" w:hAnsi="Palatino Linotype" w:cs="Arial"/>
          <w:color w:val="000000"/>
        </w:rPr>
        <w:t>requisitos</w:t>
      </w:r>
      <w:r w:rsidRPr="00305CA1">
        <w:rPr>
          <w:rFonts w:ascii="Palatino Linotype" w:hAnsi="Palatino Linotype"/>
        </w:rPr>
        <w:t xml:space="preserve">, entre ellos, el nombre de los recurrentes; por lo que, en el presente caso, al haber sido presentado el recurso de revisión vía </w:t>
      </w:r>
      <w:r w:rsidRPr="00305CA1">
        <w:rPr>
          <w:rFonts w:ascii="Palatino Linotype" w:hAnsi="Palatino Linotype"/>
          <w:b/>
        </w:rPr>
        <w:t>EL</w:t>
      </w:r>
      <w:r w:rsidRPr="00305CA1">
        <w:rPr>
          <w:rFonts w:ascii="Palatino Linotype" w:hAnsi="Palatino Linotype"/>
        </w:rPr>
        <w:t xml:space="preserve"> </w:t>
      </w:r>
      <w:r w:rsidRPr="00305CA1">
        <w:rPr>
          <w:rFonts w:ascii="Palatino Linotype" w:hAnsi="Palatino Linotype"/>
          <w:b/>
        </w:rPr>
        <w:t>SAIMEX</w:t>
      </w:r>
      <w:r w:rsidRPr="00305CA1">
        <w:rPr>
          <w:rFonts w:ascii="Palatino Linotype" w:hAnsi="Palatino Linotype"/>
        </w:rPr>
        <w:t>, dicho requisito resulta innecesario.</w:t>
      </w:r>
    </w:p>
    <w:p w:rsidR="006B6829" w:rsidRPr="00305CA1" w:rsidRDefault="0010356C" w:rsidP="0010330F">
      <w:pPr>
        <w:pStyle w:val="Prrafodelista"/>
        <w:widowControl w:val="0"/>
        <w:numPr>
          <w:ilvl w:val="0"/>
          <w:numId w:val="3"/>
        </w:numPr>
        <w:tabs>
          <w:tab w:val="left" w:pos="1560"/>
        </w:tabs>
        <w:autoSpaceDE w:val="0"/>
        <w:autoSpaceDN w:val="0"/>
        <w:adjustRightInd w:val="0"/>
        <w:spacing w:before="400" w:after="240" w:line="360" w:lineRule="auto"/>
        <w:ind w:left="0" w:firstLine="0"/>
        <w:jc w:val="both"/>
        <w:rPr>
          <w:rFonts w:ascii="Palatino Linotype" w:hAnsi="Palatino Linotype" w:cs="Arial"/>
        </w:rPr>
      </w:pPr>
      <w:r w:rsidRPr="00305CA1">
        <w:rPr>
          <w:rFonts w:ascii="Palatino Linotype" w:hAnsi="Palatino Linotype" w:cs="Arial"/>
          <w:b/>
          <w:color w:val="000000"/>
        </w:rPr>
        <w:t>Estudio y resolución del asunto.</w:t>
      </w:r>
      <w:r w:rsidR="006B6829" w:rsidRPr="00305CA1">
        <w:rPr>
          <w:rFonts w:ascii="Palatino Linotype" w:hAnsi="Palatino Linotype" w:cs="Arial"/>
          <w:b/>
          <w:color w:val="000000"/>
        </w:rPr>
        <w:t xml:space="preserve"> </w:t>
      </w:r>
      <w:r w:rsidR="006B6829" w:rsidRPr="00305CA1">
        <w:rPr>
          <w:rFonts w:ascii="Palatino Linotype" w:hAnsi="Palatino Linotype" w:cs="Arial"/>
        </w:rPr>
        <w:t xml:space="preserve">Del análisis </w:t>
      </w:r>
      <w:r w:rsidR="006B6829" w:rsidRPr="00305CA1">
        <w:rPr>
          <w:rFonts w:ascii="Palatino Linotype" w:hAnsi="Palatino Linotype"/>
        </w:rPr>
        <w:t>efectuado</w:t>
      </w:r>
      <w:r w:rsidR="006B6829" w:rsidRPr="00305CA1">
        <w:rPr>
          <w:rFonts w:ascii="Palatino Linotype" w:hAnsi="Palatino Linotype" w:cs="Arial"/>
        </w:rPr>
        <w:t xml:space="preserve"> se advierte la procedencia del recurso de revisión, toda vez que se actualiza la hipótesis prevista en la fracción V, del artículo 179, de la </w:t>
      </w:r>
      <w:r w:rsidR="006B6829" w:rsidRPr="00305CA1">
        <w:rPr>
          <w:rFonts w:ascii="Palatino Linotype" w:hAnsi="Palatino Linotype"/>
        </w:rPr>
        <w:t>Ley</w:t>
      </w:r>
      <w:r w:rsidR="006B6829" w:rsidRPr="00305CA1">
        <w:rPr>
          <w:rFonts w:ascii="Palatino Linotype" w:hAnsi="Palatino Linotype" w:cs="Arial"/>
        </w:rPr>
        <w:t xml:space="preserve"> de Transparencia y Acceso a la Información Pública del Estado de México y Municipios, que a la letra versa:</w:t>
      </w:r>
    </w:p>
    <w:p w:rsidR="006B6829" w:rsidRPr="00305CA1" w:rsidRDefault="006B6829" w:rsidP="00935113">
      <w:pPr>
        <w:spacing w:before="120" w:after="120"/>
        <w:ind w:left="709" w:right="709"/>
        <w:jc w:val="both"/>
        <w:rPr>
          <w:rFonts w:ascii="Palatino Linotype" w:hAnsi="Palatino Linotype" w:cs="Arial"/>
          <w:i/>
          <w:sz w:val="22"/>
          <w:szCs w:val="22"/>
        </w:rPr>
      </w:pPr>
      <w:r w:rsidRPr="00305CA1">
        <w:rPr>
          <w:rFonts w:ascii="Palatino Linotype" w:hAnsi="Palatino Linotype" w:cs="Arial"/>
          <w:bCs/>
          <w:i/>
          <w:sz w:val="22"/>
          <w:szCs w:val="22"/>
        </w:rPr>
        <w:t>“</w:t>
      </w:r>
      <w:r w:rsidRPr="00305CA1">
        <w:rPr>
          <w:rFonts w:ascii="Palatino Linotype" w:hAnsi="Palatino Linotype" w:cs="Arial"/>
          <w:b/>
          <w:bCs/>
          <w:i/>
          <w:sz w:val="22"/>
          <w:szCs w:val="22"/>
        </w:rPr>
        <w:t>Artículo 179.</w:t>
      </w:r>
      <w:r w:rsidRPr="00305CA1">
        <w:rPr>
          <w:rFonts w:ascii="Palatino Linotype" w:hAnsi="Palatino Linotype" w:cs="Arial"/>
          <w:bCs/>
          <w:i/>
          <w:sz w:val="22"/>
          <w:szCs w:val="22"/>
        </w:rPr>
        <w:t xml:space="preserve"> </w:t>
      </w:r>
      <w:r w:rsidRPr="00305CA1">
        <w:rPr>
          <w:rFonts w:ascii="Palatino Linotype" w:hAnsi="Palatino Linotype" w:cs="Arial"/>
          <w:b/>
          <w:i/>
          <w:sz w:val="22"/>
          <w:szCs w:val="22"/>
          <w:u w:val="single"/>
        </w:rPr>
        <w:t>El recurso de revisión</w:t>
      </w:r>
      <w:r w:rsidRPr="00305CA1">
        <w:rPr>
          <w:rFonts w:ascii="Palatino Linotype" w:hAnsi="Palatino Linotype" w:cs="Arial"/>
          <w:i/>
          <w:sz w:val="22"/>
          <w:szCs w:val="22"/>
        </w:rPr>
        <w:t xml:space="preserve"> es un medio de protección que la Ley otorga a los particulares, para hacer valer su derecho de acceso a la información pública, y </w:t>
      </w:r>
      <w:r w:rsidRPr="00305CA1">
        <w:rPr>
          <w:rFonts w:ascii="Palatino Linotype" w:hAnsi="Palatino Linotype" w:cs="Arial"/>
          <w:b/>
          <w:i/>
          <w:sz w:val="22"/>
          <w:szCs w:val="22"/>
          <w:u w:val="single"/>
        </w:rPr>
        <w:t>procederá en contra de las siguientes causas</w:t>
      </w:r>
      <w:r w:rsidRPr="00305CA1">
        <w:rPr>
          <w:rFonts w:ascii="Palatino Linotype" w:hAnsi="Palatino Linotype" w:cs="Arial"/>
          <w:i/>
          <w:sz w:val="22"/>
          <w:szCs w:val="22"/>
        </w:rPr>
        <w:t>:</w:t>
      </w:r>
    </w:p>
    <w:p w:rsidR="006B6829" w:rsidRPr="00305CA1" w:rsidRDefault="006B6829" w:rsidP="00935113">
      <w:pPr>
        <w:spacing w:before="120" w:after="120"/>
        <w:ind w:left="709" w:right="709"/>
        <w:jc w:val="both"/>
        <w:rPr>
          <w:rFonts w:ascii="Palatino Linotype" w:hAnsi="Palatino Linotype" w:cs="Arial"/>
          <w:i/>
          <w:sz w:val="22"/>
          <w:szCs w:val="22"/>
        </w:rPr>
      </w:pPr>
      <w:r w:rsidRPr="00305CA1">
        <w:rPr>
          <w:rFonts w:ascii="Palatino Linotype" w:hAnsi="Palatino Linotype" w:cs="Arial"/>
          <w:i/>
          <w:sz w:val="22"/>
          <w:szCs w:val="22"/>
        </w:rPr>
        <w:t>[…]</w:t>
      </w:r>
    </w:p>
    <w:p w:rsidR="006B6829" w:rsidRPr="00305CA1" w:rsidRDefault="006B6829" w:rsidP="00935113">
      <w:pPr>
        <w:tabs>
          <w:tab w:val="left" w:pos="993"/>
        </w:tabs>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lastRenderedPageBreak/>
        <w:t xml:space="preserve">V. </w:t>
      </w:r>
      <w:r w:rsidRPr="00305CA1">
        <w:rPr>
          <w:rFonts w:ascii="Palatino Linotype" w:hAnsi="Palatino Linotype" w:cs="Arial"/>
          <w:b/>
          <w:i/>
          <w:sz w:val="22"/>
          <w:szCs w:val="22"/>
          <w:u w:val="single"/>
        </w:rPr>
        <w:t>La entrega de información incompleta</w:t>
      </w:r>
      <w:proofErr w:type="gramStart"/>
      <w:r w:rsidRPr="00305CA1">
        <w:rPr>
          <w:rFonts w:ascii="Palatino Linotype" w:hAnsi="Palatino Linotype" w:cs="Arial"/>
          <w:i/>
          <w:sz w:val="22"/>
          <w:szCs w:val="22"/>
        </w:rPr>
        <w:t>; …”</w:t>
      </w:r>
      <w:proofErr w:type="gramEnd"/>
    </w:p>
    <w:p w:rsidR="006B6829" w:rsidRPr="00305CA1" w:rsidRDefault="006B6829" w:rsidP="00935113">
      <w:pPr>
        <w:spacing w:before="120" w:after="120"/>
        <w:ind w:left="709" w:right="709"/>
        <w:jc w:val="both"/>
        <w:rPr>
          <w:rFonts w:ascii="Palatino Linotype" w:hAnsi="Palatino Linotype" w:cs="Arial"/>
          <w:sz w:val="22"/>
          <w:szCs w:val="22"/>
          <w:lang w:eastAsia="es-MX"/>
        </w:rPr>
      </w:pPr>
      <w:r w:rsidRPr="00305CA1">
        <w:rPr>
          <w:rFonts w:ascii="Palatino Linotype" w:hAnsi="Palatino Linotype" w:cs="Arial"/>
          <w:sz w:val="22"/>
          <w:szCs w:val="22"/>
          <w:lang w:eastAsia="es-MX"/>
        </w:rPr>
        <w:t>(Énfasis añadido)</w:t>
      </w:r>
    </w:p>
    <w:p w:rsidR="0010356C" w:rsidRPr="00305CA1" w:rsidRDefault="006B6829" w:rsidP="006B6829">
      <w:pPr>
        <w:pStyle w:val="Prrafodelista"/>
        <w:widowControl w:val="0"/>
        <w:tabs>
          <w:tab w:val="left" w:pos="1560"/>
        </w:tabs>
        <w:autoSpaceDE w:val="0"/>
        <w:autoSpaceDN w:val="0"/>
        <w:adjustRightInd w:val="0"/>
        <w:spacing w:before="360" w:after="240" w:line="360" w:lineRule="auto"/>
        <w:ind w:left="0"/>
        <w:jc w:val="both"/>
        <w:rPr>
          <w:rFonts w:ascii="Palatino Linotype" w:hAnsi="Palatino Linotype"/>
          <w:color w:val="000000"/>
        </w:rPr>
      </w:pPr>
      <w:r w:rsidRPr="00305CA1">
        <w:rPr>
          <w:rFonts w:ascii="Palatino Linotype" w:hAnsi="Palatino Linotype" w:cs="Arial"/>
        </w:rPr>
        <w:t xml:space="preserve">Para ilustrar dicha actualización, debemos recordar que </w:t>
      </w:r>
      <w:r w:rsidRPr="00305CA1">
        <w:rPr>
          <w:rFonts w:ascii="Palatino Linotype" w:hAnsi="Palatino Linotype" w:cs="Arial"/>
          <w:b/>
        </w:rPr>
        <w:t>EL RECURRENTE</w:t>
      </w:r>
      <w:r w:rsidRPr="00305CA1">
        <w:rPr>
          <w:rFonts w:ascii="Palatino Linotype" w:hAnsi="Palatino Linotype"/>
          <w:color w:val="000000"/>
        </w:rPr>
        <w:t xml:space="preserve"> </w:t>
      </w:r>
      <w:r w:rsidRPr="00305CA1">
        <w:rPr>
          <w:rFonts w:ascii="Palatino Linotype" w:hAnsi="Palatino Linotype"/>
        </w:rPr>
        <w:t xml:space="preserve">en la solicitud de acceso a la información pública, </w:t>
      </w:r>
      <w:r w:rsidRPr="00305CA1">
        <w:rPr>
          <w:rFonts w:ascii="Palatino Linotype" w:hAnsi="Palatino Linotype" w:cs="Arial"/>
        </w:rPr>
        <w:t>requirió</w:t>
      </w:r>
      <w:r w:rsidRPr="00305CA1">
        <w:rPr>
          <w:rFonts w:ascii="Palatino Linotype" w:hAnsi="Palatino Linotype"/>
          <w:color w:val="000000"/>
        </w:rPr>
        <w:t xml:space="preserve"> </w:t>
      </w:r>
      <w:r w:rsidRPr="00305CA1">
        <w:rPr>
          <w:rFonts w:ascii="Palatino Linotype" w:hAnsi="Palatino Linotype" w:cs="Arial"/>
        </w:rPr>
        <w:t>del</w:t>
      </w:r>
      <w:r w:rsidRPr="00305CA1">
        <w:rPr>
          <w:rFonts w:ascii="Palatino Linotype" w:hAnsi="Palatino Linotype"/>
          <w:color w:val="000000"/>
        </w:rPr>
        <w:t xml:space="preserve"> </w:t>
      </w:r>
      <w:r w:rsidRPr="00305CA1">
        <w:rPr>
          <w:rFonts w:ascii="Palatino Linotype" w:hAnsi="Palatino Linotype" w:cs="Arial"/>
          <w:b/>
          <w:color w:val="000000"/>
        </w:rPr>
        <w:t>SUJETO OBLIGADO</w:t>
      </w:r>
      <w:r w:rsidRPr="00305CA1">
        <w:rPr>
          <w:rFonts w:ascii="Palatino Linotype" w:hAnsi="Palatino Linotype" w:cs="Arial"/>
        </w:rPr>
        <w:t xml:space="preserve">, </w:t>
      </w:r>
      <w:r w:rsidRPr="00305CA1">
        <w:rPr>
          <w:rFonts w:ascii="Palatino Linotype" w:hAnsi="Palatino Linotype"/>
        </w:rPr>
        <w:t xml:space="preserve">vía </w:t>
      </w:r>
      <w:r w:rsidRPr="00305CA1">
        <w:rPr>
          <w:rFonts w:ascii="Palatino Linotype" w:hAnsi="Palatino Linotype"/>
          <w:b/>
        </w:rPr>
        <w:t>EL</w:t>
      </w:r>
      <w:r w:rsidRPr="00305CA1">
        <w:rPr>
          <w:rFonts w:ascii="Palatino Linotype" w:hAnsi="Palatino Linotype"/>
        </w:rPr>
        <w:t xml:space="preserve"> </w:t>
      </w:r>
      <w:r w:rsidRPr="00305CA1">
        <w:rPr>
          <w:rFonts w:ascii="Palatino Linotype" w:hAnsi="Palatino Linotype"/>
          <w:b/>
        </w:rPr>
        <w:t>SAIMEX</w:t>
      </w:r>
      <w:r w:rsidRPr="00305CA1">
        <w:rPr>
          <w:rFonts w:ascii="Palatino Linotype" w:hAnsi="Palatino Linotype"/>
        </w:rPr>
        <w:t xml:space="preserve">, respecto del </w:t>
      </w:r>
      <w:r w:rsidR="00E571C8" w:rsidRPr="00305CA1">
        <w:rPr>
          <w:rFonts w:ascii="Palatino Linotype" w:hAnsi="Palatino Linotype"/>
          <w:color w:val="000000"/>
        </w:rPr>
        <w:t xml:space="preserve">Hospital Mónica </w:t>
      </w:r>
      <w:proofErr w:type="spellStart"/>
      <w:r w:rsidR="00E571C8" w:rsidRPr="00305CA1">
        <w:rPr>
          <w:rFonts w:ascii="Palatino Linotype" w:hAnsi="Palatino Linotype"/>
          <w:color w:val="000000"/>
        </w:rPr>
        <w:t>Pretelini</w:t>
      </w:r>
      <w:proofErr w:type="spellEnd"/>
      <w:r w:rsidRPr="00305CA1">
        <w:rPr>
          <w:rFonts w:ascii="Palatino Linotype" w:hAnsi="Palatino Linotype"/>
          <w:color w:val="000000"/>
        </w:rPr>
        <w:t>, se diera contestación a los siguientes cuestionamientos</w:t>
      </w:r>
      <w:r w:rsidR="0010356C" w:rsidRPr="00305CA1">
        <w:rPr>
          <w:rFonts w:ascii="Palatino Linotype" w:hAnsi="Palatino Linotype"/>
          <w:color w:val="000000"/>
        </w:rPr>
        <w:t>:</w:t>
      </w:r>
    </w:p>
    <w:p w:rsidR="00E571C8" w:rsidRPr="00305CA1" w:rsidRDefault="006B6829" w:rsidP="0010356C">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305CA1">
        <w:rPr>
          <w:rFonts w:ascii="Palatino Linotype" w:hAnsi="Palatino Linotype"/>
          <w:color w:val="000000"/>
        </w:rPr>
        <w:t>¿</w:t>
      </w:r>
      <w:r w:rsidR="00B03EEE" w:rsidRPr="00305CA1">
        <w:rPr>
          <w:rFonts w:ascii="Palatino Linotype" w:hAnsi="Palatino Linotype"/>
          <w:color w:val="000000"/>
        </w:rPr>
        <w:t>Cuáles</w:t>
      </w:r>
      <w:r w:rsidR="00E571C8" w:rsidRPr="00305CA1">
        <w:rPr>
          <w:rFonts w:ascii="Palatino Linotype" w:hAnsi="Palatino Linotype"/>
          <w:color w:val="000000"/>
        </w:rPr>
        <w:t xml:space="preserve"> son los criterios para otorgar a un servidor público su regular</w:t>
      </w:r>
      <w:r w:rsidR="00B03EEE" w:rsidRPr="00305CA1">
        <w:rPr>
          <w:rFonts w:ascii="Palatino Linotype" w:hAnsi="Palatino Linotype"/>
          <w:color w:val="000000"/>
        </w:rPr>
        <w:t xml:space="preserve">ización, formalización y/o </w:t>
      </w:r>
      <w:proofErr w:type="spellStart"/>
      <w:r w:rsidR="00B03EEE" w:rsidRPr="00305CA1">
        <w:rPr>
          <w:rFonts w:ascii="Palatino Linotype" w:hAnsi="Palatino Linotype"/>
          <w:color w:val="000000"/>
        </w:rPr>
        <w:t>basificación</w:t>
      </w:r>
      <w:proofErr w:type="spellEnd"/>
      <w:r w:rsidRPr="00305CA1">
        <w:rPr>
          <w:rFonts w:ascii="Palatino Linotype" w:hAnsi="Palatino Linotype"/>
          <w:color w:val="000000"/>
        </w:rPr>
        <w:t>?</w:t>
      </w:r>
    </w:p>
    <w:p w:rsidR="00B03EEE" w:rsidRPr="00305CA1" w:rsidRDefault="006B6829" w:rsidP="00B03EEE">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305CA1">
        <w:rPr>
          <w:rFonts w:ascii="Palatino Linotype" w:hAnsi="Palatino Linotype"/>
          <w:color w:val="000000"/>
        </w:rPr>
        <w:t>¿</w:t>
      </w:r>
      <w:r w:rsidR="00B03EEE" w:rsidRPr="00305CA1">
        <w:rPr>
          <w:rFonts w:ascii="Palatino Linotype" w:hAnsi="Palatino Linotype"/>
          <w:color w:val="000000"/>
        </w:rPr>
        <w:t xml:space="preserve">Cuántos servidores públicos cuentan con su regularización, formalización y/o </w:t>
      </w:r>
      <w:proofErr w:type="spellStart"/>
      <w:r w:rsidR="00B03EEE" w:rsidRPr="00305CA1">
        <w:rPr>
          <w:rFonts w:ascii="Palatino Linotype" w:hAnsi="Palatino Linotype"/>
          <w:color w:val="000000"/>
        </w:rPr>
        <w:t>basificación</w:t>
      </w:r>
      <w:proofErr w:type="spellEnd"/>
      <w:r w:rsidR="00B03EEE" w:rsidRPr="00305CA1">
        <w:rPr>
          <w:rFonts w:ascii="Palatino Linotype" w:hAnsi="Palatino Linotype"/>
          <w:color w:val="000000"/>
        </w:rPr>
        <w:t>, en los años 2011 a 2019</w:t>
      </w:r>
      <w:r w:rsidRPr="00305CA1">
        <w:rPr>
          <w:rFonts w:ascii="Palatino Linotype" w:hAnsi="Palatino Linotype"/>
          <w:color w:val="000000"/>
        </w:rPr>
        <w:t>?</w:t>
      </w:r>
    </w:p>
    <w:p w:rsidR="00B03EEE" w:rsidRPr="00305CA1" w:rsidRDefault="006B6829" w:rsidP="00B03EEE">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305CA1">
        <w:rPr>
          <w:rFonts w:ascii="Palatino Linotype" w:hAnsi="Palatino Linotype"/>
          <w:color w:val="000000"/>
        </w:rPr>
        <w:t>¿</w:t>
      </w:r>
      <w:r w:rsidR="00B03EEE" w:rsidRPr="00305CA1">
        <w:rPr>
          <w:rFonts w:ascii="Palatino Linotype" w:hAnsi="Palatino Linotype"/>
          <w:color w:val="000000"/>
        </w:rPr>
        <w:t xml:space="preserve">A cuántos servidores públicos que son médicos se les ha otorgado regularización, formalización y/o </w:t>
      </w:r>
      <w:proofErr w:type="spellStart"/>
      <w:r w:rsidR="00B03EEE" w:rsidRPr="00305CA1">
        <w:rPr>
          <w:rFonts w:ascii="Palatino Linotype" w:hAnsi="Palatino Linotype"/>
          <w:color w:val="000000"/>
        </w:rPr>
        <w:t>basificación</w:t>
      </w:r>
      <w:proofErr w:type="spellEnd"/>
      <w:r w:rsidR="00B03EEE" w:rsidRPr="00305CA1">
        <w:rPr>
          <w:rFonts w:ascii="Palatino Linotype" w:hAnsi="Palatino Linotype"/>
          <w:color w:val="000000"/>
        </w:rPr>
        <w:t>, en los años 2011 a 2019</w:t>
      </w:r>
      <w:r w:rsidRPr="00305CA1">
        <w:rPr>
          <w:rFonts w:ascii="Palatino Linotype" w:hAnsi="Palatino Linotype"/>
          <w:color w:val="000000"/>
        </w:rPr>
        <w:t>?</w:t>
      </w:r>
    </w:p>
    <w:p w:rsidR="00B03EEE" w:rsidRPr="00305CA1" w:rsidRDefault="006B6829" w:rsidP="00B03EEE">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305CA1">
        <w:rPr>
          <w:rFonts w:ascii="Palatino Linotype" w:hAnsi="Palatino Linotype"/>
          <w:color w:val="000000"/>
        </w:rPr>
        <w:t>¿</w:t>
      </w:r>
      <w:r w:rsidR="00B03EEE" w:rsidRPr="00305CA1">
        <w:rPr>
          <w:rFonts w:ascii="Palatino Linotype" w:hAnsi="Palatino Linotype"/>
          <w:color w:val="000000"/>
        </w:rPr>
        <w:t xml:space="preserve">A cuántos servidores públicos que sean personal de enfermería se les ha otorgado regularización, formalización y/o </w:t>
      </w:r>
      <w:proofErr w:type="spellStart"/>
      <w:r w:rsidR="00B03EEE" w:rsidRPr="00305CA1">
        <w:rPr>
          <w:rFonts w:ascii="Palatino Linotype" w:hAnsi="Palatino Linotype"/>
          <w:color w:val="000000"/>
        </w:rPr>
        <w:t>basificación</w:t>
      </w:r>
      <w:proofErr w:type="spellEnd"/>
      <w:r w:rsidR="00B03EEE" w:rsidRPr="00305CA1">
        <w:rPr>
          <w:rFonts w:ascii="Palatino Linotype" w:hAnsi="Palatino Linotype"/>
          <w:color w:val="000000"/>
        </w:rPr>
        <w:t>, en los años 2011 a 2019</w:t>
      </w:r>
      <w:r w:rsidRPr="00305CA1">
        <w:rPr>
          <w:rFonts w:ascii="Palatino Linotype" w:hAnsi="Palatino Linotype"/>
          <w:color w:val="000000"/>
        </w:rPr>
        <w:t>?, y</w:t>
      </w:r>
    </w:p>
    <w:p w:rsidR="00B03EEE" w:rsidRPr="00305CA1" w:rsidRDefault="006B6829" w:rsidP="00B03EEE">
      <w:pPr>
        <w:pStyle w:val="Prrafodelista"/>
        <w:widowControl w:val="0"/>
        <w:numPr>
          <w:ilvl w:val="0"/>
          <w:numId w:val="1"/>
        </w:numPr>
        <w:tabs>
          <w:tab w:val="left" w:pos="1418"/>
        </w:tabs>
        <w:autoSpaceDE w:val="0"/>
        <w:autoSpaceDN w:val="0"/>
        <w:adjustRightInd w:val="0"/>
        <w:spacing w:before="200" w:after="200" w:line="360" w:lineRule="auto"/>
        <w:jc w:val="both"/>
        <w:rPr>
          <w:rFonts w:ascii="Palatino Linotype" w:hAnsi="Palatino Linotype"/>
          <w:color w:val="000000"/>
        </w:rPr>
      </w:pPr>
      <w:r w:rsidRPr="00305CA1">
        <w:rPr>
          <w:rFonts w:ascii="Palatino Linotype" w:hAnsi="Palatino Linotype"/>
          <w:color w:val="000000"/>
        </w:rPr>
        <w:t>¿</w:t>
      </w:r>
      <w:r w:rsidR="00B03EEE" w:rsidRPr="00305CA1">
        <w:rPr>
          <w:rFonts w:ascii="Palatino Linotype" w:hAnsi="Palatino Linotype"/>
          <w:color w:val="000000"/>
        </w:rPr>
        <w:t xml:space="preserve">Qué área es la encargada de decidir que personal médico y de enfermería sean regularizado, formalizado y/o </w:t>
      </w:r>
      <w:proofErr w:type="spellStart"/>
      <w:r w:rsidR="00B03EEE" w:rsidRPr="00305CA1">
        <w:rPr>
          <w:rFonts w:ascii="Palatino Linotype" w:hAnsi="Palatino Linotype"/>
          <w:color w:val="000000"/>
        </w:rPr>
        <w:t>basificado</w:t>
      </w:r>
      <w:proofErr w:type="spellEnd"/>
      <w:r w:rsidR="00B03EEE" w:rsidRPr="00305CA1">
        <w:rPr>
          <w:rFonts w:ascii="Palatino Linotype" w:hAnsi="Palatino Linotype"/>
          <w:color w:val="000000"/>
        </w:rPr>
        <w:t>, en los años 2011 a 2019</w:t>
      </w:r>
      <w:r w:rsidRPr="00305CA1">
        <w:rPr>
          <w:rFonts w:ascii="Palatino Linotype" w:hAnsi="Palatino Linotype"/>
          <w:color w:val="000000"/>
        </w:rPr>
        <w:t>?</w:t>
      </w:r>
    </w:p>
    <w:p w:rsidR="00B03EEE" w:rsidRPr="00305CA1" w:rsidRDefault="0010356C" w:rsidP="00935113">
      <w:pPr>
        <w:spacing w:before="360" w:after="240" w:line="360" w:lineRule="auto"/>
        <w:jc w:val="both"/>
        <w:rPr>
          <w:rFonts w:ascii="Palatino Linotype" w:hAnsi="Palatino Linotype" w:cs="Arial"/>
        </w:rPr>
      </w:pPr>
      <w:r w:rsidRPr="00305CA1">
        <w:rPr>
          <w:rFonts w:ascii="Palatino Linotype" w:hAnsi="Palatino Linotype" w:cs="Arial"/>
        </w:rPr>
        <w:t xml:space="preserve">Bajo ese tenor, el </w:t>
      </w:r>
      <w:r w:rsidR="00B03EEE" w:rsidRPr="00305CA1">
        <w:rPr>
          <w:rFonts w:ascii="Palatino Linotype" w:hAnsi="Palatino Linotype" w:cs="Arial"/>
        </w:rPr>
        <w:t xml:space="preserve">Servidor Público Habilitado de la Subdirección de Recursos Humanos, </w:t>
      </w:r>
      <w:r w:rsidRPr="00305CA1">
        <w:rPr>
          <w:rFonts w:ascii="Palatino Linotype" w:hAnsi="Palatino Linotype" w:cs="Arial"/>
        </w:rPr>
        <w:t xml:space="preserve">mediante su respuesta señaló que </w:t>
      </w:r>
      <w:r w:rsidR="00B03EEE" w:rsidRPr="00305CA1">
        <w:rPr>
          <w:rFonts w:ascii="Palatino Linotype" w:hAnsi="Palatino Linotype" w:cs="Arial"/>
        </w:rPr>
        <w:t xml:space="preserve">la Secretaría de Salud Federal es quien informa de las etapas de regularización y/o formalización laboral; que para acceder a una regularización y/o formalización laboral, el personal deberá de cumplir con lo establecido por la Comisión Nacional para la Formalización Laboral de los </w:t>
      </w:r>
      <w:r w:rsidR="00B03EEE" w:rsidRPr="00305CA1">
        <w:rPr>
          <w:rFonts w:ascii="Palatino Linotype" w:hAnsi="Palatino Linotype" w:cs="Arial"/>
        </w:rPr>
        <w:lastRenderedPageBreak/>
        <w:t xml:space="preserve">Trabajadores de Salud en las Entidades Federativas; y que, los procedimientos </w:t>
      </w:r>
      <w:proofErr w:type="spellStart"/>
      <w:r w:rsidR="00B03EEE" w:rsidRPr="00305CA1">
        <w:rPr>
          <w:rFonts w:ascii="Palatino Linotype" w:hAnsi="Palatino Linotype" w:cs="Arial"/>
        </w:rPr>
        <w:t>escalafonarios</w:t>
      </w:r>
      <w:proofErr w:type="spellEnd"/>
      <w:r w:rsidR="00B03EEE" w:rsidRPr="00305CA1">
        <w:rPr>
          <w:rFonts w:ascii="Palatino Linotype" w:hAnsi="Palatino Linotype" w:cs="Arial"/>
        </w:rPr>
        <w:t xml:space="preserve"> son aplicados en estricto apego a la normatividad aplicable vigente para </w:t>
      </w:r>
      <w:r w:rsidR="00B03EEE" w:rsidRPr="00305CA1">
        <w:rPr>
          <w:rFonts w:ascii="Palatino Linotype" w:hAnsi="Palatino Linotype" w:cs="Arial"/>
          <w:b/>
        </w:rPr>
        <w:t xml:space="preserve">EL SUJETO OBLIGADO </w:t>
      </w:r>
      <w:r w:rsidR="00B03EEE" w:rsidRPr="00305CA1">
        <w:rPr>
          <w:rFonts w:ascii="Palatino Linotype" w:hAnsi="Palatino Linotype" w:cs="Arial"/>
        </w:rPr>
        <w:t xml:space="preserve">de conformidad con lo establecido en el Capítulo IV del Reglamento de Escalafón de la Secretaría de Salud, Capítulo X de la Capacitación </w:t>
      </w:r>
      <w:r w:rsidR="00C00DCC" w:rsidRPr="00305CA1">
        <w:rPr>
          <w:rFonts w:ascii="Palatino Linotype" w:hAnsi="Palatino Linotype" w:cs="Arial"/>
        </w:rPr>
        <w:t>y Escalafón Sección Segunda de las Condiciones Generales de Trabajo de la Secretaría de Salud, así como, lo estipulado en el Manual de Procedimientos para el Alta y Pago de personal en la Unidades Aplicativas del Instituto de Salud.</w:t>
      </w:r>
    </w:p>
    <w:p w:rsidR="0010356C" w:rsidRPr="00305CA1" w:rsidRDefault="0010356C" w:rsidP="00935113">
      <w:pPr>
        <w:spacing w:before="360" w:after="240" w:line="360" w:lineRule="auto"/>
        <w:jc w:val="both"/>
        <w:rPr>
          <w:rFonts w:ascii="Palatino Linotype" w:hAnsi="Palatino Linotype" w:cs="Arial"/>
        </w:rPr>
      </w:pPr>
      <w:r w:rsidRPr="00305CA1">
        <w:rPr>
          <w:rFonts w:ascii="Palatino Linotype" w:eastAsia="Calibri" w:hAnsi="Palatino Linotype" w:cs="Bookman Old Style,Bold"/>
          <w:bCs/>
          <w:lang w:eastAsia="en-US"/>
        </w:rPr>
        <w:t xml:space="preserve">Inconforme con la respuesta otorgada por </w:t>
      </w:r>
      <w:r w:rsidRPr="00305CA1">
        <w:rPr>
          <w:rFonts w:ascii="Palatino Linotype" w:eastAsia="Calibri" w:hAnsi="Palatino Linotype" w:cs="Bookman Old Style,Bold"/>
          <w:b/>
          <w:bCs/>
          <w:lang w:eastAsia="en-US"/>
        </w:rPr>
        <w:t xml:space="preserve">EL SUJETO OBIGADO, </w:t>
      </w:r>
      <w:r w:rsidRPr="00305CA1">
        <w:rPr>
          <w:rFonts w:ascii="Palatino Linotype" w:eastAsia="Calibri" w:hAnsi="Palatino Linotype" w:cs="Bookman Old Style,Bold"/>
          <w:bCs/>
          <w:lang w:eastAsia="en-US"/>
        </w:rPr>
        <w:t>el particular interpuso el recurso de revisión materia de estudio, señalando como razones o motivos de inconformidad lo establecido en el Resultando IV de la presente resolución.</w:t>
      </w:r>
    </w:p>
    <w:p w:rsidR="00C00DCC" w:rsidRPr="00305CA1" w:rsidRDefault="00C00DCC" w:rsidP="00935113">
      <w:pPr>
        <w:spacing w:before="360" w:after="240" w:line="360" w:lineRule="auto"/>
        <w:jc w:val="both"/>
        <w:rPr>
          <w:rFonts w:ascii="Palatino Linotype" w:hAnsi="Palatino Linotype" w:cs="Arial"/>
        </w:rPr>
      </w:pPr>
      <w:r w:rsidRPr="00305CA1">
        <w:rPr>
          <w:rFonts w:ascii="Palatino Linotype" w:hAnsi="Palatino Linotype" w:cs="Arial"/>
        </w:rPr>
        <w:t xml:space="preserve">Destacando </w:t>
      </w:r>
      <w:r w:rsidRPr="00305CA1">
        <w:rPr>
          <w:rFonts w:ascii="Palatino Linotype" w:eastAsia="Calibri" w:hAnsi="Palatino Linotype" w:cs="Bookman Old Style,Bold"/>
          <w:bCs/>
          <w:lang w:eastAsia="en-US"/>
        </w:rPr>
        <w:t>que</w:t>
      </w:r>
      <w:r w:rsidRPr="00305CA1">
        <w:rPr>
          <w:rFonts w:ascii="Palatino Linotype" w:hAnsi="Palatino Linotype" w:cs="Arial"/>
        </w:rPr>
        <w:t xml:space="preserve">, ambas partes fueron omisas en realizar las manifestaciones que conforme a derecho les </w:t>
      </w:r>
      <w:r w:rsidR="006B6829" w:rsidRPr="00305CA1">
        <w:rPr>
          <w:rFonts w:ascii="Palatino Linotype" w:hAnsi="Palatino Linotype" w:cs="Arial"/>
        </w:rPr>
        <w:t>correspondían</w:t>
      </w:r>
      <w:r w:rsidRPr="00305CA1">
        <w:rPr>
          <w:rFonts w:ascii="Palatino Linotype" w:hAnsi="Palatino Linotype" w:cs="Arial"/>
        </w:rPr>
        <w:t>.</w:t>
      </w:r>
    </w:p>
    <w:p w:rsidR="006B6829" w:rsidRPr="00305CA1" w:rsidRDefault="006B6829" w:rsidP="00935113">
      <w:pPr>
        <w:spacing w:before="360" w:after="240" w:line="360" w:lineRule="auto"/>
        <w:jc w:val="both"/>
        <w:rPr>
          <w:rFonts w:ascii="Palatino Linotype" w:hAnsi="Palatino Linotype"/>
        </w:rPr>
      </w:pPr>
      <w:r w:rsidRPr="00305CA1">
        <w:rPr>
          <w:rFonts w:ascii="Palatino Linotype" w:eastAsia="Calibri" w:hAnsi="Palatino Linotype" w:cs="Bookman Old Style,Bold"/>
          <w:bCs/>
          <w:lang w:eastAsia="en-US"/>
        </w:rPr>
        <w:t>Establecido</w:t>
      </w:r>
      <w:r w:rsidRPr="00305CA1">
        <w:rPr>
          <w:rFonts w:ascii="Palatino Linotype" w:hAnsi="Palatino Linotype"/>
        </w:rPr>
        <w:t xml:space="preserve"> lo anterior, esta Ponencia Resolutora procede al análisis de la información proporcionada por </w:t>
      </w:r>
      <w:r w:rsidRPr="00305CA1">
        <w:rPr>
          <w:rFonts w:ascii="Palatino Linotype" w:hAnsi="Palatino Linotype"/>
          <w:b/>
        </w:rPr>
        <w:t>EL SUJETO OBLIGADO</w:t>
      </w:r>
      <w:r w:rsidRPr="00305CA1">
        <w:rPr>
          <w:rFonts w:ascii="Palatino Linotype" w:hAnsi="Palatino Linotype" w:cs="Arial"/>
        </w:rPr>
        <w:t xml:space="preserve">, </w:t>
      </w:r>
      <w:r w:rsidRPr="00305CA1">
        <w:rPr>
          <w:rFonts w:ascii="Palatino Linotype" w:hAnsi="Palatino Linotype"/>
        </w:rPr>
        <w:t>a efecto de determinar, si con la información remitida en respuesta a la solicitud, se satisface el derecho humano de acceso a la información pública del</w:t>
      </w:r>
      <w:r w:rsidRPr="00305CA1">
        <w:rPr>
          <w:rFonts w:ascii="Palatino Linotype" w:hAnsi="Palatino Linotype" w:cs="Arial"/>
          <w:b/>
        </w:rPr>
        <w:t xml:space="preserve"> RECURRENTE</w:t>
      </w:r>
      <w:r w:rsidRPr="00305CA1">
        <w:rPr>
          <w:rFonts w:ascii="Palatino Linotype" w:hAnsi="Palatino Linotype"/>
        </w:rPr>
        <w:t xml:space="preserve">: </w:t>
      </w:r>
    </w:p>
    <w:tbl>
      <w:tblPr>
        <w:tblStyle w:val="Tablaconcuadrcula"/>
        <w:tblW w:w="921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52"/>
        <w:gridCol w:w="2694"/>
        <w:gridCol w:w="5121"/>
        <w:gridCol w:w="847"/>
      </w:tblGrid>
      <w:tr w:rsidR="00945FF1" w:rsidRPr="00305CA1" w:rsidTr="004527F6">
        <w:trPr>
          <w:cantSplit/>
          <w:trHeight w:val="30"/>
          <w:tblHeader/>
          <w:jc w:val="center"/>
        </w:trPr>
        <w:tc>
          <w:tcPr>
            <w:tcW w:w="552" w:type="dxa"/>
            <w:tcBorders>
              <w:left w:val="double" w:sz="4" w:space="0" w:color="auto"/>
              <w:tl2br w:val="nil"/>
            </w:tcBorders>
            <w:shd w:val="clear" w:color="auto" w:fill="000000" w:themeFill="text1"/>
            <w:vAlign w:val="center"/>
          </w:tcPr>
          <w:p w:rsidR="00945FF1" w:rsidRPr="00305CA1" w:rsidRDefault="00945FF1" w:rsidP="004527F6">
            <w:pPr>
              <w:widowControl w:val="0"/>
              <w:autoSpaceDE w:val="0"/>
              <w:autoSpaceDN w:val="0"/>
              <w:adjustRightInd w:val="0"/>
              <w:spacing w:before="80" w:after="80"/>
              <w:jc w:val="center"/>
              <w:rPr>
                <w:rFonts w:ascii="Palatino Linotype" w:hAnsi="Palatino Linotype" w:cs="Arial"/>
                <w:b/>
                <w:sz w:val="19"/>
                <w:szCs w:val="19"/>
              </w:rPr>
            </w:pPr>
            <w:r w:rsidRPr="00305CA1">
              <w:rPr>
                <w:rFonts w:ascii="Palatino Linotype" w:hAnsi="Palatino Linotype" w:cs="Arial"/>
                <w:b/>
                <w:sz w:val="19"/>
                <w:szCs w:val="19"/>
              </w:rPr>
              <w:t>No.</w:t>
            </w:r>
          </w:p>
        </w:tc>
        <w:tc>
          <w:tcPr>
            <w:tcW w:w="2694" w:type="dxa"/>
            <w:tcBorders>
              <w:tl2br w:val="nil"/>
            </w:tcBorders>
            <w:shd w:val="clear" w:color="auto" w:fill="000000" w:themeFill="text1"/>
            <w:vAlign w:val="center"/>
          </w:tcPr>
          <w:p w:rsidR="00945FF1" w:rsidRPr="00305CA1" w:rsidRDefault="00945FF1" w:rsidP="004527F6">
            <w:pPr>
              <w:widowControl w:val="0"/>
              <w:autoSpaceDE w:val="0"/>
              <w:autoSpaceDN w:val="0"/>
              <w:adjustRightInd w:val="0"/>
              <w:spacing w:before="80" w:after="80"/>
              <w:jc w:val="center"/>
              <w:rPr>
                <w:rFonts w:ascii="Palatino Linotype" w:hAnsi="Palatino Linotype" w:cs="Arial"/>
                <w:b/>
                <w:sz w:val="19"/>
                <w:szCs w:val="19"/>
              </w:rPr>
            </w:pPr>
            <w:r w:rsidRPr="00305CA1">
              <w:rPr>
                <w:rFonts w:ascii="Palatino Linotype" w:hAnsi="Palatino Linotype" w:cs="Arial"/>
                <w:b/>
                <w:sz w:val="19"/>
                <w:szCs w:val="19"/>
              </w:rPr>
              <w:t>Información requerida</w:t>
            </w:r>
          </w:p>
        </w:tc>
        <w:tc>
          <w:tcPr>
            <w:tcW w:w="5121" w:type="dxa"/>
            <w:shd w:val="clear" w:color="auto" w:fill="000000" w:themeFill="text1"/>
            <w:vAlign w:val="center"/>
          </w:tcPr>
          <w:p w:rsidR="00945FF1" w:rsidRPr="00305CA1" w:rsidRDefault="00945FF1" w:rsidP="004527F6">
            <w:pPr>
              <w:spacing w:before="80" w:after="80"/>
              <w:jc w:val="center"/>
              <w:rPr>
                <w:rFonts w:ascii="Palatino Linotype" w:hAnsi="Palatino Linotype" w:cs="Arial"/>
                <w:b/>
                <w:sz w:val="19"/>
                <w:szCs w:val="19"/>
              </w:rPr>
            </w:pPr>
            <w:r w:rsidRPr="00305CA1">
              <w:rPr>
                <w:rFonts w:ascii="Palatino Linotype" w:hAnsi="Palatino Linotype" w:cs="Arial"/>
                <w:b/>
                <w:sz w:val="19"/>
                <w:szCs w:val="19"/>
              </w:rPr>
              <w:t>Respuesta a la solicitud</w:t>
            </w:r>
          </w:p>
        </w:tc>
        <w:tc>
          <w:tcPr>
            <w:tcW w:w="847" w:type="dxa"/>
            <w:tcBorders>
              <w:bottom w:val="double" w:sz="4" w:space="0" w:color="auto"/>
            </w:tcBorders>
            <w:shd w:val="clear" w:color="auto" w:fill="000000" w:themeFill="text1"/>
            <w:vAlign w:val="center"/>
          </w:tcPr>
          <w:p w:rsidR="00945FF1" w:rsidRPr="00305CA1" w:rsidRDefault="00945FF1" w:rsidP="004527F6">
            <w:pPr>
              <w:widowControl w:val="0"/>
              <w:autoSpaceDE w:val="0"/>
              <w:autoSpaceDN w:val="0"/>
              <w:adjustRightInd w:val="0"/>
              <w:spacing w:before="80" w:after="80"/>
              <w:jc w:val="center"/>
              <w:rPr>
                <w:rFonts w:ascii="Palatino Linotype" w:hAnsi="Palatino Linotype" w:cs="Arial"/>
                <w:b/>
                <w:sz w:val="19"/>
                <w:szCs w:val="19"/>
              </w:rPr>
            </w:pPr>
            <w:r w:rsidRPr="00305CA1">
              <w:rPr>
                <w:rFonts w:ascii="Palatino Linotype" w:hAnsi="Palatino Linotype" w:cs="Arial"/>
                <w:b/>
                <w:sz w:val="19"/>
                <w:szCs w:val="19"/>
              </w:rPr>
              <w:t>Colma</w:t>
            </w:r>
          </w:p>
        </w:tc>
      </w:tr>
      <w:tr w:rsidR="00945FF1" w:rsidRPr="00305CA1" w:rsidTr="004527F6">
        <w:trPr>
          <w:trHeight w:val="44"/>
          <w:jc w:val="center"/>
        </w:trPr>
        <w:tc>
          <w:tcPr>
            <w:tcW w:w="552" w:type="dxa"/>
            <w:shd w:val="clear" w:color="auto" w:fill="000000" w:themeFill="text1"/>
            <w:vAlign w:val="center"/>
          </w:tcPr>
          <w:p w:rsidR="00945FF1" w:rsidRPr="00305CA1" w:rsidRDefault="00945FF1" w:rsidP="004527F6">
            <w:pPr>
              <w:widowControl w:val="0"/>
              <w:autoSpaceDE w:val="0"/>
              <w:autoSpaceDN w:val="0"/>
              <w:adjustRightInd w:val="0"/>
              <w:spacing w:before="80" w:after="80"/>
              <w:jc w:val="center"/>
              <w:rPr>
                <w:rFonts w:ascii="Palatino Linotype" w:hAnsi="Palatino Linotype" w:cs="Arial"/>
                <w:b/>
                <w:sz w:val="19"/>
                <w:szCs w:val="19"/>
              </w:rPr>
            </w:pPr>
            <w:r w:rsidRPr="00305CA1">
              <w:rPr>
                <w:rFonts w:ascii="Palatino Linotype" w:hAnsi="Palatino Linotype" w:cs="Arial"/>
                <w:b/>
                <w:sz w:val="19"/>
                <w:szCs w:val="19"/>
              </w:rPr>
              <w:t>1</w:t>
            </w:r>
          </w:p>
        </w:tc>
        <w:tc>
          <w:tcPr>
            <w:tcW w:w="2694" w:type="dxa"/>
          </w:tcPr>
          <w:p w:rsidR="00945FF1" w:rsidRPr="00305CA1" w:rsidRDefault="00945FF1" w:rsidP="004527F6">
            <w:pPr>
              <w:spacing w:before="80" w:after="80"/>
              <w:jc w:val="both"/>
              <w:rPr>
                <w:rFonts w:ascii="Palatino Linotype" w:hAnsi="Palatino Linotype"/>
                <w:sz w:val="19"/>
                <w:szCs w:val="19"/>
              </w:rPr>
            </w:pPr>
            <w:r w:rsidRPr="00305CA1">
              <w:rPr>
                <w:rFonts w:ascii="Palatino Linotype" w:hAnsi="Palatino Linotype"/>
                <w:sz w:val="19"/>
                <w:szCs w:val="19"/>
              </w:rPr>
              <w:t xml:space="preserve">¿Cuáles son los criterios para otorgar a un servidor público su regularización, formalización y/o </w:t>
            </w:r>
            <w:proofErr w:type="spellStart"/>
            <w:r w:rsidRPr="00305CA1">
              <w:rPr>
                <w:rFonts w:ascii="Palatino Linotype" w:hAnsi="Palatino Linotype"/>
                <w:sz w:val="19"/>
                <w:szCs w:val="19"/>
              </w:rPr>
              <w:t>basificación</w:t>
            </w:r>
            <w:proofErr w:type="spellEnd"/>
            <w:r w:rsidRPr="00305CA1">
              <w:rPr>
                <w:rFonts w:ascii="Palatino Linotype" w:hAnsi="Palatino Linotype"/>
                <w:sz w:val="19"/>
                <w:szCs w:val="19"/>
              </w:rPr>
              <w:t>?</w:t>
            </w:r>
          </w:p>
        </w:tc>
        <w:tc>
          <w:tcPr>
            <w:tcW w:w="5121" w:type="dxa"/>
          </w:tcPr>
          <w:p w:rsidR="00945FF1" w:rsidRPr="00305CA1" w:rsidRDefault="00945FF1" w:rsidP="004527F6">
            <w:pPr>
              <w:spacing w:before="80" w:after="80"/>
              <w:jc w:val="both"/>
              <w:rPr>
                <w:rFonts w:ascii="Palatino Linotype" w:hAnsi="Palatino Linotype"/>
                <w:sz w:val="19"/>
                <w:szCs w:val="19"/>
              </w:rPr>
            </w:pPr>
            <w:r w:rsidRPr="00305CA1">
              <w:rPr>
                <w:rFonts w:ascii="Palatino Linotype" w:hAnsi="Palatino Linotype"/>
                <w:sz w:val="19"/>
                <w:szCs w:val="19"/>
              </w:rPr>
              <w:t xml:space="preserve">Para ser acreedor a una Regularización y/ Formalización Laboral, el personal debe de cumplir con lo establecido por la Comisión Nacional para la Formalización Laboral de los Trabajadores de Salud en las Entidades federativas. </w:t>
            </w:r>
          </w:p>
          <w:p w:rsidR="00945FF1" w:rsidRPr="00305CA1" w:rsidRDefault="00945FF1" w:rsidP="004527F6">
            <w:pPr>
              <w:spacing w:before="80" w:after="80"/>
              <w:jc w:val="both"/>
              <w:rPr>
                <w:rFonts w:ascii="Palatino Linotype" w:hAnsi="Palatino Linotype"/>
                <w:sz w:val="19"/>
                <w:szCs w:val="19"/>
              </w:rPr>
            </w:pPr>
            <w:r w:rsidRPr="00305CA1">
              <w:rPr>
                <w:rFonts w:ascii="Palatino Linotype" w:hAnsi="Palatino Linotype"/>
                <w:sz w:val="19"/>
                <w:szCs w:val="19"/>
              </w:rPr>
              <w:t xml:space="preserve">En ese sentido, los procedimientos </w:t>
            </w:r>
            <w:proofErr w:type="spellStart"/>
            <w:r w:rsidRPr="00305CA1">
              <w:rPr>
                <w:rFonts w:ascii="Palatino Linotype" w:hAnsi="Palatino Linotype"/>
                <w:sz w:val="19"/>
                <w:szCs w:val="19"/>
              </w:rPr>
              <w:t>escalafonarios</w:t>
            </w:r>
            <w:proofErr w:type="spellEnd"/>
            <w:r w:rsidR="00264685" w:rsidRPr="00305CA1">
              <w:rPr>
                <w:rFonts w:ascii="Palatino Linotype" w:hAnsi="Palatino Linotype"/>
                <w:sz w:val="19"/>
                <w:szCs w:val="19"/>
              </w:rPr>
              <w:t xml:space="preserve"> </w:t>
            </w:r>
            <w:r w:rsidRPr="00305CA1">
              <w:rPr>
                <w:rFonts w:ascii="Palatino Linotype" w:hAnsi="Palatino Linotype"/>
                <w:sz w:val="19"/>
                <w:szCs w:val="19"/>
              </w:rPr>
              <w:t xml:space="preserve">se realizan en estricto apego a la normatividad aplicable vigente que rige al Instituto de Salud del Estado de México, de conformidad con lo establecido en el Capítulo IV del </w:t>
            </w:r>
            <w:r w:rsidRPr="00305CA1">
              <w:rPr>
                <w:rFonts w:ascii="Palatino Linotype" w:hAnsi="Palatino Linotype"/>
                <w:sz w:val="19"/>
                <w:szCs w:val="19"/>
              </w:rPr>
              <w:lastRenderedPageBreak/>
              <w:t>Reglamento de Escalafón de la Secretaría de Salud, el Capítulo X de la Capacitación y Escalafón Sección Segunda de las Condiciones Generales de Trabajo de la Secretaría de Salud y lo estipulado en el Manual de Procedimientos para el Alta y Pago del personal en las Unidades Aplicativas del ISEM.</w:t>
            </w:r>
          </w:p>
        </w:tc>
        <w:tc>
          <w:tcPr>
            <w:tcW w:w="847" w:type="dxa"/>
            <w:vAlign w:val="center"/>
          </w:tcPr>
          <w:p w:rsidR="00945FF1" w:rsidRPr="00305CA1" w:rsidRDefault="00945FF1" w:rsidP="004527F6">
            <w:pPr>
              <w:spacing w:before="80" w:after="80"/>
              <w:jc w:val="center"/>
              <w:rPr>
                <w:rFonts w:ascii="Palatino Linotype" w:hAnsi="Palatino Linotype"/>
                <w:b/>
                <w:sz w:val="19"/>
                <w:szCs w:val="19"/>
              </w:rPr>
            </w:pPr>
            <w:r w:rsidRPr="00305CA1">
              <w:rPr>
                <w:rFonts w:ascii="Palatino Linotype" w:hAnsi="Palatino Linotype"/>
                <w:b/>
                <w:sz w:val="19"/>
                <w:szCs w:val="19"/>
              </w:rPr>
              <w:lastRenderedPageBreak/>
              <w:t>Sí</w:t>
            </w:r>
          </w:p>
        </w:tc>
      </w:tr>
      <w:tr w:rsidR="00945FF1" w:rsidRPr="00305CA1" w:rsidTr="004527F6">
        <w:trPr>
          <w:trHeight w:val="20"/>
          <w:jc w:val="center"/>
        </w:trPr>
        <w:tc>
          <w:tcPr>
            <w:tcW w:w="552" w:type="dxa"/>
            <w:shd w:val="clear" w:color="auto" w:fill="000000" w:themeFill="text1"/>
            <w:vAlign w:val="center"/>
          </w:tcPr>
          <w:p w:rsidR="00945FF1" w:rsidRPr="00305CA1" w:rsidRDefault="00945FF1" w:rsidP="004527F6">
            <w:pPr>
              <w:widowControl w:val="0"/>
              <w:autoSpaceDE w:val="0"/>
              <w:autoSpaceDN w:val="0"/>
              <w:adjustRightInd w:val="0"/>
              <w:spacing w:before="80" w:after="80"/>
              <w:jc w:val="center"/>
              <w:rPr>
                <w:rFonts w:ascii="Palatino Linotype" w:hAnsi="Palatino Linotype" w:cs="Arial"/>
                <w:b/>
                <w:sz w:val="19"/>
                <w:szCs w:val="19"/>
              </w:rPr>
            </w:pPr>
            <w:r w:rsidRPr="00305CA1">
              <w:rPr>
                <w:rFonts w:ascii="Palatino Linotype" w:hAnsi="Palatino Linotype" w:cs="Arial"/>
                <w:b/>
                <w:sz w:val="19"/>
                <w:szCs w:val="19"/>
              </w:rPr>
              <w:t>2</w:t>
            </w:r>
          </w:p>
        </w:tc>
        <w:tc>
          <w:tcPr>
            <w:tcW w:w="2694" w:type="dxa"/>
          </w:tcPr>
          <w:p w:rsidR="00945FF1" w:rsidRPr="00305CA1" w:rsidRDefault="00945FF1" w:rsidP="00ED5663">
            <w:pPr>
              <w:spacing w:before="60" w:after="60"/>
              <w:jc w:val="both"/>
              <w:rPr>
                <w:rFonts w:ascii="Palatino Linotype" w:hAnsi="Palatino Linotype"/>
                <w:sz w:val="19"/>
                <w:szCs w:val="19"/>
              </w:rPr>
            </w:pPr>
            <w:r w:rsidRPr="00305CA1">
              <w:rPr>
                <w:rFonts w:ascii="Palatino Linotype" w:hAnsi="Palatino Linotype"/>
                <w:sz w:val="19"/>
                <w:szCs w:val="19"/>
              </w:rPr>
              <w:t xml:space="preserve">¿Cuántos servidores públicos cuentan con su regularización, formalización y/o </w:t>
            </w:r>
            <w:proofErr w:type="spellStart"/>
            <w:r w:rsidRPr="00305CA1">
              <w:rPr>
                <w:rFonts w:ascii="Palatino Linotype" w:hAnsi="Palatino Linotype"/>
                <w:sz w:val="19"/>
                <w:szCs w:val="19"/>
              </w:rPr>
              <w:t>basificación</w:t>
            </w:r>
            <w:proofErr w:type="spellEnd"/>
            <w:r w:rsidRPr="00305CA1">
              <w:rPr>
                <w:rFonts w:ascii="Palatino Linotype" w:hAnsi="Palatino Linotype"/>
                <w:sz w:val="19"/>
                <w:szCs w:val="19"/>
              </w:rPr>
              <w:t>, en los años 2011 a 2019?</w:t>
            </w:r>
          </w:p>
        </w:tc>
        <w:tc>
          <w:tcPr>
            <w:tcW w:w="5121" w:type="dxa"/>
            <w:vMerge w:val="restart"/>
            <w:vAlign w:val="center"/>
          </w:tcPr>
          <w:p w:rsidR="00945FF1" w:rsidRPr="00305CA1" w:rsidRDefault="00945FF1" w:rsidP="004527F6">
            <w:pPr>
              <w:spacing w:before="80" w:after="80"/>
              <w:rPr>
                <w:rFonts w:ascii="Palatino Linotype" w:hAnsi="Palatino Linotype"/>
                <w:sz w:val="19"/>
                <w:szCs w:val="19"/>
              </w:rPr>
            </w:pPr>
            <w:r w:rsidRPr="00305CA1">
              <w:rPr>
                <w:rFonts w:ascii="Palatino Linotype" w:hAnsi="Palatino Linotype"/>
                <w:sz w:val="19"/>
                <w:szCs w:val="19"/>
              </w:rPr>
              <w:t>No se pronuncia y remite información al respecto.</w:t>
            </w:r>
          </w:p>
        </w:tc>
        <w:tc>
          <w:tcPr>
            <w:tcW w:w="847" w:type="dxa"/>
            <w:vMerge w:val="restart"/>
            <w:vAlign w:val="center"/>
          </w:tcPr>
          <w:p w:rsidR="00945FF1" w:rsidRPr="00305CA1" w:rsidRDefault="00945FF1" w:rsidP="004527F6">
            <w:pPr>
              <w:spacing w:before="80" w:after="80"/>
              <w:jc w:val="center"/>
              <w:rPr>
                <w:rFonts w:ascii="Palatino Linotype" w:hAnsi="Palatino Linotype"/>
                <w:b/>
                <w:sz w:val="19"/>
                <w:szCs w:val="19"/>
              </w:rPr>
            </w:pPr>
            <w:r w:rsidRPr="00305CA1">
              <w:rPr>
                <w:rFonts w:ascii="Palatino Linotype" w:hAnsi="Palatino Linotype"/>
                <w:b/>
                <w:sz w:val="19"/>
                <w:szCs w:val="19"/>
              </w:rPr>
              <w:t>No</w:t>
            </w:r>
          </w:p>
        </w:tc>
      </w:tr>
      <w:tr w:rsidR="00945FF1" w:rsidRPr="00305CA1" w:rsidTr="004527F6">
        <w:trPr>
          <w:trHeight w:val="30"/>
          <w:jc w:val="center"/>
        </w:trPr>
        <w:tc>
          <w:tcPr>
            <w:tcW w:w="552" w:type="dxa"/>
            <w:shd w:val="clear" w:color="auto" w:fill="000000" w:themeFill="text1"/>
            <w:vAlign w:val="center"/>
          </w:tcPr>
          <w:p w:rsidR="00945FF1" w:rsidRPr="00305CA1" w:rsidRDefault="00945FF1" w:rsidP="004527F6">
            <w:pPr>
              <w:widowControl w:val="0"/>
              <w:autoSpaceDE w:val="0"/>
              <w:autoSpaceDN w:val="0"/>
              <w:adjustRightInd w:val="0"/>
              <w:spacing w:before="80" w:after="80"/>
              <w:jc w:val="center"/>
              <w:rPr>
                <w:rFonts w:ascii="Palatino Linotype" w:hAnsi="Palatino Linotype" w:cs="Arial"/>
                <w:b/>
                <w:sz w:val="19"/>
                <w:szCs w:val="19"/>
              </w:rPr>
            </w:pPr>
            <w:r w:rsidRPr="00305CA1">
              <w:rPr>
                <w:rFonts w:ascii="Palatino Linotype" w:hAnsi="Palatino Linotype" w:cs="Arial"/>
                <w:b/>
                <w:sz w:val="19"/>
                <w:szCs w:val="19"/>
              </w:rPr>
              <w:t>3</w:t>
            </w:r>
          </w:p>
        </w:tc>
        <w:tc>
          <w:tcPr>
            <w:tcW w:w="2694" w:type="dxa"/>
          </w:tcPr>
          <w:p w:rsidR="00945FF1" w:rsidRPr="00305CA1" w:rsidRDefault="00945FF1" w:rsidP="00ED5663">
            <w:pPr>
              <w:spacing w:before="60" w:after="60"/>
              <w:jc w:val="both"/>
              <w:rPr>
                <w:rFonts w:ascii="Palatino Linotype" w:hAnsi="Palatino Linotype"/>
                <w:sz w:val="19"/>
                <w:szCs w:val="19"/>
              </w:rPr>
            </w:pPr>
            <w:r w:rsidRPr="00305CA1">
              <w:rPr>
                <w:rFonts w:ascii="Palatino Linotype" w:hAnsi="Palatino Linotype"/>
                <w:sz w:val="19"/>
                <w:szCs w:val="19"/>
              </w:rPr>
              <w:t xml:space="preserve">¿A cuántos servidores públicos que son médicos se les ha otorgado regularización, formalización y/o </w:t>
            </w:r>
            <w:proofErr w:type="spellStart"/>
            <w:r w:rsidRPr="00305CA1">
              <w:rPr>
                <w:rFonts w:ascii="Palatino Linotype" w:hAnsi="Palatino Linotype"/>
                <w:sz w:val="19"/>
                <w:szCs w:val="19"/>
              </w:rPr>
              <w:t>basificación</w:t>
            </w:r>
            <w:proofErr w:type="spellEnd"/>
            <w:r w:rsidRPr="00305CA1">
              <w:rPr>
                <w:rFonts w:ascii="Palatino Linotype" w:hAnsi="Palatino Linotype"/>
                <w:sz w:val="19"/>
                <w:szCs w:val="19"/>
              </w:rPr>
              <w:t>, en los años 2011 a 2019?</w:t>
            </w:r>
          </w:p>
        </w:tc>
        <w:tc>
          <w:tcPr>
            <w:tcW w:w="5121" w:type="dxa"/>
            <w:vMerge/>
          </w:tcPr>
          <w:p w:rsidR="00945FF1" w:rsidRPr="00305CA1" w:rsidRDefault="00945FF1" w:rsidP="004527F6">
            <w:pPr>
              <w:spacing w:before="80" w:after="80"/>
              <w:jc w:val="both"/>
              <w:rPr>
                <w:rFonts w:ascii="Palatino Linotype" w:hAnsi="Palatino Linotype"/>
                <w:sz w:val="19"/>
                <w:szCs w:val="19"/>
              </w:rPr>
            </w:pPr>
          </w:p>
        </w:tc>
        <w:tc>
          <w:tcPr>
            <w:tcW w:w="847" w:type="dxa"/>
            <w:vMerge/>
            <w:vAlign w:val="center"/>
          </w:tcPr>
          <w:p w:rsidR="00945FF1" w:rsidRPr="00305CA1" w:rsidRDefault="00945FF1" w:rsidP="004527F6">
            <w:pPr>
              <w:spacing w:before="80" w:after="80"/>
              <w:jc w:val="center"/>
              <w:rPr>
                <w:rFonts w:ascii="Palatino Linotype" w:hAnsi="Palatino Linotype"/>
                <w:b/>
                <w:sz w:val="19"/>
                <w:szCs w:val="19"/>
              </w:rPr>
            </w:pPr>
          </w:p>
        </w:tc>
      </w:tr>
      <w:tr w:rsidR="00945FF1" w:rsidRPr="00305CA1" w:rsidTr="004527F6">
        <w:trPr>
          <w:trHeight w:val="30"/>
          <w:jc w:val="center"/>
        </w:trPr>
        <w:tc>
          <w:tcPr>
            <w:tcW w:w="552" w:type="dxa"/>
            <w:shd w:val="clear" w:color="auto" w:fill="000000" w:themeFill="text1"/>
            <w:vAlign w:val="center"/>
          </w:tcPr>
          <w:p w:rsidR="00945FF1" w:rsidRPr="00305CA1" w:rsidRDefault="00945FF1" w:rsidP="004527F6">
            <w:pPr>
              <w:widowControl w:val="0"/>
              <w:autoSpaceDE w:val="0"/>
              <w:autoSpaceDN w:val="0"/>
              <w:adjustRightInd w:val="0"/>
              <w:spacing w:before="80" w:after="80"/>
              <w:jc w:val="center"/>
              <w:rPr>
                <w:rFonts w:ascii="Palatino Linotype" w:hAnsi="Palatino Linotype" w:cs="Arial"/>
                <w:b/>
                <w:sz w:val="19"/>
                <w:szCs w:val="19"/>
              </w:rPr>
            </w:pPr>
            <w:r w:rsidRPr="00305CA1">
              <w:rPr>
                <w:rFonts w:ascii="Palatino Linotype" w:hAnsi="Palatino Linotype" w:cs="Arial"/>
                <w:b/>
                <w:sz w:val="19"/>
                <w:szCs w:val="19"/>
              </w:rPr>
              <w:t>4</w:t>
            </w:r>
          </w:p>
        </w:tc>
        <w:tc>
          <w:tcPr>
            <w:tcW w:w="2694" w:type="dxa"/>
          </w:tcPr>
          <w:p w:rsidR="00945FF1" w:rsidRPr="00305CA1" w:rsidRDefault="00945FF1" w:rsidP="00ED5663">
            <w:pPr>
              <w:spacing w:before="60" w:after="60"/>
              <w:jc w:val="both"/>
              <w:rPr>
                <w:rFonts w:ascii="Palatino Linotype" w:hAnsi="Palatino Linotype"/>
                <w:sz w:val="19"/>
                <w:szCs w:val="19"/>
              </w:rPr>
            </w:pPr>
            <w:r w:rsidRPr="00305CA1">
              <w:rPr>
                <w:rFonts w:ascii="Palatino Linotype" w:hAnsi="Palatino Linotype"/>
                <w:sz w:val="19"/>
                <w:szCs w:val="19"/>
              </w:rPr>
              <w:t xml:space="preserve">¿A cuántos servidores públicos que sean personal de enfermería se les ha otorgado regularización, formalización y/o </w:t>
            </w:r>
            <w:proofErr w:type="spellStart"/>
            <w:r w:rsidRPr="00305CA1">
              <w:rPr>
                <w:rFonts w:ascii="Palatino Linotype" w:hAnsi="Palatino Linotype"/>
                <w:sz w:val="19"/>
                <w:szCs w:val="19"/>
              </w:rPr>
              <w:t>basificación</w:t>
            </w:r>
            <w:proofErr w:type="spellEnd"/>
            <w:r w:rsidRPr="00305CA1">
              <w:rPr>
                <w:rFonts w:ascii="Palatino Linotype" w:hAnsi="Palatino Linotype"/>
                <w:sz w:val="19"/>
                <w:szCs w:val="19"/>
              </w:rPr>
              <w:t>, en los años 2011 a 2019?, y</w:t>
            </w:r>
          </w:p>
        </w:tc>
        <w:tc>
          <w:tcPr>
            <w:tcW w:w="5121" w:type="dxa"/>
            <w:vMerge/>
          </w:tcPr>
          <w:p w:rsidR="00945FF1" w:rsidRPr="00305CA1" w:rsidRDefault="00945FF1" w:rsidP="004527F6">
            <w:pPr>
              <w:spacing w:before="80" w:after="80"/>
              <w:jc w:val="both"/>
              <w:rPr>
                <w:rFonts w:ascii="Palatino Linotype" w:hAnsi="Palatino Linotype" w:cs="Arial"/>
                <w:sz w:val="19"/>
                <w:szCs w:val="19"/>
              </w:rPr>
            </w:pPr>
          </w:p>
        </w:tc>
        <w:tc>
          <w:tcPr>
            <w:tcW w:w="847" w:type="dxa"/>
            <w:vMerge/>
            <w:vAlign w:val="center"/>
          </w:tcPr>
          <w:p w:rsidR="00945FF1" w:rsidRPr="00305CA1" w:rsidRDefault="00945FF1" w:rsidP="004527F6">
            <w:pPr>
              <w:spacing w:before="80" w:after="80"/>
              <w:jc w:val="center"/>
              <w:rPr>
                <w:rFonts w:ascii="Palatino Linotype" w:hAnsi="Palatino Linotype"/>
                <w:b/>
                <w:sz w:val="19"/>
                <w:szCs w:val="19"/>
              </w:rPr>
            </w:pPr>
          </w:p>
        </w:tc>
      </w:tr>
      <w:tr w:rsidR="00945FF1" w:rsidRPr="00305CA1" w:rsidTr="004527F6">
        <w:trPr>
          <w:trHeight w:val="30"/>
          <w:jc w:val="center"/>
        </w:trPr>
        <w:tc>
          <w:tcPr>
            <w:tcW w:w="552" w:type="dxa"/>
            <w:shd w:val="clear" w:color="auto" w:fill="000000" w:themeFill="text1"/>
            <w:vAlign w:val="center"/>
          </w:tcPr>
          <w:p w:rsidR="00945FF1" w:rsidRPr="00305CA1" w:rsidRDefault="00945FF1" w:rsidP="004527F6">
            <w:pPr>
              <w:widowControl w:val="0"/>
              <w:autoSpaceDE w:val="0"/>
              <w:autoSpaceDN w:val="0"/>
              <w:adjustRightInd w:val="0"/>
              <w:spacing w:before="80" w:after="80"/>
              <w:jc w:val="center"/>
              <w:rPr>
                <w:rFonts w:ascii="Palatino Linotype" w:hAnsi="Palatino Linotype" w:cs="Arial"/>
                <w:b/>
                <w:sz w:val="19"/>
                <w:szCs w:val="19"/>
              </w:rPr>
            </w:pPr>
            <w:r w:rsidRPr="00305CA1">
              <w:rPr>
                <w:rFonts w:ascii="Palatino Linotype" w:hAnsi="Palatino Linotype" w:cs="Arial"/>
                <w:b/>
                <w:sz w:val="19"/>
                <w:szCs w:val="19"/>
              </w:rPr>
              <w:t>5</w:t>
            </w:r>
          </w:p>
        </w:tc>
        <w:tc>
          <w:tcPr>
            <w:tcW w:w="2694" w:type="dxa"/>
          </w:tcPr>
          <w:p w:rsidR="00945FF1" w:rsidRPr="00305CA1" w:rsidRDefault="00945FF1" w:rsidP="00ED5663">
            <w:pPr>
              <w:spacing w:before="60" w:after="60"/>
              <w:jc w:val="both"/>
              <w:rPr>
                <w:rFonts w:ascii="Palatino Linotype" w:hAnsi="Palatino Linotype"/>
                <w:sz w:val="19"/>
                <w:szCs w:val="19"/>
              </w:rPr>
            </w:pPr>
            <w:r w:rsidRPr="00305CA1">
              <w:rPr>
                <w:rFonts w:ascii="Palatino Linotype" w:hAnsi="Palatino Linotype"/>
                <w:sz w:val="19"/>
                <w:szCs w:val="19"/>
              </w:rPr>
              <w:t xml:space="preserve">¿Qué área es la encargada de decidir que personal médico y de enfermería sean regularizado, formalizado y/o </w:t>
            </w:r>
            <w:proofErr w:type="spellStart"/>
            <w:r w:rsidRPr="00305CA1">
              <w:rPr>
                <w:rFonts w:ascii="Palatino Linotype" w:hAnsi="Palatino Linotype"/>
                <w:sz w:val="19"/>
                <w:szCs w:val="19"/>
              </w:rPr>
              <w:t>basificado</w:t>
            </w:r>
            <w:proofErr w:type="spellEnd"/>
            <w:r w:rsidRPr="00305CA1">
              <w:rPr>
                <w:rFonts w:ascii="Palatino Linotype" w:hAnsi="Palatino Linotype"/>
                <w:sz w:val="19"/>
                <w:szCs w:val="19"/>
              </w:rPr>
              <w:t>, en los años 2011 a 2019?</w:t>
            </w:r>
          </w:p>
        </w:tc>
        <w:tc>
          <w:tcPr>
            <w:tcW w:w="5121" w:type="dxa"/>
            <w:vMerge/>
          </w:tcPr>
          <w:p w:rsidR="00945FF1" w:rsidRPr="00305CA1" w:rsidRDefault="00945FF1" w:rsidP="004527F6">
            <w:pPr>
              <w:spacing w:before="80" w:after="80"/>
              <w:jc w:val="both"/>
              <w:rPr>
                <w:rFonts w:ascii="Palatino Linotype" w:hAnsi="Palatino Linotype" w:cs="Arial"/>
                <w:sz w:val="19"/>
                <w:szCs w:val="19"/>
              </w:rPr>
            </w:pPr>
          </w:p>
        </w:tc>
        <w:tc>
          <w:tcPr>
            <w:tcW w:w="847" w:type="dxa"/>
            <w:vMerge/>
            <w:vAlign w:val="center"/>
          </w:tcPr>
          <w:p w:rsidR="00945FF1" w:rsidRPr="00305CA1" w:rsidRDefault="00945FF1" w:rsidP="004527F6">
            <w:pPr>
              <w:spacing w:before="80" w:after="80"/>
              <w:jc w:val="center"/>
              <w:rPr>
                <w:rFonts w:ascii="Palatino Linotype" w:hAnsi="Palatino Linotype"/>
                <w:b/>
                <w:sz w:val="19"/>
                <w:szCs w:val="19"/>
              </w:rPr>
            </w:pPr>
          </w:p>
        </w:tc>
      </w:tr>
    </w:tbl>
    <w:p w:rsidR="006B6829" w:rsidRPr="00305CA1" w:rsidRDefault="006B6829" w:rsidP="00A30D49">
      <w:pPr>
        <w:spacing w:before="360" w:after="240" w:line="360" w:lineRule="auto"/>
        <w:jc w:val="both"/>
        <w:rPr>
          <w:rFonts w:ascii="Palatino Linotype" w:hAnsi="Palatino Linotype" w:cs="Arial"/>
          <w:lang w:eastAsia="es-MX"/>
        </w:rPr>
      </w:pPr>
      <w:r w:rsidRPr="00305CA1">
        <w:rPr>
          <w:rFonts w:ascii="Palatino Linotype" w:hAnsi="Palatino Linotype" w:cs="Arial"/>
          <w:lang w:eastAsia="es-MX"/>
        </w:rPr>
        <w:t xml:space="preserve">Visto lo </w:t>
      </w:r>
      <w:r w:rsidRPr="00305CA1">
        <w:rPr>
          <w:rFonts w:ascii="Palatino Linotype" w:hAnsi="Palatino Linotype" w:cs="Arial"/>
        </w:rPr>
        <w:t>anterior</w:t>
      </w:r>
      <w:r w:rsidRPr="00305CA1">
        <w:rPr>
          <w:rFonts w:ascii="Palatino Linotype" w:hAnsi="Palatino Linotype" w:cs="Arial"/>
          <w:lang w:eastAsia="es-MX"/>
        </w:rPr>
        <w:t xml:space="preserve">, esta Ponencia Resolutora con relación a la información requerida por </w:t>
      </w:r>
      <w:r w:rsidR="004527F6" w:rsidRPr="00305CA1">
        <w:rPr>
          <w:rFonts w:ascii="Palatino Linotype" w:hAnsi="Palatino Linotype" w:cs="Arial"/>
          <w:b/>
        </w:rPr>
        <w:t>EL</w:t>
      </w:r>
      <w:r w:rsidRPr="00305CA1">
        <w:rPr>
          <w:rFonts w:ascii="Palatino Linotype" w:hAnsi="Palatino Linotype" w:cs="Arial"/>
          <w:b/>
        </w:rPr>
        <w:t xml:space="preserve"> RECURRENTE</w:t>
      </w:r>
      <w:r w:rsidRPr="00305CA1">
        <w:rPr>
          <w:rFonts w:ascii="Palatino Linotype" w:hAnsi="Palatino Linotype" w:cs="Arial"/>
          <w:lang w:eastAsia="es-MX"/>
        </w:rPr>
        <w:t>, considera necesario realizar algunas precisiones respecto</w:t>
      </w:r>
      <w:r w:rsidR="00264685" w:rsidRPr="00305CA1">
        <w:rPr>
          <w:rFonts w:ascii="Palatino Linotype" w:hAnsi="Palatino Linotype" w:cs="Arial"/>
          <w:lang w:eastAsia="es-MX"/>
        </w:rPr>
        <w:t xml:space="preserve"> de la información no satisfecha por </w:t>
      </w:r>
      <w:r w:rsidR="00264685" w:rsidRPr="00305CA1">
        <w:rPr>
          <w:rFonts w:ascii="Palatino Linotype" w:hAnsi="Palatino Linotype" w:cs="Arial"/>
          <w:b/>
          <w:lang w:eastAsia="es-MX"/>
        </w:rPr>
        <w:t>EL SUJETO OBLIGADO</w:t>
      </w:r>
      <w:r w:rsidR="00A30D49" w:rsidRPr="00305CA1">
        <w:rPr>
          <w:rFonts w:ascii="Palatino Linotype" w:hAnsi="Palatino Linotype" w:cs="Arial"/>
          <w:lang w:eastAsia="es-MX"/>
        </w:rPr>
        <w:t>.</w:t>
      </w:r>
    </w:p>
    <w:p w:rsidR="00264685" w:rsidRPr="00305CA1" w:rsidRDefault="006B6829" w:rsidP="00A30D49">
      <w:pPr>
        <w:spacing w:before="360" w:after="240" w:line="360" w:lineRule="auto"/>
        <w:jc w:val="both"/>
        <w:rPr>
          <w:rFonts w:ascii="Palatino Linotype" w:hAnsi="Palatino Linotype" w:cs="Arial"/>
          <w:lang w:eastAsia="es-MX"/>
        </w:rPr>
      </w:pPr>
      <w:r w:rsidRPr="00305CA1">
        <w:rPr>
          <w:rFonts w:ascii="Palatino Linotype" w:hAnsi="Palatino Linotype" w:cs="Arial"/>
          <w:lang w:eastAsia="es-MX"/>
        </w:rPr>
        <w:t xml:space="preserve">Respecto de la información relativa a los presentes numerales, </w:t>
      </w:r>
      <w:r w:rsidR="00264685" w:rsidRPr="00305CA1">
        <w:rPr>
          <w:rFonts w:ascii="Palatino Linotype" w:hAnsi="Palatino Linotype" w:cs="Arial"/>
          <w:lang w:eastAsia="es-MX"/>
        </w:rPr>
        <w:t xml:space="preserve">se advierte que EL </w:t>
      </w:r>
      <w:r w:rsidR="00264685" w:rsidRPr="00305CA1">
        <w:rPr>
          <w:rFonts w:ascii="Palatino Linotype" w:hAnsi="Palatino Linotype" w:cs="Arial"/>
          <w:b/>
          <w:lang w:eastAsia="es-MX"/>
        </w:rPr>
        <w:t>SUJETO OBLIGADO</w:t>
      </w:r>
      <w:r w:rsidR="00264685" w:rsidRPr="00305CA1">
        <w:rPr>
          <w:rFonts w:ascii="Palatino Linotype" w:hAnsi="Palatino Linotype" w:cs="Arial"/>
          <w:lang w:eastAsia="es-MX"/>
        </w:rPr>
        <w:t xml:space="preserve"> </w:t>
      </w:r>
      <w:r w:rsidR="004527F6" w:rsidRPr="00305CA1">
        <w:rPr>
          <w:rFonts w:ascii="Palatino Linotype" w:hAnsi="Palatino Linotype" w:cs="Arial"/>
          <w:lang w:eastAsia="es-MX"/>
        </w:rPr>
        <w:t>fue omiso en pronunciarse y remitir información al respecto.</w:t>
      </w:r>
      <w:r w:rsidR="00ED5663" w:rsidRPr="00305CA1">
        <w:rPr>
          <w:rFonts w:ascii="Palatino Linotype" w:hAnsi="Palatino Linotype" w:cs="Arial"/>
          <w:lang w:eastAsia="es-MX"/>
        </w:rPr>
        <w:t xml:space="preserve"> </w:t>
      </w:r>
    </w:p>
    <w:p w:rsidR="00ED5663" w:rsidRPr="00305CA1" w:rsidRDefault="00ED5663" w:rsidP="00A30D49">
      <w:pPr>
        <w:spacing w:before="360" w:after="240" w:line="360" w:lineRule="auto"/>
        <w:jc w:val="both"/>
        <w:rPr>
          <w:rFonts w:ascii="Palatino Linotype" w:hAnsi="Palatino Linotype" w:cs="Arial"/>
          <w:color w:val="000000"/>
        </w:rPr>
      </w:pPr>
      <w:r w:rsidRPr="00305CA1">
        <w:rPr>
          <w:rFonts w:ascii="Palatino Linotype" w:hAnsi="Palatino Linotype" w:cs="Arial"/>
          <w:lang w:eastAsia="es-MX"/>
        </w:rPr>
        <w:lastRenderedPageBreak/>
        <w:t xml:space="preserve">Ahora bien, </w:t>
      </w:r>
      <w:r w:rsidRPr="00305CA1">
        <w:rPr>
          <w:rFonts w:ascii="Palatino Linotype" w:hAnsi="Palatino Linotype" w:cs="Arial"/>
        </w:rPr>
        <w:t>resulta</w:t>
      </w:r>
      <w:r w:rsidRPr="00305CA1">
        <w:rPr>
          <w:rFonts w:ascii="Palatino Linotype" w:hAnsi="Palatino Linotype" w:cs="Arial"/>
          <w:color w:val="000000"/>
        </w:rPr>
        <w:t xml:space="preserve"> importante traer a contexto el contenido de los artículos 4 y 12, de la </w:t>
      </w:r>
      <w:r w:rsidRPr="00305CA1">
        <w:rPr>
          <w:rFonts w:ascii="Palatino Linotype" w:hAnsi="Palatino Linotype" w:cs="Arial"/>
        </w:rPr>
        <w:t>Ley de Transparencia y Acceso a la Información Pública del Estado de México y Municipios, que son del tenor siguiente:</w:t>
      </w:r>
    </w:p>
    <w:p w:rsidR="00ED5663" w:rsidRPr="00305CA1" w:rsidRDefault="00ED5663" w:rsidP="00ED5663">
      <w:pPr>
        <w:spacing w:before="200" w:after="200"/>
        <w:ind w:left="709" w:right="709"/>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Artículo 4.</w:t>
      </w:r>
      <w:r w:rsidRPr="00305CA1">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ED5663" w:rsidRPr="00305CA1" w:rsidRDefault="00ED5663" w:rsidP="00ED5663">
      <w:pPr>
        <w:spacing w:before="200" w:after="200"/>
        <w:ind w:left="709" w:right="709"/>
        <w:jc w:val="both"/>
        <w:rPr>
          <w:rFonts w:ascii="Palatino Linotype" w:hAnsi="Palatino Linotype" w:cs="Arial"/>
          <w:i/>
          <w:sz w:val="22"/>
          <w:szCs w:val="22"/>
        </w:rPr>
      </w:pPr>
      <w:r w:rsidRPr="00305CA1">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305CA1">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ED5663" w:rsidRPr="00305CA1" w:rsidRDefault="00ED5663" w:rsidP="00ED5663">
      <w:pPr>
        <w:spacing w:before="200" w:after="200"/>
        <w:ind w:left="709" w:right="709"/>
        <w:jc w:val="both"/>
        <w:rPr>
          <w:rFonts w:ascii="Palatino Linotype" w:hAnsi="Palatino Linotype" w:cs="Arial"/>
          <w:i/>
          <w:sz w:val="22"/>
          <w:szCs w:val="22"/>
        </w:rPr>
      </w:pPr>
      <w:r w:rsidRPr="00305CA1">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ED5663" w:rsidRPr="00305CA1" w:rsidRDefault="00ED5663" w:rsidP="00ED5663">
      <w:pPr>
        <w:spacing w:before="200" w:after="200"/>
        <w:ind w:left="709" w:right="709"/>
        <w:jc w:val="both"/>
        <w:rPr>
          <w:rFonts w:ascii="Palatino Linotype" w:hAnsi="Palatino Linotype" w:cs="Arial"/>
          <w:i/>
          <w:sz w:val="22"/>
          <w:szCs w:val="22"/>
        </w:rPr>
      </w:pPr>
      <w:r w:rsidRPr="00305CA1">
        <w:rPr>
          <w:rFonts w:ascii="Palatino Linotype" w:hAnsi="Palatino Linotype" w:cs="Arial"/>
          <w:b/>
          <w:i/>
          <w:sz w:val="22"/>
          <w:szCs w:val="22"/>
        </w:rPr>
        <w:t>Artículo 12.</w:t>
      </w:r>
      <w:r w:rsidRPr="00305CA1">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ED5663" w:rsidRPr="00305CA1" w:rsidRDefault="00ED5663" w:rsidP="00ED5663">
      <w:pPr>
        <w:spacing w:before="200" w:after="200"/>
        <w:ind w:left="709" w:right="709"/>
        <w:jc w:val="both"/>
        <w:rPr>
          <w:rFonts w:ascii="Palatino Linotype" w:hAnsi="Palatino Linotype" w:cs="Arial"/>
          <w:i/>
          <w:sz w:val="22"/>
          <w:szCs w:val="22"/>
        </w:rPr>
      </w:pPr>
      <w:r w:rsidRPr="00305CA1">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305CA1">
        <w:rPr>
          <w:rFonts w:ascii="Palatino Linotype" w:hAnsi="Palatino Linotype" w:cs="Arial"/>
          <w:i/>
          <w:sz w:val="22"/>
          <w:szCs w:val="22"/>
        </w:rPr>
        <w:t>; no estarán obligados a generarla, resumirla, efectuar cálculos o practicar investigaciones.”</w:t>
      </w:r>
    </w:p>
    <w:p w:rsidR="00ED5663" w:rsidRPr="00305CA1" w:rsidRDefault="00ED5663" w:rsidP="00ED5663">
      <w:pPr>
        <w:spacing w:before="200" w:after="200"/>
        <w:ind w:left="709" w:right="709"/>
        <w:jc w:val="both"/>
        <w:rPr>
          <w:rFonts w:ascii="Palatino Linotype" w:hAnsi="Palatino Linotype" w:cs="Arial"/>
          <w:sz w:val="22"/>
          <w:szCs w:val="22"/>
        </w:rPr>
      </w:pPr>
      <w:r w:rsidRPr="00305CA1">
        <w:rPr>
          <w:rFonts w:ascii="Palatino Linotype" w:hAnsi="Palatino Linotype" w:cs="Arial"/>
          <w:sz w:val="22"/>
          <w:szCs w:val="22"/>
        </w:rPr>
        <w:t>(Énfasis añadido)</w:t>
      </w:r>
    </w:p>
    <w:p w:rsidR="00ED5663" w:rsidRPr="00305CA1" w:rsidRDefault="00ED5663" w:rsidP="00ED5663">
      <w:pPr>
        <w:spacing w:before="360" w:after="240" w:line="360" w:lineRule="auto"/>
        <w:jc w:val="both"/>
        <w:rPr>
          <w:rFonts w:ascii="Palatino Linotype" w:hAnsi="Palatino Linotype" w:cs="Arial"/>
        </w:rPr>
      </w:pPr>
      <w:r w:rsidRPr="00305CA1">
        <w:rPr>
          <w:rFonts w:ascii="Palatino Linotype" w:hAnsi="Palatino Linotype" w:cs="Arial"/>
        </w:rPr>
        <w:t xml:space="preserve">Los preceptos legales transcritos establecen </w:t>
      </w:r>
      <w:r w:rsidRPr="00305CA1">
        <w:rPr>
          <w:rFonts w:ascii="Palatino Linotype" w:hAnsi="Palatino Linotype" w:cs="Arial"/>
          <w:b/>
          <w:u w:val="single"/>
        </w:rPr>
        <w:t>la obligación de los Sujetos Obligados a entregar la información pública solicitada por los particulares</w:t>
      </w:r>
      <w:r w:rsidRPr="00305CA1">
        <w:rPr>
          <w:rFonts w:ascii="Palatino Linotype" w:hAnsi="Palatino Linotype" w:cs="Arial"/>
        </w:rPr>
        <w:t xml:space="preserve"> y que obren en sus archivos, siendo ésta la generada o en su posesión, </w:t>
      </w:r>
      <w:r w:rsidRPr="00305CA1">
        <w:rPr>
          <w:rFonts w:ascii="Palatino Linotype" w:hAnsi="Palatino Linotype" w:cs="Arial"/>
          <w:b/>
          <w:u w:val="single"/>
        </w:rPr>
        <w:t xml:space="preserve">privilegiando el principio de </w:t>
      </w:r>
      <w:r w:rsidRPr="00305CA1">
        <w:rPr>
          <w:rFonts w:ascii="Palatino Linotype" w:hAnsi="Palatino Linotype" w:cs="Arial"/>
          <w:b/>
          <w:u w:val="single"/>
        </w:rPr>
        <w:lastRenderedPageBreak/>
        <w:t>máxima publicidad, sin necesidad de procesarla</w:t>
      </w:r>
      <w:r w:rsidRPr="00305CA1">
        <w:rPr>
          <w:rFonts w:ascii="Palatino Linotype" w:hAnsi="Palatino Linotype" w:cs="Arial"/>
        </w:rPr>
        <w:t xml:space="preserve">, resumirla, ni efectuar cálculos ni investigaciones. </w:t>
      </w:r>
    </w:p>
    <w:p w:rsidR="00ED5663" w:rsidRPr="00305CA1" w:rsidRDefault="00ED5663" w:rsidP="00ED5663">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305CA1">
        <w:rPr>
          <w:rFonts w:ascii="Palatino Linotype" w:hAnsi="Palatino Linotype" w:cs="Arial"/>
        </w:rPr>
        <w:t xml:space="preserve">Lo anterior, se traduce en que, no subsiste la </w:t>
      </w:r>
      <w:r w:rsidRPr="00305CA1">
        <w:rPr>
          <w:rFonts w:ascii="Palatino Linotype" w:eastAsiaTheme="minorHAnsi" w:hAnsi="Palatino Linotype" w:cs="Arial"/>
          <w:lang w:eastAsia="es-MX"/>
        </w:rPr>
        <w:t>obligación</w:t>
      </w:r>
      <w:r w:rsidRPr="00305CA1">
        <w:rPr>
          <w:rFonts w:ascii="Palatino Linotype" w:hAnsi="Palatino Linotype" w:cs="Arial"/>
        </w:rPr>
        <w:t xml:space="preserve"> para </w:t>
      </w:r>
      <w:r w:rsidRPr="00305CA1">
        <w:rPr>
          <w:rFonts w:ascii="Palatino Linotype" w:hAnsi="Palatino Linotype" w:cs="Arial"/>
          <w:b/>
        </w:rPr>
        <w:t>EL SUJETO OBLIGADO</w:t>
      </w:r>
      <w:r w:rsidRPr="00305CA1">
        <w:rPr>
          <w:rFonts w:ascii="Palatino Linotype" w:hAnsi="Palatino Linotype" w:cs="Arial"/>
        </w:rPr>
        <w:t xml:space="preserve"> de generar </w:t>
      </w:r>
      <w:r w:rsidRPr="00305CA1">
        <w:rPr>
          <w:rFonts w:ascii="Palatino Linotype" w:hAnsi="Palatino Linotype" w:cs="Arial"/>
          <w:lang w:eastAsia="es-MX"/>
        </w:rPr>
        <w:t>un</w:t>
      </w:r>
      <w:r w:rsidRPr="00305CA1">
        <w:rPr>
          <w:rFonts w:ascii="Palatino Linotype" w:hAnsi="Palatino Linotype" w:cs="Arial"/>
        </w:rPr>
        <w:t xml:space="preserve"> documento </w:t>
      </w:r>
      <w:r w:rsidRPr="00305CA1">
        <w:rPr>
          <w:rFonts w:ascii="Palatino Linotype" w:hAnsi="Palatino Linotype" w:cs="Arial"/>
          <w:i/>
        </w:rPr>
        <w:t>ad hoc</w:t>
      </w:r>
      <w:r w:rsidRPr="00305CA1">
        <w:rPr>
          <w:rFonts w:ascii="Palatino Linotype" w:hAnsi="Palatino Linotype" w:cs="Arial"/>
        </w:rPr>
        <w:t xml:space="preserve">, para satisfacer lo requerido por </w:t>
      </w:r>
      <w:r w:rsidRPr="00305CA1">
        <w:rPr>
          <w:rFonts w:ascii="Palatino Linotype" w:hAnsi="Palatino Linotype" w:cs="Arial"/>
          <w:b/>
        </w:rPr>
        <w:t>EL</w:t>
      </w:r>
      <w:r w:rsidRPr="00305CA1">
        <w:rPr>
          <w:rFonts w:ascii="Palatino Linotype" w:hAnsi="Palatino Linotype" w:cs="Arial"/>
        </w:rPr>
        <w:t xml:space="preserve"> </w:t>
      </w:r>
      <w:r w:rsidRPr="00305CA1">
        <w:rPr>
          <w:rFonts w:ascii="Palatino Linotype" w:hAnsi="Palatino Linotype" w:cs="Arial"/>
          <w:b/>
        </w:rPr>
        <w:t>RECURRENTE</w:t>
      </w:r>
      <w:r w:rsidRPr="00305CA1">
        <w:rPr>
          <w:rFonts w:ascii="Palatino Linotype" w:hAnsi="Palatino Linotype" w:cs="Arial"/>
        </w:rPr>
        <w:t xml:space="preserve">, a través del ejercicio del derecho de acceso a la información pública, puesto que </w:t>
      </w:r>
      <w:r w:rsidRPr="00305CA1">
        <w:rPr>
          <w:rFonts w:ascii="Palatino Linotype" w:hAnsi="Palatino Linotype" w:cs="Arial"/>
          <w:b/>
        </w:rPr>
        <w:t>sólo existe fuente obligacional de entregar a los particulares de los documentos posea o administre en sus archivos</w:t>
      </w:r>
      <w:r w:rsidRPr="00305CA1">
        <w:rPr>
          <w:rFonts w:ascii="Palatino Linotype" w:hAnsi="Palatino Linotype" w:cs="Arial"/>
        </w:rPr>
        <w:t xml:space="preserve">, algún documento o documentos, que colme lo solicitado, sin que deba generar reportes, estudios, actas, resoluciones, oficios, acuerdos, directivas, directrices, entre otros, con el objeto, de colmar inquietudes de los mismos, puesto que, para tales efectos, la Constitución Federal, le otorga a la ciudadanía la potestad de ejercer el derecho de petición, antes mencionado. </w:t>
      </w:r>
    </w:p>
    <w:p w:rsidR="00ED5663" w:rsidRPr="00305CA1" w:rsidRDefault="00ED5663" w:rsidP="00ED5663">
      <w:pPr>
        <w:spacing w:before="360" w:after="240" w:line="360" w:lineRule="auto"/>
        <w:jc w:val="both"/>
        <w:rPr>
          <w:rFonts w:ascii="Palatino Linotype" w:hAnsi="Palatino Linotype"/>
          <w:b/>
          <w:bCs/>
          <w:color w:val="000000"/>
        </w:rPr>
      </w:pPr>
      <w:r w:rsidRPr="00305CA1">
        <w:rPr>
          <w:rFonts w:ascii="Palatino Linotype" w:hAnsi="Palatino Linotype" w:cs="Arial"/>
        </w:rPr>
        <w:t xml:space="preserve">Así, la información pública que requieran los particulares, podrá ser entregada, tal y como haya sido generada por </w:t>
      </w:r>
      <w:r w:rsidRPr="00305CA1">
        <w:rPr>
          <w:rFonts w:ascii="Palatino Linotype" w:hAnsi="Palatino Linotype" w:cs="Arial"/>
          <w:b/>
        </w:rPr>
        <w:t>EL SUJETO OBLIGADO</w:t>
      </w:r>
      <w:r w:rsidRPr="00305CA1">
        <w:rPr>
          <w:rFonts w:ascii="Palatino Linotype" w:hAnsi="Palatino Linotype" w:cs="Arial"/>
        </w:rPr>
        <w:t xml:space="preserve">, sin que subsista la obligación para éste último de generar un documento </w:t>
      </w:r>
      <w:r w:rsidRPr="00305CA1">
        <w:rPr>
          <w:rFonts w:ascii="Palatino Linotype" w:hAnsi="Palatino Linotype" w:cs="Arial"/>
          <w:i/>
        </w:rPr>
        <w:t>ad hoc</w:t>
      </w:r>
      <w:r w:rsidRPr="00305CA1">
        <w:rPr>
          <w:rFonts w:ascii="Palatino Linotype" w:hAnsi="Palatino Linotype" w:cs="Arial"/>
        </w:rPr>
        <w:t>, para satisfacer el derecho de acceso a la información pública del</w:t>
      </w:r>
      <w:r w:rsidRPr="00305CA1">
        <w:rPr>
          <w:rFonts w:ascii="Palatino Linotype" w:hAnsi="Palatino Linotype"/>
          <w:b/>
        </w:rPr>
        <w:t xml:space="preserve"> RECURRENTE</w:t>
      </w:r>
      <w:r w:rsidRPr="00305CA1">
        <w:rPr>
          <w:rFonts w:ascii="Palatino Linotype" w:hAnsi="Palatino Linotype" w:cs="Arial"/>
        </w:rPr>
        <w:t xml:space="preserve">. </w:t>
      </w:r>
      <w:r w:rsidRPr="00305CA1">
        <w:rPr>
          <w:rFonts w:ascii="Palatino Linotype" w:hAnsi="Palatino Linotype"/>
          <w:szCs w:val="20"/>
        </w:rPr>
        <w:t xml:space="preserve">Lo anterior, en términos del artículo 202 segundo párrafo de </w:t>
      </w:r>
      <w:r w:rsidRPr="00305CA1">
        <w:rPr>
          <w:rFonts w:ascii="Palatino Linotype" w:hAnsi="Palatino Linotype"/>
          <w:szCs w:val="17"/>
          <w:lang w:eastAsia="es-ES_tradnl"/>
        </w:rPr>
        <w:t xml:space="preserve">la Ley de Transparencia y Acceso a la Información Pública del </w:t>
      </w:r>
      <w:r w:rsidRPr="00305CA1">
        <w:rPr>
          <w:rFonts w:ascii="Palatino Linotype" w:hAnsi="Palatino Linotype"/>
        </w:rPr>
        <w:t>Estado</w:t>
      </w:r>
      <w:r w:rsidRPr="00305CA1">
        <w:rPr>
          <w:rFonts w:ascii="Palatino Linotype" w:hAnsi="Palatino Linotype"/>
          <w:szCs w:val="17"/>
          <w:lang w:eastAsia="es-ES_tradnl"/>
        </w:rPr>
        <w:t xml:space="preserve"> de México y Municipios</w:t>
      </w:r>
      <w:r w:rsidRPr="00305CA1">
        <w:rPr>
          <w:rStyle w:val="Refdenotaalpie"/>
          <w:rFonts w:ascii="Palatino Linotype" w:hAnsi="Palatino Linotype"/>
          <w:szCs w:val="17"/>
          <w:lang w:eastAsia="es-ES_tradnl"/>
        </w:rPr>
        <w:footnoteReference w:id="3"/>
      </w:r>
      <w:r w:rsidRPr="00305CA1">
        <w:rPr>
          <w:rFonts w:ascii="Palatino Linotype" w:hAnsi="Palatino Linotype"/>
          <w:szCs w:val="17"/>
          <w:lang w:eastAsia="es-ES_tradnl"/>
        </w:rPr>
        <w:t>,</w:t>
      </w:r>
      <w:r w:rsidRPr="00305CA1">
        <w:rPr>
          <w:rFonts w:ascii="Palatino Linotype" w:hAnsi="Palatino Linotype"/>
          <w:szCs w:val="20"/>
        </w:rPr>
        <w:t xml:space="preserve"> y el criterio orientador 03/17 </w:t>
      </w:r>
      <w:r w:rsidRPr="00305CA1">
        <w:rPr>
          <w:rFonts w:ascii="Palatino Linotype" w:hAnsi="Palatino Linotype" w:cs="Arial"/>
        </w:rPr>
        <w:t>de la Segunda Época, emitido por el Pleno del Instituto Nacional de Transparencia, Acceso a la Información y Protección de Datos Personales</w:t>
      </w:r>
      <w:r w:rsidRPr="00305CA1">
        <w:rPr>
          <w:rFonts w:ascii="Palatino Linotype" w:hAnsi="Palatino Linotype"/>
          <w:szCs w:val="20"/>
        </w:rPr>
        <w:t>, que a la letra dice:</w:t>
      </w:r>
    </w:p>
    <w:p w:rsidR="00ED5663" w:rsidRPr="00305CA1" w:rsidRDefault="00ED5663" w:rsidP="00ED5663">
      <w:pPr>
        <w:spacing w:before="180" w:after="180"/>
        <w:ind w:left="709" w:right="709"/>
        <w:jc w:val="both"/>
        <w:rPr>
          <w:rFonts w:ascii="Palatino Linotype" w:hAnsi="Palatino Linotype" w:cs="Arial"/>
          <w:i/>
          <w:sz w:val="22"/>
        </w:rPr>
      </w:pPr>
      <w:r w:rsidRPr="00305CA1">
        <w:rPr>
          <w:rFonts w:ascii="Palatino Linotype" w:hAnsi="Palatino Linotype" w:cs="Arial"/>
          <w:i/>
          <w:color w:val="000000"/>
          <w:sz w:val="22"/>
          <w:szCs w:val="22"/>
        </w:rPr>
        <w:lastRenderedPageBreak/>
        <w:t>“</w:t>
      </w:r>
      <w:r w:rsidRPr="00305CA1">
        <w:rPr>
          <w:rFonts w:ascii="Palatino Linotype" w:hAnsi="Palatino Linotype" w:cs="Arial"/>
          <w:b/>
          <w:i/>
          <w:color w:val="000000"/>
          <w:sz w:val="22"/>
          <w:szCs w:val="22"/>
        </w:rPr>
        <w:t>No existe obligación de elaborar documentos ad hoc para atender las solicitudes de acceso a la información.</w:t>
      </w:r>
      <w:r w:rsidRPr="00305CA1">
        <w:rPr>
          <w:rFonts w:ascii="Palatino Linotype" w:hAnsi="Palatino Linotype" w:cs="Arial"/>
          <w:i/>
          <w:color w:val="000000"/>
          <w:sz w:val="22"/>
          <w:szCs w:val="22"/>
        </w:rPr>
        <w:t xml:space="preserve"> Los artículos 129 de la Ley General de </w:t>
      </w:r>
      <w:r w:rsidRPr="00305CA1">
        <w:rPr>
          <w:rFonts w:ascii="Palatino Linotype" w:hAnsi="Palatino Linotype" w:cs="Arial"/>
          <w:i/>
          <w:sz w:val="22"/>
        </w:rPr>
        <w:t xml:space="preserve">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305CA1">
        <w:rPr>
          <w:rFonts w:ascii="Palatino Linotype" w:hAnsi="Palatino Linotype" w:cs="Arial"/>
          <w:b/>
          <w:i/>
          <w:sz w:val="22"/>
          <w:u w:val="single"/>
        </w:rPr>
        <w:t>los sujetos obligados deben garantizar el derecho de acceso a la información del particular</w:t>
      </w:r>
      <w:r w:rsidRPr="00305CA1">
        <w:rPr>
          <w:rFonts w:ascii="Palatino Linotype" w:hAnsi="Palatino Linotype" w:cs="Arial"/>
          <w:i/>
          <w:sz w:val="22"/>
        </w:rPr>
        <w:t xml:space="preserve">, proporcionando la información con la que cuentan en el formato en que la misma obre en sus archivos; </w:t>
      </w:r>
      <w:r w:rsidRPr="00305CA1">
        <w:rPr>
          <w:rFonts w:ascii="Palatino Linotype" w:hAnsi="Palatino Linotype" w:cs="Arial"/>
          <w:b/>
          <w:i/>
          <w:sz w:val="22"/>
          <w:u w:val="single"/>
        </w:rPr>
        <w:t>sin necesidad de elaborar documentos ad hoc para atender las solicitudes de información</w:t>
      </w:r>
      <w:r w:rsidRPr="00305CA1">
        <w:rPr>
          <w:rFonts w:ascii="Palatino Linotype" w:hAnsi="Palatino Linotype" w:cs="Arial"/>
          <w:i/>
          <w:sz w:val="22"/>
        </w:rPr>
        <w:t>.</w:t>
      </w:r>
    </w:p>
    <w:p w:rsidR="00ED5663" w:rsidRPr="00305CA1" w:rsidRDefault="00ED5663" w:rsidP="00ED5663">
      <w:pPr>
        <w:spacing w:before="180" w:after="180"/>
        <w:ind w:left="709" w:right="709"/>
        <w:jc w:val="both"/>
        <w:rPr>
          <w:rFonts w:ascii="Palatino Linotype" w:hAnsi="Palatino Linotype" w:cs="Arial"/>
          <w:i/>
          <w:sz w:val="22"/>
        </w:rPr>
      </w:pPr>
      <w:r w:rsidRPr="00305CA1">
        <w:rPr>
          <w:rFonts w:ascii="Palatino Linotype" w:hAnsi="Palatino Linotype" w:cs="Arial"/>
          <w:i/>
          <w:sz w:val="22"/>
        </w:rPr>
        <w:t xml:space="preserve">Resoluciones: </w:t>
      </w:r>
    </w:p>
    <w:p w:rsidR="00ED5663" w:rsidRPr="00305CA1" w:rsidRDefault="00ED5663" w:rsidP="00ED5663">
      <w:pPr>
        <w:spacing w:before="180" w:after="180"/>
        <w:ind w:left="709" w:right="709"/>
        <w:jc w:val="both"/>
        <w:rPr>
          <w:rFonts w:ascii="Palatino Linotype" w:hAnsi="Palatino Linotype" w:cs="Arial"/>
          <w:i/>
          <w:sz w:val="22"/>
        </w:rPr>
      </w:pPr>
      <w:r w:rsidRPr="00305CA1">
        <w:rPr>
          <w:rFonts w:ascii="Palatino Linotype" w:hAnsi="Palatino Linotype" w:cs="Arial"/>
          <w:i/>
          <w:sz w:val="22"/>
        </w:rPr>
        <w:sym w:font="Symbol" w:char="F0B7"/>
      </w:r>
      <w:r w:rsidRPr="00305CA1">
        <w:rPr>
          <w:rFonts w:ascii="Palatino Linotype" w:hAnsi="Palatino Linotype" w:cs="Arial"/>
          <w:i/>
          <w:sz w:val="22"/>
        </w:rPr>
        <w:t xml:space="preserve"> RRA 0050/16. Instituto Nacional para la Evaluación de la Educación. 13 julio de 2016. Por unanimidad. Comisionado Ponente: Francisco Javier Acuña Llamas.</w:t>
      </w:r>
    </w:p>
    <w:p w:rsidR="00ED5663" w:rsidRPr="00305CA1" w:rsidRDefault="00ED5663" w:rsidP="00ED5663">
      <w:pPr>
        <w:spacing w:before="180" w:after="180"/>
        <w:ind w:left="709" w:right="709"/>
        <w:jc w:val="both"/>
        <w:rPr>
          <w:rFonts w:ascii="Palatino Linotype" w:hAnsi="Palatino Linotype" w:cs="Arial"/>
          <w:i/>
          <w:sz w:val="22"/>
        </w:rPr>
      </w:pPr>
      <w:r w:rsidRPr="00305CA1">
        <w:rPr>
          <w:rFonts w:ascii="Palatino Linotype" w:hAnsi="Palatino Linotype" w:cs="Arial"/>
          <w:i/>
          <w:sz w:val="22"/>
        </w:rPr>
        <w:sym w:font="Symbol" w:char="F0B7"/>
      </w:r>
      <w:r w:rsidRPr="00305CA1">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rsidR="00ED5663" w:rsidRPr="00305CA1" w:rsidRDefault="00ED5663" w:rsidP="00ED5663">
      <w:pPr>
        <w:spacing w:before="180" w:after="180"/>
        <w:ind w:left="709" w:right="709"/>
        <w:jc w:val="both"/>
        <w:rPr>
          <w:rFonts w:ascii="Palatino Linotype" w:hAnsi="Palatino Linotype" w:cs="Arial"/>
          <w:i/>
          <w:sz w:val="22"/>
        </w:rPr>
      </w:pPr>
      <w:r w:rsidRPr="00305CA1">
        <w:rPr>
          <w:rFonts w:ascii="Palatino Linotype" w:hAnsi="Palatino Linotype" w:cs="Arial"/>
          <w:i/>
          <w:sz w:val="22"/>
        </w:rPr>
        <w:sym w:font="Symbol" w:char="F0B7"/>
      </w:r>
      <w:r w:rsidRPr="00305CA1">
        <w:rPr>
          <w:rFonts w:ascii="Palatino Linotype" w:hAnsi="Palatino Linotype" w:cs="Arial"/>
          <w:i/>
          <w:sz w:val="22"/>
        </w:rPr>
        <w:t xml:space="preserve"> RRA 1889/16. Secretaría de Hacienda y Crédito Público. 05 de octubre de 2016. Por unanimidad. Comisionada Ponente. Ximena Puente de la Mora.”</w:t>
      </w:r>
    </w:p>
    <w:p w:rsidR="00ED5663" w:rsidRPr="00305CA1" w:rsidRDefault="00ED5663" w:rsidP="00ED5663">
      <w:pPr>
        <w:spacing w:before="180" w:after="180"/>
        <w:ind w:left="709" w:right="709"/>
        <w:jc w:val="both"/>
        <w:rPr>
          <w:rFonts w:ascii="Palatino Linotype" w:hAnsi="Palatino Linotype" w:cs="Arial"/>
          <w:sz w:val="22"/>
          <w:szCs w:val="22"/>
        </w:rPr>
      </w:pPr>
      <w:r w:rsidRPr="00305CA1">
        <w:rPr>
          <w:rFonts w:ascii="Palatino Linotype" w:hAnsi="Palatino Linotype" w:cs="Arial"/>
          <w:sz w:val="22"/>
          <w:szCs w:val="22"/>
        </w:rPr>
        <w:t>(Énfasis añadido)</w:t>
      </w:r>
    </w:p>
    <w:p w:rsidR="00ED5663" w:rsidRPr="00305CA1" w:rsidRDefault="00ED5663" w:rsidP="00ED5663">
      <w:pPr>
        <w:spacing w:before="360" w:after="240" w:line="360" w:lineRule="auto"/>
        <w:jc w:val="both"/>
        <w:rPr>
          <w:rFonts w:ascii="Palatino Linotype" w:hAnsi="Palatino Linotype"/>
        </w:rPr>
      </w:pPr>
      <w:r w:rsidRPr="00305CA1">
        <w:rPr>
          <w:rFonts w:ascii="Palatino Linotype" w:hAnsi="Palatino Linotype"/>
        </w:rPr>
        <w:t xml:space="preserve">Por tanto, se reitera que los </w:t>
      </w:r>
      <w:r w:rsidRPr="00305CA1">
        <w:rPr>
          <w:rFonts w:ascii="Palatino Linotype" w:hAnsi="Palatino Linotype" w:cs="Arial"/>
        </w:rPr>
        <w:t>Sujetos</w:t>
      </w:r>
      <w:r w:rsidRPr="00305CA1">
        <w:rPr>
          <w:rFonts w:ascii="Palatino Linotype" w:hAnsi="Palatino Linotype"/>
        </w:rPr>
        <w:t xml:space="preserve"> Obligados, no están constreñidos a generar documentos </w:t>
      </w:r>
      <w:r w:rsidRPr="00305CA1">
        <w:rPr>
          <w:rFonts w:ascii="Palatino Linotype" w:hAnsi="Palatino Linotype"/>
          <w:i/>
        </w:rPr>
        <w:t>ad hoc</w:t>
      </w:r>
      <w:r w:rsidRPr="00305CA1">
        <w:rPr>
          <w:rFonts w:ascii="Palatino Linotype" w:hAnsi="Palatino Linotype"/>
        </w:rPr>
        <w:t xml:space="preserve">, para </w:t>
      </w:r>
      <w:r w:rsidRPr="00305CA1">
        <w:rPr>
          <w:rFonts w:ascii="Palatino Linotype" w:hAnsi="Palatino Linotype" w:cs="Arial"/>
        </w:rPr>
        <w:t>responder</w:t>
      </w:r>
      <w:r w:rsidRPr="00305CA1">
        <w:rPr>
          <w:rFonts w:ascii="Palatino Linotype" w:hAnsi="Palatino Linotype"/>
        </w:rPr>
        <w:t xml:space="preserve"> a las solicitudes de información que les sean formuladas, más aun, cuando se </w:t>
      </w:r>
      <w:r w:rsidRPr="00305CA1">
        <w:rPr>
          <w:rFonts w:ascii="Palatino Linotype" w:hAnsi="Palatino Linotype" w:cs="Arial"/>
        </w:rPr>
        <w:t>formulen</w:t>
      </w:r>
      <w:r w:rsidRPr="00305CA1">
        <w:rPr>
          <w:rFonts w:ascii="Palatino Linotype" w:hAnsi="Palatino Linotype"/>
        </w:rPr>
        <w:t xml:space="preserve"> a manera de cuestionamientos.</w:t>
      </w:r>
    </w:p>
    <w:p w:rsidR="00ED5663" w:rsidRPr="00305CA1" w:rsidRDefault="00ED5663" w:rsidP="00ED5663">
      <w:pPr>
        <w:widowControl w:val="0"/>
        <w:autoSpaceDE w:val="0"/>
        <w:autoSpaceDN w:val="0"/>
        <w:adjustRightInd w:val="0"/>
        <w:spacing w:before="240" w:after="240" w:line="360" w:lineRule="auto"/>
        <w:jc w:val="both"/>
        <w:rPr>
          <w:rFonts w:ascii="Palatino Linotype" w:hAnsi="Palatino Linotype" w:cs="Arial"/>
          <w:lang w:eastAsia="es-MX"/>
        </w:rPr>
      </w:pPr>
      <w:r w:rsidRPr="00305CA1">
        <w:rPr>
          <w:rFonts w:ascii="Palatino Linotype" w:hAnsi="Palatino Linotype" w:cs="Arial"/>
          <w:lang w:eastAsia="es-MX"/>
        </w:rPr>
        <w:t>Corolario a lo anterior, la Tesis Aislada, con número de registro 2011611, de la Décima Época, sustentada por la Segunda Sala de la Suprema Corte de Justicia de la Nación, precisa lo siguiente:</w:t>
      </w:r>
    </w:p>
    <w:p w:rsidR="00ED5663" w:rsidRPr="00305CA1" w:rsidRDefault="00ED5663" w:rsidP="00ED5663">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305CA1">
        <w:rPr>
          <w:rFonts w:ascii="Palatino Linotype" w:eastAsiaTheme="minorHAnsi" w:hAnsi="Palatino Linotype" w:cs="Bookman Old Style"/>
          <w:i/>
          <w:sz w:val="22"/>
          <w:szCs w:val="20"/>
          <w:lang w:eastAsia="en-US"/>
        </w:rPr>
        <w:t>“</w:t>
      </w:r>
      <w:r w:rsidRPr="00305CA1">
        <w:rPr>
          <w:rFonts w:ascii="Palatino Linotype" w:eastAsiaTheme="minorHAnsi" w:hAnsi="Palatino Linotype" w:cs="Bookman Old Style"/>
          <w:b/>
          <w:i/>
          <w:sz w:val="22"/>
          <w:szCs w:val="20"/>
          <w:lang w:eastAsia="en-US"/>
        </w:rPr>
        <w:t xml:space="preserve">DERECHO DE PETICIÓN. SU DIFERENCIA CON RESPECTO AL RECURSO ADMINISTRATIVO. </w:t>
      </w:r>
      <w:r w:rsidRPr="00305CA1">
        <w:rPr>
          <w:rFonts w:ascii="Palatino Linotype" w:eastAsiaTheme="minorHAnsi" w:hAnsi="Palatino Linotype" w:cs="Bookman Old Style"/>
          <w:b/>
          <w:i/>
          <w:sz w:val="22"/>
          <w:szCs w:val="20"/>
          <w:u w:val="single"/>
          <w:lang w:eastAsia="en-US"/>
        </w:rPr>
        <w:t>El</w:t>
      </w:r>
      <w:r w:rsidRPr="00305CA1">
        <w:rPr>
          <w:rFonts w:ascii="Palatino Linotype" w:eastAsiaTheme="minorHAnsi" w:hAnsi="Palatino Linotype" w:cs="Bookman Old Style"/>
          <w:i/>
          <w:sz w:val="22"/>
          <w:szCs w:val="20"/>
          <w:u w:val="single"/>
          <w:lang w:eastAsia="en-US"/>
        </w:rPr>
        <w:t xml:space="preserve"> </w:t>
      </w:r>
      <w:r w:rsidRPr="00305CA1">
        <w:rPr>
          <w:rFonts w:ascii="Palatino Linotype" w:eastAsiaTheme="minorHAnsi" w:hAnsi="Palatino Linotype" w:cs="Bookman Old Style"/>
          <w:b/>
          <w:i/>
          <w:sz w:val="22"/>
          <w:szCs w:val="20"/>
          <w:u w:val="single"/>
          <w:lang w:eastAsia="en-US"/>
        </w:rPr>
        <w:t>derecho de petición busca la respuesta de la autoridad a un planteamiento específico, mientras que el recurso administrativo, la nulidad o modificación de un acto</w:t>
      </w:r>
      <w:r w:rsidRPr="00305CA1">
        <w:rPr>
          <w:rFonts w:ascii="Palatino Linotype" w:eastAsiaTheme="minorHAnsi" w:hAnsi="Palatino Linotype" w:cs="Bookman Old Style"/>
          <w:i/>
          <w:sz w:val="22"/>
          <w:szCs w:val="20"/>
          <w:lang w:eastAsia="en-US"/>
        </w:rPr>
        <w:t xml:space="preserve"> de la autoridad a través de </w:t>
      </w:r>
      <w:r w:rsidRPr="00305CA1">
        <w:rPr>
          <w:rFonts w:ascii="Palatino Linotype" w:eastAsiaTheme="minorHAnsi" w:hAnsi="Palatino Linotype" w:cs="Bookman Old Style"/>
          <w:i/>
          <w:sz w:val="22"/>
          <w:szCs w:val="20"/>
          <w:lang w:eastAsia="en-US"/>
        </w:rPr>
        <w:lastRenderedPageBreak/>
        <w:t>su impugnación; es decir, el recurso presupone la existencia de un acto administrativo previo que puede ser revisado por la autoridad que lo emitió o en otra instancia, mientras que aquél se limita a solicitar una respuesta determinada. Así, para recurrir una actuación administrativa se requiere de un derecho subjetivo específico; a la vez que el derecho de petición constituye simplemente la posibilidad de todo gobernado de hacer un planteamiento a la autoridad; por tanto, este último no puede sustituir los procedimientos o recursos específicos establecidos para atender ciertas materias, ni constituirse como un medio para la revisión de determinaciones administrativas.</w:t>
      </w:r>
    </w:p>
    <w:p w:rsidR="00ED5663" w:rsidRPr="00305CA1" w:rsidRDefault="00ED5663" w:rsidP="00ED5663">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305CA1">
        <w:rPr>
          <w:rFonts w:ascii="Palatino Linotype" w:eastAsiaTheme="minorHAnsi" w:hAnsi="Palatino Linotype" w:cs="Bookman Old Style"/>
          <w:i/>
          <w:sz w:val="22"/>
          <w:szCs w:val="20"/>
          <w:lang w:eastAsia="en-US"/>
        </w:rPr>
        <w:t xml:space="preserve">Amparo directo en revisión 2768/2015. Inmobiliaria Portuaria de Altamira, S.A. de C.V. 6 de abril de 2016. Mayoría de cuatro votos de los Ministros Eduardo Medina Mora I., Javier </w:t>
      </w:r>
      <w:proofErr w:type="spellStart"/>
      <w:r w:rsidRPr="00305CA1">
        <w:rPr>
          <w:rFonts w:ascii="Palatino Linotype" w:eastAsiaTheme="minorHAnsi" w:hAnsi="Palatino Linotype" w:cs="Bookman Old Style"/>
          <w:i/>
          <w:sz w:val="22"/>
          <w:szCs w:val="20"/>
          <w:lang w:eastAsia="en-US"/>
        </w:rPr>
        <w:t>Laynez</w:t>
      </w:r>
      <w:proofErr w:type="spellEnd"/>
      <w:r w:rsidRPr="00305CA1">
        <w:rPr>
          <w:rFonts w:ascii="Palatino Linotype" w:eastAsiaTheme="minorHAnsi" w:hAnsi="Palatino Linotype" w:cs="Bookman Old Style"/>
          <w:i/>
          <w:sz w:val="22"/>
          <w:szCs w:val="20"/>
          <w:lang w:eastAsia="en-US"/>
        </w:rPr>
        <w:t xml:space="preserve"> </w:t>
      </w:r>
      <w:proofErr w:type="spellStart"/>
      <w:r w:rsidRPr="00305CA1">
        <w:rPr>
          <w:rFonts w:ascii="Palatino Linotype" w:eastAsiaTheme="minorHAnsi" w:hAnsi="Palatino Linotype" w:cs="Bookman Old Style"/>
          <w:i/>
          <w:sz w:val="22"/>
          <w:szCs w:val="20"/>
          <w:lang w:eastAsia="en-US"/>
        </w:rPr>
        <w:t>Potisek</w:t>
      </w:r>
      <w:proofErr w:type="spellEnd"/>
      <w:r w:rsidRPr="00305CA1">
        <w:rPr>
          <w:rFonts w:ascii="Palatino Linotype" w:eastAsiaTheme="minorHAnsi" w:hAnsi="Palatino Linotype" w:cs="Bookman Old Style"/>
          <w:i/>
          <w:sz w:val="22"/>
          <w:szCs w:val="20"/>
          <w:lang w:eastAsia="en-US"/>
        </w:rPr>
        <w:t xml:space="preserve">, José Fernando Franco González Salas y Alberto Pérez </w:t>
      </w:r>
      <w:proofErr w:type="spellStart"/>
      <w:r w:rsidRPr="00305CA1">
        <w:rPr>
          <w:rFonts w:ascii="Palatino Linotype" w:eastAsiaTheme="minorHAnsi" w:hAnsi="Palatino Linotype" w:cs="Bookman Old Style"/>
          <w:i/>
          <w:sz w:val="22"/>
          <w:szCs w:val="20"/>
          <w:lang w:eastAsia="en-US"/>
        </w:rPr>
        <w:t>Dayán</w:t>
      </w:r>
      <w:proofErr w:type="spellEnd"/>
      <w:r w:rsidRPr="00305CA1">
        <w:rPr>
          <w:rFonts w:ascii="Palatino Linotype" w:eastAsiaTheme="minorHAnsi" w:hAnsi="Palatino Linotype" w:cs="Bookman Old Style"/>
          <w:i/>
          <w:sz w:val="22"/>
          <w:szCs w:val="20"/>
          <w:lang w:eastAsia="en-US"/>
        </w:rPr>
        <w:t xml:space="preserve">; votó con reserva José Fernando Franco González Salas. Disidente: Margarita Beatriz Luna Ramos. Ponente: Eduardo Medina Mora I. Secretarios: </w:t>
      </w:r>
      <w:proofErr w:type="spellStart"/>
      <w:r w:rsidRPr="00305CA1">
        <w:rPr>
          <w:rFonts w:ascii="Palatino Linotype" w:eastAsiaTheme="minorHAnsi" w:hAnsi="Palatino Linotype" w:cs="Bookman Old Style"/>
          <w:i/>
          <w:sz w:val="22"/>
          <w:szCs w:val="20"/>
          <w:lang w:eastAsia="en-US"/>
        </w:rPr>
        <w:t>Etienne</w:t>
      </w:r>
      <w:proofErr w:type="spellEnd"/>
      <w:r w:rsidRPr="00305CA1">
        <w:rPr>
          <w:rFonts w:ascii="Palatino Linotype" w:eastAsiaTheme="minorHAnsi" w:hAnsi="Palatino Linotype" w:cs="Bookman Old Style"/>
          <w:i/>
          <w:sz w:val="22"/>
          <w:szCs w:val="20"/>
          <w:lang w:eastAsia="en-US"/>
        </w:rPr>
        <w:t xml:space="preserve"> </w:t>
      </w:r>
      <w:proofErr w:type="spellStart"/>
      <w:r w:rsidRPr="00305CA1">
        <w:rPr>
          <w:rFonts w:ascii="Palatino Linotype" w:eastAsiaTheme="minorHAnsi" w:hAnsi="Palatino Linotype" w:cs="Bookman Old Style"/>
          <w:i/>
          <w:sz w:val="22"/>
          <w:szCs w:val="20"/>
          <w:lang w:eastAsia="en-US"/>
        </w:rPr>
        <w:t>Maximilien</w:t>
      </w:r>
      <w:proofErr w:type="spellEnd"/>
      <w:r w:rsidRPr="00305CA1">
        <w:rPr>
          <w:rFonts w:ascii="Palatino Linotype" w:eastAsiaTheme="minorHAnsi" w:hAnsi="Palatino Linotype" w:cs="Bookman Old Style"/>
          <w:i/>
          <w:sz w:val="22"/>
          <w:szCs w:val="20"/>
          <w:lang w:eastAsia="en-US"/>
        </w:rPr>
        <w:t xml:space="preserve"> Alexandre </w:t>
      </w:r>
      <w:proofErr w:type="spellStart"/>
      <w:r w:rsidRPr="00305CA1">
        <w:rPr>
          <w:rFonts w:ascii="Palatino Linotype" w:eastAsiaTheme="minorHAnsi" w:hAnsi="Palatino Linotype" w:cs="Bookman Old Style"/>
          <w:i/>
          <w:sz w:val="22"/>
          <w:szCs w:val="20"/>
          <w:lang w:eastAsia="en-US"/>
        </w:rPr>
        <w:t>Luquet</w:t>
      </w:r>
      <w:proofErr w:type="spellEnd"/>
      <w:r w:rsidRPr="00305CA1">
        <w:rPr>
          <w:rFonts w:ascii="Palatino Linotype" w:eastAsiaTheme="minorHAnsi" w:hAnsi="Palatino Linotype" w:cs="Bookman Old Style"/>
          <w:i/>
          <w:sz w:val="22"/>
          <w:szCs w:val="20"/>
          <w:lang w:eastAsia="en-US"/>
        </w:rPr>
        <w:t xml:space="preserve"> Farías y Miguel Ángel Burguete García.”</w:t>
      </w:r>
    </w:p>
    <w:p w:rsidR="00ED5663" w:rsidRPr="00305CA1" w:rsidRDefault="00ED5663" w:rsidP="00ED5663">
      <w:pPr>
        <w:spacing w:before="120" w:after="120"/>
        <w:ind w:left="709" w:right="709"/>
        <w:jc w:val="both"/>
        <w:rPr>
          <w:rFonts w:ascii="Palatino Linotype" w:eastAsia="Arial Unicode MS" w:hAnsi="Palatino Linotype" w:cs="Arial"/>
          <w:sz w:val="22"/>
          <w:szCs w:val="22"/>
          <w:lang w:eastAsia="es-MX"/>
        </w:rPr>
      </w:pPr>
      <w:r w:rsidRPr="00305CA1">
        <w:rPr>
          <w:rFonts w:ascii="Palatino Linotype" w:eastAsia="Arial Unicode MS" w:hAnsi="Palatino Linotype" w:cs="Arial"/>
          <w:sz w:val="22"/>
          <w:szCs w:val="22"/>
          <w:lang w:eastAsia="es-MX"/>
        </w:rPr>
        <w:t>(Énfasis añadido)</w:t>
      </w:r>
    </w:p>
    <w:p w:rsidR="00FC62B4" w:rsidRPr="00305CA1" w:rsidRDefault="00ED5663" w:rsidP="00FC62B4">
      <w:pPr>
        <w:spacing w:before="360" w:after="240" w:line="360" w:lineRule="auto"/>
        <w:jc w:val="both"/>
        <w:rPr>
          <w:rFonts w:ascii="Palatino Linotype" w:hAnsi="Palatino Linotype"/>
        </w:rPr>
      </w:pPr>
      <w:r w:rsidRPr="00305CA1">
        <w:rPr>
          <w:rFonts w:ascii="Palatino Linotype" w:hAnsi="Palatino Linotype"/>
        </w:rPr>
        <w:t xml:space="preserve">No obstante lo anterior, si bien es cierto los Sujetos Obligados no se encuentran supeditados a generar un documento para dar respuesta a aquellos cuestionamientos que se formulen a través de una solicitud de acceso a información pública, también lo es que, este Instituto Autónomo cuenta con la facultad de </w:t>
      </w:r>
      <w:r w:rsidRPr="00305CA1">
        <w:rPr>
          <w:rFonts w:ascii="Palatino Linotype" w:hAnsi="Palatino Linotype" w:cs="Arial"/>
          <w:shd w:val="clear" w:color="auto" w:fill="FFFFFF"/>
        </w:rPr>
        <w:t>suplir a los particulares en esta instancia, de conformidad con lo establecido en los artículos 13</w:t>
      </w:r>
      <w:r w:rsidRPr="00305CA1">
        <w:rPr>
          <w:rStyle w:val="Refdenotaalpie"/>
          <w:rFonts w:ascii="Palatino Linotype" w:hAnsi="Palatino Linotype" w:cs="Arial"/>
          <w:shd w:val="clear" w:color="auto" w:fill="FFFFFF"/>
        </w:rPr>
        <w:footnoteReference w:id="4"/>
      </w:r>
      <w:r w:rsidRPr="00305CA1">
        <w:rPr>
          <w:rFonts w:ascii="Palatino Linotype" w:hAnsi="Palatino Linotype" w:cs="Arial"/>
          <w:shd w:val="clear" w:color="auto" w:fill="FFFFFF"/>
        </w:rPr>
        <w:t xml:space="preserve"> y 181, cuarto párrafo</w:t>
      </w:r>
      <w:r w:rsidRPr="00305CA1">
        <w:rPr>
          <w:rStyle w:val="Refdenotaalpie"/>
          <w:rFonts w:ascii="Palatino Linotype" w:hAnsi="Palatino Linotype" w:cs="Arial"/>
          <w:shd w:val="clear" w:color="auto" w:fill="FFFFFF"/>
        </w:rPr>
        <w:footnoteReference w:id="5"/>
      </w:r>
      <w:r w:rsidRPr="00305CA1">
        <w:rPr>
          <w:rFonts w:ascii="Palatino Linotype" w:hAnsi="Palatino Linotype" w:cs="Arial"/>
          <w:shd w:val="clear" w:color="auto" w:fill="FFFFFF"/>
        </w:rPr>
        <w:t xml:space="preserve">, de la Ley de </w:t>
      </w:r>
      <w:r w:rsidRPr="00305CA1">
        <w:rPr>
          <w:rFonts w:ascii="Palatino Linotype" w:hAnsi="Palatino Linotype"/>
        </w:rPr>
        <w:t>Transparencia</w:t>
      </w:r>
      <w:r w:rsidRPr="00305CA1">
        <w:rPr>
          <w:rFonts w:ascii="Palatino Linotype" w:hAnsi="Palatino Linotype" w:cs="Arial"/>
          <w:shd w:val="clear" w:color="auto" w:fill="FFFFFF"/>
        </w:rPr>
        <w:t xml:space="preserve"> y Acceso a la </w:t>
      </w:r>
      <w:r w:rsidRPr="00305CA1">
        <w:rPr>
          <w:rFonts w:ascii="Palatino Linotype" w:hAnsi="Palatino Linotype"/>
        </w:rPr>
        <w:t>Información</w:t>
      </w:r>
      <w:r w:rsidRPr="00305CA1">
        <w:rPr>
          <w:rFonts w:ascii="Palatino Linotype" w:hAnsi="Palatino Linotype" w:cs="Arial"/>
          <w:shd w:val="clear" w:color="auto" w:fill="FFFFFF"/>
        </w:rPr>
        <w:t xml:space="preserve"> Pública del Estado de México y Municipios, por lo que en ejercicio de dicha atribución, y</w:t>
      </w:r>
      <w:r w:rsidRPr="00305CA1">
        <w:rPr>
          <w:rFonts w:ascii="Palatino Linotype" w:hAnsi="Palatino Linotype"/>
        </w:rPr>
        <w:t xml:space="preserve"> </w:t>
      </w:r>
      <w:r w:rsidRPr="00305CA1">
        <w:rPr>
          <w:rFonts w:ascii="Palatino Linotype" w:hAnsi="Palatino Linotype"/>
          <w:b/>
        </w:rPr>
        <w:t>en aras de privilegiar el principio de máxima publicidad</w:t>
      </w:r>
      <w:r w:rsidRPr="00305CA1">
        <w:rPr>
          <w:rFonts w:ascii="Palatino Linotype" w:hAnsi="Palatino Linotype"/>
        </w:rPr>
        <w:t xml:space="preserve">, se observa que, las premisas </w:t>
      </w:r>
      <w:r w:rsidR="00FC62B4" w:rsidRPr="00305CA1">
        <w:rPr>
          <w:rFonts w:ascii="Palatino Linotype" w:hAnsi="Palatino Linotype"/>
        </w:rPr>
        <w:t xml:space="preserve">en </w:t>
      </w:r>
      <w:r w:rsidR="00FC62B4" w:rsidRPr="00305CA1">
        <w:rPr>
          <w:rFonts w:ascii="Palatino Linotype" w:hAnsi="Palatino Linotype"/>
        </w:rPr>
        <w:lastRenderedPageBreak/>
        <w:t xml:space="preserve">estudio, formuladas </w:t>
      </w:r>
      <w:r w:rsidRPr="00305CA1">
        <w:rPr>
          <w:rFonts w:ascii="Palatino Linotype" w:hAnsi="Palatino Linotype"/>
        </w:rPr>
        <w:t>a manera de interrogante</w:t>
      </w:r>
      <w:r w:rsidR="00FC62B4" w:rsidRPr="00305CA1">
        <w:rPr>
          <w:rFonts w:ascii="Palatino Linotype" w:hAnsi="Palatino Linotype"/>
        </w:rPr>
        <w:t>s</w:t>
      </w:r>
      <w:r w:rsidRPr="00305CA1">
        <w:rPr>
          <w:rFonts w:ascii="Palatino Linotype" w:hAnsi="Palatino Linotype"/>
        </w:rPr>
        <w:t>, p</w:t>
      </w:r>
      <w:r w:rsidR="00FC62B4" w:rsidRPr="00305CA1">
        <w:rPr>
          <w:rFonts w:ascii="Palatino Linotype" w:hAnsi="Palatino Linotype"/>
        </w:rPr>
        <w:t xml:space="preserve">odrían </w:t>
      </w:r>
      <w:r w:rsidRPr="00305CA1">
        <w:rPr>
          <w:rFonts w:ascii="Palatino Linotype" w:hAnsi="Palatino Linotype"/>
        </w:rPr>
        <w:t xml:space="preserve">ser satisfechas </w:t>
      </w:r>
      <w:r w:rsidRPr="00305CA1">
        <w:rPr>
          <w:rFonts w:ascii="Palatino Linotype" w:hAnsi="Palatino Linotype"/>
          <w:b/>
          <w:u w:val="single"/>
        </w:rPr>
        <w:t xml:space="preserve">mediante </w:t>
      </w:r>
      <w:r w:rsidR="004E2204" w:rsidRPr="00305CA1">
        <w:rPr>
          <w:rFonts w:ascii="Palatino Linotype" w:hAnsi="Palatino Linotype"/>
          <w:b/>
          <w:u w:val="single"/>
        </w:rPr>
        <w:t>expresiones documentales</w:t>
      </w:r>
      <w:r w:rsidR="004E2204" w:rsidRPr="00305CA1">
        <w:rPr>
          <w:rFonts w:ascii="Palatino Linotype" w:hAnsi="Palatino Linotype"/>
          <w:b/>
        </w:rPr>
        <w:t xml:space="preserve"> </w:t>
      </w:r>
      <w:r w:rsidRPr="00305CA1">
        <w:rPr>
          <w:rFonts w:ascii="Palatino Linotype" w:hAnsi="Palatino Linotype"/>
        </w:rPr>
        <w:t>que</w:t>
      </w:r>
      <w:r w:rsidR="00FC62B4" w:rsidRPr="00305CA1">
        <w:rPr>
          <w:rFonts w:ascii="Palatino Linotype" w:hAnsi="Palatino Linotype"/>
        </w:rPr>
        <w:t xml:space="preserve"> </w:t>
      </w:r>
      <w:r w:rsidRPr="00305CA1">
        <w:rPr>
          <w:rFonts w:ascii="Palatino Linotype" w:hAnsi="Palatino Linotype"/>
        </w:rPr>
        <w:t>consta</w:t>
      </w:r>
      <w:r w:rsidR="00FC62B4" w:rsidRPr="00305CA1">
        <w:rPr>
          <w:rFonts w:ascii="Palatino Linotype" w:hAnsi="Palatino Linotype"/>
        </w:rPr>
        <w:t>rían</w:t>
      </w:r>
      <w:r w:rsidRPr="00305CA1">
        <w:rPr>
          <w:rFonts w:ascii="Palatino Linotype" w:hAnsi="Palatino Linotype"/>
        </w:rPr>
        <w:t xml:space="preserve"> en los archivos del </w:t>
      </w:r>
      <w:r w:rsidRPr="00305CA1">
        <w:rPr>
          <w:rFonts w:ascii="Palatino Linotype" w:hAnsi="Palatino Linotype"/>
          <w:b/>
        </w:rPr>
        <w:t>SUJETO OBLIGADO</w:t>
      </w:r>
      <w:r w:rsidRPr="00305CA1">
        <w:rPr>
          <w:rFonts w:ascii="Palatino Linotype" w:hAnsi="Palatino Linotype"/>
        </w:rPr>
        <w:t>.</w:t>
      </w:r>
      <w:r w:rsidR="00FC62B4" w:rsidRPr="00305CA1">
        <w:rPr>
          <w:rFonts w:ascii="Palatino Linotype" w:hAnsi="Palatino Linotype"/>
        </w:rPr>
        <w:t xml:space="preserve"> </w:t>
      </w:r>
    </w:p>
    <w:p w:rsidR="004E2204" w:rsidRPr="00305CA1" w:rsidRDefault="004E2204" w:rsidP="00A952FA">
      <w:pPr>
        <w:spacing w:before="300" w:line="360" w:lineRule="auto"/>
        <w:jc w:val="both"/>
        <w:rPr>
          <w:rFonts w:ascii="Palatino Linotype" w:hAnsi="Palatino Linotype" w:cs="Arial"/>
        </w:rPr>
      </w:pPr>
      <w:r w:rsidRPr="00305CA1">
        <w:rPr>
          <w:rFonts w:ascii="Palatino Linotype" w:hAnsi="Palatino Linotype" w:cs="Arial"/>
        </w:rPr>
        <w:t>Lo anterior, tiene apoyo en el Criterio 16/17 de la Segunda Época, emitido por el Pleno del Instituto Nacional de Transparencia, Acceso a la Información y Protección de Datos Personales, que señala literalmente lo siguiente:</w:t>
      </w:r>
    </w:p>
    <w:p w:rsidR="004E2204" w:rsidRPr="00305CA1" w:rsidRDefault="004E2204" w:rsidP="00A952FA">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Expresión documental</w:t>
      </w:r>
      <w:r w:rsidRPr="00305CA1">
        <w:rPr>
          <w:rFonts w:ascii="Palatino Linotype" w:hAnsi="Palatino Linotype" w:cs="Arial"/>
          <w:i/>
          <w:sz w:val="22"/>
          <w:szCs w:val="22"/>
        </w:rPr>
        <w:t xml:space="preserve">. </w:t>
      </w:r>
      <w:r w:rsidRPr="00305CA1">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305CA1">
        <w:rPr>
          <w:rFonts w:ascii="Palatino Linotype" w:hAnsi="Palatino Linotype" w:cs="Arial"/>
          <w:i/>
          <w:sz w:val="22"/>
          <w:szCs w:val="22"/>
        </w:rPr>
        <w:t xml:space="preserve">, o bien, la solicitud constituya una consulta, pero la respuesta pudiera obrar en algún </w:t>
      </w:r>
      <w:r w:rsidRPr="00305CA1">
        <w:rPr>
          <w:rFonts w:ascii="Palatino Linotype" w:hAnsi="Palatino Linotype" w:cs="Arial"/>
          <w:bCs/>
          <w:i/>
          <w:noProof/>
          <w:sz w:val="22"/>
          <w:szCs w:val="22"/>
        </w:rPr>
        <w:t>documento</w:t>
      </w:r>
      <w:r w:rsidRPr="00305CA1">
        <w:rPr>
          <w:rFonts w:ascii="Palatino Linotype" w:hAnsi="Palatino Linotype" w:cs="Arial"/>
          <w:i/>
          <w:sz w:val="22"/>
          <w:szCs w:val="22"/>
        </w:rPr>
        <w:t xml:space="preserve"> en poder de los sujetos obligados, </w:t>
      </w:r>
      <w:r w:rsidRPr="00305CA1">
        <w:rPr>
          <w:rFonts w:ascii="Palatino Linotype" w:hAnsi="Palatino Linotype" w:cs="Arial"/>
          <w:b/>
          <w:i/>
          <w:sz w:val="22"/>
          <w:szCs w:val="22"/>
          <w:u w:val="single"/>
        </w:rPr>
        <w:t>éstos deben dar a dichas solicitudes una interpretación que les otorgue una expresión documental</w:t>
      </w:r>
      <w:r w:rsidRPr="00305CA1">
        <w:rPr>
          <w:rFonts w:ascii="Palatino Linotype" w:hAnsi="Palatino Linotype" w:cs="Arial"/>
          <w:i/>
          <w:sz w:val="22"/>
          <w:szCs w:val="22"/>
        </w:rPr>
        <w:t>.</w:t>
      </w:r>
    </w:p>
    <w:p w:rsidR="004E2204" w:rsidRPr="00305CA1" w:rsidRDefault="004E2204" w:rsidP="00A952FA">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Resoluciones:</w:t>
      </w:r>
    </w:p>
    <w:p w:rsidR="004E2204" w:rsidRPr="00305CA1" w:rsidRDefault="004E2204" w:rsidP="00A952FA">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 RRA 0774/16. Secretaría de Salud. 31 de agosto de 2016. Por unanimidad. Comisionada Ponente María Patricia </w:t>
      </w:r>
      <w:proofErr w:type="spellStart"/>
      <w:r w:rsidRPr="00305CA1">
        <w:rPr>
          <w:rFonts w:ascii="Palatino Linotype" w:hAnsi="Palatino Linotype" w:cs="Arial"/>
          <w:i/>
          <w:sz w:val="22"/>
          <w:szCs w:val="22"/>
        </w:rPr>
        <w:t>Kurczyn</w:t>
      </w:r>
      <w:proofErr w:type="spellEnd"/>
      <w:r w:rsidRPr="00305CA1">
        <w:rPr>
          <w:rFonts w:ascii="Palatino Linotype" w:hAnsi="Palatino Linotype" w:cs="Arial"/>
          <w:i/>
          <w:sz w:val="22"/>
          <w:szCs w:val="22"/>
        </w:rPr>
        <w:t xml:space="preserve"> Villalobos.</w:t>
      </w:r>
    </w:p>
    <w:p w:rsidR="004E2204" w:rsidRPr="00305CA1" w:rsidRDefault="004E2204" w:rsidP="00A952FA">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 RRA 0143/17. Universidad Autónoma Agraria Antonio Narro. 22 de febrero de 2017. Por unanimidad. </w:t>
      </w:r>
      <w:r w:rsidRPr="00305CA1">
        <w:rPr>
          <w:rFonts w:ascii="Palatino Linotype" w:hAnsi="Palatino Linotype" w:cs="Arial"/>
          <w:bCs/>
          <w:i/>
          <w:noProof/>
          <w:sz w:val="22"/>
          <w:szCs w:val="22"/>
        </w:rPr>
        <w:t>Comisionado</w:t>
      </w:r>
      <w:r w:rsidRPr="00305CA1">
        <w:rPr>
          <w:rFonts w:ascii="Palatino Linotype" w:hAnsi="Palatino Linotype" w:cs="Arial"/>
          <w:i/>
          <w:sz w:val="22"/>
          <w:szCs w:val="22"/>
        </w:rPr>
        <w:t xml:space="preserve"> Ponente Oscar Mauricio Guerra Ford. </w:t>
      </w:r>
    </w:p>
    <w:p w:rsidR="004E2204" w:rsidRPr="00305CA1" w:rsidRDefault="004E2204" w:rsidP="00A952FA">
      <w:pPr>
        <w:spacing w:before="100" w:after="100"/>
        <w:ind w:left="709" w:right="709"/>
        <w:jc w:val="both"/>
        <w:rPr>
          <w:rFonts w:ascii="Palatino Linotype" w:hAnsi="Palatino Linotype" w:cs="Arial"/>
          <w:i/>
          <w:sz w:val="22"/>
          <w:szCs w:val="22"/>
        </w:rPr>
      </w:pPr>
      <w:r w:rsidRPr="00305CA1">
        <w:rPr>
          <w:rFonts w:ascii="Palatino Linotype" w:hAnsi="Palatino Linotype" w:cs="Arial"/>
          <w:i/>
          <w:sz w:val="22"/>
          <w:szCs w:val="22"/>
        </w:rPr>
        <w:t xml:space="preserve">• RRA 0540/17. Secretaría de Economía. 08 de marzo del 2017. Por unanimidad. Comisionado Ponente </w:t>
      </w:r>
      <w:r w:rsidRPr="00305CA1">
        <w:rPr>
          <w:rFonts w:ascii="Palatino Linotype" w:hAnsi="Palatino Linotype" w:cs="Arial"/>
          <w:bCs/>
          <w:i/>
          <w:noProof/>
          <w:sz w:val="22"/>
          <w:szCs w:val="22"/>
        </w:rPr>
        <w:t>Francisco</w:t>
      </w:r>
      <w:r w:rsidRPr="00305CA1">
        <w:rPr>
          <w:rFonts w:ascii="Palatino Linotype" w:hAnsi="Palatino Linotype" w:cs="Arial"/>
          <w:i/>
          <w:sz w:val="22"/>
          <w:szCs w:val="22"/>
        </w:rPr>
        <w:t xml:space="preserve"> Javier Acuña Llamas.”</w:t>
      </w:r>
    </w:p>
    <w:p w:rsidR="004E2204" w:rsidRPr="00305CA1" w:rsidRDefault="004E2204" w:rsidP="00A952FA">
      <w:pPr>
        <w:spacing w:before="100" w:after="100"/>
        <w:ind w:left="709" w:right="709"/>
        <w:jc w:val="both"/>
        <w:rPr>
          <w:rFonts w:ascii="Palatino Linotype" w:hAnsi="Palatino Linotype" w:cs="Arial"/>
          <w:sz w:val="22"/>
          <w:szCs w:val="22"/>
        </w:rPr>
      </w:pPr>
      <w:r w:rsidRPr="00305CA1">
        <w:rPr>
          <w:rFonts w:ascii="Palatino Linotype" w:hAnsi="Palatino Linotype" w:cs="Arial"/>
          <w:sz w:val="22"/>
          <w:szCs w:val="22"/>
        </w:rPr>
        <w:t>(Énfasis añadido)</w:t>
      </w:r>
    </w:p>
    <w:p w:rsidR="00B5525C" w:rsidRPr="00305CA1" w:rsidRDefault="004E2204" w:rsidP="004E220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05CA1">
        <w:rPr>
          <w:rFonts w:ascii="Palatino Linotype" w:hAnsi="Palatino Linotype" w:cs="Arial"/>
        </w:rPr>
        <w:t xml:space="preserve">En </w:t>
      </w:r>
      <w:r w:rsidR="00FC62B4" w:rsidRPr="00305CA1">
        <w:rPr>
          <w:rFonts w:ascii="Palatino Linotype" w:hAnsi="Palatino Linotype" w:cs="Arial"/>
        </w:rPr>
        <w:t>ese contexto, debe observarse lo establecido en</w:t>
      </w:r>
      <w:r w:rsidR="00B5525C" w:rsidRPr="00305CA1">
        <w:rPr>
          <w:rFonts w:ascii="Palatino Linotype" w:hAnsi="Palatino Linotype" w:cs="Arial"/>
        </w:rPr>
        <w:t xml:space="preserve"> los Lineamientos que se deberán observar en el Proceso de Formalización Laboral de los Trabajadores de Salud en las Entidades Federativas, emitidos por la Comisión Nacional de Formalización Laboral de los Trabajadores de Salud en las Entidades Federativas:</w:t>
      </w:r>
    </w:p>
    <w:p w:rsidR="00B5525C" w:rsidRPr="00305CA1" w:rsidRDefault="00B5525C" w:rsidP="00B5525C">
      <w:pPr>
        <w:pStyle w:val="Prrafodelista"/>
        <w:widowControl w:val="0"/>
        <w:autoSpaceDE w:val="0"/>
        <w:autoSpaceDN w:val="0"/>
        <w:adjustRightInd w:val="0"/>
        <w:ind w:left="0"/>
        <w:jc w:val="center"/>
        <w:rPr>
          <w:rFonts w:ascii="Palatino Linotype" w:hAnsi="Palatino Linotype" w:cs="Arial"/>
        </w:rPr>
      </w:pPr>
      <w:r w:rsidRPr="00305CA1">
        <w:rPr>
          <w:noProof/>
          <w:lang w:val="es-ES"/>
        </w:rPr>
        <w:drawing>
          <wp:inline distT="0" distB="0" distL="0" distR="0" wp14:anchorId="6F3AF8EB" wp14:editId="6E725265">
            <wp:extent cx="4415929" cy="1192530"/>
            <wp:effectExtent l="0" t="0" r="381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1153" cy="1210144"/>
                    </a:xfrm>
                    <a:prstGeom prst="rect">
                      <a:avLst/>
                    </a:prstGeom>
                  </pic:spPr>
                </pic:pic>
              </a:graphicData>
            </a:graphic>
          </wp:inline>
        </w:drawing>
      </w:r>
    </w:p>
    <w:p w:rsidR="00B5525C" w:rsidRPr="00305CA1" w:rsidRDefault="00B5525C" w:rsidP="00B5525C">
      <w:pPr>
        <w:pStyle w:val="Prrafodelista"/>
        <w:widowControl w:val="0"/>
        <w:autoSpaceDE w:val="0"/>
        <w:autoSpaceDN w:val="0"/>
        <w:adjustRightInd w:val="0"/>
        <w:ind w:left="0"/>
        <w:jc w:val="center"/>
        <w:rPr>
          <w:rFonts w:ascii="Palatino Linotype" w:hAnsi="Palatino Linotype" w:cs="Arial"/>
        </w:rPr>
      </w:pPr>
      <w:r w:rsidRPr="00305CA1">
        <w:rPr>
          <w:rFonts w:ascii="Palatino Linotype" w:hAnsi="Palatino Linotype" w:cs="Arial"/>
        </w:rPr>
        <w:lastRenderedPageBreak/>
        <w:t>[…]</w:t>
      </w:r>
    </w:p>
    <w:p w:rsidR="00B5525C" w:rsidRPr="00305CA1" w:rsidRDefault="00B5525C" w:rsidP="00B5525C">
      <w:pPr>
        <w:pStyle w:val="Prrafodelista"/>
        <w:widowControl w:val="0"/>
        <w:autoSpaceDE w:val="0"/>
        <w:autoSpaceDN w:val="0"/>
        <w:adjustRightInd w:val="0"/>
        <w:ind w:left="0"/>
        <w:jc w:val="center"/>
        <w:rPr>
          <w:rFonts w:ascii="Palatino Linotype" w:hAnsi="Palatino Linotype" w:cs="Arial"/>
        </w:rPr>
      </w:pPr>
      <w:r w:rsidRPr="00305CA1">
        <w:rPr>
          <w:noProof/>
          <w:lang w:val="es-ES"/>
        </w:rPr>
        <w:drawing>
          <wp:inline distT="0" distB="0" distL="0" distR="0" wp14:anchorId="202FF41B" wp14:editId="60838A36">
            <wp:extent cx="4585155" cy="99949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3334" cy="1020891"/>
                    </a:xfrm>
                    <a:prstGeom prst="rect">
                      <a:avLst/>
                    </a:prstGeom>
                  </pic:spPr>
                </pic:pic>
              </a:graphicData>
            </a:graphic>
          </wp:inline>
        </w:drawing>
      </w:r>
    </w:p>
    <w:p w:rsidR="00B5525C" w:rsidRPr="00305CA1" w:rsidRDefault="00B5525C" w:rsidP="00B5525C">
      <w:pPr>
        <w:pStyle w:val="Prrafodelista"/>
        <w:widowControl w:val="0"/>
        <w:autoSpaceDE w:val="0"/>
        <w:autoSpaceDN w:val="0"/>
        <w:adjustRightInd w:val="0"/>
        <w:ind w:left="0"/>
        <w:jc w:val="center"/>
        <w:rPr>
          <w:rFonts w:ascii="Palatino Linotype" w:hAnsi="Palatino Linotype" w:cs="Arial"/>
        </w:rPr>
      </w:pPr>
      <w:r w:rsidRPr="00305CA1">
        <w:rPr>
          <w:rFonts w:ascii="Palatino Linotype" w:hAnsi="Palatino Linotype" w:cs="Arial"/>
        </w:rPr>
        <w:t>[…]</w:t>
      </w:r>
    </w:p>
    <w:p w:rsidR="00B5525C" w:rsidRPr="00305CA1" w:rsidRDefault="00B5525C" w:rsidP="00B5525C">
      <w:pPr>
        <w:pStyle w:val="Prrafodelista"/>
        <w:widowControl w:val="0"/>
        <w:autoSpaceDE w:val="0"/>
        <w:autoSpaceDN w:val="0"/>
        <w:adjustRightInd w:val="0"/>
        <w:ind w:left="0"/>
        <w:jc w:val="center"/>
        <w:rPr>
          <w:rFonts w:ascii="Palatino Linotype" w:hAnsi="Palatino Linotype" w:cs="Arial"/>
        </w:rPr>
      </w:pPr>
      <w:r w:rsidRPr="00305CA1">
        <w:rPr>
          <w:rFonts w:ascii="Palatino Linotype" w:hAnsi="Palatino Linotype" w:cs="Arial"/>
          <w:noProof/>
          <w:lang w:val="es-ES"/>
        </w:rPr>
        <w:drawing>
          <wp:inline distT="0" distB="0" distL="0" distR="0" wp14:anchorId="0C53E980" wp14:editId="782F6CF8">
            <wp:extent cx="4591530" cy="23368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8569" cy="2350561"/>
                    </a:xfrm>
                    <a:prstGeom prst="rect">
                      <a:avLst/>
                    </a:prstGeom>
                  </pic:spPr>
                </pic:pic>
              </a:graphicData>
            </a:graphic>
          </wp:inline>
        </w:drawing>
      </w:r>
    </w:p>
    <w:p w:rsidR="00F23E5A" w:rsidRPr="00305CA1" w:rsidRDefault="00F23E5A" w:rsidP="00B5525C">
      <w:pPr>
        <w:pStyle w:val="Prrafodelista"/>
        <w:widowControl w:val="0"/>
        <w:autoSpaceDE w:val="0"/>
        <w:autoSpaceDN w:val="0"/>
        <w:adjustRightInd w:val="0"/>
        <w:ind w:left="0"/>
        <w:jc w:val="center"/>
        <w:rPr>
          <w:rFonts w:ascii="Palatino Linotype" w:hAnsi="Palatino Linotype" w:cs="Arial"/>
        </w:rPr>
      </w:pPr>
      <w:r w:rsidRPr="00305CA1">
        <w:rPr>
          <w:rFonts w:ascii="Palatino Linotype" w:hAnsi="Palatino Linotype" w:cs="Arial"/>
        </w:rPr>
        <w:t>[…]</w:t>
      </w:r>
    </w:p>
    <w:p w:rsidR="00F23E5A" w:rsidRPr="00305CA1" w:rsidRDefault="00F23E5A" w:rsidP="00B5525C">
      <w:pPr>
        <w:pStyle w:val="Prrafodelista"/>
        <w:widowControl w:val="0"/>
        <w:autoSpaceDE w:val="0"/>
        <w:autoSpaceDN w:val="0"/>
        <w:adjustRightInd w:val="0"/>
        <w:ind w:left="0"/>
        <w:jc w:val="center"/>
        <w:rPr>
          <w:rFonts w:ascii="Palatino Linotype" w:hAnsi="Palatino Linotype" w:cs="Arial"/>
        </w:rPr>
      </w:pPr>
      <w:r w:rsidRPr="00305CA1">
        <w:rPr>
          <w:noProof/>
          <w:lang w:val="es-ES"/>
        </w:rPr>
        <w:drawing>
          <wp:inline distT="0" distB="0" distL="0" distR="0" wp14:anchorId="35A34E42" wp14:editId="2DE40D22">
            <wp:extent cx="4434219" cy="695325"/>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4742" cy="709520"/>
                    </a:xfrm>
                    <a:prstGeom prst="rect">
                      <a:avLst/>
                    </a:prstGeom>
                  </pic:spPr>
                </pic:pic>
              </a:graphicData>
            </a:graphic>
          </wp:inline>
        </w:drawing>
      </w:r>
    </w:p>
    <w:p w:rsidR="00FC62B4" w:rsidRPr="00305CA1" w:rsidRDefault="00B5525C" w:rsidP="004E2204">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05CA1">
        <w:rPr>
          <w:rFonts w:ascii="Palatino Linotype" w:hAnsi="Palatino Linotype" w:cs="Arial"/>
        </w:rPr>
        <w:t xml:space="preserve">Por otra parte, debe observarse </w:t>
      </w:r>
      <w:r w:rsidR="00F55ED8" w:rsidRPr="00305CA1">
        <w:rPr>
          <w:rFonts w:ascii="Palatino Linotype" w:hAnsi="Palatino Linotype" w:cs="Arial"/>
        </w:rPr>
        <w:t>lo establecido en las Condiciones Generales de Trabajo de la Secretaría de Salud:</w:t>
      </w:r>
    </w:p>
    <w:p w:rsidR="004E2204" w:rsidRPr="00305CA1" w:rsidRDefault="00F55ED8" w:rsidP="00F55ED8">
      <w:pPr>
        <w:spacing w:before="120" w:after="120"/>
        <w:ind w:left="709" w:right="709"/>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 xml:space="preserve">Artículo 14 </w:t>
      </w:r>
      <w:r w:rsidRPr="00305CA1">
        <w:rPr>
          <w:rFonts w:ascii="Palatino Linotype" w:hAnsi="Palatino Linotype" w:cs="Arial"/>
          <w:b/>
          <w:i/>
          <w:sz w:val="22"/>
          <w:szCs w:val="22"/>
          <w:u w:val="single"/>
        </w:rPr>
        <w:t>Nombramiento es el documento por el que se formaliza la relación jurídico laboral entre el Titular y el Trabajador</w:t>
      </w:r>
      <w:r w:rsidRPr="00305CA1">
        <w:rPr>
          <w:rFonts w:ascii="Palatino Linotype" w:hAnsi="Palatino Linotype" w:cs="Arial"/>
          <w:i/>
          <w:sz w:val="22"/>
          <w:szCs w:val="22"/>
        </w:rPr>
        <w:t xml:space="preserve"> y por el que se obligan al cumplimiento recíproco de las disposiciones contenidas en el mismo, en la Ley, en las presentes Condiciones y las que sean conforme al uso y a la buena fe.</w:t>
      </w:r>
    </w:p>
    <w:p w:rsidR="00F55ED8" w:rsidRPr="00305CA1" w:rsidRDefault="00F55ED8" w:rsidP="00F55ED8">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 xml:space="preserve">Artículo 122 </w:t>
      </w:r>
      <w:r w:rsidRPr="00305CA1">
        <w:rPr>
          <w:rFonts w:ascii="Palatino Linotype" w:hAnsi="Palatino Linotype" w:cs="Arial"/>
          <w:b/>
          <w:i/>
          <w:sz w:val="22"/>
          <w:szCs w:val="22"/>
          <w:u w:val="single"/>
        </w:rPr>
        <w:t xml:space="preserve">En la Secretaría los movimientos </w:t>
      </w:r>
      <w:proofErr w:type="spellStart"/>
      <w:r w:rsidRPr="00305CA1">
        <w:rPr>
          <w:rFonts w:ascii="Palatino Linotype" w:hAnsi="Palatino Linotype" w:cs="Arial"/>
          <w:b/>
          <w:i/>
          <w:sz w:val="22"/>
          <w:szCs w:val="22"/>
          <w:u w:val="single"/>
        </w:rPr>
        <w:t>escalafonarios</w:t>
      </w:r>
      <w:proofErr w:type="spellEnd"/>
      <w:r w:rsidRPr="00305CA1">
        <w:rPr>
          <w:rFonts w:ascii="Palatino Linotype" w:hAnsi="Palatino Linotype" w:cs="Arial"/>
          <w:b/>
          <w:i/>
          <w:sz w:val="22"/>
          <w:szCs w:val="22"/>
          <w:u w:val="single"/>
        </w:rPr>
        <w:t xml:space="preserve"> de los Trabajadores de la Rama Médica, se regularán por las disposiciones que se contienen en el Capítulo X del Reglamento de Escalafón</w:t>
      </w:r>
      <w:r w:rsidRPr="00305CA1">
        <w:rPr>
          <w:rFonts w:ascii="Palatino Linotype" w:hAnsi="Palatino Linotype" w:cs="Arial"/>
          <w:i/>
          <w:sz w:val="22"/>
          <w:szCs w:val="22"/>
        </w:rPr>
        <w:t xml:space="preserve">. </w:t>
      </w:r>
    </w:p>
    <w:p w:rsidR="00F55ED8" w:rsidRPr="00305CA1" w:rsidRDefault="00F55ED8" w:rsidP="00F55ED8">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 xml:space="preserve">Artículo 123 </w:t>
      </w:r>
      <w:r w:rsidRPr="00305CA1">
        <w:rPr>
          <w:rFonts w:ascii="Palatino Linotype" w:hAnsi="Palatino Linotype" w:cs="Arial"/>
          <w:b/>
          <w:i/>
          <w:sz w:val="22"/>
          <w:szCs w:val="22"/>
          <w:u w:val="single"/>
        </w:rPr>
        <w:t xml:space="preserve">En los concursos </w:t>
      </w:r>
      <w:proofErr w:type="spellStart"/>
      <w:r w:rsidRPr="00305CA1">
        <w:rPr>
          <w:rFonts w:ascii="Palatino Linotype" w:hAnsi="Palatino Linotype" w:cs="Arial"/>
          <w:b/>
          <w:i/>
          <w:sz w:val="22"/>
          <w:szCs w:val="22"/>
          <w:u w:val="single"/>
        </w:rPr>
        <w:t>escalafonarios</w:t>
      </w:r>
      <w:proofErr w:type="spellEnd"/>
      <w:r w:rsidRPr="00305CA1">
        <w:rPr>
          <w:rFonts w:ascii="Palatino Linotype" w:hAnsi="Palatino Linotype" w:cs="Arial"/>
          <w:b/>
          <w:i/>
          <w:sz w:val="22"/>
          <w:szCs w:val="22"/>
          <w:u w:val="single"/>
        </w:rPr>
        <w:t xml:space="preserve"> a que se convocará a los Trabajadores de la Rama Médica, se calificarán los factores promocionales y se </w:t>
      </w:r>
      <w:r w:rsidRPr="00305CA1">
        <w:rPr>
          <w:rFonts w:ascii="Palatino Linotype" w:hAnsi="Palatino Linotype" w:cs="Arial"/>
          <w:b/>
          <w:i/>
          <w:sz w:val="22"/>
          <w:szCs w:val="22"/>
          <w:u w:val="single"/>
        </w:rPr>
        <w:lastRenderedPageBreak/>
        <w:t>verificarán los requisitos, pruebas, documentos, constancias o hechos que sometan los concursantes a evaluación, a fin de determinar el movimiento promocional en favor de aquel Trabajador que haya obtenido la calificación más alta</w:t>
      </w:r>
      <w:r w:rsidRPr="00305CA1">
        <w:rPr>
          <w:rFonts w:ascii="Palatino Linotype" w:hAnsi="Palatino Linotype" w:cs="Arial"/>
          <w:i/>
          <w:sz w:val="22"/>
          <w:szCs w:val="22"/>
        </w:rPr>
        <w:t xml:space="preserve">, de acuerdo con las normas establecidas en el Reglamento de Escalafón de la Secretaría. </w:t>
      </w:r>
    </w:p>
    <w:p w:rsidR="004E2204" w:rsidRPr="00305CA1" w:rsidRDefault="00F55ED8" w:rsidP="00F55ED8">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 xml:space="preserve">Artículo 124 </w:t>
      </w:r>
      <w:r w:rsidRPr="00305CA1">
        <w:rPr>
          <w:rFonts w:ascii="Palatino Linotype" w:hAnsi="Palatino Linotype" w:cs="Arial"/>
          <w:b/>
          <w:i/>
          <w:sz w:val="22"/>
          <w:szCs w:val="22"/>
          <w:u w:val="single"/>
        </w:rPr>
        <w:t>Conforme al Reglamento de Escalafón, tienen derecho a participar en movimientos promocionales los Trabajadores que hayan cumplido con los requisitos y períodos de experiencia en un nivel inmediato inferior a la vacante</w:t>
      </w:r>
      <w:r w:rsidRPr="00305CA1">
        <w:rPr>
          <w:rFonts w:ascii="Palatino Linotype" w:hAnsi="Palatino Linotype" w:cs="Arial"/>
          <w:i/>
          <w:sz w:val="22"/>
          <w:szCs w:val="22"/>
        </w:rPr>
        <w:t>, y que asimismo, acrediten cumplir con los requisitos que al efecto establece el Catálogo Institucional de Puestos de la Secretaría, de acuerdo con las opciones e indicadores señalados para cada caso en el Reglamento mencionado.”</w:t>
      </w:r>
    </w:p>
    <w:p w:rsidR="00F55ED8" w:rsidRPr="00305CA1" w:rsidRDefault="00F55ED8" w:rsidP="00F55ED8">
      <w:pPr>
        <w:spacing w:before="120" w:after="120"/>
        <w:ind w:left="709" w:right="709"/>
        <w:jc w:val="both"/>
        <w:rPr>
          <w:rFonts w:ascii="Palatino Linotype" w:hAnsi="Palatino Linotype" w:cs="Arial"/>
          <w:sz w:val="22"/>
          <w:szCs w:val="22"/>
        </w:rPr>
      </w:pPr>
      <w:r w:rsidRPr="00305CA1">
        <w:rPr>
          <w:rFonts w:ascii="Palatino Linotype" w:hAnsi="Palatino Linotype" w:cs="Arial"/>
          <w:sz w:val="22"/>
          <w:szCs w:val="22"/>
        </w:rPr>
        <w:t>(Énfasis añadido)</w:t>
      </w:r>
    </w:p>
    <w:p w:rsidR="004E2204" w:rsidRPr="00305CA1" w:rsidRDefault="00F23E5A" w:rsidP="00ED5663">
      <w:pPr>
        <w:spacing w:before="360" w:after="240" w:line="360" w:lineRule="auto"/>
        <w:jc w:val="both"/>
        <w:rPr>
          <w:rFonts w:ascii="Palatino Linotype" w:hAnsi="Palatino Linotype"/>
        </w:rPr>
      </w:pPr>
      <w:r w:rsidRPr="00305CA1">
        <w:rPr>
          <w:rFonts w:ascii="Palatino Linotype" w:hAnsi="Palatino Linotype"/>
        </w:rPr>
        <w:t>Con relación a lo anterior, deben observarse los siguientes preceptos jurídicos del Capítulo X del referido Reglamento de Escalafón</w:t>
      </w:r>
    </w:p>
    <w:p w:rsidR="00F23E5A" w:rsidRPr="00305CA1" w:rsidRDefault="00F23E5A" w:rsidP="00F23E5A">
      <w:pPr>
        <w:spacing w:before="120" w:after="120"/>
        <w:ind w:left="709" w:right="709"/>
        <w:jc w:val="both"/>
        <w:rPr>
          <w:rFonts w:ascii="Palatino Linotype" w:hAnsi="Palatino Linotype" w:cs="Arial"/>
          <w:i/>
          <w:sz w:val="22"/>
          <w:szCs w:val="22"/>
        </w:rPr>
      </w:pPr>
      <w:r w:rsidRPr="00305CA1">
        <w:rPr>
          <w:rFonts w:ascii="Palatino Linotype" w:hAnsi="Palatino Linotype" w:cs="Arial"/>
          <w:i/>
          <w:sz w:val="22"/>
          <w:szCs w:val="22"/>
        </w:rPr>
        <w:t>“</w:t>
      </w:r>
      <w:r w:rsidRPr="00305CA1">
        <w:rPr>
          <w:rFonts w:ascii="Palatino Linotype" w:hAnsi="Palatino Linotype" w:cs="Arial"/>
          <w:b/>
          <w:i/>
          <w:sz w:val="22"/>
          <w:szCs w:val="22"/>
        </w:rPr>
        <w:t xml:space="preserve">ARTICULO 109 </w:t>
      </w:r>
      <w:r w:rsidRPr="00305CA1">
        <w:rPr>
          <w:rFonts w:ascii="Palatino Linotype" w:hAnsi="Palatino Linotype" w:cs="Arial"/>
          <w:b/>
          <w:i/>
          <w:sz w:val="22"/>
          <w:szCs w:val="22"/>
          <w:u w:val="single"/>
        </w:rPr>
        <w:t>Teniendo como sustento la finalidad de impulsar hacia el desarrollo a los médicos</w:t>
      </w:r>
      <w:r w:rsidRPr="00305CA1">
        <w:rPr>
          <w:rFonts w:ascii="Palatino Linotype" w:hAnsi="Palatino Linotype" w:cs="Arial"/>
          <w:i/>
          <w:sz w:val="22"/>
          <w:szCs w:val="22"/>
        </w:rPr>
        <w:t xml:space="preserve"> y Cirujanos Dentistas generales, y a los médicos y Cirujanos Dentistas especialistas que conforme a la clasificación del personal de base, </w:t>
      </w:r>
      <w:r w:rsidRPr="00305CA1">
        <w:rPr>
          <w:rFonts w:ascii="Palatino Linotype" w:hAnsi="Palatino Linotype" w:cs="Arial"/>
          <w:b/>
          <w:i/>
          <w:sz w:val="22"/>
          <w:szCs w:val="22"/>
          <w:u w:val="single"/>
        </w:rPr>
        <w:t>integran la rama Médica y con el objeto de que en su oportunidad puedan acceder dentro de una sana y justa competencia, a los puestos de mando propios del sistema de desarrollo institucional del profesional médico</w:t>
      </w:r>
      <w:r w:rsidRPr="00305CA1">
        <w:rPr>
          <w:rFonts w:ascii="Palatino Linotype" w:hAnsi="Palatino Linotype" w:cs="Arial"/>
          <w:i/>
          <w:sz w:val="22"/>
          <w:szCs w:val="22"/>
        </w:rPr>
        <w:t xml:space="preserve"> de la Secretaría, en el presente Capítulo se establecen normas </w:t>
      </w:r>
      <w:r w:rsidR="001364AD" w:rsidRPr="00305CA1">
        <w:rPr>
          <w:rFonts w:ascii="Palatino Linotype" w:hAnsi="Palatino Linotype" w:cs="Arial"/>
          <w:i/>
          <w:sz w:val="22"/>
          <w:szCs w:val="22"/>
        </w:rPr>
        <w:t>específicas</w:t>
      </w:r>
      <w:r w:rsidRPr="00305CA1">
        <w:rPr>
          <w:rFonts w:ascii="Palatino Linotype" w:hAnsi="Palatino Linotype" w:cs="Arial"/>
          <w:i/>
          <w:sz w:val="22"/>
          <w:szCs w:val="22"/>
        </w:rPr>
        <w:t xml:space="preserve"> de un escalafón de la rama Médica, con sus propias características, requisitos, factores y evaluación. Consecuentemente, tanto la Comisión Nacional como las Comisiones Auxiliares, se sujetarán al respecto, además de las reglas generales contenidas en este Reglamento, a las normas específicas establecidas en este Capítulo. </w:t>
      </w:r>
    </w:p>
    <w:p w:rsidR="00F23E5A" w:rsidRPr="00305CA1" w:rsidRDefault="001364AD" w:rsidP="00F23E5A">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ARTÍCULO</w:t>
      </w:r>
      <w:r w:rsidR="00F23E5A" w:rsidRPr="00305CA1">
        <w:rPr>
          <w:rFonts w:ascii="Palatino Linotype" w:hAnsi="Palatino Linotype" w:cs="Arial"/>
          <w:b/>
          <w:i/>
          <w:sz w:val="22"/>
          <w:szCs w:val="22"/>
        </w:rPr>
        <w:t xml:space="preserve"> 110 </w:t>
      </w:r>
      <w:r w:rsidR="00F23E5A" w:rsidRPr="00305CA1">
        <w:rPr>
          <w:rFonts w:ascii="Palatino Linotype" w:hAnsi="Palatino Linotype" w:cs="Arial"/>
          <w:b/>
          <w:i/>
          <w:sz w:val="22"/>
          <w:szCs w:val="22"/>
          <w:u w:val="single"/>
        </w:rPr>
        <w:t xml:space="preserve">Son factores </w:t>
      </w:r>
      <w:proofErr w:type="spellStart"/>
      <w:r w:rsidR="00F23E5A" w:rsidRPr="00305CA1">
        <w:rPr>
          <w:rFonts w:ascii="Palatino Linotype" w:hAnsi="Palatino Linotype" w:cs="Arial"/>
          <w:b/>
          <w:i/>
          <w:sz w:val="22"/>
          <w:szCs w:val="22"/>
          <w:u w:val="single"/>
        </w:rPr>
        <w:t>escalafonarios</w:t>
      </w:r>
      <w:proofErr w:type="spellEnd"/>
      <w:r w:rsidR="00F23E5A" w:rsidRPr="00305CA1">
        <w:rPr>
          <w:rFonts w:ascii="Palatino Linotype" w:hAnsi="Palatino Linotype" w:cs="Arial"/>
          <w:b/>
          <w:i/>
          <w:sz w:val="22"/>
          <w:szCs w:val="22"/>
          <w:u w:val="single"/>
        </w:rPr>
        <w:t xml:space="preserve"> para evaluar el desarrollo del profesional médico de base de la rama médica</w:t>
      </w:r>
      <w:r w:rsidR="00F23E5A" w:rsidRPr="00305CA1">
        <w:rPr>
          <w:rFonts w:ascii="Palatino Linotype" w:hAnsi="Palatino Linotype" w:cs="Arial"/>
          <w:i/>
          <w:sz w:val="22"/>
          <w:szCs w:val="22"/>
        </w:rPr>
        <w:t xml:space="preserve">, los siguientes: </w:t>
      </w:r>
    </w:p>
    <w:p w:rsidR="00F23E5A" w:rsidRPr="00305CA1" w:rsidRDefault="00F23E5A" w:rsidP="00F23E5A">
      <w:pPr>
        <w:spacing w:before="120" w:after="120"/>
        <w:ind w:left="1134" w:right="709"/>
        <w:jc w:val="both"/>
        <w:rPr>
          <w:rFonts w:ascii="Palatino Linotype" w:hAnsi="Palatino Linotype" w:cs="Arial"/>
          <w:i/>
          <w:sz w:val="22"/>
          <w:szCs w:val="22"/>
        </w:rPr>
      </w:pPr>
      <w:r w:rsidRPr="00305CA1">
        <w:rPr>
          <w:rFonts w:ascii="Palatino Linotype" w:hAnsi="Palatino Linotype" w:cs="Arial"/>
          <w:i/>
          <w:sz w:val="22"/>
          <w:szCs w:val="22"/>
        </w:rPr>
        <w:t xml:space="preserve">I. </w:t>
      </w:r>
      <w:r w:rsidRPr="00305CA1">
        <w:rPr>
          <w:rFonts w:ascii="Palatino Linotype" w:hAnsi="Palatino Linotype" w:cs="Arial"/>
          <w:b/>
          <w:i/>
          <w:sz w:val="22"/>
          <w:szCs w:val="22"/>
          <w:u w:val="single"/>
        </w:rPr>
        <w:t>Conocimientos</w:t>
      </w:r>
      <w:r w:rsidRPr="00305CA1">
        <w:rPr>
          <w:rFonts w:ascii="Palatino Linotype" w:hAnsi="Palatino Linotype" w:cs="Arial"/>
          <w:i/>
          <w:sz w:val="22"/>
          <w:szCs w:val="22"/>
        </w:rPr>
        <w:t>.............................. Abierto</w:t>
      </w:r>
    </w:p>
    <w:p w:rsidR="00F23E5A" w:rsidRPr="00305CA1" w:rsidRDefault="00F23E5A" w:rsidP="00F23E5A">
      <w:pPr>
        <w:spacing w:before="120" w:after="120"/>
        <w:ind w:left="1134" w:right="709"/>
        <w:jc w:val="both"/>
        <w:rPr>
          <w:rFonts w:ascii="Palatino Linotype" w:hAnsi="Palatino Linotype" w:cs="Arial"/>
          <w:i/>
          <w:sz w:val="22"/>
          <w:szCs w:val="22"/>
        </w:rPr>
      </w:pPr>
      <w:r w:rsidRPr="00305CA1">
        <w:rPr>
          <w:rFonts w:ascii="Palatino Linotype" w:hAnsi="Palatino Linotype" w:cs="Arial"/>
          <w:i/>
          <w:sz w:val="22"/>
          <w:szCs w:val="22"/>
        </w:rPr>
        <w:t xml:space="preserve">II. </w:t>
      </w:r>
      <w:r w:rsidRPr="00305CA1">
        <w:rPr>
          <w:rFonts w:ascii="Palatino Linotype" w:hAnsi="Palatino Linotype" w:cs="Arial"/>
          <w:b/>
          <w:i/>
          <w:sz w:val="22"/>
          <w:szCs w:val="22"/>
          <w:u w:val="single"/>
        </w:rPr>
        <w:t>Aptitudes</w:t>
      </w:r>
      <w:r w:rsidRPr="00305CA1">
        <w:rPr>
          <w:rFonts w:ascii="Palatino Linotype" w:hAnsi="Palatino Linotype" w:cs="Arial"/>
          <w:i/>
          <w:sz w:val="22"/>
          <w:szCs w:val="22"/>
        </w:rPr>
        <w:t xml:space="preserve">....................................... 160 puntos </w:t>
      </w:r>
    </w:p>
    <w:p w:rsidR="00F23E5A" w:rsidRPr="00305CA1" w:rsidRDefault="00F23E5A" w:rsidP="00F23E5A">
      <w:pPr>
        <w:spacing w:before="120" w:after="120"/>
        <w:ind w:left="1134" w:right="709"/>
        <w:jc w:val="both"/>
        <w:rPr>
          <w:rFonts w:ascii="Palatino Linotype" w:hAnsi="Palatino Linotype" w:cs="Arial"/>
          <w:i/>
          <w:sz w:val="22"/>
          <w:szCs w:val="22"/>
        </w:rPr>
      </w:pPr>
      <w:r w:rsidRPr="00305CA1">
        <w:rPr>
          <w:rFonts w:ascii="Palatino Linotype" w:hAnsi="Palatino Linotype" w:cs="Arial"/>
          <w:i/>
          <w:sz w:val="22"/>
          <w:szCs w:val="22"/>
        </w:rPr>
        <w:t xml:space="preserve">III. </w:t>
      </w:r>
      <w:r w:rsidRPr="00305CA1">
        <w:rPr>
          <w:rFonts w:ascii="Palatino Linotype" w:hAnsi="Palatino Linotype" w:cs="Arial"/>
          <w:b/>
          <w:i/>
          <w:sz w:val="22"/>
          <w:szCs w:val="22"/>
          <w:u w:val="single"/>
        </w:rPr>
        <w:t>Disciplina</w:t>
      </w:r>
      <w:r w:rsidRPr="00305CA1">
        <w:rPr>
          <w:rFonts w:ascii="Palatino Linotype" w:hAnsi="Palatino Linotype" w:cs="Arial"/>
          <w:i/>
          <w:sz w:val="22"/>
          <w:szCs w:val="22"/>
        </w:rPr>
        <w:t xml:space="preserve">.....................................100 puntos </w:t>
      </w:r>
    </w:p>
    <w:p w:rsidR="00F23E5A" w:rsidRPr="00305CA1" w:rsidRDefault="00F23E5A" w:rsidP="00F23E5A">
      <w:pPr>
        <w:spacing w:before="120" w:after="120"/>
        <w:ind w:left="1134" w:right="709"/>
        <w:jc w:val="both"/>
        <w:rPr>
          <w:rFonts w:ascii="Palatino Linotype" w:hAnsi="Palatino Linotype" w:cs="Arial"/>
          <w:i/>
          <w:sz w:val="22"/>
          <w:szCs w:val="22"/>
        </w:rPr>
      </w:pPr>
      <w:r w:rsidRPr="00305CA1">
        <w:rPr>
          <w:rFonts w:ascii="Palatino Linotype" w:hAnsi="Palatino Linotype" w:cs="Arial"/>
          <w:i/>
          <w:sz w:val="22"/>
          <w:szCs w:val="22"/>
        </w:rPr>
        <w:t xml:space="preserve">IV. </w:t>
      </w:r>
      <w:r w:rsidRPr="00305CA1">
        <w:rPr>
          <w:rFonts w:ascii="Palatino Linotype" w:hAnsi="Palatino Linotype" w:cs="Arial"/>
          <w:b/>
          <w:i/>
          <w:sz w:val="22"/>
          <w:szCs w:val="22"/>
          <w:u w:val="single"/>
        </w:rPr>
        <w:t>Puntualidad y asistencia</w:t>
      </w:r>
      <w:r w:rsidRPr="00305CA1">
        <w:rPr>
          <w:rFonts w:ascii="Palatino Linotype" w:hAnsi="Palatino Linotype" w:cs="Arial"/>
          <w:i/>
          <w:sz w:val="22"/>
          <w:szCs w:val="22"/>
        </w:rPr>
        <w:t xml:space="preserve">.......... 100 puntos, y </w:t>
      </w:r>
    </w:p>
    <w:p w:rsidR="00F23E5A" w:rsidRPr="00305CA1" w:rsidRDefault="00F23E5A" w:rsidP="00F23E5A">
      <w:pPr>
        <w:spacing w:before="120" w:after="120"/>
        <w:ind w:left="1134" w:right="709"/>
        <w:jc w:val="both"/>
        <w:rPr>
          <w:rFonts w:ascii="Palatino Linotype" w:hAnsi="Palatino Linotype" w:cs="Arial"/>
          <w:i/>
          <w:sz w:val="22"/>
          <w:szCs w:val="22"/>
        </w:rPr>
      </w:pPr>
      <w:r w:rsidRPr="00305CA1">
        <w:rPr>
          <w:rFonts w:ascii="Palatino Linotype" w:hAnsi="Palatino Linotype" w:cs="Arial"/>
          <w:i/>
          <w:sz w:val="22"/>
          <w:szCs w:val="22"/>
        </w:rPr>
        <w:t xml:space="preserve">V. </w:t>
      </w:r>
      <w:r w:rsidRPr="00305CA1">
        <w:rPr>
          <w:rFonts w:ascii="Palatino Linotype" w:hAnsi="Palatino Linotype" w:cs="Arial"/>
          <w:b/>
          <w:i/>
          <w:sz w:val="22"/>
          <w:szCs w:val="22"/>
          <w:u w:val="single"/>
        </w:rPr>
        <w:t>Antigüedad</w:t>
      </w:r>
      <w:r w:rsidRPr="00305CA1">
        <w:rPr>
          <w:rFonts w:ascii="Palatino Linotype" w:hAnsi="Palatino Linotype" w:cs="Arial"/>
          <w:i/>
          <w:sz w:val="22"/>
          <w:szCs w:val="22"/>
        </w:rPr>
        <w:t xml:space="preserve">.................................... 400 puntos </w:t>
      </w:r>
    </w:p>
    <w:p w:rsidR="00F23E5A" w:rsidRPr="00305CA1" w:rsidRDefault="00F23E5A" w:rsidP="00F23E5A">
      <w:pPr>
        <w:spacing w:before="120" w:after="120"/>
        <w:ind w:left="709" w:right="709"/>
        <w:jc w:val="both"/>
        <w:rPr>
          <w:rFonts w:ascii="Palatino Linotype" w:hAnsi="Palatino Linotype" w:cs="Arial"/>
          <w:i/>
          <w:sz w:val="22"/>
          <w:szCs w:val="22"/>
        </w:rPr>
      </w:pPr>
      <w:r w:rsidRPr="00305CA1">
        <w:rPr>
          <w:rFonts w:ascii="Palatino Linotype" w:hAnsi="Palatino Linotype" w:cs="Arial"/>
          <w:i/>
          <w:sz w:val="22"/>
          <w:szCs w:val="22"/>
        </w:rPr>
        <w:lastRenderedPageBreak/>
        <w:t xml:space="preserve">Se sumará al factor conocimientos el puntaje que se obtenga por capacitación, conforme a lo establecido en el Artículo 116 de este Reglamento. </w:t>
      </w:r>
    </w:p>
    <w:p w:rsidR="00F23E5A" w:rsidRPr="00305CA1" w:rsidRDefault="00F23E5A" w:rsidP="00F23E5A">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 xml:space="preserve">ARTICULO 111 </w:t>
      </w:r>
      <w:r w:rsidRPr="00305CA1">
        <w:rPr>
          <w:rFonts w:ascii="Palatino Linotype" w:hAnsi="Palatino Linotype" w:cs="Arial"/>
          <w:b/>
          <w:i/>
          <w:sz w:val="22"/>
          <w:szCs w:val="22"/>
          <w:u w:val="single"/>
        </w:rPr>
        <w:t>El factor conocimientos está determinado por la escolaridad y capacitación de cada trabajador y se acreditará mediante la prueba documental que demuestre la posesión de los principios teóricos y prácticos</w:t>
      </w:r>
      <w:r w:rsidRPr="00305CA1">
        <w:rPr>
          <w:rFonts w:ascii="Palatino Linotype" w:hAnsi="Palatino Linotype" w:cs="Arial"/>
          <w:i/>
          <w:sz w:val="22"/>
          <w:szCs w:val="22"/>
        </w:rPr>
        <w:t xml:space="preserve"> que se requieren para el desempeño de un puesto de la rama Médica.</w:t>
      </w:r>
    </w:p>
    <w:p w:rsidR="00F23E5A" w:rsidRPr="00305CA1" w:rsidRDefault="00F23E5A" w:rsidP="00F23E5A">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 xml:space="preserve">ARTICULO 112 </w:t>
      </w:r>
      <w:r w:rsidRPr="00305CA1">
        <w:rPr>
          <w:rFonts w:ascii="Palatino Linotype" w:hAnsi="Palatino Linotype" w:cs="Arial"/>
          <w:b/>
          <w:i/>
          <w:sz w:val="22"/>
          <w:szCs w:val="22"/>
          <w:u w:val="single"/>
        </w:rPr>
        <w:t>El factor aptitud está determinado por la suma de facultades físicas y mentales</w:t>
      </w:r>
      <w:r w:rsidRPr="00305CA1">
        <w:rPr>
          <w:rFonts w:ascii="Palatino Linotype" w:hAnsi="Palatino Linotype" w:cs="Arial"/>
          <w:b/>
          <w:i/>
          <w:sz w:val="22"/>
          <w:szCs w:val="22"/>
        </w:rPr>
        <w:t>,</w:t>
      </w:r>
      <w:r w:rsidRPr="00305CA1">
        <w:rPr>
          <w:rFonts w:ascii="Palatino Linotype" w:hAnsi="Palatino Linotype" w:cs="Arial"/>
          <w:i/>
          <w:sz w:val="22"/>
          <w:szCs w:val="22"/>
        </w:rPr>
        <w:t xml:space="preserve"> la iniciativa, la laboriosidad, la responsabilidad, así como la eficacia y eficiencia con que el trabajador de la rama médica desempeña sus labores. </w:t>
      </w:r>
    </w:p>
    <w:p w:rsidR="00F23E5A" w:rsidRPr="00305CA1" w:rsidRDefault="00F23E5A" w:rsidP="00F23E5A">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ARTICULO 113</w:t>
      </w:r>
      <w:r w:rsidRPr="00305CA1">
        <w:rPr>
          <w:rFonts w:ascii="Palatino Linotype" w:hAnsi="Palatino Linotype" w:cs="Arial"/>
          <w:i/>
          <w:sz w:val="22"/>
          <w:szCs w:val="22"/>
        </w:rPr>
        <w:t xml:space="preserve"> </w:t>
      </w:r>
      <w:r w:rsidRPr="00305CA1">
        <w:rPr>
          <w:rFonts w:ascii="Palatino Linotype" w:hAnsi="Palatino Linotype" w:cs="Arial"/>
          <w:b/>
          <w:i/>
          <w:sz w:val="22"/>
          <w:szCs w:val="22"/>
          <w:u w:val="single"/>
        </w:rPr>
        <w:t>El factor disciplina está determinado por el cumplimiento de las leyes, reglamentos, ordenamientos, disposiciones y similares, que el trabajador de la rama médica debe acatar</w:t>
      </w:r>
      <w:r w:rsidRPr="00305CA1">
        <w:rPr>
          <w:rFonts w:ascii="Palatino Linotype" w:hAnsi="Palatino Linotype" w:cs="Arial"/>
          <w:i/>
          <w:sz w:val="22"/>
          <w:szCs w:val="22"/>
        </w:rPr>
        <w:t xml:space="preserve"> en el desempeño de sus labores. </w:t>
      </w:r>
    </w:p>
    <w:p w:rsidR="00F23E5A" w:rsidRPr="00305CA1" w:rsidRDefault="00F23E5A" w:rsidP="00F23E5A">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ARTICULO 114</w:t>
      </w:r>
      <w:r w:rsidRPr="00305CA1">
        <w:rPr>
          <w:rFonts w:ascii="Palatino Linotype" w:hAnsi="Palatino Linotype" w:cs="Arial"/>
          <w:i/>
          <w:sz w:val="22"/>
          <w:szCs w:val="22"/>
        </w:rPr>
        <w:t xml:space="preserve"> </w:t>
      </w:r>
      <w:r w:rsidRPr="00305CA1">
        <w:rPr>
          <w:rFonts w:ascii="Palatino Linotype" w:hAnsi="Palatino Linotype" w:cs="Arial"/>
          <w:b/>
          <w:i/>
          <w:sz w:val="22"/>
          <w:szCs w:val="22"/>
          <w:u w:val="single"/>
        </w:rPr>
        <w:t>El factor puntualidad y asistencia está determinado por el cuidado y diligencia con que el trabajador de la rama médica llega, asiste y permanece a sus y en sus labores</w:t>
      </w:r>
      <w:r w:rsidRPr="00305CA1">
        <w:rPr>
          <w:rFonts w:ascii="Palatino Linotype" w:hAnsi="Palatino Linotype" w:cs="Arial"/>
          <w:i/>
          <w:sz w:val="22"/>
          <w:szCs w:val="22"/>
        </w:rPr>
        <w:t xml:space="preserve">, con estricto cumplimiento a la jornada y horario de trabajo que le corresponda. </w:t>
      </w:r>
    </w:p>
    <w:p w:rsidR="00F23E5A" w:rsidRPr="00305CA1" w:rsidRDefault="00F23E5A" w:rsidP="00F23E5A">
      <w:pPr>
        <w:spacing w:before="120" w:after="120"/>
        <w:ind w:left="709" w:right="709"/>
        <w:jc w:val="both"/>
        <w:rPr>
          <w:rFonts w:ascii="Palatino Linotype" w:hAnsi="Palatino Linotype" w:cs="Arial"/>
          <w:i/>
          <w:sz w:val="22"/>
          <w:szCs w:val="22"/>
        </w:rPr>
      </w:pPr>
      <w:r w:rsidRPr="00305CA1">
        <w:rPr>
          <w:rFonts w:ascii="Palatino Linotype" w:hAnsi="Palatino Linotype" w:cs="Arial"/>
          <w:b/>
          <w:i/>
          <w:sz w:val="22"/>
          <w:szCs w:val="22"/>
        </w:rPr>
        <w:t>ARTICULO 115</w:t>
      </w:r>
      <w:r w:rsidRPr="00305CA1">
        <w:rPr>
          <w:rFonts w:ascii="Palatino Linotype" w:hAnsi="Palatino Linotype" w:cs="Arial"/>
          <w:i/>
          <w:sz w:val="22"/>
          <w:szCs w:val="22"/>
        </w:rPr>
        <w:t xml:space="preserve"> </w:t>
      </w:r>
      <w:r w:rsidRPr="00305CA1">
        <w:rPr>
          <w:rFonts w:ascii="Palatino Linotype" w:hAnsi="Palatino Linotype" w:cs="Arial"/>
          <w:b/>
          <w:i/>
          <w:sz w:val="22"/>
          <w:szCs w:val="22"/>
          <w:u w:val="single"/>
        </w:rPr>
        <w:t>El factor antigüedad, está determinado por la suma de años, meses y días de servicios prestados</w:t>
      </w:r>
      <w:r w:rsidRPr="00305CA1">
        <w:rPr>
          <w:rFonts w:ascii="Palatino Linotype" w:hAnsi="Palatino Linotype" w:cs="Arial"/>
          <w:i/>
          <w:sz w:val="22"/>
          <w:szCs w:val="22"/>
        </w:rPr>
        <w:t xml:space="preserve"> a la Secretaría, la cual no se interrumpe en los casos de licencia otorgada conforme al Artículo 43 fracción VIII de la Ley, ni en caso de cese injustificado comprobado con laudo firme del Tribunal”</w:t>
      </w:r>
    </w:p>
    <w:p w:rsidR="00F23E5A" w:rsidRPr="00305CA1" w:rsidRDefault="00F23E5A" w:rsidP="00F23E5A">
      <w:pPr>
        <w:spacing w:before="120" w:after="120"/>
        <w:ind w:left="709" w:right="709"/>
        <w:jc w:val="both"/>
        <w:rPr>
          <w:rFonts w:ascii="Palatino Linotype" w:hAnsi="Palatino Linotype" w:cs="Arial"/>
          <w:sz w:val="22"/>
          <w:szCs w:val="22"/>
        </w:rPr>
      </w:pPr>
      <w:r w:rsidRPr="00305CA1">
        <w:rPr>
          <w:rFonts w:ascii="Palatino Linotype" w:hAnsi="Palatino Linotype" w:cs="Arial"/>
          <w:sz w:val="22"/>
          <w:szCs w:val="22"/>
        </w:rPr>
        <w:t>(Énfasis añadido)</w:t>
      </w:r>
    </w:p>
    <w:p w:rsidR="00C57506" w:rsidRPr="00305CA1" w:rsidRDefault="00C57506" w:rsidP="00ED5663">
      <w:pPr>
        <w:spacing w:before="360" w:after="240" w:line="360" w:lineRule="auto"/>
        <w:jc w:val="both"/>
        <w:rPr>
          <w:rFonts w:ascii="Palatino Linotype" w:hAnsi="Palatino Linotype" w:cs="Arial"/>
          <w:lang w:eastAsia="es-MX"/>
        </w:rPr>
      </w:pPr>
      <w:r w:rsidRPr="00305CA1">
        <w:rPr>
          <w:rFonts w:ascii="Palatino Linotype" w:hAnsi="Palatino Linotype" w:cs="Arial"/>
          <w:lang w:eastAsia="es-MX"/>
        </w:rPr>
        <w:t>Asimismo, el Manual de Procedimientos para el alta y pago de personal en las Unidades Aplicativas del ISEM indica:</w:t>
      </w:r>
    </w:p>
    <w:p w:rsidR="00C57506" w:rsidRPr="00305CA1" w:rsidRDefault="00C57506" w:rsidP="00C57506">
      <w:pPr>
        <w:jc w:val="center"/>
        <w:rPr>
          <w:rFonts w:ascii="Palatino Linotype" w:hAnsi="Palatino Linotype" w:cs="Arial"/>
          <w:lang w:eastAsia="es-MX"/>
        </w:rPr>
      </w:pPr>
      <w:r w:rsidRPr="00305CA1">
        <w:rPr>
          <w:noProof/>
          <w:lang w:val="es-ES"/>
        </w:rPr>
        <w:drawing>
          <wp:inline distT="0" distB="0" distL="0" distR="0" wp14:anchorId="430CC2AB" wp14:editId="097D9F3A">
            <wp:extent cx="4927151" cy="169892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65100" cy="1712010"/>
                    </a:xfrm>
                    <a:prstGeom prst="rect">
                      <a:avLst/>
                    </a:prstGeom>
                  </pic:spPr>
                </pic:pic>
              </a:graphicData>
            </a:graphic>
          </wp:inline>
        </w:drawing>
      </w:r>
    </w:p>
    <w:p w:rsidR="00C57506" w:rsidRPr="00305CA1" w:rsidRDefault="00C57506" w:rsidP="00C57506">
      <w:pPr>
        <w:jc w:val="center"/>
        <w:rPr>
          <w:rFonts w:ascii="Palatino Linotype" w:hAnsi="Palatino Linotype" w:cs="Arial"/>
          <w:lang w:eastAsia="es-MX"/>
        </w:rPr>
      </w:pPr>
      <w:r w:rsidRPr="00305CA1">
        <w:rPr>
          <w:rFonts w:ascii="Palatino Linotype" w:hAnsi="Palatino Linotype" w:cs="Arial"/>
          <w:lang w:eastAsia="es-MX"/>
        </w:rPr>
        <w:t>[…]</w:t>
      </w:r>
    </w:p>
    <w:p w:rsidR="00C57506" w:rsidRPr="00305CA1" w:rsidRDefault="00C57506" w:rsidP="00C57506">
      <w:pPr>
        <w:jc w:val="center"/>
        <w:rPr>
          <w:rFonts w:ascii="Palatino Linotype" w:hAnsi="Palatino Linotype" w:cs="Arial"/>
          <w:lang w:eastAsia="es-MX"/>
        </w:rPr>
      </w:pPr>
      <w:r w:rsidRPr="00305CA1">
        <w:rPr>
          <w:noProof/>
          <w:lang w:val="es-ES"/>
        </w:rPr>
        <w:lastRenderedPageBreak/>
        <w:drawing>
          <wp:inline distT="0" distB="0" distL="0" distR="0" wp14:anchorId="1C79E2B1" wp14:editId="5D2552CE">
            <wp:extent cx="4947689" cy="570657"/>
            <wp:effectExtent l="0" t="0" r="571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4214" cy="602551"/>
                    </a:xfrm>
                    <a:prstGeom prst="rect">
                      <a:avLst/>
                    </a:prstGeom>
                  </pic:spPr>
                </pic:pic>
              </a:graphicData>
            </a:graphic>
          </wp:inline>
        </w:drawing>
      </w:r>
    </w:p>
    <w:p w:rsidR="00C57506" w:rsidRPr="00305CA1" w:rsidRDefault="00C57506" w:rsidP="00C57506">
      <w:pPr>
        <w:jc w:val="center"/>
        <w:rPr>
          <w:rFonts w:ascii="Palatino Linotype" w:hAnsi="Palatino Linotype" w:cs="Arial"/>
          <w:lang w:eastAsia="es-MX"/>
        </w:rPr>
      </w:pPr>
      <w:r w:rsidRPr="00305CA1">
        <w:rPr>
          <w:rFonts w:ascii="Palatino Linotype" w:hAnsi="Palatino Linotype" w:cs="Arial"/>
          <w:lang w:eastAsia="es-MX"/>
        </w:rPr>
        <w:t>[…]</w:t>
      </w:r>
    </w:p>
    <w:p w:rsidR="00C57506" w:rsidRPr="00305CA1" w:rsidRDefault="00C57506" w:rsidP="00C57506">
      <w:pPr>
        <w:jc w:val="center"/>
        <w:rPr>
          <w:rFonts w:ascii="Palatino Linotype" w:hAnsi="Palatino Linotype" w:cs="Arial"/>
          <w:lang w:eastAsia="es-MX"/>
        </w:rPr>
      </w:pPr>
      <w:r w:rsidRPr="00305CA1">
        <w:rPr>
          <w:noProof/>
          <w:lang w:val="es-ES"/>
        </w:rPr>
        <w:drawing>
          <wp:inline distT="0" distB="0" distL="0" distR="0" wp14:anchorId="1812B2C1" wp14:editId="4D699FA6">
            <wp:extent cx="4944389" cy="962025"/>
            <wp:effectExtent l="0" t="0" r="889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57323" cy="983999"/>
                    </a:xfrm>
                    <a:prstGeom prst="rect">
                      <a:avLst/>
                    </a:prstGeom>
                  </pic:spPr>
                </pic:pic>
              </a:graphicData>
            </a:graphic>
          </wp:inline>
        </w:drawing>
      </w:r>
    </w:p>
    <w:p w:rsidR="00C57506" w:rsidRPr="00305CA1" w:rsidRDefault="00C57506" w:rsidP="00C57506">
      <w:pPr>
        <w:jc w:val="center"/>
        <w:rPr>
          <w:rFonts w:ascii="Palatino Linotype" w:hAnsi="Palatino Linotype" w:cs="Arial"/>
          <w:lang w:eastAsia="es-MX"/>
        </w:rPr>
      </w:pPr>
      <w:r w:rsidRPr="00305CA1">
        <w:rPr>
          <w:rFonts w:ascii="Palatino Linotype" w:hAnsi="Palatino Linotype" w:cs="Arial"/>
          <w:lang w:eastAsia="es-MX"/>
        </w:rPr>
        <w:t>[…]</w:t>
      </w:r>
    </w:p>
    <w:p w:rsidR="00C57506" w:rsidRPr="00305CA1" w:rsidRDefault="00C57506" w:rsidP="00C57506">
      <w:pPr>
        <w:jc w:val="center"/>
        <w:rPr>
          <w:rFonts w:ascii="Palatino Linotype" w:hAnsi="Palatino Linotype" w:cs="Arial"/>
          <w:lang w:eastAsia="es-MX"/>
        </w:rPr>
      </w:pPr>
      <w:r w:rsidRPr="00305CA1">
        <w:rPr>
          <w:noProof/>
          <w:lang w:val="es-ES"/>
        </w:rPr>
        <w:drawing>
          <wp:inline distT="0" distB="0" distL="0" distR="0" wp14:anchorId="4CFA68E7" wp14:editId="043F150A">
            <wp:extent cx="4936943" cy="17240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00621" cy="1746262"/>
                    </a:xfrm>
                    <a:prstGeom prst="rect">
                      <a:avLst/>
                    </a:prstGeom>
                  </pic:spPr>
                </pic:pic>
              </a:graphicData>
            </a:graphic>
          </wp:inline>
        </w:drawing>
      </w:r>
    </w:p>
    <w:p w:rsidR="00C57506" w:rsidRPr="00305CA1" w:rsidRDefault="00C57506" w:rsidP="00C57506">
      <w:pPr>
        <w:jc w:val="center"/>
        <w:rPr>
          <w:rFonts w:ascii="Palatino Linotype" w:hAnsi="Palatino Linotype" w:cs="Arial"/>
          <w:lang w:eastAsia="es-MX"/>
        </w:rPr>
      </w:pPr>
      <w:r w:rsidRPr="00305CA1">
        <w:rPr>
          <w:rFonts w:ascii="Palatino Linotype" w:hAnsi="Palatino Linotype" w:cs="Arial"/>
          <w:lang w:eastAsia="es-MX"/>
        </w:rPr>
        <w:t>[…]</w:t>
      </w:r>
    </w:p>
    <w:p w:rsidR="00C57506" w:rsidRPr="00305CA1" w:rsidRDefault="00C57506" w:rsidP="00C57506">
      <w:pPr>
        <w:jc w:val="center"/>
        <w:rPr>
          <w:rFonts w:ascii="Palatino Linotype" w:hAnsi="Palatino Linotype" w:cs="Arial"/>
          <w:lang w:eastAsia="es-MX"/>
        </w:rPr>
      </w:pPr>
      <w:r w:rsidRPr="00305CA1">
        <w:rPr>
          <w:noProof/>
          <w:lang w:val="es-ES"/>
        </w:rPr>
        <w:drawing>
          <wp:inline distT="0" distB="0" distL="0" distR="0" wp14:anchorId="718105FC" wp14:editId="7D1F6065">
            <wp:extent cx="4910455" cy="800100"/>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7207" cy="810976"/>
                    </a:xfrm>
                    <a:prstGeom prst="rect">
                      <a:avLst/>
                    </a:prstGeom>
                  </pic:spPr>
                </pic:pic>
              </a:graphicData>
            </a:graphic>
          </wp:inline>
        </w:drawing>
      </w:r>
    </w:p>
    <w:p w:rsidR="00C57506" w:rsidRPr="00305CA1" w:rsidRDefault="00C57506" w:rsidP="00C57506">
      <w:pPr>
        <w:jc w:val="center"/>
        <w:rPr>
          <w:rFonts w:ascii="Palatino Linotype" w:hAnsi="Palatino Linotype" w:cs="Arial"/>
          <w:lang w:eastAsia="es-MX"/>
        </w:rPr>
      </w:pPr>
      <w:r w:rsidRPr="00305CA1">
        <w:rPr>
          <w:rFonts w:ascii="Palatino Linotype" w:hAnsi="Palatino Linotype" w:cs="Arial"/>
          <w:lang w:eastAsia="es-MX"/>
        </w:rPr>
        <w:t>[…]</w:t>
      </w:r>
    </w:p>
    <w:p w:rsidR="00C57506" w:rsidRPr="00305CA1" w:rsidRDefault="00C57506" w:rsidP="00C57506">
      <w:pPr>
        <w:jc w:val="center"/>
        <w:rPr>
          <w:rFonts w:ascii="Palatino Linotype" w:hAnsi="Palatino Linotype" w:cs="Arial"/>
          <w:lang w:eastAsia="es-MX"/>
        </w:rPr>
      </w:pPr>
      <w:r w:rsidRPr="00305CA1">
        <w:rPr>
          <w:noProof/>
          <w:lang w:val="es-ES"/>
        </w:rPr>
        <w:drawing>
          <wp:inline distT="0" distB="0" distL="0" distR="0" wp14:anchorId="780B0F6E" wp14:editId="2CD600C1">
            <wp:extent cx="4906010" cy="762000"/>
            <wp:effectExtent l="0" t="0" r="889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65818" cy="771289"/>
                    </a:xfrm>
                    <a:prstGeom prst="rect">
                      <a:avLst/>
                    </a:prstGeom>
                  </pic:spPr>
                </pic:pic>
              </a:graphicData>
            </a:graphic>
          </wp:inline>
        </w:drawing>
      </w:r>
    </w:p>
    <w:p w:rsidR="00C57506" w:rsidRPr="00305CA1" w:rsidRDefault="00C57506" w:rsidP="00C57506">
      <w:pPr>
        <w:jc w:val="center"/>
        <w:rPr>
          <w:rFonts w:ascii="Palatino Linotype" w:hAnsi="Palatino Linotype" w:cs="Arial"/>
          <w:lang w:eastAsia="es-MX"/>
        </w:rPr>
      </w:pPr>
      <w:r w:rsidRPr="00305CA1">
        <w:rPr>
          <w:rFonts w:ascii="Palatino Linotype" w:hAnsi="Palatino Linotype" w:cs="Arial"/>
          <w:lang w:eastAsia="es-MX"/>
        </w:rPr>
        <w:t>[…]</w:t>
      </w:r>
    </w:p>
    <w:p w:rsidR="00C57506" w:rsidRPr="00305CA1" w:rsidRDefault="00C57506" w:rsidP="00C57506">
      <w:pPr>
        <w:jc w:val="center"/>
        <w:rPr>
          <w:rFonts w:ascii="Palatino Linotype" w:hAnsi="Palatino Linotype" w:cs="Arial"/>
          <w:lang w:eastAsia="es-MX"/>
        </w:rPr>
      </w:pPr>
      <w:r w:rsidRPr="00305CA1">
        <w:rPr>
          <w:noProof/>
          <w:lang w:val="es-ES"/>
        </w:rPr>
        <w:drawing>
          <wp:inline distT="0" distB="0" distL="0" distR="0" wp14:anchorId="4D01BA1F" wp14:editId="77C55356">
            <wp:extent cx="4919345" cy="146685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57196" cy="1478136"/>
                    </a:xfrm>
                    <a:prstGeom prst="rect">
                      <a:avLst/>
                    </a:prstGeom>
                  </pic:spPr>
                </pic:pic>
              </a:graphicData>
            </a:graphic>
          </wp:inline>
        </w:drawing>
      </w:r>
    </w:p>
    <w:p w:rsidR="00F23E5A" w:rsidRPr="00305CA1" w:rsidRDefault="00C57506" w:rsidP="00ED5663">
      <w:pPr>
        <w:spacing w:before="360" w:after="240" w:line="360" w:lineRule="auto"/>
        <w:jc w:val="both"/>
        <w:rPr>
          <w:rFonts w:ascii="Palatino Linotype" w:hAnsi="Palatino Linotype" w:cs="Arial"/>
          <w:lang w:eastAsia="es-MX"/>
        </w:rPr>
      </w:pPr>
      <w:r w:rsidRPr="00305CA1">
        <w:rPr>
          <w:rFonts w:ascii="Palatino Linotype" w:hAnsi="Palatino Linotype" w:cs="Arial"/>
          <w:lang w:eastAsia="es-MX"/>
        </w:rPr>
        <w:lastRenderedPageBreak/>
        <w:t xml:space="preserve">Ahora bien, para efectos de su aplicación debe considerase lo establecido en </w:t>
      </w:r>
      <w:r w:rsidR="00720D2E" w:rsidRPr="00305CA1">
        <w:rPr>
          <w:rFonts w:ascii="Palatino Linotype" w:hAnsi="Palatino Linotype" w:cs="Arial"/>
          <w:lang w:eastAsia="es-MX"/>
        </w:rPr>
        <w:t>el Manual de Organización Hospital Materno Perinatal "Mónica Pretendí Sáenz":</w:t>
      </w:r>
    </w:p>
    <w:p w:rsidR="00720D2E" w:rsidRPr="00305CA1" w:rsidRDefault="00720D2E" w:rsidP="00720D2E">
      <w:pPr>
        <w:tabs>
          <w:tab w:val="left" w:pos="8222"/>
        </w:tabs>
        <w:spacing w:before="120" w:after="120"/>
        <w:ind w:left="851" w:right="899"/>
        <w:jc w:val="both"/>
        <w:rPr>
          <w:rFonts w:ascii="Palatino Linotype" w:hAnsi="Palatino Linotype" w:cs="Arial"/>
          <w:b/>
          <w:i/>
          <w:sz w:val="22"/>
          <w:szCs w:val="22"/>
          <w:lang w:eastAsia="es-MX"/>
        </w:rPr>
      </w:pPr>
      <w:r w:rsidRPr="00305CA1">
        <w:rPr>
          <w:rFonts w:ascii="Palatino Linotype" w:hAnsi="Palatino Linotype" w:cs="Arial"/>
          <w:b/>
          <w:i/>
          <w:sz w:val="22"/>
          <w:szCs w:val="22"/>
          <w:lang w:eastAsia="es-MX"/>
        </w:rPr>
        <w:t xml:space="preserve">1.0.0.6 SUBDIRECCIÓN ADMINISTRATIVA </w:t>
      </w:r>
    </w:p>
    <w:p w:rsidR="00720D2E" w:rsidRPr="00305CA1" w:rsidRDefault="00720D2E" w:rsidP="00720D2E">
      <w:pPr>
        <w:tabs>
          <w:tab w:val="left" w:pos="8222"/>
        </w:tabs>
        <w:spacing w:before="120" w:after="120"/>
        <w:ind w:left="851" w:right="89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 xml:space="preserve">OBJETIVO: </w:t>
      </w:r>
      <w:r w:rsidRPr="00305CA1">
        <w:rPr>
          <w:rFonts w:ascii="Palatino Linotype" w:hAnsi="Palatino Linotype" w:cs="Arial"/>
          <w:b/>
          <w:i/>
          <w:sz w:val="22"/>
          <w:szCs w:val="22"/>
          <w:u w:val="single"/>
          <w:lang w:eastAsia="es-MX"/>
        </w:rPr>
        <w:t>Gestionar y administrar los recursos humanos</w:t>
      </w:r>
      <w:r w:rsidRPr="00305CA1">
        <w:rPr>
          <w:rFonts w:ascii="Palatino Linotype" w:hAnsi="Palatino Linotype" w:cs="Arial"/>
          <w:i/>
          <w:sz w:val="22"/>
          <w:szCs w:val="22"/>
          <w:lang w:eastAsia="es-MX"/>
        </w:rPr>
        <w:t>, materiales y financieros</w:t>
      </w:r>
      <w:r w:rsidRPr="00305CA1">
        <w:rPr>
          <w:rFonts w:ascii="Palatino Linotype" w:hAnsi="Palatino Linotype" w:cs="Arial"/>
          <w:b/>
          <w:i/>
          <w:sz w:val="22"/>
          <w:szCs w:val="22"/>
          <w:lang w:eastAsia="es-MX"/>
        </w:rPr>
        <w:t>,</w:t>
      </w:r>
      <w:r w:rsidRPr="00305CA1">
        <w:rPr>
          <w:rFonts w:ascii="Palatino Linotype" w:hAnsi="Palatino Linotype" w:cs="Arial"/>
          <w:i/>
          <w:sz w:val="22"/>
          <w:szCs w:val="22"/>
          <w:lang w:eastAsia="es-MX"/>
        </w:rPr>
        <w:t xml:space="preserve"> así como los servicios generales e informáticos que se requieran para la operación y funcionamiento del hospital.</w:t>
      </w:r>
    </w:p>
    <w:p w:rsidR="00720D2E" w:rsidRPr="00305CA1" w:rsidRDefault="00720D2E" w:rsidP="00720D2E">
      <w:pPr>
        <w:tabs>
          <w:tab w:val="left" w:pos="8222"/>
        </w:tabs>
        <w:spacing w:before="120" w:after="120"/>
        <w:ind w:left="851" w:right="899"/>
        <w:jc w:val="both"/>
        <w:rPr>
          <w:rFonts w:ascii="Palatino Linotype" w:hAnsi="Palatino Linotype" w:cs="Arial"/>
          <w:b/>
          <w:i/>
          <w:sz w:val="22"/>
          <w:szCs w:val="22"/>
          <w:lang w:eastAsia="es-MX"/>
        </w:rPr>
      </w:pPr>
      <w:r w:rsidRPr="00305CA1">
        <w:rPr>
          <w:rFonts w:ascii="Palatino Linotype" w:hAnsi="Palatino Linotype" w:cs="Arial"/>
          <w:b/>
          <w:i/>
          <w:sz w:val="22"/>
          <w:szCs w:val="22"/>
          <w:lang w:eastAsia="es-MX"/>
        </w:rPr>
        <w:t>1.0.0.6.1 DEPARTAMENTO DE ADMINISTRACIÓN DE PERSONAL</w:t>
      </w:r>
    </w:p>
    <w:p w:rsidR="00720D2E" w:rsidRPr="00305CA1" w:rsidRDefault="00720D2E" w:rsidP="00720D2E">
      <w:pPr>
        <w:tabs>
          <w:tab w:val="left" w:pos="8222"/>
        </w:tabs>
        <w:spacing w:before="120" w:after="120"/>
        <w:ind w:left="851" w:right="89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OBJETIVO:</w:t>
      </w:r>
      <w:r w:rsidRPr="00305CA1">
        <w:rPr>
          <w:rFonts w:ascii="Palatino Linotype" w:hAnsi="Palatino Linotype" w:cs="Arial"/>
          <w:i/>
          <w:sz w:val="22"/>
          <w:szCs w:val="22"/>
          <w:lang w:eastAsia="es-MX"/>
        </w:rPr>
        <w:t xml:space="preserve"> </w:t>
      </w:r>
      <w:r w:rsidRPr="00305CA1">
        <w:rPr>
          <w:rFonts w:ascii="Palatino Linotype" w:hAnsi="Palatino Linotype" w:cs="Arial"/>
          <w:b/>
          <w:i/>
          <w:sz w:val="22"/>
          <w:szCs w:val="22"/>
          <w:u w:val="single"/>
          <w:lang w:eastAsia="es-MX"/>
        </w:rPr>
        <w:t>Organizar y coordinar las acciones de reclutamiento, selección y contratación de personal de acuerdo al perfil del puesto</w:t>
      </w:r>
      <w:r w:rsidRPr="00305CA1">
        <w:rPr>
          <w:rFonts w:ascii="Palatino Linotype" w:hAnsi="Palatino Linotype" w:cs="Arial"/>
          <w:i/>
          <w:sz w:val="22"/>
          <w:szCs w:val="22"/>
          <w:lang w:eastAsia="es-MX"/>
        </w:rPr>
        <w:t xml:space="preserve">, así como verificar el cumplimiento de los derechos, obligaciones y disposiciones jurídicas a las que está sujeto el personal que labora en el hospital. </w:t>
      </w:r>
    </w:p>
    <w:p w:rsidR="00720D2E" w:rsidRPr="00305CA1" w:rsidRDefault="00720D2E" w:rsidP="00720D2E">
      <w:pPr>
        <w:tabs>
          <w:tab w:val="left" w:pos="8222"/>
        </w:tabs>
        <w:spacing w:before="120" w:after="120"/>
        <w:ind w:left="851" w:right="899"/>
        <w:jc w:val="both"/>
        <w:rPr>
          <w:rFonts w:ascii="Palatino Linotype" w:hAnsi="Palatino Linotype" w:cs="Arial"/>
          <w:b/>
          <w:i/>
          <w:sz w:val="22"/>
          <w:szCs w:val="22"/>
          <w:lang w:eastAsia="es-MX"/>
        </w:rPr>
      </w:pPr>
      <w:r w:rsidRPr="00305CA1">
        <w:rPr>
          <w:rFonts w:ascii="Palatino Linotype" w:hAnsi="Palatino Linotype" w:cs="Arial"/>
          <w:b/>
          <w:i/>
          <w:sz w:val="22"/>
          <w:szCs w:val="22"/>
          <w:lang w:eastAsia="es-MX"/>
        </w:rPr>
        <w:t xml:space="preserve">FUNCIONES: </w:t>
      </w:r>
    </w:p>
    <w:p w:rsidR="00720D2E" w:rsidRPr="00305CA1" w:rsidRDefault="00720D2E" w:rsidP="00720D2E">
      <w:pPr>
        <w:pStyle w:val="Prrafodelista"/>
        <w:numPr>
          <w:ilvl w:val="0"/>
          <w:numId w:val="7"/>
        </w:numPr>
        <w:tabs>
          <w:tab w:val="left" w:pos="8222"/>
        </w:tabs>
        <w:spacing w:before="120" w:after="120"/>
        <w:ind w:right="899"/>
        <w:jc w:val="both"/>
        <w:rPr>
          <w:rFonts w:ascii="Palatino Linotype" w:hAnsi="Palatino Linotype" w:cs="Arial"/>
          <w:i/>
          <w:sz w:val="22"/>
          <w:szCs w:val="22"/>
          <w:lang w:eastAsia="es-MX"/>
        </w:rPr>
      </w:pPr>
      <w:r w:rsidRPr="00305CA1">
        <w:rPr>
          <w:rFonts w:ascii="Palatino Linotype" w:hAnsi="Palatino Linotype" w:cs="Arial"/>
          <w:b/>
          <w:i/>
          <w:sz w:val="22"/>
          <w:szCs w:val="22"/>
          <w:u w:val="single"/>
          <w:lang w:eastAsia="es-MX"/>
        </w:rPr>
        <w:t>Proponer y supervisar acciones orientadas al reclutamiento, selección y contratación de personal de acuerdo al perfil del puesto</w:t>
      </w:r>
      <w:r w:rsidRPr="00305CA1">
        <w:rPr>
          <w:rFonts w:ascii="Palatino Linotype" w:hAnsi="Palatino Linotype" w:cs="Arial"/>
          <w:i/>
          <w:sz w:val="22"/>
          <w:szCs w:val="22"/>
          <w:lang w:eastAsia="es-MX"/>
        </w:rPr>
        <w:t>, de conformidad con el catálogo institucional.</w:t>
      </w:r>
    </w:p>
    <w:p w:rsidR="00720D2E" w:rsidRPr="00305CA1" w:rsidRDefault="00720D2E" w:rsidP="00720D2E">
      <w:pPr>
        <w:tabs>
          <w:tab w:val="left" w:pos="8222"/>
        </w:tabs>
        <w:spacing w:before="120" w:after="120"/>
        <w:ind w:left="851" w:right="89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w:t>
      </w:r>
    </w:p>
    <w:p w:rsidR="00A30D49" w:rsidRPr="00305CA1" w:rsidRDefault="00720D2E" w:rsidP="00720D2E">
      <w:pPr>
        <w:pStyle w:val="Prrafodelista"/>
        <w:numPr>
          <w:ilvl w:val="0"/>
          <w:numId w:val="7"/>
        </w:numPr>
        <w:tabs>
          <w:tab w:val="left" w:pos="8222"/>
        </w:tabs>
        <w:spacing w:before="120" w:after="120"/>
        <w:ind w:right="899"/>
        <w:jc w:val="both"/>
        <w:rPr>
          <w:rFonts w:ascii="Palatino Linotype" w:hAnsi="Palatino Linotype" w:cs="Arial"/>
          <w:i/>
          <w:sz w:val="22"/>
          <w:szCs w:val="22"/>
          <w:lang w:eastAsia="es-MX"/>
        </w:rPr>
      </w:pPr>
      <w:r w:rsidRPr="00305CA1">
        <w:rPr>
          <w:rFonts w:ascii="Palatino Linotype" w:hAnsi="Palatino Linotype" w:cs="Arial"/>
          <w:b/>
          <w:i/>
          <w:sz w:val="22"/>
          <w:szCs w:val="22"/>
          <w:u w:val="single"/>
          <w:lang w:eastAsia="es-MX"/>
        </w:rPr>
        <w:t>Supervisar la aplicación del sistema de obligaciones, prestaciones y servicios al personal de acuerdo con</w:t>
      </w:r>
      <w:r w:rsidRPr="00305CA1">
        <w:rPr>
          <w:rFonts w:ascii="Palatino Linotype" w:hAnsi="Palatino Linotype" w:cs="Arial"/>
          <w:i/>
          <w:sz w:val="22"/>
          <w:szCs w:val="22"/>
          <w:lang w:eastAsia="es-MX"/>
        </w:rPr>
        <w:t xml:space="preserve"> la Ley Federal de Trabajadores al Servicio del Estado, </w:t>
      </w:r>
      <w:r w:rsidRPr="00305CA1">
        <w:rPr>
          <w:rFonts w:ascii="Palatino Linotype" w:hAnsi="Palatino Linotype" w:cs="Arial"/>
          <w:b/>
          <w:i/>
          <w:sz w:val="22"/>
          <w:szCs w:val="22"/>
          <w:u w:val="single"/>
          <w:lang w:eastAsia="es-MX"/>
        </w:rPr>
        <w:t xml:space="preserve">las Condiciones Generales de Trabajo de la Secretaría de Salud </w:t>
      </w:r>
      <w:r w:rsidRPr="00305CA1">
        <w:rPr>
          <w:rFonts w:ascii="Palatino Linotype" w:hAnsi="Palatino Linotype" w:cs="Arial"/>
          <w:i/>
          <w:sz w:val="22"/>
          <w:szCs w:val="22"/>
          <w:lang w:eastAsia="es-MX"/>
        </w:rPr>
        <w:t xml:space="preserve">y demás disposiciones legales aplicables. </w:t>
      </w:r>
    </w:p>
    <w:p w:rsidR="00720D2E" w:rsidRPr="00305CA1" w:rsidRDefault="00720D2E" w:rsidP="00720D2E">
      <w:pPr>
        <w:pStyle w:val="Prrafodelista"/>
        <w:numPr>
          <w:ilvl w:val="0"/>
          <w:numId w:val="7"/>
        </w:numPr>
        <w:tabs>
          <w:tab w:val="left" w:pos="8222"/>
        </w:tabs>
        <w:spacing w:before="120" w:after="120"/>
        <w:ind w:right="899"/>
        <w:jc w:val="both"/>
        <w:rPr>
          <w:rFonts w:ascii="Palatino Linotype" w:hAnsi="Palatino Linotype" w:cs="Arial"/>
          <w:i/>
          <w:sz w:val="22"/>
          <w:szCs w:val="22"/>
          <w:lang w:eastAsia="es-MX"/>
        </w:rPr>
      </w:pPr>
      <w:r w:rsidRPr="00305CA1">
        <w:rPr>
          <w:rFonts w:ascii="Palatino Linotype" w:hAnsi="Palatino Linotype" w:cs="Arial"/>
          <w:b/>
          <w:i/>
          <w:sz w:val="22"/>
          <w:szCs w:val="22"/>
          <w:u w:val="single"/>
          <w:lang w:eastAsia="es-MX"/>
        </w:rPr>
        <w:t>Coordinar y promover el establecimiento de las Comisiones Mixtas de Escalafón</w:t>
      </w:r>
      <w:r w:rsidRPr="00305CA1">
        <w:rPr>
          <w:rFonts w:ascii="Palatino Linotype" w:hAnsi="Palatino Linotype" w:cs="Arial"/>
          <w:i/>
          <w:sz w:val="22"/>
          <w:szCs w:val="22"/>
          <w:lang w:eastAsia="es-MX"/>
        </w:rPr>
        <w:t>, Capacitación y Desarrollo e Higiene y Seguridad, así como de los programas que de ellos se deriven, de acuerdo con la normatividad emitida.</w:t>
      </w:r>
    </w:p>
    <w:p w:rsidR="00A30D49" w:rsidRPr="00305CA1" w:rsidRDefault="00A30D49" w:rsidP="00720D2E">
      <w:pPr>
        <w:pStyle w:val="Prrafodelista"/>
        <w:numPr>
          <w:ilvl w:val="0"/>
          <w:numId w:val="7"/>
        </w:numPr>
        <w:tabs>
          <w:tab w:val="left" w:pos="8222"/>
        </w:tabs>
        <w:spacing w:before="120" w:after="120"/>
        <w:ind w:right="899"/>
        <w:jc w:val="both"/>
        <w:rPr>
          <w:rFonts w:ascii="Palatino Linotype" w:hAnsi="Palatino Linotype" w:cs="Arial"/>
          <w:i/>
          <w:sz w:val="22"/>
          <w:szCs w:val="22"/>
          <w:lang w:eastAsia="es-MX"/>
        </w:rPr>
      </w:pPr>
      <w:r w:rsidRPr="00305CA1">
        <w:rPr>
          <w:rFonts w:ascii="Palatino Linotype" w:hAnsi="Palatino Linotype" w:cs="Arial"/>
          <w:b/>
          <w:i/>
          <w:sz w:val="22"/>
          <w:szCs w:val="22"/>
          <w:u w:val="single"/>
          <w:lang w:eastAsia="es-MX"/>
        </w:rPr>
        <w:t>Vigilar la aplicación del Reglamento de Escalafón de la Secretaría</w:t>
      </w:r>
      <w:r w:rsidRPr="00305CA1">
        <w:rPr>
          <w:rFonts w:ascii="Palatino Linotype" w:hAnsi="Palatino Linotype" w:cs="Arial"/>
          <w:i/>
          <w:sz w:val="22"/>
          <w:szCs w:val="22"/>
          <w:lang w:eastAsia="es-MX"/>
        </w:rPr>
        <w:t>, de acuerdo con las normas y políticas establecidas.”</w:t>
      </w:r>
    </w:p>
    <w:p w:rsidR="00A30D49" w:rsidRPr="00305CA1" w:rsidRDefault="00A30D49" w:rsidP="00A30D49">
      <w:pPr>
        <w:spacing w:before="120" w:after="120"/>
        <w:ind w:left="851" w:right="709"/>
        <w:jc w:val="both"/>
        <w:rPr>
          <w:rFonts w:ascii="Palatino Linotype" w:hAnsi="Palatino Linotype" w:cs="Arial"/>
          <w:sz w:val="22"/>
          <w:szCs w:val="22"/>
        </w:rPr>
      </w:pPr>
      <w:r w:rsidRPr="00305CA1">
        <w:rPr>
          <w:rFonts w:ascii="Palatino Linotype" w:hAnsi="Palatino Linotype" w:cs="Arial"/>
          <w:sz w:val="22"/>
          <w:szCs w:val="22"/>
        </w:rPr>
        <w:t>(Énfasis añadido)</w:t>
      </w:r>
    </w:p>
    <w:p w:rsidR="00F23E5A" w:rsidRPr="00305CA1" w:rsidRDefault="00A30D49" w:rsidP="00ED5663">
      <w:pPr>
        <w:spacing w:before="360" w:after="240" w:line="360" w:lineRule="auto"/>
        <w:jc w:val="both"/>
        <w:rPr>
          <w:rFonts w:ascii="Palatino Linotype" w:hAnsi="Palatino Linotype" w:cs="Arial"/>
          <w:lang w:eastAsia="es-MX"/>
        </w:rPr>
      </w:pPr>
      <w:r w:rsidRPr="00305CA1">
        <w:rPr>
          <w:rFonts w:ascii="Palatino Linotype" w:hAnsi="Palatino Linotype" w:cs="Arial"/>
          <w:lang w:eastAsia="es-MX"/>
        </w:rPr>
        <w:t xml:space="preserve">En virtud de lo anterior, se advierte la existencia de Unidades Administrativas adscritas al </w:t>
      </w:r>
      <w:r w:rsidRPr="00305CA1">
        <w:rPr>
          <w:rFonts w:ascii="Palatino Linotype" w:hAnsi="Palatino Linotype" w:cs="Arial"/>
          <w:b/>
          <w:lang w:eastAsia="es-MX"/>
        </w:rPr>
        <w:t>SUJETO OBLIGADO</w:t>
      </w:r>
      <w:r w:rsidRPr="00305CA1">
        <w:rPr>
          <w:rFonts w:ascii="Palatino Linotype" w:hAnsi="Palatino Linotype" w:cs="Arial"/>
          <w:lang w:eastAsia="es-MX"/>
        </w:rPr>
        <w:t>, que pudieran contar con la documentación que podría satisfacer los cuestionamientos formulados por el particular, en los numerales en estudio.</w:t>
      </w:r>
    </w:p>
    <w:p w:rsidR="00A30D49" w:rsidRPr="00305CA1" w:rsidRDefault="00A30D49" w:rsidP="00ED5663">
      <w:pPr>
        <w:spacing w:before="360" w:after="240" w:line="360" w:lineRule="auto"/>
        <w:jc w:val="both"/>
        <w:rPr>
          <w:rFonts w:ascii="Palatino Linotype" w:hAnsi="Palatino Linotype" w:cs="Arial"/>
          <w:lang w:eastAsia="es-MX"/>
        </w:rPr>
      </w:pPr>
      <w:r w:rsidRPr="00305CA1">
        <w:rPr>
          <w:rFonts w:ascii="Palatino Linotype" w:hAnsi="Palatino Linotype" w:cs="Arial"/>
          <w:lang w:eastAsia="es-MX"/>
        </w:rPr>
        <w:lastRenderedPageBreak/>
        <w:t xml:space="preserve">En consecuencia, esta Ponencia Resolutora determina ordenar al </w:t>
      </w:r>
      <w:r w:rsidRPr="00305CA1">
        <w:rPr>
          <w:rFonts w:ascii="Palatino Linotype" w:hAnsi="Palatino Linotype" w:cs="Arial"/>
          <w:b/>
          <w:lang w:eastAsia="es-MX"/>
        </w:rPr>
        <w:t>SUJETO OBLIGADO</w:t>
      </w:r>
      <w:r w:rsidRPr="00305CA1">
        <w:rPr>
          <w:rFonts w:ascii="Palatino Linotype" w:hAnsi="Palatino Linotype" w:cs="Arial"/>
          <w:lang w:eastAsia="es-MX"/>
        </w:rPr>
        <w:t xml:space="preserve">, la entrega al </w:t>
      </w:r>
      <w:r w:rsidRPr="00305CA1">
        <w:rPr>
          <w:rFonts w:ascii="Palatino Linotype" w:hAnsi="Palatino Linotype" w:cs="Arial"/>
          <w:b/>
          <w:lang w:eastAsia="es-MX"/>
        </w:rPr>
        <w:t>RECURRENTE</w:t>
      </w:r>
      <w:r w:rsidRPr="00305CA1">
        <w:rPr>
          <w:rFonts w:ascii="Palatino Linotype" w:hAnsi="Palatino Linotype" w:cs="Arial"/>
          <w:lang w:eastAsia="es-MX"/>
        </w:rPr>
        <w:t xml:space="preserve">, de ser procedente en versión pública, los documentos en los que conste el número de servidores públicos, médicos y personal de enfermería que han sido regularizados, formalizados y/o </w:t>
      </w:r>
      <w:proofErr w:type="spellStart"/>
      <w:r w:rsidRPr="00305CA1">
        <w:rPr>
          <w:rFonts w:ascii="Palatino Linotype" w:hAnsi="Palatino Linotype" w:cs="Arial"/>
          <w:lang w:eastAsia="es-MX"/>
        </w:rPr>
        <w:t>basificados</w:t>
      </w:r>
      <w:proofErr w:type="spellEnd"/>
      <w:r w:rsidRPr="00305CA1">
        <w:rPr>
          <w:rFonts w:ascii="Palatino Linotype" w:hAnsi="Palatino Linotype" w:cs="Arial"/>
          <w:lang w:eastAsia="es-MX"/>
        </w:rPr>
        <w:t>, del año 2011 al</w:t>
      </w:r>
      <w:r w:rsidR="003D4382" w:rsidRPr="00305CA1">
        <w:rPr>
          <w:rFonts w:ascii="Palatino Linotype" w:hAnsi="Palatino Linotype" w:cs="Arial"/>
          <w:lang w:eastAsia="es-MX"/>
        </w:rPr>
        <w:t xml:space="preserve"> 31 de julio de</w:t>
      </w:r>
      <w:r w:rsidRPr="00305CA1">
        <w:rPr>
          <w:rFonts w:ascii="Palatino Linotype" w:hAnsi="Palatino Linotype" w:cs="Arial"/>
          <w:lang w:eastAsia="es-MX"/>
        </w:rPr>
        <w:t xml:space="preserve"> 2019, así como el área encargada de dicha determinación.</w:t>
      </w:r>
    </w:p>
    <w:p w:rsidR="00A30D49" w:rsidRPr="00305CA1" w:rsidRDefault="00A30D49" w:rsidP="00A30D49">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305CA1">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w:t>
      </w:r>
      <w:r w:rsidRPr="00305CA1">
        <w:rPr>
          <w:rFonts w:ascii="Palatino Linotype" w:hAnsi="Palatino Linotype" w:cs="Arial"/>
        </w:rPr>
        <w:t>deberá</w:t>
      </w:r>
      <w:r w:rsidRPr="00305CA1">
        <w:rPr>
          <w:rFonts w:ascii="Palatino Linotype" w:hAnsi="Palatino Linotype"/>
          <w:color w:val="000000"/>
        </w:rPr>
        <w:t xml:space="preserve"> </w:t>
      </w:r>
      <w:r w:rsidRPr="00305CA1">
        <w:rPr>
          <w:rFonts w:ascii="Palatino Linotype" w:eastAsia="Arial Unicode MS" w:hAnsi="Palatino Linotype" w:cs="Arial"/>
        </w:rPr>
        <w:t>omitir, eliminar o suprimir la</w:t>
      </w:r>
      <w:r w:rsidRPr="00305CA1">
        <w:rPr>
          <w:rFonts w:ascii="Palatino Linotype" w:hAnsi="Palatino Linotype"/>
          <w:color w:val="000000"/>
        </w:rPr>
        <w:t xml:space="preserve"> información </w:t>
      </w:r>
      <w:r w:rsidRPr="00305CA1">
        <w:rPr>
          <w:rFonts w:ascii="Palatino Linotype" w:hAnsi="Palatino Linotype"/>
          <w:b/>
          <w:color w:val="000000"/>
        </w:rPr>
        <w:t>confidencial</w:t>
      </w:r>
      <w:r w:rsidRPr="00305CA1">
        <w:rPr>
          <w:rFonts w:ascii="Palatino Linotype" w:eastAsia="Arial Unicode MS" w:hAnsi="Palatino Linotype" w:cs="Arial"/>
        </w:rPr>
        <w:t xml:space="preserve">. En ese sentido, </w:t>
      </w:r>
      <w:r w:rsidRPr="00305CA1">
        <w:rPr>
          <w:rFonts w:ascii="Palatino Linotype" w:hAnsi="Palatino Linotype" w:cs="Arial"/>
          <w:lang w:val="es-ES_tradnl"/>
        </w:rPr>
        <w:t xml:space="preserve">sólo podrán </w:t>
      </w:r>
      <w:r w:rsidRPr="00305CA1">
        <w:rPr>
          <w:rFonts w:ascii="Palatino Linotype" w:hAnsi="Palatino Linotype" w:cs="Arial"/>
        </w:rPr>
        <w:t>ser</w:t>
      </w:r>
      <w:r w:rsidRPr="00305CA1">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305CA1">
        <w:rPr>
          <w:rFonts w:ascii="Palatino Linotype" w:hAnsi="Palatino Linotype" w:cs="Arial"/>
        </w:rPr>
        <w:t xml:space="preserve"> que el Comité de Transparencia del </w:t>
      </w:r>
      <w:r w:rsidRPr="00305CA1">
        <w:rPr>
          <w:rFonts w:ascii="Palatino Linotype" w:hAnsi="Palatino Linotype" w:cs="Arial"/>
          <w:b/>
        </w:rPr>
        <w:t>SUJETO OBLIGADO</w:t>
      </w:r>
      <w:r w:rsidRPr="00305CA1">
        <w:rPr>
          <w:rFonts w:ascii="Palatino Linotype" w:hAnsi="Palatino Linotype" w:cs="Arial"/>
        </w:rPr>
        <w:t xml:space="preserve"> emita el Acuerdo de Clasificación correspondiente</w:t>
      </w:r>
      <w:r w:rsidRPr="00305CA1">
        <w:rPr>
          <w:rFonts w:ascii="Palatino Linotype" w:hAnsi="Palatino Linotype" w:cs="Arial"/>
          <w:lang w:val="es-ES_tradnl"/>
        </w:rPr>
        <w:t xml:space="preserve"> debidamente fundado y motivado, en el cual se</w:t>
      </w:r>
      <w:r w:rsidRPr="00305CA1">
        <w:rPr>
          <w:rFonts w:ascii="Palatino Linotype" w:hAnsi="Palatino Linotype" w:cs="Arial"/>
        </w:rPr>
        <w:t xml:space="preserve"> sustente la versión pública, </w:t>
      </w:r>
      <w:r w:rsidRPr="00305CA1">
        <w:rPr>
          <w:rFonts w:ascii="Palatino Linotype" w:hAnsi="Palatino Linotype" w:cs="Arial"/>
          <w:lang w:val="es-ES_tradnl"/>
        </w:rPr>
        <w:t xml:space="preserve">en </w:t>
      </w:r>
      <w:r w:rsidRPr="00305CA1">
        <w:rPr>
          <w:rFonts w:ascii="Palatino Linotype" w:hAnsi="Palatino Linotype" w:cs="Arial"/>
          <w:noProof/>
          <w:lang w:eastAsia="es-MX"/>
        </w:rPr>
        <w:t>términos</w:t>
      </w:r>
      <w:r w:rsidRPr="00305CA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 </w:t>
      </w:r>
    </w:p>
    <w:p w:rsidR="00A30D49" w:rsidRPr="00305CA1" w:rsidRDefault="00A30D49" w:rsidP="00A30D49">
      <w:pPr>
        <w:spacing w:before="120" w:after="120"/>
        <w:ind w:left="709" w:right="709"/>
        <w:jc w:val="center"/>
        <w:rPr>
          <w:rFonts w:ascii="Palatino Linotype" w:hAnsi="Palatino Linotype" w:cs="Arial"/>
          <w:b/>
          <w:i/>
          <w:sz w:val="22"/>
        </w:rPr>
      </w:pPr>
      <w:r w:rsidRPr="00305CA1">
        <w:rPr>
          <w:rFonts w:ascii="Palatino Linotype" w:hAnsi="Palatino Linotype" w:cs="Arial"/>
          <w:b/>
          <w:i/>
          <w:sz w:val="22"/>
        </w:rPr>
        <w:t>Ley de Transparencia y Acceso a la Información Pública del Estado de México y Municipios</w:t>
      </w:r>
    </w:p>
    <w:p w:rsidR="00A30D49" w:rsidRPr="00305CA1" w:rsidRDefault="00A30D49" w:rsidP="00A30D49">
      <w:pPr>
        <w:autoSpaceDE w:val="0"/>
        <w:autoSpaceDN w:val="0"/>
        <w:adjustRightInd w:val="0"/>
        <w:spacing w:before="240" w:after="10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w:t>
      </w:r>
      <w:r w:rsidRPr="00305CA1">
        <w:rPr>
          <w:rFonts w:ascii="Palatino Linotype" w:hAnsi="Palatino Linotype" w:cs="Arial"/>
          <w:b/>
          <w:i/>
          <w:sz w:val="22"/>
          <w:szCs w:val="22"/>
          <w:lang w:eastAsia="es-MX"/>
        </w:rPr>
        <w:t xml:space="preserve">Artículo 49. </w:t>
      </w:r>
      <w:r w:rsidRPr="00305CA1">
        <w:rPr>
          <w:rFonts w:ascii="Palatino Linotype" w:hAnsi="Palatino Linotype" w:cs="Arial"/>
          <w:i/>
          <w:sz w:val="22"/>
          <w:szCs w:val="22"/>
          <w:lang w:eastAsia="es-MX"/>
        </w:rPr>
        <w:t xml:space="preserve">Los </w:t>
      </w:r>
      <w:r w:rsidRPr="00305CA1">
        <w:rPr>
          <w:rFonts w:ascii="Palatino Linotype" w:hAnsi="Palatino Linotype" w:cs="Arial"/>
          <w:i/>
          <w:sz w:val="22"/>
        </w:rPr>
        <w:t>Comités</w:t>
      </w:r>
      <w:r w:rsidRPr="00305CA1">
        <w:rPr>
          <w:rFonts w:ascii="Palatino Linotype" w:hAnsi="Palatino Linotype" w:cs="Arial"/>
          <w:i/>
          <w:sz w:val="22"/>
          <w:szCs w:val="22"/>
          <w:lang w:eastAsia="es-MX"/>
        </w:rPr>
        <w:t xml:space="preserve"> de </w:t>
      </w:r>
      <w:r w:rsidRPr="00305CA1">
        <w:rPr>
          <w:rFonts w:ascii="Palatino Linotype" w:hAnsi="Palatino Linotype" w:cs="Arial"/>
          <w:i/>
          <w:sz w:val="22"/>
          <w:lang w:eastAsia="es-MX"/>
        </w:rPr>
        <w:t>Transparencia</w:t>
      </w:r>
      <w:r w:rsidRPr="00305CA1">
        <w:rPr>
          <w:rFonts w:ascii="Palatino Linotype" w:hAnsi="Palatino Linotype" w:cs="Arial"/>
          <w:i/>
          <w:sz w:val="22"/>
          <w:szCs w:val="22"/>
          <w:lang w:eastAsia="es-MX"/>
        </w:rPr>
        <w:t xml:space="preserve"> </w:t>
      </w:r>
      <w:r w:rsidRPr="00305CA1">
        <w:rPr>
          <w:rFonts w:ascii="Palatino Linotype" w:hAnsi="Palatino Linotype"/>
          <w:i/>
          <w:sz w:val="22"/>
          <w:szCs w:val="22"/>
        </w:rPr>
        <w:t>tendrán</w:t>
      </w:r>
      <w:r w:rsidRPr="00305CA1">
        <w:rPr>
          <w:rFonts w:ascii="Palatino Linotype" w:hAnsi="Palatino Linotype" w:cs="Arial"/>
          <w:i/>
          <w:sz w:val="22"/>
          <w:szCs w:val="22"/>
          <w:lang w:eastAsia="es-MX"/>
        </w:rPr>
        <w:t xml:space="preserve"> las siguientes atribuciones:</w:t>
      </w:r>
    </w:p>
    <w:p w:rsidR="00A30D49" w:rsidRPr="00305CA1" w:rsidRDefault="00A30D49" w:rsidP="00A30D49">
      <w:pPr>
        <w:autoSpaceDE w:val="0"/>
        <w:autoSpaceDN w:val="0"/>
        <w:adjustRightInd w:val="0"/>
        <w:spacing w:before="100" w:after="10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VIII.</w:t>
      </w:r>
      <w:r w:rsidRPr="00305CA1">
        <w:rPr>
          <w:rFonts w:ascii="Palatino Linotype" w:hAnsi="Palatino Linotype" w:cs="Arial"/>
          <w:i/>
          <w:sz w:val="22"/>
          <w:szCs w:val="22"/>
          <w:lang w:eastAsia="es-MX"/>
        </w:rPr>
        <w:t xml:space="preserve"> Aprobar, </w:t>
      </w:r>
      <w:r w:rsidRPr="00305CA1">
        <w:rPr>
          <w:rFonts w:ascii="Palatino Linotype" w:hAnsi="Palatino Linotype" w:cs="Arial"/>
          <w:i/>
          <w:sz w:val="22"/>
        </w:rPr>
        <w:t>modificar</w:t>
      </w:r>
      <w:r w:rsidRPr="00305CA1">
        <w:rPr>
          <w:rFonts w:ascii="Palatino Linotype" w:hAnsi="Palatino Linotype" w:cs="Arial"/>
          <w:i/>
          <w:sz w:val="22"/>
          <w:szCs w:val="22"/>
          <w:lang w:eastAsia="es-MX"/>
        </w:rPr>
        <w:t xml:space="preserve"> o revocar la clasificación de la información;</w:t>
      </w:r>
    </w:p>
    <w:p w:rsidR="00A30D49" w:rsidRPr="00305CA1" w:rsidRDefault="00A30D49" w:rsidP="00A30D49">
      <w:pPr>
        <w:autoSpaceDE w:val="0"/>
        <w:autoSpaceDN w:val="0"/>
        <w:adjustRightInd w:val="0"/>
        <w:spacing w:before="100" w:after="10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Artículo 132.</w:t>
      </w:r>
      <w:r w:rsidRPr="00305CA1">
        <w:rPr>
          <w:rFonts w:ascii="Palatino Linotype" w:hAnsi="Palatino Linotype" w:cs="Arial"/>
          <w:i/>
          <w:sz w:val="22"/>
          <w:szCs w:val="22"/>
          <w:lang w:eastAsia="es-MX"/>
        </w:rPr>
        <w:t xml:space="preserve"> La </w:t>
      </w:r>
      <w:r w:rsidRPr="00305CA1">
        <w:rPr>
          <w:rFonts w:ascii="Palatino Linotype" w:hAnsi="Palatino Linotype" w:cs="Arial"/>
          <w:i/>
          <w:sz w:val="22"/>
          <w:lang w:eastAsia="es-MX"/>
        </w:rPr>
        <w:t>clasificación</w:t>
      </w:r>
      <w:r w:rsidRPr="00305CA1">
        <w:rPr>
          <w:rFonts w:ascii="Palatino Linotype" w:hAnsi="Palatino Linotype" w:cs="Arial"/>
          <w:i/>
          <w:sz w:val="22"/>
          <w:szCs w:val="22"/>
          <w:lang w:eastAsia="es-MX"/>
        </w:rPr>
        <w:t xml:space="preserve"> de la información se llevará a cabo en el momento en que:</w:t>
      </w:r>
    </w:p>
    <w:p w:rsidR="00A30D49" w:rsidRPr="00305CA1" w:rsidRDefault="00A30D49" w:rsidP="00A30D49">
      <w:pPr>
        <w:autoSpaceDE w:val="0"/>
        <w:autoSpaceDN w:val="0"/>
        <w:adjustRightInd w:val="0"/>
        <w:spacing w:before="100" w:after="10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lastRenderedPageBreak/>
        <w:t>[…]</w:t>
      </w:r>
    </w:p>
    <w:p w:rsidR="00A30D49" w:rsidRPr="00305CA1" w:rsidRDefault="00A30D49" w:rsidP="00A30D49">
      <w:pPr>
        <w:autoSpaceDE w:val="0"/>
        <w:autoSpaceDN w:val="0"/>
        <w:adjustRightInd w:val="0"/>
        <w:spacing w:before="100" w:after="10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II.</w:t>
      </w:r>
      <w:r w:rsidRPr="00305CA1">
        <w:rPr>
          <w:rFonts w:ascii="Palatino Linotype" w:hAnsi="Palatino Linotype" w:cs="Arial"/>
          <w:i/>
          <w:sz w:val="22"/>
          <w:szCs w:val="22"/>
          <w:lang w:eastAsia="es-MX"/>
        </w:rPr>
        <w:t xml:space="preserve"> Se determine </w:t>
      </w:r>
      <w:r w:rsidRPr="00305CA1">
        <w:rPr>
          <w:rFonts w:ascii="Palatino Linotype" w:hAnsi="Palatino Linotype" w:cs="Arial"/>
          <w:i/>
          <w:sz w:val="22"/>
          <w:lang w:eastAsia="es-MX"/>
        </w:rPr>
        <w:t>mediante</w:t>
      </w:r>
      <w:r w:rsidRPr="00305CA1">
        <w:rPr>
          <w:rFonts w:ascii="Palatino Linotype" w:hAnsi="Palatino Linotype" w:cs="Arial"/>
          <w:i/>
          <w:sz w:val="22"/>
          <w:szCs w:val="22"/>
          <w:lang w:eastAsia="es-MX"/>
        </w:rPr>
        <w:t xml:space="preserve"> resolución de autoridad competente; o</w:t>
      </w:r>
    </w:p>
    <w:p w:rsidR="00A30D49" w:rsidRPr="00305CA1" w:rsidRDefault="00A30D49" w:rsidP="00A30D49">
      <w:pPr>
        <w:autoSpaceDE w:val="0"/>
        <w:autoSpaceDN w:val="0"/>
        <w:adjustRightInd w:val="0"/>
        <w:spacing w:before="100" w:after="10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III</w:t>
      </w:r>
      <w:r w:rsidRPr="00305CA1">
        <w:rPr>
          <w:rFonts w:ascii="Palatino Linotype" w:hAnsi="Palatino Linotype" w:cs="Arial"/>
          <w:i/>
          <w:sz w:val="22"/>
          <w:szCs w:val="22"/>
          <w:lang w:eastAsia="es-MX"/>
        </w:rPr>
        <w:t xml:space="preserve">. Se generen </w:t>
      </w:r>
      <w:r w:rsidRPr="00305CA1">
        <w:rPr>
          <w:rFonts w:ascii="Palatino Linotype" w:hAnsi="Palatino Linotype" w:cs="Arial"/>
          <w:i/>
          <w:sz w:val="22"/>
          <w:lang w:eastAsia="es-MX"/>
        </w:rPr>
        <w:t>versiones</w:t>
      </w:r>
      <w:r w:rsidRPr="00305CA1">
        <w:rPr>
          <w:rFonts w:ascii="Palatino Linotype" w:hAnsi="Palatino Linotype" w:cs="Arial"/>
          <w:i/>
          <w:sz w:val="22"/>
          <w:szCs w:val="22"/>
          <w:lang w:eastAsia="es-MX"/>
        </w:rPr>
        <w:t xml:space="preserve"> públicas para dar cumplimiento a las obligaciones de transparencia previstas en esta Ley.”</w:t>
      </w:r>
    </w:p>
    <w:p w:rsidR="00A30D49" w:rsidRPr="00305CA1" w:rsidRDefault="00A30D49" w:rsidP="00A30D49">
      <w:pPr>
        <w:spacing w:before="360" w:after="120"/>
        <w:ind w:left="709" w:right="709"/>
        <w:jc w:val="center"/>
        <w:rPr>
          <w:rFonts w:ascii="Palatino Linotype" w:hAnsi="Palatino Linotype" w:cs="Arial"/>
          <w:b/>
          <w:i/>
          <w:sz w:val="22"/>
          <w:szCs w:val="22"/>
          <w:lang w:eastAsia="es-MX"/>
        </w:rPr>
      </w:pPr>
      <w:r w:rsidRPr="00305CA1">
        <w:rPr>
          <w:rFonts w:ascii="Palatino Linotype" w:hAnsi="Palatino Linotype" w:cs="Arial"/>
          <w:b/>
          <w:i/>
          <w:sz w:val="22"/>
          <w:szCs w:val="22"/>
          <w:lang w:eastAsia="es-MX"/>
        </w:rPr>
        <w:t xml:space="preserve">Lineamientos Generales en materia de Clasificación y Desclasificación de la </w:t>
      </w:r>
      <w:r w:rsidRPr="00305CA1">
        <w:rPr>
          <w:rFonts w:ascii="Palatino Linotype" w:hAnsi="Palatino Linotype" w:cs="Arial"/>
          <w:b/>
          <w:i/>
          <w:sz w:val="22"/>
        </w:rPr>
        <w:t>Información, así como para la elaboración de Versiones Públicas</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w:t>
      </w:r>
      <w:r w:rsidRPr="00305CA1">
        <w:rPr>
          <w:rFonts w:ascii="Palatino Linotype" w:hAnsi="Palatino Linotype" w:cs="Arial"/>
          <w:b/>
          <w:i/>
          <w:sz w:val="22"/>
          <w:szCs w:val="22"/>
          <w:lang w:eastAsia="es-MX"/>
        </w:rPr>
        <w:t>Segundo.-</w:t>
      </w:r>
      <w:r w:rsidRPr="00305CA1">
        <w:rPr>
          <w:rFonts w:ascii="Palatino Linotype" w:hAnsi="Palatino Linotype" w:cs="Arial"/>
          <w:i/>
          <w:sz w:val="22"/>
          <w:szCs w:val="22"/>
          <w:lang w:eastAsia="es-MX"/>
        </w:rPr>
        <w:t xml:space="preserve"> Para </w:t>
      </w:r>
      <w:r w:rsidRPr="00305CA1">
        <w:rPr>
          <w:rFonts w:ascii="Palatino Linotype" w:hAnsi="Palatino Linotype" w:cs="Arial"/>
          <w:i/>
          <w:sz w:val="22"/>
          <w:lang w:eastAsia="es-MX"/>
        </w:rPr>
        <w:t>efectos</w:t>
      </w:r>
      <w:r w:rsidRPr="00305CA1">
        <w:rPr>
          <w:rFonts w:ascii="Palatino Linotype" w:hAnsi="Palatino Linotype" w:cs="Arial"/>
          <w:i/>
          <w:sz w:val="22"/>
          <w:szCs w:val="22"/>
          <w:lang w:eastAsia="es-MX"/>
        </w:rPr>
        <w:t xml:space="preserve"> de los </w:t>
      </w:r>
      <w:r w:rsidRPr="00305CA1">
        <w:rPr>
          <w:rFonts w:ascii="Palatino Linotype" w:hAnsi="Palatino Linotype" w:cs="Arial"/>
          <w:i/>
          <w:sz w:val="22"/>
        </w:rPr>
        <w:t>presentes</w:t>
      </w:r>
      <w:r w:rsidRPr="00305CA1">
        <w:rPr>
          <w:rFonts w:ascii="Palatino Linotype" w:hAnsi="Palatino Linotype" w:cs="Arial"/>
          <w:i/>
          <w:sz w:val="22"/>
          <w:szCs w:val="22"/>
          <w:lang w:eastAsia="es-MX"/>
        </w:rPr>
        <w:t xml:space="preserve"> Lineamientos Generales, se entenderá por:</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XVIII.</w:t>
      </w:r>
      <w:r w:rsidRPr="00305CA1">
        <w:rPr>
          <w:rFonts w:ascii="Palatino Linotype" w:hAnsi="Palatino Linotype" w:cs="Arial"/>
          <w:i/>
          <w:sz w:val="22"/>
          <w:szCs w:val="22"/>
          <w:lang w:eastAsia="es-MX"/>
        </w:rPr>
        <w:t xml:space="preserve"> </w:t>
      </w:r>
      <w:r w:rsidRPr="00305CA1">
        <w:rPr>
          <w:rFonts w:ascii="Palatino Linotype" w:hAnsi="Palatino Linotype" w:cs="Arial"/>
          <w:b/>
          <w:i/>
          <w:sz w:val="22"/>
          <w:szCs w:val="22"/>
          <w:lang w:eastAsia="es-MX"/>
        </w:rPr>
        <w:t>Versión pública:</w:t>
      </w:r>
      <w:r w:rsidRPr="00305CA1">
        <w:rPr>
          <w:rFonts w:ascii="Palatino Linotype" w:hAnsi="Palatino Linotype" w:cs="Arial"/>
          <w:i/>
          <w:sz w:val="22"/>
          <w:szCs w:val="22"/>
          <w:lang w:eastAsia="es-MX"/>
        </w:rPr>
        <w:t xml:space="preserve"> El </w:t>
      </w:r>
      <w:r w:rsidRPr="00305CA1">
        <w:rPr>
          <w:rFonts w:ascii="Palatino Linotype" w:hAnsi="Palatino Linotype" w:cs="Arial"/>
          <w:bCs/>
          <w:i/>
          <w:noProof/>
          <w:sz w:val="22"/>
        </w:rPr>
        <w:t>documento</w:t>
      </w:r>
      <w:r w:rsidRPr="00305CA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05CA1">
        <w:rPr>
          <w:rFonts w:ascii="Palatino Linotype" w:hAnsi="Palatino Linotype" w:cs="Arial"/>
          <w:b/>
          <w:i/>
          <w:sz w:val="22"/>
          <w:szCs w:val="22"/>
          <w:u w:val="single"/>
          <w:lang w:eastAsia="es-MX"/>
        </w:rPr>
        <w:t>fundando y motivando la</w:t>
      </w:r>
      <w:r w:rsidRPr="00305CA1">
        <w:rPr>
          <w:rFonts w:ascii="Palatino Linotype" w:hAnsi="Palatino Linotype" w:cs="Arial"/>
          <w:i/>
          <w:sz w:val="22"/>
          <w:szCs w:val="22"/>
          <w:lang w:eastAsia="es-MX"/>
        </w:rPr>
        <w:t xml:space="preserve"> reserva o </w:t>
      </w:r>
      <w:r w:rsidRPr="00305CA1">
        <w:rPr>
          <w:rFonts w:ascii="Palatino Linotype" w:hAnsi="Palatino Linotype" w:cs="Arial"/>
          <w:b/>
          <w:i/>
          <w:sz w:val="22"/>
          <w:szCs w:val="22"/>
          <w:u w:val="single"/>
          <w:lang w:eastAsia="es-MX"/>
        </w:rPr>
        <w:t>confidencialidad</w:t>
      </w:r>
      <w:r w:rsidRPr="00305CA1">
        <w:rPr>
          <w:rFonts w:ascii="Palatino Linotype" w:hAnsi="Palatino Linotype" w:cs="Arial"/>
          <w:i/>
          <w:sz w:val="22"/>
          <w:szCs w:val="22"/>
          <w:lang w:eastAsia="es-MX"/>
        </w:rPr>
        <w:t xml:space="preserve">, a través de la resolución que para tal efecto emita el </w:t>
      </w:r>
      <w:r w:rsidRPr="00305CA1">
        <w:rPr>
          <w:rFonts w:ascii="Palatino Linotype" w:hAnsi="Palatino Linotype" w:cs="Arial"/>
          <w:bCs/>
          <w:i/>
          <w:noProof/>
          <w:sz w:val="22"/>
        </w:rPr>
        <w:t>Comité</w:t>
      </w:r>
      <w:r w:rsidRPr="00305CA1">
        <w:rPr>
          <w:rFonts w:ascii="Palatino Linotype" w:hAnsi="Palatino Linotype" w:cs="Arial"/>
          <w:i/>
          <w:sz w:val="22"/>
          <w:szCs w:val="22"/>
          <w:lang w:eastAsia="es-MX"/>
        </w:rPr>
        <w:t xml:space="preserve"> de Transparencia.</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Cuarto.</w:t>
      </w:r>
      <w:r w:rsidRPr="00305CA1">
        <w:rPr>
          <w:rFonts w:ascii="Palatino Linotype" w:hAnsi="Palatino Linotype" w:cs="Arial"/>
          <w:i/>
          <w:sz w:val="22"/>
          <w:szCs w:val="22"/>
          <w:lang w:eastAsia="es-MX"/>
        </w:rPr>
        <w:t xml:space="preserve"> Para clasificar la información como reservada o confidencial, de manera total o parcial, el </w:t>
      </w:r>
      <w:r w:rsidRPr="00305CA1">
        <w:rPr>
          <w:rFonts w:ascii="Palatino Linotype" w:hAnsi="Palatino Linotype" w:cs="Arial"/>
          <w:i/>
          <w:sz w:val="22"/>
          <w:lang w:eastAsia="es-MX"/>
        </w:rPr>
        <w:t>titular</w:t>
      </w:r>
      <w:r w:rsidRPr="00305CA1">
        <w:rPr>
          <w:rFonts w:ascii="Palatino Linotype" w:hAnsi="Palatino Linotype" w:cs="Arial"/>
          <w:i/>
          <w:sz w:val="22"/>
          <w:szCs w:val="22"/>
          <w:lang w:eastAsia="es-MX"/>
        </w:rPr>
        <w:t xml:space="preserve"> del </w:t>
      </w:r>
      <w:r w:rsidRPr="00305CA1">
        <w:rPr>
          <w:rFonts w:ascii="Palatino Linotype" w:hAnsi="Palatino Linotype" w:cs="Arial"/>
          <w:bCs/>
          <w:i/>
          <w:noProof/>
          <w:sz w:val="22"/>
        </w:rPr>
        <w:t>área</w:t>
      </w:r>
      <w:r w:rsidRPr="00305CA1">
        <w:rPr>
          <w:rFonts w:ascii="Palatino Linotype" w:hAnsi="Palatino Linotype" w:cs="Arial"/>
          <w:i/>
          <w:sz w:val="22"/>
          <w:szCs w:val="22"/>
          <w:lang w:eastAsia="es-MX"/>
        </w:rPr>
        <w:t xml:space="preserve"> del sujeto </w:t>
      </w:r>
      <w:r w:rsidRPr="00305CA1">
        <w:rPr>
          <w:rFonts w:ascii="Palatino Linotype" w:hAnsi="Palatino Linotype" w:cs="Arial"/>
          <w:i/>
          <w:sz w:val="22"/>
        </w:rPr>
        <w:t>obligado</w:t>
      </w:r>
      <w:r w:rsidRPr="00305CA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 xml:space="preserve">Los sujetos obligados deberán aplicar, de manera estricta, las excepciones al derecho de acceso a la </w:t>
      </w:r>
      <w:r w:rsidRPr="00305CA1">
        <w:rPr>
          <w:rFonts w:ascii="Palatino Linotype" w:hAnsi="Palatino Linotype" w:cs="Arial"/>
          <w:bCs/>
          <w:i/>
          <w:noProof/>
          <w:sz w:val="22"/>
        </w:rPr>
        <w:t>información</w:t>
      </w:r>
      <w:r w:rsidRPr="00305CA1">
        <w:rPr>
          <w:rFonts w:ascii="Palatino Linotype" w:hAnsi="Palatino Linotype" w:cs="Arial"/>
          <w:i/>
          <w:sz w:val="22"/>
          <w:szCs w:val="22"/>
          <w:lang w:eastAsia="es-MX"/>
        </w:rPr>
        <w:t xml:space="preserve"> y sólo </w:t>
      </w:r>
      <w:r w:rsidRPr="00305CA1">
        <w:rPr>
          <w:rFonts w:ascii="Palatino Linotype" w:hAnsi="Palatino Linotype" w:cs="Arial"/>
          <w:i/>
          <w:sz w:val="22"/>
        </w:rPr>
        <w:t>podrán</w:t>
      </w:r>
      <w:r w:rsidRPr="00305CA1">
        <w:rPr>
          <w:rFonts w:ascii="Palatino Linotype" w:hAnsi="Palatino Linotype" w:cs="Arial"/>
          <w:i/>
          <w:sz w:val="22"/>
          <w:szCs w:val="22"/>
          <w:lang w:eastAsia="es-MX"/>
        </w:rPr>
        <w:t xml:space="preserve"> invocarlas cuando acrediten su procedencia.</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Quinto.</w:t>
      </w:r>
      <w:r w:rsidRPr="00305CA1">
        <w:rPr>
          <w:rFonts w:ascii="Palatino Linotype" w:hAnsi="Palatino Linotype" w:cs="Arial"/>
          <w:i/>
          <w:sz w:val="22"/>
          <w:szCs w:val="22"/>
          <w:lang w:eastAsia="es-MX"/>
        </w:rPr>
        <w:t xml:space="preserve"> La carga de </w:t>
      </w:r>
      <w:r w:rsidRPr="00305CA1">
        <w:rPr>
          <w:rFonts w:ascii="Palatino Linotype" w:hAnsi="Palatino Linotype" w:cs="Arial"/>
          <w:i/>
          <w:sz w:val="22"/>
          <w:lang w:eastAsia="es-MX"/>
        </w:rPr>
        <w:t>la</w:t>
      </w:r>
      <w:r w:rsidRPr="00305CA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305CA1">
        <w:rPr>
          <w:rFonts w:ascii="Palatino Linotype" w:hAnsi="Palatino Linotype" w:cs="Arial"/>
          <w:i/>
          <w:sz w:val="22"/>
        </w:rPr>
        <w:t>corresponderá</w:t>
      </w:r>
      <w:r w:rsidRPr="00305CA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Sexto.</w:t>
      </w:r>
      <w:r w:rsidRPr="00305CA1">
        <w:rPr>
          <w:rFonts w:ascii="Palatino Linotype" w:hAnsi="Palatino Linotype" w:cs="Arial"/>
          <w:i/>
          <w:sz w:val="22"/>
          <w:szCs w:val="22"/>
          <w:lang w:eastAsia="es-MX"/>
        </w:rPr>
        <w:t xml:space="preserve"> Los sujetos obligados no podrán emitir acuerdos de carácter general ni particular que clasifiquen </w:t>
      </w:r>
      <w:r w:rsidRPr="00305CA1">
        <w:rPr>
          <w:rFonts w:ascii="Palatino Linotype" w:hAnsi="Palatino Linotype" w:cs="Arial"/>
          <w:bCs/>
          <w:i/>
          <w:noProof/>
          <w:sz w:val="22"/>
        </w:rPr>
        <w:t>documentos</w:t>
      </w:r>
      <w:r w:rsidRPr="00305CA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A30D49" w:rsidRPr="00305CA1" w:rsidRDefault="00A30D49" w:rsidP="00A30D49">
      <w:pPr>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 xml:space="preserve">La clasificación de </w:t>
      </w:r>
      <w:r w:rsidRPr="00305CA1">
        <w:rPr>
          <w:rFonts w:ascii="Palatino Linotype" w:hAnsi="Palatino Linotype" w:cs="Arial"/>
          <w:i/>
          <w:sz w:val="22"/>
        </w:rPr>
        <w:t>información</w:t>
      </w:r>
      <w:r w:rsidRPr="00305CA1">
        <w:rPr>
          <w:rFonts w:ascii="Palatino Linotype" w:hAnsi="Palatino Linotype" w:cs="Arial"/>
          <w:i/>
          <w:sz w:val="22"/>
          <w:szCs w:val="22"/>
          <w:lang w:eastAsia="es-MX"/>
        </w:rPr>
        <w:t xml:space="preserve"> se realizará conforme a un análisis caso por caso, mediante la aplicación </w:t>
      </w:r>
      <w:r w:rsidRPr="00305CA1">
        <w:rPr>
          <w:rFonts w:ascii="Palatino Linotype" w:hAnsi="Palatino Linotype" w:cs="Arial"/>
          <w:bCs/>
          <w:i/>
          <w:noProof/>
          <w:sz w:val="22"/>
        </w:rPr>
        <w:t>de</w:t>
      </w:r>
      <w:r w:rsidRPr="00305CA1">
        <w:rPr>
          <w:rFonts w:ascii="Palatino Linotype" w:hAnsi="Palatino Linotype" w:cs="Arial"/>
          <w:i/>
          <w:sz w:val="22"/>
          <w:szCs w:val="22"/>
          <w:lang w:eastAsia="es-MX"/>
        </w:rPr>
        <w:t xml:space="preserve"> la prueba de daño y de interés público.</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Séptimo.</w:t>
      </w:r>
      <w:r w:rsidRPr="00305CA1">
        <w:rPr>
          <w:rFonts w:ascii="Palatino Linotype" w:hAnsi="Palatino Linotype" w:cs="Arial"/>
          <w:i/>
          <w:sz w:val="22"/>
          <w:szCs w:val="22"/>
          <w:lang w:eastAsia="es-MX"/>
        </w:rPr>
        <w:t xml:space="preserve"> La </w:t>
      </w:r>
      <w:r w:rsidRPr="00305CA1">
        <w:rPr>
          <w:rFonts w:ascii="Palatino Linotype" w:hAnsi="Palatino Linotype" w:cs="Arial"/>
          <w:i/>
          <w:sz w:val="22"/>
          <w:lang w:eastAsia="es-MX"/>
        </w:rPr>
        <w:t>clasificación</w:t>
      </w:r>
      <w:r w:rsidRPr="00305CA1">
        <w:rPr>
          <w:rFonts w:ascii="Palatino Linotype" w:hAnsi="Palatino Linotype" w:cs="Arial"/>
          <w:i/>
          <w:sz w:val="22"/>
          <w:szCs w:val="22"/>
          <w:lang w:eastAsia="es-MX"/>
        </w:rPr>
        <w:t xml:space="preserve"> </w:t>
      </w:r>
      <w:r w:rsidRPr="00305CA1">
        <w:rPr>
          <w:rFonts w:ascii="Palatino Linotype" w:hAnsi="Palatino Linotype" w:cs="Arial"/>
          <w:bCs/>
          <w:i/>
          <w:noProof/>
          <w:sz w:val="22"/>
        </w:rPr>
        <w:t>de</w:t>
      </w:r>
      <w:r w:rsidRPr="00305CA1">
        <w:rPr>
          <w:rFonts w:ascii="Palatino Linotype" w:hAnsi="Palatino Linotype" w:cs="Arial"/>
          <w:i/>
          <w:sz w:val="22"/>
          <w:szCs w:val="22"/>
          <w:lang w:eastAsia="es-MX"/>
        </w:rPr>
        <w:t xml:space="preserve"> la </w:t>
      </w:r>
      <w:r w:rsidRPr="00305CA1">
        <w:rPr>
          <w:rFonts w:ascii="Palatino Linotype" w:hAnsi="Palatino Linotype" w:cs="Arial"/>
          <w:i/>
          <w:sz w:val="22"/>
        </w:rPr>
        <w:t>información</w:t>
      </w:r>
      <w:r w:rsidRPr="00305CA1">
        <w:rPr>
          <w:rFonts w:ascii="Palatino Linotype" w:hAnsi="Palatino Linotype" w:cs="Arial"/>
          <w:i/>
          <w:sz w:val="22"/>
          <w:szCs w:val="22"/>
          <w:lang w:eastAsia="es-MX"/>
        </w:rPr>
        <w:t xml:space="preserve"> se llevará a cabo en el momento en que:</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I.</w:t>
      </w:r>
      <w:r w:rsidRPr="00305CA1">
        <w:rPr>
          <w:rFonts w:ascii="Palatino Linotype" w:hAnsi="Palatino Linotype" w:cs="Arial"/>
          <w:i/>
          <w:sz w:val="22"/>
          <w:szCs w:val="22"/>
          <w:lang w:eastAsia="es-MX"/>
        </w:rPr>
        <w:t xml:space="preserve"> Se reciba una </w:t>
      </w:r>
      <w:r w:rsidRPr="00305CA1">
        <w:rPr>
          <w:rFonts w:ascii="Palatino Linotype" w:hAnsi="Palatino Linotype" w:cs="Arial"/>
          <w:i/>
          <w:sz w:val="22"/>
          <w:lang w:eastAsia="es-MX"/>
        </w:rPr>
        <w:t>solicitud</w:t>
      </w:r>
      <w:r w:rsidRPr="00305CA1">
        <w:rPr>
          <w:rFonts w:ascii="Palatino Linotype" w:hAnsi="Palatino Linotype" w:cs="Arial"/>
          <w:i/>
          <w:sz w:val="22"/>
          <w:szCs w:val="22"/>
          <w:lang w:eastAsia="es-MX"/>
        </w:rPr>
        <w:t xml:space="preserve"> de acceso a la información;</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lastRenderedPageBreak/>
        <w:t>II.</w:t>
      </w:r>
      <w:r w:rsidRPr="00305CA1">
        <w:rPr>
          <w:rFonts w:ascii="Palatino Linotype" w:hAnsi="Palatino Linotype" w:cs="Arial"/>
          <w:i/>
          <w:sz w:val="22"/>
          <w:szCs w:val="22"/>
          <w:lang w:eastAsia="es-MX"/>
        </w:rPr>
        <w:t xml:space="preserve"> Se determine </w:t>
      </w:r>
      <w:r w:rsidRPr="00305CA1">
        <w:rPr>
          <w:rFonts w:ascii="Palatino Linotype" w:hAnsi="Palatino Linotype" w:cs="Arial"/>
          <w:bCs/>
          <w:i/>
          <w:noProof/>
          <w:sz w:val="22"/>
        </w:rPr>
        <w:t>mediante</w:t>
      </w:r>
      <w:r w:rsidRPr="00305CA1">
        <w:rPr>
          <w:rFonts w:ascii="Palatino Linotype" w:hAnsi="Palatino Linotype" w:cs="Arial"/>
          <w:i/>
          <w:sz w:val="22"/>
          <w:szCs w:val="22"/>
          <w:lang w:eastAsia="es-MX"/>
        </w:rPr>
        <w:t xml:space="preserve"> resolución de autoridad competente, o</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III.</w:t>
      </w:r>
      <w:r w:rsidRPr="00305CA1">
        <w:rPr>
          <w:rFonts w:ascii="Palatino Linotype" w:hAnsi="Palatino Linotype" w:cs="Arial"/>
          <w:i/>
          <w:sz w:val="22"/>
          <w:szCs w:val="22"/>
          <w:lang w:eastAsia="es-MX"/>
        </w:rPr>
        <w:t xml:space="preserve"> Se generen </w:t>
      </w:r>
      <w:r w:rsidRPr="00305CA1">
        <w:rPr>
          <w:rFonts w:ascii="Palatino Linotype" w:hAnsi="Palatino Linotype" w:cs="Arial"/>
          <w:bCs/>
          <w:i/>
          <w:noProof/>
          <w:sz w:val="22"/>
        </w:rPr>
        <w:t>versiones</w:t>
      </w:r>
      <w:r w:rsidRPr="00305CA1">
        <w:rPr>
          <w:rFonts w:ascii="Palatino Linotype" w:hAnsi="Palatino Linotype" w:cs="Arial"/>
          <w:i/>
          <w:sz w:val="22"/>
          <w:szCs w:val="22"/>
          <w:lang w:eastAsia="es-MX"/>
        </w:rPr>
        <w:t xml:space="preserve"> públicas para dar cumplimiento a las obligaciones de transparencia </w:t>
      </w:r>
      <w:r w:rsidRPr="00305CA1">
        <w:rPr>
          <w:rFonts w:ascii="Palatino Linotype" w:hAnsi="Palatino Linotype" w:cs="Arial"/>
          <w:i/>
          <w:sz w:val="22"/>
          <w:lang w:eastAsia="es-MX"/>
        </w:rPr>
        <w:t>previstas</w:t>
      </w:r>
      <w:r w:rsidRPr="00305CA1">
        <w:rPr>
          <w:rFonts w:ascii="Palatino Linotype" w:hAnsi="Palatino Linotype" w:cs="Arial"/>
          <w:i/>
          <w:sz w:val="22"/>
          <w:szCs w:val="22"/>
          <w:lang w:eastAsia="es-MX"/>
        </w:rPr>
        <w:t xml:space="preserve"> en la Ley General, la Ley Federal y las correspondientes de las entidades federativas.</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 xml:space="preserve">Los titulares de las áreas deberán revisar la clasificación al momento de la recepción de una solicitud de </w:t>
      </w:r>
      <w:r w:rsidRPr="00305CA1">
        <w:rPr>
          <w:rFonts w:ascii="Palatino Linotype" w:hAnsi="Palatino Linotype" w:cs="Arial"/>
          <w:bCs/>
          <w:i/>
          <w:noProof/>
          <w:sz w:val="22"/>
        </w:rPr>
        <w:t>acceso</w:t>
      </w:r>
      <w:r w:rsidRPr="00305CA1">
        <w:rPr>
          <w:rFonts w:ascii="Palatino Linotype" w:hAnsi="Palatino Linotype" w:cs="Arial"/>
          <w:i/>
          <w:sz w:val="22"/>
          <w:szCs w:val="22"/>
          <w:lang w:eastAsia="es-MX"/>
        </w:rPr>
        <w:t xml:space="preserve"> a la información, para verificar si encuadra en una causal de reserva o de confidencialidad.</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Octavo.</w:t>
      </w:r>
      <w:r w:rsidRPr="00305CA1">
        <w:rPr>
          <w:rFonts w:ascii="Palatino Linotype" w:hAnsi="Palatino Linotype" w:cs="Arial"/>
          <w:i/>
          <w:sz w:val="22"/>
          <w:szCs w:val="22"/>
          <w:lang w:eastAsia="es-MX"/>
        </w:rPr>
        <w:t xml:space="preserve"> Para fundar la clasificación de la información se debe señalar el artículo, fracción, inciso, </w:t>
      </w:r>
      <w:r w:rsidRPr="00305CA1">
        <w:rPr>
          <w:rFonts w:ascii="Palatino Linotype" w:hAnsi="Palatino Linotype" w:cs="Arial"/>
          <w:i/>
          <w:sz w:val="22"/>
          <w:lang w:eastAsia="es-MX"/>
        </w:rPr>
        <w:t>párrafo</w:t>
      </w:r>
      <w:r w:rsidRPr="00305CA1">
        <w:rPr>
          <w:rFonts w:ascii="Palatino Linotype" w:hAnsi="Palatino Linotype" w:cs="Arial"/>
          <w:i/>
          <w:sz w:val="22"/>
          <w:szCs w:val="22"/>
          <w:lang w:eastAsia="es-MX"/>
        </w:rPr>
        <w:t xml:space="preserve"> o numeral de la ley o tratado internacional suscrito por el Estado mexicano que </w:t>
      </w:r>
      <w:r w:rsidRPr="00305CA1">
        <w:rPr>
          <w:rFonts w:ascii="Palatino Linotype" w:hAnsi="Palatino Linotype" w:cs="Arial"/>
          <w:bCs/>
          <w:i/>
          <w:noProof/>
          <w:sz w:val="22"/>
        </w:rPr>
        <w:t>expresamente</w:t>
      </w:r>
      <w:r w:rsidRPr="00305CA1">
        <w:rPr>
          <w:rFonts w:ascii="Palatino Linotype" w:hAnsi="Palatino Linotype" w:cs="Arial"/>
          <w:i/>
          <w:sz w:val="22"/>
          <w:szCs w:val="22"/>
          <w:lang w:eastAsia="es-MX"/>
        </w:rPr>
        <w:t xml:space="preserve"> le otorga el carácter de reservada o confidencial.</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bCs/>
          <w:i/>
          <w:noProof/>
          <w:sz w:val="22"/>
        </w:rPr>
      </w:pPr>
      <w:r w:rsidRPr="00305CA1">
        <w:rPr>
          <w:rFonts w:ascii="Palatino Linotype" w:hAnsi="Palatino Linotype" w:cs="Arial"/>
          <w:i/>
          <w:sz w:val="22"/>
          <w:szCs w:val="22"/>
          <w:lang w:eastAsia="es-MX"/>
        </w:rPr>
        <w:t xml:space="preserve">Para </w:t>
      </w:r>
      <w:r w:rsidRPr="00305CA1">
        <w:rPr>
          <w:rFonts w:ascii="Palatino Linotype" w:hAnsi="Palatino Linotype" w:cs="Arial"/>
          <w:bCs/>
          <w:i/>
          <w:noProof/>
          <w:sz w:val="22"/>
        </w:rPr>
        <w:t xml:space="preserve">motivar la clasificación se deberán señalar las razones o circunstancias especiales que lo </w:t>
      </w:r>
      <w:r w:rsidRPr="00305CA1">
        <w:rPr>
          <w:rFonts w:ascii="Palatino Linotype" w:hAnsi="Palatino Linotype" w:cs="Arial"/>
          <w:i/>
          <w:sz w:val="22"/>
          <w:szCs w:val="22"/>
          <w:lang w:eastAsia="es-MX"/>
        </w:rPr>
        <w:t>llevaron</w:t>
      </w:r>
      <w:r w:rsidRPr="00305CA1">
        <w:rPr>
          <w:rFonts w:ascii="Palatino Linotype" w:hAnsi="Palatino Linotype" w:cs="Arial"/>
          <w:bCs/>
          <w:i/>
          <w:noProof/>
          <w:sz w:val="22"/>
        </w:rPr>
        <w:t xml:space="preserve"> a concluir que el caso particular se ajusta al supuesto previsto por la norma legal invocada como fundamento.</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bCs/>
          <w:i/>
          <w:noProof/>
          <w:sz w:val="22"/>
        </w:rPr>
      </w:pPr>
      <w:r w:rsidRPr="00305CA1">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305CA1">
        <w:rPr>
          <w:rFonts w:ascii="Palatino Linotype" w:hAnsi="Palatino Linotype" w:cs="Arial"/>
          <w:i/>
          <w:sz w:val="22"/>
          <w:szCs w:val="22"/>
          <w:lang w:eastAsia="es-MX"/>
        </w:rPr>
        <w:t>de</w:t>
      </w:r>
      <w:r w:rsidRPr="00305CA1">
        <w:rPr>
          <w:rFonts w:ascii="Palatino Linotype" w:hAnsi="Palatino Linotype" w:cs="Arial"/>
          <w:bCs/>
          <w:i/>
          <w:noProof/>
          <w:sz w:val="22"/>
        </w:rPr>
        <w:t xml:space="preserve"> </w:t>
      </w:r>
      <w:r w:rsidRPr="00305CA1">
        <w:rPr>
          <w:rFonts w:ascii="Palatino Linotype" w:hAnsi="Palatino Linotype" w:cs="Arial"/>
          <w:i/>
          <w:sz w:val="22"/>
          <w:szCs w:val="22"/>
          <w:lang w:eastAsia="es-MX"/>
        </w:rPr>
        <w:t>reserva</w:t>
      </w:r>
      <w:r w:rsidRPr="00305CA1">
        <w:rPr>
          <w:rFonts w:ascii="Palatino Linotype" w:hAnsi="Palatino Linotype" w:cs="Arial"/>
          <w:bCs/>
          <w:i/>
          <w:noProof/>
          <w:sz w:val="22"/>
        </w:rPr>
        <w:t>.</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bCs/>
          <w:i/>
          <w:noProof/>
          <w:sz w:val="22"/>
        </w:rPr>
      </w:pPr>
      <w:r w:rsidRPr="00305CA1">
        <w:rPr>
          <w:rFonts w:ascii="Palatino Linotype" w:hAnsi="Palatino Linotype" w:cs="Arial"/>
          <w:i/>
          <w:sz w:val="22"/>
          <w:szCs w:val="22"/>
          <w:lang w:eastAsia="es-MX"/>
        </w:rPr>
        <w:t>Tratándose</w:t>
      </w:r>
      <w:r w:rsidRPr="00305CA1">
        <w:rPr>
          <w:rFonts w:ascii="Palatino Linotype" w:hAnsi="Palatino Linotype" w:cs="Arial"/>
          <w:bCs/>
          <w:i/>
          <w:noProof/>
          <w:sz w:val="22"/>
        </w:rPr>
        <w:t xml:space="preserve"> de información clasificada como confidencial respecto de la cual se haya </w:t>
      </w:r>
      <w:r w:rsidRPr="00305CA1">
        <w:rPr>
          <w:rFonts w:ascii="Palatino Linotype" w:hAnsi="Palatino Linotype" w:cs="Arial"/>
          <w:i/>
          <w:sz w:val="22"/>
          <w:lang w:eastAsia="es-MX"/>
        </w:rPr>
        <w:t>determinado</w:t>
      </w:r>
      <w:r w:rsidRPr="00305CA1">
        <w:rPr>
          <w:rFonts w:ascii="Palatino Linotype" w:hAnsi="Palatino Linotype" w:cs="Arial"/>
          <w:bCs/>
          <w:i/>
          <w:noProof/>
          <w:sz w:val="22"/>
        </w:rPr>
        <w:t xml:space="preserve"> </w:t>
      </w:r>
      <w:r w:rsidRPr="00305CA1">
        <w:rPr>
          <w:rFonts w:ascii="Palatino Linotype" w:hAnsi="Palatino Linotype" w:cs="Arial"/>
          <w:i/>
          <w:sz w:val="22"/>
          <w:szCs w:val="22"/>
          <w:lang w:eastAsia="es-MX"/>
        </w:rPr>
        <w:t>su</w:t>
      </w:r>
      <w:r w:rsidRPr="00305CA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Cs/>
          <w:i/>
          <w:noProof/>
          <w:sz w:val="22"/>
        </w:rPr>
        <w:t>Los documentos contenidos</w:t>
      </w:r>
      <w:r w:rsidRPr="00305CA1">
        <w:rPr>
          <w:rFonts w:ascii="Palatino Linotype" w:hAnsi="Palatino Linotype" w:cs="Arial"/>
          <w:i/>
          <w:sz w:val="22"/>
          <w:szCs w:val="22"/>
          <w:lang w:eastAsia="es-MX"/>
        </w:rPr>
        <w:t xml:space="preserve"> en los archivos históricos y los identificados como históricos confidenciales no </w:t>
      </w:r>
      <w:r w:rsidRPr="00305CA1">
        <w:rPr>
          <w:rFonts w:ascii="Palatino Linotype" w:hAnsi="Palatino Linotype" w:cs="Arial"/>
          <w:i/>
          <w:sz w:val="22"/>
          <w:lang w:eastAsia="es-MX"/>
        </w:rPr>
        <w:t>serán</w:t>
      </w:r>
      <w:r w:rsidRPr="00305CA1">
        <w:rPr>
          <w:rFonts w:ascii="Palatino Linotype" w:hAnsi="Palatino Linotype" w:cs="Arial"/>
          <w:i/>
          <w:sz w:val="22"/>
          <w:szCs w:val="22"/>
          <w:lang w:eastAsia="es-MX"/>
        </w:rPr>
        <w:t xml:space="preserve"> susceptibles de clasificación como reservados.</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Noveno.</w:t>
      </w:r>
      <w:r w:rsidRPr="00305CA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Décimo.</w:t>
      </w:r>
      <w:r w:rsidRPr="00305CA1">
        <w:rPr>
          <w:rFonts w:ascii="Palatino Linotype" w:hAnsi="Palatino Linotype" w:cs="Arial"/>
          <w:i/>
          <w:sz w:val="22"/>
          <w:szCs w:val="22"/>
          <w:lang w:eastAsia="es-MX"/>
        </w:rPr>
        <w:t xml:space="preserve"> Los titulares de las áreas, deberán tener conocimiento y llevar un registro del personal que, por la </w:t>
      </w:r>
      <w:r w:rsidRPr="00305CA1">
        <w:rPr>
          <w:rFonts w:ascii="Palatino Linotype" w:hAnsi="Palatino Linotype" w:cs="Arial"/>
          <w:i/>
          <w:sz w:val="22"/>
          <w:lang w:eastAsia="es-MX"/>
        </w:rPr>
        <w:t>naturaleza</w:t>
      </w:r>
      <w:r w:rsidRPr="00305CA1">
        <w:rPr>
          <w:rFonts w:ascii="Palatino Linotype" w:hAnsi="Palatino Linotype" w:cs="Arial"/>
          <w:i/>
          <w:sz w:val="22"/>
          <w:szCs w:val="22"/>
          <w:lang w:eastAsia="es-MX"/>
        </w:rPr>
        <w:t xml:space="preserve"> de sus atribuciones, tenga acceso a los </w:t>
      </w:r>
      <w:r w:rsidRPr="00305CA1">
        <w:rPr>
          <w:rFonts w:ascii="Palatino Linotype" w:hAnsi="Palatino Linotype" w:cs="Arial"/>
          <w:i/>
          <w:sz w:val="22"/>
        </w:rPr>
        <w:t>documentos</w:t>
      </w:r>
      <w:r w:rsidRPr="00305CA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305CA1">
        <w:rPr>
          <w:rFonts w:ascii="Palatino Linotype" w:hAnsi="Palatino Linotype" w:cs="Arial"/>
          <w:i/>
          <w:sz w:val="22"/>
        </w:rPr>
        <w:t>que</w:t>
      </w:r>
      <w:r w:rsidRPr="00305CA1">
        <w:rPr>
          <w:rFonts w:ascii="Palatino Linotype" w:hAnsi="Palatino Linotype" w:cs="Arial"/>
          <w:i/>
          <w:sz w:val="22"/>
          <w:szCs w:val="22"/>
          <w:lang w:eastAsia="es-MX"/>
        </w:rPr>
        <w:t xml:space="preserve"> rija la actuación del sujeto obligado.</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lastRenderedPageBreak/>
        <w:t>Décimo primero.</w:t>
      </w:r>
      <w:r w:rsidRPr="00305CA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w:t>
      </w:r>
    </w:p>
    <w:p w:rsidR="00A30D49" w:rsidRPr="00305CA1" w:rsidRDefault="00A30D49" w:rsidP="00A30D49">
      <w:pPr>
        <w:autoSpaceDE w:val="0"/>
        <w:autoSpaceDN w:val="0"/>
        <w:adjustRightInd w:val="0"/>
        <w:spacing w:before="140" w:after="120"/>
        <w:ind w:left="709" w:right="709"/>
        <w:jc w:val="both"/>
        <w:rPr>
          <w:rFonts w:ascii="Palatino Linotype" w:hAnsi="Palatino Linotype" w:cs="Arial"/>
          <w:i/>
          <w:sz w:val="22"/>
          <w:szCs w:val="22"/>
          <w:lang w:eastAsia="es-MX"/>
        </w:rPr>
      </w:pPr>
    </w:p>
    <w:p w:rsidR="00A30D49" w:rsidRPr="00305CA1" w:rsidRDefault="00A30D49" w:rsidP="00A30D49">
      <w:pPr>
        <w:spacing w:before="240"/>
        <w:ind w:left="709" w:right="709"/>
        <w:jc w:val="center"/>
        <w:rPr>
          <w:rFonts w:ascii="Palatino Linotype" w:hAnsi="Palatino Linotype" w:cs="Arial"/>
          <w:b/>
          <w:i/>
          <w:sz w:val="22"/>
          <w:szCs w:val="22"/>
          <w:lang w:eastAsia="es-MX"/>
        </w:rPr>
      </w:pPr>
      <w:r w:rsidRPr="00305CA1">
        <w:rPr>
          <w:rFonts w:ascii="Palatino Linotype" w:hAnsi="Palatino Linotype" w:cs="Arial"/>
          <w:b/>
          <w:i/>
          <w:sz w:val="22"/>
          <w:szCs w:val="22"/>
          <w:lang w:eastAsia="es-MX"/>
        </w:rPr>
        <w:t>CAPÍTULO VIII</w:t>
      </w:r>
    </w:p>
    <w:p w:rsidR="00A30D49" w:rsidRPr="00305CA1" w:rsidRDefault="00A30D49" w:rsidP="00A30D49">
      <w:pPr>
        <w:ind w:left="709" w:right="709"/>
        <w:jc w:val="center"/>
        <w:rPr>
          <w:rFonts w:ascii="Palatino Linotype" w:hAnsi="Palatino Linotype" w:cs="Arial"/>
          <w:b/>
          <w:i/>
          <w:sz w:val="22"/>
          <w:szCs w:val="22"/>
          <w:lang w:eastAsia="es-MX"/>
        </w:rPr>
      </w:pPr>
      <w:r w:rsidRPr="00305CA1">
        <w:rPr>
          <w:rFonts w:ascii="Palatino Linotype" w:hAnsi="Palatino Linotype" w:cs="Arial"/>
          <w:b/>
          <w:i/>
          <w:sz w:val="22"/>
          <w:szCs w:val="22"/>
          <w:lang w:eastAsia="es-MX"/>
        </w:rPr>
        <w:t>DE LA LEYENDA DE CLASIFICACIÓN</w:t>
      </w:r>
    </w:p>
    <w:p w:rsidR="00A30D49" w:rsidRPr="00305CA1" w:rsidRDefault="00A30D49" w:rsidP="00A30D49">
      <w:pPr>
        <w:spacing w:before="12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 xml:space="preserve">Quincuagésimo. </w:t>
      </w:r>
      <w:r w:rsidRPr="00305CA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305CA1">
        <w:rPr>
          <w:rFonts w:ascii="Palatino Linotype" w:hAnsi="Palatino Linotype" w:cs="Arial"/>
          <w:i/>
          <w:sz w:val="22"/>
          <w:szCs w:val="22"/>
          <w:lang w:eastAsia="es-MX"/>
        </w:rPr>
        <w:t xml:space="preserve"> para señalar la clasificación de documentos o expedientes, sin perjuicio de que establezcan los propios.</w:t>
      </w:r>
    </w:p>
    <w:p w:rsidR="00A30D49" w:rsidRPr="00305CA1" w:rsidRDefault="00A30D49" w:rsidP="00A30D49">
      <w:pPr>
        <w:spacing w:before="120" w:after="12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w:t>
      </w:r>
    </w:p>
    <w:p w:rsidR="00A30D49" w:rsidRPr="00305CA1" w:rsidRDefault="00A30D49" w:rsidP="00A30D49">
      <w:pPr>
        <w:spacing w:before="120" w:after="120"/>
        <w:ind w:left="709" w:right="709"/>
        <w:jc w:val="both"/>
        <w:rPr>
          <w:rFonts w:ascii="Palatino Linotype" w:hAnsi="Palatino Linotype" w:cs="Arial"/>
          <w:i/>
          <w:sz w:val="22"/>
          <w:szCs w:val="22"/>
          <w:lang w:eastAsia="es-MX"/>
        </w:rPr>
      </w:pPr>
      <w:r w:rsidRPr="00305CA1">
        <w:rPr>
          <w:rFonts w:ascii="Palatino Linotype" w:hAnsi="Palatino Linotype" w:cs="Arial"/>
          <w:b/>
          <w:i/>
          <w:sz w:val="22"/>
          <w:szCs w:val="22"/>
          <w:lang w:eastAsia="es-MX"/>
        </w:rPr>
        <w:t xml:space="preserve">Quincuagésimo tercero. </w:t>
      </w:r>
      <w:r w:rsidRPr="00305CA1">
        <w:rPr>
          <w:rFonts w:ascii="Palatino Linotype" w:hAnsi="Palatino Linotype" w:cs="Arial"/>
          <w:b/>
          <w:i/>
          <w:sz w:val="22"/>
          <w:szCs w:val="22"/>
          <w:u w:val="single"/>
          <w:lang w:eastAsia="es-MX"/>
        </w:rPr>
        <w:t>El formato para señalar la clasificación parcial de un documento</w:t>
      </w:r>
      <w:r w:rsidRPr="00305CA1">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A30D49" w:rsidRPr="00305CA1" w:rsidTr="00C32932">
        <w:tc>
          <w:tcPr>
            <w:tcW w:w="1129" w:type="dxa"/>
            <w:tcBorders>
              <w:top w:val="nil"/>
              <w:left w:val="nil"/>
              <w:bottom w:val="single" w:sz="4" w:space="0" w:color="auto"/>
              <w:right w:val="single" w:sz="4" w:space="0" w:color="auto"/>
            </w:tcBorders>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A30D49" w:rsidRPr="00305CA1" w:rsidRDefault="00A30D49" w:rsidP="00C32932">
            <w:pPr>
              <w:jc w:val="center"/>
              <w:rPr>
                <w:rFonts w:ascii="Palatino Linotype" w:hAnsi="Palatino Linotype"/>
                <w:b/>
                <w:i/>
                <w:sz w:val="22"/>
                <w:szCs w:val="22"/>
              </w:rPr>
            </w:pPr>
            <w:r w:rsidRPr="00305CA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A30D49" w:rsidRPr="00305CA1" w:rsidRDefault="00A30D49" w:rsidP="00C32932">
            <w:pPr>
              <w:jc w:val="center"/>
              <w:rPr>
                <w:rFonts w:ascii="Palatino Linotype" w:hAnsi="Palatino Linotype"/>
                <w:b/>
                <w:i/>
                <w:sz w:val="22"/>
                <w:szCs w:val="22"/>
              </w:rPr>
            </w:pPr>
            <w:r w:rsidRPr="00305CA1">
              <w:rPr>
                <w:rFonts w:ascii="Palatino Linotype" w:hAnsi="Palatino Linotype"/>
                <w:b/>
                <w:i/>
                <w:sz w:val="22"/>
                <w:szCs w:val="22"/>
              </w:rPr>
              <w:t>Dónde:</w:t>
            </w:r>
          </w:p>
        </w:tc>
      </w:tr>
      <w:tr w:rsidR="00A30D49" w:rsidRPr="00305CA1" w:rsidTr="00C32932">
        <w:tc>
          <w:tcPr>
            <w:tcW w:w="1129" w:type="dxa"/>
            <w:vMerge w:val="restart"/>
            <w:tcBorders>
              <w:top w:val="single" w:sz="4" w:space="0" w:color="auto"/>
            </w:tcBorders>
            <w:shd w:val="clear" w:color="auto" w:fill="auto"/>
            <w:vAlign w:val="center"/>
          </w:tcPr>
          <w:p w:rsidR="00A30D49" w:rsidRPr="00305CA1" w:rsidRDefault="00A30D49" w:rsidP="00C32932">
            <w:pPr>
              <w:jc w:val="center"/>
              <w:rPr>
                <w:rFonts w:ascii="Palatino Linotype" w:hAnsi="Palatino Linotype" w:cs="Arial"/>
                <w:b/>
                <w:i/>
                <w:sz w:val="22"/>
                <w:szCs w:val="22"/>
                <w:lang w:eastAsia="es-MX"/>
              </w:rPr>
            </w:pPr>
            <w:r w:rsidRPr="00305CA1">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Se anotará la fecha en la que el Comité de Transparencia confirmó la clasificación del documento, en su caso.</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Área</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Se señalará el nombre del área del cual es titular quien clasifica.</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Información reservada</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305CA1">
              <w:rPr>
                <w:rFonts w:ascii="Palatino Linotype" w:hAnsi="Palatino Linotype" w:cs="Arial"/>
                <w:i/>
                <w:sz w:val="22"/>
                <w:szCs w:val="22"/>
                <w:lang w:eastAsia="es-MX"/>
              </w:rPr>
              <w:t>anotarán</w:t>
            </w:r>
            <w:proofErr w:type="gramEnd"/>
            <w:r w:rsidRPr="00305CA1">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Periodo de reserva</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Se anotará el número de años o meses por los que se mantendrá el documento o las partes del mismo como reservado.</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Fundamento legal</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Ampliación del periodo de reserva</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 xml:space="preserve">En caso de haber solicitado la ampliación del periodo de reserva originalmente establecido, se </w:t>
            </w:r>
            <w:r w:rsidRPr="00305CA1">
              <w:rPr>
                <w:rFonts w:ascii="Palatino Linotype" w:hAnsi="Palatino Linotype" w:cs="Arial"/>
                <w:i/>
                <w:sz w:val="22"/>
                <w:szCs w:val="22"/>
                <w:lang w:eastAsia="es-MX"/>
              </w:rPr>
              <w:lastRenderedPageBreak/>
              <w:t>deberá anotar el número de años o meses por los que se amplía la reserva.</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Confidencial</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Fundamento legal</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Rúbrica del titular del área</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Rúbrica autógrafa de quien clasifica.</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Fecha de desclasificación</w:t>
            </w:r>
          </w:p>
        </w:tc>
        <w:tc>
          <w:tcPr>
            <w:tcW w:w="4677" w:type="dxa"/>
            <w:shd w:val="clear" w:color="auto" w:fill="auto"/>
          </w:tcPr>
          <w:p w:rsidR="00A30D49" w:rsidRPr="00305CA1" w:rsidRDefault="00A30D49" w:rsidP="00C32932">
            <w:pPr>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Se anotará la fecha en que se desclasifica el documento.</w:t>
            </w:r>
          </w:p>
        </w:tc>
      </w:tr>
      <w:tr w:rsidR="00A30D49" w:rsidRPr="00305CA1" w:rsidTr="00C32932">
        <w:tc>
          <w:tcPr>
            <w:tcW w:w="1129" w:type="dxa"/>
            <w:vMerge/>
            <w:shd w:val="clear" w:color="auto" w:fill="auto"/>
          </w:tcPr>
          <w:p w:rsidR="00A30D49" w:rsidRPr="00305CA1" w:rsidRDefault="00A30D49" w:rsidP="00C32932">
            <w:pPr>
              <w:jc w:val="both"/>
              <w:rPr>
                <w:rFonts w:ascii="Palatino Linotype" w:hAnsi="Palatino Linotype" w:cs="Arial"/>
                <w:i/>
                <w:sz w:val="22"/>
                <w:szCs w:val="22"/>
                <w:lang w:eastAsia="es-MX"/>
              </w:rPr>
            </w:pPr>
          </w:p>
        </w:tc>
        <w:tc>
          <w:tcPr>
            <w:tcW w:w="1990" w:type="dxa"/>
            <w:shd w:val="clear" w:color="auto" w:fill="auto"/>
          </w:tcPr>
          <w:p w:rsidR="00A30D49" w:rsidRPr="00305CA1" w:rsidRDefault="00A30D49" w:rsidP="00C32932">
            <w:pPr>
              <w:jc w:val="center"/>
              <w:rPr>
                <w:rFonts w:ascii="Palatino Linotype" w:hAnsi="Palatino Linotype" w:cs="Arial"/>
                <w:i/>
                <w:sz w:val="22"/>
                <w:szCs w:val="22"/>
                <w:lang w:eastAsia="es-MX"/>
              </w:rPr>
            </w:pPr>
            <w:r w:rsidRPr="00305CA1">
              <w:rPr>
                <w:rFonts w:ascii="Palatino Linotype" w:hAnsi="Palatino Linotype" w:cs="Arial"/>
                <w:i/>
                <w:sz w:val="22"/>
                <w:szCs w:val="22"/>
                <w:lang w:eastAsia="es-MX"/>
              </w:rPr>
              <w:t>Rúbrica y cargo del servidor público</w:t>
            </w:r>
          </w:p>
        </w:tc>
        <w:tc>
          <w:tcPr>
            <w:tcW w:w="4677" w:type="dxa"/>
            <w:shd w:val="clear" w:color="auto" w:fill="auto"/>
            <w:vAlign w:val="center"/>
          </w:tcPr>
          <w:p w:rsidR="00A30D49" w:rsidRPr="00305CA1" w:rsidRDefault="00A30D49" w:rsidP="00C32932">
            <w:pPr>
              <w:rPr>
                <w:rFonts w:ascii="Palatino Linotype" w:hAnsi="Palatino Linotype" w:cs="Arial"/>
                <w:i/>
                <w:sz w:val="22"/>
                <w:szCs w:val="22"/>
                <w:lang w:eastAsia="es-MX"/>
              </w:rPr>
            </w:pPr>
            <w:r w:rsidRPr="00305CA1">
              <w:rPr>
                <w:rFonts w:ascii="Palatino Linotype" w:hAnsi="Palatino Linotype" w:cs="Arial"/>
                <w:i/>
                <w:sz w:val="22"/>
                <w:szCs w:val="22"/>
                <w:lang w:eastAsia="es-MX"/>
              </w:rPr>
              <w:t>Rúbrica autógrafa de quien desclasifica.</w:t>
            </w:r>
          </w:p>
        </w:tc>
      </w:tr>
    </w:tbl>
    <w:p w:rsidR="00A30D49" w:rsidRPr="00305CA1" w:rsidRDefault="00A30D49" w:rsidP="00A30D49">
      <w:pPr>
        <w:spacing w:before="240" w:after="240"/>
        <w:ind w:left="709" w:right="709"/>
        <w:jc w:val="both"/>
        <w:rPr>
          <w:rFonts w:ascii="Palatino Linotype" w:hAnsi="Palatino Linotype" w:cs="Arial"/>
          <w:i/>
          <w:sz w:val="22"/>
          <w:szCs w:val="22"/>
          <w:lang w:eastAsia="es-MX"/>
        </w:rPr>
      </w:pPr>
      <w:r w:rsidRPr="00305CA1">
        <w:rPr>
          <w:rFonts w:ascii="Palatino Linotype" w:hAnsi="Palatino Linotype" w:cs="Arial"/>
          <w:i/>
          <w:sz w:val="22"/>
          <w:szCs w:val="22"/>
          <w:lang w:eastAsia="es-MX"/>
        </w:rPr>
        <w:t>…”</w:t>
      </w:r>
    </w:p>
    <w:p w:rsidR="00A30D49" w:rsidRPr="00305CA1" w:rsidRDefault="00A30D49" w:rsidP="00A30D49">
      <w:pPr>
        <w:spacing w:before="240" w:after="240"/>
        <w:ind w:left="709" w:right="709"/>
        <w:jc w:val="both"/>
        <w:rPr>
          <w:rFonts w:ascii="Palatino Linotype" w:hAnsi="Palatino Linotype" w:cs="Arial"/>
          <w:sz w:val="22"/>
          <w:szCs w:val="22"/>
          <w:lang w:eastAsia="es-MX"/>
        </w:rPr>
      </w:pPr>
      <w:r w:rsidRPr="00305CA1">
        <w:rPr>
          <w:rFonts w:ascii="Palatino Linotype" w:hAnsi="Palatino Linotype" w:cs="Arial"/>
          <w:sz w:val="22"/>
          <w:szCs w:val="22"/>
          <w:lang w:eastAsia="es-MX"/>
        </w:rPr>
        <w:t>(Énfasis Añadido)</w:t>
      </w:r>
    </w:p>
    <w:p w:rsidR="00A30D49" w:rsidRPr="00305CA1" w:rsidRDefault="00A30D49" w:rsidP="00A30D49">
      <w:pPr>
        <w:pStyle w:val="Prrafodelista"/>
        <w:widowControl w:val="0"/>
        <w:autoSpaceDE w:val="0"/>
        <w:autoSpaceDN w:val="0"/>
        <w:adjustRightInd w:val="0"/>
        <w:spacing w:before="480" w:after="240" w:line="360" w:lineRule="auto"/>
        <w:ind w:left="0"/>
        <w:jc w:val="both"/>
        <w:rPr>
          <w:rFonts w:ascii="Palatino Linotype" w:hAnsi="Palatino Linotype" w:cs="Arial"/>
        </w:rPr>
      </w:pPr>
      <w:r w:rsidRPr="00305CA1">
        <w:rPr>
          <w:rFonts w:ascii="Palatino Linotype" w:hAnsi="Palatino Linotype" w:cs="Arial"/>
        </w:rPr>
        <w:t>Por lo tanto,</w:t>
      </w:r>
      <w:r w:rsidRPr="00305CA1">
        <w:rPr>
          <w:rFonts w:ascii="Palatino Linotype" w:hAnsi="Palatino Linotype"/>
        </w:rPr>
        <w:t xml:space="preserve"> es importante referir que </w:t>
      </w:r>
      <w:r w:rsidRPr="00305CA1">
        <w:rPr>
          <w:rFonts w:ascii="Palatino Linotype" w:hAnsi="Palatino Linotype"/>
          <w:b/>
        </w:rPr>
        <w:t>EL SUJETO OBLIGADO</w:t>
      </w:r>
      <w:r w:rsidRPr="00305CA1">
        <w:rPr>
          <w:rFonts w:ascii="Palatino Linotype" w:hAnsi="Palatino Linotype"/>
        </w:rPr>
        <w:t xml:space="preserve"> deberá seguir el procedimiento legal establecido para su </w:t>
      </w:r>
      <w:r w:rsidRPr="00305CA1">
        <w:rPr>
          <w:rFonts w:ascii="Palatino Linotype" w:hAnsi="Palatino Linotype"/>
          <w:lang w:eastAsia="es-MX"/>
        </w:rPr>
        <w:t>clasificación</w:t>
      </w:r>
      <w:r w:rsidRPr="00305CA1">
        <w:rPr>
          <w:rFonts w:ascii="Palatino Linotype" w:hAnsi="Palatino Linotype"/>
        </w:rPr>
        <w:t>, esto es, que su Comité de</w:t>
      </w:r>
      <w:r w:rsidRPr="00305CA1">
        <w:rPr>
          <w:rFonts w:ascii="Palatino Linotype" w:hAnsi="Palatino Linotype" w:cs="Arial"/>
        </w:rPr>
        <w:t xml:space="preserve"> Transparencia emita </w:t>
      </w:r>
      <w:r w:rsidRPr="00305CA1">
        <w:rPr>
          <w:rFonts w:ascii="Palatino Linotype" w:hAnsi="Palatino Linotype" w:cs="Arial"/>
          <w:lang w:val="es-ES_tradnl"/>
        </w:rPr>
        <w:t>un</w:t>
      </w:r>
      <w:r w:rsidRPr="00305CA1">
        <w:rPr>
          <w:rFonts w:ascii="Palatino Linotype" w:hAnsi="Palatino Linotype" w:cs="Arial"/>
        </w:rPr>
        <w:t xml:space="preserve"> Acuerdo de Clasificación que cumpla con las formalidades previstas, antes citadas</w:t>
      </w:r>
      <w:r w:rsidRPr="00305CA1">
        <w:rPr>
          <w:rFonts w:ascii="Palatino Linotype" w:hAnsi="Palatino Linotype" w:cs="Arial"/>
          <w:b/>
        </w:rPr>
        <w:t xml:space="preserve"> </w:t>
      </w:r>
      <w:r w:rsidRPr="00305CA1">
        <w:rPr>
          <w:rFonts w:ascii="Palatino Linotype" w:hAnsi="Palatino Linotype" w:cs="Arial"/>
        </w:rPr>
        <w:t xml:space="preserve">que la sustente, en el </w:t>
      </w:r>
      <w:r w:rsidRPr="00305CA1">
        <w:rPr>
          <w:rFonts w:ascii="Palatino Linotype" w:hAnsi="Palatino Linotype" w:cs="Arial"/>
          <w:lang w:eastAsia="es-MX"/>
        </w:rPr>
        <w:t>que</w:t>
      </w:r>
      <w:r w:rsidRPr="00305CA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w:t>
      </w:r>
      <w:r w:rsidRPr="00305CA1">
        <w:rPr>
          <w:rFonts w:ascii="Palatino Linotype" w:hAnsi="Palatino Linotype"/>
        </w:rPr>
        <w:t>más</w:t>
      </w:r>
      <w:r w:rsidRPr="00305CA1">
        <w:rPr>
          <w:rFonts w:ascii="Palatino Linotype" w:hAnsi="Palatino Linotype" w:cs="Arial"/>
        </w:rPr>
        <w:t xml:space="preserve">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w:t>
      </w:r>
      <w:r w:rsidRPr="00305CA1">
        <w:rPr>
          <w:rFonts w:ascii="Palatino Linotype" w:hAnsi="Palatino Linotype" w:cs="Arial"/>
        </w:rPr>
        <w:lastRenderedPageBreak/>
        <w:t>inicio el derecho de acceso a la información del solicitante.</w:t>
      </w:r>
    </w:p>
    <w:p w:rsidR="0010356C" w:rsidRPr="00305CA1" w:rsidRDefault="0010356C" w:rsidP="0010356C">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305CA1">
        <w:rPr>
          <w:rFonts w:ascii="Palatino Linotype" w:eastAsia="Calibri" w:hAnsi="Palatino Linotype" w:cs="Arial"/>
        </w:rPr>
        <w:t xml:space="preserve">Así, con </w:t>
      </w:r>
      <w:r w:rsidRPr="00305CA1">
        <w:rPr>
          <w:rFonts w:ascii="Palatino Linotype" w:hAnsi="Palatino Linotype" w:cs="Arial"/>
        </w:rPr>
        <w:t>fundamento</w:t>
      </w:r>
      <w:r w:rsidRPr="00305CA1">
        <w:rPr>
          <w:rFonts w:ascii="Palatino Linotype" w:eastAsia="Calibri" w:hAnsi="Palatino Linotype" w:cs="Arial"/>
        </w:rPr>
        <w:t xml:space="preserve"> en lo prescrito en los artículos 5, </w:t>
      </w:r>
      <w:r w:rsidRPr="00305CA1">
        <w:rPr>
          <w:rFonts w:ascii="Palatino Linotype" w:hAnsi="Palatino Linotype"/>
        </w:rPr>
        <w:t xml:space="preserve">párrafos </w:t>
      </w:r>
      <w:bookmarkStart w:id="2" w:name="_GoBack"/>
      <w:r w:rsidRPr="00305CA1">
        <w:rPr>
          <w:rFonts w:ascii="Palatino Linotype" w:hAnsi="Palatino Linotype"/>
        </w:rPr>
        <w:t>vigé</w:t>
      </w:r>
      <w:bookmarkEnd w:id="2"/>
      <w:r w:rsidRPr="00305CA1">
        <w:rPr>
          <w:rFonts w:ascii="Palatino Linotype" w:hAnsi="Palatino Linotype"/>
        </w:rPr>
        <w:t>simo segundo, vigésimo tercero y vigésimo cuarto</w:t>
      </w:r>
      <w:r w:rsidRPr="00305CA1">
        <w:rPr>
          <w:rFonts w:ascii="Palatino Linotype" w:hAnsi="Palatino Linotype" w:cs="Arial"/>
        </w:rPr>
        <w:t>,</w:t>
      </w:r>
      <w:r w:rsidRPr="00305CA1">
        <w:rPr>
          <w:rFonts w:ascii="Palatino Linotype" w:hAnsi="Palatino Linotype"/>
        </w:rPr>
        <w:t xml:space="preserve"> </w:t>
      </w:r>
      <w:r w:rsidRPr="00305CA1">
        <w:rPr>
          <w:rFonts w:ascii="Palatino Linotype" w:hAnsi="Palatino Linotype" w:cs="Arial"/>
        </w:rPr>
        <w:t>fracciones</w:t>
      </w:r>
      <w:r w:rsidRPr="00305CA1">
        <w:rPr>
          <w:rFonts w:ascii="Palatino Linotype" w:hAnsi="Palatino Linotype"/>
        </w:rPr>
        <w:t xml:space="preserve"> IV y V,</w:t>
      </w:r>
      <w:r w:rsidRPr="00305CA1">
        <w:rPr>
          <w:rFonts w:ascii="Palatino Linotype" w:eastAsia="Calibri" w:hAnsi="Palatino Linotype" w:cs="Arial"/>
        </w:rPr>
        <w:t xml:space="preserve"> de la Constitución Política del Estado Libre y Soberano de México y los artículos </w:t>
      </w:r>
      <w:r w:rsidRPr="00305CA1">
        <w:rPr>
          <w:rFonts w:ascii="Palatino Linotype" w:hAnsi="Palatino Linotype"/>
        </w:rPr>
        <w:t xml:space="preserve">2, </w:t>
      </w:r>
      <w:r w:rsidRPr="00305CA1">
        <w:rPr>
          <w:rFonts w:ascii="Palatino Linotype" w:hAnsi="Palatino Linotype" w:cs="Arial"/>
        </w:rPr>
        <w:t>fracción</w:t>
      </w:r>
      <w:r w:rsidRPr="00305CA1">
        <w:rPr>
          <w:rFonts w:ascii="Palatino Linotype" w:hAnsi="Palatino Linotype"/>
        </w:rPr>
        <w:t xml:space="preserve"> II, 9, </w:t>
      </w:r>
      <w:r w:rsidRPr="00305CA1">
        <w:rPr>
          <w:rFonts w:ascii="Palatino Linotype" w:hAnsi="Palatino Linotype" w:cs="Arial"/>
          <w:lang w:val="es-ES_tradnl"/>
        </w:rPr>
        <w:t>29</w:t>
      </w:r>
      <w:r w:rsidRPr="00305CA1">
        <w:rPr>
          <w:rFonts w:ascii="Palatino Linotype" w:hAnsi="Palatino Linotype"/>
        </w:rPr>
        <w:t xml:space="preserve">, 36, fracciones I y II, 176, 178, 179, 181, 185, fracción I, 186 y 188 </w:t>
      </w:r>
      <w:r w:rsidRPr="00305CA1">
        <w:rPr>
          <w:rFonts w:ascii="Palatino Linotype" w:eastAsia="Calibri" w:hAnsi="Palatino Linotype" w:cs="Arial"/>
        </w:rPr>
        <w:t xml:space="preserve">de la Ley de Transparencia y Acceso a la Información Pública del Estado de México y </w:t>
      </w:r>
      <w:r w:rsidRPr="00305CA1">
        <w:rPr>
          <w:rFonts w:ascii="Palatino Linotype" w:hAnsi="Palatino Linotype" w:cs="Arial"/>
        </w:rPr>
        <w:t>Municipios</w:t>
      </w:r>
      <w:r w:rsidRPr="00305CA1">
        <w:rPr>
          <w:rFonts w:ascii="Palatino Linotype" w:eastAsia="Calibri" w:hAnsi="Palatino Linotype" w:cs="Arial"/>
        </w:rPr>
        <w:t xml:space="preserve">, </w:t>
      </w:r>
      <w:r w:rsidRPr="00305CA1">
        <w:rPr>
          <w:rFonts w:ascii="Palatino Linotype" w:hAnsi="Palatino Linotype"/>
        </w:rPr>
        <w:t>este</w:t>
      </w:r>
      <w:r w:rsidRPr="00305CA1">
        <w:rPr>
          <w:rFonts w:ascii="Palatino Linotype" w:eastAsia="Calibri" w:hAnsi="Palatino Linotype" w:cs="Arial"/>
        </w:rPr>
        <w:t xml:space="preserve"> Pleno:</w:t>
      </w:r>
      <w:r w:rsidR="00A30D49" w:rsidRPr="00305CA1">
        <w:rPr>
          <w:rFonts w:ascii="Palatino Linotype" w:eastAsia="Calibri"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10356C" w:rsidRPr="00305CA1" w:rsidRDefault="0010356C" w:rsidP="0010356C">
      <w:pPr>
        <w:spacing w:before="240" w:after="100" w:afterAutospacing="1" w:line="360" w:lineRule="auto"/>
        <w:jc w:val="center"/>
        <w:rPr>
          <w:rFonts w:ascii="Palatino Linotype" w:hAnsi="Palatino Linotype"/>
          <w:b/>
          <w:bCs/>
          <w:spacing w:val="60"/>
          <w:sz w:val="28"/>
        </w:rPr>
      </w:pPr>
      <w:r w:rsidRPr="00305CA1">
        <w:rPr>
          <w:rFonts w:ascii="Palatino Linotype" w:hAnsi="Palatino Linotype"/>
          <w:b/>
          <w:bCs/>
          <w:spacing w:val="60"/>
          <w:sz w:val="28"/>
        </w:rPr>
        <w:t>RESUELVE</w:t>
      </w:r>
    </w:p>
    <w:p w:rsidR="00A30D49" w:rsidRPr="00305CA1" w:rsidRDefault="00A30D49" w:rsidP="00A30D49">
      <w:pPr>
        <w:pStyle w:val="Prrafodelista"/>
        <w:widowControl w:val="0"/>
        <w:numPr>
          <w:ilvl w:val="0"/>
          <w:numId w:val="8"/>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305CA1">
        <w:rPr>
          <w:rFonts w:ascii="Palatino Linotype" w:hAnsi="Palatino Linotype" w:cs="Arial"/>
        </w:rPr>
        <w:t xml:space="preserve">Resultan </w:t>
      </w:r>
      <w:r w:rsidRPr="00305CA1">
        <w:rPr>
          <w:rFonts w:ascii="Palatino Linotype" w:hAnsi="Palatino Linotype" w:cs="Arial"/>
          <w:b/>
        </w:rPr>
        <w:t>parcialmente</w:t>
      </w:r>
      <w:r w:rsidRPr="00305CA1">
        <w:rPr>
          <w:rFonts w:ascii="Palatino Linotype" w:hAnsi="Palatino Linotype" w:cs="Arial"/>
        </w:rPr>
        <w:t xml:space="preserve"> </w:t>
      </w:r>
      <w:r w:rsidRPr="00305CA1">
        <w:rPr>
          <w:rFonts w:ascii="Palatino Linotype" w:hAnsi="Palatino Linotype" w:cs="Arial"/>
          <w:b/>
        </w:rPr>
        <w:t>fundadas</w:t>
      </w:r>
      <w:r w:rsidRPr="00305CA1">
        <w:rPr>
          <w:rFonts w:ascii="Palatino Linotype" w:hAnsi="Palatino Linotype" w:cs="Arial"/>
        </w:rPr>
        <w:t xml:space="preserve"> las razones o motivos de inconformidad hechas valer por </w:t>
      </w:r>
      <w:r w:rsidRPr="00305CA1">
        <w:rPr>
          <w:rFonts w:ascii="Palatino Linotype" w:hAnsi="Palatino Linotype" w:cs="Arial"/>
          <w:b/>
        </w:rPr>
        <w:t>EL RECURRENTE</w:t>
      </w:r>
      <w:r w:rsidRPr="00305CA1">
        <w:rPr>
          <w:rFonts w:ascii="Palatino Linotype" w:hAnsi="Palatino Linotype" w:cs="Arial"/>
        </w:rPr>
        <w:t xml:space="preserve"> en términos del Considerando </w:t>
      </w:r>
      <w:r w:rsidRPr="00305CA1">
        <w:rPr>
          <w:rFonts w:ascii="Palatino Linotype" w:hAnsi="Palatino Linotype" w:cs="Arial"/>
          <w:b/>
        </w:rPr>
        <w:t>QUINTO</w:t>
      </w:r>
      <w:r w:rsidRPr="00305CA1">
        <w:rPr>
          <w:rFonts w:ascii="Palatino Linotype" w:hAnsi="Palatino Linotype" w:cs="Arial"/>
        </w:rPr>
        <w:t xml:space="preserve"> de la presente resolución.</w:t>
      </w:r>
    </w:p>
    <w:p w:rsidR="00A30D49" w:rsidRPr="00305CA1" w:rsidRDefault="00A30D49" w:rsidP="005B6331">
      <w:pPr>
        <w:pStyle w:val="Prrafodelista"/>
        <w:widowControl w:val="0"/>
        <w:numPr>
          <w:ilvl w:val="0"/>
          <w:numId w:val="8"/>
        </w:numPr>
        <w:tabs>
          <w:tab w:val="left" w:pos="1701"/>
        </w:tabs>
        <w:autoSpaceDE w:val="0"/>
        <w:autoSpaceDN w:val="0"/>
        <w:adjustRightInd w:val="0"/>
        <w:spacing w:before="360" w:after="240" w:line="360" w:lineRule="auto"/>
        <w:ind w:left="0" w:firstLine="0"/>
        <w:jc w:val="both"/>
        <w:rPr>
          <w:rFonts w:ascii="Palatino Linotype" w:hAnsi="Palatino Linotype" w:cs="Arial"/>
        </w:rPr>
      </w:pPr>
      <w:r w:rsidRPr="00305CA1">
        <w:rPr>
          <w:rFonts w:ascii="Palatino Linotype" w:hAnsi="Palatino Linotype" w:cs="Arial"/>
        </w:rPr>
        <w:t xml:space="preserve">Se </w:t>
      </w:r>
      <w:r w:rsidRPr="00305CA1">
        <w:rPr>
          <w:rFonts w:ascii="Palatino Linotype" w:hAnsi="Palatino Linotype" w:cs="Arial"/>
          <w:b/>
        </w:rPr>
        <w:t xml:space="preserve">MODIFICA </w:t>
      </w:r>
      <w:r w:rsidRPr="00305CA1">
        <w:rPr>
          <w:rFonts w:ascii="Palatino Linotype" w:hAnsi="Palatino Linotype" w:cs="Arial"/>
        </w:rPr>
        <w:t xml:space="preserve">la respuesta del </w:t>
      </w:r>
      <w:r w:rsidRPr="00305CA1">
        <w:rPr>
          <w:rFonts w:ascii="Palatino Linotype" w:hAnsi="Palatino Linotype" w:cs="Arial"/>
          <w:b/>
        </w:rPr>
        <w:t>SUJETO OBLIGADO</w:t>
      </w:r>
      <w:r w:rsidRPr="00305CA1">
        <w:rPr>
          <w:rFonts w:ascii="Palatino Linotype" w:hAnsi="Palatino Linotype" w:cs="Arial"/>
        </w:rPr>
        <w:t xml:space="preserve">, y se </w:t>
      </w:r>
      <w:r w:rsidRPr="00305CA1">
        <w:rPr>
          <w:rFonts w:ascii="Palatino Linotype" w:hAnsi="Palatino Linotype" w:cs="Arial"/>
          <w:b/>
        </w:rPr>
        <w:t>ordena</w:t>
      </w:r>
      <w:r w:rsidRPr="00305CA1">
        <w:rPr>
          <w:rFonts w:ascii="Palatino Linotype" w:hAnsi="Palatino Linotype" w:cs="Arial"/>
        </w:rPr>
        <w:t xml:space="preserve"> atienda la solicitud de información pública </w:t>
      </w:r>
      <w:r w:rsidR="005B6331" w:rsidRPr="00305CA1">
        <w:rPr>
          <w:rFonts w:ascii="Palatino Linotype" w:hAnsi="Palatino Linotype"/>
          <w:b/>
          <w:bCs/>
        </w:rPr>
        <w:t>00325/ISEM/IP/2019</w:t>
      </w:r>
      <w:r w:rsidRPr="00305CA1">
        <w:rPr>
          <w:rFonts w:ascii="Palatino Linotype" w:hAnsi="Palatino Linotype" w:cs="Arial"/>
        </w:rPr>
        <w:t>, y haga entrega al</w:t>
      </w:r>
      <w:r w:rsidRPr="00305CA1">
        <w:rPr>
          <w:rFonts w:ascii="Palatino Linotype" w:hAnsi="Palatino Linotype" w:cs="Arial"/>
          <w:b/>
        </w:rPr>
        <w:t xml:space="preserve"> RECURRENTE</w:t>
      </w:r>
      <w:r w:rsidRPr="00305CA1">
        <w:rPr>
          <w:rFonts w:ascii="Palatino Linotype" w:hAnsi="Palatino Linotype" w:cs="Arial"/>
        </w:rPr>
        <w:t xml:space="preserve">, vía </w:t>
      </w:r>
      <w:r w:rsidRPr="00305CA1">
        <w:rPr>
          <w:rFonts w:ascii="Palatino Linotype" w:hAnsi="Palatino Linotype" w:cs="Arial"/>
          <w:b/>
        </w:rPr>
        <w:t>EL</w:t>
      </w:r>
      <w:r w:rsidRPr="00305CA1">
        <w:rPr>
          <w:rFonts w:ascii="Palatino Linotype" w:hAnsi="Palatino Linotype" w:cs="Arial"/>
        </w:rPr>
        <w:t xml:space="preserve"> </w:t>
      </w:r>
      <w:r w:rsidRPr="00305CA1">
        <w:rPr>
          <w:rFonts w:ascii="Palatino Linotype" w:hAnsi="Palatino Linotype" w:cs="Arial"/>
          <w:b/>
        </w:rPr>
        <w:t>SAIMEX</w:t>
      </w:r>
      <w:r w:rsidRPr="00305CA1">
        <w:rPr>
          <w:rFonts w:ascii="Palatino Linotype" w:hAnsi="Palatino Linotype" w:cs="Arial"/>
        </w:rPr>
        <w:t xml:space="preserve">, </w:t>
      </w:r>
      <w:r w:rsidRPr="00305CA1">
        <w:rPr>
          <w:rFonts w:ascii="Palatino Linotype" w:hAnsi="Palatino Linotype"/>
        </w:rPr>
        <w:t xml:space="preserve">de ser procedente en </w:t>
      </w:r>
      <w:r w:rsidRPr="00305CA1">
        <w:rPr>
          <w:rFonts w:ascii="Palatino Linotype" w:hAnsi="Palatino Linotype"/>
          <w:b/>
        </w:rPr>
        <w:t>versión pública</w:t>
      </w:r>
      <w:r w:rsidRPr="00305CA1">
        <w:rPr>
          <w:rFonts w:ascii="Palatino Linotype" w:hAnsi="Palatino Linotype"/>
        </w:rPr>
        <w:t xml:space="preserve">, </w:t>
      </w:r>
      <w:r w:rsidR="005B6331" w:rsidRPr="00305CA1">
        <w:rPr>
          <w:rFonts w:ascii="Palatino Linotype" w:hAnsi="Palatino Linotype"/>
        </w:rPr>
        <w:t xml:space="preserve">los documentos en los que conste </w:t>
      </w:r>
      <w:r w:rsidRPr="00305CA1">
        <w:rPr>
          <w:rFonts w:ascii="Palatino Linotype" w:hAnsi="Palatino Linotype" w:cs="Arial"/>
        </w:rPr>
        <w:t>lo siguiente:</w:t>
      </w:r>
    </w:p>
    <w:p w:rsidR="005B6331" w:rsidRPr="00305CA1" w:rsidRDefault="005B6331" w:rsidP="008354EB">
      <w:pPr>
        <w:spacing w:before="240" w:after="240" w:line="276" w:lineRule="auto"/>
        <w:ind w:left="851" w:right="899"/>
        <w:jc w:val="both"/>
        <w:rPr>
          <w:rFonts w:ascii="Palatino Linotype" w:hAnsi="Palatino Linotype"/>
          <w:bCs/>
          <w:i/>
          <w:sz w:val="22"/>
          <w:szCs w:val="22"/>
        </w:rPr>
      </w:pPr>
      <w:r w:rsidRPr="00305CA1">
        <w:rPr>
          <w:rFonts w:ascii="Palatino Linotype" w:hAnsi="Palatino Linotype"/>
          <w:bCs/>
          <w:i/>
          <w:sz w:val="22"/>
          <w:szCs w:val="22"/>
        </w:rPr>
        <w:t>“</w:t>
      </w:r>
      <w:r w:rsidRPr="00305CA1">
        <w:rPr>
          <w:rFonts w:ascii="Palatino Linotype" w:hAnsi="Palatino Linotype"/>
          <w:b/>
          <w:bCs/>
          <w:i/>
          <w:sz w:val="22"/>
          <w:szCs w:val="22"/>
        </w:rPr>
        <w:t>a)</w:t>
      </w:r>
      <w:r w:rsidRPr="00305CA1">
        <w:rPr>
          <w:rFonts w:ascii="Palatino Linotype" w:hAnsi="Palatino Linotype"/>
          <w:b/>
          <w:bCs/>
          <w:i/>
          <w:sz w:val="22"/>
          <w:szCs w:val="22"/>
        </w:rPr>
        <w:tab/>
      </w:r>
      <w:r w:rsidRPr="00305CA1">
        <w:rPr>
          <w:rFonts w:ascii="Palatino Linotype" w:hAnsi="Palatino Linotype"/>
          <w:i/>
          <w:sz w:val="22"/>
          <w:szCs w:val="22"/>
        </w:rPr>
        <w:t xml:space="preserve">El número de servidores públicos, médicos y personal de enfermería que ha sido regularizado, formalizado y/o </w:t>
      </w:r>
      <w:proofErr w:type="spellStart"/>
      <w:r w:rsidRPr="00305CA1">
        <w:rPr>
          <w:rFonts w:ascii="Palatino Linotype" w:hAnsi="Palatino Linotype"/>
          <w:i/>
          <w:sz w:val="22"/>
          <w:szCs w:val="22"/>
        </w:rPr>
        <w:t>basificado</w:t>
      </w:r>
      <w:proofErr w:type="spellEnd"/>
      <w:r w:rsidRPr="00305CA1">
        <w:rPr>
          <w:rFonts w:ascii="Palatino Linotype" w:hAnsi="Palatino Linotype"/>
          <w:i/>
          <w:sz w:val="22"/>
          <w:szCs w:val="22"/>
        </w:rPr>
        <w:t xml:space="preserve">, en el Hospital Materno Perinatal Mónica </w:t>
      </w:r>
      <w:proofErr w:type="spellStart"/>
      <w:r w:rsidRPr="00305CA1">
        <w:rPr>
          <w:rFonts w:ascii="Palatino Linotype" w:hAnsi="Palatino Linotype"/>
          <w:i/>
          <w:sz w:val="22"/>
          <w:szCs w:val="22"/>
        </w:rPr>
        <w:t>Pretelini</w:t>
      </w:r>
      <w:proofErr w:type="spellEnd"/>
      <w:r w:rsidRPr="00305CA1">
        <w:rPr>
          <w:rFonts w:ascii="Palatino Linotype" w:hAnsi="Palatino Linotype"/>
          <w:i/>
          <w:sz w:val="22"/>
          <w:szCs w:val="22"/>
        </w:rPr>
        <w:t>, del año 2011 al</w:t>
      </w:r>
      <w:r w:rsidR="003D4382" w:rsidRPr="00305CA1">
        <w:rPr>
          <w:rFonts w:ascii="Palatino Linotype" w:hAnsi="Palatino Linotype"/>
          <w:i/>
          <w:sz w:val="22"/>
          <w:szCs w:val="22"/>
        </w:rPr>
        <w:t xml:space="preserve"> 31 de julio de</w:t>
      </w:r>
      <w:r w:rsidRPr="00305CA1">
        <w:rPr>
          <w:rFonts w:ascii="Palatino Linotype" w:hAnsi="Palatino Linotype"/>
          <w:i/>
          <w:sz w:val="22"/>
          <w:szCs w:val="22"/>
        </w:rPr>
        <w:t xml:space="preserve"> 2019, y</w:t>
      </w:r>
    </w:p>
    <w:p w:rsidR="005B6331" w:rsidRPr="00305CA1" w:rsidRDefault="005B6331" w:rsidP="008354EB">
      <w:pPr>
        <w:spacing w:before="240" w:after="240" w:line="276" w:lineRule="auto"/>
        <w:ind w:left="851" w:right="899"/>
        <w:jc w:val="both"/>
        <w:rPr>
          <w:rFonts w:ascii="Palatino Linotype" w:hAnsi="Palatino Linotype"/>
          <w:i/>
          <w:sz w:val="22"/>
          <w:szCs w:val="22"/>
        </w:rPr>
      </w:pPr>
      <w:r w:rsidRPr="00305CA1">
        <w:rPr>
          <w:rFonts w:ascii="Palatino Linotype" w:hAnsi="Palatino Linotype" w:cs="Arial"/>
          <w:b/>
          <w:i/>
          <w:sz w:val="22"/>
          <w:szCs w:val="22"/>
          <w:lang w:eastAsia="es-MX"/>
        </w:rPr>
        <w:lastRenderedPageBreak/>
        <w:t>b)</w:t>
      </w:r>
      <w:r w:rsidRPr="00305CA1">
        <w:rPr>
          <w:rFonts w:ascii="Palatino Linotype" w:hAnsi="Palatino Linotype" w:cs="Arial"/>
          <w:b/>
          <w:i/>
          <w:sz w:val="22"/>
          <w:szCs w:val="22"/>
          <w:lang w:eastAsia="es-MX"/>
        </w:rPr>
        <w:tab/>
      </w:r>
      <w:r w:rsidRPr="00305CA1">
        <w:rPr>
          <w:rFonts w:ascii="Palatino Linotype" w:hAnsi="Palatino Linotype"/>
          <w:i/>
          <w:sz w:val="22"/>
          <w:szCs w:val="22"/>
        </w:rPr>
        <w:t xml:space="preserve">El nombre o denominación del área o Unidad Administrativa encargada de determinar que el personal médico y de enfermería, fuera regularizado, formalizado y/o </w:t>
      </w:r>
      <w:proofErr w:type="spellStart"/>
      <w:r w:rsidRPr="00305CA1">
        <w:rPr>
          <w:rFonts w:ascii="Palatino Linotype" w:hAnsi="Palatino Linotype"/>
          <w:i/>
          <w:sz w:val="22"/>
          <w:szCs w:val="22"/>
        </w:rPr>
        <w:t>basificado</w:t>
      </w:r>
      <w:proofErr w:type="spellEnd"/>
      <w:r w:rsidRPr="00305CA1">
        <w:rPr>
          <w:rFonts w:ascii="Palatino Linotype" w:hAnsi="Palatino Linotype"/>
          <w:i/>
          <w:sz w:val="22"/>
          <w:szCs w:val="22"/>
        </w:rPr>
        <w:t xml:space="preserve">, en el Hospital Materno Perinatal Mónica </w:t>
      </w:r>
      <w:proofErr w:type="spellStart"/>
      <w:r w:rsidRPr="00305CA1">
        <w:rPr>
          <w:rFonts w:ascii="Palatino Linotype" w:hAnsi="Palatino Linotype"/>
          <w:i/>
          <w:sz w:val="22"/>
          <w:szCs w:val="22"/>
        </w:rPr>
        <w:t>Pretelini</w:t>
      </w:r>
      <w:proofErr w:type="spellEnd"/>
      <w:r w:rsidRPr="00305CA1">
        <w:rPr>
          <w:rFonts w:ascii="Palatino Linotype" w:hAnsi="Palatino Linotype"/>
          <w:i/>
          <w:sz w:val="22"/>
          <w:szCs w:val="22"/>
        </w:rPr>
        <w:t xml:space="preserve">, del año 2011 al </w:t>
      </w:r>
      <w:r w:rsidR="003D4382" w:rsidRPr="00305CA1">
        <w:rPr>
          <w:rFonts w:ascii="Palatino Linotype" w:hAnsi="Palatino Linotype"/>
          <w:i/>
          <w:sz w:val="22"/>
          <w:szCs w:val="22"/>
        </w:rPr>
        <w:t xml:space="preserve">31 de julio de </w:t>
      </w:r>
      <w:r w:rsidRPr="00305CA1">
        <w:rPr>
          <w:rFonts w:ascii="Palatino Linotype" w:hAnsi="Palatino Linotype"/>
          <w:i/>
          <w:sz w:val="22"/>
          <w:szCs w:val="22"/>
        </w:rPr>
        <w:t>2019.</w:t>
      </w:r>
    </w:p>
    <w:p w:rsidR="005B6331" w:rsidRPr="00305CA1" w:rsidRDefault="005B6331" w:rsidP="008354EB">
      <w:pPr>
        <w:spacing w:before="240" w:after="240" w:line="276" w:lineRule="auto"/>
        <w:ind w:left="851" w:right="899"/>
        <w:jc w:val="both"/>
        <w:rPr>
          <w:rFonts w:ascii="Palatino Linotype" w:hAnsi="Palatino Linotype" w:cs="Arial"/>
          <w:i/>
          <w:sz w:val="22"/>
          <w:szCs w:val="22"/>
          <w:lang w:eastAsia="es-MX"/>
        </w:rPr>
      </w:pPr>
      <w:r w:rsidRPr="00305CA1">
        <w:rPr>
          <w:rFonts w:ascii="Palatino Linotype" w:hAnsi="Palatino Linotype"/>
          <w:bCs/>
          <w:i/>
          <w:sz w:val="22"/>
          <w:szCs w:val="22"/>
        </w:rPr>
        <w:t>Debiendo notificar al</w:t>
      </w:r>
      <w:r w:rsidRPr="00305CA1">
        <w:rPr>
          <w:rFonts w:ascii="Palatino Linotype" w:hAnsi="Palatino Linotype"/>
          <w:b/>
          <w:bCs/>
          <w:i/>
          <w:sz w:val="22"/>
          <w:szCs w:val="22"/>
        </w:rPr>
        <w:t xml:space="preserve"> RECURRENTE</w:t>
      </w:r>
      <w:r w:rsidRPr="00305CA1">
        <w:rPr>
          <w:rFonts w:ascii="Palatino Linotype" w:hAnsi="Palatino Linotype"/>
          <w:bCs/>
          <w:i/>
          <w:sz w:val="22"/>
          <w:szCs w:val="22"/>
        </w:rPr>
        <w:t xml:space="preserve"> el Acuerdo de Clasificación de la información que emita el Comité de Transparencia con motivo de la versión pública.”</w:t>
      </w:r>
    </w:p>
    <w:p w:rsidR="005B6331" w:rsidRPr="00305CA1" w:rsidRDefault="005B6331" w:rsidP="005B6331">
      <w:pPr>
        <w:pStyle w:val="Prrafodelista"/>
        <w:widowControl w:val="0"/>
        <w:numPr>
          <w:ilvl w:val="0"/>
          <w:numId w:val="8"/>
        </w:numPr>
        <w:tabs>
          <w:tab w:val="left" w:pos="1701"/>
        </w:tabs>
        <w:autoSpaceDE w:val="0"/>
        <w:autoSpaceDN w:val="0"/>
        <w:adjustRightInd w:val="0"/>
        <w:spacing w:before="360" w:after="240" w:line="360" w:lineRule="auto"/>
        <w:ind w:left="0" w:firstLine="0"/>
        <w:jc w:val="both"/>
        <w:rPr>
          <w:rFonts w:ascii="Palatino Linotype" w:hAnsi="Palatino Linotype"/>
          <w:shd w:val="clear" w:color="auto" w:fill="FFFFFF"/>
        </w:rPr>
      </w:pPr>
      <w:r w:rsidRPr="00305CA1">
        <w:rPr>
          <w:rFonts w:ascii="Palatino Linotype" w:hAnsi="Palatino Linotype"/>
          <w:b/>
          <w:szCs w:val="17"/>
          <w:lang w:eastAsia="es-ES_tradnl"/>
        </w:rPr>
        <w:t>Notifíquese</w:t>
      </w:r>
      <w:r w:rsidRPr="00305CA1">
        <w:rPr>
          <w:rFonts w:ascii="Palatino Linotype" w:hAnsi="Palatino Linotype"/>
          <w:szCs w:val="17"/>
          <w:lang w:eastAsia="es-ES_tradnl"/>
        </w:rPr>
        <w:t xml:space="preserve"> </w:t>
      </w:r>
      <w:r w:rsidRPr="00305CA1">
        <w:rPr>
          <w:rFonts w:ascii="Palatino Linotype" w:hAnsi="Palatino Linotype"/>
          <w:shd w:val="clear" w:color="auto" w:fill="FFFFFF"/>
        </w:rPr>
        <w:t xml:space="preserve">al </w:t>
      </w:r>
      <w:r w:rsidRPr="00305CA1">
        <w:rPr>
          <w:rFonts w:ascii="Palatino Linotype" w:hAnsi="Palatino Linotype" w:cs="Arial"/>
        </w:rPr>
        <w:t>Titular</w:t>
      </w:r>
      <w:r w:rsidRPr="00305CA1">
        <w:rPr>
          <w:rFonts w:ascii="Palatino Linotype" w:hAnsi="Palatino Linotype"/>
          <w:shd w:val="clear" w:color="auto" w:fill="FFFFFF"/>
        </w:rPr>
        <w:t xml:space="preserve"> </w:t>
      </w:r>
      <w:r w:rsidRPr="00305CA1">
        <w:rPr>
          <w:rFonts w:ascii="Palatino Linotype" w:hAnsi="Palatino Linotype" w:cs="Arial"/>
        </w:rPr>
        <w:t>de</w:t>
      </w:r>
      <w:r w:rsidRPr="00305CA1">
        <w:rPr>
          <w:rFonts w:ascii="Palatino Linotype" w:hAnsi="Palatino Linotype"/>
          <w:shd w:val="clear" w:color="auto" w:fill="FFFFFF"/>
        </w:rPr>
        <w:t xml:space="preserve"> la Unidad de Transparencia del</w:t>
      </w:r>
      <w:r w:rsidRPr="00305CA1">
        <w:rPr>
          <w:rStyle w:val="apple-converted-space"/>
          <w:rFonts w:ascii="Palatino Linotype" w:hAnsi="Palatino Linotype"/>
          <w:b/>
          <w:shd w:val="clear" w:color="auto" w:fill="FFFFFF"/>
        </w:rPr>
        <w:t xml:space="preserve"> </w:t>
      </w:r>
      <w:r w:rsidRPr="00305CA1">
        <w:rPr>
          <w:rFonts w:ascii="Palatino Linotype" w:hAnsi="Palatino Linotype"/>
          <w:b/>
          <w:shd w:val="clear" w:color="auto" w:fill="FFFFFF"/>
        </w:rPr>
        <w:t>SUJETO OBLIGADO</w:t>
      </w:r>
      <w:r w:rsidRPr="00305CA1">
        <w:rPr>
          <w:rFonts w:ascii="Palatino Linotype" w:hAnsi="Palatino Linotype"/>
          <w:shd w:val="clear" w:color="auto" w:fill="FFFFFF"/>
        </w:rPr>
        <w:t xml:space="preserve">, para que </w:t>
      </w:r>
      <w:r w:rsidRPr="00305CA1">
        <w:rPr>
          <w:rFonts w:ascii="Palatino Linotype" w:hAnsi="Palatino Linotype" w:cs="Arial"/>
        </w:rPr>
        <w:t>conforme</w:t>
      </w:r>
      <w:r w:rsidRPr="00305CA1">
        <w:rPr>
          <w:rFonts w:ascii="Palatino Linotype" w:hAnsi="Palatino Linotype"/>
          <w:shd w:val="clear" w:color="auto" w:fill="FFFFFF"/>
        </w:rPr>
        <w:t xml:space="preserve"> a los artículos 186 último párrafo y 189 párrafo segundo de la Ley de </w:t>
      </w:r>
      <w:r w:rsidRPr="00305CA1">
        <w:rPr>
          <w:rFonts w:ascii="Palatino Linotype" w:hAnsi="Palatino Linotype"/>
          <w:szCs w:val="17"/>
          <w:lang w:eastAsia="es-ES_tradnl"/>
        </w:rPr>
        <w:t>Transparencia</w:t>
      </w:r>
      <w:r w:rsidRPr="00305CA1">
        <w:rPr>
          <w:rFonts w:ascii="Palatino Linotype" w:hAnsi="Palatino Linotype"/>
          <w:shd w:val="clear" w:color="auto" w:fill="FFFFFF"/>
        </w:rPr>
        <w:t xml:space="preserve"> y </w:t>
      </w:r>
      <w:r w:rsidRPr="00305CA1">
        <w:rPr>
          <w:rFonts w:ascii="Palatino Linotype" w:hAnsi="Palatino Linotype" w:cs="Arial"/>
        </w:rPr>
        <w:t>Acceso</w:t>
      </w:r>
      <w:r w:rsidRPr="00305CA1">
        <w:rPr>
          <w:rFonts w:ascii="Palatino Linotype" w:hAnsi="Palatino Linotype"/>
          <w:shd w:val="clear" w:color="auto" w:fill="FFFFFF"/>
        </w:rPr>
        <w:t xml:space="preserve"> a la Información Pública del Estado de México y Municipios, dé </w:t>
      </w:r>
      <w:r w:rsidRPr="00305CA1">
        <w:rPr>
          <w:rFonts w:ascii="Palatino Linotype" w:hAnsi="Palatino Linotype" w:cs="Arial"/>
        </w:rPr>
        <w:t>cumplimiento</w:t>
      </w:r>
      <w:r w:rsidRPr="00305CA1">
        <w:rPr>
          <w:rFonts w:ascii="Palatino Linotype" w:hAnsi="Palatino Linotype"/>
          <w:shd w:val="clear" w:color="auto" w:fill="FFFFFF"/>
        </w:rPr>
        <w:t xml:space="preserve"> a lo </w:t>
      </w:r>
      <w:r w:rsidRPr="00305CA1">
        <w:rPr>
          <w:rFonts w:ascii="Palatino Linotype" w:hAnsi="Palatino Linotype" w:cs="Arial"/>
        </w:rPr>
        <w:t>ordenado</w:t>
      </w:r>
      <w:r w:rsidRPr="00305CA1">
        <w:rPr>
          <w:rFonts w:ascii="Palatino Linotype" w:hAnsi="Palatino Linotype"/>
          <w:shd w:val="clear" w:color="auto" w:fill="FFFFFF"/>
        </w:rPr>
        <w:t xml:space="preserve"> dentro del plazo de diez días hábiles, debiendo informar a este Instituto en un plazo </w:t>
      </w:r>
      <w:r w:rsidRPr="00305CA1">
        <w:rPr>
          <w:rFonts w:ascii="Palatino Linotype" w:eastAsiaTheme="minorEastAsia" w:hAnsi="Palatino Linotype"/>
          <w:szCs w:val="17"/>
          <w:lang w:eastAsia="es-ES_tradnl"/>
        </w:rPr>
        <w:t>de</w:t>
      </w:r>
      <w:r w:rsidRPr="00305CA1">
        <w:rPr>
          <w:rFonts w:ascii="Palatino Linotype" w:hAnsi="Palatino Linotype"/>
          <w:shd w:val="clear" w:color="auto" w:fill="FFFFFF"/>
        </w:rPr>
        <w:t xml:space="preserve"> tres días hábiles siguientes sobre el cumplimiento dado a la resolución.</w:t>
      </w:r>
    </w:p>
    <w:p w:rsidR="005B6331" w:rsidRPr="00305CA1" w:rsidRDefault="005B6331" w:rsidP="005B6331">
      <w:pPr>
        <w:pStyle w:val="Prrafodelista"/>
        <w:widowControl w:val="0"/>
        <w:numPr>
          <w:ilvl w:val="0"/>
          <w:numId w:val="8"/>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305CA1">
        <w:rPr>
          <w:rFonts w:ascii="Palatino Linotype" w:hAnsi="Palatino Linotype"/>
          <w:b/>
          <w:szCs w:val="17"/>
          <w:lang w:eastAsia="es-ES_tradnl"/>
        </w:rPr>
        <w:t>Notifíquese</w:t>
      </w:r>
      <w:r w:rsidRPr="00305CA1">
        <w:rPr>
          <w:rFonts w:ascii="Palatino Linotype" w:hAnsi="Palatino Linotype"/>
          <w:szCs w:val="17"/>
          <w:lang w:eastAsia="es-ES_tradnl"/>
        </w:rPr>
        <w:t xml:space="preserve"> al</w:t>
      </w:r>
      <w:r w:rsidRPr="00305CA1">
        <w:rPr>
          <w:rFonts w:ascii="Palatino Linotype" w:hAnsi="Palatino Linotype" w:cs="Arial"/>
          <w:b/>
        </w:rPr>
        <w:t xml:space="preserve"> RECURRENTE</w:t>
      </w:r>
      <w:r w:rsidRPr="00305CA1">
        <w:rPr>
          <w:rFonts w:ascii="Palatino Linotype" w:hAnsi="Palatino Linotype"/>
          <w:szCs w:val="17"/>
          <w:lang w:eastAsia="es-ES_tradnl"/>
        </w:rPr>
        <w:t xml:space="preserve"> la </w:t>
      </w:r>
      <w:r w:rsidRPr="00305CA1">
        <w:rPr>
          <w:rFonts w:ascii="Palatino Linotype" w:hAnsi="Palatino Linotype" w:cs="Arial"/>
        </w:rPr>
        <w:t>presente</w:t>
      </w:r>
      <w:r w:rsidRPr="00305CA1">
        <w:rPr>
          <w:rFonts w:ascii="Palatino Linotype" w:hAnsi="Palatino Linotype"/>
          <w:szCs w:val="17"/>
          <w:lang w:eastAsia="es-ES_tradnl"/>
        </w:rPr>
        <w:t xml:space="preserve"> resolución.</w:t>
      </w:r>
    </w:p>
    <w:p w:rsidR="005B6331" w:rsidRPr="00305CA1" w:rsidRDefault="005B6331" w:rsidP="005B6331">
      <w:pPr>
        <w:pStyle w:val="Prrafodelista"/>
        <w:widowControl w:val="0"/>
        <w:numPr>
          <w:ilvl w:val="0"/>
          <w:numId w:val="8"/>
        </w:numPr>
        <w:tabs>
          <w:tab w:val="left" w:pos="1418"/>
        </w:tabs>
        <w:autoSpaceDE w:val="0"/>
        <w:autoSpaceDN w:val="0"/>
        <w:adjustRightInd w:val="0"/>
        <w:spacing w:before="360" w:after="240" w:line="360" w:lineRule="auto"/>
        <w:ind w:left="0" w:firstLine="0"/>
        <w:jc w:val="both"/>
        <w:rPr>
          <w:rFonts w:ascii="Palatino Linotype" w:hAnsi="Palatino Linotype"/>
          <w:szCs w:val="17"/>
          <w:lang w:eastAsia="es-ES_tradnl"/>
        </w:rPr>
      </w:pPr>
      <w:r w:rsidRPr="00305CA1">
        <w:rPr>
          <w:rFonts w:ascii="Palatino Linotype" w:hAnsi="Palatino Linotype"/>
          <w:b/>
          <w:szCs w:val="17"/>
          <w:lang w:eastAsia="es-ES_tradnl"/>
        </w:rPr>
        <w:t>Hágase</w:t>
      </w:r>
      <w:r w:rsidRPr="00305CA1">
        <w:rPr>
          <w:rFonts w:ascii="Palatino Linotype" w:hAnsi="Palatino Linotype"/>
          <w:szCs w:val="17"/>
          <w:lang w:eastAsia="es-ES_tradnl"/>
        </w:rPr>
        <w:t xml:space="preserve"> </w:t>
      </w:r>
      <w:r w:rsidRPr="00305CA1">
        <w:rPr>
          <w:rFonts w:ascii="Palatino Linotype" w:hAnsi="Palatino Linotype"/>
          <w:b/>
          <w:szCs w:val="17"/>
          <w:lang w:eastAsia="es-ES_tradnl"/>
        </w:rPr>
        <w:t>del conocimiento</w:t>
      </w:r>
      <w:r w:rsidRPr="00305CA1">
        <w:rPr>
          <w:rFonts w:ascii="Palatino Linotype" w:hAnsi="Palatino Linotype"/>
          <w:szCs w:val="17"/>
          <w:lang w:eastAsia="es-ES_tradnl"/>
        </w:rPr>
        <w:t xml:space="preserve"> </w:t>
      </w:r>
      <w:r w:rsidRPr="00305CA1">
        <w:rPr>
          <w:rFonts w:ascii="Palatino Linotype" w:hAnsi="Palatino Linotype"/>
        </w:rPr>
        <w:t>del</w:t>
      </w:r>
      <w:r w:rsidRPr="00305CA1">
        <w:rPr>
          <w:rFonts w:ascii="Palatino Linotype" w:hAnsi="Palatino Linotype" w:cs="Arial"/>
          <w:b/>
        </w:rPr>
        <w:t xml:space="preserve"> RECURRENTE</w:t>
      </w:r>
      <w:r w:rsidRPr="00305CA1">
        <w:rPr>
          <w:rFonts w:ascii="Palatino Linotype" w:hAnsi="Palatino Linotype"/>
          <w:szCs w:val="17"/>
          <w:lang w:eastAsia="es-ES_tradnl"/>
        </w:rPr>
        <w:t xml:space="preserve"> que de conformidad </w:t>
      </w:r>
      <w:r w:rsidRPr="00305CA1">
        <w:rPr>
          <w:rFonts w:ascii="Palatino Linotype" w:hAnsi="Palatino Linotype" w:cs="Arial"/>
        </w:rPr>
        <w:t>con</w:t>
      </w:r>
      <w:r w:rsidRPr="00305CA1">
        <w:rPr>
          <w:rFonts w:ascii="Palatino Linotype" w:hAnsi="Palatino Linotype"/>
          <w:szCs w:val="17"/>
          <w:lang w:eastAsia="es-ES_tradnl"/>
        </w:rPr>
        <w:t xml:space="preserve"> lo </w:t>
      </w:r>
      <w:r w:rsidRPr="00305CA1">
        <w:rPr>
          <w:rFonts w:ascii="Palatino Linotype" w:hAnsi="Palatino Linotype" w:cs="Arial"/>
        </w:rPr>
        <w:t>establecido</w:t>
      </w:r>
      <w:r w:rsidRPr="00305CA1">
        <w:rPr>
          <w:rFonts w:ascii="Palatino Linotype" w:hAnsi="Palatino Linotype"/>
          <w:szCs w:val="17"/>
          <w:lang w:eastAsia="es-ES_tradnl"/>
        </w:rPr>
        <w:t xml:space="preserve"> en el artículo </w:t>
      </w:r>
      <w:r w:rsidRPr="00305CA1">
        <w:rPr>
          <w:rFonts w:ascii="Palatino Linotype" w:hAnsi="Palatino Linotype" w:cs="Arial"/>
        </w:rPr>
        <w:t>196</w:t>
      </w:r>
      <w:r w:rsidRPr="00305CA1">
        <w:rPr>
          <w:rFonts w:ascii="Palatino Linotype" w:hAnsi="Palatino Linotype"/>
          <w:szCs w:val="17"/>
          <w:lang w:eastAsia="es-ES_tradnl"/>
        </w:rPr>
        <w:t xml:space="preserve"> de la Ley de </w:t>
      </w:r>
      <w:r w:rsidRPr="00305CA1">
        <w:rPr>
          <w:rFonts w:ascii="Palatino Linotype" w:hAnsi="Palatino Linotype" w:cs="Arial"/>
        </w:rPr>
        <w:t>Transparencia</w:t>
      </w:r>
      <w:r w:rsidRPr="00305CA1">
        <w:rPr>
          <w:rFonts w:ascii="Palatino Linotype" w:hAnsi="Palatino Linotype"/>
          <w:szCs w:val="17"/>
          <w:lang w:eastAsia="es-ES_tradnl"/>
        </w:rPr>
        <w:t xml:space="preserve"> y </w:t>
      </w:r>
      <w:r w:rsidRPr="00305CA1">
        <w:rPr>
          <w:rFonts w:ascii="Palatino Linotype" w:hAnsi="Palatino Linotype" w:cs="Arial"/>
        </w:rPr>
        <w:t>Acceso</w:t>
      </w:r>
      <w:r w:rsidRPr="00305CA1">
        <w:rPr>
          <w:rFonts w:ascii="Palatino Linotype" w:hAnsi="Palatino Linotype"/>
          <w:szCs w:val="17"/>
          <w:lang w:eastAsia="es-ES_tradnl"/>
        </w:rPr>
        <w:t xml:space="preserve"> a la Información </w:t>
      </w:r>
      <w:r w:rsidRPr="00305CA1">
        <w:rPr>
          <w:rFonts w:ascii="Palatino Linotype" w:hAnsi="Palatino Linotype"/>
          <w:lang w:eastAsia="es-ES_tradnl"/>
        </w:rPr>
        <w:t>Pública</w:t>
      </w:r>
      <w:r w:rsidRPr="00305CA1">
        <w:rPr>
          <w:rFonts w:ascii="Palatino Linotype" w:hAnsi="Palatino Linotype"/>
          <w:szCs w:val="17"/>
          <w:lang w:eastAsia="es-ES_tradnl"/>
        </w:rPr>
        <w:t xml:space="preserve"> del Estado de México y Municipios, podrá impugnarla vía Juicio de Amparo en los términos de las leyes aplicables.</w:t>
      </w:r>
    </w:p>
    <w:p w:rsidR="005B6331" w:rsidRPr="001364AD" w:rsidRDefault="001364AD" w:rsidP="001364AD">
      <w:pPr>
        <w:spacing w:before="200" w:after="200" w:line="360" w:lineRule="auto"/>
        <w:jc w:val="both"/>
        <w:rPr>
          <w:rFonts w:ascii="Palatino Linotype" w:eastAsiaTheme="minorHAnsi" w:hAnsi="Palatino Linotype" w:cs="Arial"/>
          <w:lang w:eastAsia="en-US"/>
        </w:rPr>
      </w:pPr>
      <w:r w:rsidRPr="001364AD">
        <w:rPr>
          <w:rFonts w:ascii="Palatino Linotype" w:eastAsiaTheme="minorHAnsi" w:hAnsi="Palatino Linotype" w:cs="Arial"/>
          <w:lang w:eastAsia="en-US"/>
        </w:rPr>
        <w:t>ASÍ LO RESUELVE, POR UNANIMIDAD DE VOTOS EL PLENO DEL</w:t>
      </w:r>
      <w:r w:rsidRPr="001364AD">
        <w:rPr>
          <w:rFonts w:ascii="Palatino Linotype" w:eastAsia="Arial Unicode MS" w:hAnsi="Palatino Linotype" w:cs="Arial"/>
          <w:lang w:eastAsia="en-US"/>
        </w:rPr>
        <w:t xml:space="preserve"> INSTITUTO DE </w:t>
      </w:r>
      <w:r w:rsidRPr="001364AD">
        <w:rPr>
          <w:rFonts w:ascii="Palatino Linotype" w:eastAsiaTheme="minorHAnsi" w:hAnsi="Palatino Linotype" w:cstheme="minorBidi"/>
          <w:lang w:eastAsia="en-US"/>
        </w:rPr>
        <w:t>TRANSPARENCIA</w:t>
      </w:r>
      <w:r w:rsidRPr="001364AD">
        <w:rPr>
          <w:rFonts w:ascii="Palatino Linotype" w:eastAsia="Arial Unicode MS" w:hAnsi="Palatino Linotype" w:cs="Arial"/>
          <w:lang w:eastAsia="en-US"/>
        </w:rPr>
        <w:t>, ACCESO A LA INFORMACIÓN PÚBLICA Y PROTECCIÓN DE DATOS PERSONALES DEL ESTADO DE MÉXICO Y MUNICIPIOS</w:t>
      </w:r>
      <w:r w:rsidRPr="001364AD">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1364AD">
        <w:rPr>
          <w:rFonts w:ascii="Palatino Linotype" w:eastAsiaTheme="minorHAnsi" w:hAnsi="Palatino Linotype" w:cs="Arial"/>
          <w:shd w:val="clear" w:color="auto" w:fill="FFFFFF" w:themeFill="background1"/>
          <w:lang w:eastAsia="en-US"/>
        </w:rPr>
        <w:t xml:space="preserve"> LA CUADRAGÉSIMA </w:t>
      </w:r>
      <w:r w:rsidRPr="001364AD">
        <w:rPr>
          <w:rFonts w:ascii="Palatino Linotype" w:eastAsiaTheme="minorHAnsi" w:hAnsi="Palatino Linotype" w:cs="Arial"/>
          <w:shd w:val="clear" w:color="auto" w:fill="FFFFFF" w:themeFill="background1"/>
          <w:lang w:eastAsia="en-US"/>
        </w:rPr>
        <w:lastRenderedPageBreak/>
        <w:t xml:space="preserve">PRIMERA </w:t>
      </w:r>
      <w:r w:rsidRPr="001364AD">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5B6331" w:rsidRPr="00607712" w:rsidTr="00C32932">
        <w:trPr>
          <w:jc w:val="center"/>
        </w:trPr>
        <w:tc>
          <w:tcPr>
            <w:tcW w:w="9356" w:type="dxa"/>
            <w:gridSpan w:val="2"/>
            <w:shd w:val="clear" w:color="auto" w:fill="auto"/>
          </w:tcPr>
          <w:p w:rsidR="003D4382" w:rsidRDefault="003D4382" w:rsidP="00C32932">
            <w:pPr>
              <w:jc w:val="center"/>
              <w:rPr>
                <w:rFonts w:ascii="Palatino Linotype" w:hAnsi="Palatino Linotype" w:cs="Arial"/>
                <w:b/>
              </w:rPr>
            </w:pPr>
          </w:p>
          <w:p w:rsidR="005B6331" w:rsidRDefault="005B6331" w:rsidP="00C32932">
            <w:pPr>
              <w:jc w:val="center"/>
              <w:rPr>
                <w:rFonts w:ascii="Palatino Linotype" w:hAnsi="Palatino Linotype" w:cs="Arial"/>
                <w:b/>
              </w:rPr>
            </w:pPr>
          </w:p>
          <w:p w:rsidR="001364AD" w:rsidRDefault="001364AD" w:rsidP="00C32932">
            <w:pPr>
              <w:jc w:val="center"/>
              <w:rPr>
                <w:rFonts w:ascii="Palatino Linotype" w:hAnsi="Palatino Linotype" w:cs="Arial"/>
                <w:b/>
              </w:rPr>
            </w:pPr>
          </w:p>
          <w:p w:rsidR="001364AD" w:rsidRPr="00607712" w:rsidRDefault="001364AD" w:rsidP="00C32932">
            <w:pPr>
              <w:jc w:val="center"/>
              <w:rPr>
                <w:rFonts w:ascii="Palatino Linotype" w:hAnsi="Palatino Linotype" w:cs="Arial"/>
                <w:b/>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Zulema Martínez Sánchez</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lang w:val="es-ES_tradnl"/>
              </w:rPr>
              <w:t>Comisionada Presidenta</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5B6331" w:rsidRPr="00607712" w:rsidTr="00C32932">
        <w:trPr>
          <w:jc w:val="center"/>
        </w:trPr>
        <w:tc>
          <w:tcPr>
            <w:tcW w:w="4756" w:type="dxa"/>
            <w:shd w:val="clear" w:color="auto" w:fill="auto"/>
          </w:tcPr>
          <w:p w:rsidR="003D4382" w:rsidRDefault="003D4382" w:rsidP="00C32932">
            <w:pPr>
              <w:jc w:val="center"/>
              <w:rPr>
                <w:rFonts w:ascii="Palatino Linotype" w:hAnsi="Palatino Linotype" w:cs="Arial"/>
                <w:b/>
                <w:lang w:val="es-ES_tradnl"/>
              </w:rPr>
            </w:pPr>
          </w:p>
          <w:p w:rsidR="003D4382" w:rsidRDefault="003D4382" w:rsidP="00C32932">
            <w:pPr>
              <w:jc w:val="center"/>
              <w:rPr>
                <w:rFonts w:ascii="Palatino Linotype" w:hAnsi="Palatino Linotype" w:cs="Arial"/>
                <w:b/>
                <w:lang w:val="es-ES_tradnl"/>
              </w:rPr>
            </w:pPr>
          </w:p>
          <w:p w:rsidR="003D4382" w:rsidRDefault="003D4382" w:rsidP="001364AD">
            <w:pPr>
              <w:rPr>
                <w:rFonts w:ascii="Palatino Linotype" w:hAnsi="Palatino Linotype" w:cs="Arial"/>
                <w:b/>
                <w:lang w:val="es-ES_tradnl"/>
              </w:rPr>
            </w:pPr>
          </w:p>
          <w:p w:rsidR="001364AD" w:rsidRDefault="001364AD" w:rsidP="001364AD">
            <w:pP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 xml:space="preserve">Eva </w:t>
            </w:r>
            <w:proofErr w:type="spellStart"/>
            <w:r w:rsidRPr="00607712">
              <w:rPr>
                <w:rFonts w:ascii="Palatino Linotype" w:hAnsi="Palatino Linotype" w:cs="Arial"/>
                <w:b/>
                <w:lang w:val="es-ES_tradnl"/>
              </w:rPr>
              <w:t>Abaid</w:t>
            </w:r>
            <w:proofErr w:type="spellEnd"/>
            <w:r w:rsidRPr="00607712">
              <w:rPr>
                <w:rFonts w:ascii="Palatino Linotype" w:hAnsi="Palatino Linotype" w:cs="Arial"/>
                <w:b/>
                <w:lang w:val="es-ES_tradnl"/>
              </w:rPr>
              <w:t xml:space="preserve"> </w:t>
            </w:r>
            <w:proofErr w:type="spellStart"/>
            <w:r w:rsidRPr="00607712">
              <w:rPr>
                <w:rFonts w:ascii="Palatino Linotype" w:hAnsi="Palatino Linotype" w:cs="Arial"/>
                <w:b/>
                <w:lang w:val="es-ES_tradnl"/>
              </w:rPr>
              <w:t>Yapur</w:t>
            </w:r>
            <w:proofErr w:type="spellEnd"/>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Comisionada</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(RÚBRICA)</w:t>
            </w:r>
          </w:p>
        </w:tc>
        <w:tc>
          <w:tcPr>
            <w:tcW w:w="4600" w:type="dxa"/>
            <w:shd w:val="clear" w:color="auto" w:fill="auto"/>
          </w:tcPr>
          <w:p w:rsidR="003D4382" w:rsidRDefault="003D4382" w:rsidP="00C32932">
            <w:pPr>
              <w:jc w:val="center"/>
              <w:rPr>
                <w:rFonts w:ascii="Palatino Linotype" w:hAnsi="Palatino Linotype" w:cs="Arial"/>
                <w:b/>
                <w:lang w:val="es-ES_tradnl"/>
              </w:rPr>
            </w:pPr>
          </w:p>
          <w:p w:rsidR="003D4382" w:rsidRDefault="003D4382" w:rsidP="00C32932">
            <w:pPr>
              <w:jc w:val="center"/>
              <w:rPr>
                <w:rFonts w:ascii="Palatino Linotype" w:hAnsi="Palatino Linotype" w:cs="Arial"/>
                <w:b/>
                <w:lang w:val="es-ES_tradnl"/>
              </w:rPr>
            </w:pPr>
          </w:p>
          <w:p w:rsidR="003D4382" w:rsidRDefault="003D4382" w:rsidP="001364AD">
            <w:pPr>
              <w:rPr>
                <w:rFonts w:ascii="Palatino Linotype" w:hAnsi="Palatino Linotype" w:cs="Arial"/>
                <w:b/>
                <w:lang w:val="es-ES_tradnl"/>
              </w:rPr>
            </w:pPr>
          </w:p>
          <w:p w:rsidR="001364AD" w:rsidRPr="00607712" w:rsidRDefault="001364AD" w:rsidP="001364AD">
            <w:pP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José Guadalupe Luna Hernández</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Comisionado</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5B6331" w:rsidRPr="00607712" w:rsidTr="00C32932">
        <w:trPr>
          <w:jc w:val="center"/>
        </w:trPr>
        <w:tc>
          <w:tcPr>
            <w:tcW w:w="4756" w:type="dxa"/>
            <w:shd w:val="clear" w:color="auto" w:fill="auto"/>
          </w:tcPr>
          <w:p w:rsidR="005B6331" w:rsidRPr="00607712" w:rsidRDefault="005B6331"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5B6331" w:rsidRPr="00607712" w:rsidRDefault="005B6331" w:rsidP="001364AD">
            <w:pP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Javier Martínez Cruz</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Comisionado</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b/>
                <w:lang w:val="es-ES_tradnl"/>
              </w:rPr>
              <w:t>(RÚBRICA)</w:t>
            </w:r>
          </w:p>
        </w:tc>
        <w:tc>
          <w:tcPr>
            <w:tcW w:w="4600" w:type="dxa"/>
            <w:shd w:val="clear" w:color="auto" w:fill="auto"/>
          </w:tcPr>
          <w:p w:rsidR="005B6331" w:rsidRPr="00607712" w:rsidRDefault="005B6331"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5B6331" w:rsidRPr="00607712" w:rsidRDefault="005B6331" w:rsidP="001364AD">
            <w:pP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Luis Gustavo Parra Noriega</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Comisionado</w:t>
            </w: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(RÚBRICA)</w:t>
            </w:r>
          </w:p>
        </w:tc>
      </w:tr>
      <w:tr w:rsidR="005B6331" w:rsidRPr="00607712" w:rsidTr="00C32932">
        <w:trPr>
          <w:jc w:val="center"/>
        </w:trPr>
        <w:tc>
          <w:tcPr>
            <w:tcW w:w="9356" w:type="dxa"/>
            <w:gridSpan w:val="2"/>
            <w:shd w:val="clear" w:color="auto" w:fill="auto"/>
          </w:tcPr>
          <w:p w:rsidR="005B6331" w:rsidRDefault="005B6331"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5B6331" w:rsidRDefault="005B6331" w:rsidP="00C32932">
            <w:pPr>
              <w:jc w:val="center"/>
              <w:rPr>
                <w:rFonts w:ascii="Palatino Linotype" w:hAnsi="Palatino Linotype" w:cs="Arial"/>
                <w:b/>
                <w:lang w:val="es-ES_tradnl"/>
              </w:rPr>
            </w:pPr>
          </w:p>
          <w:p w:rsidR="005B6331" w:rsidRPr="00607712" w:rsidRDefault="005B6331" w:rsidP="001364AD">
            <w:pPr>
              <w:rPr>
                <w:rFonts w:ascii="Palatino Linotype" w:hAnsi="Palatino Linotype" w:cs="Arial"/>
                <w:b/>
                <w:lang w:val="es-ES_tradnl"/>
              </w:rPr>
            </w:pPr>
          </w:p>
          <w:p w:rsidR="005B6331" w:rsidRPr="00607712" w:rsidRDefault="005B6331" w:rsidP="00C32932">
            <w:pPr>
              <w:jc w:val="center"/>
              <w:rPr>
                <w:rFonts w:ascii="Palatino Linotype" w:hAnsi="Palatino Linotype" w:cs="Arial"/>
                <w:b/>
                <w:lang w:val="es-ES_tradnl"/>
              </w:rPr>
            </w:pPr>
            <w:r w:rsidRPr="00607712">
              <w:rPr>
                <w:rFonts w:ascii="Palatino Linotype" w:hAnsi="Palatino Linotype" w:cs="Arial"/>
                <w:b/>
                <w:lang w:val="es-ES_tradnl"/>
              </w:rPr>
              <w:t>Alexis Tapia Ramírez</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lang w:val="es-ES_tradnl"/>
              </w:rPr>
              <w:t>Secretario Técnico del Pleno</w:t>
            </w:r>
          </w:p>
          <w:p w:rsidR="005B6331" w:rsidRPr="00607712" w:rsidRDefault="005B6331" w:rsidP="00C32932">
            <w:pPr>
              <w:jc w:val="center"/>
              <w:rPr>
                <w:rFonts w:ascii="Palatino Linotype" w:hAnsi="Palatino Linotype" w:cs="Arial"/>
                <w:lang w:val="es-ES_tradnl"/>
              </w:rPr>
            </w:pPr>
            <w:r w:rsidRPr="00607712">
              <w:rPr>
                <w:rFonts w:ascii="Palatino Linotype" w:hAnsi="Palatino Linotype" w:cs="Arial"/>
                <w:b/>
                <w:lang w:val="es-ES_tradnl"/>
              </w:rPr>
              <w:t>(RÚBRICA)</w:t>
            </w:r>
            <w:r w:rsidRPr="00607712">
              <w:rPr>
                <w:rFonts w:ascii="Palatino Linotype" w:hAnsi="Palatino Linotype" w:cs="Arial"/>
                <w:lang w:val="es-ES_tradnl"/>
              </w:rPr>
              <w:t xml:space="preserve"> </w:t>
            </w:r>
          </w:p>
        </w:tc>
      </w:tr>
    </w:tbl>
    <w:p w:rsidR="005B6331" w:rsidRPr="00607712" w:rsidRDefault="005B6331" w:rsidP="005B6331">
      <w:pPr>
        <w:spacing w:before="160"/>
        <w:jc w:val="both"/>
        <w:rPr>
          <w:rFonts w:ascii="Palatino Linotype" w:hAnsi="Palatino Linotype" w:cs="Arial"/>
          <w:sz w:val="22"/>
          <w:szCs w:val="22"/>
          <w:lang w:val="es-ES"/>
        </w:rPr>
      </w:pPr>
      <w:r w:rsidRPr="00607712">
        <w:rPr>
          <w:rFonts w:ascii="Palatino Linotype" w:hAnsi="Palatino Linotype" w:cs="Arial"/>
          <w:sz w:val="22"/>
          <w:szCs w:val="22"/>
          <w:lang w:val="es-ES"/>
        </w:rPr>
        <w:t xml:space="preserve">Esta hoja corresponde a la resolución de fecha </w:t>
      </w:r>
      <w:r w:rsidRPr="00F20030">
        <w:rPr>
          <w:rFonts w:ascii="Palatino Linotype" w:hAnsi="Palatino Linotype" w:cs="Arial"/>
          <w:sz w:val="22"/>
          <w:szCs w:val="22"/>
          <w:lang w:val="es-ES"/>
        </w:rPr>
        <w:t>seis de noviembre de dos mil diecinueve</w:t>
      </w:r>
      <w:r w:rsidRPr="00607712">
        <w:rPr>
          <w:rFonts w:ascii="Palatino Linotype" w:hAnsi="Palatino Linotype" w:cs="Arial"/>
          <w:sz w:val="22"/>
          <w:szCs w:val="22"/>
          <w:lang w:val="es-ES"/>
        </w:rPr>
        <w:t xml:space="preserve">, emitida en el recurso de revisión número </w:t>
      </w:r>
      <w:r>
        <w:rPr>
          <w:rFonts w:ascii="Palatino Linotype" w:hAnsi="Palatino Linotype" w:cs="Arial"/>
          <w:sz w:val="22"/>
          <w:szCs w:val="22"/>
          <w:lang w:val="es-ES"/>
        </w:rPr>
        <w:t>06887/INFOEM/IP/RR/2019</w:t>
      </w:r>
      <w:r w:rsidRPr="00607712">
        <w:rPr>
          <w:rFonts w:ascii="Palatino Linotype" w:hAnsi="Palatino Linotype" w:cs="Arial"/>
          <w:sz w:val="22"/>
          <w:szCs w:val="22"/>
          <w:lang w:val="es-ES"/>
        </w:rPr>
        <w:t>.</w:t>
      </w:r>
    </w:p>
    <w:p w:rsidR="005B6331" w:rsidRPr="005B6331" w:rsidRDefault="005B6331" w:rsidP="005B6331">
      <w:pPr>
        <w:spacing w:before="120"/>
        <w:jc w:val="both"/>
        <w:rPr>
          <w:rFonts w:ascii="Palatino Linotype" w:hAnsi="Palatino Linotype" w:cs="Arial"/>
          <w:sz w:val="22"/>
          <w:szCs w:val="22"/>
          <w:lang w:val="es-ES"/>
        </w:rPr>
      </w:pPr>
      <w:r>
        <w:rPr>
          <w:rFonts w:ascii="Palatino Linotype" w:hAnsi="Palatino Linotype" w:cs="Arial"/>
          <w:sz w:val="22"/>
          <w:szCs w:val="22"/>
          <w:lang w:val="es-ES"/>
        </w:rPr>
        <w:t>YSM</w:t>
      </w:r>
      <w:r w:rsidRPr="00607712">
        <w:rPr>
          <w:rFonts w:ascii="Palatino Linotype" w:hAnsi="Palatino Linotype" w:cs="Arial"/>
          <w:sz w:val="22"/>
          <w:szCs w:val="22"/>
          <w:lang w:val="es-ES"/>
        </w:rPr>
        <w:t>/JMAV</w:t>
      </w:r>
    </w:p>
    <w:sectPr w:rsidR="005B6331" w:rsidRPr="005B6331" w:rsidSect="00E571C8">
      <w:headerReference w:type="default" r:id="rId23"/>
      <w:footerReference w:type="default" r:id="rId24"/>
      <w:headerReference w:type="first" r:id="rId25"/>
      <w:footerReference w:type="first" r:id="rId26"/>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461F" w:rsidRDefault="00AC461F" w:rsidP="0010356C">
      <w:r>
        <w:separator/>
      </w:r>
    </w:p>
  </w:endnote>
  <w:endnote w:type="continuationSeparator" w:id="0">
    <w:p w:rsidR="00AC461F" w:rsidRDefault="00AC461F" w:rsidP="00103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F2" w:rsidRPr="00A2780F" w:rsidRDefault="00BE7DF2" w:rsidP="00E571C8">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64AD">
      <w:rPr>
        <w:rFonts w:ascii="Arial" w:hAnsi="Arial" w:cs="Arial"/>
        <w:b/>
        <w:bCs/>
        <w:noProof/>
        <w:sz w:val="20"/>
        <w:szCs w:val="20"/>
      </w:rPr>
      <w:t>34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64AD">
      <w:rPr>
        <w:rFonts w:ascii="Arial" w:hAnsi="Arial" w:cs="Arial"/>
        <w:b/>
        <w:bCs/>
        <w:noProof/>
        <w:sz w:val="20"/>
        <w:szCs w:val="20"/>
      </w:rPr>
      <w:t>37</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F2" w:rsidRDefault="00BE7DF2" w:rsidP="00E571C8">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1364A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1364AD">
      <w:rPr>
        <w:rFonts w:ascii="Arial" w:hAnsi="Arial" w:cs="Arial"/>
        <w:b/>
        <w:bCs/>
        <w:noProof/>
        <w:sz w:val="20"/>
        <w:szCs w:val="20"/>
      </w:rPr>
      <w:t>37</w:t>
    </w:r>
    <w:r w:rsidRPr="00986599">
      <w:rPr>
        <w:rFonts w:ascii="Arial" w:hAnsi="Arial" w:cs="Arial"/>
        <w:b/>
        <w:bCs/>
        <w:sz w:val="20"/>
        <w:szCs w:val="20"/>
      </w:rPr>
      <w:fldChar w:fldCharType="end"/>
    </w:r>
  </w:p>
  <w:p w:rsidR="00BE7DF2" w:rsidRPr="00070856" w:rsidRDefault="00BE7DF2" w:rsidP="00E571C8">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461F" w:rsidRDefault="00AC461F" w:rsidP="0010356C">
      <w:r>
        <w:separator/>
      </w:r>
    </w:p>
  </w:footnote>
  <w:footnote w:type="continuationSeparator" w:id="0">
    <w:p w:rsidR="00AC461F" w:rsidRDefault="00AC461F" w:rsidP="0010356C">
      <w:r>
        <w:continuationSeparator/>
      </w:r>
    </w:p>
  </w:footnote>
  <w:footnote w:id="1">
    <w:p w:rsidR="008354EB" w:rsidRDefault="008354EB" w:rsidP="008354EB">
      <w:pPr>
        <w:pStyle w:val="Textonotapie"/>
        <w:jc w:val="both"/>
      </w:pPr>
      <w:r>
        <w:rPr>
          <w:rStyle w:val="Refdenotaalpie"/>
        </w:rPr>
        <w:footnoteRef/>
      </w:r>
      <w:r>
        <w:t xml:space="preserve"> </w:t>
      </w:r>
      <w:r w:rsidRPr="00FD56EC">
        <w:rPr>
          <w:rFonts w:ascii="Palatino Linotype" w:hAnsi="Palatino Linotype"/>
        </w:rPr>
        <w:t>Ubicable en la siguiente liga electrónica:</w:t>
      </w:r>
    </w:p>
    <w:p w:rsidR="008354EB" w:rsidRDefault="00AC461F" w:rsidP="008354EB">
      <w:pPr>
        <w:pStyle w:val="Textonotapie"/>
        <w:jc w:val="both"/>
      </w:pPr>
      <w:hyperlink r:id="rId1" w:history="1">
        <w:r w:rsidR="008354EB" w:rsidRPr="00FD56EC">
          <w:rPr>
            <w:rStyle w:val="Hipervnculo"/>
            <w:rFonts w:ascii="Palatino Linotype" w:eastAsiaTheme="minorEastAsia" w:hAnsi="Palatino Linotype"/>
          </w:rPr>
          <w: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w:t>
        </w:r>
      </w:hyperlink>
    </w:p>
  </w:footnote>
  <w:footnote w:id="2">
    <w:p w:rsidR="00BE7DF2" w:rsidRPr="00D83E40" w:rsidRDefault="00BE7DF2" w:rsidP="00BE7DF2">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BE7DF2" w:rsidRPr="006B060A" w:rsidRDefault="00BE7DF2" w:rsidP="00BE7DF2">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3">
    <w:p w:rsidR="00ED5663" w:rsidRPr="00D83E40" w:rsidRDefault="00ED5663" w:rsidP="00ED5663">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ED5663" w:rsidRPr="006B060A" w:rsidRDefault="00ED5663" w:rsidP="00ED5663">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4">
    <w:p w:rsidR="00ED5663" w:rsidRPr="000E33CE" w:rsidRDefault="00ED5663" w:rsidP="00ED5663">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13</w:t>
      </w:r>
      <w:r w:rsidRPr="000E33CE">
        <w:rPr>
          <w:rFonts w:ascii="Palatino Linotype" w:hAnsi="Palatino Linotype"/>
          <w:sz w:val="16"/>
        </w:rPr>
        <w:t xml:space="preserve">. </w:t>
      </w:r>
      <w:r w:rsidRPr="000E33CE">
        <w:rPr>
          <w:rFonts w:ascii="Palatino Linotype" w:hAnsi="Palatino Linotype"/>
          <w:b/>
          <w:sz w:val="16"/>
          <w:u w:val="single"/>
        </w:rPr>
        <w:t>El Instituto</w:t>
      </w:r>
      <w:r w:rsidRPr="000E33CE">
        <w:rPr>
          <w:rFonts w:ascii="Palatino Linotype" w:hAnsi="Palatino Linotype"/>
          <w:sz w:val="16"/>
        </w:rPr>
        <w:t xml:space="preserve">, en el ámbito de sus atribuciones, </w:t>
      </w:r>
      <w:r w:rsidRPr="000E33CE">
        <w:rPr>
          <w:rFonts w:ascii="Palatino Linotype" w:hAnsi="Palatino Linotype"/>
          <w:b/>
          <w:sz w:val="16"/>
          <w:u w:val="single"/>
        </w:rPr>
        <w:t>deberá suplir cualquier deficiencia para garantizar el ejercicio del derecho de acceso a la información</w:t>
      </w:r>
      <w:r w:rsidRPr="000E33CE">
        <w:rPr>
          <w:rFonts w:ascii="Palatino Linotype" w:hAnsi="Palatino Linotype"/>
          <w:sz w:val="16"/>
        </w:rPr>
        <w:t>.</w:t>
      </w:r>
    </w:p>
  </w:footnote>
  <w:footnote w:id="5">
    <w:p w:rsidR="00ED5663" w:rsidRPr="000E33CE" w:rsidRDefault="00ED5663" w:rsidP="00ED5663">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181</w:t>
      </w:r>
      <w:r w:rsidRPr="000E33CE">
        <w:rPr>
          <w:rFonts w:ascii="Palatino Linotype" w:hAnsi="Palatino Linotype"/>
          <w:sz w:val="16"/>
        </w:rPr>
        <w:t xml:space="preserve">. </w:t>
      </w:r>
    </w:p>
    <w:p w:rsidR="00ED5663" w:rsidRPr="000E33CE" w:rsidRDefault="00ED5663" w:rsidP="00ED5663">
      <w:pPr>
        <w:pStyle w:val="Textonotapie"/>
        <w:spacing w:before="60" w:after="60"/>
        <w:jc w:val="both"/>
        <w:rPr>
          <w:rFonts w:ascii="Palatino Linotype" w:hAnsi="Palatino Linotype"/>
          <w:sz w:val="16"/>
        </w:rPr>
      </w:pPr>
      <w:r>
        <w:rPr>
          <w:rFonts w:ascii="Palatino Linotype" w:hAnsi="Palatino Linotype"/>
          <w:sz w:val="16"/>
        </w:rPr>
        <w:t>[…]</w:t>
      </w:r>
    </w:p>
    <w:p w:rsidR="00ED5663" w:rsidRPr="000E33CE" w:rsidRDefault="00ED5663" w:rsidP="00ED5663">
      <w:pPr>
        <w:pStyle w:val="Textonotapie"/>
        <w:spacing w:before="60" w:after="60"/>
        <w:jc w:val="both"/>
        <w:rPr>
          <w:rFonts w:ascii="Palatino Linotype" w:hAnsi="Palatino Linotype"/>
          <w:sz w:val="16"/>
        </w:rPr>
      </w:pPr>
      <w:r w:rsidRPr="000E33CE">
        <w:rPr>
          <w:rFonts w:ascii="Palatino Linotype" w:hAnsi="Palatino Linotype"/>
          <w:b/>
          <w:sz w:val="16"/>
          <w:u w:val="single"/>
        </w:rPr>
        <w:t>Durante el procedimiento deberá aplicarse la suplencia de la queja a favor del recurrente</w:t>
      </w:r>
      <w:r w:rsidRPr="000E33CE">
        <w:rPr>
          <w:rFonts w:ascii="Palatino Linotype" w:hAnsi="Palatino Linotype"/>
          <w:sz w:val="16"/>
        </w:rPr>
        <w:t xml:space="preserve">, sin cambiar los hechos expuestos, asegurándose de que las partes puedan presentar, de manera oral o escrita, los argumentos que funden y motiven sus pretensiones. </w:t>
      </w:r>
    </w:p>
    <w:p w:rsidR="00ED5663" w:rsidRPr="000E33CE" w:rsidRDefault="00ED5663" w:rsidP="00ED5663">
      <w:pPr>
        <w:pStyle w:val="Textonotapie"/>
        <w:spacing w:before="60" w:after="60"/>
        <w:jc w:val="both"/>
        <w:rPr>
          <w:rFonts w:ascii="Palatino Linotype" w:hAnsi="Palatino Linotype"/>
          <w:sz w:val="16"/>
        </w:rPr>
      </w:pPr>
      <w:r w:rsidRPr="000E33CE">
        <w:rPr>
          <w:rFonts w:ascii="Palatino Linotype" w:hAnsi="Palatino Linotype"/>
          <w:sz w:val="16"/>
        </w:rPr>
        <w:t>Para el caso de interposición del recurso de revisión a través de la Plataforma Nacional o la plataforma que para tales efectos habilite el Instituto, éste podrá solicitar al particular subsane las deficiencias por ese medio.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F2" w:rsidRPr="00BD798B" w:rsidRDefault="00BE7DF2" w:rsidP="00E571C8">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BE7DF2" w:rsidRPr="007769F3" w:rsidTr="00E571C8">
      <w:tc>
        <w:tcPr>
          <w:tcW w:w="3686" w:type="dxa"/>
        </w:tcPr>
        <w:p w:rsidR="00BE7DF2" w:rsidRPr="007769F3" w:rsidRDefault="00BE7DF2" w:rsidP="00E571C8">
          <w:pPr>
            <w:rPr>
              <w:rFonts w:ascii="Palatino Linotype" w:hAnsi="Palatino Linotype"/>
              <w:b/>
              <w:sz w:val="22"/>
              <w:szCs w:val="22"/>
              <w:lang w:val="es-ES_tradnl"/>
            </w:rPr>
          </w:pPr>
        </w:p>
      </w:tc>
      <w:tc>
        <w:tcPr>
          <w:tcW w:w="2693" w:type="dxa"/>
          <w:shd w:val="clear" w:color="auto" w:fill="auto"/>
        </w:tcPr>
        <w:p w:rsidR="00BE7DF2" w:rsidRPr="007769F3" w:rsidRDefault="00BE7DF2" w:rsidP="00E571C8">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BE7DF2" w:rsidRPr="007769F3" w:rsidRDefault="00BE7DF2" w:rsidP="0010356C">
          <w:pPr>
            <w:jc w:val="both"/>
            <w:rPr>
              <w:rFonts w:ascii="Palatino Linotype" w:hAnsi="Palatino Linotype"/>
              <w:b/>
              <w:sz w:val="22"/>
              <w:szCs w:val="22"/>
              <w:lang w:val="es-ES_tradnl"/>
            </w:rPr>
          </w:pPr>
          <w:r>
            <w:rPr>
              <w:rFonts w:ascii="Palatino Linotype" w:hAnsi="Palatino Linotype"/>
              <w:b/>
              <w:sz w:val="22"/>
              <w:szCs w:val="22"/>
              <w:lang w:val="es-ES_tradnl"/>
            </w:rPr>
            <w:t>06887/INFOEM/IP/RR/2019</w:t>
          </w:r>
        </w:p>
      </w:tc>
    </w:tr>
    <w:tr w:rsidR="00BE7DF2" w:rsidRPr="007769F3" w:rsidTr="00E571C8">
      <w:tc>
        <w:tcPr>
          <w:tcW w:w="3686" w:type="dxa"/>
        </w:tcPr>
        <w:p w:rsidR="00BE7DF2" w:rsidRPr="007769F3" w:rsidRDefault="00BE7DF2" w:rsidP="00E571C8">
          <w:pPr>
            <w:rPr>
              <w:rFonts w:ascii="Palatino Linotype" w:hAnsi="Palatino Linotype"/>
              <w:b/>
              <w:sz w:val="22"/>
              <w:szCs w:val="22"/>
              <w:lang w:val="es-ES_tradnl"/>
            </w:rPr>
          </w:pPr>
        </w:p>
      </w:tc>
      <w:tc>
        <w:tcPr>
          <w:tcW w:w="2693" w:type="dxa"/>
          <w:shd w:val="clear" w:color="auto" w:fill="auto"/>
        </w:tcPr>
        <w:p w:rsidR="00BE7DF2" w:rsidRPr="007769F3" w:rsidRDefault="00BE7DF2" w:rsidP="00E571C8">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BE7DF2" w:rsidRPr="007769F3" w:rsidRDefault="00BE7DF2" w:rsidP="00E571C8">
          <w:pPr>
            <w:ind w:right="34"/>
            <w:jc w:val="both"/>
            <w:rPr>
              <w:rFonts w:ascii="Palatino Linotype" w:hAnsi="Palatino Linotype"/>
              <w:b/>
              <w:sz w:val="22"/>
              <w:szCs w:val="22"/>
            </w:rPr>
          </w:pPr>
          <w:r>
            <w:rPr>
              <w:rFonts w:ascii="Palatino Linotype" w:hAnsi="Palatino Linotype"/>
              <w:b/>
              <w:sz w:val="22"/>
              <w:szCs w:val="22"/>
            </w:rPr>
            <w:t>Instituto de Salud del Estado de México</w:t>
          </w:r>
        </w:p>
      </w:tc>
    </w:tr>
    <w:tr w:rsidR="00BE7DF2" w:rsidRPr="007769F3" w:rsidTr="00E571C8">
      <w:trPr>
        <w:trHeight w:val="228"/>
      </w:trPr>
      <w:tc>
        <w:tcPr>
          <w:tcW w:w="3686" w:type="dxa"/>
        </w:tcPr>
        <w:p w:rsidR="00BE7DF2" w:rsidRPr="007769F3" w:rsidRDefault="00BE7DF2" w:rsidP="00E571C8">
          <w:pPr>
            <w:rPr>
              <w:rFonts w:ascii="Palatino Linotype" w:hAnsi="Palatino Linotype"/>
              <w:b/>
              <w:sz w:val="22"/>
              <w:szCs w:val="22"/>
              <w:lang w:val="es-ES_tradnl"/>
            </w:rPr>
          </w:pPr>
        </w:p>
      </w:tc>
      <w:tc>
        <w:tcPr>
          <w:tcW w:w="2693" w:type="dxa"/>
          <w:shd w:val="clear" w:color="auto" w:fill="auto"/>
        </w:tcPr>
        <w:p w:rsidR="00BE7DF2" w:rsidRPr="007769F3" w:rsidRDefault="00BE7DF2" w:rsidP="00E571C8">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BE7DF2" w:rsidRPr="007769F3" w:rsidRDefault="00BE7DF2" w:rsidP="00E571C8">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BE7DF2" w:rsidRPr="001364AD" w:rsidRDefault="00BE7DF2" w:rsidP="00E571C8">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DF2" w:rsidRPr="00463339" w:rsidRDefault="00BE7DF2" w:rsidP="00E571C8">
    <w:pPr>
      <w:tabs>
        <w:tab w:val="left" w:pos="9072"/>
      </w:tabs>
      <w:ind w:right="-377"/>
      <w:rPr>
        <w:rFonts w:ascii="Palatino Linotype" w:hAnsi="Palatino Linotype"/>
        <w:sz w:val="16"/>
        <w:szCs w:val="20"/>
      </w:rPr>
    </w:pPr>
  </w:p>
  <w:tbl>
    <w:tblPr>
      <w:tblW w:w="9498" w:type="dxa"/>
      <w:tblInd w:w="-142" w:type="dxa"/>
      <w:tblLayout w:type="fixed"/>
      <w:tblLook w:val="04A0" w:firstRow="1" w:lastRow="0" w:firstColumn="1" w:lastColumn="0" w:noHBand="0" w:noVBand="1"/>
    </w:tblPr>
    <w:tblGrid>
      <w:gridCol w:w="3970"/>
      <w:gridCol w:w="2551"/>
      <w:gridCol w:w="2977"/>
    </w:tblGrid>
    <w:tr w:rsidR="00BE7DF2" w:rsidRPr="008F2CCC" w:rsidTr="00E571C8">
      <w:tc>
        <w:tcPr>
          <w:tcW w:w="3970" w:type="dxa"/>
          <w:vMerge w:val="restart"/>
        </w:tcPr>
        <w:p w:rsidR="00BE7DF2" w:rsidRPr="008F2CCC" w:rsidRDefault="00BE7DF2" w:rsidP="00E571C8">
          <w:pPr>
            <w:ind w:right="34"/>
            <w:rPr>
              <w:rFonts w:ascii="Palatino Linotype" w:hAnsi="Palatino Linotype"/>
              <w:b/>
              <w:sz w:val="22"/>
              <w:szCs w:val="22"/>
              <w:lang w:val="es-ES_tradnl"/>
            </w:rPr>
          </w:pPr>
        </w:p>
      </w:tc>
      <w:tc>
        <w:tcPr>
          <w:tcW w:w="2551" w:type="dxa"/>
          <w:shd w:val="clear" w:color="auto" w:fill="auto"/>
        </w:tcPr>
        <w:p w:rsidR="00BE7DF2" w:rsidRPr="008F2CCC" w:rsidRDefault="00BE7DF2" w:rsidP="00E571C8">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BE7DF2" w:rsidRPr="008F2CCC" w:rsidRDefault="00BE7DF2" w:rsidP="0010356C">
          <w:pPr>
            <w:jc w:val="both"/>
            <w:rPr>
              <w:rFonts w:ascii="Palatino Linotype" w:hAnsi="Palatino Linotype"/>
              <w:b/>
              <w:sz w:val="22"/>
              <w:szCs w:val="22"/>
              <w:lang w:val="es-ES_tradnl"/>
            </w:rPr>
          </w:pPr>
          <w:r>
            <w:rPr>
              <w:rFonts w:ascii="Palatino Linotype" w:hAnsi="Palatino Linotype"/>
              <w:b/>
              <w:sz w:val="22"/>
              <w:szCs w:val="22"/>
              <w:lang w:val="es-ES_tradnl"/>
            </w:rPr>
            <w:t>06887/INFOEM/IP/RR/2019</w:t>
          </w:r>
        </w:p>
      </w:tc>
    </w:tr>
    <w:tr w:rsidR="00BE7DF2" w:rsidRPr="008F2CCC" w:rsidTr="00E571C8">
      <w:tc>
        <w:tcPr>
          <w:tcW w:w="3970" w:type="dxa"/>
          <w:vMerge/>
        </w:tcPr>
        <w:p w:rsidR="00BE7DF2" w:rsidRPr="008F2CCC" w:rsidRDefault="00BE7DF2" w:rsidP="00E571C8">
          <w:pPr>
            <w:rPr>
              <w:rFonts w:ascii="Palatino Linotype" w:hAnsi="Palatino Linotype"/>
              <w:b/>
              <w:sz w:val="22"/>
              <w:szCs w:val="22"/>
              <w:lang w:val="es-ES_tradnl"/>
            </w:rPr>
          </w:pPr>
        </w:p>
      </w:tc>
      <w:tc>
        <w:tcPr>
          <w:tcW w:w="2551" w:type="dxa"/>
          <w:shd w:val="clear" w:color="auto" w:fill="auto"/>
        </w:tcPr>
        <w:p w:rsidR="00BE7DF2" w:rsidRPr="008F2CCC" w:rsidRDefault="00BE7DF2" w:rsidP="00E571C8">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BE7DF2" w:rsidRPr="008F2CCC" w:rsidRDefault="00BE7DF2" w:rsidP="00E571C8">
          <w:pPr>
            <w:ind w:right="34"/>
            <w:jc w:val="both"/>
            <w:rPr>
              <w:rFonts w:ascii="Palatino Linotype" w:hAnsi="Palatino Linotype"/>
              <w:b/>
              <w:sz w:val="22"/>
              <w:szCs w:val="22"/>
              <w:lang w:val="es-ES_tradnl"/>
            </w:rPr>
          </w:pPr>
        </w:p>
      </w:tc>
    </w:tr>
    <w:tr w:rsidR="00BE7DF2" w:rsidRPr="008F2CCC" w:rsidTr="00E571C8">
      <w:trPr>
        <w:trHeight w:val="228"/>
      </w:trPr>
      <w:tc>
        <w:tcPr>
          <w:tcW w:w="3970" w:type="dxa"/>
          <w:vMerge/>
        </w:tcPr>
        <w:p w:rsidR="00BE7DF2" w:rsidRPr="008F2CCC" w:rsidRDefault="00BE7DF2" w:rsidP="00E571C8">
          <w:pPr>
            <w:rPr>
              <w:rFonts w:ascii="Palatino Linotype" w:hAnsi="Palatino Linotype"/>
              <w:b/>
              <w:sz w:val="22"/>
              <w:szCs w:val="22"/>
              <w:lang w:val="es-ES_tradnl"/>
            </w:rPr>
          </w:pPr>
        </w:p>
      </w:tc>
      <w:tc>
        <w:tcPr>
          <w:tcW w:w="2551" w:type="dxa"/>
          <w:shd w:val="clear" w:color="auto" w:fill="auto"/>
        </w:tcPr>
        <w:p w:rsidR="00BE7DF2" w:rsidRPr="008F2CCC" w:rsidRDefault="00BE7DF2" w:rsidP="00E571C8">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BE7DF2" w:rsidRPr="004C1DCD" w:rsidRDefault="00BE7DF2" w:rsidP="00E571C8">
          <w:pPr>
            <w:jc w:val="both"/>
            <w:rPr>
              <w:rFonts w:ascii="Palatino Linotype" w:hAnsi="Palatino Linotype"/>
              <w:b/>
              <w:sz w:val="22"/>
              <w:szCs w:val="22"/>
              <w:lang w:val="es-ES_tradnl"/>
            </w:rPr>
          </w:pPr>
          <w:r>
            <w:rPr>
              <w:rFonts w:ascii="Palatino Linotype" w:hAnsi="Palatino Linotype"/>
              <w:b/>
              <w:sz w:val="22"/>
              <w:szCs w:val="22"/>
              <w:lang w:val="es-ES_tradnl"/>
            </w:rPr>
            <w:t>Instituto de Salud del Estado de México</w:t>
          </w:r>
        </w:p>
      </w:tc>
    </w:tr>
    <w:tr w:rsidR="00BE7DF2" w:rsidRPr="008F2CCC" w:rsidTr="00E571C8">
      <w:tc>
        <w:tcPr>
          <w:tcW w:w="3970" w:type="dxa"/>
          <w:vMerge/>
        </w:tcPr>
        <w:p w:rsidR="00BE7DF2" w:rsidRPr="008F2CCC" w:rsidRDefault="00BE7DF2" w:rsidP="00E571C8">
          <w:pPr>
            <w:rPr>
              <w:rFonts w:ascii="Palatino Linotype" w:hAnsi="Palatino Linotype"/>
              <w:b/>
              <w:sz w:val="22"/>
              <w:szCs w:val="22"/>
              <w:lang w:val="es-ES_tradnl"/>
            </w:rPr>
          </w:pPr>
        </w:p>
      </w:tc>
      <w:tc>
        <w:tcPr>
          <w:tcW w:w="2551" w:type="dxa"/>
          <w:shd w:val="clear" w:color="auto" w:fill="auto"/>
        </w:tcPr>
        <w:p w:rsidR="00BE7DF2" w:rsidRPr="008F2CCC" w:rsidRDefault="00BE7DF2" w:rsidP="00E571C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BE7DF2" w:rsidRPr="008F2CCC" w:rsidRDefault="00BE7DF2" w:rsidP="00E571C8">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BE7DF2" w:rsidRPr="001364AD" w:rsidRDefault="00BE7DF2" w:rsidP="00E571C8">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4F5C4073"/>
    <w:multiLevelType w:val="hybridMultilevel"/>
    <w:tmpl w:val="64E03C72"/>
    <w:lvl w:ilvl="0" w:tplc="0B84229E">
      <w:start w:val="1"/>
      <w:numFmt w:val="bullet"/>
      <w:lvlText w:val=""/>
      <w:lvlJc w:val="left"/>
      <w:pPr>
        <w:ind w:left="1211" w:hanging="360"/>
      </w:pPr>
      <w:rPr>
        <w:rFonts w:ascii="Symbol" w:hAnsi="Symbo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C1F7935"/>
    <w:multiLevelType w:val="hybridMultilevel"/>
    <w:tmpl w:val="0330A34E"/>
    <w:lvl w:ilvl="0" w:tplc="080A000F">
      <w:start w:val="1"/>
      <w:numFmt w:val="decimal"/>
      <w:lvlText w:val="%1."/>
      <w:lvlJc w:val="left"/>
      <w:pPr>
        <w:ind w:left="36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56C"/>
    <w:rsid w:val="0010356C"/>
    <w:rsid w:val="001364AD"/>
    <w:rsid w:val="00264685"/>
    <w:rsid w:val="00305CA1"/>
    <w:rsid w:val="0036698C"/>
    <w:rsid w:val="003D4382"/>
    <w:rsid w:val="00442A54"/>
    <w:rsid w:val="004527F6"/>
    <w:rsid w:val="004E2204"/>
    <w:rsid w:val="005B6331"/>
    <w:rsid w:val="006B6829"/>
    <w:rsid w:val="006E746B"/>
    <w:rsid w:val="00720D2E"/>
    <w:rsid w:val="00826F74"/>
    <w:rsid w:val="008354EB"/>
    <w:rsid w:val="00891339"/>
    <w:rsid w:val="00935113"/>
    <w:rsid w:val="00945FF1"/>
    <w:rsid w:val="00A30D49"/>
    <w:rsid w:val="00A952FA"/>
    <w:rsid w:val="00AC461F"/>
    <w:rsid w:val="00B03EEE"/>
    <w:rsid w:val="00B5525C"/>
    <w:rsid w:val="00B84CF1"/>
    <w:rsid w:val="00BE7DF2"/>
    <w:rsid w:val="00C00DCC"/>
    <w:rsid w:val="00C23B43"/>
    <w:rsid w:val="00C57506"/>
    <w:rsid w:val="00C9714C"/>
    <w:rsid w:val="00DE6BEA"/>
    <w:rsid w:val="00E571C8"/>
    <w:rsid w:val="00ED5663"/>
    <w:rsid w:val="00F23E5A"/>
    <w:rsid w:val="00F55ED8"/>
    <w:rsid w:val="00FC62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0A8D42-09D7-4FA3-B4E2-10BF4BEC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56C"/>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56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0356C"/>
    <w:rPr>
      <w:rFonts w:eastAsiaTheme="minorEastAsia"/>
      <w:sz w:val="24"/>
      <w:szCs w:val="24"/>
      <w:lang w:val="es-ES_tradnl" w:eastAsia="es-ES"/>
    </w:rPr>
  </w:style>
  <w:style w:type="paragraph" w:styleId="Piedepgina">
    <w:name w:val="footer"/>
    <w:basedOn w:val="Normal"/>
    <w:link w:val="PiedepginaCar"/>
    <w:uiPriority w:val="99"/>
    <w:unhideWhenUsed/>
    <w:rsid w:val="0010356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0356C"/>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0356C"/>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0356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0356C"/>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56C"/>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10356C"/>
    <w:rPr>
      <w:vertAlign w:val="superscript"/>
    </w:rPr>
  </w:style>
  <w:style w:type="character" w:styleId="Hipervnculo">
    <w:name w:val="Hyperlink"/>
    <w:uiPriority w:val="99"/>
    <w:unhideWhenUsed/>
    <w:rsid w:val="0010356C"/>
    <w:rPr>
      <w:strike w:val="0"/>
      <w:dstrike w:val="0"/>
      <w:color w:val="035899"/>
      <w:u w:val="none"/>
      <w:effect w:val="none"/>
    </w:rPr>
  </w:style>
  <w:style w:type="character" w:customStyle="1" w:styleId="apple-style-span">
    <w:name w:val="apple-style-span"/>
    <w:rsid w:val="0010356C"/>
  </w:style>
  <w:style w:type="paragraph" w:styleId="Textoindependiente2">
    <w:name w:val="Body Text 2"/>
    <w:basedOn w:val="Normal"/>
    <w:link w:val="Textoindependiente2Car"/>
    <w:uiPriority w:val="99"/>
    <w:unhideWhenUsed/>
    <w:rsid w:val="0010356C"/>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10356C"/>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6B6829"/>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6B6829"/>
    <w:rPr>
      <w:rFonts w:ascii="Lucida Grande" w:eastAsiaTheme="minorEastAsia" w:hAnsi="Lucida Grande" w:cs="Lucida Grande"/>
      <w:sz w:val="18"/>
      <w:szCs w:val="18"/>
      <w:lang w:val="es-ES_tradnl" w:eastAsia="es-ES"/>
    </w:rPr>
  </w:style>
  <w:style w:type="numbering" w:customStyle="1" w:styleId="Estiloimportado2">
    <w:name w:val="Estilo importado 2"/>
    <w:rsid w:val="006B6829"/>
    <w:pPr>
      <w:numPr>
        <w:numId w:val="4"/>
      </w:numPr>
    </w:pPr>
  </w:style>
  <w:style w:type="table" w:styleId="Tablaconcuadrcula">
    <w:name w:val="Table Grid"/>
    <w:basedOn w:val="Tablanormal"/>
    <w:uiPriority w:val="39"/>
    <w:rsid w:val="006B68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A952FA"/>
    <w:rPr>
      <w:color w:val="954F72" w:themeColor="followedHyperlink"/>
      <w:u w:val="single"/>
    </w:rPr>
  </w:style>
  <w:style w:type="character" w:customStyle="1" w:styleId="apple-converted-space">
    <w:name w:val="apple-converted-space"/>
    <w:basedOn w:val="Fuentedeprrafopredeter"/>
    <w:rsid w:val="005B6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5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sjf.scjn.gob.mx/sjfsist/paginas/DetalleGeneralV2.aspx?Epoca=1e3e10000000000&amp;Apendice=1000000000000&amp;Expresion=2002351&amp;Dominio=Rubro,Texto,Localizacion&amp;TA_TJ=2&amp;Orden=1&amp;Clase=DetalleTesisBL&amp;NumTE=1&amp;Epp=20&amp;Desde=-100&amp;Hasta=-100&amp;Index=0&amp;InstanciasSeleccionadas=6,1,2,50,7&amp;ID=2002351&amp;Hit=1&amp;IDs=2002351&amp;tipoTesis=&amp;Semanario=0&amp;tabla=&amp;Referencia=&amp;Tem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D804E-D4CC-4991-98AB-F92E6C3B2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37</Pages>
  <Words>9456</Words>
  <Characters>52014</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3</cp:revision>
  <dcterms:created xsi:type="dcterms:W3CDTF">2019-10-31T23:40:00Z</dcterms:created>
  <dcterms:modified xsi:type="dcterms:W3CDTF">2019-11-07T17:57:00Z</dcterms:modified>
</cp:coreProperties>
</file>