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9CB" w:rsidRDefault="001C69CB" w:rsidP="0014447C">
      <w:pPr>
        <w:pStyle w:val="Sinespaciado"/>
        <w:spacing w:line="360" w:lineRule="auto"/>
        <w:jc w:val="both"/>
        <w:rPr>
          <w:rFonts w:ascii="Palatino Linotype" w:hAnsi="Palatino Linotype"/>
          <w:sz w:val="24"/>
          <w:szCs w:val="24"/>
          <w:lang w:eastAsia="es-MX"/>
        </w:rPr>
      </w:pPr>
    </w:p>
    <w:p w:rsidR="001C69CB" w:rsidRDefault="001C69CB" w:rsidP="0014447C">
      <w:pPr>
        <w:pStyle w:val="Sinespaciado"/>
        <w:spacing w:line="360" w:lineRule="auto"/>
        <w:jc w:val="both"/>
        <w:rPr>
          <w:rFonts w:ascii="Palatino Linotype" w:hAnsi="Palatino Linotype"/>
          <w:sz w:val="24"/>
          <w:szCs w:val="24"/>
          <w:lang w:eastAsia="es-MX"/>
        </w:rPr>
      </w:pPr>
    </w:p>
    <w:p w:rsidR="001C69CB" w:rsidRDefault="001C69CB"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967EC">
        <w:rPr>
          <w:rFonts w:ascii="Palatino Linotype" w:hAnsi="Palatino Linotype"/>
          <w:sz w:val="24"/>
          <w:szCs w:val="24"/>
          <w:lang w:eastAsia="es-MX"/>
        </w:rPr>
        <w:t>diecinueve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967EC">
        <w:rPr>
          <w:rFonts w:ascii="Palatino Linotype" w:hAnsi="Palatino Linotype"/>
          <w:b/>
          <w:bCs/>
          <w:sz w:val="24"/>
          <w:szCs w:val="24"/>
          <w:lang w:eastAsia="es-MX"/>
        </w:rPr>
        <w:t>1198</w:t>
      </w:r>
      <w:r w:rsidR="0098202C">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A91627">
        <w:rPr>
          <w:rFonts w:ascii="Palatino Linotype" w:hAnsi="Palatino Linotype"/>
          <w:sz w:val="24"/>
          <w:szCs w:val="24"/>
        </w:rPr>
        <w:t>xxxx</w:t>
      </w:r>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1C69CB">
        <w:rPr>
          <w:rFonts w:ascii="Palatino Linotype" w:hAnsi="Palatino Linotype" w:cs="Arial"/>
          <w:b/>
          <w:sz w:val="24"/>
          <w:szCs w:val="24"/>
        </w:rPr>
        <w:t>Ayuntamiento de Zumpahuacán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C69CB">
        <w:rPr>
          <w:rFonts w:ascii="Palatino Linotype" w:hAnsi="Palatino Linotype"/>
          <w:sz w:val="24"/>
          <w:szCs w:val="24"/>
        </w:rPr>
        <w:t>veinte</w:t>
      </w:r>
      <w:r w:rsidR="00581A6F">
        <w:rPr>
          <w:rFonts w:ascii="Palatino Linotype" w:hAnsi="Palatino Linotype"/>
          <w:sz w:val="24"/>
          <w:szCs w:val="24"/>
        </w:rPr>
        <w:t xml:space="preserv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w:t>
      </w:r>
      <w:r w:rsidR="001C69CB" w:rsidRPr="001C69CB">
        <w:rPr>
          <w:rFonts w:ascii="Palatino Linotype" w:hAnsi="Palatino Linotype"/>
          <w:b/>
          <w:bCs/>
          <w:sz w:val="24"/>
          <w:szCs w:val="24"/>
        </w:rPr>
        <w:t>00301/ZUMPAHUA/IP/2019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1C69CB" w:rsidRPr="001C69CB">
        <w:rPr>
          <w:rFonts w:ascii="Palatino Linotype" w:eastAsia="Times New Roman" w:hAnsi="Palatino Linotype" w:cs="Times New Roman"/>
          <w:i/>
          <w:sz w:val="24"/>
          <w:szCs w:val="24"/>
          <w:lang w:val="es-ES_tradnl" w:eastAsia="es-ES"/>
        </w:rPr>
        <w:t>Solicito los gastos de representación que se efectuaron este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1C69CB">
        <w:rPr>
          <w:rFonts w:ascii="Palatino Linotype" w:hAnsi="Palatino Linotype"/>
          <w:sz w:val="24"/>
        </w:rPr>
        <w:t>once</w:t>
      </w:r>
      <w:r w:rsidR="00064439">
        <w:rPr>
          <w:rFonts w:ascii="Palatino Linotype" w:hAnsi="Palatino Linotype"/>
          <w:sz w:val="24"/>
        </w:rPr>
        <w:t xml:space="preserve"> de diciembre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1C69CB" w:rsidRDefault="008C0E72" w:rsidP="001C69CB">
      <w:pPr>
        <w:pStyle w:val="Sinespaciado"/>
        <w:ind w:left="567" w:right="567"/>
        <w:jc w:val="both"/>
        <w:rPr>
          <w:rFonts w:ascii="Palatino Linotype" w:hAnsi="Palatino Linotype"/>
          <w:i/>
        </w:rPr>
      </w:pPr>
      <w:r>
        <w:rPr>
          <w:rFonts w:ascii="Palatino Linotype" w:hAnsi="Palatino Linotype"/>
          <w:sz w:val="24"/>
        </w:rPr>
        <w:t>“</w:t>
      </w:r>
      <w:r w:rsidR="001C69CB" w:rsidRPr="001C69CB">
        <w:rPr>
          <w:rFonts w:ascii="Palatino Linotype" w:hAnsi="Palatino Linotype"/>
          <w:i/>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1C69CB" w:rsidRPr="001C69CB" w:rsidRDefault="001C69CB" w:rsidP="001C69CB">
      <w:pPr>
        <w:pStyle w:val="Sinespaciado"/>
        <w:ind w:left="567" w:right="567"/>
        <w:jc w:val="both"/>
        <w:rPr>
          <w:rFonts w:ascii="Palatino Linotype" w:hAnsi="Palatino Linotype"/>
          <w:i/>
        </w:rPr>
      </w:pPr>
    </w:p>
    <w:p w:rsidR="001C69CB" w:rsidRDefault="001C69CB" w:rsidP="001C69CB">
      <w:pPr>
        <w:pStyle w:val="Sinespaciado"/>
        <w:ind w:left="567" w:right="567"/>
        <w:jc w:val="both"/>
        <w:rPr>
          <w:rFonts w:ascii="Palatino Linotype" w:hAnsi="Palatino Linotype"/>
          <w:i/>
        </w:rPr>
      </w:pPr>
      <w:r w:rsidRPr="001C69CB">
        <w:rPr>
          <w:rFonts w:ascii="Palatino Linotype" w:hAnsi="Palatino Linotype"/>
          <w:i/>
        </w:rPr>
        <w:t>NO SE ESPECIFICA LO SOLICITADO.</w:t>
      </w:r>
    </w:p>
    <w:p w:rsidR="001C69CB" w:rsidRPr="001C69CB" w:rsidRDefault="001C69CB" w:rsidP="001C69CB">
      <w:pPr>
        <w:pStyle w:val="Sinespaciado"/>
        <w:ind w:left="567" w:right="567"/>
        <w:jc w:val="both"/>
        <w:rPr>
          <w:rFonts w:ascii="Palatino Linotype" w:hAnsi="Palatino Linotype"/>
          <w:i/>
        </w:rPr>
      </w:pPr>
    </w:p>
    <w:p w:rsidR="001C69CB" w:rsidRDefault="001C69CB" w:rsidP="001C69CB">
      <w:pPr>
        <w:pStyle w:val="Sinespaciado"/>
        <w:ind w:left="567" w:right="567"/>
        <w:jc w:val="both"/>
        <w:rPr>
          <w:rFonts w:ascii="Palatino Linotype" w:hAnsi="Palatino Linotype"/>
          <w:i/>
        </w:rPr>
      </w:pPr>
      <w:r w:rsidRPr="001C69CB">
        <w:rPr>
          <w:rFonts w:ascii="Palatino Linotype" w:hAnsi="Palatino Linotype"/>
          <w:i/>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rsidR="001C69CB" w:rsidRPr="001C69CB" w:rsidRDefault="001C69CB" w:rsidP="001C69CB">
      <w:pPr>
        <w:pStyle w:val="Sinespaciado"/>
        <w:ind w:left="567" w:right="567"/>
        <w:jc w:val="both"/>
        <w:rPr>
          <w:rFonts w:ascii="Palatino Linotype" w:hAnsi="Palatino Linotype"/>
          <w:i/>
        </w:rPr>
      </w:pPr>
    </w:p>
    <w:p w:rsidR="001C69CB" w:rsidRPr="001C69CB" w:rsidRDefault="001C69CB" w:rsidP="001C69CB">
      <w:pPr>
        <w:pStyle w:val="Sinespaciado"/>
        <w:ind w:left="567" w:right="567"/>
        <w:jc w:val="both"/>
        <w:rPr>
          <w:rFonts w:ascii="Palatino Linotype" w:hAnsi="Palatino Linotype"/>
          <w:i/>
        </w:rPr>
      </w:pPr>
      <w:r w:rsidRPr="001C69CB">
        <w:rPr>
          <w:rFonts w:ascii="Palatino Linotype" w:hAnsi="Palatino Linotype"/>
          <w:i/>
        </w:rPr>
        <w:t>ATENTAMENTE</w:t>
      </w:r>
    </w:p>
    <w:p w:rsidR="008C0E72" w:rsidRPr="008C0E72" w:rsidRDefault="001C69CB" w:rsidP="001C69CB">
      <w:pPr>
        <w:pStyle w:val="Sinespaciado"/>
        <w:ind w:left="567" w:right="567"/>
        <w:jc w:val="both"/>
        <w:rPr>
          <w:rFonts w:ascii="Palatino Linotype" w:hAnsi="Palatino Linotype"/>
          <w:i/>
        </w:rPr>
      </w:pPr>
      <w:r w:rsidRPr="001C69CB">
        <w:rPr>
          <w:rFonts w:ascii="Palatino Linotype" w:hAnsi="Palatino Linotype"/>
          <w:i/>
        </w:rPr>
        <w:t>C. Gustavo Eder Aguilar Trujillo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2E138E" w:rsidRDefault="002E138E" w:rsidP="0014447C">
      <w:pPr>
        <w:pStyle w:val="Sinespaciado"/>
        <w:spacing w:line="360" w:lineRule="auto"/>
        <w:jc w:val="both"/>
        <w:rPr>
          <w:rFonts w:ascii="Palatino Linotype" w:hAnsi="Palatino Linotype"/>
          <w:sz w:val="24"/>
        </w:rPr>
      </w:pPr>
      <w:r>
        <w:rPr>
          <w:rFonts w:ascii="Palatino Linotype" w:hAnsi="Palatino Linotype"/>
          <w:sz w:val="24"/>
        </w:rPr>
        <w:t xml:space="preserve">Anexando a su respuesta un archivo digital denominado “NO SE ESPECIFICA EL AÑO FISCAL DE LO SOLICITADO.pdf”, que consiste en una hoja sin membrete en el que se observa la leyenda que da nombre a dicho archivo. </w:t>
      </w:r>
    </w:p>
    <w:p w:rsidR="002E138E" w:rsidRDefault="002E138E" w:rsidP="0014447C">
      <w:pPr>
        <w:pStyle w:val="Sinespaciado"/>
        <w:spacing w:line="360" w:lineRule="auto"/>
        <w:jc w:val="both"/>
        <w:rPr>
          <w:rFonts w:ascii="Palatino Linotype" w:hAnsi="Palatino Linotype"/>
          <w:sz w:val="24"/>
        </w:rPr>
      </w:pPr>
    </w:p>
    <w:p w:rsidR="007E2E80" w:rsidRPr="00D04234" w:rsidRDefault="00C4032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C69CB">
        <w:rPr>
          <w:rFonts w:ascii="Palatino Linotype" w:hAnsi="Palatino Linotype"/>
          <w:sz w:val="24"/>
          <w:szCs w:val="24"/>
        </w:rPr>
        <w:t>diecinueve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1C69CB">
        <w:rPr>
          <w:rFonts w:ascii="Palatino Linotype" w:hAnsi="Palatino Linotype"/>
          <w:b/>
          <w:bCs/>
          <w:sz w:val="24"/>
          <w:szCs w:val="24"/>
          <w:lang w:eastAsia="es-MX"/>
        </w:rPr>
        <w:t>11980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lastRenderedPageBreak/>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2E138E" w:rsidRPr="002E138E">
        <w:rPr>
          <w:rFonts w:ascii="Palatino Linotype" w:hAnsi="Palatino Linotype" w:cs="Arial"/>
          <w:i/>
        </w:rPr>
        <w:t>La solicitud que ingrese no fue contestada con los principios y apegados a la Ley de Transparencia.</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2E138E" w:rsidRPr="002E138E">
        <w:rPr>
          <w:rFonts w:ascii="Palatino Linotype" w:hAnsi="Palatino Linotype" w:cs="Arial"/>
          <w:i/>
        </w:rPr>
        <w:t>Los archivos adjuntados por el SO no contienen la información que he solicitado, hay archivos que no sean requeridos.</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C40327"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E138E">
        <w:rPr>
          <w:rFonts w:ascii="Palatino Linotype" w:hAnsi="Palatino Linotype"/>
          <w:sz w:val="24"/>
          <w:szCs w:val="24"/>
        </w:rPr>
        <w:t>diez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C40327" w:rsidRDefault="00BE6D77" w:rsidP="004657BE">
      <w:pPr>
        <w:pStyle w:val="Sinespaciado"/>
        <w:spacing w:line="360" w:lineRule="auto"/>
        <w:jc w:val="both"/>
        <w:rPr>
          <w:rFonts w:ascii="Palatino Linotype" w:hAnsi="Palatino Linotype"/>
          <w:szCs w:val="24"/>
        </w:rPr>
      </w:pPr>
    </w:p>
    <w:p w:rsidR="007E2E80" w:rsidRPr="0014447C" w:rsidRDefault="00C4032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692E6D">
        <w:rPr>
          <w:rFonts w:ascii="Palatino Linotype" w:hAnsi="Palatino Linotype"/>
          <w:b/>
          <w:sz w:val="26"/>
          <w:szCs w:val="26"/>
        </w:rPr>
        <w:t>TO</w:t>
      </w:r>
      <w:r w:rsidR="007E2E80" w:rsidRPr="0014447C">
        <w:rPr>
          <w:rFonts w:ascii="Palatino Linotype" w:hAnsi="Palatino Linotype"/>
          <w:b/>
          <w:sz w:val="26"/>
          <w:szCs w:val="26"/>
        </w:rPr>
        <w:t>.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BC585F">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Default="002E138E" w:rsidP="00C40327">
      <w:pPr>
        <w:pStyle w:val="Sinespaciado"/>
        <w:spacing w:line="360" w:lineRule="auto"/>
        <w:jc w:val="center"/>
        <w:rPr>
          <w:rFonts w:ascii="Palatino Linotype" w:hAnsi="Palatino Linotype"/>
          <w:sz w:val="24"/>
          <w:szCs w:val="24"/>
        </w:rPr>
      </w:pPr>
      <w:r>
        <w:rPr>
          <w:noProof/>
          <w:lang w:eastAsia="es-MX"/>
        </w:rPr>
        <w:drawing>
          <wp:inline distT="0" distB="0" distL="0" distR="0" wp14:anchorId="69A00D69" wp14:editId="10D8CC5C">
            <wp:extent cx="5774182" cy="1704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519" r="28902" b="59435"/>
                    <a:stretch/>
                  </pic:blipFill>
                  <pic:spPr bwMode="auto">
                    <a:xfrm>
                      <a:off x="0" y="0"/>
                      <a:ext cx="5794342" cy="1710928"/>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C40327" w:rsidRDefault="00D63BE7" w:rsidP="0014447C">
      <w:pPr>
        <w:pStyle w:val="Sinespaciado"/>
        <w:spacing w:line="360" w:lineRule="auto"/>
        <w:jc w:val="both"/>
        <w:rPr>
          <w:rFonts w:ascii="Palatino Linotype" w:hAnsi="Palatino Linotype"/>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107A58">
        <w:rPr>
          <w:rFonts w:ascii="Palatino Linotype" w:hAnsi="Palatino Linotype"/>
          <w:b/>
          <w:sz w:val="26"/>
          <w:szCs w:val="26"/>
        </w:rPr>
        <w:t>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E138E">
        <w:rPr>
          <w:rFonts w:ascii="Palatino Linotype" w:hAnsi="Palatino Linotype"/>
          <w:sz w:val="24"/>
          <w:szCs w:val="24"/>
        </w:rPr>
        <w:t>seis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107A58"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w:t>
      </w:r>
      <w:r w:rsidR="00692E6D">
        <w:rPr>
          <w:rFonts w:ascii="Palatino Linotype" w:hAnsi="Palatino Linotype"/>
          <w:b/>
          <w:sz w:val="26"/>
          <w:szCs w:val="26"/>
        </w:rPr>
        <w:t>O</w:t>
      </w:r>
      <w:r w:rsidR="0065519D" w:rsidRPr="0065519D">
        <w:rPr>
          <w:rFonts w:ascii="Palatino Linotype" w:hAnsi="Palatino Linotype"/>
          <w:b/>
          <w:sz w:val="26"/>
          <w:szCs w:val="26"/>
        </w:rPr>
        <w:t>. De la ampliación del término para resolver.</w:t>
      </w:r>
    </w:p>
    <w:p w:rsidR="0065519D"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2E138E">
        <w:rPr>
          <w:rFonts w:ascii="Palatino Linotype" w:hAnsi="Palatino Linotype"/>
          <w:sz w:val="24"/>
          <w:szCs w:val="24"/>
        </w:rPr>
        <w:t>seis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2E138E">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B514F">
        <w:rPr>
          <w:rFonts w:ascii="Palatino Linotype" w:eastAsia="Calibri" w:hAnsi="Palatino Linotype" w:cs="Times New Roman"/>
          <w:i/>
          <w:lang w:val="es-ES" w:eastAsia="es-ES"/>
        </w:rPr>
        <w:lastRenderedPageBreak/>
        <w:t>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107A58">
        <w:rPr>
          <w:rFonts w:ascii="Palatino Linotype" w:hAnsi="Palatino Linotype"/>
          <w:sz w:val="24"/>
          <w:szCs w:val="24"/>
        </w:rPr>
        <w:t xml:space="preserve">te requirió del Sujeto Obligado </w:t>
      </w:r>
      <w:r w:rsidR="0033064D">
        <w:rPr>
          <w:rFonts w:ascii="Palatino Linotype" w:hAnsi="Palatino Linotype"/>
          <w:sz w:val="24"/>
          <w:szCs w:val="24"/>
        </w:rPr>
        <w:t>los gastos de representación que se efectuaron ese año, por lo que debe entenderse que el periodo solicitado comprende del primero de enero al veinte de noviembre de dos mil diecinueve</w:t>
      </w:r>
    </w:p>
    <w:p w:rsidR="00FB79CA" w:rsidRDefault="00FB79CA" w:rsidP="0014447C">
      <w:pPr>
        <w:pStyle w:val="Sinespaciado"/>
        <w:spacing w:line="360" w:lineRule="auto"/>
        <w:jc w:val="both"/>
        <w:rPr>
          <w:rFonts w:ascii="Palatino Linotype" w:hAnsi="Palatino Linotype"/>
          <w:sz w:val="24"/>
          <w:szCs w:val="24"/>
        </w:rPr>
      </w:pPr>
    </w:p>
    <w:p w:rsidR="0033064D" w:rsidRDefault="00107A5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w:t>
      </w:r>
      <w:r w:rsidR="00587196">
        <w:rPr>
          <w:rFonts w:ascii="Palatino Linotype" w:hAnsi="Palatino Linotype"/>
          <w:sz w:val="24"/>
          <w:szCs w:val="24"/>
        </w:rPr>
        <w:t xml:space="preserve"> </w:t>
      </w:r>
      <w:r w:rsidR="0033064D">
        <w:rPr>
          <w:rFonts w:ascii="Palatino Linotype" w:hAnsi="Palatino Linotype"/>
          <w:sz w:val="24"/>
          <w:szCs w:val="24"/>
        </w:rPr>
        <w:t>respondió que la solicitud no era específica y en el archivo anexado se señaló que no se especificaba el año fiscal de la información solicitada. Por tal situación, el Sujeto Obligado dio por concluida la solicitud.</w:t>
      </w:r>
    </w:p>
    <w:p w:rsidR="0033064D" w:rsidRDefault="0033064D"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w:t>
      </w:r>
      <w:r w:rsidR="00711789">
        <w:rPr>
          <w:rFonts w:ascii="Palatino Linotype" w:hAnsi="Palatino Linotype"/>
          <w:sz w:val="24"/>
          <w:szCs w:val="24"/>
        </w:rPr>
        <w:t xml:space="preserve">como acto impugnado que su solicitud no fue contestada con los principios y apegada a la Ley de Transparencia </w:t>
      </w:r>
      <w:r w:rsidR="00AA66C6">
        <w:rPr>
          <w:rFonts w:ascii="Palatino Linotype" w:hAnsi="Palatino Linotype"/>
          <w:sz w:val="24"/>
          <w:szCs w:val="24"/>
        </w:rPr>
        <w:t xml:space="preserve">y 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711789">
        <w:rPr>
          <w:rFonts w:ascii="Palatino Linotype" w:hAnsi="Palatino Linotype"/>
          <w:sz w:val="24"/>
          <w:szCs w:val="24"/>
        </w:rPr>
        <w:t xml:space="preserve">los archivos adjuntos no contienen la información solicitada y que hay archivos que no se han requerido.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9B514F">
        <w:rPr>
          <w:rFonts w:ascii="Palatino Linotype" w:eastAsia="Times New Roman" w:hAnsi="Palatino Linotype" w:cs="Times New Roman"/>
          <w:i/>
          <w:lang w:eastAsia="es-ES"/>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estima que las razones o motivos de inconformidad son</w:t>
      </w:r>
      <w:r w:rsidR="00711789">
        <w:rPr>
          <w:rFonts w:ascii="Palatino Linotype" w:hAnsi="Palatino Linotype" w:cs="Arial"/>
          <w:sz w:val="24"/>
          <w:szCs w:val="24"/>
        </w:rPr>
        <w:t xml:space="preserve"> fundados, </w:t>
      </w:r>
      <w:r w:rsidR="00F95250">
        <w:rPr>
          <w:rFonts w:ascii="Palatino Linotype" w:hAnsi="Palatino Linotype" w:cs="Arial"/>
          <w:sz w:val="24"/>
          <w:szCs w:val="24"/>
        </w:rPr>
        <w:t xml:space="preserve">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EC3B60">
        <w:rPr>
          <w:rFonts w:ascii="Palatino Linotype" w:hAnsi="Palatino Linotype"/>
          <w:sz w:val="24"/>
          <w:szCs w:val="24"/>
        </w:rPr>
        <w:lastRenderedPageBreak/>
        <w:t>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E87EE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 xml:space="preserve">solicitó </w:t>
      </w:r>
      <w:r w:rsidR="00E87EE3">
        <w:rPr>
          <w:rFonts w:ascii="Palatino Linotype" w:hAnsi="Palatino Linotype"/>
          <w:sz w:val="24"/>
          <w:szCs w:val="24"/>
        </w:rPr>
        <w:t xml:space="preserve">los gastos de representación que se ejercieron en el año dos mil diecinueve, por lo que es claro que la información requerida es relativa a la generada a partir del primero de enero al veinte de noviembre de dos mil diecinueve, fecha en la que fue ingresada la solicitud de información. </w:t>
      </w:r>
    </w:p>
    <w:p w:rsidR="00E87EE3" w:rsidRDefault="00E87EE3" w:rsidP="006A674A">
      <w:pPr>
        <w:spacing w:after="0" w:line="360" w:lineRule="auto"/>
        <w:jc w:val="both"/>
        <w:rPr>
          <w:rFonts w:ascii="Palatino Linotype" w:hAnsi="Palatino Linotype"/>
          <w:sz w:val="24"/>
          <w:szCs w:val="24"/>
        </w:rPr>
      </w:pPr>
    </w:p>
    <w:p w:rsidR="00E87EE3" w:rsidRDefault="00E87EE3" w:rsidP="006A674A">
      <w:pPr>
        <w:spacing w:after="0" w:line="360" w:lineRule="auto"/>
        <w:jc w:val="both"/>
        <w:rPr>
          <w:rFonts w:ascii="Palatino Linotype" w:hAnsi="Palatino Linotype"/>
          <w:sz w:val="24"/>
          <w:szCs w:val="24"/>
        </w:rPr>
      </w:pPr>
      <w:r>
        <w:rPr>
          <w:rFonts w:ascii="Palatino Linotype" w:hAnsi="Palatino Linotype"/>
          <w:sz w:val="24"/>
          <w:szCs w:val="24"/>
        </w:rPr>
        <w:t>De tal forma que es evident</w:t>
      </w:r>
      <w:r w:rsidR="00D60C23">
        <w:rPr>
          <w:rFonts w:ascii="Palatino Linotype" w:hAnsi="Palatino Linotype"/>
          <w:sz w:val="24"/>
          <w:szCs w:val="24"/>
        </w:rPr>
        <w:t xml:space="preserve">e que el Sujeto Obligado contaba con elementos para dar atención a la solicitud planteada por el particular, ya que éste señaló la temporalidad de la información al señalar que requería los datos del año dos mil diecinueve, al expresar literalmente </w:t>
      </w:r>
      <w:r w:rsidR="00D60C23">
        <w:rPr>
          <w:rFonts w:ascii="Palatino Linotype" w:hAnsi="Palatino Linotype"/>
          <w:i/>
          <w:sz w:val="24"/>
          <w:szCs w:val="24"/>
        </w:rPr>
        <w:t xml:space="preserve">“solicito los gastos de representación </w:t>
      </w:r>
      <w:r w:rsidR="00D60C23" w:rsidRPr="00D60C23">
        <w:rPr>
          <w:rFonts w:ascii="Palatino Linotype" w:hAnsi="Palatino Linotype"/>
          <w:b/>
          <w:i/>
          <w:sz w:val="24"/>
          <w:szCs w:val="24"/>
          <w:u w:val="single"/>
        </w:rPr>
        <w:t>que se efectuaron este año</w:t>
      </w:r>
      <w:r w:rsidR="00D60C23">
        <w:rPr>
          <w:rFonts w:ascii="Palatino Linotype" w:hAnsi="Palatino Linotype"/>
          <w:i/>
          <w:sz w:val="24"/>
          <w:szCs w:val="24"/>
        </w:rPr>
        <w:t>”</w:t>
      </w:r>
      <w:r w:rsidR="00D60C23">
        <w:rPr>
          <w:rFonts w:ascii="Palatino Linotype" w:hAnsi="Palatino Linotype"/>
          <w:sz w:val="24"/>
          <w:szCs w:val="24"/>
        </w:rPr>
        <w:t>.</w:t>
      </w:r>
    </w:p>
    <w:p w:rsidR="00D60C23" w:rsidRDefault="00D60C23" w:rsidP="006A674A">
      <w:pPr>
        <w:spacing w:after="0" w:line="360" w:lineRule="auto"/>
        <w:jc w:val="both"/>
        <w:rPr>
          <w:rFonts w:ascii="Palatino Linotype" w:hAnsi="Palatino Linotype"/>
          <w:sz w:val="24"/>
          <w:szCs w:val="24"/>
        </w:rPr>
      </w:pPr>
    </w:p>
    <w:p w:rsidR="00D60C23" w:rsidRDefault="00D60C2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sentido, </w:t>
      </w:r>
      <w:r w:rsidR="00E61779">
        <w:rPr>
          <w:rFonts w:ascii="Palatino Linotype" w:hAnsi="Palatino Linotype"/>
          <w:sz w:val="24"/>
          <w:szCs w:val="24"/>
        </w:rPr>
        <w:t xml:space="preserve">es necesario destacar que el Sujeto Obligado cuenta con las atribuciones para generar la información </w:t>
      </w:r>
      <w:r w:rsidR="001B768E">
        <w:rPr>
          <w:rFonts w:ascii="Palatino Linotype" w:hAnsi="Palatino Linotype"/>
          <w:sz w:val="24"/>
          <w:szCs w:val="24"/>
        </w:rPr>
        <w:t>solicitada</w:t>
      </w:r>
      <w:r w:rsidR="00E61779">
        <w:rPr>
          <w:rFonts w:ascii="Palatino Linotype" w:hAnsi="Palatino Linotype"/>
          <w:sz w:val="24"/>
          <w:szCs w:val="24"/>
        </w:rPr>
        <w:t xml:space="preserve"> por el Recurrente, toda vez que se ve constreñido a aplicar lar reglas establecidas en el Manual para la Planeación, Programación y Presupuesto de Egresos Municipal para el Ejercicio Fiscal 2019, en el cual se señala en el Clasificador por Objeto del Gasto 2019 que los gastos de representación están considerados en el Rubro “3800 SERVICIOS OFICIALES”, que se definen como las asignaciones destinadas a cubrir los servicios relacionados con la celebración de actos y ceremonias oficiales realizadas por los entes públicos, así como </w:t>
      </w:r>
      <w:r w:rsidR="00E61779">
        <w:rPr>
          <w:rFonts w:ascii="Palatino Linotype" w:hAnsi="Palatino Linotype"/>
          <w:sz w:val="24"/>
          <w:szCs w:val="24"/>
        </w:rPr>
        <w:lastRenderedPageBreak/>
        <w:t>los gastos de representación y los necesarios para las oficinas establecidas en el exterior.</w:t>
      </w:r>
    </w:p>
    <w:p w:rsidR="00E61779" w:rsidRDefault="00E61779" w:rsidP="006A674A">
      <w:pPr>
        <w:spacing w:after="0" w:line="360" w:lineRule="auto"/>
        <w:jc w:val="both"/>
        <w:rPr>
          <w:rFonts w:ascii="Palatino Linotype" w:hAnsi="Palatino Linotype"/>
          <w:sz w:val="24"/>
          <w:szCs w:val="24"/>
        </w:rPr>
      </w:pPr>
    </w:p>
    <w:p w:rsidR="00E61779" w:rsidRDefault="00E61779" w:rsidP="006A674A">
      <w:pPr>
        <w:spacing w:after="0" w:line="360" w:lineRule="auto"/>
        <w:jc w:val="both"/>
        <w:rPr>
          <w:rFonts w:ascii="Palatino Linotype" w:hAnsi="Palatino Linotype"/>
          <w:sz w:val="24"/>
          <w:szCs w:val="24"/>
        </w:rPr>
      </w:pPr>
      <w:r>
        <w:rPr>
          <w:rFonts w:ascii="Palatino Linotype" w:hAnsi="Palatino Linotype"/>
          <w:sz w:val="24"/>
          <w:szCs w:val="24"/>
        </w:rPr>
        <w:t>Más concretamente, los gastos de representación corresponden a la partida 3850 Gastos de Representación. Que son las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w:t>
      </w:r>
    </w:p>
    <w:p w:rsidR="00E61779" w:rsidRDefault="00E61779" w:rsidP="006A674A">
      <w:pPr>
        <w:spacing w:after="0" w:line="360" w:lineRule="auto"/>
        <w:jc w:val="both"/>
        <w:rPr>
          <w:rFonts w:ascii="Palatino Linotype" w:hAnsi="Palatino Linotype"/>
          <w:sz w:val="24"/>
          <w:szCs w:val="24"/>
        </w:rPr>
      </w:pPr>
    </w:p>
    <w:p w:rsidR="00E61779" w:rsidRDefault="00111765" w:rsidP="006A674A">
      <w:pPr>
        <w:spacing w:after="0" w:line="360" w:lineRule="auto"/>
        <w:jc w:val="both"/>
        <w:rPr>
          <w:rFonts w:ascii="Palatino Linotype" w:hAnsi="Palatino Linotype"/>
          <w:sz w:val="24"/>
          <w:szCs w:val="24"/>
        </w:rPr>
      </w:pPr>
      <w:r>
        <w:rPr>
          <w:rFonts w:ascii="Palatino Linotype" w:hAnsi="Palatino Linotype"/>
          <w:sz w:val="24"/>
          <w:szCs w:val="24"/>
        </w:rPr>
        <w:t>Es toral destacar que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w:t>
      </w:r>
      <w:r w:rsidR="00C5698C">
        <w:rPr>
          <w:rFonts w:ascii="Palatino Linotype" w:hAnsi="Palatino Linotype"/>
          <w:sz w:val="24"/>
          <w:szCs w:val="24"/>
        </w:rPr>
        <w:t>,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 Asimismo, es de observancia obligatoria para las dependencias, entidades públicas y los municipios, cumpliendo además con la normatividad que se emita en la materia.</w:t>
      </w:r>
    </w:p>
    <w:p w:rsidR="00C5698C" w:rsidRDefault="00C5698C" w:rsidP="006A674A">
      <w:pPr>
        <w:spacing w:after="0" w:line="360" w:lineRule="auto"/>
        <w:jc w:val="both"/>
        <w:rPr>
          <w:rFonts w:ascii="Palatino Linotype" w:hAnsi="Palatino Linotype"/>
          <w:sz w:val="24"/>
          <w:szCs w:val="24"/>
        </w:rPr>
      </w:pPr>
    </w:p>
    <w:p w:rsidR="00C5698C" w:rsidRDefault="00C5698C"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Consecuentemente, es una obligación del Sujeto Obligado sujetarse a lo establecido en el Manual en cita en lo que respecta al uso de los recursos destinados a los gastos de representación.</w:t>
      </w:r>
    </w:p>
    <w:p w:rsidR="00C5698C" w:rsidRDefault="00C5698C" w:rsidP="006A674A">
      <w:pPr>
        <w:spacing w:after="0" w:line="360" w:lineRule="auto"/>
        <w:jc w:val="both"/>
        <w:rPr>
          <w:rFonts w:ascii="Palatino Linotype" w:hAnsi="Palatino Linotype"/>
          <w:sz w:val="24"/>
          <w:szCs w:val="24"/>
        </w:rPr>
      </w:pPr>
    </w:p>
    <w:p w:rsidR="00C5698C" w:rsidRDefault="00C5698C"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No se omite señalar que la Ley Orgánica Municipal </w:t>
      </w:r>
      <w:r w:rsidR="00577C7F">
        <w:rPr>
          <w:rFonts w:ascii="Palatino Linotype" w:hAnsi="Palatino Linotype"/>
          <w:sz w:val="24"/>
          <w:szCs w:val="24"/>
        </w:rPr>
        <w:t xml:space="preserve">del Estado de México, en sus artículos </w:t>
      </w:r>
      <w:r w:rsidR="00504947">
        <w:rPr>
          <w:rFonts w:ascii="Palatino Linotype" w:hAnsi="Palatino Linotype"/>
          <w:sz w:val="24"/>
          <w:szCs w:val="24"/>
        </w:rPr>
        <w:t xml:space="preserve">87 fracción II, </w:t>
      </w:r>
      <w:r w:rsidR="00577C7F">
        <w:rPr>
          <w:rFonts w:ascii="Palatino Linotype" w:hAnsi="Palatino Linotype"/>
          <w:sz w:val="24"/>
          <w:szCs w:val="24"/>
        </w:rPr>
        <w:t>93 y 95, fracciones I y IV, señala lo siguiente:</w:t>
      </w:r>
    </w:p>
    <w:p w:rsidR="00577C7F" w:rsidRDefault="00577C7F" w:rsidP="006A674A">
      <w:pPr>
        <w:spacing w:after="0" w:line="360" w:lineRule="auto"/>
        <w:jc w:val="both"/>
        <w:rPr>
          <w:rFonts w:ascii="Palatino Linotype" w:hAnsi="Palatino Linotype"/>
          <w:sz w:val="24"/>
          <w:szCs w:val="24"/>
        </w:rPr>
      </w:pPr>
    </w:p>
    <w:p w:rsidR="00504947" w:rsidRDefault="00504947" w:rsidP="00577C7F">
      <w:pPr>
        <w:spacing w:after="0" w:line="240" w:lineRule="auto"/>
        <w:ind w:left="567" w:right="567"/>
        <w:jc w:val="both"/>
        <w:rPr>
          <w:rFonts w:ascii="Palatino Linotype" w:hAnsi="Palatino Linotype"/>
          <w:bCs/>
          <w:i/>
        </w:rPr>
      </w:pPr>
      <w:r w:rsidRPr="00504947">
        <w:rPr>
          <w:rFonts w:ascii="Palatino Linotype" w:hAnsi="Palatino Linotype"/>
          <w:b/>
          <w:bCs/>
          <w:i/>
        </w:rPr>
        <w:t xml:space="preserve">Artículo 87.- </w:t>
      </w:r>
      <w:r w:rsidRPr="00504947">
        <w:rPr>
          <w:rFonts w:ascii="Palatino Linotype" w:hAnsi="Palatino Linotype"/>
          <w:bCs/>
          <w:i/>
        </w:rPr>
        <w:t>Para el despacho, estudio y planeación de los diversos asuntos de la administración municipal, el ayuntamiento contará por lo menos con las siguientes Dependencias:</w:t>
      </w:r>
    </w:p>
    <w:p w:rsidR="00504947" w:rsidRPr="00504947" w:rsidRDefault="00504947" w:rsidP="00577C7F">
      <w:pPr>
        <w:spacing w:after="0" w:line="240" w:lineRule="auto"/>
        <w:ind w:left="567" w:right="567"/>
        <w:jc w:val="both"/>
        <w:rPr>
          <w:rFonts w:ascii="Palatino Linotype" w:hAnsi="Palatino Linotype"/>
          <w:bCs/>
          <w:i/>
        </w:rPr>
      </w:pPr>
      <w:r w:rsidRPr="00504947">
        <w:rPr>
          <w:rFonts w:ascii="Palatino Linotype" w:hAnsi="Palatino Linotype"/>
          <w:bCs/>
          <w:i/>
        </w:rPr>
        <w:t>(…)</w:t>
      </w:r>
    </w:p>
    <w:p w:rsidR="00504947" w:rsidRPr="00504947" w:rsidRDefault="00504947" w:rsidP="00577C7F">
      <w:pPr>
        <w:spacing w:after="0" w:line="240" w:lineRule="auto"/>
        <w:ind w:left="567" w:right="567"/>
        <w:jc w:val="both"/>
        <w:rPr>
          <w:rFonts w:ascii="Palatino Linotype" w:hAnsi="Palatino Linotype"/>
          <w:bCs/>
          <w:i/>
        </w:rPr>
      </w:pPr>
      <w:r w:rsidRPr="00504947">
        <w:rPr>
          <w:rFonts w:ascii="Palatino Linotype" w:hAnsi="Palatino Linotype"/>
          <w:bCs/>
          <w:i/>
        </w:rPr>
        <w:t>II. La tesorería municipal</w:t>
      </w:r>
    </w:p>
    <w:p w:rsidR="00504947" w:rsidRPr="00504947" w:rsidRDefault="00504947" w:rsidP="00577C7F">
      <w:pPr>
        <w:spacing w:after="0" w:line="240" w:lineRule="auto"/>
        <w:ind w:left="567" w:right="567"/>
        <w:jc w:val="both"/>
        <w:rPr>
          <w:rFonts w:ascii="Palatino Linotype" w:hAnsi="Palatino Linotype"/>
          <w:bCs/>
          <w:i/>
        </w:rPr>
      </w:pPr>
      <w:r w:rsidRPr="00504947">
        <w:rPr>
          <w:rFonts w:ascii="Palatino Linotype" w:hAnsi="Palatino Linotype"/>
          <w:bCs/>
          <w:i/>
        </w:rPr>
        <w:t>(…)</w:t>
      </w:r>
    </w:p>
    <w:p w:rsidR="00504947" w:rsidRDefault="00504947" w:rsidP="00577C7F">
      <w:pPr>
        <w:spacing w:after="0" w:line="240" w:lineRule="auto"/>
        <w:ind w:left="567" w:right="567"/>
        <w:jc w:val="both"/>
        <w:rPr>
          <w:rFonts w:ascii="Palatino Linotype" w:hAnsi="Palatino Linotype"/>
          <w:b/>
          <w:bCs/>
          <w:i/>
        </w:rPr>
      </w:pPr>
    </w:p>
    <w:p w:rsidR="00577C7F"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b/>
          <w:bCs/>
          <w:i/>
        </w:rPr>
        <w:t xml:space="preserve">Artículo 93.- </w:t>
      </w:r>
      <w:r w:rsidRPr="00577C7F">
        <w:rPr>
          <w:rFonts w:ascii="Palatino Linotype" w:hAnsi="Palatino Linotype"/>
          <w:b/>
          <w:i/>
          <w:u w:val="single"/>
        </w:rPr>
        <w:t>La tesorería municipal es el órgano encargado</w:t>
      </w:r>
      <w:r w:rsidRPr="00577C7F">
        <w:rPr>
          <w:rFonts w:ascii="Palatino Linotype" w:hAnsi="Palatino Linotype"/>
          <w:i/>
        </w:rPr>
        <w:t xml:space="preserve"> de la recaudación de los ingresos municipales y responsable </w:t>
      </w:r>
      <w:r w:rsidRPr="00577C7F">
        <w:rPr>
          <w:rFonts w:ascii="Palatino Linotype" w:hAnsi="Palatino Linotype"/>
          <w:b/>
          <w:i/>
          <w:u w:val="single"/>
        </w:rPr>
        <w:t>de realizar las erogaciones que haga el ayuntamiento</w:t>
      </w:r>
      <w:r w:rsidRPr="00577C7F">
        <w:rPr>
          <w:rFonts w:ascii="Palatino Linotype" w:hAnsi="Palatino Linotype"/>
          <w:i/>
        </w:rPr>
        <w:t>.</w:t>
      </w:r>
    </w:p>
    <w:p w:rsidR="00577C7F" w:rsidRPr="00577C7F" w:rsidRDefault="00577C7F" w:rsidP="00577C7F">
      <w:pPr>
        <w:spacing w:after="0" w:line="240" w:lineRule="auto"/>
        <w:ind w:left="567" w:right="567"/>
        <w:jc w:val="both"/>
        <w:rPr>
          <w:rFonts w:ascii="Palatino Linotype" w:hAnsi="Palatino Linotype"/>
          <w:i/>
        </w:rPr>
      </w:pPr>
    </w:p>
    <w:p w:rsidR="00577C7F"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b/>
          <w:bCs/>
          <w:i/>
        </w:rPr>
        <w:t xml:space="preserve">Artículo 95.- </w:t>
      </w:r>
      <w:r w:rsidRPr="00577C7F">
        <w:rPr>
          <w:rFonts w:ascii="Palatino Linotype" w:hAnsi="Palatino Linotype"/>
          <w:b/>
          <w:i/>
          <w:u w:val="single"/>
        </w:rPr>
        <w:t>Son atribuciones del tesorero municipal</w:t>
      </w:r>
      <w:r w:rsidRPr="00577C7F">
        <w:rPr>
          <w:rFonts w:ascii="Palatino Linotype" w:hAnsi="Palatino Linotype"/>
          <w:i/>
        </w:rPr>
        <w:t>:</w:t>
      </w:r>
    </w:p>
    <w:p w:rsidR="00577C7F"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i/>
        </w:rPr>
        <w:t xml:space="preserve">I. </w:t>
      </w:r>
      <w:r w:rsidRPr="00577C7F">
        <w:rPr>
          <w:rFonts w:ascii="Palatino Linotype" w:hAnsi="Palatino Linotype"/>
          <w:b/>
          <w:i/>
          <w:u w:val="single"/>
        </w:rPr>
        <w:t>Administrar la hacienda pública municipal, de conformidad con las disposiciones legales aplicables</w:t>
      </w:r>
      <w:r w:rsidRPr="00577C7F">
        <w:rPr>
          <w:rFonts w:ascii="Palatino Linotype" w:hAnsi="Palatino Linotype"/>
          <w:i/>
        </w:rPr>
        <w:t>;</w:t>
      </w:r>
    </w:p>
    <w:p w:rsidR="00577C7F"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i/>
        </w:rPr>
        <w:t>(…)</w:t>
      </w:r>
    </w:p>
    <w:p w:rsidR="00577C7F"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i/>
        </w:rPr>
        <w:t xml:space="preserve">IV. </w:t>
      </w:r>
      <w:r w:rsidRPr="00577C7F">
        <w:rPr>
          <w:rFonts w:ascii="Palatino Linotype" w:hAnsi="Palatino Linotype"/>
          <w:b/>
        </w:rPr>
        <w:t>Llevar los registros contables, financieros y administrativos de los</w:t>
      </w:r>
      <w:r w:rsidRPr="00577C7F">
        <w:rPr>
          <w:rFonts w:ascii="Palatino Linotype" w:hAnsi="Palatino Linotype"/>
          <w:i/>
        </w:rPr>
        <w:t xml:space="preserve"> ingresos, </w:t>
      </w:r>
      <w:r w:rsidRPr="00577C7F">
        <w:rPr>
          <w:rFonts w:ascii="Palatino Linotype" w:hAnsi="Palatino Linotype"/>
          <w:b/>
          <w:i/>
          <w:u w:val="single"/>
        </w:rPr>
        <w:t>egresos,</w:t>
      </w:r>
      <w:r w:rsidRPr="00577C7F">
        <w:rPr>
          <w:rFonts w:ascii="Palatino Linotype" w:hAnsi="Palatino Linotype"/>
          <w:i/>
        </w:rPr>
        <w:t xml:space="preserve"> e inventarios;</w:t>
      </w:r>
    </w:p>
    <w:p w:rsidR="00E87EE3" w:rsidRPr="00577C7F" w:rsidRDefault="00577C7F" w:rsidP="00577C7F">
      <w:pPr>
        <w:spacing w:after="0" w:line="240" w:lineRule="auto"/>
        <w:ind w:left="567" w:right="567"/>
        <w:jc w:val="both"/>
        <w:rPr>
          <w:rFonts w:ascii="Palatino Linotype" w:hAnsi="Palatino Linotype"/>
          <w:i/>
        </w:rPr>
      </w:pPr>
      <w:r w:rsidRPr="00577C7F">
        <w:rPr>
          <w:rFonts w:ascii="Palatino Linotype" w:hAnsi="Palatino Linotype"/>
          <w:i/>
        </w:rPr>
        <w:t>(…)</w:t>
      </w:r>
    </w:p>
    <w:p w:rsidR="00E87EE3" w:rsidRDefault="00E87EE3" w:rsidP="006A674A">
      <w:pPr>
        <w:spacing w:after="0" w:line="360" w:lineRule="auto"/>
        <w:jc w:val="both"/>
        <w:rPr>
          <w:rFonts w:ascii="Palatino Linotype" w:hAnsi="Palatino Linotype"/>
          <w:sz w:val="24"/>
          <w:szCs w:val="24"/>
        </w:rPr>
      </w:pPr>
    </w:p>
    <w:p w:rsidR="00577C7F" w:rsidRDefault="00577C7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Así, se observa que el Sujeto Obligado tiene entre sus unidades administrativas a la Tesorería Municipal, la cual es la encargada de realizar las erogaciones que haga el ayuntamiento, administrar la </w:t>
      </w:r>
      <w:r w:rsidR="0000470B">
        <w:rPr>
          <w:rFonts w:ascii="Palatino Linotype" w:hAnsi="Palatino Linotype"/>
          <w:sz w:val="24"/>
          <w:szCs w:val="24"/>
        </w:rPr>
        <w:t>hacienda</w:t>
      </w:r>
      <w:r>
        <w:rPr>
          <w:rFonts w:ascii="Palatino Linotype" w:hAnsi="Palatino Linotype"/>
          <w:sz w:val="24"/>
          <w:szCs w:val="24"/>
        </w:rPr>
        <w:t xml:space="preserve"> pública</w:t>
      </w:r>
      <w:r w:rsidR="00504947">
        <w:rPr>
          <w:rFonts w:ascii="Palatino Linotype" w:hAnsi="Palatino Linotype"/>
          <w:sz w:val="24"/>
          <w:szCs w:val="24"/>
        </w:rPr>
        <w:t xml:space="preserve"> y de llevar los registros contables, financieros y administrativos de los egresos; por tanto, se colige que el Sujeto Obligado </w:t>
      </w:r>
      <w:r w:rsidR="00504947">
        <w:rPr>
          <w:rFonts w:ascii="Palatino Linotype" w:hAnsi="Palatino Linotype"/>
          <w:sz w:val="24"/>
          <w:szCs w:val="24"/>
        </w:rPr>
        <w:lastRenderedPageBreak/>
        <w:t>cuenta con la unidad administrativa competente para conocer de la información solicitada.</w:t>
      </w:r>
    </w:p>
    <w:p w:rsidR="00504947" w:rsidRDefault="00504947" w:rsidP="006A674A">
      <w:pPr>
        <w:spacing w:after="0" w:line="360" w:lineRule="auto"/>
        <w:jc w:val="both"/>
        <w:rPr>
          <w:rFonts w:ascii="Palatino Linotype" w:hAnsi="Palatino Linotype"/>
          <w:sz w:val="24"/>
          <w:szCs w:val="24"/>
        </w:rPr>
      </w:pPr>
    </w:p>
    <w:p w:rsidR="00504947" w:rsidRDefault="00504947" w:rsidP="006A674A">
      <w:pPr>
        <w:spacing w:after="0" w:line="360" w:lineRule="auto"/>
        <w:jc w:val="both"/>
        <w:rPr>
          <w:rFonts w:ascii="Palatino Linotype" w:hAnsi="Palatino Linotype"/>
          <w:sz w:val="24"/>
          <w:szCs w:val="24"/>
        </w:rPr>
      </w:pPr>
      <w:r>
        <w:rPr>
          <w:rFonts w:ascii="Palatino Linotype" w:hAnsi="Palatino Linotype"/>
          <w:sz w:val="24"/>
          <w:szCs w:val="24"/>
        </w:rPr>
        <w:t>No debe soslayarse que la Ley de Transparencia y Acceso a la Información Pública del Estado de México y Municipios, también constriñe al Sujeto Obligado a hacer pública la información relativa a los gastos de representación como una obligación de transparencia común a todos los sujetos obligados, pues en su artículo 92 fracción IX, estipula lo siguiente:</w:t>
      </w:r>
    </w:p>
    <w:p w:rsidR="00504947" w:rsidRDefault="00504947" w:rsidP="006A674A">
      <w:pPr>
        <w:spacing w:after="0" w:line="360" w:lineRule="auto"/>
        <w:jc w:val="both"/>
        <w:rPr>
          <w:rFonts w:ascii="Palatino Linotype" w:hAnsi="Palatino Linotype"/>
          <w:sz w:val="24"/>
          <w:szCs w:val="24"/>
        </w:rPr>
      </w:pPr>
    </w:p>
    <w:p w:rsidR="00504947" w:rsidRPr="007F173D" w:rsidRDefault="007F173D" w:rsidP="007F173D">
      <w:pPr>
        <w:spacing w:after="0" w:line="240" w:lineRule="auto"/>
        <w:ind w:left="567" w:right="567"/>
        <w:jc w:val="both"/>
        <w:rPr>
          <w:rFonts w:ascii="Palatino Linotype" w:hAnsi="Palatino Linotype"/>
          <w:i/>
        </w:rPr>
      </w:pPr>
      <w:r w:rsidRPr="007F173D">
        <w:rPr>
          <w:rFonts w:ascii="Palatino Linotype" w:hAnsi="Palatino Linotype"/>
          <w:b/>
          <w:bCs/>
          <w:i/>
        </w:rPr>
        <w:t xml:space="preserve">Artículo 92. </w:t>
      </w:r>
      <w:r w:rsidRPr="007F173D">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77C7F" w:rsidRPr="007F173D" w:rsidRDefault="007F173D" w:rsidP="007F173D">
      <w:pPr>
        <w:spacing w:after="0" w:line="240" w:lineRule="auto"/>
        <w:ind w:left="567" w:right="567"/>
        <w:jc w:val="both"/>
        <w:rPr>
          <w:rFonts w:ascii="Palatino Linotype" w:hAnsi="Palatino Linotype"/>
          <w:i/>
        </w:rPr>
      </w:pPr>
      <w:r w:rsidRPr="007F173D">
        <w:rPr>
          <w:rFonts w:ascii="Palatino Linotype" w:hAnsi="Palatino Linotype"/>
          <w:i/>
        </w:rPr>
        <w:t>(…)</w:t>
      </w:r>
    </w:p>
    <w:p w:rsidR="007F173D" w:rsidRPr="007F173D" w:rsidRDefault="007F173D" w:rsidP="007F173D">
      <w:pPr>
        <w:spacing w:after="0" w:line="240" w:lineRule="auto"/>
        <w:ind w:left="567" w:right="567"/>
        <w:jc w:val="both"/>
        <w:rPr>
          <w:rFonts w:ascii="Palatino Linotype" w:hAnsi="Palatino Linotype"/>
          <w:i/>
        </w:rPr>
      </w:pPr>
      <w:r w:rsidRPr="007F173D">
        <w:rPr>
          <w:rFonts w:ascii="Palatino Linotype" w:hAnsi="Palatino Linotype"/>
          <w:b/>
          <w:bCs/>
          <w:i/>
        </w:rPr>
        <w:t xml:space="preserve">IX. </w:t>
      </w:r>
      <w:r w:rsidRPr="007F173D">
        <w:rPr>
          <w:rFonts w:ascii="Palatino Linotype" w:hAnsi="Palatino Linotype"/>
          <w:b/>
          <w:i/>
          <w:u w:val="single"/>
        </w:rPr>
        <w:t>Los gastos de representación</w:t>
      </w:r>
      <w:r w:rsidRPr="007F173D">
        <w:rPr>
          <w:rFonts w:ascii="Palatino Linotype" w:hAnsi="Palatino Linotype"/>
          <w:i/>
        </w:rPr>
        <w:t xml:space="preserve"> y viáticos, así como el objeto e informe de comisión correspondiente; </w:t>
      </w:r>
    </w:p>
    <w:p w:rsidR="00577C7F" w:rsidRPr="007F173D" w:rsidRDefault="007F173D" w:rsidP="007F173D">
      <w:pPr>
        <w:spacing w:after="0" w:line="240" w:lineRule="auto"/>
        <w:ind w:left="567" w:right="567"/>
        <w:jc w:val="both"/>
        <w:rPr>
          <w:rFonts w:ascii="Palatino Linotype" w:hAnsi="Palatino Linotype"/>
          <w:i/>
        </w:rPr>
      </w:pPr>
      <w:r w:rsidRPr="007F173D">
        <w:rPr>
          <w:rFonts w:ascii="Palatino Linotype" w:hAnsi="Palatino Linotype"/>
          <w:i/>
        </w:rPr>
        <w:t>(…)</w:t>
      </w:r>
    </w:p>
    <w:p w:rsidR="00577C7F" w:rsidRDefault="00577C7F" w:rsidP="006A674A">
      <w:pPr>
        <w:spacing w:after="0" w:line="360" w:lineRule="auto"/>
        <w:jc w:val="both"/>
        <w:rPr>
          <w:rFonts w:ascii="Palatino Linotype" w:hAnsi="Palatino Linotype"/>
          <w:sz w:val="24"/>
          <w:szCs w:val="24"/>
        </w:rPr>
      </w:pPr>
    </w:p>
    <w:p w:rsidR="007F173D" w:rsidRDefault="007F173D"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conclusión, el Sujeto Obligado cuenta con la unidad administrativa competente para conocer de la información relativa a los egresos realizados por sus integrantes, además de estar obligado a hacer pública la información correspondiente a los gastos de representación; asimismo, el particular dejó en claro el periodo del cual solicitó la información por lo que puede concluirse que los motivos de inconformidad planteados por el Recurrente son fundados, siendo lo procedente revocar la respuesta del Sujeto Obligado y ordenar la entrega de la información relativa a los gastos de representación que se erogaron desde el primero de enero al veinte de noviembre de dos mil </w:t>
      </w:r>
      <w:r>
        <w:rPr>
          <w:rFonts w:ascii="Palatino Linotype" w:hAnsi="Palatino Linotype"/>
          <w:sz w:val="24"/>
          <w:szCs w:val="24"/>
        </w:rPr>
        <w:lastRenderedPageBreak/>
        <w:t>diecinueve.</w:t>
      </w:r>
      <w:r w:rsidR="00BE2F02">
        <w:rPr>
          <w:rFonts w:ascii="Palatino Linotype" w:hAnsi="Palatino Linotype"/>
          <w:sz w:val="24"/>
          <w:szCs w:val="24"/>
        </w:rPr>
        <w:t xml:space="preserve"> De dicha información no se advierte que contengan datos susceptibles de ser protegidos, por lo que es procedente su entrega tal y como obre en el portal de Información Pública de Oficio Mexiquense.</w:t>
      </w:r>
    </w:p>
    <w:p w:rsidR="007F173D" w:rsidRPr="001B768E" w:rsidRDefault="007F173D" w:rsidP="006A674A">
      <w:pPr>
        <w:spacing w:after="0" w:line="360" w:lineRule="auto"/>
        <w:jc w:val="both"/>
        <w:rPr>
          <w:rFonts w:ascii="Palatino Linotype" w:hAnsi="Palatino Linotype"/>
          <w:sz w:val="18"/>
          <w:szCs w:val="24"/>
        </w:rPr>
      </w:pPr>
    </w:p>
    <w:p w:rsidR="003A1534" w:rsidRPr="003A1534" w:rsidRDefault="003A1534" w:rsidP="003A1534">
      <w:pPr>
        <w:spacing w:after="0" w:line="360" w:lineRule="auto"/>
        <w:jc w:val="both"/>
        <w:rPr>
          <w:rFonts w:ascii="Palatino Linotype" w:hAnsi="Palatino Linotype"/>
          <w:sz w:val="24"/>
          <w:szCs w:val="24"/>
        </w:rPr>
      </w:pPr>
      <w:r w:rsidRPr="003A1534">
        <w:rPr>
          <w:rFonts w:ascii="Palatino Linotype" w:hAnsi="Palatino Linotype"/>
          <w:sz w:val="24"/>
          <w:szCs w:val="24"/>
        </w:rPr>
        <w:t xml:space="preserve">En mérito de lo expuesto en líneas anteriores, </w:t>
      </w:r>
      <w:r w:rsidR="00DA0E7B" w:rsidRPr="003A1534">
        <w:rPr>
          <w:rFonts w:ascii="Palatino Linotype" w:hAnsi="Palatino Linotype"/>
          <w:sz w:val="24"/>
          <w:szCs w:val="24"/>
        </w:rPr>
        <w:t xml:space="preserve">los motivos de inconformidad que arguye el Recurrente en su medio de impugnación que fue materia de estudio </w:t>
      </w:r>
      <w:r w:rsidRPr="003A1534">
        <w:rPr>
          <w:rFonts w:ascii="Palatino Linotype" w:hAnsi="Palatino Linotype"/>
          <w:sz w:val="24"/>
          <w:szCs w:val="24"/>
        </w:rPr>
        <w:t xml:space="preserve">resultan fundados, por ello </w:t>
      </w:r>
      <w:r w:rsidRPr="003A1534">
        <w:rPr>
          <w:rFonts w:ascii="Palatino Linotype" w:hAnsi="Palatino Linotype" w:cs="Arial"/>
          <w:b/>
          <w:sz w:val="24"/>
          <w:szCs w:val="24"/>
        </w:rPr>
        <w:t xml:space="preserve">con fundamento en la primera hipótesis de la fracción III del artículo 186, </w:t>
      </w:r>
      <w:r w:rsidRPr="003A1534">
        <w:rPr>
          <w:rFonts w:ascii="Palatino Linotype" w:hAnsi="Palatino Linotype" w:cs="Arial"/>
          <w:sz w:val="24"/>
          <w:szCs w:val="24"/>
        </w:rPr>
        <w:t xml:space="preserve">de la Ley de Transparencia y Acceso a la Información Pública del Estado de México y Municipios, se </w:t>
      </w:r>
      <w:r w:rsidRPr="003A1534">
        <w:rPr>
          <w:rFonts w:ascii="Palatino Linotype" w:hAnsi="Palatino Linotype" w:cs="Arial"/>
          <w:b/>
          <w:sz w:val="24"/>
          <w:szCs w:val="24"/>
        </w:rPr>
        <w:t xml:space="preserve">REVOCA </w:t>
      </w:r>
      <w:r w:rsidRPr="003A1534">
        <w:rPr>
          <w:rFonts w:ascii="Palatino Linotype" w:hAnsi="Palatino Linotype" w:cs="Arial"/>
          <w:sz w:val="24"/>
          <w:szCs w:val="24"/>
        </w:rPr>
        <w:t>la respuesta a la solicitud de información número</w:t>
      </w:r>
      <w:r w:rsidRPr="003A1534">
        <w:rPr>
          <w:rFonts w:ascii="Palatino Linotype" w:hAnsi="Palatino Linotype"/>
          <w:b/>
          <w:sz w:val="24"/>
          <w:szCs w:val="24"/>
        </w:rPr>
        <w:t xml:space="preserve"> </w:t>
      </w:r>
      <w:r w:rsidR="00BE2F02" w:rsidRPr="00BE2F02">
        <w:rPr>
          <w:rFonts w:ascii="Palatino Linotype" w:hAnsi="Palatino Linotype"/>
          <w:b/>
          <w:bCs/>
          <w:sz w:val="24"/>
          <w:szCs w:val="24"/>
        </w:rPr>
        <w:t>00301/ZUMPAHUA/IP/2019</w:t>
      </w:r>
      <w:r w:rsidRPr="003A1534">
        <w:rPr>
          <w:rFonts w:ascii="Palatino Linotype" w:hAnsi="Palatino Linotype"/>
          <w:b/>
          <w:sz w:val="24"/>
          <w:szCs w:val="24"/>
        </w:rPr>
        <w:t xml:space="preserve"> </w:t>
      </w:r>
      <w:r w:rsidRPr="003A1534">
        <w:rPr>
          <w:rFonts w:ascii="Palatino Linotype" w:hAnsi="Palatino Linotype"/>
          <w:sz w:val="24"/>
          <w:szCs w:val="24"/>
        </w:rPr>
        <w:t>que ha sido materia del presente fallo.</w:t>
      </w:r>
    </w:p>
    <w:p w:rsidR="003A1534" w:rsidRPr="001B768E" w:rsidRDefault="003A1534" w:rsidP="003A1534">
      <w:pPr>
        <w:spacing w:after="0" w:line="360" w:lineRule="auto"/>
        <w:jc w:val="both"/>
        <w:rPr>
          <w:rFonts w:ascii="Palatino Linotype" w:hAnsi="Palatino Linotype"/>
          <w:sz w:val="18"/>
          <w:szCs w:val="24"/>
        </w:rPr>
      </w:pPr>
    </w:p>
    <w:p w:rsidR="003A1534" w:rsidRPr="003A1534" w:rsidRDefault="003A1534" w:rsidP="003A1534">
      <w:pPr>
        <w:spacing w:after="0" w:line="360" w:lineRule="auto"/>
        <w:jc w:val="both"/>
        <w:rPr>
          <w:rFonts w:ascii="Palatino Linotype" w:hAnsi="Palatino Linotype"/>
          <w:sz w:val="24"/>
          <w:szCs w:val="24"/>
        </w:rPr>
      </w:pPr>
      <w:r w:rsidRPr="003A1534">
        <w:rPr>
          <w:rFonts w:ascii="Palatino Linotype" w:hAnsi="Palatino Linotype"/>
          <w:sz w:val="24"/>
          <w:szCs w:val="24"/>
        </w:rPr>
        <w:t>Por lo antes expuesto y fundado es de resolverse y,</w:t>
      </w:r>
    </w:p>
    <w:p w:rsidR="003A1534" w:rsidRPr="001B768E" w:rsidRDefault="003A1534" w:rsidP="003A1534">
      <w:pPr>
        <w:spacing w:after="0" w:line="360" w:lineRule="auto"/>
        <w:jc w:val="both"/>
        <w:rPr>
          <w:rFonts w:ascii="Palatino Linotype" w:hAnsi="Palatino Linotype"/>
          <w:sz w:val="18"/>
          <w:szCs w:val="24"/>
        </w:rPr>
      </w:pPr>
    </w:p>
    <w:p w:rsidR="003A1534" w:rsidRPr="003A1534" w:rsidRDefault="003A1534" w:rsidP="003A1534">
      <w:pPr>
        <w:spacing w:after="0" w:line="360" w:lineRule="auto"/>
        <w:jc w:val="center"/>
        <w:rPr>
          <w:rFonts w:ascii="Palatino Linotype" w:hAnsi="Palatino Linotype"/>
          <w:b/>
          <w:bCs/>
          <w:spacing w:val="60"/>
          <w:sz w:val="28"/>
          <w:szCs w:val="28"/>
          <w:lang w:val="es-ES_tradnl"/>
        </w:rPr>
      </w:pPr>
      <w:r w:rsidRPr="003A1534">
        <w:rPr>
          <w:rFonts w:ascii="Palatino Linotype" w:hAnsi="Palatino Linotype"/>
          <w:b/>
          <w:bCs/>
          <w:spacing w:val="60"/>
          <w:sz w:val="28"/>
          <w:szCs w:val="28"/>
          <w:lang w:val="es-ES_tradnl"/>
        </w:rPr>
        <w:t>SE    RESUELVE</w:t>
      </w:r>
    </w:p>
    <w:p w:rsidR="003A1534" w:rsidRPr="001B768E" w:rsidRDefault="003A1534" w:rsidP="003A1534">
      <w:pPr>
        <w:spacing w:after="0" w:line="360" w:lineRule="auto"/>
        <w:jc w:val="both"/>
        <w:rPr>
          <w:rFonts w:ascii="Palatino Linotype" w:hAnsi="Palatino Linotype"/>
          <w:b/>
          <w:bCs/>
          <w:spacing w:val="60"/>
          <w:sz w:val="18"/>
          <w:szCs w:val="24"/>
          <w:lang w:val="es-ES_tradnl"/>
        </w:rPr>
      </w:pPr>
    </w:p>
    <w:p w:rsidR="00350442" w:rsidRPr="00350442" w:rsidRDefault="003A1534" w:rsidP="003A1534">
      <w:pPr>
        <w:pStyle w:val="Sinespaciado"/>
        <w:spacing w:line="360" w:lineRule="auto"/>
        <w:jc w:val="both"/>
        <w:rPr>
          <w:rFonts w:ascii="Palatino Linotype" w:hAnsi="Palatino Linotype" w:cs="Arial"/>
          <w:sz w:val="24"/>
          <w:szCs w:val="24"/>
        </w:rPr>
      </w:pPr>
      <w:r w:rsidRPr="003A1534">
        <w:rPr>
          <w:rFonts w:ascii="Palatino Linotype" w:hAnsi="Palatino Linotype" w:cs="Arial"/>
          <w:b/>
          <w:sz w:val="24"/>
          <w:szCs w:val="24"/>
          <w:lang w:val="es-ES_tradnl"/>
        </w:rPr>
        <w:t>PRIMERO.</w:t>
      </w:r>
      <w:r w:rsidRPr="003A1534">
        <w:rPr>
          <w:rFonts w:ascii="Palatino Linotype" w:hAnsi="Palatino Linotype" w:cs="Arial"/>
          <w:sz w:val="24"/>
          <w:szCs w:val="24"/>
          <w:lang w:val="es-ES_tradnl"/>
        </w:rPr>
        <w:t xml:space="preserve"> Se </w:t>
      </w:r>
      <w:r w:rsidRPr="003A1534">
        <w:rPr>
          <w:rFonts w:ascii="Palatino Linotype" w:hAnsi="Palatino Linotype" w:cs="Arial"/>
          <w:b/>
          <w:sz w:val="24"/>
          <w:szCs w:val="24"/>
          <w:lang w:val="es-ES_tradnl"/>
        </w:rPr>
        <w:t>REVOCA</w:t>
      </w:r>
      <w:r w:rsidRPr="003A1534">
        <w:rPr>
          <w:rFonts w:ascii="Palatino Linotype" w:hAnsi="Palatino Linotype" w:cs="Arial"/>
          <w:sz w:val="24"/>
          <w:szCs w:val="24"/>
          <w:lang w:val="es-ES_tradnl"/>
        </w:rPr>
        <w:t xml:space="preserve"> </w:t>
      </w:r>
      <w:r w:rsidRPr="003A1534">
        <w:rPr>
          <w:rFonts w:ascii="Palatino Linotype" w:eastAsia="Arial Unicode MS" w:hAnsi="Palatino Linotype" w:cs="Arial"/>
          <w:sz w:val="24"/>
          <w:szCs w:val="24"/>
        </w:rPr>
        <w:t>la respuesta entregada por el Sujeto Obligado</w:t>
      </w:r>
      <w:r w:rsidRPr="003A1534">
        <w:rPr>
          <w:rFonts w:ascii="Palatino Linotype" w:eastAsia="Arial Unicode MS" w:hAnsi="Palatino Linotype" w:cs="Arial"/>
          <w:b/>
          <w:sz w:val="24"/>
          <w:szCs w:val="24"/>
        </w:rPr>
        <w:t xml:space="preserve"> </w:t>
      </w:r>
      <w:r w:rsidRPr="003A1534">
        <w:rPr>
          <w:rFonts w:ascii="Palatino Linotype" w:eastAsia="Arial Unicode MS" w:hAnsi="Palatino Linotype" w:cs="Arial"/>
          <w:sz w:val="24"/>
          <w:szCs w:val="24"/>
        </w:rPr>
        <w:t xml:space="preserve">a la solicitud de información número </w:t>
      </w:r>
      <w:r w:rsidR="0088747F" w:rsidRPr="0088747F">
        <w:rPr>
          <w:rFonts w:ascii="Palatino Linotype" w:hAnsi="Palatino Linotype"/>
          <w:b/>
          <w:bCs/>
          <w:sz w:val="24"/>
          <w:szCs w:val="24"/>
        </w:rPr>
        <w:t>00301/ZUMPAHUA/IP/2019</w:t>
      </w:r>
      <w:r w:rsidRPr="003A1534">
        <w:rPr>
          <w:rFonts w:ascii="Palatino Linotype" w:eastAsia="Arial Unicode MS" w:hAnsi="Palatino Linotype" w:cs="Arial"/>
          <w:sz w:val="24"/>
          <w:szCs w:val="24"/>
        </w:rPr>
        <w:t>, por resultar fundados los motivos de inconformidad que arguye el Recurrente, en términos del</w:t>
      </w:r>
      <w:r w:rsidRPr="003A1534">
        <w:rPr>
          <w:rFonts w:ascii="Palatino Linotype" w:eastAsia="Arial Unicode MS" w:hAnsi="Palatino Linotype" w:cs="Arial"/>
          <w:b/>
          <w:sz w:val="24"/>
          <w:szCs w:val="24"/>
        </w:rPr>
        <w:t xml:space="preserve"> </w:t>
      </w:r>
      <w:r w:rsidRPr="003A1534">
        <w:rPr>
          <w:rFonts w:ascii="Palatino Linotype" w:hAnsi="Palatino Linotype" w:cs="Arial"/>
          <w:b/>
          <w:sz w:val="24"/>
          <w:szCs w:val="24"/>
        </w:rPr>
        <w:t xml:space="preserve">Considerando QUINTO </w:t>
      </w:r>
      <w:r w:rsidRPr="003A1534">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w:t>
      </w:r>
      <w:r w:rsidR="0088747F">
        <w:rPr>
          <w:rFonts w:ascii="Palatino Linotype" w:hAnsi="Palatino Linotype" w:cs="Arial"/>
          <w:sz w:val="24"/>
          <w:szCs w:val="24"/>
        </w:rPr>
        <w:t>haga entrega</w:t>
      </w:r>
      <w:r w:rsidR="001B768E">
        <w:rPr>
          <w:rFonts w:ascii="Palatino Linotype" w:hAnsi="Palatino Linotype" w:cs="Arial"/>
          <w:sz w:val="24"/>
          <w:szCs w:val="24"/>
        </w:rPr>
        <w:t>,</w:t>
      </w:r>
      <w:r w:rsidR="00E57C83">
        <w:rPr>
          <w:rFonts w:ascii="Palatino Linotype" w:hAnsi="Palatino Linotype" w:cs="Arial"/>
          <w:sz w:val="24"/>
          <w:szCs w:val="24"/>
        </w:rPr>
        <w:t xml:space="preserve"> a tra</w:t>
      </w:r>
      <w:r w:rsidR="00097B59">
        <w:rPr>
          <w:rFonts w:ascii="Palatino Linotype" w:hAnsi="Palatino Linotype" w:cs="Arial"/>
          <w:sz w:val="24"/>
          <w:szCs w:val="24"/>
        </w:rPr>
        <w:t>vés del SAIMEX,</w:t>
      </w:r>
      <w:r w:rsidR="005D4252">
        <w:rPr>
          <w:rFonts w:ascii="Palatino Linotype" w:hAnsi="Palatino Linotype" w:cs="Arial"/>
          <w:sz w:val="24"/>
          <w:szCs w:val="24"/>
        </w:rPr>
        <w:t xml:space="preserve"> </w:t>
      </w:r>
      <w:r w:rsidR="00097B59">
        <w:rPr>
          <w:rFonts w:ascii="Palatino Linotype" w:hAnsi="Palatino Linotype" w:cs="Arial"/>
          <w:sz w:val="24"/>
          <w:szCs w:val="24"/>
        </w:rPr>
        <w:t>de</w:t>
      </w:r>
      <w:r w:rsidR="00DA0E7B">
        <w:rPr>
          <w:rFonts w:ascii="Palatino Linotype" w:hAnsi="Palatino Linotype" w:cs="Arial"/>
          <w:sz w:val="24"/>
          <w:szCs w:val="24"/>
        </w:rPr>
        <w:t>l documento o documentos en los que conste lo siguien</w:t>
      </w:r>
      <w:r w:rsidR="00BD09F3">
        <w:rPr>
          <w:rFonts w:ascii="Palatino Linotype" w:hAnsi="Palatino Linotype" w:cs="Arial"/>
          <w:sz w:val="24"/>
          <w:szCs w:val="24"/>
        </w:rPr>
        <w:t>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88747F"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Los gastos de representación erogados desde el primero de enero hasta el veinte de noviembre de dos mil diecinueve</w:t>
      </w:r>
      <w:r w:rsidR="001B768E">
        <w:rPr>
          <w:rFonts w:ascii="Palatino Linotype" w:hAnsi="Palatino Linotype" w:cs="Arial"/>
          <w:i/>
          <w:sz w:val="24"/>
          <w:szCs w:val="24"/>
        </w:rPr>
        <w:t>.</w:t>
      </w:r>
      <w:r w:rsidR="00DA0E7B">
        <w:rPr>
          <w:rFonts w:ascii="Palatino Linotype" w:hAnsi="Palatino Linotype" w:cs="Arial"/>
          <w:i/>
          <w:sz w:val="24"/>
          <w:szCs w:val="24"/>
        </w:rPr>
        <w:t xml:space="preserve"> </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88747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88747F">
        <w:rPr>
          <w:rFonts w:ascii="Palatino Linotype" w:hAnsi="Palatino Linotype"/>
          <w:sz w:val="24"/>
          <w:szCs w:val="24"/>
        </w:rPr>
        <w:t>DÉCIMA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6C6C1D">
        <w:rPr>
          <w:rFonts w:ascii="Palatino Linotype" w:hAnsi="Palatino Linotype"/>
          <w:sz w:val="24"/>
          <w:szCs w:val="24"/>
        </w:rPr>
        <w:t xml:space="preserve">DIECINUEVE DE </w:t>
      </w:r>
      <w:r w:rsidR="0088747F">
        <w:rPr>
          <w:rFonts w:ascii="Palatino Linotype" w:hAnsi="Palatino Linotype"/>
          <w:sz w:val="24"/>
          <w:szCs w:val="24"/>
        </w:rPr>
        <w:t>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A31E7F">
        <w:rPr>
          <w:rFonts w:ascii="Palatino Linotype" w:hAnsi="Palatino Linotype"/>
          <w:sz w:val="24"/>
          <w:szCs w:val="24"/>
        </w:rPr>
        <w:t>------------------------------</w:t>
      </w:r>
      <w:r w:rsidR="0088747F">
        <w:rPr>
          <w:rFonts w:ascii="Palatino Linotype" w:hAnsi="Palatino Linotype"/>
          <w:sz w:val="24"/>
          <w:szCs w:val="24"/>
        </w:rPr>
        <w:t>------------------------------------------------------------------------------------------------------------------------</w:t>
      </w:r>
      <w:r w:rsidR="001B768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1B768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88747F">
        <w:rPr>
          <w:rFonts w:ascii="Palatino Linotype" w:hAnsi="Palatino Linotype"/>
          <w:sz w:val="16"/>
          <w:szCs w:val="16"/>
        </w:rPr>
        <w:t>diecinueve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8747F">
        <w:rPr>
          <w:rFonts w:ascii="Palatino Linotype" w:hAnsi="Palatino Linotype"/>
          <w:bCs/>
          <w:sz w:val="16"/>
          <w:szCs w:val="16"/>
          <w:lang w:eastAsia="es-MX"/>
        </w:rPr>
        <w:t>11980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522" w:rsidRDefault="00993522" w:rsidP="007E2E80">
      <w:pPr>
        <w:spacing w:after="0" w:line="240" w:lineRule="auto"/>
      </w:pPr>
      <w:r>
        <w:separator/>
      </w:r>
    </w:p>
  </w:endnote>
  <w:endnote w:type="continuationSeparator" w:id="0">
    <w:p w:rsidR="00993522" w:rsidRDefault="0099352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27" w:rsidRDefault="00A916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7F" w:rsidRPr="000B69FA" w:rsidRDefault="00577C7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162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1627">
      <w:rPr>
        <w:rFonts w:ascii="Palatino Linotype" w:hAnsi="Palatino Linotype"/>
        <w:bCs/>
        <w:noProof/>
        <w:sz w:val="20"/>
      </w:rPr>
      <w:t>23</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7F" w:rsidRPr="000B69FA" w:rsidRDefault="00577C7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16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162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522" w:rsidRDefault="00993522" w:rsidP="007E2E80">
      <w:pPr>
        <w:spacing w:after="0" w:line="240" w:lineRule="auto"/>
      </w:pPr>
      <w:r>
        <w:separator/>
      </w:r>
    </w:p>
  </w:footnote>
  <w:footnote w:type="continuationSeparator" w:id="0">
    <w:p w:rsidR="00993522" w:rsidRDefault="00993522" w:rsidP="007E2E80">
      <w:pPr>
        <w:spacing w:after="0" w:line="240" w:lineRule="auto"/>
      </w:pPr>
      <w:r>
        <w:continuationSeparator/>
      </w:r>
    </w:p>
  </w:footnote>
  <w:footnote w:id="1">
    <w:p w:rsidR="00577C7F" w:rsidRPr="00615B4B" w:rsidRDefault="00577C7F"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77C7F" w:rsidRPr="00615B4B" w:rsidRDefault="00577C7F"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27" w:rsidRDefault="00A916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7F" w:rsidRDefault="00577C7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77C7F" w:rsidTr="00182616">
      <w:trPr>
        <w:trHeight w:val="227"/>
      </w:trPr>
      <w:tc>
        <w:tcPr>
          <w:tcW w:w="5949" w:type="dxa"/>
          <w:hideMark/>
        </w:tcPr>
        <w:p w:rsidR="00577C7F" w:rsidRDefault="00577C7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77C7F" w:rsidRDefault="00577C7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11980/INFOEM/IP/RR/2019</w:t>
          </w:r>
        </w:p>
      </w:tc>
    </w:tr>
    <w:tr w:rsidR="00577C7F" w:rsidTr="00182616">
      <w:trPr>
        <w:trHeight w:val="242"/>
      </w:trPr>
      <w:tc>
        <w:tcPr>
          <w:tcW w:w="5949" w:type="dxa"/>
          <w:hideMark/>
        </w:tcPr>
        <w:p w:rsidR="00577C7F" w:rsidRDefault="00577C7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77C7F" w:rsidRPr="00DE7461" w:rsidRDefault="00577C7F"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Zumpahuacán</w:t>
          </w:r>
        </w:p>
      </w:tc>
    </w:tr>
    <w:tr w:rsidR="00577C7F" w:rsidTr="00182616">
      <w:trPr>
        <w:trHeight w:val="342"/>
      </w:trPr>
      <w:tc>
        <w:tcPr>
          <w:tcW w:w="5949" w:type="dxa"/>
          <w:hideMark/>
        </w:tcPr>
        <w:p w:rsidR="00577C7F" w:rsidRDefault="00577C7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77C7F" w:rsidRDefault="00577C7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77C7F" w:rsidRDefault="00577C7F">
    <w:pPr>
      <w:pStyle w:val="Encabezado"/>
    </w:pPr>
  </w:p>
  <w:p w:rsidR="00577C7F" w:rsidRDefault="00577C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77C7F" w:rsidTr="00182616">
      <w:trPr>
        <w:trHeight w:val="227"/>
      </w:trPr>
      <w:tc>
        <w:tcPr>
          <w:tcW w:w="5103" w:type="dxa"/>
          <w:hideMark/>
        </w:tcPr>
        <w:p w:rsidR="00577C7F" w:rsidRDefault="00577C7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77C7F" w:rsidRPr="00B4142F" w:rsidRDefault="00577C7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11980/INFOEM/IP/RR/2019</w:t>
          </w:r>
        </w:p>
      </w:tc>
    </w:tr>
    <w:tr w:rsidR="00577C7F" w:rsidTr="00182616">
      <w:trPr>
        <w:trHeight w:val="196"/>
      </w:trPr>
      <w:tc>
        <w:tcPr>
          <w:tcW w:w="5103" w:type="dxa"/>
          <w:hideMark/>
        </w:tcPr>
        <w:p w:rsidR="00577C7F" w:rsidRDefault="00577C7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77C7F" w:rsidRPr="00F06FED" w:rsidRDefault="00A91627" w:rsidP="00212498">
          <w:pPr>
            <w:spacing w:after="120" w:line="256" w:lineRule="auto"/>
            <w:ind w:left="208" w:right="214"/>
            <w:jc w:val="right"/>
            <w:rPr>
              <w:rFonts w:ascii="Palatino Linotype" w:hAnsi="Palatino Linotype" w:cs="Arial"/>
            </w:rPr>
          </w:pPr>
          <w:r>
            <w:rPr>
              <w:rFonts w:ascii="Palatino Linotype" w:hAnsi="Palatino Linotype" w:cs="Arial"/>
            </w:rPr>
            <w:t>xxxx</w:t>
          </w:r>
          <w:bookmarkStart w:id="0" w:name="_GoBack"/>
          <w:bookmarkEnd w:id="0"/>
        </w:p>
      </w:tc>
    </w:tr>
    <w:tr w:rsidR="00577C7F" w:rsidTr="00182616">
      <w:trPr>
        <w:trHeight w:val="242"/>
      </w:trPr>
      <w:tc>
        <w:tcPr>
          <w:tcW w:w="5103" w:type="dxa"/>
          <w:hideMark/>
        </w:tcPr>
        <w:p w:rsidR="00577C7F" w:rsidRDefault="00577C7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77C7F" w:rsidRDefault="00577C7F"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Zumpahuacán</w:t>
          </w:r>
        </w:p>
      </w:tc>
    </w:tr>
    <w:tr w:rsidR="00577C7F" w:rsidTr="00182616">
      <w:trPr>
        <w:trHeight w:val="342"/>
      </w:trPr>
      <w:tc>
        <w:tcPr>
          <w:tcW w:w="5103" w:type="dxa"/>
          <w:hideMark/>
        </w:tcPr>
        <w:p w:rsidR="00577C7F" w:rsidRDefault="00577C7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77C7F" w:rsidRDefault="00577C7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77C7F" w:rsidRDefault="00577C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470B"/>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B6581"/>
    <w:rsid w:val="000C2ACC"/>
    <w:rsid w:val="000C674B"/>
    <w:rsid w:val="000D00D8"/>
    <w:rsid w:val="000D47AB"/>
    <w:rsid w:val="000D6982"/>
    <w:rsid w:val="000D756B"/>
    <w:rsid w:val="000E54D0"/>
    <w:rsid w:val="000E7C0A"/>
    <w:rsid w:val="000F199E"/>
    <w:rsid w:val="000F3722"/>
    <w:rsid w:val="000F4EB1"/>
    <w:rsid w:val="00106160"/>
    <w:rsid w:val="00106FF0"/>
    <w:rsid w:val="00107A58"/>
    <w:rsid w:val="00111765"/>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57652"/>
    <w:rsid w:val="00162176"/>
    <w:rsid w:val="00165929"/>
    <w:rsid w:val="00166046"/>
    <w:rsid w:val="00166FB7"/>
    <w:rsid w:val="001706EC"/>
    <w:rsid w:val="001804DC"/>
    <w:rsid w:val="0018075A"/>
    <w:rsid w:val="00180F6B"/>
    <w:rsid w:val="00182591"/>
    <w:rsid w:val="00182616"/>
    <w:rsid w:val="00190121"/>
    <w:rsid w:val="0019302A"/>
    <w:rsid w:val="001A12A0"/>
    <w:rsid w:val="001A17B9"/>
    <w:rsid w:val="001A2F7E"/>
    <w:rsid w:val="001A4700"/>
    <w:rsid w:val="001B260E"/>
    <w:rsid w:val="001B768E"/>
    <w:rsid w:val="001C0CE9"/>
    <w:rsid w:val="001C25AB"/>
    <w:rsid w:val="001C69C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C87"/>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3AD"/>
    <w:rsid w:val="002A269B"/>
    <w:rsid w:val="002A3167"/>
    <w:rsid w:val="002A4A72"/>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138E"/>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6D4D"/>
    <w:rsid w:val="00327932"/>
    <w:rsid w:val="0033064D"/>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1534"/>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3BFA"/>
    <w:rsid w:val="004B4721"/>
    <w:rsid w:val="004C0459"/>
    <w:rsid w:val="004C3509"/>
    <w:rsid w:val="004C7E18"/>
    <w:rsid w:val="004D2CE0"/>
    <w:rsid w:val="004D339E"/>
    <w:rsid w:val="004D7252"/>
    <w:rsid w:val="004D798F"/>
    <w:rsid w:val="004E2B2D"/>
    <w:rsid w:val="004E3718"/>
    <w:rsid w:val="004E3AAD"/>
    <w:rsid w:val="004F483E"/>
    <w:rsid w:val="004F4B8F"/>
    <w:rsid w:val="0050104C"/>
    <w:rsid w:val="005023F4"/>
    <w:rsid w:val="005033CC"/>
    <w:rsid w:val="00504947"/>
    <w:rsid w:val="00505786"/>
    <w:rsid w:val="00516BA8"/>
    <w:rsid w:val="0052393E"/>
    <w:rsid w:val="00524986"/>
    <w:rsid w:val="005328FB"/>
    <w:rsid w:val="0053352D"/>
    <w:rsid w:val="0053370B"/>
    <w:rsid w:val="00537419"/>
    <w:rsid w:val="00537D90"/>
    <w:rsid w:val="00541B17"/>
    <w:rsid w:val="005421C7"/>
    <w:rsid w:val="00542206"/>
    <w:rsid w:val="005436F5"/>
    <w:rsid w:val="005448FA"/>
    <w:rsid w:val="005533C9"/>
    <w:rsid w:val="00566699"/>
    <w:rsid w:val="00567C71"/>
    <w:rsid w:val="005733EB"/>
    <w:rsid w:val="0057534D"/>
    <w:rsid w:val="00577C7F"/>
    <w:rsid w:val="00581A6F"/>
    <w:rsid w:val="00587196"/>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57388"/>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0E1F"/>
    <w:rsid w:val="006851B0"/>
    <w:rsid w:val="00686046"/>
    <w:rsid w:val="0068613E"/>
    <w:rsid w:val="00692E6D"/>
    <w:rsid w:val="006967EC"/>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789"/>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3F5D"/>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73D"/>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23F"/>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47F"/>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E0B39"/>
    <w:rsid w:val="008E572E"/>
    <w:rsid w:val="008E63C2"/>
    <w:rsid w:val="00902079"/>
    <w:rsid w:val="00902F45"/>
    <w:rsid w:val="00903599"/>
    <w:rsid w:val="0090362E"/>
    <w:rsid w:val="00903CA9"/>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202C"/>
    <w:rsid w:val="00984387"/>
    <w:rsid w:val="00984CA8"/>
    <w:rsid w:val="0098562F"/>
    <w:rsid w:val="009859B8"/>
    <w:rsid w:val="0099000E"/>
    <w:rsid w:val="00992548"/>
    <w:rsid w:val="00993522"/>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1E7F"/>
    <w:rsid w:val="00A33B3A"/>
    <w:rsid w:val="00A35B31"/>
    <w:rsid w:val="00A4214D"/>
    <w:rsid w:val="00A525CB"/>
    <w:rsid w:val="00A54113"/>
    <w:rsid w:val="00A62727"/>
    <w:rsid w:val="00A63830"/>
    <w:rsid w:val="00A65C29"/>
    <w:rsid w:val="00A666CE"/>
    <w:rsid w:val="00A670E4"/>
    <w:rsid w:val="00A73A68"/>
    <w:rsid w:val="00A823B0"/>
    <w:rsid w:val="00A854D1"/>
    <w:rsid w:val="00A871F0"/>
    <w:rsid w:val="00A91627"/>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D5C62"/>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05C2"/>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2F02"/>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8AC"/>
    <w:rsid w:val="00C24DFC"/>
    <w:rsid w:val="00C25822"/>
    <w:rsid w:val="00C25B7C"/>
    <w:rsid w:val="00C25B89"/>
    <w:rsid w:val="00C277F4"/>
    <w:rsid w:val="00C27F4E"/>
    <w:rsid w:val="00C30D75"/>
    <w:rsid w:val="00C329F6"/>
    <w:rsid w:val="00C34B47"/>
    <w:rsid w:val="00C35F18"/>
    <w:rsid w:val="00C3685C"/>
    <w:rsid w:val="00C370FC"/>
    <w:rsid w:val="00C40327"/>
    <w:rsid w:val="00C40345"/>
    <w:rsid w:val="00C41BDF"/>
    <w:rsid w:val="00C47BC9"/>
    <w:rsid w:val="00C510F6"/>
    <w:rsid w:val="00C5369B"/>
    <w:rsid w:val="00C53CB3"/>
    <w:rsid w:val="00C5698C"/>
    <w:rsid w:val="00C62015"/>
    <w:rsid w:val="00C67A59"/>
    <w:rsid w:val="00C70ADA"/>
    <w:rsid w:val="00C73F42"/>
    <w:rsid w:val="00C74A5C"/>
    <w:rsid w:val="00C8573E"/>
    <w:rsid w:val="00C90CE9"/>
    <w:rsid w:val="00C911DE"/>
    <w:rsid w:val="00C91B7F"/>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C23"/>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0E7B"/>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8C2"/>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289B"/>
    <w:rsid w:val="00E53096"/>
    <w:rsid w:val="00E5372C"/>
    <w:rsid w:val="00E56111"/>
    <w:rsid w:val="00E57C83"/>
    <w:rsid w:val="00E60476"/>
    <w:rsid w:val="00E61468"/>
    <w:rsid w:val="00E61779"/>
    <w:rsid w:val="00E61F0C"/>
    <w:rsid w:val="00E63CC2"/>
    <w:rsid w:val="00E65AE8"/>
    <w:rsid w:val="00E67E3C"/>
    <w:rsid w:val="00E70CAE"/>
    <w:rsid w:val="00E70CC2"/>
    <w:rsid w:val="00E70D08"/>
    <w:rsid w:val="00E7153D"/>
    <w:rsid w:val="00E726BA"/>
    <w:rsid w:val="00E72712"/>
    <w:rsid w:val="00E776D2"/>
    <w:rsid w:val="00E83DA0"/>
    <w:rsid w:val="00E863A3"/>
    <w:rsid w:val="00E87EE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555F-0938-4C28-9E57-DAF94C00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5608</Words>
  <Characters>30846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2019-12-13T16:14:00Z</cp:lastPrinted>
  <dcterms:created xsi:type="dcterms:W3CDTF">2020-04-10T19:52:00Z</dcterms:created>
  <dcterms:modified xsi:type="dcterms:W3CDTF">2020-08-26T15:36:00Z</dcterms:modified>
</cp:coreProperties>
</file>