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C16DEB">
        <w:rPr>
          <w:rFonts w:ascii="Palatino Linotype" w:hAnsi="Palatino Linotype"/>
          <w:sz w:val="24"/>
          <w:szCs w:val="24"/>
          <w:lang w:eastAsia="es-MX"/>
        </w:rPr>
        <w:t xml:space="preserve">dos de octubre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D0C57">
        <w:rPr>
          <w:rFonts w:ascii="Palatino Linotype" w:hAnsi="Palatino Linotype"/>
          <w:b/>
          <w:bCs/>
          <w:sz w:val="24"/>
          <w:szCs w:val="24"/>
          <w:lang w:eastAsia="es-MX"/>
        </w:rPr>
        <w:t xml:space="preserve"> 06370</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1D2B28">
        <w:rPr>
          <w:rFonts w:ascii="Palatino Linotype" w:hAnsi="Palatino Linotype"/>
          <w:sz w:val="24"/>
          <w:szCs w:val="24"/>
        </w:rPr>
        <w:t xml:space="preserve"> el </w:t>
      </w:r>
      <w:r w:rsidR="001D2B28" w:rsidRPr="001D2B28">
        <w:rPr>
          <w:rFonts w:ascii="Palatino Linotype" w:hAnsi="Palatino Linotype"/>
          <w:b/>
          <w:sz w:val="24"/>
          <w:szCs w:val="24"/>
        </w:rPr>
        <w:t>C.</w:t>
      </w:r>
      <w:r w:rsidR="005E3F88">
        <w:rPr>
          <w:rFonts w:ascii="Palatino Linotype" w:hAnsi="Palatino Linotype"/>
          <w:b/>
          <w:sz w:val="24"/>
          <w:szCs w:val="24"/>
        </w:rPr>
        <w:t xml:space="preserve"> </w:t>
      </w:r>
      <w:r w:rsidR="00E51881">
        <w:rPr>
          <w:rFonts w:ascii="Palatino Linotype" w:hAnsi="Palatino Linotype"/>
          <w:b/>
          <w:sz w:val="24"/>
          <w:szCs w:val="24"/>
        </w:rPr>
        <w:t>XXXXXXXXXXXXXXXXXXXXX</w:t>
      </w:r>
      <w:bookmarkStart w:id="0" w:name="_GoBack"/>
      <w:bookmarkEnd w:id="0"/>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9E68A4">
        <w:rPr>
          <w:rFonts w:ascii="Palatino Linotype" w:hAnsi="Palatino Linotype"/>
          <w:b/>
          <w:sz w:val="24"/>
          <w:szCs w:val="24"/>
        </w:rPr>
        <w:t>La 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09709A" w:rsidRPr="0009709A">
        <w:rPr>
          <w:rFonts w:ascii="Palatino Linotype" w:hAnsi="Palatino Linotype" w:cs="Arial"/>
          <w:b/>
          <w:sz w:val="24"/>
          <w:szCs w:val="24"/>
        </w:rPr>
        <w:t xml:space="preserve">Ayuntamiento de </w:t>
      </w:r>
      <w:r w:rsidR="00983F37" w:rsidRPr="00983F37">
        <w:rPr>
          <w:rFonts w:ascii="Palatino Linotype" w:hAnsi="Palatino Linotype" w:cs="Arial"/>
          <w:b/>
          <w:sz w:val="24"/>
          <w:szCs w:val="24"/>
        </w:rPr>
        <w:t>Temascalcingo</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83F37">
        <w:rPr>
          <w:rFonts w:ascii="Palatino Linotype" w:hAnsi="Palatino Linotype"/>
          <w:sz w:val="24"/>
          <w:szCs w:val="24"/>
        </w:rPr>
        <w:t>quince de junio</w:t>
      </w:r>
      <w:r w:rsidR="00555F06">
        <w:rPr>
          <w:rFonts w:ascii="Palatino Linotype" w:hAnsi="Palatino Linotype"/>
          <w:sz w:val="24"/>
          <w:szCs w:val="24"/>
        </w:rPr>
        <w:t xml:space="preserve"> de dos mil diecinueve, </w:t>
      </w:r>
      <w:r w:rsidR="009E68A4">
        <w:rPr>
          <w:rFonts w:ascii="Palatino Linotype" w:hAnsi="Palatino Linotype"/>
          <w:sz w:val="24"/>
          <w:szCs w:val="24"/>
        </w:rPr>
        <w:t>La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7214F7" w:rsidRPr="007214F7">
        <w:rPr>
          <w:rFonts w:ascii="Palatino Linotype" w:hAnsi="Palatino Linotype"/>
          <w:b/>
          <w:sz w:val="24"/>
          <w:szCs w:val="24"/>
        </w:rPr>
        <w:t>00076/TMASCALC/IP/2019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7214F7" w:rsidRPr="007214F7">
        <w:rPr>
          <w:rFonts w:ascii="Palatino Linotype" w:eastAsia="Times New Roman" w:hAnsi="Palatino Linotype" w:cs="Times New Roman"/>
          <w:i/>
          <w:sz w:val="24"/>
          <w:szCs w:val="24"/>
          <w:lang w:val="es-ES_tradnl" w:eastAsia="es-ES"/>
        </w:rPr>
        <w:t>Programa de obras públicas 2019, Acta de instalación del CODEMUN, Acta de aprobación de obras por el CODEMUN, reporte de obras de enero a 14 de junio de 2019, contratos de obra suscritos del 1 de enero al 14 de junio de 2019.</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7214F7" w:rsidRDefault="007214F7" w:rsidP="0014447C">
      <w:pPr>
        <w:pStyle w:val="Sinespaciado"/>
        <w:spacing w:line="360" w:lineRule="auto"/>
        <w:jc w:val="both"/>
        <w:rPr>
          <w:rFonts w:ascii="Palatino Linotype" w:eastAsia="Times New Roman" w:hAnsi="Palatino Linotype" w:cs="Times New Roman"/>
          <w:b/>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lastRenderedPageBreak/>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9E68A4">
        <w:rPr>
          <w:rFonts w:ascii="Palatino Linotype" w:hAnsi="Palatino Linotype"/>
          <w:sz w:val="24"/>
          <w:szCs w:val="24"/>
        </w:rPr>
        <w:t>La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214F7">
        <w:rPr>
          <w:rFonts w:ascii="Palatino Linotype" w:hAnsi="Palatino Linotype"/>
          <w:sz w:val="24"/>
          <w:szCs w:val="24"/>
        </w:rPr>
        <w:t>veintidós</w:t>
      </w:r>
      <w:r w:rsidR="00F24AE4">
        <w:rPr>
          <w:rFonts w:ascii="Palatino Linotype" w:hAnsi="Palatino Linotype"/>
          <w:sz w:val="24"/>
          <w:szCs w:val="24"/>
        </w:rPr>
        <w:t xml:space="preserve"> de ju</w:t>
      </w:r>
      <w:r w:rsidR="001C3FB9">
        <w:rPr>
          <w:rFonts w:ascii="Palatino Linotype" w:hAnsi="Palatino Linotype"/>
          <w:sz w:val="24"/>
          <w:szCs w:val="24"/>
        </w:rPr>
        <w:t>l</w:t>
      </w:r>
      <w:r w:rsidR="00F24AE4">
        <w:rPr>
          <w:rFonts w:ascii="Palatino Linotype" w:hAnsi="Palatino Linotype"/>
          <w:sz w:val="24"/>
          <w:szCs w:val="24"/>
        </w:rPr>
        <w:t>io</w:t>
      </w:r>
      <w:r w:rsidR="00041664">
        <w:rPr>
          <w:rFonts w:ascii="Palatino Linotype" w:hAnsi="Palatino Linotype"/>
          <w:sz w:val="24"/>
          <w:szCs w:val="24"/>
        </w:rPr>
        <w:t xml:space="preserve"> 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7214F7">
        <w:rPr>
          <w:rFonts w:ascii="Palatino Linotype" w:hAnsi="Palatino Linotype"/>
          <w:b/>
          <w:bCs/>
          <w:sz w:val="24"/>
          <w:szCs w:val="24"/>
          <w:lang w:eastAsia="es-MX"/>
        </w:rPr>
        <w:t>6370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214F7" w:rsidRPr="007214F7">
        <w:rPr>
          <w:rFonts w:ascii="Palatino Linotype" w:hAnsi="Palatino Linotype" w:cs="Arial"/>
          <w:i/>
          <w:sz w:val="24"/>
        </w:rPr>
        <w:t>falta de respuesta a la solicitud de información</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7214F7" w:rsidRPr="007214F7">
        <w:rPr>
          <w:rFonts w:ascii="Palatino Linotype" w:hAnsi="Palatino Linotype" w:cs="Arial"/>
          <w:i/>
          <w:sz w:val="24"/>
        </w:rPr>
        <w:t>no se dio respuesta a mi solicitud de entregar el Programa de obras públicas 2019, Acta de instalación del CODEMUN, Acta de aprobación de obras por el CODEMUN, reporte de obras de enero a 14 de junio de 2019, contratos de obra suscritos del 1 de enero al 14 de junio de 2019</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271A3">
        <w:rPr>
          <w:rFonts w:ascii="Palatino Linotype" w:hAnsi="Palatino Linotype"/>
          <w:sz w:val="24"/>
          <w:szCs w:val="24"/>
        </w:rPr>
        <w:t>dos de agosto</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lastRenderedPageBreak/>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323D35" w:rsidRDefault="00323D35" w:rsidP="00323D3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sidR="009E68A4">
        <w:rPr>
          <w:rFonts w:ascii="Palatino Linotype" w:hAnsi="Palatino Linotype" w:cs="Arial"/>
          <w:b/>
          <w:sz w:val="24"/>
          <w:szCs w:val="24"/>
        </w:rPr>
        <w:t>La Recurrente</w:t>
      </w:r>
      <w:r w:rsidRPr="009C4628">
        <w:rPr>
          <w:rFonts w:ascii="Palatino Linotype" w:hAnsi="Palatino Linotype" w:cs="Arial"/>
          <w:sz w:val="24"/>
          <w:szCs w:val="24"/>
        </w:rPr>
        <w:t xml:space="preserve">, </w:t>
      </w:r>
      <w:r w:rsidR="006E16FF">
        <w:rPr>
          <w:rFonts w:ascii="Palatino Linotype" w:hAnsi="Palatino Linotype" w:cs="Arial"/>
          <w:sz w:val="24"/>
          <w:szCs w:val="24"/>
        </w:rPr>
        <w:t>presentaron manifestaciones</w:t>
      </w:r>
      <w:r w:rsidR="000B2868">
        <w:rPr>
          <w:rFonts w:ascii="Palatino Linotype" w:hAnsi="Palatino Linotype" w:cs="Arial"/>
          <w:sz w:val="24"/>
          <w:szCs w:val="24"/>
        </w:rPr>
        <w:t xml:space="preserve"> e informe justificado, mismo que fue puesto a la vista en fecha cinco de agosto. </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E28C7">
        <w:rPr>
          <w:rFonts w:ascii="Palatino Linotype" w:hAnsi="Palatino Linotype"/>
          <w:sz w:val="24"/>
          <w:szCs w:val="24"/>
        </w:rPr>
        <w:t>quince de agosto</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B54F05">
        <w:rPr>
          <w:rFonts w:ascii="Palatino Linotype" w:hAnsi="Palatino Linotype" w:cs="Arial"/>
          <w:sz w:val="24"/>
          <w:szCs w:val="24"/>
        </w:rPr>
        <w:t>diecisiete de septiembre</w:t>
      </w:r>
      <w:r w:rsidR="00EB5002" w:rsidRPr="009026F3">
        <w:rPr>
          <w:rFonts w:ascii="Palatino Linotype" w:hAnsi="Palatino Linotype" w:cs="Arial"/>
          <w:sz w:val="24"/>
          <w:szCs w:val="24"/>
        </w:rPr>
        <w:t xml:space="preserv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485EAA">
      <w:pPr>
        <w:pStyle w:val="Sinespaciado"/>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9E68A4">
        <w:rPr>
          <w:rFonts w:ascii="Palatino Linotype" w:hAnsi="Palatino Linotype"/>
          <w:sz w:val="24"/>
          <w:szCs w:val="24"/>
        </w:rPr>
        <w:t>La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77749" w:rsidRPr="0014447C" w:rsidRDefault="00D77749"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4F05" w:rsidRDefault="00B54F05"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 xml:space="preserve">rirnos al acto impugnado por </w:t>
      </w:r>
      <w:r w:rsidR="009E68A4">
        <w:rPr>
          <w:rFonts w:ascii="Palatino Linotype" w:hAnsi="Palatino Linotype" w:cs="Arial"/>
          <w:sz w:val="24"/>
          <w:szCs w:val="24"/>
        </w:rPr>
        <w:t>La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w:t>
      </w:r>
      <w:r w:rsidRPr="001A2E44">
        <w:rPr>
          <w:rFonts w:ascii="Palatino Linotype" w:hAnsi="Palatino Linotype"/>
        </w:rPr>
        <w:lastRenderedPageBreak/>
        <w:t xml:space="preserve">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9E68A4">
        <w:rPr>
          <w:rFonts w:ascii="Palatino Linotype" w:hAnsi="Palatino Linotype" w:cs="Arial"/>
          <w:lang w:eastAsia="es-MX"/>
        </w:rPr>
        <w:t>La Recurrente</w:t>
      </w:r>
      <w:r w:rsidR="009E4E76">
        <w:rPr>
          <w:rFonts w:ascii="Palatino Linotype" w:hAnsi="Palatino Linotype" w:cs="Arial"/>
          <w:lang w:eastAsia="es-MX"/>
        </w:rPr>
        <w:t>.</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w:t>
      </w:r>
      <w:r w:rsidR="009E68A4">
        <w:rPr>
          <w:rFonts w:ascii="Palatino Linotype" w:eastAsia="Times New Roman" w:hAnsi="Palatino Linotype" w:cs="Times New Roman"/>
          <w:sz w:val="24"/>
          <w:szCs w:val="24"/>
          <w:lang w:eastAsia="es-ES"/>
        </w:rPr>
        <w:t>La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6498F" w:rsidRDefault="0006498F"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B36A29" w:rsidRDefault="00B36A29" w:rsidP="002D0152">
      <w:pPr>
        <w:spacing w:after="0" w:line="240" w:lineRule="auto"/>
        <w:ind w:left="567" w:right="567"/>
        <w:jc w:val="both"/>
        <w:rPr>
          <w:rFonts w:ascii="Palatino Linotype" w:eastAsia="Times New Roman" w:hAnsi="Palatino Linotype" w:cs="Times New Roman"/>
          <w:b/>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sidR="001F59A0">
        <w:rPr>
          <w:rFonts w:ascii="Palatino Linotype" w:eastAsia="Times New Roman" w:hAnsi="Palatino Linotype" w:cs="Times New Roman"/>
          <w:sz w:val="24"/>
          <w:szCs w:val="24"/>
          <w:lang w:eastAsia="es-ES"/>
        </w:rPr>
        <w:t xml:space="preserve">e </w:t>
      </w:r>
      <w:r w:rsidR="009E68A4">
        <w:rPr>
          <w:rFonts w:ascii="Palatino Linotype" w:eastAsia="Times New Roman" w:hAnsi="Palatino Linotype" w:cs="Times New Roman"/>
          <w:sz w:val="24"/>
          <w:szCs w:val="24"/>
          <w:lang w:eastAsia="es-ES"/>
        </w:rPr>
        <w:t>La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w:t>
      </w:r>
      <w:r w:rsidR="001F59A0">
        <w:rPr>
          <w:rFonts w:ascii="Palatino Linotype" w:hAnsi="Palatino Linotype" w:cs="Arial"/>
        </w:rPr>
        <w:t>rio retomar el requerimiento de la</w:t>
      </w:r>
      <w:r w:rsidRPr="009C4628">
        <w:rPr>
          <w:rFonts w:ascii="Palatino Linotype" w:hAnsi="Palatino Linotype" w:cs="Arial"/>
        </w:rPr>
        <w:t xml:space="preserve"> solicitante que versa específicamente en conocer la siguiente información:</w:t>
      </w:r>
    </w:p>
    <w:p w:rsidR="005E37FE" w:rsidRPr="008A105E" w:rsidRDefault="005E37FE" w:rsidP="00FD0950">
      <w:pPr>
        <w:autoSpaceDE w:val="0"/>
        <w:autoSpaceDN w:val="0"/>
        <w:adjustRightInd w:val="0"/>
        <w:spacing w:line="360" w:lineRule="auto"/>
        <w:jc w:val="both"/>
        <w:rPr>
          <w:rFonts w:ascii="Palatino Linotype" w:eastAsia="Times New Roman" w:hAnsi="Palatino Linotype" w:cs="Arial"/>
          <w:szCs w:val="24"/>
          <w:lang w:val="es-ES" w:eastAsia="es-ES"/>
        </w:rPr>
      </w:pPr>
    </w:p>
    <w:p w:rsidR="008A105E" w:rsidRPr="00964774" w:rsidRDefault="001F59A0" w:rsidP="000C74AA">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lastRenderedPageBreak/>
        <w:t>Programa de obras p</w:t>
      </w:r>
      <w:r w:rsidR="00964774">
        <w:rPr>
          <w:rFonts w:ascii="Palatino Linotype" w:hAnsi="Palatino Linotype" w:cs="Arial"/>
        </w:rPr>
        <w:t xml:space="preserve">úblicas </w:t>
      </w:r>
      <w:r w:rsidR="00AC7AEB">
        <w:rPr>
          <w:rFonts w:ascii="Palatino Linotype" w:hAnsi="Palatino Linotype" w:cs="Arial"/>
        </w:rPr>
        <w:t>2019;</w:t>
      </w:r>
      <w:r w:rsidR="00964774">
        <w:rPr>
          <w:rFonts w:ascii="Palatino Linotype" w:hAnsi="Palatino Linotype" w:cs="Arial"/>
        </w:rPr>
        <w:t xml:space="preserve"> </w:t>
      </w:r>
    </w:p>
    <w:p w:rsidR="00964774" w:rsidRPr="008D640A" w:rsidRDefault="00964774" w:rsidP="000C74AA">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t xml:space="preserve">Acta de </w:t>
      </w:r>
      <w:r w:rsidR="008D640A">
        <w:rPr>
          <w:rFonts w:ascii="Palatino Linotype" w:hAnsi="Palatino Linotype" w:cs="Arial"/>
        </w:rPr>
        <w:t>instalació</w:t>
      </w:r>
      <w:r>
        <w:rPr>
          <w:rFonts w:ascii="Palatino Linotype" w:hAnsi="Palatino Linotype" w:cs="Arial"/>
        </w:rPr>
        <w:t>n</w:t>
      </w:r>
      <w:r w:rsidR="008D640A">
        <w:rPr>
          <w:rFonts w:ascii="Palatino Linotype" w:hAnsi="Palatino Linotype" w:cs="Arial"/>
        </w:rPr>
        <w:t xml:space="preserve"> y aprobación de obras</w:t>
      </w:r>
      <w:r>
        <w:rPr>
          <w:rFonts w:ascii="Palatino Linotype" w:hAnsi="Palatino Linotype" w:cs="Arial"/>
        </w:rPr>
        <w:t xml:space="preserve"> del CODENUM</w:t>
      </w:r>
      <w:r w:rsidR="00AC7AEB">
        <w:rPr>
          <w:rFonts w:ascii="Palatino Linotype" w:hAnsi="Palatino Linotype" w:cs="Arial"/>
        </w:rPr>
        <w:t>;</w:t>
      </w:r>
    </w:p>
    <w:p w:rsidR="009A3626" w:rsidRPr="009A3626" w:rsidRDefault="00511073" w:rsidP="009A3626">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t xml:space="preserve">Reporte y contratos de las obras realizadas en el periodo comprendido </w:t>
      </w:r>
      <w:r w:rsidR="009A3626">
        <w:rPr>
          <w:rFonts w:ascii="Palatino Linotype" w:hAnsi="Palatino Linotype" w:cs="Arial"/>
        </w:rPr>
        <w:t xml:space="preserve">del uno de enero al catorce de junio de dos mi diecinueve. </w:t>
      </w:r>
    </w:p>
    <w:p w:rsidR="009A3626" w:rsidRPr="009A3626" w:rsidRDefault="009A3626" w:rsidP="009A3626">
      <w:pPr>
        <w:pStyle w:val="Prrafodelista"/>
        <w:autoSpaceDE w:val="0"/>
        <w:autoSpaceDN w:val="0"/>
        <w:adjustRightInd w:val="0"/>
        <w:spacing w:line="360" w:lineRule="auto"/>
        <w:ind w:left="720"/>
        <w:jc w:val="both"/>
        <w:rPr>
          <w:rFonts w:ascii="Palatino Linotype" w:hAnsi="Palatino Linotype"/>
          <w:sz w:val="1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9A3626" w:rsidRPr="00833B24" w:rsidRDefault="009A3626"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8A105E" w:rsidRPr="00833B24" w:rsidRDefault="008A105E"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1C3177" w:rsidRDefault="001C3177" w:rsidP="00663B3E">
      <w:pPr>
        <w:pStyle w:val="Sinespaciado"/>
        <w:spacing w:line="360" w:lineRule="auto"/>
        <w:jc w:val="both"/>
        <w:rPr>
          <w:rFonts w:ascii="Palatino Linotype" w:hAnsi="Palatino Linotype"/>
          <w:sz w:val="24"/>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33B24">
        <w:rPr>
          <w:rFonts w:ascii="Palatino Linotype" w:hAnsi="Palatino Linotype"/>
          <w:sz w:val="24"/>
        </w:rPr>
        <w:lastRenderedPageBreak/>
        <w:t>la Ciudad de México, o Municipales, con el fin de que los particulares conozcan toda aquella información que es considerada como pública.</w:t>
      </w:r>
    </w:p>
    <w:p w:rsidR="00663B3E" w:rsidRDefault="00663B3E" w:rsidP="00663B3E">
      <w:pPr>
        <w:pStyle w:val="Prrafodelista"/>
        <w:autoSpaceDE w:val="0"/>
        <w:autoSpaceDN w:val="0"/>
        <w:adjustRightInd w:val="0"/>
        <w:spacing w:line="360" w:lineRule="auto"/>
        <w:ind w:left="0"/>
        <w:jc w:val="both"/>
        <w:rPr>
          <w:rFonts w:ascii="Palatino Linotype" w:hAnsi="Palatino Linotype" w:cs="Arial"/>
        </w:rPr>
      </w:pPr>
    </w:p>
    <w:p w:rsidR="00212201" w:rsidRPr="00B20846" w:rsidRDefault="00212201" w:rsidP="0021220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sidR="00267C45">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12201" w:rsidRDefault="00212201" w:rsidP="00212201">
      <w:pPr>
        <w:tabs>
          <w:tab w:val="left" w:pos="709"/>
        </w:tabs>
        <w:ind w:left="851" w:right="760"/>
        <w:jc w:val="both"/>
        <w:rPr>
          <w:rFonts w:ascii="Palatino Linotype" w:hAnsi="Palatino Linotype" w:cs="Arial"/>
          <w:i/>
          <w:sz w:val="20"/>
          <w:szCs w:val="20"/>
          <w:lang w:eastAsia="es-MX"/>
        </w:rPr>
      </w:pPr>
    </w:p>
    <w:p w:rsidR="00212201" w:rsidRPr="00745E05" w:rsidRDefault="00212201" w:rsidP="0021220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 xml:space="preserve">II. Recibir, tramitar y dar respuesta a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12201" w:rsidRPr="009E2F7A" w:rsidRDefault="00212201" w:rsidP="00212201">
      <w:pPr>
        <w:tabs>
          <w:tab w:val="left" w:pos="709"/>
        </w:tabs>
        <w:ind w:left="851" w:right="760"/>
        <w:jc w:val="both"/>
        <w:rPr>
          <w:rFonts w:ascii="Palatino Linotype" w:hAnsi="Palatino Linotype" w:cs="Arial"/>
          <w:i/>
          <w:sz w:val="6"/>
          <w:lang w:eastAsia="es-MX"/>
        </w:rPr>
      </w:pPr>
    </w:p>
    <w:p w:rsidR="00212201" w:rsidRDefault="00212201" w:rsidP="00212201">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506F77" w:rsidRPr="00506F77">
        <w:rPr>
          <w:rFonts w:ascii="Palatino Linotype" w:hAnsi="Palatino Linotype" w:cs="Arial"/>
          <w:sz w:val="24"/>
        </w:rPr>
        <w:t>00076/TMASCALC/IP/2019</w:t>
      </w:r>
      <w:r w:rsidRPr="0028766C">
        <w:rPr>
          <w:rFonts w:ascii="Palatino Linotype" w:hAnsi="Palatino Linotype" w:cs="Arial"/>
          <w:sz w:val="24"/>
        </w:rPr>
        <w:t>, se a</w:t>
      </w:r>
      <w:r w:rsidR="00506F77">
        <w:rPr>
          <w:rFonts w:ascii="Palatino Linotype" w:hAnsi="Palatino Linotype" w:cs="Arial"/>
          <w:sz w:val="24"/>
        </w:rPr>
        <w:t>precia en el siste</w:t>
      </w:r>
      <w:r w:rsidR="000F4E60">
        <w:rPr>
          <w:rFonts w:ascii="Palatino Linotype" w:hAnsi="Palatino Linotype" w:cs="Arial"/>
          <w:sz w:val="24"/>
        </w:rPr>
        <w:t>ma SAIMEX, que el T</w:t>
      </w:r>
      <w:r w:rsidR="00506F77">
        <w:rPr>
          <w:rFonts w:ascii="Palatino Linotype" w:hAnsi="Palatino Linotype" w:cs="Arial"/>
          <w:sz w:val="24"/>
        </w:rPr>
        <w:t>itular de la Unidad de Transparencia,</w:t>
      </w:r>
      <w:r w:rsidRPr="0028766C">
        <w:rPr>
          <w:rFonts w:ascii="Palatino Linotype" w:hAnsi="Palatino Linotype" w:cs="Arial"/>
          <w:sz w:val="24"/>
        </w:rPr>
        <w:t xml:space="preserve"> </w:t>
      </w:r>
      <w:r w:rsidR="00267C45">
        <w:rPr>
          <w:rFonts w:ascii="Palatino Linotype" w:hAnsi="Palatino Linotype" w:cs="Arial"/>
          <w:sz w:val="24"/>
        </w:rPr>
        <w:t>si bien</w:t>
      </w:r>
      <w:r w:rsidR="003002D9">
        <w:rPr>
          <w:rFonts w:ascii="Palatino Linotype" w:hAnsi="Palatino Linotype" w:cs="Arial"/>
          <w:sz w:val="24"/>
        </w:rPr>
        <w:t xml:space="preserve"> tramitó ante la instancia del Ayuntamiento, que pudiera</w:t>
      </w:r>
      <w:r w:rsidRPr="0028766C">
        <w:rPr>
          <w:rFonts w:ascii="Palatino Linotype" w:hAnsi="Palatino Linotype" w:cs="Arial"/>
          <w:sz w:val="24"/>
        </w:rPr>
        <w:t xml:space="preserve"> tener lo </w:t>
      </w:r>
      <w:r w:rsidR="008E40C0" w:rsidRPr="0028766C">
        <w:rPr>
          <w:rFonts w:ascii="Palatino Linotype" w:hAnsi="Palatino Linotype" w:cs="Arial"/>
          <w:sz w:val="24"/>
        </w:rPr>
        <w:t>sol</w:t>
      </w:r>
      <w:r w:rsidR="008E40C0">
        <w:rPr>
          <w:rFonts w:ascii="Palatino Linotype" w:hAnsi="Palatino Linotype" w:cs="Arial"/>
          <w:sz w:val="24"/>
        </w:rPr>
        <w:t>i</w:t>
      </w:r>
      <w:r w:rsidR="008E40C0" w:rsidRPr="0028766C">
        <w:rPr>
          <w:rFonts w:ascii="Palatino Linotype" w:hAnsi="Palatino Linotype" w:cs="Arial"/>
          <w:sz w:val="24"/>
        </w:rPr>
        <w:t>citad</w:t>
      </w:r>
      <w:r w:rsidR="008E40C0">
        <w:rPr>
          <w:rFonts w:ascii="Palatino Linotype" w:hAnsi="Palatino Linotype" w:cs="Arial"/>
          <w:sz w:val="24"/>
        </w:rPr>
        <w:t>o</w:t>
      </w:r>
      <w:r>
        <w:rPr>
          <w:rFonts w:ascii="Palatino Linotype" w:hAnsi="Palatino Linotype" w:cs="Arial"/>
          <w:sz w:val="24"/>
        </w:rPr>
        <w:t xml:space="preserve"> (derivado de sus funciones) </w:t>
      </w:r>
      <w:r w:rsidRPr="0028766C">
        <w:rPr>
          <w:rFonts w:ascii="Palatino Linotype" w:hAnsi="Palatino Linotype" w:cs="Arial"/>
          <w:sz w:val="24"/>
        </w:rPr>
        <w:t>por el particular,</w:t>
      </w:r>
      <w:r w:rsidR="00267C45">
        <w:rPr>
          <w:rFonts w:ascii="Palatino Linotype" w:hAnsi="Palatino Linotype" w:cs="Arial"/>
          <w:sz w:val="24"/>
        </w:rPr>
        <w:t xml:space="preserve"> también se observa que no </w:t>
      </w:r>
      <w:r w:rsidR="000F4E60">
        <w:rPr>
          <w:rFonts w:ascii="Palatino Linotype" w:hAnsi="Palatino Linotype" w:cs="Arial"/>
          <w:sz w:val="24"/>
        </w:rPr>
        <w:t>hubo respuesta</w:t>
      </w:r>
      <w:r w:rsidR="00267C45">
        <w:rPr>
          <w:rFonts w:ascii="Palatino Linotype" w:hAnsi="Palatino Linotype" w:cs="Arial"/>
          <w:sz w:val="24"/>
        </w:rPr>
        <w:t xml:space="preserve"> en el apartado del SAIMEX remitida por el Servidor público al que le fue turnada la solicitud, como se aprecia a continuación;</w:t>
      </w:r>
    </w:p>
    <w:p w:rsidR="00212201" w:rsidRDefault="00212201" w:rsidP="00212201">
      <w:pPr>
        <w:pStyle w:val="Sinespaciado"/>
        <w:spacing w:line="360" w:lineRule="auto"/>
        <w:jc w:val="both"/>
        <w:rPr>
          <w:noProof/>
          <w:lang w:eastAsia="es-MX"/>
        </w:rPr>
      </w:pPr>
    </w:p>
    <w:p w:rsidR="002F7D7F" w:rsidRDefault="00195C69" w:rsidP="002F7D7F">
      <w:pPr>
        <w:pStyle w:val="Sinespaciado"/>
        <w:spacing w:line="360" w:lineRule="auto"/>
        <w:jc w:val="center"/>
        <w:rPr>
          <w:noProof/>
          <w:lang w:eastAsia="es-MX"/>
        </w:rPr>
      </w:pPr>
      <w:r>
        <w:rPr>
          <w:noProof/>
          <w:lang w:eastAsia="es-MX"/>
        </w:rPr>
        <w:drawing>
          <wp:inline distT="0" distB="0" distL="0" distR="0" wp14:anchorId="19C23C1B" wp14:editId="104C19FC">
            <wp:extent cx="4479152" cy="3474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3490" cy="3509115"/>
                    </a:xfrm>
                    <a:prstGeom prst="rect">
                      <a:avLst/>
                    </a:prstGeom>
                  </pic:spPr>
                </pic:pic>
              </a:graphicData>
            </a:graphic>
          </wp:inline>
        </w:drawing>
      </w:r>
    </w:p>
    <w:p w:rsidR="00212201" w:rsidRDefault="00212201" w:rsidP="00212201">
      <w:pPr>
        <w:pStyle w:val="Sinespaciado"/>
        <w:spacing w:line="360" w:lineRule="auto"/>
        <w:jc w:val="both"/>
        <w:rPr>
          <w:rFonts w:ascii="Palatino Linotype" w:hAnsi="Palatino Linotype" w:cs="Arial"/>
          <w:sz w:val="24"/>
        </w:rPr>
      </w:pPr>
      <w:r w:rsidRPr="00744D43">
        <w:rPr>
          <w:rFonts w:ascii="Palatino Linotype" w:hAnsi="Palatino Linotype" w:cs="Arial"/>
          <w:sz w:val="24"/>
        </w:rPr>
        <w:lastRenderedPageBreak/>
        <w:t xml:space="preserve">De la anterior evidencia, </w:t>
      </w:r>
      <w:r w:rsidR="00265E52">
        <w:rPr>
          <w:rFonts w:ascii="Palatino Linotype" w:hAnsi="Palatino Linotype" w:cs="Arial"/>
          <w:sz w:val="24"/>
        </w:rPr>
        <w:t>se adjunta el</w:t>
      </w:r>
      <w:r w:rsidRPr="00744D43">
        <w:rPr>
          <w:rFonts w:ascii="Palatino Linotype" w:hAnsi="Palatino Linotype" w:cs="Arial"/>
          <w:sz w:val="24"/>
        </w:rPr>
        <w:t xml:space="preserve"> archivo ele</w:t>
      </w:r>
      <w:r w:rsidR="00265E52">
        <w:rPr>
          <w:rFonts w:ascii="Palatino Linotype" w:hAnsi="Palatino Linotype" w:cs="Arial"/>
          <w:sz w:val="24"/>
        </w:rPr>
        <w:t>ctrónico</w:t>
      </w:r>
      <w:r w:rsidR="00697A63">
        <w:rPr>
          <w:rFonts w:ascii="Palatino Linotype" w:hAnsi="Palatino Linotype" w:cs="Arial"/>
          <w:sz w:val="24"/>
        </w:rPr>
        <w:t xml:space="preserve"> remitido como </w:t>
      </w:r>
      <w:r w:rsidR="0053702D">
        <w:rPr>
          <w:rFonts w:ascii="Palatino Linotype" w:hAnsi="Palatino Linotype" w:cs="Arial"/>
          <w:sz w:val="24"/>
        </w:rPr>
        <w:t xml:space="preserve">respuesta al </w:t>
      </w:r>
      <w:r w:rsidR="00697A63" w:rsidRPr="00744D43">
        <w:rPr>
          <w:rFonts w:ascii="Palatino Linotype" w:hAnsi="Palatino Linotype" w:cs="Arial"/>
          <w:sz w:val="24"/>
        </w:rPr>
        <w:t xml:space="preserve">requerimiento o tramite interno por parte de la Titular de la Unidad de Transparencia dirigido </w:t>
      </w:r>
      <w:r w:rsidR="00697A63">
        <w:rPr>
          <w:rFonts w:ascii="Palatino Linotype" w:hAnsi="Palatino Linotype" w:cs="Arial"/>
          <w:sz w:val="24"/>
        </w:rPr>
        <w:t xml:space="preserve">a la </w:t>
      </w:r>
      <w:r w:rsidR="00697A63" w:rsidRPr="00744D43">
        <w:rPr>
          <w:rFonts w:ascii="Palatino Linotype" w:hAnsi="Palatino Linotype" w:cs="Arial"/>
          <w:sz w:val="24"/>
        </w:rPr>
        <w:t>dependencia del ayuntamiento</w:t>
      </w:r>
      <w:r w:rsidR="00697A63">
        <w:rPr>
          <w:rFonts w:ascii="Palatino Linotype" w:hAnsi="Palatino Linotype" w:cs="Arial"/>
          <w:sz w:val="24"/>
        </w:rPr>
        <w:t xml:space="preserve"> </w:t>
      </w:r>
      <w:r w:rsidR="00C76838">
        <w:rPr>
          <w:rFonts w:ascii="Palatino Linotype" w:hAnsi="Palatino Linotype" w:cs="Arial"/>
          <w:sz w:val="24"/>
        </w:rPr>
        <w:t>mismo que quedó regis</w:t>
      </w:r>
      <w:r w:rsidR="0051274A">
        <w:rPr>
          <w:rFonts w:ascii="Palatino Linotype" w:hAnsi="Palatino Linotype" w:cs="Arial"/>
          <w:sz w:val="24"/>
        </w:rPr>
        <w:t>trado en el sistema en comento.</w:t>
      </w:r>
      <w:r w:rsidR="00C76838">
        <w:rPr>
          <w:rFonts w:ascii="Palatino Linotype" w:hAnsi="Palatino Linotype" w:cs="Arial"/>
          <w:sz w:val="24"/>
        </w:rPr>
        <w:t xml:space="preserve"> </w:t>
      </w:r>
    </w:p>
    <w:p w:rsidR="0051274A" w:rsidRDefault="0051274A" w:rsidP="0051274A"/>
    <w:p w:rsidR="00901429" w:rsidRPr="00901429" w:rsidRDefault="00901429" w:rsidP="00DF7654">
      <w:pPr>
        <w:spacing w:line="360" w:lineRule="auto"/>
        <w:jc w:val="both"/>
        <w:rPr>
          <w:rFonts w:ascii="Palatino Linotype" w:hAnsi="Palatino Linotype"/>
          <w:sz w:val="24"/>
        </w:rPr>
      </w:pPr>
      <w:r w:rsidRPr="00901429">
        <w:rPr>
          <w:rFonts w:ascii="Palatino Linotype" w:hAnsi="Palatino Linotype"/>
          <w:sz w:val="24"/>
        </w:rPr>
        <w:t>Ahora bien, es conveniente citar lo establecido en el artículo 125 del Bando Municipal del Ayuntamiento de Temascalcingo,</w:t>
      </w:r>
      <w:r w:rsidR="00963E83">
        <w:rPr>
          <w:rFonts w:ascii="Palatino Linotype" w:hAnsi="Palatino Linotype"/>
          <w:sz w:val="24"/>
        </w:rPr>
        <w:t xml:space="preserve"> el cual refiere en su fracción VII</w:t>
      </w:r>
      <w:r w:rsidR="00DF7654">
        <w:rPr>
          <w:rFonts w:ascii="Palatino Linotype" w:hAnsi="Palatino Linotype"/>
          <w:sz w:val="24"/>
        </w:rPr>
        <w:t xml:space="preserve"> que l</w:t>
      </w:r>
      <w:r w:rsidR="00DF7654" w:rsidRPr="00DF7654">
        <w:rPr>
          <w:rFonts w:ascii="Palatino Linotype" w:hAnsi="Palatino Linotype"/>
          <w:sz w:val="24"/>
        </w:rPr>
        <w:t>os programas de obra pública se ejecutarán conforme a lo establecido por el Plan de Desarrollo Municipal atendiendo las prioridades sociales</w:t>
      </w:r>
      <w:r w:rsidRPr="00901429">
        <w:rPr>
          <w:rFonts w:ascii="Palatino Linotype" w:hAnsi="Palatino Linotype"/>
          <w:sz w:val="24"/>
        </w:rPr>
        <w:t xml:space="preserve"> </w:t>
      </w:r>
      <w:r w:rsidR="00DF7654">
        <w:rPr>
          <w:rFonts w:ascii="Palatino Linotype" w:hAnsi="Palatino Linotype"/>
          <w:sz w:val="24"/>
        </w:rPr>
        <w:t>como versa a continuación;</w:t>
      </w:r>
    </w:p>
    <w:p w:rsidR="00372399" w:rsidRDefault="00372399" w:rsidP="008A105E">
      <w:pPr>
        <w:pStyle w:val="Sinespaciado"/>
        <w:spacing w:line="360" w:lineRule="auto"/>
        <w:jc w:val="both"/>
      </w:pPr>
    </w:p>
    <w:p w:rsidR="00372399" w:rsidRPr="00963E83" w:rsidRDefault="00372399" w:rsidP="00963E83">
      <w:pPr>
        <w:pStyle w:val="Sinespaciado"/>
        <w:spacing w:line="360" w:lineRule="auto"/>
        <w:ind w:left="567" w:right="708"/>
        <w:jc w:val="center"/>
        <w:rPr>
          <w:rFonts w:ascii="Palatino Linotype" w:hAnsi="Palatino Linotype"/>
          <w:b/>
          <w:i/>
          <w:sz w:val="20"/>
        </w:rPr>
      </w:pPr>
      <w:r w:rsidRPr="00963E83">
        <w:rPr>
          <w:rFonts w:ascii="Palatino Linotype" w:hAnsi="Palatino Linotype"/>
          <w:b/>
          <w:i/>
          <w:sz w:val="20"/>
        </w:rPr>
        <w:t>TÍTULO NOVENO</w:t>
      </w:r>
    </w:p>
    <w:p w:rsidR="00372399" w:rsidRPr="00963E83" w:rsidRDefault="00372399" w:rsidP="00963E83">
      <w:pPr>
        <w:pStyle w:val="Sinespaciado"/>
        <w:spacing w:line="360" w:lineRule="auto"/>
        <w:ind w:left="567" w:right="708"/>
        <w:jc w:val="center"/>
        <w:rPr>
          <w:rFonts w:ascii="Palatino Linotype" w:hAnsi="Palatino Linotype"/>
          <w:b/>
          <w:i/>
          <w:sz w:val="20"/>
        </w:rPr>
      </w:pPr>
      <w:r w:rsidRPr="00963E83">
        <w:rPr>
          <w:rFonts w:ascii="Palatino Linotype" w:hAnsi="Palatino Linotype"/>
          <w:b/>
          <w:i/>
          <w:sz w:val="20"/>
        </w:rPr>
        <w:t>DE OBRAS PÚBLICAS Y DESARROLLO URBANO</w:t>
      </w:r>
    </w:p>
    <w:p w:rsidR="00372399" w:rsidRPr="00963E83" w:rsidRDefault="00372399" w:rsidP="00963E83">
      <w:pPr>
        <w:pStyle w:val="Sinespaciado"/>
        <w:spacing w:line="360" w:lineRule="auto"/>
        <w:ind w:left="567" w:right="708"/>
        <w:jc w:val="center"/>
        <w:rPr>
          <w:rFonts w:ascii="Palatino Linotype" w:hAnsi="Palatino Linotype"/>
          <w:b/>
          <w:i/>
          <w:sz w:val="20"/>
        </w:rPr>
      </w:pPr>
      <w:r w:rsidRPr="00963E83">
        <w:rPr>
          <w:rFonts w:ascii="Palatino Linotype" w:hAnsi="Palatino Linotype"/>
          <w:b/>
          <w:i/>
          <w:sz w:val="20"/>
        </w:rPr>
        <w:t>CAPÍTULO I</w:t>
      </w:r>
    </w:p>
    <w:p w:rsidR="00372399" w:rsidRPr="00963E83" w:rsidRDefault="00372399" w:rsidP="00963E83">
      <w:pPr>
        <w:pStyle w:val="Sinespaciado"/>
        <w:spacing w:line="360" w:lineRule="auto"/>
        <w:ind w:left="567" w:right="708"/>
        <w:jc w:val="center"/>
        <w:rPr>
          <w:rFonts w:ascii="Palatino Linotype" w:hAnsi="Palatino Linotype"/>
          <w:b/>
          <w:i/>
          <w:sz w:val="20"/>
        </w:rPr>
      </w:pPr>
      <w:r w:rsidRPr="00963E83">
        <w:rPr>
          <w:rFonts w:ascii="Palatino Linotype" w:hAnsi="Palatino Linotype"/>
          <w:b/>
          <w:i/>
          <w:sz w:val="20"/>
        </w:rPr>
        <w:t>OBRAS PÚBLICAS</w:t>
      </w:r>
    </w:p>
    <w:p w:rsidR="00372399" w:rsidRPr="00963E83" w:rsidRDefault="00372399" w:rsidP="00372399">
      <w:pPr>
        <w:pStyle w:val="Sinespaciado"/>
        <w:spacing w:line="360" w:lineRule="auto"/>
        <w:ind w:left="567" w:right="708"/>
        <w:jc w:val="both"/>
        <w:rPr>
          <w:rFonts w:ascii="Palatino Linotype" w:hAnsi="Palatino Linotype"/>
          <w:i/>
          <w:u w:val="single"/>
        </w:rPr>
      </w:pPr>
      <w:r w:rsidRPr="00963E83">
        <w:rPr>
          <w:rFonts w:ascii="Palatino Linotype" w:hAnsi="Palatino Linotype"/>
          <w:b/>
          <w:i/>
        </w:rPr>
        <w:t>Artículo 125.-</w:t>
      </w:r>
      <w:r w:rsidRPr="00372399">
        <w:rPr>
          <w:rFonts w:ascii="Palatino Linotype" w:hAnsi="Palatino Linotype"/>
          <w:i/>
        </w:rPr>
        <w:t xml:space="preserve"> </w:t>
      </w:r>
      <w:r w:rsidRPr="00963E83">
        <w:rPr>
          <w:rFonts w:ascii="Palatino Linotype" w:hAnsi="Palatino Linotype"/>
          <w:i/>
          <w:u w:val="single"/>
        </w:rPr>
        <w:t>Son atribuciones de las Autoridades Municipales en materia de obra pública todo trabajo que tenga por objeto principal construir, instalar, ampliar, adecuar, remodelar, restaurar, conservar, mantener, modificar o demoler bienes inmueble que por su naturaleza o disposición de Ley sea destinada a uso público o común, además de los servicios relacionados con las mismas; bajo los términos de la legislación y reglamentación Federal, Estatal y Municipal; teniendo las siguientes atribuciones:</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t>I. Planear, programar, presupuestar, adjudi</w:t>
      </w:r>
      <w:r>
        <w:rPr>
          <w:rFonts w:ascii="Palatino Linotype" w:hAnsi="Palatino Linotype"/>
          <w:i/>
        </w:rPr>
        <w:t xml:space="preserve">car, establecer y coordinar los </w:t>
      </w:r>
      <w:r w:rsidRPr="00372399">
        <w:rPr>
          <w:rFonts w:ascii="Palatino Linotype" w:hAnsi="Palatino Linotype"/>
          <w:i/>
        </w:rPr>
        <w:t xml:space="preserve">lineamientos para la construcción de obra </w:t>
      </w:r>
      <w:r>
        <w:rPr>
          <w:rFonts w:ascii="Palatino Linotype" w:hAnsi="Palatino Linotype"/>
          <w:i/>
        </w:rPr>
        <w:t xml:space="preserve">pública atendiendo la prioridad </w:t>
      </w:r>
      <w:r w:rsidRPr="00372399">
        <w:rPr>
          <w:rFonts w:ascii="Palatino Linotype" w:hAnsi="Palatino Linotype"/>
          <w:i/>
        </w:rPr>
        <w:t>social cual sea el origen de los recursos.</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t>II. Establecer los términos de control en la ejecución de la obr</w:t>
      </w:r>
      <w:r>
        <w:rPr>
          <w:rFonts w:ascii="Palatino Linotype" w:hAnsi="Palatino Linotype"/>
          <w:i/>
        </w:rPr>
        <w:t xml:space="preserve">a pública, </w:t>
      </w:r>
      <w:r w:rsidRPr="00372399">
        <w:rPr>
          <w:rFonts w:ascii="Palatino Linotype" w:hAnsi="Palatino Linotype"/>
          <w:i/>
        </w:rPr>
        <w:t>además de la verificación de los mis</w:t>
      </w:r>
      <w:r>
        <w:rPr>
          <w:rFonts w:ascii="Palatino Linotype" w:hAnsi="Palatino Linotype"/>
          <w:i/>
        </w:rPr>
        <w:t xml:space="preserve">mos de acuerdo a la legislación </w:t>
      </w:r>
      <w:r w:rsidRPr="00372399">
        <w:rPr>
          <w:rFonts w:ascii="Palatino Linotype" w:hAnsi="Palatino Linotype"/>
          <w:i/>
        </w:rPr>
        <w:t>aplicable y reglas de operación de los programas de obra pública.</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lastRenderedPageBreak/>
        <w:t>III. Promover la integración de Comités Ciu</w:t>
      </w:r>
      <w:r>
        <w:rPr>
          <w:rFonts w:ascii="Palatino Linotype" w:hAnsi="Palatino Linotype"/>
          <w:i/>
        </w:rPr>
        <w:t xml:space="preserve">dadanos de Control y Vigilancia </w:t>
      </w:r>
      <w:r w:rsidRPr="00372399">
        <w:rPr>
          <w:rFonts w:ascii="Palatino Linotype" w:hAnsi="Palatino Linotype"/>
          <w:i/>
        </w:rPr>
        <w:t>encargados de supervisar la obra pública municipal.</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t xml:space="preserve">IV. Realizar convenios de colaboración cuando </w:t>
      </w:r>
      <w:r>
        <w:rPr>
          <w:rFonts w:ascii="Palatino Linotype" w:hAnsi="Palatino Linotype"/>
          <w:i/>
        </w:rPr>
        <w:t xml:space="preserve">se lleve a cabo obra pública en </w:t>
      </w:r>
      <w:r w:rsidRPr="00372399">
        <w:rPr>
          <w:rFonts w:ascii="Palatino Linotype" w:hAnsi="Palatino Linotype"/>
          <w:i/>
        </w:rPr>
        <w:t>coordinación con la Federación, el Estado y/o otros Municipios.</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t>V. Incrementar, mejorar y mantener la infraestructura pública municipal.</w:t>
      </w:r>
    </w:p>
    <w:p w:rsidR="00372399" w:rsidRPr="00372399" w:rsidRDefault="00372399" w:rsidP="00372399">
      <w:pPr>
        <w:pStyle w:val="Sinespaciado"/>
        <w:spacing w:line="360" w:lineRule="auto"/>
        <w:ind w:left="567" w:right="708"/>
        <w:jc w:val="both"/>
        <w:rPr>
          <w:rFonts w:ascii="Palatino Linotype" w:hAnsi="Palatino Linotype"/>
          <w:i/>
        </w:rPr>
      </w:pPr>
      <w:r w:rsidRPr="00372399">
        <w:rPr>
          <w:rFonts w:ascii="Palatino Linotype" w:hAnsi="Palatino Linotype"/>
          <w:i/>
        </w:rPr>
        <w:t>VI. Coadyuvar con las diferentes direccio</w:t>
      </w:r>
      <w:r>
        <w:rPr>
          <w:rFonts w:ascii="Palatino Linotype" w:hAnsi="Palatino Linotype"/>
          <w:i/>
        </w:rPr>
        <w:t xml:space="preserve">nes municipales en acciones que </w:t>
      </w:r>
      <w:r w:rsidRPr="00372399">
        <w:rPr>
          <w:rFonts w:ascii="Palatino Linotype" w:hAnsi="Palatino Linotype"/>
          <w:i/>
        </w:rPr>
        <w:t>tengan como objetivo la realización de obra pública.</w:t>
      </w:r>
    </w:p>
    <w:p w:rsidR="00372399" w:rsidRPr="00372399" w:rsidRDefault="00372399" w:rsidP="00372399">
      <w:pPr>
        <w:pStyle w:val="Sinespaciado"/>
        <w:spacing w:line="360" w:lineRule="auto"/>
        <w:ind w:left="567" w:right="708"/>
        <w:jc w:val="both"/>
        <w:rPr>
          <w:rFonts w:ascii="Palatino Linotype" w:hAnsi="Palatino Linotype"/>
          <w:b/>
          <w:i/>
        </w:rPr>
      </w:pPr>
      <w:r w:rsidRPr="00372399">
        <w:rPr>
          <w:rFonts w:ascii="Palatino Linotype" w:hAnsi="Palatino Linotype"/>
          <w:b/>
          <w:i/>
        </w:rPr>
        <w:t>VII. Los programas de obra pública se ejecutarán conforme a lo establecido por el Plan de Desarrollo Municipal atendiendo las prioridades sociales.</w:t>
      </w:r>
    </w:p>
    <w:p w:rsidR="00372399" w:rsidRPr="00372399" w:rsidRDefault="00372399" w:rsidP="00963E83">
      <w:pPr>
        <w:pStyle w:val="Sinespaciado"/>
        <w:spacing w:line="360" w:lineRule="auto"/>
        <w:ind w:left="567" w:right="708"/>
        <w:jc w:val="both"/>
        <w:rPr>
          <w:rFonts w:ascii="Palatino Linotype" w:hAnsi="Palatino Linotype"/>
          <w:i/>
        </w:rPr>
      </w:pPr>
      <w:r w:rsidRPr="00372399">
        <w:rPr>
          <w:rFonts w:ascii="Palatino Linotype" w:hAnsi="Palatino Linotype"/>
          <w:i/>
        </w:rPr>
        <w:t>VIII. La ejecución de la obra pública será baj</w:t>
      </w:r>
      <w:r>
        <w:rPr>
          <w:rFonts w:ascii="Palatino Linotype" w:hAnsi="Palatino Linotype"/>
          <w:i/>
        </w:rPr>
        <w:t xml:space="preserve">o el esquema de cooperación con </w:t>
      </w:r>
      <w:r w:rsidRPr="00372399">
        <w:rPr>
          <w:rFonts w:ascii="Palatino Linotype" w:hAnsi="Palatino Linotype"/>
          <w:i/>
        </w:rPr>
        <w:t>la comunidad de acuerdo a lo establecid</w:t>
      </w:r>
      <w:r w:rsidR="00963E83">
        <w:rPr>
          <w:rFonts w:ascii="Palatino Linotype" w:hAnsi="Palatino Linotype"/>
          <w:i/>
        </w:rPr>
        <w:t xml:space="preserve">o en el título sexto del Código </w:t>
      </w:r>
      <w:r w:rsidRPr="00372399">
        <w:rPr>
          <w:rFonts w:ascii="Palatino Linotype" w:hAnsi="Palatino Linotype"/>
          <w:i/>
        </w:rPr>
        <w:t>Financiero del Estado de México y Municipios.</w:t>
      </w:r>
    </w:p>
    <w:p w:rsidR="00DF7654" w:rsidRPr="00372399" w:rsidRDefault="00F11BE6" w:rsidP="00372399">
      <w:pPr>
        <w:pStyle w:val="Sinespaciado"/>
        <w:spacing w:line="360" w:lineRule="auto"/>
        <w:ind w:left="567" w:right="708"/>
        <w:jc w:val="both"/>
        <w:rPr>
          <w:rFonts w:ascii="Palatino Linotype" w:hAnsi="Palatino Linotype"/>
          <w:i/>
        </w:rPr>
      </w:pPr>
      <w:r>
        <w:rPr>
          <w:rFonts w:ascii="Palatino Linotype" w:hAnsi="Palatino Linotype"/>
          <w:i/>
        </w:rPr>
        <w:t>(…)</w:t>
      </w:r>
    </w:p>
    <w:p w:rsidR="008A105E" w:rsidRPr="006408BF" w:rsidRDefault="00F11BE6" w:rsidP="008A105E">
      <w:pPr>
        <w:pStyle w:val="Sinespaciado"/>
        <w:spacing w:line="360" w:lineRule="auto"/>
        <w:jc w:val="both"/>
        <w:rPr>
          <w:rFonts w:ascii="Palatino Linotype" w:hAnsi="Palatino Linotype" w:cs="Arial"/>
          <w:sz w:val="24"/>
        </w:rPr>
      </w:pPr>
      <w:r>
        <w:rPr>
          <w:rFonts w:ascii="Palatino Linotype" w:hAnsi="Palatino Linotype" w:cs="Arial"/>
          <w:sz w:val="24"/>
        </w:rPr>
        <w:t xml:space="preserve">De igual forma </w:t>
      </w:r>
      <w:r w:rsidR="008A105E" w:rsidRPr="006408BF">
        <w:rPr>
          <w:rFonts w:ascii="Palatino Linotype" w:eastAsia="Calibri" w:hAnsi="Palatino Linotype" w:cs="Arial"/>
          <w:sz w:val="24"/>
          <w:szCs w:val="24"/>
          <w:lang w:eastAsia="es-MX"/>
        </w:rPr>
        <w:t>lo establecido por el artículo 31 fracción XVIII, de la Ley Orgánica Municipal del Estado de México, a la letra señala</w:t>
      </w:r>
      <w:r w:rsidRPr="00F11BE6">
        <w:rPr>
          <w:rFonts w:ascii="Palatino Linotype" w:eastAsia="Calibri" w:hAnsi="Palatino Linotype" w:cs="Arial"/>
          <w:sz w:val="24"/>
          <w:szCs w:val="24"/>
          <w:lang w:eastAsia="es-MX"/>
        </w:rPr>
        <w:t xml:space="preserve"> </w:t>
      </w:r>
      <w:r w:rsidRPr="006408BF">
        <w:rPr>
          <w:rFonts w:ascii="Palatino Linotype" w:eastAsia="Calibri" w:hAnsi="Palatino Linotype" w:cs="Arial"/>
          <w:sz w:val="24"/>
          <w:szCs w:val="24"/>
          <w:lang w:eastAsia="es-MX"/>
        </w:rPr>
        <w:t>que</w:t>
      </w:r>
      <w:r w:rsidR="008A105E" w:rsidRPr="006408BF">
        <w:rPr>
          <w:rFonts w:ascii="Palatino Linotype" w:eastAsia="Calibri" w:hAnsi="Palatino Linotype" w:cs="Arial"/>
          <w:sz w:val="24"/>
          <w:szCs w:val="24"/>
          <w:lang w:eastAsia="es-MX"/>
        </w:rPr>
        <w:t>:</w:t>
      </w:r>
    </w:p>
    <w:p w:rsidR="008A105E" w:rsidRPr="00C24D80" w:rsidRDefault="008A105E" w:rsidP="008A105E">
      <w:pPr>
        <w:pStyle w:val="Sinespaciado"/>
        <w:spacing w:line="360" w:lineRule="auto"/>
        <w:jc w:val="both"/>
        <w:rPr>
          <w:rFonts w:ascii="Palatino Linotype" w:eastAsia="Calibri" w:hAnsi="Palatino Linotype" w:cs="Arial"/>
          <w:lang w:eastAsia="es-MX"/>
        </w:rPr>
      </w:pPr>
    </w:p>
    <w:p w:rsidR="005E4317" w:rsidRPr="005E4317" w:rsidRDefault="005E4317" w:rsidP="00BB1950">
      <w:pPr>
        <w:pStyle w:val="Sinespaciado"/>
        <w:spacing w:line="360" w:lineRule="auto"/>
        <w:ind w:left="567" w:right="567"/>
        <w:jc w:val="both"/>
        <w:rPr>
          <w:rFonts w:ascii="Palatino Linotype" w:hAnsi="Palatino Linotype" w:cs="Arial"/>
          <w:i/>
        </w:rPr>
      </w:pPr>
      <w:r w:rsidRPr="005E4317">
        <w:rPr>
          <w:rFonts w:ascii="Palatino Linotype" w:hAnsi="Palatino Linotype" w:cs="Arial"/>
          <w:i/>
        </w:rPr>
        <w:t>Artículo 5.21.- Los planes de desarrollo urbano:</w:t>
      </w:r>
    </w:p>
    <w:p w:rsidR="00D34693" w:rsidRDefault="00D34693" w:rsidP="00BB1950">
      <w:pPr>
        <w:pStyle w:val="Sinespaciado"/>
        <w:spacing w:line="360" w:lineRule="auto"/>
        <w:ind w:left="567" w:right="567"/>
        <w:jc w:val="both"/>
        <w:rPr>
          <w:rFonts w:ascii="Palatino Linotype" w:hAnsi="Palatino Linotype" w:cs="Arial"/>
          <w:i/>
        </w:rPr>
      </w:pPr>
      <w:r>
        <w:rPr>
          <w:rFonts w:ascii="Palatino Linotype" w:hAnsi="Palatino Linotype" w:cs="Arial"/>
          <w:i/>
        </w:rPr>
        <w:t>(…)</w:t>
      </w:r>
    </w:p>
    <w:p w:rsidR="005E4317" w:rsidRPr="005E4317" w:rsidRDefault="005E4317" w:rsidP="00BB1950">
      <w:pPr>
        <w:pStyle w:val="Sinespaciado"/>
        <w:spacing w:line="360" w:lineRule="auto"/>
        <w:ind w:left="567" w:right="567"/>
        <w:jc w:val="both"/>
        <w:rPr>
          <w:rFonts w:ascii="Palatino Linotype" w:hAnsi="Palatino Linotype" w:cs="Arial"/>
          <w:i/>
        </w:rPr>
      </w:pPr>
      <w:r w:rsidRPr="00D34693">
        <w:rPr>
          <w:rFonts w:ascii="Palatino Linotype" w:hAnsi="Palatino Linotype" w:cs="Arial"/>
          <w:b/>
          <w:i/>
        </w:rPr>
        <w:t>II.</w:t>
      </w:r>
      <w:r w:rsidRPr="005E4317">
        <w:rPr>
          <w:rFonts w:ascii="Palatino Linotype" w:hAnsi="Palatino Linotype" w:cs="Arial"/>
          <w:i/>
        </w:rPr>
        <w:t xml:space="preserve"> </w:t>
      </w:r>
      <w:r w:rsidRPr="00464F74">
        <w:rPr>
          <w:rFonts w:ascii="Palatino Linotype" w:hAnsi="Palatino Linotype" w:cs="Arial"/>
          <w:i/>
          <w:u w:val="single"/>
        </w:rPr>
        <w:t>Deberán ser observados en la formulación y ejecución de programas de obra pública, así como de dotación, administración y funcionamiento de servicios públicos; y</w:t>
      </w:r>
    </w:p>
    <w:p w:rsidR="00C005CD" w:rsidRPr="005E4317" w:rsidRDefault="005E4317" w:rsidP="00BB1950">
      <w:pPr>
        <w:pStyle w:val="Sinespaciado"/>
        <w:spacing w:line="360" w:lineRule="auto"/>
        <w:ind w:left="567" w:right="567"/>
        <w:jc w:val="both"/>
        <w:rPr>
          <w:rFonts w:ascii="Palatino Linotype" w:hAnsi="Palatino Linotype" w:cs="Arial"/>
          <w:i/>
        </w:rPr>
      </w:pPr>
      <w:r w:rsidRPr="005E4317">
        <w:rPr>
          <w:rFonts w:ascii="Palatino Linotype" w:hAnsi="Palatino Linotype" w:cs="Arial"/>
          <w:i/>
        </w:rPr>
        <w:t>III. Solamente podrán modificarse, en relación a la estructura urbana prevista, siguiendo las formalidades a que se refiere el artículo anterior y siempre que estén sustentados en una evaluación del plan que se modifica.</w:t>
      </w:r>
      <w:r w:rsidRPr="005E4317">
        <w:rPr>
          <w:rFonts w:ascii="Palatino Linotype" w:hAnsi="Palatino Linotype" w:cs="Arial"/>
          <w:i/>
        </w:rPr>
        <w:cr/>
      </w:r>
    </w:p>
    <w:p w:rsidR="00D34693" w:rsidRDefault="00170C4A" w:rsidP="008A3A9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De las disposiciones en la anterior normatividad se</w:t>
      </w:r>
      <w:r w:rsidRPr="00170C4A">
        <w:rPr>
          <w:rFonts w:ascii="Palatino Linotype" w:hAnsi="Palatino Linotype" w:cs="Arial"/>
        </w:rPr>
        <w:t xml:space="preserve"> </w:t>
      </w:r>
      <w:r>
        <w:rPr>
          <w:rFonts w:ascii="Palatino Linotype" w:hAnsi="Palatino Linotype" w:cs="Arial"/>
        </w:rPr>
        <w:t xml:space="preserve">señala </w:t>
      </w:r>
      <w:r w:rsidR="00F105B3">
        <w:rPr>
          <w:rFonts w:ascii="Palatino Linotype" w:hAnsi="Palatino Linotype" w:cs="Arial"/>
        </w:rPr>
        <w:t xml:space="preserve">que tiene por objeto el regular diversas materias, como la obra pública a fin de promover el desarrollo social y </w:t>
      </w:r>
      <w:r w:rsidR="00F105B3">
        <w:rPr>
          <w:rFonts w:ascii="Palatino Linotype" w:hAnsi="Palatino Linotype" w:cs="Arial"/>
        </w:rPr>
        <w:lastRenderedPageBreak/>
        <w:t>económico en el Estado de M</w:t>
      </w:r>
      <w:r w:rsidR="000C74AA">
        <w:rPr>
          <w:rFonts w:ascii="Palatino Linotype" w:hAnsi="Palatino Linotype" w:cs="Arial"/>
        </w:rPr>
        <w:t>éxico, así como los actos, procedimientos y convenios que se ejecuten</w:t>
      </w:r>
      <w:r w:rsidR="00881FAB">
        <w:rPr>
          <w:rFonts w:ascii="Palatino Linotype" w:hAnsi="Palatino Linotype" w:cs="Arial"/>
        </w:rPr>
        <w:t xml:space="preserve"> por parte de las autoridades en</w:t>
      </w:r>
      <w:r w:rsidR="00464F74">
        <w:rPr>
          <w:rFonts w:ascii="Palatino Linotype" w:hAnsi="Palatino Linotype" w:cs="Arial"/>
        </w:rPr>
        <w:t xml:space="preserve"> las</w:t>
      </w:r>
      <w:r w:rsidR="00881FAB">
        <w:rPr>
          <w:rFonts w:ascii="Palatino Linotype" w:hAnsi="Palatino Linotype" w:cs="Arial"/>
        </w:rPr>
        <w:t xml:space="preserve"> materia</w:t>
      </w:r>
      <w:r w:rsidR="00464F74">
        <w:rPr>
          <w:rFonts w:ascii="Palatino Linotype" w:hAnsi="Palatino Linotype" w:cs="Arial"/>
        </w:rPr>
        <w:t>s</w:t>
      </w:r>
      <w:r w:rsidR="00881FAB">
        <w:rPr>
          <w:rFonts w:ascii="Palatino Linotype" w:hAnsi="Palatino Linotype" w:cs="Arial"/>
        </w:rPr>
        <w:t xml:space="preserve"> </w:t>
      </w:r>
      <w:r w:rsidR="00464F74">
        <w:rPr>
          <w:rFonts w:ascii="Palatino Linotype" w:hAnsi="Palatino Linotype" w:cs="Arial"/>
        </w:rPr>
        <w:t xml:space="preserve">reguladas por este Código. </w:t>
      </w:r>
      <w:r w:rsidR="000C74AA">
        <w:rPr>
          <w:rFonts w:ascii="Palatino Linotype" w:hAnsi="Palatino Linotype" w:cs="Arial"/>
        </w:rPr>
        <w:t xml:space="preserve">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b/>
          <w:i/>
          <w:sz w:val="22"/>
          <w:szCs w:val="22"/>
        </w:rPr>
        <w:t>Artículo 12.4.-</w:t>
      </w:r>
      <w:r w:rsidRPr="00BB1950">
        <w:rPr>
          <w:rFonts w:ascii="Palatino Linotype" w:hAnsi="Palatino Linotype"/>
          <w:i/>
          <w:sz w:val="22"/>
          <w:szCs w:val="22"/>
        </w:rPr>
        <w:t xml:space="preserve"> </w:t>
      </w:r>
      <w:r w:rsidRPr="00BB1950">
        <w:rPr>
          <w:rFonts w:ascii="Palatino Linotype" w:hAnsi="Palatino Linotype"/>
          <w:i/>
          <w:sz w:val="22"/>
          <w:szCs w:val="22"/>
          <w:u w:val="single"/>
        </w:rPr>
        <w:t xml:space="preserve">Se considera obra pública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i/>
          <w:sz w:val="22"/>
          <w:szCs w:val="22"/>
        </w:rPr>
        <w:t xml:space="preserve">Quedan comprendidos dentro de la obra pública: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i/>
          <w:sz w:val="22"/>
          <w:szCs w:val="22"/>
        </w:rPr>
        <w:t xml:space="preserve">I. El mantenimiento, restauración, desmantelamiento o remoción de bienes muebles incorporados o adheridos a un inmueble;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i/>
          <w:sz w:val="22"/>
          <w:szCs w:val="22"/>
        </w:rPr>
        <w:t xml:space="preserve">II. Los proyectos integrales o comúnmente denominados llave en mano, en los cuales el contratista se obliga desde el diseño de la obra hasta su terminación total, incluyéndose, cuando se requiera, la transferencia de tecnología;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i/>
          <w:sz w:val="22"/>
          <w:szCs w:val="22"/>
        </w:rPr>
        <w:t xml:space="preserve">III. Los trabajos de exploración, localización y perforación; mejoramiento del suelo y/o subsuelo; desmontes y extracción y aquellos similares que tengan por objeto la explotación y desarrollo de los recursos naturales que se encuentran en el suelo y/o subsuelo; </w:t>
      </w:r>
    </w:p>
    <w:p w:rsidR="00494C99"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i/>
          <w:sz w:val="22"/>
          <w:szCs w:val="22"/>
        </w:rPr>
      </w:pPr>
      <w:r w:rsidRPr="00BB1950">
        <w:rPr>
          <w:rFonts w:ascii="Palatino Linotype" w:hAnsi="Palatino Linotype"/>
          <w:i/>
          <w:sz w:val="22"/>
          <w:szCs w:val="22"/>
        </w:rPr>
        <w:t xml:space="preserve">IV. Los trabajos de infraestructura agropecuaria e hidroagrícola: </w:t>
      </w:r>
    </w:p>
    <w:p w:rsidR="00464F74" w:rsidRPr="00BB1950" w:rsidRDefault="00656C1C" w:rsidP="00BB1950">
      <w:pPr>
        <w:pStyle w:val="paragraph"/>
        <w:spacing w:before="0" w:beforeAutospacing="0" w:after="240" w:afterAutospacing="0" w:line="360" w:lineRule="auto"/>
        <w:ind w:left="567" w:right="567"/>
        <w:jc w:val="both"/>
        <w:textAlignment w:val="baseline"/>
        <w:rPr>
          <w:rFonts w:ascii="Palatino Linotype" w:hAnsi="Palatino Linotype" w:cs="Arial"/>
          <w:i/>
          <w:sz w:val="22"/>
          <w:szCs w:val="22"/>
        </w:rPr>
      </w:pPr>
      <w:r w:rsidRPr="00BB1950">
        <w:rPr>
          <w:rFonts w:ascii="Palatino Linotype" w:hAnsi="Palatino Linotype"/>
          <w:i/>
          <w:sz w:val="22"/>
          <w:szCs w:val="22"/>
        </w:rPr>
        <w:t>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w:t>
      </w:r>
    </w:p>
    <w:p w:rsidR="00556787" w:rsidRDefault="00556787" w:rsidP="008A3A9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lastRenderedPageBreak/>
        <w:t>A</w:t>
      </w:r>
      <w:r w:rsidR="008A3A93" w:rsidRPr="00327011">
        <w:rPr>
          <w:rFonts w:ascii="Palatino Linotype" w:hAnsi="Palatino Linotype" w:cs="Arial"/>
        </w:rPr>
        <w:t xml:space="preserve">hora </w:t>
      </w:r>
      <w:r w:rsidR="00AC254A">
        <w:rPr>
          <w:rFonts w:ascii="Palatino Linotype" w:hAnsi="Palatino Linotype" w:cs="Arial"/>
        </w:rPr>
        <w:t xml:space="preserve">bien, por cuanto hace </w:t>
      </w:r>
      <w:r>
        <w:rPr>
          <w:rFonts w:ascii="Palatino Linotype" w:hAnsi="Palatino Linotype" w:cs="Arial"/>
        </w:rPr>
        <w:t>a la Ley de Planeación del Estado de México y Municipios</w:t>
      </w:r>
      <w:r w:rsidR="00B10042">
        <w:rPr>
          <w:rFonts w:ascii="Palatino Linotype" w:hAnsi="Palatino Linotype" w:cs="Arial"/>
        </w:rPr>
        <w:t xml:space="preserve"> refiere en su capítulo tercero denominado De los Planes de Desarrollo y sus Programas artículo veintidós que a la letra versa; </w:t>
      </w:r>
    </w:p>
    <w:p w:rsidR="00B10042" w:rsidRPr="001E4528" w:rsidRDefault="00B10042" w:rsidP="00B10042">
      <w:pPr>
        <w:pStyle w:val="paragraph"/>
        <w:spacing w:before="0" w:beforeAutospacing="0" w:after="240" w:afterAutospacing="0" w:line="360" w:lineRule="auto"/>
        <w:ind w:left="567" w:right="567"/>
        <w:jc w:val="both"/>
        <w:textAlignment w:val="baseline"/>
        <w:rPr>
          <w:rFonts w:ascii="Palatino Linotype" w:hAnsi="Palatino Linotype" w:cs="Arial"/>
          <w:i/>
          <w:sz w:val="22"/>
          <w:szCs w:val="22"/>
        </w:rPr>
      </w:pPr>
      <w:r w:rsidRPr="001E4528">
        <w:rPr>
          <w:rFonts w:ascii="Palatino Linotype" w:hAnsi="Palatino Linotype"/>
          <w:b/>
          <w:i/>
          <w:sz w:val="22"/>
          <w:szCs w:val="22"/>
        </w:rPr>
        <w:t>Artículo 22.-</w:t>
      </w:r>
      <w:r w:rsidRPr="001E4528">
        <w:rPr>
          <w:rFonts w:ascii="Palatino Linotype" w:hAnsi="Palatino Linotype"/>
          <w:i/>
          <w:sz w:val="22"/>
          <w:szCs w:val="22"/>
        </w:rPr>
        <w:t xml:space="preserve"> </w:t>
      </w:r>
      <w:r w:rsidRPr="001E4528">
        <w:rPr>
          <w:rFonts w:ascii="Palatino Linotype" w:hAnsi="Palatino Linotype"/>
          <w:i/>
          <w:sz w:val="22"/>
          <w:szCs w:val="22"/>
          <w:u w:val="single"/>
        </w:rPr>
        <w:t>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w:t>
      </w:r>
      <w:r w:rsidRPr="001E4528">
        <w:rPr>
          <w:rFonts w:ascii="Palatino Linotype" w:hAnsi="Palatino Linotype"/>
          <w:i/>
          <w:sz w:val="22"/>
          <w:szCs w:val="22"/>
        </w:rPr>
        <w:t>;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w:t>
      </w:r>
    </w:p>
    <w:p w:rsidR="00FE6D76" w:rsidRDefault="00FE6D76" w:rsidP="00FE6D76">
      <w:pPr>
        <w:pStyle w:val="Textonotapie"/>
        <w:rPr>
          <w:lang w:eastAsia="es-MX"/>
        </w:rPr>
      </w:pPr>
    </w:p>
    <w:p w:rsidR="00FE6D76" w:rsidRPr="000A6898" w:rsidRDefault="00FE6D76" w:rsidP="00FE6D76">
      <w:pPr>
        <w:spacing w:line="360" w:lineRule="auto"/>
        <w:jc w:val="both"/>
        <w:rPr>
          <w:rFonts w:ascii="Palatino Linotype" w:eastAsiaTheme="minorEastAsia" w:hAnsi="Palatino Linotype" w:cs="Arial"/>
          <w:sz w:val="24"/>
        </w:rPr>
      </w:pPr>
      <w:r w:rsidRPr="000A6898">
        <w:rPr>
          <w:rFonts w:ascii="Palatino Linotype" w:hAnsi="Palatino Linotype" w:cs="Segoe UI"/>
          <w:sz w:val="24"/>
        </w:rPr>
        <w:t xml:space="preserve">En este sentido, cabe hacer mención que </w:t>
      </w:r>
      <w:r w:rsidRPr="000A6898">
        <w:rPr>
          <w:rFonts w:ascii="Palatino Linotype" w:hAnsi="Palatino Linotype"/>
          <w:sz w:val="24"/>
        </w:rPr>
        <w:t>de acuerdo al artículo 76</w:t>
      </w:r>
      <w:r w:rsidRPr="000A6898">
        <w:rPr>
          <w:rStyle w:val="Refdenotaalpie"/>
          <w:rFonts w:ascii="Palatino Linotype" w:hAnsi="Palatino Linotype"/>
          <w:sz w:val="24"/>
        </w:rPr>
        <w:footnoteReference w:id="2"/>
      </w:r>
      <w:r w:rsidRPr="000A6898">
        <w:rPr>
          <w:rFonts w:ascii="Palatino Linotype" w:hAnsi="Palatino Linotype"/>
          <w:sz w:val="24"/>
        </w:rPr>
        <w:t xml:space="preserve"> de la Ley de Transparencia y Acceso a la Información Pública del Estado de México y Municipios, </w:t>
      </w:r>
      <w:r w:rsidRPr="000A6898">
        <w:rPr>
          <w:rFonts w:ascii="Palatino Linotype" w:hAnsi="Palatino Linotype"/>
          <w:sz w:val="24"/>
        </w:rPr>
        <w:lastRenderedPageBreak/>
        <w:t xml:space="preserve">la publicación de la información derivada de las obligaciones de transparencia, se debe realizar conforme a los criterios </w:t>
      </w:r>
      <w:r w:rsidRPr="000A6898">
        <w:rPr>
          <w:rFonts w:ascii="Palatino Linotype" w:eastAsiaTheme="minorEastAsia" w:hAnsi="Palatino Linotype" w:cs="Arial"/>
          <w:sz w:val="24"/>
        </w:rPr>
        <w:t>establecidos por la misma Ley, además de observar los lineamientos técnicos que emita el Sistema Nacional respecto a los formatos de publicación de la información para asegurar que la información sea veraz, confiable, oportuna, congruente, integral, actualizada, accesible, comprensible y verificable; aunado a que se le impone a los Sujetos Obligados un plazo de tres meses para llevar a cabo la actualización de información disponible en los medios electrónicos, como se advierte en el artículo 77 de la citada Ley, que es del tenor literal siguiente:</w:t>
      </w:r>
    </w:p>
    <w:p w:rsidR="00FE6D76" w:rsidRPr="00327011" w:rsidRDefault="00FE6D76" w:rsidP="00FE6D76">
      <w:pPr>
        <w:autoSpaceDE w:val="0"/>
        <w:autoSpaceDN w:val="0"/>
        <w:adjustRightInd w:val="0"/>
        <w:rPr>
          <w:rFonts w:ascii="Arial" w:eastAsiaTheme="minorEastAsia" w:hAnsi="Arial" w:cs="Arial"/>
          <w:sz w:val="18"/>
          <w:szCs w:val="18"/>
        </w:rPr>
      </w:pPr>
    </w:p>
    <w:p w:rsidR="00FE6D76" w:rsidRPr="00327011" w:rsidRDefault="00FE6D76" w:rsidP="00FE6D76">
      <w:pPr>
        <w:autoSpaceDE w:val="0"/>
        <w:autoSpaceDN w:val="0"/>
        <w:adjustRightInd w:val="0"/>
        <w:ind w:left="851" w:right="900"/>
        <w:jc w:val="both"/>
        <w:rPr>
          <w:rFonts w:ascii="Palatino Linotype" w:eastAsiaTheme="minorEastAsia" w:hAnsi="Palatino Linotype" w:cs="Arial"/>
          <w:i/>
        </w:rPr>
      </w:pPr>
      <w:r w:rsidRPr="00327011">
        <w:rPr>
          <w:rFonts w:ascii="Palatino Linotype" w:eastAsiaTheme="minorEastAsia" w:hAnsi="Palatino Linotype" w:cs="Arial"/>
          <w:b/>
          <w:bCs/>
          <w:i/>
        </w:rPr>
        <w:t xml:space="preserve">“Artículo 77. </w:t>
      </w:r>
      <w:r w:rsidRPr="00327011">
        <w:rPr>
          <w:rFonts w:ascii="Palatino Linotype" w:eastAsiaTheme="minorEastAsia" w:hAnsi="Palatino Linotype" w:cs="Arial"/>
          <w:b/>
          <w:i/>
        </w:rPr>
        <w:t>La información correspondiente a las obligaciones de transparencia deberá actualizarse por lo menos cada tres meses</w:t>
      </w:r>
      <w:r w:rsidRPr="00327011">
        <w:rPr>
          <w:rFonts w:ascii="Palatino Linotype" w:eastAsiaTheme="minorEastAsia" w:hAnsi="Palatino Linotype" w:cs="Arial"/>
          <w:i/>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rsidR="00FE6D76" w:rsidRPr="00327011" w:rsidRDefault="00FE6D76" w:rsidP="00FE6D76">
      <w:pPr>
        <w:autoSpaceDE w:val="0"/>
        <w:autoSpaceDN w:val="0"/>
        <w:adjustRightInd w:val="0"/>
        <w:ind w:left="851" w:right="900"/>
        <w:jc w:val="both"/>
        <w:rPr>
          <w:rFonts w:ascii="Palatino Linotype" w:eastAsiaTheme="minorEastAsia" w:hAnsi="Palatino Linotype" w:cs="Arial"/>
          <w:i/>
        </w:rPr>
      </w:pPr>
    </w:p>
    <w:p w:rsidR="00FE6D76" w:rsidRPr="00327011" w:rsidRDefault="00FE6D76" w:rsidP="00FE6D76">
      <w:pPr>
        <w:autoSpaceDE w:val="0"/>
        <w:autoSpaceDN w:val="0"/>
        <w:adjustRightInd w:val="0"/>
        <w:ind w:left="851" w:right="900"/>
        <w:jc w:val="both"/>
        <w:rPr>
          <w:rFonts w:ascii="Palatino Linotype" w:hAnsi="Palatino Linotype"/>
          <w:i/>
        </w:rPr>
      </w:pPr>
      <w:r w:rsidRPr="00327011">
        <w:rPr>
          <w:rFonts w:ascii="Palatino Linotype" w:eastAsiaTheme="minorEastAsia" w:hAnsi="Palatino Linotype" w:cs="Arial"/>
          <w:i/>
        </w:rPr>
        <w:t>La publicación de la información deberá indicar el sujeto obligado encargado de generarla, así como la fecha de su última actualización.”</w:t>
      </w:r>
    </w:p>
    <w:p w:rsidR="00FE6D76" w:rsidRDefault="00FE6D76" w:rsidP="00FE6D76">
      <w:pPr>
        <w:pStyle w:val="Textonotapie"/>
      </w:pPr>
    </w:p>
    <w:p w:rsidR="00FE6D76" w:rsidRPr="00FB43AB" w:rsidRDefault="00FE6D76" w:rsidP="00FE6D76">
      <w:pPr>
        <w:spacing w:before="240" w:after="240" w:line="360" w:lineRule="auto"/>
        <w:jc w:val="both"/>
        <w:rPr>
          <w:rFonts w:ascii="Palatino Linotype" w:hAnsi="Palatino Linotype" w:cs="Arial"/>
          <w:sz w:val="24"/>
        </w:rPr>
      </w:pPr>
      <w:r w:rsidRPr="00FB43AB">
        <w:rPr>
          <w:rFonts w:ascii="Palatino Linotype" w:hAnsi="Palatino Linotype" w:cs="Arial"/>
          <w:sz w:val="24"/>
          <w:szCs w:val="28"/>
        </w:rPr>
        <w:t xml:space="preserve">Al respecto, de conformidad con </w:t>
      </w:r>
      <w:r w:rsidR="000E2AE1" w:rsidRPr="00FB43AB">
        <w:rPr>
          <w:rFonts w:ascii="Palatino Linotype" w:hAnsi="Palatino Linotype" w:cs="Arial"/>
          <w:sz w:val="24"/>
          <w:szCs w:val="28"/>
        </w:rPr>
        <w:t xml:space="preserve">EL Capítulo III, De las Obligaciones de Transparencia Especificas de los Sujetos Obligados </w:t>
      </w:r>
      <w:r w:rsidRPr="00FB43AB">
        <w:rPr>
          <w:rFonts w:ascii="Palatino Linotype" w:hAnsi="Palatino Linotype" w:cs="Arial"/>
          <w:sz w:val="24"/>
          <w:szCs w:val="28"/>
        </w:rPr>
        <w:t>conte</w:t>
      </w:r>
      <w:r w:rsidR="000E2AE1" w:rsidRPr="00FB43AB">
        <w:rPr>
          <w:rFonts w:ascii="Palatino Linotype" w:hAnsi="Palatino Linotype" w:cs="Arial"/>
          <w:sz w:val="24"/>
          <w:szCs w:val="28"/>
        </w:rPr>
        <w:t>nido</w:t>
      </w:r>
      <w:r w:rsidRPr="00FB43AB">
        <w:rPr>
          <w:rFonts w:ascii="Palatino Linotype" w:hAnsi="Palatino Linotype" w:cs="Arial"/>
          <w:sz w:val="24"/>
          <w:szCs w:val="28"/>
        </w:rPr>
        <w:t xml:space="preserve"> en </w:t>
      </w:r>
      <w:r w:rsidR="000E2AE1" w:rsidRPr="00FB43AB">
        <w:rPr>
          <w:rFonts w:ascii="Palatino Linotype" w:hAnsi="Palatino Linotype"/>
          <w:sz w:val="24"/>
        </w:rPr>
        <w:t>artículo 94</w:t>
      </w:r>
      <w:r w:rsidR="00AE526E" w:rsidRPr="00FB43AB">
        <w:rPr>
          <w:rFonts w:ascii="Palatino Linotype" w:hAnsi="Palatino Linotype"/>
          <w:sz w:val="24"/>
        </w:rPr>
        <w:t xml:space="preserve"> de la </w:t>
      </w:r>
      <w:r w:rsidR="00AE526E" w:rsidRPr="00FB43AB">
        <w:rPr>
          <w:rFonts w:ascii="Palatino Linotype" w:hAnsi="Palatino Linotype"/>
          <w:i/>
          <w:sz w:val="24"/>
        </w:rPr>
        <w:t>Ley</w:t>
      </w:r>
      <w:r w:rsidRPr="00FB43AB">
        <w:rPr>
          <w:rFonts w:ascii="Palatino Linotype" w:hAnsi="Palatino Linotype"/>
          <w:i/>
          <w:sz w:val="24"/>
        </w:rPr>
        <w:t xml:space="preserve"> de Transparencia y Acceso a la Información Pública</w:t>
      </w:r>
      <w:r w:rsidR="00AE526E" w:rsidRPr="00FB43AB">
        <w:rPr>
          <w:rFonts w:ascii="Palatino Linotype" w:hAnsi="Palatino Linotype"/>
          <w:i/>
          <w:sz w:val="24"/>
        </w:rPr>
        <w:t xml:space="preserve"> del Estado de México y Municipios</w:t>
      </w:r>
      <w:r w:rsidRPr="00FB43AB">
        <w:rPr>
          <w:rFonts w:ascii="Palatino Linotype" w:hAnsi="Palatino Linotype"/>
          <w:sz w:val="24"/>
        </w:rPr>
        <w:t>, además de la</w:t>
      </w:r>
      <w:r w:rsidR="00AE526E" w:rsidRPr="00FB43AB">
        <w:rPr>
          <w:rFonts w:ascii="Palatino Linotype" w:hAnsi="Palatino Linotype"/>
          <w:sz w:val="24"/>
        </w:rPr>
        <w:t>s obligaciones de transparencia común, deberán poner a disposición del público</w:t>
      </w:r>
      <w:r w:rsidR="00AF163E" w:rsidRPr="00FB43AB">
        <w:rPr>
          <w:rFonts w:ascii="Palatino Linotype" w:hAnsi="Palatino Linotype"/>
          <w:sz w:val="24"/>
        </w:rPr>
        <w:t xml:space="preserve"> El Plan de Desarrollo Municipal así como la información detallada que contengan los planes de desarrollo urbano.</w:t>
      </w:r>
    </w:p>
    <w:p w:rsidR="00FE6D76" w:rsidRPr="00FB43AB" w:rsidRDefault="00FE6D76" w:rsidP="00FE6D76">
      <w:pPr>
        <w:spacing w:before="240" w:after="240" w:line="360" w:lineRule="auto"/>
        <w:jc w:val="both"/>
        <w:rPr>
          <w:rFonts w:ascii="Palatino Linotype" w:eastAsia="Calibri" w:hAnsi="Palatino Linotype" w:cs="Arial"/>
          <w:sz w:val="24"/>
        </w:rPr>
      </w:pPr>
      <w:r w:rsidRPr="00FB43AB">
        <w:rPr>
          <w:rFonts w:ascii="Palatino Linotype" w:eastAsia="Calibri" w:hAnsi="Palatino Linotype" w:cs="Arial"/>
          <w:sz w:val="24"/>
        </w:rPr>
        <w:lastRenderedPageBreak/>
        <w:t>De lo hasta aquí expuesto, es evidente que la Ley de Transparencia y Acceso a la Información Pública del Estado de México y Municipios hace referencia de manera específica a que los Su</w:t>
      </w:r>
      <w:r w:rsidRPr="00FB43AB">
        <w:rPr>
          <w:rFonts w:ascii="Palatino Linotype" w:eastAsia="Calibri" w:hAnsi="Palatino Linotype" w:cs="Arial"/>
          <w:sz w:val="24"/>
          <w:lang w:eastAsia="es-MX"/>
        </w:rPr>
        <w:t xml:space="preserve">jetos Obligados deben hacer pública la información relativa al </w:t>
      </w:r>
      <w:r w:rsidR="00FB43AB">
        <w:rPr>
          <w:rFonts w:ascii="Palatino Linotype" w:eastAsia="Calibri" w:hAnsi="Palatino Linotype" w:cs="Arial"/>
          <w:sz w:val="24"/>
          <w:lang w:eastAsia="es-MX"/>
        </w:rPr>
        <w:t>Plan de Desarrollo Municipal</w:t>
      </w:r>
      <w:r w:rsidRPr="00FB43AB">
        <w:rPr>
          <w:rFonts w:ascii="Palatino Linotype" w:eastAsia="Calibri" w:hAnsi="Palatino Linotype" w:cs="Arial"/>
          <w:sz w:val="24"/>
          <w:lang w:eastAsia="es-MX"/>
        </w:rPr>
        <w:t>, consecuentemente, en el caso concreto que el Sujeto Obligado se encuentra en posibilidad de atender favorablemente la solicitud, entregando la información a la recurrente, pues se trata de una obligación determinada por la Ley que rige la materia en la Entidad</w:t>
      </w:r>
      <w:r w:rsidRPr="00FB43AB">
        <w:rPr>
          <w:rFonts w:ascii="Palatino Linotype" w:eastAsia="Calibri" w:hAnsi="Palatino Linotype" w:cs="Arial"/>
          <w:sz w:val="24"/>
        </w:rPr>
        <w:t>, y por tal motivo se encuentra constreñido a documentarla en términos de los artículos 18</w:t>
      </w:r>
      <w:r w:rsidRPr="00FB43AB">
        <w:rPr>
          <w:rStyle w:val="Refdenotaalpie"/>
          <w:rFonts w:ascii="Palatino Linotype" w:eastAsia="Calibri" w:hAnsi="Palatino Linotype" w:cs="Arial"/>
          <w:sz w:val="24"/>
        </w:rPr>
        <w:footnoteReference w:id="3"/>
      </w:r>
      <w:r w:rsidRPr="00FB43AB">
        <w:rPr>
          <w:rFonts w:ascii="Palatino Linotype" w:eastAsia="Calibri" w:hAnsi="Palatino Linotype" w:cs="Arial"/>
          <w:sz w:val="24"/>
        </w:rPr>
        <w:t>, 24 fracción XXII y 160 párrafo primero de la Ley de la Materia.</w:t>
      </w:r>
    </w:p>
    <w:p w:rsidR="009C10B1" w:rsidRDefault="007B5C0B" w:rsidP="008A3A9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Ahora bien, por lo que corresponde a </w:t>
      </w:r>
      <w:r w:rsidR="00FD0840">
        <w:rPr>
          <w:rFonts w:ascii="Palatino Linotype" w:hAnsi="Palatino Linotype" w:cs="Arial"/>
        </w:rPr>
        <w:t xml:space="preserve">las peticiones realizadas por la Recurrente, referentes al Acta de Instalación y aprobación de obras por el </w:t>
      </w:r>
      <w:r w:rsidR="008960D1">
        <w:rPr>
          <w:rFonts w:ascii="Palatino Linotype" w:hAnsi="Palatino Linotype" w:cs="Arial"/>
        </w:rPr>
        <w:t xml:space="preserve">CODEMUN, </w:t>
      </w:r>
      <w:r w:rsidR="0071313A">
        <w:rPr>
          <w:rFonts w:ascii="Palatino Linotype" w:hAnsi="Palatino Linotype" w:cs="Arial"/>
        </w:rPr>
        <w:t>así como el reporte de obra</w:t>
      </w:r>
      <w:r w:rsidR="00BB5C52">
        <w:rPr>
          <w:rFonts w:ascii="Palatino Linotype" w:hAnsi="Palatino Linotype" w:cs="Arial"/>
        </w:rPr>
        <w:t>s y contratos suscritos por el M</w:t>
      </w:r>
      <w:r w:rsidR="0071313A">
        <w:rPr>
          <w:rFonts w:ascii="Palatino Linotype" w:hAnsi="Palatino Linotype" w:cs="Arial"/>
        </w:rPr>
        <w:t xml:space="preserve">unicipio de </w:t>
      </w:r>
      <w:r w:rsidR="00B245D7">
        <w:rPr>
          <w:rFonts w:ascii="Palatino Linotype" w:hAnsi="Palatino Linotype" w:cs="Arial"/>
        </w:rPr>
        <w:t xml:space="preserve">Temascalcingo, viene a colación el Bando Municipal del Municipio, que en su Capítulo III denominado De las Autoridades Auxiliares refiere a la letra; </w:t>
      </w:r>
    </w:p>
    <w:p w:rsidR="00B245D7" w:rsidRPr="00B245D7" w:rsidRDefault="00B245D7" w:rsidP="00B245D7">
      <w:pPr>
        <w:pStyle w:val="paragraph"/>
        <w:spacing w:before="0" w:beforeAutospacing="0" w:after="240"/>
        <w:ind w:left="567" w:right="992"/>
        <w:jc w:val="center"/>
        <w:textAlignment w:val="baseline"/>
        <w:rPr>
          <w:rFonts w:ascii="Palatino Linotype" w:hAnsi="Palatino Linotype" w:cs="Arial"/>
          <w:i/>
          <w:sz w:val="22"/>
        </w:rPr>
      </w:pPr>
      <w:r w:rsidRPr="00B245D7">
        <w:rPr>
          <w:rFonts w:ascii="Palatino Linotype" w:hAnsi="Palatino Linotype" w:cs="Arial"/>
          <w:i/>
          <w:sz w:val="22"/>
        </w:rPr>
        <w:t>CAPÍTULO III</w:t>
      </w:r>
    </w:p>
    <w:p w:rsidR="00B245D7" w:rsidRPr="00B245D7" w:rsidRDefault="00B245D7" w:rsidP="00B245D7">
      <w:pPr>
        <w:pStyle w:val="paragraph"/>
        <w:spacing w:before="0" w:beforeAutospacing="0" w:after="240"/>
        <w:ind w:left="567" w:right="992"/>
        <w:jc w:val="center"/>
        <w:textAlignment w:val="baseline"/>
        <w:rPr>
          <w:rFonts w:ascii="Palatino Linotype" w:hAnsi="Palatino Linotype" w:cs="Arial"/>
          <w:i/>
          <w:sz w:val="22"/>
        </w:rPr>
      </w:pPr>
      <w:r w:rsidRPr="00B245D7">
        <w:rPr>
          <w:rFonts w:ascii="Palatino Linotype" w:hAnsi="Palatino Linotype" w:cs="Arial"/>
          <w:i/>
          <w:sz w:val="22"/>
        </w:rPr>
        <w:t>DE LAS AUTORIDADES AUXILIARES</w:t>
      </w:r>
    </w:p>
    <w:p w:rsidR="00B245D7" w:rsidRPr="00B245D7" w:rsidRDefault="00B245D7" w:rsidP="00B245D7">
      <w:pPr>
        <w:pStyle w:val="paragraph"/>
        <w:spacing w:before="0" w:beforeAutospacing="0" w:after="240"/>
        <w:ind w:left="567" w:right="992"/>
        <w:jc w:val="both"/>
        <w:textAlignment w:val="baseline"/>
        <w:rPr>
          <w:rFonts w:ascii="Palatino Linotype" w:hAnsi="Palatino Linotype" w:cs="Arial"/>
          <w:i/>
          <w:sz w:val="22"/>
        </w:rPr>
      </w:pPr>
      <w:r w:rsidRPr="00B245D7">
        <w:rPr>
          <w:rFonts w:ascii="Palatino Linotype" w:hAnsi="Palatino Linotype" w:cs="Arial"/>
          <w:i/>
          <w:sz w:val="22"/>
        </w:rPr>
        <w:t>Artículo 34.- Son Autoridades Auxiliares en el municipio:</w:t>
      </w:r>
    </w:p>
    <w:p w:rsidR="00B245D7" w:rsidRPr="00B245D7" w:rsidRDefault="00B245D7" w:rsidP="00B245D7">
      <w:pPr>
        <w:pStyle w:val="paragraph"/>
        <w:spacing w:before="0" w:beforeAutospacing="0" w:after="240"/>
        <w:ind w:left="567" w:right="992"/>
        <w:jc w:val="both"/>
        <w:textAlignment w:val="baseline"/>
        <w:rPr>
          <w:rFonts w:ascii="Palatino Linotype" w:hAnsi="Palatino Linotype" w:cs="Arial"/>
          <w:i/>
          <w:sz w:val="22"/>
        </w:rPr>
      </w:pPr>
      <w:r w:rsidRPr="00B245D7">
        <w:rPr>
          <w:rFonts w:ascii="Palatino Linotype" w:hAnsi="Palatino Linotype" w:cs="Arial"/>
          <w:i/>
          <w:sz w:val="22"/>
        </w:rPr>
        <w:lastRenderedPageBreak/>
        <w:t>I. Las Delegadas y/o los Delegados Municipales.</w:t>
      </w:r>
    </w:p>
    <w:p w:rsidR="00B245D7" w:rsidRPr="00B245D7" w:rsidRDefault="00B245D7" w:rsidP="00B245D7">
      <w:pPr>
        <w:pStyle w:val="paragraph"/>
        <w:spacing w:before="0" w:beforeAutospacing="0" w:after="240"/>
        <w:ind w:left="567" w:right="992"/>
        <w:jc w:val="both"/>
        <w:textAlignment w:val="baseline"/>
        <w:rPr>
          <w:rFonts w:ascii="Palatino Linotype" w:hAnsi="Palatino Linotype" w:cs="Arial"/>
          <w:i/>
          <w:sz w:val="22"/>
        </w:rPr>
      </w:pPr>
      <w:r w:rsidRPr="00B245D7">
        <w:rPr>
          <w:rFonts w:ascii="Palatino Linotype" w:hAnsi="Palatino Linotype" w:cs="Arial"/>
          <w:i/>
          <w:sz w:val="22"/>
        </w:rPr>
        <w:t>II. Integrantes de los Consejos de Participación Ciudadana.</w:t>
      </w:r>
    </w:p>
    <w:p w:rsidR="00B245D7" w:rsidRPr="007C0F61" w:rsidRDefault="00B245D7" w:rsidP="00B245D7">
      <w:pPr>
        <w:pStyle w:val="paragraph"/>
        <w:spacing w:before="0" w:beforeAutospacing="0" w:after="240"/>
        <w:ind w:left="567" w:right="992"/>
        <w:jc w:val="both"/>
        <w:textAlignment w:val="baseline"/>
        <w:rPr>
          <w:rFonts w:ascii="Palatino Linotype" w:hAnsi="Palatino Linotype" w:cs="Arial"/>
          <w:b/>
          <w:i/>
          <w:sz w:val="22"/>
        </w:rPr>
      </w:pPr>
      <w:r w:rsidRPr="007C0F61">
        <w:rPr>
          <w:rFonts w:ascii="Palatino Linotype" w:hAnsi="Palatino Linotype" w:cs="Arial"/>
          <w:b/>
          <w:i/>
          <w:sz w:val="22"/>
        </w:rPr>
        <w:t>III. Integrantes del Consejo de Desarrollo Municipal.</w:t>
      </w:r>
    </w:p>
    <w:p w:rsidR="00820B44" w:rsidRPr="005703F1" w:rsidRDefault="00B245D7" w:rsidP="005703F1">
      <w:pPr>
        <w:pStyle w:val="paragraph"/>
        <w:spacing w:before="0" w:beforeAutospacing="0" w:after="240"/>
        <w:ind w:left="567" w:right="992"/>
        <w:jc w:val="both"/>
        <w:textAlignment w:val="baseline"/>
        <w:rPr>
          <w:rFonts w:ascii="Palatino Linotype" w:hAnsi="Palatino Linotype" w:cs="Arial"/>
          <w:i/>
          <w:sz w:val="22"/>
        </w:rPr>
      </w:pPr>
      <w:r w:rsidRPr="00B245D7">
        <w:rPr>
          <w:rFonts w:ascii="Palatino Linotype" w:hAnsi="Palatino Linotype" w:cs="Arial"/>
          <w:i/>
          <w:sz w:val="22"/>
        </w:rPr>
        <w:t>IV. Las Comisiones y Consejos promovidos</w:t>
      </w:r>
      <w:r w:rsidR="005703F1">
        <w:rPr>
          <w:rFonts w:ascii="Palatino Linotype" w:hAnsi="Palatino Linotype" w:cs="Arial"/>
          <w:i/>
          <w:sz w:val="22"/>
        </w:rPr>
        <w:t xml:space="preserve"> por las distintas dependencias </w:t>
      </w:r>
      <w:r w:rsidRPr="00B245D7">
        <w:rPr>
          <w:rFonts w:ascii="Palatino Linotype" w:hAnsi="Palatino Linotype" w:cs="Arial"/>
          <w:i/>
          <w:sz w:val="22"/>
        </w:rPr>
        <w:t xml:space="preserve">estatales y que sean nombradas por el Ayuntamiento. </w:t>
      </w:r>
      <w:r w:rsidRPr="00B245D7">
        <w:rPr>
          <w:rFonts w:ascii="Palatino Linotype" w:hAnsi="Palatino Linotype" w:cs="Arial"/>
        </w:rPr>
        <w:cr/>
      </w:r>
      <w:r w:rsidR="00820B44">
        <w:rPr>
          <w:rFonts w:ascii="Palatino Linotype" w:hAnsi="Palatino Linotype" w:cs="Arial"/>
          <w:i/>
          <w:sz w:val="22"/>
        </w:rPr>
        <w:t>(…)</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A508AD">
        <w:rPr>
          <w:rFonts w:ascii="Palatino Linotype" w:hAnsi="Palatino Linotype" w:cs="Arial"/>
          <w:i/>
          <w:sz w:val="22"/>
        </w:rPr>
        <w:t>Artículo 42.-</w:t>
      </w:r>
      <w:r w:rsidRPr="00820B44">
        <w:rPr>
          <w:rFonts w:ascii="Palatino Linotype" w:hAnsi="Palatino Linotype" w:cs="Arial"/>
          <w:i/>
          <w:sz w:val="22"/>
        </w:rPr>
        <w:t xml:space="preserve"> El Consejo de Desarrollo Municipal, promoverá la participación</w:t>
      </w:r>
      <w:r w:rsidR="00A508AD">
        <w:rPr>
          <w:rFonts w:ascii="Palatino Linotype" w:hAnsi="Palatino Linotype" w:cs="Arial"/>
          <w:i/>
          <w:sz w:val="22"/>
        </w:rPr>
        <w:t xml:space="preserve"> </w:t>
      </w:r>
      <w:r w:rsidRPr="00820B44">
        <w:rPr>
          <w:rFonts w:ascii="Palatino Linotype" w:hAnsi="Palatino Linotype" w:cs="Arial"/>
          <w:i/>
          <w:sz w:val="22"/>
        </w:rPr>
        <w:t>ciudadana en las obras y servicios públicos; así como en los programas de servicio social voluntario.</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Artículo 43.- El Ayuntamiento podrá constituir comités para la vigilancia del uso adecuado del suelo, los cuales deberán estar vi</w:t>
      </w:r>
      <w:r w:rsidR="00820B44" w:rsidRPr="00820B44">
        <w:rPr>
          <w:rFonts w:ascii="Palatino Linotype" w:hAnsi="Palatino Linotype" w:cs="Arial"/>
          <w:i/>
          <w:sz w:val="22"/>
        </w:rPr>
        <w:t xml:space="preserve">nculados a la estructura de los </w:t>
      </w:r>
      <w:r w:rsidRPr="00820B44">
        <w:rPr>
          <w:rFonts w:ascii="Palatino Linotype" w:hAnsi="Palatino Linotype" w:cs="Arial"/>
          <w:i/>
          <w:sz w:val="22"/>
        </w:rPr>
        <w:t>Consejos de Participación Ciudadana, de las Autoridades Auxiliares y de la organizaciones de la comunidad; su carácter será estrictamente de consulta y apoyo a la Autoridad Municipal, siempre protegiendo los intereses de su comunidad.</w:t>
      </w:r>
    </w:p>
    <w:p w:rsidR="005703F1" w:rsidRPr="00820B44" w:rsidRDefault="005703F1" w:rsidP="00820B44">
      <w:pPr>
        <w:pStyle w:val="paragraph"/>
        <w:spacing w:after="240" w:line="276" w:lineRule="auto"/>
        <w:ind w:left="567" w:right="850"/>
        <w:jc w:val="center"/>
        <w:textAlignment w:val="baseline"/>
        <w:rPr>
          <w:rFonts w:ascii="Palatino Linotype" w:hAnsi="Palatino Linotype" w:cs="Arial"/>
          <w:b/>
          <w:i/>
          <w:sz w:val="22"/>
        </w:rPr>
      </w:pPr>
      <w:r w:rsidRPr="00820B44">
        <w:rPr>
          <w:rFonts w:ascii="Palatino Linotype" w:hAnsi="Palatino Linotype" w:cs="Arial"/>
          <w:b/>
          <w:i/>
          <w:sz w:val="22"/>
        </w:rPr>
        <w:t>CAPÍTULO IV</w:t>
      </w:r>
    </w:p>
    <w:p w:rsidR="005703F1" w:rsidRPr="00820B44" w:rsidRDefault="005703F1" w:rsidP="00820B44">
      <w:pPr>
        <w:pStyle w:val="paragraph"/>
        <w:spacing w:after="240" w:line="276" w:lineRule="auto"/>
        <w:ind w:left="567" w:right="850"/>
        <w:jc w:val="center"/>
        <w:textAlignment w:val="baseline"/>
        <w:rPr>
          <w:rFonts w:ascii="Palatino Linotype" w:hAnsi="Palatino Linotype" w:cs="Arial"/>
          <w:b/>
          <w:i/>
          <w:sz w:val="20"/>
        </w:rPr>
      </w:pPr>
      <w:r w:rsidRPr="00820B44">
        <w:rPr>
          <w:rFonts w:ascii="Palatino Linotype" w:hAnsi="Palatino Linotype" w:cs="Arial"/>
          <w:b/>
          <w:i/>
          <w:sz w:val="20"/>
        </w:rPr>
        <w:t>DE LA COMISIÓN D</w:t>
      </w:r>
      <w:r w:rsidR="00820B44" w:rsidRPr="00820B44">
        <w:rPr>
          <w:rFonts w:ascii="Palatino Linotype" w:hAnsi="Palatino Linotype" w:cs="Arial"/>
          <w:b/>
          <w:i/>
          <w:sz w:val="20"/>
        </w:rPr>
        <w:t xml:space="preserve">E PLANEACIÓN PARA EL DESARROLLO </w:t>
      </w:r>
      <w:r w:rsidRPr="00820B44">
        <w:rPr>
          <w:rFonts w:ascii="Palatino Linotype" w:hAnsi="Palatino Linotype" w:cs="Arial"/>
          <w:b/>
          <w:i/>
          <w:sz w:val="20"/>
        </w:rPr>
        <w:t>MUNICIPAL</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Artículo 44.- La Comisión de Planeación para el Desarrollo Municipal es un organismo auxiliar que coadyuva en el análisis y solución de problemas que afectan a la población.</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Artículo 45.- La Comisión de Planeación para el Desarrollo Municipal, estudiará, evaluará y propondrá soluciones a los problemas del Municipio, dependerá del</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Ayuntamiento y ejercerá las atribuciones que le confiera la Ley Orgánica Municipal y la Ley de Planeación del Estado de México y Municipios así como los ordenamientos legales aplicables.</w:t>
      </w:r>
    </w:p>
    <w:p w:rsidR="005703F1"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 xml:space="preserve">Artículo 46.- La Comisión de Planeación para el Desarrollo Municipal, contará con un mínimo de cinco integrantes, encabezados por quien designe el Ayuntamiento y podrá tener tantos como se juzgue conveniente, para el eficaz desempeño de sus funciones, los </w:t>
      </w:r>
      <w:r w:rsidRPr="00820B44">
        <w:rPr>
          <w:rFonts w:ascii="Palatino Linotype" w:hAnsi="Palatino Linotype" w:cs="Arial"/>
          <w:i/>
          <w:sz w:val="22"/>
        </w:rPr>
        <w:lastRenderedPageBreak/>
        <w:t>cuales durarán en su encargo el período constitucional municipal correspondiente, dicha comisión se coordinará con la Unidad de Información,</w:t>
      </w:r>
    </w:p>
    <w:p w:rsidR="007B5C0B" w:rsidRPr="00820B44" w:rsidRDefault="005703F1" w:rsidP="00820B44">
      <w:pPr>
        <w:pStyle w:val="paragraph"/>
        <w:spacing w:after="240" w:line="276" w:lineRule="auto"/>
        <w:ind w:left="567" w:right="850"/>
        <w:jc w:val="both"/>
        <w:textAlignment w:val="baseline"/>
        <w:rPr>
          <w:rFonts w:ascii="Palatino Linotype" w:hAnsi="Palatino Linotype" w:cs="Arial"/>
          <w:i/>
          <w:sz w:val="22"/>
        </w:rPr>
      </w:pPr>
      <w:r w:rsidRPr="00820B44">
        <w:rPr>
          <w:rFonts w:ascii="Palatino Linotype" w:hAnsi="Palatino Linotype" w:cs="Arial"/>
          <w:i/>
          <w:sz w:val="22"/>
        </w:rPr>
        <w:t>Planeación, Programación y Evaluación, con</w:t>
      </w:r>
      <w:r w:rsidR="00820B44">
        <w:rPr>
          <w:rFonts w:ascii="Palatino Linotype" w:hAnsi="Palatino Linotype" w:cs="Arial"/>
          <w:i/>
          <w:sz w:val="22"/>
        </w:rPr>
        <w:t xml:space="preserve"> el propósito de establecer los </w:t>
      </w:r>
      <w:r w:rsidRPr="00820B44">
        <w:rPr>
          <w:rFonts w:ascii="Palatino Linotype" w:hAnsi="Palatino Linotype" w:cs="Arial"/>
          <w:i/>
          <w:sz w:val="22"/>
        </w:rPr>
        <w:t>mecanismos de participación social e institucion</w:t>
      </w:r>
      <w:r w:rsidR="00820B44">
        <w:rPr>
          <w:rFonts w:ascii="Palatino Linotype" w:hAnsi="Palatino Linotype" w:cs="Arial"/>
          <w:i/>
          <w:sz w:val="22"/>
        </w:rPr>
        <w:t xml:space="preserve">al tendientes a la formulación, </w:t>
      </w:r>
      <w:r w:rsidRPr="00820B44">
        <w:rPr>
          <w:rFonts w:ascii="Palatino Linotype" w:hAnsi="Palatino Linotype" w:cs="Arial"/>
          <w:i/>
          <w:sz w:val="22"/>
        </w:rPr>
        <w:t>integración, aprobación, implementación y ev</w:t>
      </w:r>
      <w:r w:rsidR="00820B44">
        <w:rPr>
          <w:rFonts w:ascii="Palatino Linotype" w:hAnsi="Palatino Linotype" w:cs="Arial"/>
          <w:i/>
          <w:sz w:val="22"/>
        </w:rPr>
        <w:t xml:space="preserve">aluación del Plan de Desarrollo </w:t>
      </w:r>
      <w:r w:rsidRPr="00820B44">
        <w:rPr>
          <w:rFonts w:ascii="Palatino Linotype" w:hAnsi="Palatino Linotype" w:cs="Arial"/>
          <w:i/>
          <w:sz w:val="22"/>
        </w:rPr>
        <w:t>Municipal y sus indicadores.</w:t>
      </w:r>
    </w:p>
    <w:p w:rsidR="00F85465" w:rsidRDefault="00F85465" w:rsidP="00F85465">
      <w:pPr>
        <w:rPr>
          <w:highlight w:val="yellow"/>
        </w:rPr>
      </w:pPr>
    </w:p>
    <w:p w:rsidR="008A3A93" w:rsidRPr="007B12EA" w:rsidRDefault="008A3A93" w:rsidP="008A3A93">
      <w:pPr>
        <w:pStyle w:val="paragraph"/>
        <w:spacing w:before="0" w:beforeAutospacing="0" w:after="240" w:afterAutospacing="0" w:line="360" w:lineRule="auto"/>
        <w:ind w:right="-150"/>
        <w:jc w:val="both"/>
        <w:textAlignment w:val="baseline"/>
        <w:rPr>
          <w:rFonts w:ascii="Palatino Linotype" w:hAnsi="Palatino Linotype" w:cs="Arial"/>
          <w:highlight w:val="yellow"/>
        </w:rPr>
      </w:pPr>
      <w:r w:rsidRPr="00463E3B">
        <w:rPr>
          <w:rFonts w:ascii="Palatino Linotype" w:hAnsi="Palatino Linotype" w:cs="Arial"/>
        </w:rPr>
        <w:t xml:space="preserve">Atribuciones que tiene que realizar la </w:t>
      </w:r>
      <w:r w:rsidR="000C62B4" w:rsidRPr="00463E3B">
        <w:rPr>
          <w:rFonts w:ascii="Palatino Linotype" w:hAnsi="Palatino Linotype" w:cs="Arial"/>
        </w:rPr>
        <w:t>Dirección de Obras Públicas, las cuales conforme al Bando Municipal serian quienes conozcan</w:t>
      </w:r>
      <w:r w:rsidR="00050518" w:rsidRPr="00463E3B">
        <w:rPr>
          <w:rFonts w:ascii="Palatino Linotype" w:hAnsi="Palatino Linotype" w:cs="Arial"/>
        </w:rPr>
        <w:t xml:space="preserve"> y tengan atribuciones</w:t>
      </w:r>
      <w:r w:rsidRPr="00463E3B">
        <w:rPr>
          <w:rFonts w:ascii="Palatino Linotype" w:hAnsi="Palatino Linotype" w:cs="Arial"/>
        </w:rPr>
        <w:t xml:space="preserve">, que de manera enunciativa más no limitativa podrían ser </w:t>
      </w:r>
      <w:r w:rsidR="000859BB" w:rsidRPr="00463E3B">
        <w:rPr>
          <w:rFonts w:ascii="Palatino Linotype" w:hAnsi="Palatino Linotype" w:cs="Arial"/>
        </w:rPr>
        <w:t xml:space="preserve">reportes de obra, y contratos de obra suscritos, </w:t>
      </w:r>
      <w:r w:rsidRPr="00327011">
        <w:rPr>
          <w:rFonts w:ascii="Palatino Linotype" w:hAnsi="Palatino Linotype" w:cs="Arial"/>
        </w:rPr>
        <w:t>encargados de dar seguimiento específico a cada una de las atribuciones que le han sido conferidas a la dependencia que conforman.</w:t>
      </w:r>
    </w:p>
    <w:p w:rsidR="008A3A93" w:rsidRPr="00D844B6" w:rsidRDefault="008A3A93" w:rsidP="008A3A93">
      <w:pPr>
        <w:pStyle w:val="paragraph"/>
        <w:spacing w:before="0" w:beforeAutospacing="0" w:after="240" w:afterAutospacing="0" w:line="360" w:lineRule="auto"/>
        <w:ind w:right="-150"/>
        <w:jc w:val="both"/>
        <w:textAlignment w:val="baseline"/>
        <w:rPr>
          <w:rFonts w:ascii="Palatino Linotype" w:hAnsi="Palatino Linotype" w:cs="Arial"/>
          <w:highlight w:val="yellow"/>
        </w:rPr>
      </w:pPr>
      <w:r w:rsidRPr="00327011">
        <w:rPr>
          <w:rFonts w:ascii="Palatino Linotype" w:hAnsi="Palatino Linotype" w:cs="Arial"/>
        </w:rPr>
        <w:t>En ese senti</w:t>
      </w:r>
      <w:r w:rsidR="003A600D">
        <w:rPr>
          <w:rFonts w:ascii="Palatino Linotype" w:hAnsi="Palatino Linotype" w:cs="Arial"/>
        </w:rPr>
        <w:t>do, al referirnos al acta de instalación y aprobación de obras por el CODEMUN,</w:t>
      </w:r>
      <w:r w:rsidRPr="00327011">
        <w:rPr>
          <w:rFonts w:ascii="Palatino Linotype" w:hAnsi="Palatino Linotype" w:cs="Arial"/>
        </w:rPr>
        <w:t xml:space="preserve"> entendemos de acuerdo</w:t>
      </w:r>
      <w:r w:rsidR="003A600D">
        <w:rPr>
          <w:rFonts w:ascii="Palatino Linotype" w:hAnsi="Palatino Linotype" w:cs="Arial"/>
        </w:rPr>
        <w:t xml:space="preserve"> </w:t>
      </w:r>
      <w:r w:rsidRPr="00327011">
        <w:rPr>
          <w:rFonts w:ascii="Palatino Linotype" w:hAnsi="Palatino Linotype" w:cs="Arial"/>
        </w:rPr>
        <w:t>con</w:t>
      </w:r>
      <w:r w:rsidR="003A600D">
        <w:rPr>
          <w:rFonts w:ascii="Palatino Linotype" w:hAnsi="Palatino Linotype" w:cs="Arial"/>
        </w:rPr>
        <w:t xml:space="preserve"> la normatividad prevista</w:t>
      </w:r>
      <w:r w:rsidR="00EA75CB">
        <w:rPr>
          <w:rFonts w:ascii="Palatino Linotype" w:hAnsi="Palatino Linotype" w:cs="Arial"/>
        </w:rPr>
        <w:t>,</w:t>
      </w:r>
      <w:r w:rsidR="00EA75CB">
        <w:rPr>
          <w:rFonts w:ascii="Palatino Linotype" w:hAnsi="Palatino Linotype" w:cs="Arial"/>
          <w:highlight w:val="yellow"/>
        </w:rPr>
        <w:t xml:space="preserve"> se trata</w:t>
      </w:r>
      <w:r w:rsidRPr="003A600D">
        <w:rPr>
          <w:rFonts w:ascii="Palatino Linotype" w:hAnsi="Palatino Linotype" w:cs="Arial"/>
          <w:highlight w:val="yellow"/>
        </w:rPr>
        <w:t xml:space="preserve"> de una</w:t>
      </w:r>
      <w:r w:rsidR="00D844B6">
        <w:rPr>
          <w:rStyle w:val="Refdenotaalpie"/>
          <w:rFonts w:ascii="Palatino Linotype" w:hAnsi="Palatino Linotype" w:cs="Arial"/>
          <w:highlight w:val="yellow"/>
        </w:rPr>
        <w:t xml:space="preserve"> </w:t>
      </w:r>
      <w:r w:rsidR="00D844B6">
        <w:rPr>
          <w:rFonts w:ascii="Palatino Linotype" w:hAnsi="Palatino Linotype" w:cs="Arial"/>
          <w:highlight w:val="yellow"/>
        </w:rPr>
        <w:t>autoridad auxiliar con la cual cuenta el Ayuntamiento para el ejercicio de sus atribuciones</w:t>
      </w:r>
      <w:r w:rsidRPr="003A600D">
        <w:rPr>
          <w:rFonts w:ascii="Palatino Linotype" w:hAnsi="Palatino Linotype" w:cs="Arial"/>
          <w:highlight w:val="yellow"/>
        </w:rPr>
        <w:t>, por lo cual</w:t>
      </w:r>
      <w:r w:rsidR="00D844B6">
        <w:rPr>
          <w:rFonts w:ascii="Palatino Linotype" w:hAnsi="Palatino Linotype" w:cs="Arial"/>
          <w:highlight w:val="yellow"/>
        </w:rPr>
        <w:t xml:space="preserve"> es dable or</w:t>
      </w:r>
      <w:r w:rsidR="00DC6BC8">
        <w:rPr>
          <w:rFonts w:ascii="Palatino Linotype" w:hAnsi="Palatino Linotype" w:cs="Arial"/>
          <w:highlight w:val="yellow"/>
        </w:rPr>
        <w:t>denar el documento donde conste lo peticionado por la particular</w:t>
      </w:r>
      <w:r w:rsidRPr="003A600D">
        <w:rPr>
          <w:rFonts w:ascii="Palatino Linotype" w:hAnsi="Palatino Linotype" w:cs="Arial"/>
          <w:highlight w:val="yellow"/>
        </w:rPr>
        <w:t>.</w:t>
      </w:r>
    </w:p>
    <w:p w:rsidR="003A600D" w:rsidRDefault="00DC6BC8" w:rsidP="003A600D">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Ahora bien, toda vez que el bando municipal contempla </w:t>
      </w:r>
      <w:r w:rsidR="004560B1">
        <w:rPr>
          <w:rFonts w:ascii="Palatino Linotype" w:eastAsia="Calibri" w:hAnsi="Palatino Linotype" w:cs="Arial"/>
          <w:sz w:val="24"/>
        </w:rPr>
        <w:t xml:space="preserve">a las Autoridades Municipales en materia de obra pública, se entiende que este ente tiene atribuciones para poner a disposición los documentos donde </w:t>
      </w:r>
      <w:r w:rsidR="00EE18AA">
        <w:rPr>
          <w:rFonts w:ascii="Palatino Linotype" w:eastAsia="Calibri" w:hAnsi="Palatino Linotype" w:cs="Arial"/>
          <w:sz w:val="24"/>
        </w:rPr>
        <w:t>conste el reporte de obras y contratos de obra suscritos por el Municipio.</w:t>
      </w:r>
    </w:p>
    <w:p w:rsidR="00EE18AA" w:rsidRPr="008A5D92" w:rsidRDefault="00EE18AA" w:rsidP="00EE18AA">
      <w:pPr>
        <w:spacing w:before="240" w:after="240" w:line="360" w:lineRule="auto"/>
        <w:jc w:val="both"/>
        <w:rPr>
          <w:rFonts w:ascii="Palatino Linotype" w:hAnsi="Palatino Linotype" w:cs="Arial"/>
          <w:sz w:val="24"/>
        </w:rPr>
      </w:pPr>
      <w:r>
        <w:rPr>
          <w:rFonts w:ascii="Palatino Linotype" w:hAnsi="Palatino Linotype" w:cs="Arial"/>
          <w:sz w:val="24"/>
        </w:rPr>
        <w:t>C</w:t>
      </w:r>
      <w:r w:rsidRPr="008A5D92">
        <w:rPr>
          <w:rFonts w:ascii="Palatino Linotype" w:hAnsi="Palatino Linotype" w:cs="Arial"/>
          <w:sz w:val="24"/>
        </w:rPr>
        <w:t xml:space="preserve">abe resaltar que de acuerdo a lo dispuesto en las fracciones XXV y XXIX, del artículo 92, de la Ley de Transparencia y Acceso a la Información Pública de la entidad, la </w:t>
      </w:r>
      <w:r w:rsidRPr="008A5D92">
        <w:rPr>
          <w:rFonts w:ascii="Palatino Linotype" w:hAnsi="Palatino Linotype" w:cs="Arial"/>
          <w:sz w:val="24"/>
        </w:rPr>
        <w:lastRenderedPageBreak/>
        <w:t xml:space="preserve">información peticionada constituye una obligación en materia de transparencia a cargo del </w:t>
      </w:r>
      <w:r w:rsidRPr="008A5D92">
        <w:rPr>
          <w:rFonts w:ascii="Palatino Linotype" w:hAnsi="Palatino Linotype" w:cs="Arial"/>
          <w:b/>
          <w:sz w:val="24"/>
        </w:rPr>
        <w:t>Sujeto Obligado</w:t>
      </w:r>
      <w:r w:rsidRPr="008A5D92">
        <w:rPr>
          <w:rFonts w:ascii="Palatino Linotype" w:hAnsi="Palatino Linotype" w:cs="Arial"/>
          <w:sz w:val="24"/>
        </w:rPr>
        <w:t xml:space="preserve">, quien tiene el deber de generar y publicar lo siguiente: </w:t>
      </w:r>
    </w:p>
    <w:p w:rsidR="00EE18AA" w:rsidRPr="008A5D92" w:rsidRDefault="00EE18AA" w:rsidP="00EE18AA">
      <w:pPr>
        <w:autoSpaceDE w:val="0"/>
        <w:autoSpaceDN w:val="0"/>
        <w:adjustRightInd w:val="0"/>
        <w:ind w:left="851"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Cs/>
          <w:i/>
          <w:lang w:eastAsia="es-MX"/>
        </w:rPr>
        <w:t>“</w:t>
      </w:r>
      <w:r w:rsidRPr="008A5D92">
        <w:rPr>
          <w:rFonts w:ascii="Palatino Linotype" w:eastAsia="MS Mincho" w:hAnsi="Palatino Linotype" w:cs="Bookman Old Style,Bold"/>
          <w:b/>
          <w:bCs/>
          <w:i/>
          <w:lang w:eastAsia="es-MX"/>
        </w:rPr>
        <w:t xml:space="preserve">Artículo 92. </w:t>
      </w:r>
      <w:r w:rsidRPr="008A5D92">
        <w:rPr>
          <w:rFonts w:ascii="Palatino Linotype" w:eastAsia="MS Mincho" w:hAnsi="Palatino Linotype" w:cs="Bookman Old Style"/>
          <w:i/>
          <w:u w:val="single"/>
          <w:lang w:eastAsia="es-MX"/>
        </w:rPr>
        <w:t>Los sujetos obligados deberán poner a disposición del público</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de manera permanente</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y</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actualizada</w:t>
      </w:r>
      <w:r w:rsidRPr="008A5D92">
        <w:rPr>
          <w:rFonts w:ascii="Palatino Linotype" w:eastAsia="MS Mincho" w:hAnsi="Palatino Linotype" w:cs="Bookman Old Style"/>
          <w:i/>
          <w:lang w:eastAsia="es-MX"/>
        </w:rPr>
        <w:t xml:space="preserve"> de forma sencilla, precisa y entendible, en los respectivos medios electrónicos, </w:t>
      </w:r>
      <w:r w:rsidRPr="008A5D92">
        <w:rPr>
          <w:rFonts w:ascii="Palatino Linotype" w:eastAsia="MS Mincho" w:hAnsi="Palatino Linotype" w:cs="Bookman Old Style"/>
          <w:i/>
          <w:u w:val="single"/>
          <w:lang w:eastAsia="es-MX"/>
        </w:rPr>
        <w:t>de acuerdo con sus facultades, atribuciones, funciones u objeto social</w:t>
      </w:r>
      <w:r w:rsidRPr="008A5D92">
        <w:rPr>
          <w:rFonts w:ascii="Palatino Linotype" w:eastAsia="MS Mincho" w:hAnsi="Palatino Linotype" w:cs="Bookman Old Style"/>
          <w:i/>
          <w:lang w:eastAsia="es-MX"/>
        </w:rPr>
        <w:t xml:space="preserve">, según corresponda, </w:t>
      </w:r>
      <w:r w:rsidRPr="008A5D92">
        <w:rPr>
          <w:rFonts w:ascii="Palatino Linotype" w:eastAsia="MS Mincho" w:hAnsi="Palatino Linotype" w:cs="Bookman Old Style"/>
          <w:i/>
          <w:u w:val="single"/>
          <w:lang w:eastAsia="es-MX"/>
        </w:rPr>
        <w:t>la información, por lo menos, de los temas, documentos y políticas que a continuación se señalan</w:t>
      </w:r>
      <w:r w:rsidRPr="008A5D92">
        <w:rPr>
          <w:rFonts w:ascii="Palatino Linotype" w:eastAsia="MS Mincho" w:hAnsi="Palatino Linotype" w:cs="Bookman Old Style"/>
          <w:i/>
          <w:lang w:eastAsia="es-MX"/>
        </w:rPr>
        <w:t>:</w:t>
      </w:r>
    </w:p>
    <w:p w:rsidR="00EE18AA" w:rsidRPr="008A5D92" w:rsidRDefault="00EE18AA" w:rsidP="00EE18AA">
      <w:pPr>
        <w:autoSpaceDE w:val="0"/>
        <w:autoSpaceDN w:val="0"/>
        <w:adjustRightInd w:val="0"/>
        <w:ind w:left="851"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Cs/>
          <w:i/>
          <w:lang w:eastAsia="es-MX"/>
        </w:rPr>
        <w:t>(…)</w:t>
      </w:r>
    </w:p>
    <w:p w:rsidR="00EE18AA" w:rsidRPr="008A5D92" w:rsidRDefault="00EE18AA" w:rsidP="00EE18AA">
      <w:pPr>
        <w:autoSpaceDE w:val="0"/>
        <w:autoSpaceDN w:val="0"/>
        <w:adjustRightInd w:val="0"/>
        <w:ind w:left="851" w:right="900"/>
        <w:jc w:val="both"/>
        <w:rPr>
          <w:rFonts w:ascii="Palatino Linotype" w:hAnsi="Palatino Linotype"/>
          <w:i/>
        </w:rPr>
      </w:pPr>
      <w:r w:rsidRPr="008A5D92">
        <w:rPr>
          <w:rFonts w:ascii="Palatino Linotype" w:eastAsia="MS Mincho" w:hAnsi="Palatino Linotype" w:cs="Bookman Old Style,Bold"/>
          <w:b/>
          <w:bCs/>
          <w:i/>
          <w:lang w:eastAsia="es-MX"/>
        </w:rPr>
        <w:t xml:space="preserve">XXV. </w:t>
      </w:r>
      <w:r w:rsidRPr="008A5D92">
        <w:rPr>
          <w:rFonts w:ascii="Palatino Linotype" w:eastAsia="MS Mincho" w:hAnsi="Palatino Linotype" w:cs="Bookman Old Style"/>
          <w:i/>
          <w:lang w:eastAsia="es-MX"/>
        </w:rPr>
        <w:t xml:space="preserve">La </w:t>
      </w:r>
      <w:r w:rsidRPr="008A5D92">
        <w:rPr>
          <w:rFonts w:ascii="Palatino Linotype" w:eastAsia="MS Mincho" w:hAnsi="Palatino Linotype" w:cs="Bookman Old Style"/>
          <w:i/>
          <w:u w:val="single"/>
          <w:lang w:eastAsia="es-MX"/>
        </w:rPr>
        <w:t>información financiera sobre</w:t>
      </w:r>
      <w:r w:rsidRPr="008A5D92">
        <w:rPr>
          <w:rFonts w:ascii="Palatino Linotype" w:eastAsia="MS Mincho" w:hAnsi="Palatino Linotype" w:cs="Bookman Old Style"/>
          <w:i/>
          <w:lang w:eastAsia="es-MX"/>
        </w:rPr>
        <w:t xml:space="preserve"> el </w:t>
      </w:r>
      <w:r w:rsidRPr="008A5D92">
        <w:rPr>
          <w:rFonts w:ascii="Palatino Linotype" w:eastAsia="MS Mincho" w:hAnsi="Palatino Linotype" w:cs="Bookman Old Style"/>
          <w:i/>
          <w:u w:val="single"/>
          <w:lang w:eastAsia="es-MX"/>
        </w:rPr>
        <w:t>presupuesto asignado, así como los informes del ejercicio trimestral del gasto</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en términos de la Ley General de Contabilidad Gubernamental y demás disposiciones jurídicas aplicables</w:t>
      </w:r>
      <w:r w:rsidRPr="008A5D92">
        <w:rPr>
          <w:rFonts w:ascii="Palatino Linotype" w:eastAsia="MS Mincho" w:hAnsi="Palatino Linotype" w:cs="Bookman Old Style"/>
          <w:i/>
          <w:lang w:eastAsia="es-MX"/>
        </w:rPr>
        <w:t>;</w:t>
      </w:r>
    </w:p>
    <w:p w:rsidR="00EE18AA" w:rsidRPr="008A5D92" w:rsidRDefault="00EE18AA" w:rsidP="00EE18AA">
      <w:pPr>
        <w:spacing w:line="360" w:lineRule="auto"/>
        <w:ind w:left="851" w:right="900"/>
        <w:jc w:val="both"/>
        <w:rPr>
          <w:rFonts w:ascii="Palatino Linotype" w:hAnsi="Palatino Linotype"/>
        </w:rPr>
      </w:pPr>
      <w:r w:rsidRPr="008A5D92">
        <w:rPr>
          <w:rFonts w:ascii="Palatino Linotype" w:hAnsi="Palatino Linotype"/>
        </w:rPr>
        <w:t>…</w:t>
      </w:r>
    </w:p>
    <w:p w:rsidR="00EE18AA" w:rsidRPr="008A5D92" w:rsidRDefault="00EE18AA" w:rsidP="00EE18AA">
      <w:pPr>
        <w:ind w:left="851" w:right="900"/>
        <w:jc w:val="both"/>
        <w:rPr>
          <w:rFonts w:ascii="Palatino Linotype" w:hAnsi="Palatino Linotype"/>
          <w:i/>
        </w:rPr>
      </w:pPr>
      <w:r w:rsidRPr="008A5D92">
        <w:rPr>
          <w:rFonts w:ascii="Palatino Linotype" w:hAnsi="Palatino Linotype"/>
          <w:b/>
          <w:i/>
        </w:rPr>
        <w:t>XXIX.</w:t>
      </w:r>
      <w:r w:rsidRPr="008A5D92">
        <w:rPr>
          <w:rFonts w:ascii="Palatino Linotype" w:hAnsi="Palatino Linotype"/>
          <w:i/>
        </w:rPr>
        <w:t xml:space="preserve"> </w:t>
      </w:r>
      <w:r w:rsidRPr="008A5D92">
        <w:rPr>
          <w:rFonts w:ascii="Palatino Linotype" w:hAnsi="Palatino Linotype"/>
          <w:i/>
          <w:u w:val="single"/>
        </w:rPr>
        <w:t>La información sobre</w:t>
      </w:r>
      <w:r w:rsidRPr="008A5D92">
        <w:rPr>
          <w:rFonts w:ascii="Palatino Linotype" w:hAnsi="Palatino Linotype"/>
          <w:i/>
        </w:rPr>
        <w:t xml:space="preserve"> los procesos y resultados sobre </w:t>
      </w:r>
      <w:r w:rsidRPr="008A5D92">
        <w:rPr>
          <w:rFonts w:ascii="Palatino Linotype" w:hAnsi="Palatino Linotype"/>
          <w:i/>
          <w:u w:val="single"/>
        </w:rPr>
        <w:t>procedimientos de adjudicación directa</w:t>
      </w:r>
      <w:r w:rsidRPr="008A5D92">
        <w:rPr>
          <w:rFonts w:ascii="Palatino Linotype" w:hAnsi="Palatino Linotype"/>
          <w:i/>
        </w:rPr>
        <w:t xml:space="preserve">, </w:t>
      </w:r>
      <w:r w:rsidRPr="008A5D92">
        <w:rPr>
          <w:rFonts w:ascii="Palatino Linotype" w:hAnsi="Palatino Linotype"/>
          <w:i/>
          <w:u w:val="single"/>
        </w:rPr>
        <w:t>invitación restringida</w:t>
      </w:r>
      <w:r w:rsidRPr="008A5D92">
        <w:rPr>
          <w:rFonts w:ascii="Palatino Linotype" w:hAnsi="Palatino Linotype"/>
          <w:i/>
        </w:rPr>
        <w:t xml:space="preserve"> y </w:t>
      </w:r>
      <w:r w:rsidRPr="008A5D92">
        <w:rPr>
          <w:rFonts w:ascii="Palatino Linotype" w:hAnsi="Palatino Linotype"/>
          <w:i/>
          <w:u w:val="single"/>
        </w:rPr>
        <w:t>licitación de cualquier naturaleza</w:t>
      </w:r>
      <w:r w:rsidRPr="008A5D92">
        <w:rPr>
          <w:rFonts w:ascii="Palatino Linotype" w:hAnsi="Palatino Linotype"/>
          <w:i/>
        </w:rPr>
        <w:t xml:space="preserve">, </w:t>
      </w:r>
      <w:r w:rsidRPr="008A5D92">
        <w:rPr>
          <w:rFonts w:ascii="Palatino Linotype" w:hAnsi="Palatino Linotype"/>
          <w:i/>
          <w:u w:val="single"/>
        </w:rPr>
        <w:t>incluyendo la versión pública</w:t>
      </w:r>
      <w:r w:rsidRPr="008A5D92">
        <w:rPr>
          <w:rFonts w:ascii="Palatino Linotype" w:hAnsi="Palatino Linotype"/>
          <w:i/>
        </w:rPr>
        <w:t xml:space="preserve"> del expediente respectivo </w:t>
      </w:r>
      <w:r w:rsidRPr="008A5D92">
        <w:rPr>
          <w:rFonts w:ascii="Palatino Linotype" w:hAnsi="Palatino Linotype"/>
          <w:i/>
          <w:u w:val="single"/>
        </w:rPr>
        <w:t>y</w:t>
      </w:r>
      <w:r w:rsidRPr="008A5D92">
        <w:rPr>
          <w:rFonts w:ascii="Palatino Linotype" w:hAnsi="Palatino Linotype"/>
          <w:i/>
        </w:rPr>
        <w:t xml:space="preserve"> </w:t>
      </w:r>
      <w:r w:rsidRPr="008A5D92">
        <w:rPr>
          <w:rFonts w:ascii="Palatino Linotype" w:hAnsi="Palatino Linotype"/>
          <w:i/>
          <w:u w:val="single"/>
        </w:rPr>
        <w:t>de los contratos celebrados</w:t>
      </w:r>
      <w:r w:rsidRPr="008A5D92">
        <w:rPr>
          <w:rFonts w:ascii="Palatino Linotype" w:hAnsi="Palatino Linotype"/>
          <w:i/>
        </w:rPr>
        <w:t xml:space="preserve">, que deberán contener, por lo menos, lo siguiente: </w:t>
      </w:r>
    </w:p>
    <w:p w:rsidR="00EE18AA" w:rsidRPr="008A5D92" w:rsidRDefault="00EE18AA" w:rsidP="00EE18AA">
      <w:pPr>
        <w:ind w:left="851" w:right="900"/>
        <w:jc w:val="both"/>
        <w:rPr>
          <w:rFonts w:ascii="Palatino Linotype" w:hAnsi="Palatino Linotype"/>
          <w:i/>
        </w:rPr>
      </w:pPr>
    </w:p>
    <w:p w:rsidR="00EE18AA" w:rsidRPr="008A5D92" w:rsidRDefault="00EE18AA" w:rsidP="00EE18AA">
      <w:pPr>
        <w:autoSpaceDE w:val="0"/>
        <w:autoSpaceDN w:val="0"/>
        <w:adjustRightInd w:val="0"/>
        <w:ind w:left="851"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a) </w:t>
      </w:r>
      <w:r w:rsidRPr="008A5D92">
        <w:rPr>
          <w:rFonts w:ascii="Palatino Linotype" w:eastAsia="MS Mincho" w:hAnsi="Palatino Linotype" w:cs="Bookman Old Style"/>
          <w:b/>
          <w:i/>
          <w:lang w:eastAsia="es-MX"/>
        </w:rPr>
        <w:t>De licitaciones públicas o procedimientos de invitación restringida</w:t>
      </w:r>
      <w:r w:rsidRPr="008A5D92">
        <w:rPr>
          <w:rFonts w:ascii="Palatino Linotype" w:eastAsia="MS Mincho" w:hAnsi="Palatino Linotype" w:cs="Bookman Old Style"/>
          <w:i/>
          <w:lang w:eastAsia="es-MX"/>
        </w:rPr>
        <w:t>:</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 </w:t>
      </w:r>
      <w:r w:rsidRPr="008A5D92">
        <w:rPr>
          <w:rFonts w:ascii="Palatino Linotype" w:eastAsia="MS Mincho" w:hAnsi="Palatino Linotype" w:cs="Bookman Old Style"/>
          <w:i/>
          <w:lang w:eastAsia="es-MX"/>
        </w:rPr>
        <w:t>La convocatoria o invitación emitida, así como los fundamentos legales aplicados para llevarla a cabo;</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2) </w:t>
      </w:r>
      <w:r w:rsidRPr="008A5D92">
        <w:rPr>
          <w:rFonts w:ascii="Palatino Linotype" w:eastAsia="MS Mincho" w:hAnsi="Palatino Linotype" w:cs="Bookman Old Style"/>
          <w:i/>
          <w:lang w:eastAsia="es-MX"/>
        </w:rPr>
        <w:t>Los nombres de los participantes o invitados;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3) </w:t>
      </w:r>
      <w:r w:rsidRPr="008A5D92">
        <w:rPr>
          <w:rFonts w:ascii="Palatino Linotype" w:eastAsia="MS Mincho" w:hAnsi="Palatino Linotype" w:cs="Bookman Old Style"/>
          <w:i/>
          <w:lang w:eastAsia="es-MX"/>
        </w:rPr>
        <w:t>El nombre del ganador y las razones que lo justifican;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4) </w:t>
      </w:r>
      <w:r w:rsidRPr="008A5D92">
        <w:rPr>
          <w:rFonts w:ascii="Palatino Linotype" w:eastAsia="MS Mincho" w:hAnsi="Palatino Linotype" w:cs="Bookman Old Style"/>
          <w:i/>
          <w:lang w:eastAsia="es-MX"/>
        </w:rPr>
        <w:t>El área solicitante y la responsable de su ejecución;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5) </w:t>
      </w:r>
      <w:r w:rsidRPr="008A5D92">
        <w:rPr>
          <w:rFonts w:ascii="Palatino Linotype" w:eastAsia="MS Mincho" w:hAnsi="Palatino Linotype" w:cs="Bookman Old Style"/>
          <w:i/>
          <w:lang w:eastAsia="es-MX"/>
        </w:rPr>
        <w:t>Las convocatorias e invitaciones emitidas;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6) </w:t>
      </w:r>
      <w:r w:rsidRPr="008A5D92">
        <w:rPr>
          <w:rFonts w:ascii="Palatino Linotype" w:eastAsia="MS Mincho" w:hAnsi="Palatino Linotype" w:cs="Bookman Old Style"/>
          <w:i/>
          <w:lang w:eastAsia="es-MX"/>
        </w:rPr>
        <w:t>Los dictámenes y fallo de adjudicación;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7) </w:t>
      </w:r>
      <w:r w:rsidRPr="008A5D92">
        <w:rPr>
          <w:rFonts w:ascii="Palatino Linotype" w:eastAsia="MS Mincho" w:hAnsi="Palatino Linotype" w:cs="Bookman Old Style"/>
          <w:i/>
          <w:u w:val="single"/>
          <w:lang w:eastAsia="es-MX"/>
        </w:rPr>
        <w:t>El contrato</w:t>
      </w:r>
      <w:r w:rsidRPr="008A5D92">
        <w:rPr>
          <w:rFonts w:ascii="Palatino Linotype" w:eastAsia="MS Mincho" w:hAnsi="Palatino Linotype" w:cs="Bookman Old Style"/>
          <w:i/>
          <w:lang w:eastAsia="es-MX"/>
        </w:rPr>
        <w:t xml:space="preserve"> y, </w:t>
      </w:r>
      <w:r w:rsidRPr="008A5D92">
        <w:rPr>
          <w:rFonts w:ascii="Palatino Linotype" w:eastAsia="MS Mincho" w:hAnsi="Palatino Linotype" w:cs="Bookman Old Style"/>
          <w:i/>
          <w:u w:val="single"/>
          <w:lang w:eastAsia="es-MX"/>
        </w:rPr>
        <w:t>en su caso</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sus anexos</w:t>
      </w:r>
      <w:r w:rsidRPr="008A5D92">
        <w:rPr>
          <w:rFonts w:ascii="Palatino Linotype" w:eastAsia="MS Mincho" w:hAnsi="Palatino Linotype" w:cs="Bookman Old Style"/>
          <w:i/>
          <w:lang w:eastAsia="es-MX"/>
        </w:rPr>
        <w:t>;</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lastRenderedPageBreak/>
        <w:t xml:space="preserve">8) </w:t>
      </w:r>
      <w:r w:rsidRPr="008A5D92">
        <w:rPr>
          <w:rFonts w:ascii="Palatino Linotype" w:eastAsia="MS Mincho" w:hAnsi="Palatino Linotype" w:cs="Bookman Old Style"/>
          <w:i/>
          <w:lang w:eastAsia="es-MX"/>
        </w:rPr>
        <w:t>Los mecanismos de vigilancia y supervisión, incluyendo en su caso, los estudios de impacto urbano y ambiental, según corresponda;</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9) </w:t>
      </w:r>
      <w:r w:rsidRPr="008A5D92">
        <w:rPr>
          <w:rFonts w:ascii="Palatino Linotype" w:eastAsia="MS Mincho" w:hAnsi="Palatino Linotype" w:cs="Bookman Old Style"/>
          <w:i/>
          <w:lang w:eastAsia="es-MX"/>
        </w:rPr>
        <w:t>La partida presupuestal, de conformidad con el clasificador por objeto del gasto, en el caso de ser aplicable;</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10) </w:t>
      </w:r>
      <w:r w:rsidRPr="008A5D92">
        <w:rPr>
          <w:rFonts w:ascii="Palatino Linotype" w:eastAsia="MS Mincho" w:hAnsi="Palatino Linotype" w:cs="Bookman Old Style"/>
          <w:i/>
          <w:lang w:eastAsia="es-MX"/>
        </w:rPr>
        <w:t>Origen de los recursos especificando si son federales, estatales o municipales, así como el tipo de fondo de participación o aportación respectiva;</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11) </w:t>
      </w:r>
      <w:r w:rsidRPr="008A5D92">
        <w:rPr>
          <w:rFonts w:ascii="Palatino Linotype" w:eastAsia="MS Mincho" w:hAnsi="Palatino Linotype" w:cs="Bookman Old Style"/>
          <w:i/>
          <w:lang w:eastAsia="es-MX"/>
        </w:rPr>
        <w:t>Los convenios modificatorios que, en su caso, sean firmados, precisando el objeto y la fecha de celebración;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12) </w:t>
      </w:r>
      <w:r w:rsidRPr="008A5D92">
        <w:rPr>
          <w:rFonts w:ascii="Palatino Linotype" w:eastAsia="MS Mincho" w:hAnsi="Palatino Linotype" w:cs="Bookman Old Style"/>
          <w:i/>
          <w:lang w:eastAsia="es-MX"/>
        </w:rPr>
        <w:t>Los informes de avance físico y financiero sobre las obras o servicios contratados;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13) </w:t>
      </w:r>
      <w:r w:rsidRPr="008A5D92">
        <w:rPr>
          <w:rFonts w:ascii="Palatino Linotype" w:eastAsia="MS Mincho" w:hAnsi="Palatino Linotype" w:cs="Bookman Old Style"/>
          <w:i/>
          <w:lang w:eastAsia="es-MX"/>
        </w:rPr>
        <w:t>El convenio de terminación; y</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14) </w:t>
      </w:r>
      <w:r w:rsidRPr="008A5D92">
        <w:rPr>
          <w:rFonts w:ascii="Palatino Linotype" w:eastAsia="MS Mincho" w:hAnsi="Palatino Linotype" w:cs="Bookman Old Style"/>
          <w:i/>
          <w:lang w:eastAsia="es-MX"/>
        </w:rPr>
        <w:t>El finiquito.</w:t>
      </w:r>
    </w:p>
    <w:p w:rsidR="00EE18AA" w:rsidRPr="008A5D92" w:rsidRDefault="00EE18AA" w:rsidP="00EE18AA">
      <w:pPr>
        <w:pStyle w:val="Sinespaciado"/>
        <w:rPr>
          <w:rFonts w:eastAsia="MS Mincho"/>
        </w:rPr>
      </w:pPr>
    </w:p>
    <w:p w:rsidR="00EE18AA" w:rsidRPr="008A5D92" w:rsidRDefault="00EE18AA" w:rsidP="00EE18AA">
      <w:pPr>
        <w:autoSpaceDE w:val="0"/>
        <w:autoSpaceDN w:val="0"/>
        <w:adjustRightInd w:val="0"/>
        <w:ind w:left="851"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b) </w:t>
      </w:r>
      <w:r w:rsidRPr="008A5D92">
        <w:rPr>
          <w:rFonts w:ascii="Palatino Linotype" w:eastAsia="MS Mincho" w:hAnsi="Palatino Linotype" w:cs="Bookman Old Style"/>
          <w:b/>
          <w:i/>
          <w:lang w:eastAsia="es-MX"/>
        </w:rPr>
        <w:t>De las adjudicaciones directas: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 </w:t>
      </w:r>
      <w:r w:rsidRPr="008A5D92">
        <w:rPr>
          <w:rFonts w:ascii="Palatino Linotype" w:eastAsia="MS Mincho" w:hAnsi="Palatino Linotype" w:cs="Bookman Old Style"/>
          <w:i/>
          <w:lang w:eastAsia="es-MX"/>
        </w:rPr>
        <w:t>La propuesta enviada por el participante;</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2) </w:t>
      </w:r>
      <w:r w:rsidRPr="008A5D92">
        <w:rPr>
          <w:rFonts w:ascii="Palatino Linotype" w:eastAsia="MS Mincho" w:hAnsi="Palatino Linotype" w:cs="Bookman Old Style"/>
          <w:i/>
          <w:lang w:eastAsia="es-MX"/>
        </w:rPr>
        <w:t>Los motivos y fundamentos legales aplicados para llevarla a cabo;</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3) </w:t>
      </w:r>
      <w:r w:rsidRPr="008A5D92">
        <w:rPr>
          <w:rFonts w:ascii="Palatino Linotype" w:eastAsia="MS Mincho" w:hAnsi="Palatino Linotype" w:cs="Bookman Old Style"/>
          <w:i/>
          <w:lang w:eastAsia="es-MX"/>
        </w:rPr>
        <w:t>La autorización del ejercicio de la opción;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4) </w:t>
      </w:r>
      <w:r w:rsidRPr="008A5D92">
        <w:rPr>
          <w:rFonts w:ascii="Palatino Linotype" w:eastAsia="MS Mincho" w:hAnsi="Palatino Linotype" w:cs="Bookman Old Style"/>
          <w:i/>
          <w:lang w:eastAsia="es-MX"/>
        </w:rPr>
        <w:t>En su caso, las cotizaciones consideradas, especificando los nombres de los proveedores y sus montos;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5) </w:t>
      </w:r>
      <w:r w:rsidRPr="008A5D92">
        <w:rPr>
          <w:rFonts w:ascii="Palatino Linotype" w:eastAsia="MS Mincho" w:hAnsi="Palatino Linotype" w:cs="Bookman Old Style"/>
          <w:i/>
          <w:lang w:eastAsia="es-MX"/>
        </w:rPr>
        <w:t>El nombre de la persona física o jurídica colectiva adjudicada;</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6) </w:t>
      </w:r>
      <w:r w:rsidRPr="008A5D92">
        <w:rPr>
          <w:rFonts w:ascii="Palatino Linotype" w:eastAsia="MS Mincho" w:hAnsi="Palatino Linotype" w:cs="Bookman Old Style"/>
          <w:i/>
          <w:lang w:eastAsia="es-MX"/>
        </w:rPr>
        <w:t>La unidad administrativa solicitante y la responsable de su ejecución;</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7) </w:t>
      </w:r>
      <w:r w:rsidRPr="008A5D92">
        <w:rPr>
          <w:rFonts w:ascii="Palatino Linotype" w:eastAsia="MS Mincho" w:hAnsi="Palatino Linotype" w:cs="Bookman Old Style"/>
          <w:i/>
          <w:lang w:eastAsia="es-MX"/>
        </w:rPr>
        <w:t xml:space="preserve">El </w:t>
      </w:r>
      <w:r w:rsidRPr="008A5D92">
        <w:rPr>
          <w:rFonts w:ascii="Palatino Linotype" w:eastAsia="MS Mincho" w:hAnsi="Palatino Linotype" w:cs="Bookman Old Style"/>
          <w:i/>
          <w:u w:val="single"/>
          <w:lang w:eastAsia="es-MX"/>
        </w:rPr>
        <w:t>número</w:t>
      </w:r>
      <w:r w:rsidRPr="008A5D92">
        <w:rPr>
          <w:rFonts w:ascii="Palatino Linotype" w:eastAsia="MS Mincho" w:hAnsi="Palatino Linotype" w:cs="Bookman Old Style"/>
          <w:i/>
          <w:lang w:eastAsia="es-MX"/>
        </w:rPr>
        <w:t xml:space="preserve">, </w:t>
      </w:r>
      <w:r w:rsidRPr="008A5D92">
        <w:rPr>
          <w:rFonts w:ascii="Palatino Linotype" w:eastAsia="MS Mincho" w:hAnsi="Palatino Linotype" w:cs="Bookman Old Style"/>
          <w:i/>
          <w:u w:val="single"/>
          <w:lang w:eastAsia="es-MX"/>
        </w:rPr>
        <w:t>fecha</w:t>
      </w:r>
      <w:r w:rsidRPr="008A5D92">
        <w:rPr>
          <w:rFonts w:ascii="Palatino Linotype" w:eastAsia="MS Mincho" w:hAnsi="Palatino Linotype" w:cs="Bookman Old Style"/>
          <w:i/>
          <w:lang w:eastAsia="es-MX"/>
        </w:rPr>
        <w:t xml:space="preserve">, el </w:t>
      </w:r>
      <w:r w:rsidRPr="008A5D92">
        <w:rPr>
          <w:rFonts w:ascii="Palatino Linotype" w:eastAsia="MS Mincho" w:hAnsi="Palatino Linotype" w:cs="Bookman Old Style"/>
          <w:i/>
          <w:u w:val="single"/>
          <w:lang w:eastAsia="es-MX"/>
        </w:rPr>
        <w:t>monto del contrato</w:t>
      </w:r>
      <w:r w:rsidRPr="008A5D92">
        <w:rPr>
          <w:rFonts w:ascii="Palatino Linotype" w:eastAsia="MS Mincho" w:hAnsi="Palatino Linotype" w:cs="Bookman Old Style"/>
          <w:i/>
          <w:lang w:eastAsia="es-MX"/>
        </w:rPr>
        <w:t xml:space="preserve"> y el plazo de entrega o de ejecución de los servicios u obra;</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8) </w:t>
      </w:r>
      <w:r w:rsidRPr="008A5D92">
        <w:rPr>
          <w:rFonts w:ascii="Palatino Linotype" w:eastAsia="MS Mincho" w:hAnsi="Palatino Linotype" w:cs="Bookman Old Style"/>
          <w:i/>
          <w:lang w:eastAsia="es-MX"/>
        </w:rPr>
        <w:t>Los mecanismos de vigilancia y supervisión, incluyendo, en su caso, los estudios de impacto urbano y ambiental, según corresponda;</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9)  </w:t>
      </w:r>
      <w:r w:rsidRPr="008A5D92">
        <w:rPr>
          <w:rFonts w:ascii="Palatino Linotype" w:eastAsia="MS Mincho" w:hAnsi="Palatino Linotype" w:cs="Bookman Old Style"/>
          <w:i/>
          <w:lang w:eastAsia="es-MX"/>
        </w:rPr>
        <w:t>Los informes de avance sobre las obras o servicios contratados;</w:t>
      </w:r>
    </w:p>
    <w:p w:rsidR="00EE18AA" w:rsidRPr="008A5D92" w:rsidRDefault="00EE18AA" w:rsidP="00EE18AA">
      <w:pPr>
        <w:autoSpaceDE w:val="0"/>
        <w:autoSpaceDN w:val="0"/>
        <w:adjustRightInd w:val="0"/>
        <w:ind w:left="1418" w:right="900"/>
        <w:jc w:val="both"/>
        <w:rPr>
          <w:rFonts w:ascii="Palatino Linotype" w:eastAsia="MS Mincho" w:hAnsi="Palatino Linotype" w:cs="Bookman Old Style"/>
          <w:i/>
          <w:lang w:eastAsia="es-MX"/>
        </w:rPr>
      </w:pPr>
      <w:r w:rsidRPr="008A5D92">
        <w:rPr>
          <w:rFonts w:ascii="Palatino Linotype" w:eastAsia="MS Mincho" w:hAnsi="Palatino Linotype" w:cs="Bookman Old Style,Bold"/>
          <w:b/>
          <w:bCs/>
          <w:i/>
          <w:lang w:eastAsia="es-MX"/>
        </w:rPr>
        <w:t xml:space="preserve">10) </w:t>
      </w:r>
      <w:r w:rsidRPr="008A5D92">
        <w:rPr>
          <w:rFonts w:ascii="Palatino Linotype" w:eastAsia="MS Mincho" w:hAnsi="Palatino Linotype" w:cs="Bookman Old Style"/>
          <w:i/>
          <w:lang w:eastAsia="es-MX"/>
        </w:rPr>
        <w:t>El convenio de terminación; y</w:t>
      </w:r>
    </w:p>
    <w:p w:rsidR="00EE18AA" w:rsidRPr="008A5D92" w:rsidRDefault="00EE18AA" w:rsidP="00EE18AA">
      <w:pPr>
        <w:spacing w:after="0" w:line="360" w:lineRule="auto"/>
        <w:ind w:left="1418" w:right="900"/>
        <w:jc w:val="both"/>
        <w:rPr>
          <w:rFonts w:ascii="Palatino Linotype" w:hAnsi="Palatino Linotype"/>
          <w:i/>
        </w:rPr>
      </w:pPr>
      <w:r w:rsidRPr="008A5D92">
        <w:rPr>
          <w:rFonts w:ascii="Palatino Linotype" w:eastAsia="MS Mincho" w:hAnsi="Palatino Linotype" w:cs="Bookman Old Style,Bold"/>
          <w:b/>
          <w:bCs/>
          <w:i/>
          <w:lang w:eastAsia="es-MX"/>
        </w:rPr>
        <w:lastRenderedPageBreak/>
        <w:t xml:space="preserve">11) </w:t>
      </w:r>
      <w:r w:rsidRPr="008A5D92">
        <w:rPr>
          <w:rFonts w:ascii="Palatino Linotype" w:eastAsia="MS Mincho" w:hAnsi="Palatino Linotype" w:cs="Bookman Old Style"/>
          <w:i/>
          <w:lang w:eastAsia="es-MX"/>
        </w:rPr>
        <w:t>El finiquito.</w:t>
      </w:r>
    </w:p>
    <w:p w:rsidR="00EE18AA" w:rsidRDefault="00EE18AA" w:rsidP="00EE18AA">
      <w:pPr>
        <w:spacing w:after="0" w:line="360" w:lineRule="auto"/>
        <w:ind w:left="1418" w:right="900"/>
        <w:jc w:val="both"/>
        <w:rPr>
          <w:rFonts w:ascii="Palatino Linotype" w:hAnsi="Palatino Linotype"/>
        </w:rPr>
      </w:pPr>
      <w:r w:rsidRPr="008A5D92">
        <w:rPr>
          <w:rFonts w:ascii="Palatino Linotype" w:eastAsia="MS Mincho" w:hAnsi="Palatino Linotype" w:cs="Bookman Old Style,Bold"/>
          <w:b/>
          <w:bCs/>
          <w:i/>
          <w:lang w:eastAsia="es-MX"/>
        </w:rPr>
        <w:t>(</w:t>
      </w:r>
      <w:r w:rsidRPr="008A5D92">
        <w:rPr>
          <w:rFonts w:ascii="Palatino Linotype" w:hAnsi="Palatino Linotype"/>
        </w:rPr>
        <w:t>…)”</w:t>
      </w:r>
    </w:p>
    <w:p w:rsidR="00EE18AA" w:rsidRPr="008A5D92" w:rsidRDefault="00EE18AA" w:rsidP="00EE18AA">
      <w:pPr>
        <w:spacing w:after="0" w:line="360" w:lineRule="auto"/>
        <w:ind w:left="1418" w:right="900"/>
        <w:jc w:val="both"/>
        <w:rPr>
          <w:rFonts w:ascii="Palatino Linotype" w:hAnsi="Palatino Linotype"/>
          <w:i/>
        </w:rPr>
      </w:pPr>
    </w:p>
    <w:p w:rsidR="00EE18AA" w:rsidRPr="008A5D92" w:rsidRDefault="00EE18AA" w:rsidP="00EE18AA">
      <w:pPr>
        <w:spacing w:after="0" w:line="360" w:lineRule="auto"/>
        <w:jc w:val="both"/>
        <w:rPr>
          <w:rFonts w:ascii="Palatino Linotype" w:hAnsi="Palatino Linotype" w:cs="Arial"/>
          <w:sz w:val="24"/>
        </w:rPr>
      </w:pPr>
      <w:r w:rsidRPr="008A5D92">
        <w:rPr>
          <w:rFonts w:ascii="Palatino Linotype" w:hAnsi="Palatino Linotype" w:cs="Arial"/>
          <w:sz w:val="24"/>
        </w:rPr>
        <w:t>Siguiendo con el tema de los contratos solicitados, se debe agregar que de conformidad con lo dispuesto en los artículos 1, 5, párrafo segundo; 22, 23, 24, 26, 27, 65, de la “Ley de Contratación Pública del Estado de México y Municipios”  que en términos concretos disponen que ésta tiene por objeto regular los actos relativos a la planeación, programación, presupuestación, ejecución y control de la adquisición, enajenación y arrendamiento de bienes, y la contratación de servicios de cualquier naturaleza, que realicen los Ayuntamientos, entre otros entes, sin embargo, no se aplicará en los actos derivados de convenios celebrados entre dependencias, entidades y ayuntamientos, entre sí o con los de otros estados o de la Federación, excepto cuando sea parte un particular en los procedimientos o contratos respectivos.</w:t>
      </w:r>
    </w:p>
    <w:p w:rsidR="00EE18AA" w:rsidRPr="008A5D92" w:rsidRDefault="00EE18AA" w:rsidP="00EE18AA">
      <w:pPr>
        <w:spacing w:after="0" w:line="360" w:lineRule="auto"/>
        <w:jc w:val="both"/>
        <w:rPr>
          <w:rFonts w:ascii="Palatino Linotype" w:hAnsi="Palatino Linotype" w:cs="Arial"/>
          <w:sz w:val="24"/>
        </w:rPr>
      </w:pPr>
    </w:p>
    <w:p w:rsidR="00EE18AA" w:rsidRDefault="00EE18AA" w:rsidP="00EE18AA">
      <w:pPr>
        <w:spacing w:after="0" w:line="360" w:lineRule="auto"/>
        <w:jc w:val="both"/>
        <w:rPr>
          <w:rFonts w:ascii="Palatino Linotype" w:hAnsi="Palatino Linotype" w:cs="Arial"/>
          <w:sz w:val="24"/>
        </w:rPr>
      </w:pPr>
      <w:r w:rsidRPr="008A5D92">
        <w:rPr>
          <w:rFonts w:ascii="Palatino Linotype" w:hAnsi="Palatino Linotype" w:cs="Arial"/>
          <w:sz w:val="24"/>
        </w:rPr>
        <w:t>Que las adquisiciones, arrendamientos y servicios se adjudicarán a través de licitaciones públicas, mediante convocatoria pública; que los ayuntamientos podrán adjudicar adquisiciones, arrendamientos y servicios, mediante las excepciones al procedimiento de licitación a través de: a) Invitación restringida y b) Adjudicación directa.</w:t>
      </w:r>
    </w:p>
    <w:p w:rsidR="009219F2" w:rsidRPr="008A5D92" w:rsidRDefault="009219F2" w:rsidP="00EE18AA">
      <w:pPr>
        <w:spacing w:after="0" w:line="360" w:lineRule="auto"/>
        <w:jc w:val="both"/>
        <w:rPr>
          <w:rFonts w:ascii="Palatino Linotype" w:hAnsi="Palatino Linotype" w:cs="Arial"/>
          <w:sz w:val="24"/>
        </w:rPr>
      </w:pPr>
    </w:p>
    <w:p w:rsidR="009219F2" w:rsidRPr="008A5D92" w:rsidRDefault="009219F2" w:rsidP="009219F2">
      <w:pPr>
        <w:spacing w:after="0" w:line="360" w:lineRule="auto"/>
        <w:jc w:val="both"/>
        <w:rPr>
          <w:rFonts w:ascii="Palatino Linotype" w:hAnsi="Palatino Linotype" w:cs="Arial"/>
          <w:sz w:val="24"/>
        </w:rPr>
      </w:pPr>
      <w:r w:rsidRPr="008A5D92">
        <w:rPr>
          <w:rFonts w:ascii="Palatino Linotype" w:hAnsi="Palatino Linotype" w:cs="Arial"/>
          <w:sz w:val="24"/>
        </w:rPr>
        <w:t>Finalmente, en cuanto a los contratos, la Ley en cita ordena, entre otros aspectos, que la adjudicación de los contratos derivados de los procedimientos de adquisiciones de bienes o servicios, obligará a la convocante y al licitante ganador a suscribir el contrato respectivo, dentro de los diez días hábiles siguientes al de la notificación del fallo.</w:t>
      </w:r>
    </w:p>
    <w:p w:rsidR="008A3A93" w:rsidRDefault="008A3A93" w:rsidP="003A600D">
      <w:pPr>
        <w:spacing w:line="360" w:lineRule="auto"/>
        <w:jc w:val="both"/>
        <w:rPr>
          <w:rFonts w:ascii="Palatino Linotype" w:eastAsia="Calibri" w:hAnsi="Palatino Linotype" w:cs="Arial"/>
        </w:rPr>
      </w:pPr>
      <w:r w:rsidRPr="00314251">
        <w:rPr>
          <w:rFonts w:ascii="Palatino Linotype" w:eastAsia="Calibri" w:hAnsi="Palatino Linotype" w:cs="Arial"/>
          <w:sz w:val="24"/>
        </w:rPr>
        <w:lastRenderedPageBreak/>
        <w:t xml:space="preserve">Aunado a lo anterior,  se menciona que de conformidad con lo establecido en los artículos 75 y 92 de la Ley de Transparencia y Acceso a la Información Pública del Estado de México y Municipios, los sujetos obligados tienen la obligación de poner a disposición de los particulares, de manera permanente y actualizada de forma sencilla, precisa y entendible, en los respectivos medios electrónicos, de acuerdo con sus facultades, atribuciones u objeto social, la información por lo menos, de los temas, documentos y políticas que dicho ordenamiento señala, entre ellos, la estructura orgánica completa, en un formato que permita vincular cada parte de la estructura, las atribuciones y responsabilidades que le corresponden a cada servidor público, prestador de servicios profesionales o miembro de los sujetos obligados.  </w:t>
      </w:r>
    </w:p>
    <w:p w:rsidR="009C470F" w:rsidRDefault="009C470F" w:rsidP="009C470F">
      <w:pPr>
        <w:pStyle w:val="Prrafodelista"/>
        <w:numPr>
          <w:ilvl w:val="0"/>
          <w:numId w:val="23"/>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232FBB" w:rsidRPr="009D1CEC" w:rsidRDefault="00232FBB" w:rsidP="00232FBB">
      <w:pPr>
        <w:pStyle w:val="Sinespaciado"/>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sidR="00232FBB">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sidR="00232FBB">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ciudadano, este Órgano Garante determina ordenar que la entrega de la información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347D2A"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lastRenderedPageBreak/>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347D2A">
        <w:rPr>
          <w:rFonts w:ascii="Palatino Linotype" w:eastAsia="Times New Roman" w:hAnsi="Palatino Linotype" w:cs="Times New Roman"/>
          <w:sz w:val="24"/>
          <w:szCs w:val="24"/>
          <w:lang w:eastAsia="es-ES"/>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347D2A"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C470F" w:rsidRPr="00347D2A"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9C470F" w:rsidRPr="00347D2A" w:rsidRDefault="009C470F" w:rsidP="00232FBB">
      <w:pPr>
        <w:pStyle w:val="Sinespaciado"/>
        <w:rPr>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347D2A" w:rsidRDefault="009C470F" w:rsidP="00232FBB">
      <w:pPr>
        <w:pStyle w:val="Sinespaciado"/>
        <w:rPr>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w:t>
      </w:r>
      <w:r w:rsidRPr="00347D2A">
        <w:rPr>
          <w:rFonts w:ascii="Palatino Linotype" w:eastAsia="Times New Roman" w:hAnsi="Palatino Linotype" w:cs="Times New Roman"/>
          <w:i/>
          <w:lang w:eastAsia="es-MX"/>
        </w:rPr>
        <w:lastRenderedPageBreak/>
        <w:t>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w:t>
      </w:r>
      <w:r w:rsidRPr="00347D2A">
        <w:rPr>
          <w:rFonts w:ascii="Palatino Linotype" w:eastAsia="Times New Roman" w:hAnsi="Palatino Linotype" w:cs="Times New Roman"/>
          <w:sz w:val="24"/>
          <w:szCs w:val="24"/>
          <w:lang w:val="es-ES" w:eastAsia="es-ES"/>
        </w:rPr>
        <w:lastRenderedPageBreak/>
        <w:t xml:space="preserve">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9C470F" w:rsidRPr="00347D2A" w:rsidRDefault="009C470F" w:rsidP="009C470F">
      <w:pPr>
        <w:spacing w:after="0" w:line="360" w:lineRule="auto"/>
        <w:jc w:val="both"/>
        <w:rPr>
          <w:rFonts w:ascii="Palatino Linotype" w:eastAsia="Times New Roman" w:hAnsi="Palatino Linotype" w:cs="Times New Roman"/>
          <w:sz w:val="24"/>
          <w:szCs w:val="24"/>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9C470F" w:rsidRPr="00347D2A" w:rsidRDefault="009C470F" w:rsidP="009C470F">
      <w:pPr>
        <w:spacing w:after="0" w:line="360" w:lineRule="auto"/>
        <w:jc w:val="both"/>
        <w:rPr>
          <w:rFonts w:ascii="Palatino Linotype" w:eastAsia="Times New Roman" w:hAnsi="Palatino Linotype" w:cs="Times New Roman"/>
          <w:b/>
          <w:bCs/>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w:t>
      </w:r>
      <w:r w:rsidRPr="00347D2A">
        <w:rPr>
          <w:rFonts w:ascii="Palatino Linotype" w:eastAsia="Times New Roman" w:hAnsi="Palatino Linotype" w:cs="Times New Roman"/>
          <w:sz w:val="24"/>
          <w:szCs w:val="24"/>
          <w:lang w:eastAsia="es-MX"/>
        </w:rPr>
        <w:lastRenderedPageBreak/>
        <w:t xml:space="preserve">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347D2A">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C470F" w:rsidRPr="00347D2A"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347D2A" w:rsidRDefault="009C470F" w:rsidP="009C470F">
      <w:pPr>
        <w:spacing w:after="0" w:line="240" w:lineRule="auto"/>
        <w:ind w:left="567" w:right="616"/>
        <w:jc w:val="both"/>
        <w:rPr>
          <w:rFonts w:ascii="Palatino Linotype" w:eastAsia="Times New Roman" w:hAnsi="Palatino Linotype" w:cs="Arial"/>
          <w:bCs/>
          <w:i/>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w:t>
      </w:r>
      <w:r w:rsidRPr="00347D2A">
        <w:rPr>
          <w:rFonts w:ascii="Palatino Linotype" w:eastAsia="Times New Roman" w:hAnsi="Palatino Linotype" w:cs="Times New Roman"/>
          <w:bCs/>
          <w:sz w:val="24"/>
          <w:szCs w:val="24"/>
          <w:lang w:val="es-ES"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IV. Cuotas de aportación a fondos para la constitución de cooperativas y de cajas de ahorro, siempre que el servidor público hubiese manifestado previamente, de manera expresa, su conformidad;</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w:t>
      </w:r>
      <w:r w:rsidRPr="00347D2A">
        <w:rPr>
          <w:rFonts w:ascii="Palatino Linotype" w:eastAsia="Times New Roman" w:hAnsi="Palatino Linotype" w:cs="Times New Roman"/>
          <w:sz w:val="24"/>
          <w:szCs w:val="24"/>
          <w:lang w:eastAsia="es-ES"/>
        </w:rPr>
        <w:lastRenderedPageBreak/>
        <w:t xml:space="preserve">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numPr>
          <w:ilvl w:val="0"/>
          <w:numId w:val="25"/>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9C470F" w:rsidRPr="00347D2A" w:rsidRDefault="009C470F" w:rsidP="009C470F">
      <w:pPr>
        <w:spacing w:after="0" w:line="240" w:lineRule="auto"/>
        <w:ind w:left="1422"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lastRenderedPageBreak/>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“Segundo.-</w:t>
      </w:r>
      <w:r w:rsidRPr="00347D2A">
        <w:rPr>
          <w:rFonts w:ascii="Times New Roman" w:eastAsia="Times New Roman" w:hAnsi="Times New Roman" w:cs="Times New Roman"/>
          <w:i/>
          <w:lang w:eastAsia="es-MX"/>
        </w:rPr>
        <w:t xml:space="preserve"> Para efectos de los presentes Lineamientos Generales, se entenderá por:</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9C470F" w:rsidRPr="00347D2A" w:rsidRDefault="009C470F" w:rsidP="009C470F">
      <w:pPr>
        <w:spacing w:after="0" w:line="360" w:lineRule="auto"/>
        <w:jc w:val="both"/>
        <w:rPr>
          <w:rFonts w:ascii="Palatino Linotype" w:eastAsia="Times New Roman" w:hAnsi="Palatino Linotype" w:cs="Arial"/>
          <w:i/>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w:t>
      </w:r>
      <w:r w:rsidRPr="00347D2A">
        <w:rPr>
          <w:rFonts w:ascii="Palatino Linotype" w:eastAsia="Times New Roman" w:hAnsi="Palatino Linotype" w:cs="Times New Roman"/>
          <w:sz w:val="24"/>
          <w:szCs w:val="24"/>
          <w:lang w:eastAsia="es-ES"/>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w:t>
      </w:r>
      <w:r w:rsidRPr="00347D2A">
        <w:rPr>
          <w:rFonts w:ascii="Palatino Linotype" w:eastAsia="Times New Roman" w:hAnsi="Palatino Linotype" w:cs="Times New Roman"/>
          <w:sz w:val="24"/>
          <w:szCs w:val="24"/>
          <w:lang w:val="es-ES" w:eastAsia="es-E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sidR="00CA4F4C">
        <w:rPr>
          <w:rFonts w:ascii="Palatino Linotype" w:eastAsia="Times New Roman" w:hAnsi="Palatino Linotype" w:cs="Arial"/>
          <w:bCs/>
          <w:sz w:val="24"/>
          <w:szCs w:val="24"/>
          <w:lang w:eastAsia="es-ES"/>
        </w:rPr>
        <w:t xml:space="preserve">e </w:t>
      </w:r>
      <w:r w:rsidR="009E68A4">
        <w:rPr>
          <w:rFonts w:ascii="Palatino Linotype" w:eastAsia="Times New Roman" w:hAnsi="Palatino Linotype" w:cs="Arial"/>
          <w:bCs/>
          <w:sz w:val="24"/>
          <w:szCs w:val="24"/>
          <w:lang w:eastAsia="es-ES"/>
        </w:rPr>
        <w:t>La Recurrente</w:t>
      </w:r>
      <w:r w:rsidRPr="00347D2A">
        <w:rPr>
          <w:rFonts w:ascii="Palatino Linotype" w:eastAsia="Times New Roman" w:hAnsi="Palatino Linotype" w:cs="Arial"/>
          <w:bCs/>
          <w:sz w:val="24"/>
          <w:szCs w:val="24"/>
          <w:lang w:eastAsia="es-ES"/>
        </w:rPr>
        <w:t>.</w:t>
      </w:r>
    </w:p>
    <w:p w:rsidR="009C470F" w:rsidRPr="00A27459" w:rsidRDefault="009C470F" w:rsidP="009C470F">
      <w:pPr>
        <w:pStyle w:val="Prrafodelista"/>
        <w:numPr>
          <w:ilvl w:val="0"/>
          <w:numId w:val="26"/>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Default="009C470F" w:rsidP="009C470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32FBB" w:rsidRPr="006010FE" w:rsidRDefault="00232FBB" w:rsidP="00232FBB"/>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A6EC1" w:rsidRPr="008E7171" w:rsidRDefault="009C470F" w:rsidP="008E7171">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 xml:space="preserve">2, fracción II, 9, 29, 36, fracciones I y II, 176, 178, </w:t>
      </w:r>
      <w:r w:rsidRPr="007C5203">
        <w:rPr>
          <w:rFonts w:ascii="Palatino Linotype" w:hAnsi="Palatino Linotype"/>
          <w:sz w:val="24"/>
        </w:rPr>
        <w:lastRenderedPageBreak/>
        <w:t>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w:t>
      </w:r>
      <w:r w:rsidR="009E68A4">
        <w:rPr>
          <w:rFonts w:ascii="Palatino Linotype" w:hAnsi="Palatino Linotype"/>
          <w:sz w:val="24"/>
        </w:rPr>
        <w:t>La Recurrente</w:t>
      </w:r>
      <w:r w:rsidRPr="00D22D43">
        <w:rPr>
          <w:rFonts w:ascii="Palatino Linotype" w:hAnsi="Palatino Linotype"/>
          <w:sz w:val="24"/>
        </w:rPr>
        <w:t xml:space="preserve">, en términos del </w:t>
      </w:r>
      <w:r w:rsidRPr="00130ED1">
        <w:rPr>
          <w:rFonts w:ascii="Palatino Linotype" w:hAnsi="Palatino Linotype"/>
          <w:bCs/>
          <w:sz w:val="24"/>
          <w:lang w:eastAsia="es-MX"/>
        </w:rPr>
        <w:t>Considerando</w:t>
      </w:r>
      <w:r w:rsidRPr="00D22D43">
        <w:rPr>
          <w:rFonts w:ascii="Palatino Linotype" w:hAnsi="Palatino Linotype"/>
          <w:b/>
          <w:bCs/>
          <w:sz w:val="24"/>
          <w:lang w:eastAsia="es-MX"/>
        </w:rPr>
        <w:t xml:space="preserve"> CUARTO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34713F" w:rsidRDefault="0034713F" w:rsidP="00C24FAE">
      <w:pPr>
        <w:pStyle w:val="Sinespaciado"/>
        <w:spacing w:line="360" w:lineRule="auto"/>
        <w:jc w:val="both"/>
        <w:rPr>
          <w:rFonts w:ascii="Palatino Linotype" w:hAnsi="Palatino Linotype"/>
          <w:b/>
          <w:sz w:val="24"/>
        </w:rPr>
      </w:pPr>
    </w:p>
    <w:p w:rsidR="00D2480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CA4F4C" w:rsidRPr="00CA4F4C">
        <w:rPr>
          <w:rFonts w:ascii="Palatino Linotype" w:hAnsi="Palatino Linotype"/>
          <w:b/>
          <w:bCs/>
          <w:sz w:val="24"/>
        </w:rPr>
        <w:t>00076/TMASCALC/IP/2019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w:t>
      </w:r>
      <w:r w:rsidR="00D2480E">
        <w:rPr>
          <w:rFonts w:ascii="Palatino Linotype" w:hAnsi="Palatino Linotype"/>
          <w:sz w:val="24"/>
          <w:lang w:val="es-ES_tradnl"/>
        </w:rPr>
        <w:t xml:space="preserve">de ser procedente </w:t>
      </w:r>
      <w:r w:rsidR="003500CC">
        <w:rPr>
          <w:rFonts w:ascii="Palatino Linotype" w:hAnsi="Palatino Linotype"/>
          <w:sz w:val="24"/>
          <w:lang w:val="es-ES_tradnl"/>
        </w:rPr>
        <w:t xml:space="preserve">a </w:t>
      </w:r>
      <w:r w:rsidR="009E68A4">
        <w:rPr>
          <w:rFonts w:ascii="Palatino Linotype" w:hAnsi="Palatino Linotype"/>
          <w:sz w:val="24"/>
          <w:lang w:val="es-ES_tradnl"/>
        </w:rPr>
        <w:t>La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Pr="00D22D43">
        <w:rPr>
          <w:rFonts w:ascii="Palatino Linotype" w:hAnsi="Palatino Linotype"/>
          <w:b/>
          <w:sz w:val="24"/>
          <w:lang w:val="es-ES_tradnl"/>
        </w:rPr>
        <w:t xml:space="preserve"> CUARTO</w:t>
      </w:r>
      <w:r w:rsidR="00B00ED3">
        <w:rPr>
          <w:rFonts w:ascii="Palatino Linotype" w:hAnsi="Palatino Linotype"/>
          <w:sz w:val="24"/>
          <w:lang w:val="es-ES_tradnl"/>
        </w:rPr>
        <w:t>, a través del SAIMEX</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730B8A" w:rsidRDefault="00730B8A" w:rsidP="00C24FAE">
      <w:pPr>
        <w:pStyle w:val="Sinespaciado"/>
        <w:spacing w:line="360" w:lineRule="auto"/>
        <w:jc w:val="both"/>
        <w:rPr>
          <w:rFonts w:ascii="Palatino Linotype" w:hAnsi="Palatino Linotype"/>
          <w:sz w:val="24"/>
          <w:lang w:val="es-ES_tradnl"/>
        </w:rPr>
      </w:pPr>
    </w:p>
    <w:p w:rsidR="00591189" w:rsidRPr="00655A88" w:rsidRDefault="00730B8A" w:rsidP="00655A88">
      <w:pPr>
        <w:pStyle w:val="Sinespaciado"/>
        <w:spacing w:line="360" w:lineRule="auto"/>
        <w:rPr>
          <w:rFonts w:ascii="Palatino Linotype" w:hAnsi="Palatino Linotype" w:cs="Arial"/>
          <w:i/>
          <w:sz w:val="24"/>
        </w:rPr>
      </w:pPr>
      <w:r>
        <w:rPr>
          <w:rFonts w:ascii="Palatino Linotype" w:hAnsi="Palatino Linotype" w:cs="Arial"/>
          <w:sz w:val="24"/>
        </w:rPr>
        <w:t xml:space="preserve">  </w:t>
      </w:r>
      <w:r w:rsidRPr="00655A88">
        <w:rPr>
          <w:rFonts w:ascii="Palatino Linotype" w:hAnsi="Palatino Linotype" w:cs="Arial"/>
          <w:i/>
          <w:sz w:val="24"/>
        </w:rPr>
        <w:t>Correspondien</w:t>
      </w:r>
      <w:r w:rsidR="00225AAE">
        <w:rPr>
          <w:rFonts w:ascii="Palatino Linotype" w:hAnsi="Palatino Linotype" w:cs="Arial"/>
          <w:i/>
          <w:sz w:val="24"/>
        </w:rPr>
        <w:t>te al Ejercicio Fiscal 2019</w:t>
      </w:r>
      <w:r w:rsidRPr="00655A88">
        <w:rPr>
          <w:rFonts w:ascii="Palatino Linotype" w:hAnsi="Palatino Linotype" w:cs="Arial"/>
          <w:i/>
          <w:sz w:val="24"/>
        </w:rPr>
        <w:t>;</w:t>
      </w:r>
    </w:p>
    <w:p w:rsidR="00232FBB" w:rsidRPr="00560AE0" w:rsidRDefault="00D6260A" w:rsidP="00560AE0">
      <w:pPr>
        <w:pStyle w:val="Sinespaciado"/>
        <w:numPr>
          <w:ilvl w:val="0"/>
          <w:numId w:val="27"/>
        </w:numPr>
        <w:spacing w:line="360" w:lineRule="auto"/>
        <w:jc w:val="both"/>
        <w:rPr>
          <w:rFonts w:ascii="Palatino Linotype" w:hAnsi="Palatino Linotype" w:cs="Arial"/>
          <w:sz w:val="24"/>
        </w:rPr>
      </w:pPr>
      <w:r>
        <w:rPr>
          <w:rFonts w:ascii="Palatino Linotype" w:hAnsi="Palatino Linotype" w:cs="Arial"/>
          <w:sz w:val="24"/>
        </w:rPr>
        <w:t>Programa de Obras Públicas</w:t>
      </w:r>
      <w:r w:rsidR="00232FBB">
        <w:rPr>
          <w:rFonts w:ascii="Palatino Linotype" w:hAnsi="Palatino Linotype" w:cs="Arial"/>
          <w:sz w:val="24"/>
        </w:rPr>
        <w:t>.</w:t>
      </w:r>
    </w:p>
    <w:p w:rsidR="00232FBB" w:rsidRPr="00560AE0" w:rsidRDefault="00730B8A" w:rsidP="00F66892">
      <w:pPr>
        <w:pStyle w:val="Sinespaciado"/>
        <w:numPr>
          <w:ilvl w:val="0"/>
          <w:numId w:val="27"/>
        </w:numPr>
        <w:spacing w:line="360" w:lineRule="auto"/>
        <w:jc w:val="both"/>
        <w:rPr>
          <w:rFonts w:ascii="Palatino Linotype" w:hAnsi="Palatino Linotype" w:cs="Arial"/>
          <w:sz w:val="24"/>
        </w:rPr>
      </w:pPr>
      <w:r>
        <w:rPr>
          <w:rFonts w:ascii="Palatino Linotype" w:hAnsi="Palatino Linotype" w:cs="Arial"/>
          <w:sz w:val="24"/>
        </w:rPr>
        <w:t>Acta de instalación del CODEMUN</w:t>
      </w:r>
      <w:r w:rsidR="00232FBB">
        <w:rPr>
          <w:rFonts w:ascii="Palatino Linotype" w:hAnsi="Palatino Linotype" w:cs="Arial"/>
          <w:sz w:val="24"/>
        </w:rPr>
        <w:t>.</w:t>
      </w:r>
    </w:p>
    <w:p w:rsidR="00232FBB" w:rsidRDefault="00655A88" w:rsidP="00232FBB">
      <w:pPr>
        <w:pStyle w:val="Sinespaciado"/>
        <w:numPr>
          <w:ilvl w:val="0"/>
          <w:numId w:val="27"/>
        </w:numPr>
        <w:spacing w:line="360" w:lineRule="auto"/>
        <w:jc w:val="both"/>
        <w:rPr>
          <w:rFonts w:ascii="Palatino Linotype" w:hAnsi="Palatino Linotype" w:cs="Arial"/>
          <w:sz w:val="24"/>
        </w:rPr>
      </w:pPr>
      <w:r>
        <w:rPr>
          <w:rFonts w:ascii="Palatino Linotype" w:hAnsi="Palatino Linotype" w:cs="Arial"/>
          <w:sz w:val="24"/>
        </w:rPr>
        <w:t>Acta de aprobación de obras por el CODEMUN</w:t>
      </w:r>
      <w:r w:rsidR="00232FBB">
        <w:rPr>
          <w:rFonts w:ascii="Palatino Linotype" w:hAnsi="Palatino Linotype" w:cs="Arial"/>
          <w:sz w:val="24"/>
        </w:rPr>
        <w:t>.</w:t>
      </w:r>
    </w:p>
    <w:p w:rsidR="00560AE0" w:rsidRDefault="00560AE0" w:rsidP="00560AE0">
      <w:pPr>
        <w:rPr>
          <w:rFonts w:ascii="Palatino Linotype" w:hAnsi="Palatino Linotype" w:cs="Arial"/>
          <w:i/>
        </w:rPr>
      </w:pPr>
    </w:p>
    <w:p w:rsidR="00655A88" w:rsidRPr="00560AE0" w:rsidRDefault="00560AE0" w:rsidP="00560AE0">
      <w:pPr>
        <w:rPr>
          <w:rFonts w:ascii="Palatino Linotype" w:hAnsi="Palatino Linotype" w:cs="Arial"/>
          <w:i/>
          <w:sz w:val="24"/>
        </w:rPr>
      </w:pPr>
      <w:r w:rsidRPr="00560AE0">
        <w:rPr>
          <w:rFonts w:ascii="Palatino Linotype" w:hAnsi="Palatino Linotype" w:cs="Arial"/>
          <w:i/>
          <w:sz w:val="24"/>
        </w:rPr>
        <w:t>Por el periodo comprendido del uno de enero al catorce de junio de dos mil diecinueve</w:t>
      </w:r>
      <w:r>
        <w:rPr>
          <w:rFonts w:ascii="Palatino Linotype" w:hAnsi="Palatino Linotype" w:cs="Arial"/>
          <w:i/>
          <w:sz w:val="24"/>
        </w:rPr>
        <w:t>;</w:t>
      </w:r>
    </w:p>
    <w:p w:rsidR="00560AE0" w:rsidRDefault="00560AE0" w:rsidP="00232FBB">
      <w:pPr>
        <w:pStyle w:val="Sinespaciado"/>
        <w:numPr>
          <w:ilvl w:val="0"/>
          <w:numId w:val="27"/>
        </w:numPr>
        <w:spacing w:line="360" w:lineRule="auto"/>
        <w:jc w:val="both"/>
        <w:rPr>
          <w:rFonts w:ascii="Palatino Linotype" w:hAnsi="Palatino Linotype" w:cs="Arial"/>
          <w:sz w:val="24"/>
        </w:rPr>
      </w:pPr>
      <w:r>
        <w:rPr>
          <w:rFonts w:ascii="Palatino Linotype" w:hAnsi="Palatino Linotype" w:cs="Arial"/>
          <w:sz w:val="24"/>
        </w:rPr>
        <w:t>Reporte de obras</w:t>
      </w:r>
      <w:r w:rsidR="00DF007D">
        <w:rPr>
          <w:rFonts w:ascii="Palatino Linotype" w:hAnsi="Palatino Linotype" w:cs="Arial"/>
          <w:sz w:val="24"/>
        </w:rPr>
        <w:t xml:space="preserve"> suscritas por el Municipio.</w:t>
      </w:r>
    </w:p>
    <w:p w:rsidR="00560AE0" w:rsidRDefault="006C5108" w:rsidP="00232FBB">
      <w:pPr>
        <w:pStyle w:val="Sinespaciado"/>
        <w:numPr>
          <w:ilvl w:val="0"/>
          <w:numId w:val="27"/>
        </w:numPr>
        <w:spacing w:line="360" w:lineRule="auto"/>
        <w:jc w:val="both"/>
        <w:rPr>
          <w:rFonts w:ascii="Palatino Linotype" w:hAnsi="Palatino Linotype" w:cs="Arial"/>
          <w:sz w:val="24"/>
        </w:rPr>
      </w:pPr>
      <w:r>
        <w:rPr>
          <w:rFonts w:ascii="Palatino Linotype" w:hAnsi="Palatino Linotype" w:cs="Arial"/>
          <w:sz w:val="24"/>
        </w:rPr>
        <w:t xml:space="preserve">Contratos de </w:t>
      </w:r>
      <w:r w:rsidR="00DF007D">
        <w:rPr>
          <w:rFonts w:ascii="Palatino Linotype" w:hAnsi="Palatino Linotype" w:cs="Arial"/>
          <w:sz w:val="24"/>
        </w:rPr>
        <w:t>obras celebrados por el Municipio</w:t>
      </w:r>
      <w:r w:rsidR="009C7409">
        <w:rPr>
          <w:rFonts w:ascii="Palatino Linotype" w:hAnsi="Palatino Linotype" w:cs="Arial"/>
          <w:sz w:val="24"/>
        </w:rPr>
        <w:t>.</w:t>
      </w:r>
      <w:r>
        <w:rPr>
          <w:rFonts w:ascii="Palatino Linotype" w:hAnsi="Palatino Linotype" w:cs="Arial"/>
          <w:sz w:val="24"/>
        </w:rPr>
        <w:t xml:space="preserve"> </w:t>
      </w:r>
    </w:p>
    <w:p w:rsidR="00B00ED3" w:rsidRDefault="00B00ED3" w:rsidP="0066612D">
      <w:pPr>
        <w:pStyle w:val="Sinespaciado"/>
        <w:spacing w:line="360" w:lineRule="auto"/>
        <w:jc w:val="both"/>
        <w:rPr>
          <w:rFonts w:ascii="Palatino Linotype" w:hAnsi="Palatino Linotype" w:cs="Arial"/>
          <w:sz w:val="24"/>
        </w:rPr>
      </w:pP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9E68A4">
        <w:rPr>
          <w:rFonts w:ascii="Palatino Linotype" w:hAnsi="Palatino Linotype" w:cs="Arial"/>
          <w:sz w:val="24"/>
        </w:rPr>
        <w:t>La Recurrente</w:t>
      </w:r>
      <w:r w:rsidRPr="0066612D">
        <w:rPr>
          <w:rFonts w:ascii="Palatino Linotype" w:hAnsi="Palatino Linotype" w:cs="Arial"/>
          <w:sz w:val="24"/>
        </w:rPr>
        <w:t>.</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9E68A4">
        <w:rPr>
          <w:rFonts w:ascii="Palatino Linotype" w:hAnsi="Palatino Linotype"/>
          <w:sz w:val="24"/>
        </w:rPr>
        <w:t>La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00ED3" w:rsidRDefault="00B00ED3"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w:t>
      </w:r>
      <w:r w:rsidRPr="00D22D43">
        <w:rPr>
          <w:rFonts w:ascii="Palatino Linotype" w:hAnsi="Palatino Linotype"/>
          <w:sz w:val="24"/>
        </w:rPr>
        <w:lastRenderedPageBreak/>
        <w:t xml:space="preserve">fin de que determine lo conducente, en términos del </w:t>
      </w:r>
      <w:r w:rsidRPr="00D22D43">
        <w:rPr>
          <w:rFonts w:ascii="Palatino Linotype" w:hAnsi="Palatino Linotype"/>
          <w:b/>
          <w:sz w:val="24"/>
        </w:rPr>
        <w:t>Considerando CUARTO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C16DEB">
        <w:rPr>
          <w:rFonts w:ascii="Palatino Linotype" w:hAnsi="Palatino Linotype"/>
          <w:sz w:val="24"/>
          <w:szCs w:val="24"/>
        </w:rPr>
        <w:t xml:space="preserve"> EMITIENDO VOTO PARTICULAR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C16DEB">
        <w:rPr>
          <w:rFonts w:ascii="Palatino Linotype" w:hAnsi="Palatino Linotype"/>
          <w:sz w:val="24"/>
          <w:szCs w:val="24"/>
        </w:rPr>
        <w:t xml:space="preserve">TRIGÉSIMA SEXTA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C16DEB">
        <w:rPr>
          <w:rFonts w:ascii="Palatino Linotype" w:hAnsi="Palatino Linotype"/>
          <w:sz w:val="24"/>
          <w:szCs w:val="24"/>
        </w:rPr>
        <w:t>DOS DE OCTUBRE</w:t>
      </w:r>
      <w:r w:rsidR="00C9078F">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C16DEB" w:rsidRPr="00C16DEB">
        <w:rPr>
          <w:rFonts w:ascii="Palatino Linotype" w:hAnsi="Palatino Linotype"/>
          <w:sz w:val="24"/>
          <w:szCs w:val="24"/>
        </w:rPr>
        <w:t xml:space="preserve"> </w:t>
      </w:r>
      <w:r w:rsidR="00C16DEB">
        <w:rPr>
          <w:rFonts w:ascii="Palatino Linotype" w:hAnsi="Palatino Linotype"/>
          <w:sz w:val="24"/>
          <w:szCs w:val="24"/>
        </w:rPr>
        <w:t>---------------------------------------------------------------------------------------------------------------------------------------------------------------------------------------------------------------------------------------------------------------------------------------------------------------------------------------------------------------------------------------------------------------------------------------------------------------------------------------------------------------------------------------------------------------------------------------------------------------------------------------------------------------------------------------------------------------------------------------------------------------------------------------------------------------------------------------------------------------------------------------------------------------------------------------------------------------------------------------------------------------------------------------------------------------------------------------------------------------------------------------------------------------------------------------------------------------------------------------------------------------------------------------------------------------------------------------------------------------------------</w:t>
      </w:r>
      <w:r w:rsidR="007E3E1E">
        <w:rPr>
          <w:rFonts w:ascii="Palatino Linotype" w:hAnsi="Palatino Linotype"/>
          <w:sz w:val="24"/>
          <w:szCs w:val="24"/>
        </w:rPr>
        <w:t>-----------------------------</w:t>
      </w:r>
      <w:r w:rsidR="00C16DEB">
        <w:rPr>
          <w:rFonts w:ascii="Palatino Linotype" w:hAnsi="Palatino Linotype"/>
          <w:sz w:val="24"/>
          <w:szCs w:val="24"/>
        </w:rPr>
        <w:t>--------------------------------------</w:t>
      </w:r>
      <w:r w:rsidR="007E3E1E">
        <w:rPr>
          <w:rFonts w:ascii="Palatino Linotype" w:hAnsi="Palatino Linotype"/>
          <w:sz w:val="24"/>
          <w:szCs w:val="24"/>
        </w:rPr>
        <w:t>------------------------------</w:t>
      </w:r>
    </w:p>
    <w:p w:rsidR="007E3E1E" w:rsidRPr="00D22D43" w:rsidRDefault="007E3E1E"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66612D" w:rsidRPr="006149F1" w:rsidRDefault="0066612D"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Pr="0089501E" w:rsidRDefault="005B36CD"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(RÚBRICA).</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(RÚBRICA).</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esolución de fecha dos de octubre</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6C5108">
        <w:rPr>
          <w:rFonts w:ascii="Palatino Linotype" w:hAnsi="Palatino Linotype" w:cs="Arial"/>
          <w:bCs/>
          <w:sz w:val="18"/>
          <w:szCs w:val="16"/>
          <w:lang w:eastAsia="es-MX"/>
        </w:rPr>
        <w:t>6370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p w:rsidR="0051274A" w:rsidRDefault="0051274A" w:rsidP="00B73E6C">
      <w:pPr>
        <w:spacing w:after="0" w:line="240" w:lineRule="auto"/>
        <w:jc w:val="both"/>
        <w:rPr>
          <w:rFonts w:ascii="Palatino Linotype" w:hAnsi="Palatino Linotype" w:cs="Arial"/>
          <w:sz w:val="14"/>
          <w:szCs w:val="16"/>
        </w:rPr>
      </w:pPr>
    </w:p>
    <w:p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81" w:rsidRDefault="00E51881" w:rsidP="007E2E80">
      <w:pPr>
        <w:spacing w:after="0" w:line="240" w:lineRule="auto"/>
      </w:pPr>
      <w:r>
        <w:separator/>
      </w:r>
    </w:p>
  </w:endnote>
  <w:endnote w:type="continuationSeparator" w:id="0">
    <w:p w:rsidR="00E51881" w:rsidRDefault="00E5188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81" w:rsidRPr="000B69FA" w:rsidRDefault="00E5188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56EC">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56EC">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81" w:rsidRPr="000B69FA" w:rsidRDefault="00E5188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56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56EC">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81" w:rsidRDefault="00E51881" w:rsidP="007E2E80">
      <w:pPr>
        <w:spacing w:after="0" w:line="240" w:lineRule="auto"/>
      </w:pPr>
      <w:r>
        <w:separator/>
      </w:r>
    </w:p>
  </w:footnote>
  <w:footnote w:type="continuationSeparator" w:id="0">
    <w:p w:rsidR="00E51881" w:rsidRDefault="00E51881" w:rsidP="007E2E80">
      <w:pPr>
        <w:spacing w:after="0" w:line="240" w:lineRule="auto"/>
      </w:pPr>
      <w:r>
        <w:continuationSeparator/>
      </w:r>
    </w:p>
  </w:footnote>
  <w:footnote w:id="1">
    <w:p w:rsidR="00E51881" w:rsidRPr="00615B4B" w:rsidRDefault="00E5188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51881" w:rsidRPr="00615B4B" w:rsidRDefault="00E5188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51881" w:rsidRPr="00852A2E" w:rsidRDefault="00E51881" w:rsidP="00FE6D76">
      <w:pPr>
        <w:autoSpaceDE w:val="0"/>
        <w:autoSpaceDN w:val="0"/>
        <w:adjustRightInd w:val="0"/>
        <w:jc w:val="both"/>
        <w:rPr>
          <w:rFonts w:ascii="Palatino Linotype" w:eastAsiaTheme="minorEastAsia" w:hAnsi="Palatino Linotype" w:cs="Arial"/>
          <w:sz w:val="16"/>
          <w:szCs w:val="16"/>
        </w:rPr>
      </w:pPr>
      <w:r w:rsidRPr="00852A2E">
        <w:rPr>
          <w:rStyle w:val="Refdenotaalpie"/>
          <w:rFonts w:ascii="Palatino Linotype" w:hAnsi="Palatino Linotype"/>
          <w:sz w:val="16"/>
          <w:szCs w:val="16"/>
        </w:rPr>
        <w:footnoteRef/>
      </w:r>
      <w:r w:rsidRPr="00852A2E">
        <w:rPr>
          <w:rFonts w:ascii="Palatino Linotype" w:eastAsiaTheme="minorEastAsia" w:hAnsi="Palatino Linotype" w:cs="Arial"/>
          <w:b/>
          <w:bCs/>
          <w:sz w:val="16"/>
          <w:szCs w:val="16"/>
        </w:rPr>
        <w:t xml:space="preserve">Artículo 76. </w:t>
      </w:r>
      <w:r w:rsidRPr="00852A2E">
        <w:rPr>
          <w:rFonts w:ascii="Palatino Linotype" w:eastAsiaTheme="minorEastAsia" w:hAnsi="Palatino Linotype" w:cs="Arial"/>
          <w:sz w:val="16"/>
          <w:szCs w:val="16"/>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rsidR="00E51881" w:rsidRPr="00852A2E" w:rsidRDefault="00E51881" w:rsidP="00FE6D76">
      <w:pPr>
        <w:autoSpaceDE w:val="0"/>
        <w:autoSpaceDN w:val="0"/>
        <w:adjustRightInd w:val="0"/>
        <w:jc w:val="both"/>
        <w:rPr>
          <w:rFonts w:ascii="Palatino Linotype" w:eastAsiaTheme="minorEastAsia" w:hAnsi="Palatino Linotype" w:cs="Arial"/>
          <w:sz w:val="16"/>
          <w:szCs w:val="16"/>
        </w:rPr>
      </w:pPr>
    </w:p>
    <w:p w:rsidR="00E51881" w:rsidRPr="00852A2E" w:rsidRDefault="00E51881" w:rsidP="00FE6D76">
      <w:pPr>
        <w:autoSpaceDE w:val="0"/>
        <w:autoSpaceDN w:val="0"/>
        <w:adjustRightInd w:val="0"/>
        <w:jc w:val="both"/>
        <w:rPr>
          <w:rFonts w:ascii="Palatino Linotype" w:eastAsiaTheme="minorEastAsia" w:hAnsi="Palatino Linotype" w:cs="Arial"/>
          <w:sz w:val="16"/>
          <w:szCs w:val="16"/>
        </w:rPr>
      </w:pPr>
      <w:r w:rsidRPr="00852A2E">
        <w:rPr>
          <w:rFonts w:ascii="Palatino Linotype" w:eastAsiaTheme="minorEastAsia" w:hAnsi="Palatino Linotype" w:cs="Arial"/>
          <w:sz w:val="16"/>
          <w:szCs w:val="16"/>
        </w:rPr>
        <w:t>La publicación de la información derivada de las obligaciones de transparencia deberá sujetarse a los lineamientos para la homologación en la presentación de la información a la que hace referencia este Título por parte de los sujetos obligados.</w:t>
      </w:r>
    </w:p>
  </w:footnote>
  <w:footnote w:id="3">
    <w:p w:rsidR="00E51881" w:rsidRPr="00852A2E" w:rsidRDefault="00E51881" w:rsidP="00FE6D76">
      <w:pPr>
        <w:pStyle w:val="Textonotapie"/>
        <w:jc w:val="both"/>
        <w:rPr>
          <w:rFonts w:ascii="Palatino Linotype" w:hAnsi="Palatino Linotype"/>
          <w:sz w:val="16"/>
          <w:szCs w:val="16"/>
        </w:rPr>
      </w:pPr>
      <w:r w:rsidRPr="00852A2E">
        <w:rPr>
          <w:rStyle w:val="Refdenotaalpie"/>
          <w:rFonts w:ascii="Palatino Linotype" w:hAnsi="Palatino Linotype"/>
          <w:sz w:val="16"/>
          <w:szCs w:val="16"/>
        </w:rPr>
        <w:footnoteRef/>
      </w:r>
      <w:r w:rsidRPr="00852A2E">
        <w:rPr>
          <w:rFonts w:ascii="Palatino Linotype" w:hAnsi="Palatino Linotype"/>
          <w:sz w:val="16"/>
          <w:szCs w:val="16"/>
        </w:rPr>
        <w:t xml:space="preserve"> </w:t>
      </w:r>
      <w:r w:rsidRPr="00852A2E">
        <w:rPr>
          <w:rFonts w:ascii="Palatino Linotype" w:hAnsi="Palatino Linotype"/>
          <w:b/>
          <w:sz w:val="16"/>
          <w:szCs w:val="16"/>
        </w:rPr>
        <w:t>Artículo 18</w:t>
      </w:r>
      <w:r w:rsidRPr="00852A2E">
        <w:rPr>
          <w:rFonts w:ascii="Palatino Linotype" w:hAnsi="Palatino Linotype"/>
          <w:sz w:val="16"/>
          <w:szCs w:val="16"/>
        </w:rPr>
        <w:t>. Los sujetos obligados deberán documentar todo acto que derive del ejercicio de sus facultades, competencias o funciones, considerando desde su origen la eventual publicidad y reutilización de la información que generen.</w:t>
      </w:r>
    </w:p>
    <w:p w:rsidR="00E51881" w:rsidRPr="00852A2E" w:rsidRDefault="00E51881" w:rsidP="00FE6D76">
      <w:pPr>
        <w:pStyle w:val="Textonotapie"/>
        <w:jc w:val="both"/>
        <w:rPr>
          <w:rFonts w:ascii="Palatino Linotype" w:hAnsi="Palatino Linotype"/>
          <w:sz w:val="16"/>
          <w:szCs w:val="16"/>
        </w:rPr>
      </w:pPr>
      <w:r w:rsidRPr="00852A2E">
        <w:rPr>
          <w:rFonts w:ascii="Palatino Linotype" w:hAnsi="Palatino Linotype"/>
          <w:b/>
          <w:sz w:val="16"/>
          <w:szCs w:val="16"/>
        </w:rPr>
        <w:t>Artículo 24.</w:t>
      </w:r>
      <w:r w:rsidRPr="00852A2E">
        <w:rPr>
          <w:rFonts w:ascii="Palatino Linotype" w:hAnsi="Palatino Linotype"/>
          <w:sz w:val="16"/>
          <w:szCs w:val="16"/>
        </w:rPr>
        <w:t xml:space="preserve"> Para el cumplimiento de los objetivos de esta Ley, los sujetos obligados deberán cumplir con las siguientes obligaciones, según corresponda, de acuerdo a su naturaleza:</w:t>
      </w:r>
    </w:p>
    <w:p w:rsidR="00E51881" w:rsidRPr="00852A2E" w:rsidRDefault="00E51881" w:rsidP="00FE6D76">
      <w:pPr>
        <w:pStyle w:val="Textonotapie"/>
        <w:jc w:val="both"/>
        <w:rPr>
          <w:rFonts w:ascii="Palatino Linotype" w:hAnsi="Palatino Linotype"/>
          <w:sz w:val="16"/>
          <w:szCs w:val="16"/>
        </w:rPr>
      </w:pPr>
      <w:r w:rsidRPr="00852A2E">
        <w:rPr>
          <w:rFonts w:ascii="Palatino Linotype" w:hAnsi="Palatino Linotype"/>
          <w:b/>
          <w:sz w:val="16"/>
          <w:szCs w:val="16"/>
        </w:rPr>
        <w:t>XXII.</w:t>
      </w:r>
      <w:r w:rsidRPr="00852A2E">
        <w:rPr>
          <w:rFonts w:ascii="Palatino Linotype" w:hAnsi="Palatino Linotype"/>
          <w:sz w:val="16"/>
          <w:szCs w:val="16"/>
        </w:rPr>
        <w:t xml:space="preserve"> Documentar todo acto que derive del ejercicio de sus facultades, competencias o funciones y abstenerse de destruirlos u ocultarlos, dentro de los que destacan los procesos deliberativos y de decisión definitiva;</w:t>
      </w:r>
    </w:p>
    <w:p w:rsidR="00E51881" w:rsidRPr="00852A2E" w:rsidRDefault="00E51881" w:rsidP="00FE6D76">
      <w:pPr>
        <w:pStyle w:val="Textonotapie"/>
        <w:jc w:val="both"/>
        <w:rPr>
          <w:rFonts w:ascii="Palatino Linotype" w:hAnsi="Palatino Linotype"/>
          <w:sz w:val="16"/>
          <w:szCs w:val="16"/>
        </w:rPr>
      </w:pPr>
      <w:r w:rsidRPr="00852A2E">
        <w:rPr>
          <w:rFonts w:ascii="Palatino Linotype" w:hAnsi="Palatino Linotype"/>
          <w:b/>
          <w:sz w:val="16"/>
          <w:szCs w:val="16"/>
        </w:rPr>
        <w:t>Artículo 160</w:t>
      </w:r>
      <w:r w:rsidRPr="00852A2E">
        <w:rPr>
          <w:rFonts w:ascii="Palatino Linotype" w:hAnsi="Palatino Linotype"/>
          <w:sz w:val="16"/>
          <w:szCs w:val="16"/>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81" w:rsidRDefault="00E5188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51881" w:rsidTr="00182616">
      <w:trPr>
        <w:trHeight w:val="227"/>
      </w:trPr>
      <w:tc>
        <w:tcPr>
          <w:tcW w:w="5949" w:type="dxa"/>
          <w:hideMark/>
        </w:tcPr>
        <w:p w:rsidR="00E51881" w:rsidRDefault="00E5188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51881" w:rsidRDefault="00E51881" w:rsidP="007214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06370/INFOEM/IP/RR/2019</w:t>
          </w:r>
        </w:p>
      </w:tc>
    </w:tr>
    <w:tr w:rsidR="00E51881" w:rsidTr="00182616">
      <w:trPr>
        <w:trHeight w:val="242"/>
      </w:trPr>
      <w:tc>
        <w:tcPr>
          <w:tcW w:w="5949" w:type="dxa"/>
          <w:hideMark/>
        </w:tcPr>
        <w:p w:rsidR="00E51881" w:rsidRDefault="00E5188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51881" w:rsidRDefault="00E51881" w:rsidP="00FD23C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Temascalcingo</w:t>
          </w:r>
        </w:p>
      </w:tc>
    </w:tr>
    <w:tr w:rsidR="00E51881" w:rsidTr="00182616">
      <w:trPr>
        <w:trHeight w:val="342"/>
      </w:trPr>
      <w:tc>
        <w:tcPr>
          <w:tcW w:w="5949" w:type="dxa"/>
          <w:hideMark/>
        </w:tcPr>
        <w:p w:rsidR="00E51881" w:rsidRDefault="00E5188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51881" w:rsidRDefault="00E5188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51881" w:rsidRDefault="00E518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51881" w:rsidTr="00182616">
      <w:trPr>
        <w:trHeight w:val="227"/>
      </w:trPr>
      <w:tc>
        <w:tcPr>
          <w:tcW w:w="5103" w:type="dxa"/>
          <w:hideMark/>
        </w:tcPr>
        <w:p w:rsidR="00E51881" w:rsidRDefault="00E518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51881" w:rsidRPr="00B4142F" w:rsidRDefault="00E5188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06370</w:t>
          </w:r>
          <w:r w:rsidRPr="0009709A">
            <w:rPr>
              <w:rFonts w:ascii="Palatino Linotype" w:hAnsi="Palatino Linotype" w:cs="Arial"/>
              <w:bCs/>
              <w:sz w:val="24"/>
              <w:lang w:eastAsia="es-MX"/>
            </w:rPr>
            <w:t>/INFOEM/IP/RR/2019</w:t>
          </w:r>
        </w:p>
      </w:tc>
    </w:tr>
    <w:tr w:rsidR="00E51881" w:rsidTr="00182616">
      <w:trPr>
        <w:trHeight w:val="196"/>
      </w:trPr>
      <w:tc>
        <w:tcPr>
          <w:tcW w:w="5103" w:type="dxa"/>
          <w:hideMark/>
        </w:tcPr>
        <w:p w:rsidR="00E51881" w:rsidRDefault="00E518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51881" w:rsidRPr="00F06FED" w:rsidRDefault="00E51881" w:rsidP="000B4B3D">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E51881" w:rsidTr="00182616">
      <w:trPr>
        <w:trHeight w:val="242"/>
      </w:trPr>
      <w:tc>
        <w:tcPr>
          <w:tcW w:w="5103" w:type="dxa"/>
          <w:hideMark/>
        </w:tcPr>
        <w:p w:rsidR="00E51881" w:rsidRDefault="00E518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51881" w:rsidRDefault="00E51881" w:rsidP="0016423B">
          <w:pPr>
            <w:spacing w:after="120" w:line="256" w:lineRule="auto"/>
            <w:ind w:left="208" w:right="214"/>
            <w:jc w:val="right"/>
            <w:rPr>
              <w:rFonts w:ascii="Palatino Linotype" w:hAnsi="Palatino Linotype" w:cs="Arial"/>
              <w:szCs w:val="20"/>
            </w:rPr>
          </w:pPr>
          <w:r w:rsidRPr="000B4B3D">
            <w:rPr>
              <w:rFonts w:ascii="Palatino Linotype" w:hAnsi="Palatino Linotype" w:cs="Arial"/>
              <w:szCs w:val="20"/>
            </w:rPr>
            <w:t xml:space="preserve">Ayuntamiento de </w:t>
          </w:r>
          <w:r w:rsidRPr="00AD0C57">
            <w:rPr>
              <w:rFonts w:ascii="Palatino Linotype" w:hAnsi="Palatino Linotype" w:cs="Arial"/>
              <w:szCs w:val="20"/>
            </w:rPr>
            <w:t>Temascalcingo</w:t>
          </w:r>
        </w:p>
      </w:tc>
    </w:tr>
    <w:tr w:rsidR="00E51881" w:rsidTr="00182616">
      <w:trPr>
        <w:trHeight w:val="342"/>
      </w:trPr>
      <w:tc>
        <w:tcPr>
          <w:tcW w:w="5103" w:type="dxa"/>
          <w:hideMark/>
        </w:tcPr>
        <w:p w:rsidR="00E51881" w:rsidRDefault="00E5188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51881" w:rsidRDefault="00E5188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51881" w:rsidRDefault="00E518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9"/>
  </w:num>
  <w:num w:numId="5">
    <w:abstractNumId w:val="4"/>
  </w:num>
  <w:num w:numId="6">
    <w:abstractNumId w:val="3"/>
  </w:num>
  <w:num w:numId="7">
    <w:abstractNumId w:val="18"/>
  </w:num>
  <w:num w:numId="8">
    <w:abstractNumId w:val="17"/>
  </w:num>
  <w:num w:numId="9">
    <w:abstractNumId w:val="26"/>
  </w:num>
  <w:num w:numId="10">
    <w:abstractNumId w:val="7"/>
  </w:num>
  <w:num w:numId="11">
    <w:abstractNumId w:val="27"/>
  </w:num>
  <w:num w:numId="12">
    <w:abstractNumId w:val="20"/>
  </w:num>
  <w:num w:numId="13">
    <w:abstractNumId w:val="19"/>
  </w:num>
  <w:num w:numId="14">
    <w:abstractNumId w:val="13"/>
  </w:num>
  <w:num w:numId="15">
    <w:abstractNumId w:val="2"/>
  </w:num>
  <w:num w:numId="16">
    <w:abstractNumId w:val="14"/>
  </w:num>
  <w:num w:numId="17">
    <w:abstractNumId w:val="16"/>
  </w:num>
  <w:num w:numId="18">
    <w:abstractNumId w:val="21"/>
  </w:num>
  <w:num w:numId="19">
    <w:abstractNumId w:val="10"/>
  </w:num>
  <w:num w:numId="20">
    <w:abstractNumId w:val="15"/>
  </w:num>
  <w:num w:numId="21">
    <w:abstractNumId w:val="22"/>
  </w:num>
  <w:num w:numId="22">
    <w:abstractNumId w:val="24"/>
  </w:num>
  <w:num w:numId="23">
    <w:abstractNumId w:val="25"/>
  </w:num>
  <w:num w:numId="24">
    <w:abstractNumId w:val="6"/>
  </w:num>
  <w:num w:numId="25">
    <w:abstractNumId w:val="12"/>
  </w:num>
  <w:num w:numId="26">
    <w:abstractNumId w:val="5"/>
  </w:num>
  <w:num w:numId="27">
    <w:abstractNumId w:val="9"/>
  </w:num>
  <w:num w:numId="28">
    <w:abstractNumId w:val="23"/>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11DF7"/>
    <w:rsid w:val="00012853"/>
    <w:rsid w:val="000146A2"/>
    <w:rsid w:val="00014D80"/>
    <w:rsid w:val="00015A5D"/>
    <w:rsid w:val="000204E1"/>
    <w:rsid w:val="00021D9A"/>
    <w:rsid w:val="00022E72"/>
    <w:rsid w:val="000230DF"/>
    <w:rsid w:val="000232F8"/>
    <w:rsid w:val="00023706"/>
    <w:rsid w:val="00024BC0"/>
    <w:rsid w:val="000276E0"/>
    <w:rsid w:val="00032DBD"/>
    <w:rsid w:val="00033949"/>
    <w:rsid w:val="00033A37"/>
    <w:rsid w:val="000402BD"/>
    <w:rsid w:val="00041557"/>
    <w:rsid w:val="00041664"/>
    <w:rsid w:val="00043018"/>
    <w:rsid w:val="00050126"/>
    <w:rsid w:val="00050518"/>
    <w:rsid w:val="00050A9C"/>
    <w:rsid w:val="00051311"/>
    <w:rsid w:val="00053083"/>
    <w:rsid w:val="00053C9B"/>
    <w:rsid w:val="00054C50"/>
    <w:rsid w:val="00055FDB"/>
    <w:rsid w:val="000574F5"/>
    <w:rsid w:val="00057570"/>
    <w:rsid w:val="000576BF"/>
    <w:rsid w:val="00061CDD"/>
    <w:rsid w:val="00061CE1"/>
    <w:rsid w:val="00062331"/>
    <w:rsid w:val="0006498F"/>
    <w:rsid w:val="000674FE"/>
    <w:rsid w:val="00070473"/>
    <w:rsid w:val="00070C7F"/>
    <w:rsid w:val="000723B9"/>
    <w:rsid w:val="0007328F"/>
    <w:rsid w:val="000738E9"/>
    <w:rsid w:val="0008042E"/>
    <w:rsid w:val="00083F7E"/>
    <w:rsid w:val="000859BB"/>
    <w:rsid w:val="0008795C"/>
    <w:rsid w:val="00090705"/>
    <w:rsid w:val="00091583"/>
    <w:rsid w:val="00092805"/>
    <w:rsid w:val="00093E42"/>
    <w:rsid w:val="0009497C"/>
    <w:rsid w:val="00095218"/>
    <w:rsid w:val="00096DEA"/>
    <w:rsid w:val="0009709A"/>
    <w:rsid w:val="000A27C1"/>
    <w:rsid w:val="000A3303"/>
    <w:rsid w:val="000A6898"/>
    <w:rsid w:val="000A773C"/>
    <w:rsid w:val="000A7F00"/>
    <w:rsid w:val="000B0E94"/>
    <w:rsid w:val="000B2868"/>
    <w:rsid w:val="000B45D8"/>
    <w:rsid w:val="000B4B3D"/>
    <w:rsid w:val="000B5D48"/>
    <w:rsid w:val="000C289A"/>
    <w:rsid w:val="000C58B6"/>
    <w:rsid w:val="000C62B4"/>
    <w:rsid w:val="000C74AA"/>
    <w:rsid w:val="000D4772"/>
    <w:rsid w:val="000D47AB"/>
    <w:rsid w:val="000D6982"/>
    <w:rsid w:val="000D756B"/>
    <w:rsid w:val="000E28C7"/>
    <w:rsid w:val="000E2AE1"/>
    <w:rsid w:val="000E4C77"/>
    <w:rsid w:val="000E58D0"/>
    <w:rsid w:val="000E631B"/>
    <w:rsid w:val="000E7C0A"/>
    <w:rsid w:val="000F199E"/>
    <w:rsid w:val="000F3722"/>
    <w:rsid w:val="000F4E60"/>
    <w:rsid w:val="000F76C0"/>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2176"/>
    <w:rsid w:val="0016288C"/>
    <w:rsid w:val="0016423B"/>
    <w:rsid w:val="00165929"/>
    <w:rsid w:val="00166046"/>
    <w:rsid w:val="00166623"/>
    <w:rsid w:val="00166FB7"/>
    <w:rsid w:val="00170C4A"/>
    <w:rsid w:val="00173299"/>
    <w:rsid w:val="00180F6B"/>
    <w:rsid w:val="00182616"/>
    <w:rsid w:val="00186CFB"/>
    <w:rsid w:val="00195C69"/>
    <w:rsid w:val="00196888"/>
    <w:rsid w:val="001A0EEE"/>
    <w:rsid w:val="001A17B9"/>
    <w:rsid w:val="001A19E9"/>
    <w:rsid w:val="001A1DA5"/>
    <w:rsid w:val="001A4700"/>
    <w:rsid w:val="001A4B29"/>
    <w:rsid w:val="001B5DCE"/>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F021C"/>
    <w:rsid w:val="001F5537"/>
    <w:rsid w:val="001F5577"/>
    <w:rsid w:val="001F59A0"/>
    <w:rsid w:val="001F5C55"/>
    <w:rsid w:val="001F6C27"/>
    <w:rsid w:val="00201358"/>
    <w:rsid w:val="00203FA5"/>
    <w:rsid w:val="00205BF1"/>
    <w:rsid w:val="00207DA3"/>
    <w:rsid w:val="002108D8"/>
    <w:rsid w:val="00211473"/>
    <w:rsid w:val="00211A69"/>
    <w:rsid w:val="00212201"/>
    <w:rsid w:val="00212498"/>
    <w:rsid w:val="0021396E"/>
    <w:rsid w:val="00216B8D"/>
    <w:rsid w:val="00217027"/>
    <w:rsid w:val="00217517"/>
    <w:rsid w:val="00221F0B"/>
    <w:rsid w:val="00222D17"/>
    <w:rsid w:val="00224F85"/>
    <w:rsid w:val="002252AD"/>
    <w:rsid w:val="00225A6A"/>
    <w:rsid w:val="00225AAE"/>
    <w:rsid w:val="00226483"/>
    <w:rsid w:val="00232FBB"/>
    <w:rsid w:val="002366E1"/>
    <w:rsid w:val="00241CD8"/>
    <w:rsid w:val="00242169"/>
    <w:rsid w:val="002450D9"/>
    <w:rsid w:val="0024709D"/>
    <w:rsid w:val="00247E1F"/>
    <w:rsid w:val="002517EC"/>
    <w:rsid w:val="00254523"/>
    <w:rsid w:val="002572CF"/>
    <w:rsid w:val="0026191D"/>
    <w:rsid w:val="00265E52"/>
    <w:rsid w:val="00267C45"/>
    <w:rsid w:val="00271762"/>
    <w:rsid w:val="002718DB"/>
    <w:rsid w:val="00271C39"/>
    <w:rsid w:val="00272111"/>
    <w:rsid w:val="00272609"/>
    <w:rsid w:val="00275C65"/>
    <w:rsid w:val="00276987"/>
    <w:rsid w:val="00276B33"/>
    <w:rsid w:val="00276E33"/>
    <w:rsid w:val="00276FFD"/>
    <w:rsid w:val="00283F65"/>
    <w:rsid w:val="002841C3"/>
    <w:rsid w:val="0028427C"/>
    <w:rsid w:val="0028471A"/>
    <w:rsid w:val="002847CC"/>
    <w:rsid w:val="0028585E"/>
    <w:rsid w:val="00285DFA"/>
    <w:rsid w:val="00287072"/>
    <w:rsid w:val="00290397"/>
    <w:rsid w:val="002910A3"/>
    <w:rsid w:val="00293511"/>
    <w:rsid w:val="00294480"/>
    <w:rsid w:val="00295186"/>
    <w:rsid w:val="00296F49"/>
    <w:rsid w:val="002A08CD"/>
    <w:rsid w:val="002A10EC"/>
    <w:rsid w:val="002A1927"/>
    <w:rsid w:val="002A1FCC"/>
    <w:rsid w:val="002A26E0"/>
    <w:rsid w:val="002B1196"/>
    <w:rsid w:val="002B52D6"/>
    <w:rsid w:val="002B5B14"/>
    <w:rsid w:val="002C0C6A"/>
    <w:rsid w:val="002C2A2E"/>
    <w:rsid w:val="002C2D19"/>
    <w:rsid w:val="002C45D8"/>
    <w:rsid w:val="002C47F3"/>
    <w:rsid w:val="002C529C"/>
    <w:rsid w:val="002D0152"/>
    <w:rsid w:val="002D4743"/>
    <w:rsid w:val="002D477F"/>
    <w:rsid w:val="002D4991"/>
    <w:rsid w:val="002D6110"/>
    <w:rsid w:val="002D7D51"/>
    <w:rsid w:val="002E22D8"/>
    <w:rsid w:val="002E2D4C"/>
    <w:rsid w:val="002E434B"/>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1191"/>
    <w:rsid w:val="00312E7E"/>
    <w:rsid w:val="00314251"/>
    <w:rsid w:val="00315192"/>
    <w:rsid w:val="003153A1"/>
    <w:rsid w:val="003209B8"/>
    <w:rsid w:val="003230BE"/>
    <w:rsid w:val="00323B11"/>
    <w:rsid w:val="00323D35"/>
    <w:rsid w:val="00325EE1"/>
    <w:rsid w:val="0032688B"/>
    <w:rsid w:val="00327932"/>
    <w:rsid w:val="00330554"/>
    <w:rsid w:val="00336EDF"/>
    <w:rsid w:val="003456A2"/>
    <w:rsid w:val="0034713F"/>
    <w:rsid w:val="003474E5"/>
    <w:rsid w:val="003500CC"/>
    <w:rsid w:val="0035493D"/>
    <w:rsid w:val="00354E5E"/>
    <w:rsid w:val="00356DEA"/>
    <w:rsid w:val="00363308"/>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74AF"/>
    <w:rsid w:val="003D2672"/>
    <w:rsid w:val="003D3420"/>
    <w:rsid w:val="003D3A66"/>
    <w:rsid w:val="003D3D51"/>
    <w:rsid w:val="003D4B31"/>
    <w:rsid w:val="003D584C"/>
    <w:rsid w:val="003E037E"/>
    <w:rsid w:val="003E08B9"/>
    <w:rsid w:val="003F13DA"/>
    <w:rsid w:val="003F5460"/>
    <w:rsid w:val="00400852"/>
    <w:rsid w:val="00404F9D"/>
    <w:rsid w:val="00406B61"/>
    <w:rsid w:val="00407282"/>
    <w:rsid w:val="00407DEE"/>
    <w:rsid w:val="00410A41"/>
    <w:rsid w:val="004132B8"/>
    <w:rsid w:val="00414E53"/>
    <w:rsid w:val="00415BD4"/>
    <w:rsid w:val="00417EBD"/>
    <w:rsid w:val="00423281"/>
    <w:rsid w:val="00423C27"/>
    <w:rsid w:val="00425199"/>
    <w:rsid w:val="00426267"/>
    <w:rsid w:val="004267D1"/>
    <w:rsid w:val="004307FD"/>
    <w:rsid w:val="00430DDB"/>
    <w:rsid w:val="004310DA"/>
    <w:rsid w:val="00432F42"/>
    <w:rsid w:val="00435E52"/>
    <w:rsid w:val="00443826"/>
    <w:rsid w:val="00446D67"/>
    <w:rsid w:val="0045258F"/>
    <w:rsid w:val="0045270C"/>
    <w:rsid w:val="00452ABA"/>
    <w:rsid w:val="0045396C"/>
    <w:rsid w:val="004560B1"/>
    <w:rsid w:val="004572BE"/>
    <w:rsid w:val="004601BF"/>
    <w:rsid w:val="004617C7"/>
    <w:rsid w:val="00463E3B"/>
    <w:rsid w:val="00464F74"/>
    <w:rsid w:val="004657BE"/>
    <w:rsid w:val="004715AF"/>
    <w:rsid w:val="00476E2C"/>
    <w:rsid w:val="00476E43"/>
    <w:rsid w:val="004807F7"/>
    <w:rsid w:val="004812BD"/>
    <w:rsid w:val="00481A59"/>
    <w:rsid w:val="00481A94"/>
    <w:rsid w:val="00482EF1"/>
    <w:rsid w:val="004830B5"/>
    <w:rsid w:val="00484E47"/>
    <w:rsid w:val="00485EAA"/>
    <w:rsid w:val="00486336"/>
    <w:rsid w:val="00487B8B"/>
    <w:rsid w:val="0049054C"/>
    <w:rsid w:val="004926F0"/>
    <w:rsid w:val="00492F91"/>
    <w:rsid w:val="00493364"/>
    <w:rsid w:val="00494C99"/>
    <w:rsid w:val="00497B93"/>
    <w:rsid w:val="004A23F1"/>
    <w:rsid w:val="004A51FF"/>
    <w:rsid w:val="004B2391"/>
    <w:rsid w:val="004B2C63"/>
    <w:rsid w:val="004B4721"/>
    <w:rsid w:val="004B54FF"/>
    <w:rsid w:val="004C7E18"/>
    <w:rsid w:val="004D5BAF"/>
    <w:rsid w:val="004D5D52"/>
    <w:rsid w:val="004E0222"/>
    <w:rsid w:val="004E257C"/>
    <w:rsid w:val="004E26A1"/>
    <w:rsid w:val="004F483E"/>
    <w:rsid w:val="004F71B4"/>
    <w:rsid w:val="0050104C"/>
    <w:rsid w:val="00501F21"/>
    <w:rsid w:val="005023F4"/>
    <w:rsid w:val="005033CC"/>
    <w:rsid w:val="0050429A"/>
    <w:rsid w:val="00506F77"/>
    <w:rsid w:val="00511073"/>
    <w:rsid w:val="0051274A"/>
    <w:rsid w:val="00512CDD"/>
    <w:rsid w:val="00514C3B"/>
    <w:rsid w:val="00515EBB"/>
    <w:rsid w:val="00515F7A"/>
    <w:rsid w:val="00521F65"/>
    <w:rsid w:val="0052393E"/>
    <w:rsid w:val="00524986"/>
    <w:rsid w:val="005328FB"/>
    <w:rsid w:val="00534481"/>
    <w:rsid w:val="00536E75"/>
    <w:rsid w:val="0053702D"/>
    <w:rsid w:val="00537419"/>
    <w:rsid w:val="00537D90"/>
    <w:rsid w:val="005421C7"/>
    <w:rsid w:val="005448FA"/>
    <w:rsid w:val="00545934"/>
    <w:rsid w:val="00555F06"/>
    <w:rsid w:val="00556787"/>
    <w:rsid w:val="00560AE0"/>
    <w:rsid w:val="00566699"/>
    <w:rsid w:val="00567676"/>
    <w:rsid w:val="00567B3F"/>
    <w:rsid w:val="005703F1"/>
    <w:rsid w:val="00572DD6"/>
    <w:rsid w:val="00573035"/>
    <w:rsid w:val="005733EB"/>
    <w:rsid w:val="0057534D"/>
    <w:rsid w:val="00575721"/>
    <w:rsid w:val="00576514"/>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517E"/>
    <w:rsid w:val="005D5EEB"/>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F9C"/>
    <w:rsid w:val="00630480"/>
    <w:rsid w:val="00631F1B"/>
    <w:rsid w:val="00631FF9"/>
    <w:rsid w:val="00633C3F"/>
    <w:rsid w:val="00640D07"/>
    <w:rsid w:val="00642541"/>
    <w:rsid w:val="00644363"/>
    <w:rsid w:val="006446F7"/>
    <w:rsid w:val="00647B4C"/>
    <w:rsid w:val="00653F16"/>
    <w:rsid w:val="00655A88"/>
    <w:rsid w:val="00656C1C"/>
    <w:rsid w:val="00661204"/>
    <w:rsid w:val="00663B3E"/>
    <w:rsid w:val="0066610F"/>
    <w:rsid w:val="0066612D"/>
    <w:rsid w:val="00670A00"/>
    <w:rsid w:val="00673D7C"/>
    <w:rsid w:val="006748C2"/>
    <w:rsid w:val="006749FD"/>
    <w:rsid w:val="00674FA3"/>
    <w:rsid w:val="006761EE"/>
    <w:rsid w:val="00676C32"/>
    <w:rsid w:val="00680D39"/>
    <w:rsid w:val="00686046"/>
    <w:rsid w:val="006875A3"/>
    <w:rsid w:val="00687A21"/>
    <w:rsid w:val="00690C13"/>
    <w:rsid w:val="0069391A"/>
    <w:rsid w:val="006956C7"/>
    <w:rsid w:val="0069776E"/>
    <w:rsid w:val="00697A63"/>
    <w:rsid w:val="006A0ADE"/>
    <w:rsid w:val="006A29C5"/>
    <w:rsid w:val="006A3A54"/>
    <w:rsid w:val="006A561E"/>
    <w:rsid w:val="006A58E4"/>
    <w:rsid w:val="006A5E38"/>
    <w:rsid w:val="006A7D48"/>
    <w:rsid w:val="006C1F26"/>
    <w:rsid w:val="006C5108"/>
    <w:rsid w:val="006C6176"/>
    <w:rsid w:val="006D01DC"/>
    <w:rsid w:val="006D1136"/>
    <w:rsid w:val="006D254A"/>
    <w:rsid w:val="006D4AD4"/>
    <w:rsid w:val="006D5EDF"/>
    <w:rsid w:val="006D780C"/>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73F8"/>
    <w:rsid w:val="007078D3"/>
    <w:rsid w:val="00711E37"/>
    <w:rsid w:val="0071210D"/>
    <w:rsid w:val="0071313A"/>
    <w:rsid w:val="007149E2"/>
    <w:rsid w:val="0071623D"/>
    <w:rsid w:val="00720C22"/>
    <w:rsid w:val="007214F7"/>
    <w:rsid w:val="007218F2"/>
    <w:rsid w:val="00721EB9"/>
    <w:rsid w:val="00723B96"/>
    <w:rsid w:val="00723C1B"/>
    <w:rsid w:val="007256EA"/>
    <w:rsid w:val="007269AE"/>
    <w:rsid w:val="00727C51"/>
    <w:rsid w:val="00730B8A"/>
    <w:rsid w:val="00730DE0"/>
    <w:rsid w:val="00736AF9"/>
    <w:rsid w:val="0074093D"/>
    <w:rsid w:val="00741A50"/>
    <w:rsid w:val="00745032"/>
    <w:rsid w:val="007469C3"/>
    <w:rsid w:val="00746ED1"/>
    <w:rsid w:val="00754BDC"/>
    <w:rsid w:val="00755795"/>
    <w:rsid w:val="0075676A"/>
    <w:rsid w:val="00763D73"/>
    <w:rsid w:val="007640C8"/>
    <w:rsid w:val="00766945"/>
    <w:rsid w:val="00766A13"/>
    <w:rsid w:val="00766A8A"/>
    <w:rsid w:val="007676AF"/>
    <w:rsid w:val="00770D7C"/>
    <w:rsid w:val="00771421"/>
    <w:rsid w:val="00773727"/>
    <w:rsid w:val="00776087"/>
    <w:rsid w:val="00785145"/>
    <w:rsid w:val="00786497"/>
    <w:rsid w:val="00787C6A"/>
    <w:rsid w:val="00790289"/>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E24A6"/>
    <w:rsid w:val="007E2E80"/>
    <w:rsid w:val="007E3E1E"/>
    <w:rsid w:val="007E473B"/>
    <w:rsid w:val="007F2256"/>
    <w:rsid w:val="007F282E"/>
    <w:rsid w:val="007F5267"/>
    <w:rsid w:val="007F7846"/>
    <w:rsid w:val="00803379"/>
    <w:rsid w:val="008041A7"/>
    <w:rsid w:val="0080536C"/>
    <w:rsid w:val="00805578"/>
    <w:rsid w:val="008103B2"/>
    <w:rsid w:val="0081299A"/>
    <w:rsid w:val="008132B7"/>
    <w:rsid w:val="008152B2"/>
    <w:rsid w:val="00820B44"/>
    <w:rsid w:val="00821898"/>
    <w:rsid w:val="0082268A"/>
    <w:rsid w:val="00823454"/>
    <w:rsid w:val="00824894"/>
    <w:rsid w:val="008307E5"/>
    <w:rsid w:val="00833B24"/>
    <w:rsid w:val="00834547"/>
    <w:rsid w:val="00837290"/>
    <w:rsid w:val="008455DC"/>
    <w:rsid w:val="0084762B"/>
    <w:rsid w:val="00852DE6"/>
    <w:rsid w:val="00853CC3"/>
    <w:rsid w:val="00853E09"/>
    <w:rsid w:val="0085458F"/>
    <w:rsid w:val="00856768"/>
    <w:rsid w:val="00866F05"/>
    <w:rsid w:val="00867D56"/>
    <w:rsid w:val="00870064"/>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5D82"/>
    <w:rsid w:val="008B048C"/>
    <w:rsid w:val="008B537A"/>
    <w:rsid w:val="008B5FA8"/>
    <w:rsid w:val="008B6631"/>
    <w:rsid w:val="008C0E72"/>
    <w:rsid w:val="008C0F70"/>
    <w:rsid w:val="008C351E"/>
    <w:rsid w:val="008C651F"/>
    <w:rsid w:val="008C6F50"/>
    <w:rsid w:val="008C7CEB"/>
    <w:rsid w:val="008D17A8"/>
    <w:rsid w:val="008D2C03"/>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9A2"/>
    <w:rsid w:val="009272C6"/>
    <w:rsid w:val="00930F68"/>
    <w:rsid w:val="0093185F"/>
    <w:rsid w:val="009339EC"/>
    <w:rsid w:val="0093743A"/>
    <w:rsid w:val="00937BFA"/>
    <w:rsid w:val="00940069"/>
    <w:rsid w:val="0094138F"/>
    <w:rsid w:val="00942349"/>
    <w:rsid w:val="009436D4"/>
    <w:rsid w:val="00943B37"/>
    <w:rsid w:val="00954DC1"/>
    <w:rsid w:val="00960B59"/>
    <w:rsid w:val="00960D8F"/>
    <w:rsid w:val="0096284F"/>
    <w:rsid w:val="0096359D"/>
    <w:rsid w:val="00963E83"/>
    <w:rsid w:val="00964774"/>
    <w:rsid w:val="00967270"/>
    <w:rsid w:val="00967F63"/>
    <w:rsid w:val="00973200"/>
    <w:rsid w:val="0097416D"/>
    <w:rsid w:val="009759F9"/>
    <w:rsid w:val="0098096A"/>
    <w:rsid w:val="00983A8A"/>
    <w:rsid w:val="00983F37"/>
    <w:rsid w:val="00984CA8"/>
    <w:rsid w:val="009859B8"/>
    <w:rsid w:val="00991300"/>
    <w:rsid w:val="009930C2"/>
    <w:rsid w:val="00993DE1"/>
    <w:rsid w:val="00994FE7"/>
    <w:rsid w:val="009978AF"/>
    <w:rsid w:val="009A3626"/>
    <w:rsid w:val="009A5C57"/>
    <w:rsid w:val="009B0787"/>
    <w:rsid w:val="009B1AC0"/>
    <w:rsid w:val="009B205B"/>
    <w:rsid w:val="009B3592"/>
    <w:rsid w:val="009B70C3"/>
    <w:rsid w:val="009C10B1"/>
    <w:rsid w:val="009C1EA2"/>
    <w:rsid w:val="009C3FC7"/>
    <w:rsid w:val="009C470F"/>
    <w:rsid w:val="009C4F59"/>
    <w:rsid w:val="009C7409"/>
    <w:rsid w:val="009D0FC6"/>
    <w:rsid w:val="009D56AA"/>
    <w:rsid w:val="009D5B73"/>
    <w:rsid w:val="009E0089"/>
    <w:rsid w:val="009E2F7A"/>
    <w:rsid w:val="009E396D"/>
    <w:rsid w:val="009E3CA4"/>
    <w:rsid w:val="009E4E76"/>
    <w:rsid w:val="009E5E62"/>
    <w:rsid w:val="009E68A4"/>
    <w:rsid w:val="009E6C27"/>
    <w:rsid w:val="009E723C"/>
    <w:rsid w:val="009F04C3"/>
    <w:rsid w:val="009F1D0A"/>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5B31"/>
    <w:rsid w:val="00A4214D"/>
    <w:rsid w:val="00A42E37"/>
    <w:rsid w:val="00A469D5"/>
    <w:rsid w:val="00A508AD"/>
    <w:rsid w:val="00A562CC"/>
    <w:rsid w:val="00A56706"/>
    <w:rsid w:val="00A62727"/>
    <w:rsid w:val="00A64034"/>
    <w:rsid w:val="00A6567E"/>
    <w:rsid w:val="00A65C29"/>
    <w:rsid w:val="00A65D02"/>
    <w:rsid w:val="00A666CE"/>
    <w:rsid w:val="00A72E29"/>
    <w:rsid w:val="00A73E40"/>
    <w:rsid w:val="00A80597"/>
    <w:rsid w:val="00A8643B"/>
    <w:rsid w:val="00A871F0"/>
    <w:rsid w:val="00A872EF"/>
    <w:rsid w:val="00A9172E"/>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526E"/>
    <w:rsid w:val="00AE658B"/>
    <w:rsid w:val="00AF163E"/>
    <w:rsid w:val="00AF1F1C"/>
    <w:rsid w:val="00AF5920"/>
    <w:rsid w:val="00B00A36"/>
    <w:rsid w:val="00B00ED3"/>
    <w:rsid w:val="00B070F5"/>
    <w:rsid w:val="00B10042"/>
    <w:rsid w:val="00B10DAE"/>
    <w:rsid w:val="00B12CBA"/>
    <w:rsid w:val="00B13B4A"/>
    <w:rsid w:val="00B16CAC"/>
    <w:rsid w:val="00B240AC"/>
    <w:rsid w:val="00B245D7"/>
    <w:rsid w:val="00B24972"/>
    <w:rsid w:val="00B319B6"/>
    <w:rsid w:val="00B31ACE"/>
    <w:rsid w:val="00B3452B"/>
    <w:rsid w:val="00B34950"/>
    <w:rsid w:val="00B352EF"/>
    <w:rsid w:val="00B36A29"/>
    <w:rsid w:val="00B40D36"/>
    <w:rsid w:val="00B41407"/>
    <w:rsid w:val="00B43514"/>
    <w:rsid w:val="00B43E02"/>
    <w:rsid w:val="00B45D16"/>
    <w:rsid w:val="00B501B2"/>
    <w:rsid w:val="00B519E6"/>
    <w:rsid w:val="00B525C1"/>
    <w:rsid w:val="00B549E1"/>
    <w:rsid w:val="00B54F05"/>
    <w:rsid w:val="00B56587"/>
    <w:rsid w:val="00B636D7"/>
    <w:rsid w:val="00B65E1E"/>
    <w:rsid w:val="00B73E6C"/>
    <w:rsid w:val="00B75842"/>
    <w:rsid w:val="00B77270"/>
    <w:rsid w:val="00B856EC"/>
    <w:rsid w:val="00B87778"/>
    <w:rsid w:val="00B93C5C"/>
    <w:rsid w:val="00B93F29"/>
    <w:rsid w:val="00B96B2B"/>
    <w:rsid w:val="00B97CAC"/>
    <w:rsid w:val="00BA1EA1"/>
    <w:rsid w:val="00BA69A0"/>
    <w:rsid w:val="00BB1950"/>
    <w:rsid w:val="00BB1D9B"/>
    <w:rsid w:val="00BB2359"/>
    <w:rsid w:val="00BB2580"/>
    <w:rsid w:val="00BB4899"/>
    <w:rsid w:val="00BB536F"/>
    <w:rsid w:val="00BB5394"/>
    <w:rsid w:val="00BB5C52"/>
    <w:rsid w:val="00BC3F29"/>
    <w:rsid w:val="00BC64D4"/>
    <w:rsid w:val="00BC73C0"/>
    <w:rsid w:val="00BD1DE7"/>
    <w:rsid w:val="00BD20DA"/>
    <w:rsid w:val="00BD3CE4"/>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4868"/>
    <w:rsid w:val="00C47EEF"/>
    <w:rsid w:val="00C50B3E"/>
    <w:rsid w:val="00C51021"/>
    <w:rsid w:val="00C51304"/>
    <w:rsid w:val="00C55D8A"/>
    <w:rsid w:val="00C614A7"/>
    <w:rsid w:val="00C61E4B"/>
    <w:rsid w:val="00C6603E"/>
    <w:rsid w:val="00C66B27"/>
    <w:rsid w:val="00C66F1C"/>
    <w:rsid w:val="00C67122"/>
    <w:rsid w:val="00C67A59"/>
    <w:rsid w:val="00C76838"/>
    <w:rsid w:val="00C82FCC"/>
    <w:rsid w:val="00C8573E"/>
    <w:rsid w:val="00C865D8"/>
    <w:rsid w:val="00C9078F"/>
    <w:rsid w:val="00C90CE9"/>
    <w:rsid w:val="00C911DE"/>
    <w:rsid w:val="00C921D5"/>
    <w:rsid w:val="00C95F13"/>
    <w:rsid w:val="00C96673"/>
    <w:rsid w:val="00CA2ED9"/>
    <w:rsid w:val="00CA3DD3"/>
    <w:rsid w:val="00CA4F4C"/>
    <w:rsid w:val="00CA5E58"/>
    <w:rsid w:val="00CA5EC1"/>
    <w:rsid w:val="00CA6D10"/>
    <w:rsid w:val="00CA75F9"/>
    <w:rsid w:val="00CA7E4A"/>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13B83"/>
    <w:rsid w:val="00D14D51"/>
    <w:rsid w:val="00D14E3B"/>
    <w:rsid w:val="00D20DEA"/>
    <w:rsid w:val="00D22D43"/>
    <w:rsid w:val="00D23F11"/>
    <w:rsid w:val="00D2480E"/>
    <w:rsid w:val="00D32449"/>
    <w:rsid w:val="00D32E6F"/>
    <w:rsid w:val="00D34693"/>
    <w:rsid w:val="00D35E9C"/>
    <w:rsid w:val="00D44EA4"/>
    <w:rsid w:val="00D46905"/>
    <w:rsid w:val="00D5329C"/>
    <w:rsid w:val="00D53F05"/>
    <w:rsid w:val="00D54889"/>
    <w:rsid w:val="00D5656D"/>
    <w:rsid w:val="00D5700E"/>
    <w:rsid w:val="00D57072"/>
    <w:rsid w:val="00D57A8D"/>
    <w:rsid w:val="00D60368"/>
    <w:rsid w:val="00D61A59"/>
    <w:rsid w:val="00D61A84"/>
    <w:rsid w:val="00D6260A"/>
    <w:rsid w:val="00D62AFD"/>
    <w:rsid w:val="00D62B87"/>
    <w:rsid w:val="00D633B6"/>
    <w:rsid w:val="00D64F6D"/>
    <w:rsid w:val="00D657FA"/>
    <w:rsid w:val="00D70758"/>
    <w:rsid w:val="00D7119A"/>
    <w:rsid w:val="00D7194F"/>
    <w:rsid w:val="00D72130"/>
    <w:rsid w:val="00D72377"/>
    <w:rsid w:val="00D760EF"/>
    <w:rsid w:val="00D77749"/>
    <w:rsid w:val="00D77F62"/>
    <w:rsid w:val="00D80239"/>
    <w:rsid w:val="00D80E2D"/>
    <w:rsid w:val="00D82C3F"/>
    <w:rsid w:val="00D82E20"/>
    <w:rsid w:val="00D844B6"/>
    <w:rsid w:val="00D906FA"/>
    <w:rsid w:val="00D96AAE"/>
    <w:rsid w:val="00DA05A6"/>
    <w:rsid w:val="00DA0E70"/>
    <w:rsid w:val="00DA1E7A"/>
    <w:rsid w:val="00DA21DB"/>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2F2C"/>
    <w:rsid w:val="00DF3485"/>
    <w:rsid w:val="00DF51C8"/>
    <w:rsid w:val="00DF7654"/>
    <w:rsid w:val="00E014FE"/>
    <w:rsid w:val="00E04063"/>
    <w:rsid w:val="00E06A75"/>
    <w:rsid w:val="00E1520C"/>
    <w:rsid w:val="00E23E06"/>
    <w:rsid w:val="00E25492"/>
    <w:rsid w:val="00E31685"/>
    <w:rsid w:val="00E325CC"/>
    <w:rsid w:val="00E34126"/>
    <w:rsid w:val="00E37AA1"/>
    <w:rsid w:val="00E402C6"/>
    <w:rsid w:val="00E426C9"/>
    <w:rsid w:val="00E50EFF"/>
    <w:rsid w:val="00E50F4B"/>
    <w:rsid w:val="00E51881"/>
    <w:rsid w:val="00E51947"/>
    <w:rsid w:val="00E51F9E"/>
    <w:rsid w:val="00E53096"/>
    <w:rsid w:val="00E56111"/>
    <w:rsid w:val="00E57465"/>
    <w:rsid w:val="00E60476"/>
    <w:rsid w:val="00E61468"/>
    <w:rsid w:val="00E64D10"/>
    <w:rsid w:val="00E65AE8"/>
    <w:rsid w:val="00E6713D"/>
    <w:rsid w:val="00E70CAE"/>
    <w:rsid w:val="00E71151"/>
    <w:rsid w:val="00E726BA"/>
    <w:rsid w:val="00E755E5"/>
    <w:rsid w:val="00E80A76"/>
    <w:rsid w:val="00E80DE9"/>
    <w:rsid w:val="00E83DA0"/>
    <w:rsid w:val="00E85324"/>
    <w:rsid w:val="00E93579"/>
    <w:rsid w:val="00E95C59"/>
    <w:rsid w:val="00EA0886"/>
    <w:rsid w:val="00EA2502"/>
    <w:rsid w:val="00EA2AAB"/>
    <w:rsid w:val="00EA75CB"/>
    <w:rsid w:val="00EB2068"/>
    <w:rsid w:val="00EB2AB5"/>
    <w:rsid w:val="00EB5002"/>
    <w:rsid w:val="00EC1776"/>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5FEE"/>
    <w:rsid w:val="00EE6120"/>
    <w:rsid w:val="00EF2AED"/>
    <w:rsid w:val="00EF4D17"/>
    <w:rsid w:val="00EF536F"/>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4637"/>
    <w:rsid w:val="00F45389"/>
    <w:rsid w:val="00F46398"/>
    <w:rsid w:val="00F4708B"/>
    <w:rsid w:val="00F50F19"/>
    <w:rsid w:val="00F53B53"/>
    <w:rsid w:val="00F53C2C"/>
    <w:rsid w:val="00F53CE0"/>
    <w:rsid w:val="00F56ECE"/>
    <w:rsid w:val="00F66892"/>
    <w:rsid w:val="00F66A72"/>
    <w:rsid w:val="00F71330"/>
    <w:rsid w:val="00F75846"/>
    <w:rsid w:val="00F7667E"/>
    <w:rsid w:val="00F81983"/>
    <w:rsid w:val="00F83F9F"/>
    <w:rsid w:val="00F8521C"/>
    <w:rsid w:val="00F85465"/>
    <w:rsid w:val="00F86466"/>
    <w:rsid w:val="00F8666D"/>
    <w:rsid w:val="00F91340"/>
    <w:rsid w:val="00F92B04"/>
    <w:rsid w:val="00F92D09"/>
    <w:rsid w:val="00F9346E"/>
    <w:rsid w:val="00FA1E70"/>
    <w:rsid w:val="00FA47E2"/>
    <w:rsid w:val="00FA6C7F"/>
    <w:rsid w:val="00FA6D86"/>
    <w:rsid w:val="00FA6EC1"/>
    <w:rsid w:val="00FB2F77"/>
    <w:rsid w:val="00FB43AB"/>
    <w:rsid w:val="00FB4B56"/>
    <w:rsid w:val="00FB55E9"/>
    <w:rsid w:val="00FC2003"/>
    <w:rsid w:val="00FC26E5"/>
    <w:rsid w:val="00FC52F9"/>
    <w:rsid w:val="00FC7D8B"/>
    <w:rsid w:val="00FD0840"/>
    <w:rsid w:val="00FD0950"/>
    <w:rsid w:val="00FD1AEE"/>
    <w:rsid w:val="00FD23C6"/>
    <w:rsid w:val="00FD3A3C"/>
    <w:rsid w:val="00FD4EB1"/>
    <w:rsid w:val="00FD55D4"/>
    <w:rsid w:val="00FD7EE2"/>
    <w:rsid w:val="00FE6B22"/>
    <w:rsid w:val="00FE6D76"/>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3665B7F2-99D9-48CE-9C8F-7EDF41E6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13114</Words>
  <Characters>72131</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2019-10-07T18:58:00Z</cp:lastPrinted>
  <dcterms:created xsi:type="dcterms:W3CDTF">2019-10-24T18:33:00Z</dcterms:created>
  <dcterms:modified xsi:type="dcterms:W3CDTF">2019-10-24T18:33:00Z</dcterms:modified>
</cp:coreProperties>
</file>