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3D" w:rsidRDefault="00A17B3D" w:rsidP="004475A9">
      <w:pPr>
        <w:widowControl w:val="0"/>
        <w:spacing w:before="100" w:beforeAutospacing="1" w:after="100" w:afterAutospacing="1" w:line="360" w:lineRule="auto"/>
        <w:ind w:right="49"/>
        <w:jc w:val="both"/>
        <w:rPr>
          <w:rFonts w:ascii="Palatino Linotype" w:hAnsi="Palatino Linotype" w:cs="Arial"/>
          <w:b/>
        </w:rPr>
      </w:pPr>
    </w:p>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F3BF8">
        <w:rPr>
          <w:rFonts w:ascii="Palatino Linotype" w:hAnsi="Palatino Linotype" w:cs="Arial"/>
          <w:b/>
        </w:rPr>
        <w:t>NOVENA</w:t>
      </w:r>
      <w:r>
        <w:rPr>
          <w:rFonts w:ascii="Palatino Linotype" w:hAnsi="Palatino Linotype" w:cs="Arial"/>
          <w:b/>
        </w:rPr>
        <w:t xml:space="preserve"> SESIÓN ORDINARIA DE </w:t>
      </w:r>
      <w:r w:rsidR="00592656">
        <w:rPr>
          <w:rFonts w:ascii="Palatino Linotype" w:hAnsi="Palatino Linotype" w:cs="Arial"/>
          <w:b/>
        </w:rPr>
        <w:t>ONCE DE MARZO</w:t>
      </w:r>
      <w:r w:rsidR="00914A73">
        <w:rPr>
          <w:rFonts w:ascii="Palatino Linotype" w:hAnsi="Palatino Linotype" w:cs="Arial"/>
          <w:b/>
        </w:rPr>
        <w:t xml:space="preserve"> DE DOS MIL VEINTE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w:t>
      </w:r>
      <w:proofErr w:type="gramStart"/>
      <w:r w:rsidR="00083356">
        <w:rPr>
          <w:rFonts w:ascii="Palatino Linotype" w:hAnsi="Palatino Linotype" w:cs="Arial"/>
          <w:b/>
        </w:rPr>
        <w:t>ACUMULADOS</w:t>
      </w:r>
      <w:r w:rsidRPr="0007653D">
        <w:rPr>
          <w:rFonts w:ascii="Palatino Linotype" w:hAnsi="Palatino Linotype" w:cs="Arial"/>
          <w:b/>
        </w:rPr>
        <w:t xml:space="preserve"> </w:t>
      </w:r>
      <w:r w:rsidR="00914A73" w:rsidRPr="00914A73">
        <w:rPr>
          <w:rFonts w:ascii="Palatino Linotype" w:hAnsi="Palatino Linotype" w:cs="Arial"/>
          <w:b/>
          <w:bCs/>
        </w:rPr>
        <w:t xml:space="preserve"> </w:t>
      </w:r>
      <w:r w:rsidR="00592656" w:rsidRPr="00832B4A">
        <w:rPr>
          <w:rFonts w:ascii="Palatino Linotype" w:hAnsi="Palatino Linotype"/>
          <w:b/>
          <w:lang w:val="es-ES_tradnl"/>
        </w:rPr>
        <w:t>11189</w:t>
      </w:r>
      <w:proofErr w:type="gramEnd"/>
      <w:r w:rsidR="00592656" w:rsidRPr="00832B4A">
        <w:rPr>
          <w:rFonts w:ascii="Palatino Linotype" w:hAnsi="Palatino Linotype"/>
          <w:b/>
          <w:lang w:val="es-ES_tradnl"/>
        </w:rPr>
        <w:t>/INFOEM/IP/RR/2019</w:t>
      </w:r>
      <w:r w:rsidR="00592656">
        <w:rPr>
          <w:rFonts w:ascii="Palatino Linotype" w:hAnsi="Palatino Linotype"/>
          <w:b/>
          <w:lang w:val="es-ES_tradnl"/>
        </w:rPr>
        <w:t xml:space="preserve"> </w:t>
      </w:r>
      <w:r w:rsidR="00914A73" w:rsidRPr="00914A73">
        <w:rPr>
          <w:rFonts w:ascii="Palatino Linotype" w:hAnsi="Palatino Linotype" w:cs="Arial"/>
          <w:b/>
          <w:bCs/>
        </w:rPr>
        <w:t xml:space="preserve">y </w:t>
      </w:r>
      <w:r w:rsidR="00592656" w:rsidRPr="00832B4A">
        <w:rPr>
          <w:rFonts w:ascii="Palatino Linotype" w:hAnsi="Palatino Linotype"/>
          <w:b/>
          <w:lang w:val="es-ES_tradnl"/>
        </w:rPr>
        <w:t>11192/INFOEM/IP/RR/2019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 xml:space="preserve">del Reglamento Interior del Instituto de Transparencia, Acceso a la Información Pública y Protección </w:t>
      </w:r>
      <w:proofErr w:type="gramStart"/>
      <w:r w:rsidRPr="00E42755">
        <w:rPr>
          <w:rFonts w:ascii="Palatino Linotype" w:hAnsi="Palatino Linotype" w:cs="Arial"/>
        </w:rPr>
        <w:t>de</w:t>
      </w:r>
      <w:proofErr w:type="gramEnd"/>
      <w:r w:rsidRPr="00E42755">
        <w:rPr>
          <w:rFonts w:ascii="Palatino Linotype" w:hAnsi="Palatino Linotype" w:cs="Arial"/>
        </w:rPr>
        <w:t xml:space="preserv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592656" w:rsidRPr="00832B4A">
        <w:rPr>
          <w:rFonts w:ascii="Palatino Linotype" w:hAnsi="Palatino Linotype"/>
          <w:b/>
          <w:lang w:val="es-ES_tradnl"/>
        </w:rPr>
        <w:t>11189/INFOEM/IP/RR/2019</w:t>
      </w:r>
      <w:r w:rsidR="00592656">
        <w:rPr>
          <w:rFonts w:ascii="Palatino Linotype" w:hAnsi="Palatino Linotype"/>
          <w:b/>
          <w:lang w:val="es-ES_tradnl"/>
        </w:rPr>
        <w:t xml:space="preserve"> </w:t>
      </w:r>
      <w:r w:rsidR="00592656" w:rsidRPr="00914A73">
        <w:rPr>
          <w:rFonts w:ascii="Palatino Linotype" w:hAnsi="Palatino Linotype" w:cs="Arial"/>
          <w:b/>
          <w:bCs/>
        </w:rPr>
        <w:t xml:space="preserve">y </w:t>
      </w:r>
      <w:r w:rsidR="00592656" w:rsidRPr="00832B4A">
        <w:rPr>
          <w:rFonts w:ascii="Palatino Linotype" w:hAnsi="Palatino Linotype"/>
          <w:b/>
          <w:lang w:val="es-ES_tradnl"/>
        </w:rPr>
        <w:t>11192/INFOEM/IP/RR/2019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w:t>
      </w:r>
      <w:r w:rsidR="008B674E">
        <w:rPr>
          <w:rFonts w:ascii="Palatino Linotype" w:hAnsi="Palatino Linotype" w:cs="Arial"/>
        </w:rPr>
        <w:t>por el</w:t>
      </w:r>
      <w:r w:rsidRPr="00E42755">
        <w:rPr>
          <w:rFonts w:ascii="Palatino Linotype" w:hAnsi="Palatino Linotype" w:cs="Arial"/>
        </w:rPr>
        <w:t xml:space="preserve"> Comisionad</w:t>
      </w:r>
      <w:r w:rsidR="00743508">
        <w:rPr>
          <w:rFonts w:ascii="Palatino Linotype" w:hAnsi="Palatino Linotype" w:cs="Arial"/>
        </w:rPr>
        <w:t xml:space="preserve">o </w:t>
      </w:r>
      <w:r w:rsidR="00914A73">
        <w:rPr>
          <w:rFonts w:ascii="Palatino Linotype" w:hAnsi="Palatino Linotype" w:cs="Arial"/>
          <w:b/>
        </w:rPr>
        <w:t>JAVIER MARTÍNEZ CRUZ</w:t>
      </w:r>
      <w:r w:rsidR="00322047">
        <w:rPr>
          <w:rFonts w:ascii="Palatino Linotype" w:hAnsi="Palatino Linotype" w:cs="Arial"/>
          <w:b/>
        </w:rPr>
        <w:t xml:space="preserve"> </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tocante al fundamento referido en el resolutivo CUARTO</w:t>
      </w:r>
      <w:r w:rsidRPr="00D93A88">
        <w:rPr>
          <w:rFonts w:ascii="Palatino Linotype" w:hAnsi="Palatino Linotype"/>
        </w:rPr>
        <w:t>.</w:t>
      </w:r>
    </w:p>
    <w:p w:rsidR="00680243" w:rsidRPr="00F35F5F" w:rsidRDefault="004475A9" w:rsidP="00680243">
      <w:pPr>
        <w:spacing w:line="360" w:lineRule="auto"/>
        <w:jc w:val="both"/>
        <w:rPr>
          <w:rFonts w:ascii="Palatino Linotype" w:eastAsia="Calibri" w:hAnsi="Palatino Linotype" w:cs="Tahoma"/>
          <w:bCs/>
          <w:sz w:val="22"/>
          <w:szCs w:val="22"/>
          <w:lang w:eastAsia="en-US"/>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sidR="00680243">
        <w:rPr>
          <w:rFonts w:ascii="Palatino Linotype" w:hAnsi="Palatino Linotype"/>
        </w:rPr>
        <w:t xml:space="preserve">requirió del </w:t>
      </w:r>
      <w:r w:rsidR="00914A73" w:rsidRPr="00914A73">
        <w:rPr>
          <w:rFonts w:ascii="Palatino Linotype" w:eastAsia="Calibri" w:hAnsi="Palatino Linotype" w:cs="Tahoma"/>
          <w:b/>
          <w:lang w:eastAsia="en-US"/>
        </w:rPr>
        <w:t>Ayuntamiento de San Simón de Guerrero</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00680243" w:rsidRPr="00F35F5F">
        <w:rPr>
          <w:rFonts w:ascii="Palatino Linotype" w:eastAsia="Calibri" w:hAnsi="Palatino Linotype" w:cs="Tahoma"/>
          <w:bCs/>
          <w:sz w:val="22"/>
          <w:szCs w:val="22"/>
          <w:lang w:eastAsia="en-US"/>
        </w:rPr>
        <w:t xml:space="preserve"> lo siguiente: </w:t>
      </w:r>
    </w:p>
    <w:p w:rsidR="00592656" w:rsidRDefault="00592656" w:rsidP="00592656">
      <w:pPr>
        <w:pStyle w:val="Prrafodelista"/>
        <w:tabs>
          <w:tab w:val="left" w:pos="4962"/>
        </w:tabs>
        <w:ind w:right="708"/>
        <w:jc w:val="both"/>
        <w:rPr>
          <w:rFonts w:ascii="Palatino Linotype" w:hAnsi="Palatino Linotype" w:cs="Arial"/>
          <w:i/>
          <w:sz w:val="22"/>
          <w:szCs w:val="22"/>
        </w:rPr>
      </w:pPr>
      <w:r>
        <w:rPr>
          <w:rFonts w:ascii="Palatino Linotype" w:hAnsi="Palatino Linotype" w:cs="Arial"/>
          <w:i/>
          <w:sz w:val="22"/>
          <w:szCs w:val="22"/>
        </w:rPr>
        <w:lastRenderedPageBreak/>
        <w:t>•</w:t>
      </w:r>
      <w:r w:rsidRPr="00592656">
        <w:rPr>
          <w:rFonts w:ascii="Palatino Linotype" w:hAnsi="Palatino Linotype" w:cs="Arial"/>
          <w:i/>
          <w:sz w:val="22"/>
          <w:szCs w:val="22"/>
        </w:rPr>
        <w:t xml:space="preserve">Las constancias de identidad que emitió la Secretaría del Ayuntamiento en el mes de abril de 2019; y, </w:t>
      </w:r>
    </w:p>
    <w:p w:rsidR="00592656" w:rsidRPr="00592656" w:rsidRDefault="00592656" w:rsidP="00592656">
      <w:pPr>
        <w:pStyle w:val="Prrafodelista"/>
        <w:tabs>
          <w:tab w:val="left" w:pos="4962"/>
        </w:tabs>
        <w:ind w:right="708"/>
        <w:jc w:val="both"/>
        <w:rPr>
          <w:rFonts w:ascii="Palatino Linotype" w:hAnsi="Palatino Linotype" w:cs="Arial"/>
          <w:i/>
          <w:sz w:val="22"/>
          <w:szCs w:val="22"/>
        </w:rPr>
      </w:pPr>
    </w:p>
    <w:p w:rsidR="00914A73" w:rsidRDefault="00592656" w:rsidP="00592656">
      <w:pPr>
        <w:pStyle w:val="Prrafodelista"/>
        <w:tabs>
          <w:tab w:val="left" w:pos="4962"/>
        </w:tabs>
        <w:ind w:right="708"/>
        <w:jc w:val="both"/>
        <w:rPr>
          <w:rFonts w:ascii="Palatino Linotype" w:hAnsi="Palatino Linotype" w:cs="Arial"/>
          <w:i/>
          <w:sz w:val="22"/>
          <w:szCs w:val="22"/>
        </w:rPr>
      </w:pPr>
      <w:r>
        <w:rPr>
          <w:rFonts w:ascii="Palatino Linotype" w:hAnsi="Palatino Linotype" w:cs="Arial"/>
          <w:i/>
          <w:sz w:val="22"/>
          <w:szCs w:val="22"/>
        </w:rPr>
        <w:t>•</w:t>
      </w:r>
      <w:r w:rsidRPr="00592656">
        <w:rPr>
          <w:rFonts w:ascii="Palatino Linotype" w:hAnsi="Palatino Linotype" w:cs="Arial"/>
          <w:i/>
          <w:sz w:val="22"/>
          <w:szCs w:val="22"/>
        </w:rPr>
        <w:t>Las constancias de identidad que emitió la Secretaría del Ayuntamiento en el mes de julio de 2019;</w:t>
      </w:r>
    </w:p>
    <w:p w:rsidR="00FB037E" w:rsidRPr="00FB037E" w:rsidRDefault="00FB037E" w:rsidP="00FB037E">
      <w:pPr>
        <w:pStyle w:val="Prrafodelista"/>
        <w:tabs>
          <w:tab w:val="left" w:pos="4962"/>
        </w:tabs>
        <w:ind w:right="708"/>
        <w:jc w:val="both"/>
        <w:rPr>
          <w:rFonts w:ascii="Palatino Linotype" w:hAnsi="Palatino Linotype" w:cs="Arial"/>
          <w:i/>
          <w:sz w:val="22"/>
          <w:szCs w:val="22"/>
        </w:rPr>
      </w:pPr>
    </w:p>
    <w:p w:rsidR="004475A9" w:rsidRPr="00190AC3" w:rsidRDefault="004475A9" w:rsidP="00914A73">
      <w:pPr>
        <w:tabs>
          <w:tab w:val="left" w:pos="4962"/>
        </w:tabs>
        <w:spacing w:line="360" w:lineRule="auto"/>
        <w:ind w:right="-28"/>
        <w:jc w:val="both"/>
        <w:rPr>
          <w:rFonts w:ascii="Palatino Linotype" w:eastAsia="Calibri" w:hAnsi="Palatino Linotype" w:cs="Tahoma"/>
          <w:iCs/>
          <w:szCs w:val="22"/>
          <w:lang w:eastAsia="es-ES_tradnl"/>
        </w:rPr>
      </w:pPr>
      <w:r w:rsidRPr="00190AC3">
        <w:rPr>
          <w:rFonts w:ascii="Palatino Linotype" w:hAnsi="Palatino Linotype" w:cs="Arial"/>
        </w:rPr>
        <w:t xml:space="preserve">De las constancias que obran en el Sistema de Acceso a la Información Mexiquense, </w:t>
      </w:r>
      <w:r w:rsidRPr="00190AC3">
        <w:rPr>
          <w:rFonts w:ascii="Palatino Linotype" w:hAnsi="Palatino Linotype" w:cs="Arial"/>
          <w:b/>
        </w:rPr>
        <w:t xml:space="preserve">SAIMEX, </w:t>
      </w:r>
      <w:r w:rsidRPr="00190AC3">
        <w:rPr>
          <w:rFonts w:ascii="Palatino Linotype" w:hAnsi="Palatino Linotype" w:cs="Arial"/>
        </w:rPr>
        <w:t xml:space="preserve">se advierte que, </w:t>
      </w:r>
      <w:r w:rsidRPr="00190AC3">
        <w:rPr>
          <w:rFonts w:ascii="Palatino Linotype" w:hAnsi="Palatino Linotype" w:cs="Arial"/>
          <w:b/>
        </w:rPr>
        <w:t>EL SUJETO OBLIGADO,</w:t>
      </w:r>
      <w:r w:rsidRPr="00190AC3">
        <w:rPr>
          <w:rFonts w:ascii="Palatino Linotype" w:hAnsi="Palatino Linotype" w:cs="Arial"/>
        </w:rPr>
        <w:t xml:space="preserve"> </w:t>
      </w:r>
      <w:r w:rsidR="00592656">
        <w:rPr>
          <w:rFonts w:ascii="Palatino Linotype" w:hAnsi="Palatino Linotype" w:cs="Arial"/>
        </w:rPr>
        <w:t>fue omiso en presentar su respuesta a la solicitud de acceso a la información pública</w:t>
      </w:r>
      <w:r w:rsidR="00D17C82" w:rsidRPr="0059263B">
        <w:rPr>
          <w:rFonts w:ascii="Palatino Linotype" w:hAnsi="Palatino Linotype" w:cs="Arial"/>
        </w:rPr>
        <w:t>.</w:t>
      </w:r>
    </w:p>
    <w:p w:rsidR="004475A9" w:rsidRPr="00083356" w:rsidRDefault="004475A9" w:rsidP="004475A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 </w:t>
      </w:r>
      <w:r w:rsidRPr="006B517F">
        <w:rPr>
          <w:rFonts w:ascii="Palatino Linotype" w:hAnsi="Palatino Linotype" w:cs="Arial"/>
        </w:rPr>
        <w:t>Inconforme con la</w:t>
      </w:r>
      <w:r w:rsidR="00190AC3">
        <w:rPr>
          <w:rFonts w:ascii="Palatino Linotype" w:hAnsi="Palatino Linotype" w:cs="Arial"/>
        </w:rPr>
        <w:t>s</w:t>
      </w:r>
      <w:r w:rsidRPr="006B517F">
        <w:rPr>
          <w:rFonts w:ascii="Palatino Linotype" w:hAnsi="Palatino Linotype" w:cs="Arial"/>
        </w:rPr>
        <w:t xml:space="preserve"> respuesta</w:t>
      </w:r>
      <w:r w:rsidR="00190AC3">
        <w:rPr>
          <w:rFonts w:ascii="Palatino Linotype" w:hAnsi="Palatino Linotype" w:cs="Arial"/>
        </w:rPr>
        <w:t>s</w:t>
      </w:r>
      <w:r w:rsidRPr="006B517F">
        <w:rPr>
          <w:rFonts w:ascii="Palatino Linotype" w:hAnsi="Palatino Linotype" w:cs="Arial"/>
        </w:rPr>
        <w:t xml:space="preserve">, </w:t>
      </w:r>
      <w:r w:rsidRPr="006B517F">
        <w:rPr>
          <w:rFonts w:ascii="Palatino Linotype" w:hAnsi="Palatino Linotype" w:cs="Arial"/>
          <w:b/>
        </w:rPr>
        <w:t>EL RECURRENTE</w:t>
      </w:r>
      <w:r w:rsidR="00190AC3">
        <w:rPr>
          <w:rFonts w:ascii="Palatino Linotype" w:hAnsi="Palatino Linotype" w:cs="Arial"/>
        </w:rPr>
        <w:t>, interpuso los</w:t>
      </w:r>
      <w:r w:rsidRPr="006B517F">
        <w:rPr>
          <w:rFonts w:ascii="Palatino Linotype" w:hAnsi="Palatino Linotype" w:cs="Arial"/>
        </w:rPr>
        <w:t xml:space="preserve"> recurso</w:t>
      </w:r>
      <w:r w:rsidR="00190AC3">
        <w:rPr>
          <w:rFonts w:ascii="Palatino Linotype" w:hAnsi="Palatino Linotype" w:cs="Arial"/>
        </w:rPr>
        <w:t>s</w:t>
      </w:r>
      <w:r w:rsidRPr="006B517F">
        <w:rPr>
          <w:rFonts w:ascii="Palatino Linotype" w:hAnsi="Palatino Linotype" w:cs="Arial"/>
        </w:rPr>
        <w:t xml:space="preserve">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 xml:space="preserve">manifestó </w:t>
      </w:r>
      <w:r w:rsidR="00D17C82">
        <w:rPr>
          <w:rFonts w:ascii="Palatino Linotype" w:eastAsia="Calibri" w:hAnsi="Palatino Linotype" w:cs="Tahoma"/>
          <w:iCs/>
          <w:sz w:val="22"/>
          <w:szCs w:val="22"/>
          <w:lang w:eastAsia="es-ES_tradnl"/>
        </w:rPr>
        <w:t xml:space="preserve">que </w:t>
      </w:r>
      <w:r w:rsidR="00D17C82" w:rsidRPr="008B674E">
        <w:rPr>
          <w:rFonts w:ascii="Palatino Linotype" w:eastAsia="Calibri" w:hAnsi="Palatino Linotype" w:cs="Tahoma"/>
          <w:iCs/>
          <w:lang w:eastAsia="es-ES_tradnl"/>
        </w:rPr>
        <w:t>no se le proporcionaron la información solicitada</w:t>
      </w:r>
      <w:r w:rsidR="002C7D9C">
        <w:rPr>
          <w:rFonts w:ascii="Palatino Linotype" w:eastAsia="Calibri" w:hAnsi="Palatino Linotype" w:cs="Tahoma"/>
          <w:iCs/>
          <w:lang w:eastAsia="es-ES_tradnl"/>
        </w:rPr>
        <w:t>.</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D17C82">
        <w:rPr>
          <w:rFonts w:ascii="Palatino Linotype" w:hAnsi="Palatino Linotype" w:cs="Arial"/>
          <w:b/>
        </w:rPr>
        <w:t>REVOCAR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D26E47" w:rsidRPr="00832B4A">
        <w:rPr>
          <w:rFonts w:ascii="Palatino Linotype" w:hAnsi="Palatino Linotype"/>
        </w:rPr>
        <w:t>que atienda las solicitudes</w:t>
      </w:r>
      <w:r w:rsidR="00D26E47" w:rsidRPr="00832B4A">
        <w:rPr>
          <w:rFonts w:ascii="Palatino Linotype" w:hAnsi="Palatino Linotype" w:cs="Arial"/>
        </w:rPr>
        <w:t xml:space="preserve"> </w:t>
      </w:r>
      <w:r w:rsidR="00D26E47" w:rsidRPr="00832B4A">
        <w:rPr>
          <w:rFonts w:ascii="Palatino Linotype" w:hAnsi="Palatino Linotype"/>
        </w:rPr>
        <w:t>de información de mérito,</w:t>
      </w:r>
      <w:r w:rsidR="00D26E47" w:rsidRPr="00832B4A">
        <w:rPr>
          <w:rFonts w:ascii="Palatino Linotype" w:hAnsi="Palatino Linotype"/>
          <w:b/>
        </w:rPr>
        <w:t xml:space="preserve"> </w:t>
      </w:r>
      <w:r w:rsidR="00D26E47" w:rsidRPr="00832B4A">
        <w:rPr>
          <w:rFonts w:ascii="Palatino Linotype" w:hAnsi="Palatino Linotype"/>
        </w:rPr>
        <w:t>en términos del Considerando Cuarto, haga entrega, vía SAIMEX, de lo siguiente:</w:t>
      </w:r>
    </w:p>
    <w:p w:rsidR="00D26E47" w:rsidRPr="00D26E47" w:rsidRDefault="00D26E47" w:rsidP="00D26E47">
      <w:pPr>
        <w:ind w:left="720" w:right="708"/>
        <w:jc w:val="both"/>
        <w:rPr>
          <w:rFonts w:ascii="Palatino Linotype" w:eastAsia="Calibri" w:hAnsi="Palatino Linotype" w:cs="Tahoma"/>
          <w:i/>
          <w:iCs/>
          <w:sz w:val="22"/>
          <w:szCs w:val="22"/>
          <w:lang w:eastAsia="es-ES_tradnl"/>
        </w:rPr>
      </w:pPr>
      <w:r w:rsidRPr="00D26E47">
        <w:rPr>
          <w:rFonts w:ascii="Palatino Linotype" w:eastAsia="Calibri" w:hAnsi="Palatino Linotype" w:cs="Tahoma"/>
          <w:i/>
          <w:iCs/>
          <w:sz w:val="22"/>
          <w:szCs w:val="22"/>
          <w:lang w:eastAsia="es-ES_tradnl"/>
        </w:rPr>
        <w:t>•</w:t>
      </w:r>
      <w:r w:rsidRPr="00D26E47">
        <w:rPr>
          <w:rFonts w:ascii="Palatino Linotype" w:eastAsia="Calibri" w:hAnsi="Palatino Linotype" w:cs="Tahoma"/>
          <w:i/>
          <w:iCs/>
          <w:sz w:val="22"/>
          <w:szCs w:val="22"/>
          <w:lang w:eastAsia="es-ES_tradnl"/>
        </w:rPr>
        <w:tab/>
        <w:t xml:space="preserve">Acuerdo del Comité de Transparencia por medio del cual clasifique en su totalidad como confidencial el documento en donde consten las constancias de identidad que haya emitido la Secretaría del Ayuntamiento en los meses de abril y julio del dos mil diecinueve. </w:t>
      </w:r>
    </w:p>
    <w:p w:rsidR="00D26E47" w:rsidRPr="00D26E47" w:rsidRDefault="00D26E47" w:rsidP="00D26E47">
      <w:pPr>
        <w:ind w:left="720" w:right="708"/>
        <w:jc w:val="both"/>
        <w:rPr>
          <w:rFonts w:ascii="Palatino Linotype" w:eastAsia="Calibri" w:hAnsi="Palatino Linotype" w:cs="Tahoma"/>
          <w:i/>
          <w:iCs/>
          <w:sz w:val="22"/>
          <w:szCs w:val="22"/>
          <w:lang w:eastAsia="es-ES_tradnl"/>
        </w:rPr>
      </w:pPr>
    </w:p>
    <w:p w:rsidR="00D17C82" w:rsidRDefault="00D26E47" w:rsidP="00D26E47">
      <w:pPr>
        <w:ind w:left="720" w:right="708"/>
        <w:jc w:val="both"/>
        <w:rPr>
          <w:rFonts w:ascii="Palatino Linotype" w:eastAsia="Calibri" w:hAnsi="Palatino Linotype" w:cs="Arial"/>
          <w:i/>
          <w:sz w:val="22"/>
          <w:szCs w:val="22"/>
        </w:rPr>
      </w:pPr>
      <w:r w:rsidRPr="00D26E47">
        <w:rPr>
          <w:rFonts w:ascii="Palatino Linotype" w:eastAsia="Calibri" w:hAnsi="Palatino Linotype" w:cs="Tahoma"/>
          <w:i/>
          <w:iCs/>
          <w:sz w:val="22"/>
          <w:szCs w:val="22"/>
          <w:lang w:eastAsia="es-ES_tradnl"/>
        </w:rPr>
        <w:t>Para el caso de no haberse generado la información relacionada con las constancias de identidad en los meses señalados se tendrá que manifestarlo al recurrente para efectos de tener por atendido el requerimiento.</w:t>
      </w:r>
    </w:p>
    <w:p w:rsidR="00D17C82" w:rsidRDefault="00D17C82" w:rsidP="00D17C82">
      <w:pPr>
        <w:ind w:left="720" w:right="708"/>
        <w:jc w:val="both"/>
        <w:rPr>
          <w:rFonts w:ascii="Palatino Linotype" w:eastAsia="Calibri" w:hAnsi="Palatino Linotype" w:cs="Arial"/>
          <w:i/>
          <w:sz w:val="22"/>
          <w:szCs w:val="22"/>
        </w:rPr>
      </w:pPr>
      <w:r>
        <w:rPr>
          <w:rFonts w:ascii="Palatino Linotype" w:eastAsia="Calibri" w:hAnsi="Palatino Linotype" w:cs="Arial"/>
          <w:i/>
          <w:sz w:val="22"/>
          <w:szCs w:val="22"/>
        </w:rPr>
        <w:t>…</w:t>
      </w:r>
    </w:p>
    <w:p w:rsidR="00D17C82" w:rsidRPr="00F61512" w:rsidRDefault="00D17C82" w:rsidP="00D17C82">
      <w:pPr>
        <w:ind w:left="720" w:right="708"/>
        <w:jc w:val="both"/>
        <w:rPr>
          <w:rFonts w:ascii="Palatino Linotype" w:eastAsia="Calibri" w:hAnsi="Palatino Linotype" w:cs="Arial"/>
          <w:i/>
          <w:sz w:val="22"/>
          <w:szCs w:val="22"/>
        </w:rPr>
      </w:pPr>
      <w:r w:rsidRPr="00D17C82">
        <w:rPr>
          <w:rFonts w:ascii="Palatino Linotype" w:eastAsia="Calibri" w:hAnsi="Palatino Linotype" w:cs="Arial"/>
          <w:b/>
          <w:i/>
          <w:sz w:val="22"/>
          <w:szCs w:val="22"/>
        </w:rPr>
        <w:t>Cuarto.</w:t>
      </w:r>
      <w:r w:rsidRPr="00D17C82">
        <w:rPr>
          <w:rFonts w:ascii="Palatino Linotype" w:eastAsia="Calibri" w:hAnsi="Palatino Linotype" w:cs="Arial"/>
          <w:i/>
          <w:sz w:val="22"/>
          <w:szCs w:val="22"/>
        </w:rPr>
        <w:t xml:space="preserve">  Hágase del conocimiento de la parte recurrente, la presente resolución, así como, que de conformidad con lo establecido en el artículo 196 de la Ley de Transparencia y Acceso a la Información Pública del Estado de México y Municipios, </w:t>
      </w:r>
      <w:r w:rsidRPr="00D17C82">
        <w:rPr>
          <w:rFonts w:ascii="Palatino Linotype" w:eastAsia="Calibri" w:hAnsi="Palatino Linotype" w:cs="Arial"/>
          <w:i/>
          <w:sz w:val="22"/>
          <w:szCs w:val="22"/>
        </w:rPr>
        <w:lastRenderedPageBreak/>
        <w:t xml:space="preserve">y con lo establecido </w:t>
      </w:r>
      <w:r w:rsidRPr="00D17C82">
        <w:rPr>
          <w:rFonts w:ascii="Palatino Linotype" w:eastAsia="Calibri" w:hAnsi="Palatino Linotype" w:cs="Arial"/>
          <w:b/>
          <w:i/>
          <w:sz w:val="22"/>
          <w:szCs w:val="22"/>
        </w:rPr>
        <w:t>en los artículos 159 y 160 de la Ley General de Transparencia y Acceso a la Información Pública</w:t>
      </w:r>
      <w:r w:rsidRPr="00D17C82">
        <w:rPr>
          <w:rFonts w:ascii="Palatino Linotype" w:eastAsia="Calibri"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2C7D9C">
        <w:rPr>
          <w:rFonts w:ascii="Palatino Linotype" w:hAnsi="Palatino Linotype" w:cs="Arial"/>
        </w:rPr>
        <w:t xml:space="preserve"> o</w:t>
      </w:r>
      <w:r w:rsidR="00EF7379">
        <w:rPr>
          <w:rFonts w:ascii="Palatino Linotype" w:hAnsi="Palatino Linotype" w:cs="Arial"/>
        </w:rPr>
        <w:t xml:space="preserve"> inexistencia como lo establece la Ley de la materia.</w:t>
      </w:r>
    </w:p>
    <w:p w:rsidR="00402D0B"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4475A9">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743508">
        <w:rPr>
          <w:rFonts w:ascii="Palatino Linotype" w:hAnsi="Palatino Linotype" w:cs="Arial"/>
        </w:rPr>
        <w:t>e lo anterior se advierte que los</w:t>
      </w:r>
      <w:r>
        <w:rPr>
          <w:rFonts w:ascii="Palatino Linotype" w:hAnsi="Palatino Linotype" w:cs="Arial"/>
        </w:rPr>
        <w:t xml:space="preserve"> artículo</w:t>
      </w:r>
      <w:r w:rsidR="00743508">
        <w:rPr>
          <w:rFonts w:ascii="Palatino Linotype" w:hAnsi="Palatino Linotype" w:cs="Arial"/>
        </w:rPr>
        <w:t>s</w:t>
      </w:r>
      <w:r>
        <w:rPr>
          <w:rFonts w:ascii="Palatino Linotype" w:hAnsi="Palatino Linotype" w:cs="Arial"/>
        </w:rPr>
        <w:t xml:space="preserve"> en cita no resulta</w:t>
      </w:r>
      <w:r w:rsidR="00743508">
        <w:rPr>
          <w:rFonts w:ascii="Palatino Linotype" w:hAnsi="Palatino Linotype" w:cs="Arial"/>
        </w:rPr>
        <w:t>n</w:t>
      </w:r>
      <w:r>
        <w:rPr>
          <w:rFonts w:ascii="Palatino Linotype" w:hAnsi="Palatino Linotype" w:cs="Arial"/>
        </w:rPr>
        <w:t xml:space="preserve">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6206D2">
        <w:rPr>
          <w:rFonts w:ascii="Palatino Linotype" w:hAnsi="Palatino Linotype" w:cs="Arial"/>
        </w:rPr>
        <w:t>,</w:t>
      </w:r>
      <w:r>
        <w:rPr>
          <w:rFonts w:ascii="Palatino Linotype" w:hAnsi="Palatino Linotype" w:cs="Arial"/>
        </w:rPr>
        <w:t xml:space="preserve"> aunado a que el recurso de revisión fue resuelto conforme al plazo señalado en el numeral 181 de la Ley de Transparencia y Acceso a la Información Pública del Estado de México y Munici</w:t>
      </w:r>
      <w:r w:rsidR="00743508">
        <w:rPr>
          <w:rFonts w:ascii="Palatino Linotype" w:hAnsi="Palatino Linotype" w:cs="Arial"/>
        </w:rPr>
        <w:t>pios; por ende, no se actualiza ninguno</w:t>
      </w:r>
      <w:r>
        <w:rPr>
          <w:rFonts w:ascii="Palatino Linotype" w:hAnsi="Palatino Linotype" w:cs="Arial"/>
        </w:rPr>
        <w:t xml:space="preserve"> de los supuestos legales anteriormente citados.</w:t>
      </w:r>
    </w:p>
    <w:p w:rsidR="005831CB" w:rsidRPr="004475A9" w:rsidRDefault="005831CB" w:rsidP="0083534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2C7D9C" w:rsidRDefault="005831CB"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w:t>
      </w:r>
      <w:r>
        <w:rPr>
          <w:rFonts w:ascii="Palatino Linotype" w:hAnsi="Palatino Linotype" w:cs="Arial"/>
        </w:rPr>
        <w:lastRenderedPageBreak/>
        <w:t>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835344">
        <w:rPr>
          <w:rFonts w:ascii="Palatino Linotype" w:hAnsi="Palatino Linotype" w:cs="Arial"/>
        </w:rPr>
        <w:t>.</w:t>
      </w:r>
    </w:p>
    <w:p w:rsidR="00D26E47" w:rsidRDefault="00D26E47"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D26E47" w:rsidRDefault="00D26E47"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54"/>
        <w:tblOverlap w:val="never"/>
        <w:tblW w:w="2665" w:type="dxa"/>
        <w:tblLayout w:type="fixed"/>
        <w:tblLook w:val="04A0" w:firstRow="1" w:lastRow="0" w:firstColumn="1" w:lastColumn="0" w:noHBand="0" w:noVBand="1"/>
      </w:tblPr>
      <w:tblGrid>
        <w:gridCol w:w="2665"/>
      </w:tblGrid>
      <w:tr w:rsidR="00F064C5" w:rsidRPr="00F064C5" w:rsidTr="002C7D9C">
        <w:trPr>
          <w:trHeight w:val="741"/>
        </w:trPr>
        <w:tc>
          <w:tcPr>
            <w:tcW w:w="2665" w:type="dxa"/>
          </w:tcPr>
          <w:p w:rsidR="002C7D9C" w:rsidRPr="00F064C5" w:rsidRDefault="002C7D9C" w:rsidP="002C7D9C">
            <w:pPr>
              <w:ind w:right="49"/>
              <w:jc w:val="center"/>
              <w:rPr>
                <w:rFonts w:ascii="Palatino Linotype" w:hAnsi="Palatino Linotype" w:cs="Arial"/>
                <w:b/>
              </w:rPr>
            </w:pPr>
            <w:bookmarkStart w:id="0" w:name="_GoBack" w:colFirst="0" w:colLast="1"/>
            <w:r w:rsidRPr="00F064C5">
              <w:rPr>
                <w:rFonts w:ascii="Palatino Linotype" w:hAnsi="Palatino Linotype" w:cs="Arial"/>
                <w:b/>
              </w:rPr>
              <w:t>EVA ABAID YAPUR</w:t>
            </w:r>
          </w:p>
          <w:p w:rsidR="002C7D9C" w:rsidRPr="00F064C5" w:rsidRDefault="002C7D9C" w:rsidP="002C7D9C">
            <w:pPr>
              <w:ind w:right="49"/>
              <w:jc w:val="center"/>
              <w:rPr>
                <w:rFonts w:ascii="Palatino Linotype" w:hAnsi="Palatino Linotype" w:cs="Arial"/>
                <w:b/>
              </w:rPr>
            </w:pPr>
            <w:r w:rsidRPr="00F064C5">
              <w:rPr>
                <w:rFonts w:ascii="Palatino Linotype" w:hAnsi="Palatino Linotype" w:cs="Arial"/>
                <w:b/>
              </w:rPr>
              <w:t>COMISIONADA</w:t>
            </w:r>
          </w:p>
          <w:p w:rsidR="002C7D9C" w:rsidRPr="00F064C5" w:rsidRDefault="002C7D9C" w:rsidP="002C7D9C">
            <w:pPr>
              <w:ind w:right="49"/>
              <w:jc w:val="center"/>
              <w:rPr>
                <w:rFonts w:ascii="Palatino Linotype" w:hAnsi="Palatino Linotype" w:cs="Arial"/>
                <w:b/>
              </w:rPr>
            </w:pPr>
            <w:r w:rsidRPr="00F064C5">
              <w:rPr>
                <w:rFonts w:ascii="Palatino Linotype" w:hAnsi="Palatino Linotype" w:cs="Arial"/>
                <w:b/>
              </w:rPr>
              <w:t>(RÚBRICA)</w:t>
            </w:r>
          </w:p>
        </w:tc>
      </w:tr>
      <w:bookmarkEnd w:id="0"/>
    </w:tbl>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C7D9C" w:rsidRDefault="00F7009C" w:rsidP="002C7D9C">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proofErr w:type="gramStart"/>
      <w:r w:rsidR="00D95888">
        <w:rPr>
          <w:rFonts w:ascii="Palatino Linotype" w:eastAsia="Calibri" w:hAnsi="Palatino Linotype" w:cs="Arial"/>
          <w:color w:val="000000" w:themeColor="text1"/>
          <w:sz w:val="18"/>
          <w:szCs w:val="20"/>
        </w:rPr>
        <w:t xml:space="preserve">acumulados </w:t>
      </w:r>
      <w:r w:rsidR="00835344" w:rsidRPr="00835344">
        <w:rPr>
          <w:rFonts w:ascii="Palatino Linotype" w:eastAsia="Calibri" w:hAnsi="Palatino Linotype" w:cs="Arial"/>
          <w:color w:val="000000" w:themeColor="text1"/>
          <w:sz w:val="18"/>
          <w:szCs w:val="20"/>
        </w:rPr>
        <w:t xml:space="preserve"> </w:t>
      </w:r>
      <w:r w:rsidR="00D26E47" w:rsidRPr="00592656">
        <w:rPr>
          <w:rFonts w:ascii="Palatino Linotype" w:hAnsi="Palatino Linotype" w:cs="Arial"/>
          <w:sz w:val="20"/>
          <w:szCs w:val="20"/>
        </w:rPr>
        <w:t>11189</w:t>
      </w:r>
      <w:proofErr w:type="gramEnd"/>
      <w:r w:rsidR="00D26E47" w:rsidRPr="00592656">
        <w:rPr>
          <w:rFonts w:ascii="Palatino Linotype" w:hAnsi="Palatino Linotype" w:cs="Arial"/>
          <w:sz w:val="20"/>
          <w:szCs w:val="20"/>
        </w:rPr>
        <w:t>/INFOEM/IP/RR/2019 y 11192/INFOEM/IP/RR/2019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FB037E">
        <w:rPr>
          <w:rFonts w:ascii="Palatino Linotype" w:eastAsia="Calibri" w:hAnsi="Palatino Linotype" w:cs="Arial"/>
          <w:color w:val="000000" w:themeColor="text1"/>
          <w:sz w:val="18"/>
          <w:szCs w:val="20"/>
        </w:rPr>
        <w:t>seis de febrero de dos mil veinte</w:t>
      </w:r>
      <w:r w:rsidRPr="0099561F">
        <w:rPr>
          <w:rFonts w:ascii="Palatino Linotype" w:eastAsia="Calibri" w:hAnsi="Palatino Linotype" w:cs="Arial"/>
          <w:color w:val="000000" w:themeColor="text1"/>
          <w:sz w:val="18"/>
          <w:szCs w:val="20"/>
        </w:rPr>
        <w:t>.</w:t>
      </w:r>
    </w:p>
    <w:p w:rsidR="00F7009C" w:rsidRPr="00402D0B" w:rsidRDefault="00D21672"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 xml:space="preserve"> </w:t>
      </w:r>
      <w:r w:rsidR="00552AEB">
        <w:rPr>
          <w:rFonts w:ascii="Palatino Linotype" w:eastAsia="Calibri" w:hAnsi="Palatino Linotype" w:cs="Arial"/>
          <w:color w:val="000000" w:themeColor="text1"/>
          <w:sz w:val="20"/>
          <w:szCs w:val="21"/>
        </w:rPr>
        <w:t>YSM</w:t>
      </w:r>
      <w:r w:rsidR="002C7D9C">
        <w:rPr>
          <w:rFonts w:ascii="Palatino Linotype" w:eastAsia="Calibri" w:hAnsi="Palatino Linotype" w:cs="Arial"/>
          <w:color w:val="000000" w:themeColor="text1"/>
          <w:sz w:val="20"/>
          <w:szCs w:val="21"/>
        </w:rPr>
        <w:t>/</w:t>
      </w:r>
      <w:r w:rsidR="00A12170" w:rsidRPr="0099561F">
        <w:rPr>
          <w:rFonts w:ascii="Palatino Linotype" w:eastAsia="Calibri" w:hAnsi="Palatino Linotype" w:cs="Arial"/>
          <w:color w:val="000000" w:themeColor="text1"/>
          <w:sz w:val="20"/>
          <w:szCs w:val="21"/>
        </w:rPr>
        <w:t>EJCA</w:t>
      </w:r>
    </w:p>
    <w:sectPr w:rsidR="00F7009C" w:rsidRPr="00402D0B"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877" w:rsidRDefault="00B50877" w:rsidP="00C80F8C">
      <w:r>
        <w:separator/>
      </w:r>
    </w:p>
  </w:endnote>
  <w:endnote w:type="continuationSeparator" w:id="0">
    <w:p w:rsidR="00B50877" w:rsidRDefault="00B508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DB" w:rsidRDefault="005B7A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64C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64C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DB" w:rsidRDefault="005B7A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877" w:rsidRDefault="00B50877" w:rsidP="00C80F8C">
      <w:r>
        <w:separator/>
      </w:r>
    </w:p>
  </w:footnote>
  <w:footnote w:type="continuationSeparator" w:id="0">
    <w:p w:rsidR="00B50877" w:rsidRDefault="00B5087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B508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1282"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914A73" w:rsidRDefault="008A03F8" w:rsidP="00743508">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592656">
      <w:rPr>
        <w:rFonts w:ascii="Palatino Linotype" w:hAnsi="Palatino Linotype" w:cs="Arial"/>
        <w:sz w:val="20"/>
        <w:szCs w:val="20"/>
      </w:rPr>
      <w:t>ACUMULADOS</w:t>
    </w:r>
  </w:p>
  <w:p w:rsidR="00083356" w:rsidRDefault="00083356" w:rsidP="00743508">
    <w:pPr>
      <w:pStyle w:val="Encabezado"/>
      <w:tabs>
        <w:tab w:val="clear" w:pos="4252"/>
        <w:tab w:val="clear" w:pos="8504"/>
        <w:tab w:val="left" w:pos="2326"/>
      </w:tabs>
      <w:ind w:right="-93"/>
      <w:jc w:val="right"/>
      <w:rPr>
        <w:rFonts w:ascii="Palatino Linotype" w:hAnsi="Palatino Linotype" w:cs="Arial"/>
        <w:sz w:val="20"/>
        <w:szCs w:val="20"/>
      </w:rPr>
    </w:pPr>
    <w:r w:rsidRPr="00083356">
      <w:rPr>
        <w:rFonts w:ascii="Palatino Linotype" w:hAnsi="Palatino Linotype" w:cs="Arial"/>
        <w:sz w:val="20"/>
        <w:szCs w:val="20"/>
      </w:rPr>
      <w:t xml:space="preserve"> </w:t>
    </w:r>
    <w:r w:rsidR="00592656" w:rsidRPr="00592656">
      <w:rPr>
        <w:rFonts w:ascii="Palatino Linotype" w:hAnsi="Palatino Linotype" w:cs="Arial"/>
        <w:sz w:val="20"/>
        <w:szCs w:val="20"/>
      </w:rPr>
      <w:t>11189/INFOEM/IP/RR/2019 y 11192/INFOEM/IP/RR/2019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B50877"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1283"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B508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1281"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DE4204"/>
    <w:multiLevelType w:val="hybridMultilevel"/>
    <w:tmpl w:val="78C46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0880C90"/>
    <w:multiLevelType w:val="hybridMultilevel"/>
    <w:tmpl w:val="9A008EBA"/>
    <w:lvl w:ilvl="0" w:tplc="ECD2D1C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6A0726"/>
    <w:multiLevelType w:val="hybridMultilevel"/>
    <w:tmpl w:val="78CE13F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10"/>
  </w:num>
  <w:num w:numId="4">
    <w:abstractNumId w:val="0"/>
  </w:num>
  <w:num w:numId="5">
    <w:abstractNumId w:val="18"/>
  </w:num>
  <w:num w:numId="6">
    <w:abstractNumId w:val="13"/>
  </w:num>
  <w:num w:numId="7">
    <w:abstractNumId w:val="22"/>
  </w:num>
  <w:num w:numId="8">
    <w:abstractNumId w:val="12"/>
  </w:num>
  <w:num w:numId="9">
    <w:abstractNumId w:val="16"/>
  </w:num>
  <w:num w:numId="10">
    <w:abstractNumId w:val="5"/>
  </w:num>
  <w:num w:numId="11">
    <w:abstractNumId w:val="17"/>
  </w:num>
  <w:num w:numId="12">
    <w:abstractNumId w:val="11"/>
  </w:num>
  <w:num w:numId="13">
    <w:abstractNumId w:val="21"/>
  </w:num>
  <w:num w:numId="14">
    <w:abstractNumId w:val="6"/>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4"/>
  </w:num>
  <w:num w:numId="20">
    <w:abstractNumId w:val="19"/>
  </w:num>
  <w:num w:numId="21">
    <w:abstractNumId w:val="2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0AC3"/>
    <w:rsid w:val="001950C9"/>
    <w:rsid w:val="0019622B"/>
    <w:rsid w:val="001A5699"/>
    <w:rsid w:val="001B5DD5"/>
    <w:rsid w:val="001C17D2"/>
    <w:rsid w:val="001D3F57"/>
    <w:rsid w:val="001E757E"/>
    <w:rsid w:val="001E763C"/>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C7D9C"/>
    <w:rsid w:val="002D3BBD"/>
    <w:rsid w:val="002D4526"/>
    <w:rsid w:val="002D69E1"/>
    <w:rsid w:val="002D6F8B"/>
    <w:rsid w:val="002E5711"/>
    <w:rsid w:val="002F4562"/>
    <w:rsid w:val="002F5CF7"/>
    <w:rsid w:val="0030072F"/>
    <w:rsid w:val="003031E1"/>
    <w:rsid w:val="003056D9"/>
    <w:rsid w:val="003102FA"/>
    <w:rsid w:val="003169F5"/>
    <w:rsid w:val="00322047"/>
    <w:rsid w:val="0033353E"/>
    <w:rsid w:val="0033370B"/>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2D0B"/>
    <w:rsid w:val="0040475C"/>
    <w:rsid w:val="00410D1F"/>
    <w:rsid w:val="0041327F"/>
    <w:rsid w:val="00414E48"/>
    <w:rsid w:val="00414E7B"/>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35538"/>
    <w:rsid w:val="00543F73"/>
    <w:rsid w:val="00552317"/>
    <w:rsid w:val="00552AEB"/>
    <w:rsid w:val="0056089B"/>
    <w:rsid w:val="00562649"/>
    <w:rsid w:val="00575235"/>
    <w:rsid w:val="0058067E"/>
    <w:rsid w:val="005831CB"/>
    <w:rsid w:val="0058639E"/>
    <w:rsid w:val="005870DF"/>
    <w:rsid w:val="0058776D"/>
    <w:rsid w:val="00591EA8"/>
    <w:rsid w:val="00592656"/>
    <w:rsid w:val="00592A18"/>
    <w:rsid w:val="00592DF5"/>
    <w:rsid w:val="005A390B"/>
    <w:rsid w:val="005B4F98"/>
    <w:rsid w:val="005B773B"/>
    <w:rsid w:val="005B7ADB"/>
    <w:rsid w:val="005C3130"/>
    <w:rsid w:val="005C66D4"/>
    <w:rsid w:val="005D14C4"/>
    <w:rsid w:val="005D1946"/>
    <w:rsid w:val="005F47EA"/>
    <w:rsid w:val="00602FD8"/>
    <w:rsid w:val="006078FA"/>
    <w:rsid w:val="00612544"/>
    <w:rsid w:val="0061616C"/>
    <w:rsid w:val="006206D2"/>
    <w:rsid w:val="006301B2"/>
    <w:rsid w:val="00634485"/>
    <w:rsid w:val="0063673D"/>
    <w:rsid w:val="00640A43"/>
    <w:rsid w:val="00642334"/>
    <w:rsid w:val="00645B0C"/>
    <w:rsid w:val="00646A97"/>
    <w:rsid w:val="00662D5E"/>
    <w:rsid w:val="00663A16"/>
    <w:rsid w:val="00672211"/>
    <w:rsid w:val="006739B1"/>
    <w:rsid w:val="00680243"/>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3508"/>
    <w:rsid w:val="00744D22"/>
    <w:rsid w:val="007542BA"/>
    <w:rsid w:val="00754E11"/>
    <w:rsid w:val="00772360"/>
    <w:rsid w:val="0078087A"/>
    <w:rsid w:val="00787892"/>
    <w:rsid w:val="00791E8A"/>
    <w:rsid w:val="007957C4"/>
    <w:rsid w:val="007A4AB6"/>
    <w:rsid w:val="007B2ACC"/>
    <w:rsid w:val="007B6E55"/>
    <w:rsid w:val="007C0FDA"/>
    <w:rsid w:val="007C3C0E"/>
    <w:rsid w:val="007C4E7D"/>
    <w:rsid w:val="007D0FEE"/>
    <w:rsid w:val="00803A83"/>
    <w:rsid w:val="008217CD"/>
    <w:rsid w:val="00827787"/>
    <w:rsid w:val="00832B51"/>
    <w:rsid w:val="00833BC7"/>
    <w:rsid w:val="00835344"/>
    <w:rsid w:val="00844AA1"/>
    <w:rsid w:val="00846A21"/>
    <w:rsid w:val="008556C3"/>
    <w:rsid w:val="008562AB"/>
    <w:rsid w:val="00870BFA"/>
    <w:rsid w:val="0087527A"/>
    <w:rsid w:val="00885FAE"/>
    <w:rsid w:val="00892AFC"/>
    <w:rsid w:val="0089399E"/>
    <w:rsid w:val="008A03F8"/>
    <w:rsid w:val="008B674E"/>
    <w:rsid w:val="008B79D6"/>
    <w:rsid w:val="008C0700"/>
    <w:rsid w:val="008C0C70"/>
    <w:rsid w:val="008C17F2"/>
    <w:rsid w:val="008C759A"/>
    <w:rsid w:val="008D1526"/>
    <w:rsid w:val="008D584A"/>
    <w:rsid w:val="008E1FCA"/>
    <w:rsid w:val="008E3D9C"/>
    <w:rsid w:val="009141A6"/>
    <w:rsid w:val="00914A73"/>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2E23"/>
    <w:rsid w:val="0099561F"/>
    <w:rsid w:val="00996659"/>
    <w:rsid w:val="009A271C"/>
    <w:rsid w:val="009A67F5"/>
    <w:rsid w:val="009B65F4"/>
    <w:rsid w:val="009C2F32"/>
    <w:rsid w:val="009C46BF"/>
    <w:rsid w:val="009C73B7"/>
    <w:rsid w:val="009C7F75"/>
    <w:rsid w:val="009D0AB3"/>
    <w:rsid w:val="009D3292"/>
    <w:rsid w:val="009D63A9"/>
    <w:rsid w:val="009E40FB"/>
    <w:rsid w:val="009E5EDA"/>
    <w:rsid w:val="009F3BF8"/>
    <w:rsid w:val="00A032F1"/>
    <w:rsid w:val="00A04C79"/>
    <w:rsid w:val="00A05CE0"/>
    <w:rsid w:val="00A12170"/>
    <w:rsid w:val="00A14B1D"/>
    <w:rsid w:val="00A17B3D"/>
    <w:rsid w:val="00A35217"/>
    <w:rsid w:val="00A40057"/>
    <w:rsid w:val="00A4593D"/>
    <w:rsid w:val="00A53958"/>
    <w:rsid w:val="00A60D1E"/>
    <w:rsid w:val="00A62DC1"/>
    <w:rsid w:val="00A73612"/>
    <w:rsid w:val="00A73A50"/>
    <w:rsid w:val="00A77B24"/>
    <w:rsid w:val="00A81140"/>
    <w:rsid w:val="00A824CA"/>
    <w:rsid w:val="00A913AB"/>
    <w:rsid w:val="00A94AB9"/>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0877"/>
    <w:rsid w:val="00B53290"/>
    <w:rsid w:val="00B5726F"/>
    <w:rsid w:val="00B57FE6"/>
    <w:rsid w:val="00B611BF"/>
    <w:rsid w:val="00B6120A"/>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17C82"/>
    <w:rsid w:val="00D21672"/>
    <w:rsid w:val="00D22D87"/>
    <w:rsid w:val="00D26C0E"/>
    <w:rsid w:val="00D26E47"/>
    <w:rsid w:val="00D31C72"/>
    <w:rsid w:val="00D34604"/>
    <w:rsid w:val="00D354B8"/>
    <w:rsid w:val="00D45865"/>
    <w:rsid w:val="00D46C00"/>
    <w:rsid w:val="00D50327"/>
    <w:rsid w:val="00D557C2"/>
    <w:rsid w:val="00D64514"/>
    <w:rsid w:val="00D64F32"/>
    <w:rsid w:val="00D66D4C"/>
    <w:rsid w:val="00D855D2"/>
    <w:rsid w:val="00D93CE4"/>
    <w:rsid w:val="00D95888"/>
    <w:rsid w:val="00DA5071"/>
    <w:rsid w:val="00DA5209"/>
    <w:rsid w:val="00DB585B"/>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58A8"/>
    <w:rsid w:val="00EB7480"/>
    <w:rsid w:val="00EB7DE6"/>
    <w:rsid w:val="00EB7F1A"/>
    <w:rsid w:val="00EC0002"/>
    <w:rsid w:val="00EC5188"/>
    <w:rsid w:val="00ED00A9"/>
    <w:rsid w:val="00ED5EE9"/>
    <w:rsid w:val="00EE570E"/>
    <w:rsid w:val="00EF062F"/>
    <w:rsid w:val="00EF7379"/>
    <w:rsid w:val="00F064C5"/>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037E"/>
    <w:rsid w:val="00FB1347"/>
    <w:rsid w:val="00FB48D6"/>
    <w:rsid w:val="00FC289E"/>
    <w:rsid w:val="00FD08F8"/>
    <w:rsid w:val="00FD67FE"/>
    <w:rsid w:val="00FE7408"/>
    <w:rsid w:val="00FE7E7B"/>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E7C1-73A8-47DE-AB60-DF7CA951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2020-02-11T00:15:00Z</cp:lastPrinted>
  <dcterms:created xsi:type="dcterms:W3CDTF">2020-03-17T19:57:00Z</dcterms:created>
  <dcterms:modified xsi:type="dcterms:W3CDTF">2020-04-29T19:49:00Z</dcterms:modified>
</cp:coreProperties>
</file>