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FE1" w:rsidRPr="00AD2A55" w:rsidRDefault="00331FE1" w:rsidP="001463A1">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070083">
        <w:rPr>
          <w:rFonts w:ascii="Palatino Linotype" w:eastAsia="Times New Roman" w:hAnsi="Palatino Linotype" w:cs="Arial"/>
          <w:color w:val="000000"/>
          <w:sz w:val="24"/>
          <w:szCs w:val="24"/>
          <w:lang w:eastAsia="es-MX"/>
        </w:rPr>
        <w:t>nueve de mayo</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331FE1" w:rsidRPr="00AD2A55" w:rsidRDefault="00331FE1" w:rsidP="001463A1">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1FE1" w:rsidRPr="00AD2A55" w:rsidRDefault="00331FE1" w:rsidP="001463A1">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703883">
        <w:rPr>
          <w:rFonts w:ascii="Palatino Linotype" w:hAnsi="Palatino Linotype" w:cs="Arial"/>
          <w:b/>
          <w:bCs/>
          <w:sz w:val="24"/>
          <w:szCs w:val="24"/>
          <w:lang w:eastAsia="es-MX"/>
        </w:rPr>
        <w:t>11</w:t>
      </w:r>
      <w:r w:rsidR="00037282">
        <w:rPr>
          <w:rFonts w:ascii="Palatino Linotype" w:hAnsi="Palatino Linotype" w:cs="Arial"/>
          <w:b/>
          <w:bCs/>
          <w:sz w:val="24"/>
          <w:szCs w:val="24"/>
          <w:lang w:eastAsia="es-MX"/>
        </w:rPr>
        <w:t>45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BE0018">
        <w:rPr>
          <w:rFonts w:ascii="Palatino Linotype" w:hAnsi="Palatino Linotype" w:cs="Arial"/>
          <w:b/>
          <w:sz w:val="24"/>
          <w:szCs w:val="24"/>
        </w:rPr>
        <w:t>XXXXXXX XX XXXXXXXXXXXX XXXXXX XXXXXXXXXXXXXX</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en contra de l</w:t>
      </w:r>
      <w:bookmarkStart w:id="0" w:name="_GoBack"/>
      <w:bookmarkEnd w:id="0"/>
      <w:r w:rsidRPr="00AD2A55">
        <w:rPr>
          <w:rFonts w:ascii="Palatino Linotype" w:hAnsi="Palatino Linotype" w:cs="Arial"/>
          <w:sz w:val="24"/>
          <w:szCs w:val="24"/>
        </w:rPr>
        <w:t xml:space="preserve">a respuesta del </w:t>
      </w:r>
      <w:r w:rsidRPr="00E842F3">
        <w:rPr>
          <w:rFonts w:ascii="Palatino Linotype" w:hAnsi="Palatino Linotype" w:cs="Arial"/>
          <w:b/>
          <w:sz w:val="24"/>
          <w:szCs w:val="24"/>
        </w:rPr>
        <w:t xml:space="preserve">Ayuntamiento de </w:t>
      </w:r>
      <w:r w:rsidR="00703883">
        <w:rPr>
          <w:rFonts w:ascii="Palatino Linotype" w:hAnsi="Palatino Linotype" w:cs="Arial"/>
          <w:b/>
          <w:sz w:val="24"/>
          <w:szCs w:val="24"/>
        </w:rPr>
        <w:t>Chalco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331FE1" w:rsidRPr="00AD2A55" w:rsidRDefault="00331FE1" w:rsidP="001463A1">
      <w:pPr>
        <w:tabs>
          <w:tab w:val="left" w:pos="6960"/>
        </w:tabs>
        <w:spacing w:after="0" w:line="360" w:lineRule="auto"/>
        <w:jc w:val="both"/>
        <w:rPr>
          <w:rFonts w:ascii="Palatino Linotype" w:hAnsi="Palatino Linotype" w:cs="Arial"/>
          <w:sz w:val="24"/>
          <w:szCs w:val="24"/>
        </w:rPr>
      </w:pPr>
    </w:p>
    <w:p w:rsidR="00331FE1" w:rsidRPr="007763F3" w:rsidRDefault="00331FE1" w:rsidP="001463A1">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1FE1" w:rsidRPr="00D23436" w:rsidRDefault="00331FE1" w:rsidP="001463A1">
      <w:pPr>
        <w:spacing w:after="0" w:line="360" w:lineRule="auto"/>
        <w:rPr>
          <w:rFonts w:ascii="Palatino Linotype" w:hAnsi="Palatino Linotype" w:cs="Arial"/>
          <w:b/>
          <w:sz w:val="24"/>
          <w:szCs w:val="24"/>
        </w:rPr>
      </w:pPr>
    </w:p>
    <w:p w:rsidR="00331FE1" w:rsidRPr="007763F3" w:rsidRDefault="00331FE1" w:rsidP="001463A1">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331FE1" w:rsidRPr="00AD2A55" w:rsidRDefault="00331FE1" w:rsidP="001463A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w:t>
      </w:r>
      <w:r w:rsidR="00703883">
        <w:rPr>
          <w:rFonts w:ascii="Palatino Linotype" w:hAnsi="Palatino Linotype" w:cs="Arial"/>
          <w:sz w:val="24"/>
          <w:szCs w:val="24"/>
        </w:rPr>
        <w:t xml:space="preserve">nueve </w:t>
      </w:r>
      <w:r>
        <w:rPr>
          <w:rFonts w:ascii="Palatino Linotype" w:hAnsi="Palatino Linotype" w:cs="Arial"/>
          <w:sz w:val="24"/>
          <w:szCs w:val="24"/>
        </w:rPr>
        <w:t>de enero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703883" w:rsidRPr="00703883">
        <w:rPr>
          <w:rFonts w:ascii="Palatino Linotype" w:hAnsi="Palatino Linotype" w:cs="Arial"/>
          <w:b/>
          <w:sz w:val="24"/>
          <w:szCs w:val="24"/>
        </w:rPr>
        <w:t>00034/CHALCO/IP/2019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31FE1" w:rsidRPr="00AD2A55" w:rsidRDefault="00331FE1" w:rsidP="001463A1">
      <w:pPr>
        <w:spacing w:after="0" w:line="360" w:lineRule="auto"/>
        <w:ind w:left="851" w:right="850"/>
        <w:jc w:val="both"/>
        <w:rPr>
          <w:rFonts w:ascii="Palatino Linotype" w:hAnsi="Palatino Linotype" w:cs="Arial"/>
          <w:i/>
          <w:sz w:val="20"/>
          <w:szCs w:val="24"/>
        </w:rPr>
      </w:pPr>
    </w:p>
    <w:p w:rsidR="00331FE1" w:rsidRDefault="00331FE1" w:rsidP="001463A1">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00703883" w:rsidRPr="00703883">
        <w:rPr>
          <w:rFonts w:ascii="Palatino Linotype" w:eastAsia="Times New Roman" w:hAnsi="Palatino Linotype" w:cs="Times New Roman"/>
          <w:i/>
          <w:lang w:eastAsia="es-MX"/>
        </w:rPr>
        <w:t>Solicito copia simple digitalizada de los contratos que haya celebrado el ayuntamiento de chalco del 1 de enero del 2019 a la fecha.</w:t>
      </w:r>
      <w:r w:rsidRPr="00582883">
        <w:rPr>
          <w:rFonts w:ascii="Palatino Linotype" w:eastAsia="Times New Roman" w:hAnsi="Palatino Linotype" w:cs="Times New Roman"/>
          <w:i/>
          <w:lang w:eastAsia="es-ES"/>
        </w:rPr>
        <w:t>”</w:t>
      </w:r>
      <w:r>
        <w:rPr>
          <w:rFonts w:ascii="Palatino Linotype" w:eastAsia="Times New Roman" w:hAnsi="Palatino Linotype" w:cs="Times New Roman"/>
          <w:i/>
          <w:lang w:val="es-ES_tradnl" w:eastAsia="es-ES"/>
        </w:rPr>
        <w:t xml:space="preserve"> (s</w:t>
      </w:r>
      <w:r w:rsidRPr="00582883">
        <w:rPr>
          <w:rFonts w:ascii="Palatino Linotype" w:eastAsia="Times New Roman" w:hAnsi="Palatino Linotype" w:cs="Times New Roman"/>
          <w:i/>
          <w:lang w:val="es-ES_tradnl" w:eastAsia="es-ES"/>
        </w:rPr>
        <w:t>ic).</w:t>
      </w:r>
    </w:p>
    <w:p w:rsidR="00331FE1" w:rsidRDefault="00331FE1" w:rsidP="001463A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31FE1" w:rsidRPr="00C05BFE" w:rsidRDefault="00331FE1" w:rsidP="001463A1">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331FE1" w:rsidRDefault="00331FE1" w:rsidP="001463A1">
      <w:pPr>
        <w:spacing w:after="0" w:line="360" w:lineRule="auto"/>
        <w:jc w:val="both"/>
        <w:rPr>
          <w:rFonts w:ascii="Palatino Linotype" w:hAnsi="Palatino Linotype" w:cs="Arial"/>
          <w:b/>
          <w:sz w:val="24"/>
          <w:szCs w:val="24"/>
        </w:rPr>
      </w:pPr>
    </w:p>
    <w:p w:rsidR="00703883" w:rsidRDefault="00331FE1" w:rsidP="001463A1">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lastRenderedPageBreak/>
        <w:t xml:space="preserve">SEGUNDO. </w:t>
      </w:r>
      <w:r w:rsidRPr="002751F6">
        <w:rPr>
          <w:rFonts w:ascii="Palatino Linotype" w:hAnsi="Palatino Linotype" w:cs="Arial"/>
          <w:b/>
          <w:sz w:val="24"/>
          <w:szCs w:val="24"/>
        </w:rPr>
        <w:t xml:space="preserve">De la </w:t>
      </w:r>
      <w:r w:rsidR="00703883">
        <w:rPr>
          <w:rFonts w:ascii="Palatino Linotype" w:hAnsi="Palatino Linotype" w:cs="Arial"/>
          <w:b/>
          <w:sz w:val="24"/>
          <w:szCs w:val="24"/>
        </w:rPr>
        <w:t>solicitud de aclaración</w:t>
      </w:r>
    </w:p>
    <w:p w:rsidR="00703883" w:rsidRDefault="00132ED0" w:rsidP="001463A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seis de febrero de dos mil diecinueve, el </w:t>
      </w:r>
      <w:r>
        <w:rPr>
          <w:rFonts w:ascii="Palatino Linotype" w:hAnsi="Palatino Linotype" w:cs="Arial"/>
          <w:b/>
          <w:sz w:val="24"/>
          <w:szCs w:val="24"/>
        </w:rPr>
        <w:t>sujeto obligado</w:t>
      </w:r>
      <w:r>
        <w:rPr>
          <w:rFonts w:ascii="Palatino Linotype" w:hAnsi="Palatino Linotype" w:cs="Arial"/>
          <w:sz w:val="24"/>
          <w:szCs w:val="24"/>
        </w:rPr>
        <w:t xml:space="preserve"> con fundamento en el artículo 159 de la Ley de Transparencia y Acceso a la Información Pública del Estado de México y Municipios, requirió al </w:t>
      </w:r>
      <w:r>
        <w:rPr>
          <w:rFonts w:ascii="Palatino Linotype" w:hAnsi="Palatino Linotype" w:cs="Arial"/>
          <w:b/>
          <w:sz w:val="24"/>
          <w:szCs w:val="24"/>
        </w:rPr>
        <w:t>solicitante</w:t>
      </w:r>
      <w:r>
        <w:rPr>
          <w:rFonts w:ascii="Palatino Linotype" w:hAnsi="Palatino Linotype" w:cs="Arial"/>
          <w:sz w:val="24"/>
          <w:szCs w:val="24"/>
        </w:rPr>
        <w:t>, para que en el término de</w:t>
      </w:r>
      <w:r w:rsidR="00176A58">
        <w:rPr>
          <w:rFonts w:ascii="Palatino Linotype" w:hAnsi="Palatino Linotype" w:cs="Arial"/>
          <w:sz w:val="24"/>
          <w:szCs w:val="24"/>
        </w:rPr>
        <w:t xml:space="preserve"> diez </w:t>
      </w:r>
      <w:r>
        <w:rPr>
          <w:rFonts w:ascii="Palatino Linotype" w:hAnsi="Palatino Linotype" w:cs="Arial"/>
          <w:sz w:val="24"/>
          <w:szCs w:val="24"/>
        </w:rPr>
        <w:t>días hábiles, ampliara su solicitud, en los términos siguientes:</w:t>
      </w:r>
    </w:p>
    <w:p w:rsidR="00132ED0" w:rsidRDefault="00132ED0" w:rsidP="001463A1">
      <w:pPr>
        <w:spacing w:after="0" w:line="360" w:lineRule="auto"/>
        <w:jc w:val="both"/>
        <w:rPr>
          <w:rFonts w:ascii="Palatino Linotype" w:hAnsi="Palatino Linotype" w:cs="Arial"/>
          <w:sz w:val="24"/>
          <w:szCs w:val="24"/>
        </w:rPr>
      </w:pPr>
    </w:p>
    <w:p w:rsidR="00132ED0" w:rsidRDefault="00132ED0" w:rsidP="001463A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132ED0">
        <w:rPr>
          <w:rFonts w:ascii="Palatino Linotype" w:hAnsi="Palatino Linotype" w:cs="Arial"/>
          <w:i/>
          <w:szCs w:val="24"/>
        </w:rPr>
        <w:t xml:space="preserve">Vista su solicitud de información y de la lectura de la misma, se desprende que no es lo suficientemente clara, ni precisa; Usted solicita: “copia simple digitalizada de los contratos que haya celebrado el ayuntamiento de chalco, del 1 de enero del 2019 a la fecha”. Bajo este supuesto, en términos de lo dispuesto en el artículo 159 de la Ley de Transparencia y Acceso a la Información Pública del Estado de México y Municipios, </w:t>
      </w:r>
      <w:r w:rsidRPr="00132ED0">
        <w:rPr>
          <w:rFonts w:ascii="Palatino Linotype" w:hAnsi="Palatino Linotype" w:cs="Arial"/>
          <w:b/>
          <w:i/>
          <w:szCs w:val="24"/>
        </w:rPr>
        <w:t>muy atentamente le solicito nos amplíe su solicitud, a efecto de que nos proporcione más detalles o elementos de qué clase de contratos se refiere, o sobre qué tema o materia necesita la información solicitada</w:t>
      </w:r>
      <w:r w:rsidRPr="00132ED0">
        <w:rPr>
          <w:rFonts w:ascii="Palatino Linotype" w:hAnsi="Palatino Linotype" w:cs="Arial"/>
          <w:i/>
          <w:szCs w:val="24"/>
        </w:rPr>
        <w:t>. Ello con la finalidad de turnar su solicitud de forma adecuada al área municipal correspondiente y competente, para que realicen la búsqueda de la información que Usted necesita. Por lo anterior, mucho agradeceré nos proporcione más detalles o elementos de la solicitud presentada.</w:t>
      </w:r>
    </w:p>
    <w:p w:rsidR="00132ED0" w:rsidRPr="00132ED0" w:rsidRDefault="00132ED0" w:rsidP="001463A1">
      <w:pPr>
        <w:spacing w:after="0" w:line="240" w:lineRule="auto"/>
        <w:ind w:left="567" w:right="567"/>
        <w:jc w:val="both"/>
        <w:rPr>
          <w:rFonts w:ascii="Palatino Linotype" w:hAnsi="Palatino Linotype" w:cs="Arial"/>
          <w:i/>
          <w:szCs w:val="24"/>
        </w:rPr>
      </w:pPr>
    </w:p>
    <w:p w:rsidR="00132ED0" w:rsidRDefault="00132ED0" w:rsidP="001463A1">
      <w:pPr>
        <w:spacing w:after="0" w:line="240" w:lineRule="auto"/>
        <w:ind w:left="567" w:right="567"/>
        <w:jc w:val="both"/>
        <w:rPr>
          <w:rFonts w:ascii="Palatino Linotype" w:hAnsi="Palatino Linotype" w:cs="Arial"/>
          <w:i/>
          <w:szCs w:val="24"/>
        </w:rPr>
      </w:pPr>
      <w:r w:rsidRPr="00132ED0">
        <w:rPr>
          <w:rFonts w:ascii="Palatino Linotype" w:hAnsi="Palatino Linotype" w:cs="Arial"/>
          <w:i/>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hAnsi="Palatino Linotype" w:cs="Arial"/>
          <w:i/>
          <w:szCs w:val="24"/>
        </w:rPr>
        <w:t>”</w:t>
      </w:r>
    </w:p>
    <w:p w:rsidR="00132ED0" w:rsidRDefault="00132ED0" w:rsidP="001463A1">
      <w:pPr>
        <w:spacing w:after="0" w:line="240" w:lineRule="auto"/>
        <w:ind w:left="567" w:right="567"/>
        <w:jc w:val="both"/>
        <w:rPr>
          <w:rFonts w:ascii="Palatino Linotype" w:hAnsi="Palatino Linotype" w:cs="Arial"/>
          <w:i/>
          <w:szCs w:val="24"/>
        </w:rPr>
      </w:pPr>
    </w:p>
    <w:p w:rsidR="00132ED0" w:rsidRPr="00132ED0" w:rsidRDefault="00132ED0" w:rsidP="001463A1">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703883" w:rsidRDefault="00703883" w:rsidP="001463A1">
      <w:pPr>
        <w:spacing w:after="0" w:line="360" w:lineRule="auto"/>
        <w:jc w:val="both"/>
        <w:rPr>
          <w:rFonts w:ascii="Palatino Linotype" w:hAnsi="Palatino Linotype" w:cs="Arial"/>
          <w:sz w:val="24"/>
          <w:szCs w:val="24"/>
        </w:rPr>
      </w:pPr>
    </w:p>
    <w:p w:rsidR="00070083" w:rsidRDefault="00070083" w:rsidP="001463A1">
      <w:pPr>
        <w:spacing w:after="0" w:line="360" w:lineRule="auto"/>
        <w:jc w:val="both"/>
        <w:rPr>
          <w:rFonts w:ascii="Palatino Linotype" w:hAnsi="Palatino Linotype" w:cs="Arial"/>
          <w:sz w:val="24"/>
          <w:szCs w:val="24"/>
        </w:rPr>
      </w:pPr>
    </w:p>
    <w:p w:rsidR="00132ED0" w:rsidRDefault="00132ED0" w:rsidP="001463A1">
      <w:pPr>
        <w:spacing w:after="0" w:line="360" w:lineRule="auto"/>
        <w:jc w:val="both"/>
        <w:rPr>
          <w:rFonts w:ascii="Palatino Linotype" w:hAnsi="Palatino Linotype" w:cs="Arial"/>
          <w:sz w:val="24"/>
          <w:szCs w:val="24"/>
        </w:rPr>
      </w:pPr>
      <w:r>
        <w:rPr>
          <w:rFonts w:ascii="Palatino Linotype" w:hAnsi="Palatino Linotype" w:cs="Arial"/>
          <w:b/>
          <w:sz w:val="24"/>
          <w:szCs w:val="24"/>
        </w:rPr>
        <w:t>TERCERO. De la Aclaración</w:t>
      </w:r>
    </w:p>
    <w:p w:rsidR="00132ED0" w:rsidRDefault="00132ED0" w:rsidP="001463A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seis de febrero de dos mil diecinueve, el </w:t>
      </w:r>
      <w:r>
        <w:rPr>
          <w:rFonts w:ascii="Palatino Linotype" w:hAnsi="Palatino Linotype" w:cs="Arial"/>
          <w:b/>
          <w:sz w:val="24"/>
          <w:szCs w:val="24"/>
        </w:rPr>
        <w:t xml:space="preserve">solicitante </w:t>
      </w:r>
      <w:r>
        <w:rPr>
          <w:rFonts w:ascii="Palatino Linotype" w:hAnsi="Palatino Linotype" w:cs="Arial"/>
          <w:sz w:val="24"/>
          <w:szCs w:val="24"/>
        </w:rPr>
        <w:t>desahogo en tiempo y forma la solicitud de información, ampliando su solicitud primigenia, realizando las precisiones siguientes</w:t>
      </w:r>
    </w:p>
    <w:p w:rsidR="00132ED0" w:rsidRDefault="00132ED0" w:rsidP="001463A1">
      <w:pPr>
        <w:spacing w:after="0" w:line="360" w:lineRule="auto"/>
        <w:jc w:val="both"/>
        <w:rPr>
          <w:rFonts w:ascii="Palatino Linotype" w:hAnsi="Palatino Linotype" w:cs="Arial"/>
          <w:sz w:val="24"/>
          <w:szCs w:val="24"/>
        </w:rPr>
      </w:pPr>
    </w:p>
    <w:p w:rsidR="00132ED0" w:rsidRDefault="00132ED0" w:rsidP="001463A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132ED0">
        <w:rPr>
          <w:rFonts w:ascii="Palatino Linotype" w:hAnsi="Palatino Linotype" w:cs="Arial"/>
          <w:i/>
          <w:szCs w:val="24"/>
        </w:rPr>
        <w:t xml:space="preserve">Esta solicitud de acceso a la información se refiere basicamente a lo publicado en el boletin 013, con fecha 23 de enero del 2019, mediante el cual aprueban la "propuesta para autorizar </w:t>
      </w:r>
      <w:r w:rsidRPr="00132ED0">
        <w:rPr>
          <w:rFonts w:ascii="Palatino Linotype" w:hAnsi="Palatino Linotype" w:cs="Arial"/>
          <w:i/>
          <w:szCs w:val="24"/>
        </w:rPr>
        <w:lastRenderedPageBreak/>
        <w:t>al Presidente Municipal la celebración de convenios, contratos y comodatos que permitan optimizar las condiciones de prestación de servicios para cumplir con las actividades de la administración municipal, siempre y cuando éstos no requieran la autorización de la Legislatura del Estado de México. El punto fue aprobado por unanimidad." El Edil recordó que, como lo prometió en campaña, se dará prioridad en los contratos de servicios a empresas cien por ciento chalquenses, esto incluye los celebrados por compra de juguetes, mantenimientos en general, alimentos para estancias infantiles etc.</w:t>
      </w:r>
      <w:r>
        <w:rPr>
          <w:rFonts w:ascii="Palatino Linotype" w:hAnsi="Palatino Linotype" w:cs="Arial"/>
          <w:i/>
          <w:szCs w:val="24"/>
        </w:rPr>
        <w:t>”</w:t>
      </w:r>
    </w:p>
    <w:p w:rsidR="00132ED0" w:rsidRDefault="00132ED0" w:rsidP="001463A1">
      <w:pPr>
        <w:spacing w:after="0" w:line="360" w:lineRule="auto"/>
        <w:jc w:val="both"/>
        <w:rPr>
          <w:rFonts w:ascii="Palatino Linotype" w:hAnsi="Palatino Linotype" w:cs="Arial"/>
          <w:sz w:val="24"/>
          <w:szCs w:val="24"/>
        </w:rPr>
      </w:pPr>
    </w:p>
    <w:p w:rsidR="00070083" w:rsidRPr="00132ED0" w:rsidRDefault="00070083" w:rsidP="001463A1">
      <w:pPr>
        <w:spacing w:after="0" w:line="360" w:lineRule="auto"/>
        <w:jc w:val="both"/>
        <w:rPr>
          <w:rFonts w:ascii="Palatino Linotype" w:hAnsi="Palatino Linotype" w:cs="Arial"/>
          <w:sz w:val="24"/>
          <w:szCs w:val="24"/>
        </w:rPr>
      </w:pPr>
    </w:p>
    <w:p w:rsidR="00331FE1" w:rsidRPr="007763F3" w:rsidRDefault="00132ED0" w:rsidP="001463A1">
      <w:pPr>
        <w:spacing w:after="0" w:line="360" w:lineRule="auto"/>
        <w:jc w:val="both"/>
        <w:rPr>
          <w:rFonts w:ascii="Palatino Linotype" w:hAnsi="Palatino Linotype" w:cs="Arial"/>
          <w:b/>
          <w:sz w:val="28"/>
          <w:szCs w:val="24"/>
        </w:rPr>
      </w:pPr>
      <w:r>
        <w:rPr>
          <w:rFonts w:ascii="Palatino Linotype" w:hAnsi="Palatino Linotype" w:cs="Arial"/>
          <w:b/>
          <w:sz w:val="24"/>
          <w:szCs w:val="24"/>
        </w:rPr>
        <w:t xml:space="preserve">CUARTO. De la </w:t>
      </w:r>
      <w:r w:rsidR="00331FE1" w:rsidRPr="002751F6">
        <w:rPr>
          <w:rFonts w:ascii="Palatino Linotype" w:hAnsi="Palatino Linotype" w:cs="Arial"/>
          <w:b/>
          <w:sz w:val="24"/>
          <w:szCs w:val="24"/>
        </w:rPr>
        <w:t xml:space="preserve">respuesta del sujeto obligado. </w:t>
      </w:r>
    </w:p>
    <w:p w:rsidR="00331FE1" w:rsidRDefault="00331FE1" w:rsidP="001463A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w:t>
      </w:r>
      <w:r w:rsidR="00132ED0">
        <w:rPr>
          <w:rFonts w:ascii="Palatino Linotype" w:hAnsi="Palatino Linotype" w:cs="Arial"/>
          <w:sz w:val="24"/>
          <w:szCs w:val="24"/>
        </w:rPr>
        <w:t xml:space="preserve">veintisiete </w:t>
      </w:r>
      <w:r>
        <w:rPr>
          <w:rFonts w:ascii="Palatino Linotype" w:hAnsi="Palatino Linotype" w:cs="Arial"/>
          <w:sz w:val="24"/>
          <w:szCs w:val="24"/>
        </w:rPr>
        <w:t>de febrero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w:t>
      </w:r>
      <w:r w:rsidR="00132ED0">
        <w:rPr>
          <w:rFonts w:ascii="Palatino Linotype" w:hAnsi="Palatino Linotype" w:cs="Arial"/>
          <w:sz w:val="24"/>
          <w:szCs w:val="24"/>
        </w:rPr>
        <w:t xml:space="preserve"> a la solicitud de información </w:t>
      </w:r>
      <w:r w:rsidR="00132ED0" w:rsidRPr="00132ED0">
        <w:rPr>
          <w:rFonts w:ascii="Palatino Linotype" w:hAnsi="Palatino Linotype" w:cs="Arial"/>
          <w:sz w:val="24"/>
          <w:szCs w:val="24"/>
        </w:rPr>
        <w:t>00034/CHALCO/IP/2019</w:t>
      </w:r>
      <w:r w:rsidRPr="00AD2A55">
        <w:rPr>
          <w:rFonts w:ascii="Palatino Linotype" w:hAnsi="Palatino Linotype" w:cs="Arial"/>
          <w:sz w:val="24"/>
          <w:szCs w:val="24"/>
        </w:rPr>
        <w:t xml:space="preserve"> en los siguientes términos:</w:t>
      </w:r>
    </w:p>
    <w:p w:rsidR="00331FE1" w:rsidRDefault="00331FE1" w:rsidP="001463A1">
      <w:pPr>
        <w:spacing w:after="0" w:line="240" w:lineRule="auto"/>
        <w:jc w:val="both"/>
        <w:rPr>
          <w:rFonts w:ascii="Palatino Linotype" w:hAnsi="Palatino Linotype" w:cs="Arial"/>
          <w:sz w:val="24"/>
          <w:szCs w:val="24"/>
        </w:rPr>
      </w:pPr>
    </w:p>
    <w:p w:rsidR="00D76F57" w:rsidRDefault="00331FE1" w:rsidP="001463A1">
      <w:pPr>
        <w:spacing w:after="0" w:line="240" w:lineRule="auto"/>
        <w:ind w:left="567" w:right="567"/>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sidR="00D76F57" w:rsidRPr="00D76F57">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76F57" w:rsidRPr="00D76F57" w:rsidRDefault="00D76F57" w:rsidP="001463A1">
      <w:pPr>
        <w:spacing w:after="0" w:line="240" w:lineRule="auto"/>
        <w:ind w:left="567" w:right="567"/>
        <w:jc w:val="both"/>
        <w:rPr>
          <w:rFonts w:ascii="Palatino Linotype" w:eastAsia="Times New Roman" w:hAnsi="Palatino Linotype" w:cs="Times New Roman"/>
          <w:i/>
          <w:lang w:eastAsia="es-MX"/>
        </w:rPr>
      </w:pPr>
    </w:p>
    <w:p w:rsidR="00331FE1" w:rsidRPr="00910619" w:rsidRDefault="00D76F57" w:rsidP="001463A1">
      <w:pPr>
        <w:spacing w:after="0" w:line="240" w:lineRule="auto"/>
        <w:ind w:left="567" w:right="567"/>
        <w:jc w:val="both"/>
        <w:rPr>
          <w:rFonts w:ascii="Palatino Linotype" w:hAnsi="Palatino Linotype"/>
          <w:i/>
          <w:color w:val="000000"/>
        </w:rPr>
      </w:pPr>
      <w:r w:rsidRPr="00D76F57">
        <w:rPr>
          <w:rFonts w:ascii="Palatino Linotype" w:eastAsia="Times New Roman" w:hAnsi="Palatino Linotype" w:cs="Times New Roman"/>
          <w:i/>
          <w:lang w:eastAsia="es-MX"/>
        </w:rPr>
        <w:t>El sujeto obligado solicitó una prórroga de tiempo al comité de transparencia, sólo que hubo problemas al cargar al sistema pero se subirá la información a primera hora.</w:t>
      </w:r>
      <w:r w:rsidR="00331FE1">
        <w:rPr>
          <w:rFonts w:ascii="Palatino Linotype" w:eastAsia="Times New Roman" w:hAnsi="Palatino Linotype" w:cs="Times New Roman"/>
          <w:i/>
          <w:lang w:eastAsia="es-MX"/>
        </w:rPr>
        <w:t xml:space="preserve">” </w:t>
      </w:r>
      <w:r w:rsidR="00331FE1" w:rsidRPr="00EE4EF2">
        <w:rPr>
          <w:rFonts w:ascii="Palatino Linotype" w:eastAsia="Times New Roman" w:hAnsi="Palatino Linotype" w:cs="Times New Roman"/>
          <w:i/>
          <w:lang w:eastAsia="es-MX"/>
        </w:rPr>
        <w:t>(Sic)</w:t>
      </w:r>
    </w:p>
    <w:p w:rsidR="00331FE1" w:rsidRDefault="00331FE1" w:rsidP="001463A1">
      <w:pPr>
        <w:spacing w:after="0" w:line="360" w:lineRule="auto"/>
        <w:jc w:val="both"/>
        <w:rPr>
          <w:rFonts w:ascii="Palatino Linotype" w:hAnsi="Palatino Linotype" w:cs="Arial"/>
          <w:sz w:val="24"/>
          <w:szCs w:val="24"/>
        </w:rPr>
      </w:pPr>
    </w:p>
    <w:p w:rsidR="00070083" w:rsidRDefault="00070083" w:rsidP="001463A1">
      <w:pPr>
        <w:spacing w:after="0" w:line="360" w:lineRule="auto"/>
        <w:jc w:val="both"/>
        <w:rPr>
          <w:rFonts w:ascii="Palatino Linotype" w:hAnsi="Palatino Linotype" w:cs="Arial"/>
          <w:sz w:val="24"/>
          <w:szCs w:val="24"/>
        </w:rPr>
      </w:pPr>
    </w:p>
    <w:p w:rsidR="00331FE1" w:rsidRPr="007763F3" w:rsidRDefault="00D76F57" w:rsidP="001463A1">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331FE1" w:rsidRPr="007763F3">
        <w:rPr>
          <w:rFonts w:ascii="Palatino Linotype" w:hAnsi="Palatino Linotype" w:cs="Arial"/>
          <w:b/>
          <w:sz w:val="28"/>
          <w:szCs w:val="24"/>
        </w:rPr>
        <w:t xml:space="preserve">. </w:t>
      </w:r>
      <w:r w:rsidR="00331FE1" w:rsidRPr="002751F6">
        <w:rPr>
          <w:rFonts w:ascii="Palatino Linotype" w:hAnsi="Palatino Linotype" w:cs="Arial"/>
          <w:b/>
          <w:sz w:val="24"/>
          <w:szCs w:val="24"/>
        </w:rPr>
        <w:t>Del recurso de revisión.</w:t>
      </w:r>
    </w:p>
    <w:p w:rsidR="00331FE1" w:rsidRDefault="00331FE1" w:rsidP="001463A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D76F57">
        <w:rPr>
          <w:rFonts w:ascii="Palatino Linotype" w:hAnsi="Palatino Linotype" w:cs="Arial"/>
          <w:sz w:val="24"/>
          <w:szCs w:val="24"/>
        </w:rPr>
        <w:t>veintiocho</w:t>
      </w:r>
      <w:r>
        <w:rPr>
          <w:rFonts w:ascii="Palatino Linotype" w:hAnsi="Palatino Linotype" w:cs="Arial"/>
          <w:sz w:val="24"/>
          <w:szCs w:val="24"/>
        </w:rPr>
        <w:t xml:space="preserve"> de febrero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D76F57">
        <w:rPr>
          <w:rFonts w:ascii="Palatino Linotype" w:hAnsi="Palatino Linotype" w:cs="Arial"/>
          <w:b/>
          <w:bCs/>
          <w:sz w:val="24"/>
          <w:szCs w:val="24"/>
          <w:lang w:eastAsia="es-MX"/>
        </w:rPr>
        <w:t>1145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en el cual aduce, las siguientes manifestaciones:</w:t>
      </w:r>
    </w:p>
    <w:p w:rsidR="00331FE1" w:rsidRPr="00AD2A55" w:rsidRDefault="00331FE1" w:rsidP="001463A1">
      <w:pPr>
        <w:spacing w:after="0" w:line="360" w:lineRule="auto"/>
        <w:jc w:val="both"/>
        <w:rPr>
          <w:rFonts w:ascii="Palatino Linotype" w:hAnsi="Palatino Linotype" w:cs="Arial"/>
          <w:sz w:val="24"/>
          <w:szCs w:val="24"/>
        </w:rPr>
      </w:pPr>
    </w:p>
    <w:p w:rsidR="00331FE1" w:rsidRDefault="00331FE1" w:rsidP="001463A1">
      <w:pPr>
        <w:pStyle w:val="Prrafodelista"/>
        <w:spacing w:line="360" w:lineRule="auto"/>
        <w:ind w:left="0"/>
        <w:jc w:val="both"/>
        <w:rPr>
          <w:rFonts w:ascii="Palatino Linotype" w:hAnsi="Palatino Linotype" w:cs="Arial"/>
          <w:b/>
        </w:rPr>
      </w:pPr>
      <w:r w:rsidRPr="008B6600">
        <w:rPr>
          <w:rFonts w:ascii="Palatino Linotype" w:hAnsi="Palatino Linotype" w:cs="Arial"/>
          <w:b/>
        </w:rPr>
        <w:t>Acto Impugnado:</w:t>
      </w:r>
    </w:p>
    <w:p w:rsidR="00331FE1" w:rsidRPr="007F0B4B" w:rsidRDefault="00331FE1" w:rsidP="001463A1">
      <w:pPr>
        <w:pStyle w:val="Prrafodelista"/>
        <w:spacing w:line="360" w:lineRule="auto"/>
        <w:ind w:left="720"/>
        <w:jc w:val="both"/>
        <w:rPr>
          <w:rFonts w:ascii="Palatino Linotype" w:hAnsi="Palatino Linotype" w:cs="Arial"/>
          <w:b/>
          <w:sz w:val="22"/>
        </w:rPr>
      </w:pPr>
    </w:p>
    <w:p w:rsidR="00331FE1" w:rsidRPr="008B6600" w:rsidRDefault="00331FE1" w:rsidP="001463A1">
      <w:pPr>
        <w:spacing w:after="0"/>
        <w:ind w:left="567" w:right="567"/>
        <w:jc w:val="both"/>
        <w:rPr>
          <w:rFonts w:ascii="Palatino Linotype" w:eastAsia="Times New Roman" w:hAnsi="Palatino Linotype" w:cs="Times New Roman"/>
          <w:i/>
          <w:lang w:eastAsia="es-MX"/>
        </w:rPr>
      </w:pPr>
      <w:r w:rsidRPr="008E433F">
        <w:rPr>
          <w:rFonts w:ascii="Palatino Linotype" w:hAnsi="Palatino Linotype"/>
          <w:i/>
          <w:color w:val="000000"/>
        </w:rPr>
        <w:lastRenderedPageBreak/>
        <w:t>“</w:t>
      </w:r>
      <w:r w:rsidR="00D76F57" w:rsidRPr="00D76F57">
        <w:rPr>
          <w:rFonts w:ascii="Palatino Linotype" w:eastAsia="Times New Roman" w:hAnsi="Palatino Linotype" w:cs="Times New Roman"/>
          <w:i/>
          <w:lang w:eastAsia="es-MX"/>
        </w:rPr>
        <w:t>Falta de respuesta del Sujeto Obligado</w:t>
      </w:r>
      <w:r w:rsidRPr="008E433F">
        <w:rPr>
          <w:rFonts w:ascii="Palatino Linotype" w:hAnsi="Palatino Linotype"/>
          <w:i/>
          <w:color w:val="000000"/>
        </w:rPr>
        <w:t>”</w:t>
      </w:r>
      <w:r>
        <w:rPr>
          <w:rFonts w:ascii="Palatino Linotype" w:hAnsi="Palatino Linotype"/>
          <w:i/>
          <w:color w:val="000000"/>
        </w:rPr>
        <w:t xml:space="preserve"> </w:t>
      </w:r>
      <w:r w:rsidRPr="008E433F">
        <w:rPr>
          <w:rFonts w:ascii="Palatino Linotype" w:hAnsi="Palatino Linotype"/>
          <w:i/>
          <w:color w:val="000000"/>
        </w:rPr>
        <w:t>(</w:t>
      </w:r>
      <w:r>
        <w:rPr>
          <w:rFonts w:ascii="Palatino Linotype" w:hAnsi="Palatino Linotype"/>
          <w:i/>
          <w:color w:val="000000"/>
        </w:rPr>
        <w:t>s</w:t>
      </w:r>
      <w:r w:rsidRPr="008E433F">
        <w:rPr>
          <w:rFonts w:ascii="Palatino Linotype" w:hAnsi="Palatino Linotype"/>
          <w:i/>
          <w:color w:val="000000"/>
        </w:rPr>
        <w:t>ic).</w:t>
      </w:r>
    </w:p>
    <w:p w:rsidR="00331FE1" w:rsidRPr="00AD2A55" w:rsidRDefault="00331FE1" w:rsidP="001463A1">
      <w:pPr>
        <w:spacing w:after="0" w:line="360" w:lineRule="auto"/>
        <w:ind w:left="851" w:right="850"/>
        <w:jc w:val="center"/>
        <w:rPr>
          <w:rFonts w:ascii="Palatino Linotype" w:eastAsia="Times New Roman" w:hAnsi="Palatino Linotype" w:cs="Times New Roman"/>
          <w:i/>
          <w:sz w:val="24"/>
          <w:szCs w:val="24"/>
          <w:lang w:eastAsia="es-MX"/>
        </w:rPr>
      </w:pPr>
    </w:p>
    <w:p w:rsidR="00331FE1" w:rsidRDefault="00331FE1" w:rsidP="001463A1">
      <w:pPr>
        <w:pStyle w:val="Prrafodelista"/>
        <w:spacing w:line="360" w:lineRule="auto"/>
        <w:ind w:left="0"/>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331FE1" w:rsidRDefault="00331FE1" w:rsidP="001463A1">
      <w:pPr>
        <w:tabs>
          <w:tab w:val="left" w:pos="851"/>
        </w:tabs>
        <w:spacing w:after="0" w:line="240" w:lineRule="auto"/>
        <w:ind w:left="851" w:right="850"/>
        <w:jc w:val="both"/>
        <w:rPr>
          <w:rFonts w:ascii="Palatino Linotype" w:hAnsi="Palatino Linotype" w:cs="Arial"/>
          <w:i/>
        </w:rPr>
      </w:pPr>
    </w:p>
    <w:p w:rsidR="00331FE1" w:rsidRDefault="00331FE1" w:rsidP="001463A1">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D76F57" w:rsidRPr="00D76F57">
        <w:rPr>
          <w:rFonts w:ascii="Palatino Linotype" w:hAnsi="Palatino Linotype"/>
          <w:i/>
          <w:color w:val="000000"/>
        </w:rPr>
        <w:t>Es lamentable la opacidad con que se esta manejando este ayuntamiento, desde hace 8 años se ha solicitado información a este y otros sujetos obligados sin problema alguno, en su respuesta mencionan que el sujeto obligado solicito prorroga al comite de transparencia, el sujeto obligado esta representado por el presidente municipal, quiero entender que me están informando que el presidente solicito una prorroga al comité?, la ley marca que es el servidor publico habilitado quien la solicita, no se esta anexando el acta del comité donde se autoriza la prorroga en mención, manifiestan que por problemas con el sistema no pudieron cargar la información y a primera hora se hara, si ya emitierón su respuesta, la cual no da cumplimiento a los solicitado, hago valer mi garantía secundaria.</w:t>
      </w:r>
      <w:r w:rsidRPr="002C0A1C">
        <w:rPr>
          <w:rFonts w:ascii="Palatino Linotype" w:hAnsi="Palatino Linotype"/>
          <w:i/>
          <w:color w:val="000000"/>
        </w:rPr>
        <w:t>” (sic)</w:t>
      </w:r>
    </w:p>
    <w:p w:rsidR="00331FE1" w:rsidRDefault="00331FE1" w:rsidP="001463A1">
      <w:pPr>
        <w:spacing w:after="0" w:line="360" w:lineRule="auto"/>
        <w:jc w:val="both"/>
        <w:rPr>
          <w:rFonts w:ascii="Palatino Linotype" w:hAnsi="Palatino Linotype" w:cs="Arial"/>
          <w:sz w:val="24"/>
          <w:szCs w:val="24"/>
        </w:rPr>
      </w:pPr>
    </w:p>
    <w:p w:rsidR="00070083" w:rsidRPr="00157D9B" w:rsidRDefault="00070083" w:rsidP="001463A1">
      <w:pPr>
        <w:spacing w:after="0" w:line="360" w:lineRule="auto"/>
        <w:jc w:val="both"/>
        <w:rPr>
          <w:rFonts w:ascii="Palatino Linotype" w:hAnsi="Palatino Linotype" w:cs="Arial"/>
          <w:sz w:val="24"/>
          <w:szCs w:val="24"/>
        </w:rPr>
      </w:pPr>
    </w:p>
    <w:p w:rsidR="00331FE1" w:rsidRPr="008B6600" w:rsidRDefault="00D76F57" w:rsidP="001463A1">
      <w:pPr>
        <w:spacing w:after="0" w:line="360" w:lineRule="auto"/>
        <w:jc w:val="both"/>
        <w:rPr>
          <w:rFonts w:ascii="Palatino Linotype" w:hAnsi="Palatino Linotype" w:cs="Arial"/>
          <w:b/>
          <w:sz w:val="28"/>
          <w:szCs w:val="24"/>
        </w:rPr>
      </w:pPr>
      <w:r>
        <w:rPr>
          <w:rFonts w:ascii="Palatino Linotype" w:hAnsi="Palatino Linotype" w:cs="Arial"/>
          <w:b/>
          <w:sz w:val="28"/>
          <w:szCs w:val="24"/>
        </w:rPr>
        <w:t>SEXTO</w:t>
      </w:r>
      <w:r w:rsidR="00331FE1" w:rsidRPr="008B6600">
        <w:rPr>
          <w:rFonts w:ascii="Palatino Linotype" w:hAnsi="Palatino Linotype" w:cs="Arial"/>
          <w:b/>
          <w:sz w:val="28"/>
          <w:szCs w:val="24"/>
        </w:rPr>
        <w:t xml:space="preserve">. </w:t>
      </w:r>
      <w:r w:rsidR="00331FE1" w:rsidRPr="002751F6">
        <w:rPr>
          <w:rFonts w:ascii="Palatino Linotype" w:hAnsi="Palatino Linotype" w:cs="Arial"/>
          <w:b/>
          <w:sz w:val="24"/>
          <w:szCs w:val="24"/>
        </w:rPr>
        <w:t>Del turno del recurso de revisión.</w:t>
      </w:r>
    </w:p>
    <w:p w:rsidR="00331FE1" w:rsidRPr="00AD2A55" w:rsidRDefault="00331FE1" w:rsidP="001463A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76F57">
        <w:rPr>
          <w:rFonts w:ascii="Palatino Linotype" w:hAnsi="Palatino Linotype" w:cs="Arial"/>
          <w:sz w:val="24"/>
          <w:szCs w:val="24"/>
        </w:rPr>
        <w:t>siete de marzo</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331FE1" w:rsidRDefault="00331FE1" w:rsidP="001463A1">
      <w:pPr>
        <w:spacing w:after="0" w:line="360" w:lineRule="auto"/>
        <w:jc w:val="both"/>
        <w:rPr>
          <w:rFonts w:ascii="Palatino Linotype" w:hAnsi="Palatino Linotype" w:cs="Arial"/>
          <w:sz w:val="24"/>
          <w:szCs w:val="24"/>
        </w:rPr>
      </w:pPr>
    </w:p>
    <w:p w:rsidR="00070083" w:rsidRDefault="00070083" w:rsidP="001463A1">
      <w:pPr>
        <w:spacing w:after="0" w:line="360" w:lineRule="auto"/>
        <w:jc w:val="both"/>
        <w:rPr>
          <w:rFonts w:ascii="Palatino Linotype" w:hAnsi="Palatino Linotype" w:cs="Arial"/>
          <w:sz w:val="24"/>
          <w:szCs w:val="24"/>
        </w:rPr>
      </w:pPr>
    </w:p>
    <w:p w:rsidR="00331FE1" w:rsidRPr="008B6600" w:rsidRDefault="00D76F57" w:rsidP="001463A1">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331FE1" w:rsidRPr="008B6600">
        <w:rPr>
          <w:rFonts w:ascii="Palatino Linotype" w:hAnsi="Palatino Linotype" w:cs="Arial"/>
          <w:b/>
          <w:sz w:val="28"/>
          <w:szCs w:val="24"/>
        </w:rPr>
        <w:t xml:space="preserve">. </w:t>
      </w:r>
      <w:r w:rsidR="00331FE1" w:rsidRPr="002751F6">
        <w:rPr>
          <w:rFonts w:ascii="Palatino Linotype" w:hAnsi="Palatino Linotype" w:cs="Arial"/>
          <w:b/>
          <w:sz w:val="24"/>
          <w:szCs w:val="24"/>
        </w:rPr>
        <w:t>De la etapa de instrucción.</w:t>
      </w:r>
    </w:p>
    <w:p w:rsidR="00331FE1" w:rsidRDefault="00331FE1" w:rsidP="001463A1">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no rindió su informe justificado, de igual manera, se hace constar que </w:t>
      </w:r>
      <w:r w:rsidR="00D76F57">
        <w:rPr>
          <w:rFonts w:ascii="Palatino Linotype" w:hAnsi="Palatino Linotype" w:cs="Arial"/>
          <w:b/>
          <w:sz w:val="24"/>
          <w:szCs w:val="24"/>
        </w:rPr>
        <w:t>el</w:t>
      </w:r>
      <w:r>
        <w:rPr>
          <w:rFonts w:ascii="Palatino Linotype" w:hAnsi="Palatino Linotype" w:cs="Arial"/>
          <w:b/>
          <w:sz w:val="24"/>
          <w:szCs w:val="24"/>
        </w:rPr>
        <w:t xml:space="preserve">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w:t>
      </w:r>
      <w:r w:rsidRPr="00E34EB5">
        <w:rPr>
          <w:rFonts w:ascii="Palatino Linotype" w:hAnsi="Palatino Linotype" w:cs="Arial"/>
          <w:sz w:val="24"/>
          <w:szCs w:val="24"/>
        </w:rPr>
        <w:lastRenderedPageBreak/>
        <w:t xml:space="preserve">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31FE1" w:rsidRDefault="00331FE1" w:rsidP="001463A1">
      <w:pPr>
        <w:spacing w:after="0" w:line="360" w:lineRule="auto"/>
        <w:jc w:val="both"/>
        <w:rPr>
          <w:rFonts w:ascii="Palatino Linotype" w:hAnsi="Palatino Linotype" w:cs="Arial"/>
          <w:sz w:val="24"/>
          <w:szCs w:val="24"/>
        </w:rPr>
      </w:pPr>
    </w:p>
    <w:p w:rsidR="00331FE1" w:rsidRDefault="00331FE1" w:rsidP="001463A1">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D76F57">
        <w:rPr>
          <w:rFonts w:ascii="Palatino Linotype" w:hAnsi="Palatino Linotype" w:cs="Arial"/>
          <w:sz w:val="24"/>
          <w:szCs w:val="24"/>
        </w:rPr>
        <w:t>veinte</w:t>
      </w:r>
      <w:r>
        <w:rPr>
          <w:rFonts w:ascii="Palatino Linotype" w:hAnsi="Palatino Linotype" w:cs="Arial"/>
          <w:sz w:val="24"/>
          <w:szCs w:val="24"/>
        </w:rPr>
        <w:t xml:space="preserve"> de marzo </w:t>
      </w:r>
      <w:r w:rsidRPr="00593737">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331FE1" w:rsidRDefault="00331FE1" w:rsidP="001463A1">
      <w:pPr>
        <w:spacing w:after="0" w:line="360" w:lineRule="auto"/>
        <w:jc w:val="both"/>
        <w:rPr>
          <w:rFonts w:ascii="Palatino Linotype" w:hAnsi="Palatino Linotype" w:cs="Arial"/>
          <w:sz w:val="24"/>
          <w:szCs w:val="24"/>
        </w:rPr>
      </w:pPr>
    </w:p>
    <w:p w:rsidR="00331FE1" w:rsidRPr="008B6600" w:rsidRDefault="00331FE1" w:rsidP="001463A1">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331FE1" w:rsidRPr="00AD2A55" w:rsidRDefault="00331FE1" w:rsidP="001463A1">
      <w:pPr>
        <w:spacing w:after="0" w:line="360" w:lineRule="auto"/>
        <w:jc w:val="center"/>
        <w:rPr>
          <w:rFonts w:ascii="Palatino Linotype" w:hAnsi="Palatino Linotype" w:cs="Arial"/>
          <w:b/>
          <w:sz w:val="24"/>
          <w:szCs w:val="24"/>
        </w:rPr>
      </w:pPr>
    </w:p>
    <w:p w:rsidR="00331FE1" w:rsidRPr="00600F1D" w:rsidRDefault="00331FE1" w:rsidP="001463A1">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331FE1" w:rsidRDefault="00331FE1" w:rsidP="001463A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D76F57">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w:t>
      </w:r>
      <w:r w:rsidRPr="00AD2A55">
        <w:rPr>
          <w:rFonts w:ascii="Palatino Linotype" w:hAnsi="Palatino Linotype" w:cs="Arial"/>
          <w:sz w:val="24"/>
          <w:szCs w:val="24"/>
        </w:rPr>
        <w:lastRenderedPageBreak/>
        <w:t>del Instituto de Transparencia, Acceso a la Información Pública y Protección de Datos Personales del Estado de México y Municipios.</w:t>
      </w:r>
    </w:p>
    <w:p w:rsidR="00331FE1" w:rsidRDefault="00331FE1" w:rsidP="001463A1">
      <w:pPr>
        <w:spacing w:after="0" w:line="360" w:lineRule="auto"/>
        <w:jc w:val="both"/>
        <w:rPr>
          <w:rFonts w:ascii="Palatino Linotype" w:hAnsi="Palatino Linotype" w:cs="Arial"/>
          <w:sz w:val="24"/>
          <w:szCs w:val="24"/>
        </w:rPr>
      </w:pPr>
    </w:p>
    <w:p w:rsidR="00070083" w:rsidRDefault="00070083" w:rsidP="001463A1">
      <w:pPr>
        <w:spacing w:after="0" w:line="360" w:lineRule="auto"/>
        <w:jc w:val="both"/>
        <w:rPr>
          <w:rFonts w:ascii="Palatino Linotype" w:hAnsi="Palatino Linotype" w:cs="Arial"/>
          <w:sz w:val="24"/>
          <w:szCs w:val="24"/>
        </w:rPr>
      </w:pPr>
    </w:p>
    <w:p w:rsidR="00331FE1" w:rsidRPr="00600F1D" w:rsidRDefault="00331FE1" w:rsidP="001463A1">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w:t>
      </w:r>
      <w:r w:rsidR="00D76F57" w:rsidRPr="00600F1D">
        <w:rPr>
          <w:rFonts w:ascii="Palatino Linotype" w:hAnsi="Palatino Linotype" w:cs="Arial"/>
          <w:b/>
          <w:sz w:val="28"/>
          <w:szCs w:val="28"/>
        </w:rPr>
        <w:t>recurso de revisión</w:t>
      </w:r>
      <w:r w:rsidRPr="00600F1D">
        <w:rPr>
          <w:rFonts w:ascii="Palatino Linotype" w:hAnsi="Palatino Linotype" w:cs="Arial"/>
          <w:b/>
          <w:sz w:val="28"/>
          <w:szCs w:val="28"/>
        </w:rPr>
        <w:t xml:space="preserve">. </w:t>
      </w:r>
    </w:p>
    <w:p w:rsidR="00331FE1" w:rsidRDefault="00331FE1" w:rsidP="001463A1">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31FE1"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00780E">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II</w:t>
      </w:r>
      <w:r w:rsidRPr="005A46CE">
        <w:rPr>
          <w:rFonts w:ascii="Palatino Linotype" w:hAnsi="Palatino Linotype" w:cs="Arial"/>
          <w:i/>
          <w:szCs w:val="24"/>
        </w:rPr>
        <w:t xml:space="preserve">. </w:t>
      </w:r>
      <w:r w:rsidRPr="0000780E">
        <w:rPr>
          <w:rFonts w:ascii="Palatino Linotype" w:hAnsi="Palatino Linotype" w:cs="Arial"/>
          <w:i/>
          <w:szCs w:val="24"/>
          <w:u w:val="single"/>
        </w:rPr>
        <w:t>El nombre del solicitante que recurre o de su representante y, en su caso, del tercero interesado, así como la dirección o medio que señale para recibir notificaciones;</w:t>
      </w:r>
      <w:r w:rsidRPr="005A46CE">
        <w:rPr>
          <w:rFonts w:ascii="Palatino Linotype" w:hAnsi="Palatino Linotype" w:cs="Arial"/>
          <w:i/>
          <w:szCs w:val="24"/>
        </w:rPr>
        <w:t xml:space="preserve"> </w:t>
      </w: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V</w:t>
      </w:r>
      <w:r w:rsidRPr="005A46CE">
        <w:rPr>
          <w:rFonts w:ascii="Palatino Linotype" w:hAnsi="Palatino Linotype" w:cs="Arial"/>
          <w:i/>
          <w:szCs w:val="24"/>
        </w:rPr>
        <w:t xml:space="preserve">. El acto que se recurre; </w:t>
      </w: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lastRenderedPageBreak/>
        <w:t>VIII</w:t>
      </w:r>
      <w:r w:rsidRPr="005A46CE">
        <w:rPr>
          <w:rFonts w:ascii="Palatino Linotype" w:hAnsi="Palatino Linotype" w:cs="Arial"/>
          <w:i/>
          <w:szCs w:val="24"/>
        </w:rPr>
        <w:t xml:space="preserve">. Firma del recurrente, en su caso, cuando se presente por escrito, requisito sin el cual se dará trámite al recurso. </w:t>
      </w: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331FE1" w:rsidRPr="005A46CE" w:rsidRDefault="00331FE1" w:rsidP="001463A1">
      <w:pPr>
        <w:autoSpaceDE w:val="0"/>
        <w:autoSpaceDN w:val="0"/>
        <w:adjustRightInd w:val="0"/>
        <w:spacing w:after="0" w:line="240" w:lineRule="auto"/>
        <w:ind w:left="567" w:right="567"/>
        <w:jc w:val="both"/>
        <w:rPr>
          <w:rFonts w:ascii="Palatino Linotype" w:hAnsi="Palatino Linotype" w:cs="Arial"/>
          <w:i/>
          <w:szCs w:val="24"/>
        </w:rPr>
      </w:pPr>
    </w:p>
    <w:p w:rsidR="00331FE1" w:rsidRPr="005A46CE" w:rsidRDefault="00331FE1" w:rsidP="001463A1">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sidR="00D76F57">
        <w:rPr>
          <w:rFonts w:ascii="Palatino Linotype" w:hAnsi="Palatino Linotype" w:cs="Arial"/>
          <w:sz w:val="24"/>
          <w:szCs w:val="24"/>
        </w:rPr>
        <w:t>CENTRO DE CONTRALORIA SOCIAL ANTICORRUPCIÓN</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00D76F57">
        <w:rPr>
          <w:rFonts w:ascii="Palatino Linotype" w:hAnsi="Palatino Linotype" w:cs="Arial"/>
          <w:i/>
          <w:sz w:val="24"/>
          <w:szCs w:val="24"/>
        </w:rPr>
        <w:t>“</w:t>
      </w:r>
      <w:r w:rsidRPr="00D76F57">
        <w:rPr>
          <w:rFonts w:ascii="Palatino Linotype" w:hAnsi="Palatino Linotype" w:cs="Arial"/>
          <w:i/>
          <w:sz w:val="24"/>
          <w:szCs w:val="24"/>
        </w:rPr>
        <w:t>sine qua non</w:t>
      </w:r>
      <w:r w:rsidR="00D76F57">
        <w:rPr>
          <w:rFonts w:ascii="Palatino Linotype" w:hAnsi="Palatino Linotype" w:cs="Arial"/>
          <w:i/>
          <w:sz w:val="24"/>
          <w:szCs w:val="24"/>
        </w:rPr>
        <w:t>”</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Pr="006E77FD" w:rsidRDefault="00331FE1" w:rsidP="001463A1">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331FE1" w:rsidRPr="006E77FD" w:rsidRDefault="00331FE1" w:rsidP="001463A1">
      <w:pPr>
        <w:autoSpaceDE w:val="0"/>
        <w:autoSpaceDN w:val="0"/>
        <w:adjustRightInd w:val="0"/>
        <w:spacing w:after="0" w:line="240" w:lineRule="auto"/>
        <w:jc w:val="both"/>
        <w:rPr>
          <w:rFonts w:ascii="Palatino Linotype" w:hAnsi="Palatino Linotype" w:cs="Arial"/>
        </w:rPr>
      </w:pPr>
    </w:p>
    <w:p w:rsidR="00331FE1" w:rsidRPr="006E77FD" w:rsidRDefault="00331FE1" w:rsidP="001463A1">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331FE1" w:rsidRDefault="00331FE1" w:rsidP="001463A1">
      <w:pPr>
        <w:autoSpaceDE w:val="0"/>
        <w:autoSpaceDN w:val="0"/>
        <w:adjustRightInd w:val="0"/>
        <w:spacing w:after="0" w:line="240" w:lineRule="auto"/>
        <w:ind w:left="567" w:right="567"/>
        <w:jc w:val="both"/>
        <w:rPr>
          <w:rFonts w:ascii="Palatino Linotype" w:hAnsi="Palatino Linotype" w:cs="Arial"/>
          <w:i/>
          <w:szCs w:val="24"/>
        </w:rPr>
      </w:pPr>
    </w:p>
    <w:p w:rsidR="00331FE1" w:rsidRDefault="00331FE1" w:rsidP="001463A1">
      <w:pPr>
        <w:autoSpaceDE w:val="0"/>
        <w:autoSpaceDN w:val="0"/>
        <w:adjustRightInd w:val="0"/>
        <w:spacing w:after="0" w:line="240" w:lineRule="auto"/>
        <w:ind w:left="567" w:right="567"/>
        <w:jc w:val="both"/>
        <w:rPr>
          <w:rFonts w:ascii="Palatino Linotype" w:hAnsi="Palatino Linotype" w:cs="Arial"/>
          <w:i/>
          <w:szCs w:val="24"/>
        </w:rPr>
      </w:pPr>
    </w:p>
    <w:p w:rsidR="00331FE1" w:rsidRPr="00D97FA4" w:rsidRDefault="00331FE1" w:rsidP="001463A1">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331FE1" w:rsidRDefault="00331FE1" w:rsidP="001463A1">
      <w:pPr>
        <w:autoSpaceDE w:val="0"/>
        <w:autoSpaceDN w:val="0"/>
        <w:adjustRightInd w:val="0"/>
        <w:spacing w:after="0" w:line="240" w:lineRule="auto"/>
        <w:ind w:left="567" w:right="567"/>
        <w:jc w:val="both"/>
        <w:rPr>
          <w:rFonts w:ascii="Palatino Linotype" w:hAnsi="Palatino Linotype" w:cs="Arial"/>
          <w:i/>
          <w:szCs w:val="24"/>
        </w:rPr>
      </w:pP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331FE1" w:rsidRPr="00D97FA4" w:rsidRDefault="00331FE1" w:rsidP="001463A1">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331FE1"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Default="00331FE1" w:rsidP="001463A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Por otra parte, del contenido del artículo 1 de la Constitución Política de los Estados Unidos Mexicanos, se destaca lo siguiente:</w:t>
      </w: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31FE1"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31FE1" w:rsidRDefault="00331FE1" w:rsidP="001463A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w:t>
      </w:r>
      <w:r w:rsidRPr="0000780E">
        <w:rPr>
          <w:rFonts w:ascii="Palatino Linotype" w:hAnsi="Palatino Linotype" w:cs="Arial"/>
          <w:b/>
          <w:i/>
          <w:szCs w:val="24"/>
        </w:rPr>
        <w:t>Acceso a información gubernamental</w:t>
      </w:r>
      <w:r w:rsidRPr="00D97FA4">
        <w:rPr>
          <w:rFonts w:ascii="Palatino Linotype" w:hAnsi="Palatino Linotype" w:cs="Arial"/>
          <w:i/>
          <w:szCs w:val="24"/>
        </w:rPr>
        <w:t>.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31FE1" w:rsidRPr="00D97FA4" w:rsidRDefault="00331FE1" w:rsidP="001463A1">
      <w:pPr>
        <w:autoSpaceDE w:val="0"/>
        <w:autoSpaceDN w:val="0"/>
        <w:adjustRightInd w:val="0"/>
        <w:spacing w:after="0" w:line="240" w:lineRule="auto"/>
        <w:ind w:left="567" w:right="567"/>
        <w:jc w:val="both"/>
        <w:rPr>
          <w:rFonts w:ascii="Palatino Linotype" w:hAnsi="Palatino Linotype" w:cs="Arial"/>
          <w:i/>
          <w:szCs w:val="24"/>
        </w:rPr>
      </w:pPr>
    </w:p>
    <w:p w:rsidR="00331FE1" w:rsidRPr="0000780E" w:rsidRDefault="00331FE1" w:rsidP="001463A1">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Resoluciones</w:t>
      </w:r>
    </w:p>
    <w:p w:rsidR="00331FE1" w:rsidRPr="0000780E" w:rsidRDefault="00331FE1" w:rsidP="001463A1">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5275/13. Interpuesto en contra de la Secretaría de la Defensa Nacional. Comisionado Ponente Ángel Trinidad Zaldívar.</w:t>
      </w:r>
    </w:p>
    <w:p w:rsidR="00331FE1" w:rsidRPr="0000780E" w:rsidRDefault="00331FE1" w:rsidP="001463A1">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2937/13. Interpuesto en contra de LICONSA, S.A. de C.V. Comisionado. Ponente Gerardo Laveaga Rendón.</w:t>
      </w:r>
    </w:p>
    <w:p w:rsidR="00331FE1" w:rsidRPr="0000780E" w:rsidRDefault="00331FE1" w:rsidP="001463A1">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3609/12. Interpuesto en contra de la Secretaría de Educación Pública. Comisionada Ponente Sigrid Arzt Colunga.</w:t>
      </w:r>
    </w:p>
    <w:p w:rsidR="00331FE1" w:rsidRPr="0000780E" w:rsidRDefault="00331FE1" w:rsidP="001463A1">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3361/12. Interpuesto en contra del Servicio de Administración Tributaria. Comisionada Ponente María Elena Pérez-Jaén Zermeño.</w:t>
      </w:r>
    </w:p>
    <w:p w:rsidR="00331FE1" w:rsidRPr="0000780E" w:rsidRDefault="00331FE1" w:rsidP="001463A1">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0563/12. Interpuesto en contra de la Secretaría de la Función Pública. Comisionada Ponente Jacqueline Peschard Mariscal.”</w:t>
      </w: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Default="00331FE1" w:rsidP="001463A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D97FA4">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331FE1" w:rsidRPr="00D97FA4"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Default="00331FE1" w:rsidP="001463A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331FE1" w:rsidRDefault="00331FE1" w:rsidP="001463A1">
      <w:pPr>
        <w:pStyle w:val="Prrafodelista"/>
        <w:autoSpaceDE w:val="0"/>
        <w:autoSpaceDN w:val="0"/>
        <w:adjustRightInd w:val="0"/>
        <w:spacing w:line="360" w:lineRule="auto"/>
        <w:ind w:left="0"/>
        <w:jc w:val="both"/>
        <w:rPr>
          <w:rFonts w:ascii="Palatino Linotype" w:hAnsi="Palatino Linotype" w:cs="Arial"/>
        </w:rPr>
      </w:pPr>
    </w:p>
    <w:p w:rsidR="00070083" w:rsidRDefault="00070083" w:rsidP="001463A1">
      <w:pPr>
        <w:pStyle w:val="Prrafodelista"/>
        <w:autoSpaceDE w:val="0"/>
        <w:autoSpaceDN w:val="0"/>
        <w:adjustRightInd w:val="0"/>
        <w:spacing w:line="360" w:lineRule="auto"/>
        <w:ind w:left="0"/>
        <w:jc w:val="both"/>
        <w:rPr>
          <w:rFonts w:ascii="Palatino Linotype" w:hAnsi="Palatino Linotype" w:cs="Arial"/>
        </w:rPr>
      </w:pPr>
    </w:p>
    <w:p w:rsidR="00331FE1" w:rsidRPr="00600F1D" w:rsidRDefault="00331FE1" w:rsidP="001463A1">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TERCERO. Del estudio de las causas de improcedencia. </w:t>
      </w:r>
    </w:p>
    <w:p w:rsidR="00331FE1" w:rsidRDefault="00331FE1" w:rsidP="001463A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31FE1" w:rsidRPr="00AD2A55"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Pr="00AD2A55" w:rsidRDefault="00331FE1" w:rsidP="001463A1">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8"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9"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AD2A55">
        <w:rPr>
          <w:rFonts w:ascii="Palatino Linotype" w:hAnsi="Palatino Linotype"/>
          <w:i/>
        </w:rPr>
        <w:lastRenderedPageBreak/>
        <w:t>efectivamente sobre los derechos fundamentales reclamados como violados dentro del juicio de garantías.</w:t>
      </w:r>
    </w:p>
    <w:p w:rsidR="00331FE1" w:rsidRPr="00AD2A55" w:rsidRDefault="00331FE1" w:rsidP="001463A1">
      <w:pPr>
        <w:pStyle w:val="Prrafodelista"/>
        <w:autoSpaceDE w:val="0"/>
        <w:autoSpaceDN w:val="0"/>
        <w:adjustRightInd w:val="0"/>
        <w:spacing w:line="360" w:lineRule="auto"/>
        <w:ind w:left="0"/>
        <w:jc w:val="both"/>
        <w:rPr>
          <w:rFonts w:ascii="Palatino Linotype" w:hAnsi="Palatino Linotype" w:cs="Arial"/>
        </w:rPr>
      </w:pPr>
    </w:p>
    <w:p w:rsidR="00331FE1" w:rsidRPr="00AD2A55" w:rsidRDefault="00331FE1" w:rsidP="001463A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331FE1" w:rsidRPr="00AD2A55" w:rsidRDefault="00331FE1" w:rsidP="001463A1">
      <w:pPr>
        <w:pStyle w:val="Prrafodelista"/>
        <w:autoSpaceDE w:val="0"/>
        <w:autoSpaceDN w:val="0"/>
        <w:adjustRightInd w:val="0"/>
        <w:spacing w:line="360" w:lineRule="auto"/>
        <w:ind w:left="0"/>
        <w:jc w:val="both"/>
        <w:rPr>
          <w:rFonts w:ascii="Palatino Linotype" w:hAnsi="Palatino Linotype" w:cs="Arial"/>
        </w:rPr>
      </w:pPr>
    </w:p>
    <w:p w:rsidR="00331FE1" w:rsidRPr="00AD2A55" w:rsidRDefault="00331FE1" w:rsidP="001463A1">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331FE1" w:rsidRPr="00AD2A55" w:rsidRDefault="00331FE1" w:rsidP="001463A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331FE1" w:rsidRPr="00AD2A55" w:rsidRDefault="00331FE1" w:rsidP="001463A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331FE1" w:rsidRPr="00AD2A55" w:rsidRDefault="00331FE1" w:rsidP="001463A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331FE1" w:rsidRPr="00AD2A55" w:rsidRDefault="00331FE1" w:rsidP="001463A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331FE1" w:rsidRPr="00AD2A55" w:rsidRDefault="00331FE1" w:rsidP="001463A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331FE1" w:rsidRPr="00AD2A55" w:rsidRDefault="00331FE1" w:rsidP="001463A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331FE1" w:rsidRPr="00AD2A55" w:rsidRDefault="00331FE1" w:rsidP="001463A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331FE1" w:rsidRPr="00AD2A55" w:rsidRDefault="00331FE1" w:rsidP="001463A1">
      <w:pPr>
        <w:pStyle w:val="Prrafodelista"/>
        <w:autoSpaceDE w:val="0"/>
        <w:autoSpaceDN w:val="0"/>
        <w:adjustRightInd w:val="0"/>
        <w:spacing w:line="360" w:lineRule="auto"/>
        <w:ind w:right="850"/>
        <w:jc w:val="both"/>
        <w:rPr>
          <w:rFonts w:ascii="Palatino Linotype" w:hAnsi="Palatino Linotype" w:cs="Arial"/>
          <w:i/>
        </w:rPr>
      </w:pPr>
    </w:p>
    <w:p w:rsidR="00331FE1" w:rsidRPr="00AD2A55" w:rsidRDefault="00331FE1" w:rsidP="001463A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331FE1" w:rsidRDefault="00331FE1" w:rsidP="001463A1">
      <w:pPr>
        <w:autoSpaceDE w:val="0"/>
        <w:autoSpaceDN w:val="0"/>
        <w:adjustRightInd w:val="0"/>
        <w:spacing w:after="0" w:line="360" w:lineRule="auto"/>
        <w:jc w:val="both"/>
        <w:rPr>
          <w:rFonts w:ascii="Palatino Linotype" w:hAnsi="Palatino Linotype" w:cs="Arial"/>
          <w:sz w:val="24"/>
          <w:szCs w:val="24"/>
        </w:rPr>
      </w:pPr>
    </w:p>
    <w:p w:rsidR="00070083" w:rsidRDefault="00070083" w:rsidP="001463A1">
      <w:pPr>
        <w:autoSpaceDE w:val="0"/>
        <w:autoSpaceDN w:val="0"/>
        <w:adjustRightInd w:val="0"/>
        <w:spacing w:after="0" w:line="360" w:lineRule="auto"/>
        <w:jc w:val="both"/>
        <w:rPr>
          <w:rFonts w:ascii="Palatino Linotype" w:hAnsi="Palatino Linotype" w:cs="Arial"/>
          <w:sz w:val="24"/>
          <w:szCs w:val="24"/>
        </w:rPr>
      </w:pPr>
    </w:p>
    <w:p w:rsidR="00331FE1" w:rsidRPr="00600F1D" w:rsidRDefault="00331FE1" w:rsidP="001463A1">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331FE1" w:rsidRDefault="00331FE1" w:rsidP="001463A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D2A55">
        <w:rPr>
          <w:rFonts w:ascii="Palatino Linotype" w:hAnsi="Palatino Linotype" w:cs="Arial"/>
          <w:sz w:val="24"/>
          <w:szCs w:val="24"/>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31FE1" w:rsidRPr="00AD2A55" w:rsidRDefault="00331FE1" w:rsidP="001463A1">
      <w:pPr>
        <w:autoSpaceDE w:val="0"/>
        <w:autoSpaceDN w:val="0"/>
        <w:adjustRightInd w:val="0"/>
        <w:spacing w:after="0" w:line="360" w:lineRule="auto"/>
        <w:jc w:val="both"/>
        <w:rPr>
          <w:rFonts w:ascii="Palatino Linotype" w:hAnsi="Palatino Linotype" w:cs="Arial"/>
          <w:sz w:val="24"/>
          <w:szCs w:val="24"/>
        </w:rPr>
      </w:pPr>
    </w:p>
    <w:p w:rsidR="00331FE1" w:rsidRDefault="00331FE1" w:rsidP="001463A1">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331FE1" w:rsidRDefault="00331FE1" w:rsidP="001463A1">
      <w:pPr>
        <w:tabs>
          <w:tab w:val="left" w:pos="709"/>
        </w:tabs>
        <w:spacing w:after="0" w:line="360" w:lineRule="auto"/>
        <w:jc w:val="both"/>
        <w:rPr>
          <w:rFonts w:ascii="Palatino Linotype" w:hAnsi="Palatino Linotype"/>
          <w:sz w:val="24"/>
          <w:szCs w:val="24"/>
        </w:rPr>
      </w:pPr>
    </w:p>
    <w:p w:rsidR="00331FE1" w:rsidRDefault="00331FE1" w:rsidP="001463A1">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w:t>
      </w:r>
      <w:r w:rsidR="001270C2">
        <w:rPr>
          <w:rFonts w:ascii="Palatino Linotype" w:hAnsi="Palatino Linotype"/>
          <w:sz w:val="24"/>
          <w:szCs w:val="24"/>
        </w:rPr>
        <w:t xml:space="preserve">así como de la aclaración </w:t>
      </w:r>
      <w:r w:rsidRPr="0053687A">
        <w:rPr>
          <w:rFonts w:ascii="Palatino Linotype" w:hAnsi="Palatino Linotype"/>
          <w:sz w:val="24"/>
          <w:szCs w:val="24"/>
        </w:rPr>
        <w:t>que fue</w:t>
      </w:r>
      <w:r w:rsidR="001270C2">
        <w:rPr>
          <w:rFonts w:ascii="Palatino Linotype" w:hAnsi="Palatino Linotype"/>
          <w:sz w:val="24"/>
          <w:szCs w:val="24"/>
        </w:rPr>
        <w:t>ron</w:t>
      </w:r>
      <w:r w:rsidRPr="0053687A">
        <w:rPr>
          <w:rFonts w:ascii="Palatino Linotype" w:hAnsi="Palatino Linotype"/>
          <w:sz w:val="24"/>
          <w:szCs w:val="24"/>
        </w:rPr>
        <w:t xml:space="preserve"> plasmada</w:t>
      </w:r>
      <w:r w:rsidR="001270C2">
        <w:rPr>
          <w:rFonts w:ascii="Palatino Linotype" w:hAnsi="Palatino Linotype"/>
          <w:sz w:val="24"/>
          <w:szCs w:val="24"/>
        </w:rPr>
        <w:t>s</w:t>
      </w:r>
      <w:r w:rsidRPr="0053687A">
        <w:rPr>
          <w:rFonts w:ascii="Palatino Linotype" w:hAnsi="Palatino Linotype"/>
          <w:sz w:val="24"/>
          <w:szCs w:val="24"/>
        </w:rPr>
        <w:t xml:space="preserve"> por </w:t>
      </w:r>
      <w:r w:rsidR="001270C2">
        <w:rPr>
          <w:rFonts w:ascii="Palatino Linotype" w:hAnsi="Palatino Linotype"/>
          <w:sz w:val="24"/>
          <w:szCs w:val="24"/>
        </w:rPr>
        <w:t>el</w:t>
      </w:r>
      <w:r w:rsidRPr="0053687A">
        <w:rPr>
          <w:rFonts w:ascii="Palatino Linotype" w:hAnsi="Palatino Linotype"/>
          <w:sz w:val="24"/>
          <w:szCs w:val="24"/>
        </w:rPr>
        <w:t xml:space="preserve"> </w:t>
      </w:r>
      <w:r w:rsidRPr="001270C2">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w:t>
      </w:r>
      <w:r w:rsidRPr="001270C2">
        <w:rPr>
          <w:rFonts w:ascii="Palatino Linotype" w:hAnsi="Palatino Linotype"/>
          <w:sz w:val="24"/>
          <w:szCs w:val="24"/>
        </w:rPr>
        <w:t xml:space="preserve">ación que nos ocupa, así, el particular </w:t>
      </w:r>
      <w:r w:rsidR="00F8076B">
        <w:rPr>
          <w:rFonts w:ascii="Palatino Linotype" w:hAnsi="Palatino Linotype"/>
          <w:sz w:val="24"/>
          <w:szCs w:val="24"/>
        </w:rPr>
        <w:t xml:space="preserve">derivado del boletín 103 publicado el veintitrés de enero de dos mil diecinueve, </w:t>
      </w:r>
      <w:r w:rsidR="002F4391">
        <w:rPr>
          <w:rFonts w:ascii="Palatino Linotype" w:hAnsi="Palatino Linotype"/>
          <w:sz w:val="24"/>
          <w:szCs w:val="24"/>
        </w:rPr>
        <w:t>de forma objetiva,</w:t>
      </w:r>
      <w:r w:rsidR="00F8076B">
        <w:rPr>
          <w:rFonts w:ascii="Palatino Linotype" w:hAnsi="Palatino Linotype"/>
          <w:sz w:val="24"/>
          <w:szCs w:val="24"/>
        </w:rPr>
        <w:t xml:space="preserve"> </w:t>
      </w:r>
      <w:r w:rsidR="00F8076B" w:rsidRPr="001270C2">
        <w:rPr>
          <w:rFonts w:ascii="Palatino Linotype" w:hAnsi="Palatino Linotype"/>
          <w:sz w:val="24"/>
          <w:szCs w:val="24"/>
        </w:rPr>
        <w:t xml:space="preserve">requiere </w:t>
      </w:r>
      <w:r w:rsidR="002F4391">
        <w:rPr>
          <w:rFonts w:ascii="Palatino Linotype" w:hAnsi="Palatino Linotype"/>
          <w:sz w:val="24"/>
          <w:szCs w:val="24"/>
        </w:rPr>
        <w:t xml:space="preserve">copias simples de </w:t>
      </w:r>
      <w:r w:rsidR="001270C2">
        <w:rPr>
          <w:rFonts w:ascii="Palatino Linotype" w:hAnsi="Palatino Linotype"/>
          <w:sz w:val="24"/>
          <w:szCs w:val="24"/>
        </w:rPr>
        <w:t>lo siguiente:</w:t>
      </w:r>
    </w:p>
    <w:p w:rsidR="00331FE1" w:rsidRDefault="00331FE1" w:rsidP="001463A1">
      <w:pPr>
        <w:tabs>
          <w:tab w:val="left" w:pos="709"/>
        </w:tabs>
        <w:spacing w:after="0" w:line="360" w:lineRule="auto"/>
        <w:jc w:val="both"/>
        <w:rPr>
          <w:rFonts w:ascii="Palatino Linotype" w:hAnsi="Palatino Linotype"/>
          <w:sz w:val="24"/>
          <w:szCs w:val="24"/>
        </w:rPr>
      </w:pPr>
    </w:p>
    <w:p w:rsidR="00331FE1" w:rsidRPr="0000780E" w:rsidRDefault="002F4391" w:rsidP="001463A1">
      <w:pPr>
        <w:pStyle w:val="Prrafodelista"/>
        <w:numPr>
          <w:ilvl w:val="0"/>
          <w:numId w:val="1"/>
        </w:numPr>
        <w:tabs>
          <w:tab w:val="left" w:pos="709"/>
        </w:tabs>
        <w:spacing w:line="360" w:lineRule="auto"/>
        <w:jc w:val="both"/>
        <w:rPr>
          <w:rFonts w:ascii="Palatino Linotype" w:hAnsi="Palatino Linotype"/>
        </w:rPr>
      </w:pPr>
      <w:r>
        <w:rPr>
          <w:rFonts w:ascii="Palatino Linotype" w:hAnsi="Palatino Linotype"/>
        </w:rPr>
        <w:t>Contratos celebrados por el Ayuntamiento a partir del uno al veintinueve de enero de dos mil diecinueve.</w:t>
      </w:r>
    </w:p>
    <w:p w:rsidR="00331FE1" w:rsidRDefault="00331FE1" w:rsidP="001463A1">
      <w:pPr>
        <w:tabs>
          <w:tab w:val="left" w:pos="709"/>
        </w:tabs>
        <w:spacing w:after="0" w:line="360" w:lineRule="auto"/>
        <w:jc w:val="both"/>
        <w:rPr>
          <w:rFonts w:ascii="Palatino Linotype" w:hAnsi="Palatino Linotype"/>
          <w:sz w:val="24"/>
          <w:szCs w:val="24"/>
        </w:rPr>
      </w:pPr>
    </w:p>
    <w:p w:rsidR="00F8076B" w:rsidRPr="009A0BD2" w:rsidRDefault="00F8076B" w:rsidP="001463A1">
      <w:pPr>
        <w:tabs>
          <w:tab w:val="left" w:pos="709"/>
        </w:tabs>
        <w:spacing w:after="0" w:line="360" w:lineRule="auto"/>
        <w:jc w:val="both"/>
        <w:rPr>
          <w:rFonts w:ascii="Palatino Linotype" w:hAnsi="Palatino Linotype"/>
          <w:b/>
          <w:sz w:val="24"/>
          <w:szCs w:val="24"/>
        </w:rPr>
      </w:pPr>
      <w:r>
        <w:rPr>
          <w:rFonts w:ascii="Palatino Linotype" w:hAnsi="Palatino Linotype"/>
          <w:sz w:val="24"/>
          <w:szCs w:val="24"/>
        </w:rPr>
        <w:t>Por cuanto hace a la respuesta de</w:t>
      </w:r>
      <w:r w:rsidR="00331FE1">
        <w:rPr>
          <w:rFonts w:ascii="Palatino Linotype" w:hAnsi="Palatino Linotype"/>
          <w:sz w:val="24"/>
          <w:szCs w:val="24"/>
        </w:rPr>
        <w:t xml:space="preserve">l </w:t>
      </w:r>
      <w:r w:rsidR="00331FE1">
        <w:rPr>
          <w:rFonts w:ascii="Palatino Linotype" w:hAnsi="Palatino Linotype"/>
          <w:b/>
          <w:sz w:val="24"/>
          <w:szCs w:val="24"/>
        </w:rPr>
        <w:t>sujeto obligado</w:t>
      </w:r>
      <w:r>
        <w:rPr>
          <w:rFonts w:ascii="Palatino Linotype" w:hAnsi="Palatino Linotype"/>
          <w:sz w:val="24"/>
          <w:szCs w:val="24"/>
        </w:rPr>
        <w:t>, de su contenido se advierte que únicamente se sirvió en peticionar una prórroga</w:t>
      </w:r>
      <w:r w:rsidR="009A0BD2">
        <w:rPr>
          <w:rFonts w:ascii="Palatino Linotype" w:hAnsi="Palatino Linotype"/>
          <w:sz w:val="24"/>
          <w:szCs w:val="24"/>
        </w:rPr>
        <w:t xml:space="preserve"> de tiempo al Comité de Transparencia, atendiendo a que tuvo problemas al cargar la información, con lo que se acredita la falta de entrega de información al </w:t>
      </w:r>
      <w:r w:rsidR="009A0BD2">
        <w:rPr>
          <w:rFonts w:ascii="Palatino Linotype" w:hAnsi="Palatino Linotype"/>
          <w:b/>
          <w:sz w:val="24"/>
          <w:szCs w:val="24"/>
        </w:rPr>
        <w:t>solicitante.</w:t>
      </w:r>
    </w:p>
    <w:p w:rsidR="00331FE1" w:rsidRDefault="00331FE1" w:rsidP="001463A1">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Ahora bien, el </w:t>
      </w:r>
      <w:r>
        <w:rPr>
          <w:rFonts w:ascii="Palatino Linotype" w:hAnsi="Palatino Linotype"/>
          <w:b/>
          <w:sz w:val="24"/>
          <w:szCs w:val="24"/>
        </w:rPr>
        <w:t>recurrente</w:t>
      </w:r>
      <w:r>
        <w:rPr>
          <w:rFonts w:ascii="Palatino Linotype" w:hAnsi="Palatino Linotype"/>
          <w:sz w:val="24"/>
          <w:szCs w:val="24"/>
        </w:rPr>
        <w:t xml:space="preserve"> interpuso el presente recurso de revisión haciendo valer como motivos o razones de inconformidad, </w:t>
      </w:r>
      <w:r w:rsidRPr="00871748">
        <w:rPr>
          <w:rFonts w:ascii="Palatino Linotype" w:hAnsi="Palatino Linotype"/>
          <w:sz w:val="24"/>
          <w:szCs w:val="24"/>
        </w:rPr>
        <w:t>la</w:t>
      </w:r>
      <w:r w:rsidRPr="00971E3C">
        <w:rPr>
          <w:rFonts w:ascii="Palatino Linotype" w:hAnsi="Palatino Linotype"/>
          <w:b/>
          <w:sz w:val="24"/>
          <w:szCs w:val="24"/>
        </w:rPr>
        <w:t xml:space="preserve"> </w:t>
      </w:r>
      <w:r w:rsidR="00871748">
        <w:rPr>
          <w:rFonts w:ascii="Palatino Linotype" w:hAnsi="Palatino Linotype"/>
          <w:b/>
          <w:sz w:val="24"/>
          <w:szCs w:val="24"/>
        </w:rPr>
        <w:t>falta de respuesta</w:t>
      </w:r>
      <w:r>
        <w:rPr>
          <w:rFonts w:ascii="Palatino Linotype" w:hAnsi="Palatino Linotype"/>
          <w:b/>
          <w:sz w:val="24"/>
          <w:szCs w:val="24"/>
        </w:rPr>
        <w:t xml:space="preserve">, </w:t>
      </w:r>
      <w:r>
        <w:rPr>
          <w:rFonts w:ascii="Palatino Linotype" w:hAnsi="Palatino Linotype"/>
          <w:sz w:val="24"/>
          <w:szCs w:val="24"/>
        </w:rPr>
        <w:t xml:space="preserve">argumentos que </w:t>
      </w:r>
      <w:r w:rsidR="00871748">
        <w:rPr>
          <w:rFonts w:ascii="Palatino Linotype" w:hAnsi="Palatino Linotype"/>
          <w:sz w:val="24"/>
          <w:szCs w:val="24"/>
        </w:rPr>
        <w:t>resultan fundados para procedencia en la interposición del recurso de revisión, al encontrarse establecida dicha hipótesis en la fracción VII del artículo 179 de la Ley de Transparencia local.</w:t>
      </w:r>
    </w:p>
    <w:p w:rsidR="00871748" w:rsidRDefault="00871748" w:rsidP="001463A1">
      <w:pPr>
        <w:tabs>
          <w:tab w:val="left" w:pos="709"/>
        </w:tabs>
        <w:spacing w:after="0" w:line="360" w:lineRule="auto"/>
        <w:jc w:val="both"/>
        <w:rPr>
          <w:rFonts w:ascii="Palatino Linotype" w:hAnsi="Palatino Linotype"/>
          <w:sz w:val="24"/>
          <w:szCs w:val="24"/>
        </w:rPr>
      </w:pPr>
    </w:p>
    <w:p w:rsidR="001463A1" w:rsidRDefault="00871748" w:rsidP="001463A1">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Una vez hechas las precisiones anteriores, resulta necesario hacer estudio del marco jurídico que rige el actuar del </w:t>
      </w:r>
      <w:r>
        <w:rPr>
          <w:rFonts w:ascii="Palatino Linotype" w:hAnsi="Palatino Linotype"/>
          <w:b/>
          <w:sz w:val="24"/>
          <w:szCs w:val="24"/>
        </w:rPr>
        <w:t>sujeto obligado</w:t>
      </w:r>
      <w:r>
        <w:rPr>
          <w:rFonts w:ascii="Palatino Linotype" w:hAnsi="Palatino Linotype"/>
          <w:sz w:val="24"/>
          <w:szCs w:val="24"/>
        </w:rPr>
        <w:t xml:space="preserve"> </w:t>
      </w:r>
      <w:r w:rsidR="001463A1">
        <w:rPr>
          <w:rFonts w:ascii="Palatino Linotype" w:hAnsi="Palatino Linotype"/>
          <w:sz w:val="24"/>
          <w:szCs w:val="24"/>
        </w:rPr>
        <w:t>a efecto de determinar si le asiste facultad, función o atribución que lo constriña a tener en sus archivos la información peticionada.</w:t>
      </w:r>
    </w:p>
    <w:p w:rsidR="001463A1" w:rsidRDefault="001463A1" w:rsidP="001463A1">
      <w:pPr>
        <w:tabs>
          <w:tab w:val="left" w:pos="709"/>
        </w:tabs>
        <w:spacing w:after="0" w:line="360" w:lineRule="auto"/>
        <w:jc w:val="both"/>
        <w:rPr>
          <w:rFonts w:ascii="Palatino Linotype" w:hAnsi="Palatino Linotype"/>
          <w:sz w:val="24"/>
          <w:szCs w:val="24"/>
        </w:rPr>
      </w:pPr>
    </w:p>
    <w:p w:rsidR="001463A1" w:rsidRDefault="001463A1" w:rsidP="001463A1">
      <w:pPr>
        <w:spacing w:after="0" w:line="360" w:lineRule="auto"/>
        <w:jc w:val="both"/>
        <w:rPr>
          <w:rFonts w:ascii="Palatino Linotype" w:eastAsia="Calibri" w:hAnsi="Palatino Linotype" w:cs="Segoe UI"/>
          <w:sz w:val="24"/>
          <w:szCs w:val="24"/>
          <w:lang w:val="es-ES" w:eastAsia="es-ES"/>
        </w:rPr>
      </w:pPr>
      <w:r w:rsidRPr="001463A1">
        <w:rPr>
          <w:rFonts w:ascii="Palatino Linotype" w:eastAsia="Calibri" w:hAnsi="Palatino Linotype" w:cs="Segoe UI"/>
          <w:sz w:val="24"/>
          <w:szCs w:val="24"/>
          <w:lang w:val="es-ES" w:eastAsia="es-ES"/>
        </w:rPr>
        <w:t>En primer término, la Ley Orgánica Municipal del Estado de México, menciona que entre las facultades de los Ayuntamientos se encuentran las de convenir contratar o concesionar, la ejecución de obras y prestación de servicios públicos, ya sean con otros municipios o con particulares, lo anterior se encuentra enmarcado en la fracción VII del artículo 31 del precepto señalado, que se trascribe a continuación:</w:t>
      </w:r>
    </w:p>
    <w:p w:rsidR="006258A3" w:rsidRPr="001463A1" w:rsidRDefault="006258A3" w:rsidP="001463A1">
      <w:pPr>
        <w:spacing w:after="0" w:line="360" w:lineRule="auto"/>
        <w:jc w:val="both"/>
        <w:rPr>
          <w:rFonts w:ascii="Palatino Linotype" w:eastAsia="Calibri" w:hAnsi="Palatino Linotype" w:cs="Segoe UI"/>
          <w:sz w:val="24"/>
          <w:szCs w:val="24"/>
          <w:lang w:val="es-ES" w:eastAsia="es-ES"/>
        </w:rPr>
      </w:pPr>
    </w:p>
    <w:p w:rsidR="001463A1" w:rsidRPr="001463A1" w:rsidRDefault="006258A3" w:rsidP="006258A3">
      <w:pPr>
        <w:spacing w:after="0" w:line="240" w:lineRule="auto"/>
        <w:ind w:left="567" w:right="567"/>
        <w:jc w:val="both"/>
        <w:rPr>
          <w:rFonts w:ascii="Palatino Linotype" w:eastAsia="Calibri" w:hAnsi="Palatino Linotype" w:cs="Segoe UI"/>
          <w:i/>
          <w:szCs w:val="24"/>
          <w:lang w:val="es-ES" w:eastAsia="es-ES"/>
        </w:rPr>
      </w:pPr>
      <w:r>
        <w:rPr>
          <w:rFonts w:ascii="Palatino Linotype" w:eastAsia="Calibri" w:hAnsi="Palatino Linotype" w:cs="Segoe UI"/>
          <w:i/>
          <w:szCs w:val="24"/>
          <w:lang w:val="es-ES" w:eastAsia="es-ES"/>
        </w:rPr>
        <w:t>“</w:t>
      </w:r>
      <w:r w:rsidR="001463A1" w:rsidRPr="001463A1">
        <w:rPr>
          <w:rFonts w:ascii="Palatino Linotype" w:eastAsia="Calibri" w:hAnsi="Palatino Linotype" w:cs="Segoe UI"/>
          <w:b/>
          <w:i/>
          <w:szCs w:val="24"/>
          <w:lang w:val="es-ES" w:eastAsia="es-ES"/>
        </w:rPr>
        <w:t>Artículo 31.-</w:t>
      </w:r>
      <w:r w:rsidR="001463A1" w:rsidRPr="001463A1">
        <w:rPr>
          <w:rFonts w:ascii="Palatino Linotype" w:eastAsia="Calibri" w:hAnsi="Palatino Linotype" w:cs="Segoe UI"/>
          <w:i/>
          <w:szCs w:val="24"/>
          <w:lang w:val="es-ES" w:eastAsia="es-ES"/>
        </w:rPr>
        <w:t xml:space="preserve"> Son atribuciones de los ayuntamientos:</w:t>
      </w:r>
    </w:p>
    <w:p w:rsidR="001463A1" w:rsidRPr="001463A1" w:rsidRDefault="001463A1" w:rsidP="006258A3">
      <w:pPr>
        <w:spacing w:after="0" w:line="240" w:lineRule="auto"/>
        <w:ind w:left="567" w:right="567"/>
        <w:jc w:val="both"/>
        <w:rPr>
          <w:rFonts w:ascii="Palatino Linotype" w:eastAsia="Calibri" w:hAnsi="Palatino Linotype" w:cs="Segoe UI"/>
          <w:i/>
          <w:szCs w:val="24"/>
          <w:lang w:val="es-ES" w:eastAsia="es-ES"/>
        </w:rPr>
      </w:pPr>
      <w:r w:rsidRPr="001463A1">
        <w:rPr>
          <w:rFonts w:ascii="Palatino Linotype" w:eastAsia="Calibri" w:hAnsi="Palatino Linotype" w:cs="Segoe UI"/>
          <w:i/>
          <w:szCs w:val="24"/>
          <w:lang w:val="es-ES" w:eastAsia="es-ES"/>
        </w:rPr>
        <w:t>(…)</w:t>
      </w:r>
    </w:p>
    <w:p w:rsidR="001463A1" w:rsidRPr="001463A1" w:rsidRDefault="001463A1" w:rsidP="006258A3">
      <w:pPr>
        <w:spacing w:after="0" w:line="240" w:lineRule="auto"/>
        <w:ind w:left="567" w:right="567"/>
        <w:jc w:val="both"/>
        <w:rPr>
          <w:rFonts w:ascii="Palatino Linotype" w:eastAsia="Calibri" w:hAnsi="Palatino Linotype" w:cs="Segoe UI"/>
          <w:i/>
          <w:szCs w:val="24"/>
          <w:lang w:val="es-ES" w:eastAsia="es-ES"/>
        </w:rPr>
      </w:pPr>
      <w:r w:rsidRPr="001463A1">
        <w:rPr>
          <w:rFonts w:ascii="Palatino Linotype" w:eastAsia="Calibri" w:hAnsi="Palatino Linotype" w:cs="Segoe UI"/>
          <w:b/>
          <w:i/>
          <w:szCs w:val="24"/>
          <w:lang w:val="es-ES" w:eastAsia="es-ES"/>
        </w:rPr>
        <w:t>VII</w:t>
      </w:r>
      <w:r w:rsidRPr="001463A1">
        <w:rPr>
          <w:rFonts w:ascii="Palatino Linotype" w:eastAsia="Calibri" w:hAnsi="Palatino Linotype" w:cs="Segoe UI"/>
          <w:i/>
          <w:szCs w:val="24"/>
          <w:lang w:val="es-ES" w:eastAsia="es-ES"/>
        </w:rPr>
        <w:t>. Convenir, contratar o concesionar, en términos de ley, la ejecución de obras y la prestación de servicios públicos, con el Estado, con otros municipios de la entidad o con particulares, recabando, cuando proceda, la autorización de la Legislatura del Estado; (…)”</w:t>
      </w:r>
    </w:p>
    <w:p w:rsidR="006258A3" w:rsidRDefault="006258A3" w:rsidP="001463A1">
      <w:pPr>
        <w:spacing w:after="0" w:line="360" w:lineRule="auto"/>
        <w:jc w:val="both"/>
        <w:rPr>
          <w:rFonts w:ascii="Palatino Linotype" w:eastAsia="Calibri" w:hAnsi="Palatino Linotype" w:cs="Segoe UI"/>
          <w:sz w:val="24"/>
          <w:szCs w:val="24"/>
          <w:lang w:val="es-ES" w:eastAsia="es-ES"/>
        </w:rPr>
      </w:pPr>
    </w:p>
    <w:p w:rsidR="001463A1" w:rsidRDefault="001463A1" w:rsidP="006258A3">
      <w:pPr>
        <w:spacing w:after="0" w:line="360" w:lineRule="auto"/>
        <w:jc w:val="both"/>
        <w:rPr>
          <w:rFonts w:ascii="Palatino Linotype" w:eastAsia="Calibri" w:hAnsi="Palatino Linotype" w:cs="Segoe UI"/>
          <w:sz w:val="24"/>
          <w:szCs w:val="24"/>
          <w:lang w:val="es-ES" w:eastAsia="es-ES"/>
        </w:rPr>
      </w:pPr>
      <w:r w:rsidRPr="001463A1">
        <w:rPr>
          <w:rFonts w:ascii="Palatino Linotype" w:eastAsia="Calibri" w:hAnsi="Palatino Linotype" w:cs="Segoe UI"/>
          <w:sz w:val="24"/>
          <w:szCs w:val="24"/>
          <w:lang w:val="es-ES" w:eastAsia="es-ES"/>
        </w:rPr>
        <w:t xml:space="preserve">Del precepto señalado anteriormente, se desprende la facultad que tienen los ayuntamientos para celebrar contratos </w:t>
      </w:r>
      <w:r w:rsidR="006258A3">
        <w:rPr>
          <w:rFonts w:ascii="Palatino Linotype" w:eastAsia="Calibri" w:hAnsi="Palatino Linotype" w:cs="Segoe UI"/>
          <w:sz w:val="24"/>
          <w:szCs w:val="24"/>
          <w:lang w:val="es-ES" w:eastAsia="es-ES"/>
        </w:rPr>
        <w:t xml:space="preserve">para la adquisición de bienes o servicios, resultando </w:t>
      </w:r>
      <w:r w:rsidRPr="001463A1">
        <w:rPr>
          <w:rFonts w:ascii="Palatino Linotype" w:eastAsia="Calibri" w:hAnsi="Palatino Linotype" w:cs="Segoe UI"/>
          <w:sz w:val="24"/>
          <w:szCs w:val="24"/>
          <w:lang w:val="es-ES" w:eastAsia="es-ES"/>
        </w:rPr>
        <w:t xml:space="preserve">aplicable la Ley de Contratación Pública del Estado de México y Municipios, ya que este ordenamiento regula todo lo relacionado con la planeación, </w:t>
      </w:r>
      <w:r w:rsidRPr="001463A1">
        <w:rPr>
          <w:rFonts w:ascii="Palatino Linotype" w:eastAsia="Calibri" w:hAnsi="Palatino Linotype" w:cs="Segoe UI"/>
          <w:sz w:val="24"/>
          <w:szCs w:val="24"/>
          <w:lang w:val="es-ES" w:eastAsia="es-ES"/>
        </w:rPr>
        <w:lastRenderedPageBreak/>
        <w:t>programación, presupuestación, ejecución y control de la adquisición, enajenación y arrendamiento de bienes y servicios, es decir, que si hubo algún tipo de adquisición y se realizó alguna contratación, se deberá observar lo que la Ley menciona, en adición a que es aplicable para los ayuntamientos de los municipios del Estado, lo anterior encuentra sustento en la fracción III del artículo 1 del precepto señalado que se trascribe a continuación:</w:t>
      </w:r>
    </w:p>
    <w:p w:rsidR="006258A3" w:rsidRPr="001463A1" w:rsidRDefault="006258A3" w:rsidP="001463A1">
      <w:pPr>
        <w:spacing w:after="0" w:line="360" w:lineRule="auto"/>
        <w:jc w:val="both"/>
        <w:rPr>
          <w:rFonts w:ascii="Palatino Linotype" w:eastAsia="Calibri" w:hAnsi="Palatino Linotype" w:cs="Segoe UI"/>
          <w:sz w:val="24"/>
          <w:szCs w:val="24"/>
          <w:lang w:val="es-ES" w:eastAsia="es-ES"/>
        </w:rPr>
      </w:pPr>
    </w:p>
    <w:p w:rsidR="001463A1" w:rsidRPr="001463A1" w:rsidRDefault="001463A1" w:rsidP="006258A3">
      <w:pPr>
        <w:spacing w:after="0" w:line="240" w:lineRule="auto"/>
        <w:ind w:left="567" w:right="567"/>
        <w:jc w:val="both"/>
        <w:rPr>
          <w:rFonts w:ascii="Palatino Linotype" w:eastAsia="Calibri" w:hAnsi="Palatino Linotype" w:cs="Segoe UI"/>
          <w:i/>
          <w:szCs w:val="24"/>
          <w:lang w:val="es-ES" w:eastAsia="es-ES"/>
        </w:rPr>
      </w:pPr>
      <w:r w:rsidRPr="001463A1">
        <w:rPr>
          <w:rFonts w:ascii="Palatino Linotype" w:eastAsia="Calibri" w:hAnsi="Palatino Linotype" w:cs="Segoe UI"/>
          <w:i/>
          <w:szCs w:val="24"/>
          <w:lang w:val="es-ES" w:eastAsia="es-ES"/>
        </w:rPr>
        <w:t>“</w:t>
      </w:r>
      <w:r w:rsidRPr="001463A1">
        <w:rPr>
          <w:rFonts w:ascii="Palatino Linotype" w:eastAsia="Calibri" w:hAnsi="Palatino Linotype" w:cs="Segoe UI"/>
          <w:b/>
          <w:i/>
          <w:szCs w:val="24"/>
          <w:lang w:val="es-ES" w:eastAsia="es-ES"/>
        </w:rPr>
        <w:t>Artículo 1.-</w:t>
      </w:r>
      <w:r w:rsidRPr="001463A1">
        <w:rPr>
          <w:rFonts w:ascii="Palatino Linotype" w:eastAsia="Calibri" w:hAnsi="Palatino Linotype" w:cs="Segoe UI"/>
          <w:i/>
          <w:szCs w:val="24"/>
          <w:lang w:val="es-ES" w:eastAsia="es-ES"/>
        </w:rPr>
        <w:t xml:space="preserve"> Esta Ley tiene por objeto regular los actos relativos a la planeación, programación, presupuestación, ejecución y control de la adquisición, enajenación y arrendamiento de bienes, y la contratación de servicios de cualquier naturaleza, que realicen:</w:t>
      </w:r>
    </w:p>
    <w:p w:rsidR="001463A1" w:rsidRPr="001463A1" w:rsidRDefault="001463A1" w:rsidP="006258A3">
      <w:pPr>
        <w:spacing w:after="0" w:line="240" w:lineRule="auto"/>
        <w:ind w:left="567" w:right="567"/>
        <w:jc w:val="both"/>
        <w:rPr>
          <w:rFonts w:ascii="Palatino Linotype" w:eastAsia="Calibri" w:hAnsi="Palatino Linotype" w:cs="Segoe UI"/>
          <w:i/>
          <w:szCs w:val="24"/>
          <w:lang w:val="es-ES" w:eastAsia="es-ES"/>
        </w:rPr>
      </w:pPr>
      <w:r w:rsidRPr="001463A1">
        <w:rPr>
          <w:rFonts w:ascii="Palatino Linotype" w:eastAsia="Calibri" w:hAnsi="Palatino Linotype" w:cs="Segoe UI"/>
          <w:i/>
          <w:szCs w:val="24"/>
          <w:lang w:val="es-ES" w:eastAsia="es-ES"/>
        </w:rPr>
        <w:t>(…)</w:t>
      </w:r>
    </w:p>
    <w:p w:rsidR="001463A1" w:rsidRPr="001463A1" w:rsidRDefault="001463A1" w:rsidP="006258A3">
      <w:pPr>
        <w:spacing w:after="0" w:line="240" w:lineRule="auto"/>
        <w:ind w:left="567" w:right="567"/>
        <w:jc w:val="both"/>
        <w:rPr>
          <w:rFonts w:ascii="Palatino Linotype" w:eastAsia="Calibri" w:hAnsi="Palatino Linotype" w:cs="Segoe UI"/>
          <w:i/>
          <w:szCs w:val="24"/>
          <w:lang w:val="es-ES" w:eastAsia="es-ES"/>
        </w:rPr>
      </w:pPr>
      <w:r w:rsidRPr="001463A1">
        <w:rPr>
          <w:rFonts w:ascii="Palatino Linotype" w:eastAsia="Calibri" w:hAnsi="Palatino Linotype" w:cs="Segoe UI"/>
          <w:b/>
          <w:i/>
          <w:szCs w:val="24"/>
          <w:lang w:val="es-ES" w:eastAsia="es-ES"/>
        </w:rPr>
        <w:t>III</w:t>
      </w:r>
      <w:r w:rsidRPr="001463A1">
        <w:rPr>
          <w:rFonts w:ascii="Palatino Linotype" w:eastAsia="Calibri" w:hAnsi="Palatino Linotype" w:cs="Segoe UI"/>
          <w:i/>
          <w:szCs w:val="24"/>
          <w:lang w:val="es-ES" w:eastAsia="es-ES"/>
        </w:rPr>
        <w:t>. Los ayuntamientos de los municipios del Estado. (…)”</w:t>
      </w:r>
    </w:p>
    <w:p w:rsidR="006258A3" w:rsidRDefault="006258A3" w:rsidP="001463A1">
      <w:pPr>
        <w:spacing w:after="0" w:line="360" w:lineRule="auto"/>
        <w:jc w:val="both"/>
        <w:rPr>
          <w:rFonts w:ascii="Palatino Linotype" w:eastAsia="Times New Roman" w:hAnsi="Palatino Linotype" w:cs="Arial"/>
          <w:sz w:val="24"/>
        </w:rPr>
      </w:pPr>
    </w:p>
    <w:p w:rsidR="001463A1" w:rsidRDefault="001463A1" w:rsidP="001463A1">
      <w:pPr>
        <w:spacing w:after="0" w:line="360" w:lineRule="auto"/>
        <w:jc w:val="both"/>
        <w:rPr>
          <w:rFonts w:ascii="Palatino Linotype" w:eastAsia="Times New Roman" w:hAnsi="Palatino Linotype" w:cs="Arial"/>
          <w:sz w:val="24"/>
        </w:rPr>
      </w:pPr>
      <w:r w:rsidRPr="001463A1">
        <w:rPr>
          <w:rFonts w:ascii="Palatino Linotype" w:eastAsia="Times New Roman" w:hAnsi="Palatino Linotype" w:cs="Arial"/>
          <w:sz w:val="24"/>
        </w:rPr>
        <w:t xml:space="preserve">Ahora, se debe entender que si el </w:t>
      </w:r>
      <w:r w:rsidR="006258A3" w:rsidRPr="001463A1">
        <w:rPr>
          <w:rFonts w:ascii="Palatino Linotype" w:eastAsia="Times New Roman" w:hAnsi="Palatino Linotype" w:cs="Arial"/>
          <w:b/>
          <w:sz w:val="24"/>
        </w:rPr>
        <w:t>sujeto obligado</w:t>
      </w:r>
      <w:r w:rsidR="006258A3" w:rsidRPr="001463A1">
        <w:rPr>
          <w:rFonts w:ascii="Palatino Linotype" w:eastAsia="Times New Roman" w:hAnsi="Palatino Linotype" w:cs="Arial"/>
          <w:sz w:val="24"/>
        </w:rPr>
        <w:t xml:space="preserve"> </w:t>
      </w:r>
      <w:r w:rsidRPr="001463A1">
        <w:rPr>
          <w:rFonts w:ascii="Palatino Linotype" w:eastAsia="Times New Roman" w:hAnsi="Palatino Linotype" w:cs="Arial"/>
          <w:sz w:val="24"/>
        </w:rPr>
        <w:t>realizó algún tipo de acto relacionado con la adquisición, enajenación arrendamiento de un bien o servicio se debe entender que se debió plasmar en un contrato; entendidas estas figuras como cualquier adquisición o enajenación como lo contiene el artículo 4 de la citada Ley de que a la letra dice:</w:t>
      </w:r>
    </w:p>
    <w:p w:rsidR="006258A3" w:rsidRPr="001463A1" w:rsidRDefault="006258A3" w:rsidP="001463A1">
      <w:pPr>
        <w:spacing w:after="0" w:line="360" w:lineRule="auto"/>
        <w:jc w:val="both"/>
        <w:rPr>
          <w:rFonts w:ascii="Palatino Linotype" w:eastAsia="Times New Roman" w:hAnsi="Palatino Linotype" w:cs="Arial"/>
          <w:sz w:val="24"/>
        </w:rPr>
      </w:pPr>
    </w:p>
    <w:p w:rsidR="001463A1" w:rsidRPr="001463A1" w:rsidRDefault="001463A1" w:rsidP="006258A3">
      <w:pPr>
        <w:spacing w:after="0" w:line="240" w:lineRule="auto"/>
        <w:ind w:left="567" w:right="567"/>
        <w:jc w:val="both"/>
        <w:rPr>
          <w:rFonts w:ascii="Palatino Linotype" w:eastAsia="Times New Roman" w:hAnsi="Palatino Linotype" w:cs="Arial"/>
          <w:i/>
          <w:lang w:val="es-ES"/>
        </w:rPr>
      </w:pPr>
      <w:r w:rsidRPr="001463A1">
        <w:rPr>
          <w:rFonts w:ascii="Palatino Linotype" w:eastAsia="Times New Roman" w:hAnsi="Palatino Linotype" w:cs="Arial"/>
          <w:i/>
          <w:lang w:val="es-ES"/>
        </w:rPr>
        <w:t>“</w:t>
      </w:r>
      <w:r w:rsidRPr="001463A1">
        <w:rPr>
          <w:rFonts w:ascii="Palatino Linotype" w:eastAsia="Times New Roman" w:hAnsi="Palatino Linotype" w:cs="Arial"/>
          <w:b/>
          <w:i/>
          <w:lang w:val="es-ES"/>
        </w:rPr>
        <w:t>Artículo 4.-</w:t>
      </w:r>
      <w:r w:rsidRPr="001463A1">
        <w:rPr>
          <w:rFonts w:ascii="Palatino Linotype" w:eastAsia="Times New Roman" w:hAnsi="Palatino Linotype" w:cs="Arial"/>
          <w:i/>
          <w:lang w:val="es-ES"/>
        </w:rPr>
        <w:t xml:space="preserve"> Para los efectos de esta Ley, en las adquisiciones, enajenaciones, arrendamientos y servicios, quedan comprendidos: </w:t>
      </w:r>
    </w:p>
    <w:p w:rsidR="001463A1" w:rsidRPr="001463A1" w:rsidRDefault="001463A1" w:rsidP="006258A3">
      <w:pPr>
        <w:spacing w:after="0" w:line="240" w:lineRule="auto"/>
        <w:ind w:left="567" w:right="567"/>
        <w:jc w:val="both"/>
        <w:rPr>
          <w:rFonts w:ascii="Palatino Linotype" w:eastAsia="Times New Roman" w:hAnsi="Palatino Linotype" w:cs="Arial"/>
          <w:i/>
          <w:lang w:val="es-ES"/>
        </w:rPr>
      </w:pPr>
      <w:r w:rsidRPr="001463A1">
        <w:rPr>
          <w:rFonts w:ascii="Palatino Linotype" w:eastAsia="Times New Roman" w:hAnsi="Palatino Linotype" w:cs="Arial"/>
          <w:b/>
          <w:i/>
          <w:lang w:val="es-ES"/>
        </w:rPr>
        <w:t>I</w:t>
      </w:r>
      <w:r w:rsidRPr="001463A1">
        <w:rPr>
          <w:rFonts w:ascii="Palatino Linotype" w:eastAsia="Times New Roman" w:hAnsi="Palatino Linotype" w:cs="Arial"/>
          <w:i/>
          <w:lang w:val="es-ES"/>
        </w:rPr>
        <w:t>. La adquisición de bienes muebles.</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II</w:t>
      </w:r>
      <w:r w:rsidRPr="001463A1">
        <w:rPr>
          <w:rFonts w:ascii="Palatino Linotype" w:eastAsia="Times New Roman" w:hAnsi="Palatino Linotype" w:cs="Arial"/>
          <w:i/>
        </w:rPr>
        <w:t>. La adquisición de bienes inmuebles, a través de compraventa.</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III</w:t>
      </w:r>
      <w:r w:rsidRPr="001463A1">
        <w:rPr>
          <w:rFonts w:ascii="Palatino Linotype" w:eastAsia="Times New Roman" w:hAnsi="Palatino Linotype" w:cs="Arial"/>
          <w:i/>
        </w:rPr>
        <w:t>. La enajenación de bienes muebles e inmuebles.</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IV</w:t>
      </w:r>
      <w:r w:rsidRPr="001463A1">
        <w:rPr>
          <w:rFonts w:ascii="Palatino Linotype" w:eastAsia="Times New Roman" w:hAnsi="Palatino Linotype" w:cs="Arial"/>
          <w:i/>
        </w:rPr>
        <w:t>. El arrendamiento de bienes muebles e inmuebles.</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V</w:t>
      </w:r>
      <w:r w:rsidRPr="001463A1">
        <w:rPr>
          <w:rFonts w:ascii="Palatino Linotype" w:eastAsia="Times New Roman" w:hAnsi="Palatino Linotype" w:cs="Arial"/>
          <w:i/>
        </w:rPr>
        <w:t>. La contratación de los servicios, relacionados con bienes muebles que se encuentran incorporados o adheridos a bienes inmuebles, cuya instalación o mantenimiento no implique modificación al bien inmueble.</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VI</w:t>
      </w:r>
      <w:r w:rsidRPr="001463A1">
        <w:rPr>
          <w:rFonts w:ascii="Palatino Linotype" w:eastAsia="Times New Roman" w:hAnsi="Palatino Linotype" w:cs="Arial"/>
          <w:i/>
        </w:rPr>
        <w:t>. La contratación de los servicios de reconstrucción y mantenimiento de bienes muebles.</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VII</w:t>
      </w:r>
      <w:r w:rsidRPr="001463A1">
        <w:rPr>
          <w:rFonts w:ascii="Palatino Linotype" w:eastAsia="Times New Roman" w:hAnsi="Palatino Linotype" w:cs="Arial"/>
          <w:i/>
        </w:rPr>
        <w:t>. La contratación de los servicios de maquila, seguros y transportación, así como de los de limpieza y vigilancia de bienes inmuebles.</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lastRenderedPageBreak/>
        <w:t>VIII</w:t>
      </w:r>
      <w:r w:rsidRPr="001463A1">
        <w:rPr>
          <w:rFonts w:ascii="Palatino Linotype" w:eastAsia="Times New Roman" w:hAnsi="Palatino Linotype" w:cs="Arial"/>
          <w:i/>
        </w:rPr>
        <w:t>. La prestación de servicios profesionales, la contratación de consultorías, asesorías y estudios e investigaciones, excepto la contratación de servicios personales de personas físicas bajo el régimen de honorarios.</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i/>
        </w:rPr>
        <w:t>En general, otros actos que impliquen la contratación de servicios de cualquier naturaleza. (…)”</w:t>
      </w:r>
    </w:p>
    <w:p w:rsidR="006258A3" w:rsidRDefault="006258A3" w:rsidP="001463A1">
      <w:pPr>
        <w:spacing w:after="0" w:line="360" w:lineRule="auto"/>
        <w:jc w:val="both"/>
        <w:rPr>
          <w:rFonts w:ascii="Palatino Linotype" w:eastAsia="Times New Roman" w:hAnsi="Palatino Linotype" w:cs="Arial"/>
          <w:sz w:val="24"/>
        </w:rPr>
      </w:pPr>
    </w:p>
    <w:p w:rsidR="001463A1" w:rsidRDefault="001463A1" w:rsidP="001463A1">
      <w:pPr>
        <w:spacing w:after="0" w:line="360" w:lineRule="auto"/>
        <w:jc w:val="both"/>
        <w:rPr>
          <w:rFonts w:ascii="Palatino Linotype" w:eastAsia="Times New Roman" w:hAnsi="Palatino Linotype" w:cs="Arial"/>
          <w:sz w:val="24"/>
        </w:rPr>
      </w:pPr>
      <w:r w:rsidRPr="001463A1">
        <w:rPr>
          <w:rFonts w:ascii="Palatino Linotype" w:eastAsia="Times New Roman" w:hAnsi="Palatino Linotype" w:cs="Arial"/>
          <w:sz w:val="24"/>
        </w:rPr>
        <w:t xml:space="preserve">Del dispositivo legal antes invocado, se rescata que de los actos que pudo realizar el </w:t>
      </w:r>
      <w:r w:rsidR="006258A3" w:rsidRPr="001463A1">
        <w:rPr>
          <w:rFonts w:ascii="Palatino Linotype" w:eastAsia="Times New Roman" w:hAnsi="Palatino Linotype" w:cs="Arial"/>
          <w:b/>
          <w:sz w:val="24"/>
        </w:rPr>
        <w:t>sujeto obligado</w:t>
      </w:r>
      <w:r w:rsidR="006258A3" w:rsidRPr="001463A1">
        <w:rPr>
          <w:rFonts w:ascii="Palatino Linotype" w:eastAsia="Times New Roman" w:hAnsi="Palatino Linotype" w:cs="Arial"/>
          <w:sz w:val="24"/>
        </w:rPr>
        <w:t xml:space="preserve"> </w:t>
      </w:r>
      <w:r w:rsidRPr="001463A1">
        <w:rPr>
          <w:rFonts w:ascii="Palatino Linotype" w:eastAsia="Times New Roman" w:hAnsi="Palatino Linotype" w:cs="Arial"/>
          <w:sz w:val="24"/>
        </w:rPr>
        <w:t>se enmarcan en el supuesto anterior y que si se materializó alguna de las acciones arriba señaladas derivo así un contrato entre las partes.</w:t>
      </w:r>
    </w:p>
    <w:p w:rsidR="006258A3" w:rsidRPr="001463A1" w:rsidRDefault="006258A3" w:rsidP="001463A1">
      <w:pPr>
        <w:spacing w:after="0" w:line="360" w:lineRule="auto"/>
        <w:jc w:val="both"/>
        <w:rPr>
          <w:rFonts w:ascii="Palatino Linotype" w:eastAsia="Times New Roman" w:hAnsi="Palatino Linotype" w:cs="Arial"/>
          <w:sz w:val="24"/>
        </w:rPr>
      </w:pPr>
    </w:p>
    <w:p w:rsidR="001463A1" w:rsidRDefault="001463A1" w:rsidP="001463A1">
      <w:pPr>
        <w:spacing w:after="0" w:line="360" w:lineRule="auto"/>
        <w:jc w:val="both"/>
        <w:rPr>
          <w:rFonts w:ascii="Palatino Linotype" w:eastAsia="Calibri" w:hAnsi="Palatino Linotype" w:cs="Segoe UI"/>
          <w:sz w:val="24"/>
          <w:szCs w:val="24"/>
          <w:lang w:val="es-ES" w:eastAsia="es-ES"/>
        </w:rPr>
      </w:pPr>
      <w:r w:rsidRPr="001463A1">
        <w:rPr>
          <w:rFonts w:ascii="Palatino Linotype" w:eastAsia="Times New Roman" w:hAnsi="Palatino Linotype" w:cs="Arial"/>
          <w:sz w:val="24"/>
        </w:rPr>
        <w:t xml:space="preserve">Es preciso traer a colación lo que estipula el Reglamento de la </w:t>
      </w:r>
      <w:r w:rsidRPr="001463A1">
        <w:rPr>
          <w:rFonts w:ascii="Palatino Linotype" w:eastAsia="Calibri" w:hAnsi="Palatino Linotype" w:cs="Segoe UI"/>
          <w:sz w:val="24"/>
          <w:szCs w:val="24"/>
          <w:lang w:val="es-ES" w:eastAsia="es-ES"/>
        </w:rPr>
        <w:t>Ley de Contratación Pública del Estado de México y Municipios en su artículo 119 que reza de la siguiente manera:</w:t>
      </w:r>
    </w:p>
    <w:p w:rsidR="006258A3" w:rsidRPr="001463A1" w:rsidRDefault="006258A3" w:rsidP="001463A1">
      <w:pPr>
        <w:spacing w:after="0" w:line="360" w:lineRule="auto"/>
        <w:jc w:val="both"/>
        <w:rPr>
          <w:rFonts w:ascii="Palatino Linotype" w:eastAsia="Calibri" w:hAnsi="Palatino Linotype" w:cs="Segoe UI"/>
          <w:sz w:val="24"/>
          <w:szCs w:val="24"/>
          <w:lang w:val="es-ES" w:eastAsia="es-ES"/>
        </w:rPr>
      </w:pP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i/>
        </w:rPr>
        <w:t>“</w:t>
      </w:r>
      <w:r w:rsidRPr="001463A1">
        <w:rPr>
          <w:rFonts w:ascii="Palatino Linotype" w:eastAsia="Times New Roman" w:hAnsi="Palatino Linotype" w:cs="Arial"/>
          <w:b/>
          <w:i/>
        </w:rPr>
        <w:t>Artículo 120.-</w:t>
      </w:r>
      <w:r w:rsidRPr="001463A1">
        <w:rPr>
          <w:rFonts w:ascii="Palatino Linotype" w:eastAsia="Times New Roman" w:hAnsi="Palatino Linotype" w:cs="Arial"/>
          <w:i/>
        </w:rPr>
        <w:t xml:space="preserve"> Los </w:t>
      </w:r>
      <w:r w:rsidRPr="001463A1">
        <w:rPr>
          <w:rFonts w:ascii="Palatino Linotype" w:eastAsia="Times New Roman" w:hAnsi="Palatino Linotype" w:cs="Arial"/>
          <w:i/>
          <w:u w:val="single"/>
        </w:rPr>
        <w:t>contratos</w:t>
      </w:r>
      <w:r w:rsidRPr="001463A1">
        <w:rPr>
          <w:rFonts w:ascii="Palatino Linotype" w:eastAsia="Times New Roman" w:hAnsi="Palatino Linotype" w:cs="Arial"/>
          <w:i/>
        </w:rPr>
        <w:t xml:space="preserve"> relacionados con las materias reguladas por la Ley referirán, como mínimo, lo siguiente:</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I</w:t>
      </w:r>
      <w:r w:rsidRPr="001463A1">
        <w:rPr>
          <w:rFonts w:ascii="Palatino Linotype" w:eastAsia="Times New Roman" w:hAnsi="Palatino Linotype" w:cs="Arial"/>
          <w:i/>
        </w:rPr>
        <w:t>. Objeto;</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II</w:t>
      </w:r>
      <w:r w:rsidRPr="001463A1">
        <w:rPr>
          <w:rFonts w:ascii="Palatino Linotype" w:eastAsia="Times New Roman" w:hAnsi="Palatino Linotype" w:cs="Arial"/>
          <w:i/>
        </w:rPr>
        <w:t>. Fecha de suministro de los bienes o período de prestación del servicio;</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III</w:t>
      </w:r>
      <w:r w:rsidRPr="001463A1">
        <w:rPr>
          <w:rFonts w:ascii="Palatino Linotype" w:eastAsia="Times New Roman" w:hAnsi="Palatino Linotype" w:cs="Arial"/>
          <w:i/>
        </w:rPr>
        <w:t>. Datos del procedimiento que dio origen al contrato;</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IV</w:t>
      </w:r>
      <w:r w:rsidRPr="001463A1">
        <w:rPr>
          <w:rFonts w:ascii="Palatino Linotype" w:eastAsia="Times New Roman" w:hAnsi="Palatino Linotype" w:cs="Arial"/>
          <w:i/>
        </w:rPr>
        <w:t>. Importe total;</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V.</w:t>
      </w:r>
      <w:r w:rsidRPr="001463A1">
        <w:rPr>
          <w:rFonts w:ascii="Palatino Linotype" w:eastAsia="Times New Roman" w:hAnsi="Palatino Linotype" w:cs="Arial"/>
          <w:i/>
        </w:rPr>
        <w:t xml:space="preserve"> Porcentajes, número y fechas de las exhibiciones y amortización de los anticipos que se otorguen;</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VI</w:t>
      </w:r>
      <w:r w:rsidRPr="001463A1">
        <w:rPr>
          <w:rFonts w:ascii="Palatino Linotype" w:eastAsia="Times New Roman" w:hAnsi="Palatino Linotype" w:cs="Arial"/>
          <w:i/>
        </w:rPr>
        <w:t>. Formalidades para el otorgamiento y cobro de garantías;</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VII</w:t>
      </w:r>
      <w:r w:rsidRPr="001463A1">
        <w:rPr>
          <w:rFonts w:ascii="Palatino Linotype" w:eastAsia="Times New Roman" w:hAnsi="Palatino Linotype" w:cs="Arial"/>
          <w:i/>
        </w:rPr>
        <w:t>.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VIII</w:t>
      </w:r>
      <w:r w:rsidRPr="001463A1">
        <w:rPr>
          <w:rFonts w:ascii="Palatino Linotype" w:eastAsia="Times New Roman" w:hAnsi="Palatino Linotype" w:cs="Arial"/>
          <w:i/>
        </w:rPr>
        <w:t>. Términos en que el proveedor o prestador del servicio, en su caso, reintegrará las cantidades que, en cualquier forma, hubiere recibido en exceso por la contratación;</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IX</w:t>
      </w:r>
      <w:r w:rsidRPr="001463A1">
        <w:rPr>
          <w:rFonts w:ascii="Palatino Linotype" w:eastAsia="Times New Roman" w:hAnsi="Palatino Linotype" w:cs="Arial"/>
          <w:i/>
        </w:rPr>
        <w:t>. Causales por las que la Secretaría, organismos auxiliares, tribunales administrativos o municipios podrán dar por rescindido el contrato y sus efectos;</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X</w:t>
      </w:r>
      <w:r w:rsidRPr="001463A1">
        <w:rPr>
          <w:rFonts w:ascii="Palatino Linotype" w:eastAsia="Times New Roman" w:hAnsi="Palatino Linotype" w:cs="Arial"/>
          <w:i/>
        </w:rPr>
        <w:t>. Las consecuencias de la cancelación o terminación anticipada por causas imputables al proveedor o prestador del servicio;</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lastRenderedPageBreak/>
        <w:t>XI</w:t>
      </w:r>
      <w:r w:rsidRPr="001463A1">
        <w:rPr>
          <w:rFonts w:ascii="Palatino Linotype" w:eastAsia="Times New Roman" w:hAnsi="Palatino Linotype" w:cs="Arial"/>
          <w:i/>
        </w:rPr>
        <w:t>. Señalamiento del domicilio de las partes, ubicado en el territorio del Estado, o bien, domicilio para oír y recibir notificaciones; y</w:t>
      </w:r>
    </w:p>
    <w:p w:rsidR="001463A1" w:rsidRPr="001463A1" w:rsidRDefault="001463A1" w:rsidP="006258A3">
      <w:pPr>
        <w:spacing w:after="0" w:line="240" w:lineRule="auto"/>
        <w:ind w:left="567" w:right="567"/>
        <w:jc w:val="both"/>
        <w:rPr>
          <w:rFonts w:ascii="Palatino Linotype" w:eastAsia="Times New Roman" w:hAnsi="Palatino Linotype" w:cs="Arial"/>
          <w:i/>
        </w:rPr>
      </w:pPr>
      <w:r w:rsidRPr="001463A1">
        <w:rPr>
          <w:rFonts w:ascii="Palatino Linotype" w:eastAsia="Times New Roman" w:hAnsi="Palatino Linotype" w:cs="Arial"/>
          <w:b/>
          <w:i/>
        </w:rPr>
        <w:t>XII</w:t>
      </w:r>
      <w:r w:rsidRPr="001463A1">
        <w:rPr>
          <w:rFonts w:ascii="Palatino Linotype" w:eastAsia="Times New Roman" w:hAnsi="Palatino Linotype" w:cs="Arial"/>
          <w:i/>
        </w:rPr>
        <w:t>. Renuncia expresa al fuero que les pudiera corresponder en función de su domicilio o vecindad presente o futuro.”</w:t>
      </w:r>
    </w:p>
    <w:p w:rsidR="001463A1" w:rsidRDefault="001463A1" w:rsidP="001463A1">
      <w:pPr>
        <w:spacing w:after="0" w:line="360" w:lineRule="auto"/>
        <w:jc w:val="both"/>
        <w:rPr>
          <w:rFonts w:ascii="Palatino Linotype" w:eastAsia="Times New Roman" w:hAnsi="Palatino Linotype" w:cs="Arial"/>
          <w:sz w:val="24"/>
        </w:rPr>
      </w:pPr>
    </w:p>
    <w:p w:rsidR="001463A1" w:rsidRPr="001463A1" w:rsidRDefault="001463A1" w:rsidP="001463A1">
      <w:pPr>
        <w:spacing w:after="0" w:line="360" w:lineRule="auto"/>
        <w:jc w:val="both"/>
        <w:rPr>
          <w:rFonts w:ascii="Palatino Linotype" w:eastAsia="Times New Roman" w:hAnsi="Palatino Linotype" w:cs="Arial"/>
          <w:sz w:val="24"/>
        </w:rPr>
      </w:pPr>
      <w:r w:rsidRPr="001463A1">
        <w:rPr>
          <w:rFonts w:ascii="Palatino Linotype" w:eastAsia="Times New Roman" w:hAnsi="Palatino Linotype" w:cs="Arial"/>
          <w:sz w:val="24"/>
        </w:rPr>
        <w:t xml:space="preserve">Del precepto jurídico antes invocado, se desprenden los requisitos mínimos que deben contener los contratos, lo anterior con la finalidad de que para el caso de que </w:t>
      </w:r>
      <w:r w:rsidR="000F21BE" w:rsidRPr="000F21BE">
        <w:rPr>
          <w:rFonts w:ascii="Palatino Linotype" w:eastAsia="Times New Roman" w:hAnsi="Palatino Linotype" w:cs="Arial"/>
          <w:b/>
          <w:sz w:val="24"/>
        </w:rPr>
        <w:t>el sujeto obligado</w:t>
      </w:r>
      <w:r w:rsidRPr="001463A1">
        <w:rPr>
          <w:rFonts w:ascii="Palatino Linotype" w:eastAsia="Times New Roman" w:hAnsi="Palatino Linotype" w:cs="Arial"/>
          <w:sz w:val="24"/>
        </w:rPr>
        <w:t xml:space="preserve"> haya celebrado contrato</w:t>
      </w:r>
      <w:r w:rsidR="000F21BE">
        <w:rPr>
          <w:rFonts w:ascii="Palatino Linotype" w:eastAsia="Times New Roman" w:hAnsi="Palatino Linotype" w:cs="Arial"/>
          <w:sz w:val="24"/>
        </w:rPr>
        <w:t xml:space="preserve"> alguno en la temporalidad señalada, o</w:t>
      </w:r>
      <w:r w:rsidRPr="001463A1">
        <w:rPr>
          <w:rFonts w:ascii="Palatino Linotype" w:eastAsia="Times New Roman" w:hAnsi="Palatino Linotype" w:cs="Arial"/>
          <w:sz w:val="24"/>
        </w:rPr>
        <w:t>bserve y tenga en cuenta lo que aquí se señala.</w:t>
      </w:r>
    </w:p>
    <w:p w:rsidR="00871748" w:rsidRPr="00871748" w:rsidRDefault="00871748" w:rsidP="001463A1">
      <w:pPr>
        <w:tabs>
          <w:tab w:val="left" w:pos="709"/>
        </w:tabs>
        <w:spacing w:after="0" w:line="360" w:lineRule="auto"/>
        <w:jc w:val="both"/>
        <w:rPr>
          <w:rFonts w:ascii="Palatino Linotype" w:hAnsi="Palatino Linotype"/>
          <w:sz w:val="24"/>
          <w:szCs w:val="24"/>
        </w:rPr>
      </w:pPr>
    </w:p>
    <w:p w:rsidR="00871748" w:rsidRDefault="000F21BE" w:rsidP="000F21BE">
      <w:pPr>
        <w:tabs>
          <w:tab w:val="left" w:pos="709"/>
        </w:tabs>
        <w:spacing w:after="0" w:line="360" w:lineRule="auto"/>
        <w:jc w:val="both"/>
        <w:rPr>
          <w:rFonts w:ascii="Palatino Linotype" w:hAnsi="Palatino Linotype"/>
          <w:sz w:val="24"/>
          <w:szCs w:val="24"/>
        </w:rPr>
      </w:pPr>
      <w:r w:rsidRPr="000F21BE">
        <w:rPr>
          <w:rFonts w:ascii="Palatino Linotype" w:hAnsi="Palatino Linotype"/>
          <w:sz w:val="24"/>
          <w:szCs w:val="24"/>
        </w:rPr>
        <w:t xml:space="preserve">Ahora relacionado con lo anterior, una vez hecha la exploración por parte de este Órgano Garante a los ordenamientos jurídicos aplicables al </w:t>
      </w:r>
      <w:r w:rsidR="006D5173" w:rsidRPr="006D5173">
        <w:rPr>
          <w:rFonts w:ascii="Palatino Linotype" w:hAnsi="Palatino Linotype"/>
          <w:b/>
          <w:sz w:val="24"/>
          <w:szCs w:val="24"/>
        </w:rPr>
        <w:t>sujeto obligado</w:t>
      </w:r>
      <w:r w:rsidR="006D5173" w:rsidRPr="000F21BE">
        <w:rPr>
          <w:rFonts w:ascii="Palatino Linotype" w:hAnsi="Palatino Linotype"/>
          <w:sz w:val="24"/>
          <w:szCs w:val="24"/>
        </w:rPr>
        <w:t xml:space="preserve"> </w:t>
      </w:r>
      <w:r w:rsidRPr="000F21BE">
        <w:rPr>
          <w:rFonts w:ascii="Palatino Linotype" w:hAnsi="Palatino Linotype"/>
          <w:sz w:val="24"/>
          <w:szCs w:val="24"/>
        </w:rPr>
        <w:t>en el Reglamento de Adquisiciones, Enajenaciones, Arrendamientos</w:t>
      </w:r>
      <w:r>
        <w:rPr>
          <w:rFonts w:ascii="Palatino Linotype" w:hAnsi="Palatino Linotype"/>
          <w:sz w:val="24"/>
          <w:szCs w:val="24"/>
        </w:rPr>
        <w:t xml:space="preserve"> </w:t>
      </w:r>
      <w:r w:rsidRPr="000F21BE">
        <w:rPr>
          <w:rFonts w:ascii="Palatino Linotype" w:hAnsi="Palatino Linotype"/>
          <w:sz w:val="24"/>
          <w:szCs w:val="24"/>
        </w:rPr>
        <w:t xml:space="preserve">y Contratación de Servicios de Chalco, México, en su Título Quinto relacionado con los convenios y contratos se aprecia la facultad por parte del </w:t>
      </w:r>
      <w:r w:rsidR="006D5173" w:rsidRPr="000F21BE">
        <w:rPr>
          <w:rFonts w:ascii="Palatino Linotype" w:hAnsi="Palatino Linotype"/>
          <w:sz w:val="24"/>
          <w:szCs w:val="24"/>
        </w:rPr>
        <w:t>sujeto obligado</w:t>
      </w:r>
      <w:r w:rsidRPr="000F21BE">
        <w:rPr>
          <w:rFonts w:ascii="Palatino Linotype" w:hAnsi="Palatino Linotype"/>
          <w:sz w:val="24"/>
          <w:szCs w:val="24"/>
        </w:rPr>
        <w:t xml:space="preserve"> de celebrar este tipo de instrumentos jurídicos y el procedimiento de celebración de los mismos, lo anterior está contenido en el artículo 119 del precepto mencionado que a la letra dice:</w:t>
      </w:r>
    </w:p>
    <w:p w:rsidR="00871748" w:rsidRDefault="00871748" w:rsidP="001463A1">
      <w:pPr>
        <w:tabs>
          <w:tab w:val="left" w:pos="709"/>
        </w:tabs>
        <w:spacing w:after="0" w:line="360" w:lineRule="auto"/>
        <w:jc w:val="both"/>
        <w:rPr>
          <w:rFonts w:ascii="Palatino Linotype" w:hAnsi="Palatino Linotype"/>
          <w:sz w:val="24"/>
          <w:szCs w:val="24"/>
        </w:rPr>
      </w:pP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i/>
          <w:szCs w:val="24"/>
        </w:rPr>
        <w:t>“</w:t>
      </w:r>
      <w:r w:rsidRPr="006D5173">
        <w:rPr>
          <w:rFonts w:ascii="Palatino Linotype" w:hAnsi="Palatino Linotype"/>
          <w:b/>
          <w:i/>
          <w:szCs w:val="24"/>
        </w:rPr>
        <w:t>Artículo 119.-</w:t>
      </w:r>
      <w:r w:rsidRPr="006D5173">
        <w:rPr>
          <w:rFonts w:ascii="Palatino Linotype" w:hAnsi="Palatino Linotype"/>
          <w:i/>
          <w:szCs w:val="24"/>
        </w:rPr>
        <w:t xml:space="preserve"> Sin perjuicio de las disposiciones jurídicas aplicables, en los convenios y contratos, se deberá observar lo siguiente:</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I</w:t>
      </w:r>
      <w:r w:rsidRPr="006D5173">
        <w:rPr>
          <w:rFonts w:ascii="Palatino Linotype" w:hAnsi="Palatino Linotype"/>
          <w:i/>
          <w:szCs w:val="24"/>
        </w:rPr>
        <w:t>.- El Presidente Municipal, el Titular de la Dirección General de Administración, el Titular de la Tesorería y Finanzas y el Titular del área usuaria suscribirán, en nombre y representación del Ayuntamiento, los contratos regulados por el presente Reglamento, con excepción de los derivados de los procedimientos de invitación restringida y adjudicación directa, cuando el monto de las operaciones no exceda el monto máximo que para estas modalidades establezca la normatividad correspondiente, siempre que las operaciones no se fraccionen para quedar comprendidas en este supuesto, que serán firmados por el Secretario Ejecutivo del Comité correspondiente y el Titular del área usuaria. Sin perjuicio de las atribuciones que para tal efecto estén a cargo del Secretario del Ayuntamiento;</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II</w:t>
      </w:r>
      <w:r w:rsidRPr="006D5173">
        <w:rPr>
          <w:rFonts w:ascii="Palatino Linotype" w:hAnsi="Palatino Linotype"/>
          <w:i/>
          <w:szCs w:val="24"/>
        </w:rPr>
        <w:t>.- La Subdirección de Recursos Materiales elaborará y tramitará el contrato-pedido ante las Dependencias correspondientes;</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lastRenderedPageBreak/>
        <w:t>III</w:t>
      </w:r>
      <w:r w:rsidRPr="006D5173">
        <w:rPr>
          <w:rFonts w:ascii="Palatino Linotype" w:hAnsi="Palatino Linotype"/>
          <w:i/>
          <w:szCs w:val="24"/>
        </w:rPr>
        <w:t>.- El Secretario Ejecutivo del Comité correspondiente, una vez que tengan conocimiento del dictamen de adjudicación emitido por el Comité, relativo a sus requisiciones, deberán proporcionar a la Subdirección de Normatividad y Convenios, dentro de las cuarenta y ocho horas siguientes a la que tengan conocimiento del fallo respectivo, la información y documentación necesaria para la elaboración de los contratos, misma que se hace consistir en:</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a)</w:t>
      </w:r>
      <w:r w:rsidRPr="006D5173">
        <w:rPr>
          <w:rFonts w:ascii="Palatino Linotype" w:hAnsi="Palatino Linotype"/>
          <w:i/>
          <w:szCs w:val="24"/>
        </w:rPr>
        <w:t xml:space="preserve"> Tratándose de personas jurídica colectivas, acta constitutiva completa y en su caso última modificación, con el sello de inscripción en el Registro Público de la Propiedad y del Comercio de la entidad de que se trate;</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b)</w:t>
      </w:r>
      <w:r w:rsidRPr="006D5173">
        <w:rPr>
          <w:rFonts w:ascii="Palatino Linotype" w:hAnsi="Palatino Linotype"/>
          <w:i/>
          <w:szCs w:val="24"/>
        </w:rPr>
        <w:t xml:space="preserve"> Documento legal a través del cual se acrediten las facultades del representante legal para la celebración del contrato, con el sello de inscripción en el Registro Público de la Propiedad y de Comercio de la entidad de que se trate;</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c)</w:t>
      </w:r>
      <w:r w:rsidRPr="006D5173">
        <w:rPr>
          <w:rFonts w:ascii="Palatino Linotype" w:hAnsi="Palatino Linotype"/>
          <w:i/>
          <w:szCs w:val="24"/>
        </w:rPr>
        <w:t xml:space="preserve"> Copia de la identificación oficial del representante legal tratándose de personas jurídicas colectivas o de las personas físicas con actividad empresarial;</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d)</w:t>
      </w:r>
      <w:r w:rsidRPr="006D5173">
        <w:rPr>
          <w:rFonts w:ascii="Palatino Linotype" w:hAnsi="Palatino Linotype"/>
          <w:i/>
          <w:szCs w:val="24"/>
        </w:rPr>
        <w:t xml:space="preserve"> Documento con el que se acredite el domicilio fiscal del contribuyente;</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e)</w:t>
      </w:r>
      <w:r w:rsidRPr="006D5173">
        <w:rPr>
          <w:rFonts w:ascii="Palatino Linotype" w:hAnsi="Palatino Linotype"/>
          <w:i/>
          <w:szCs w:val="24"/>
        </w:rPr>
        <w:t xml:space="preserve"> Aviso de alta ante la Secretaría de Hacienda y Crédito Público y la clave única de registro de población del proveedor, arrendador, comprador o prestador de servicios, verificando que ambos documentos contengan los datos fiscales en igualdad de circunstancias, fundamentalmente por lo que hace a la actividad preponderante del contribuyente;</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f)</w:t>
      </w:r>
      <w:r w:rsidRPr="006D5173">
        <w:rPr>
          <w:rFonts w:ascii="Palatino Linotype" w:hAnsi="Palatino Linotype"/>
          <w:i/>
          <w:szCs w:val="24"/>
        </w:rPr>
        <w:t xml:space="preserve"> Señalar en qué consistirán las garantías y por cuánto será la pena convencional, aplicable al caso. En este último caso, deberá señalarse que en caso de incumplimiento o retraso por más de quince días, por causas imputables al proveedor o arrendador en su caso, se le aplicará como pena convencional, el cero punto veinticinco por ciento, por cada día hábil de retraso, con un tope de hasta un diez por ciento del importe total del contrato sin incluir el Impuesto al Valor Agregado; y</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g)</w:t>
      </w:r>
      <w:r w:rsidRPr="006D5173">
        <w:rPr>
          <w:rFonts w:ascii="Palatino Linotype" w:hAnsi="Palatino Linotype"/>
          <w:i/>
          <w:szCs w:val="24"/>
        </w:rPr>
        <w:t xml:space="preserve"> Incluir en su caso, los proyectos de contrato correspondientes.</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IV</w:t>
      </w:r>
      <w:r w:rsidRPr="006D5173">
        <w:rPr>
          <w:rFonts w:ascii="Palatino Linotype" w:hAnsi="Palatino Linotype"/>
          <w:i/>
          <w:szCs w:val="24"/>
        </w:rPr>
        <w:t>. La Subdirección de Normatividad y Convenios elaborará los contratos de arrendamiento y prestación de servicios, a petición del Secretario Ejecutivo del Comité correspondiente;</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V</w:t>
      </w:r>
      <w:r w:rsidRPr="006D5173">
        <w:rPr>
          <w:rFonts w:ascii="Palatino Linotype" w:hAnsi="Palatino Linotype"/>
          <w:i/>
          <w:szCs w:val="24"/>
        </w:rPr>
        <w:t>. En caso de compras consolidadas, una copia del contrato será entregada adjunta a las facturas que se entreguen a la Tesorería;</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VI</w:t>
      </w:r>
      <w:r w:rsidRPr="006D5173">
        <w:rPr>
          <w:rFonts w:ascii="Palatino Linotype" w:hAnsi="Palatino Linotype"/>
          <w:i/>
          <w:szCs w:val="24"/>
        </w:rPr>
        <w:t>. La Subdirección de Normatividad y Convenios revisará la información y documentación que le haya sido proporcionada. En caso de requerir información adicional, la solicitará al Secretario Ejecutivo del Comité que corresponda, el cual deberá proporcionarla con la mayor brevedad;</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VII</w:t>
      </w:r>
      <w:r w:rsidRPr="006D5173">
        <w:rPr>
          <w:rFonts w:ascii="Palatino Linotype" w:hAnsi="Palatino Linotype"/>
          <w:i/>
          <w:szCs w:val="24"/>
        </w:rPr>
        <w:t>. Los convenios y contratos y/o contrato-pedido, serán entregados al Secretario Ejecutivo del Comité respectivo con el visto bueno de la Subdirección de Normatividad y Convenios;</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VIII</w:t>
      </w:r>
      <w:r w:rsidRPr="006D5173">
        <w:rPr>
          <w:rFonts w:ascii="Palatino Linotype" w:hAnsi="Palatino Linotype"/>
          <w:i/>
          <w:szCs w:val="24"/>
        </w:rPr>
        <w:t>. La Subdirección de Normatividad y Convenios llevará un control y registro consecutivo de los convenios y contratos que elabore;</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lastRenderedPageBreak/>
        <w:t>IX</w:t>
      </w:r>
      <w:r w:rsidRPr="006D5173">
        <w:rPr>
          <w:rFonts w:ascii="Palatino Linotype" w:hAnsi="Palatino Linotype"/>
          <w:i/>
          <w:szCs w:val="24"/>
        </w:rPr>
        <w:t>. Es responsabilidad del Secretario Ejecutivo de cada Comité, la integración de los expedientes y anexos de los convenios, contratos y/o contrato-pedido, recabar las firmas, así como satisfacer a los demás requisitos que fijen las normas aplicables;</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X</w:t>
      </w:r>
      <w:r w:rsidRPr="006D5173">
        <w:rPr>
          <w:rFonts w:ascii="Palatino Linotype" w:hAnsi="Palatino Linotype"/>
          <w:i/>
          <w:szCs w:val="24"/>
        </w:rPr>
        <w:t>. Es responsabilidad de la Dependencia interesada, verificar la existencia de suficiencia presupuestaria en los casos que corresponda;</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XI</w:t>
      </w:r>
      <w:r w:rsidRPr="006D5173">
        <w:rPr>
          <w:rFonts w:ascii="Palatino Linotype" w:hAnsi="Palatino Linotype"/>
          <w:i/>
          <w:szCs w:val="24"/>
        </w:rPr>
        <w:t>. La Subdirección de Recursos Materiales deberá enviar a la Subdirección de Normatividad y Convenios, por lo menos un original del convenio o contrato con las firmas de quienes intervengan en la celebración, con copia para las demás Dependencias señaladas en el mismo;</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XII</w:t>
      </w:r>
      <w:r w:rsidRPr="006D5173">
        <w:rPr>
          <w:rFonts w:ascii="Palatino Linotype" w:hAnsi="Palatino Linotype"/>
          <w:i/>
          <w:szCs w:val="24"/>
        </w:rPr>
        <w:t>. Los titulares de las Dependencias se abstendrán de realizar cualquier acto considerado dentro del convenio o contrato, hasta que el mismo cumpla los requisitos que establece la normatividad aplicable y el presente Reglamento; y</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XIII</w:t>
      </w:r>
      <w:r w:rsidRPr="006D5173">
        <w:rPr>
          <w:rFonts w:ascii="Palatino Linotype" w:hAnsi="Palatino Linotype"/>
          <w:i/>
          <w:szCs w:val="24"/>
        </w:rPr>
        <w:t>. La Tesorería solamente efectuará pagos respecto de convenios o contratos que cuenten con el visto bueno del Secretario del Ayuntamiento, estén firmados por todas las partes que en ellos intervienen y vayan acompañados de la documentación de carácter contable que en cada caso corresponda.”</w:t>
      </w:r>
    </w:p>
    <w:p w:rsidR="006D5173" w:rsidRDefault="006D5173" w:rsidP="006D5173">
      <w:pPr>
        <w:tabs>
          <w:tab w:val="left" w:pos="709"/>
        </w:tabs>
        <w:spacing w:after="0" w:line="360" w:lineRule="auto"/>
        <w:jc w:val="both"/>
        <w:rPr>
          <w:rFonts w:ascii="Palatino Linotype" w:hAnsi="Palatino Linotype"/>
          <w:sz w:val="24"/>
          <w:szCs w:val="24"/>
        </w:rPr>
      </w:pPr>
    </w:p>
    <w:p w:rsidR="00871748" w:rsidRDefault="006D5173" w:rsidP="006D5173">
      <w:pPr>
        <w:tabs>
          <w:tab w:val="left" w:pos="709"/>
        </w:tabs>
        <w:spacing w:after="0" w:line="360" w:lineRule="auto"/>
        <w:jc w:val="both"/>
        <w:rPr>
          <w:rFonts w:ascii="Palatino Linotype" w:hAnsi="Palatino Linotype"/>
          <w:sz w:val="24"/>
          <w:szCs w:val="24"/>
        </w:rPr>
      </w:pPr>
      <w:r w:rsidRPr="006D5173">
        <w:rPr>
          <w:rFonts w:ascii="Palatino Linotype" w:hAnsi="Palatino Linotype"/>
          <w:sz w:val="24"/>
          <w:szCs w:val="24"/>
        </w:rPr>
        <w:t>Del precepto jurídico citado con anterioridad, se desprende que el Sujeto Obligado está facultado para celebrar contratos y convenios, así como se visualiza el procedimiento de elaboración de los mismos y se muestra que la dependencia facultada que puede tener la información de manera enunciativa más no limitativa es la Subdirección de Normatividad y Convenios.</w:t>
      </w:r>
    </w:p>
    <w:p w:rsidR="00871748" w:rsidRDefault="00871748" w:rsidP="001463A1">
      <w:pPr>
        <w:tabs>
          <w:tab w:val="left" w:pos="709"/>
        </w:tabs>
        <w:spacing w:after="0" w:line="360" w:lineRule="auto"/>
        <w:jc w:val="both"/>
        <w:rPr>
          <w:rFonts w:ascii="Palatino Linotype" w:hAnsi="Palatino Linotype"/>
          <w:sz w:val="24"/>
          <w:szCs w:val="24"/>
        </w:rPr>
      </w:pPr>
    </w:p>
    <w:p w:rsidR="00A64FA6" w:rsidRPr="006D5173" w:rsidRDefault="006D5173" w:rsidP="00A64FA6">
      <w:pPr>
        <w:tabs>
          <w:tab w:val="left" w:pos="709"/>
        </w:tabs>
        <w:spacing w:after="0" w:line="360" w:lineRule="auto"/>
        <w:jc w:val="both"/>
        <w:rPr>
          <w:rFonts w:ascii="Palatino Linotype" w:hAnsi="Palatino Linotype"/>
          <w:sz w:val="24"/>
          <w:szCs w:val="24"/>
        </w:rPr>
      </w:pPr>
      <w:r w:rsidRPr="006D5173">
        <w:rPr>
          <w:rFonts w:ascii="Palatino Linotype" w:hAnsi="Palatino Linotype"/>
          <w:sz w:val="24"/>
          <w:szCs w:val="24"/>
        </w:rPr>
        <w:t xml:space="preserve">Ahora bien, </w:t>
      </w:r>
      <w:r>
        <w:rPr>
          <w:rFonts w:ascii="Palatino Linotype" w:hAnsi="Palatino Linotype"/>
          <w:sz w:val="24"/>
          <w:szCs w:val="24"/>
        </w:rPr>
        <w:t xml:space="preserve">cabe recordar que el ahora </w:t>
      </w:r>
      <w:r w:rsidRPr="006D5173">
        <w:rPr>
          <w:rFonts w:ascii="Palatino Linotype" w:hAnsi="Palatino Linotype"/>
          <w:b/>
          <w:sz w:val="24"/>
          <w:szCs w:val="24"/>
        </w:rPr>
        <w:t>recurrente</w:t>
      </w:r>
      <w:r>
        <w:rPr>
          <w:rFonts w:ascii="Palatino Linotype" w:hAnsi="Palatino Linotype"/>
          <w:sz w:val="24"/>
          <w:szCs w:val="24"/>
        </w:rPr>
        <w:t xml:space="preserve"> se sirvió en señalar cualquier tipo de contrato del uno de enero al veintinueve de enero de dos mil diecinueve</w:t>
      </w:r>
      <w:r w:rsidR="00A64FA6">
        <w:rPr>
          <w:rFonts w:ascii="Palatino Linotype" w:hAnsi="Palatino Linotype"/>
          <w:sz w:val="24"/>
          <w:szCs w:val="24"/>
        </w:rPr>
        <w:t xml:space="preserve">, por ello </w:t>
      </w:r>
    </w:p>
    <w:p w:rsidR="006D5173" w:rsidRDefault="006D5173" w:rsidP="006D5173">
      <w:pPr>
        <w:tabs>
          <w:tab w:val="left" w:pos="709"/>
        </w:tabs>
        <w:spacing w:after="0" w:line="360" w:lineRule="auto"/>
        <w:jc w:val="both"/>
        <w:rPr>
          <w:rFonts w:ascii="Palatino Linotype" w:hAnsi="Palatino Linotype"/>
          <w:sz w:val="24"/>
          <w:szCs w:val="24"/>
        </w:rPr>
      </w:pPr>
      <w:r w:rsidRPr="006D5173">
        <w:rPr>
          <w:rFonts w:ascii="Palatino Linotype" w:hAnsi="Palatino Linotype"/>
          <w:sz w:val="24"/>
          <w:szCs w:val="24"/>
        </w:rPr>
        <w:t>es pertinente hacer mención que se pudo realizar un contrato de obra pública, como lo refiere el Código Administrativo del Estado de México y que faculta a los Ayuntamientos en este aspecto, como se puede visualizar en el artículo 12.1 de dicho ordenamiento que se trascribe a continuación:</w:t>
      </w:r>
    </w:p>
    <w:p w:rsidR="006D5173" w:rsidRDefault="006D5173" w:rsidP="006D5173">
      <w:pPr>
        <w:tabs>
          <w:tab w:val="left" w:pos="709"/>
        </w:tabs>
        <w:spacing w:after="0" w:line="360" w:lineRule="auto"/>
        <w:jc w:val="both"/>
        <w:rPr>
          <w:rFonts w:ascii="Palatino Linotype" w:hAnsi="Palatino Linotype"/>
          <w:sz w:val="24"/>
          <w:szCs w:val="24"/>
        </w:rPr>
      </w:pPr>
    </w:p>
    <w:p w:rsidR="00070083" w:rsidRPr="006D5173" w:rsidRDefault="00070083" w:rsidP="006D5173">
      <w:pPr>
        <w:tabs>
          <w:tab w:val="left" w:pos="709"/>
        </w:tabs>
        <w:spacing w:after="0" w:line="360" w:lineRule="auto"/>
        <w:jc w:val="both"/>
        <w:rPr>
          <w:rFonts w:ascii="Palatino Linotype" w:hAnsi="Palatino Linotype"/>
          <w:sz w:val="24"/>
          <w:szCs w:val="24"/>
        </w:rPr>
      </w:pP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i/>
          <w:szCs w:val="24"/>
        </w:rPr>
        <w:lastRenderedPageBreak/>
        <w:t>“</w:t>
      </w:r>
      <w:r w:rsidRPr="006D5173">
        <w:rPr>
          <w:rFonts w:ascii="Palatino Linotype" w:hAnsi="Palatino Linotype"/>
          <w:b/>
          <w:i/>
          <w:szCs w:val="24"/>
        </w:rPr>
        <w:t>Artículo 12.1.-</w:t>
      </w:r>
      <w:r w:rsidRPr="006D5173">
        <w:rPr>
          <w:rFonts w:ascii="Palatino Linotype" w:hAnsi="Palatino Linotype"/>
          <w:i/>
          <w:szCs w:val="24"/>
        </w:rPr>
        <w:t xml:space="preserve"> Este Libro tiene por objeto regular los actos relativos a la planeación, programación, presupuestación, adjudicación, </w:t>
      </w:r>
      <w:r w:rsidRPr="00A64FA6">
        <w:rPr>
          <w:rFonts w:ascii="Palatino Linotype" w:hAnsi="Palatino Linotype"/>
          <w:i/>
          <w:szCs w:val="24"/>
          <w:u w:val="single"/>
        </w:rPr>
        <w:t>contratación</w:t>
      </w:r>
      <w:r w:rsidRPr="006D5173">
        <w:rPr>
          <w:rFonts w:ascii="Palatino Linotype" w:hAnsi="Palatino Linotype"/>
          <w:i/>
          <w:szCs w:val="24"/>
        </w:rPr>
        <w:t>, ejecución y control de la obra pública, así como los servicios relacionados con la misma que, por sí o por conducto de terceros, realicen:</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I</w:t>
      </w:r>
      <w:r w:rsidRPr="006D5173">
        <w:rPr>
          <w:rFonts w:ascii="Palatino Linotype" w:hAnsi="Palatino Linotype"/>
          <w:i/>
          <w:szCs w:val="24"/>
        </w:rPr>
        <w:t>. Las secretarías y unidades administrativas del Poder Ejecutivo del Estado;</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II</w:t>
      </w:r>
      <w:r w:rsidRPr="006D5173">
        <w:rPr>
          <w:rFonts w:ascii="Palatino Linotype" w:hAnsi="Palatino Linotype"/>
          <w:i/>
          <w:szCs w:val="24"/>
        </w:rPr>
        <w:t>. La Fiscalía General de Justicia;</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III</w:t>
      </w:r>
      <w:r w:rsidRPr="006D5173">
        <w:rPr>
          <w:rFonts w:ascii="Palatino Linotype" w:hAnsi="Palatino Linotype"/>
          <w:i/>
          <w:szCs w:val="24"/>
        </w:rPr>
        <w:t>. Los ayuntamientos de los municipios del Estado;</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IV</w:t>
      </w:r>
      <w:r w:rsidRPr="006D5173">
        <w:rPr>
          <w:rFonts w:ascii="Palatino Linotype" w:hAnsi="Palatino Linotype"/>
          <w:i/>
          <w:szCs w:val="24"/>
        </w:rPr>
        <w:t>. Los organismos auxiliares y fideicomisos públicos del Estado y municipios;</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V</w:t>
      </w:r>
      <w:r w:rsidRPr="006D5173">
        <w:rPr>
          <w:rFonts w:ascii="Palatino Linotype" w:hAnsi="Palatino Linotype"/>
          <w:i/>
          <w:szCs w:val="24"/>
        </w:rPr>
        <w:t>. Los tribunales administrativos.</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i/>
          <w:szCs w:val="24"/>
        </w:rPr>
        <w:t>Serán aplicables las disposiciones conducentes de este Libro, a los particulares que tengan el carácter de licitantes o contratistas.</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i/>
          <w:szCs w:val="24"/>
        </w:rPr>
        <w:t>Los poderes Legislativo y Judicial, así como los organismos autónomos, aplicarán los procedimientos previstos en este Libro en todo lo que no se oponga a los ordenamientos legales que los regulan.</w:t>
      </w:r>
    </w:p>
    <w:p w:rsid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i/>
          <w:szCs w:val="24"/>
        </w:rPr>
        <w:t>No se regirán por las disposiciones de este Libro, la obra pública o servicios relacionados con la misma, derivados de convenios celebrados entre dependencias, entidades, instituciones públicas y ayuntamientos, entre sí o con los de otros estados o de la Federación, excepto cuando intervenga un particular con el carácter de licitante o contratista.”</w:t>
      </w:r>
    </w:p>
    <w:p w:rsidR="00A64FA6" w:rsidRPr="00A64FA6" w:rsidRDefault="00A64FA6" w:rsidP="00A64FA6">
      <w:pPr>
        <w:tabs>
          <w:tab w:val="left" w:pos="709"/>
        </w:tabs>
        <w:spacing w:after="0" w:line="240" w:lineRule="auto"/>
        <w:ind w:left="567" w:right="567"/>
        <w:jc w:val="right"/>
        <w:rPr>
          <w:rFonts w:ascii="Palatino Linotype" w:hAnsi="Palatino Linotype"/>
          <w:szCs w:val="24"/>
        </w:rPr>
      </w:pPr>
      <w:r>
        <w:rPr>
          <w:rFonts w:ascii="Palatino Linotype" w:hAnsi="Palatino Linotype"/>
          <w:szCs w:val="24"/>
        </w:rPr>
        <w:t>(Énfasis añadido)</w:t>
      </w:r>
    </w:p>
    <w:p w:rsidR="006D5173" w:rsidRPr="006D5173" w:rsidRDefault="006D5173" w:rsidP="006D5173">
      <w:pPr>
        <w:tabs>
          <w:tab w:val="left" w:pos="709"/>
        </w:tabs>
        <w:spacing w:after="0" w:line="360" w:lineRule="auto"/>
        <w:jc w:val="both"/>
        <w:rPr>
          <w:rFonts w:ascii="Palatino Linotype" w:hAnsi="Palatino Linotype"/>
          <w:sz w:val="24"/>
          <w:szCs w:val="24"/>
        </w:rPr>
      </w:pPr>
    </w:p>
    <w:p w:rsidR="006D5173" w:rsidRDefault="006D5173" w:rsidP="006D5173">
      <w:pPr>
        <w:tabs>
          <w:tab w:val="left" w:pos="709"/>
        </w:tabs>
        <w:spacing w:after="0" w:line="360" w:lineRule="auto"/>
        <w:jc w:val="both"/>
        <w:rPr>
          <w:rFonts w:ascii="Palatino Linotype" w:hAnsi="Palatino Linotype"/>
          <w:sz w:val="24"/>
          <w:szCs w:val="24"/>
        </w:rPr>
      </w:pPr>
      <w:r w:rsidRPr="006D5173">
        <w:rPr>
          <w:rFonts w:ascii="Palatino Linotype" w:hAnsi="Palatino Linotype"/>
          <w:sz w:val="24"/>
          <w:szCs w:val="24"/>
        </w:rPr>
        <w:t xml:space="preserve">Del precepto anterior se desprende que el </w:t>
      </w:r>
      <w:r w:rsidR="00A64FA6" w:rsidRPr="00A64FA6">
        <w:rPr>
          <w:rFonts w:ascii="Palatino Linotype" w:hAnsi="Palatino Linotype"/>
          <w:b/>
          <w:sz w:val="24"/>
          <w:szCs w:val="24"/>
        </w:rPr>
        <w:t>sujeto obligado</w:t>
      </w:r>
      <w:r w:rsidR="00A64FA6" w:rsidRPr="006D5173">
        <w:rPr>
          <w:rFonts w:ascii="Palatino Linotype" w:hAnsi="Palatino Linotype"/>
          <w:sz w:val="24"/>
          <w:szCs w:val="24"/>
        </w:rPr>
        <w:t xml:space="preserve"> </w:t>
      </w:r>
      <w:r w:rsidRPr="006D5173">
        <w:rPr>
          <w:rFonts w:ascii="Palatino Linotype" w:hAnsi="Palatino Linotype"/>
          <w:sz w:val="24"/>
          <w:szCs w:val="24"/>
        </w:rPr>
        <w:t>también está facultado para celebrar contratos de obra pública, mismos que regula el ordenamiento jurídico antes citado y que enmarca como facultad de los ayuntamientos, que en todo caso pudo haber realizado el Municipio.</w:t>
      </w:r>
    </w:p>
    <w:p w:rsidR="006D5173" w:rsidRPr="006D5173" w:rsidRDefault="006D5173" w:rsidP="006D5173">
      <w:pPr>
        <w:tabs>
          <w:tab w:val="left" w:pos="709"/>
        </w:tabs>
        <w:spacing w:after="0" w:line="360" w:lineRule="auto"/>
        <w:jc w:val="both"/>
        <w:rPr>
          <w:rFonts w:ascii="Palatino Linotype" w:hAnsi="Palatino Linotype"/>
          <w:sz w:val="24"/>
          <w:szCs w:val="24"/>
        </w:rPr>
      </w:pPr>
    </w:p>
    <w:p w:rsidR="006D5173" w:rsidRPr="006D5173" w:rsidRDefault="006D5173" w:rsidP="006D5173">
      <w:pPr>
        <w:tabs>
          <w:tab w:val="left" w:pos="709"/>
        </w:tabs>
        <w:spacing w:after="0" w:line="360" w:lineRule="auto"/>
        <w:jc w:val="both"/>
        <w:rPr>
          <w:rFonts w:ascii="Palatino Linotype" w:hAnsi="Palatino Linotype"/>
          <w:sz w:val="24"/>
          <w:szCs w:val="24"/>
        </w:rPr>
      </w:pPr>
      <w:r w:rsidRPr="006D5173">
        <w:rPr>
          <w:rFonts w:ascii="Palatino Linotype" w:hAnsi="Palatino Linotype"/>
          <w:sz w:val="24"/>
          <w:szCs w:val="24"/>
        </w:rPr>
        <w:t xml:space="preserve">En relación con lo anterior, una de las obligaciones comunes de transparencia, es decir, un elemento que deben de trasparentar los </w:t>
      </w:r>
      <w:r w:rsidR="00A64FA6" w:rsidRPr="00A64FA6">
        <w:rPr>
          <w:rFonts w:ascii="Palatino Linotype" w:hAnsi="Palatino Linotype"/>
          <w:b/>
          <w:sz w:val="24"/>
          <w:szCs w:val="24"/>
        </w:rPr>
        <w:t>sujeto obligados</w:t>
      </w:r>
      <w:r w:rsidR="00A64FA6" w:rsidRPr="006D5173">
        <w:rPr>
          <w:rFonts w:ascii="Palatino Linotype" w:hAnsi="Palatino Linotype"/>
          <w:sz w:val="24"/>
          <w:szCs w:val="24"/>
        </w:rPr>
        <w:t xml:space="preserve"> </w:t>
      </w:r>
      <w:r w:rsidRPr="006D5173">
        <w:rPr>
          <w:rFonts w:ascii="Palatino Linotype" w:hAnsi="Palatino Linotype"/>
          <w:sz w:val="24"/>
          <w:szCs w:val="24"/>
        </w:rPr>
        <w:t>son las concesiones, contratos, convenios, permisos, licencias o autorizaciones con los elementos necesarios para transparentar sus acciones, lo anterior encuentra sustento en la fracción XXXII del artículo 92 de la Ley de la Materia que a la letra dice:</w:t>
      </w:r>
    </w:p>
    <w:p w:rsidR="006D5173" w:rsidRDefault="006D5173" w:rsidP="006D5173">
      <w:pPr>
        <w:tabs>
          <w:tab w:val="left" w:pos="709"/>
        </w:tabs>
        <w:spacing w:after="0" w:line="360" w:lineRule="auto"/>
        <w:jc w:val="both"/>
        <w:rPr>
          <w:rFonts w:ascii="Palatino Linotype" w:hAnsi="Palatino Linotype"/>
          <w:sz w:val="24"/>
          <w:szCs w:val="24"/>
        </w:rPr>
      </w:pP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i/>
          <w:szCs w:val="24"/>
        </w:rPr>
        <w:lastRenderedPageBreak/>
        <w:t>“</w:t>
      </w:r>
      <w:r w:rsidRPr="006D5173">
        <w:rPr>
          <w:rFonts w:ascii="Palatino Linotype" w:hAnsi="Palatino Linotype"/>
          <w:b/>
          <w:i/>
          <w:szCs w:val="24"/>
        </w:rPr>
        <w:t>Artículo 92.</w:t>
      </w:r>
      <w:r w:rsidRPr="006D5173">
        <w:rPr>
          <w:rFonts w:ascii="Palatino Linotype" w:hAnsi="Palatino Linotype"/>
          <w:i/>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i/>
          <w:szCs w:val="24"/>
        </w:rPr>
        <w:t>(…)</w:t>
      </w:r>
    </w:p>
    <w:p w:rsid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b/>
          <w:i/>
          <w:szCs w:val="24"/>
        </w:rPr>
        <w:t>XXXII</w:t>
      </w:r>
      <w:r w:rsidRPr="006D5173">
        <w:rPr>
          <w:rFonts w:ascii="Palatino Linotype" w:hAnsi="Palatino Linotype"/>
          <w:i/>
          <w:szCs w:val="24"/>
        </w:rPr>
        <w:t xml:space="preserve">. Las concesiones, </w:t>
      </w:r>
      <w:r w:rsidRPr="007603E9">
        <w:rPr>
          <w:rFonts w:ascii="Palatino Linotype" w:hAnsi="Palatino Linotype"/>
          <w:i/>
          <w:szCs w:val="24"/>
          <w:u w:val="single"/>
        </w:rPr>
        <w:t>contratos</w:t>
      </w:r>
      <w:r w:rsidRPr="006D5173">
        <w:rPr>
          <w:rFonts w:ascii="Palatino Linotype" w:hAnsi="Palatino Linotype"/>
          <w:i/>
          <w:szCs w:val="24"/>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rsidR="007603E9" w:rsidRPr="007603E9" w:rsidRDefault="007603E9" w:rsidP="007603E9">
      <w:pPr>
        <w:tabs>
          <w:tab w:val="left" w:pos="709"/>
        </w:tabs>
        <w:spacing w:after="0" w:line="240" w:lineRule="auto"/>
        <w:ind w:left="567" w:right="567"/>
        <w:jc w:val="right"/>
        <w:rPr>
          <w:rFonts w:ascii="Palatino Linotype" w:hAnsi="Palatino Linotype"/>
          <w:sz w:val="24"/>
          <w:szCs w:val="24"/>
        </w:rPr>
      </w:pPr>
      <w:r w:rsidRPr="007603E9">
        <w:rPr>
          <w:rFonts w:ascii="Palatino Linotype" w:hAnsi="Palatino Linotype"/>
          <w:szCs w:val="24"/>
        </w:rPr>
        <w:t>(Énfasis añadido)</w:t>
      </w:r>
    </w:p>
    <w:p w:rsidR="006D5173" w:rsidRDefault="006D5173" w:rsidP="006D5173">
      <w:pPr>
        <w:tabs>
          <w:tab w:val="left" w:pos="709"/>
        </w:tabs>
        <w:spacing w:after="0" w:line="360" w:lineRule="auto"/>
        <w:jc w:val="both"/>
        <w:rPr>
          <w:rFonts w:ascii="Palatino Linotype" w:hAnsi="Palatino Linotype"/>
          <w:sz w:val="24"/>
          <w:szCs w:val="24"/>
        </w:rPr>
      </w:pPr>
    </w:p>
    <w:p w:rsidR="006D5173" w:rsidRPr="006D5173" w:rsidRDefault="006D5173" w:rsidP="006D5173">
      <w:pPr>
        <w:tabs>
          <w:tab w:val="left" w:pos="709"/>
        </w:tabs>
        <w:spacing w:after="0" w:line="360" w:lineRule="auto"/>
        <w:jc w:val="both"/>
        <w:rPr>
          <w:rFonts w:ascii="Palatino Linotype" w:hAnsi="Palatino Linotype"/>
          <w:sz w:val="24"/>
          <w:szCs w:val="24"/>
        </w:rPr>
      </w:pPr>
      <w:r w:rsidRPr="006D5173">
        <w:rPr>
          <w:rFonts w:ascii="Palatino Linotype" w:hAnsi="Palatino Linotype"/>
          <w:sz w:val="24"/>
          <w:szCs w:val="24"/>
        </w:rPr>
        <w:t>Del artículo de la Ley de la materia antes mencionado, se desprende que es una obligación común de transparencia que el Sujeto obligado debe atender en transparentar como lo son los contratos o convenios celebrados entre el Municipio y las instituciones públicas, privadas o personas físicas o jurídico colectivas.</w:t>
      </w:r>
    </w:p>
    <w:p w:rsidR="006D5173" w:rsidRDefault="006D5173" w:rsidP="006D5173">
      <w:pPr>
        <w:tabs>
          <w:tab w:val="left" w:pos="709"/>
        </w:tabs>
        <w:spacing w:after="0" w:line="360" w:lineRule="auto"/>
        <w:jc w:val="both"/>
        <w:rPr>
          <w:rFonts w:ascii="Palatino Linotype" w:hAnsi="Palatino Linotype"/>
          <w:sz w:val="24"/>
          <w:szCs w:val="24"/>
        </w:rPr>
      </w:pPr>
    </w:p>
    <w:p w:rsidR="006D5173" w:rsidRPr="006D5173" w:rsidRDefault="006D5173" w:rsidP="006D5173">
      <w:pPr>
        <w:tabs>
          <w:tab w:val="left" w:pos="709"/>
        </w:tabs>
        <w:spacing w:after="0" w:line="360" w:lineRule="auto"/>
        <w:jc w:val="both"/>
        <w:rPr>
          <w:rFonts w:ascii="Palatino Linotype" w:hAnsi="Palatino Linotype"/>
          <w:sz w:val="24"/>
          <w:szCs w:val="24"/>
        </w:rPr>
      </w:pPr>
      <w:r w:rsidRPr="006D5173">
        <w:rPr>
          <w:rFonts w:ascii="Palatino Linotype" w:hAnsi="Palatino Linotype"/>
          <w:sz w:val="24"/>
          <w:szCs w:val="24"/>
        </w:rPr>
        <w:t>Es importante que el Sujeto Obligado mediante la Unidad de Transparencia turne la solicitud de información a todas las áreas competentes que puedan tener la información, con la finalidad de satisfacer de manera plena el derecho de acceso a la información pública que accionó la ahora recurrente, como se establece en el artículo 162 de la Ley de la materia, que reza de la siguiente manera:</w:t>
      </w:r>
    </w:p>
    <w:p w:rsidR="006D5173" w:rsidRDefault="006D5173" w:rsidP="006D5173">
      <w:pPr>
        <w:tabs>
          <w:tab w:val="left" w:pos="709"/>
        </w:tabs>
        <w:spacing w:after="0" w:line="360" w:lineRule="auto"/>
        <w:jc w:val="both"/>
        <w:rPr>
          <w:rFonts w:ascii="Palatino Linotype" w:hAnsi="Palatino Linotype"/>
          <w:sz w:val="24"/>
          <w:szCs w:val="24"/>
        </w:rPr>
      </w:pPr>
    </w:p>
    <w:p w:rsidR="006D5173" w:rsidRPr="006D5173" w:rsidRDefault="006D5173" w:rsidP="006D5173">
      <w:pPr>
        <w:tabs>
          <w:tab w:val="left" w:pos="709"/>
        </w:tabs>
        <w:spacing w:after="0" w:line="240" w:lineRule="auto"/>
        <w:ind w:left="567" w:right="567"/>
        <w:jc w:val="both"/>
        <w:rPr>
          <w:rFonts w:ascii="Palatino Linotype" w:hAnsi="Palatino Linotype"/>
          <w:i/>
          <w:szCs w:val="24"/>
        </w:rPr>
      </w:pPr>
      <w:r w:rsidRPr="006D5173">
        <w:rPr>
          <w:rFonts w:ascii="Palatino Linotype" w:hAnsi="Palatino Linotype"/>
          <w:i/>
          <w:szCs w:val="24"/>
        </w:rPr>
        <w:t>“</w:t>
      </w:r>
      <w:r w:rsidRPr="006D5173">
        <w:rPr>
          <w:rFonts w:ascii="Palatino Linotype" w:hAnsi="Palatino Linotype"/>
          <w:b/>
          <w:i/>
          <w:szCs w:val="24"/>
        </w:rPr>
        <w:t>Artículo 162</w:t>
      </w:r>
      <w:r w:rsidRPr="006D5173">
        <w:rPr>
          <w:rFonts w:ascii="Palatino Linotype" w:hAnsi="Palatino Linotype"/>
          <w:i/>
          <w:szCs w:val="24"/>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D5173" w:rsidRDefault="006D5173" w:rsidP="006D5173">
      <w:pPr>
        <w:tabs>
          <w:tab w:val="left" w:pos="709"/>
        </w:tabs>
        <w:spacing w:after="0" w:line="360" w:lineRule="auto"/>
        <w:jc w:val="both"/>
        <w:rPr>
          <w:rFonts w:ascii="Palatino Linotype" w:hAnsi="Palatino Linotype"/>
          <w:sz w:val="24"/>
          <w:szCs w:val="24"/>
        </w:rPr>
      </w:pPr>
    </w:p>
    <w:p w:rsidR="00070083" w:rsidRDefault="00070083" w:rsidP="006D5173">
      <w:pPr>
        <w:tabs>
          <w:tab w:val="left" w:pos="709"/>
        </w:tabs>
        <w:spacing w:after="0" w:line="360" w:lineRule="auto"/>
        <w:jc w:val="both"/>
        <w:rPr>
          <w:rFonts w:ascii="Palatino Linotype" w:hAnsi="Palatino Linotype"/>
          <w:sz w:val="24"/>
          <w:szCs w:val="24"/>
        </w:rPr>
      </w:pPr>
    </w:p>
    <w:p w:rsidR="00871748" w:rsidRDefault="006D5173" w:rsidP="006D5173">
      <w:pPr>
        <w:tabs>
          <w:tab w:val="left" w:pos="709"/>
        </w:tabs>
        <w:spacing w:after="0" w:line="360" w:lineRule="auto"/>
        <w:jc w:val="both"/>
        <w:rPr>
          <w:rFonts w:ascii="Palatino Linotype" w:hAnsi="Palatino Linotype"/>
          <w:sz w:val="24"/>
          <w:szCs w:val="24"/>
        </w:rPr>
      </w:pPr>
      <w:r w:rsidRPr="006D5173">
        <w:rPr>
          <w:rFonts w:ascii="Palatino Linotype" w:hAnsi="Palatino Linotype"/>
          <w:sz w:val="24"/>
          <w:szCs w:val="24"/>
        </w:rPr>
        <w:lastRenderedPageBreak/>
        <w:t xml:space="preserve">Finalmente del análisis anterior, este Órgano Garante llega a la conclusión de que es dable ordenar el contrato referido en la solicitud, en razón de que una vez vistas sus atribuciones y ante la incertidumbre de la </w:t>
      </w:r>
      <w:r w:rsidR="00C34103">
        <w:rPr>
          <w:rFonts w:ascii="Palatino Linotype" w:hAnsi="Palatino Linotype"/>
          <w:sz w:val="24"/>
          <w:szCs w:val="24"/>
        </w:rPr>
        <w:t>existencia de contrato o contratos, en la temporalidad señalada</w:t>
      </w:r>
      <w:r w:rsidRPr="006D5173">
        <w:rPr>
          <w:rFonts w:ascii="Palatino Linotype" w:hAnsi="Palatino Linotype"/>
          <w:sz w:val="24"/>
          <w:szCs w:val="24"/>
        </w:rPr>
        <w:t xml:space="preserve">, como se vio anteriormente, el </w:t>
      </w:r>
      <w:r w:rsidR="00C34103" w:rsidRPr="00C34103">
        <w:rPr>
          <w:rFonts w:ascii="Palatino Linotype" w:hAnsi="Palatino Linotype"/>
          <w:b/>
          <w:sz w:val="24"/>
          <w:szCs w:val="24"/>
        </w:rPr>
        <w:t>sujeto obligado</w:t>
      </w:r>
      <w:r w:rsidR="00C34103" w:rsidRPr="006D5173">
        <w:rPr>
          <w:rFonts w:ascii="Palatino Linotype" w:hAnsi="Palatino Linotype"/>
          <w:sz w:val="24"/>
          <w:szCs w:val="24"/>
        </w:rPr>
        <w:t xml:space="preserve"> </w:t>
      </w:r>
      <w:r w:rsidRPr="006D5173">
        <w:rPr>
          <w:rFonts w:ascii="Palatino Linotype" w:hAnsi="Palatino Linotype"/>
          <w:sz w:val="24"/>
          <w:szCs w:val="24"/>
        </w:rPr>
        <w:t xml:space="preserve">pudo realizar contratos en diversas materias y para diversos actos, pero para el caso de que el </w:t>
      </w:r>
      <w:r w:rsidR="00C34103" w:rsidRPr="00C34103">
        <w:rPr>
          <w:rFonts w:ascii="Palatino Linotype" w:hAnsi="Palatino Linotype"/>
          <w:b/>
          <w:sz w:val="24"/>
          <w:szCs w:val="24"/>
        </w:rPr>
        <w:t>sujeto obligado</w:t>
      </w:r>
      <w:r w:rsidRPr="006D5173">
        <w:rPr>
          <w:rFonts w:ascii="Palatino Linotype" w:hAnsi="Palatino Linotype"/>
          <w:sz w:val="24"/>
          <w:szCs w:val="24"/>
        </w:rPr>
        <w:t xml:space="preserve"> no tenga la información, bastará con que se pronuncie en tal sentido, ya que éste Órgano Garante no tiene la certeza de que se haya celebrado contrato</w:t>
      </w:r>
      <w:r w:rsidR="00C34103">
        <w:rPr>
          <w:rFonts w:ascii="Palatino Linotype" w:hAnsi="Palatino Linotype"/>
          <w:sz w:val="24"/>
          <w:szCs w:val="24"/>
        </w:rPr>
        <w:t xml:space="preserve"> alguno</w:t>
      </w:r>
      <w:r w:rsidRPr="006D5173">
        <w:rPr>
          <w:rFonts w:ascii="Palatino Linotype" w:hAnsi="Palatino Linotype"/>
          <w:sz w:val="24"/>
          <w:szCs w:val="24"/>
        </w:rPr>
        <w:t>, pero ante todo, salvaguardando el derecho de acceso a la información pública.</w:t>
      </w:r>
    </w:p>
    <w:p w:rsidR="00871748" w:rsidRDefault="00871748" w:rsidP="001463A1">
      <w:pPr>
        <w:tabs>
          <w:tab w:val="left" w:pos="709"/>
        </w:tabs>
        <w:spacing w:after="0" w:line="360" w:lineRule="auto"/>
        <w:jc w:val="both"/>
        <w:rPr>
          <w:rFonts w:ascii="Palatino Linotype" w:hAnsi="Palatino Linotype"/>
          <w:sz w:val="24"/>
          <w:szCs w:val="24"/>
        </w:rPr>
      </w:pPr>
    </w:p>
    <w:p w:rsidR="00871748" w:rsidRPr="002A52B3" w:rsidRDefault="002A52B3" w:rsidP="002A52B3">
      <w:pPr>
        <w:pStyle w:val="Prrafodelista"/>
        <w:numPr>
          <w:ilvl w:val="0"/>
          <w:numId w:val="3"/>
        </w:numPr>
        <w:tabs>
          <w:tab w:val="left" w:pos="709"/>
        </w:tabs>
        <w:spacing w:line="360" w:lineRule="auto"/>
        <w:jc w:val="both"/>
        <w:rPr>
          <w:rFonts w:ascii="Palatino Linotype" w:hAnsi="Palatino Linotype"/>
          <w:b/>
          <w:i/>
          <w:sz w:val="28"/>
        </w:rPr>
      </w:pPr>
      <w:r>
        <w:rPr>
          <w:rFonts w:ascii="Palatino Linotype" w:hAnsi="Palatino Linotype"/>
          <w:b/>
          <w:i/>
          <w:sz w:val="28"/>
        </w:rPr>
        <w:t>De la versión pública</w:t>
      </w:r>
    </w:p>
    <w:p w:rsidR="00871748" w:rsidRDefault="00871748" w:rsidP="001463A1">
      <w:pPr>
        <w:tabs>
          <w:tab w:val="left" w:pos="709"/>
        </w:tabs>
        <w:spacing w:after="0" w:line="360" w:lineRule="auto"/>
        <w:jc w:val="both"/>
        <w:rPr>
          <w:rFonts w:ascii="Palatino Linotype" w:hAnsi="Palatino Linotype"/>
          <w:sz w:val="24"/>
          <w:szCs w:val="24"/>
        </w:rPr>
      </w:pPr>
    </w:p>
    <w:p w:rsidR="002A52B3" w:rsidRDefault="002A52B3" w:rsidP="002A52B3">
      <w:pPr>
        <w:pStyle w:val="Sinespaciado"/>
        <w:spacing w:line="360" w:lineRule="auto"/>
        <w:jc w:val="both"/>
        <w:rPr>
          <w:rFonts w:ascii="Palatino Linotype" w:hAnsi="Palatino Linotype"/>
        </w:rPr>
      </w:pPr>
      <w:r>
        <w:rPr>
          <w:rFonts w:ascii="Palatino Linotype" w:hAnsi="Palatino Linotype"/>
        </w:rPr>
        <w:t>Por tanto, es necesario remitirse a lo dispuesto en la Ley de Transparencia local, que en su Título Séptimo establece el procedimiento para acceder a la información pública, en específico el artículo 168 en el que se estipula lo siguiente:</w:t>
      </w:r>
    </w:p>
    <w:p w:rsidR="002A52B3" w:rsidRDefault="002A52B3" w:rsidP="002A52B3">
      <w:pPr>
        <w:pStyle w:val="Sinespaciado"/>
        <w:spacing w:line="360" w:lineRule="auto"/>
        <w:jc w:val="both"/>
        <w:rPr>
          <w:rFonts w:ascii="Palatino Linotype" w:hAnsi="Palatino Linotype"/>
        </w:rPr>
      </w:pPr>
    </w:p>
    <w:p w:rsidR="002A52B3" w:rsidRPr="00F0343D" w:rsidRDefault="002A52B3" w:rsidP="002A52B3">
      <w:pPr>
        <w:pStyle w:val="Sinespaciado"/>
        <w:ind w:left="567" w:right="567"/>
        <w:jc w:val="both"/>
        <w:rPr>
          <w:rFonts w:ascii="Palatino Linotype" w:hAnsi="Palatino Linotype"/>
          <w:i/>
          <w:sz w:val="22"/>
        </w:rPr>
      </w:pPr>
      <w:r>
        <w:rPr>
          <w:rFonts w:ascii="Palatino Linotype" w:hAnsi="Palatino Linotype"/>
          <w:b/>
          <w:i/>
          <w:sz w:val="22"/>
        </w:rPr>
        <w:t>“</w:t>
      </w:r>
      <w:r w:rsidRPr="00F0343D">
        <w:rPr>
          <w:rFonts w:ascii="Palatino Linotype" w:hAnsi="Palatino Linotype"/>
          <w:b/>
          <w:i/>
          <w:sz w:val="22"/>
        </w:rPr>
        <w:t>Artículo 168.</w:t>
      </w:r>
      <w:r w:rsidRPr="00F0343D">
        <w:rPr>
          <w:rFonts w:ascii="Palatino Linotype" w:hAnsi="Palatino Linotype"/>
          <w:i/>
          <w:sz w:val="22"/>
        </w:rPr>
        <w:t xml:space="preserve"> En caso de que los sujetos obligados consideren que los documentos o la información deban ser clasificados, se sujetará a lo siguiente:</w:t>
      </w:r>
    </w:p>
    <w:p w:rsidR="002A52B3" w:rsidRPr="00F0343D" w:rsidRDefault="002A52B3" w:rsidP="002A52B3">
      <w:pPr>
        <w:pStyle w:val="Sinespaciado"/>
        <w:ind w:left="567" w:right="567"/>
        <w:jc w:val="both"/>
        <w:rPr>
          <w:rFonts w:ascii="Palatino Linotype" w:hAnsi="Palatino Linotype"/>
          <w:i/>
          <w:sz w:val="22"/>
        </w:rPr>
      </w:pPr>
    </w:p>
    <w:p w:rsidR="002A52B3" w:rsidRPr="00F0343D" w:rsidRDefault="002A52B3" w:rsidP="002A52B3">
      <w:pPr>
        <w:pStyle w:val="Sinespaciado"/>
        <w:ind w:left="851" w:right="567"/>
        <w:jc w:val="both"/>
        <w:rPr>
          <w:rFonts w:ascii="Palatino Linotype" w:hAnsi="Palatino Linotype"/>
          <w:i/>
          <w:sz w:val="22"/>
        </w:rPr>
      </w:pPr>
      <w:r w:rsidRPr="002E0ACD">
        <w:rPr>
          <w:rFonts w:ascii="Palatino Linotype" w:hAnsi="Palatino Linotype"/>
          <w:b/>
          <w:i/>
          <w:sz w:val="22"/>
        </w:rPr>
        <w:t>I</w:t>
      </w:r>
      <w:r w:rsidRPr="00F0343D">
        <w:rPr>
          <w:rFonts w:ascii="Palatino Linotype" w:hAnsi="Palatino Linotype"/>
          <w:i/>
          <w:sz w:val="22"/>
        </w:rPr>
        <w:t>. El Área deberá remitir la solicitud, así como un escrito en el que funde y motive la clasificación al Comité de Transparencia, mismo que deberá resolver para:</w:t>
      </w:r>
    </w:p>
    <w:p w:rsidR="002A52B3" w:rsidRPr="00F0343D" w:rsidRDefault="002A52B3" w:rsidP="002A52B3">
      <w:pPr>
        <w:pStyle w:val="Sinespaciado"/>
        <w:ind w:left="567" w:right="567" w:firstLine="709"/>
        <w:jc w:val="both"/>
        <w:rPr>
          <w:rFonts w:ascii="Palatino Linotype" w:hAnsi="Palatino Linotype"/>
          <w:i/>
          <w:sz w:val="22"/>
        </w:rPr>
      </w:pPr>
      <w:r w:rsidRPr="00F0343D">
        <w:rPr>
          <w:rFonts w:ascii="Palatino Linotype" w:hAnsi="Palatino Linotype"/>
          <w:i/>
          <w:sz w:val="22"/>
        </w:rPr>
        <w:t>a) Confirmar la clasificación;</w:t>
      </w:r>
    </w:p>
    <w:p w:rsidR="002A52B3" w:rsidRPr="00F0343D" w:rsidRDefault="002A52B3" w:rsidP="002A52B3">
      <w:pPr>
        <w:pStyle w:val="Sinespaciado"/>
        <w:ind w:left="1276" w:right="567"/>
        <w:jc w:val="both"/>
        <w:rPr>
          <w:rFonts w:ascii="Palatino Linotype" w:hAnsi="Palatino Linotype"/>
          <w:i/>
          <w:sz w:val="22"/>
        </w:rPr>
      </w:pPr>
      <w:r w:rsidRPr="00F0343D">
        <w:rPr>
          <w:rFonts w:ascii="Palatino Linotype" w:hAnsi="Palatino Linotype"/>
          <w:i/>
          <w:sz w:val="22"/>
        </w:rPr>
        <w:t>b) Modificar la clasificación y otorgar total o parcialmente el acceso a la información; y</w:t>
      </w:r>
    </w:p>
    <w:p w:rsidR="002A52B3" w:rsidRPr="00F0343D" w:rsidRDefault="002A52B3" w:rsidP="002A52B3">
      <w:pPr>
        <w:pStyle w:val="Sinespaciado"/>
        <w:ind w:left="567" w:right="567" w:firstLine="709"/>
        <w:jc w:val="both"/>
        <w:rPr>
          <w:rFonts w:ascii="Palatino Linotype" w:hAnsi="Palatino Linotype"/>
          <w:i/>
          <w:sz w:val="22"/>
        </w:rPr>
      </w:pPr>
      <w:r w:rsidRPr="00F0343D">
        <w:rPr>
          <w:rFonts w:ascii="Palatino Linotype" w:hAnsi="Palatino Linotype"/>
          <w:i/>
          <w:sz w:val="22"/>
        </w:rPr>
        <w:t>c) Revocar la clasificación y conceder el acceso a la información.</w:t>
      </w:r>
    </w:p>
    <w:p w:rsidR="002A52B3" w:rsidRPr="00F0343D" w:rsidRDefault="002A52B3" w:rsidP="002A52B3">
      <w:pPr>
        <w:pStyle w:val="Sinespaciado"/>
        <w:ind w:left="851" w:right="567"/>
        <w:jc w:val="both"/>
        <w:rPr>
          <w:rFonts w:ascii="Palatino Linotype" w:hAnsi="Palatino Linotype"/>
          <w:i/>
          <w:sz w:val="22"/>
        </w:rPr>
      </w:pPr>
      <w:r w:rsidRPr="002E0ACD">
        <w:rPr>
          <w:rFonts w:ascii="Palatino Linotype" w:hAnsi="Palatino Linotype"/>
          <w:b/>
          <w:i/>
          <w:sz w:val="22"/>
        </w:rPr>
        <w:t>II</w:t>
      </w:r>
      <w:r w:rsidRPr="00F0343D">
        <w:rPr>
          <w:rFonts w:ascii="Palatino Linotype" w:hAnsi="Palatino Linotype"/>
          <w:i/>
          <w:sz w:val="22"/>
        </w:rPr>
        <w:t>. El Comité de Transparencia podrá tener acceso a la información que esté en poder del Área correspondiente, de la cual se haya solicitado su clasificación; y</w:t>
      </w:r>
    </w:p>
    <w:p w:rsidR="002A52B3" w:rsidRPr="00F0343D" w:rsidRDefault="002A52B3" w:rsidP="002A52B3">
      <w:pPr>
        <w:pStyle w:val="Sinespaciado"/>
        <w:ind w:left="851" w:right="567"/>
        <w:jc w:val="both"/>
        <w:rPr>
          <w:rFonts w:ascii="Palatino Linotype" w:hAnsi="Palatino Linotype"/>
          <w:i/>
          <w:sz w:val="22"/>
        </w:rPr>
      </w:pPr>
      <w:r w:rsidRPr="002E0ACD">
        <w:rPr>
          <w:rFonts w:ascii="Palatino Linotype" w:hAnsi="Palatino Linotype"/>
          <w:b/>
          <w:i/>
          <w:sz w:val="22"/>
        </w:rPr>
        <w:t>III</w:t>
      </w:r>
      <w:r w:rsidRPr="00F0343D">
        <w:rPr>
          <w:rFonts w:ascii="Palatino Linotype" w:hAnsi="Palatino Linotype"/>
          <w:i/>
          <w:sz w:val="22"/>
        </w:rPr>
        <w:t>. La resolución del Comité de Transparencia será notificada al interesado en el plazo de respuesta a la solicitud que establece esta Ley.</w:t>
      </w:r>
      <w:r>
        <w:rPr>
          <w:rFonts w:ascii="Palatino Linotype" w:hAnsi="Palatino Linotype"/>
          <w:i/>
          <w:sz w:val="22"/>
        </w:rPr>
        <w:t>”</w:t>
      </w:r>
    </w:p>
    <w:p w:rsidR="002A52B3" w:rsidRDefault="002A52B3" w:rsidP="002A52B3">
      <w:pPr>
        <w:pStyle w:val="Sinespaciado"/>
        <w:spacing w:line="360" w:lineRule="auto"/>
        <w:jc w:val="both"/>
        <w:rPr>
          <w:rFonts w:ascii="Palatino Linotype" w:hAnsi="Palatino Linotype"/>
        </w:rPr>
      </w:pPr>
    </w:p>
    <w:p w:rsidR="002A52B3" w:rsidRDefault="002A52B3" w:rsidP="002A52B3">
      <w:pPr>
        <w:pStyle w:val="Sinespaciado"/>
        <w:spacing w:line="360" w:lineRule="auto"/>
        <w:jc w:val="both"/>
        <w:rPr>
          <w:rFonts w:ascii="Palatino Linotype" w:hAnsi="Palatino Linotype"/>
        </w:rPr>
      </w:pPr>
      <w:r>
        <w:rPr>
          <w:rFonts w:ascii="Palatino Linotype" w:hAnsi="Palatino Linotype"/>
        </w:rPr>
        <w:lastRenderedPageBreak/>
        <w:t>Del artículo anterior, se desprende que una vez que los sujetos obligados se percatan de que la información solicitada es susceptible de clasificarse, estos deben remitir la solicitud a su Comité de Transparencia junto con un escrito que funde y motive la clasificación, a efecto de que éste confirme, modifique o revoque la clasificación, lo cual quedará asentada en una resolución la cual será notificada al interesado en el plazo de respuesta a la solicitud que la Ley establece.</w:t>
      </w:r>
    </w:p>
    <w:p w:rsidR="002A52B3" w:rsidRDefault="002A52B3" w:rsidP="002A52B3">
      <w:pPr>
        <w:pStyle w:val="Sinespaciado"/>
        <w:spacing w:line="360" w:lineRule="auto"/>
        <w:jc w:val="both"/>
        <w:rPr>
          <w:rFonts w:ascii="Palatino Linotype" w:hAnsi="Palatino Linotype"/>
        </w:rPr>
      </w:pPr>
    </w:p>
    <w:p w:rsidR="002A52B3" w:rsidRDefault="002A52B3" w:rsidP="002A52B3">
      <w:pPr>
        <w:pStyle w:val="Sinespaciado"/>
        <w:spacing w:line="360" w:lineRule="auto"/>
        <w:jc w:val="both"/>
        <w:rPr>
          <w:rFonts w:ascii="Palatino Linotype" w:hAnsi="Palatino Linotype"/>
        </w:rPr>
      </w:pPr>
      <w:r>
        <w:rPr>
          <w:rFonts w:ascii="Palatino Linotype" w:hAnsi="Palatino Linotype"/>
        </w:rPr>
        <w:t>Se debe recordar que la Ley de Transparencia estatal dispone que la toda la información en posesión de los sujetos obligados es pública y que sólo podrá se clasificada excepcionalmente como reservada temporalmente por razones de interés público, en los términos de las causas legítimas y estrictamente necesarias previstas por la misma Ley. Entre la información que es dable proteger se encuentran los datos personales. Lo anterior en términos de los artículos 4 y 6 del ordenamiento citado, como se observa a continuación:</w:t>
      </w:r>
    </w:p>
    <w:p w:rsidR="002A52B3" w:rsidRDefault="002A52B3" w:rsidP="002A52B3">
      <w:pPr>
        <w:pStyle w:val="Sinespaciado"/>
        <w:spacing w:line="360" w:lineRule="auto"/>
        <w:jc w:val="both"/>
        <w:rPr>
          <w:rFonts w:ascii="Palatino Linotype" w:hAnsi="Palatino Linotype"/>
        </w:rPr>
      </w:pPr>
    </w:p>
    <w:p w:rsidR="002A52B3" w:rsidRPr="00F0343D" w:rsidRDefault="002A52B3" w:rsidP="002A52B3">
      <w:pPr>
        <w:pStyle w:val="Sinespaciado"/>
        <w:ind w:left="567" w:right="567"/>
        <w:jc w:val="both"/>
        <w:rPr>
          <w:rFonts w:ascii="Palatino Linotype" w:hAnsi="Palatino Linotype"/>
          <w:i/>
          <w:sz w:val="22"/>
        </w:rPr>
      </w:pPr>
      <w:r>
        <w:rPr>
          <w:rFonts w:ascii="Palatino Linotype" w:hAnsi="Palatino Linotype"/>
          <w:b/>
          <w:bCs/>
          <w:i/>
          <w:sz w:val="22"/>
        </w:rPr>
        <w:t>“</w:t>
      </w:r>
      <w:r w:rsidRPr="00F0343D">
        <w:rPr>
          <w:rFonts w:ascii="Palatino Linotype" w:hAnsi="Palatino Linotype"/>
          <w:b/>
          <w:bCs/>
          <w:i/>
          <w:sz w:val="22"/>
        </w:rPr>
        <w:t xml:space="preserve">Artículo 4. </w:t>
      </w:r>
      <w:r w:rsidRPr="00F0343D">
        <w:rPr>
          <w:rFonts w:ascii="Palatino Linotype" w:hAnsi="Palatino Linotype"/>
          <w:i/>
          <w:sz w:val="22"/>
        </w:rPr>
        <w:t>El derecho humano de acceso a la información pública es la prerrogativa de las personas para buscar, difundir, investigar, recabar, recibir y solicitar información pública, sin necesidad de acreditar personalidad ni interés jurídico.</w:t>
      </w:r>
    </w:p>
    <w:p w:rsidR="002A52B3" w:rsidRPr="00F0343D" w:rsidRDefault="002A52B3" w:rsidP="002A52B3">
      <w:pPr>
        <w:pStyle w:val="Sinespaciado"/>
        <w:ind w:left="567" w:right="567"/>
        <w:jc w:val="both"/>
        <w:rPr>
          <w:rFonts w:ascii="Palatino Linotype" w:hAnsi="Palatino Linotype"/>
          <w:i/>
          <w:sz w:val="22"/>
        </w:rPr>
      </w:pPr>
    </w:p>
    <w:p w:rsidR="002A52B3" w:rsidRPr="00F0343D" w:rsidRDefault="002A52B3" w:rsidP="002A52B3">
      <w:pPr>
        <w:pStyle w:val="Sinespaciado"/>
        <w:ind w:left="567" w:right="567"/>
        <w:jc w:val="both"/>
        <w:rPr>
          <w:rFonts w:ascii="Palatino Linotype" w:hAnsi="Palatino Linotype"/>
          <w:i/>
          <w:sz w:val="22"/>
        </w:rPr>
      </w:pPr>
      <w:r w:rsidRPr="00F0343D">
        <w:rPr>
          <w:rFonts w:ascii="Palatino Linotype" w:hAnsi="Palatino Linotype"/>
          <w:b/>
          <w:i/>
          <w:sz w:val="22"/>
          <w:u w:val="single"/>
        </w:rPr>
        <w:t>Toda la información generada, obtenida, adquirida, transformada, administrada o en posesión de los sujetos obligados es pública y accesible de manera permanente a cualquier persona,</w:t>
      </w:r>
      <w:r w:rsidRPr="00F0343D">
        <w:rPr>
          <w:rFonts w:ascii="Palatino Linotype" w:hAnsi="Palatino Linotype"/>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0ACD">
        <w:rPr>
          <w:rFonts w:ascii="Palatino Linotype" w:hAnsi="Palatino Linotype"/>
          <w:i/>
          <w:sz w:val="22"/>
        </w:rPr>
        <w:t xml:space="preserve">. </w:t>
      </w:r>
      <w:r w:rsidRPr="00F0343D">
        <w:rPr>
          <w:rFonts w:ascii="Palatino Linotype" w:hAnsi="Palatino Linotype"/>
          <w:b/>
          <w:i/>
          <w:sz w:val="22"/>
          <w:u w:val="single"/>
        </w:rPr>
        <w:t>Solo podrá ser clasificada excepcionalmente como reservada temporalmente por razones de interés público, en los términos de las causas legítimas y estrictamente necesarias previstas por esta Ley</w:t>
      </w:r>
      <w:r w:rsidRPr="00F0343D">
        <w:rPr>
          <w:rFonts w:ascii="Palatino Linotype" w:hAnsi="Palatino Linotype"/>
          <w:i/>
          <w:sz w:val="22"/>
        </w:rPr>
        <w:t>.</w:t>
      </w:r>
    </w:p>
    <w:p w:rsidR="002A52B3" w:rsidRPr="00F0343D" w:rsidRDefault="002A52B3" w:rsidP="002A52B3">
      <w:pPr>
        <w:pStyle w:val="Sinespaciado"/>
        <w:ind w:left="567" w:right="567"/>
        <w:jc w:val="both"/>
        <w:rPr>
          <w:rFonts w:ascii="Palatino Linotype" w:hAnsi="Palatino Linotype"/>
          <w:i/>
          <w:sz w:val="22"/>
        </w:rPr>
      </w:pPr>
    </w:p>
    <w:p w:rsidR="002A52B3" w:rsidRPr="00F0343D" w:rsidRDefault="002A52B3" w:rsidP="002A52B3">
      <w:pPr>
        <w:pStyle w:val="Sinespaciado"/>
        <w:ind w:left="567" w:right="567"/>
        <w:jc w:val="both"/>
        <w:rPr>
          <w:rFonts w:ascii="Palatino Linotype" w:hAnsi="Palatino Linotype"/>
          <w:i/>
          <w:sz w:val="22"/>
        </w:rPr>
      </w:pPr>
      <w:r w:rsidRPr="00F0343D">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2A52B3" w:rsidRPr="00F0343D" w:rsidRDefault="002A52B3" w:rsidP="002A52B3">
      <w:pPr>
        <w:pStyle w:val="Sinespaciado"/>
        <w:ind w:left="567" w:right="567"/>
        <w:jc w:val="both"/>
        <w:rPr>
          <w:rFonts w:ascii="Palatino Linotype" w:hAnsi="Palatino Linotype"/>
          <w:i/>
          <w:sz w:val="22"/>
        </w:rPr>
      </w:pPr>
    </w:p>
    <w:p w:rsidR="002A52B3" w:rsidRDefault="002A52B3" w:rsidP="002A52B3">
      <w:pPr>
        <w:pStyle w:val="Sinespaciado"/>
        <w:ind w:left="567" w:right="567"/>
        <w:jc w:val="both"/>
        <w:rPr>
          <w:rFonts w:ascii="Palatino Linotype" w:hAnsi="Palatino Linotype"/>
          <w:i/>
          <w:sz w:val="22"/>
        </w:rPr>
      </w:pPr>
      <w:r w:rsidRPr="00F0343D">
        <w:rPr>
          <w:rFonts w:ascii="Palatino Linotype" w:hAnsi="Palatino Linotype"/>
          <w:b/>
          <w:bCs/>
          <w:i/>
          <w:sz w:val="22"/>
        </w:rPr>
        <w:t xml:space="preserve">Artículo 6. </w:t>
      </w:r>
      <w:r w:rsidRPr="00F0343D">
        <w:rPr>
          <w:rFonts w:ascii="Palatino Linotype" w:hAnsi="Palatino Linotype"/>
          <w:b/>
          <w:i/>
          <w:sz w:val="22"/>
          <w:u w:val="single"/>
        </w:rPr>
        <w:t>Los datos personales son irrenunciables, intransferibles e indelegables, por lo que los sujetos obligados no deberán proporcionar o hacer pública la información que contenga, con excepción de aquellos casos en que deban hacerlo en observancia de las disposiciones aplicables</w:t>
      </w:r>
      <w:r w:rsidRPr="00F0343D">
        <w:rPr>
          <w:rFonts w:ascii="Palatino Linotype" w:hAnsi="Palatino Linotype"/>
          <w:i/>
          <w:sz w:val="22"/>
        </w:rPr>
        <w:t>.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A52B3" w:rsidRPr="00F0343D" w:rsidRDefault="002A52B3" w:rsidP="002A52B3">
      <w:pPr>
        <w:pStyle w:val="Sinespaciado"/>
        <w:ind w:left="567" w:right="567"/>
        <w:jc w:val="right"/>
        <w:rPr>
          <w:rFonts w:ascii="Palatino Linotype" w:hAnsi="Palatino Linotype"/>
          <w:sz w:val="22"/>
        </w:rPr>
      </w:pPr>
      <w:r w:rsidRPr="00F0343D">
        <w:rPr>
          <w:rFonts w:ascii="Palatino Linotype" w:hAnsi="Palatino Linotype"/>
          <w:bCs/>
          <w:sz w:val="22"/>
        </w:rPr>
        <w:t>(Énfasis añadido)</w:t>
      </w:r>
    </w:p>
    <w:p w:rsidR="002A52B3" w:rsidRDefault="002A52B3" w:rsidP="002A52B3">
      <w:pPr>
        <w:pStyle w:val="Sinespaciado"/>
        <w:spacing w:line="360" w:lineRule="auto"/>
        <w:jc w:val="both"/>
        <w:rPr>
          <w:rFonts w:ascii="Palatino Linotype" w:hAnsi="Palatino Linotype"/>
        </w:rPr>
      </w:pPr>
    </w:p>
    <w:p w:rsidR="002A52B3" w:rsidRDefault="002A52B3" w:rsidP="002A52B3">
      <w:pPr>
        <w:pStyle w:val="Sinespaciado"/>
        <w:spacing w:line="360" w:lineRule="auto"/>
        <w:jc w:val="both"/>
        <w:rPr>
          <w:rFonts w:ascii="Palatino Linotype" w:hAnsi="Palatino Linotype"/>
        </w:rPr>
      </w:pPr>
      <w:r>
        <w:rPr>
          <w:rFonts w:ascii="Palatino Linotype" w:hAnsi="Palatino Linotype"/>
        </w:rPr>
        <w:t>Se colige, que los datos personales son susceptibles de protegerse, debiéndose estar a lo dispuesto en el artículo 3 fracción IX de la Ley de Transparencia y Acceso a la Información Pública del Estado de México y Municipios, y al 4 fracción XI de la Ley de Protección de Datos Personales en Posesión de Sujetos Obligados del Estado de México y Municipios, que definen a los datos personales como a continuación se observa:</w:t>
      </w:r>
    </w:p>
    <w:p w:rsidR="002A52B3" w:rsidRDefault="002A52B3" w:rsidP="002A52B3">
      <w:pPr>
        <w:pStyle w:val="Sinespaciado"/>
        <w:spacing w:line="360" w:lineRule="auto"/>
        <w:jc w:val="both"/>
        <w:rPr>
          <w:rFonts w:ascii="Palatino Linotype" w:hAnsi="Palatino Linotype"/>
        </w:rPr>
      </w:pPr>
    </w:p>
    <w:p w:rsidR="002A52B3" w:rsidRPr="00F0343D" w:rsidRDefault="002A52B3" w:rsidP="002A52B3">
      <w:pPr>
        <w:pStyle w:val="Sinespaciado"/>
        <w:ind w:left="567" w:right="567"/>
        <w:jc w:val="center"/>
        <w:rPr>
          <w:rFonts w:ascii="Palatino Linotype" w:hAnsi="Palatino Linotype"/>
          <w:b/>
          <w:i/>
          <w:sz w:val="22"/>
        </w:rPr>
      </w:pPr>
      <w:r w:rsidRPr="00F0343D">
        <w:rPr>
          <w:rFonts w:ascii="Palatino Linotype" w:hAnsi="Palatino Linotype"/>
          <w:b/>
          <w:i/>
          <w:sz w:val="22"/>
        </w:rPr>
        <w:t>LEY DE TRANSPARENCIA Y ACCESO A LA INFORMACIÓN PÚBLICA</w:t>
      </w:r>
    </w:p>
    <w:p w:rsidR="002A52B3" w:rsidRPr="00F0343D" w:rsidRDefault="002A52B3" w:rsidP="002A52B3">
      <w:pPr>
        <w:pStyle w:val="Sinespaciado"/>
        <w:ind w:left="567" w:right="567"/>
        <w:jc w:val="both"/>
        <w:rPr>
          <w:rFonts w:ascii="Palatino Linotype" w:hAnsi="Palatino Linotype"/>
          <w:i/>
          <w:sz w:val="22"/>
        </w:rPr>
      </w:pPr>
    </w:p>
    <w:p w:rsidR="002A52B3" w:rsidRPr="00F0343D" w:rsidRDefault="002A52B3" w:rsidP="002A52B3">
      <w:pPr>
        <w:pStyle w:val="Sinespaciado"/>
        <w:ind w:left="567" w:right="567"/>
        <w:jc w:val="both"/>
        <w:rPr>
          <w:rFonts w:ascii="Palatino Linotype" w:hAnsi="Palatino Linotype"/>
          <w:i/>
          <w:sz w:val="22"/>
        </w:rPr>
      </w:pPr>
      <w:r w:rsidRPr="00F0343D">
        <w:rPr>
          <w:rFonts w:ascii="Palatino Linotype" w:hAnsi="Palatino Linotype"/>
          <w:b/>
          <w:i/>
          <w:sz w:val="22"/>
        </w:rPr>
        <w:t>Artículo 3.</w:t>
      </w:r>
      <w:r w:rsidRPr="00F0343D">
        <w:rPr>
          <w:rFonts w:ascii="Palatino Linotype" w:hAnsi="Palatino Linotype"/>
          <w:i/>
          <w:sz w:val="22"/>
        </w:rPr>
        <w:t xml:space="preserve"> Para los efectos de la presente Ley se entenderá por:</w:t>
      </w:r>
    </w:p>
    <w:p w:rsidR="002A52B3" w:rsidRPr="00F0343D" w:rsidRDefault="002A52B3" w:rsidP="002A52B3">
      <w:pPr>
        <w:pStyle w:val="Sinespaciado"/>
        <w:ind w:left="567" w:right="567"/>
        <w:jc w:val="both"/>
        <w:rPr>
          <w:rFonts w:ascii="Palatino Linotype" w:hAnsi="Palatino Linotype"/>
          <w:i/>
          <w:sz w:val="22"/>
        </w:rPr>
      </w:pPr>
      <w:r w:rsidRPr="00F0343D">
        <w:rPr>
          <w:rFonts w:ascii="Palatino Linotype" w:hAnsi="Palatino Linotype"/>
          <w:i/>
          <w:sz w:val="22"/>
        </w:rPr>
        <w:t>(…)</w:t>
      </w:r>
    </w:p>
    <w:p w:rsidR="002A52B3" w:rsidRPr="00F0343D" w:rsidRDefault="002A52B3" w:rsidP="002A52B3">
      <w:pPr>
        <w:pStyle w:val="Sinespaciado"/>
        <w:ind w:left="567" w:right="567"/>
        <w:jc w:val="both"/>
        <w:rPr>
          <w:rFonts w:ascii="Palatino Linotype" w:hAnsi="Palatino Linotype"/>
          <w:i/>
          <w:sz w:val="22"/>
        </w:rPr>
      </w:pPr>
      <w:r w:rsidRPr="00F0343D">
        <w:rPr>
          <w:rFonts w:ascii="Palatino Linotype" w:hAnsi="Palatino Linotype"/>
          <w:b/>
          <w:i/>
          <w:sz w:val="22"/>
        </w:rPr>
        <w:t>IX. Datos personales.</w:t>
      </w:r>
      <w:r w:rsidRPr="00F0343D">
        <w:rPr>
          <w:rFonts w:ascii="Palatino Linotype" w:hAnsi="Palatino Linotype"/>
          <w:i/>
          <w:sz w:val="22"/>
        </w:rPr>
        <w:t xml:space="preserve"> La información concerniente a una persona, identificada o identificable según lo dispuesto por la Ley de Protección de Datos Personales del Estado de México</w:t>
      </w:r>
    </w:p>
    <w:p w:rsidR="002A52B3" w:rsidRPr="00F0343D" w:rsidRDefault="002A52B3" w:rsidP="002A52B3">
      <w:pPr>
        <w:pStyle w:val="Sinespaciado"/>
        <w:ind w:left="567" w:right="567"/>
        <w:jc w:val="both"/>
        <w:rPr>
          <w:rFonts w:ascii="Palatino Linotype" w:hAnsi="Palatino Linotype"/>
          <w:i/>
          <w:sz w:val="22"/>
        </w:rPr>
      </w:pPr>
      <w:r w:rsidRPr="00F0343D">
        <w:rPr>
          <w:rFonts w:ascii="Palatino Linotype" w:hAnsi="Palatino Linotype"/>
          <w:i/>
          <w:sz w:val="22"/>
        </w:rPr>
        <w:t>(…)</w:t>
      </w:r>
    </w:p>
    <w:p w:rsidR="002A52B3" w:rsidRPr="00F0343D" w:rsidRDefault="002A52B3" w:rsidP="002A52B3">
      <w:pPr>
        <w:pStyle w:val="Sinespaciado"/>
        <w:ind w:left="567" w:right="567"/>
        <w:jc w:val="both"/>
        <w:rPr>
          <w:rFonts w:ascii="Palatino Linotype" w:hAnsi="Palatino Linotype"/>
          <w:i/>
          <w:sz w:val="22"/>
        </w:rPr>
      </w:pPr>
    </w:p>
    <w:p w:rsidR="002A52B3" w:rsidRPr="00F0343D" w:rsidRDefault="002A52B3" w:rsidP="002A52B3">
      <w:pPr>
        <w:pStyle w:val="Sinespaciado"/>
        <w:ind w:left="567" w:right="567"/>
        <w:jc w:val="center"/>
        <w:rPr>
          <w:rFonts w:ascii="Palatino Linotype" w:hAnsi="Palatino Linotype"/>
          <w:b/>
          <w:i/>
          <w:sz w:val="22"/>
        </w:rPr>
      </w:pPr>
      <w:r w:rsidRPr="00F0343D">
        <w:rPr>
          <w:rFonts w:ascii="Palatino Linotype" w:hAnsi="Palatino Linotype"/>
          <w:b/>
          <w:i/>
          <w:sz w:val="22"/>
        </w:rPr>
        <w:t>LEY DE PROTECCIÓN DE DATOS PERSONALES</w:t>
      </w:r>
    </w:p>
    <w:p w:rsidR="002A52B3" w:rsidRPr="00F0343D" w:rsidRDefault="002A52B3" w:rsidP="002A52B3">
      <w:pPr>
        <w:pStyle w:val="Sinespaciado"/>
        <w:ind w:left="567" w:right="567"/>
        <w:jc w:val="both"/>
        <w:rPr>
          <w:rFonts w:ascii="Palatino Linotype" w:hAnsi="Palatino Linotype"/>
          <w:i/>
          <w:sz w:val="22"/>
        </w:rPr>
      </w:pPr>
    </w:p>
    <w:p w:rsidR="002A52B3" w:rsidRPr="00F0343D" w:rsidRDefault="002A52B3" w:rsidP="002A52B3">
      <w:pPr>
        <w:pStyle w:val="Sinespaciado"/>
        <w:ind w:left="567" w:right="567"/>
        <w:jc w:val="both"/>
        <w:rPr>
          <w:rFonts w:ascii="Palatino Linotype" w:hAnsi="Palatino Linotype"/>
          <w:i/>
          <w:sz w:val="22"/>
        </w:rPr>
      </w:pPr>
      <w:r w:rsidRPr="00F0343D">
        <w:rPr>
          <w:rFonts w:ascii="Palatino Linotype" w:hAnsi="Palatino Linotype"/>
          <w:b/>
          <w:i/>
          <w:sz w:val="22"/>
        </w:rPr>
        <w:t>Artículo 4.</w:t>
      </w:r>
      <w:r w:rsidRPr="00F0343D">
        <w:rPr>
          <w:rFonts w:ascii="Palatino Linotype" w:hAnsi="Palatino Linotype"/>
          <w:i/>
          <w:sz w:val="22"/>
        </w:rPr>
        <w:t xml:space="preserve"> Para los efectos de esta Ley se entenderá por:</w:t>
      </w:r>
    </w:p>
    <w:p w:rsidR="002A52B3" w:rsidRPr="00F0343D" w:rsidRDefault="002A52B3" w:rsidP="002A52B3">
      <w:pPr>
        <w:pStyle w:val="Sinespaciado"/>
        <w:ind w:left="567" w:right="567"/>
        <w:jc w:val="both"/>
        <w:rPr>
          <w:rFonts w:ascii="Palatino Linotype" w:hAnsi="Palatino Linotype"/>
          <w:i/>
          <w:sz w:val="22"/>
        </w:rPr>
      </w:pPr>
      <w:r w:rsidRPr="00F0343D">
        <w:rPr>
          <w:rFonts w:ascii="Palatino Linotype" w:hAnsi="Palatino Linotype"/>
          <w:i/>
          <w:sz w:val="22"/>
        </w:rPr>
        <w:t>(…)</w:t>
      </w:r>
    </w:p>
    <w:p w:rsidR="002A52B3" w:rsidRPr="00F0343D" w:rsidRDefault="002A52B3" w:rsidP="002A52B3">
      <w:pPr>
        <w:pStyle w:val="Sinespaciado"/>
        <w:ind w:left="567" w:right="567"/>
        <w:jc w:val="both"/>
        <w:rPr>
          <w:rFonts w:ascii="Palatino Linotype" w:hAnsi="Palatino Linotype"/>
          <w:i/>
          <w:sz w:val="22"/>
        </w:rPr>
      </w:pPr>
      <w:r w:rsidRPr="00F0343D">
        <w:rPr>
          <w:rFonts w:ascii="Palatino Linotype" w:hAnsi="Palatino Linotype"/>
          <w:b/>
          <w:i/>
          <w:sz w:val="22"/>
        </w:rPr>
        <w:t>XI. Datos personales:</w:t>
      </w:r>
      <w:r w:rsidRPr="00F0343D">
        <w:rPr>
          <w:rFonts w:ascii="Palatino Linotype" w:hAnsi="Palatino Linotype"/>
          <w:i/>
          <w:sz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informativa físico o electrónico.</w:t>
      </w:r>
    </w:p>
    <w:p w:rsidR="002A52B3" w:rsidRDefault="002A52B3" w:rsidP="002A52B3">
      <w:pPr>
        <w:pStyle w:val="Sinespaciado"/>
        <w:spacing w:line="360" w:lineRule="auto"/>
        <w:jc w:val="both"/>
        <w:rPr>
          <w:rFonts w:ascii="Palatino Linotype" w:hAnsi="Palatino Linotype"/>
        </w:rPr>
      </w:pPr>
    </w:p>
    <w:p w:rsidR="002A52B3" w:rsidRDefault="002A52B3" w:rsidP="002A52B3">
      <w:pPr>
        <w:pStyle w:val="Sinespaciado"/>
        <w:spacing w:line="360" w:lineRule="auto"/>
        <w:jc w:val="both"/>
        <w:rPr>
          <w:rFonts w:ascii="Palatino Linotype" w:hAnsi="Palatino Linotype"/>
        </w:rPr>
      </w:pPr>
      <w:r>
        <w:rPr>
          <w:rFonts w:ascii="Palatino Linotype" w:hAnsi="Palatino Linotype"/>
        </w:rPr>
        <w:lastRenderedPageBreak/>
        <w:t>En ese tenor, si bien es cierto que los servidores públicos, por la naturaleza de sus actividades, se encuentran en circunstancias de protección a su información personal menor que el resto de las personas, también lo es que dicha circunstancia no impide que la Ley proteja la información confidencial que forme parte de los datos solicitados por los particulares, resultando de observancia los Criterios 18/17 y 19/17 del Instituto Nacional de Transparencia, Acceso a la Información y Protección de Datos Personales, en el que se estipula lo siguiente:</w:t>
      </w:r>
    </w:p>
    <w:p w:rsidR="002A52B3" w:rsidRDefault="002A52B3" w:rsidP="002A52B3">
      <w:pPr>
        <w:pStyle w:val="Sinespaciado"/>
        <w:spacing w:line="360" w:lineRule="auto"/>
        <w:jc w:val="both"/>
        <w:rPr>
          <w:rFonts w:ascii="Palatino Linotype" w:hAnsi="Palatino Linotype"/>
        </w:rPr>
      </w:pPr>
    </w:p>
    <w:p w:rsidR="002A52B3" w:rsidRDefault="002A52B3" w:rsidP="002A52B3">
      <w:pPr>
        <w:pStyle w:val="Sinespaciado"/>
        <w:ind w:left="567" w:right="567"/>
        <w:jc w:val="center"/>
        <w:rPr>
          <w:rFonts w:ascii="Palatino Linotype" w:hAnsi="Palatino Linotype"/>
          <w:b/>
          <w:i/>
          <w:sz w:val="22"/>
        </w:rPr>
      </w:pPr>
      <w:r>
        <w:rPr>
          <w:rFonts w:ascii="Palatino Linotype" w:hAnsi="Palatino Linotype"/>
          <w:b/>
          <w:i/>
          <w:sz w:val="22"/>
        </w:rPr>
        <w:t>Criterio 18/17</w:t>
      </w:r>
    </w:p>
    <w:p w:rsidR="002A52B3" w:rsidRDefault="002A52B3" w:rsidP="002A52B3">
      <w:pPr>
        <w:pStyle w:val="Sinespaciado"/>
        <w:ind w:left="567" w:right="567"/>
        <w:jc w:val="both"/>
        <w:rPr>
          <w:rFonts w:ascii="Palatino Linotype" w:hAnsi="Palatino Linotype"/>
          <w:b/>
          <w:i/>
          <w:sz w:val="22"/>
        </w:rPr>
      </w:pPr>
    </w:p>
    <w:p w:rsidR="002A52B3" w:rsidRPr="00A97276" w:rsidRDefault="002A52B3" w:rsidP="002A52B3">
      <w:pPr>
        <w:pStyle w:val="Sinespaciado"/>
        <w:ind w:left="567" w:right="567"/>
        <w:jc w:val="both"/>
        <w:rPr>
          <w:rFonts w:ascii="Palatino Linotype" w:hAnsi="Palatino Linotype"/>
          <w:i/>
          <w:sz w:val="22"/>
        </w:rPr>
      </w:pPr>
      <w:r>
        <w:rPr>
          <w:rFonts w:ascii="Palatino Linotype" w:hAnsi="Palatino Linotype"/>
          <w:b/>
          <w:i/>
          <w:sz w:val="22"/>
        </w:rPr>
        <w:t>“</w:t>
      </w:r>
      <w:r w:rsidRPr="00A97276">
        <w:rPr>
          <w:rFonts w:ascii="Palatino Linotype" w:hAnsi="Palatino Linotype"/>
          <w:b/>
          <w:i/>
          <w:sz w:val="22"/>
        </w:rPr>
        <w:t xml:space="preserve">Clave Única de Registro de Población (CURP). </w:t>
      </w:r>
      <w:r w:rsidRPr="00A97276">
        <w:rPr>
          <w:rFonts w:ascii="Palatino Linotype" w:hAnsi="Palatino Linotype"/>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A52B3" w:rsidRPr="00A97276" w:rsidRDefault="002A52B3" w:rsidP="002A52B3">
      <w:pPr>
        <w:pStyle w:val="Sinespaciado"/>
        <w:ind w:left="567" w:right="567"/>
        <w:jc w:val="both"/>
        <w:rPr>
          <w:rFonts w:ascii="Palatino Linotype" w:hAnsi="Palatino Linotype"/>
          <w:i/>
          <w:sz w:val="22"/>
        </w:rPr>
      </w:pPr>
    </w:p>
    <w:p w:rsidR="002A52B3" w:rsidRPr="00A97276" w:rsidRDefault="002A52B3" w:rsidP="002A52B3">
      <w:pPr>
        <w:pStyle w:val="Sinespaciado"/>
        <w:ind w:left="567" w:right="567"/>
        <w:jc w:val="both"/>
        <w:rPr>
          <w:rFonts w:ascii="Palatino Linotype" w:hAnsi="Palatino Linotype"/>
          <w:i/>
          <w:sz w:val="20"/>
        </w:rPr>
      </w:pPr>
      <w:r w:rsidRPr="00A97276">
        <w:rPr>
          <w:rFonts w:ascii="Palatino Linotype" w:hAnsi="Palatino Linotype"/>
          <w:i/>
          <w:sz w:val="20"/>
        </w:rPr>
        <w:t>Resoluciones:</w:t>
      </w:r>
    </w:p>
    <w:p w:rsidR="002A52B3" w:rsidRPr="00A97276" w:rsidRDefault="002A52B3" w:rsidP="002A52B3">
      <w:pPr>
        <w:pStyle w:val="Sinespaciado"/>
        <w:ind w:left="567" w:right="567"/>
        <w:jc w:val="both"/>
        <w:rPr>
          <w:rFonts w:ascii="Palatino Linotype" w:hAnsi="Palatino Linotype"/>
          <w:i/>
          <w:sz w:val="20"/>
        </w:rPr>
      </w:pPr>
      <w:r w:rsidRPr="00A97276">
        <w:rPr>
          <w:rFonts w:ascii="Palatino Linotype" w:hAnsi="Palatino Linotype"/>
          <w:i/>
          <w:sz w:val="20"/>
        </w:rPr>
        <w:t>•</w:t>
      </w:r>
      <w:r w:rsidRPr="00A97276">
        <w:rPr>
          <w:rFonts w:ascii="Palatino Linotype" w:hAnsi="Palatino Linotype"/>
          <w:i/>
          <w:sz w:val="20"/>
        </w:rPr>
        <w:tab/>
        <w:t>RRA 3995/16. Secretaría de la Defensa Nacional. 1 de febrero de 2017. Por unanimidad. Comisionado Ponente Rosendoevgueni Monterrey Chepov.</w:t>
      </w:r>
    </w:p>
    <w:p w:rsidR="002A52B3" w:rsidRPr="00A97276" w:rsidRDefault="002A52B3" w:rsidP="002A52B3">
      <w:pPr>
        <w:pStyle w:val="Sinespaciado"/>
        <w:ind w:left="567" w:right="567"/>
        <w:jc w:val="both"/>
        <w:rPr>
          <w:rFonts w:ascii="Palatino Linotype" w:hAnsi="Palatino Linotype"/>
          <w:i/>
          <w:sz w:val="20"/>
        </w:rPr>
      </w:pPr>
      <w:r w:rsidRPr="00A97276">
        <w:rPr>
          <w:rFonts w:ascii="Palatino Linotype" w:hAnsi="Palatino Linotype"/>
          <w:i/>
          <w:sz w:val="20"/>
        </w:rPr>
        <w:t>•</w:t>
      </w:r>
      <w:r w:rsidRPr="00A97276">
        <w:rPr>
          <w:rFonts w:ascii="Palatino Linotype" w:hAnsi="Palatino Linotype"/>
          <w:i/>
          <w:sz w:val="20"/>
        </w:rPr>
        <w:tab/>
        <w:t xml:space="preserve">RRA 0937/17. Senado de la República. 15 de marzo de 2017. Por unanimidad. Comisionada Ponente Ximena Puente de la Mora. </w:t>
      </w:r>
    </w:p>
    <w:p w:rsidR="002A52B3" w:rsidRPr="00A97276" w:rsidRDefault="002A52B3" w:rsidP="002A52B3">
      <w:pPr>
        <w:pStyle w:val="Sinespaciado"/>
        <w:ind w:left="567" w:right="567"/>
        <w:jc w:val="both"/>
        <w:rPr>
          <w:rFonts w:ascii="Palatino Linotype" w:hAnsi="Palatino Linotype"/>
          <w:i/>
          <w:sz w:val="20"/>
        </w:rPr>
      </w:pPr>
      <w:r w:rsidRPr="00A97276">
        <w:rPr>
          <w:rFonts w:ascii="Palatino Linotype" w:hAnsi="Palatino Linotype"/>
          <w:i/>
          <w:sz w:val="20"/>
        </w:rPr>
        <w:t>RRA 0478/17. Secretaría de Relaciones Exteriores. 26 de abril de 2017. Por unanimidad. Comisionada Ponente Areli Cano Guadiana.</w:t>
      </w:r>
    </w:p>
    <w:p w:rsidR="002A52B3" w:rsidRDefault="002A52B3" w:rsidP="002A52B3">
      <w:pPr>
        <w:pStyle w:val="Sinespaciado"/>
        <w:ind w:left="567" w:right="567"/>
        <w:jc w:val="both"/>
        <w:rPr>
          <w:rFonts w:ascii="Palatino Linotype" w:hAnsi="Palatino Linotype"/>
          <w:b/>
          <w:i/>
          <w:sz w:val="22"/>
        </w:rPr>
      </w:pPr>
    </w:p>
    <w:p w:rsidR="002A52B3" w:rsidRDefault="002A52B3" w:rsidP="002A52B3">
      <w:pPr>
        <w:pStyle w:val="Sinespaciado"/>
        <w:ind w:left="567" w:right="567"/>
        <w:jc w:val="center"/>
        <w:rPr>
          <w:rFonts w:ascii="Palatino Linotype" w:hAnsi="Palatino Linotype"/>
          <w:b/>
          <w:i/>
          <w:sz w:val="22"/>
        </w:rPr>
      </w:pPr>
      <w:r>
        <w:rPr>
          <w:rFonts w:ascii="Palatino Linotype" w:hAnsi="Palatino Linotype"/>
          <w:b/>
          <w:i/>
          <w:sz w:val="22"/>
        </w:rPr>
        <w:t>Criterio 19/17</w:t>
      </w:r>
    </w:p>
    <w:p w:rsidR="002A52B3" w:rsidRDefault="002A52B3" w:rsidP="002A52B3">
      <w:pPr>
        <w:pStyle w:val="Sinespaciado"/>
        <w:ind w:left="567" w:right="567"/>
        <w:jc w:val="both"/>
        <w:rPr>
          <w:rFonts w:ascii="Palatino Linotype" w:hAnsi="Palatino Linotype"/>
          <w:b/>
          <w:i/>
          <w:sz w:val="22"/>
        </w:rPr>
      </w:pPr>
    </w:p>
    <w:p w:rsidR="002A52B3" w:rsidRPr="00A97276" w:rsidRDefault="002A52B3" w:rsidP="002A52B3">
      <w:pPr>
        <w:pStyle w:val="Sinespaciado"/>
        <w:ind w:left="567" w:right="567"/>
        <w:jc w:val="both"/>
        <w:rPr>
          <w:rFonts w:ascii="Palatino Linotype" w:hAnsi="Palatino Linotype"/>
          <w:i/>
          <w:sz w:val="22"/>
        </w:rPr>
      </w:pPr>
      <w:r w:rsidRPr="00A97276">
        <w:rPr>
          <w:rFonts w:ascii="Palatino Linotype" w:hAnsi="Palatino Linotype"/>
          <w:b/>
          <w:i/>
          <w:sz w:val="22"/>
        </w:rPr>
        <w:t xml:space="preserve">Registro Federal de Contribuyentes (RFC) de personas físicas. </w:t>
      </w:r>
      <w:r w:rsidRPr="00A97276">
        <w:rPr>
          <w:rFonts w:ascii="Palatino Linotype" w:hAnsi="Palatino Linotype"/>
          <w:i/>
          <w:sz w:val="22"/>
        </w:rPr>
        <w:t>El RFC es una clave de carácter fiscal, única e irrepetible, que permite identificar al titular, su edad y fecha de nacimiento, por lo que es un dato personal de carácter confidencial.</w:t>
      </w:r>
    </w:p>
    <w:p w:rsidR="002A52B3" w:rsidRPr="00A97276" w:rsidRDefault="002A52B3" w:rsidP="002A52B3">
      <w:pPr>
        <w:pStyle w:val="Sinespaciado"/>
        <w:ind w:left="567" w:right="567"/>
        <w:jc w:val="both"/>
        <w:rPr>
          <w:rFonts w:ascii="Palatino Linotype" w:hAnsi="Palatino Linotype"/>
          <w:i/>
          <w:sz w:val="22"/>
        </w:rPr>
      </w:pPr>
    </w:p>
    <w:p w:rsidR="002A52B3" w:rsidRPr="00A97276" w:rsidRDefault="002A52B3" w:rsidP="002A52B3">
      <w:pPr>
        <w:pStyle w:val="Sinespaciado"/>
        <w:ind w:left="567" w:right="567"/>
        <w:jc w:val="both"/>
        <w:rPr>
          <w:rFonts w:ascii="Palatino Linotype" w:hAnsi="Palatino Linotype"/>
          <w:i/>
          <w:sz w:val="20"/>
        </w:rPr>
      </w:pPr>
      <w:r w:rsidRPr="00A97276">
        <w:rPr>
          <w:rFonts w:ascii="Palatino Linotype" w:hAnsi="Palatino Linotype"/>
          <w:i/>
          <w:sz w:val="20"/>
        </w:rPr>
        <w:t>Resoluciones:</w:t>
      </w:r>
    </w:p>
    <w:p w:rsidR="002A52B3" w:rsidRPr="00A97276" w:rsidRDefault="002A52B3" w:rsidP="002A52B3">
      <w:pPr>
        <w:pStyle w:val="Sinespaciado"/>
        <w:ind w:left="567" w:right="567"/>
        <w:jc w:val="both"/>
        <w:rPr>
          <w:rFonts w:ascii="Palatino Linotype" w:hAnsi="Palatino Linotype"/>
          <w:i/>
          <w:sz w:val="20"/>
        </w:rPr>
      </w:pPr>
      <w:r w:rsidRPr="00A97276">
        <w:rPr>
          <w:rFonts w:ascii="Palatino Linotype" w:hAnsi="Palatino Linotype"/>
          <w:i/>
          <w:sz w:val="20"/>
        </w:rPr>
        <w:t>•</w:t>
      </w:r>
      <w:r w:rsidRPr="00A97276">
        <w:rPr>
          <w:rFonts w:ascii="Palatino Linotype" w:hAnsi="Palatino Linotype"/>
          <w:i/>
          <w:sz w:val="20"/>
        </w:rPr>
        <w:tab/>
        <w:t>RRA 0189/17. Morena. 08 de febrero de 2017. Por unanimidad. Comisionado Ponente Joel Salas Suárez.</w:t>
      </w:r>
    </w:p>
    <w:p w:rsidR="002A52B3" w:rsidRPr="00A97276" w:rsidRDefault="002A52B3" w:rsidP="002A52B3">
      <w:pPr>
        <w:pStyle w:val="Sinespaciado"/>
        <w:ind w:left="567" w:right="567"/>
        <w:jc w:val="both"/>
        <w:rPr>
          <w:rFonts w:ascii="Palatino Linotype" w:hAnsi="Palatino Linotype"/>
          <w:i/>
          <w:sz w:val="20"/>
        </w:rPr>
      </w:pPr>
      <w:r w:rsidRPr="00A97276">
        <w:rPr>
          <w:rFonts w:ascii="Palatino Linotype" w:hAnsi="Palatino Linotype"/>
          <w:i/>
          <w:sz w:val="20"/>
        </w:rPr>
        <w:t>•</w:t>
      </w:r>
      <w:r w:rsidRPr="00A97276">
        <w:rPr>
          <w:rFonts w:ascii="Palatino Linotype" w:hAnsi="Palatino Linotype"/>
          <w:i/>
          <w:sz w:val="20"/>
        </w:rPr>
        <w:tab/>
        <w:t xml:space="preserve">RRA 0677/17. Universidad Nacional Autónoma de México. 08 de marzo de 2017. Por unanimidad. Comisionado Ponente Rosendoevgueni Monterrey Chepov. </w:t>
      </w:r>
    </w:p>
    <w:p w:rsidR="002A52B3" w:rsidRPr="00A97276" w:rsidRDefault="002A52B3" w:rsidP="002A52B3">
      <w:pPr>
        <w:pStyle w:val="Sinespaciado"/>
        <w:ind w:left="567" w:right="567"/>
        <w:jc w:val="both"/>
        <w:rPr>
          <w:rFonts w:ascii="Palatino Linotype" w:hAnsi="Palatino Linotype"/>
          <w:i/>
          <w:sz w:val="18"/>
        </w:rPr>
      </w:pPr>
      <w:r w:rsidRPr="00A97276">
        <w:rPr>
          <w:rFonts w:ascii="Palatino Linotype" w:hAnsi="Palatino Linotype"/>
          <w:i/>
          <w:sz w:val="20"/>
        </w:rPr>
        <w:lastRenderedPageBreak/>
        <w:t>•</w:t>
      </w:r>
      <w:r w:rsidRPr="00A97276">
        <w:rPr>
          <w:rFonts w:ascii="Palatino Linotype" w:hAnsi="Palatino Linotype"/>
          <w:i/>
          <w:sz w:val="20"/>
        </w:rPr>
        <w:tab/>
        <w:t>RRA 1564/17. Tribunal Electoral del Poder Judicial de la Federación. 26 de abril de 2017. Por unanimidad. Comisionado Ponente Oscar Mauricio Guerra Ford.</w:t>
      </w:r>
    </w:p>
    <w:p w:rsidR="002A52B3" w:rsidRDefault="002A52B3" w:rsidP="002A52B3">
      <w:pPr>
        <w:pStyle w:val="Sinespaciado"/>
        <w:spacing w:line="360" w:lineRule="auto"/>
        <w:jc w:val="both"/>
        <w:rPr>
          <w:rFonts w:ascii="Palatino Linotype" w:hAnsi="Palatino Linotype"/>
        </w:rPr>
      </w:pPr>
    </w:p>
    <w:p w:rsidR="002A52B3" w:rsidRDefault="002A52B3" w:rsidP="002A52B3">
      <w:pPr>
        <w:pStyle w:val="Sinespaciado"/>
        <w:spacing w:line="360" w:lineRule="auto"/>
        <w:jc w:val="both"/>
        <w:rPr>
          <w:rFonts w:ascii="Palatino Linotype" w:hAnsi="Palatino Linotype"/>
        </w:rPr>
      </w:pPr>
      <w:r>
        <w:rPr>
          <w:rFonts w:ascii="Palatino Linotype" w:hAnsi="Palatino Linotype"/>
        </w:rPr>
        <w:t>En conclusión, toda vez que los currículos de los servidores públicos deben ser entregados en versión pública protegiendo los datos personales de los servidores públicos que no abonen a la transparencia, los Comités de Transparencia deberán elaborar el acuerdo de clasificación correspondiente que acompañe dicha versión pública, en apego a lo dispuesto en el artículo 137 de la Ley de la Materia, en el que se dispone lo siguiente:</w:t>
      </w:r>
    </w:p>
    <w:p w:rsidR="002A52B3" w:rsidRDefault="002A52B3" w:rsidP="002A52B3">
      <w:pPr>
        <w:pStyle w:val="Sinespaciado"/>
        <w:spacing w:line="360" w:lineRule="auto"/>
        <w:jc w:val="both"/>
        <w:rPr>
          <w:rFonts w:ascii="Palatino Linotype" w:hAnsi="Palatino Linotype"/>
        </w:rPr>
      </w:pPr>
    </w:p>
    <w:p w:rsidR="002A52B3" w:rsidRPr="00A97276" w:rsidRDefault="002A52B3" w:rsidP="002A52B3">
      <w:pPr>
        <w:pStyle w:val="Sinespaciado"/>
        <w:ind w:left="567" w:right="567"/>
        <w:jc w:val="both"/>
        <w:rPr>
          <w:rFonts w:ascii="Palatino Linotype" w:hAnsi="Palatino Linotype"/>
          <w:i/>
          <w:sz w:val="22"/>
        </w:rPr>
      </w:pPr>
      <w:r w:rsidRPr="00A97276">
        <w:rPr>
          <w:rFonts w:ascii="Palatino Linotype" w:hAnsi="Palatino Linotype"/>
          <w:b/>
          <w:bCs/>
          <w:i/>
          <w:sz w:val="22"/>
        </w:rPr>
        <w:t xml:space="preserve">Artículo 137. </w:t>
      </w:r>
      <w:r w:rsidRPr="00A97276">
        <w:rPr>
          <w:rFonts w:ascii="Palatino Linotype" w:hAnsi="Palatino Linotype"/>
          <w:i/>
          <w:sz w:val="22"/>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A52B3" w:rsidRDefault="002A52B3" w:rsidP="002A52B3">
      <w:pPr>
        <w:pStyle w:val="Sinespaciado"/>
        <w:spacing w:line="360" w:lineRule="auto"/>
        <w:jc w:val="both"/>
        <w:rPr>
          <w:rFonts w:ascii="Palatino Linotype" w:hAnsi="Palatino Linotype"/>
        </w:rPr>
      </w:pPr>
    </w:p>
    <w:p w:rsidR="002A52B3" w:rsidRPr="00AE0DBC" w:rsidRDefault="002A52B3" w:rsidP="002A52B3">
      <w:pPr>
        <w:spacing w:after="0" w:line="360" w:lineRule="auto"/>
        <w:jc w:val="both"/>
        <w:rPr>
          <w:rFonts w:ascii="Palatino Linotype" w:hAnsi="Palatino Linotype" w:cs="Arial"/>
          <w:sz w:val="24"/>
          <w:szCs w:val="24"/>
          <w:lang w:val="es-ES"/>
        </w:rPr>
      </w:pPr>
      <w:r>
        <w:rPr>
          <w:rFonts w:ascii="Palatino Linotype" w:hAnsi="Palatino Linotype"/>
          <w:sz w:val="24"/>
          <w:szCs w:val="24"/>
        </w:rPr>
        <w:t xml:space="preserve">Cabe señalar que dicho acuerdo deberá elaborarse con apego a la normatividad aplicable entre los que se destacan </w:t>
      </w:r>
      <w:r w:rsidRPr="00AE0DBC">
        <w:rPr>
          <w:rFonts w:ascii="Palatino Linotype" w:hAnsi="Palatino Linotype" w:cs="Arial"/>
          <w:sz w:val="24"/>
          <w:szCs w:val="24"/>
          <w:lang w:val="es-ES"/>
        </w:rPr>
        <w:t>los artículos 3 fracciones IX, XX, XXI y XLV, 91 y 132 fracciones II y III de la Ley de Transparencia y Acceso a la Información Pública del Estado de México y Municipios que establecen:</w:t>
      </w:r>
    </w:p>
    <w:p w:rsidR="002A52B3" w:rsidRPr="00AE0DBC" w:rsidRDefault="002A52B3" w:rsidP="002A52B3">
      <w:pPr>
        <w:spacing w:after="0" w:line="360" w:lineRule="auto"/>
        <w:jc w:val="both"/>
        <w:rPr>
          <w:rFonts w:ascii="Palatino Linotype" w:hAnsi="Palatino Linotype" w:cs="Arial"/>
          <w:sz w:val="24"/>
          <w:szCs w:val="24"/>
          <w:lang w:val="es-ES"/>
        </w:rPr>
      </w:pPr>
    </w:p>
    <w:p w:rsidR="002A52B3" w:rsidRPr="00AE0DBC" w:rsidRDefault="002A52B3" w:rsidP="002A52B3">
      <w:pPr>
        <w:spacing w:after="0" w:line="240" w:lineRule="auto"/>
        <w:ind w:left="567" w:right="567"/>
        <w:jc w:val="both"/>
        <w:rPr>
          <w:rFonts w:ascii="Palatino Linotype" w:hAnsi="Palatino Linotype" w:cs="Arial"/>
          <w:i/>
        </w:rPr>
      </w:pPr>
      <w:r w:rsidRPr="00AE0DBC">
        <w:rPr>
          <w:rFonts w:ascii="Palatino Linotype" w:hAnsi="Palatino Linotype" w:cs="Arial"/>
          <w:b/>
          <w:i/>
        </w:rPr>
        <w:t>Artículo 3.</w:t>
      </w:r>
      <w:r w:rsidRPr="00AE0DBC">
        <w:rPr>
          <w:rFonts w:ascii="Palatino Linotype" w:hAnsi="Palatino Linotype" w:cs="Arial"/>
          <w:i/>
        </w:rPr>
        <w:t xml:space="preserve"> Para los efectos de la presente Ley se entenderá por:</w:t>
      </w:r>
    </w:p>
    <w:p w:rsidR="002A52B3" w:rsidRPr="00AE0DBC" w:rsidRDefault="002A52B3" w:rsidP="002A52B3">
      <w:pPr>
        <w:spacing w:after="0" w:line="240" w:lineRule="auto"/>
        <w:ind w:left="567" w:right="567"/>
        <w:jc w:val="both"/>
        <w:rPr>
          <w:rFonts w:ascii="Palatino Linotype" w:hAnsi="Palatino Linotype" w:cs="Arial"/>
          <w:i/>
        </w:rPr>
      </w:pPr>
      <w:r w:rsidRPr="00AE0DBC">
        <w:rPr>
          <w:rFonts w:ascii="Palatino Linotype" w:hAnsi="Palatino Linotype" w:cs="Arial"/>
          <w:i/>
        </w:rPr>
        <w:t>[…]</w:t>
      </w:r>
    </w:p>
    <w:p w:rsidR="002A52B3" w:rsidRPr="00AE0DBC" w:rsidRDefault="002A52B3" w:rsidP="002A52B3">
      <w:pPr>
        <w:spacing w:after="0" w:line="240" w:lineRule="auto"/>
        <w:ind w:left="567" w:right="567"/>
        <w:jc w:val="both"/>
        <w:rPr>
          <w:rFonts w:ascii="Palatino Linotype" w:hAnsi="Palatino Linotype" w:cs="Arial"/>
          <w:i/>
        </w:rPr>
      </w:pPr>
      <w:r w:rsidRPr="00AE0DBC">
        <w:rPr>
          <w:rFonts w:ascii="Palatino Linotype" w:hAnsi="Palatino Linotype" w:cs="Arial"/>
          <w:b/>
          <w:i/>
        </w:rPr>
        <w:t>IX. Datos personales:</w:t>
      </w:r>
      <w:r w:rsidRPr="00AE0DB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2A52B3" w:rsidRPr="00AE0DBC" w:rsidRDefault="002A52B3" w:rsidP="002A52B3">
      <w:pPr>
        <w:spacing w:after="0" w:line="240" w:lineRule="auto"/>
        <w:ind w:left="567" w:right="567"/>
        <w:jc w:val="both"/>
        <w:rPr>
          <w:rFonts w:ascii="Palatino Linotype" w:hAnsi="Palatino Linotype" w:cs="Arial"/>
          <w:i/>
        </w:rPr>
      </w:pPr>
      <w:r w:rsidRPr="00AE0DBC">
        <w:rPr>
          <w:rFonts w:ascii="Palatino Linotype" w:hAnsi="Palatino Linotype" w:cs="Arial"/>
          <w:b/>
          <w:i/>
        </w:rPr>
        <w:t>XX.</w:t>
      </w:r>
      <w:r w:rsidRPr="00AE0DBC">
        <w:rPr>
          <w:rFonts w:ascii="Palatino Linotype" w:hAnsi="Palatino Linotype" w:cs="Arial"/>
          <w:i/>
        </w:rPr>
        <w:t xml:space="preserve"> </w:t>
      </w:r>
      <w:r w:rsidRPr="00AE0DBC">
        <w:rPr>
          <w:rFonts w:ascii="Palatino Linotype" w:hAnsi="Palatino Linotype" w:cs="Arial"/>
          <w:b/>
          <w:i/>
        </w:rPr>
        <w:t>Información clasificada:</w:t>
      </w:r>
      <w:r w:rsidRPr="00AE0DBC">
        <w:rPr>
          <w:rFonts w:ascii="Palatino Linotype" w:hAnsi="Palatino Linotype" w:cs="Arial"/>
          <w:i/>
        </w:rPr>
        <w:t xml:space="preserve"> Aquella considerada por la presente Ley como reservada o confidencial;</w:t>
      </w:r>
    </w:p>
    <w:p w:rsidR="002A52B3" w:rsidRPr="00AE0DBC" w:rsidRDefault="002A52B3" w:rsidP="002A52B3">
      <w:pPr>
        <w:spacing w:after="0" w:line="240" w:lineRule="auto"/>
        <w:ind w:left="567" w:right="567"/>
        <w:jc w:val="both"/>
        <w:rPr>
          <w:rFonts w:ascii="Palatino Linotype" w:hAnsi="Palatino Linotype" w:cs="Arial"/>
          <w:i/>
        </w:rPr>
      </w:pPr>
      <w:r w:rsidRPr="00AE0DBC">
        <w:rPr>
          <w:rFonts w:ascii="Palatino Linotype" w:hAnsi="Palatino Linotype" w:cs="Arial"/>
          <w:b/>
          <w:i/>
        </w:rPr>
        <w:t>XXI.</w:t>
      </w:r>
      <w:r w:rsidRPr="00AE0DBC">
        <w:rPr>
          <w:rFonts w:ascii="Palatino Linotype" w:hAnsi="Palatino Linotype" w:cs="Arial"/>
          <w:i/>
        </w:rPr>
        <w:t xml:space="preserve"> </w:t>
      </w:r>
      <w:r w:rsidRPr="00AE0DBC">
        <w:rPr>
          <w:rFonts w:ascii="Palatino Linotype" w:hAnsi="Palatino Linotype" w:cs="Arial"/>
          <w:b/>
          <w:i/>
        </w:rPr>
        <w:t>Información confidencial:</w:t>
      </w:r>
      <w:r w:rsidRPr="00AE0DB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A52B3" w:rsidRPr="00AE0DBC" w:rsidRDefault="002A52B3" w:rsidP="002A52B3">
      <w:pPr>
        <w:spacing w:after="0" w:line="240" w:lineRule="auto"/>
        <w:ind w:left="567" w:right="567"/>
        <w:jc w:val="both"/>
        <w:rPr>
          <w:rFonts w:ascii="Palatino Linotype" w:hAnsi="Palatino Linotype" w:cs="Arial"/>
          <w:i/>
        </w:rPr>
      </w:pPr>
      <w:r w:rsidRPr="00AE0DBC">
        <w:rPr>
          <w:rFonts w:ascii="Palatino Linotype" w:hAnsi="Palatino Linotype" w:cs="Arial"/>
          <w:b/>
          <w:i/>
        </w:rPr>
        <w:lastRenderedPageBreak/>
        <w:t>…</w:t>
      </w:r>
    </w:p>
    <w:p w:rsidR="002A52B3" w:rsidRPr="00AE0DBC" w:rsidRDefault="002A52B3" w:rsidP="002A52B3">
      <w:pPr>
        <w:spacing w:after="0" w:line="240" w:lineRule="auto"/>
        <w:ind w:left="567" w:right="567"/>
        <w:jc w:val="both"/>
        <w:rPr>
          <w:rFonts w:ascii="Palatino Linotype" w:hAnsi="Palatino Linotype" w:cs="Arial"/>
          <w:i/>
        </w:rPr>
      </w:pPr>
      <w:r w:rsidRPr="00AE0DBC">
        <w:rPr>
          <w:rFonts w:ascii="Palatino Linotype" w:hAnsi="Palatino Linotype" w:cs="Arial"/>
          <w:b/>
          <w:i/>
        </w:rPr>
        <w:t>XLV.</w:t>
      </w:r>
      <w:r w:rsidRPr="00AE0DBC">
        <w:rPr>
          <w:rFonts w:ascii="Palatino Linotype" w:hAnsi="Palatino Linotype" w:cs="Arial"/>
          <w:i/>
        </w:rPr>
        <w:t xml:space="preserve"> </w:t>
      </w:r>
      <w:r w:rsidRPr="00AE0DBC">
        <w:rPr>
          <w:rFonts w:ascii="Palatino Linotype" w:hAnsi="Palatino Linotype" w:cs="Arial"/>
          <w:b/>
          <w:i/>
        </w:rPr>
        <w:t>Versión pública:</w:t>
      </w:r>
      <w:r w:rsidRPr="00AE0DBC">
        <w:rPr>
          <w:rFonts w:ascii="Palatino Linotype" w:hAnsi="Palatino Linotype" w:cs="Arial"/>
          <w:i/>
        </w:rPr>
        <w:t xml:space="preserve"> Documento en el que se elimine, suprime o borra la información clasificada como reservada o confidencial para permitir su acceso.</w:t>
      </w:r>
    </w:p>
    <w:p w:rsidR="002A52B3" w:rsidRPr="00AE0DBC" w:rsidRDefault="002A52B3" w:rsidP="002A52B3">
      <w:pPr>
        <w:spacing w:after="0" w:line="240" w:lineRule="auto"/>
        <w:ind w:left="567" w:right="567"/>
        <w:jc w:val="both"/>
        <w:rPr>
          <w:rFonts w:ascii="Palatino Linotype" w:hAnsi="Palatino Linotype" w:cs="Arial"/>
          <w:i/>
        </w:rPr>
      </w:pPr>
      <w:r w:rsidRPr="00AE0DBC">
        <w:rPr>
          <w:rFonts w:ascii="Palatino Linotype" w:hAnsi="Palatino Linotype" w:cs="Arial"/>
          <w:i/>
        </w:rPr>
        <w:t>[…]</w:t>
      </w:r>
    </w:p>
    <w:p w:rsidR="002A52B3" w:rsidRDefault="002A52B3" w:rsidP="002A52B3">
      <w:pPr>
        <w:spacing w:after="0" w:line="240" w:lineRule="auto"/>
        <w:ind w:left="567" w:right="567"/>
        <w:jc w:val="both"/>
        <w:rPr>
          <w:rFonts w:ascii="Palatino Linotype" w:hAnsi="Palatino Linotype" w:cs="Arial"/>
          <w:b/>
          <w:i/>
        </w:rPr>
      </w:pPr>
    </w:p>
    <w:p w:rsidR="002A52B3" w:rsidRPr="00AE0DBC" w:rsidRDefault="002A52B3" w:rsidP="002A52B3">
      <w:pPr>
        <w:spacing w:after="0" w:line="240" w:lineRule="auto"/>
        <w:ind w:left="567" w:right="567"/>
        <w:jc w:val="both"/>
        <w:rPr>
          <w:rFonts w:ascii="Palatino Linotype" w:hAnsi="Palatino Linotype" w:cs="Arial"/>
          <w:i/>
        </w:rPr>
      </w:pPr>
      <w:r w:rsidRPr="00AE0DBC">
        <w:rPr>
          <w:rFonts w:ascii="Palatino Linotype" w:hAnsi="Palatino Linotype" w:cs="Arial"/>
          <w:b/>
          <w:i/>
        </w:rPr>
        <w:t xml:space="preserve">Artículo 91. </w:t>
      </w:r>
      <w:r w:rsidRPr="00AE0DBC">
        <w:rPr>
          <w:rFonts w:ascii="Palatino Linotype" w:hAnsi="Palatino Linotype" w:cs="Arial"/>
          <w:i/>
        </w:rPr>
        <w:t>El acceso a la información pública será restringido excepcionalmente, cuando ésta sea clasificada como reservada o confidencial.</w:t>
      </w:r>
    </w:p>
    <w:p w:rsidR="002A52B3" w:rsidRDefault="002A52B3" w:rsidP="002A52B3">
      <w:pPr>
        <w:spacing w:after="0" w:line="240" w:lineRule="auto"/>
        <w:ind w:left="567" w:right="567"/>
        <w:jc w:val="both"/>
        <w:rPr>
          <w:rFonts w:ascii="Palatino Linotype" w:hAnsi="Palatino Linotype" w:cs="Arial"/>
          <w:b/>
          <w:i/>
        </w:rPr>
      </w:pPr>
    </w:p>
    <w:p w:rsidR="002A52B3" w:rsidRPr="00AE0DBC" w:rsidRDefault="002A52B3" w:rsidP="002A52B3">
      <w:pPr>
        <w:spacing w:after="0" w:line="240" w:lineRule="auto"/>
        <w:ind w:left="567" w:right="567"/>
        <w:jc w:val="both"/>
        <w:rPr>
          <w:rFonts w:ascii="Palatino Linotype" w:hAnsi="Palatino Linotype" w:cs="Arial"/>
          <w:i/>
        </w:rPr>
      </w:pPr>
      <w:r w:rsidRPr="00AE0DBC">
        <w:rPr>
          <w:rFonts w:ascii="Palatino Linotype" w:hAnsi="Palatino Linotype" w:cs="Arial"/>
          <w:b/>
          <w:i/>
        </w:rPr>
        <w:t>Artículo 132.</w:t>
      </w:r>
      <w:r w:rsidRPr="00AE0DBC">
        <w:rPr>
          <w:rFonts w:ascii="Palatino Linotype" w:hAnsi="Palatino Linotype" w:cs="Arial"/>
          <w:i/>
        </w:rPr>
        <w:t xml:space="preserve"> </w:t>
      </w:r>
      <w:r w:rsidRPr="00AE0DBC">
        <w:rPr>
          <w:rFonts w:ascii="Palatino Linotype" w:hAnsi="Palatino Linotype" w:cs="Arial"/>
          <w:i/>
          <w:u w:val="single"/>
        </w:rPr>
        <w:t>La clasificación de la información se llevará a cabo en el momento en que</w:t>
      </w:r>
      <w:r w:rsidRPr="00AE0DBC">
        <w:rPr>
          <w:rFonts w:ascii="Palatino Linotype" w:hAnsi="Palatino Linotype" w:cs="Arial"/>
          <w:i/>
        </w:rPr>
        <w:t>:</w:t>
      </w:r>
    </w:p>
    <w:p w:rsidR="002A52B3" w:rsidRPr="00AE0DBC" w:rsidRDefault="002A52B3" w:rsidP="002A52B3">
      <w:pPr>
        <w:spacing w:after="0" w:line="240" w:lineRule="auto"/>
        <w:ind w:left="567" w:right="567"/>
        <w:jc w:val="both"/>
        <w:rPr>
          <w:rFonts w:ascii="Palatino Linotype" w:hAnsi="Palatino Linotype" w:cs="Arial"/>
          <w:i/>
        </w:rPr>
      </w:pPr>
      <w:r w:rsidRPr="00AE0DBC">
        <w:rPr>
          <w:rFonts w:ascii="Palatino Linotype" w:hAnsi="Palatino Linotype" w:cs="Arial"/>
          <w:b/>
          <w:i/>
        </w:rPr>
        <w:t>I.</w:t>
      </w:r>
      <w:r w:rsidRPr="00AE0DBC">
        <w:rPr>
          <w:rFonts w:ascii="Palatino Linotype" w:hAnsi="Palatino Linotype" w:cs="Arial"/>
          <w:i/>
        </w:rPr>
        <w:t xml:space="preserve"> Se reciba una solicitud de acceso a la información;</w:t>
      </w:r>
    </w:p>
    <w:p w:rsidR="002A52B3" w:rsidRPr="00AE0DBC" w:rsidRDefault="002A52B3" w:rsidP="002A52B3">
      <w:pPr>
        <w:spacing w:after="0" w:line="240" w:lineRule="auto"/>
        <w:ind w:left="567" w:right="567"/>
        <w:jc w:val="both"/>
        <w:rPr>
          <w:rFonts w:ascii="Palatino Linotype" w:hAnsi="Palatino Linotype" w:cs="Arial"/>
          <w:i/>
        </w:rPr>
      </w:pPr>
      <w:r w:rsidRPr="00AE0DBC">
        <w:rPr>
          <w:rFonts w:ascii="Palatino Linotype" w:hAnsi="Palatino Linotype" w:cs="Arial"/>
          <w:b/>
          <w:i/>
        </w:rPr>
        <w:t>II.</w:t>
      </w:r>
      <w:r w:rsidRPr="00AE0DBC">
        <w:rPr>
          <w:rFonts w:ascii="Palatino Linotype" w:hAnsi="Palatino Linotype" w:cs="Arial"/>
          <w:i/>
        </w:rPr>
        <w:t xml:space="preserve"> Se determine mediante resolución de autoridad competente; o</w:t>
      </w:r>
    </w:p>
    <w:p w:rsidR="002A52B3" w:rsidRPr="00AE0DBC" w:rsidRDefault="002A52B3" w:rsidP="002A52B3">
      <w:pPr>
        <w:spacing w:after="0" w:line="240" w:lineRule="auto"/>
        <w:ind w:left="567" w:right="567"/>
        <w:jc w:val="both"/>
        <w:rPr>
          <w:rFonts w:ascii="Palatino Linotype" w:hAnsi="Palatino Linotype" w:cs="Arial"/>
          <w:i/>
          <w:u w:val="single"/>
        </w:rPr>
      </w:pPr>
      <w:r w:rsidRPr="00AE0DBC">
        <w:rPr>
          <w:rFonts w:ascii="Palatino Linotype" w:hAnsi="Palatino Linotype" w:cs="Arial"/>
          <w:b/>
          <w:i/>
        </w:rPr>
        <w:t>III.</w:t>
      </w:r>
      <w:r w:rsidRPr="00AE0DBC">
        <w:rPr>
          <w:rFonts w:ascii="Palatino Linotype" w:hAnsi="Palatino Linotype" w:cs="Arial"/>
          <w:i/>
        </w:rPr>
        <w:t xml:space="preserve"> </w:t>
      </w:r>
      <w:r w:rsidRPr="00AE0DBC">
        <w:rPr>
          <w:rFonts w:ascii="Palatino Linotype" w:hAnsi="Palatino Linotype" w:cs="Arial"/>
          <w:i/>
          <w:u w:val="single"/>
        </w:rPr>
        <w:t>Se generen versiones públicas para dar cumplimiento a las obligaciones de transparencia previstas en esta Ley.</w:t>
      </w:r>
    </w:p>
    <w:p w:rsidR="002A52B3" w:rsidRPr="00A97276" w:rsidRDefault="002A52B3" w:rsidP="002A52B3">
      <w:pPr>
        <w:spacing w:after="0" w:line="240" w:lineRule="auto"/>
        <w:ind w:left="567" w:right="567"/>
        <w:jc w:val="right"/>
        <w:rPr>
          <w:rFonts w:ascii="Palatino Linotype" w:hAnsi="Palatino Linotype" w:cs="Arial"/>
        </w:rPr>
      </w:pPr>
      <w:r w:rsidRPr="00A97276">
        <w:rPr>
          <w:rFonts w:ascii="Palatino Linotype" w:hAnsi="Palatino Linotype" w:cs="Arial"/>
        </w:rPr>
        <w:t>(Énfasis añadido)</w:t>
      </w:r>
    </w:p>
    <w:p w:rsidR="002A52B3" w:rsidRPr="00AE0DBC" w:rsidRDefault="002A52B3" w:rsidP="002A52B3">
      <w:pPr>
        <w:spacing w:after="0" w:line="360" w:lineRule="auto"/>
        <w:jc w:val="both"/>
        <w:rPr>
          <w:rFonts w:ascii="Palatino Linotype" w:hAnsi="Palatino Linotype" w:cs="Arial"/>
          <w:i/>
          <w:sz w:val="24"/>
          <w:szCs w:val="24"/>
        </w:rPr>
      </w:pPr>
    </w:p>
    <w:p w:rsidR="002A52B3" w:rsidRPr="00AE0DBC" w:rsidRDefault="002A52B3" w:rsidP="002A52B3">
      <w:pPr>
        <w:spacing w:after="0" w:line="360" w:lineRule="auto"/>
        <w:jc w:val="both"/>
        <w:rPr>
          <w:rFonts w:ascii="Palatino Linotype" w:hAnsi="Palatino Linotype" w:cs="Arial"/>
          <w:sz w:val="24"/>
          <w:szCs w:val="24"/>
        </w:rPr>
      </w:pPr>
      <w:r w:rsidRPr="00AE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w:t>
      </w:r>
      <w:r>
        <w:rPr>
          <w:rFonts w:ascii="Palatino Linotype" w:hAnsi="Palatino Linotype" w:cs="Arial"/>
          <w:sz w:val="24"/>
          <w:szCs w:val="24"/>
        </w:rPr>
        <w:t>ida privada de los particulares, o en el caso en concreto de los servidores públicos referidos por el Recurrente.</w:t>
      </w:r>
    </w:p>
    <w:p w:rsidR="002A52B3" w:rsidRPr="00AE0DBC" w:rsidRDefault="002A52B3" w:rsidP="002A52B3">
      <w:pPr>
        <w:spacing w:after="0" w:line="360" w:lineRule="auto"/>
        <w:jc w:val="both"/>
        <w:rPr>
          <w:rFonts w:ascii="Palatino Linotype" w:hAnsi="Palatino Linotype" w:cs="Arial"/>
          <w:sz w:val="24"/>
          <w:szCs w:val="24"/>
        </w:rPr>
      </w:pPr>
    </w:p>
    <w:p w:rsidR="002A52B3" w:rsidRPr="00AE0DBC" w:rsidRDefault="002A52B3" w:rsidP="002A52B3">
      <w:pPr>
        <w:spacing w:after="0" w:line="360" w:lineRule="auto"/>
        <w:jc w:val="both"/>
        <w:rPr>
          <w:rFonts w:ascii="Palatino Linotype" w:hAnsi="Palatino Linotype" w:cs="Arial"/>
          <w:sz w:val="24"/>
          <w:szCs w:val="24"/>
        </w:rPr>
      </w:pPr>
      <w:r w:rsidRPr="00AE0DBC">
        <w:rPr>
          <w:rFonts w:ascii="Palatino Linotype" w:hAnsi="Palatino Linotype" w:cs="Arial"/>
          <w:sz w:val="24"/>
          <w:szCs w:val="24"/>
        </w:rPr>
        <w:t xml:space="preserve">Por otro lado, los </w:t>
      </w:r>
      <w:r w:rsidRPr="00AE0DBC">
        <w:rPr>
          <w:rFonts w:ascii="Palatino Linotype" w:hAnsi="Palatino Linotype" w:cs="Arial"/>
          <w:i/>
          <w:sz w:val="24"/>
          <w:szCs w:val="24"/>
        </w:rPr>
        <w:t>Lineamientos Generales en Materia de Clasificación y Desclasificación de la Información, así como para la elaboración de Versiones Públicas</w:t>
      </w:r>
      <w:r w:rsidRPr="00AE0DBC">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A52B3" w:rsidRPr="00AE0DBC" w:rsidRDefault="002A52B3" w:rsidP="002A52B3">
      <w:pPr>
        <w:spacing w:after="0" w:line="360" w:lineRule="auto"/>
        <w:jc w:val="both"/>
        <w:rPr>
          <w:rFonts w:ascii="Palatino Linotype" w:hAnsi="Palatino Linotype" w:cs="Arial"/>
          <w:sz w:val="24"/>
          <w:szCs w:val="24"/>
        </w:rPr>
      </w:pPr>
    </w:p>
    <w:p w:rsidR="002A52B3" w:rsidRPr="00AE0DBC" w:rsidRDefault="002A52B3" w:rsidP="002A52B3">
      <w:pPr>
        <w:spacing w:after="0" w:line="360" w:lineRule="auto"/>
        <w:jc w:val="both"/>
        <w:rPr>
          <w:rFonts w:ascii="Palatino Linotype" w:hAnsi="Palatino Linotype" w:cs="Arial"/>
          <w:sz w:val="24"/>
          <w:szCs w:val="24"/>
        </w:rPr>
      </w:pPr>
      <w:r w:rsidRPr="00AE0DBC">
        <w:rPr>
          <w:rFonts w:ascii="Palatino Linotype" w:hAnsi="Palatino Linotype" w:cs="Arial"/>
          <w:sz w:val="24"/>
          <w:szCs w:val="24"/>
        </w:rPr>
        <w:lastRenderedPageBreak/>
        <w:t>Entorno a lo que aquí nos interesa, los Lineamientos Quincuagésimo sexto, Quincuagésimo séptimo y Quincuagésimo octavo, establecen lo siguiente:</w:t>
      </w:r>
    </w:p>
    <w:p w:rsidR="00070083" w:rsidRDefault="00070083" w:rsidP="002A52B3">
      <w:pPr>
        <w:spacing w:after="0" w:line="240" w:lineRule="auto"/>
        <w:ind w:left="567" w:right="567"/>
        <w:jc w:val="both"/>
        <w:rPr>
          <w:rFonts w:ascii="Palatino Linotype" w:hAnsi="Palatino Linotype" w:cs="Arial"/>
          <w:b/>
          <w:i/>
          <w:szCs w:val="24"/>
        </w:rPr>
      </w:pPr>
    </w:p>
    <w:p w:rsidR="002A52B3" w:rsidRPr="00F0343D" w:rsidRDefault="002A52B3" w:rsidP="002A52B3">
      <w:pPr>
        <w:spacing w:after="0" w:line="240" w:lineRule="auto"/>
        <w:ind w:left="567" w:right="567"/>
        <w:jc w:val="both"/>
        <w:rPr>
          <w:rFonts w:ascii="Palatino Linotype" w:hAnsi="Palatino Linotype" w:cs="Arial"/>
          <w:i/>
          <w:szCs w:val="24"/>
        </w:rPr>
      </w:pPr>
      <w:r>
        <w:rPr>
          <w:rFonts w:ascii="Palatino Linotype" w:hAnsi="Palatino Linotype" w:cs="Arial"/>
          <w:b/>
          <w:i/>
          <w:szCs w:val="24"/>
        </w:rPr>
        <w:t>“</w:t>
      </w:r>
      <w:r w:rsidRPr="00F0343D">
        <w:rPr>
          <w:rFonts w:ascii="Palatino Linotype" w:hAnsi="Palatino Linotype" w:cs="Arial"/>
          <w:b/>
          <w:i/>
          <w:szCs w:val="24"/>
        </w:rPr>
        <w:t>Quincuagésimo sexto.</w:t>
      </w:r>
      <w:r w:rsidRPr="00F0343D">
        <w:rPr>
          <w:rFonts w:ascii="Palatino Linotype" w:hAnsi="Palatino Linotype" w:cs="Arial"/>
          <w:i/>
          <w:szCs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A52B3" w:rsidRPr="00F0343D" w:rsidRDefault="002A52B3" w:rsidP="002A52B3">
      <w:pPr>
        <w:spacing w:after="0" w:line="240" w:lineRule="auto"/>
        <w:ind w:left="567" w:right="567"/>
        <w:jc w:val="both"/>
        <w:rPr>
          <w:rFonts w:ascii="Palatino Linotype" w:hAnsi="Palatino Linotype" w:cs="Arial"/>
          <w:i/>
          <w:szCs w:val="24"/>
        </w:rPr>
      </w:pPr>
    </w:p>
    <w:p w:rsidR="002A52B3" w:rsidRPr="00F0343D" w:rsidRDefault="002A52B3" w:rsidP="002A52B3">
      <w:pPr>
        <w:spacing w:after="0" w:line="240" w:lineRule="auto"/>
        <w:ind w:left="567" w:right="567"/>
        <w:jc w:val="both"/>
        <w:rPr>
          <w:rFonts w:ascii="Palatino Linotype" w:hAnsi="Palatino Linotype" w:cs="Arial"/>
          <w:i/>
          <w:szCs w:val="24"/>
        </w:rPr>
      </w:pPr>
      <w:r w:rsidRPr="00F0343D">
        <w:rPr>
          <w:rFonts w:ascii="Palatino Linotype" w:hAnsi="Palatino Linotype" w:cs="Arial"/>
          <w:b/>
          <w:i/>
          <w:szCs w:val="24"/>
        </w:rPr>
        <w:t xml:space="preserve">Quincuagésimo séptimo. </w:t>
      </w:r>
      <w:r w:rsidRPr="00F0343D">
        <w:rPr>
          <w:rFonts w:ascii="Palatino Linotype" w:hAnsi="Palatino Linotype" w:cs="Arial"/>
          <w:i/>
          <w:szCs w:val="24"/>
        </w:rPr>
        <w:t xml:space="preserve">Se considera, en principio, como información pública y no podrá omitirse de las versiones públicas la siguiente: </w:t>
      </w:r>
    </w:p>
    <w:p w:rsidR="002A52B3" w:rsidRPr="00F0343D" w:rsidRDefault="002A52B3" w:rsidP="002A52B3">
      <w:pPr>
        <w:spacing w:after="0" w:line="240" w:lineRule="auto"/>
        <w:ind w:left="567" w:right="567"/>
        <w:jc w:val="both"/>
        <w:rPr>
          <w:rFonts w:ascii="Palatino Linotype" w:hAnsi="Palatino Linotype" w:cs="Arial"/>
          <w:i/>
          <w:szCs w:val="24"/>
        </w:rPr>
      </w:pPr>
      <w:r w:rsidRPr="00F0343D">
        <w:rPr>
          <w:rFonts w:ascii="Palatino Linotype" w:hAnsi="Palatino Linotype" w:cs="Arial"/>
          <w:i/>
          <w:szCs w:val="24"/>
        </w:rPr>
        <w:t xml:space="preserve">I. La relativa a las Obligaciones de Transparencia que contempla el Título V de la Ley General y las demás disposiciones legales aplicables; </w:t>
      </w:r>
    </w:p>
    <w:p w:rsidR="002A52B3" w:rsidRPr="00F0343D" w:rsidRDefault="002A52B3" w:rsidP="002A52B3">
      <w:pPr>
        <w:spacing w:after="0" w:line="240" w:lineRule="auto"/>
        <w:ind w:left="567" w:right="567"/>
        <w:jc w:val="both"/>
        <w:rPr>
          <w:rFonts w:ascii="Palatino Linotype" w:hAnsi="Palatino Linotype" w:cs="Arial"/>
          <w:i/>
          <w:szCs w:val="24"/>
        </w:rPr>
      </w:pPr>
      <w:r w:rsidRPr="00F0343D">
        <w:rPr>
          <w:rFonts w:ascii="Palatino Linotype" w:hAnsi="Palatino Linotype" w:cs="Arial"/>
          <w:i/>
          <w:szCs w:val="24"/>
        </w:rPr>
        <w:t xml:space="preserve">II. El nombre de los servidores públicos en los documentos, y sus firmas autógrafas, cuando sean utilizados en el ejercicio de las facultades conferidas para el desempeño del servicio público, y </w:t>
      </w:r>
    </w:p>
    <w:p w:rsidR="002A52B3" w:rsidRPr="00F0343D" w:rsidRDefault="002A52B3" w:rsidP="002A52B3">
      <w:pPr>
        <w:spacing w:after="0" w:line="240" w:lineRule="auto"/>
        <w:ind w:left="567" w:right="567"/>
        <w:jc w:val="both"/>
        <w:rPr>
          <w:rFonts w:ascii="Palatino Linotype" w:hAnsi="Palatino Linotype" w:cs="Arial"/>
          <w:i/>
          <w:szCs w:val="24"/>
        </w:rPr>
      </w:pPr>
      <w:r w:rsidRPr="00F0343D">
        <w:rPr>
          <w:rFonts w:ascii="Palatino Linotype" w:hAnsi="Palatino Linotype" w:cs="Arial"/>
          <w:i/>
          <w:szCs w:val="24"/>
        </w:rPr>
        <w:t>III. La información que documente decisiones y los actos de autoridad concluidos de los sujetos obligados, así como el ejercicio de las facultades o actividades de los servidores públicos, de manera que se pueda valorar el desempeño de los mismos.</w:t>
      </w:r>
    </w:p>
    <w:p w:rsidR="002A52B3" w:rsidRPr="00F0343D" w:rsidRDefault="002A52B3" w:rsidP="002A52B3">
      <w:pPr>
        <w:spacing w:after="0" w:line="240" w:lineRule="auto"/>
        <w:ind w:left="567" w:right="567"/>
        <w:jc w:val="both"/>
        <w:rPr>
          <w:rFonts w:ascii="Palatino Linotype" w:hAnsi="Palatino Linotype" w:cs="Arial"/>
          <w:i/>
          <w:szCs w:val="24"/>
        </w:rPr>
      </w:pPr>
      <w:r w:rsidRPr="00F0343D">
        <w:rPr>
          <w:rFonts w:ascii="Palatino Linotype" w:hAnsi="Palatino Linotype" w:cs="Arial"/>
          <w:i/>
          <w:szCs w:val="24"/>
        </w:rPr>
        <w:t xml:space="preserve"> </w:t>
      </w:r>
    </w:p>
    <w:p w:rsidR="002A52B3" w:rsidRPr="00F0343D" w:rsidRDefault="002A52B3" w:rsidP="002A52B3">
      <w:pPr>
        <w:spacing w:after="0" w:line="240" w:lineRule="auto"/>
        <w:ind w:left="567" w:right="567"/>
        <w:jc w:val="both"/>
        <w:rPr>
          <w:rFonts w:ascii="Palatino Linotype" w:hAnsi="Palatino Linotype" w:cs="Arial"/>
          <w:i/>
          <w:szCs w:val="24"/>
        </w:rPr>
      </w:pPr>
      <w:r w:rsidRPr="00F0343D">
        <w:rPr>
          <w:rFonts w:ascii="Palatino Linotype" w:hAnsi="Palatino Linotype" w:cs="Arial"/>
          <w:i/>
          <w:szCs w:val="24"/>
        </w:rPr>
        <w:t xml:space="preserve">Lo anterior, siempre y cuando no se acredite alguna causal de clasificación, prevista en las leyes o en los tratados internaciones suscritos por el Estado mexicano. </w:t>
      </w:r>
    </w:p>
    <w:p w:rsidR="002A52B3" w:rsidRPr="00F0343D" w:rsidRDefault="002A52B3" w:rsidP="002A52B3">
      <w:pPr>
        <w:spacing w:after="0" w:line="240" w:lineRule="auto"/>
        <w:ind w:left="567" w:right="567"/>
        <w:jc w:val="both"/>
        <w:rPr>
          <w:rFonts w:ascii="Palatino Linotype" w:hAnsi="Palatino Linotype" w:cs="Arial"/>
          <w:i/>
          <w:szCs w:val="24"/>
        </w:rPr>
      </w:pPr>
    </w:p>
    <w:p w:rsidR="002A52B3" w:rsidRPr="00F0343D" w:rsidRDefault="002A52B3" w:rsidP="002A52B3">
      <w:pPr>
        <w:spacing w:after="0" w:line="240" w:lineRule="auto"/>
        <w:ind w:left="567" w:right="567"/>
        <w:jc w:val="both"/>
        <w:rPr>
          <w:rFonts w:ascii="Palatino Linotype" w:hAnsi="Palatino Linotype" w:cs="Arial"/>
          <w:i/>
          <w:szCs w:val="24"/>
        </w:rPr>
      </w:pPr>
      <w:r w:rsidRPr="00F0343D">
        <w:rPr>
          <w:rFonts w:ascii="Palatino Linotype" w:hAnsi="Palatino Linotype" w:cs="Arial"/>
          <w:b/>
          <w:i/>
          <w:szCs w:val="24"/>
        </w:rPr>
        <w:t>Quincuagésimo octavo.</w:t>
      </w:r>
      <w:r w:rsidRPr="00F0343D">
        <w:rPr>
          <w:rFonts w:ascii="Palatino Linotype" w:hAnsi="Palatino Linotype" w:cs="Arial"/>
          <w:i/>
          <w:szCs w:val="24"/>
        </w:rPr>
        <w:t xml:space="preserve"> Los sujetos obligados garantizarán que los sistemas o medios empleados para eliminar la información en las versiones públicas no permitan la recuperación o visualización de la misma.”</w:t>
      </w:r>
    </w:p>
    <w:p w:rsidR="002A52B3" w:rsidRPr="00AE0DBC" w:rsidRDefault="002A52B3" w:rsidP="002A52B3">
      <w:pPr>
        <w:spacing w:after="0" w:line="360" w:lineRule="auto"/>
        <w:jc w:val="both"/>
        <w:rPr>
          <w:rFonts w:ascii="Palatino Linotype" w:hAnsi="Palatino Linotype" w:cs="Arial"/>
          <w:i/>
          <w:sz w:val="24"/>
          <w:szCs w:val="24"/>
        </w:rPr>
      </w:pPr>
    </w:p>
    <w:p w:rsidR="002A52B3" w:rsidRDefault="002A52B3" w:rsidP="002A52B3">
      <w:pPr>
        <w:pStyle w:val="Sinespaciado"/>
        <w:spacing w:line="360" w:lineRule="auto"/>
        <w:jc w:val="both"/>
        <w:rPr>
          <w:rFonts w:ascii="Palatino Linotype" w:hAnsi="Palatino Linotype" w:cs="Arial"/>
          <w:lang w:val="es-ES"/>
        </w:rPr>
      </w:pPr>
      <w:r>
        <w:rPr>
          <w:rFonts w:ascii="Palatino Linotype" w:hAnsi="Palatino Linotype" w:cs="Arial"/>
          <w:lang w:val="es-ES"/>
        </w:rPr>
        <w:t xml:space="preserve">Consecuentemente, se puede concluir que </w:t>
      </w:r>
      <w:r w:rsidRPr="00AE0DBC">
        <w:rPr>
          <w:rFonts w:ascii="Palatino Linotype" w:hAnsi="Palatino Linotype" w:cs="Arial"/>
          <w:lang w:val="es-ES"/>
        </w:rPr>
        <w:t>la entrega de documentos en versión pública debe acompañarse necesariamente del Acuerdo del Comité de Transparencia que la sustente</w:t>
      </w:r>
      <w:r>
        <w:rPr>
          <w:rFonts w:ascii="Palatino Linotype" w:hAnsi="Palatino Linotype" w:cs="Arial"/>
          <w:lang w:val="es-ES"/>
        </w:rPr>
        <w:t>,</w:t>
      </w:r>
      <w:r w:rsidRPr="00AE0DBC">
        <w:rPr>
          <w:rFonts w:ascii="Palatino Linotype" w:hAnsi="Palatino Linotype" w:cs="Arial"/>
          <w:lang w:val="es-ES"/>
        </w:rPr>
        <w:t xml:space="preserve"> el cual debe estar debidamente fundado y motivado, </w:t>
      </w:r>
      <w:r>
        <w:rPr>
          <w:rFonts w:ascii="Palatino Linotype" w:hAnsi="Palatino Linotype" w:cs="Arial"/>
          <w:lang w:val="es-ES"/>
        </w:rPr>
        <w:t xml:space="preserve">exponiendo </w:t>
      </w:r>
      <w:r w:rsidRPr="00AE0DBC">
        <w:rPr>
          <w:rFonts w:ascii="Palatino Linotype" w:hAnsi="Palatino Linotype" w:cs="Arial"/>
          <w:lang w:val="es-ES"/>
        </w:rPr>
        <w:t xml:space="preserve">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w:t>
      </w:r>
      <w:r w:rsidRPr="00AE0DBC">
        <w:rPr>
          <w:rFonts w:ascii="Palatino Linotype" w:hAnsi="Palatino Linotype" w:cs="Arial"/>
          <w:lang w:val="es-ES"/>
        </w:rPr>
        <w:lastRenderedPageBreak/>
        <w:t>testan o suprimen- deja al solicitante en estado de incertidumbre, al no conocer o comprender porque no aparecen en la documentación respectiva.</w:t>
      </w:r>
    </w:p>
    <w:p w:rsidR="002A52B3" w:rsidRDefault="002A52B3" w:rsidP="001463A1">
      <w:pPr>
        <w:pStyle w:val="Sinespaciado"/>
        <w:spacing w:line="360" w:lineRule="auto"/>
        <w:jc w:val="both"/>
        <w:rPr>
          <w:rFonts w:ascii="Palatino Linotype" w:hAnsi="Palatino Linotype"/>
        </w:rPr>
      </w:pPr>
    </w:p>
    <w:p w:rsidR="00331FE1" w:rsidRPr="001D3A62" w:rsidRDefault="00331FE1" w:rsidP="001463A1">
      <w:pPr>
        <w:pStyle w:val="Sinespaciado"/>
        <w:spacing w:line="360" w:lineRule="auto"/>
        <w:jc w:val="both"/>
        <w:rPr>
          <w:rFonts w:ascii="Palatino Linotype" w:hAnsi="Palatino Linotype"/>
        </w:rPr>
      </w:pPr>
      <w:r w:rsidRPr="001D3A62">
        <w:rPr>
          <w:rFonts w:ascii="Palatino Linotype" w:hAnsi="Palatino Linotype"/>
        </w:rPr>
        <w:t xml:space="preserve">En mérito de lo expuesto en líneas anteriores, resultan fundados los motivos de inconformidad que arguye el </w:t>
      </w:r>
      <w:r w:rsidRPr="00123B7C">
        <w:rPr>
          <w:rFonts w:ascii="Palatino Linotype" w:hAnsi="Palatino Linotype"/>
          <w:b/>
        </w:rPr>
        <w:t>recurrente</w:t>
      </w:r>
      <w:r w:rsidRPr="001D3A62">
        <w:rPr>
          <w:rFonts w:ascii="Palatino Linotype" w:hAnsi="Palatino Linotype"/>
        </w:rPr>
        <w:t xml:space="preserve"> en su medio de impugnación que fue materia de estudio, por ello </w:t>
      </w:r>
      <w:r w:rsidRPr="001D3A62">
        <w:rPr>
          <w:rFonts w:ascii="Palatino Linotype" w:hAnsi="Palatino Linotype" w:cs="Arial"/>
          <w:b/>
        </w:rPr>
        <w:t>con fundame</w:t>
      </w:r>
      <w:r>
        <w:rPr>
          <w:rFonts w:ascii="Palatino Linotype" w:hAnsi="Palatino Linotype" w:cs="Arial"/>
          <w:b/>
        </w:rPr>
        <w:t xml:space="preserve">nto en la </w:t>
      </w:r>
      <w:r w:rsidR="009A098A">
        <w:rPr>
          <w:rFonts w:ascii="Palatino Linotype" w:hAnsi="Palatino Linotype" w:cs="Arial"/>
          <w:b/>
        </w:rPr>
        <w:t>primera</w:t>
      </w:r>
      <w:r w:rsidRPr="001D3A62">
        <w:rPr>
          <w:rFonts w:ascii="Palatino Linotype" w:hAnsi="Palatino Linotype" w:cs="Arial"/>
          <w:b/>
        </w:rPr>
        <w:t xml:space="preserve"> hipótesis de la fracción III del artículo 186, </w:t>
      </w:r>
      <w:r w:rsidRPr="001D3A62">
        <w:rPr>
          <w:rFonts w:ascii="Palatino Linotype" w:hAnsi="Palatino Linotype" w:cs="Arial"/>
        </w:rPr>
        <w:t xml:space="preserve">de la Ley de Transparencia y Acceso a la Información Pública del Estado de México y Municipios, se </w:t>
      </w:r>
      <w:r w:rsidR="009A098A">
        <w:rPr>
          <w:rFonts w:ascii="Palatino Linotype" w:hAnsi="Palatino Linotype" w:cs="Arial"/>
          <w:b/>
        </w:rPr>
        <w:t>REVOCA</w:t>
      </w:r>
      <w:r w:rsidRPr="001D3A62">
        <w:rPr>
          <w:rFonts w:ascii="Palatino Linotype" w:hAnsi="Palatino Linotype" w:cs="Arial"/>
          <w:b/>
        </w:rPr>
        <w:t xml:space="preserve"> </w:t>
      </w:r>
      <w:r w:rsidRPr="001D3A62">
        <w:rPr>
          <w:rFonts w:ascii="Palatino Linotype" w:hAnsi="Palatino Linotype" w:cs="Arial"/>
        </w:rPr>
        <w:t>la respuesta a la solicitud de información número</w:t>
      </w:r>
      <w:r w:rsidRPr="001D3A62">
        <w:rPr>
          <w:rFonts w:ascii="Palatino Linotype" w:hAnsi="Palatino Linotype"/>
          <w:b/>
        </w:rPr>
        <w:t xml:space="preserve"> </w:t>
      </w:r>
      <w:r w:rsidR="009A098A" w:rsidRPr="009A098A">
        <w:rPr>
          <w:rFonts w:ascii="Palatino Linotype" w:hAnsi="Palatino Linotype" w:cs="Arial"/>
          <w:b/>
        </w:rPr>
        <w:t>00034/CHALCO/IP/2019</w:t>
      </w:r>
      <w:r w:rsidR="009A098A">
        <w:rPr>
          <w:rFonts w:ascii="Palatino Linotype" w:hAnsi="Palatino Linotype" w:cs="Arial"/>
          <w:b/>
        </w:rPr>
        <w:t xml:space="preserve"> </w:t>
      </w:r>
      <w:r w:rsidRPr="001D3A62">
        <w:rPr>
          <w:rFonts w:ascii="Palatino Linotype" w:hAnsi="Palatino Linotype"/>
        </w:rPr>
        <w:t>que ha sido materia del presente fallo.</w:t>
      </w:r>
    </w:p>
    <w:p w:rsidR="00331FE1" w:rsidRPr="001D3A62" w:rsidRDefault="00331FE1" w:rsidP="001463A1">
      <w:pPr>
        <w:pStyle w:val="Sinespaciado"/>
        <w:spacing w:line="360" w:lineRule="auto"/>
        <w:jc w:val="both"/>
        <w:rPr>
          <w:rFonts w:ascii="Palatino Linotype" w:hAnsi="Palatino Linotype"/>
        </w:rPr>
      </w:pPr>
    </w:p>
    <w:p w:rsidR="00331FE1" w:rsidRPr="001D3A62" w:rsidRDefault="00331FE1" w:rsidP="001463A1">
      <w:pPr>
        <w:pStyle w:val="Sinespaciado"/>
        <w:spacing w:line="360" w:lineRule="auto"/>
        <w:jc w:val="both"/>
        <w:rPr>
          <w:rFonts w:ascii="Palatino Linotype" w:hAnsi="Palatino Linotype"/>
        </w:rPr>
      </w:pPr>
      <w:r w:rsidRPr="001D3A62">
        <w:rPr>
          <w:rFonts w:ascii="Palatino Linotype" w:hAnsi="Palatino Linotype"/>
        </w:rPr>
        <w:t>Por lo antes expuesto y fundado es de resolverse y,</w:t>
      </w:r>
    </w:p>
    <w:p w:rsidR="00331FE1" w:rsidRDefault="00331FE1" w:rsidP="001463A1">
      <w:pPr>
        <w:pStyle w:val="Sinespaciado"/>
        <w:spacing w:line="276" w:lineRule="auto"/>
        <w:jc w:val="center"/>
        <w:rPr>
          <w:rFonts w:ascii="Palatino Linotype" w:hAnsi="Palatino Linotype"/>
          <w:b/>
          <w:sz w:val="28"/>
          <w:szCs w:val="28"/>
        </w:rPr>
      </w:pPr>
    </w:p>
    <w:p w:rsidR="00331FE1" w:rsidRPr="0014447C" w:rsidRDefault="00331FE1" w:rsidP="001463A1">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331FE1" w:rsidRPr="00C90CE9" w:rsidRDefault="00331FE1" w:rsidP="001463A1">
      <w:pPr>
        <w:pStyle w:val="Sinespaciado"/>
        <w:spacing w:line="276" w:lineRule="auto"/>
        <w:jc w:val="both"/>
        <w:rPr>
          <w:rFonts w:ascii="Palatino Linotype" w:hAnsi="Palatino Linotype"/>
          <w:b/>
          <w:sz w:val="2"/>
        </w:rPr>
      </w:pPr>
    </w:p>
    <w:p w:rsidR="00331FE1" w:rsidRDefault="00331FE1" w:rsidP="001463A1">
      <w:pPr>
        <w:pStyle w:val="Sinespaciado"/>
        <w:spacing w:line="276" w:lineRule="auto"/>
        <w:jc w:val="both"/>
        <w:rPr>
          <w:rFonts w:ascii="Palatino Linotype" w:hAnsi="Palatino Linotype"/>
          <w:b/>
        </w:rPr>
      </w:pPr>
    </w:p>
    <w:p w:rsidR="00331FE1" w:rsidRPr="00E02B94" w:rsidRDefault="00331FE1" w:rsidP="001463A1">
      <w:pPr>
        <w:pStyle w:val="Sinespaciado"/>
        <w:spacing w:line="360" w:lineRule="auto"/>
        <w:jc w:val="both"/>
        <w:rPr>
          <w:rFonts w:ascii="Palatino Linotype" w:hAnsi="Palatino Linotype"/>
        </w:rPr>
      </w:pPr>
      <w:r w:rsidRPr="00E02B94">
        <w:rPr>
          <w:rFonts w:ascii="Palatino Linotype" w:hAnsi="Palatino Linotype"/>
          <w:b/>
        </w:rPr>
        <w:t xml:space="preserve">PRIMERO. </w:t>
      </w:r>
      <w:r w:rsidRPr="00E02B94">
        <w:rPr>
          <w:rFonts w:ascii="Palatino Linotype" w:hAnsi="Palatino Linotype"/>
        </w:rPr>
        <w:t xml:space="preserve">Se </w:t>
      </w:r>
      <w:r w:rsidR="009A098A">
        <w:rPr>
          <w:rFonts w:ascii="Palatino Linotype" w:hAnsi="Palatino Linotype"/>
          <w:b/>
        </w:rPr>
        <w:t>REVOCA</w:t>
      </w:r>
      <w:r w:rsidRPr="00E02B94">
        <w:rPr>
          <w:rFonts w:ascii="Palatino Linotype" w:hAnsi="Palatino Linotype"/>
        </w:rPr>
        <w:t xml:space="preserve"> la respuesta del </w:t>
      </w:r>
      <w:r w:rsidR="009A098A" w:rsidRPr="009A098A">
        <w:rPr>
          <w:rFonts w:ascii="Palatino Linotype" w:hAnsi="Palatino Linotype"/>
          <w:b/>
        </w:rPr>
        <w:t>sujeto obligado</w:t>
      </w:r>
      <w:r w:rsidR="009A098A">
        <w:rPr>
          <w:rFonts w:ascii="Palatino Linotype" w:hAnsi="Palatino Linotype"/>
          <w:b/>
        </w:rPr>
        <w:t>,</w:t>
      </w:r>
      <w:r w:rsidRPr="00E02B94">
        <w:rPr>
          <w:rFonts w:ascii="Palatino Linotype" w:hAnsi="Palatino Linotype"/>
          <w:bCs/>
        </w:rPr>
        <w:t xml:space="preserve"> </w:t>
      </w:r>
      <w:r w:rsidRPr="00E02B94">
        <w:rPr>
          <w:rFonts w:ascii="Palatino Linotype" w:hAnsi="Palatino Linotype"/>
        </w:rPr>
        <w:t xml:space="preserve">por resultar fundadas las razones o motivos de inconformidad hechos valer por el </w:t>
      </w:r>
      <w:r w:rsidR="009A098A" w:rsidRPr="009A098A">
        <w:rPr>
          <w:rFonts w:ascii="Palatino Linotype" w:hAnsi="Palatino Linotype"/>
          <w:b/>
        </w:rPr>
        <w:t>recurrente</w:t>
      </w:r>
      <w:r w:rsidRPr="00E02B94">
        <w:rPr>
          <w:rFonts w:ascii="Palatino Linotype" w:hAnsi="Palatino Linotype"/>
        </w:rPr>
        <w:t xml:space="preserve">, en términos del Considerando </w:t>
      </w:r>
      <w:r w:rsidRPr="00E02B94">
        <w:rPr>
          <w:rFonts w:ascii="Palatino Linotype" w:hAnsi="Palatino Linotype"/>
          <w:b/>
        </w:rPr>
        <w:t xml:space="preserve">CUARTO </w:t>
      </w:r>
      <w:r w:rsidRPr="00E02B94">
        <w:rPr>
          <w:rFonts w:ascii="Palatino Linotype" w:hAnsi="Palatino Linotype"/>
        </w:rPr>
        <w:t>de esta resolución.</w:t>
      </w:r>
    </w:p>
    <w:p w:rsidR="00331FE1" w:rsidRPr="00E02B94" w:rsidRDefault="00331FE1" w:rsidP="001463A1">
      <w:pPr>
        <w:pStyle w:val="Sinespaciado"/>
        <w:spacing w:line="360" w:lineRule="auto"/>
        <w:jc w:val="both"/>
        <w:rPr>
          <w:rFonts w:ascii="Palatino Linotype" w:hAnsi="Palatino Linotype"/>
        </w:rPr>
      </w:pPr>
    </w:p>
    <w:p w:rsidR="00331FE1" w:rsidRDefault="00331FE1" w:rsidP="001463A1">
      <w:pPr>
        <w:pStyle w:val="Sinespaciado"/>
        <w:spacing w:line="360" w:lineRule="auto"/>
        <w:jc w:val="both"/>
        <w:rPr>
          <w:rFonts w:ascii="Palatino Linotype" w:hAnsi="Palatino Linotype" w:cs="Arial"/>
        </w:rPr>
      </w:pPr>
      <w:r w:rsidRPr="00C216D4">
        <w:rPr>
          <w:rFonts w:ascii="Palatino Linotype" w:hAnsi="Palatino Linotype" w:cs="Arial"/>
          <w:b/>
        </w:rPr>
        <w:t>SEGUNDO.</w:t>
      </w:r>
      <w:r w:rsidRPr="00C216D4">
        <w:rPr>
          <w:rFonts w:ascii="Palatino Linotype" w:hAnsi="Palatino Linotype" w:cs="Arial"/>
        </w:rPr>
        <w:t xml:space="preserve"> Se </w:t>
      </w:r>
      <w:r w:rsidRPr="00C216D4">
        <w:rPr>
          <w:rFonts w:ascii="Palatino Linotype" w:hAnsi="Palatino Linotype" w:cs="Arial"/>
          <w:b/>
        </w:rPr>
        <w:t>ORDENA</w:t>
      </w:r>
      <w:r w:rsidRPr="00C216D4">
        <w:rPr>
          <w:rFonts w:ascii="Palatino Linotype" w:hAnsi="Palatino Linotype" w:cs="Arial"/>
        </w:rPr>
        <w:t xml:space="preserve"> al </w:t>
      </w:r>
      <w:r w:rsidR="009A098A" w:rsidRPr="009A098A">
        <w:rPr>
          <w:rFonts w:ascii="Palatino Linotype" w:hAnsi="Palatino Linotype" w:cs="Arial"/>
          <w:b/>
        </w:rPr>
        <w:t>sujeto obligado</w:t>
      </w:r>
      <w:r w:rsidR="009A098A" w:rsidRPr="00C216D4">
        <w:rPr>
          <w:rFonts w:ascii="Palatino Linotype" w:hAnsi="Palatino Linotype" w:cs="Arial"/>
        </w:rPr>
        <w:t xml:space="preserve"> </w:t>
      </w:r>
      <w:r w:rsidRPr="00C216D4">
        <w:rPr>
          <w:rFonts w:ascii="Palatino Linotype" w:hAnsi="Palatino Linotype" w:cs="Arial"/>
        </w:rPr>
        <w:t xml:space="preserve">que </w:t>
      </w:r>
      <w:r>
        <w:rPr>
          <w:rFonts w:ascii="Palatino Linotype" w:hAnsi="Palatino Linotype" w:cs="Arial"/>
        </w:rPr>
        <w:t xml:space="preserve">haga entrega al </w:t>
      </w:r>
      <w:r w:rsidRPr="00123B7C">
        <w:rPr>
          <w:rFonts w:ascii="Palatino Linotype" w:hAnsi="Palatino Linotype" w:cs="Arial"/>
          <w:b/>
        </w:rPr>
        <w:t>recurrente</w:t>
      </w:r>
      <w:r w:rsidRPr="00C216D4">
        <w:rPr>
          <w:rFonts w:ascii="Palatino Linotype" w:hAnsi="Palatino Linotype" w:cs="Arial"/>
        </w:rPr>
        <w:t xml:space="preserve"> </w:t>
      </w:r>
      <w:r>
        <w:rPr>
          <w:rFonts w:ascii="Palatino Linotype" w:hAnsi="Palatino Linotype" w:cs="Arial"/>
        </w:rPr>
        <w:t xml:space="preserve">en términos el Considerando </w:t>
      </w:r>
      <w:r w:rsidRPr="001C791F">
        <w:rPr>
          <w:rFonts w:ascii="Palatino Linotype" w:hAnsi="Palatino Linotype" w:cs="Arial"/>
          <w:b/>
        </w:rPr>
        <w:t>CUARTO</w:t>
      </w:r>
      <w:r>
        <w:rPr>
          <w:rFonts w:ascii="Palatino Linotype" w:hAnsi="Palatino Linotype" w:cs="Arial"/>
        </w:rPr>
        <w:t>,</w:t>
      </w:r>
      <w:r w:rsidRPr="00C216D4">
        <w:rPr>
          <w:rFonts w:ascii="Palatino Linotype" w:hAnsi="Palatino Linotype" w:cs="Arial"/>
        </w:rPr>
        <w:t xml:space="preserve"> </w:t>
      </w:r>
      <w:r>
        <w:rPr>
          <w:rFonts w:ascii="Palatino Linotype" w:hAnsi="Palatino Linotype" w:cs="Arial"/>
        </w:rPr>
        <w:t xml:space="preserve">a través del SAIMEX, </w:t>
      </w:r>
      <w:r w:rsidR="009A098A">
        <w:rPr>
          <w:rFonts w:ascii="Palatino Linotype" w:hAnsi="Palatino Linotype" w:cs="Arial"/>
        </w:rPr>
        <w:t xml:space="preserve">en su caso en versión pública, </w:t>
      </w:r>
      <w:r>
        <w:rPr>
          <w:rFonts w:ascii="Palatino Linotype" w:hAnsi="Palatino Linotype" w:cs="Arial"/>
        </w:rPr>
        <w:t>de lo siguiente:</w:t>
      </w:r>
    </w:p>
    <w:p w:rsidR="00331FE1" w:rsidRDefault="00331FE1" w:rsidP="001463A1">
      <w:pPr>
        <w:pStyle w:val="Sinespaciado"/>
        <w:spacing w:line="360" w:lineRule="auto"/>
        <w:jc w:val="both"/>
        <w:rPr>
          <w:rFonts w:ascii="Palatino Linotype" w:hAnsi="Palatino Linotype" w:cs="Arial"/>
        </w:rPr>
      </w:pPr>
    </w:p>
    <w:p w:rsidR="00805F82" w:rsidRPr="0000780E" w:rsidRDefault="00805F82" w:rsidP="00805F82">
      <w:pPr>
        <w:pStyle w:val="Prrafodelista"/>
        <w:numPr>
          <w:ilvl w:val="0"/>
          <w:numId w:val="4"/>
        </w:numPr>
        <w:tabs>
          <w:tab w:val="left" w:pos="709"/>
        </w:tabs>
        <w:spacing w:line="360" w:lineRule="auto"/>
        <w:jc w:val="both"/>
        <w:rPr>
          <w:rFonts w:ascii="Palatino Linotype" w:hAnsi="Palatino Linotype"/>
        </w:rPr>
      </w:pPr>
      <w:r>
        <w:rPr>
          <w:rFonts w:ascii="Palatino Linotype" w:hAnsi="Palatino Linotype"/>
        </w:rPr>
        <w:t>Contratos celebrados correspondientes al periodo del uno al veintinueve de enero de dos mil diecinueve.</w:t>
      </w:r>
    </w:p>
    <w:p w:rsidR="00331FE1" w:rsidRDefault="00331FE1" w:rsidP="001463A1">
      <w:pPr>
        <w:pStyle w:val="Sinespaciado"/>
        <w:spacing w:line="360" w:lineRule="auto"/>
        <w:jc w:val="both"/>
        <w:rPr>
          <w:rFonts w:ascii="Palatino Linotype" w:hAnsi="Palatino Linotype" w:cs="Arial"/>
          <w:b/>
        </w:rPr>
      </w:pPr>
    </w:p>
    <w:p w:rsidR="00AA43D7" w:rsidRDefault="00AA43D7" w:rsidP="00AA43D7">
      <w:pPr>
        <w:pStyle w:val="Sinespaciado"/>
        <w:spacing w:line="360" w:lineRule="auto"/>
        <w:jc w:val="both"/>
        <w:rPr>
          <w:rFonts w:ascii="Palatino Linotype" w:hAnsi="Palatino Linotype" w:cs="Arial"/>
        </w:rPr>
      </w:pPr>
      <w:r>
        <w:rPr>
          <w:rFonts w:ascii="Palatino Linotype" w:hAnsi="Palatino Linotype" w:cs="Arial"/>
        </w:rPr>
        <w:lastRenderedPageBreak/>
        <w:t xml:space="preserve">De ser procedente </w:t>
      </w:r>
      <w:r w:rsidRPr="00AA43D7">
        <w:rPr>
          <w:rFonts w:ascii="Palatino Linotype" w:hAnsi="Palatino Linotype" w:cs="Arial"/>
        </w:rPr>
        <w:t xml:space="preserve">la entrega en versión pública deberá emitir </w:t>
      </w:r>
      <w:r>
        <w:rPr>
          <w:rFonts w:ascii="Palatino Linotype" w:hAnsi="Palatino Linotype" w:cs="Arial"/>
        </w:rPr>
        <w:t xml:space="preserve">y adjuntar </w:t>
      </w:r>
      <w:r w:rsidRPr="00AA43D7">
        <w:rPr>
          <w:rFonts w:ascii="Palatino Linotype" w:hAnsi="Palatino Linotype" w:cs="Arial"/>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AA43D7" w:rsidRPr="00AA43D7" w:rsidRDefault="00AA43D7" w:rsidP="00AA43D7">
      <w:pPr>
        <w:pStyle w:val="Sinespaciado"/>
        <w:spacing w:line="360" w:lineRule="auto"/>
        <w:jc w:val="both"/>
        <w:rPr>
          <w:rFonts w:ascii="Palatino Linotype" w:hAnsi="Palatino Linotype" w:cs="Arial"/>
        </w:rPr>
      </w:pPr>
    </w:p>
    <w:p w:rsidR="00AA43D7" w:rsidRPr="00AA43D7" w:rsidRDefault="00AA43D7" w:rsidP="00AA43D7">
      <w:pPr>
        <w:pStyle w:val="Sinespaciado"/>
        <w:spacing w:line="360" w:lineRule="auto"/>
        <w:jc w:val="both"/>
        <w:rPr>
          <w:rFonts w:ascii="Palatino Linotype" w:hAnsi="Palatino Linotype" w:cs="Arial"/>
        </w:rPr>
      </w:pPr>
      <w:r w:rsidRPr="00AA43D7">
        <w:rPr>
          <w:rFonts w:ascii="Palatino Linotype" w:hAnsi="Palatino Linotype" w:cs="Arial"/>
        </w:rPr>
        <w:t xml:space="preserve">Para el caso de que el </w:t>
      </w:r>
      <w:r w:rsidRPr="00AA43D7">
        <w:rPr>
          <w:rFonts w:ascii="Palatino Linotype" w:hAnsi="Palatino Linotype" w:cs="Arial"/>
          <w:b/>
        </w:rPr>
        <w:t>sujeto obligado</w:t>
      </w:r>
      <w:r w:rsidRPr="00AA43D7">
        <w:rPr>
          <w:rFonts w:ascii="Palatino Linotype" w:hAnsi="Palatino Linotype" w:cs="Arial"/>
        </w:rPr>
        <w:t xml:space="preserve"> no haya celebrado contrato</w:t>
      </w:r>
      <w:r>
        <w:rPr>
          <w:rFonts w:ascii="Palatino Linotype" w:hAnsi="Palatino Linotype" w:cs="Arial"/>
        </w:rPr>
        <w:t xml:space="preserve"> alguno en la temporalidad precisada</w:t>
      </w:r>
      <w:r w:rsidRPr="00AA43D7">
        <w:rPr>
          <w:rFonts w:ascii="Palatino Linotype" w:hAnsi="Palatino Linotype" w:cs="Arial"/>
        </w:rPr>
        <w:t xml:space="preserve">, bastará con que </w:t>
      </w:r>
      <w:r>
        <w:rPr>
          <w:rFonts w:ascii="Palatino Linotype" w:hAnsi="Palatino Linotype" w:cs="Arial"/>
        </w:rPr>
        <w:t>lo haga del conocimiento al momento de dar cumplimiento a la presente resolución.</w:t>
      </w:r>
    </w:p>
    <w:p w:rsidR="00AA43D7" w:rsidRDefault="00AA43D7" w:rsidP="001463A1">
      <w:pPr>
        <w:pStyle w:val="Sinespaciado"/>
        <w:spacing w:line="360" w:lineRule="auto"/>
        <w:jc w:val="both"/>
        <w:rPr>
          <w:rFonts w:ascii="Palatino Linotype" w:hAnsi="Palatino Linotype" w:cs="Arial"/>
          <w:b/>
        </w:rPr>
      </w:pPr>
    </w:p>
    <w:p w:rsidR="00331FE1" w:rsidRPr="00ED7486" w:rsidRDefault="00331FE1" w:rsidP="001463A1">
      <w:pPr>
        <w:pStyle w:val="Sinespaciado"/>
        <w:spacing w:line="360" w:lineRule="auto"/>
        <w:jc w:val="both"/>
        <w:rPr>
          <w:rFonts w:ascii="Palatino Linotype" w:hAnsi="Palatino Linotype" w:cs="Arial"/>
        </w:rPr>
      </w:pPr>
      <w:r w:rsidRPr="00C216D4">
        <w:rPr>
          <w:rFonts w:ascii="Palatino Linotype" w:hAnsi="Palatino Linotype" w:cs="Arial"/>
          <w:b/>
        </w:rPr>
        <w:t>TERCERO. Notifíquese</w:t>
      </w:r>
      <w:r w:rsidRPr="00C216D4">
        <w:rPr>
          <w:rFonts w:ascii="Palatino Linotype" w:hAnsi="Palatino Linotype" w:cs="Arial"/>
          <w:b/>
          <w:i/>
        </w:rPr>
        <w:t xml:space="preserve"> </w:t>
      </w:r>
      <w:r w:rsidRPr="00C216D4">
        <w:rPr>
          <w:rFonts w:ascii="Palatino Linotype" w:hAnsi="Palatino Linotype" w:cs="Arial"/>
        </w:rPr>
        <w:t>al Titular de la Unidad de Transparencia del</w:t>
      </w:r>
      <w:r w:rsidRPr="00C216D4">
        <w:rPr>
          <w:rFonts w:ascii="Palatino Linotype" w:hAnsi="Palatino Linotype" w:cs="Arial"/>
          <w:b/>
        </w:rPr>
        <w:t xml:space="preserve"> SUJETO OBLIGADO</w:t>
      </w:r>
      <w:r w:rsidRPr="00C216D4">
        <w:rPr>
          <w:rFonts w:ascii="Palatino Linotype" w:hAnsi="Palatino Linotype" w:cs="Arial"/>
        </w:rPr>
        <w:t xml:space="preserve">, para que conforme al artículo 186 último párrafo, 189 segundo párrafo y 194 de la Ley de Transparencia y Acceso a la Información Pública del Estado de </w:t>
      </w:r>
      <w:r w:rsidRPr="00ED7486">
        <w:rPr>
          <w:rFonts w:ascii="Palatino Linotype" w:hAnsi="Palatino Linotype" w:cs="Arial"/>
        </w:rPr>
        <w:t>México y Municipios; dé cumplimiento a lo ordenado dentro del plazo de diez días hábiles, debiendo informar a este Instituto en un plazo de tres días hábiles siguientes sobre el cumplimiento dado a la presente resolución.</w:t>
      </w:r>
    </w:p>
    <w:p w:rsidR="00331FE1" w:rsidRPr="00ED7486" w:rsidRDefault="00331FE1" w:rsidP="001463A1">
      <w:pPr>
        <w:pStyle w:val="Sinespaciado"/>
        <w:spacing w:line="360" w:lineRule="auto"/>
        <w:jc w:val="both"/>
        <w:rPr>
          <w:rFonts w:ascii="Palatino Linotype" w:hAnsi="Palatino Linotype" w:cs="Arial"/>
        </w:rPr>
      </w:pPr>
    </w:p>
    <w:p w:rsidR="00331FE1" w:rsidRDefault="00331FE1" w:rsidP="001463A1">
      <w:pPr>
        <w:pStyle w:val="Sinespaciado"/>
        <w:spacing w:line="360" w:lineRule="auto"/>
        <w:jc w:val="both"/>
        <w:rPr>
          <w:rFonts w:ascii="Palatino Linotype" w:hAnsi="Palatino Linotype"/>
          <w:color w:val="222222"/>
          <w:shd w:val="clear" w:color="auto" w:fill="FFFFFF"/>
        </w:rPr>
      </w:pPr>
      <w:r w:rsidRPr="00ED7486">
        <w:rPr>
          <w:rFonts w:ascii="Palatino Linotype" w:hAnsi="Palatino Linotype" w:cs="Arial"/>
          <w:b/>
        </w:rPr>
        <w:t xml:space="preserve">CUARTO. Notifíquese </w:t>
      </w:r>
      <w:r w:rsidRPr="00ED7486">
        <w:rPr>
          <w:rFonts w:ascii="Palatino Linotype" w:hAnsi="Palatino Linotype" w:cs="Arial"/>
        </w:rPr>
        <w:t xml:space="preserve">la presente resolución al </w:t>
      </w:r>
      <w:r w:rsidRPr="00BE0530">
        <w:rPr>
          <w:rFonts w:ascii="Palatino Linotype" w:hAnsi="Palatino Linotype" w:cs="Arial"/>
          <w:b/>
        </w:rPr>
        <w:t>recurrente</w:t>
      </w:r>
      <w:r w:rsidRPr="00ED7486">
        <w:rPr>
          <w:rFonts w:ascii="Palatino Linotype" w:hAnsi="Palatino Linotype" w:cs="Arial"/>
        </w:rPr>
        <w:t xml:space="preserve"> y hágase de su conocimiento que, </w:t>
      </w:r>
      <w:r w:rsidRPr="00ED7486">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ED7486">
        <w:rPr>
          <w:rStyle w:val="apple-converted-space"/>
          <w:rFonts w:ascii="Palatino Linotype" w:hAnsi="Palatino Linotype"/>
          <w:color w:val="222222"/>
          <w:shd w:val="clear" w:color="auto" w:fill="FFFFFF"/>
        </w:rPr>
        <w:t xml:space="preserve"> </w:t>
      </w:r>
      <w:r w:rsidRPr="00ED7486">
        <w:rPr>
          <w:rFonts w:ascii="Palatino Linotype" w:hAnsi="Palatino Linotype"/>
          <w:color w:val="222222"/>
          <w:shd w:val="clear" w:color="auto" w:fill="FFFFFF"/>
        </w:rPr>
        <w:t>podrá promover el Juicio de Amparo en los términos de las leyes aplicables.</w:t>
      </w:r>
    </w:p>
    <w:p w:rsidR="00331FE1" w:rsidRDefault="00331FE1" w:rsidP="001463A1">
      <w:pPr>
        <w:pStyle w:val="Sinespaciado"/>
        <w:spacing w:line="360" w:lineRule="auto"/>
        <w:jc w:val="both"/>
        <w:rPr>
          <w:rFonts w:ascii="Palatino Linotype" w:hAnsi="Palatino Linotype"/>
          <w:color w:val="222222"/>
          <w:shd w:val="clear" w:color="auto" w:fill="FFFFFF"/>
        </w:rPr>
      </w:pPr>
    </w:p>
    <w:p w:rsidR="00070083" w:rsidRDefault="00070083" w:rsidP="001463A1">
      <w:pPr>
        <w:pStyle w:val="Sinespaciado"/>
        <w:spacing w:line="360" w:lineRule="auto"/>
        <w:jc w:val="both"/>
        <w:rPr>
          <w:rFonts w:ascii="Palatino Linotype" w:hAnsi="Palatino Linotype"/>
          <w:color w:val="222222"/>
          <w:shd w:val="clear" w:color="auto" w:fill="FFFFFF"/>
        </w:rPr>
      </w:pPr>
    </w:p>
    <w:p w:rsidR="00331FE1" w:rsidRDefault="00331FE1" w:rsidP="001463A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sidR="00070083">
        <w:rPr>
          <w:rFonts w:ascii="Palatino Linotype" w:hAnsi="Palatino Linotype" w:cs="Arial"/>
          <w:sz w:val="24"/>
          <w:szCs w:val="24"/>
        </w:rPr>
        <w:t xml:space="preserve"> (EMITIENDO VOTO PARTICULAR),</w:t>
      </w:r>
      <w:r>
        <w:rPr>
          <w:rFonts w:ascii="Palatino Linotype" w:hAnsi="Palatino Linotype" w:cs="Arial"/>
          <w:sz w:val="24"/>
          <w:szCs w:val="24"/>
        </w:rPr>
        <w:t xml:space="preserve"> JAVIER MARTÍNEZ CRUZ Y LUIS GUSTAVO PARRA NORIEGA, EN LA </w:t>
      </w:r>
      <w:r w:rsidR="00070083">
        <w:rPr>
          <w:rFonts w:ascii="Palatino Linotype" w:hAnsi="Palatino Linotype" w:cs="Arial"/>
          <w:sz w:val="24"/>
          <w:szCs w:val="24"/>
        </w:rPr>
        <w:t>DÉCIMO SÉPTIMA</w:t>
      </w:r>
      <w:r>
        <w:rPr>
          <w:rFonts w:ascii="Palatino Linotype" w:hAnsi="Palatino Linotype" w:cs="Arial"/>
          <w:sz w:val="24"/>
          <w:szCs w:val="24"/>
        </w:rPr>
        <w:t xml:space="preserve"> SESIÓN ORDINARIA CELEBRADA EL </w:t>
      </w:r>
      <w:r w:rsidR="00070083">
        <w:rPr>
          <w:rFonts w:ascii="Palatino Linotype" w:hAnsi="Palatino Linotype" w:cs="Arial"/>
          <w:sz w:val="24"/>
          <w:szCs w:val="24"/>
        </w:rPr>
        <w:t>NUEVE DE MAYO</w:t>
      </w:r>
      <w:r>
        <w:rPr>
          <w:rFonts w:ascii="Palatino Linotype" w:hAnsi="Palatino Linotype" w:cs="Arial"/>
          <w:sz w:val="24"/>
          <w:szCs w:val="24"/>
        </w:rPr>
        <w:t xml:space="preserve"> DE DOS MIL DIECINUEVE, ANTE EL SECRETARIO TÉCNICO DEL PLENO, ALEXIS TAPIA RAMÍREZ. ----------------------------------------------------------</w:t>
      </w:r>
    </w:p>
    <w:p w:rsidR="00331FE1" w:rsidRDefault="00331FE1" w:rsidP="001463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1FE1" w:rsidRDefault="00331FE1" w:rsidP="001463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1FE1" w:rsidRDefault="00331FE1" w:rsidP="001463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1FE1" w:rsidRDefault="00331FE1" w:rsidP="001463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70083" w:rsidRDefault="00070083" w:rsidP="0007008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70083" w:rsidRDefault="00070083" w:rsidP="0007008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70083" w:rsidRDefault="00070083" w:rsidP="0007008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70083" w:rsidRDefault="00070083" w:rsidP="0007008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70083" w:rsidRDefault="00070083" w:rsidP="0007008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70083" w:rsidRDefault="00070083" w:rsidP="0007008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70083" w:rsidRDefault="00070083" w:rsidP="0007008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70083" w:rsidRDefault="00070083" w:rsidP="0007008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70083" w:rsidRDefault="00070083" w:rsidP="0007008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70083" w:rsidRDefault="00070083" w:rsidP="0007008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70083" w:rsidRDefault="00070083" w:rsidP="0007008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70083" w:rsidRDefault="00070083" w:rsidP="00070083">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1FE1" w:rsidTr="00110D71">
        <w:trPr>
          <w:jc w:val="center"/>
        </w:trPr>
        <w:tc>
          <w:tcPr>
            <w:tcW w:w="9062" w:type="dxa"/>
            <w:gridSpan w:val="2"/>
          </w:tcPr>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r>
              <w:rPr>
                <w:rFonts w:ascii="Palatino Linotype" w:hAnsi="Palatino Linotype"/>
                <w:b/>
              </w:rPr>
              <w:t>Zulema Martínez Sánchez</w:t>
            </w:r>
          </w:p>
          <w:p w:rsidR="00331FE1" w:rsidRDefault="00331FE1" w:rsidP="001463A1">
            <w:pPr>
              <w:pStyle w:val="Sinespaciado"/>
              <w:jc w:val="center"/>
              <w:rPr>
                <w:rFonts w:ascii="Palatino Linotype" w:hAnsi="Palatino Linotype"/>
              </w:rPr>
            </w:pPr>
            <w:r>
              <w:rPr>
                <w:rFonts w:ascii="Palatino Linotype" w:hAnsi="Palatino Linotype"/>
              </w:rPr>
              <w:t>Comisionada Presidenta</w:t>
            </w:r>
          </w:p>
          <w:p w:rsidR="00331FE1" w:rsidRDefault="00331FE1" w:rsidP="001463A1">
            <w:pPr>
              <w:pStyle w:val="Sinespaciado"/>
              <w:jc w:val="center"/>
              <w:rPr>
                <w:rFonts w:ascii="Palatino Linotype" w:hAnsi="Palatino Linotype"/>
              </w:rPr>
            </w:pPr>
          </w:p>
          <w:p w:rsidR="00331FE1" w:rsidRDefault="00331FE1" w:rsidP="001463A1">
            <w:pPr>
              <w:pStyle w:val="Sinespaciado"/>
              <w:jc w:val="center"/>
              <w:rPr>
                <w:rFonts w:ascii="Palatino Linotype" w:hAnsi="Palatino Linotype"/>
              </w:rPr>
            </w:pPr>
            <w:r>
              <w:rPr>
                <w:rFonts w:ascii="Palatino Linotype" w:hAnsi="Palatino Linotype"/>
                <w:color w:val="FFFFFF" w:themeColor="background1"/>
              </w:rPr>
              <w:t>(Rúbrica)</w:t>
            </w:r>
          </w:p>
        </w:tc>
      </w:tr>
      <w:tr w:rsidR="00331FE1" w:rsidTr="00110D71">
        <w:trPr>
          <w:jc w:val="center"/>
        </w:trPr>
        <w:tc>
          <w:tcPr>
            <w:tcW w:w="4531" w:type="dxa"/>
          </w:tcPr>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r>
              <w:rPr>
                <w:rFonts w:ascii="Palatino Linotype" w:hAnsi="Palatino Linotype"/>
                <w:b/>
              </w:rPr>
              <w:t>Eva Abaid Yapur</w:t>
            </w:r>
          </w:p>
          <w:p w:rsidR="00331FE1" w:rsidRDefault="00331FE1" w:rsidP="001463A1">
            <w:pPr>
              <w:pStyle w:val="Sinespaciado"/>
              <w:jc w:val="center"/>
              <w:rPr>
                <w:rFonts w:ascii="Palatino Linotype" w:hAnsi="Palatino Linotype"/>
              </w:rPr>
            </w:pPr>
            <w:r>
              <w:rPr>
                <w:rFonts w:ascii="Palatino Linotype" w:hAnsi="Palatino Linotype"/>
              </w:rPr>
              <w:t>Comisionada</w:t>
            </w:r>
          </w:p>
          <w:p w:rsidR="00331FE1" w:rsidRDefault="00331FE1" w:rsidP="001463A1">
            <w:pPr>
              <w:pStyle w:val="Sinespaciado"/>
              <w:jc w:val="center"/>
              <w:rPr>
                <w:rFonts w:ascii="Palatino Linotype" w:hAnsi="Palatino Linotype"/>
              </w:rPr>
            </w:pPr>
          </w:p>
          <w:p w:rsidR="00331FE1" w:rsidRDefault="00331FE1" w:rsidP="001463A1">
            <w:pPr>
              <w:pStyle w:val="Sinespaciado"/>
              <w:spacing w:line="276" w:lineRule="auto"/>
              <w:jc w:val="center"/>
              <w:rPr>
                <w:rFonts w:ascii="Palatino Linotype" w:hAnsi="Palatino Linotype"/>
              </w:rPr>
            </w:pPr>
          </w:p>
          <w:p w:rsidR="00331FE1" w:rsidRDefault="00331FE1" w:rsidP="001463A1">
            <w:pPr>
              <w:pStyle w:val="Sinespaciado"/>
              <w:spacing w:line="276" w:lineRule="auto"/>
              <w:jc w:val="center"/>
              <w:rPr>
                <w:rFonts w:ascii="Palatino Linotype" w:hAnsi="Palatino Linotype"/>
              </w:rPr>
            </w:pPr>
          </w:p>
          <w:p w:rsidR="00331FE1" w:rsidRDefault="00331FE1" w:rsidP="001463A1">
            <w:pPr>
              <w:pStyle w:val="Sinespaciado"/>
              <w:spacing w:line="276" w:lineRule="auto"/>
              <w:jc w:val="center"/>
              <w:rPr>
                <w:rFonts w:ascii="Palatino Linotype" w:hAnsi="Palatino Linotype"/>
              </w:rPr>
            </w:pPr>
          </w:p>
          <w:p w:rsidR="00331FE1" w:rsidRDefault="00331FE1" w:rsidP="001463A1">
            <w:pPr>
              <w:pStyle w:val="Sinespaciado"/>
              <w:spacing w:line="276" w:lineRule="auto"/>
              <w:jc w:val="center"/>
              <w:rPr>
                <w:rFonts w:ascii="Palatino Linotype" w:hAnsi="Palatino Linotype"/>
              </w:rPr>
            </w:pPr>
          </w:p>
          <w:p w:rsidR="00331FE1" w:rsidRDefault="00331FE1" w:rsidP="001463A1">
            <w:pPr>
              <w:pStyle w:val="Sinespaciado"/>
              <w:spacing w:line="276" w:lineRule="auto"/>
              <w:jc w:val="center"/>
              <w:rPr>
                <w:rFonts w:ascii="Palatino Linotype" w:hAnsi="Palatino Linotype"/>
              </w:rPr>
            </w:pPr>
          </w:p>
          <w:p w:rsidR="00331FE1" w:rsidRDefault="00331FE1" w:rsidP="001463A1">
            <w:pPr>
              <w:pStyle w:val="Sinespaciado"/>
              <w:spacing w:line="276" w:lineRule="auto"/>
              <w:jc w:val="center"/>
              <w:rPr>
                <w:rFonts w:ascii="Palatino Linotype" w:hAnsi="Palatino Linotype"/>
                <w:b/>
              </w:rPr>
            </w:pPr>
            <w:r>
              <w:rPr>
                <w:rFonts w:ascii="Palatino Linotype" w:hAnsi="Palatino Linotype"/>
                <w:b/>
              </w:rPr>
              <w:t>Javier Martínez Cruz</w:t>
            </w:r>
          </w:p>
          <w:p w:rsidR="00331FE1" w:rsidRDefault="00331FE1" w:rsidP="001463A1">
            <w:pPr>
              <w:pStyle w:val="Sinespaciado"/>
              <w:spacing w:line="276" w:lineRule="auto"/>
              <w:jc w:val="center"/>
              <w:rPr>
                <w:rFonts w:ascii="Palatino Linotype" w:hAnsi="Palatino Linotype"/>
              </w:rPr>
            </w:pPr>
            <w:r>
              <w:rPr>
                <w:rFonts w:ascii="Palatino Linotype" w:hAnsi="Palatino Linotype"/>
              </w:rPr>
              <w:t>Comisionado</w:t>
            </w:r>
          </w:p>
          <w:p w:rsidR="00331FE1" w:rsidRDefault="00331FE1" w:rsidP="001463A1">
            <w:pPr>
              <w:pStyle w:val="Sinespaciado"/>
              <w:spacing w:line="276" w:lineRule="auto"/>
              <w:jc w:val="center"/>
              <w:rPr>
                <w:rFonts w:ascii="Palatino Linotype" w:hAnsi="Palatino Linotype"/>
              </w:rPr>
            </w:pPr>
          </w:p>
          <w:p w:rsidR="00331FE1" w:rsidRDefault="00331FE1" w:rsidP="001463A1">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r>
              <w:rPr>
                <w:rFonts w:ascii="Palatino Linotype" w:hAnsi="Palatino Linotype"/>
                <w:b/>
              </w:rPr>
              <w:t>José Guadalupe Luna Hernández</w:t>
            </w:r>
          </w:p>
          <w:p w:rsidR="00331FE1" w:rsidRDefault="00331FE1" w:rsidP="001463A1">
            <w:pPr>
              <w:pStyle w:val="Sinespaciado"/>
              <w:jc w:val="center"/>
              <w:rPr>
                <w:rFonts w:ascii="Palatino Linotype" w:hAnsi="Palatino Linotype"/>
              </w:rPr>
            </w:pPr>
            <w:r>
              <w:rPr>
                <w:rFonts w:ascii="Palatino Linotype" w:hAnsi="Palatino Linotype"/>
              </w:rPr>
              <w:t>Comisionado</w:t>
            </w:r>
          </w:p>
          <w:p w:rsidR="00331FE1" w:rsidRDefault="00331FE1" w:rsidP="001463A1">
            <w:pPr>
              <w:pStyle w:val="Sinespaciado"/>
              <w:jc w:val="center"/>
              <w:rPr>
                <w:rFonts w:ascii="Palatino Linotype" w:hAnsi="Palatino Linotype"/>
              </w:rPr>
            </w:pPr>
          </w:p>
          <w:p w:rsidR="00331FE1" w:rsidRDefault="00331FE1" w:rsidP="001463A1">
            <w:pPr>
              <w:pStyle w:val="Sinespaciado"/>
              <w:jc w:val="center"/>
              <w:rPr>
                <w:rFonts w:ascii="Palatino Linotype" w:hAnsi="Palatino Linotype"/>
              </w:rPr>
            </w:pPr>
          </w:p>
          <w:p w:rsidR="00331FE1" w:rsidRDefault="00331FE1" w:rsidP="001463A1">
            <w:pPr>
              <w:pStyle w:val="Sinespaciado"/>
              <w:jc w:val="center"/>
              <w:rPr>
                <w:rFonts w:ascii="Palatino Linotype" w:hAnsi="Palatino Linotype"/>
              </w:rPr>
            </w:pPr>
          </w:p>
          <w:p w:rsidR="00331FE1" w:rsidRDefault="00331FE1" w:rsidP="001463A1">
            <w:pPr>
              <w:pStyle w:val="Sinespaciado"/>
              <w:jc w:val="center"/>
              <w:rPr>
                <w:rFonts w:ascii="Palatino Linotype" w:hAnsi="Palatino Linotype"/>
              </w:rPr>
            </w:pPr>
          </w:p>
          <w:p w:rsidR="00331FE1" w:rsidRDefault="00331FE1" w:rsidP="001463A1">
            <w:pPr>
              <w:pStyle w:val="Sinespaciado"/>
              <w:jc w:val="center"/>
              <w:rPr>
                <w:rFonts w:ascii="Palatino Linotype" w:hAnsi="Palatino Linotype"/>
              </w:rPr>
            </w:pPr>
          </w:p>
          <w:p w:rsidR="00331FE1" w:rsidRDefault="00331FE1" w:rsidP="001463A1">
            <w:pPr>
              <w:pStyle w:val="Sinespaciado"/>
              <w:jc w:val="center"/>
              <w:rPr>
                <w:rFonts w:ascii="Palatino Linotype" w:hAnsi="Palatino Linotype"/>
              </w:rPr>
            </w:pPr>
          </w:p>
          <w:p w:rsidR="00331FE1" w:rsidRDefault="00331FE1" w:rsidP="001463A1">
            <w:pPr>
              <w:pStyle w:val="Sinespaciado"/>
              <w:jc w:val="center"/>
              <w:rPr>
                <w:rFonts w:ascii="Palatino Linotype" w:hAnsi="Palatino Linotype"/>
              </w:rPr>
            </w:pPr>
          </w:p>
          <w:p w:rsidR="00331FE1" w:rsidRDefault="00331FE1" w:rsidP="001463A1">
            <w:pPr>
              <w:pStyle w:val="Sinespaciado"/>
              <w:spacing w:line="276" w:lineRule="auto"/>
              <w:jc w:val="center"/>
              <w:rPr>
                <w:rFonts w:ascii="Palatino Linotype" w:hAnsi="Palatino Linotype"/>
                <w:b/>
              </w:rPr>
            </w:pPr>
            <w:r>
              <w:rPr>
                <w:rFonts w:ascii="Palatino Linotype" w:hAnsi="Palatino Linotype"/>
                <w:b/>
              </w:rPr>
              <w:t>Luis Gustavo Parra Noriega</w:t>
            </w:r>
          </w:p>
          <w:p w:rsidR="00331FE1" w:rsidRDefault="00331FE1" w:rsidP="001463A1">
            <w:pPr>
              <w:pStyle w:val="Sinespaciado"/>
              <w:spacing w:line="276" w:lineRule="auto"/>
              <w:jc w:val="center"/>
              <w:rPr>
                <w:rFonts w:ascii="Palatino Linotype" w:hAnsi="Palatino Linotype"/>
              </w:rPr>
            </w:pPr>
            <w:r>
              <w:rPr>
                <w:rFonts w:ascii="Palatino Linotype" w:hAnsi="Palatino Linotype"/>
              </w:rPr>
              <w:t xml:space="preserve">Comisionado </w:t>
            </w:r>
          </w:p>
          <w:p w:rsidR="00331FE1" w:rsidRDefault="00331FE1" w:rsidP="001463A1">
            <w:pPr>
              <w:pStyle w:val="Sinespaciado"/>
              <w:spacing w:line="276" w:lineRule="auto"/>
              <w:jc w:val="center"/>
              <w:rPr>
                <w:rFonts w:ascii="Palatino Linotype" w:hAnsi="Palatino Linotype"/>
              </w:rPr>
            </w:pPr>
          </w:p>
          <w:p w:rsidR="00331FE1" w:rsidRDefault="00331FE1" w:rsidP="001463A1">
            <w:pPr>
              <w:pStyle w:val="Sinespaciado"/>
              <w:jc w:val="center"/>
              <w:rPr>
                <w:rFonts w:ascii="Palatino Linotype" w:hAnsi="Palatino Linotype"/>
              </w:rPr>
            </w:pPr>
            <w:r>
              <w:rPr>
                <w:rFonts w:ascii="Palatino Linotype" w:hAnsi="Palatino Linotype"/>
                <w:color w:val="FFFFFF" w:themeColor="background1"/>
              </w:rPr>
              <w:t>(Rúbrica)</w:t>
            </w:r>
          </w:p>
        </w:tc>
      </w:tr>
      <w:tr w:rsidR="00331FE1" w:rsidTr="00110D71">
        <w:trPr>
          <w:jc w:val="center"/>
        </w:trPr>
        <w:tc>
          <w:tcPr>
            <w:tcW w:w="9062" w:type="dxa"/>
            <w:gridSpan w:val="2"/>
          </w:tcPr>
          <w:p w:rsidR="00331FE1" w:rsidRDefault="00331FE1" w:rsidP="001463A1">
            <w:pPr>
              <w:pStyle w:val="Sinespaciado"/>
              <w:rPr>
                <w:rFonts w:ascii="Palatino Linotype" w:hAnsi="Palatino Linotype"/>
              </w:rPr>
            </w:pPr>
          </w:p>
        </w:tc>
      </w:tr>
      <w:tr w:rsidR="00331FE1" w:rsidTr="00110D71">
        <w:trPr>
          <w:jc w:val="center"/>
        </w:trPr>
        <w:tc>
          <w:tcPr>
            <w:tcW w:w="9062" w:type="dxa"/>
            <w:gridSpan w:val="2"/>
          </w:tcPr>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p>
          <w:p w:rsidR="00331FE1" w:rsidRDefault="00331FE1" w:rsidP="001463A1">
            <w:pPr>
              <w:pStyle w:val="Sinespaciado"/>
              <w:jc w:val="center"/>
              <w:rPr>
                <w:rFonts w:ascii="Palatino Linotype" w:hAnsi="Palatino Linotype"/>
                <w:b/>
              </w:rPr>
            </w:pPr>
            <w:r>
              <w:rPr>
                <w:rFonts w:ascii="Palatino Linotype" w:hAnsi="Palatino Linotype"/>
                <w:b/>
              </w:rPr>
              <w:t>Alexis Tapia Ramírez</w:t>
            </w:r>
          </w:p>
          <w:p w:rsidR="00331FE1" w:rsidRDefault="00331FE1" w:rsidP="001463A1">
            <w:pPr>
              <w:pStyle w:val="Sinespaciado"/>
              <w:jc w:val="center"/>
              <w:rPr>
                <w:rFonts w:ascii="Palatino Linotype" w:hAnsi="Palatino Linotype"/>
              </w:rPr>
            </w:pPr>
            <w:r>
              <w:rPr>
                <w:rFonts w:ascii="Palatino Linotype" w:hAnsi="Palatino Linotype"/>
              </w:rPr>
              <w:t>Secretario Técnico del Pleno</w:t>
            </w:r>
          </w:p>
          <w:p w:rsidR="00331FE1" w:rsidRPr="00B52ED2" w:rsidRDefault="00331FE1" w:rsidP="001463A1">
            <w:pPr>
              <w:pStyle w:val="Sinespaciado"/>
              <w:jc w:val="center"/>
              <w:rPr>
                <w:rFonts w:ascii="Palatino Linotype" w:hAnsi="Palatino Linotype"/>
              </w:rPr>
            </w:pPr>
            <w:r w:rsidRPr="00B52ED2">
              <w:rPr>
                <w:rFonts w:ascii="Palatino Linotype" w:hAnsi="Palatino Linotype"/>
                <w:color w:val="FFFFFF" w:themeColor="background1"/>
              </w:rPr>
              <w:t>)</w:t>
            </w:r>
          </w:p>
        </w:tc>
      </w:tr>
    </w:tbl>
    <w:p w:rsidR="00331FE1" w:rsidRPr="006A5AC2" w:rsidRDefault="00331FE1" w:rsidP="001463A1">
      <w:pPr>
        <w:spacing w:after="0" w:line="360" w:lineRule="auto"/>
        <w:jc w:val="both"/>
        <w:rPr>
          <w:rFonts w:ascii="Palatino Linotype" w:hAnsi="Palatino Linotype" w:cs="Arial"/>
          <w:sz w:val="4"/>
          <w:szCs w:val="24"/>
        </w:rPr>
      </w:pPr>
    </w:p>
    <w:p w:rsidR="00331FE1" w:rsidRPr="00B36966" w:rsidRDefault="00331FE1" w:rsidP="001463A1">
      <w:pPr>
        <w:spacing w:after="0" w:line="240" w:lineRule="auto"/>
        <w:jc w:val="both"/>
        <w:rPr>
          <w:rFonts w:ascii="Palatino Linotype" w:hAnsi="Palatino Linotype" w:cs="Arial"/>
          <w:sz w:val="2"/>
          <w:szCs w:val="20"/>
        </w:rPr>
      </w:pPr>
    </w:p>
    <w:p w:rsidR="00331FE1" w:rsidRPr="006A5AC2" w:rsidRDefault="00331FE1" w:rsidP="001463A1">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070083">
        <w:rPr>
          <w:rFonts w:ascii="Palatino Linotype" w:hAnsi="Palatino Linotype" w:cs="Arial"/>
          <w:sz w:val="16"/>
          <w:szCs w:val="20"/>
        </w:rPr>
        <w:t xml:space="preserve">nueve de mayo </w:t>
      </w:r>
      <w:r>
        <w:rPr>
          <w:rFonts w:ascii="Palatino Linotype" w:hAnsi="Palatino Linotype" w:cs="Arial"/>
          <w:sz w:val="16"/>
          <w:szCs w:val="20"/>
        </w:rPr>
        <w:t>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7E203D">
        <w:rPr>
          <w:rFonts w:ascii="Palatino Linotype" w:hAnsi="Palatino Linotype" w:cs="Arial"/>
          <w:bCs/>
          <w:sz w:val="16"/>
          <w:szCs w:val="20"/>
          <w:lang w:eastAsia="es-MX"/>
        </w:rPr>
        <w:t>1145</w:t>
      </w:r>
      <w:r>
        <w:rPr>
          <w:rFonts w:ascii="Palatino Linotype" w:hAnsi="Palatino Linotype" w:cs="Arial"/>
          <w:bCs/>
          <w:sz w:val="16"/>
          <w:szCs w:val="20"/>
          <w:lang w:eastAsia="es-MX"/>
        </w:rPr>
        <w:t>/INFOEM/IP/RR/2019</w:t>
      </w:r>
    </w:p>
    <w:p w:rsidR="00AF0793" w:rsidRDefault="00331FE1" w:rsidP="00070083">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AF0793" w:rsidSect="0000780E">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AEF" w:rsidRDefault="00472AEF" w:rsidP="00331FE1">
      <w:pPr>
        <w:spacing w:after="0" w:line="240" w:lineRule="auto"/>
      </w:pPr>
      <w:r>
        <w:separator/>
      </w:r>
    </w:p>
  </w:endnote>
  <w:endnote w:type="continuationSeparator" w:id="0">
    <w:p w:rsidR="00472AEF" w:rsidRDefault="00472AEF" w:rsidP="0033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0780E" w:rsidRPr="002D6DD8" w:rsidRDefault="00A7074B" w:rsidP="000078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6E08">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96E08">
              <w:rPr>
                <w:rFonts w:ascii="Palatino Linotype" w:hAnsi="Palatino Linotype"/>
                <w:bCs/>
                <w:noProof/>
                <w:sz w:val="20"/>
              </w:rPr>
              <w:t>34</w:t>
            </w:r>
            <w:r>
              <w:rPr>
                <w:rFonts w:ascii="Palatino Linotype" w:hAnsi="Palatino Linotype"/>
                <w:bCs/>
                <w:noProof/>
                <w:sz w:val="20"/>
              </w:rPr>
              <w:fldChar w:fldCharType="end"/>
            </w:r>
          </w:p>
        </w:sdtContent>
      </w:sdt>
    </w:sdtContent>
  </w:sdt>
  <w:p w:rsidR="0000780E" w:rsidRDefault="00F96E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0E" w:rsidRPr="000B69FA" w:rsidRDefault="00A7074B" w:rsidP="000078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001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E0018">
      <w:rPr>
        <w:rFonts w:ascii="Palatino Linotype" w:hAnsi="Palatino Linotype"/>
        <w:bCs/>
        <w:noProof/>
        <w:sz w:val="20"/>
      </w:rPr>
      <w:t>34</w:t>
    </w:r>
    <w:r>
      <w:rPr>
        <w:rFonts w:ascii="Palatino Linotype" w:hAnsi="Palatino Linotype"/>
        <w:bCs/>
        <w:noProof/>
        <w:sz w:val="20"/>
      </w:rPr>
      <w:fldChar w:fldCharType="end"/>
    </w:r>
  </w:p>
  <w:p w:rsidR="0000780E" w:rsidRDefault="00F96E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AEF" w:rsidRDefault="00472AEF" w:rsidP="00331FE1">
      <w:pPr>
        <w:spacing w:after="0" w:line="240" w:lineRule="auto"/>
      </w:pPr>
      <w:r>
        <w:separator/>
      </w:r>
    </w:p>
  </w:footnote>
  <w:footnote w:type="continuationSeparator" w:id="0">
    <w:p w:rsidR="00472AEF" w:rsidRDefault="00472AEF" w:rsidP="00331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00780E" w:rsidTr="0000780E">
      <w:trPr>
        <w:trHeight w:val="227"/>
      </w:trPr>
      <w:tc>
        <w:tcPr>
          <w:tcW w:w="4962" w:type="dxa"/>
          <w:hideMark/>
        </w:tcPr>
        <w:p w:rsidR="0000780E" w:rsidRDefault="00A7074B" w:rsidP="000078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00780E" w:rsidRDefault="00A7074B" w:rsidP="00703883">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sidR="00703883">
            <w:rPr>
              <w:rFonts w:ascii="Palatino Linotype" w:hAnsi="Palatino Linotype" w:cs="Arial"/>
              <w:bCs/>
              <w:sz w:val="24"/>
              <w:lang w:eastAsia="es-MX"/>
            </w:rPr>
            <w:t>1145</w:t>
          </w:r>
          <w:r>
            <w:rPr>
              <w:rFonts w:ascii="Palatino Linotype" w:hAnsi="Palatino Linotype" w:cs="Arial"/>
              <w:bCs/>
              <w:sz w:val="24"/>
              <w:lang w:eastAsia="es-MX"/>
            </w:rPr>
            <w:t>/INFOEM/IP/RR/2019</w:t>
          </w:r>
        </w:p>
      </w:tc>
    </w:tr>
    <w:tr w:rsidR="0000780E" w:rsidTr="0000780E">
      <w:trPr>
        <w:trHeight w:val="242"/>
      </w:trPr>
      <w:tc>
        <w:tcPr>
          <w:tcW w:w="4962" w:type="dxa"/>
          <w:hideMark/>
        </w:tcPr>
        <w:p w:rsidR="0000780E" w:rsidRDefault="00A7074B" w:rsidP="000078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00780E" w:rsidRDefault="00A7074B" w:rsidP="00703883">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Ayuntamiento de</w:t>
          </w:r>
          <w:r>
            <w:rPr>
              <w:rFonts w:ascii="Palatino Linotype" w:hAnsi="Palatino Linotype" w:cs="Arial"/>
              <w:szCs w:val="20"/>
            </w:rPr>
            <w:t xml:space="preserve"> </w:t>
          </w:r>
          <w:r w:rsidR="00703883">
            <w:rPr>
              <w:rFonts w:ascii="Palatino Linotype" w:hAnsi="Palatino Linotype" w:cs="Arial"/>
              <w:szCs w:val="20"/>
            </w:rPr>
            <w:t>Chalco</w:t>
          </w:r>
        </w:p>
      </w:tc>
    </w:tr>
    <w:tr w:rsidR="0000780E" w:rsidTr="0000780E">
      <w:trPr>
        <w:trHeight w:val="342"/>
      </w:trPr>
      <w:tc>
        <w:tcPr>
          <w:tcW w:w="4962" w:type="dxa"/>
          <w:hideMark/>
        </w:tcPr>
        <w:p w:rsidR="0000780E" w:rsidRDefault="00A7074B" w:rsidP="000078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00780E" w:rsidRDefault="00A7074B" w:rsidP="0000780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0780E" w:rsidRPr="00AE046A" w:rsidRDefault="00F96E08" w:rsidP="0000780E">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0780E" w:rsidTr="0000780E">
      <w:trPr>
        <w:trHeight w:val="227"/>
      </w:trPr>
      <w:tc>
        <w:tcPr>
          <w:tcW w:w="5104" w:type="dxa"/>
          <w:hideMark/>
        </w:tcPr>
        <w:p w:rsidR="0000780E" w:rsidRDefault="00A7074B" w:rsidP="000078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00780E" w:rsidRDefault="00A7074B" w:rsidP="00331FE1">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331FE1">
            <w:rPr>
              <w:rFonts w:ascii="Palatino Linotype" w:hAnsi="Palatino Linotype" w:cs="Arial"/>
              <w:bCs/>
              <w:sz w:val="24"/>
              <w:lang w:eastAsia="es-MX"/>
            </w:rPr>
            <w:t>1145</w:t>
          </w:r>
          <w:r>
            <w:rPr>
              <w:rFonts w:ascii="Palatino Linotype" w:hAnsi="Palatino Linotype" w:cs="Arial"/>
              <w:bCs/>
              <w:sz w:val="24"/>
              <w:lang w:eastAsia="es-MX"/>
            </w:rPr>
            <w:t>/INFOEM/IP/RR/2019</w:t>
          </w:r>
        </w:p>
      </w:tc>
    </w:tr>
    <w:tr w:rsidR="0000780E" w:rsidTr="0000780E">
      <w:trPr>
        <w:trHeight w:val="242"/>
      </w:trPr>
      <w:tc>
        <w:tcPr>
          <w:tcW w:w="5104" w:type="dxa"/>
          <w:hideMark/>
        </w:tcPr>
        <w:p w:rsidR="0000780E" w:rsidRDefault="00A7074B" w:rsidP="000078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00780E" w:rsidRDefault="00A7074B" w:rsidP="00331FE1">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sidR="00331FE1">
            <w:rPr>
              <w:rFonts w:ascii="Palatino Linotype" w:hAnsi="Palatino Linotype" w:cs="Arial"/>
              <w:szCs w:val="20"/>
            </w:rPr>
            <w:t>Chalco</w:t>
          </w:r>
        </w:p>
      </w:tc>
    </w:tr>
    <w:tr w:rsidR="0000780E" w:rsidTr="0000780E">
      <w:trPr>
        <w:trHeight w:val="342"/>
      </w:trPr>
      <w:tc>
        <w:tcPr>
          <w:tcW w:w="5104" w:type="dxa"/>
        </w:tcPr>
        <w:p w:rsidR="0000780E" w:rsidRDefault="00A7074B" w:rsidP="000078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00780E" w:rsidRPr="003D23D7" w:rsidRDefault="00BE0018" w:rsidP="00BE0018">
          <w:pPr>
            <w:spacing w:after="120" w:line="256" w:lineRule="auto"/>
            <w:ind w:left="-486" w:right="214" w:firstLine="567"/>
            <w:jc w:val="right"/>
            <w:rPr>
              <w:rFonts w:ascii="Palatino Linotype" w:hAnsi="Palatino Linotype" w:cs="Arial"/>
            </w:rPr>
          </w:pPr>
          <w:r>
            <w:rPr>
              <w:rFonts w:ascii="Palatino Linotype" w:hAnsi="Palatino Linotype" w:cs="Arial"/>
            </w:rPr>
            <w:t>XXXXXX XX XXXXXXXXXXX XXXXX</w:t>
          </w:r>
          <w:r w:rsidR="00331FE1">
            <w:rPr>
              <w:rFonts w:ascii="Palatino Linotype" w:hAnsi="Palatino Linotype" w:cs="Arial"/>
            </w:rPr>
            <w:t xml:space="preserve"> </w:t>
          </w:r>
          <w:r>
            <w:rPr>
              <w:rFonts w:ascii="Palatino Linotype" w:hAnsi="Palatino Linotype" w:cs="Arial"/>
            </w:rPr>
            <w:t>XXXXXXXXXXX</w:t>
          </w:r>
        </w:p>
      </w:tc>
    </w:tr>
    <w:tr w:rsidR="0000780E" w:rsidTr="0000780E">
      <w:trPr>
        <w:trHeight w:val="342"/>
      </w:trPr>
      <w:tc>
        <w:tcPr>
          <w:tcW w:w="5104" w:type="dxa"/>
        </w:tcPr>
        <w:p w:rsidR="0000780E" w:rsidRDefault="00A7074B" w:rsidP="000078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00780E" w:rsidRDefault="00A7074B" w:rsidP="0000780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0780E" w:rsidRPr="00C222C0" w:rsidRDefault="00F96E0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B0A12"/>
    <w:multiLevelType w:val="hybridMultilevel"/>
    <w:tmpl w:val="05C4A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040782"/>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9021FF"/>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E1"/>
    <w:rsid w:val="00037282"/>
    <w:rsid w:val="00070083"/>
    <w:rsid w:val="000F21BE"/>
    <w:rsid w:val="001270C2"/>
    <w:rsid w:val="00132ED0"/>
    <w:rsid w:val="001463A1"/>
    <w:rsid w:val="00176A58"/>
    <w:rsid w:val="002A52B3"/>
    <w:rsid w:val="002F4391"/>
    <w:rsid w:val="00331FE1"/>
    <w:rsid w:val="00415657"/>
    <w:rsid w:val="00472AEF"/>
    <w:rsid w:val="006258A3"/>
    <w:rsid w:val="00637E1B"/>
    <w:rsid w:val="006A7719"/>
    <w:rsid w:val="006D1B49"/>
    <w:rsid w:val="006D5173"/>
    <w:rsid w:val="00703883"/>
    <w:rsid w:val="007603E9"/>
    <w:rsid w:val="007E203D"/>
    <w:rsid w:val="00805F82"/>
    <w:rsid w:val="00871748"/>
    <w:rsid w:val="008A57DA"/>
    <w:rsid w:val="009A098A"/>
    <w:rsid w:val="009A0BD2"/>
    <w:rsid w:val="009E1A04"/>
    <w:rsid w:val="00A64FA6"/>
    <w:rsid w:val="00A7074B"/>
    <w:rsid w:val="00AA43D7"/>
    <w:rsid w:val="00AF0793"/>
    <w:rsid w:val="00B61ADE"/>
    <w:rsid w:val="00BE0018"/>
    <w:rsid w:val="00C34103"/>
    <w:rsid w:val="00D76F57"/>
    <w:rsid w:val="00E40627"/>
    <w:rsid w:val="00F717B5"/>
    <w:rsid w:val="00F8076B"/>
    <w:rsid w:val="00F96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C3128-928C-43C4-A48C-7EAB5AAF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F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1FE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1F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1FE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1FE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1FE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1FE1"/>
  </w:style>
  <w:style w:type="character" w:styleId="Hipervnculo">
    <w:name w:val="Hyperlink"/>
    <w:basedOn w:val="Fuentedeprrafopredeter"/>
    <w:uiPriority w:val="99"/>
    <w:unhideWhenUsed/>
    <w:rsid w:val="00331FE1"/>
    <w:rPr>
      <w:color w:val="0563C1" w:themeColor="hyperlink"/>
      <w:u w:val="single"/>
    </w:rPr>
  </w:style>
  <w:style w:type="character" w:customStyle="1" w:styleId="SinespaciadoCar">
    <w:name w:val="Sin espaciado Car"/>
    <w:aliases w:val="Francesa Car"/>
    <w:link w:val="Sinespaciado"/>
    <w:uiPriority w:val="1"/>
    <w:locked/>
    <w:rsid w:val="00331FE1"/>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31FE1"/>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31F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1F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1F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31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0780">
      <w:bodyDiv w:val="1"/>
      <w:marLeft w:val="0"/>
      <w:marRight w:val="0"/>
      <w:marTop w:val="0"/>
      <w:marBottom w:val="0"/>
      <w:divBdr>
        <w:top w:val="none" w:sz="0" w:space="0" w:color="auto"/>
        <w:left w:val="none" w:sz="0" w:space="0" w:color="auto"/>
        <w:bottom w:val="none" w:sz="0" w:space="0" w:color="auto"/>
        <w:right w:val="none" w:sz="0" w:space="0" w:color="auto"/>
      </w:divBdr>
    </w:div>
    <w:div w:id="3719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8EA75-9771-456E-AAF8-E7819B0A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9869</Words>
  <Characters>54281</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2019-06-05T23:32:00Z</dcterms:created>
  <dcterms:modified xsi:type="dcterms:W3CDTF">2019-06-05T23:32:00Z</dcterms:modified>
</cp:coreProperties>
</file>