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D046DA">
        <w:rPr>
          <w:rFonts w:ascii="Palatino Linotype" w:hAnsi="Palatino Linotype" w:cs="Arial"/>
          <w:b/>
          <w:sz w:val="24"/>
          <w:szCs w:val="24"/>
        </w:rPr>
        <w:t>530</w:t>
      </w:r>
      <w:r w:rsidR="00932F7D">
        <w:rPr>
          <w:rFonts w:ascii="Palatino Linotype" w:hAnsi="Palatino Linotype" w:cs="Arial"/>
          <w:b/>
          <w:sz w:val="24"/>
          <w:szCs w:val="24"/>
        </w:rPr>
        <w:t>/INFOEM/IP/RR/20</w:t>
      </w:r>
      <w:r w:rsidR="00BC2483" w:rsidRPr="00BC2483">
        <w:rPr>
          <w:rFonts w:ascii="Palatino Linotype" w:hAnsi="Palatino Linotype"/>
          <w:b/>
          <w:sz w:val="24"/>
          <w:szCs w:val="24"/>
        </w:rPr>
        <w:t>19 1531/INFOEM/IP/RR/2019</w:t>
      </w:r>
      <w:r w:rsidR="00BC2483">
        <w:rPr>
          <w:rFonts w:ascii="Palatino Linotype" w:hAnsi="Palatino Linotype"/>
          <w:b/>
          <w:sz w:val="24"/>
          <w:szCs w:val="24"/>
        </w:rPr>
        <w:t>.</w:t>
      </w:r>
      <w:r w:rsidR="00932F7D">
        <w:rPr>
          <w:rFonts w:ascii="Palatino Linotype" w:hAnsi="Palatino Linotype" w:cs="Arial"/>
          <w:b/>
          <w:sz w:val="24"/>
          <w:szCs w:val="24"/>
        </w:rPr>
        <w:t xml:space="preserve"> </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FD1A8A" w:rsidRPr="00FD1A8A" w:rsidRDefault="00E6179D">
          <w:pPr>
            <w:pStyle w:val="TDC1"/>
            <w:rPr>
              <w:rFonts w:asciiTheme="minorHAnsi" w:eastAsiaTheme="minorEastAsia" w:hAnsiTheme="minorHAnsi"/>
              <w:b w:val="0"/>
              <w:sz w:val="24"/>
              <w:szCs w:val="24"/>
              <w:lang w:eastAsia="es-MX"/>
            </w:rPr>
          </w:pPr>
          <w:r w:rsidRPr="00FD1A8A">
            <w:rPr>
              <w:sz w:val="24"/>
              <w:szCs w:val="24"/>
            </w:rPr>
            <w:fldChar w:fldCharType="begin"/>
          </w:r>
          <w:r w:rsidRPr="00FD1A8A">
            <w:rPr>
              <w:sz w:val="24"/>
              <w:szCs w:val="24"/>
            </w:rPr>
            <w:instrText xml:space="preserve"> TOC \o "1-3" \h \z \u </w:instrText>
          </w:r>
          <w:r w:rsidRPr="00FD1A8A">
            <w:rPr>
              <w:sz w:val="24"/>
              <w:szCs w:val="24"/>
            </w:rPr>
            <w:fldChar w:fldCharType="separate"/>
          </w:r>
          <w:hyperlink w:anchor="_Toc10450289" w:history="1">
            <w:r w:rsidR="00FD1A8A" w:rsidRPr="00FD1A8A">
              <w:rPr>
                <w:rStyle w:val="Hipervnculo"/>
                <w:rFonts w:eastAsia="Times New Roman"/>
                <w:sz w:val="24"/>
                <w:szCs w:val="24"/>
              </w:rPr>
              <w:t>I.</w:t>
            </w:r>
            <w:r w:rsidR="00FD1A8A" w:rsidRPr="00FD1A8A">
              <w:rPr>
                <w:rFonts w:asciiTheme="minorHAnsi" w:eastAsiaTheme="minorEastAsia" w:hAnsiTheme="minorHAnsi"/>
                <w:b w:val="0"/>
                <w:sz w:val="24"/>
                <w:szCs w:val="24"/>
                <w:lang w:eastAsia="es-MX"/>
              </w:rPr>
              <w:tab/>
            </w:r>
            <w:r w:rsidR="00FD1A8A" w:rsidRPr="00FD1A8A">
              <w:rPr>
                <w:rStyle w:val="Hipervnculo"/>
                <w:rFonts w:eastAsia="Times New Roman"/>
                <w:sz w:val="24"/>
                <w:szCs w:val="24"/>
              </w:rPr>
              <w:t>Consideraciones Generales</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_Toc10450289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1</w:t>
            </w:r>
            <w:r w:rsidR="00FD1A8A" w:rsidRPr="00FD1A8A">
              <w:rPr>
                <w:webHidden/>
                <w:sz w:val="24"/>
                <w:szCs w:val="24"/>
              </w:rPr>
              <w:fldChar w:fldCharType="end"/>
            </w:r>
          </w:hyperlink>
        </w:p>
        <w:p w:rsidR="00FD1A8A" w:rsidRPr="00FD1A8A" w:rsidRDefault="002B70B1">
          <w:pPr>
            <w:pStyle w:val="TDC1"/>
            <w:rPr>
              <w:rFonts w:asciiTheme="minorHAnsi" w:eastAsiaTheme="minorEastAsia" w:hAnsiTheme="minorHAnsi"/>
              <w:b w:val="0"/>
              <w:sz w:val="24"/>
              <w:szCs w:val="24"/>
              <w:lang w:eastAsia="es-MX"/>
            </w:rPr>
          </w:pPr>
          <w:hyperlink w:anchor="_Toc10450290" w:history="1">
            <w:r w:rsidR="00FD1A8A" w:rsidRPr="00FD1A8A">
              <w:rPr>
                <w:rStyle w:val="Hipervnculo"/>
                <w:rFonts w:eastAsia="Calibri"/>
                <w:sz w:val="24"/>
                <w:szCs w:val="24"/>
                <w:lang w:val="es-ES"/>
              </w:rPr>
              <w:t>II.</w:t>
            </w:r>
            <w:r w:rsidR="00FD1A8A" w:rsidRPr="00FD1A8A">
              <w:rPr>
                <w:rFonts w:asciiTheme="minorHAnsi" w:eastAsiaTheme="minorEastAsia" w:hAnsiTheme="minorHAnsi"/>
                <w:b w:val="0"/>
                <w:sz w:val="24"/>
                <w:szCs w:val="24"/>
                <w:lang w:eastAsia="es-MX"/>
              </w:rPr>
              <w:tab/>
            </w:r>
            <w:r w:rsidR="00FD1A8A" w:rsidRPr="00FD1A8A">
              <w:rPr>
                <w:rStyle w:val="Hipervnculo"/>
                <w:rFonts w:eastAsia="Calibri"/>
                <w:sz w:val="24"/>
                <w:szCs w:val="24"/>
                <w:lang w:val="es-ES"/>
              </w:rPr>
              <w:t>De los requerimientos planteados en el recurso de revisión.</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_Toc10450290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2</w:t>
            </w:r>
            <w:r w:rsidR="00FD1A8A" w:rsidRPr="00FD1A8A">
              <w:rPr>
                <w:webHidden/>
                <w:sz w:val="24"/>
                <w:szCs w:val="24"/>
              </w:rPr>
              <w:fldChar w:fldCharType="end"/>
            </w:r>
          </w:hyperlink>
        </w:p>
        <w:p w:rsidR="00FD1A8A" w:rsidRPr="00FD1A8A" w:rsidRDefault="002B70B1">
          <w:pPr>
            <w:pStyle w:val="TDC2"/>
            <w:rPr>
              <w:rFonts w:asciiTheme="minorHAnsi" w:eastAsiaTheme="minorEastAsia" w:hAnsiTheme="minorHAnsi"/>
              <w:b w:val="0"/>
              <w:lang w:eastAsia="es-MX"/>
            </w:rPr>
          </w:pPr>
          <w:hyperlink w:anchor="_Toc10450291" w:history="1">
            <w:r w:rsidR="00FD1A8A" w:rsidRPr="00FD1A8A">
              <w:rPr>
                <w:rStyle w:val="Hipervnculo"/>
              </w:rPr>
              <w:t>III. Del Derecho de Acceso a la información pública y el deber de motivar.</w:t>
            </w:r>
            <w:r w:rsidR="00FD1A8A" w:rsidRPr="00FD1A8A">
              <w:rPr>
                <w:webHidden/>
              </w:rPr>
              <w:tab/>
            </w:r>
            <w:r w:rsidR="00FD1A8A" w:rsidRPr="00FD1A8A">
              <w:rPr>
                <w:webHidden/>
              </w:rPr>
              <w:fldChar w:fldCharType="begin"/>
            </w:r>
            <w:r w:rsidR="00FD1A8A" w:rsidRPr="00FD1A8A">
              <w:rPr>
                <w:webHidden/>
              </w:rPr>
              <w:instrText xml:space="preserve"> PAGEREF _Toc10450291 \h </w:instrText>
            </w:r>
            <w:r w:rsidR="00FD1A8A" w:rsidRPr="00FD1A8A">
              <w:rPr>
                <w:webHidden/>
              </w:rPr>
            </w:r>
            <w:r w:rsidR="00FD1A8A" w:rsidRPr="00FD1A8A">
              <w:rPr>
                <w:webHidden/>
              </w:rPr>
              <w:fldChar w:fldCharType="separate"/>
            </w:r>
            <w:r w:rsidR="00FD1A8A" w:rsidRPr="00FD1A8A">
              <w:rPr>
                <w:webHidden/>
              </w:rPr>
              <w:t>6</w:t>
            </w:r>
            <w:r w:rsidR="00FD1A8A" w:rsidRPr="00FD1A8A">
              <w:rPr>
                <w:webHidden/>
              </w:rPr>
              <w:fldChar w:fldCharType="end"/>
            </w:r>
          </w:hyperlink>
        </w:p>
        <w:p w:rsidR="00FD1A8A" w:rsidRPr="00FD1A8A" w:rsidRDefault="002B70B1" w:rsidP="00FD1A8A">
          <w:pPr>
            <w:pStyle w:val="TDC1"/>
            <w:rPr>
              <w:rFonts w:asciiTheme="minorHAnsi" w:eastAsiaTheme="minorEastAsia" w:hAnsiTheme="minorHAnsi"/>
              <w:b w:val="0"/>
              <w:sz w:val="24"/>
              <w:szCs w:val="24"/>
              <w:lang w:eastAsia="es-MX"/>
            </w:rPr>
          </w:pPr>
          <w:hyperlink w:anchor="_Toc10450292" w:history="1">
            <w:r w:rsidR="00FD1A8A" w:rsidRPr="00FD1A8A">
              <w:rPr>
                <w:rStyle w:val="Hipervnculo"/>
                <w:rFonts w:eastAsia="Calibri"/>
                <w:sz w:val="24"/>
                <w:szCs w:val="24"/>
              </w:rPr>
              <w:t>IV. Del Pronunciamiento simple</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_Toc10450292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11</w:t>
            </w:r>
            <w:r w:rsidR="00FD1A8A" w:rsidRPr="00FD1A8A">
              <w:rPr>
                <w:webHidden/>
                <w:sz w:val="24"/>
                <w:szCs w:val="24"/>
              </w:rPr>
              <w:fldChar w:fldCharType="end"/>
            </w:r>
          </w:hyperlink>
        </w:p>
        <w:p w:rsidR="00FD1A8A" w:rsidRPr="00FD1A8A" w:rsidRDefault="002B70B1">
          <w:pPr>
            <w:pStyle w:val="TDC1"/>
            <w:rPr>
              <w:rFonts w:asciiTheme="minorHAnsi" w:eastAsiaTheme="minorEastAsia" w:hAnsiTheme="minorHAnsi"/>
              <w:b w:val="0"/>
              <w:sz w:val="24"/>
              <w:szCs w:val="24"/>
              <w:lang w:eastAsia="es-MX"/>
            </w:rPr>
          </w:pPr>
          <w:hyperlink w:anchor="_Toc10450294" w:history="1">
            <w:r w:rsidR="00FD1A8A" w:rsidRPr="00FD1A8A">
              <w:rPr>
                <w:rStyle w:val="Hipervnculo"/>
                <w:rFonts w:eastAsia="Calibri"/>
                <w:sz w:val="24"/>
                <w:szCs w:val="24"/>
              </w:rPr>
              <w:t>V. Conclusión.</w:t>
            </w:r>
            <w:r w:rsidR="00FD1A8A" w:rsidRPr="00FD1A8A">
              <w:rPr>
                <w:webHidden/>
                <w:sz w:val="24"/>
                <w:szCs w:val="24"/>
              </w:rPr>
              <w:tab/>
            </w:r>
            <w:r w:rsidR="00FD1A8A" w:rsidRPr="00FD1A8A">
              <w:rPr>
                <w:webHidden/>
                <w:sz w:val="24"/>
                <w:szCs w:val="24"/>
              </w:rPr>
              <w:fldChar w:fldCharType="begin"/>
            </w:r>
            <w:r w:rsidR="00FD1A8A" w:rsidRPr="00FD1A8A">
              <w:rPr>
                <w:webHidden/>
                <w:sz w:val="24"/>
                <w:szCs w:val="24"/>
              </w:rPr>
              <w:instrText xml:space="preserve"> PAGEREF _Toc10450294 \h </w:instrText>
            </w:r>
            <w:r w:rsidR="00FD1A8A" w:rsidRPr="00FD1A8A">
              <w:rPr>
                <w:webHidden/>
                <w:sz w:val="24"/>
                <w:szCs w:val="24"/>
              </w:rPr>
            </w:r>
            <w:r w:rsidR="00FD1A8A" w:rsidRPr="00FD1A8A">
              <w:rPr>
                <w:webHidden/>
                <w:sz w:val="24"/>
                <w:szCs w:val="24"/>
              </w:rPr>
              <w:fldChar w:fldCharType="separate"/>
            </w:r>
            <w:r w:rsidR="00FD1A8A" w:rsidRPr="00FD1A8A">
              <w:rPr>
                <w:webHidden/>
                <w:sz w:val="24"/>
                <w:szCs w:val="24"/>
              </w:rPr>
              <w:t>30</w:t>
            </w:r>
            <w:r w:rsidR="00FD1A8A" w:rsidRPr="00FD1A8A">
              <w:rPr>
                <w:webHidden/>
                <w:sz w:val="24"/>
                <w:szCs w:val="24"/>
              </w:rPr>
              <w:fldChar w:fldCharType="end"/>
            </w:r>
          </w:hyperlink>
        </w:p>
        <w:p w:rsidR="00E6179D" w:rsidRPr="00FD1A8A" w:rsidRDefault="00E6179D" w:rsidP="00B73B30">
          <w:pPr>
            <w:spacing w:line="360" w:lineRule="auto"/>
            <w:rPr>
              <w:rFonts w:ascii="Palatino Linotype" w:hAnsi="Palatino Linotype"/>
              <w:b/>
              <w:sz w:val="24"/>
              <w:szCs w:val="24"/>
            </w:rPr>
          </w:pPr>
          <w:r w:rsidRPr="00FD1A8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045028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w:t>
      </w:r>
      <w:r w:rsidRPr="009F02EB">
        <w:rPr>
          <w:rFonts w:ascii="Palatino Linotype" w:eastAsia="Calibri" w:hAnsi="Palatino Linotype" w:cs="Arial"/>
          <w:sz w:val="24"/>
          <w:szCs w:val="24"/>
        </w:rPr>
        <w:lastRenderedPageBreak/>
        <w:t xml:space="preserve">Ordinaria celebrada el día </w:t>
      </w:r>
      <w:r w:rsidR="00733359">
        <w:rPr>
          <w:rFonts w:ascii="Palatino Linotype" w:eastAsia="Calibri" w:hAnsi="Palatino Linotype" w:cs="Arial"/>
          <w:sz w:val="24"/>
          <w:szCs w:val="24"/>
        </w:rPr>
        <w:t>v</w:t>
      </w:r>
      <w:r w:rsidR="00DD4DDE">
        <w:rPr>
          <w:rFonts w:ascii="Palatino Linotype" w:eastAsia="Calibri" w:hAnsi="Palatino Linotype" w:cs="Arial"/>
          <w:sz w:val="24"/>
          <w:szCs w:val="24"/>
        </w:rPr>
        <w:t>eintinueve</w:t>
      </w:r>
      <w:r w:rsidRPr="009F02EB">
        <w:rPr>
          <w:rFonts w:ascii="Palatino Linotype" w:eastAsia="Calibri" w:hAnsi="Palatino Linotype" w:cs="Arial"/>
          <w:sz w:val="24"/>
          <w:szCs w:val="24"/>
        </w:rPr>
        <w:t xml:space="preserve"> (</w:t>
      </w:r>
      <w:r w:rsidR="00DD4DDE">
        <w:rPr>
          <w:rFonts w:ascii="Palatino Linotype" w:eastAsia="Calibri" w:hAnsi="Palatino Linotype" w:cs="Arial"/>
          <w:sz w:val="24"/>
          <w:szCs w:val="24"/>
        </w:rPr>
        <w:t>29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B558FB" w:rsidRPr="00B558FB">
        <w:rPr>
          <w:rFonts w:ascii="Palatino Linotype" w:hAnsi="Palatino Linotype" w:cs="Arial"/>
          <w:b/>
          <w:sz w:val="24"/>
        </w:rPr>
        <w:t xml:space="preserve"> </w:t>
      </w:r>
      <w:r w:rsidR="00D046DA" w:rsidRPr="00D046DA">
        <w:rPr>
          <w:rFonts w:ascii="Palatino Linotype" w:hAnsi="Palatino Linotype"/>
          <w:b/>
          <w:sz w:val="24"/>
          <w:szCs w:val="24"/>
        </w:rPr>
        <w:t>Organismo Descentralizado de Agua Potable Alcantarillado y Saneamiento de Valle de Chalco Solidaridad</w:t>
      </w:r>
      <w:r w:rsidR="00B558FB">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F36194" w:rsidRPr="00A9511F">
        <w:rPr>
          <w:rFonts w:ascii="Palatino Linotype" w:hAnsi="Palatino Linotype" w:cs="Arial"/>
          <w:b/>
          <w:sz w:val="24"/>
          <w:szCs w:val="24"/>
        </w:rPr>
        <w:t>0</w:t>
      </w:r>
      <w:r w:rsidR="00D046DA">
        <w:rPr>
          <w:rFonts w:ascii="Palatino Linotype" w:hAnsi="Palatino Linotype" w:cs="Arial"/>
          <w:b/>
          <w:sz w:val="24"/>
          <w:szCs w:val="24"/>
        </w:rPr>
        <w:t>1530</w:t>
      </w:r>
      <w:r w:rsidR="00F36194">
        <w:rPr>
          <w:rFonts w:ascii="Palatino Linotype" w:hAnsi="Palatino Linotype" w:cs="Arial"/>
          <w:b/>
          <w:sz w:val="24"/>
          <w:szCs w:val="24"/>
        </w:rPr>
        <w:t>/INFOEM/IP/RR/2019</w:t>
      </w:r>
      <w:r w:rsidR="00BC2483">
        <w:rPr>
          <w:rFonts w:ascii="Palatino Linotype" w:hAnsi="Palatino Linotype" w:cs="Arial"/>
          <w:b/>
          <w:sz w:val="24"/>
          <w:szCs w:val="24"/>
        </w:rPr>
        <w:t xml:space="preserve"> y </w:t>
      </w:r>
      <w:r w:rsidR="00BC2483" w:rsidRPr="00BC2483">
        <w:rPr>
          <w:rFonts w:ascii="Palatino Linotype" w:hAnsi="Palatino Linotype"/>
          <w:b/>
          <w:sz w:val="24"/>
          <w:szCs w:val="24"/>
        </w:rPr>
        <w:t>1531/INFOEM/IP/RR/2019</w:t>
      </w:r>
      <w:r w:rsidR="00BC2483">
        <w:rPr>
          <w:rFonts w:ascii="Palatino Linotype" w:hAnsi="Palatino Linotype" w:cs="Arial"/>
          <w:b/>
          <w:sz w:val="24"/>
          <w:szCs w:val="24"/>
        </w:rPr>
        <w:t xml:space="preserve"> </w:t>
      </w:r>
      <w:r w:rsidR="00F36194">
        <w:rPr>
          <w:rFonts w:ascii="Palatino Linotype" w:hAnsi="Palatino Linotype" w:cs="Arial"/>
          <w:b/>
          <w:sz w:val="24"/>
          <w:szCs w:val="24"/>
        </w:rPr>
        <w:t>.</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9C2C8C">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0450290"/>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w:t>
      </w:r>
      <w:r w:rsidR="00B558FB">
        <w:rPr>
          <w:rFonts w:ascii="Palatino Linotype" w:eastAsia="Calibri" w:hAnsi="Palatino Linotype" w:cs="Times New Roman"/>
          <w:sz w:val="24"/>
          <w:szCs w:val="24"/>
        </w:rPr>
        <w:t xml:space="preserve"> del derecho constitucional que</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el</w:t>
      </w:r>
      <w:r w:rsidR="00F10110" w:rsidRPr="00F10110">
        <w:rPr>
          <w:rFonts w:ascii="Palatino Linotype" w:hAnsi="Palatino Linotype"/>
          <w:b/>
          <w:sz w:val="24"/>
          <w:szCs w:val="24"/>
        </w:rPr>
        <w:t xml:space="preserve"> </w:t>
      </w:r>
      <w:r w:rsidR="00F10110" w:rsidRPr="00D046DA">
        <w:rPr>
          <w:rFonts w:ascii="Palatino Linotype" w:hAnsi="Palatino Linotype"/>
          <w:b/>
          <w:sz w:val="24"/>
          <w:szCs w:val="24"/>
        </w:rPr>
        <w:t>Organismo Descentralizado de Agua Potable Alcantarillado y Saneamiento de Valle de Chalco Solidaridad</w:t>
      </w:r>
      <w:r w:rsidR="00DD4DDE" w:rsidRPr="00DF4D59">
        <w:rPr>
          <w:rFonts w:ascii="Palatino Linotype" w:hAnsi="Palatino Linotype" w:cs="Arial"/>
          <w:b/>
          <w:sz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F36194">
        <w:rPr>
          <w:rFonts w:ascii="Palatino Linotype" w:eastAsia="Calibri" w:hAnsi="Palatino Linotype" w:cs="Times New Roman"/>
          <w:sz w:val="24"/>
          <w:szCs w:val="24"/>
        </w:rPr>
        <w:t>s</w:t>
      </w:r>
      <w:r w:rsidR="005C0258" w:rsidRPr="00D93A70">
        <w:rPr>
          <w:rFonts w:ascii="Palatino Linotype" w:eastAsia="Calibri" w:hAnsi="Palatino Linotype" w:cs="Times New Roman"/>
          <w:sz w:val="24"/>
          <w:szCs w:val="24"/>
        </w:rPr>
        <w:t xml:space="preserve"> solicitud</w:t>
      </w:r>
      <w:r w:rsidR="00F36194">
        <w:rPr>
          <w:rFonts w:ascii="Palatino Linotype" w:eastAsia="Calibri" w:hAnsi="Palatino Linotype" w:cs="Times New Roman"/>
          <w:sz w:val="24"/>
          <w:szCs w:val="24"/>
        </w:rPr>
        <w:t>es</w:t>
      </w:r>
      <w:r w:rsidR="005C0258" w:rsidRPr="00D93A70">
        <w:rPr>
          <w:rFonts w:ascii="Palatino Linotype" w:eastAsia="Calibri" w:hAnsi="Palatino Linotype" w:cs="Times New Roman"/>
          <w:sz w:val="24"/>
          <w:szCs w:val="24"/>
        </w:rPr>
        <w:t xml:space="preserve">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B17715" w:rsidRPr="00B17715" w:rsidRDefault="00B17715" w:rsidP="00B17715">
      <w:pPr>
        <w:spacing w:after="0" w:line="360" w:lineRule="auto"/>
        <w:ind w:right="616"/>
        <w:jc w:val="both"/>
        <w:rPr>
          <w:rFonts w:ascii="Palatino Linotype" w:eastAsia="Times New Roman" w:hAnsi="Palatino Linotype" w:cs="Times New Roman"/>
          <w:b/>
          <w:bCs/>
          <w:sz w:val="24"/>
          <w:szCs w:val="24"/>
          <w:lang w:val="es-ES" w:eastAsia="es-ES"/>
        </w:rPr>
      </w:pPr>
      <w:r w:rsidRPr="00B17715">
        <w:rPr>
          <w:rFonts w:ascii="Palatino Linotype" w:eastAsia="Times New Roman" w:hAnsi="Palatino Linotype" w:cs="Times New Roman"/>
          <w:b/>
          <w:bCs/>
          <w:sz w:val="24"/>
          <w:szCs w:val="24"/>
          <w:lang w:val="es-ES" w:eastAsia="es-ES"/>
        </w:rPr>
        <w:t>00015/OASVACHASO/IP/2019:</w:t>
      </w:r>
    </w:p>
    <w:p w:rsidR="00B17715" w:rsidRPr="00B17715" w:rsidRDefault="00B17715" w:rsidP="00B17715">
      <w:pPr>
        <w:spacing w:after="0" w:line="360" w:lineRule="auto"/>
        <w:ind w:left="567" w:right="616"/>
        <w:jc w:val="both"/>
        <w:rPr>
          <w:rFonts w:ascii="Palatino Linotype" w:eastAsia="Times New Roman" w:hAnsi="Palatino Linotype" w:cs="Times New Roman"/>
          <w:bCs/>
          <w:sz w:val="24"/>
          <w:szCs w:val="24"/>
          <w:lang w:val="es-ES" w:eastAsia="es-ES"/>
        </w:rPr>
      </w:pPr>
    </w:p>
    <w:p w:rsidR="00B17715" w:rsidRPr="00B17715" w:rsidRDefault="00B17715" w:rsidP="00B17715">
      <w:pPr>
        <w:spacing w:after="0" w:line="240" w:lineRule="auto"/>
        <w:ind w:left="567" w:right="616"/>
        <w:jc w:val="both"/>
        <w:rPr>
          <w:rFonts w:ascii="Palatino Linotype" w:eastAsia="Times New Roman" w:hAnsi="Palatino Linotype" w:cs="Times New Roman"/>
          <w:b/>
          <w:sz w:val="24"/>
          <w:szCs w:val="28"/>
          <w:lang w:eastAsia="es-ES"/>
        </w:rPr>
      </w:pPr>
      <w:r w:rsidRPr="00B17715">
        <w:rPr>
          <w:rFonts w:ascii="Palatino Linotype" w:eastAsia="Times New Roman" w:hAnsi="Palatino Linotype" w:cs="Arial"/>
          <w:i/>
          <w:lang w:val="es-ES"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Odapas de Valle de Chalco Solidaridad correspondientes a la primera quincena de febrero de 2019, del personal de nómina (confianza y sindicalizados), por honorarios y lista de raya. Agradecemos su pronta respuesta.” (</w:t>
      </w:r>
      <w:r w:rsidRPr="00B17715">
        <w:rPr>
          <w:rFonts w:ascii="Palatino Linotype" w:eastAsia="Times New Roman" w:hAnsi="Palatino Linotype" w:cs="Times New Roman"/>
          <w:i/>
          <w:lang w:val="es-ES" w:eastAsia="es-ES"/>
        </w:rPr>
        <w:t>sic)</w:t>
      </w:r>
    </w:p>
    <w:p w:rsidR="00B17715" w:rsidRPr="00B17715" w:rsidRDefault="00B17715" w:rsidP="00B17715">
      <w:pPr>
        <w:spacing w:after="0" w:line="360" w:lineRule="auto"/>
        <w:ind w:left="567" w:right="616"/>
        <w:jc w:val="both"/>
        <w:rPr>
          <w:rFonts w:ascii="Palatino Linotype" w:eastAsia="Times New Roman" w:hAnsi="Palatino Linotype" w:cs="Times New Roman"/>
          <w:bCs/>
          <w:sz w:val="24"/>
          <w:szCs w:val="24"/>
          <w:lang w:val="es-ES" w:eastAsia="es-ES"/>
        </w:rPr>
      </w:pPr>
    </w:p>
    <w:p w:rsidR="00B17715" w:rsidRPr="00B17715" w:rsidRDefault="00B17715" w:rsidP="00B17715">
      <w:pPr>
        <w:spacing w:after="0" w:line="360" w:lineRule="auto"/>
        <w:ind w:right="616"/>
        <w:jc w:val="both"/>
        <w:rPr>
          <w:rFonts w:ascii="Palatino Linotype" w:eastAsia="Times New Roman" w:hAnsi="Palatino Linotype" w:cs="Times New Roman"/>
          <w:b/>
          <w:bCs/>
          <w:sz w:val="24"/>
          <w:szCs w:val="24"/>
          <w:lang w:val="es-ES" w:eastAsia="es-ES"/>
        </w:rPr>
      </w:pPr>
      <w:r w:rsidRPr="00B17715">
        <w:rPr>
          <w:rFonts w:ascii="Palatino Linotype" w:eastAsia="Times New Roman" w:hAnsi="Palatino Linotype" w:cs="Times New Roman"/>
          <w:b/>
          <w:bCs/>
          <w:sz w:val="24"/>
          <w:szCs w:val="24"/>
          <w:lang w:val="es-ES" w:eastAsia="es-ES"/>
        </w:rPr>
        <w:t>00020/OASVACHASO/IP/2019:</w:t>
      </w:r>
    </w:p>
    <w:p w:rsidR="00B17715" w:rsidRPr="00B17715" w:rsidRDefault="00B17715" w:rsidP="00B17715">
      <w:pPr>
        <w:spacing w:after="0" w:line="360" w:lineRule="auto"/>
        <w:ind w:left="567" w:right="616"/>
        <w:jc w:val="both"/>
        <w:rPr>
          <w:rFonts w:ascii="Palatino Linotype" w:eastAsia="Times New Roman" w:hAnsi="Palatino Linotype" w:cs="Times New Roman"/>
          <w:bCs/>
          <w:sz w:val="24"/>
          <w:szCs w:val="24"/>
          <w:lang w:val="es-ES" w:eastAsia="es-ES"/>
        </w:rPr>
      </w:pPr>
    </w:p>
    <w:p w:rsidR="00B17715" w:rsidRPr="00B17715" w:rsidRDefault="00B17715" w:rsidP="00B17715">
      <w:pPr>
        <w:spacing w:after="0" w:line="240" w:lineRule="auto"/>
        <w:ind w:left="567" w:right="616"/>
        <w:jc w:val="both"/>
        <w:rPr>
          <w:rFonts w:ascii="Palatino Linotype" w:eastAsia="Times New Roman" w:hAnsi="Palatino Linotype" w:cs="Times New Roman"/>
          <w:bCs/>
          <w:i/>
          <w:szCs w:val="24"/>
          <w:lang w:val="es-ES" w:eastAsia="es-ES"/>
        </w:rPr>
      </w:pPr>
      <w:r w:rsidRPr="00B17715">
        <w:rPr>
          <w:rFonts w:ascii="Palatino Linotype" w:eastAsia="Times New Roman" w:hAnsi="Palatino Linotype" w:cs="Times New Roman"/>
          <w:bCs/>
          <w:i/>
          <w:szCs w:val="24"/>
          <w:lang w:val="es-ES"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Odapas de Valle de Chalco Solidaridad correspondientes a la segunda quincena de febrero de 2019, del personal de nómina (confianza y sindicalizados), por honorarios y lista de raya. Agradecemos su pronta respuesta.”</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w:t>
      </w:r>
      <w:r w:rsidRPr="002B6741">
        <w:rPr>
          <w:rFonts w:ascii="Palatino Linotype" w:eastAsia="Calibri" w:hAnsi="Palatino Linotype" w:cs="Arial"/>
          <w:sz w:val="24"/>
          <w:szCs w:val="24"/>
        </w:rPr>
        <w:lastRenderedPageBreak/>
        <w:t xml:space="preserve">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B17715" w:rsidRPr="00B17715">
        <w:rPr>
          <w:rFonts w:ascii="Palatino Linotype" w:hAnsi="Palatino Linotype" w:cs="Arial"/>
          <w:b/>
          <w:sz w:val="24"/>
        </w:rPr>
        <w:t xml:space="preserve"> </w:t>
      </w:r>
      <w:r w:rsidR="00B17715" w:rsidRPr="00D046DA">
        <w:rPr>
          <w:rFonts w:ascii="Palatino Linotype" w:hAnsi="Palatino Linotype"/>
          <w:b/>
          <w:sz w:val="24"/>
          <w:szCs w:val="24"/>
        </w:rPr>
        <w:t>Organismo Descentralizado de Agua Potable Alcantarillado y Saneamiento de Valle de Chalco Solidaridad</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B17715" w:rsidRPr="00B17715">
        <w:rPr>
          <w:rFonts w:ascii="Palatino Linotype" w:hAnsi="Palatino Linotype"/>
          <w:b/>
          <w:sz w:val="24"/>
          <w:szCs w:val="24"/>
        </w:rPr>
        <w:t xml:space="preserve"> </w:t>
      </w:r>
      <w:r w:rsidR="00B17715" w:rsidRPr="00D046DA">
        <w:rPr>
          <w:rFonts w:ascii="Palatino Linotype" w:hAnsi="Palatino Linotype"/>
          <w:b/>
          <w:sz w:val="24"/>
          <w:szCs w:val="24"/>
        </w:rPr>
        <w:t>Organismo Descentralizado de Agua Potable Alcantarillado y Saneamiento de Valle de Chalco Solidaridad</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DC1A2E" w:rsidRPr="00DC1A2E" w:rsidRDefault="00DC1A2E" w:rsidP="00DC1A2E">
      <w:pPr>
        <w:numPr>
          <w:ilvl w:val="0"/>
          <w:numId w:val="13"/>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DC1A2E">
        <w:rPr>
          <w:rFonts w:ascii="Palatino Linotype" w:eastAsia="Times New Roman" w:hAnsi="Palatino Linotype" w:cs="Arial"/>
          <w:color w:val="000000" w:themeColor="text1"/>
          <w:sz w:val="24"/>
          <w:szCs w:val="24"/>
          <w:lang w:val="es-ES" w:eastAsia="es-ES"/>
        </w:rPr>
        <w:t>Los recibos de pago de todos los servidores públicos de confianza y sindicalizados, correspondientes a la primera y segunda quincena de febrero de dos mil diecinueve; y</w:t>
      </w:r>
    </w:p>
    <w:p w:rsidR="00DC1A2E" w:rsidRPr="00DC1A2E" w:rsidRDefault="00DC1A2E" w:rsidP="00DC1A2E">
      <w:pPr>
        <w:numPr>
          <w:ilvl w:val="0"/>
          <w:numId w:val="13"/>
        </w:numPr>
        <w:spacing w:after="0" w:line="360" w:lineRule="auto"/>
        <w:ind w:right="616"/>
        <w:jc w:val="both"/>
        <w:rPr>
          <w:rFonts w:ascii="Palatino Linotype" w:eastAsia="Times New Roman" w:hAnsi="Palatino Linotype" w:cs="Arial"/>
          <w:color w:val="000000" w:themeColor="text1"/>
          <w:sz w:val="24"/>
          <w:szCs w:val="24"/>
          <w:lang w:val="es-ES" w:eastAsia="es-ES"/>
        </w:rPr>
      </w:pPr>
      <w:r w:rsidRPr="00DC1A2E">
        <w:rPr>
          <w:rFonts w:ascii="Palatino Linotype" w:eastAsia="Times New Roman" w:hAnsi="Palatino Linotype" w:cs="Arial"/>
          <w:color w:val="000000" w:themeColor="text1"/>
          <w:sz w:val="24"/>
          <w:szCs w:val="24"/>
          <w:lang w:val="es-ES" w:eastAsia="es-ES"/>
        </w:rPr>
        <w:t xml:space="preserve"> Los recibos de pago de los servidores públicos contratados por honorarios y lista de raya, correspondientes a la primera y segunda quincena de febrero de dos mil diecinueve.</w:t>
      </w:r>
    </w:p>
    <w:p w:rsidR="00DC1A2E" w:rsidRPr="00DC1A2E" w:rsidRDefault="00DC1A2E" w:rsidP="00DC1A2E">
      <w:pPr>
        <w:spacing w:after="0" w:line="360" w:lineRule="auto"/>
        <w:jc w:val="both"/>
        <w:rPr>
          <w:rFonts w:ascii="Palatino Linotype" w:eastAsia="Times New Roman" w:hAnsi="Palatino Linotype" w:cs="Arial"/>
          <w:sz w:val="24"/>
          <w:szCs w:val="24"/>
          <w:lang w:val="es-ES" w:eastAsia="es-ES"/>
        </w:rPr>
      </w:pPr>
    </w:p>
    <w:p w:rsidR="00DC1A2E" w:rsidRPr="00DC1A2E" w:rsidRDefault="00DC1A2E" w:rsidP="00DC1A2E">
      <w:pPr>
        <w:spacing w:after="0" w:line="360" w:lineRule="auto"/>
        <w:jc w:val="both"/>
        <w:rPr>
          <w:rFonts w:ascii="Palatino Linotype" w:eastAsia="Times New Roman" w:hAnsi="Palatino Linotype" w:cs="Arial"/>
          <w:sz w:val="24"/>
          <w:szCs w:val="24"/>
          <w:lang w:val="es-ES" w:eastAsia="es-ES"/>
        </w:rPr>
      </w:pPr>
      <w:r w:rsidRPr="00DC1A2E">
        <w:rPr>
          <w:rFonts w:ascii="Palatino Linotype" w:eastAsia="Times New Roman" w:hAnsi="Palatino Linotype" w:cs="Arial"/>
          <w:sz w:val="24"/>
          <w:szCs w:val="24"/>
          <w:lang w:val="es-ES" w:eastAsia="es-ES"/>
        </w:rPr>
        <w:t xml:space="preserve">Debiendo emitir y adjuntar el acuerdo de clasificación que respalde la versión pública, de la documentación que entregue el sujeto obligado para dar cumplimiento a la presente resolución, en términos de lo señalado en el </w:t>
      </w:r>
      <w:r w:rsidRPr="00DC1A2E">
        <w:rPr>
          <w:rFonts w:ascii="Palatino Linotype" w:eastAsia="Times New Roman" w:hAnsi="Palatino Linotype" w:cs="Arial"/>
          <w:sz w:val="24"/>
          <w:szCs w:val="24"/>
          <w:lang w:val="es-ES" w:eastAsia="es-ES"/>
        </w:rPr>
        <w:lastRenderedPageBreak/>
        <w:t>Considerando Cuarto y en los artículos 49, fracción VIII, 132 fracción II de la Ley de Transparencia y Acceso a la Información Pública del Estado de México y Municipios y demás normatividades aplicables.</w:t>
      </w:r>
    </w:p>
    <w:p w:rsidR="00DC1A2E" w:rsidRPr="00DC1A2E" w:rsidRDefault="00DC1A2E" w:rsidP="00DC1A2E">
      <w:pPr>
        <w:spacing w:after="0" w:line="360" w:lineRule="auto"/>
        <w:jc w:val="both"/>
        <w:rPr>
          <w:rFonts w:ascii="Palatino Linotype" w:eastAsia="Times New Roman" w:hAnsi="Palatino Linotype" w:cs="Arial"/>
          <w:sz w:val="24"/>
          <w:szCs w:val="24"/>
          <w:lang w:val="es-ES" w:eastAsia="es-ES"/>
        </w:rPr>
      </w:pPr>
    </w:p>
    <w:p w:rsidR="00DC1A2E" w:rsidRPr="00DC1A2E" w:rsidRDefault="00DC1A2E" w:rsidP="00DC1A2E">
      <w:pPr>
        <w:spacing w:after="0" w:line="360" w:lineRule="auto"/>
        <w:jc w:val="both"/>
        <w:rPr>
          <w:rFonts w:ascii="Palatino Linotype" w:eastAsia="Times New Roman" w:hAnsi="Palatino Linotype" w:cs="Arial"/>
          <w:sz w:val="24"/>
          <w:szCs w:val="24"/>
          <w:lang w:val="es-ES" w:eastAsia="es-ES"/>
        </w:rPr>
      </w:pPr>
      <w:r w:rsidRPr="00DC1A2E">
        <w:rPr>
          <w:rFonts w:ascii="Palatino Linotype" w:eastAsia="Times New Roman" w:hAnsi="Palatino Linotype" w:cs="Arial"/>
          <w:sz w:val="24"/>
          <w:szCs w:val="24"/>
          <w:lang w:val="es-ES" w:eastAsia="es-ES"/>
        </w:rPr>
        <w:t xml:space="preserve">Respecto del numeral </w:t>
      </w:r>
      <w:r w:rsidRPr="00DC1A2E">
        <w:rPr>
          <w:rFonts w:ascii="Palatino Linotype" w:eastAsia="Times New Roman" w:hAnsi="Palatino Linotype" w:cs="Arial"/>
          <w:b/>
          <w:sz w:val="24"/>
          <w:szCs w:val="24"/>
          <w:lang w:val="es-ES" w:eastAsia="es-ES"/>
        </w:rPr>
        <w:t>2</w:t>
      </w:r>
      <w:r w:rsidRPr="00DC1A2E">
        <w:rPr>
          <w:rFonts w:ascii="Palatino Linotype" w:eastAsia="Times New Roman" w:hAnsi="Palatino Linotype" w:cs="Arial"/>
          <w:sz w:val="24"/>
          <w:szCs w:val="24"/>
          <w:lang w:val="es-ES" w:eastAsia="es-ES"/>
        </w:rPr>
        <w:t xml:space="preserve">, en el supuesto de que el </w:t>
      </w:r>
      <w:r w:rsidRPr="00DC1A2E">
        <w:rPr>
          <w:rFonts w:ascii="Palatino Linotype" w:eastAsia="Times New Roman" w:hAnsi="Palatino Linotype" w:cs="Arial"/>
          <w:b/>
          <w:sz w:val="24"/>
          <w:szCs w:val="24"/>
          <w:lang w:val="es-ES" w:eastAsia="es-ES"/>
        </w:rPr>
        <w:t>sujeto obligado</w:t>
      </w:r>
      <w:r w:rsidRPr="00DC1A2E">
        <w:rPr>
          <w:rFonts w:ascii="Palatino Linotype" w:eastAsia="Times New Roman" w:hAnsi="Palatino Linotype" w:cs="Arial"/>
          <w:sz w:val="24"/>
          <w:szCs w:val="24"/>
          <w:lang w:val="es-ES" w:eastAsia="es-ES"/>
        </w:rPr>
        <w:t xml:space="preserve"> no haya contratado personal bajo las modalidades referidas en el periodo cuya entrega se ordena, bastará con que lo haga del conocimiento del </w:t>
      </w:r>
      <w:r w:rsidRPr="00DC1A2E">
        <w:rPr>
          <w:rFonts w:ascii="Palatino Linotype" w:eastAsia="Times New Roman" w:hAnsi="Palatino Linotype" w:cs="Arial"/>
          <w:b/>
          <w:sz w:val="24"/>
          <w:szCs w:val="24"/>
          <w:lang w:val="es-ES" w:eastAsia="es-ES"/>
        </w:rPr>
        <w:t>recurrente</w:t>
      </w:r>
      <w:r w:rsidRPr="00DC1A2E">
        <w:rPr>
          <w:rFonts w:ascii="Palatino Linotype" w:eastAsia="Times New Roman" w:hAnsi="Palatino Linotype" w:cs="Arial"/>
          <w:sz w:val="24"/>
          <w:szCs w:val="24"/>
          <w:lang w:val="es-ES" w:eastAsia="es-ES"/>
        </w:rPr>
        <w:t xml:space="preserve"> al momento en que dé cumplimiento a la presente resolución.</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746696">
        <w:rPr>
          <w:rFonts w:ascii="Palatino Linotype" w:eastAsia="Times New Roman" w:hAnsi="Palatino Linotype" w:cs="Arial"/>
          <w:sz w:val="24"/>
        </w:rPr>
        <w:t xml:space="preserve"> en </w:t>
      </w:r>
      <w:r w:rsidR="002500E1">
        <w:rPr>
          <w:rFonts w:ascii="Palatino Linotype" w:eastAsia="Times New Roman" w:hAnsi="Palatino Linotype" w:cs="Arial"/>
          <w:sz w:val="24"/>
        </w:rPr>
        <w:t>el numeral 2</w:t>
      </w:r>
      <w:r w:rsidR="00DC6A75">
        <w:rPr>
          <w:rFonts w:ascii="Palatino Linotype" w:eastAsia="Times New Roman" w:hAnsi="Palatino Linotype" w:cs="Arial"/>
          <w:sz w:val="24"/>
        </w:rPr>
        <w:t>:</w:t>
      </w:r>
    </w:p>
    <w:p w:rsidR="001D291F" w:rsidRPr="00DC6A75" w:rsidRDefault="001D291F" w:rsidP="001D291F">
      <w:pPr>
        <w:pStyle w:val="Prrafodelista"/>
        <w:spacing w:before="240" w:after="240" w:line="360" w:lineRule="auto"/>
        <w:ind w:left="0" w:right="49"/>
        <w:jc w:val="both"/>
        <w:rPr>
          <w:rFonts w:ascii="Palatino Linotype" w:eastAsia="Times New Roman" w:hAnsi="Palatino Linotype" w:cs="Arial"/>
          <w:sz w:val="24"/>
        </w:rPr>
      </w:pPr>
    </w:p>
    <w:p w:rsidR="0016710D" w:rsidRPr="00DC1A2E" w:rsidRDefault="0016710D" w:rsidP="0016710D">
      <w:pPr>
        <w:spacing w:after="0" w:line="360" w:lineRule="auto"/>
        <w:jc w:val="both"/>
        <w:rPr>
          <w:rFonts w:ascii="Palatino Linotype" w:eastAsia="Times New Roman" w:hAnsi="Palatino Linotype" w:cs="Arial"/>
          <w:sz w:val="24"/>
          <w:szCs w:val="24"/>
          <w:lang w:val="es-ES" w:eastAsia="es-ES"/>
        </w:rPr>
      </w:pPr>
      <w:r w:rsidRPr="00DC1A2E">
        <w:rPr>
          <w:rFonts w:ascii="Palatino Linotype" w:eastAsia="Times New Roman" w:hAnsi="Palatino Linotype" w:cs="Arial"/>
          <w:sz w:val="24"/>
          <w:szCs w:val="24"/>
          <w:lang w:val="es-ES" w:eastAsia="es-ES"/>
        </w:rPr>
        <w:t xml:space="preserve">Respecto del numeral </w:t>
      </w:r>
      <w:r w:rsidRPr="00DC1A2E">
        <w:rPr>
          <w:rFonts w:ascii="Palatino Linotype" w:eastAsia="Times New Roman" w:hAnsi="Palatino Linotype" w:cs="Arial"/>
          <w:b/>
          <w:sz w:val="24"/>
          <w:szCs w:val="24"/>
          <w:lang w:val="es-ES" w:eastAsia="es-ES"/>
        </w:rPr>
        <w:t>2</w:t>
      </w:r>
      <w:r w:rsidRPr="00DC1A2E">
        <w:rPr>
          <w:rFonts w:ascii="Palatino Linotype" w:eastAsia="Times New Roman" w:hAnsi="Palatino Linotype" w:cs="Arial"/>
          <w:sz w:val="24"/>
          <w:szCs w:val="24"/>
          <w:lang w:val="es-ES" w:eastAsia="es-ES"/>
        </w:rPr>
        <w:t xml:space="preserve">, en el supuesto de que el </w:t>
      </w:r>
      <w:r w:rsidRPr="00DC1A2E">
        <w:rPr>
          <w:rFonts w:ascii="Palatino Linotype" w:eastAsia="Times New Roman" w:hAnsi="Palatino Linotype" w:cs="Arial"/>
          <w:b/>
          <w:sz w:val="24"/>
          <w:szCs w:val="24"/>
          <w:lang w:val="es-ES" w:eastAsia="es-ES"/>
        </w:rPr>
        <w:t>sujeto obligado</w:t>
      </w:r>
      <w:r w:rsidRPr="00DC1A2E">
        <w:rPr>
          <w:rFonts w:ascii="Palatino Linotype" w:eastAsia="Times New Roman" w:hAnsi="Palatino Linotype" w:cs="Arial"/>
          <w:sz w:val="24"/>
          <w:szCs w:val="24"/>
          <w:lang w:val="es-ES" w:eastAsia="es-ES"/>
        </w:rPr>
        <w:t xml:space="preserve"> no haya contratado personal bajo las modalidades referidas en el periodo cuya entrega se ordena, bastará con que lo haga del conocimiento del </w:t>
      </w:r>
      <w:r w:rsidRPr="00DC1A2E">
        <w:rPr>
          <w:rFonts w:ascii="Palatino Linotype" w:eastAsia="Times New Roman" w:hAnsi="Palatino Linotype" w:cs="Arial"/>
          <w:b/>
          <w:sz w:val="24"/>
          <w:szCs w:val="24"/>
          <w:lang w:val="es-ES" w:eastAsia="es-ES"/>
        </w:rPr>
        <w:t>recurrente</w:t>
      </w:r>
      <w:r w:rsidRPr="00DC1A2E">
        <w:rPr>
          <w:rFonts w:ascii="Palatino Linotype" w:eastAsia="Times New Roman" w:hAnsi="Palatino Linotype" w:cs="Arial"/>
          <w:sz w:val="24"/>
          <w:szCs w:val="24"/>
          <w:lang w:val="es-ES" w:eastAsia="es-ES"/>
        </w:rPr>
        <w:t xml:space="preserve"> al momento en que dé cumplimiento a la presente resolución.</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045029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045029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045029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B1" w:rsidRDefault="002B70B1" w:rsidP="00E82D3D">
      <w:pPr>
        <w:spacing w:after="0" w:line="240" w:lineRule="auto"/>
      </w:pPr>
      <w:r>
        <w:separator/>
      </w:r>
    </w:p>
  </w:endnote>
  <w:endnote w:type="continuationSeparator" w:id="0">
    <w:p w:rsidR="002B70B1" w:rsidRDefault="002B70B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32B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32BD">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B1" w:rsidRDefault="002B70B1" w:rsidP="00E82D3D">
      <w:pPr>
        <w:spacing w:after="0" w:line="240" w:lineRule="auto"/>
      </w:pPr>
      <w:r>
        <w:separator/>
      </w:r>
    </w:p>
  </w:footnote>
  <w:footnote w:type="continuationSeparator" w:id="0">
    <w:p w:rsidR="002B70B1" w:rsidRDefault="002B70B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70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70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70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C2592"/>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2"/>
  </w:num>
  <w:num w:numId="5">
    <w:abstractNumId w:val="6"/>
  </w:num>
  <w:num w:numId="6">
    <w:abstractNumId w:val="10"/>
  </w:num>
  <w:num w:numId="7">
    <w:abstractNumId w:val="0"/>
  </w:num>
  <w:num w:numId="8">
    <w:abstractNumId w:val="5"/>
  </w:num>
  <w:num w:numId="9">
    <w:abstractNumId w:val="7"/>
  </w:num>
  <w:num w:numId="10">
    <w:abstractNumId w:val="11"/>
  </w:num>
  <w:num w:numId="11">
    <w:abstractNumId w:val="2"/>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13A8"/>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5C74"/>
    <w:rsid w:val="000F6EC0"/>
    <w:rsid w:val="00102360"/>
    <w:rsid w:val="00113C80"/>
    <w:rsid w:val="00113E8A"/>
    <w:rsid w:val="001203AC"/>
    <w:rsid w:val="001240A5"/>
    <w:rsid w:val="00131C89"/>
    <w:rsid w:val="00132BDB"/>
    <w:rsid w:val="001351F6"/>
    <w:rsid w:val="00143687"/>
    <w:rsid w:val="00147D04"/>
    <w:rsid w:val="0016014E"/>
    <w:rsid w:val="001604B4"/>
    <w:rsid w:val="00164B8B"/>
    <w:rsid w:val="0016671B"/>
    <w:rsid w:val="00166A4D"/>
    <w:rsid w:val="0016710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00E1"/>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B70B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3E6"/>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2E29"/>
    <w:rsid w:val="004C566F"/>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32BD"/>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46696"/>
    <w:rsid w:val="00754249"/>
    <w:rsid w:val="00761D8C"/>
    <w:rsid w:val="007626E7"/>
    <w:rsid w:val="0076439D"/>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825"/>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2F7D"/>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2C8C"/>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17715"/>
    <w:rsid w:val="00B2190C"/>
    <w:rsid w:val="00B21F85"/>
    <w:rsid w:val="00B25241"/>
    <w:rsid w:val="00B259AE"/>
    <w:rsid w:val="00B2759C"/>
    <w:rsid w:val="00B32B93"/>
    <w:rsid w:val="00B32C98"/>
    <w:rsid w:val="00B3675E"/>
    <w:rsid w:val="00B41044"/>
    <w:rsid w:val="00B4133E"/>
    <w:rsid w:val="00B42A2D"/>
    <w:rsid w:val="00B516DB"/>
    <w:rsid w:val="00B52EEC"/>
    <w:rsid w:val="00B558FB"/>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2483"/>
    <w:rsid w:val="00BC31E0"/>
    <w:rsid w:val="00BC3C4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1D0A"/>
    <w:rsid w:val="00C93875"/>
    <w:rsid w:val="00C9680E"/>
    <w:rsid w:val="00CA2B8E"/>
    <w:rsid w:val="00CB1429"/>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46DA"/>
    <w:rsid w:val="00D05844"/>
    <w:rsid w:val="00D061BB"/>
    <w:rsid w:val="00D11834"/>
    <w:rsid w:val="00D152FB"/>
    <w:rsid w:val="00D206BF"/>
    <w:rsid w:val="00D207EA"/>
    <w:rsid w:val="00D2727B"/>
    <w:rsid w:val="00D31010"/>
    <w:rsid w:val="00D35B4C"/>
    <w:rsid w:val="00D36317"/>
    <w:rsid w:val="00D3792C"/>
    <w:rsid w:val="00D37A65"/>
    <w:rsid w:val="00D37ED5"/>
    <w:rsid w:val="00D40E34"/>
    <w:rsid w:val="00D51491"/>
    <w:rsid w:val="00D53160"/>
    <w:rsid w:val="00D549C7"/>
    <w:rsid w:val="00D671B8"/>
    <w:rsid w:val="00D86752"/>
    <w:rsid w:val="00D92BA5"/>
    <w:rsid w:val="00D93A70"/>
    <w:rsid w:val="00D9735C"/>
    <w:rsid w:val="00DA5A47"/>
    <w:rsid w:val="00DB39B5"/>
    <w:rsid w:val="00DB53B7"/>
    <w:rsid w:val="00DC1A2E"/>
    <w:rsid w:val="00DC2F22"/>
    <w:rsid w:val="00DC4358"/>
    <w:rsid w:val="00DC6A75"/>
    <w:rsid w:val="00DC792E"/>
    <w:rsid w:val="00DD14BB"/>
    <w:rsid w:val="00DD35DF"/>
    <w:rsid w:val="00DD4DDE"/>
    <w:rsid w:val="00DD71D7"/>
    <w:rsid w:val="00DE68DA"/>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0110"/>
    <w:rsid w:val="00F1169F"/>
    <w:rsid w:val="00F1403B"/>
    <w:rsid w:val="00F23785"/>
    <w:rsid w:val="00F26CE5"/>
    <w:rsid w:val="00F30EE8"/>
    <w:rsid w:val="00F333C8"/>
    <w:rsid w:val="00F36194"/>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A8A"/>
    <w:rsid w:val="00FD1FAD"/>
    <w:rsid w:val="00FE1030"/>
    <w:rsid w:val="00FE3088"/>
    <w:rsid w:val="00FE3923"/>
    <w:rsid w:val="00FE620B"/>
    <w:rsid w:val="00FE645C"/>
    <w:rsid w:val="00FE7A99"/>
    <w:rsid w:val="00FF3621"/>
    <w:rsid w:val="00FF6252"/>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1706-9D5B-449E-8067-36A777C8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5882</Words>
  <Characters>32357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2019-05-08T17:28:00Z</cp:lastPrinted>
  <dcterms:created xsi:type="dcterms:W3CDTF">2019-06-19T23:56:00Z</dcterms:created>
  <dcterms:modified xsi:type="dcterms:W3CDTF">2019-06-19T23:56:00Z</dcterms:modified>
</cp:coreProperties>
</file>