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272A590E" w:rsidR="00E731A1" w:rsidRPr="00D75391" w:rsidRDefault="00BA512E" w:rsidP="00D75391">
      <w:pPr>
        <w:spacing w:before="240" w:after="240" w:line="360" w:lineRule="auto"/>
        <w:jc w:val="center"/>
        <w:rPr>
          <w:rFonts w:ascii="Palatino Linotype" w:hAnsi="Palatino Linotype"/>
          <w:b/>
        </w:rPr>
      </w:pPr>
      <w:r w:rsidRPr="00D75391">
        <w:rPr>
          <w:rFonts w:ascii="Palatino Linotype" w:hAnsi="Palatino Linotype"/>
          <w:b/>
        </w:rPr>
        <w:t>LÍNEAS ARGUMENTATIVAS</w:t>
      </w:r>
    </w:p>
    <w:p w14:paraId="5A474FA3" w14:textId="38A73823" w:rsidR="0095468B" w:rsidRPr="00D75391" w:rsidRDefault="002E118F" w:rsidP="00D75391">
      <w:pPr>
        <w:spacing w:before="240" w:after="360" w:line="360" w:lineRule="auto"/>
        <w:contextualSpacing/>
        <w:jc w:val="both"/>
        <w:rPr>
          <w:rFonts w:ascii="Palatino Linotype" w:eastAsia="Times New Roman" w:hAnsi="Palatino Linotype"/>
        </w:rPr>
      </w:pPr>
      <w:r w:rsidRPr="00D75391">
        <w:rPr>
          <w:rFonts w:ascii="Palatino Linotype" w:eastAsia="Times New Roman" w:hAnsi="Palatino Linotype"/>
          <w:b/>
        </w:rPr>
        <w:t>DEBERES DE LAS AUTORIDADES.</w:t>
      </w:r>
      <w:r w:rsidRPr="00D7539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D75391">
        <w:rPr>
          <w:rFonts w:ascii="Palatino Linotype" w:eastAsia="Times New Roman" w:hAnsi="Palatino Linotype"/>
        </w:rPr>
        <w:t>rlo, protegerlo y garantizarlo.</w:t>
      </w:r>
    </w:p>
    <w:p w14:paraId="049CDC94" w14:textId="77777777" w:rsidR="003F0309" w:rsidRPr="00D75391" w:rsidRDefault="003F0309" w:rsidP="00D75391">
      <w:pPr>
        <w:spacing w:before="240" w:after="360" w:line="360" w:lineRule="auto"/>
        <w:contextualSpacing/>
        <w:jc w:val="both"/>
        <w:rPr>
          <w:rFonts w:ascii="Palatino Linotype" w:eastAsia="Times New Roman" w:hAnsi="Palatino Linotype"/>
        </w:rPr>
      </w:pPr>
    </w:p>
    <w:p w14:paraId="63AAC91B" w14:textId="2D0DF8E6" w:rsidR="0006548A" w:rsidRPr="00D75391" w:rsidRDefault="0095468B" w:rsidP="00D75391">
      <w:pPr>
        <w:spacing w:before="240" w:after="240" w:line="360" w:lineRule="auto"/>
        <w:jc w:val="both"/>
        <w:rPr>
          <w:rFonts w:ascii="Palatino Linotype" w:eastAsia="MS Mincho" w:hAnsi="Palatino Linotype" w:cs="Times New Roman"/>
        </w:rPr>
      </w:pPr>
      <w:r w:rsidRPr="00D75391">
        <w:rPr>
          <w:rFonts w:ascii="Palatino Linotype" w:eastAsia="MS Mincho" w:hAnsi="Palatino Linotype" w:cs="Times New Roman"/>
          <w:b/>
        </w:rPr>
        <w:t xml:space="preserve">DERECHO DE ACCESO A LA INFORMACIÓN PÚBLICA. </w:t>
      </w:r>
      <w:r w:rsidRPr="00D75391">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44DD0701" w14:textId="77777777" w:rsidR="00895422" w:rsidRPr="00D75391" w:rsidRDefault="00895422" w:rsidP="00D75391">
      <w:pPr>
        <w:spacing w:before="240" w:after="240" w:line="360" w:lineRule="auto"/>
        <w:jc w:val="both"/>
        <w:rPr>
          <w:rFonts w:ascii="Palatino Linotype" w:eastAsia="Times New Roman" w:hAnsi="Palatino Linotype" w:cs="Arial"/>
          <w:lang w:val="es-MX"/>
        </w:rPr>
      </w:pPr>
      <w:r w:rsidRPr="00D75391">
        <w:rPr>
          <w:rFonts w:ascii="Palatino Linotype" w:eastAsia="Times New Roman" w:hAnsi="Palatino Linotype" w:cs="Arial"/>
          <w:b/>
        </w:rPr>
        <w:t xml:space="preserve">RESPUESTAS IMPRECISAS O INCOMPLETAS, DEBER DE REPARACIÓN. </w:t>
      </w:r>
      <w:r w:rsidRPr="00D75391">
        <w:rPr>
          <w:rFonts w:ascii="Palatino Linotype" w:eastAsia="Times New Roman" w:hAnsi="Palatino Linotype" w:cs="Arial"/>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Pr="00D75391">
        <w:rPr>
          <w:rFonts w:ascii="Palatino Linotype" w:eastAsia="Times New Roman" w:hAnsi="Palatino Linotype" w:cs="Arial"/>
          <w:lang w:val="es-MX"/>
        </w:rPr>
        <w:t xml:space="preserve"> </w:t>
      </w:r>
    </w:p>
    <w:p w14:paraId="0EDF5AFE" w14:textId="4E8F1229" w:rsidR="00895422" w:rsidRPr="00D75391" w:rsidRDefault="00895422" w:rsidP="00D75391">
      <w:pPr>
        <w:spacing w:before="240" w:after="240" w:line="360" w:lineRule="auto"/>
        <w:jc w:val="both"/>
        <w:rPr>
          <w:rFonts w:ascii="Palatino Linotype" w:eastAsia="Times New Roman" w:hAnsi="Palatino Linotype" w:cs="Arial"/>
          <w:b/>
        </w:rPr>
      </w:pPr>
      <w:bookmarkStart w:id="0" w:name="_Toc512340972"/>
      <w:r w:rsidRPr="00D75391">
        <w:rPr>
          <w:rFonts w:ascii="Palatino Linotype" w:eastAsia="Times New Roman" w:hAnsi="Palatino Linotype" w:cs="Arial"/>
          <w:b/>
        </w:rPr>
        <w:t>PRESERVACIÓN DE LA INFORMACIÓN, DEBER DE.</w:t>
      </w:r>
      <w:bookmarkEnd w:id="0"/>
      <w:r w:rsidRPr="00D75391">
        <w:rPr>
          <w:rFonts w:ascii="Palatino Linotype" w:eastAsia="Times New Roman" w:hAnsi="Palatino Linotype" w:cs="Arial"/>
          <w:b/>
        </w:rPr>
        <w:t xml:space="preserve"> </w:t>
      </w:r>
      <w:r w:rsidRPr="00D75391">
        <w:rPr>
          <w:rFonts w:ascii="Palatino Linotype" w:eastAsia="Times New Roman" w:hAnsi="Palatino Linotype" w:cs="Arial"/>
        </w:rPr>
        <w:t xml:space="preserve">Los sujetos obligados tienen el deber constitucional de preservar sus documentos en archivos administrativos actualizados y cumpliendo los estándares señalados en la ley de documentos administrativos e históricos del Estado de México, los lineamientos </w:t>
      </w:r>
      <w:r w:rsidRPr="00D75391">
        <w:rPr>
          <w:rFonts w:ascii="Palatino Linotype" w:eastAsia="Times New Roman" w:hAnsi="Palatino Linotype" w:cs="Arial"/>
        </w:rPr>
        <w:lastRenderedPageBreak/>
        <w:t xml:space="preserve">para la organización y conservación de archivos expedidos por el Consejo Nacional del Sistema Nacional de Transparencia y los lineamientos para la administración de documentos en el Estado de México, expedidos por la Secretaría Técnica del Comité Técnico de Documentación del Sistema Estatal de Documentación, según corresponda. </w:t>
      </w:r>
    </w:p>
    <w:p w14:paraId="29B27959" w14:textId="77777777" w:rsidR="00895422" w:rsidRPr="00D75391" w:rsidRDefault="00895422" w:rsidP="00D75391">
      <w:pPr>
        <w:spacing w:before="240" w:after="240" w:line="360" w:lineRule="auto"/>
        <w:jc w:val="both"/>
        <w:rPr>
          <w:rFonts w:ascii="Palatino Linotype" w:eastAsia="Times New Roman" w:hAnsi="Palatino Linotype" w:cs="Arial"/>
          <w:lang w:val="es-MX"/>
        </w:rPr>
      </w:pPr>
      <w:r w:rsidRPr="00D75391">
        <w:rPr>
          <w:rFonts w:ascii="Palatino Linotype" w:eastAsia="Times New Roman" w:hAnsi="Palatino Linotype" w:cs="Arial"/>
          <w:b/>
          <w:lang w:val="es-MX"/>
        </w:rPr>
        <w:t xml:space="preserve">DOCUMENTOS GENERADOS POR LOS SUJETOS OBLIGADOS EN EJERCICIO DE SUS ATRIBUCIONES, LA INFORMACIÓN PÚBLICA SE ENCUENTRA CONTENIDA EN LOS. </w:t>
      </w:r>
      <w:r w:rsidRPr="00D75391">
        <w:rPr>
          <w:rFonts w:ascii="Palatino Linotype" w:eastAsia="Times New Roman" w:hAnsi="Palatino Linotype" w:cs="Arial"/>
          <w:lang w:val="es-MX"/>
        </w:rPr>
        <w:t>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5712A9D8" w14:textId="77777777" w:rsidR="00C9604F" w:rsidRPr="00D75391" w:rsidRDefault="00C9604F" w:rsidP="00D75391">
      <w:pPr>
        <w:spacing w:line="360" w:lineRule="auto"/>
        <w:rPr>
          <w:rFonts w:ascii="Palatino Linotype" w:eastAsia="Times New Roman" w:hAnsi="Palatino Linotype" w:cs="Times New Roman"/>
          <w:b/>
        </w:rPr>
      </w:pPr>
    </w:p>
    <w:p w14:paraId="31137936" w14:textId="302D1D0F" w:rsidR="00BC61B2" w:rsidRPr="00D75391" w:rsidRDefault="00A20B1F" w:rsidP="00D75391">
      <w:pPr>
        <w:spacing w:line="360" w:lineRule="auto"/>
        <w:jc w:val="center"/>
        <w:rPr>
          <w:rFonts w:ascii="Palatino Linotype" w:eastAsia="Times New Roman" w:hAnsi="Palatino Linotype" w:cs="Times New Roman"/>
          <w:b/>
        </w:rPr>
      </w:pPr>
      <w:r w:rsidRPr="00D75391">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D75391" w:rsidRDefault="00DA7E2F" w:rsidP="00D75391">
          <w:pPr>
            <w:pStyle w:val="TtulodeTDC"/>
            <w:spacing w:before="0" w:line="360" w:lineRule="auto"/>
            <w:rPr>
              <w:sz w:val="22"/>
              <w:szCs w:val="24"/>
            </w:rPr>
          </w:pPr>
        </w:p>
        <w:p w14:paraId="386BC3F0" w14:textId="77777777" w:rsidR="00FA4FE4" w:rsidRPr="00D75391" w:rsidRDefault="00DA7E2F" w:rsidP="00D75391">
          <w:pPr>
            <w:pStyle w:val="TDC1"/>
            <w:spacing w:line="360" w:lineRule="auto"/>
            <w:rPr>
              <w:rFonts w:ascii="Palatino Linotype" w:hAnsi="Palatino Linotype"/>
              <w:noProof/>
              <w:sz w:val="22"/>
              <w:lang w:val="es-MX" w:eastAsia="es-MX"/>
            </w:rPr>
          </w:pPr>
          <w:r w:rsidRPr="00D75391">
            <w:rPr>
              <w:rFonts w:ascii="Palatino Linotype" w:hAnsi="Palatino Linotype"/>
              <w:sz w:val="22"/>
            </w:rPr>
            <w:fldChar w:fldCharType="begin"/>
          </w:r>
          <w:r w:rsidRPr="00D75391">
            <w:rPr>
              <w:rFonts w:ascii="Palatino Linotype" w:hAnsi="Palatino Linotype"/>
              <w:sz w:val="22"/>
            </w:rPr>
            <w:instrText xml:space="preserve"> TOC \o "1-3" \h \z \u </w:instrText>
          </w:r>
          <w:r w:rsidRPr="00D75391">
            <w:rPr>
              <w:rFonts w:ascii="Palatino Linotype" w:hAnsi="Palatino Linotype"/>
              <w:sz w:val="22"/>
            </w:rPr>
            <w:fldChar w:fldCharType="separate"/>
          </w:r>
          <w:hyperlink w:anchor="_Toc20423560" w:history="1">
            <w:r w:rsidR="00FA4FE4" w:rsidRPr="00D75391">
              <w:rPr>
                <w:rStyle w:val="Hipervnculo"/>
                <w:rFonts w:ascii="Palatino Linotype" w:hAnsi="Palatino Linotype"/>
                <w:b/>
                <w:noProof/>
                <w:sz w:val="22"/>
              </w:rPr>
              <w:t>ANTECEDENTES</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_Toc20423560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4</w:t>
            </w:r>
            <w:r w:rsidR="00FA4FE4" w:rsidRPr="00D75391">
              <w:rPr>
                <w:rFonts w:ascii="Palatino Linotype" w:hAnsi="Palatino Linotype"/>
                <w:noProof/>
                <w:webHidden/>
                <w:sz w:val="22"/>
              </w:rPr>
              <w:fldChar w:fldCharType="end"/>
            </w:r>
          </w:hyperlink>
        </w:p>
        <w:p w14:paraId="56A91AF8"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63" w:history="1">
            <w:r w:rsidR="00FA4FE4" w:rsidRPr="00D75391">
              <w:rPr>
                <w:rStyle w:val="Hipervnculo"/>
                <w:rFonts w:ascii="Palatino Linotype" w:hAnsi="Palatino Linotype"/>
                <w:b/>
                <w:noProof/>
                <w:sz w:val="22"/>
              </w:rPr>
              <w:t>CONSIDERANDO</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_Toc20423563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11</w:t>
            </w:r>
            <w:r w:rsidR="00FA4FE4" w:rsidRPr="00D75391">
              <w:rPr>
                <w:rFonts w:ascii="Palatino Linotype" w:hAnsi="Palatino Linotype"/>
                <w:noProof/>
                <w:webHidden/>
                <w:sz w:val="22"/>
              </w:rPr>
              <w:fldChar w:fldCharType="end"/>
            </w:r>
          </w:hyperlink>
        </w:p>
        <w:p w14:paraId="307C7123" w14:textId="77777777" w:rsidR="00FA4FE4" w:rsidRPr="00D75391" w:rsidRDefault="003703A8" w:rsidP="00D75391">
          <w:pPr>
            <w:pStyle w:val="TDC2"/>
            <w:spacing w:line="360" w:lineRule="auto"/>
            <w:rPr>
              <w:rFonts w:ascii="Palatino Linotype" w:hAnsi="Palatino Linotype"/>
              <w:noProof/>
              <w:sz w:val="22"/>
              <w:lang w:val="es-MX" w:eastAsia="es-MX"/>
            </w:rPr>
          </w:pPr>
          <w:hyperlink w:anchor="_Toc20423564" w:history="1">
            <w:r w:rsidR="00FA4FE4" w:rsidRPr="00D75391">
              <w:rPr>
                <w:rStyle w:val="Hipervnculo"/>
                <w:rFonts w:ascii="Palatino Linotype" w:hAnsi="Palatino Linotype"/>
                <w:b/>
                <w:noProof/>
                <w:sz w:val="22"/>
              </w:rPr>
              <w:t>PRIMERO. De la competencia</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_Toc20423564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11</w:t>
            </w:r>
            <w:r w:rsidR="00FA4FE4" w:rsidRPr="00D75391">
              <w:rPr>
                <w:rFonts w:ascii="Palatino Linotype" w:hAnsi="Palatino Linotype"/>
                <w:noProof/>
                <w:webHidden/>
                <w:sz w:val="22"/>
              </w:rPr>
              <w:fldChar w:fldCharType="end"/>
            </w:r>
          </w:hyperlink>
        </w:p>
        <w:p w14:paraId="310D2BC6" w14:textId="77777777" w:rsidR="00FA4FE4" w:rsidRPr="00D75391" w:rsidRDefault="003703A8" w:rsidP="00D75391">
          <w:pPr>
            <w:pStyle w:val="TDC2"/>
            <w:spacing w:line="360" w:lineRule="auto"/>
            <w:rPr>
              <w:rFonts w:ascii="Palatino Linotype" w:hAnsi="Palatino Linotype"/>
              <w:noProof/>
              <w:sz w:val="22"/>
              <w:lang w:val="es-MX" w:eastAsia="es-MX"/>
            </w:rPr>
          </w:pPr>
          <w:hyperlink w:anchor="_Toc20423565" w:history="1">
            <w:r w:rsidR="00FA4FE4" w:rsidRPr="00D75391">
              <w:rPr>
                <w:rStyle w:val="Hipervnculo"/>
                <w:rFonts w:ascii="Palatino Linotype" w:hAnsi="Palatino Linotype"/>
                <w:b/>
                <w:noProof/>
                <w:sz w:val="22"/>
              </w:rPr>
              <w:t>SEGUNDO. De la oportunidad y procedencia.</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_Toc20423565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12</w:t>
            </w:r>
            <w:r w:rsidR="00FA4FE4" w:rsidRPr="00D75391">
              <w:rPr>
                <w:rFonts w:ascii="Palatino Linotype" w:hAnsi="Palatino Linotype"/>
                <w:noProof/>
                <w:webHidden/>
                <w:sz w:val="22"/>
              </w:rPr>
              <w:fldChar w:fldCharType="end"/>
            </w:r>
          </w:hyperlink>
        </w:p>
        <w:p w14:paraId="61551F86"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66" w:history="1">
            <w:r w:rsidR="00FA4FE4" w:rsidRPr="00D75391">
              <w:rPr>
                <w:rStyle w:val="Hipervnculo"/>
                <w:rFonts w:ascii="Palatino Linotype" w:hAnsi="Palatino Linotype"/>
                <w:b/>
                <w:noProof/>
                <w:sz w:val="22"/>
              </w:rPr>
              <w:t xml:space="preserve">TERCERO. Del planteamiento de la </w:t>
            </w:r>
            <w:r w:rsidR="00FA4FE4" w:rsidRPr="00D75391">
              <w:rPr>
                <w:rStyle w:val="Hipervnculo"/>
                <w:rFonts w:ascii="Palatino Linotype" w:hAnsi="Palatino Linotype"/>
                <w:b/>
                <w:i/>
                <w:noProof/>
                <w:sz w:val="22"/>
              </w:rPr>
              <w:t>Litis.</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_Toc20423566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13</w:t>
            </w:r>
            <w:r w:rsidR="00FA4FE4" w:rsidRPr="00D75391">
              <w:rPr>
                <w:rFonts w:ascii="Palatino Linotype" w:hAnsi="Palatino Linotype"/>
                <w:noProof/>
                <w:webHidden/>
                <w:sz w:val="22"/>
              </w:rPr>
              <w:fldChar w:fldCharType="end"/>
            </w:r>
          </w:hyperlink>
        </w:p>
        <w:p w14:paraId="19A7344B"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67" w:history="1">
            <w:r w:rsidR="00FA4FE4" w:rsidRPr="00D75391">
              <w:rPr>
                <w:rStyle w:val="Hipervnculo"/>
                <w:rFonts w:ascii="Palatino Linotype" w:hAnsi="Palatino Linotype"/>
                <w:b/>
                <w:noProof/>
                <w:sz w:val="22"/>
              </w:rPr>
              <w:t>CUARTO.</w:t>
            </w:r>
            <w:r w:rsidR="00FA4FE4" w:rsidRPr="00D75391">
              <w:rPr>
                <w:rStyle w:val="Hipervnculo"/>
                <w:rFonts w:ascii="Palatino Linotype" w:hAnsi="Palatino Linotype"/>
                <w:noProof/>
                <w:sz w:val="22"/>
              </w:rPr>
              <w:t xml:space="preserve"> </w:t>
            </w:r>
            <w:r w:rsidR="00FA4FE4" w:rsidRPr="00D75391">
              <w:rPr>
                <w:rStyle w:val="Hipervnculo"/>
                <w:rFonts w:ascii="Palatino Linotype" w:hAnsi="Palatino Linotype"/>
                <w:b/>
                <w:noProof/>
                <w:sz w:val="22"/>
              </w:rPr>
              <w:t>Del estudio y resolución del asunto.</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_Toc20423567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14</w:t>
            </w:r>
            <w:r w:rsidR="00FA4FE4" w:rsidRPr="00D75391">
              <w:rPr>
                <w:rFonts w:ascii="Palatino Linotype" w:hAnsi="Palatino Linotype"/>
                <w:noProof/>
                <w:webHidden/>
                <w:sz w:val="22"/>
              </w:rPr>
              <w:fldChar w:fldCharType="end"/>
            </w:r>
          </w:hyperlink>
        </w:p>
        <w:p w14:paraId="3E8DE834"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68" w:history="1">
            <w:r w:rsidR="00FA4FE4" w:rsidRPr="00D75391">
              <w:rPr>
                <w:rStyle w:val="Hipervnculo"/>
                <w:rFonts w:ascii="Palatino Linotype" w:eastAsiaTheme="majorEastAsia" w:hAnsi="Palatino Linotype" w:cstheme="majorBidi"/>
                <w:b/>
                <w:noProof/>
                <w:sz w:val="22"/>
                <w:lang w:val="es-MX" w:eastAsia="en-US"/>
              </w:rPr>
              <w:t>I. Del deber de las autoridades de promover, respetar, proteger, y garantizar el derecho de acceso a la información pública.</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_Toc20423568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14</w:t>
            </w:r>
            <w:r w:rsidR="00FA4FE4" w:rsidRPr="00D75391">
              <w:rPr>
                <w:rFonts w:ascii="Palatino Linotype" w:hAnsi="Palatino Linotype"/>
                <w:noProof/>
                <w:webHidden/>
                <w:sz w:val="22"/>
              </w:rPr>
              <w:fldChar w:fldCharType="end"/>
            </w:r>
          </w:hyperlink>
        </w:p>
        <w:p w14:paraId="6511ED41"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69" w:history="1">
            <w:r w:rsidR="00FA4FE4" w:rsidRPr="00D75391">
              <w:rPr>
                <w:rStyle w:val="Hipervnculo"/>
                <w:rFonts w:ascii="Palatino Linotype" w:eastAsiaTheme="majorEastAsia" w:hAnsi="Palatino Linotype" w:cstheme="majorBidi"/>
                <w:b/>
                <w:noProof/>
                <w:sz w:val="22"/>
                <w:lang w:val="es-MX" w:eastAsia="en-US"/>
              </w:rPr>
              <w:t>II.  De la respuesta emitida por el Sujeto Obligado.</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_Toc20423569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17</w:t>
            </w:r>
            <w:r w:rsidR="00FA4FE4" w:rsidRPr="00D75391">
              <w:rPr>
                <w:rFonts w:ascii="Palatino Linotype" w:hAnsi="Palatino Linotype"/>
                <w:noProof/>
                <w:webHidden/>
                <w:sz w:val="22"/>
              </w:rPr>
              <w:fldChar w:fldCharType="end"/>
            </w:r>
          </w:hyperlink>
        </w:p>
        <w:p w14:paraId="7BC7B2B2"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70" w:history="1">
            <w:r w:rsidR="00FA4FE4" w:rsidRPr="00D75391">
              <w:rPr>
                <w:rStyle w:val="Hipervnculo"/>
                <w:rFonts w:ascii="Palatino Linotype" w:eastAsia="Times New Roman" w:hAnsi="Palatino Linotype" w:cs="Times New Roman"/>
                <w:b/>
                <w:noProof/>
                <w:sz w:val="22"/>
                <w:lang w:val="es-MX" w:eastAsia="en-US"/>
              </w:rPr>
              <w:t>QUINTO. De las consideraciones que se deben observar para realizar el acuerdo de clasificación de la información como confidencial o reservada.</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_Toc20423570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38</w:t>
            </w:r>
            <w:r w:rsidR="00FA4FE4" w:rsidRPr="00D75391">
              <w:rPr>
                <w:rFonts w:ascii="Palatino Linotype" w:hAnsi="Palatino Linotype"/>
                <w:noProof/>
                <w:webHidden/>
                <w:sz w:val="22"/>
              </w:rPr>
              <w:fldChar w:fldCharType="end"/>
            </w:r>
          </w:hyperlink>
        </w:p>
        <w:p w14:paraId="371F5FEF" w14:textId="77777777" w:rsidR="00FA4FE4" w:rsidRPr="00D75391" w:rsidRDefault="003703A8" w:rsidP="00D75391">
          <w:pPr>
            <w:pStyle w:val="TDC2"/>
            <w:spacing w:line="360" w:lineRule="auto"/>
            <w:rPr>
              <w:rFonts w:ascii="Palatino Linotype" w:hAnsi="Palatino Linotype"/>
              <w:noProof/>
              <w:sz w:val="22"/>
              <w:lang w:val="es-MX" w:eastAsia="es-MX"/>
            </w:rPr>
          </w:pPr>
          <w:hyperlink w:anchor="_Toc20423571" w:history="1">
            <w:r w:rsidR="00FA4FE4" w:rsidRPr="00D75391">
              <w:rPr>
                <w:rStyle w:val="Hipervnculo"/>
                <w:rFonts w:ascii="Palatino Linotype" w:eastAsia="Times New Roman" w:hAnsi="Palatino Linotype" w:cs="Times New Roman"/>
                <w:b/>
                <w:noProof/>
                <w:sz w:val="22"/>
                <w:lang w:val="es-MX" w:eastAsia="en-US"/>
              </w:rPr>
              <w:t>I. De la clasificación de la información.</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_Toc20423571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39</w:t>
            </w:r>
            <w:r w:rsidR="00FA4FE4" w:rsidRPr="00D75391">
              <w:rPr>
                <w:rFonts w:ascii="Palatino Linotype" w:hAnsi="Palatino Linotype"/>
                <w:noProof/>
                <w:webHidden/>
                <w:sz w:val="22"/>
              </w:rPr>
              <w:fldChar w:fldCharType="end"/>
            </w:r>
          </w:hyperlink>
        </w:p>
        <w:p w14:paraId="79A35796"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75" w:history="1">
            <w:r w:rsidR="00FA4FE4" w:rsidRPr="00D75391">
              <w:rPr>
                <w:rStyle w:val="Hipervnculo"/>
                <w:rFonts w:ascii="Palatino Linotype" w:eastAsia="Times New Roman" w:hAnsi="Palatino Linotype" w:cs="Times New Roman"/>
                <w:b/>
                <w:noProof/>
                <w:sz w:val="22"/>
                <w:lang w:val="es-MX" w:eastAsia="en-US"/>
              </w:rPr>
              <w:t>II. La intervención del Comité de Transparencia.</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_Toc20423575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53</w:t>
            </w:r>
            <w:r w:rsidR="00FA4FE4" w:rsidRPr="00D75391">
              <w:rPr>
                <w:rFonts w:ascii="Palatino Linotype" w:hAnsi="Palatino Linotype"/>
                <w:noProof/>
                <w:webHidden/>
                <w:sz w:val="22"/>
              </w:rPr>
              <w:fldChar w:fldCharType="end"/>
            </w:r>
          </w:hyperlink>
        </w:p>
        <w:p w14:paraId="02BC6B30" w14:textId="77777777" w:rsidR="00FA4FE4" w:rsidRPr="00D75391" w:rsidRDefault="003703A8" w:rsidP="00D75391">
          <w:pPr>
            <w:pStyle w:val="TDC2"/>
            <w:spacing w:line="360" w:lineRule="auto"/>
            <w:rPr>
              <w:rFonts w:ascii="Palatino Linotype" w:hAnsi="Palatino Linotype"/>
              <w:noProof/>
              <w:sz w:val="22"/>
              <w:lang w:val="es-MX" w:eastAsia="es-MX"/>
            </w:rPr>
          </w:pPr>
          <w:hyperlink w:anchor="_Toc20423578" w:history="1">
            <w:r w:rsidR="00FA4FE4" w:rsidRPr="00D75391">
              <w:rPr>
                <w:rStyle w:val="Hipervnculo"/>
                <w:rFonts w:ascii="Palatino Linotype" w:eastAsia="Times New Roman" w:hAnsi="Palatino Linotype" w:cs="Times New Roman"/>
                <w:b/>
                <w:noProof/>
                <w:sz w:val="22"/>
                <w:lang w:val="es-MX" w:eastAsia="en-US"/>
              </w:rPr>
              <w:t>III. Condiciones especiales de la clasificación de la información como reservada</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_Toc20423578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60</w:t>
            </w:r>
            <w:r w:rsidR="00FA4FE4" w:rsidRPr="00D75391">
              <w:rPr>
                <w:rFonts w:ascii="Palatino Linotype" w:hAnsi="Palatino Linotype"/>
                <w:noProof/>
                <w:webHidden/>
                <w:sz w:val="22"/>
              </w:rPr>
              <w:fldChar w:fldCharType="end"/>
            </w:r>
          </w:hyperlink>
        </w:p>
        <w:p w14:paraId="5FF5662D" w14:textId="77777777" w:rsidR="00FA4FE4" w:rsidRPr="00D75391" w:rsidRDefault="003703A8" w:rsidP="00D75391">
          <w:pPr>
            <w:pStyle w:val="TDC2"/>
            <w:tabs>
              <w:tab w:val="left" w:pos="1320"/>
            </w:tabs>
            <w:spacing w:line="360" w:lineRule="auto"/>
            <w:rPr>
              <w:rFonts w:ascii="Palatino Linotype" w:hAnsi="Palatino Linotype"/>
              <w:noProof/>
              <w:sz w:val="22"/>
              <w:lang w:val="es-MX" w:eastAsia="es-MX"/>
            </w:rPr>
          </w:pPr>
          <w:hyperlink w:anchor="_Toc20423582" w:history="1">
            <w:r w:rsidR="00FA4FE4" w:rsidRPr="00D75391">
              <w:rPr>
                <w:rStyle w:val="Hipervnculo"/>
                <w:rFonts w:ascii="Palatino Linotype" w:eastAsia="Times New Roman" w:hAnsi="Palatino Linotype" w:cs="Times New Roman"/>
                <w:b/>
                <w:noProof/>
                <w:sz w:val="22"/>
                <w:lang w:val="es-MX" w:eastAsia="en-US"/>
              </w:rPr>
              <w:t>IV.</w:t>
            </w:r>
            <w:r w:rsidR="00FA4FE4" w:rsidRPr="00D75391">
              <w:rPr>
                <w:rFonts w:ascii="Palatino Linotype" w:hAnsi="Palatino Linotype"/>
                <w:noProof/>
                <w:sz w:val="22"/>
                <w:lang w:val="es-MX" w:eastAsia="es-MX"/>
              </w:rPr>
              <w:tab/>
            </w:r>
            <w:r w:rsidR="00FA4FE4" w:rsidRPr="00D75391">
              <w:rPr>
                <w:rStyle w:val="Hipervnculo"/>
                <w:rFonts w:ascii="Palatino Linotype" w:eastAsia="Times New Roman" w:hAnsi="Palatino Linotype" w:cs="Times New Roman"/>
                <w:b/>
                <w:noProof/>
                <w:sz w:val="22"/>
                <w:lang w:val="es-MX" w:eastAsia="en-US"/>
              </w:rPr>
              <w:t>Condiciones especiales de la clasificación de la información como confidencial.</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_Toc20423582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66</w:t>
            </w:r>
            <w:r w:rsidR="00FA4FE4" w:rsidRPr="00D75391">
              <w:rPr>
                <w:rFonts w:ascii="Palatino Linotype" w:hAnsi="Palatino Linotype"/>
                <w:noProof/>
                <w:webHidden/>
                <w:sz w:val="22"/>
              </w:rPr>
              <w:fldChar w:fldCharType="end"/>
            </w:r>
          </w:hyperlink>
        </w:p>
        <w:p w14:paraId="45461CC0" w14:textId="77777777" w:rsidR="00FA4FE4" w:rsidRPr="00D75391" w:rsidRDefault="003703A8" w:rsidP="00D75391">
          <w:pPr>
            <w:pStyle w:val="TDC1"/>
            <w:spacing w:line="360" w:lineRule="auto"/>
            <w:rPr>
              <w:rFonts w:ascii="Palatino Linotype" w:hAnsi="Palatino Linotype"/>
              <w:noProof/>
              <w:sz w:val="22"/>
              <w:lang w:val="es-MX" w:eastAsia="es-MX"/>
            </w:rPr>
          </w:pPr>
          <w:hyperlink w:anchor="_Toc20423588" w:history="1">
            <w:r w:rsidR="00FA4FE4" w:rsidRPr="00D75391">
              <w:rPr>
                <w:rStyle w:val="Hipervnculo"/>
                <w:rFonts w:ascii="Palatino Linotype" w:hAnsi="Palatino Linotype"/>
                <w:b/>
                <w:noProof/>
                <w:sz w:val="22"/>
              </w:rPr>
              <w:t>R E S O L U T I V O S</w:t>
            </w:r>
            <w:r w:rsidR="00FA4FE4" w:rsidRPr="00D75391">
              <w:rPr>
                <w:rFonts w:ascii="Palatino Linotype" w:hAnsi="Palatino Linotype"/>
                <w:noProof/>
                <w:webHidden/>
                <w:sz w:val="22"/>
              </w:rPr>
              <w:tab/>
            </w:r>
            <w:r w:rsidR="00FA4FE4" w:rsidRPr="00D75391">
              <w:rPr>
                <w:rFonts w:ascii="Palatino Linotype" w:hAnsi="Palatino Linotype"/>
                <w:noProof/>
                <w:webHidden/>
                <w:sz w:val="22"/>
              </w:rPr>
              <w:fldChar w:fldCharType="begin"/>
            </w:r>
            <w:r w:rsidR="00FA4FE4" w:rsidRPr="00D75391">
              <w:rPr>
                <w:rFonts w:ascii="Palatino Linotype" w:hAnsi="Palatino Linotype"/>
                <w:noProof/>
                <w:webHidden/>
                <w:sz w:val="22"/>
              </w:rPr>
              <w:instrText xml:space="preserve"> PAGEREF _Toc20423588 \h </w:instrText>
            </w:r>
            <w:r w:rsidR="00FA4FE4" w:rsidRPr="00D75391">
              <w:rPr>
                <w:rFonts w:ascii="Palatino Linotype" w:hAnsi="Palatino Linotype"/>
                <w:noProof/>
                <w:webHidden/>
                <w:sz w:val="22"/>
              </w:rPr>
            </w:r>
            <w:r w:rsidR="00FA4FE4" w:rsidRPr="00D75391">
              <w:rPr>
                <w:rFonts w:ascii="Palatino Linotype" w:hAnsi="Palatino Linotype"/>
                <w:noProof/>
                <w:webHidden/>
                <w:sz w:val="22"/>
              </w:rPr>
              <w:fldChar w:fldCharType="separate"/>
            </w:r>
            <w:r w:rsidR="00D75391">
              <w:rPr>
                <w:rFonts w:ascii="Palatino Linotype" w:hAnsi="Palatino Linotype"/>
                <w:noProof/>
                <w:webHidden/>
                <w:sz w:val="22"/>
              </w:rPr>
              <w:t>89</w:t>
            </w:r>
            <w:r w:rsidR="00FA4FE4" w:rsidRPr="00D75391">
              <w:rPr>
                <w:rFonts w:ascii="Palatino Linotype" w:hAnsi="Palatino Linotype"/>
                <w:noProof/>
                <w:webHidden/>
                <w:sz w:val="22"/>
              </w:rPr>
              <w:fldChar w:fldCharType="end"/>
            </w:r>
          </w:hyperlink>
        </w:p>
        <w:p w14:paraId="0287E7C8" w14:textId="77777777" w:rsidR="00D75391" w:rsidRDefault="00DA7E2F" w:rsidP="00D75391">
          <w:pPr>
            <w:spacing w:line="360" w:lineRule="auto"/>
            <w:rPr>
              <w:rFonts w:ascii="Palatino Linotype" w:hAnsi="Palatino Linotype"/>
              <w:b/>
              <w:bCs/>
              <w:lang w:val="es-ES"/>
            </w:rPr>
          </w:pPr>
          <w:r w:rsidRPr="00D75391">
            <w:rPr>
              <w:rFonts w:ascii="Palatino Linotype" w:hAnsi="Palatino Linotype"/>
              <w:b/>
              <w:bCs/>
              <w:sz w:val="22"/>
              <w:lang w:val="es-ES"/>
            </w:rPr>
            <w:fldChar w:fldCharType="end"/>
          </w:r>
        </w:p>
      </w:sdtContent>
    </w:sdt>
    <w:p w14:paraId="73F7F940" w14:textId="42BDB2FA" w:rsidR="00662C69" w:rsidRDefault="009B11D6" w:rsidP="00D75391">
      <w:pPr>
        <w:spacing w:line="360" w:lineRule="auto"/>
        <w:jc w:val="both"/>
        <w:rPr>
          <w:rFonts w:ascii="Palatino Linotype" w:hAnsi="Palatino Linotype"/>
        </w:rPr>
      </w:pPr>
      <w:r w:rsidRPr="00D75391">
        <w:rPr>
          <w:rFonts w:ascii="Palatino Linotype" w:hAnsi="Palatino Linotype"/>
        </w:rPr>
        <w:t>R</w:t>
      </w:r>
      <w:r w:rsidR="00662C69" w:rsidRPr="00D75391">
        <w:rPr>
          <w:rFonts w:ascii="Palatino Linotype" w:hAnsi="Palatino Linotype"/>
        </w:rPr>
        <w:t>esolución del Pleno del Instituto de Transparencia, Acceso a la Información Pública y Protección de Datos Personales del Estado de México y Mun</w:t>
      </w:r>
      <w:r w:rsidR="000D5A1D" w:rsidRPr="00D75391">
        <w:rPr>
          <w:rFonts w:ascii="Palatino Linotype" w:hAnsi="Palatino Linotype"/>
        </w:rPr>
        <w:t>icipios, con</w:t>
      </w:r>
      <w:r w:rsidR="00662C69" w:rsidRPr="00D75391">
        <w:rPr>
          <w:rFonts w:ascii="Palatino Linotype" w:hAnsi="Palatino Linotype"/>
        </w:rPr>
        <w:t xml:space="preserve"> </w:t>
      </w:r>
      <w:r w:rsidR="00485DB6" w:rsidRPr="00D75391">
        <w:rPr>
          <w:rFonts w:ascii="Palatino Linotype" w:hAnsi="Palatino Linotype"/>
        </w:rPr>
        <w:t xml:space="preserve">domicilio </w:t>
      </w:r>
      <w:r w:rsidR="00662C69" w:rsidRPr="00D75391">
        <w:rPr>
          <w:rFonts w:ascii="Palatino Linotype" w:hAnsi="Palatino Linotype"/>
        </w:rPr>
        <w:t xml:space="preserve">en Metepec, Estado de México; de </w:t>
      </w:r>
      <w:r w:rsidR="003F0309" w:rsidRPr="00D75391">
        <w:rPr>
          <w:rFonts w:ascii="Palatino Linotype" w:hAnsi="Palatino Linotype"/>
        </w:rPr>
        <w:t xml:space="preserve">fecha dos </w:t>
      </w:r>
      <w:r w:rsidR="00662C69" w:rsidRPr="00D75391">
        <w:rPr>
          <w:rFonts w:ascii="Palatino Linotype" w:hAnsi="Palatino Linotype"/>
        </w:rPr>
        <w:t>(</w:t>
      </w:r>
      <w:r w:rsidR="003F0309" w:rsidRPr="00D75391">
        <w:rPr>
          <w:rFonts w:ascii="Palatino Linotype" w:hAnsi="Palatino Linotype"/>
        </w:rPr>
        <w:t>02</w:t>
      </w:r>
      <w:r w:rsidR="00662C69" w:rsidRPr="00D75391">
        <w:rPr>
          <w:rFonts w:ascii="Palatino Linotype" w:hAnsi="Palatino Linotype"/>
        </w:rPr>
        <w:t>) de</w:t>
      </w:r>
      <w:r w:rsidR="003F0309" w:rsidRPr="00D75391">
        <w:rPr>
          <w:rFonts w:ascii="Palatino Linotype" w:hAnsi="Palatino Linotype"/>
        </w:rPr>
        <w:t xml:space="preserve"> octubre</w:t>
      </w:r>
      <w:r w:rsidR="007B32C0" w:rsidRPr="00D75391">
        <w:rPr>
          <w:rFonts w:ascii="Palatino Linotype" w:hAnsi="Palatino Linotype"/>
        </w:rPr>
        <w:t xml:space="preserve"> </w:t>
      </w:r>
      <w:r w:rsidR="00662C69" w:rsidRPr="00D75391">
        <w:rPr>
          <w:rFonts w:ascii="Palatino Linotype" w:hAnsi="Palatino Linotype"/>
        </w:rPr>
        <w:t xml:space="preserve">de dos mil </w:t>
      </w:r>
      <w:r w:rsidR="007B32C0" w:rsidRPr="00D75391">
        <w:rPr>
          <w:rFonts w:ascii="Palatino Linotype" w:hAnsi="Palatino Linotype"/>
        </w:rPr>
        <w:t>diecinueve</w:t>
      </w:r>
      <w:r w:rsidR="00662C69" w:rsidRPr="00D75391">
        <w:rPr>
          <w:rFonts w:ascii="Palatino Linotype" w:hAnsi="Palatino Linotype"/>
        </w:rPr>
        <w:t>.</w:t>
      </w:r>
    </w:p>
    <w:p w14:paraId="52FB1F58" w14:textId="77777777" w:rsidR="00D75391" w:rsidRPr="00D75391" w:rsidRDefault="00D75391" w:rsidP="00D75391">
      <w:pPr>
        <w:spacing w:line="360" w:lineRule="auto"/>
        <w:jc w:val="both"/>
        <w:rPr>
          <w:rFonts w:ascii="Palatino Linotype" w:hAnsi="Palatino Linotype"/>
        </w:rPr>
      </w:pPr>
    </w:p>
    <w:p w14:paraId="2171CFE0" w14:textId="5722F51B" w:rsidR="00DA2F64" w:rsidRPr="00D75391" w:rsidRDefault="00662C69" w:rsidP="00D75391">
      <w:pPr>
        <w:spacing w:after="360" w:line="360" w:lineRule="auto"/>
        <w:jc w:val="both"/>
        <w:rPr>
          <w:rFonts w:ascii="Palatino Linotype" w:hAnsi="Palatino Linotype"/>
          <w:b/>
        </w:rPr>
      </w:pPr>
      <w:r w:rsidRPr="00D75391">
        <w:rPr>
          <w:rFonts w:ascii="Palatino Linotype" w:hAnsi="Palatino Linotype"/>
          <w:b/>
        </w:rPr>
        <w:t>VISTO</w:t>
      </w:r>
      <w:r w:rsidR="002E118F" w:rsidRPr="00D75391">
        <w:rPr>
          <w:rFonts w:ascii="Palatino Linotype" w:hAnsi="Palatino Linotype"/>
          <w:b/>
        </w:rPr>
        <w:t>S</w:t>
      </w:r>
      <w:r w:rsidRPr="00D75391">
        <w:rPr>
          <w:rFonts w:ascii="Palatino Linotype" w:hAnsi="Palatino Linotype"/>
        </w:rPr>
        <w:t xml:space="preserve"> l</w:t>
      </w:r>
      <w:r w:rsidR="002E118F" w:rsidRPr="00D75391">
        <w:rPr>
          <w:rFonts w:ascii="Palatino Linotype" w:hAnsi="Palatino Linotype"/>
        </w:rPr>
        <w:t>os</w:t>
      </w:r>
      <w:r w:rsidRPr="00D75391">
        <w:rPr>
          <w:rFonts w:ascii="Palatino Linotype" w:hAnsi="Palatino Linotype"/>
        </w:rPr>
        <w:t xml:space="preserve"> expediente</w:t>
      </w:r>
      <w:r w:rsidR="002E118F" w:rsidRPr="00D75391">
        <w:rPr>
          <w:rFonts w:ascii="Palatino Linotype" w:hAnsi="Palatino Linotype"/>
        </w:rPr>
        <w:t>s</w:t>
      </w:r>
      <w:r w:rsidRPr="00D75391">
        <w:rPr>
          <w:rFonts w:ascii="Palatino Linotype" w:hAnsi="Palatino Linotype"/>
        </w:rPr>
        <w:t xml:space="preserve"> electrónico</w:t>
      </w:r>
      <w:r w:rsidR="002E118F" w:rsidRPr="00D75391">
        <w:rPr>
          <w:rFonts w:ascii="Palatino Linotype" w:hAnsi="Palatino Linotype"/>
        </w:rPr>
        <w:t>s</w:t>
      </w:r>
      <w:r w:rsidRPr="00D75391">
        <w:rPr>
          <w:rFonts w:ascii="Palatino Linotype" w:hAnsi="Palatino Linotype"/>
        </w:rPr>
        <w:t xml:space="preserve"> for</w:t>
      </w:r>
      <w:r w:rsidR="00335BFE" w:rsidRPr="00D75391">
        <w:rPr>
          <w:rFonts w:ascii="Palatino Linotype" w:hAnsi="Palatino Linotype"/>
        </w:rPr>
        <w:t>mado</w:t>
      </w:r>
      <w:r w:rsidR="002E118F" w:rsidRPr="00D75391">
        <w:rPr>
          <w:rFonts w:ascii="Palatino Linotype" w:hAnsi="Palatino Linotype"/>
        </w:rPr>
        <w:t>s</w:t>
      </w:r>
      <w:r w:rsidR="00335BFE" w:rsidRPr="00D75391">
        <w:rPr>
          <w:rFonts w:ascii="Palatino Linotype" w:hAnsi="Palatino Linotype"/>
        </w:rPr>
        <w:t xml:space="preserve"> con motivo de los</w:t>
      </w:r>
      <w:r w:rsidRPr="00D75391">
        <w:rPr>
          <w:rFonts w:ascii="Palatino Linotype" w:hAnsi="Palatino Linotype"/>
        </w:rPr>
        <w:t xml:space="preserve"> recurso</w:t>
      </w:r>
      <w:r w:rsidR="00335BFE" w:rsidRPr="00D75391">
        <w:rPr>
          <w:rFonts w:ascii="Palatino Linotype" w:hAnsi="Palatino Linotype"/>
        </w:rPr>
        <w:t>s</w:t>
      </w:r>
      <w:r w:rsidR="004B5C6B" w:rsidRPr="00D75391">
        <w:rPr>
          <w:rFonts w:ascii="Palatino Linotype" w:hAnsi="Palatino Linotype"/>
        </w:rPr>
        <w:t xml:space="preserve"> de revisión</w:t>
      </w:r>
      <w:r w:rsidR="006D357C" w:rsidRPr="00D75391">
        <w:rPr>
          <w:rFonts w:ascii="Palatino Linotype" w:hAnsi="Palatino Linotype"/>
          <w:b/>
        </w:rPr>
        <w:t xml:space="preserve"> </w:t>
      </w:r>
      <w:r w:rsidR="003F0309" w:rsidRPr="00D75391">
        <w:rPr>
          <w:rFonts w:ascii="Palatino Linotype" w:hAnsi="Palatino Linotype"/>
          <w:b/>
        </w:rPr>
        <w:t>06418</w:t>
      </w:r>
      <w:r w:rsidR="006D357C" w:rsidRPr="00D75391">
        <w:rPr>
          <w:rFonts w:ascii="Palatino Linotype" w:hAnsi="Palatino Linotype"/>
          <w:b/>
        </w:rPr>
        <w:t>/INFOEM/IP/RR/2019</w:t>
      </w:r>
      <w:r w:rsidR="006073E1" w:rsidRPr="00D75391">
        <w:rPr>
          <w:rFonts w:ascii="Palatino Linotype" w:hAnsi="Palatino Linotype"/>
          <w:b/>
        </w:rPr>
        <w:t>,</w:t>
      </w:r>
      <w:r w:rsidR="003F0309" w:rsidRPr="00D75391">
        <w:rPr>
          <w:rFonts w:ascii="Palatino Linotype" w:hAnsi="Palatino Linotype"/>
          <w:b/>
        </w:rPr>
        <w:t xml:space="preserve">  y 06419</w:t>
      </w:r>
      <w:r w:rsidR="006D357C" w:rsidRPr="00D75391">
        <w:rPr>
          <w:rFonts w:ascii="Palatino Linotype" w:hAnsi="Palatino Linotype"/>
          <w:b/>
        </w:rPr>
        <w:t>/INFOEM/IP/RR/2019</w:t>
      </w:r>
      <w:r w:rsidR="003F0309" w:rsidRPr="00D75391">
        <w:rPr>
          <w:rFonts w:ascii="Palatino Linotype" w:hAnsi="Palatino Linotype"/>
          <w:b/>
        </w:rPr>
        <w:t xml:space="preserve"> </w:t>
      </w:r>
      <w:r w:rsidRPr="00D75391">
        <w:rPr>
          <w:rFonts w:ascii="Palatino Linotype" w:hAnsi="Palatino Linotype"/>
        </w:rPr>
        <w:t>promovido</w:t>
      </w:r>
      <w:r w:rsidR="00335BFE" w:rsidRPr="00D75391">
        <w:rPr>
          <w:rFonts w:ascii="Palatino Linotype" w:hAnsi="Palatino Linotype"/>
        </w:rPr>
        <w:t>s</w:t>
      </w:r>
      <w:r w:rsidRPr="00D75391">
        <w:rPr>
          <w:rFonts w:ascii="Palatino Linotype" w:hAnsi="Palatino Linotype"/>
        </w:rPr>
        <w:t xml:space="preserve"> por </w:t>
      </w:r>
      <w:r w:rsidR="003703A8" w:rsidRPr="003703A8">
        <w:rPr>
          <w:rFonts w:ascii="Palatino Linotype" w:hAnsi="Palatino Linotype"/>
          <w:b/>
          <w:highlight w:val="black"/>
        </w:rPr>
        <w:t>--------------------------</w:t>
      </w:r>
      <w:r w:rsidRPr="00D75391">
        <w:rPr>
          <w:rFonts w:ascii="Palatino Linotype" w:hAnsi="Palatino Linotype"/>
          <w:b/>
        </w:rPr>
        <w:t xml:space="preserve">, </w:t>
      </w:r>
      <w:r w:rsidRPr="00D75391">
        <w:rPr>
          <w:rFonts w:ascii="Palatino Linotype" w:hAnsi="Palatino Linotype" w:cs="Arial"/>
        </w:rPr>
        <w:t xml:space="preserve">en su </w:t>
      </w:r>
      <w:r w:rsidR="00D83C17" w:rsidRPr="00D75391">
        <w:rPr>
          <w:rFonts w:ascii="Palatino Linotype" w:hAnsi="Palatino Linotype" w:cs="Arial"/>
        </w:rPr>
        <w:t>calidad</w:t>
      </w:r>
      <w:r w:rsidRPr="00D75391">
        <w:rPr>
          <w:rFonts w:ascii="Palatino Linotype" w:hAnsi="Palatino Linotype" w:cs="Arial"/>
        </w:rPr>
        <w:t xml:space="preserve"> de </w:t>
      </w:r>
      <w:r w:rsidRPr="00D75391">
        <w:rPr>
          <w:rFonts w:ascii="Palatino Linotype" w:hAnsi="Palatino Linotype" w:cs="Arial"/>
          <w:b/>
        </w:rPr>
        <w:t>RECURRENTE</w:t>
      </w:r>
      <w:r w:rsidRPr="00D75391">
        <w:rPr>
          <w:rFonts w:ascii="Palatino Linotype" w:hAnsi="Palatino Linotype" w:cs="Arial"/>
        </w:rPr>
        <w:t xml:space="preserve">, en contra </w:t>
      </w:r>
      <w:r w:rsidR="0006608C" w:rsidRPr="00D75391">
        <w:rPr>
          <w:rFonts w:ascii="Palatino Linotype" w:hAnsi="Palatino Linotype" w:cs="Arial"/>
        </w:rPr>
        <w:t>de</w:t>
      </w:r>
      <w:r w:rsidR="00843908" w:rsidRPr="00D75391">
        <w:rPr>
          <w:rFonts w:ascii="Palatino Linotype" w:hAnsi="Palatino Linotype" w:cs="Arial"/>
        </w:rPr>
        <w:t xml:space="preserve"> </w:t>
      </w:r>
      <w:r w:rsidR="003F0309" w:rsidRPr="00D75391">
        <w:rPr>
          <w:rFonts w:ascii="Palatino Linotype" w:hAnsi="Palatino Linotype" w:cs="Arial"/>
        </w:rPr>
        <w:t xml:space="preserve">la </w:t>
      </w:r>
      <w:r w:rsidR="00BA512E" w:rsidRPr="00D75391">
        <w:rPr>
          <w:rFonts w:ascii="Palatino Linotype" w:hAnsi="Palatino Linotype" w:cs="Arial"/>
        </w:rPr>
        <w:t>respuesta</w:t>
      </w:r>
      <w:r w:rsidR="00843908" w:rsidRPr="00D75391">
        <w:rPr>
          <w:rFonts w:ascii="Palatino Linotype" w:hAnsi="Palatino Linotype" w:cs="Arial"/>
        </w:rPr>
        <w:t xml:space="preserve"> de</w:t>
      </w:r>
      <w:r w:rsidR="003F0309" w:rsidRPr="00D75391">
        <w:rPr>
          <w:rFonts w:ascii="Palatino Linotype" w:hAnsi="Palatino Linotype" w:cs="Arial"/>
        </w:rPr>
        <w:t xml:space="preserve"> la </w:t>
      </w:r>
      <w:r w:rsidR="003F0309" w:rsidRPr="00D75391">
        <w:rPr>
          <w:rFonts w:ascii="Palatino Linotype" w:hAnsi="Palatino Linotype" w:cs="Arial"/>
          <w:b/>
        </w:rPr>
        <w:t>Secretaría Ejecutiva del Sistema Estatal Anticorrupción</w:t>
      </w:r>
      <w:r w:rsidR="0036073F" w:rsidRPr="00D75391">
        <w:rPr>
          <w:rFonts w:ascii="Palatino Linotype" w:hAnsi="Palatino Linotype"/>
          <w:b/>
        </w:rPr>
        <w:t xml:space="preserve">, </w:t>
      </w:r>
      <w:r w:rsidRPr="00D75391">
        <w:rPr>
          <w:rFonts w:ascii="Palatino Linotype" w:hAnsi="Palatino Linotype"/>
        </w:rPr>
        <w:t>en lo sucesivo el</w:t>
      </w:r>
      <w:r w:rsidRPr="00D75391">
        <w:rPr>
          <w:rFonts w:ascii="Palatino Linotype" w:hAnsi="Palatino Linotype"/>
          <w:b/>
        </w:rPr>
        <w:t xml:space="preserve"> SUJETO OBLIGADO, </w:t>
      </w:r>
      <w:r w:rsidRPr="00D75391">
        <w:rPr>
          <w:rFonts w:ascii="Palatino Linotype" w:hAnsi="Palatino Linotype"/>
        </w:rPr>
        <w:t>se procede a dictar la presente resolución, con base en los siguientes:</w:t>
      </w:r>
    </w:p>
    <w:p w14:paraId="769E1410" w14:textId="5740327F" w:rsidR="00587366" w:rsidRPr="00D75391" w:rsidRDefault="00662C69" w:rsidP="00D75391">
      <w:pPr>
        <w:pStyle w:val="Ttulo1"/>
        <w:spacing w:line="360" w:lineRule="auto"/>
        <w:jc w:val="center"/>
        <w:rPr>
          <w:b/>
          <w:szCs w:val="24"/>
        </w:rPr>
      </w:pPr>
      <w:bookmarkStart w:id="1" w:name="_Toc461555884"/>
      <w:bookmarkStart w:id="2" w:name="_Toc466371847"/>
      <w:bookmarkStart w:id="3" w:name="_Toc20423560"/>
      <w:r w:rsidRPr="00D75391">
        <w:rPr>
          <w:b/>
          <w:szCs w:val="24"/>
        </w:rPr>
        <w:t>ANTECEDENTES</w:t>
      </w:r>
      <w:bookmarkEnd w:id="1"/>
      <w:bookmarkEnd w:id="2"/>
      <w:bookmarkEnd w:id="3"/>
    </w:p>
    <w:p w14:paraId="4F797A84" w14:textId="6F2C28C8" w:rsidR="00A40EF1" w:rsidRPr="00D75391" w:rsidRDefault="003F0309" w:rsidP="00D7539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75391">
        <w:rPr>
          <w:rFonts w:ascii="Palatino Linotype" w:eastAsia="Calibri" w:hAnsi="Palatino Linotype" w:cs="Arial"/>
          <w:lang w:val="es-ES"/>
        </w:rPr>
        <w:t>El día</w:t>
      </w:r>
      <w:r w:rsidR="006073E1" w:rsidRPr="00D75391">
        <w:rPr>
          <w:rFonts w:ascii="Palatino Linotype" w:eastAsia="Calibri" w:hAnsi="Palatino Linotype" w:cs="Arial"/>
          <w:lang w:val="es-ES"/>
        </w:rPr>
        <w:t xml:space="preserve"> veintinueve</w:t>
      </w:r>
      <w:r w:rsidR="004B5C6B" w:rsidRPr="00D75391">
        <w:rPr>
          <w:rFonts w:ascii="Palatino Linotype" w:eastAsia="Calibri" w:hAnsi="Palatino Linotype" w:cs="Arial"/>
          <w:lang w:val="es-ES"/>
        </w:rPr>
        <w:t xml:space="preserve"> </w:t>
      </w:r>
      <w:r w:rsidR="00A13811" w:rsidRPr="00D75391">
        <w:rPr>
          <w:rFonts w:ascii="Palatino Linotype" w:eastAsia="Calibri" w:hAnsi="Palatino Linotype" w:cs="Arial"/>
          <w:lang w:val="es-ES"/>
        </w:rPr>
        <w:t>(</w:t>
      </w:r>
      <w:r w:rsidR="006073E1" w:rsidRPr="00D75391">
        <w:rPr>
          <w:rFonts w:ascii="Palatino Linotype" w:eastAsia="Calibri" w:hAnsi="Palatino Linotype" w:cs="Arial"/>
          <w:lang w:val="es-ES"/>
        </w:rPr>
        <w:t>2</w:t>
      </w:r>
      <w:r w:rsidR="00FA14DD" w:rsidRPr="00D75391">
        <w:rPr>
          <w:rFonts w:ascii="Palatino Linotype" w:eastAsia="Calibri" w:hAnsi="Palatino Linotype" w:cs="Arial"/>
          <w:lang w:val="es-ES"/>
        </w:rPr>
        <w:t>9</w:t>
      </w:r>
      <w:r w:rsidR="00A13811" w:rsidRPr="00D75391">
        <w:rPr>
          <w:rFonts w:ascii="Palatino Linotype" w:eastAsia="Calibri" w:hAnsi="Palatino Linotype" w:cs="Arial"/>
          <w:lang w:val="es-ES"/>
        </w:rPr>
        <w:t>)</w:t>
      </w:r>
      <w:r w:rsidRPr="00D75391">
        <w:rPr>
          <w:rFonts w:ascii="Palatino Linotype" w:eastAsia="Calibri" w:hAnsi="Palatino Linotype" w:cs="Arial"/>
          <w:lang w:val="es-ES"/>
        </w:rPr>
        <w:t xml:space="preserve"> </w:t>
      </w:r>
      <w:r w:rsidR="000D1606" w:rsidRPr="00D75391">
        <w:rPr>
          <w:rFonts w:ascii="Palatino Linotype" w:eastAsia="Calibri" w:hAnsi="Palatino Linotype" w:cs="Arial"/>
          <w:lang w:val="es-ES"/>
        </w:rPr>
        <w:t>de</w:t>
      </w:r>
      <w:r w:rsidRPr="00D75391">
        <w:rPr>
          <w:rFonts w:ascii="Palatino Linotype" w:eastAsia="Calibri" w:hAnsi="Palatino Linotype" w:cs="Arial"/>
          <w:lang w:val="es-ES"/>
        </w:rPr>
        <w:t xml:space="preserve"> julio </w:t>
      </w:r>
      <w:r w:rsidR="00DB4BEF" w:rsidRPr="00D75391">
        <w:rPr>
          <w:rFonts w:ascii="Palatino Linotype" w:eastAsia="Calibri" w:hAnsi="Palatino Linotype" w:cs="Arial"/>
          <w:lang w:val="es-ES"/>
        </w:rPr>
        <w:t xml:space="preserve">dos mil </w:t>
      </w:r>
      <w:r w:rsidR="00166794" w:rsidRPr="00D75391">
        <w:rPr>
          <w:rFonts w:ascii="Palatino Linotype" w:eastAsia="Calibri" w:hAnsi="Palatino Linotype" w:cs="Arial"/>
          <w:lang w:val="es-ES"/>
        </w:rPr>
        <w:t>dieci</w:t>
      </w:r>
      <w:r w:rsidR="00FA14DD" w:rsidRPr="00D75391">
        <w:rPr>
          <w:rFonts w:ascii="Palatino Linotype" w:eastAsia="Calibri" w:hAnsi="Palatino Linotype" w:cs="Arial"/>
          <w:lang w:val="es-ES"/>
        </w:rPr>
        <w:t>nueve</w:t>
      </w:r>
      <w:r w:rsidR="00DB4BEF" w:rsidRPr="00D75391">
        <w:rPr>
          <w:rFonts w:ascii="Palatino Linotype" w:eastAsia="Calibri" w:hAnsi="Palatino Linotype" w:cs="Arial"/>
          <w:lang w:val="es-ES"/>
        </w:rPr>
        <w:t>,</w:t>
      </w:r>
      <w:r w:rsidR="00DB4BEF" w:rsidRPr="00D75391">
        <w:rPr>
          <w:rFonts w:ascii="Palatino Linotype" w:eastAsia="Calibri" w:hAnsi="Palatino Linotype" w:cs="Times New Roman"/>
          <w:lang w:val="es-ES"/>
        </w:rPr>
        <w:t xml:space="preserve"> </w:t>
      </w:r>
      <w:r w:rsidR="00DA2F64" w:rsidRPr="00D75391">
        <w:rPr>
          <w:rFonts w:ascii="Palatino Linotype" w:eastAsia="Calibri" w:hAnsi="Palatino Linotype" w:cs="Times New Roman"/>
          <w:lang w:val="es-ES"/>
        </w:rPr>
        <w:t>la</w:t>
      </w:r>
      <w:r w:rsidR="00FA14DD" w:rsidRPr="00D75391">
        <w:rPr>
          <w:rFonts w:ascii="Palatino Linotype" w:eastAsia="Calibri" w:hAnsi="Palatino Linotype" w:cs="Times New Roman"/>
          <w:lang w:val="es-ES"/>
        </w:rPr>
        <w:t xml:space="preserve"> parte</w:t>
      </w:r>
      <w:r w:rsidR="00E62303" w:rsidRPr="00D75391">
        <w:rPr>
          <w:rFonts w:ascii="Palatino Linotype" w:hAnsi="Palatino Linotype"/>
          <w:b/>
        </w:rPr>
        <w:t xml:space="preserve"> RECURRENTE</w:t>
      </w:r>
      <w:r w:rsidR="00AB274F" w:rsidRPr="00D75391">
        <w:rPr>
          <w:rFonts w:ascii="Palatino Linotype" w:hAnsi="Palatino Linotype"/>
          <w:b/>
        </w:rPr>
        <w:t xml:space="preserve"> </w:t>
      </w:r>
      <w:r w:rsidR="003116A6" w:rsidRPr="00D75391">
        <w:rPr>
          <w:rFonts w:ascii="Palatino Linotype" w:eastAsia="Calibri" w:hAnsi="Palatino Linotype" w:cs="Arial"/>
          <w:lang w:val="es-ES"/>
        </w:rPr>
        <w:t xml:space="preserve">presentó ante el </w:t>
      </w:r>
      <w:r w:rsidR="003116A6" w:rsidRPr="00D75391">
        <w:rPr>
          <w:rFonts w:ascii="Palatino Linotype" w:eastAsia="Calibri" w:hAnsi="Palatino Linotype" w:cs="Arial"/>
          <w:b/>
          <w:lang w:val="es-ES"/>
        </w:rPr>
        <w:t>SUJETO OBLIGADO</w:t>
      </w:r>
      <w:r w:rsidR="003116A6" w:rsidRPr="00D75391">
        <w:rPr>
          <w:rFonts w:ascii="Palatino Linotype" w:eastAsia="Calibri" w:hAnsi="Palatino Linotype" w:cs="Arial"/>
        </w:rPr>
        <w:t xml:space="preserve"> vía</w:t>
      </w:r>
      <w:r w:rsidR="00DB4BEF" w:rsidRPr="00D75391">
        <w:rPr>
          <w:rFonts w:ascii="Palatino Linotype" w:eastAsia="Calibri" w:hAnsi="Palatino Linotype" w:cs="Arial"/>
        </w:rPr>
        <w:t xml:space="preserve"> </w:t>
      </w:r>
      <w:r w:rsidR="00DB4BEF" w:rsidRPr="00D75391">
        <w:rPr>
          <w:rFonts w:ascii="Palatino Linotype" w:eastAsia="Calibri" w:hAnsi="Palatino Linotype" w:cs="Arial"/>
          <w:lang w:val="es-ES"/>
        </w:rPr>
        <w:t xml:space="preserve">Sistema de Acceso a la Información Mexiquense </w:t>
      </w:r>
      <w:r w:rsidR="006B7A58" w:rsidRPr="00D75391">
        <w:rPr>
          <w:rFonts w:ascii="Palatino Linotype" w:eastAsia="Calibri" w:hAnsi="Palatino Linotype" w:cs="Arial"/>
          <w:lang w:val="es-ES"/>
        </w:rPr>
        <w:t>(</w:t>
      </w:r>
      <w:r w:rsidR="00DB4BEF" w:rsidRPr="00D75391">
        <w:rPr>
          <w:rFonts w:ascii="Palatino Linotype" w:eastAsia="Calibri" w:hAnsi="Palatino Linotype" w:cs="Arial"/>
          <w:b/>
          <w:lang w:val="es-ES"/>
        </w:rPr>
        <w:t>SAIMEX</w:t>
      </w:r>
      <w:r w:rsidR="006B7A58" w:rsidRPr="00D75391">
        <w:rPr>
          <w:rFonts w:ascii="Palatino Linotype" w:eastAsia="Calibri" w:hAnsi="Palatino Linotype" w:cs="Arial"/>
          <w:b/>
          <w:lang w:val="es-ES"/>
        </w:rPr>
        <w:t>)</w:t>
      </w:r>
      <w:r w:rsidR="00DB4BEF" w:rsidRPr="00D75391">
        <w:rPr>
          <w:rFonts w:ascii="Palatino Linotype" w:eastAsia="Calibri" w:hAnsi="Palatino Linotype" w:cs="Arial"/>
          <w:lang w:val="es-ES"/>
        </w:rPr>
        <w:t>, la</w:t>
      </w:r>
      <w:r w:rsidR="003940F6" w:rsidRPr="00D75391">
        <w:rPr>
          <w:rFonts w:ascii="Palatino Linotype" w:eastAsia="Calibri" w:hAnsi="Palatino Linotype" w:cs="Arial"/>
          <w:lang w:val="es-ES"/>
        </w:rPr>
        <w:t>s</w:t>
      </w:r>
      <w:r w:rsidR="00DB4BEF" w:rsidRPr="00D75391">
        <w:rPr>
          <w:rFonts w:ascii="Palatino Linotype" w:eastAsia="Calibri" w:hAnsi="Palatino Linotype" w:cs="Arial"/>
          <w:lang w:val="es-ES"/>
        </w:rPr>
        <w:t xml:space="preserve"> solicitud</w:t>
      </w:r>
      <w:r w:rsidR="004B5C6B" w:rsidRPr="00D75391">
        <w:rPr>
          <w:rFonts w:ascii="Palatino Linotype" w:eastAsia="Calibri" w:hAnsi="Palatino Linotype" w:cs="Arial"/>
          <w:lang w:val="es-ES"/>
        </w:rPr>
        <w:t>es</w:t>
      </w:r>
      <w:r w:rsidR="00DB4BEF" w:rsidRPr="00D75391">
        <w:rPr>
          <w:rFonts w:ascii="Palatino Linotype" w:eastAsia="Calibri" w:hAnsi="Palatino Linotype" w:cs="Arial"/>
          <w:lang w:val="es-ES"/>
        </w:rPr>
        <w:t xml:space="preserve"> de información pública</w:t>
      </w:r>
      <w:r w:rsidR="004B5C6B" w:rsidRPr="00D75391">
        <w:rPr>
          <w:rFonts w:ascii="Palatino Linotype" w:eastAsia="Calibri" w:hAnsi="Palatino Linotype" w:cs="Arial"/>
          <w:lang w:val="es-ES"/>
        </w:rPr>
        <w:t xml:space="preserve">, </w:t>
      </w:r>
      <w:r w:rsidR="00B5559A" w:rsidRPr="00D75391">
        <w:rPr>
          <w:rFonts w:ascii="Palatino Linotype" w:eastAsia="Calibri" w:hAnsi="Palatino Linotype" w:cs="Arial"/>
          <w:lang w:val="es-ES"/>
        </w:rPr>
        <w:t>registradas con los números</w:t>
      </w:r>
      <w:r w:rsidR="00A40EF1" w:rsidRPr="00D75391">
        <w:rPr>
          <w:rFonts w:ascii="Palatino Linotype" w:eastAsia="Calibri" w:hAnsi="Palatino Linotype" w:cs="Arial"/>
          <w:lang w:val="es-ES"/>
        </w:rPr>
        <w:t xml:space="preserve"> </w:t>
      </w:r>
      <w:r w:rsidRPr="00D75391">
        <w:rPr>
          <w:rFonts w:ascii="Palatino Linotype" w:eastAsia="Calibri" w:hAnsi="Palatino Linotype" w:cs="Arial"/>
          <w:b/>
          <w:bCs/>
        </w:rPr>
        <w:t>00044/SESEA/IP/2019 y 00045/SESEA/IP/2019</w:t>
      </w:r>
      <w:r w:rsidR="001D1810" w:rsidRPr="00D75391">
        <w:rPr>
          <w:rFonts w:ascii="Palatino Linotype" w:eastAsia="Calibri" w:hAnsi="Palatino Linotype" w:cs="Arial"/>
          <w:b/>
          <w:bCs/>
          <w:color w:val="000000" w:themeColor="text1"/>
        </w:rPr>
        <w:t>.</w:t>
      </w:r>
    </w:p>
    <w:p w14:paraId="49EACD2C" w14:textId="77777777" w:rsidR="005B1B6A" w:rsidRPr="00D75391" w:rsidRDefault="005B1B6A" w:rsidP="00D75391">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D75391" w:rsidRDefault="0042490C" w:rsidP="00D7539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75391">
        <w:rPr>
          <w:rFonts w:ascii="Palatino Linotype" w:eastAsia="Calibri" w:hAnsi="Palatino Linotype" w:cs="Arial"/>
          <w:lang w:val="es-ES"/>
        </w:rPr>
        <w:t>Solicitudes de información mediante</w:t>
      </w:r>
      <w:r w:rsidR="00DB4BEF" w:rsidRPr="00D75391">
        <w:rPr>
          <w:rFonts w:ascii="Palatino Linotype" w:eastAsia="Calibri" w:hAnsi="Palatino Linotype" w:cs="Arial"/>
          <w:lang w:val="es-ES"/>
        </w:rPr>
        <w:t xml:space="preserve"> la</w:t>
      </w:r>
      <w:r w:rsidR="00DC301A" w:rsidRPr="00D75391">
        <w:rPr>
          <w:rFonts w:ascii="Palatino Linotype" w:eastAsia="Calibri" w:hAnsi="Palatino Linotype" w:cs="Arial"/>
          <w:lang w:val="es-ES"/>
        </w:rPr>
        <w:t>s</w:t>
      </w:r>
      <w:r w:rsidR="00DB4BEF" w:rsidRPr="00D75391">
        <w:rPr>
          <w:rFonts w:ascii="Palatino Linotype" w:eastAsia="Calibri" w:hAnsi="Palatino Linotype" w:cs="Arial"/>
          <w:lang w:val="es-ES"/>
        </w:rPr>
        <w:t xml:space="preserve"> cual</w:t>
      </w:r>
      <w:r w:rsidR="00DC301A" w:rsidRPr="00D75391">
        <w:rPr>
          <w:rFonts w:ascii="Palatino Linotype" w:eastAsia="Calibri" w:hAnsi="Palatino Linotype" w:cs="Arial"/>
          <w:lang w:val="es-ES"/>
        </w:rPr>
        <w:t>es</w:t>
      </w:r>
      <w:r w:rsidR="00AD7314" w:rsidRPr="00D75391">
        <w:rPr>
          <w:rFonts w:ascii="Palatino Linotype" w:eastAsia="Calibri" w:hAnsi="Palatino Linotype" w:cs="Arial"/>
          <w:lang w:val="es-ES"/>
        </w:rPr>
        <w:t xml:space="preserve"> requirió </w:t>
      </w:r>
      <w:r w:rsidR="00B5559A" w:rsidRPr="00D75391">
        <w:rPr>
          <w:rFonts w:ascii="Palatino Linotype" w:eastAsia="Calibri" w:hAnsi="Palatino Linotype" w:cs="Arial"/>
          <w:lang w:val="es-ES"/>
        </w:rPr>
        <w:t xml:space="preserve"> lo siguiente</w:t>
      </w:r>
      <w:r w:rsidR="00DB4BEF" w:rsidRPr="00D75391">
        <w:rPr>
          <w:rFonts w:ascii="Palatino Linotype" w:eastAsia="Calibri" w:hAnsi="Palatino Linotype" w:cs="Arial"/>
          <w:lang w:val="es-ES"/>
        </w:rPr>
        <w:t>:</w:t>
      </w:r>
    </w:p>
    <w:p w14:paraId="2414309D" w14:textId="77777777" w:rsidR="003F0309" w:rsidRPr="00D75391" w:rsidRDefault="003F0309" w:rsidP="00D75391">
      <w:pPr>
        <w:pStyle w:val="Prrafodelista"/>
        <w:spacing w:before="240" w:after="240" w:line="360" w:lineRule="auto"/>
        <w:ind w:left="0"/>
        <w:jc w:val="both"/>
        <w:rPr>
          <w:rFonts w:ascii="Palatino Linotype" w:eastAsia="Calibri" w:hAnsi="Palatino Linotype" w:cs="Arial"/>
          <w:lang w:val="es-ES"/>
        </w:rPr>
      </w:pPr>
    </w:p>
    <w:p w14:paraId="697CDC04" w14:textId="77777777" w:rsidR="001D1810" w:rsidRPr="00D75391" w:rsidRDefault="001D1810" w:rsidP="00D75391">
      <w:pPr>
        <w:pStyle w:val="Prrafodelista"/>
        <w:spacing w:line="360" w:lineRule="auto"/>
        <w:rPr>
          <w:rFonts w:ascii="Palatino Linotype" w:eastAsia="Calibri" w:hAnsi="Palatino Linotype" w:cs="Arial"/>
          <w:lang w:val="es-ES"/>
        </w:rPr>
      </w:pPr>
    </w:p>
    <w:p w14:paraId="04F03358" w14:textId="04F65D08" w:rsidR="001D1810" w:rsidRPr="00D75391" w:rsidRDefault="003F0309" w:rsidP="00D75391">
      <w:pPr>
        <w:pStyle w:val="Prrafodelista"/>
        <w:spacing w:before="240" w:after="240" w:line="360" w:lineRule="auto"/>
        <w:ind w:left="567" w:right="616"/>
        <w:jc w:val="both"/>
        <w:rPr>
          <w:rFonts w:ascii="Palatino Linotype" w:hAnsi="Palatino Linotype"/>
          <w:i/>
          <w:color w:val="000000" w:themeColor="text1"/>
        </w:rPr>
      </w:pPr>
      <w:r w:rsidRPr="00D75391">
        <w:rPr>
          <w:rFonts w:ascii="Palatino Linotype" w:eastAsia="Calibri" w:hAnsi="Palatino Linotype" w:cs="Arial"/>
          <w:b/>
          <w:bCs/>
          <w:color w:val="000000" w:themeColor="text1"/>
        </w:rPr>
        <w:t>00044/SESEA/IP/2019:</w:t>
      </w:r>
      <w:r w:rsidR="001D1810" w:rsidRPr="00D75391">
        <w:rPr>
          <w:rFonts w:ascii="Palatino Linotype" w:hAnsi="Palatino Linotype"/>
          <w:color w:val="000000" w:themeColor="text1"/>
        </w:rPr>
        <w:t xml:space="preserve"> </w:t>
      </w:r>
      <w:r w:rsidR="001D1810" w:rsidRPr="00D75391">
        <w:rPr>
          <w:rFonts w:ascii="Palatino Linotype" w:hAnsi="Palatino Linotype"/>
          <w:i/>
          <w:color w:val="000000" w:themeColor="text1"/>
        </w:rPr>
        <w:t>“</w:t>
      </w:r>
      <w:r w:rsidRPr="00D75391">
        <w:rPr>
          <w:rFonts w:ascii="Palatino Linotype" w:hAnsi="Palatino Linotype"/>
          <w:i/>
          <w:color w:val="000000" w:themeColor="text1"/>
        </w:rPr>
        <w:t xml:space="preserve">Para analizar los avances del sistema </w:t>
      </w:r>
      <w:proofErr w:type="spellStart"/>
      <w:r w:rsidRPr="00D75391">
        <w:rPr>
          <w:rFonts w:ascii="Palatino Linotype" w:hAnsi="Palatino Linotype"/>
          <w:i/>
          <w:color w:val="000000" w:themeColor="text1"/>
        </w:rPr>
        <w:t>anticorrupcion</w:t>
      </w:r>
      <w:proofErr w:type="spellEnd"/>
      <w:r w:rsidRPr="00D75391">
        <w:rPr>
          <w:rFonts w:ascii="Palatino Linotype" w:hAnsi="Palatino Linotype"/>
          <w:i/>
          <w:color w:val="000000" w:themeColor="text1"/>
        </w:rPr>
        <w:t xml:space="preserve"> solicito todos los documentos que tengan que ver con auditorias de la </w:t>
      </w:r>
      <w:proofErr w:type="spellStart"/>
      <w:r w:rsidRPr="00D75391">
        <w:rPr>
          <w:rFonts w:ascii="Palatino Linotype" w:hAnsi="Palatino Linotype"/>
          <w:i/>
          <w:color w:val="000000" w:themeColor="text1"/>
        </w:rPr>
        <w:t>contraloria</w:t>
      </w:r>
      <w:proofErr w:type="spellEnd"/>
      <w:r w:rsidRPr="00D75391">
        <w:rPr>
          <w:rFonts w:ascii="Palatino Linotype" w:hAnsi="Palatino Linotype"/>
          <w:i/>
          <w:color w:val="000000" w:themeColor="text1"/>
        </w:rPr>
        <w:t xml:space="preserve"> interna de la secretaria ejecutiva desde el 01 de enero </w:t>
      </w:r>
      <w:proofErr w:type="spellStart"/>
      <w:r w:rsidRPr="00D75391">
        <w:rPr>
          <w:rFonts w:ascii="Palatino Linotype" w:hAnsi="Palatino Linotype"/>
          <w:i/>
          <w:color w:val="000000" w:themeColor="text1"/>
        </w:rPr>
        <w:t>ala</w:t>
      </w:r>
      <w:proofErr w:type="spellEnd"/>
      <w:r w:rsidRPr="00D75391">
        <w:rPr>
          <w:rFonts w:ascii="Palatino Linotype" w:hAnsi="Palatino Linotype"/>
          <w:i/>
          <w:color w:val="000000" w:themeColor="text1"/>
        </w:rPr>
        <w:t xml:space="preserve"> fecha</w:t>
      </w:r>
      <w:r w:rsidR="001D1810" w:rsidRPr="00D75391">
        <w:rPr>
          <w:rFonts w:ascii="Palatino Linotype" w:hAnsi="Palatino Linotype"/>
          <w:i/>
          <w:color w:val="000000" w:themeColor="text1"/>
        </w:rPr>
        <w:t>” (Sic)</w:t>
      </w:r>
    </w:p>
    <w:p w14:paraId="20EA5824" w14:textId="77777777" w:rsidR="001D1810" w:rsidRPr="00D75391" w:rsidRDefault="001D1810" w:rsidP="00D75391">
      <w:pPr>
        <w:pStyle w:val="Prrafodelista"/>
        <w:spacing w:before="240" w:after="240" w:line="360" w:lineRule="auto"/>
        <w:ind w:left="567" w:right="616"/>
        <w:jc w:val="both"/>
        <w:rPr>
          <w:rFonts w:ascii="Palatino Linotype" w:hAnsi="Palatino Linotype"/>
          <w:color w:val="000000" w:themeColor="text1"/>
        </w:rPr>
      </w:pPr>
    </w:p>
    <w:p w14:paraId="7075925D" w14:textId="688D7F3B" w:rsidR="001D1810" w:rsidRPr="00D75391" w:rsidRDefault="003F0309" w:rsidP="00D75391">
      <w:pPr>
        <w:pStyle w:val="Prrafodelista"/>
        <w:spacing w:before="240" w:after="240" w:line="360" w:lineRule="auto"/>
        <w:ind w:left="567" w:right="616"/>
        <w:jc w:val="both"/>
        <w:rPr>
          <w:rFonts w:ascii="Palatino Linotype" w:eastAsia="Calibri" w:hAnsi="Palatino Linotype" w:cs="Arial"/>
          <w:b/>
          <w:bCs/>
          <w:color w:val="000000" w:themeColor="text1"/>
        </w:rPr>
      </w:pPr>
      <w:r w:rsidRPr="00D75391">
        <w:rPr>
          <w:rFonts w:ascii="Palatino Linotype" w:eastAsia="Calibri" w:hAnsi="Palatino Linotype" w:cs="Arial"/>
          <w:b/>
          <w:bCs/>
          <w:color w:val="000000" w:themeColor="text1"/>
        </w:rPr>
        <w:t>00045/SESEA/IP/2019</w:t>
      </w:r>
      <w:hyperlink r:id="rId8" w:history="1"/>
      <w:r w:rsidR="001D1810" w:rsidRPr="00D75391">
        <w:rPr>
          <w:rFonts w:ascii="Palatino Linotype" w:eastAsia="Calibri" w:hAnsi="Palatino Linotype" w:cs="Arial"/>
          <w:b/>
          <w:bCs/>
          <w:color w:val="000000" w:themeColor="text1"/>
        </w:rPr>
        <w:t xml:space="preserve">: </w:t>
      </w:r>
      <w:r w:rsidR="001D1810" w:rsidRPr="00D75391">
        <w:rPr>
          <w:rFonts w:ascii="Palatino Linotype" w:eastAsia="Calibri" w:hAnsi="Palatino Linotype" w:cs="Arial"/>
          <w:bCs/>
          <w:i/>
          <w:color w:val="000000" w:themeColor="text1"/>
        </w:rPr>
        <w:t>“</w:t>
      </w:r>
      <w:r w:rsidRPr="00D75391">
        <w:rPr>
          <w:rFonts w:ascii="Palatino Linotype" w:eastAsia="Calibri" w:hAnsi="Palatino Linotype" w:cs="Arial"/>
          <w:bCs/>
          <w:i/>
          <w:color w:val="000000" w:themeColor="text1"/>
        </w:rPr>
        <w:t xml:space="preserve">Para analizar los avances del sistema </w:t>
      </w:r>
      <w:proofErr w:type="spellStart"/>
      <w:r w:rsidRPr="00D75391">
        <w:rPr>
          <w:rFonts w:ascii="Palatino Linotype" w:eastAsia="Calibri" w:hAnsi="Palatino Linotype" w:cs="Arial"/>
          <w:bCs/>
          <w:i/>
          <w:color w:val="000000" w:themeColor="text1"/>
        </w:rPr>
        <w:t>anticorrupcion</w:t>
      </w:r>
      <w:proofErr w:type="spellEnd"/>
      <w:r w:rsidRPr="00D75391">
        <w:rPr>
          <w:rFonts w:ascii="Palatino Linotype" w:eastAsia="Calibri" w:hAnsi="Palatino Linotype" w:cs="Arial"/>
          <w:bCs/>
          <w:i/>
          <w:color w:val="000000" w:themeColor="text1"/>
        </w:rPr>
        <w:t xml:space="preserve"> solicito los papeles de trabajo de la </w:t>
      </w:r>
      <w:proofErr w:type="spellStart"/>
      <w:r w:rsidRPr="00D75391">
        <w:rPr>
          <w:rFonts w:ascii="Palatino Linotype" w:eastAsia="Calibri" w:hAnsi="Palatino Linotype" w:cs="Arial"/>
          <w:bCs/>
          <w:i/>
          <w:color w:val="000000" w:themeColor="text1"/>
        </w:rPr>
        <w:t>contraloria</w:t>
      </w:r>
      <w:proofErr w:type="spellEnd"/>
      <w:r w:rsidRPr="00D75391">
        <w:rPr>
          <w:rFonts w:ascii="Palatino Linotype" w:eastAsia="Calibri" w:hAnsi="Palatino Linotype" w:cs="Arial"/>
          <w:bCs/>
          <w:i/>
          <w:color w:val="000000" w:themeColor="text1"/>
        </w:rPr>
        <w:t xml:space="preserve"> interna del periodo del 01 de enero </w:t>
      </w:r>
      <w:proofErr w:type="spellStart"/>
      <w:r w:rsidRPr="00D75391">
        <w:rPr>
          <w:rFonts w:ascii="Palatino Linotype" w:eastAsia="Calibri" w:hAnsi="Palatino Linotype" w:cs="Arial"/>
          <w:bCs/>
          <w:i/>
          <w:color w:val="000000" w:themeColor="text1"/>
        </w:rPr>
        <w:t>ala</w:t>
      </w:r>
      <w:proofErr w:type="spellEnd"/>
      <w:r w:rsidRPr="00D75391">
        <w:rPr>
          <w:rFonts w:ascii="Palatino Linotype" w:eastAsia="Calibri" w:hAnsi="Palatino Linotype" w:cs="Arial"/>
          <w:bCs/>
          <w:i/>
          <w:color w:val="000000" w:themeColor="text1"/>
        </w:rPr>
        <w:t xml:space="preserve"> fecha con su soporte documental</w:t>
      </w:r>
      <w:r w:rsidR="001D1810" w:rsidRPr="00D75391">
        <w:rPr>
          <w:rFonts w:ascii="Palatino Linotype" w:eastAsia="Calibri" w:hAnsi="Palatino Linotype" w:cs="Arial"/>
          <w:bCs/>
          <w:i/>
          <w:color w:val="000000" w:themeColor="text1"/>
        </w:rPr>
        <w:t>.”</w:t>
      </w:r>
    </w:p>
    <w:p w14:paraId="736F785C" w14:textId="77777777" w:rsidR="001D1810" w:rsidRPr="00D75391" w:rsidRDefault="001D1810" w:rsidP="00D75391">
      <w:pPr>
        <w:pStyle w:val="Prrafodelista"/>
        <w:spacing w:before="240" w:after="240" w:line="360" w:lineRule="auto"/>
        <w:ind w:left="0"/>
        <w:jc w:val="both"/>
        <w:rPr>
          <w:rFonts w:ascii="Palatino Linotype" w:eastAsia="Calibri" w:hAnsi="Palatino Linotype" w:cs="Arial"/>
          <w:lang w:val="es-ES"/>
        </w:rPr>
      </w:pPr>
    </w:p>
    <w:p w14:paraId="58C44458" w14:textId="77777777" w:rsidR="00F75AB0" w:rsidRPr="00D75391" w:rsidRDefault="00EF758E" w:rsidP="00D75391">
      <w:pPr>
        <w:pStyle w:val="Prrafodelista"/>
        <w:numPr>
          <w:ilvl w:val="0"/>
          <w:numId w:val="1"/>
        </w:numPr>
        <w:tabs>
          <w:tab w:val="left" w:pos="0"/>
        </w:tabs>
        <w:spacing w:line="360" w:lineRule="auto"/>
        <w:ind w:left="0" w:firstLine="0"/>
        <w:jc w:val="both"/>
        <w:rPr>
          <w:rFonts w:ascii="Palatino Linotype" w:hAnsi="Palatino Linotype"/>
          <w:color w:val="000000"/>
        </w:rPr>
      </w:pPr>
      <w:r w:rsidRPr="00D75391">
        <w:rPr>
          <w:rFonts w:ascii="Palatino Linotype" w:eastAsia="Calibri" w:hAnsi="Palatino Linotype" w:cs="Times New Roman"/>
          <w:lang w:val="es-ES"/>
        </w:rPr>
        <w:t>Se hace constar que en todas las solicitudes se s</w:t>
      </w:r>
      <w:r w:rsidR="005E570D" w:rsidRPr="00D75391">
        <w:rPr>
          <w:rFonts w:ascii="Palatino Linotype" w:eastAsia="Calibri" w:hAnsi="Palatino Linotype" w:cs="Times New Roman"/>
          <w:lang w:val="es-ES"/>
        </w:rPr>
        <w:t>eñaló como modalid</w:t>
      </w:r>
      <w:r w:rsidRPr="00D75391">
        <w:rPr>
          <w:rFonts w:ascii="Palatino Linotype" w:eastAsia="Calibri" w:hAnsi="Palatino Linotype" w:cs="Times New Roman"/>
          <w:lang w:val="es-ES"/>
        </w:rPr>
        <w:t>ad de entrega de l</w:t>
      </w:r>
      <w:r w:rsidR="00A40EF1" w:rsidRPr="00D75391">
        <w:rPr>
          <w:rFonts w:ascii="Palatino Linotype" w:eastAsia="Calibri" w:hAnsi="Palatino Linotype" w:cs="Times New Roman"/>
          <w:lang w:val="es-ES"/>
        </w:rPr>
        <w:t>a información</w:t>
      </w:r>
      <w:r w:rsidRPr="00D75391">
        <w:rPr>
          <w:rFonts w:ascii="Palatino Linotype" w:eastAsia="Calibri" w:hAnsi="Palatino Linotype" w:cs="Times New Roman"/>
          <w:lang w:val="es-ES"/>
        </w:rPr>
        <w:t xml:space="preserve"> a través del Sistema de Acceso a la Información Mexiquense </w:t>
      </w:r>
      <w:r w:rsidRPr="00D75391">
        <w:rPr>
          <w:rFonts w:ascii="Palatino Linotype" w:eastAsia="Calibri" w:hAnsi="Palatino Linotype" w:cs="Times New Roman"/>
          <w:b/>
          <w:lang w:val="es-ES"/>
        </w:rPr>
        <w:t>(SAIMEX).</w:t>
      </w:r>
    </w:p>
    <w:p w14:paraId="280D5FCD" w14:textId="77777777" w:rsidR="00F75AB0" w:rsidRPr="00D75391" w:rsidRDefault="00F75AB0" w:rsidP="00D75391">
      <w:pPr>
        <w:pStyle w:val="Prrafodelista"/>
        <w:tabs>
          <w:tab w:val="left" w:pos="0"/>
        </w:tabs>
        <w:spacing w:line="360" w:lineRule="auto"/>
        <w:ind w:left="0"/>
        <w:jc w:val="both"/>
        <w:rPr>
          <w:rFonts w:ascii="Palatino Linotype" w:hAnsi="Palatino Linotype"/>
          <w:color w:val="000000"/>
        </w:rPr>
      </w:pPr>
    </w:p>
    <w:p w14:paraId="28529681" w14:textId="78672589" w:rsidR="00F75AB0" w:rsidRPr="00D75391" w:rsidRDefault="00F75AB0" w:rsidP="00D75391">
      <w:pPr>
        <w:pStyle w:val="Prrafodelista"/>
        <w:numPr>
          <w:ilvl w:val="0"/>
          <w:numId w:val="1"/>
        </w:numPr>
        <w:tabs>
          <w:tab w:val="left" w:pos="0"/>
        </w:tabs>
        <w:spacing w:line="360" w:lineRule="auto"/>
        <w:ind w:left="0" w:firstLine="0"/>
        <w:jc w:val="both"/>
        <w:rPr>
          <w:rFonts w:ascii="Palatino Linotype" w:hAnsi="Palatino Linotype"/>
          <w:color w:val="000000"/>
        </w:rPr>
      </w:pPr>
      <w:r w:rsidRPr="00D75391">
        <w:rPr>
          <w:rFonts w:ascii="Palatino Linotype" w:hAnsi="Palatino Linotype"/>
          <w:color w:val="000000" w:themeColor="text1"/>
        </w:rPr>
        <w:t>E</w:t>
      </w:r>
      <w:r w:rsidR="003A2C31" w:rsidRPr="00D75391">
        <w:rPr>
          <w:rFonts w:ascii="Palatino Linotype" w:hAnsi="Palatino Linotype"/>
          <w:color w:val="000000" w:themeColor="text1"/>
        </w:rPr>
        <w:t>n fecha veintinueve (29</w:t>
      </w:r>
      <w:r w:rsidRPr="00D75391">
        <w:rPr>
          <w:rFonts w:ascii="Palatino Linotype" w:hAnsi="Palatino Linotype"/>
          <w:color w:val="000000" w:themeColor="text1"/>
        </w:rPr>
        <w:t>) de</w:t>
      </w:r>
      <w:r w:rsidR="003A2C31" w:rsidRPr="00D75391">
        <w:rPr>
          <w:rFonts w:ascii="Palatino Linotype" w:hAnsi="Palatino Linotype"/>
          <w:color w:val="000000" w:themeColor="text1"/>
        </w:rPr>
        <w:t xml:space="preserve"> julio </w:t>
      </w:r>
      <w:r w:rsidRPr="00D75391">
        <w:rPr>
          <w:rFonts w:ascii="Palatino Linotype" w:hAnsi="Palatino Linotype"/>
          <w:color w:val="000000" w:themeColor="text1"/>
        </w:rPr>
        <w:t xml:space="preserve">del año dos mil diecinueve, el </w:t>
      </w:r>
      <w:r w:rsidRPr="00D75391">
        <w:rPr>
          <w:rFonts w:ascii="Palatino Linotype" w:hAnsi="Palatino Linotype"/>
          <w:b/>
          <w:color w:val="000000" w:themeColor="text1"/>
        </w:rPr>
        <w:t xml:space="preserve">SUJETO OBLIGADO </w:t>
      </w:r>
      <w:r w:rsidRPr="00D75391">
        <w:rPr>
          <w:rFonts w:ascii="Palatino Linotype" w:hAnsi="Palatino Linotype"/>
          <w:color w:val="000000" w:themeColor="text1"/>
        </w:rPr>
        <w:t>emitió su</w:t>
      </w:r>
      <w:r w:rsidR="003A2C31" w:rsidRPr="00D75391">
        <w:rPr>
          <w:rFonts w:ascii="Palatino Linotype" w:hAnsi="Palatino Linotype"/>
          <w:color w:val="000000" w:themeColor="text1"/>
        </w:rPr>
        <w:t>s</w:t>
      </w:r>
      <w:r w:rsidRPr="00D75391">
        <w:rPr>
          <w:rFonts w:ascii="Palatino Linotype" w:hAnsi="Palatino Linotype"/>
          <w:color w:val="000000" w:themeColor="text1"/>
        </w:rPr>
        <w:t xml:space="preserve"> respectiva</w:t>
      </w:r>
      <w:r w:rsidR="003A2C31" w:rsidRPr="00D75391">
        <w:rPr>
          <w:rFonts w:ascii="Palatino Linotype" w:hAnsi="Palatino Linotype"/>
          <w:color w:val="000000" w:themeColor="text1"/>
        </w:rPr>
        <w:t>s</w:t>
      </w:r>
      <w:r w:rsidRPr="00D75391">
        <w:rPr>
          <w:rFonts w:ascii="Palatino Linotype" w:hAnsi="Palatino Linotype"/>
          <w:color w:val="000000" w:themeColor="text1"/>
        </w:rPr>
        <w:t xml:space="preserve"> respuesta</w:t>
      </w:r>
      <w:r w:rsidR="003A2C31" w:rsidRPr="00D75391">
        <w:rPr>
          <w:rFonts w:ascii="Palatino Linotype" w:hAnsi="Palatino Linotype"/>
          <w:color w:val="000000" w:themeColor="text1"/>
        </w:rPr>
        <w:t>s</w:t>
      </w:r>
      <w:r w:rsidRPr="00D75391">
        <w:rPr>
          <w:rFonts w:ascii="Palatino Linotype" w:hAnsi="Palatino Linotype"/>
          <w:color w:val="000000" w:themeColor="text1"/>
        </w:rPr>
        <w:t xml:space="preserve"> a la solicitud</w:t>
      </w:r>
      <w:r w:rsidR="003A2C31" w:rsidRPr="00D75391">
        <w:rPr>
          <w:rFonts w:ascii="Palatino Linotype" w:hAnsi="Palatino Linotype"/>
          <w:color w:val="000000" w:themeColor="text1"/>
        </w:rPr>
        <w:t>es</w:t>
      </w:r>
      <w:r w:rsidRPr="00D75391">
        <w:rPr>
          <w:rFonts w:ascii="Palatino Linotype" w:hAnsi="Palatino Linotype"/>
          <w:color w:val="000000" w:themeColor="text1"/>
        </w:rPr>
        <w:t xml:space="preserve"> de información presentada</w:t>
      </w:r>
      <w:r w:rsidR="003A2C31" w:rsidRPr="00D75391">
        <w:rPr>
          <w:rFonts w:ascii="Palatino Linotype" w:hAnsi="Palatino Linotype"/>
          <w:color w:val="000000" w:themeColor="text1"/>
        </w:rPr>
        <w:t>s</w:t>
      </w:r>
      <w:r w:rsidRPr="00D75391">
        <w:rPr>
          <w:rFonts w:ascii="Palatino Linotype" w:hAnsi="Palatino Linotype"/>
          <w:color w:val="000000" w:themeColor="text1"/>
        </w:rPr>
        <w:t>, a través de los escritos siguientes:</w:t>
      </w:r>
    </w:p>
    <w:p w14:paraId="56618F0F" w14:textId="77777777" w:rsidR="00F75AB0" w:rsidRPr="00D75391" w:rsidRDefault="00F75AB0" w:rsidP="00D75391">
      <w:pPr>
        <w:pStyle w:val="Prrafodelista"/>
        <w:spacing w:line="360" w:lineRule="auto"/>
        <w:rPr>
          <w:rFonts w:ascii="Palatino Linotype" w:hAnsi="Palatino Linotype"/>
          <w:color w:val="000000"/>
        </w:rPr>
      </w:pPr>
    </w:p>
    <w:p w14:paraId="429A80CD" w14:textId="5B5BEF83" w:rsidR="001F40F9" w:rsidRPr="00D75391" w:rsidRDefault="001F40F9" w:rsidP="00D75391">
      <w:pPr>
        <w:pStyle w:val="Prrafodelista"/>
        <w:tabs>
          <w:tab w:val="left" w:pos="0"/>
        </w:tabs>
        <w:spacing w:line="360" w:lineRule="auto"/>
        <w:ind w:left="0"/>
        <w:jc w:val="both"/>
        <w:rPr>
          <w:rFonts w:ascii="Palatino Linotype" w:hAnsi="Palatino Linotype"/>
          <w:b/>
          <w:color w:val="000000" w:themeColor="text1"/>
        </w:rPr>
      </w:pPr>
      <w:r w:rsidRPr="00D75391">
        <w:rPr>
          <w:rFonts w:ascii="Palatino Linotype" w:hAnsi="Palatino Linotype"/>
          <w:b/>
          <w:bCs/>
          <w:color w:val="000000" w:themeColor="text1"/>
        </w:rPr>
        <w:t>Solicitud</w:t>
      </w:r>
      <w:r w:rsidR="003A2C31" w:rsidRPr="00D75391">
        <w:rPr>
          <w:rStyle w:val="Hipervnculo"/>
          <w:rFonts w:ascii="Palatino Linotype" w:hAnsi="Palatino Linotype"/>
          <w:b/>
          <w:bCs/>
          <w:color w:val="000000" w:themeColor="text1"/>
          <w:u w:val="none"/>
        </w:rPr>
        <w:t xml:space="preserve"> 00044/SESEA/IP/2019</w:t>
      </w:r>
      <w:r w:rsidR="005F11CA" w:rsidRPr="00D75391">
        <w:rPr>
          <w:rStyle w:val="Hipervnculo"/>
          <w:rFonts w:ascii="Palatino Linotype" w:hAnsi="Palatino Linotype"/>
          <w:b/>
          <w:bCs/>
          <w:color w:val="000000" w:themeColor="text1"/>
          <w:u w:val="none"/>
        </w:rPr>
        <w:t xml:space="preserve"> y 00045/SESEA/IP/</w:t>
      </w:r>
      <w:proofErr w:type="gramStart"/>
      <w:r w:rsidR="005F11CA" w:rsidRPr="00D75391">
        <w:rPr>
          <w:rStyle w:val="Hipervnculo"/>
          <w:rFonts w:ascii="Palatino Linotype" w:hAnsi="Palatino Linotype"/>
          <w:b/>
          <w:bCs/>
          <w:color w:val="000000" w:themeColor="text1"/>
          <w:u w:val="none"/>
        </w:rPr>
        <w:t xml:space="preserve">2019  </w:t>
      </w:r>
      <w:r w:rsidRPr="00D75391">
        <w:rPr>
          <w:rFonts w:ascii="Palatino Linotype" w:hAnsi="Palatino Linotype"/>
          <w:b/>
          <w:color w:val="000000" w:themeColor="text1"/>
        </w:rPr>
        <w:t>:</w:t>
      </w:r>
      <w:proofErr w:type="gramEnd"/>
      <w:r w:rsidRPr="00D75391">
        <w:rPr>
          <w:rFonts w:ascii="Palatino Linotype" w:hAnsi="Palatino Linotype"/>
          <w:b/>
          <w:color w:val="000000" w:themeColor="text1"/>
        </w:rPr>
        <w:t xml:space="preserve"> </w:t>
      </w:r>
    </w:p>
    <w:p w14:paraId="044A6532" w14:textId="77777777" w:rsidR="005F11CA" w:rsidRPr="00D75391" w:rsidRDefault="005F11CA" w:rsidP="00D75391">
      <w:pPr>
        <w:pStyle w:val="Prrafodelista"/>
        <w:tabs>
          <w:tab w:val="left" w:pos="0"/>
        </w:tabs>
        <w:spacing w:line="360" w:lineRule="auto"/>
        <w:ind w:left="0"/>
        <w:jc w:val="both"/>
        <w:rPr>
          <w:rFonts w:ascii="Palatino Linotype" w:hAnsi="Palatino Linotype"/>
          <w:b/>
          <w:color w:val="000000" w:themeColor="text1"/>
        </w:rPr>
      </w:pPr>
    </w:p>
    <w:p w14:paraId="79D617C9" w14:textId="235351D3" w:rsidR="001F40F9" w:rsidRPr="00D75391" w:rsidRDefault="003A2C31" w:rsidP="00D75391">
      <w:pPr>
        <w:pStyle w:val="Prrafodelista"/>
        <w:numPr>
          <w:ilvl w:val="0"/>
          <w:numId w:val="3"/>
        </w:numPr>
        <w:tabs>
          <w:tab w:val="left" w:pos="0"/>
        </w:tabs>
        <w:spacing w:line="360" w:lineRule="auto"/>
        <w:jc w:val="both"/>
        <w:rPr>
          <w:rFonts w:ascii="Palatino Linotype" w:hAnsi="Palatino Linotype"/>
          <w:b/>
          <w:bCs/>
          <w:color w:val="000000" w:themeColor="text1"/>
        </w:rPr>
      </w:pPr>
      <w:r w:rsidRPr="00D75391">
        <w:rPr>
          <w:rFonts w:ascii="Palatino Linotype" w:hAnsi="Palatino Linotype"/>
          <w:b/>
          <w:bCs/>
          <w:color w:val="000000" w:themeColor="text1"/>
        </w:rPr>
        <w:t xml:space="preserve">3. </w:t>
      </w:r>
      <w:proofErr w:type="gramStart"/>
      <w:r w:rsidRPr="00D75391">
        <w:rPr>
          <w:rFonts w:ascii="Palatino Linotype" w:hAnsi="Palatino Linotype"/>
          <w:b/>
          <w:bCs/>
          <w:color w:val="000000" w:themeColor="text1"/>
        </w:rPr>
        <w:t>LSAEMYM.pdf</w:t>
      </w:r>
      <w:r w:rsidR="001F40F9" w:rsidRPr="00D75391">
        <w:rPr>
          <w:rFonts w:ascii="Palatino Linotype" w:hAnsi="Palatino Linotype"/>
          <w:b/>
          <w:bCs/>
          <w:color w:val="000000" w:themeColor="text1"/>
        </w:rPr>
        <w:t> :</w:t>
      </w:r>
      <w:proofErr w:type="gramEnd"/>
      <w:r w:rsidR="001F40F9" w:rsidRPr="00D75391">
        <w:rPr>
          <w:rFonts w:ascii="Palatino Linotype" w:hAnsi="Palatino Linotype"/>
          <w:b/>
          <w:bCs/>
          <w:color w:val="000000" w:themeColor="text1"/>
        </w:rPr>
        <w:t xml:space="preserve"> </w:t>
      </w:r>
      <w:r w:rsidR="001F40F9" w:rsidRPr="00D75391">
        <w:rPr>
          <w:rFonts w:ascii="Palatino Linotype" w:hAnsi="Palatino Linotype"/>
          <w:bCs/>
          <w:color w:val="000000" w:themeColor="text1"/>
        </w:rPr>
        <w:t xml:space="preserve">Documento electrónico que en </w:t>
      </w:r>
      <w:r w:rsidRPr="00D75391">
        <w:rPr>
          <w:rFonts w:ascii="Palatino Linotype" w:hAnsi="Palatino Linotype"/>
          <w:bCs/>
          <w:color w:val="000000" w:themeColor="text1"/>
        </w:rPr>
        <w:t>cuarenta y nueve (49</w:t>
      </w:r>
      <w:r w:rsidR="001F40F9" w:rsidRPr="00D75391">
        <w:rPr>
          <w:rFonts w:ascii="Palatino Linotype" w:hAnsi="Palatino Linotype"/>
          <w:bCs/>
          <w:color w:val="000000" w:themeColor="text1"/>
        </w:rPr>
        <w:t xml:space="preserve">) hojas contiene </w:t>
      </w:r>
      <w:r w:rsidRPr="00D75391">
        <w:rPr>
          <w:rFonts w:ascii="Palatino Linotype" w:hAnsi="Palatino Linotype"/>
          <w:bCs/>
          <w:color w:val="000000" w:themeColor="text1"/>
        </w:rPr>
        <w:t>la Ley del Sistema Anticorrupción del Estado de México  y Municipios</w:t>
      </w:r>
      <w:r w:rsidR="00E16ADB" w:rsidRPr="00D75391">
        <w:rPr>
          <w:rFonts w:ascii="Palatino Linotype" w:hAnsi="Palatino Linotype"/>
          <w:bCs/>
          <w:color w:val="000000" w:themeColor="text1"/>
        </w:rPr>
        <w:t xml:space="preserve">.  </w:t>
      </w:r>
    </w:p>
    <w:p w14:paraId="4F3A5F7F" w14:textId="77777777" w:rsidR="00E16ADB" w:rsidRPr="00D75391" w:rsidRDefault="00E16ADB" w:rsidP="00D75391">
      <w:pPr>
        <w:tabs>
          <w:tab w:val="left" w:pos="0"/>
        </w:tabs>
        <w:spacing w:line="360" w:lineRule="auto"/>
        <w:ind w:left="360"/>
        <w:jc w:val="both"/>
        <w:rPr>
          <w:rFonts w:ascii="Palatino Linotype" w:hAnsi="Palatino Linotype"/>
          <w:b/>
          <w:bCs/>
          <w:color w:val="000000" w:themeColor="text1"/>
        </w:rPr>
      </w:pPr>
    </w:p>
    <w:p w14:paraId="6BB00CAE" w14:textId="2058854A" w:rsidR="00E16ADB" w:rsidRPr="00D75391" w:rsidRDefault="003A2C31" w:rsidP="00D75391">
      <w:pPr>
        <w:pStyle w:val="Prrafodelista"/>
        <w:numPr>
          <w:ilvl w:val="0"/>
          <w:numId w:val="3"/>
        </w:numPr>
        <w:tabs>
          <w:tab w:val="left" w:pos="0"/>
        </w:tabs>
        <w:spacing w:line="360" w:lineRule="auto"/>
        <w:jc w:val="both"/>
        <w:rPr>
          <w:rFonts w:ascii="Palatino Linotype" w:hAnsi="Palatino Linotype"/>
          <w:b/>
          <w:color w:val="000000" w:themeColor="text1"/>
        </w:rPr>
      </w:pPr>
      <w:r w:rsidRPr="00D75391">
        <w:rPr>
          <w:rFonts w:ascii="Palatino Linotype" w:hAnsi="Palatino Linotype"/>
          <w:b/>
          <w:color w:val="000000" w:themeColor="text1"/>
        </w:rPr>
        <w:t>2. OF_cont_OIC.PDF</w:t>
      </w:r>
      <w:r w:rsidR="00E16ADB" w:rsidRPr="00D75391">
        <w:rPr>
          <w:rFonts w:ascii="Palatino Linotype" w:hAnsi="Palatino Linotype"/>
          <w:b/>
          <w:color w:val="000000" w:themeColor="text1"/>
        </w:rPr>
        <w:t>:</w:t>
      </w:r>
      <w:r w:rsidR="005F77B7" w:rsidRPr="00D75391">
        <w:rPr>
          <w:rFonts w:ascii="Palatino Linotype" w:hAnsi="Palatino Linotype"/>
          <w:b/>
          <w:color w:val="000000" w:themeColor="text1"/>
        </w:rPr>
        <w:t xml:space="preserve"> </w:t>
      </w:r>
      <w:r w:rsidR="005F77B7" w:rsidRPr="00D75391">
        <w:rPr>
          <w:rFonts w:ascii="Palatino Linotype" w:hAnsi="Palatino Linotype"/>
          <w:color w:val="000000" w:themeColor="text1"/>
        </w:rPr>
        <w:t>Documento electrónico que en una (01</w:t>
      </w:r>
      <w:r w:rsidR="006F5E25" w:rsidRPr="00D75391">
        <w:rPr>
          <w:rFonts w:ascii="Palatino Linotype" w:hAnsi="Palatino Linotype"/>
          <w:color w:val="000000" w:themeColor="text1"/>
        </w:rPr>
        <w:t>)</w:t>
      </w:r>
      <w:r w:rsidR="005F77B7" w:rsidRPr="00D75391">
        <w:rPr>
          <w:rFonts w:ascii="Palatino Linotype" w:hAnsi="Palatino Linotype"/>
          <w:color w:val="000000" w:themeColor="text1"/>
        </w:rPr>
        <w:t xml:space="preserve"> hoja contiene el o</w:t>
      </w:r>
      <w:r w:rsidR="00E16ADB" w:rsidRPr="00D75391">
        <w:rPr>
          <w:rFonts w:ascii="Palatino Linotype" w:hAnsi="Palatino Linotype"/>
          <w:color w:val="000000" w:themeColor="text1"/>
        </w:rPr>
        <w:t xml:space="preserve">ficio de fecha veintidós (22) de </w:t>
      </w:r>
      <w:r w:rsidR="005F77B7" w:rsidRPr="00D75391">
        <w:rPr>
          <w:rFonts w:ascii="Palatino Linotype" w:hAnsi="Palatino Linotype"/>
          <w:color w:val="000000" w:themeColor="text1"/>
        </w:rPr>
        <w:t xml:space="preserve">julio </w:t>
      </w:r>
      <w:r w:rsidR="00E16ADB" w:rsidRPr="00D75391">
        <w:rPr>
          <w:rFonts w:ascii="Palatino Linotype" w:hAnsi="Palatino Linotype"/>
          <w:color w:val="000000" w:themeColor="text1"/>
        </w:rPr>
        <w:t>de dos mil diecinueve dirigido al</w:t>
      </w:r>
      <w:r w:rsidR="005F77B7" w:rsidRPr="00D75391">
        <w:rPr>
          <w:rFonts w:ascii="Palatino Linotype" w:hAnsi="Palatino Linotype"/>
          <w:color w:val="000000" w:themeColor="text1"/>
        </w:rPr>
        <w:t xml:space="preserve"> Jefe de la Unidad de Transparencia de la Secretaría Ejecutiva del Sistema Estatal Anticorrupción  </w:t>
      </w:r>
      <w:r w:rsidR="00E16ADB" w:rsidRPr="00D75391">
        <w:rPr>
          <w:rFonts w:ascii="Palatino Linotype" w:hAnsi="Palatino Linotype"/>
          <w:color w:val="000000" w:themeColor="text1"/>
        </w:rPr>
        <w:t xml:space="preserve">y signado por el </w:t>
      </w:r>
      <w:r w:rsidR="005F77B7" w:rsidRPr="00D75391">
        <w:rPr>
          <w:rFonts w:ascii="Palatino Linotype" w:hAnsi="Palatino Linotype"/>
          <w:color w:val="000000" w:themeColor="text1"/>
        </w:rPr>
        <w:t xml:space="preserve">Titular del Órgano Interno de Control, </w:t>
      </w:r>
      <w:r w:rsidR="00E16ADB" w:rsidRPr="00D75391">
        <w:rPr>
          <w:rFonts w:ascii="Palatino Linotype" w:hAnsi="Palatino Linotype"/>
          <w:color w:val="000000" w:themeColor="text1"/>
        </w:rPr>
        <w:t xml:space="preserve">mediante el cual </w:t>
      </w:r>
      <w:r w:rsidR="005F77B7" w:rsidRPr="00D75391">
        <w:rPr>
          <w:rFonts w:ascii="Palatino Linotype" w:hAnsi="Palatino Linotype"/>
          <w:color w:val="000000" w:themeColor="text1"/>
        </w:rPr>
        <w:t xml:space="preserve">se refiere que de conformidad con el artículo 38 Bis fracción XIV de la Ley Orgánica de la Administración Pública del Estado de México  se deberá orientar al particular a que realice su solicitud a través de la Secretaría de la Contraloría del Gobierno del Estado de México. </w:t>
      </w:r>
    </w:p>
    <w:p w14:paraId="097A345D" w14:textId="77777777" w:rsidR="00E16ADB" w:rsidRPr="00D75391" w:rsidRDefault="00E16ADB" w:rsidP="00D75391">
      <w:pPr>
        <w:tabs>
          <w:tab w:val="left" w:pos="0"/>
        </w:tabs>
        <w:spacing w:line="360" w:lineRule="auto"/>
        <w:jc w:val="both"/>
        <w:rPr>
          <w:rFonts w:ascii="Palatino Linotype" w:hAnsi="Palatino Linotype"/>
          <w:b/>
          <w:color w:val="000000" w:themeColor="text1"/>
        </w:rPr>
      </w:pPr>
    </w:p>
    <w:p w14:paraId="354424EF" w14:textId="5A3170D1" w:rsidR="006F5E25" w:rsidRPr="00D75391" w:rsidRDefault="005F77B7" w:rsidP="00D75391">
      <w:pPr>
        <w:pStyle w:val="Prrafodelista"/>
        <w:numPr>
          <w:ilvl w:val="0"/>
          <w:numId w:val="3"/>
        </w:numPr>
        <w:tabs>
          <w:tab w:val="left" w:pos="0"/>
        </w:tabs>
        <w:spacing w:line="360" w:lineRule="auto"/>
        <w:jc w:val="both"/>
        <w:rPr>
          <w:rFonts w:ascii="Palatino Linotype" w:hAnsi="Palatino Linotype"/>
          <w:b/>
          <w:color w:val="000000" w:themeColor="text1"/>
        </w:rPr>
      </w:pPr>
      <w:r w:rsidRPr="00D75391">
        <w:rPr>
          <w:rFonts w:ascii="Palatino Linotype" w:hAnsi="Palatino Linotype"/>
          <w:b/>
          <w:color w:val="000000" w:themeColor="text1"/>
        </w:rPr>
        <w:t>0. OF282_cont_044_IP_2019.pdf</w:t>
      </w:r>
      <w:r w:rsidR="005F11CA" w:rsidRPr="00D75391">
        <w:rPr>
          <w:rFonts w:ascii="Palatino Linotype" w:hAnsi="Palatino Linotype"/>
          <w:b/>
          <w:color w:val="000000" w:themeColor="text1"/>
        </w:rPr>
        <w:t xml:space="preserve"> y  0. OF_cont_045_IP_</w:t>
      </w:r>
      <w:proofErr w:type="gramStart"/>
      <w:r w:rsidR="005F11CA" w:rsidRPr="00D75391">
        <w:rPr>
          <w:rFonts w:ascii="Palatino Linotype" w:hAnsi="Palatino Linotype"/>
          <w:b/>
          <w:color w:val="000000" w:themeColor="text1"/>
        </w:rPr>
        <w:t xml:space="preserve">2019.pdf </w:t>
      </w:r>
      <w:r w:rsidR="001F40F9" w:rsidRPr="00D75391">
        <w:rPr>
          <w:rFonts w:ascii="Palatino Linotype" w:hAnsi="Palatino Linotype"/>
          <w:b/>
          <w:color w:val="000000" w:themeColor="text1"/>
        </w:rPr>
        <w:t>:</w:t>
      </w:r>
      <w:proofErr w:type="gramEnd"/>
      <w:r w:rsidR="00E16ADB" w:rsidRPr="00D75391">
        <w:rPr>
          <w:rFonts w:ascii="Palatino Linotype" w:hAnsi="Palatino Linotype"/>
          <w:b/>
          <w:color w:val="000000" w:themeColor="text1"/>
        </w:rPr>
        <w:t xml:space="preserve"> </w:t>
      </w:r>
      <w:r w:rsidR="006F5E25" w:rsidRPr="00D75391">
        <w:rPr>
          <w:rFonts w:ascii="Palatino Linotype" w:hAnsi="Palatino Linotype"/>
          <w:color w:val="000000" w:themeColor="text1"/>
        </w:rPr>
        <w:t xml:space="preserve">Documento electrónico que en cuatro (04) hojas contiene el oficio número 400N13000/282/2019 dirigido al solicitante de información y signado por el Titular de la Unidad de Transparencia de la Secretaría Ejecutiva del Sistema Estatal Anticorrupción, mediante el cual medularmente  se refiere que se deberá realizar la solicitud  a la Secretaría de la Contraloría del Gobierno del Estado de México. </w:t>
      </w:r>
    </w:p>
    <w:p w14:paraId="50E471D2" w14:textId="77777777" w:rsidR="006F5E25" w:rsidRPr="00D75391" w:rsidRDefault="006F5E25" w:rsidP="00D75391">
      <w:pPr>
        <w:pStyle w:val="Prrafodelista"/>
        <w:spacing w:line="360" w:lineRule="auto"/>
        <w:rPr>
          <w:rFonts w:ascii="Palatino Linotype" w:hAnsi="Palatino Linotype"/>
          <w:b/>
          <w:color w:val="000000" w:themeColor="text1"/>
        </w:rPr>
      </w:pPr>
    </w:p>
    <w:p w14:paraId="74AA852D" w14:textId="0ACB84E2" w:rsidR="006F5E25" w:rsidRPr="00D75391" w:rsidRDefault="006F5E25" w:rsidP="00D75391">
      <w:pPr>
        <w:pStyle w:val="Prrafodelista"/>
        <w:numPr>
          <w:ilvl w:val="0"/>
          <w:numId w:val="3"/>
        </w:numPr>
        <w:tabs>
          <w:tab w:val="left" w:pos="0"/>
        </w:tabs>
        <w:spacing w:line="360" w:lineRule="auto"/>
        <w:jc w:val="both"/>
        <w:rPr>
          <w:rFonts w:ascii="Palatino Linotype" w:hAnsi="Palatino Linotype"/>
          <w:b/>
          <w:color w:val="000000" w:themeColor="text1"/>
        </w:rPr>
      </w:pPr>
      <w:r w:rsidRPr="00D75391">
        <w:rPr>
          <w:rFonts w:ascii="Palatino Linotype" w:hAnsi="Palatino Linotype"/>
          <w:b/>
          <w:color w:val="000000" w:themeColor="text1"/>
        </w:rPr>
        <w:t xml:space="preserve">4. LTAIPEMYM.pdf: </w:t>
      </w:r>
      <w:r w:rsidRPr="00D75391">
        <w:rPr>
          <w:rFonts w:ascii="Palatino Linotype" w:hAnsi="Palatino Linotype"/>
          <w:bCs/>
          <w:color w:val="000000" w:themeColor="text1"/>
        </w:rPr>
        <w:t>Documento electrónico que en noventa hojas (90) hojas contiene la L</w:t>
      </w:r>
      <w:r w:rsidR="005F11CA" w:rsidRPr="00D75391">
        <w:rPr>
          <w:rFonts w:ascii="Palatino Linotype" w:hAnsi="Palatino Linotype"/>
          <w:bCs/>
          <w:color w:val="000000" w:themeColor="text1"/>
        </w:rPr>
        <w:t xml:space="preserve">ey de Transparencia y Acceso a la Información Pública del Estado de México y Municipios. </w:t>
      </w:r>
    </w:p>
    <w:p w14:paraId="4C3AD831" w14:textId="3E807353" w:rsidR="001D5070" w:rsidRPr="00D75391" w:rsidRDefault="001D5070" w:rsidP="00D75391">
      <w:pPr>
        <w:pStyle w:val="Prrafodelista"/>
        <w:tabs>
          <w:tab w:val="left" w:pos="0"/>
        </w:tabs>
        <w:spacing w:line="360" w:lineRule="auto"/>
        <w:ind w:left="0"/>
        <w:jc w:val="both"/>
        <w:rPr>
          <w:rFonts w:ascii="Palatino Linotype" w:hAnsi="Palatino Linotype"/>
          <w:color w:val="000000"/>
        </w:rPr>
      </w:pPr>
    </w:p>
    <w:p w14:paraId="2373E3E2" w14:textId="54645851" w:rsidR="00833E18" w:rsidRPr="00D75391" w:rsidRDefault="005F11CA" w:rsidP="00D75391">
      <w:pPr>
        <w:pStyle w:val="Prrafodelista"/>
        <w:numPr>
          <w:ilvl w:val="0"/>
          <w:numId w:val="1"/>
        </w:numPr>
        <w:spacing w:line="360" w:lineRule="auto"/>
        <w:ind w:left="0" w:firstLine="0"/>
        <w:jc w:val="both"/>
        <w:rPr>
          <w:rFonts w:ascii="Palatino Linotype" w:hAnsi="Palatino Linotype"/>
          <w:b/>
          <w:i/>
        </w:rPr>
      </w:pPr>
      <w:r w:rsidRPr="00D75391">
        <w:rPr>
          <w:rFonts w:ascii="Palatino Linotype" w:eastAsia="Times New Roman" w:hAnsi="Palatino Linotype" w:cs="Arial"/>
        </w:rPr>
        <w:t xml:space="preserve">El día treinta (30) julio </w:t>
      </w:r>
      <w:r w:rsidR="00112FBF" w:rsidRPr="00D75391">
        <w:rPr>
          <w:rFonts w:ascii="Palatino Linotype" w:eastAsia="Times New Roman" w:hAnsi="Palatino Linotype" w:cs="Arial"/>
        </w:rPr>
        <w:t>d</w:t>
      </w:r>
      <w:r w:rsidR="00664106" w:rsidRPr="00D75391">
        <w:rPr>
          <w:rFonts w:ascii="Palatino Linotype" w:eastAsia="Times New Roman" w:hAnsi="Palatino Linotype" w:cs="Arial"/>
          <w:lang w:val="es-ES"/>
        </w:rPr>
        <w:t>el presente año</w:t>
      </w:r>
      <w:r w:rsidR="00D408B6" w:rsidRPr="00D75391">
        <w:rPr>
          <w:rFonts w:ascii="Palatino Linotype" w:eastAsia="Times New Roman" w:hAnsi="Palatino Linotype" w:cs="Arial"/>
          <w:lang w:val="es-ES"/>
        </w:rPr>
        <w:t xml:space="preserve">, se </w:t>
      </w:r>
      <w:r w:rsidR="00664106" w:rsidRPr="00D75391">
        <w:rPr>
          <w:rFonts w:ascii="Palatino Linotype" w:eastAsia="Times New Roman" w:hAnsi="Palatino Linotype" w:cs="Arial"/>
          <w:lang w:val="es-ES"/>
        </w:rPr>
        <w:t xml:space="preserve">interpusieron </w:t>
      </w:r>
      <w:r w:rsidR="00112FBF" w:rsidRPr="00D75391">
        <w:rPr>
          <w:rFonts w:ascii="Palatino Linotype" w:eastAsia="Times New Roman" w:hAnsi="Palatino Linotype" w:cs="Arial"/>
          <w:lang w:val="es-ES"/>
        </w:rPr>
        <w:t>por el</w:t>
      </w:r>
      <w:r w:rsidR="00740857" w:rsidRPr="00D75391">
        <w:rPr>
          <w:rFonts w:ascii="Palatino Linotype" w:eastAsia="Times New Roman" w:hAnsi="Palatino Linotype" w:cs="Arial"/>
          <w:lang w:val="es-ES"/>
        </w:rPr>
        <w:t xml:space="preserve"> parte</w:t>
      </w:r>
      <w:r w:rsidR="00C64BCF" w:rsidRPr="00D75391">
        <w:rPr>
          <w:rFonts w:ascii="Palatino Linotype" w:eastAsia="Times New Roman" w:hAnsi="Palatino Linotype" w:cs="Arial"/>
          <w:lang w:val="es-ES"/>
        </w:rPr>
        <w:t xml:space="preserve"> </w:t>
      </w:r>
      <w:r w:rsidR="00C9715E" w:rsidRPr="00D75391">
        <w:rPr>
          <w:rFonts w:ascii="Palatino Linotype" w:eastAsia="Times New Roman" w:hAnsi="Palatino Linotype" w:cs="Arial"/>
          <w:b/>
          <w:lang w:val="es-ES"/>
        </w:rPr>
        <w:t>RECURRENTE</w:t>
      </w:r>
      <w:r w:rsidR="00D408B6" w:rsidRPr="00D75391">
        <w:rPr>
          <w:rFonts w:ascii="Palatino Linotype" w:eastAsia="Times New Roman" w:hAnsi="Palatino Linotype" w:cs="Arial"/>
          <w:lang w:val="es-ES"/>
        </w:rPr>
        <w:t xml:space="preserve">, </w:t>
      </w:r>
      <w:r w:rsidR="00C64BCF" w:rsidRPr="00D75391">
        <w:rPr>
          <w:rFonts w:ascii="Palatino Linotype" w:eastAsia="Times New Roman" w:hAnsi="Palatino Linotype" w:cs="Arial"/>
          <w:lang w:val="es-ES"/>
        </w:rPr>
        <w:t>l</w:t>
      </w:r>
      <w:r w:rsidR="00D408B6" w:rsidRPr="00D75391">
        <w:rPr>
          <w:rFonts w:ascii="Palatino Linotype" w:eastAsia="Times New Roman" w:hAnsi="Palatino Linotype" w:cs="Arial"/>
          <w:lang w:val="es-ES"/>
        </w:rPr>
        <w:t>os</w:t>
      </w:r>
      <w:r w:rsidR="00C64BCF" w:rsidRPr="00D75391">
        <w:rPr>
          <w:rFonts w:ascii="Palatino Linotype" w:eastAsia="Times New Roman" w:hAnsi="Palatino Linotype" w:cs="Arial"/>
          <w:lang w:val="es-ES"/>
        </w:rPr>
        <w:t xml:space="preserve"> recurso</w:t>
      </w:r>
      <w:r w:rsidR="00D408B6" w:rsidRPr="00D75391">
        <w:rPr>
          <w:rFonts w:ascii="Palatino Linotype" w:eastAsia="Times New Roman" w:hAnsi="Palatino Linotype" w:cs="Arial"/>
          <w:lang w:val="es-ES"/>
        </w:rPr>
        <w:t>s</w:t>
      </w:r>
      <w:r w:rsidR="00C64BCF" w:rsidRPr="00D75391">
        <w:rPr>
          <w:rFonts w:ascii="Palatino Linotype" w:eastAsia="Times New Roman" w:hAnsi="Palatino Linotype" w:cs="Arial"/>
          <w:lang w:val="es-ES"/>
        </w:rPr>
        <w:t xml:space="preserve"> de revisión</w:t>
      </w:r>
      <w:r w:rsidR="00112FBF" w:rsidRPr="00D75391">
        <w:rPr>
          <w:rFonts w:ascii="Palatino Linotype" w:hAnsi="Palatino Linotype"/>
          <w:b/>
        </w:rPr>
        <w:t xml:space="preserve"> </w:t>
      </w:r>
      <w:hyperlink r:id="rId9" w:tgtFrame="_blank" w:history="1">
        <w:r w:rsidRPr="00D75391">
          <w:rPr>
            <w:rStyle w:val="Hipervnculo"/>
            <w:rFonts w:ascii="Palatino Linotype" w:hAnsi="Palatino Linotype"/>
            <w:b/>
            <w:bCs/>
            <w:color w:val="000000" w:themeColor="text1"/>
            <w:u w:val="none"/>
          </w:rPr>
          <w:t>06418/INFOEM/IP/RR/2019</w:t>
        </w:r>
      </w:hyperlink>
      <w:r w:rsidRPr="00D75391">
        <w:rPr>
          <w:rFonts w:ascii="Palatino Linotype" w:hAnsi="Palatino Linotype"/>
          <w:b/>
        </w:rPr>
        <w:t xml:space="preserve"> y 06419/INFOEM/IP/RR/2019</w:t>
      </w:r>
      <w:r w:rsidR="009A0461" w:rsidRPr="00D75391">
        <w:rPr>
          <w:rFonts w:ascii="Palatino Linotype" w:eastAsia="Calibri" w:hAnsi="Palatino Linotype" w:cs="Arial"/>
          <w:b/>
          <w:lang w:val="es-ES"/>
        </w:rPr>
        <w:t>;</w:t>
      </w:r>
      <w:r w:rsidR="004D68F8" w:rsidRPr="00D75391">
        <w:rPr>
          <w:rFonts w:ascii="Palatino Linotype" w:eastAsia="Times New Roman" w:hAnsi="Palatino Linotype" w:cs="Arial"/>
          <w:lang w:val="es-ES"/>
        </w:rPr>
        <w:t xml:space="preserve"> </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C90879" w:rsidRPr="00D75391">
        <w:rPr>
          <w:rFonts w:ascii="Palatino Linotype" w:eastAsia="Times New Roman" w:hAnsi="Palatino Linotype" w:cs="Arial"/>
          <w:lang w:val="es-ES"/>
        </w:rPr>
        <w:t>en contra</w:t>
      </w:r>
      <w:r w:rsidR="008319E2" w:rsidRPr="00D75391">
        <w:rPr>
          <w:rFonts w:ascii="Palatino Linotype" w:eastAsia="Times New Roman" w:hAnsi="Palatino Linotype" w:cs="Arial"/>
          <w:lang w:val="es-ES"/>
        </w:rPr>
        <w:t xml:space="preserve"> de la</w:t>
      </w:r>
      <w:r w:rsidR="00112FBF" w:rsidRPr="00D75391">
        <w:rPr>
          <w:rFonts w:ascii="Palatino Linotype" w:eastAsia="Times New Roman" w:hAnsi="Palatino Linotype" w:cs="Arial"/>
          <w:lang w:val="es-ES"/>
        </w:rPr>
        <w:t xml:space="preserve">s respuestas </w:t>
      </w:r>
      <w:r w:rsidR="008319E2" w:rsidRPr="00D75391">
        <w:rPr>
          <w:rFonts w:ascii="Palatino Linotype" w:eastAsia="Times New Roman" w:hAnsi="Palatino Linotype" w:cs="Arial"/>
          <w:lang w:val="es-ES"/>
        </w:rPr>
        <w:t xml:space="preserve">señalando como: </w:t>
      </w:r>
      <w:bookmarkStart w:id="16" w:name="_Toc491971186"/>
      <w:bookmarkStart w:id="17" w:name="_Toc495043348"/>
      <w:bookmarkStart w:id="18" w:name="_Toc495490222"/>
      <w:bookmarkStart w:id="19" w:name="_Toc495490292"/>
      <w:bookmarkStart w:id="20" w:name="_Toc503989305"/>
      <w:bookmarkStart w:id="21" w:name="_Toc503989327"/>
      <w:bookmarkStart w:id="22" w:name="_Toc504070934"/>
      <w:bookmarkStart w:id="23" w:name="_Toc507607100"/>
      <w:bookmarkStart w:id="24" w:name="_Toc513637193"/>
      <w:bookmarkStart w:id="25" w:name="_Toc517374347"/>
      <w:bookmarkStart w:id="26" w:name="_Toc517426507"/>
      <w:bookmarkStart w:id="27" w:name="_Toc517426552"/>
      <w:bookmarkStart w:id="28" w:name="_Toc520879413"/>
      <w:bookmarkStart w:id="29" w:name="_Toc520914922"/>
      <w:bookmarkStart w:id="30" w:name="_Toc520930776"/>
      <w:bookmarkStart w:id="31" w:name="_Toc520932703"/>
    </w:p>
    <w:p w14:paraId="4F81C177" w14:textId="77777777" w:rsidR="00112FBF" w:rsidRPr="00D75391" w:rsidRDefault="00112FBF" w:rsidP="00D75391">
      <w:pPr>
        <w:spacing w:line="360" w:lineRule="auto"/>
        <w:ind w:right="616"/>
        <w:jc w:val="both"/>
        <w:rPr>
          <w:rFonts w:ascii="Palatino Linotype" w:eastAsia="Calibri" w:hAnsi="Palatino Linotype" w:cs="Arial"/>
          <w:b/>
          <w:lang w:val="es-ES"/>
        </w:rPr>
      </w:pPr>
    </w:p>
    <w:p w14:paraId="070C6DE9" w14:textId="08A292BC" w:rsidR="000D5A1D" w:rsidRPr="00D75391" w:rsidRDefault="009E4942" w:rsidP="00D75391">
      <w:pPr>
        <w:pStyle w:val="Prrafodelista"/>
        <w:numPr>
          <w:ilvl w:val="0"/>
          <w:numId w:val="2"/>
        </w:numPr>
        <w:spacing w:line="360" w:lineRule="auto"/>
        <w:ind w:right="616"/>
        <w:jc w:val="both"/>
        <w:rPr>
          <w:rFonts w:ascii="Palatino Linotype" w:eastAsia="Calibri" w:hAnsi="Palatino Linotype" w:cs="Arial"/>
          <w:lang w:val="es-ES"/>
        </w:rPr>
      </w:pPr>
      <w:bookmarkStart w:id="32" w:name="_Toc521527061"/>
      <w:bookmarkStart w:id="33" w:name="_Toc521536199"/>
      <w:bookmarkStart w:id="34" w:name="_Toc529402639"/>
      <w:bookmarkStart w:id="35" w:name="_Toc11347064"/>
      <w:bookmarkStart w:id="36" w:name="_Toc13602323"/>
      <w:bookmarkStart w:id="37" w:name="_Toc18070410"/>
      <w:bookmarkStart w:id="38" w:name="_Toc20423561"/>
      <w:r w:rsidRPr="00D75391">
        <w:rPr>
          <w:rStyle w:val="Ttulo2Car"/>
          <w:rFonts w:ascii="Palatino Linotype" w:hAnsi="Palatino Linotype"/>
          <w:b/>
          <w:color w:val="auto"/>
          <w:sz w:val="24"/>
          <w:szCs w:val="24"/>
          <w:lang w:val="es-ES"/>
        </w:rPr>
        <w:t>Acto impugnado:</w:t>
      </w:r>
      <w:bookmarkStart w:id="39" w:name="_Toc461555886"/>
      <w:bookmarkStart w:id="40" w:name="_Toc465264613"/>
      <w:bookmarkStart w:id="41" w:name="_Toc465264858"/>
      <w:bookmarkStart w:id="42" w:name="_Toc465266509"/>
      <w:bookmarkStart w:id="43" w:name="_Toc466302241"/>
      <w:bookmarkStart w:id="44" w:name="_Toc466371849"/>
      <w:bookmarkStart w:id="45" w:name="_Toc466371908"/>
      <w:bookmarkStart w:id="46" w:name="_Toc466377638"/>
      <w:bookmarkEnd w:id="4"/>
      <w:bookmarkEnd w:id="5"/>
      <w:bookmarkEnd w:id="6"/>
      <w:bookmarkEnd w:id="7"/>
      <w:bookmarkEnd w:id="8"/>
      <w:bookmarkEnd w:id="9"/>
      <w:bookmarkEnd w:id="10"/>
      <w:bookmarkEnd w:id="11"/>
      <w:r w:rsidR="001E3F91" w:rsidRPr="00D75391">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210945" w:rsidRPr="00D75391">
        <w:rPr>
          <w:rFonts w:ascii="Palatino Linotype" w:hAnsi="Palatino Linotype"/>
        </w:rPr>
        <w:t xml:space="preserve"> </w:t>
      </w:r>
      <w:r w:rsidR="00210945" w:rsidRPr="00D75391">
        <w:rPr>
          <w:rStyle w:val="Ttulo2Car"/>
          <w:rFonts w:ascii="Palatino Linotype" w:hAnsi="Palatino Linotype"/>
          <w:i/>
          <w:color w:val="auto"/>
          <w:sz w:val="24"/>
          <w:szCs w:val="24"/>
          <w:lang w:val="es-ES"/>
        </w:rPr>
        <w:t xml:space="preserve">No se </w:t>
      </w:r>
      <w:proofErr w:type="spellStart"/>
      <w:r w:rsidR="00210945" w:rsidRPr="00D75391">
        <w:rPr>
          <w:rStyle w:val="Ttulo2Car"/>
          <w:rFonts w:ascii="Palatino Linotype" w:hAnsi="Palatino Linotype"/>
          <w:i/>
          <w:color w:val="auto"/>
          <w:sz w:val="24"/>
          <w:szCs w:val="24"/>
          <w:lang w:val="es-ES"/>
        </w:rPr>
        <w:t>presento</w:t>
      </w:r>
      <w:proofErr w:type="spellEnd"/>
      <w:r w:rsidR="00210945" w:rsidRPr="00D75391">
        <w:rPr>
          <w:rStyle w:val="Ttulo2Car"/>
          <w:rFonts w:ascii="Palatino Linotype" w:hAnsi="Palatino Linotype"/>
          <w:i/>
          <w:color w:val="auto"/>
          <w:sz w:val="24"/>
          <w:szCs w:val="24"/>
          <w:lang w:val="es-ES"/>
        </w:rPr>
        <w:t xml:space="preserve"> la </w:t>
      </w:r>
      <w:proofErr w:type="spellStart"/>
      <w:r w:rsidR="00210945" w:rsidRPr="00D75391">
        <w:rPr>
          <w:rStyle w:val="Ttulo2Car"/>
          <w:rFonts w:ascii="Palatino Linotype" w:hAnsi="Palatino Linotype"/>
          <w:i/>
          <w:color w:val="auto"/>
          <w:sz w:val="24"/>
          <w:szCs w:val="24"/>
          <w:lang w:val="es-ES"/>
        </w:rPr>
        <w:t>informacion</w:t>
      </w:r>
      <w:proofErr w:type="spellEnd"/>
      <w:r w:rsidR="00210945" w:rsidRPr="00D75391">
        <w:rPr>
          <w:rStyle w:val="Ttulo2Car"/>
          <w:rFonts w:ascii="Palatino Linotype" w:hAnsi="Palatino Linotype"/>
          <w:i/>
          <w:color w:val="auto"/>
          <w:sz w:val="24"/>
          <w:szCs w:val="24"/>
          <w:lang w:val="es-ES"/>
        </w:rPr>
        <w:t xml:space="preserve"> solicitada</w:t>
      </w:r>
      <w:r w:rsidR="00AE0514" w:rsidRPr="00D75391">
        <w:rPr>
          <w:rStyle w:val="Ttulo2Car"/>
          <w:rFonts w:ascii="Palatino Linotype" w:hAnsi="Palatino Linotype"/>
          <w:i/>
          <w:color w:val="auto"/>
          <w:sz w:val="24"/>
          <w:szCs w:val="24"/>
          <w:lang w:val="es-ES"/>
        </w:rPr>
        <w:t>.</w:t>
      </w:r>
      <w:r w:rsidRPr="00D75391">
        <w:rPr>
          <w:rFonts w:ascii="Palatino Linotype" w:eastAsia="Calibri" w:hAnsi="Palatino Linotype" w:cs="Arial"/>
          <w:i/>
          <w:lang w:val="es-ES"/>
        </w:rPr>
        <w:t>”</w:t>
      </w:r>
      <w:r w:rsidR="00E62303" w:rsidRPr="00D75391">
        <w:rPr>
          <w:rFonts w:ascii="Palatino Linotype" w:eastAsia="Calibri" w:hAnsi="Palatino Linotype" w:cs="Arial"/>
          <w:lang w:val="es-ES"/>
        </w:rPr>
        <w:t xml:space="preserve"> </w:t>
      </w:r>
      <w:r w:rsidR="00515227" w:rsidRPr="00D75391">
        <w:rPr>
          <w:rFonts w:ascii="Palatino Linotype" w:eastAsia="Calibri" w:hAnsi="Palatino Linotype" w:cs="Arial"/>
          <w:lang w:val="es-ES"/>
        </w:rPr>
        <w:t>(Sic).</w:t>
      </w:r>
    </w:p>
    <w:p w14:paraId="58D5B347" w14:textId="77777777" w:rsidR="00697BEA" w:rsidRPr="00D75391" w:rsidRDefault="00697BEA" w:rsidP="00D75391">
      <w:pPr>
        <w:pStyle w:val="Prrafodelista"/>
        <w:spacing w:line="360" w:lineRule="auto"/>
        <w:ind w:right="616"/>
        <w:jc w:val="both"/>
        <w:rPr>
          <w:rFonts w:ascii="Palatino Linotype" w:eastAsia="Calibri" w:hAnsi="Palatino Linotype" w:cs="Arial"/>
          <w:b/>
          <w:lang w:val="es-ES"/>
        </w:rPr>
      </w:pPr>
    </w:p>
    <w:p w14:paraId="6F628B5B" w14:textId="1AB6E6D0" w:rsidR="00833E18" w:rsidRPr="00D75391" w:rsidRDefault="009E4942" w:rsidP="00D75391">
      <w:pPr>
        <w:pStyle w:val="Prrafodelista"/>
        <w:numPr>
          <w:ilvl w:val="0"/>
          <w:numId w:val="2"/>
        </w:numPr>
        <w:spacing w:line="360" w:lineRule="auto"/>
        <w:ind w:right="616"/>
        <w:jc w:val="both"/>
        <w:rPr>
          <w:rFonts w:ascii="Palatino Linotype" w:hAnsi="Palatino Linotype"/>
          <w:b/>
        </w:rPr>
      </w:pPr>
      <w:bookmarkStart w:id="47" w:name="_Toc461555887"/>
      <w:bookmarkStart w:id="48" w:name="_Toc465264614"/>
      <w:bookmarkStart w:id="49" w:name="_Toc465264859"/>
      <w:bookmarkStart w:id="50" w:name="_Toc465266510"/>
      <w:bookmarkStart w:id="51" w:name="_Toc466302242"/>
      <w:bookmarkStart w:id="52" w:name="_Toc466371850"/>
      <w:bookmarkStart w:id="53" w:name="_Toc466371909"/>
      <w:bookmarkStart w:id="54" w:name="_Toc466377639"/>
      <w:bookmarkStart w:id="55" w:name="_Toc475619391"/>
      <w:bookmarkStart w:id="56" w:name="_Toc476048183"/>
      <w:bookmarkStart w:id="57" w:name="_Toc476071562"/>
      <w:bookmarkStart w:id="58" w:name="_Toc491370293"/>
      <w:bookmarkStart w:id="59" w:name="_Toc491971187"/>
      <w:bookmarkStart w:id="60" w:name="_Toc495043349"/>
      <w:bookmarkStart w:id="61" w:name="_Toc495490223"/>
      <w:bookmarkStart w:id="62" w:name="_Toc495490293"/>
      <w:bookmarkStart w:id="63" w:name="_Toc503989306"/>
      <w:bookmarkStart w:id="64" w:name="_Toc503989328"/>
      <w:bookmarkStart w:id="65" w:name="_Toc504070935"/>
      <w:bookmarkStart w:id="66" w:name="_Toc507607101"/>
      <w:bookmarkStart w:id="67" w:name="_Toc513637194"/>
      <w:bookmarkStart w:id="68" w:name="_Toc517374348"/>
      <w:bookmarkStart w:id="69" w:name="_Toc517426508"/>
      <w:bookmarkStart w:id="70" w:name="_Toc517426553"/>
      <w:bookmarkStart w:id="71" w:name="_Toc529402640"/>
      <w:bookmarkStart w:id="72" w:name="_Toc18070411"/>
      <w:bookmarkStart w:id="73" w:name="_Toc520879414"/>
      <w:bookmarkStart w:id="74" w:name="_Toc520914923"/>
      <w:bookmarkStart w:id="75" w:name="_Toc520930777"/>
      <w:bookmarkStart w:id="76" w:name="_Toc520932704"/>
      <w:bookmarkStart w:id="77" w:name="_Toc521527062"/>
      <w:bookmarkStart w:id="78" w:name="_Toc521536200"/>
      <w:bookmarkStart w:id="79" w:name="_Toc11347065"/>
      <w:bookmarkStart w:id="80" w:name="_Toc13602324"/>
      <w:bookmarkStart w:id="81" w:name="_Toc20423562"/>
      <w:r w:rsidRPr="00D75391">
        <w:rPr>
          <w:rStyle w:val="Ttulo2Car"/>
          <w:rFonts w:ascii="Palatino Linotype" w:hAnsi="Palatino Linotype"/>
          <w:b/>
          <w:color w:val="auto"/>
          <w:sz w:val="24"/>
          <w:szCs w:val="24"/>
          <w:lang w:val="es-ES"/>
        </w:rPr>
        <w:t>Razones o Motivos de inconformidad:</w:t>
      </w:r>
      <w:bookmarkEnd w:id="47"/>
      <w:bookmarkEnd w:id="48"/>
      <w:bookmarkEnd w:id="49"/>
      <w:bookmarkEnd w:id="50"/>
      <w:bookmarkEnd w:id="51"/>
      <w:bookmarkEnd w:id="52"/>
      <w:bookmarkEnd w:id="53"/>
      <w:bookmarkEnd w:id="54"/>
      <w:r w:rsidR="000631D9" w:rsidRPr="00D75391">
        <w:rPr>
          <w:rStyle w:val="Ttulo2Car"/>
          <w:rFonts w:ascii="Palatino Linotype" w:hAnsi="Palatino Linotype"/>
          <w:b/>
          <w:color w:val="auto"/>
          <w:sz w:val="24"/>
          <w:szCs w:val="24"/>
          <w:lang w:val="es-ES"/>
        </w:rPr>
        <w:t xml:space="preserve"> </w:t>
      </w:r>
      <w:bookmarkEnd w:id="55"/>
      <w:bookmarkEnd w:id="56"/>
      <w:bookmarkEnd w:id="57"/>
      <w:bookmarkEnd w:id="58"/>
      <w:bookmarkEnd w:id="59"/>
      <w:bookmarkEnd w:id="60"/>
      <w:bookmarkEnd w:id="61"/>
      <w:bookmarkEnd w:id="62"/>
      <w:bookmarkEnd w:id="63"/>
      <w:bookmarkEnd w:id="64"/>
      <w:bookmarkEnd w:id="65"/>
      <w:bookmarkEnd w:id="66"/>
      <w:bookmarkEnd w:id="67"/>
      <w:r w:rsidR="00664106" w:rsidRPr="00D75391">
        <w:rPr>
          <w:rStyle w:val="Ttulo2Car"/>
          <w:rFonts w:ascii="Palatino Linotype" w:hAnsi="Palatino Linotype"/>
          <w:i/>
          <w:color w:val="auto"/>
          <w:sz w:val="24"/>
          <w:szCs w:val="24"/>
          <w:lang w:val="es-ES"/>
        </w:rPr>
        <w:t>“</w:t>
      </w:r>
      <w:bookmarkEnd w:id="68"/>
      <w:bookmarkEnd w:id="69"/>
      <w:bookmarkEnd w:id="70"/>
      <w:bookmarkEnd w:id="71"/>
      <w:bookmarkEnd w:id="72"/>
      <w:r w:rsidR="00210945" w:rsidRPr="00D75391">
        <w:rPr>
          <w:rStyle w:val="Ttulo2Car"/>
          <w:rFonts w:ascii="Palatino Linotype" w:hAnsi="Palatino Linotype"/>
          <w:i/>
          <w:color w:val="auto"/>
          <w:sz w:val="24"/>
          <w:szCs w:val="24"/>
          <w:lang w:val="es-ES"/>
        </w:rPr>
        <w:t xml:space="preserve">La Contraloría Interna de dicha Secretaría </w:t>
      </w:r>
      <w:proofErr w:type="spellStart"/>
      <w:r w:rsidR="00210945" w:rsidRPr="00D75391">
        <w:rPr>
          <w:rStyle w:val="Ttulo2Car"/>
          <w:rFonts w:ascii="Palatino Linotype" w:hAnsi="Palatino Linotype"/>
          <w:i/>
          <w:color w:val="auto"/>
          <w:sz w:val="24"/>
          <w:szCs w:val="24"/>
          <w:lang w:val="es-ES"/>
        </w:rPr>
        <w:t>esta</w:t>
      </w:r>
      <w:proofErr w:type="spellEnd"/>
      <w:r w:rsidR="00210945" w:rsidRPr="00D75391">
        <w:rPr>
          <w:rStyle w:val="Ttulo2Car"/>
          <w:rFonts w:ascii="Palatino Linotype" w:hAnsi="Palatino Linotype"/>
          <w:i/>
          <w:color w:val="auto"/>
          <w:sz w:val="24"/>
          <w:szCs w:val="24"/>
          <w:lang w:val="es-ES"/>
        </w:rPr>
        <w:t xml:space="preserve"> integrada a su organigrama y se reporta a través de su portal de transparencia, por tanto se debe contestar por dicho medio</w:t>
      </w:r>
      <w:r w:rsidR="00664106" w:rsidRPr="00D75391">
        <w:rPr>
          <w:rStyle w:val="Ttulo2Car"/>
          <w:rFonts w:ascii="Palatino Linotype" w:hAnsi="Palatino Linotype"/>
          <w:i/>
          <w:color w:val="auto"/>
          <w:sz w:val="24"/>
          <w:szCs w:val="24"/>
          <w:lang w:val="es-ES"/>
        </w:rPr>
        <w:t>”</w:t>
      </w:r>
      <w:bookmarkEnd w:id="73"/>
      <w:bookmarkEnd w:id="74"/>
      <w:bookmarkEnd w:id="75"/>
      <w:bookmarkEnd w:id="76"/>
      <w:bookmarkEnd w:id="77"/>
      <w:bookmarkEnd w:id="78"/>
      <w:bookmarkEnd w:id="79"/>
      <w:bookmarkEnd w:id="80"/>
      <w:bookmarkEnd w:id="81"/>
      <w:r w:rsidR="00FE49E3" w:rsidRPr="00D75391">
        <w:rPr>
          <w:rFonts w:ascii="Palatino Linotype" w:hAnsi="Palatino Linotype"/>
          <w:i/>
        </w:rPr>
        <w:t xml:space="preserve"> </w:t>
      </w:r>
      <w:r w:rsidR="00FE49E3" w:rsidRPr="00D75391">
        <w:rPr>
          <w:rFonts w:ascii="Palatino Linotype" w:hAnsi="Palatino Linotype"/>
        </w:rPr>
        <w:t>(Sic)</w:t>
      </w:r>
    </w:p>
    <w:p w14:paraId="7E908F68" w14:textId="77777777" w:rsidR="00895422" w:rsidRPr="00D75391" w:rsidRDefault="00895422" w:rsidP="00D75391">
      <w:pPr>
        <w:pStyle w:val="Prrafodelista"/>
        <w:spacing w:line="360" w:lineRule="auto"/>
        <w:rPr>
          <w:rFonts w:ascii="Palatino Linotype" w:hAnsi="Palatino Linotype"/>
          <w:b/>
        </w:rPr>
      </w:pPr>
    </w:p>
    <w:p w14:paraId="61B88343" w14:textId="77777777" w:rsidR="00895422" w:rsidRPr="00D75391" w:rsidRDefault="00895422" w:rsidP="00D75391">
      <w:pPr>
        <w:pStyle w:val="Prrafodelista"/>
        <w:spacing w:line="360" w:lineRule="auto"/>
        <w:ind w:right="616"/>
        <w:jc w:val="both"/>
        <w:rPr>
          <w:rFonts w:ascii="Palatino Linotype" w:hAnsi="Palatino Linotype"/>
          <w:b/>
        </w:rPr>
      </w:pPr>
    </w:p>
    <w:p w14:paraId="2D721437" w14:textId="78967C0E" w:rsidR="00664106" w:rsidRPr="00D75391" w:rsidRDefault="00664106" w:rsidP="00D75391">
      <w:pPr>
        <w:pStyle w:val="Prrafodelista"/>
        <w:numPr>
          <w:ilvl w:val="0"/>
          <w:numId w:val="1"/>
        </w:numPr>
        <w:spacing w:before="240" w:after="240" w:line="360" w:lineRule="auto"/>
        <w:ind w:left="0" w:firstLine="0"/>
        <w:jc w:val="both"/>
        <w:rPr>
          <w:rFonts w:ascii="Palatino Linotype" w:eastAsia="Times New Roman" w:hAnsi="Palatino Linotype" w:cs="Arial"/>
        </w:rPr>
      </w:pPr>
      <w:r w:rsidRPr="00D75391">
        <w:rPr>
          <w:rFonts w:ascii="Palatino Linotype" w:hAnsi="Palatino Linotype" w:cs="Arial"/>
          <w:bCs/>
        </w:rPr>
        <w:t xml:space="preserve">Asimismo con fundamento en lo dispuesto por el </w:t>
      </w:r>
      <w:r w:rsidRPr="00D75391">
        <w:rPr>
          <w:rFonts w:ascii="Palatino Linotype" w:eastAsia="Calibri" w:hAnsi="Palatino Linotype" w:cs="Arial"/>
        </w:rPr>
        <w:t xml:space="preserve">artículo 185 fracción I de la </w:t>
      </w:r>
      <w:r w:rsidRPr="00D75391">
        <w:rPr>
          <w:rFonts w:ascii="Palatino Linotype" w:eastAsia="Calibri" w:hAnsi="Palatino Linotype" w:cs="Arial"/>
          <w:b/>
        </w:rPr>
        <w:t>Ley de Transparencia y Acceso a la Información Pública del Estado de México y Municipios,</w:t>
      </w:r>
      <w:r w:rsidRPr="00D75391">
        <w:rPr>
          <w:rFonts w:ascii="Palatino Linotype" w:hAnsi="Palatino Linotype" w:cs="Arial"/>
        </w:rPr>
        <w:t xml:space="preserve"> </w:t>
      </w:r>
      <w:r w:rsidR="00AE0514" w:rsidRPr="00D75391">
        <w:rPr>
          <w:rFonts w:ascii="Palatino Linotype" w:hAnsi="Palatino Linotype" w:cs="Arial"/>
        </w:rPr>
        <w:t xml:space="preserve">el </w:t>
      </w:r>
      <w:r w:rsidR="00AE0514" w:rsidRPr="00D75391">
        <w:rPr>
          <w:rFonts w:ascii="Palatino Linotype" w:eastAsia="Times New Roman" w:hAnsi="Palatino Linotype" w:cs="Arial"/>
        </w:rPr>
        <w:t>recurso</w:t>
      </w:r>
      <w:r w:rsidRPr="00D75391">
        <w:rPr>
          <w:rFonts w:ascii="Palatino Linotype" w:eastAsia="Times New Roman" w:hAnsi="Palatino Linotype" w:cs="Arial"/>
        </w:rPr>
        <w:t xml:space="preserve"> de revisión con número </w:t>
      </w:r>
      <w:r w:rsidR="00210945" w:rsidRPr="00D75391">
        <w:rPr>
          <w:rFonts w:ascii="Palatino Linotype" w:eastAsia="Times New Roman" w:hAnsi="Palatino Linotype" w:cs="Arial"/>
          <w:b/>
        </w:rPr>
        <w:t>06418</w:t>
      </w:r>
      <w:r w:rsidR="00AE0514" w:rsidRPr="00D75391">
        <w:rPr>
          <w:rFonts w:ascii="Palatino Linotype" w:eastAsia="Times New Roman" w:hAnsi="Palatino Linotype" w:cs="Arial"/>
          <w:b/>
        </w:rPr>
        <w:t>/INFOEM/IP/RR/2019</w:t>
      </w:r>
      <w:r w:rsidR="00394EE2" w:rsidRPr="00D75391">
        <w:rPr>
          <w:rFonts w:ascii="Palatino Linotype" w:eastAsia="Times New Roman" w:hAnsi="Palatino Linotype" w:cs="Arial"/>
          <w:b/>
        </w:rPr>
        <w:t xml:space="preserve">, </w:t>
      </w:r>
      <w:r w:rsidR="007857A6" w:rsidRPr="00D75391">
        <w:rPr>
          <w:rFonts w:ascii="Palatino Linotype" w:eastAsia="Times New Roman" w:hAnsi="Palatino Linotype" w:cs="Arial"/>
        </w:rPr>
        <w:t>fue turnado</w:t>
      </w:r>
      <w:r w:rsidRPr="00D75391">
        <w:rPr>
          <w:rFonts w:ascii="Palatino Linotype" w:eastAsia="Calibri" w:hAnsi="Palatino Linotype" w:cs="Arial"/>
          <w:b/>
        </w:rPr>
        <w:t xml:space="preserve"> </w:t>
      </w:r>
      <w:r w:rsidRPr="00D75391">
        <w:rPr>
          <w:rFonts w:ascii="Palatino Linotype" w:eastAsia="Times New Roman" w:hAnsi="Palatino Linotype" w:cs="Arial"/>
        </w:rPr>
        <w:t xml:space="preserve">al </w:t>
      </w:r>
      <w:r w:rsidRPr="00D75391">
        <w:rPr>
          <w:rFonts w:ascii="Palatino Linotype" w:eastAsia="Times New Roman" w:hAnsi="Palatino Linotype" w:cs="Arial"/>
          <w:b/>
        </w:rPr>
        <w:t xml:space="preserve">Comisionado José Guadalupe Luna Hernández </w:t>
      </w:r>
      <w:r w:rsidRPr="00D75391">
        <w:rPr>
          <w:rFonts w:ascii="Palatino Linotype" w:eastAsia="Times New Roman" w:hAnsi="Palatino Linotype" w:cs="Arial"/>
        </w:rPr>
        <w:t xml:space="preserve">con el objeto de su análisis, posteriormente el Pleno </w:t>
      </w:r>
      <w:r w:rsidRPr="00D75391">
        <w:rPr>
          <w:rFonts w:ascii="Palatino Linotype" w:eastAsia="MS Mincho" w:hAnsi="Palatino Linotype" w:cs="Arial"/>
        </w:rPr>
        <w:t>de este Órgano Autónomo, en la</w:t>
      </w:r>
      <w:r w:rsidR="009515A7" w:rsidRPr="00D75391">
        <w:rPr>
          <w:rFonts w:ascii="Palatino Linotype" w:eastAsia="MS Mincho" w:hAnsi="Palatino Linotype" w:cs="Arial"/>
          <w:b/>
        </w:rPr>
        <w:t xml:space="preserve"> </w:t>
      </w:r>
      <w:r w:rsidR="00952AD9" w:rsidRPr="00D75391">
        <w:rPr>
          <w:rFonts w:ascii="Palatino Linotype" w:eastAsia="MS Mincho" w:hAnsi="Palatino Linotype" w:cs="Arial"/>
          <w:b/>
        </w:rPr>
        <w:t xml:space="preserve">Vigésimo </w:t>
      </w:r>
      <w:r w:rsidR="00210945" w:rsidRPr="00D75391">
        <w:rPr>
          <w:rFonts w:ascii="Palatino Linotype" w:eastAsia="MS Mincho" w:hAnsi="Palatino Linotype" w:cs="Arial"/>
          <w:b/>
        </w:rPr>
        <w:t>Octava</w:t>
      </w:r>
      <w:r w:rsidR="00952AD9" w:rsidRPr="00D75391">
        <w:rPr>
          <w:rFonts w:ascii="Palatino Linotype" w:eastAsia="MS Mincho" w:hAnsi="Palatino Linotype" w:cs="Arial"/>
          <w:b/>
        </w:rPr>
        <w:t xml:space="preserve"> Sesion</w:t>
      </w:r>
      <w:r w:rsidR="00210945" w:rsidRPr="00D75391">
        <w:rPr>
          <w:rFonts w:ascii="Palatino Linotype" w:eastAsia="MS Mincho" w:hAnsi="Palatino Linotype" w:cs="Arial"/>
          <w:b/>
        </w:rPr>
        <w:t>e</w:t>
      </w:r>
      <w:r w:rsidRPr="00D75391">
        <w:rPr>
          <w:rFonts w:ascii="Palatino Linotype" w:eastAsia="MS Mincho" w:hAnsi="Palatino Linotype" w:cs="Arial"/>
          <w:b/>
        </w:rPr>
        <w:t xml:space="preserve"> Ordinaria</w:t>
      </w:r>
      <w:r w:rsidRPr="00D75391">
        <w:rPr>
          <w:rFonts w:ascii="Palatino Linotype" w:eastAsia="MS Mincho" w:hAnsi="Palatino Linotype" w:cs="Arial"/>
        </w:rPr>
        <w:t xml:space="preserve"> de fecha</w:t>
      </w:r>
      <w:r w:rsidR="00210945" w:rsidRPr="00D75391">
        <w:rPr>
          <w:rFonts w:ascii="Palatino Linotype" w:eastAsia="MS Mincho" w:hAnsi="Palatino Linotype" w:cs="Arial"/>
        </w:rPr>
        <w:t xml:space="preserve"> siete</w:t>
      </w:r>
      <w:r w:rsidR="007857A6" w:rsidRPr="00D75391">
        <w:rPr>
          <w:rFonts w:ascii="Palatino Linotype" w:eastAsia="MS Mincho" w:hAnsi="Palatino Linotype" w:cs="Arial"/>
          <w:b/>
        </w:rPr>
        <w:t xml:space="preserve"> </w:t>
      </w:r>
      <w:r w:rsidR="008319E2" w:rsidRPr="00D75391">
        <w:rPr>
          <w:rFonts w:ascii="Palatino Linotype" w:eastAsia="MS Mincho" w:hAnsi="Palatino Linotype" w:cs="Arial"/>
        </w:rPr>
        <w:t>(</w:t>
      </w:r>
      <w:r w:rsidR="00210945" w:rsidRPr="00D75391">
        <w:rPr>
          <w:rFonts w:ascii="Palatino Linotype" w:eastAsia="MS Mincho" w:hAnsi="Palatino Linotype" w:cs="Arial"/>
        </w:rPr>
        <w:t>07</w:t>
      </w:r>
      <w:r w:rsidRPr="00D75391">
        <w:rPr>
          <w:rFonts w:ascii="Palatino Linotype" w:eastAsia="MS Mincho" w:hAnsi="Palatino Linotype" w:cs="Arial"/>
        </w:rPr>
        <w:t>)</w:t>
      </w:r>
      <w:r w:rsidR="00040774" w:rsidRPr="00D75391">
        <w:rPr>
          <w:rFonts w:ascii="Palatino Linotype" w:eastAsia="MS Mincho" w:hAnsi="Palatino Linotype" w:cs="Arial"/>
        </w:rPr>
        <w:t xml:space="preserve"> </w:t>
      </w:r>
      <w:r w:rsidR="00210945" w:rsidRPr="00D75391">
        <w:rPr>
          <w:rFonts w:ascii="Palatino Linotype" w:eastAsia="MS Mincho" w:hAnsi="Palatino Linotype" w:cs="Arial"/>
        </w:rPr>
        <w:t xml:space="preserve">agosto </w:t>
      </w:r>
      <w:r w:rsidRPr="00D75391">
        <w:rPr>
          <w:rFonts w:ascii="Palatino Linotype" w:eastAsia="MS Mincho" w:hAnsi="Palatino Linotype" w:cs="Arial"/>
        </w:rPr>
        <w:t>de</w:t>
      </w:r>
      <w:r w:rsidRPr="00D75391">
        <w:rPr>
          <w:rFonts w:ascii="Palatino Linotype" w:eastAsia="MS Mincho" w:hAnsi="Palatino Linotype" w:cs="Arial"/>
          <w:b/>
        </w:rPr>
        <w:t xml:space="preserve"> </w:t>
      </w:r>
      <w:r w:rsidR="007857A6" w:rsidRPr="00D75391">
        <w:rPr>
          <w:rFonts w:ascii="Palatino Linotype" w:eastAsia="MS Mincho" w:hAnsi="Palatino Linotype" w:cs="Arial"/>
        </w:rPr>
        <w:t>dos mil diecinueve</w:t>
      </w:r>
      <w:r w:rsidR="008319E2" w:rsidRPr="00D75391">
        <w:rPr>
          <w:rFonts w:ascii="Palatino Linotype" w:eastAsia="MS Mincho" w:hAnsi="Palatino Linotype" w:cs="Arial"/>
        </w:rPr>
        <w:t xml:space="preserve"> ordenó la acumulación</w:t>
      </w:r>
      <w:r w:rsidR="00210945" w:rsidRPr="00D75391">
        <w:rPr>
          <w:rFonts w:ascii="Palatino Linotype" w:eastAsia="MS Mincho" w:hAnsi="Palatino Linotype" w:cs="Arial"/>
        </w:rPr>
        <w:t xml:space="preserve"> del</w:t>
      </w:r>
      <w:r w:rsidRPr="00D75391">
        <w:rPr>
          <w:rFonts w:ascii="Palatino Linotype" w:eastAsia="MS Mincho" w:hAnsi="Palatino Linotype" w:cs="Arial"/>
        </w:rPr>
        <w:t xml:space="preserve"> </w:t>
      </w:r>
      <w:r w:rsidR="008319E2" w:rsidRPr="00D75391">
        <w:rPr>
          <w:rFonts w:ascii="Palatino Linotype" w:eastAsia="Times New Roman" w:hAnsi="Palatino Linotype" w:cs="Arial"/>
        </w:rPr>
        <w:t>recurso</w:t>
      </w:r>
      <w:r w:rsidRPr="00D75391">
        <w:rPr>
          <w:rFonts w:ascii="Palatino Linotype" w:eastAsia="Times New Roman" w:hAnsi="Palatino Linotype" w:cs="Arial"/>
        </w:rPr>
        <w:t xml:space="preserve"> de revisión </w:t>
      </w:r>
      <w:r w:rsidR="00210945" w:rsidRPr="00D75391">
        <w:rPr>
          <w:rFonts w:ascii="Palatino Linotype" w:eastAsia="MS Mincho" w:hAnsi="Palatino Linotype" w:cs="Arial"/>
          <w:b/>
          <w:bCs/>
        </w:rPr>
        <w:t>06419</w:t>
      </w:r>
      <w:r w:rsidR="007857A6" w:rsidRPr="00D75391">
        <w:rPr>
          <w:rFonts w:ascii="Palatino Linotype" w:eastAsia="MS Mincho" w:hAnsi="Palatino Linotype" w:cs="Arial"/>
          <w:b/>
          <w:bCs/>
        </w:rPr>
        <w:t>/INFOEM/IP/RR/2019</w:t>
      </w:r>
      <w:r w:rsidR="00FB63C6" w:rsidRPr="00D75391">
        <w:rPr>
          <w:rFonts w:ascii="Palatino Linotype" w:eastAsia="MS Mincho" w:hAnsi="Palatino Linotype" w:cs="Arial"/>
          <w:b/>
          <w:bCs/>
        </w:rPr>
        <w:t xml:space="preserve">, </w:t>
      </w:r>
      <w:r w:rsidRPr="00D75391">
        <w:rPr>
          <w:rFonts w:ascii="Palatino Linotype" w:eastAsia="MS Mincho" w:hAnsi="Palatino Linotype" w:cs="Arial"/>
          <w:bCs/>
        </w:rPr>
        <w:t xml:space="preserve">del Comisionado </w:t>
      </w:r>
      <w:r w:rsidRPr="00D75391">
        <w:rPr>
          <w:rFonts w:ascii="Palatino Linotype" w:eastAsia="MS Mincho" w:hAnsi="Palatino Linotype" w:cs="Arial"/>
          <w:b/>
          <w:bCs/>
        </w:rPr>
        <w:t xml:space="preserve">Javier </w:t>
      </w:r>
      <w:r w:rsidR="008319E2" w:rsidRPr="00D75391">
        <w:rPr>
          <w:rFonts w:ascii="Palatino Linotype" w:eastAsia="MS Mincho" w:hAnsi="Palatino Linotype" w:cs="Arial"/>
          <w:b/>
          <w:bCs/>
        </w:rPr>
        <w:t>Martínez Cruz</w:t>
      </w:r>
      <w:r w:rsidR="00210945" w:rsidRPr="00D75391">
        <w:rPr>
          <w:rFonts w:ascii="Palatino Linotype" w:eastAsia="MS Mincho" w:hAnsi="Palatino Linotype" w:cs="Arial"/>
          <w:b/>
          <w:bCs/>
        </w:rPr>
        <w:t xml:space="preserve"> </w:t>
      </w:r>
      <w:r w:rsidRPr="00D75391">
        <w:rPr>
          <w:rFonts w:ascii="Palatino Linotype" w:eastAsia="MS Mincho" w:hAnsi="Palatino Linotype" w:cs="Arial"/>
        </w:rPr>
        <w:t>a efecto de que ésta Ponencia formulara y presentara el proyecto de resolución correspondiente</w:t>
      </w:r>
      <w:r w:rsidRPr="00D75391">
        <w:rPr>
          <w:rFonts w:ascii="Palatino Linotype" w:eastAsia="Times New Roman" w:hAnsi="Palatino Linotype" w:cs="Arial"/>
        </w:rPr>
        <w:t xml:space="preserve"> de conformidad con el numeral ONCE incisos b) y c) de los </w:t>
      </w:r>
      <w:r w:rsidRPr="00D7539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75391">
        <w:rPr>
          <w:rFonts w:ascii="Palatino Linotype" w:hAnsi="Palatino Linotype"/>
          <w:i/>
          <w:vertAlign w:val="superscript"/>
        </w:rPr>
        <w:footnoteReference w:id="1"/>
      </w:r>
      <w:r w:rsidRPr="00D75391">
        <w:rPr>
          <w:rFonts w:ascii="Palatino Linotype" w:eastAsia="Times New Roman" w:hAnsi="Palatino Linotype" w:cs="Arial"/>
        </w:rPr>
        <w:t>, que señala:</w:t>
      </w:r>
    </w:p>
    <w:p w14:paraId="0C7E5E12" w14:textId="77777777" w:rsidR="00664106" w:rsidRPr="00D75391" w:rsidRDefault="00664106" w:rsidP="00D75391">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75391">
        <w:rPr>
          <w:rFonts w:ascii="Palatino Linotype" w:eastAsia="Times New Roman" w:hAnsi="Palatino Linotype" w:cs="Arial"/>
          <w:b/>
          <w:i/>
        </w:rPr>
        <w:t>ONCE.</w:t>
      </w:r>
      <w:r w:rsidRPr="00D75391">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D75391" w:rsidRDefault="00664106" w:rsidP="00D75391">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75391">
        <w:rPr>
          <w:rFonts w:ascii="Palatino Linotype" w:eastAsia="Times New Roman" w:hAnsi="Palatino Linotype" w:cs="Arial"/>
          <w:i/>
        </w:rPr>
        <w:t>…</w:t>
      </w:r>
    </w:p>
    <w:p w14:paraId="76C31779" w14:textId="77777777" w:rsidR="00664106" w:rsidRPr="00D75391" w:rsidRDefault="00664106" w:rsidP="00D75391">
      <w:pPr>
        <w:spacing w:before="240" w:after="240" w:line="360" w:lineRule="auto"/>
        <w:ind w:left="567" w:right="567"/>
        <w:jc w:val="both"/>
        <w:rPr>
          <w:rFonts w:ascii="Palatino Linotype" w:eastAsia="Times New Roman" w:hAnsi="Palatino Linotype" w:cs="Times New Roman"/>
          <w:i/>
          <w:color w:val="000000"/>
        </w:rPr>
      </w:pPr>
      <w:r w:rsidRPr="00D75391">
        <w:rPr>
          <w:rFonts w:ascii="Palatino Linotype" w:eastAsia="Times New Roman" w:hAnsi="Palatino Linotype" w:cs="Times New Roman"/>
          <w:i/>
          <w:color w:val="000000"/>
        </w:rPr>
        <w:t>b) Las partes o los actos impugnados sean iguales</w:t>
      </w:r>
    </w:p>
    <w:p w14:paraId="35687CC9" w14:textId="77777777" w:rsidR="00664106" w:rsidRPr="00D75391" w:rsidRDefault="00664106" w:rsidP="00D75391">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75391">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D75391" w:rsidRDefault="00664106" w:rsidP="00D75391">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75391">
        <w:rPr>
          <w:rFonts w:ascii="Palatino Linotype" w:eastAsia="Times New Roman" w:hAnsi="Palatino Linotype" w:cs="Arial"/>
          <w:i/>
        </w:rPr>
        <w:t>(…)</w:t>
      </w:r>
    </w:p>
    <w:p w14:paraId="3F59ED39" w14:textId="77777777" w:rsidR="00895422" w:rsidRPr="00D75391" w:rsidRDefault="00895422" w:rsidP="00D75391">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p>
    <w:p w14:paraId="7082C55A" w14:textId="455C9342" w:rsidR="00664106" w:rsidRPr="00D75391" w:rsidRDefault="00F762D0" w:rsidP="00D75391">
      <w:pPr>
        <w:pStyle w:val="Prrafodelista"/>
        <w:numPr>
          <w:ilvl w:val="0"/>
          <w:numId w:val="1"/>
        </w:numPr>
        <w:spacing w:before="240" w:after="240" w:line="360" w:lineRule="auto"/>
        <w:ind w:left="0" w:firstLine="0"/>
        <w:jc w:val="both"/>
        <w:rPr>
          <w:rFonts w:ascii="Palatino Linotype" w:hAnsi="Palatino Linotype"/>
        </w:rPr>
      </w:pPr>
      <w:r w:rsidRPr="00D75391">
        <w:rPr>
          <w:rFonts w:ascii="Palatino Linotype" w:hAnsi="Palatino Linotype"/>
        </w:rPr>
        <w:t xml:space="preserve">En ese tenor </w:t>
      </w:r>
      <w:r w:rsidR="00664106" w:rsidRPr="00D75391">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D75391" w:rsidRDefault="00664106" w:rsidP="00D75391">
      <w:pPr>
        <w:spacing w:before="240" w:after="240" w:line="360" w:lineRule="auto"/>
        <w:ind w:left="709" w:right="616"/>
        <w:contextualSpacing/>
        <w:jc w:val="center"/>
        <w:rPr>
          <w:rFonts w:ascii="Palatino Linotype" w:hAnsi="Palatino Linotype"/>
          <w:b/>
          <w:i/>
        </w:rPr>
      </w:pPr>
      <w:r w:rsidRPr="00D75391">
        <w:rPr>
          <w:rFonts w:ascii="Palatino Linotype" w:hAnsi="Palatino Linotype"/>
          <w:b/>
          <w:i/>
        </w:rPr>
        <w:t>Código de Procedimientos Administrativos del Estado de México.</w:t>
      </w:r>
    </w:p>
    <w:p w14:paraId="3C1267CE" w14:textId="77777777" w:rsidR="00664106" w:rsidRPr="00D75391" w:rsidRDefault="00664106" w:rsidP="00D75391">
      <w:pPr>
        <w:spacing w:before="240" w:after="240" w:line="360" w:lineRule="auto"/>
        <w:ind w:left="709" w:right="616"/>
        <w:contextualSpacing/>
        <w:jc w:val="center"/>
        <w:rPr>
          <w:rFonts w:ascii="Palatino Linotype" w:hAnsi="Palatino Linotype"/>
          <w:b/>
          <w:i/>
        </w:rPr>
      </w:pPr>
    </w:p>
    <w:p w14:paraId="2925300A" w14:textId="77777777" w:rsidR="00664106" w:rsidRPr="00D75391" w:rsidRDefault="00664106" w:rsidP="00D75391">
      <w:pPr>
        <w:spacing w:before="240" w:after="240" w:line="360" w:lineRule="auto"/>
        <w:ind w:left="709" w:right="616"/>
        <w:contextualSpacing/>
        <w:jc w:val="both"/>
        <w:rPr>
          <w:rFonts w:ascii="Palatino Linotype" w:hAnsi="Palatino Linotype"/>
          <w:i/>
        </w:rPr>
      </w:pPr>
      <w:r w:rsidRPr="00D75391">
        <w:rPr>
          <w:rFonts w:ascii="Palatino Linotype" w:hAnsi="Palatino Linotype"/>
          <w:b/>
          <w:i/>
        </w:rPr>
        <w:t>“Artículo 18.-</w:t>
      </w:r>
      <w:r w:rsidRPr="00D7539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D75391" w:rsidRDefault="00664106" w:rsidP="00D75391">
      <w:pPr>
        <w:spacing w:before="240" w:after="240" w:line="360" w:lineRule="auto"/>
        <w:ind w:left="709" w:right="616"/>
        <w:contextualSpacing/>
        <w:jc w:val="both"/>
        <w:rPr>
          <w:rFonts w:ascii="Palatino Linotype" w:hAnsi="Palatino Linotype"/>
          <w:i/>
        </w:rPr>
      </w:pPr>
    </w:p>
    <w:p w14:paraId="21C988AB" w14:textId="77777777" w:rsidR="00664106" w:rsidRPr="00D75391" w:rsidRDefault="00664106" w:rsidP="00D75391">
      <w:pPr>
        <w:spacing w:before="240" w:after="240" w:line="360" w:lineRule="auto"/>
        <w:ind w:left="709" w:right="616"/>
        <w:contextualSpacing/>
        <w:jc w:val="center"/>
        <w:rPr>
          <w:rFonts w:ascii="Palatino Linotype" w:hAnsi="Palatino Linotype"/>
          <w:b/>
          <w:i/>
        </w:rPr>
      </w:pPr>
      <w:r w:rsidRPr="00D75391">
        <w:rPr>
          <w:rFonts w:ascii="Palatino Linotype" w:hAnsi="Palatino Linotype"/>
          <w:b/>
          <w:i/>
        </w:rPr>
        <w:t>Ley de Transparencia y Acceso a la Información Pública del Estado de México y Municipios</w:t>
      </w:r>
    </w:p>
    <w:p w14:paraId="4B8CC76F" w14:textId="77777777" w:rsidR="00664106" w:rsidRPr="00D75391" w:rsidRDefault="00664106" w:rsidP="00D75391">
      <w:pPr>
        <w:spacing w:before="240" w:after="240" w:line="360" w:lineRule="auto"/>
        <w:ind w:left="709" w:right="616"/>
        <w:contextualSpacing/>
        <w:jc w:val="both"/>
        <w:rPr>
          <w:rFonts w:ascii="Palatino Linotype" w:hAnsi="Palatino Linotype"/>
          <w:i/>
        </w:rPr>
      </w:pPr>
      <w:r w:rsidRPr="00D75391">
        <w:rPr>
          <w:rFonts w:ascii="Palatino Linotype" w:hAnsi="Palatino Linotype"/>
          <w:b/>
          <w:i/>
        </w:rPr>
        <w:t>“Artículo 195.</w:t>
      </w:r>
      <w:r w:rsidRPr="00D75391">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530B810" w14:textId="423AD0E9" w:rsidR="002B62AC" w:rsidRPr="00D75391" w:rsidRDefault="006F0635" w:rsidP="00D75391">
      <w:pPr>
        <w:pStyle w:val="Prrafodelista"/>
        <w:numPr>
          <w:ilvl w:val="0"/>
          <w:numId w:val="1"/>
        </w:numPr>
        <w:spacing w:before="240" w:after="240" w:line="360" w:lineRule="auto"/>
        <w:ind w:left="0" w:firstLine="0"/>
        <w:jc w:val="both"/>
        <w:rPr>
          <w:rFonts w:ascii="Palatino Linotype" w:hAnsi="Palatino Linotype"/>
        </w:rPr>
      </w:pPr>
      <w:r w:rsidRPr="00D75391">
        <w:rPr>
          <w:rFonts w:ascii="Palatino Linotype" w:eastAsia="Calibri" w:hAnsi="Palatino Linotype" w:cs="Arial"/>
          <w:lang w:val="es-ES"/>
        </w:rPr>
        <w:t>Los</w:t>
      </w:r>
      <w:r w:rsidR="00FE49E3" w:rsidRPr="00D75391">
        <w:rPr>
          <w:rFonts w:ascii="Palatino Linotype" w:eastAsia="Calibri" w:hAnsi="Palatino Linotype" w:cs="Arial"/>
          <w:lang w:val="es-ES"/>
        </w:rPr>
        <w:t xml:space="preserve"> </w:t>
      </w:r>
      <w:r w:rsidR="0004686A" w:rsidRPr="00D75391">
        <w:rPr>
          <w:rFonts w:ascii="Palatino Linotype" w:eastAsia="Calibri" w:hAnsi="Palatino Linotype" w:cs="Arial"/>
          <w:lang w:val="es-ES"/>
        </w:rPr>
        <w:t>Comisionado</w:t>
      </w:r>
      <w:r w:rsidRPr="00D75391">
        <w:rPr>
          <w:rFonts w:ascii="Palatino Linotype" w:eastAsia="Calibri" w:hAnsi="Palatino Linotype" w:cs="Arial"/>
          <w:lang w:val="es-ES"/>
        </w:rPr>
        <w:t>s</w:t>
      </w:r>
      <w:r w:rsidR="0004686A" w:rsidRPr="00D75391">
        <w:rPr>
          <w:rFonts w:ascii="Palatino Linotype" w:eastAsia="Calibri" w:hAnsi="Palatino Linotype" w:cs="Arial"/>
          <w:lang w:val="es-ES"/>
        </w:rPr>
        <w:t xml:space="preserve"> Ponente</w:t>
      </w:r>
      <w:r w:rsidRPr="00D75391">
        <w:rPr>
          <w:rFonts w:ascii="Palatino Linotype" w:eastAsia="Calibri" w:hAnsi="Palatino Linotype" w:cs="Arial"/>
          <w:lang w:val="es-ES"/>
        </w:rPr>
        <w:t>s</w:t>
      </w:r>
      <w:r w:rsidR="0004686A" w:rsidRPr="00D75391">
        <w:rPr>
          <w:rFonts w:ascii="Palatino Linotype" w:eastAsia="Calibri" w:hAnsi="Palatino Linotype" w:cs="Arial"/>
          <w:lang w:val="es-ES"/>
        </w:rPr>
        <w:t xml:space="preserve"> con fundamento en lo dispuesto por el artículo 185 fracción II de la ley de la materia, a través </w:t>
      </w:r>
      <w:r w:rsidR="00664106" w:rsidRPr="00D75391">
        <w:rPr>
          <w:rFonts w:ascii="Palatino Linotype" w:eastAsia="Calibri" w:hAnsi="Palatino Linotype" w:cs="Arial"/>
          <w:lang w:val="es-ES"/>
        </w:rPr>
        <w:t>de los</w:t>
      </w:r>
      <w:r w:rsidR="0004686A" w:rsidRPr="00D75391">
        <w:rPr>
          <w:rFonts w:ascii="Palatino Linotype" w:eastAsia="Calibri" w:hAnsi="Palatino Linotype" w:cs="Arial"/>
          <w:lang w:val="es-ES"/>
        </w:rPr>
        <w:t xml:space="preserve"> </w:t>
      </w:r>
      <w:r w:rsidR="00B81371" w:rsidRPr="00D75391">
        <w:rPr>
          <w:rFonts w:ascii="Palatino Linotype" w:eastAsia="Calibri" w:hAnsi="Palatino Linotype" w:cs="Arial"/>
          <w:lang w:val="es-ES"/>
        </w:rPr>
        <w:t>acuerdo</w:t>
      </w:r>
      <w:r w:rsidR="00664106" w:rsidRPr="00D75391">
        <w:rPr>
          <w:rFonts w:ascii="Palatino Linotype" w:eastAsia="Calibri" w:hAnsi="Palatino Linotype" w:cs="Arial"/>
          <w:lang w:val="es-ES"/>
        </w:rPr>
        <w:t>s</w:t>
      </w:r>
      <w:r w:rsidR="00B81371" w:rsidRPr="00D75391">
        <w:rPr>
          <w:rFonts w:ascii="Palatino Linotype" w:eastAsia="Calibri" w:hAnsi="Palatino Linotype" w:cs="Arial"/>
          <w:lang w:val="es-ES"/>
        </w:rPr>
        <w:t xml:space="preserve"> </w:t>
      </w:r>
      <w:r w:rsidR="00F147C6" w:rsidRPr="00D75391">
        <w:rPr>
          <w:rFonts w:ascii="Palatino Linotype" w:eastAsia="Calibri" w:hAnsi="Palatino Linotype" w:cs="Arial"/>
          <w:lang w:val="es-ES"/>
        </w:rPr>
        <w:t xml:space="preserve">de admisión </w:t>
      </w:r>
      <w:r w:rsidR="00B81371" w:rsidRPr="00D75391">
        <w:rPr>
          <w:rFonts w:ascii="Palatino Linotype" w:eastAsia="Calibri" w:hAnsi="Palatino Linotype" w:cs="Arial"/>
          <w:lang w:val="es-ES"/>
        </w:rPr>
        <w:t>de fecha</w:t>
      </w:r>
      <w:r w:rsidR="00210945" w:rsidRPr="00D75391">
        <w:rPr>
          <w:rFonts w:ascii="Palatino Linotype" w:eastAsia="Calibri" w:hAnsi="Palatino Linotype" w:cs="Arial"/>
          <w:lang w:val="es-ES"/>
        </w:rPr>
        <w:t xml:space="preserve"> cinco</w:t>
      </w:r>
      <w:r w:rsidR="002B62AC" w:rsidRPr="00D75391">
        <w:rPr>
          <w:rFonts w:ascii="Palatino Linotype" w:eastAsia="Calibri" w:hAnsi="Palatino Linotype" w:cs="Arial"/>
          <w:lang w:val="es-ES"/>
        </w:rPr>
        <w:t xml:space="preserve"> </w:t>
      </w:r>
      <w:r w:rsidR="001D0E73" w:rsidRPr="00D75391">
        <w:rPr>
          <w:rFonts w:ascii="Palatino Linotype" w:eastAsia="Calibri" w:hAnsi="Palatino Linotype" w:cs="Arial"/>
          <w:lang w:val="es-ES"/>
        </w:rPr>
        <w:t>(</w:t>
      </w:r>
      <w:r w:rsidR="00210945" w:rsidRPr="00D75391">
        <w:rPr>
          <w:rFonts w:ascii="Palatino Linotype" w:eastAsia="Calibri" w:hAnsi="Palatino Linotype" w:cs="Arial"/>
          <w:lang w:val="es-ES"/>
        </w:rPr>
        <w:t>05</w:t>
      </w:r>
      <w:r w:rsidR="006B12CA" w:rsidRPr="00D75391">
        <w:rPr>
          <w:rFonts w:ascii="Palatino Linotype" w:eastAsia="Calibri" w:hAnsi="Palatino Linotype" w:cs="Arial"/>
          <w:lang w:val="es-ES"/>
        </w:rPr>
        <w:t>)</w:t>
      </w:r>
      <w:r w:rsidR="00210945" w:rsidRPr="00D75391">
        <w:rPr>
          <w:rFonts w:ascii="Palatino Linotype" w:eastAsia="Calibri" w:hAnsi="Palatino Linotype" w:cs="Arial"/>
          <w:lang w:val="es-ES"/>
        </w:rPr>
        <w:t xml:space="preserve"> de agosto </w:t>
      </w:r>
      <w:r w:rsidR="006B12CA" w:rsidRPr="00D75391">
        <w:rPr>
          <w:rFonts w:ascii="Palatino Linotype" w:eastAsia="Calibri" w:hAnsi="Palatino Linotype" w:cs="Arial"/>
          <w:lang w:val="es-ES"/>
        </w:rPr>
        <w:t>del año en curso</w:t>
      </w:r>
      <w:r w:rsidR="006A1047" w:rsidRPr="00D75391">
        <w:rPr>
          <w:rFonts w:ascii="Palatino Linotype" w:eastAsia="Calibri" w:hAnsi="Palatino Linotype" w:cs="Arial"/>
          <w:lang w:val="es-ES"/>
        </w:rPr>
        <w:t xml:space="preserve">, </w:t>
      </w:r>
      <w:r w:rsidRPr="00D75391">
        <w:rPr>
          <w:rFonts w:ascii="Palatino Linotype" w:eastAsia="Calibri" w:hAnsi="Palatino Linotype" w:cs="Arial"/>
          <w:lang w:val="es-ES"/>
        </w:rPr>
        <w:t>pusieron</w:t>
      </w:r>
      <w:r w:rsidR="00740857" w:rsidRPr="00D75391">
        <w:rPr>
          <w:rFonts w:ascii="Palatino Linotype" w:eastAsia="Calibri" w:hAnsi="Palatino Linotype" w:cs="Arial"/>
          <w:lang w:val="es-ES"/>
        </w:rPr>
        <w:t xml:space="preserve"> a</w:t>
      </w:r>
      <w:r w:rsidR="00B81371" w:rsidRPr="00D75391">
        <w:rPr>
          <w:rFonts w:ascii="Palatino Linotype" w:eastAsia="Calibri" w:hAnsi="Palatino Linotype" w:cs="Arial"/>
          <w:lang w:val="es-ES"/>
        </w:rPr>
        <w:t xml:space="preserve"> </w:t>
      </w:r>
      <w:r w:rsidR="00875167" w:rsidRPr="00D75391">
        <w:rPr>
          <w:rFonts w:ascii="Palatino Linotype" w:eastAsia="Calibri" w:hAnsi="Palatino Linotype" w:cs="Arial"/>
          <w:lang w:val="es-ES"/>
        </w:rPr>
        <w:t>disposición</w:t>
      </w:r>
      <w:r w:rsidR="00B81371" w:rsidRPr="00D75391">
        <w:rPr>
          <w:rFonts w:ascii="Palatino Linotype" w:eastAsia="Calibri" w:hAnsi="Palatino Linotype" w:cs="Arial"/>
          <w:lang w:val="es-ES"/>
        </w:rPr>
        <w:t xml:space="preserve"> de las partes l</w:t>
      </w:r>
      <w:r w:rsidR="001D0E73" w:rsidRPr="00D75391">
        <w:rPr>
          <w:rFonts w:ascii="Palatino Linotype" w:eastAsia="Calibri" w:hAnsi="Palatino Linotype" w:cs="Arial"/>
          <w:lang w:val="es-ES"/>
        </w:rPr>
        <w:t>os</w:t>
      </w:r>
      <w:r w:rsidR="00B81371" w:rsidRPr="00D75391">
        <w:rPr>
          <w:rFonts w:ascii="Palatino Linotype" w:eastAsia="Calibri" w:hAnsi="Palatino Linotype" w:cs="Arial"/>
          <w:lang w:val="es-ES"/>
        </w:rPr>
        <w:t xml:space="preserve"> expediente</w:t>
      </w:r>
      <w:r w:rsidR="001D0E73" w:rsidRPr="00D75391">
        <w:rPr>
          <w:rFonts w:ascii="Palatino Linotype" w:eastAsia="Calibri" w:hAnsi="Palatino Linotype" w:cs="Arial"/>
          <w:lang w:val="es-ES"/>
        </w:rPr>
        <w:t>s</w:t>
      </w:r>
      <w:r w:rsidR="00B81371" w:rsidRPr="00D75391">
        <w:rPr>
          <w:rFonts w:ascii="Palatino Linotype" w:eastAsia="Calibri" w:hAnsi="Palatino Linotype" w:cs="Arial"/>
          <w:lang w:val="es-ES"/>
        </w:rPr>
        <w:t xml:space="preserve"> electrónico</w:t>
      </w:r>
      <w:r w:rsidR="001D0E73" w:rsidRPr="00D75391">
        <w:rPr>
          <w:rFonts w:ascii="Palatino Linotype" w:eastAsia="Calibri" w:hAnsi="Palatino Linotype" w:cs="Arial"/>
          <w:lang w:val="es-ES"/>
        </w:rPr>
        <w:t>s</w:t>
      </w:r>
      <w:r w:rsidR="00B81371" w:rsidRPr="00D75391">
        <w:rPr>
          <w:rFonts w:ascii="Palatino Linotype" w:eastAsia="Calibri" w:hAnsi="Palatino Linotype" w:cs="Arial"/>
          <w:lang w:val="es-ES"/>
        </w:rPr>
        <w:t xml:space="preserve"> </w:t>
      </w:r>
      <w:r w:rsidR="00B81371" w:rsidRPr="00D75391">
        <w:rPr>
          <w:rFonts w:ascii="Palatino Linotype" w:eastAsia="Calibri" w:hAnsi="Palatino Linotype" w:cs="Arial"/>
        </w:rPr>
        <w:t xml:space="preserve">vía </w:t>
      </w:r>
      <w:r w:rsidR="00B81371" w:rsidRPr="00D75391">
        <w:rPr>
          <w:rFonts w:ascii="Palatino Linotype" w:eastAsia="Calibri" w:hAnsi="Palatino Linotype" w:cs="Arial"/>
          <w:lang w:val="es-ES"/>
        </w:rPr>
        <w:t xml:space="preserve">Sistema de Acceso a la Información Mexiquense </w:t>
      </w:r>
      <w:r w:rsidR="00B81371" w:rsidRPr="00D75391">
        <w:rPr>
          <w:rFonts w:ascii="Palatino Linotype" w:eastAsia="Calibri" w:hAnsi="Palatino Linotype" w:cs="Arial"/>
          <w:b/>
          <w:lang w:val="es-ES"/>
        </w:rPr>
        <w:t xml:space="preserve">SAIMEX </w:t>
      </w:r>
      <w:r w:rsidR="00B81371" w:rsidRPr="00D75391">
        <w:rPr>
          <w:rFonts w:ascii="Palatino Linotype" w:eastAsia="Calibri" w:hAnsi="Palatino Linotype" w:cs="Arial"/>
          <w:lang w:val="es-ES"/>
        </w:rPr>
        <w:t xml:space="preserve">a efecto de que en un plazo máximo de siete días </w:t>
      </w:r>
      <w:r w:rsidR="00875167" w:rsidRPr="00D75391">
        <w:rPr>
          <w:rFonts w:ascii="Palatino Linotype" w:eastAsia="Calibri" w:hAnsi="Palatino Linotype" w:cs="Arial"/>
          <w:lang w:val="es-ES"/>
        </w:rPr>
        <w:t>manifestaran</w:t>
      </w:r>
      <w:r w:rsidR="00B81371" w:rsidRPr="00D75391">
        <w:rPr>
          <w:rFonts w:ascii="Palatino Linotype" w:eastAsia="Calibri" w:hAnsi="Palatino Linotype" w:cs="Arial"/>
          <w:lang w:val="es-ES"/>
        </w:rPr>
        <w:t xml:space="preserve"> lo que a</w:t>
      </w:r>
      <w:r w:rsidR="003A2029" w:rsidRPr="00D75391">
        <w:rPr>
          <w:rFonts w:ascii="Palatino Linotype" w:eastAsia="Calibri" w:hAnsi="Palatino Linotype" w:cs="Arial"/>
          <w:lang w:val="es-ES"/>
        </w:rPr>
        <w:t xml:space="preserve"> su</w:t>
      </w:r>
      <w:r w:rsidR="00B81371" w:rsidRPr="00D75391">
        <w:rPr>
          <w:rFonts w:ascii="Palatino Linotype" w:eastAsia="Calibri" w:hAnsi="Palatino Linotype" w:cs="Arial"/>
          <w:lang w:val="es-ES"/>
        </w:rPr>
        <w:t xml:space="preserve"> derecho conviniera</w:t>
      </w:r>
      <w:r w:rsidR="00875167" w:rsidRPr="00D75391">
        <w:rPr>
          <w:rFonts w:ascii="Palatino Linotype" w:eastAsia="Calibri" w:hAnsi="Palatino Linotype" w:cs="Arial"/>
          <w:lang w:val="es-ES"/>
        </w:rPr>
        <w:t>n</w:t>
      </w:r>
      <w:r w:rsidR="00032493" w:rsidRPr="00D75391">
        <w:rPr>
          <w:rFonts w:ascii="Palatino Linotype" w:eastAsia="Calibri" w:hAnsi="Palatino Linotype" w:cs="Arial"/>
          <w:lang w:val="es-ES"/>
        </w:rPr>
        <w:t>,</w:t>
      </w:r>
      <w:r w:rsidR="00B81371" w:rsidRPr="00D75391">
        <w:rPr>
          <w:rFonts w:ascii="Palatino Linotype" w:eastAsia="Calibri" w:hAnsi="Palatino Linotype" w:cs="Arial"/>
          <w:lang w:val="es-ES"/>
        </w:rPr>
        <w:t xml:space="preserve"> </w:t>
      </w:r>
      <w:r w:rsidR="00875167" w:rsidRPr="00D75391">
        <w:rPr>
          <w:rFonts w:ascii="Palatino Linotype" w:eastAsia="Calibri" w:hAnsi="Palatino Linotype" w:cs="Arial"/>
          <w:lang w:val="es-ES"/>
        </w:rPr>
        <w:t>ofrecieran pruebas y</w:t>
      </w:r>
      <w:r w:rsidR="00132C06" w:rsidRPr="00D75391">
        <w:rPr>
          <w:rFonts w:ascii="Palatino Linotype" w:eastAsia="Calibri" w:hAnsi="Palatino Linotype" w:cs="Arial"/>
          <w:lang w:val="es-ES"/>
        </w:rPr>
        <w:t xml:space="preserve"> </w:t>
      </w:r>
      <w:r w:rsidR="00875167" w:rsidRPr="00D75391">
        <w:rPr>
          <w:rFonts w:ascii="Palatino Linotype" w:eastAsia="Calibri" w:hAnsi="Palatino Linotype" w:cs="Arial"/>
          <w:lang w:val="es-ES"/>
        </w:rPr>
        <w:t>alegatos según corresponda a</w:t>
      </w:r>
      <w:r w:rsidR="004C20F2" w:rsidRPr="00D75391">
        <w:rPr>
          <w:rFonts w:ascii="Palatino Linotype" w:eastAsia="Calibri" w:hAnsi="Palatino Linotype" w:cs="Arial"/>
          <w:lang w:val="es-ES"/>
        </w:rPr>
        <w:t xml:space="preserve"> </w:t>
      </w:r>
      <w:r w:rsidR="00875167" w:rsidRPr="00D75391">
        <w:rPr>
          <w:rFonts w:ascii="Palatino Linotype" w:eastAsia="Calibri" w:hAnsi="Palatino Linotype" w:cs="Arial"/>
          <w:lang w:val="es-ES"/>
        </w:rPr>
        <w:t>l</w:t>
      </w:r>
      <w:r w:rsidR="004C20F2" w:rsidRPr="00D75391">
        <w:rPr>
          <w:rFonts w:ascii="Palatino Linotype" w:eastAsia="Calibri" w:hAnsi="Palatino Linotype" w:cs="Arial"/>
          <w:lang w:val="es-ES"/>
        </w:rPr>
        <w:t>os</w:t>
      </w:r>
      <w:r w:rsidR="00875167" w:rsidRPr="00D75391">
        <w:rPr>
          <w:rFonts w:ascii="Palatino Linotype" w:eastAsia="Calibri" w:hAnsi="Palatino Linotype" w:cs="Arial"/>
          <w:lang w:val="es-ES"/>
        </w:rPr>
        <w:t xml:space="preserve"> caso</w:t>
      </w:r>
      <w:r w:rsidR="004C20F2" w:rsidRPr="00D75391">
        <w:rPr>
          <w:rFonts w:ascii="Palatino Linotype" w:eastAsia="Calibri" w:hAnsi="Palatino Linotype" w:cs="Arial"/>
          <w:lang w:val="es-ES"/>
        </w:rPr>
        <w:t>s</w:t>
      </w:r>
      <w:r w:rsidR="00875167" w:rsidRPr="00D75391">
        <w:rPr>
          <w:rFonts w:ascii="Palatino Linotype" w:eastAsia="Calibri" w:hAnsi="Palatino Linotype" w:cs="Arial"/>
          <w:lang w:val="es-ES"/>
        </w:rPr>
        <w:t xml:space="preserve"> concreto</w:t>
      </w:r>
      <w:r w:rsidR="007857A6" w:rsidRPr="00D75391">
        <w:rPr>
          <w:rFonts w:ascii="Palatino Linotype" w:eastAsia="Calibri" w:hAnsi="Palatino Linotype" w:cs="Arial"/>
          <w:lang w:val="es-ES"/>
        </w:rPr>
        <w:t>s</w:t>
      </w:r>
      <w:r w:rsidR="00492352" w:rsidRPr="00D75391">
        <w:rPr>
          <w:rFonts w:ascii="Palatino Linotype" w:eastAsia="Calibri" w:hAnsi="Palatino Linotype" w:cs="Arial"/>
          <w:lang w:val="es-ES"/>
        </w:rPr>
        <w:t>.</w:t>
      </w:r>
    </w:p>
    <w:p w14:paraId="716C3B84" w14:textId="77777777" w:rsidR="002B62AC" w:rsidRPr="00D75391" w:rsidRDefault="002B62AC" w:rsidP="00D75391">
      <w:pPr>
        <w:pStyle w:val="Prrafodelista"/>
        <w:spacing w:before="240" w:after="240" w:line="360" w:lineRule="auto"/>
        <w:ind w:left="0"/>
        <w:jc w:val="both"/>
        <w:rPr>
          <w:rFonts w:ascii="Palatino Linotype" w:hAnsi="Palatino Linotype"/>
        </w:rPr>
      </w:pPr>
    </w:p>
    <w:p w14:paraId="02E8B999" w14:textId="661CFA5D" w:rsidR="00492352" w:rsidRPr="00D75391" w:rsidRDefault="002B62AC" w:rsidP="00D75391">
      <w:pPr>
        <w:pStyle w:val="Prrafodelista"/>
        <w:numPr>
          <w:ilvl w:val="0"/>
          <w:numId w:val="1"/>
        </w:numPr>
        <w:spacing w:before="240" w:after="240" w:line="360" w:lineRule="auto"/>
        <w:ind w:left="0" w:firstLine="0"/>
        <w:jc w:val="both"/>
        <w:rPr>
          <w:rFonts w:ascii="Palatino Linotype" w:hAnsi="Palatino Linotype"/>
        </w:rPr>
      </w:pPr>
      <w:r w:rsidRPr="00D75391">
        <w:rPr>
          <w:rFonts w:ascii="Palatino Linotype" w:hAnsi="Palatino Linotype"/>
        </w:rPr>
        <w:t xml:space="preserve">El </w:t>
      </w:r>
      <w:r w:rsidRPr="00D75391">
        <w:rPr>
          <w:rFonts w:ascii="Palatino Linotype" w:hAnsi="Palatino Linotype"/>
          <w:b/>
        </w:rPr>
        <w:t>SUJETO OBLIGADO</w:t>
      </w:r>
      <w:r w:rsidR="00210945" w:rsidRPr="00D75391">
        <w:rPr>
          <w:rFonts w:ascii="Palatino Linotype" w:hAnsi="Palatino Linotype"/>
          <w:b/>
        </w:rPr>
        <w:t xml:space="preserve"> </w:t>
      </w:r>
      <w:r w:rsidR="00210945" w:rsidRPr="00D75391">
        <w:rPr>
          <w:rFonts w:ascii="Palatino Linotype" w:hAnsi="Palatino Linotype"/>
        </w:rPr>
        <w:t xml:space="preserve">el día nueve (09) de agosto </w:t>
      </w:r>
      <w:r w:rsidRPr="00D75391">
        <w:rPr>
          <w:rFonts w:ascii="Palatino Linotype" w:hAnsi="Palatino Linotype"/>
        </w:rPr>
        <w:t xml:space="preserve"> de dos mil diecinueve, rindió los informes justificados respectivos dentro de todos los recursos de revisión que se resuelven; no obstante, no fueron puestos a disposición de la </w:t>
      </w:r>
      <w:r w:rsidRPr="00D75391">
        <w:rPr>
          <w:rFonts w:ascii="Palatino Linotype" w:hAnsi="Palatino Linotype"/>
          <w:b/>
        </w:rPr>
        <w:t>RECURRENTE</w:t>
      </w:r>
      <w:r w:rsidRPr="00D75391">
        <w:rPr>
          <w:rFonts w:ascii="Palatino Linotype" w:hAnsi="Palatino Linotype"/>
        </w:rPr>
        <w:t xml:space="preserve"> debido a que no</w:t>
      </w:r>
      <w:r w:rsidR="00210945" w:rsidRPr="00D75391">
        <w:rPr>
          <w:rFonts w:ascii="Palatino Linotype" w:hAnsi="Palatino Linotype"/>
        </w:rPr>
        <w:t xml:space="preserve"> aportaban elementos novedosos con relación a la respuesta primigenia</w:t>
      </w:r>
      <w:r w:rsidRPr="00D75391">
        <w:rPr>
          <w:rFonts w:ascii="Palatino Linotype" w:hAnsi="Palatino Linotype"/>
        </w:rPr>
        <w:t>. Sin embargo, con la finalidad de que no exista opacidad, se harán del conocimiento de la particular al momento de la notificación de la presente resolución. Por su parte el recurrente fue omiso en realizar manifestaciones que a su derecho convinieran y asistieran.</w:t>
      </w:r>
    </w:p>
    <w:p w14:paraId="0DFB2D0A" w14:textId="77777777" w:rsidR="002B62AC" w:rsidRPr="00D75391" w:rsidRDefault="002B62AC" w:rsidP="00D75391">
      <w:pPr>
        <w:pStyle w:val="Prrafodelista"/>
        <w:spacing w:before="240" w:after="240" w:line="360" w:lineRule="auto"/>
        <w:ind w:left="0"/>
        <w:jc w:val="both"/>
        <w:rPr>
          <w:rFonts w:ascii="Palatino Linotype" w:hAnsi="Palatino Linotype"/>
        </w:rPr>
      </w:pPr>
    </w:p>
    <w:p w14:paraId="0D3CAB57" w14:textId="0CFDE5F5" w:rsidR="00664106" w:rsidRPr="00D75391" w:rsidRDefault="00861622" w:rsidP="00D75391">
      <w:pPr>
        <w:pStyle w:val="Prrafodelista"/>
        <w:numPr>
          <w:ilvl w:val="0"/>
          <w:numId w:val="1"/>
        </w:numPr>
        <w:spacing w:before="240" w:after="240" w:line="360" w:lineRule="auto"/>
        <w:ind w:left="0" w:firstLine="0"/>
        <w:jc w:val="both"/>
        <w:rPr>
          <w:rFonts w:ascii="Palatino Linotype" w:hAnsi="Palatino Linotype"/>
        </w:rPr>
      </w:pPr>
      <w:r w:rsidRPr="00D75391">
        <w:rPr>
          <w:rFonts w:ascii="Palatino Linotype" w:hAnsi="Palatino Linotype"/>
        </w:rPr>
        <w:t xml:space="preserve">El Comisionado Ponente decretó </w:t>
      </w:r>
      <w:r w:rsidR="00512F22" w:rsidRPr="00D75391">
        <w:rPr>
          <w:rFonts w:ascii="Palatino Linotype" w:hAnsi="Palatino Linotype"/>
        </w:rPr>
        <w:t>l</w:t>
      </w:r>
      <w:r w:rsidR="00E34501" w:rsidRPr="00D75391">
        <w:rPr>
          <w:rFonts w:ascii="Palatino Linotype" w:hAnsi="Palatino Linotype"/>
        </w:rPr>
        <w:t>os</w:t>
      </w:r>
      <w:r w:rsidR="00512F22" w:rsidRPr="00D75391">
        <w:rPr>
          <w:rFonts w:ascii="Palatino Linotype" w:hAnsi="Palatino Linotype"/>
        </w:rPr>
        <w:t xml:space="preserve"> cierre</w:t>
      </w:r>
      <w:r w:rsidR="00E34501" w:rsidRPr="00D75391">
        <w:rPr>
          <w:rFonts w:ascii="Palatino Linotype" w:hAnsi="Palatino Linotype"/>
        </w:rPr>
        <w:t>s</w:t>
      </w:r>
      <w:r w:rsidR="00512F22" w:rsidRPr="00D75391">
        <w:rPr>
          <w:rFonts w:ascii="Palatino Linotype" w:hAnsi="Palatino Linotype"/>
        </w:rPr>
        <w:t xml:space="preserve"> de instrucción</w:t>
      </w:r>
      <w:r w:rsidR="00512F22" w:rsidRPr="00D75391">
        <w:rPr>
          <w:rFonts w:ascii="Palatino Linotype" w:hAnsi="Palatino Linotype" w:cs="Arial"/>
        </w:rPr>
        <w:t xml:space="preserve"> </w:t>
      </w:r>
      <w:r w:rsidR="00BF1B7F" w:rsidRPr="00D75391">
        <w:rPr>
          <w:rFonts w:ascii="Palatino Linotype" w:hAnsi="Palatino Linotype" w:cs="Arial"/>
        </w:rPr>
        <w:t xml:space="preserve">de </w:t>
      </w:r>
      <w:r w:rsidR="0050309F" w:rsidRPr="00D75391">
        <w:rPr>
          <w:rFonts w:ascii="Palatino Linotype" w:hAnsi="Palatino Linotype" w:cs="Arial"/>
        </w:rPr>
        <w:t>l</w:t>
      </w:r>
      <w:r w:rsidR="006D42C5" w:rsidRPr="00D75391">
        <w:rPr>
          <w:rFonts w:ascii="Palatino Linotype" w:hAnsi="Palatino Linotype" w:cs="Arial"/>
        </w:rPr>
        <w:t>os</w:t>
      </w:r>
      <w:r w:rsidR="00BF1B7F" w:rsidRPr="00D75391">
        <w:rPr>
          <w:rFonts w:ascii="Palatino Linotype" w:hAnsi="Palatino Linotype" w:cs="Arial"/>
        </w:rPr>
        <w:t xml:space="preserve"> recursos de revisión </w:t>
      </w:r>
      <w:r w:rsidR="00512F22" w:rsidRPr="00D75391">
        <w:rPr>
          <w:rFonts w:ascii="Palatino Linotype" w:hAnsi="Palatino Linotype"/>
        </w:rPr>
        <w:t>mediante acuerdo</w:t>
      </w:r>
      <w:r w:rsidR="004C20F2" w:rsidRPr="00D75391">
        <w:rPr>
          <w:rFonts w:ascii="Palatino Linotype" w:hAnsi="Palatino Linotype"/>
        </w:rPr>
        <w:t>s</w:t>
      </w:r>
      <w:r w:rsidR="00BF1B7F" w:rsidRPr="00D75391">
        <w:rPr>
          <w:rFonts w:ascii="Palatino Linotype" w:hAnsi="Palatino Linotype"/>
        </w:rPr>
        <w:t xml:space="preserve"> de fecha</w:t>
      </w:r>
      <w:r w:rsidR="00210945" w:rsidRPr="00D75391">
        <w:rPr>
          <w:rFonts w:ascii="Palatino Linotype" w:hAnsi="Palatino Linotype"/>
        </w:rPr>
        <w:t xml:space="preserve"> veintiséis (26</w:t>
      </w:r>
      <w:r w:rsidR="00062379" w:rsidRPr="00D75391">
        <w:rPr>
          <w:rFonts w:ascii="Palatino Linotype" w:hAnsi="Palatino Linotype"/>
        </w:rPr>
        <w:t>)</w:t>
      </w:r>
      <w:r w:rsidR="009E3847" w:rsidRPr="00D75391">
        <w:rPr>
          <w:rFonts w:ascii="Palatino Linotype" w:hAnsi="Palatino Linotype"/>
        </w:rPr>
        <w:t xml:space="preserve"> de</w:t>
      </w:r>
      <w:r w:rsidR="00DB163B" w:rsidRPr="00D75391">
        <w:rPr>
          <w:rFonts w:ascii="Palatino Linotype" w:hAnsi="Palatino Linotype"/>
        </w:rPr>
        <w:t xml:space="preserve"> septiembre</w:t>
      </w:r>
      <w:r w:rsidR="006D3485" w:rsidRPr="00D75391">
        <w:rPr>
          <w:rFonts w:ascii="Palatino Linotype" w:hAnsi="Palatino Linotype"/>
        </w:rPr>
        <w:t xml:space="preserve"> </w:t>
      </w:r>
      <w:r w:rsidR="00E07BCC" w:rsidRPr="00D75391">
        <w:rPr>
          <w:rFonts w:ascii="Palatino Linotype" w:hAnsi="Palatino Linotype"/>
        </w:rPr>
        <w:t>de dos mil diecinueve</w:t>
      </w:r>
      <w:r w:rsidR="00C862C4" w:rsidRPr="00D75391">
        <w:rPr>
          <w:rFonts w:ascii="Palatino Linotype" w:hAnsi="Palatino Linotype"/>
        </w:rPr>
        <w:t xml:space="preserve">, </w:t>
      </w:r>
      <w:r w:rsidR="006B12CA" w:rsidRPr="00D75391">
        <w:rPr>
          <w:rFonts w:ascii="Palatino Linotype" w:hAnsi="Palatino Linotype" w:cs="Arial"/>
        </w:rPr>
        <w:t>por lo que</w:t>
      </w:r>
      <w:r w:rsidR="00702482" w:rsidRPr="00D75391">
        <w:rPr>
          <w:rFonts w:ascii="Palatino Linotype" w:hAnsi="Palatino Linotype" w:cs="Arial"/>
        </w:rPr>
        <w:t xml:space="preserve">, ordenó turnar el expediente a resolución, misma que ahora se pronuncia. </w:t>
      </w:r>
      <w:bookmarkStart w:id="82" w:name="_Toc461555889"/>
      <w:bookmarkStart w:id="83" w:name="_Toc466371858"/>
    </w:p>
    <w:p w14:paraId="4792E119" w14:textId="77777777" w:rsidR="0000724D" w:rsidRPr="00D75391" w:rsidRDefault="0000724D" w:rsidP="00D75391">
      <w:pPr>
        <w:pStyle w:val="Prrafodelista"/>
        <w:spacing w:before="240" w:after="240" w:line="360" w:lineRule="auto"/>
        <w:ind w:left="360"/>
        <w:jc w:val="both"/>
        <w:rPr>
          <w:rFonts w:ascii="Palatino Linotype" w:hAnsi="Palatino Linotype"/>
        </w:rPr>
      </w:pPr>
    </w:p>
    <w:p w14:paraId="4F5486E7" w14:textId="349BAEAE" w:rsidR="006D2E5C" w:rsidRPr="00D75391" w:rsidRDefault="00DB163B" w:rsidP="00D75391">
      <w:pPr>
        <w:pStyle w:val="Prrafodelista"/>
        <w:numPr>
          <w:ilvl w:val="0"/>
          <w:numId w:val="1"/>
        </w:numPr>
        <w:spacing w:before="240" w:after="240" w:line="360" w:lineRule="auto"/>
        <w:ind w:left="0" w:firstLine="0"/>
        <w:jc w:val="both"/>
        <w:rPr>
          <w:rFonts w:ascii="Palatino Linotype" w:hAnsi="Palatino Linotype"/>
        </w:rPr>
      </w:pPr>
      <w:r w:rsidRPr="00D75391">
        <w:rPr>
          <w:rFonts w:ascii="Palatino Linotype" w:eastAsia="Calibri" w:hAnsi="Palatino Linotype" w:cs="Arial"/>
          <w:color w:val="000000" w:themeColor="text1"/>
        </w:rPr>
        <w:t>El día veintiséis (26</w:t>
      </w:r>
      <w:r w:rsidR="006D3485" w:rsidRPr="00D75391">
        <w:rPr>
          <w:rFonts w:ascii="Palatino Linotype" w:eastAsia="Calibri" w:hAnsi="Palatino Linotype" w:cs="Arial"/>
          <w:color w:val="000000" w:themeColor="text1"/>
        </w:rPr>
        <w:t>) de</w:t>
      </w:r>
      <w:r w:rsidR="002B62AC" w:rsidRPr="00D75391">
        <w:rPr>
          <w:rFonts w:ascii="Palatino Linotype" w:eastAsia="Calibri" w:hAnsi="Palatino Linotype" w:cs="Arial"/>
          <w:color w:val="000000" w:themeColor="text1"/>
        </w:rPr>
        <w:t xml:space="preserve"> </w:t>
      </w:r>
      <w:r w:rsidRPr="00D75391">
        <w:rPr>
          <w:rFonts w:ascii="Palatino Linotype" w:eastAsia="Calibri" w:hAnsi="Palatino Linotype" w:cs="Arial"/>
          <w:color w:val="000000" w:themeColor="text1"/>
        </w:rPr>
        <w:t xml:space="preserve">septiembre </w:t>
      </w:r>
      <w:r w:rsidR="00E07BCC" w:rsidRPr="00D75391">
        <w:rPr>
          <w:rFonts w:ascii="Palatino Linotype" w:eastAsia="Calibri" w:hAnsi="Palatino Linotype" w:cs="Arial"/>
          <w:color w:val="000000" w:themeColor="text1"/>
        </w:rPr>
        <w:t>de dos mil diecinueve</w:t>
      </w:r>
      <w:r w:rsidR="0000724D" w:rsidRPr="00D75391">
        <w:rPr>
          <w:rFonts w:ascii="Palatino Linotype" w:eastAsia="Calibri" w:hAnsi="Palatino Linotype" w:cs="Arial"/>
          <w:color w:val="000000" w:themeColor="text1"/>
        </w:rPr>
        <w:t xml:space="preserve"> y con fundamento en el artículo 181 tercer párrafo de la </w:t>
      </w:r>
      <w:r w:rsidR="0000724D" w:rsidRPr="00D75391">
        <w:rPr>
          <w:rFonts w:ascii="Palatino Linotype" w:eastAsia="Calibri" w:hAnsi="Palatino Linotype" w:cs="Arial"/>
          <w:b/>
          <w:bCs/>
          <w:color w:val="000000" w:themeColor="text1"/>
        </w:rPr>
        <w:t>Ley de Transparencia y Acceso a la Información Pública del Estado de México y Municipios, </w:t>
      </w:r>
      <w:r w:rsidR="0000724D" w:rsidRPr="00D75391">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14FE8D1D" w14:textId="04783F78" w:rsidR="00702482" w:rsidRPr="00D75391" w:rsidRDefault="007C0013" w:rsidP="00D75391">
      <w:pPr>
        <w:pStyle w:val="Ttulo1"/>
        <w:spacing w:line="360" w:lineRule="auto"/>
        <w:jc w:val="center"/>
        <w:rPr>
          <w:b/>
          <w:szCs w:val="24"/>
        </w:rPr>
      </w:pPr>
      <w:bookmarkStart w:id="84" w:name="_Toc20423563"/>
      <w:r w:rsidRPr="00D75391">
        <w:rPr>
          <w:b/>
          <w:szCs w:val="24"/>
        </w:rPr>
        <w:t>CONSIDERANDO</w:t>
      </w:r>
      <w:bookmarkEnd w:id="82"/>
      <w:bookmarkEnd w:id="83"/>
      <w:bookmarkEnd w:id="84"/>
    </w:p>
    <w:p w14:paraId="1C4B1F3E" w14:textId="77777777" w:rsidR="00236140" w:rsidRPr="00D75391" w:rsidRDefault="00236140" w:rsidP="00D75391">
      <w:pPr>
        <w:spacing w:line="360" w:lineRule="auto"/>
        <w:rPr>
          <w:rFonts w:ascii="Palatino Linotype" w:hAnsi="Palatino Linotype"/>
          <w:lang w:val="es-MX" w:eastAsia="en-US"/>
        </w:rPr>
      </w:pPr>
    </w:p>
    <w:p w14:paraId="629A5BE2" w14:textId="56C3E7D5" w:rsidR="007C0013" w:rsidRPr="00D75391" w:rsidRDefault="007C0013" w:rsidP="00D75391">
      <w:pPr>
        <w:pStyle w:val="Ttulo2"/>
        <w:spacing w:line="360" w:lineRule="auto"/>
        <w:rPr>
          <w:rFonts w:ascii="Palatino Linotype" w:hAnsi="Palatino Linotype"/>
          <w:b/>
          <w:color w:val="auto"/>
          <w:sz w:val="24"/>
          <w:szCs w:val="24"/>
        </w:rPr>
      </w:pPr>
      <w:bookmarkStart w:id="85" w:name="_Toc461555890"/>
      <w:bookmarkStart w:id="86" w:name="_Toc466371859"/>
      <w:bookmarkStart w:id="87" w:name="_Toc20423564"/>
      <w:r w:rsidRPr="00D75391">
        <w:rPr>
          <w:rFonts w:ascii="Palatino Linotype" w:hAnsi="Palatino Linotype"/>
          <w:b/>
          <w:color w:val="auto"/>
          <w:sz w:val="24"/>
          <w:szCs w:val="24"/>
        </w:rPr>
        <w:t>PRIMERO. De la competencia</w:t>
      </w:r>
      <w:bookmarkEnd w:id="85"/>
      <w:bookmarkEnd w:id="86"/>
      <w:bookmarkEnd w:id="87"/>
    </w:p>
    <w:p w14:paraId="7796F3C8" w14:textId="77777777" w:rsidR="006D0DAE" w:rsidRPr="00D75391" w:rsidRDefault="006D0DAE" w:rsidP="00D75391">
      <w:pPr>
        <w:spacing w:line="360" w:lineRule="auto"/>
        <w:rPr>
          <w:rFonts w:ascii="Palatino Linotype" w:hAnsi="Palatino Linotype"/>
          <w:lang w:val="es-MX" w:eastAsia="en-US"/>
        </w:rPr>
      </w:pPr>
    </w:p>
    <w:p w14:paraId="0BF52B18" w14:textId="0F2D6905" w:rsidR="005A228F" w:rsidRPr="00D75391" w:rsidRDefault="00A45546" w:rsidP="00D75391">
      <w:pPr>
        <w:pStyle w:val="Prrafodelista"/>
        <w:numPr>
          <w:ilvl w:val="0"/>
          <w:numId w:val="1"/>
        </w:numPr>
        <w:spacing w:line="360" w:lineRule="auto"/>
        <w:ind w:left="0" w:firstLine="0"/>
        <w:jc w:val="both"/>
        <w:rPr>
          <w:rFonts w:ascii="Palatino Linotype" w:eastAsia="Calibri" w:hAnsi="Palatino Linotype" w:cs="Times New Roman"/>
          <w:b/>
          <w:lang w:val="es-ES"/>
        </w:rPr>
      </w:pPr>
      <w:r w:rsidRPr="00D7539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5391">
        <w:rPr>
          <w:rFonts w:ascii="Palatino Linotype" w:eastAsia="Calibri" w:hAnsi="Palatino Linotype" w:cs="Times New Roman"/>
          <w:b/>
          <w:lang w:val="es-ES"/>
        </w:rPr>
        <w:t>Constitución Política de los Estados Unidos Mexicanos</w:t>
      </w:r>
      <w:r w:rsidR="002B62AC" w:rsidRPr="00D75391">
        <w:rPr>
          <w:rFonts w:ascii="Palatino Linotype" w:eastAsia="Calibri" w:hAnsi="Palatino Linotype" w:cs="Times New Roman"/>
          <w:lang w:val="es-ES"/>
        </w:rPr>
        <w:t>; 5, párrafos vigésimo segundo</w:t>
      </w:r>
      <w:r w:rsidRPr="00D75391">
        <w:rPr>
          <w:rFonts w:ascii="Palatino Linotype" w:eastAsia="Calibri" w:hAnsi="Palatino Linotype" w:cs="Times New Roman"/>
          <w:lang w:val="es-ES"/>
        </w:rPr>
        <w:t xml:space="preserve">, vigésimo </w:t>
      </w:r>
      <w:r w:rsidR="002B62AC" w:rsidRPr="00D75391">
        <w:rPr>
          <w:rFonts w:ascii="Palatino Linotype" w:eastAsia="Calibri" w:hAnsi="Palatino Linotype" w:cs="Times New Roman"/>
          <w:lang w:val="es-ES"/>
        </w:rPr>
        <w:t>tercero y vigésimo cuarto</w:t>
      </w:r>
      <w:r w:rsidRPr="00D75391">
        <w:rPr>
          <w:rFonts w:ascii="Palatino Linotype" w:eastAsia="Calibri" w:hAnsi="Palatino Linotype" w:cs="Times New Roman"/>
          <w:lang w:val="es-ES"/>
        </w:rPr>
        <w:t xml:space="preserve"> fracciones IV y V de la </w:t>
      </w:r>
      <w:r w:rsidRPr="00D75391">
        <w:rPr>
          <w:rFonts w:ascii="Palatino Linotype" w:eastAsia="Calibri" w:hAnsi="Palatino Linotype" w:cs="Times New Roman"/>
          <w:b/>
          <w:lang w:val="es-ES"/>
        </w:rPr>
        <w:t>Constitución Política del Estado Libre y Soberano de México</w:t>
      </w:r>
      <w:r w:rsidRPr="00D75391">
        <w:rPr>
          <w:rFonts w:ascii="Palatino Linotype" w:eastAsia="Calibri" w:hAnsi="Palatino Linotype" w:cs="Times New Roman"/>
          <w:lang w:val="es-ES"/>
        </w:rPr>
        <w:t xml:space="preserve">; artículos 1, 2 fracción II, 13, 29, 36 fracciones I y II, 176, 178, 179, 181 párrafo tercero y 185 </w:t>
      </w:r>
      <w:r w:rsidRPr="00D75391">
        <w:rPr>
          <w:rFonts w:ascii="Palatino Linotype" w:eastAsia="Calibri" w:hAnsi="Palatino Linotype" w:cs="Arial"/>
          <w:lang w:val="es-ES"/>
        </w:rPr>
        <w:t xml:space="preserve">de la </w:t>
      </w:r>
      <w:r w:rsidRPr="00D75391">
        <w:rPr>
          <w:rFonts w:ascii="Palatino Linotype" w:eastAsia="Calibri" w:hAnsi="Palatino Linotype" w:cs="Arial"/>
          <w:b/>
          <w:lang w:val="es-ES"/>
        </w:rPr>
        <w:t>Ley de Transparencia y Acceso a la Información Pública del Estado de México y Municipios</w:t>
      </w:r>
      <w:r w:rsidR="00DA73EE" w:rsidRPr="00D75391">
        <w:rPr>
          <w:rFonts w:ascii="Palatino Linotype" w:eastAsia="Calibri" w:hAnsi="Palatino Linotype" w:cs="Arial"/>
          <w:lang w:val="es-ES"/>
        </w:rPr>
        <w:t>;</w:t>
      </w:r>
      <w:r w:rsidRPr="00D75391">
        <w:rPr>
          <w:rFonts w:ascii="Palatino Linotype" w:eastAsia="Calibri" w:hAnsi="Palatino Linotype" w:cs="Arial"/>
          <w:lang w:val="es-ES"/>
        </w:rPr>
        <w:t xml:space="preserve"> y 10, 7, 9 fracciones I y XXIV, y 11 del </w:t>
      </w:r>
      <w:r w:rsidRPr="00D7539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D75391" w:rsidRDefault="00062379" w:rsidP="00D75391">
      <w:pPr>
        <w:pStyle w:val="Prrafodelista"/>
        <w:spacing w:line="360" w:lineRule="auto"/>
        <w:ind w:left="360"/>
        <w:jc w:val="both"/>
        <w:rPr>
          <w:rFonts w:ascii="Palatino Linotype" w:eastAsia="Calibri" w:hAnsi="Palatino Linotype" w:cs="Times New Roman"/>
          <w:b/>
          <w:lang w:val="es-ES"/>
        </w:rPr>
      </w:pPr>
    </w:p>
    <w:p w14:paraId="1EEDC16F" w14:textId="77B666CF" w:rsidR="006D0DAE" w:rsidRPr="00D75391" w:rsidRDefault="007C0013" w:rsidP="00D75391">
      <w:pPr>
        <w:pStyle w:val="Ttulo2"/>
        <w:spacing w:line="360" w:lineRule="auto"/>
        <w:rPr>
          <w:rFonts w:ascii="Palatino Linotype" w:hAnsi="Palatino Linotype"/>
          <w:b/>
          <w:color w:val="auto"/>
          <w:sz w:val="24"/>
          <w:szCs w:val="24"/>
        </w:rPr>
      </w:pPr>
      <w:bookmarkStart w:id="88" w:name="_Toc461555891"/>
      <w:bookmarkStart w:id="89" w:name="_Toc466371860"/>
      <w:bookmarkStart w:id="90" w:name="_Toc20423565"/>
      <w:r w:rsidRPr="00D75391">
        <w:rPr>
          <w:rFonts w:ascii="Palatino Linotype" w:hAnsi="Palatino Linotype"/>
          <w:b/>
          <w:color w:val="auto"/>
          <w:sz w:val="24"/>
          <w:szCs w:val="24"/>
        </w:rPr>
        <w:t>SEGUNDO. De la oportunidad y proced</w:t>
      </w:r>
      <w:r w:rsidR="00F35C44" w:rsidRPr="00D75391">
        <w:rPr>
          <w:rFonts w:ascii="Palatino Linotype" w:hAnsi="Palatino Linotype"/>
          <w:b/>
          <w:color w:val="auto"/>
          <w:sz w:val="24"/>
          <w:szCs w:val="24"/>
        </w:rPr>
        <w:t>encia</w:t>
      </w:r>
      <w:r w:rsidRPr="00D75391">
        <w:rPr>
          <w:rFonts w:ascii="Palatino Linotype" w:hAnsi="Palatino Linotype"/>
          <w:b/>
          <w:color w:val="auto"/>
          <w:sz w:val="24"/>
          <w:szCs w:val="24"/>
        </w:rPr>
        <w:t>.</w:t>
      </w:r>
      <w:bookmarkEnd w:id="88"/>
      <w:bookmarkEnd w:id="89"/>
      <w:bookmarkEnd w:id="90"/>
    </w:p>
    <w:p w14:paraId="19522492" w14:textId="28B63817" w:rsidR="00340FE1" w:rsidRPr="00D75391" w:rsidRDefault="00340FE1" w:rsidP="00D75391">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D75391">
        <w:rPr>
          <w:rFonts w:ascii="Palatino Linotype" w:eastAsia="Calibri" w:hAnsi="Palatino Linotype" w:cs="Arial"/>
          <w:lang w:val="es-MX"/>
        </w:rPr>
        <w:t>Los</w:t>
      </w:r>
      <w:r w:rsidRPr="00D75391">
        <w:rPr>
          <w:rFonts w:ascii="Palatino Linotype" w:eastAsia="Calibri" w:hAnsi="Palatino Linotype" w:cs="Arial"/>
        </w:rPr>
        <w:t xml:space="preserve"> medios de impugnación fueron presentados a través del </w:t>
      </w:r>
      <w:r w:rsidRPr="00D75391">
        <w:rPr>
          <w:rFonts w:ascii="Palatino Linotype" w:eastAsia="Calibri" w:hAnsi="Palatino Linotype" w:cs="Arial"/>
          <w:b/>
        </w:rPr>
        <w:t>SAIMEX,</w:t>
      </w:r>
      <w:r w:rsidRPr="00D7539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75391">
        <w:rPr>
          <w:rFonts w:ascii="Palatino Linotype" w:eastAsia="Calibri" w:hAnsi="Palatino Linotype" w:cs="Arial"/>
          <w:b/>
        </w:rPr>
        <w:t>SUJETO OBLIGADO</w:t>
      </w:r>
      <w:r w:rsidRPr="00D75391">
        <w:rPr>
          <w:rFonts w:ascii="Palatino Linotype" w:eastAsia="Calibri" w:hAnsi="Palatino Linotype" w:cs="Arial"/>
        </w:rPr>
        <w:t xml:space="preserve"> emitió sus respuestas a las solicitudes de información de</w:t>
      </w:r>
      <w:r w:rsidR="00DB163B" w:rsidRPr="00D75391">
        <w:rPr>
          <w:rFonts w:ascii="Palatino Linotype" w:eastAsia="Calibri" w:hAnsi="Palatino Linotype" w:cs="Arial"/>
        </w:rPr>
        <w:t xml:space="preserve"> referencia el veintinueve</w:t>
      </w:r>
      <w:r w:rsidRPr="00D75391">
        <w:rPr>
          <w:rFonts w:ascii="Palatino Linotype" w:eastAsia="Calibri" w:hAnsi="Palatino Linotype" w:cs="Arial"/>
        </w:rPr>
        <w:t xml:space="preserve"> (</w:t>
      </w:r>
      <w:r w:rsidR="00DB163B" w:rsidRPr="00D75391">
        <w:rPr>
          <w:rFonts w:ascii="Palatino Linotype" w:eastAsia="Calibri" w:hAnsi="Palatino Linotype" w:cs="Arial"/>
        </w:rPr>
        <w:t>29</w:t>
      </w:r>
      <w:r w:rsidRPr="00D75391">
        <w:rPr>
          <w:rFonts w:ascii="Palatino Linotype" w:eastAsia="Calibri" w:hAnsi="Palatino Linotype" w:cs="Arial"/>
        </w:rPr>
        <w:t>) de</w:t>
      </w:r>
      <w:r w:rsidR="00DB163B" w:rsidRPr="00D75391">
        <w:rPr>
          <w:rFonts w:ascii="Palatino Linotype" w:eastAsia="Calibri" w:hAnsi="Palatino Linotype" w:cs="Arial"/>
        </w:rPr>
        <w:t xml:space="preserve"> julio </w:t>
      </w:r>
      <w:r w:rsidRPr="00D75391">
        <w:rPr>
          <w:rFonts w:ascii="Palatino Linotype" w:eastAsia="Calibri" w:hAnsi="Palatino Linotype" w:cs="Arial"/>
        </w:rPr>
        <w:t xml:space="preserve">de dos mil diecinueve, </w:t>
      </w:r>
      <w:r w:rsidRPr="00D75391">
        <w:rPr>
          <w:rFonts w:ascii="Palatino Linotype" w:hAnsi="Palatino Linotype" w:cs="Arial"/>
        </w:rPr>
        <w:t>de tal forma que los plazos para interponer los recursos tr</w:t>
      </w:r>
      <w:r w:rsidR="00DB163B" w:rsidRPr="00D75391">
        <w:rPr>
          <w:rFonts w:ascii="Palatino Linotype" w:hAnsi="Palatino Linotype" w:cs="Arial"/>
        </w:rPr>
        <w:t>anscurrieron del día treinta (30</w:t>
      </w:r>
      <w:r w:rsidRPr="00D75391">
        <w:rPr>
          <w:rFonts w:ascii="Palatino Linotype" w:hAnsi="Palatino Linotype" w:cs="Arial"/>
        </w:rPr>
        <w:t>) de</w:t>
      </w:r>
      <w:r w:rsidR="00DB163B" w:rsidRPr="00D75391">
        <w:rPr>
          <w:rFonts w:ascii="Palatino Linotype" w:hAnsi="Palatino Linotype" w:cs="Arial"/>
        </w:rPr>
        <w:t xml:space="preserve"> julio </w:t>
      </w:r>
      <w:r w:rsidRPr="00D75391">
        <w:rPr>
          <w:rFonts w:ascii="Palatino Linotype" w:hAnsi="Palatino Linotype" w:cs="Arial"/>
        </w:rPr>
        <w:t>de dos mil dieci</w:t>
      </w:r>
      <w:r w:rsidR="00FA7ADC" w:rsidRPr="00D75391">
        <w:rPr>
          <w:rFonts w:ascii="Palatino Linotype" w:hAnsi="Palatino Linotype" w:cs="Arial"/>
        </w:rPr>
        <w:t>nueve</w:t>
      </w:r>
      <w:r w:rsidRPr="00D75391">
        <w:rPr>
          <w:rFonts w:ascii="Palatino Linotype" w:hAnsi="Palatino Linotype" w:cs="Arial"/>
        </w:rPr>
        <w:t>, al</w:t>
      </w:r>
      <w:r w:rsidR="00FA7ADC" w:rsidRPr="00D75391">
        <w:rPr>
          <w:rFonts w:ascii="Palatino Linotype" w:hAnsi="Palatino Linotype" w:cs="Arial"/>
        </w:rPr>
        <w:t xml:space="preserve"> </w:t>
      </w:r>
      <w:r w:rsidR="00DB163B" w:rsidRPr="00D75391">
        <w:rPr>
          <w:rFonts w:ascii="Palatino Linotype" w:hAnsi="Palatino Linotype" w:cs="Arial"/>
        </w:rPr>
        <w:t>veinte (20</w:t>
      </w:r>
      <w:r w:rsidR="00FA7ADC" w:rsidRPr="00D75391">
        <w:rPr>
          <w:rFonts w:ascii="Palatino Linotype" w:hAnsi="Palatino Linotype" w:cs="Arial"/>
        </w:rPr>
        <w:t>)</w:t>
      </w:r>
      <w:r w:rsidR="00DB163B" w:rsidRPr="00D75391">
        <w:rPr>
          <w:rFonts w:ascii="Palatino Linotype" w:hAnsi="Palatino Linotype" w:cs="Arial"/>
        </w:rPr>
        <w:t xml:space="preserve"> de agosto </w:t>
      </w:r>
      <w:r w:rsidRPr="00D75391">
        <w:rPr>
          <w:rFonts w:ascii="Palatino Linotype" w:hAnsi="Palatino Linotype" w:cs="Arial"/>
        </w:rPr>
        <w:t>de dos mil dieci</w:t>
      </w:r>
      <w:r w:rsidR="00FA7ADC" w:rsidRPr="00D75391">
        <w:rPr>
          <w:rFonts w:ascii="Palatino Linotype" w:hAnsi="Palatino Linotype" w:cs="Arial"/>
        </w:rPr>
        <w:t>nueve</w:t>
      </w:r>
      <w:r w:rsidRPr="00D75391">
        <w:rPr>
          <w:rFonts w:ascii="Palatino Linotype" w:hAnsi="Palatino Linotype" w:cs="Arial"/>
        </w:rPr>
        <w:t xml:space="preserve"> respectivamente. En consecuencia, si la hoy </w:t>
      </w:r>
      <w:r w:rsidRPr="00D75391">
        <w:rPr>
          <w:rFonts w:ascii="Palatino Linotype" w:hAnsi="Palatino Linotype" w:cs="Arial"/>
          <w:b/>
        </w:rPr>
        <w:t>RECURRENTE</w:t>
      </w:r>
      <w:r w:rsidRPr="00D75391">
        <w:rPr>
          <w:rFonts w:ascii="Palatino Linotype" w:hAnsi="Palatino Linotype" w:cs="Arial"/>
        </w:rPr>
        <w:t xml:space="preserve"> pres</w:t>
      </w:r>
      <w:r w:rsidR="00DB163B" w:rsidRPr="00D75391">
        <w:rPr>
          <w:rFonts w:ascii="Palatino Linotype" w:hAnsi="Palatino Linotype" w:cs="Arial"/>
        </w:rPr>
        <w:t xml:space="preserve">entó sus inconformidades el día treinta (30) </w:t>
      </w:r>
      <w:r w:rsidRPr="00D75391">
        <w:rPr>
          <w:rFonts w:ascii="Palatino Linotype" w:hAnsi="Palatino Linotype" w:cs="Arial"/>
        </w:rPr>
        <w:t>de</w:t>
      </w:r>
      <w:r w:rsidR="00DB163B" w:rsidRPr="00D75391">
        <w:rPr>
          <w:rFonts w:ascii="Palatino Linotype" w:hAnsi="Palatino Linotype" w:cs="Arial"/>
        </w:rPr>
        <w:t xml:space="preserve"> jul</w:t>
      </w:r>
      <w:r w:rsidR="00FA7ADC" w:rsidRPr="00D75391">
        <w:rPr>
          <w:rFonts w:ascii="Palatino Linotype" w:hAnsi="Palatino Linotype" w:cs="Arial"/>
        </w:rPr>
        <w:t>io de dos mil diecinueve</w:t>
      </w:r>
      <w:r w:rsidRPr="00D75391">
        <w:rPr>
          <w:rFonts w:ascii="Palatino Linotype" w:hAnsi="Palatino Linotype" w:cs="Arial"/>
        </w:rPr>
        <w:t xml:space="preserve">, </w:t>
      </w:r>
      <w:r w:rsidRPr="00D75391">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D75391">
        <w:rPr>
          <w:rFonts w:ascii="Palatino Linotype" w:hAnsi="Palatino Linotype"/>
        </w:rPr>
        <w:t xml:space="preserve">En ese sentido, no existiendo causas de </w:t>
      </w:r>
      <w:proofErr w:type="spellStart"/>
      <w:r w:rsidRPr="00D75391">
        <w:rPr>
          <w:rFonts w:ascii="Palatino Linotype" w:hAnsi="Palatino Linotype"/>
        </w:rPr>
        <w:t>desechamiento</w:t>
      </w:r>
      <w:proofErr w:type="spellEnd"/>
      <w:r w:rsidRPr="00D75391">
        <w:rPr>
          <w:rFonts w:ascii="Palatino Linotype" w:hAnsi="Palatino Linotype"/>
        </w:rPr>
        <w:t xml:space="preserve"> por extemporaneidad, el recurso de revisión que hoy nos ocupa, resulta procedente.</w:t>
      </w:r>
    </w:p>
    <w:p w14:paraId="7C3BD04B" w14:textId="77777777" w:rsidR="00340FE1" w:rsidRPr="00D75391" w:rsidRDefault="00340FE1" w:rsidP="00D75391">
      <w:pPr>
        <w:pStyle w:val="Prrafodelista"/>
        <w:spacing w:before="240" w:after="240" w:line="360" w:lineRule="auto"/>
        <w:ind w:left="0"/>
        <w:jc w:val="both"/>
        <w:rPr>
          <w:rFonts w:ascii="Palatino Linotype" w:eastAsia="Times New Roman" w:hAnsi="Palatino Linotype" w:cs="Arial"/>
          <w:color w:val="000000"/>
        </w:rPr>
      </w:pPr>
    </w:p>
    <w:p w14:paraId="315E1410" w14:textId="75DF29ED" w:rsidR="008E07AD" w:rsidRPr="00D75391" w:rsidRDefault="00340FE1" w:rsidP="00D75391">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D75391">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53DDD9D" w14:textId="116BB08C" w:rsidR="000A0913" w:rsidRPr="00D75391" w:rsidRDefault="0044176A" w:rsidP="00D75391">
      <w:pPr>
        <w:pStyle w:val="Ttulo1"/>
        <w:spacing w:line="360" w:lineRule="auto"/>
        <w:rPr>
          <w:b/>
          <w:i/>
          <w:color w:val="000000" w:themeColor="text1"/>
          <w:szCs w:val="24"/>
        </w:rPr>
      </w:pPr>
      <w:bookmarkStart w:id="91" w:name="_Toc503862490"/>
      <w:bookmarkStart w:id="92" w:name="_Toc509403241"/>
      <w:bookmarkStart w:id="93" w:name="_Toc20423566"/>
      <w:r w:rsidRPr="00D75391">
        <w:rPr>
          <w:b/>
          <w:color w:val="000000" w:themeColor="text1"/>
          <w:szCs w:val="24"/>
        </w:rPr>
        <w:t>TERCERO</w:t>
      </w:r>
      <w:r w:rsidR="006A4F64" w:rsidRPr="00D75391">
        <w:rPr>
          <w:b/>
          <w:color w:val="000000" w:themeColor="text1"/>
          <w:szCs w:val="24"/>
        </w:rPr>
        <w:t xml:space="preserve">. </w:t>
      </w:r>
      <w:bookmarkEnd w:id="91"/>
      <w:bookmarkEnd w:id="92"/>
      <w:r w:rsidR="00327323" w:rsidRPr="00D75391">
        <w:rPr>
          <w:b/>
          <w:color w:val="000000" w:themeColor="text1"/>
          <w:szCs w:val="24"/>
        </w:rPr>
        <w:t xml:space="preserve">Del planteamiento de la </w:t>
      </w:r>
      <w:r w:rsidR="00327323" w:rsidRPr="00D75391">
        <w:rPr>
          <w:b/>
          <w:i/>
          <w:color w:val="000000" w:themeColor="text1"/>
          <w:szCs w:val="24"/>
        </w:rPr>
        <w:t>Litis.</w:t>
      </w:r>
      <w:bookmarkEnd w:id="93"/>
    </w:p>
    <w:p w14:paraId="6AE444FA" w14:textId="77777777" w:rsidR="00FA7ADC" w:rsidRPr="00D75391" w:rsidRDefault="000A0913" w:rsidP="00D75391">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D75391">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D75391">
        <w:rPr>
          <w:rFonts w:ascii="Palatino Linotype" w:eastAsia="Calibri" w:hAnsi="Palatino Linotype" w:cs="Arial"/>
          <w:b/>
          <w:lang w:val="es-ES"/>
        </w:rPr>
        <w:t>Ley de Transparencia y Acceso a la Información Pública del Estado de México y Municipios</w:t>
      </w:r>
      <w:r w:rsidRPr="00D75391">
        <w:rPr>
          <w:rFonts w:ascii="Palatino Linotype" w:eastAsia="Times New Roman" w:hAnsi="Palatino Linotype" w:cs="Arial"/>
        </w:rPr>
        <w:t xml:space="preserve"> y determinar la confirmación; revocación o modificación; </w:t>
      </w:r>
      <w:proofErr w:type="spellStart"/>
      <w:r w:rsidRPr="00D75391">
        <w:rPr>
          <w:rFonts w:ascii="Palatino Linotype" w:eastAsia="Times New Roman" w:hAnsi="Palatino Linotype" w:cs="Arial"/>
        </w:rPr>
        <w:t>desechamiento</w:t>
      </w:r>
      <w:proofErr w:type="spellEnd"/>
      <w:r w:rsidRPr="00D75391">
        <w:rPr>
          <w:rFonts w:ascii="Palatino Linotype" w:eastAsia="Times New Roman" w:hAnsi="Palatino Linotype" w:cs="Arial"/>
        </w:rPr>
        <w:t xml:space="preserve"> o sobreseimiento; y en su caso ordenar la entrega de la información, respecto a las respuestas o falta de ellas de los Sujetos Obligados. </w:t>
      </w:r>
    </w:p>
    <w:p w14:paraId="26346C97" w14:textId="77777777" w:rsidR="00FA7ADC" w:rsidRPr="00D75391" w:rsidRDefault="00FA7ADC" w:rsidP="00D75391">
      <w:pPr>
        <w:pStyle w:val="Prrafodelista"/>
        <w:spacing w:before="240" w:after="240" w:line="360" w:lineRule="auto"/>
        <w:ind w:left="0"/>
        <w:jc w:val="both"/>
        <w:rPr>
          <w:rFonts w:ascii="Palatino Linotype" w:eastAsia="Times New Roman" w:hAnsi="Palatino Linotype" w:cs="Times New Roman"/>
          <w:i/>
        </w:rPr>
      </w:pPr>
    </w:p>
    <w:p w14:paraId="6A0616C0" w14:textId="294026C6" w:rsidR="000A0913" w:rsidRPr="00D75391" w:rsidRDefault="00FA7ADC" w:rsidP="00D75391">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D75391">
        <w:rPr>
          <w:rFonts w:ascii="Palatino Linotype" w:eastAsia="Times New Roman" w:hAnsi="Palatino Linotype" w:cs="Arial"/>
        </w:rPr>
        <w:t>Así, de las constancias que obran en el expediente al rubro indicado, se desprende que</w:t>
      </w:r>
      <w:r w:rsidR="0045535A" w:rsidRPr="00D75391">
        <w:rPr>
          <w:rFonts w:ascii="Palatino Linotype" w:eastAsia="Times New Roman" w:hAnsi="Palatino Linotype" w:cs="Times New Roman"/>
        </w:rPr>
        <w:t xml:space="preserve"> el particular solicito a la </w:t>
      </w:r>
      <w:r w:rsidR="0045535A" w:rsidRPr="00D75391">
        <w:rPr>
          <w:rFonts w:ascii="Palatino Linotype" w:eastAsia="Times New Roman" w:hAnsi="Palatino Linotype" w:cs="Times New Roman"/>
          <w:b/>
        </w:rPr>
        <w:t xml:space="preserve">Secretaría Ejecutiva del Sistema Estatal Anticorrupción </w:t>
      </w:r>
      <w:r w:rsidRPr="00D75391">
        <w:rPr>
          <w:rFonts w:ascii="Palatino Linotype" w:eastAsia="Times New Roman" w:hAnsi="Palatino Linotype" w:cs="Times New Roman"/>
        </w:rPr>
        <w:t>diversa información relacionada con</w:t>
      </w:r>
      <w:r w:rsidR="0045535A" w:rsidRPr="00D75391">
        <w:rPr>
          <w:rFonts w:ascii="Palatino Linotype" w:eastAsia="Times New Roman" w:hAnsi="Palatino Linotype" w:cs="Times New Roman"/>
        </w:rPr>
        <w:t xml:space="preserve"> las auditorias y papeles de trabajo de la contraloría interna ello con la finalidad de analizar los avances del sistema anticorrupción</w:t>
      </w:r>
      <w:r w:rsidRPr="00D75391">
        <w:rPr>
          <w:rFonts w:ascii="Palatino Linotype" w:eastAsia="Times New Roman" w:hAnsi="Palatino Linotype" w:cs="Times New Roman"/>
        </w:rPr>
        <w:t xml:space="preserve">, solicitudes que de acuerdo a las constancias que obran en el Sistema de Acceso a la Información Mexiquense </w:t>
      </w:r>
      <w:r w:rsidRPr="00D75391">
        <w:rPr>
          <w:rFonts w:ascii="Palatino Linotype" w:eastAsia="Times New Roman" w:hAnsi="Palatino Linotype" w:cs="Times New Roman"/>
          <w:b/>
        </w:rPr>
        <w:t>(SAIMEX)</w:t>
      </w:r>
      <w:r w:rsidRPr="00D75391">
        <w:rPr>
          <w:rFonts w:ascii="Palatino Linotype" w:eastAsia="Times New Roman" w:hAnsi="Palatino Linotype" w:cs="Times New Roman"/>
        </w:rPr>
        <w:t xml:space="preserve">, fueron atendidas de forma parcial por el </w:t>
      </w:r>
      <w:r w:rsidRPr="00D75391">
        <w:rPr>
          <w:rFonts w:ascii="Palatino Linotype" w:eastAsia="Times New Roman" w:hAnsi="Palatino Linotype" w:cs="Times New Roman"/>
          <w:b/>
        </w:rPr>
        <w:t xml:space="preserve">SUJETO OBLIGADO, </w:t>
      </w:r>
      <w:r w:rsidRPr="00D75391">
        <w:rPr>
          <w:rFonts w:ascii="Palatino Linotype" w:eastAsia="Times New Roman" w:hAnsi="Palatino Linotype" w:cs="Times New Roman"/>
        </w:rPr>
        <w:t xml:space="preserve">razón por la cual, el particular se duele e interpone el presente recurso de revisión, argumentado en términos generales como razones o motivos de inconformidad la </w:t>
      </w:r>
      <w:r w:rsidR="0045535A" w:rsidRPr="00D75391">
        <w:rPr>
          <w:rFonts w:ascii="Palatino Linotype" w:eastAsia="Times New Roman" w:hAnsi="Palatino Linotype" w:cs="Times New Roman"/>
        </w:rPr>
        <w:t>declaración de incompetencia.</w:t>
      </w:r>
      <w:r w:rsidRPr="00D75391">
        <w:rPr>
          <w:rFonts w:ascii="Palatino Linotype" w:eastAsia="Times New Roman" w:hAnsi="Palatino Linotype" w:cs="Times New Roman"/>
        </w:rPr>
        <w:t xml:space="preserve"> </w:t>
      </w:r>
    </w:p>
    <w:p w14:paraId="3C54779A" w14:textId="17F6D25E" w:rsidR="000A0913" w:rsidRPr="00D75391" w:rsidRDefault="000A0913" w:rsidP="00D75391">
      <w:pPr>
        <w:numPr>
          <w:ilvl w:val="0"/>
          <w:numId w:val="1"/>
        </w:numPr>
        <w:tabs>
          <w:tab w:val="left" w:pos="284"/>
        </w:tabs>
        <w:spacing w:before="240" w:after="240" w:line="360" w:lineRule="auto"/>
        <w:ind w:left="0" w:firstLine="0"/>
        <w:contextualSpacing/>
        <w:jc w:val="both"/>
        <w:rPr>
          <w:rFonts w:ascii="Palatino Linotype" w:eastAsia="Times New Roman" w:hAnsi="Palatino Linotype" w:cs="Times New Roman"/>
          <w:i/>
        </w:rPr>
      </w:pPr>
      <w:r w:rsidRPr="00D75391">
        <w:rPr>
          <w:rFonts w:ascii="Palatino Linotype" w:eastAsia="Times New Roman" w:hAnsi="Palatino Linotype" w:cs="Arial"/>
        </w:rPr>
        <w:t xml:space="preserve">Por lo tanto, el presente recurso de revisión se circunscribe en determinar si el </w:t>
      </w:r>
      <w:r w:rsidRPr="00D75391">
        <w:rPr>
          <w:rFonts w:ascii="Palatino Linotype" w:eastAsia="Times New Roman" w:hAnsi="Palatino Linotype" w:cs="Arial"/>
          <w:b/>
        </w:rPr>
        <w:t>SUJETO</w:t>
      </w:r>
      <w:r w:rsidRPr="00D75391">
        <w:rPr>
          <w:rFonts w:ascii="Palatino Linotype" w:eastAsia="Times New Roman" w:hAnsi="Palatino Linotype" w:cs="Arial"/>
        </w:rPr>
        <w:t xml:space="preserve"> </w:t>
      </w:r>
      <w:r w:rsidRPr="00D75391">
        <w:rPr>
          <w:rFonts w:ascii="Palatino Linotype" w:eastAsia="Times New Roman" w:hAnsi="Palatino Linotype" w:cs="Arial"/>
          <w:b/>
        </w:rPr>
        <w:t>OBLIGADO</w:t>
      </w:r>
      <w:r w:rsidRPr="00D75391">
        <w:rPr>
          <w:rFonts w:ascii="Palatino Linotype" w:eastAsia="Times New Roman" w:hAnsi="Palatino Linotype" w:cs="Arial"/>
        </w:rPr>
        <w:t xml:space="preserve"> con su manifestación </w:t>
      </w:r>
      <w:r w:rsidRPr="00D75391">
        <w:rPr>
          <w:rFonts w:ascii="Palatino Linotype" w:eastAsia="Times New Roman" w:hAnsi="Palatino Linotype" w:cs="Times New Roman"/>
        </w:rPr>
        <w:t>actualiza las causales de procedencia</w:t>
      </w:r>
      <w:r w:rsidRPr="00D75391">
        <w:rPr>
          <w:rFonts w:ascii="Palatino Linotype" w:eastAsia="Times New Roman" w:hAnsi="Palatino Linotype" w:cs="Times New Roman"/>
          <w:b/>
        </w:rPr>
        <w:t xml:space="preserve"> </w:t>
      </w:r>
      <w:r w:rsidRPr="00D75391">
        <w:rPr>
          <w:rFonts w:ascii="Palatino Linotype" w:eastAsia="Times New Roman" w:hAnsi="Palatino Linotype" w:cs="Arial"/>
          <w:lang w:eastAsia="es-MX"/>
        </w:rPr>
        <w:t xml:space="preserve">contenidas en </w:t>
      </w:r>
      <w:r w:rsidR="0045535A" w:rsidRPr="00D75391">
        <w:rPr>
          <w:rFonts w:ascii="Palatino Linotype" w:eastAsia="Times New Roman" w:hAnsi="Palatino Linotype" w:cs="Arial"/>
          <w:lang w:val="es-ES" w:eastAsia="es-MX"/>
        </w:rPr>
        <w:t>el artículo 179 fracción I</w:t>
      </w:r>
      <w:r w:rsidR="00FA7ADC" w:rsidRPr="00D75391">
        <w:rPr>
          <w:rFonts w:ascii="Palatino Linotype" w:eastAsia="Times New Roman" w:hAnsi="Palatino Linotype" w:cs="Arial"/>
          <w:lang w:val="es-ES" w:eastAsia="es-MX"/>
        </w:rPr>
        <w:t>V</w:t>
      </w:r>
      <w:r w:rsidRPr="00D75391">
        <w:rPr>
          <w:rFonts w:ascii="Palatino Linotype" w:eastAsia="Times New Roman" w:hAnsi="Palatino Linotype" w:cs="Arial"/>
          <w:lang w:val="es-ES" w:eastAsia="es-MX"/>
        </w:rPr>
        <w:t xml:space="preserve"> de la </w:t>
      </w:r>
      <w:r w:rsidRPr="00D75391">
        <w:rPr>
          <w:rFonts w:ascii="Palatino Linotype" w:eastAsia="Calibri" w:hAnsi="Palatino Linotype" w:cs="Arial"/>
          <w:b/>
          <w:lang w:val="es-ES"/>
        </w:rPr>
        <w:t>Ley de Transparencia y Acceso a la Información Pública del Estado de México y Municipios</w:t>
      </w:r>
      <w:r w:rsidRPr="00D75391">
        <w:rPr>
          <w:rFonts w:ascii="Palatino Linotype" w:eastAsia="Times New Roman" w:hAnsi="Palatino Linotype" w:cs="Arial"/>
          <w:lang w:val="es-ES" w:eastAsia="es-MX"/>
        </w:rPr>
        <w:t xml:space="preserve"> y determinar si el sujeto obligado genera, posee o administra la información solicitada.  </w:t>
      </w:r>
    </w:p>
    <w:p w14:paraId="1C1D12F9" w14:textId="1989504E" w:rsidR="00D378D8" w:rsidRPr="00D75391" w:rsidRDefault="0044176A" w:rsidP="00D75391">
      <w:pPr>
        <w:pStyle w:val="Ttulo1"/>
        <w:spacing w:line="360" w:lineRule="auto"/>
        <w:rPr>
          <w:b/>
          <w:szCs w:val="24"/>
        </w:rPr>
      </w:pPr>
      <w:bookmarkStart w:id="94" w:name="_Toc20423567"/>
      <w:bookmarkStart w:id="95" w:name="_Toc454968928"/>
      <w:bookmarkStart w:id="96" w:name="_Toc455743517"/>
      <w:bookmarkStart w:id="97" w:name="_Toc458016386"/>
      <w:bookmarkStart w:id="98" w:name="_Toc461555893"/>
      <w:r w:rsidRPr="00D75391">
        <w:rPr>
          <w:b/>
          <w:szCs w:val="24"/>
        </w:rPr>
        <w:t>CUARTO</w:t>
      </w:r>
      <w:r w:rsidR="00007E8A" w:rsidRPr="00D75391">
        <w:rPr>
          <w:b/>
          <w:szCs w:val="24"/>
        </w:rPr>
        <w:t>.</w:t>
      </w:r>
      <w:r w:rsidR="00007E8A" w:rsidRPr="00D75391">
        <w:rPr>
          <w:szCs w:val="24"/>
        </w:rPr>
        <w:t xml:space="preserve"> </w:t>
      </w:r>
      <w:r w:rsidR="002B6755" w:rsidRPr="00D75391">
        <w:rPr>
          <w:b/>
          <w:szCs w:val="24"/>
        </w:rPr>
        <w:t>Del estudio y resolución del asunto.</w:t>
      </w:r>
      <w:bookmarkEnd w:id="94"/>
    </w:p>
    <w:p w14:paraId="69C8839C" w14:textId="72F1211C" w:rsidR="003F33D8" w:rsidRPr="00D75391" w:rsidRDefault="003F33D8" w:rsidP="00D7539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99" w:name="_Toc5711921"/>
      <w:bookmarkStart w:id="100" w:name="_Toc17971397"/>
      <w:bookmarkStart w:id="101" w:name="_Toc20423568"/>
      <w:r w:rsidRPr="00D75391">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99"/>
      <w:bookmarkEnd w:id="100"/>
      <w:bookmarkEnd w:id="101"/>
      <w:r w:rsidRPr="00D75391">
        <w:rPr>
          <w:rFonts w:ascii="Palatino Linotype" w:eastAsiaTheme="majorEastAsia" w:hAnsi="Palatino Linotype" w:cstheme="majorBidi"/>
          <w:b/>
          <w:color w:val="000000" w:themeColor="text1"/>
          <w:lang w:val="es-MX" w:eastAsia="en-US"/>
        </w:rPr>
        <w:t xml:space="preserve"> </w:t>
      </w:r>
    </w:p>
    <w:p w14:paraId="2F417B47" w14:textId="0F4B9D49" w:rsidR="003F33D8" w:rsidRPr="00D75391" w:rsidRDefault="003F33D8" w:rsidP="00D75391">
      <w:pPr>
        <w:pStyle w:val="Prrafodelista"/>
        <w:numPr>
          <w:ilvl w:val="0"/>
          <w:numId w:val="1"/>
        </w:numPr>
        <w:spacing w:before="240" w:after="240" w:line="360" w:lineRule="auto"/>
        <w:ind w:left="0" w:firstLine="0"/>
        <w:jc w:val="both"/>
        <w:rPr>
          <w:rFonts w:ascii="Palatino Linotype" w:hAnsi="Palatino Linotype" w:cs="Arial"/>
          <w:lang w:val="es-MX"/>
        </w:rPr>
      </w:pPr>
      <w:r w:rsidRPr="00D75391">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75391">
        <w:rPr>
          <w:rFonts w:ascii="Palatino Linotype" w:hAnsi="Palatino Linotype" w:cs="Arial"/>
          <w:b/>
          <w:lang w:val="es-MX"/>
        </w:rPr>
        <w:t>SUJETO OBLIGADO</w:t>
      </w:r>
      <w:r w:rsidRPr="00D75391">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75391">
        <w:rPr>
          <w:rFonts w:ascii="Palatino Linotype" w:hAnsi="Palatino Linotype" w:cs="Arial"/>
          <w:b/>
          <w:lang w:val="es-MX"/>
        </w:rPr>
        <w:t xml:space="preserve">Constitución Política de los Estados Unidos Mexicanos </w:t>
      </w:r>
      <w:r w:rsidRPr="00D75391">
        <w:rPr>
          <w:rFonts w:ascii="Palatino Linotype" w:hAnsi="Palatino Linotype" w:cs="Arial"/>
          <w:lang w:val="es-MX"/>
        </w:rPr>
        <w:t xml:space="preserve">al señalar la obligación de “promover, respetar, proteger y garantizar los derechos humanos”, entre los cuales se encuentra dicho derecho. </w:t>
      </w:r>
    </w:p>
    <w:p w14:paraId="7E231075" w14:textId="77777777"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lang w:val="es-MX"/>
        </w:rPr>
      </w:pPr>
      <w:r w:rsidRPr="00D75391">
        <w:rPr>
          <w:rFonts w:ascii="Palatino Linotype" w:hAnsi="Palatino Linotype" w:cs="Arial"/>
          <w:lang w:val="es-MX"/>
        </w:rPr>
        <w:t xml:space="preserve">Ahora bien, el Derecho de Acceso a la Información Pública se define como: </w:t>
      </w:r>
      <w:r w:rsidRPr="00D75391">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3B4527" w14:textId="77777777" w:rsidR="003F33D8" w:rsidRPr="00D75391" w:rsidRDefault="003F33D8" w:rsidP="00D75391">
      <w:pPr>
        <w:spacing w:before="240" w:after="240" w:line="360" w:lineRule="auto"/>
        <w:ind w:left="927"/>
        <w:contextualSpacing/>
        <w:jc w:val="both"/>
        <w:rPr>
          <w:rFonts w:ascii="Palatino Linotype" w:hAnsi="Palatino Linotype" w:cs="Arial"/>
          <w:lang w:val="es-MX"/>
        </w:rPr>
      </w:pPr>
    </w:p>
    <w:p w14:paraId="56D8AB54" w14:textId="77777777"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lang w:val="es-MX"/>
        </w:rPr>
      </w:pPr>
      <w:r w:rsidRPr="00D75391">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1319E44" w14:textId="77777777" w:rsidR="003F33D8" w:rsidRPr="00D75391" w:rsidRDefault="003F33D8" w:rsidP="00D75391">
      <w:pPr>
        <w:spacing w:before="240" w:after="240" w:line="360" w:lineRule="auto"/>
        <w:contextualSpacing/>
        <w:jc w:val="both"/>
        <w:rPr>
          <w:rFonts w:ascii="Palatino Linotype" w:hAnsi="Palatino Linotype" w:cs="Arial"/>
          <w:lang w:val="es-MX"/>
        </w:rPr>
      </w:pPr>
    </w:p>
    <w:p w14:paraId="77916DFE" w14:textId="2DA40BF6"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lang w:val="es-MX"/>
        </w:rPr>
      </w:pPr>
      <w:r w:rsidRPr="00D75391">
        <w:rPr>
          <w:rFonts w:ascii="Palatino Linotype" w:hAnsi="Palatino Linotype" w:cs="Arial"/>
          <w:lang w:val="es-MX"/>
        </w:rPr>
        <w:t>En el caso concreto que nos ocupa anal</w:t>
      </w:r>
      <w:r w:rsidR="00043464" w:rsidRPr="00D75391">
        <w:rPr>
          <w:rFonts w:ascii="Palatino Linotype" w:hAnsi="Palatino Linotype" w:cs="Arial"/>
          <w:lang w:val="es-MX"/>
        </w:rPr>
        <w:t xml:space="preserve">izar, el particular requirió de la </w:t>
      </w:r>
      <w:r w:rsidR="00043464" w:rsidRPr="00D75391">
        <w:rPr>
          <w:rFonts w:ascii="Palatino Linotype" w:hAnsi="Palatino Linotype" w:cs="Arial"/>
          <w:b/>
          <w:lang w:val="es-MX"/>
        </w:rPr>
        <w:t>Secretaría Ejecutiva del Sistema Estatal Anticorrupción</w:t>
      </w:r>
      <w:r w:rsidRPr="00D75391">
        <w:rPr>
          <w:rFonts w:ascii="Palatino Linotype" w:hAnsi="Palatino Linotype" w:cs="Arial"/>
          <w:lang w:val="es-MX"/>
        </w:rPr>
        <w:t xml:space="preserve"> </w:t>
      </w:r>
      <w:r w:rsidR="00043464" w:rsidRPr="00D75391">
        <w:rPr>
          <w:rFonts w:ascii="Palatino Linotype" w:hAnsi="Palatino Linotype" w:cs="Arial"/>
          <w:lang w:val="es-MX"/>
        </w:rPr>
        <w:t>información relacionada con las auditorías y papales de trabajo realizados por el Órgano de Control Interno</w:t>
      </w:r>
      <w:r w:rsidRPr="00D75391">
        <w:rPr>
          <w:rFonts w:ascii="Palatino Linotype" w:hAnsi="Palatino Linotype" w:cs="Arial"/>
          <w:lang w:val="es-MX"/>
        </w:rPr>
        <w:t xml:space="preserve">; siendo importante señalar que el </w:t>
      </w:r>
      <w:r w:rsidRPr="00D75391">
        <w:rPr>
          <w:rFonts w:ascii="Palatino Linotype" w:hAnsi="Palatino Linotype" w:cs="Arial"/>
          <w:b/>
          <w:lang w:val="es-MX"/>
        </w:rPr>
        <w:t>SUJETO OBLIGADO</w:t>
      </w:r>
      <w:r w:rsidRPr="00D75391">
        <w:rPr>
          <w:rFonts w:ascii="Palatino Linotype" w:hAnsi="Palatino Linotype" w:cs="Arial"/>
          <w:lang w:val="es-MX"/>
        </w:rPr>
        <w:t xml:space="preserve"> </w:t>
      </w:r>
      <w:r w:rsidR="00043464" w:rsidRPr="00D75391">
        <w:rPr>
          <w:rFonts w:ascii="Palatino Linotype" w:hAnsi="Palatino Linotype" w:cs="Arial"/>
          <w:lang w:val="es-MX"/>
        </w:rPr>
        <w:t xml:space="preserve">no respondió satisfactoriamente a </w:t>
      </w:r>
      <w:r w:rsidRPr="00D75391">
        <w:rPr>
          <w:rFonts w:ascii="Palatino Linotype" w:hAnsi="Palatino Linotype" w:cs="Arial"/>
          <w:lang w:val="es-MX"/>
        </w:rPr>
        <w:t xml:space="preserve">las solicitudes presentadas,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1359A91" w14:textId="77777777" w:rsidR="003F33D8" w:rsidRPr="00D75391" w:rsidRDefault="003F33D8" w:rsidP="00D75391">
      <w:pPr>
        <w:spacing w:before="240" w:after="240" w:line="360" w:lineRule="auto"/>
        <w:contextualSpacing/>
        <w:jc w:val="both"/>
        <w:rPr>
          <w:rFonts w:ascii="Palatino Linotype" w:hAnsi="Palatino Linotype" w:cs="Arial"/>
          <w:lang w:val="es-MX"/>
        </w:rPr>
      </w:pPr>
    </w:p>
    <w:p w14:paraId="207778BB" w14:textId="77777777"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lang w:val="es-MX"/>
        </w:rPr>
      </w:pPr>
      <w:r w:rsidRPr="00D75391">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F98EF41" w14:textId="77777777" w:rsidR="003F33D8" w:rsidRPr="00D75391" w:rsidRDefault="003F33D8" w:rsidP="00D75391">
      <w:pPr>
        <w:spacing w:before="240" w:after="240" w:line="360" w:lineRule="auto"/>
        <w:contextualSpacing/>
        <w:jc w:val="both"/>
        <w:rPr>
          <w:rFonts w:ascii="Palatino Linotype" w:hAnsi="Palatino Linotype" w:cs="Arial"/>
          <w:lang w:val="es-MX"/>
        </w:rPr>
      </w:pPr>
    </w:p>
    <w:p w14:paraId="225F5F6C" w14:textId="0570BBB0" w:rsidR="003F33D8" w:rsidRPr="00D75391" w:rsidRDefault="003F33D8" w:rsidP="00D7539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02" w:name="_Toc16159421"/>
      <w:bookmarkStart w:id="103" w:name="_Toc17971398"/>
      <w:bookmarkStart w:id="104" w:name="_Toc20423569"/>
      <w:r w:rsidRPr="00D75391">
        <w:rPr>
          <w:rFonts w:ascii="Palatino Linotype" w:eastAsiaTheme="majorEastAsia" w:hAnsi="Palatino Linotype" w:cstheme="majorBidi"/>
          <w:b/>
          <w:color w:val="000000" w:themeColor="text1"/>
          <w:lang w:val="es-MX" w:eastAsia="en-US"/>
        </w:rPr>
        <w:t>II.  De la respuesta emitida por el Sujeto Obligado.</w:t>
      </w:r>
      <w:bookmarkEnd w:id="102"/>
      <w:bookmarkEnd w:id="103"/>
      <w:bookmarkEnd w:id="104"/>
      <w:r w:rsidRPr="00D75391">
        <w:rPr>
          <w:rFonts w:ascii="Palatino Linotype" w:eastAsiaTheme="majorEastAsia" w:hAnsi="Palatino Linotype" w:cstheme="majorBidi"/>
          <w:b/>
          <w:color w:val="000000" w:themeColor="text1"/>
          <w:lang w:val="es-MX" w:eastAsia="en-US"/>
        </w:rPr>
        <w:t xml:space="preserve">  </w:t>
      </w:r>
    </w:p>
    <w:p w14:paraId="3FDC82A2" w14:textId="77777777" w:rsidR="003F33D8" w:rsidRPr="00D75391" w:rsidRDefault="003F33D8" w:rsidP="00D75391">
      <w:pPr>
        <w:spacing w:line="360" w:lineRule="auto"/>
        <w:rPr>
          <w:rFonts w:ascii="Palatino Linotype" w:hAnsi="Palatino Linotype"/>
          <w:lang w:val="es-MX" w:eastAsia="en-US"/>
        </w:rPr>
      </w:pPr>
    </w:p>
    <w:p w14:paraId="098C56DF" w14:textId="77777777"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lang w:val="es-MX"/>
        </w:rPr>
      </w:pPr>
      <w:r w:rsidRPr="00D75391">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67ED7091" w14:textId="77777777" w:rsidR="003F33D8" w:rsidRPr="00D75391" w:rsidRDefault="003F33D8" w:rsidP="00D75391">
      <w:pPr>
        <w:spacing w:before="240" w:after="240" w:line="360" w:lineRule="auto"/>
        <w:contextualSpacing/>
        <w:jc w:val="both"/>
        <w:rPr>
          <w:rFonts w:ascii="Palatino Linotype" w:hAnsi="Palatino Linotype" w:cs="Arial"/>
          <w:lang w:val="es-MX"/>
        </w:rPr>
      </w:pPr>
    </w:p>
    <w:p w14:paraId="1B04566D" w14:textId="77777777"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i/>
          <w:lang w:val="es-MX"/>
        </w:rPr>
      </w:pPr>
      <w:r w:rsidRPr="00D75391">
        <w:rPr>
          <w:rFonts w:ascii="Palatino Linotype" w:hAnsi="Palatino Linotype" w:cs="Times New Roman"/>
          <w:lang w:eastAsia="es-ES_tradnl"/>
        </w:rPr>
        <w:t xml:space="preserve">En efecto,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10744EB8" w14:textId="77777777" w:rsidR="003F33D8" w:rsidRPr="00D75391" w:rsidRDefault="003F33D8" w:rsidP="00D75391">
      <w:pPr>
        <w:spacing w:line="360" w:lineRule="auto"/>
        <w:ind w:left="720"/>
        <w:contextualSpacing/>
        <w:rPr>
          <w:rFonts w:ascii="Palatino Linotype" w:eastAsia="Times New Roman" w:hAnsi="Palatino Linotype" w:cs="Arial"/>
          <w:lang w:val="es-ES" w:eastAsia="es-MX"/>
        </w:rPr>
      </w:pPr>
    </w:p>
    <w:p w14:paraId="58FCA862" w14:textId="2F6CCD4F"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i/>
          <w:lang w:val="es-MX"/>
        </w:rPr>
      </w:pPr>
      <w:r w:rsidRPr="00D75391">
        <w:rPr>
          <w:rFonts w:ascii="Palatino Linotype" w:eastAsia="Times New Roman" w:hAnsi="Palatino Linotype" w:cs="Arial"/>
          <w:lang w:val="es-ES" w:eastAsia="es-MX"/>
        </w:rPr>
        <w:t>Asimismo, es pertinente mencionar que</w:t>
      </w:r>
      <w:r w:rsidRPr="00D75391">
        <w:rPr>
          <w:rFonts w:ascii="Palatino Linotype" w:eastAsia="Calibri" w:hAnsi="Palatino Linotype" w:cs="Arial"/>
          <w:bCs/>
          <w:lang w:val="es-ES"/>
        </w:rPr>
        <w:t xml:space="preserve"> el </w:t>
      </w:r>
      <w:r w:rsidRPr="00D75391">
        <w:rPr>
          <w:rFonts w:ascii="Palatino Linotype" w:eastAsia="Calibri" w:hAnsi="Palatino Linotype" w:cs="Arial"/>
          <w:b/>
          <w:bCs/>
          <w:lang w:val="es-ES"/>
        </w:rPr>
        <w:t>SUJETO OBLIGADO</w:t>
      </w:r>
      <w:r w:rsidRPr="00D75391">
        <w:rPr>
          <w:rFonts w:ascii="Palatino Linotype" w:eastAsia="Calibri" w:hAnsi="Palatino Linotype" w:cs="Arial"/>
          <w:bCs/>
          <w:lang w:val="es-ES"/>
        </w:rPr>
        <w:t xml:space="preserve"> no niega la existencia de la información solicitada, sino por el contrario, al</w:t>
      </w:r>
      <w:r w:rsidRPr="00D75391">
        <w:rPr>
          <w:rFonts w:ascii="Palatino Linotype" w:eastAsia="Times New Roman" w:hAnsi="Palatino Linotype" w:cs="Arial"/>
          <w:lang w:val="es-ES" w:eastAsia="es-MX"/>
        </w:rPr>
        <w:t xml:space="preserve"> </w:t>
      </w:r>
      <w:r w:rsidR="00043464" w:rsidRPr="00D75391">
        <w:rPr>
          <w:rFonts w:ascii="Palatino Linotype" w:eastAsia="Times New Roman" w:hAnsi="Palatino Linotype" w:cs="Arial"/>
          <w:lang w:val="es-ES" w:eastAsia="es-MX"/>
        </w:rPr>
        <w:t xml:space="preserve"> referir en </w:t>
      </w:r>
      <w:proofErr w:type="gramStart"/>
      <w:r w:rsidR="00043464" w:rsidRPr="00D75391">
        <w:rPr>
          <w:rFonts w:ascii="Palatino Linotype" w:eastAsia="Times New Roman" w:hAnsi="Palatino Linotype" w:cs="Arial"/>
          <w:lang w:val="es-ES" w:eastAsia="es-MX"/>
        </w:rPr>
        <w:t>su respuestas</w:t>
      </w:r>
      <w:proofErr w:type="gramEnd"/>
      <w:r w:rsidR="00043464" w:rsidRPr="00D75391">
        <w:rPr>
          <w:rFonts w:ascii="Palatino Linotype" w:eastAsia="Times New Roman" w:hAnsi="Palatino Linotype" w:cs="Arial"/>
          <w:lang w:val="es-ES" w:eastAsia="es-MX"/>
        </w:rPr>
        <w:t xml:space="preserve"> que cuenta con un Órgano Interno de Control </w:t>
      </w:r>
      <w:r w:rsidRPr="00D75391">
        <w:rPr>
          <w:rFonts w:ascii="Palatino Linotype" w:eastAsia="Times New Roman" w:hAnsi="Palatino Linotype" w:cs="Arial"/>
          <w:lang w:val="es-ES" w:eastAsia="es-MX"/>
        </w:rPr>
        <w:t xml:space="preserve"> asevera su existencia, por lo que el estudio de la naturaleza jurídica de la información solicitada, en el caso concreto, se obvia. </w:t>
      </w:r>
    </w:p>
    <w:p w14:paraId="6FD492A3" w14:textId="77777777" w:rsidR="003F33D8" w:rsidRPr="00D75391" w:rsidRDefault="003F33D8" w:rsidP="00D75391">
      <w:pPr>
        <w:spacing w:line="360" w:lineRule="auto"/>
        <w:ind w:left="720"/>
        <w:contextualSpacing/>
        <w:rPr>
          <w:rFonts w:ascii="Palatino Linotype" w:eastAsia="Times New Roman" w:hAnsi="Palatino Linotype" w:cs="Arial"/>
          <w:lang w:val="es-ES" w:eastAsia="es-MX"/>
        </w:rPr>
      </w:pPr>
    </w:p>
    <w:p w14:paraId="490A6BA7" w14:textId="77777777" w:rsidR="003F33D8" w:rsidRPr="00D75391" w:rsidRDefault="003F33D8" w:rsidP="00D75391">
      <w:pPr>
        <w:numPr>
          <w:ilvl w:val="0"/>
          <w:numId w:val="1"/>
        </w:numPr>
        <w:spacing w:before="240" w:after="240" w:line="360" w:lineRule="auto"/>
        <w:ind w:left="0" w:firstLine="0"/>
        <w:contextualSpacing/>
        <w:jc w:val="both"/>
        <w:rPr>
          <w:rFonts w:ascii="Palatino Linotype" w:hAnsi="Palatino Linotype" w:cs="Arial"/>
          <w:i/>
          <w:lang w:val="es-MX"/>
        </w:rPr>
      </w:pPr>
      <w:r w:rsidRPr="00D75391">
        <w:rPr>
          <w:rFonts w:ascii="Palatino Linotype" w:eastAsia="Times New Roman" w:hAnsi="Palatino Linotype" w:cs="Arial"/>
          <w:lang w:val="es-ES" w:eastAsia="es-MX"/>
        </w:rPr>
        <w:t>Lo anterior es así, ya que el estudio enunciado tiene por objeto determinar si el</w:t>
      </w:r>
      <w:r w:rsidRPr="00D75391">
        <w:rPr>
          <w:rFonts w:ascii="Palatino Linotype" w:eastAsia="Times New Roman" w:hAnsi="Palatino Linotype" w:cs="Arial"/>
          <w:b/>
          <w:lang w:val="es-ES" w:eastAsia="es-MX"/>
        </w:rPr>
        <w:t xml:space="preserve"> SUJETO OBLIGADO</w:t>
      </w:r>
      <w:r w:rsidRPr="00D75391">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D75391">
        <w:rPr>
          <w:rFonts w:ascii="Palatino Linotype" w:eastAsia="Times New Roman" w:hAnsi="Palatino Linotype" w:cs="Arial"/>
          <w:b/>
          <w:lang w:val="es-ES" w:eastAsia="es-MX"/>
        </w:rPr>
        <w:t>SUJETO OBLIGADO</w:t>
      </w:r>
      <w:r w:rsidRPr="00D75391">
        <w:rPr>
          <w:rFonts w:ascii="Palatino Linotype" w:eastAsia="Times New Roman" w:hAnsi="Palatino Linotype" w:cs="Arial"/>
          <w:lang w:val="es-ES" w:eastAsia="es-MX"/>
        </w:rPr>
        <w:t>.</w:t>
      </w:r>
    </w:p>
    <w:p w14:paraId="44D79DA7" w14:textId="77777777" w:rsidR="00492E23" w:rsidRPr="00D75391" w:rsidRDefault="00492E23" w:rsidP="00D75391">
      <w:pPr>
        <w:spacing w:before="240" w:after="240" w:line="360" w:lineRule="auto"/>
        <w:contextualSpacing/>
        <w:jc w:val="both"/>
        <w:rPr>
          <w:rFonts w:ascii="Palatino Linotype" w:hAnsi="Palatino Linotype" w:cs="Arial"/>
          <w:i/>
          <w:lang w:val="es-MX"/>
        </w:rPr>
      </w:pPr>
    </w:p>
    <w:p w14:paraId="2FD0CA00" w14:textId="77777777" w:rsidR="003F33D8" w:rsidRPr="00D75391" w:rsidRDefault="003F33D8" w:rsidP="00D75391">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No obstante lo anterior,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77E21DCA" w14:textId="77777777" w:rsidR="003F33D8" w:rsidRPr="00D75391" w:rsidRDefault="003F33D8" w:rsidP="00D75391">
      <w:pPr>
        <w:widowControl w:val="0"/>
        <w:autoSpaceDE w:val="0"/>
        <w:autoSpaceDN w:val="0"/>
        <w:adjustRightInd w:val="0"/>
        <w:spacing w:before="240" w:after="240" w:line="360" w:lineRule="auto"/>
        <w:jc w:val="both"/>
        <w:rPr>
          <w:rFonts w:ascii="Palatino Linotype" w:hAnsi="Palatino Linotype" w:cs="Times New Roman"/>
          <w:lang w:eastAsia="es-ES_tradnl"/>
        </w:rPr>
      </w:pPr>
    </w:p>
    <w:p w14:paraId="18C0659B" w14:textId="62DDAF64" w:rsidR="003F33D8" w:rsidRPr="00D75391" w:rsidRDefault="003F33D8" w:rsidP="00D75391">
      <w:pPr>
        <w:widowControl w:val="0"/>
        <w:autoSpaceDE w:val="0"/>
        <w:autoSpaceDN w:val="0"/>
        <w:adjustRightInd w:val="0"/>
        <w:spacing w:before="240" w:after="240" w:line="360" w:lineRule="auto"/>
        <w:ind w:left="567" w:right="567"/>
        <w:jc w:val="both"/>
        <w:rPr>
          <w:rFonts w:ascii="Palatino Linotype" w:hAnsi="Palatino Linotype" w:cs="Times New Roman"/>
          <w:b/>
          <w:i/>
          <w:lang w:eastAsia="es-ES_tradnl"/>
        </w:rPr>
      </w:pPr>
      <w:r w:rsidRPr="00D75391">
        <w:rPr>
          <w:rFonts w:ascii="Palatino Linotype" w:hAnsi="Palatino Linotype" w:cs="Times New Roman"/>
          <w:b/>
          <w:i/>
          <w:lang w:eastAsia="es-ES_tradnl"/>
        </w:rPr>
        <w:t>“Artículo 18.</w:t>
      </w:r>
      <w:r w:rsidRPr="00D75391">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D75391">
        <w:rPr>
          <w:rFonts w:ascii="Palatino Linotype" w:hAnsi="Palatino Linotype" w:cs="Times New Roman"/>
          <w:b/>
          <w:i/>
          <w:lang w:eastAsia="es-ES_tradnl"/>
        </w:rPr>
        <w:t>”</w:t>
      </w:r>
    </w:p>
    <w:p w14:paraId="28069D5D" w14:textId="77777777" w:rsidR="003F33D8" w:rsidRPr="00D75391" w:rsidRDefault="003F33D8" w:rsidP="00D75391">
      <w:pPr>
        <w:numPr>
          <w:ilvl w:val="0"/>
          <w:numId w:val="1"/>
        </w:numPr>
        <w:spacing w:before="240" w:after="240" w:line="360" w:lineRule="auto"/>
        <w:ind w:left="0" w:right="49" w:firstLine="0"/>
        <w:contextualSpacing/>
        <w:jc w:val="both"/>
        <w:rPr>
          <w:rFonts w:ascii="Palatino Linotype" w:eastAsia="MS Mincho" w:hAnsi="Palatino Linotype" w:cs="Arial"/>
        </w:rPr>
      </w:pPr>
      <w:r w:rsidRPr="00D75391">
        <w:rPr>
          <w:rFonts w:ascii="Palatino Linotype" w:eastAsia="MS Mincho" w:hAnsi="Palatino Linotype" w:cs="Arial"/>
          <w:color w:val="000000"/>
        </w:rPr>
        <w:t xml:space="preserve">Así por otro lado </w:t>
      </w:r>
      <w:r w:rsidRPr="00D75391">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D75391">
        <w:rPr>
          <w:rFonts w:ascii="Palatino Linotype" w:eastAsia="Times New Roman" w:hAnsi="Palatino Linotype" w:cs="Times New Roman"/>
          <w:b/>
          <w:lang w:val="es-MX" w:eastAsia="es-MX"/>
        </w:rPr>
        <w:t>SUJETOS OBLIGADOS</w:t>
      </w:r>
      <w:r w:rsidRPr="00D75391">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0CFB927" w14:textId="77777777" w:rsidR="003F33D8" w:rsidRPr="00D75391" w:rsidRDefault="003F33D8" w:rsidP="00D75391">
      <w:pPr>
        <w:spacing w:before="240" w:after="240" w:line="360" w:lineRule="auto"/>
        <w:ind w:right="49"/>
        <w:contextualSpacing/>
        <w:jc w:val="both"/>
        <w:rPr>
          <w:rFonts w:ascii="Palatino Linotype" w:eastAsia="MS Mincho" w:hAnsi="Palatino Linotype" w:cs="Arial"/>
        </w:rPr>
      </w:pPr>
    </w:p>
    <w:p w14:paraId="5BFEC1C4"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r w:rsidRPr="00D75391">
        <w:rPr>
          <w:rFonts w:ascii="Palatino Linotype" w:eastAsia="Times New Roman" w:hAnsi="Palatino Linotype" w:cs="Times New Roman"/>
          <w:i/>
          <w:lang w:val="es-ES"/>
        </w:rPr>
        <w:t>“</w:t>
      </w:r>
      <w:r w:rsidRPr="00D75391">
        <w:rPr>
          <w:rFonts w:ascii="Palatino Linotype" w:eastAsia="Times New Roman" w:hAnsi="Palatino Linotype" w:cs="Times New Roman"/>
          <w:b/>
          <w:i/>
          <w:lang w:val="es-ES"/>
        </w:rPr>
        <w:t>Artículo 4.</w:t>
      </w:r>
      <w:r w:rsidRPr="00D75391">
        <w:rPr>
          <w:rFonts w:ascii="Palatino Linotype" w:eastAsia="Times New Roman" w:hAnsi="Palatino Linotype" w:cs="Times New Roman"/>
          <w:i/>
          <w:lang w:val="es-ES"/>
        </w:rPr>
        <w:t xml:space="preserve"> </w:t>
      </w:r>
    </w:p>
    <w:p w14:paraId="575C69AC"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p>
    <w:p w14:paraId="0F4ED3CA"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r w:rsidRPr="00D75391">
        <w:rPr>
          <w:rFonts w:ascii="Palatino Linotype" w:eastAsia="Times New Roman" w:hAnsi="Palatino Linotype" w:cs="Times New Roman"/>
          <w:i/>
          <w:lang w:val="es-ES"/>
        </w:rPr>
        <w:t>(…)</w:t>
      </w:r>
    </w:p>
    <w:p w14:paraId="5E1F99DD"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p>
    <w:p w14:paraId="7D5E96F0"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r w:rsidRPr="00D75391">
        <w:rPr>
          <w:rFonts w:ascii="Palatino Linotype" w:eastAsia="Times New Roman" w:hAnsi="Palatino Linotype" w:cs="Times New Roman"/>
          <w:i/>
          <w:lang w:val="es-ES"/>
        </w:rPr>
        <w:t xml:space="preserve">Toda la información </w:t>
      </w:r>
      <w:r w:rsidRPr="00D75391">
        <w:rPr>
          <w:rFonts w:ascii="Palatino Linotype" w:eastAsia="Times New Roman" w:hAnsi="Palatino Linotype" w:cs="Times New Roman"/>
          <w:b/>
          <w:i/>
          <w:lang w:val="es-ES"/>
        </w:rPr>
        <w:t>generada, obtenida, adquirida, transformada, administrada o en posesión</w:t>
      </w:r>
      <w:r w:rsidRPr="00D75391">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D75391">
        <w:rPr>
          <w:rFonts w:ascii="Palatino Linotype" w:eastAsia="Times New Roman" w:hAnsi="Palatino Linotype" w:cs="Times New Roman"/>
          <w:b/>
          <w:i/>
          <w:lang w:val="es-ES"/>
        </w:rPr>
        <w:t>principio de máxima publicidad</w:t>
      </w:r>
      <w:r w:rsidRPr="00D75391">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0D1655B"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p>
    <w:p w14:paraId="6C2A2AC0" w14:textId="77777777" w:rsidR="003F33D8" w:rsidRPr="00D75391" w:rsidRDefault="003F33D8" w:rsidP="00D75391">
      <w:pPr>
        <w:spacing w:line="360" w:lineRule="auto"/>
        <w:ind w:left="567" w:right="567"/>
        <w:jc w:val="both"/>
        <w:rPr>
          <w:rFonts w:ascii="Palatino Linotype" w:eastAsia="Times New Roman" w:hAnsi="Palatino Linotype" w:cs="Times New Roman"/>
          <w:b/>
          <w:i/>
          <w:lang w:val="es-ES"/>
        </w:rPr>
      </w:pPr>
      <w:r w:rsidRPr="00D75391">
        <w:rPr>
          <w:rFonts w:ascii="Palatino Linotype" w:eastAsia="Times New Roman" w:hAnsi="Palatino Linotype" w:cs="Times New Roman"/>
          <w:b/>
          <w:i/>
          <w:lang w:val="es-ES"/>
        </w:rPr>
        <w:t>(…)</w:t>
      </w:r>
    </w:p>
    <w:p w14:paraId="28B6E7A9" w14:textId="77777777" w:rsidR="003F33D8" w:rsidRPr="00D75391" w:rsidRDefault="003F33D8" w:rsidP="00D75391">
      <w:pPr>
        <w:spacing w:line="360" w:lineRule="auto"/>
        <w:ind w:right="567"/>
        <w:jc w:val="both"/>
        <w:rPr>
          <w:rFonts w:ascii="Palatino Linotype" w:eastAsia="Times New Roman" w:hAnsi="Palatino Linotype" w:cs="Times New Roman"/>
          <w:lang w:val="es-ES"/>
        </w:rPr>
      </w:pPr>
    </w:p>
    <w:p w14:paraId="0BE2050E" w14:textId="77777777" w:rsidR="003F33D8" w:rsidRPr="00D75391" w:rsidRDefault="003F33D8" w:rsidP="00D75391">
      <w:pPr>
        <w:spacing w:line="360" w:lineRule="auto"/>
        <w:ind w:left="567" w:right="567"/>
        <w:jc w:val="both"/>
        <w:rPr>
          <w:rFonts w:ascii="Palatino Linotype" w:eastAsia="Times New Roman" w:hAnsi="Palatino Linotype" w:cs="Times New Roman"/>
          <w:i/>
          <w:lang w:val="es-ES"/>
        </w:rPr>
      </w:pPr>
      <w:r w:rsidRPr="00D75391">
        <w:rPr>
          <w:rFonts w:ascii="Palatino Linotype" w:eastAsia="Times New Roman" w:hAnsi="Palatino Linotype" w:cs="Times New Roman"/>
          <w:i/>
          <w:lang w:val="es-ES"/>
        </w:rPr>
        <w:t>(Énfasis añadido)</w:t>
      </w:r>
    </w:p>
    <w:p w14:paraId="78E8A893" w14:textId="77777777" w:rsidR="003F33D8" w:rsidRPr="00D75391" w:rsidRDefault="003F33D8" w:rsidP="00D75391">
      <w:pPr>
        <w:spacing w:line="360" w:lineRule="auto"/>
        <w:ind w:right="567"/>
        <w:jc w:val="both"/>
        <w:rPr>
          <w:rFonts w:ascii="Palatino Linotype" w:eastAsia="Times New Roman" w:hAnsi="Palatino Linotype" w:cs="Times New Roman"/>
          <w:i/>
          <w:lang w:val="es-ES"/>
        </w:rPr>
      </w:pPr>
    </w:p>
    <w:p w14:paraId="1097FBFA" w14:textId="77777777" w:rsidR="003F33D8" w:rsidRPr="00D75391" w:rsidRDefault="003F33D8" w:rsidP="00D75391">
      <w:pPr>
        <w:numPr>
          <w:ilvl w:val="0"/>
          <w:numId w:val="1"/>
        </w:numPr>
        <w:spacing w:before="240" w:after="240" w:line="360" w:lineRule="auto"/>
        <w:ind w:left="0" w:right="49" w:firstLine="0"/>
        <w:contextualSpacing/>
        <w:jc w:val="both"/>
        <w:rPr>
          <w:rFonts w:ascii="Palatino Linotype" w:eastAsia="MS Mincho" w:hAnsi="Palatino Linotype" w:cs="Arial"/>
        </w:rPr>
      </w:pPr>
      <w:r w:rsidRPr="00D75391">
        <w:rPr>
          <w:rFonts w:ascii="Palatino Linotype" w:eastAsia="MS Mincho" w:hAnsi="Palatino Linotype" w:cs="Arial"/>
        </w:rPr>
        <w:t xml:space="preserve">En ese sentido, no debe de pasar de vista para el </w:t>
      </w:r>
      <w:r w:rsidRPr="00D75391">
        <w:rPr>
          <w:rFonts w:ascii="Palatino Linotype" w:eastAsia="MS Mincho" w:hAnsi="Palatino Linotype" w:cs="Arial"/>
          <w:b/>
        </w:rPr>
        <w:t>SUJETO OBLIGADO</w:t>
      </w:r>
      <w:r w:rsidRPr="00D75391">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1AA60F1" w14:textId="77777777" w:rsidR="003F33D8" w:rsidRPr="00D75391" w:rsidRDefault="003F33D8" w:rsidP="00D75391">
      <w:pPr>
        <w:spacing w:before="240" w:after="240" w:line="360" w:lineRule="auto"/>
        <w:ind w:left="426" w:right="49"/>
        <w:contextualSpacing/>
        <w:jc w:val="both"/>
        <w:rPr>
          <w:rFonts w:ascii="Palatino Linotype" w:eastAsia="MS Mincho" w:hAnsi="Palatino Linotype" w:cs="Arial"/>
        </w:rPr>
      </w:pPr>
    </w:p>
    <w:p w14:paraId="7055BD16" w14:textId="77777777" w:rsidR="003F33D8" w:rsidRPr="00D75391" w:rsidRDefault="003F33D8" w:rsidP="00D75391">
      <w:pPr>
        <w:spacing w:line="360" w:lineRule="auto"/>
        <w:ind w:left="567" w:right="567"/>
        <w:jc w:val="both"/>
        <w:rPr>
          <w:rFonts w:ascii="Palatino Linotype" w:eastAsia="MS Mincho" w:hAnsi="Palatino Linotype" w:cs="Times New Roman"/>
          <w:i/>
        </w:rPr>
      </w:pPr>
      <w:r w:rsidRPr="00D75391">
        <w:rPr>
          <w:rFonts w:ascii="Palatino Linotype" w:eastAsia="MS Mincho" w:hAnsi="Palatino Linotype" w:cs="Times New Roman"/>
          <w:i/>
        </w:rPr>
        <w:t>“</w:t>
      </w:r>
      <w:r w:rsidRPr="00D75391">
        <w:rPr>
          <w:rFonts w:ascii="Palatino Linotype" w:eastAsia="MS Mincho" w:hAnsi="Palatino Linotype" w:cs="Times New Roman"/>
          <w:b/>
          <w:i/>
        </w:rPr>
        <w:t>Artículo 8.</w:t>
      </w:r>
      <w:r w:rsidRPr="00D75391">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443F665" w14:textId="77777777" w:rsidR="003F33D8" w:rsidRPr="00D75391" w:rsidRDefault="003F33D8" w:rsidP="00D75391">
      <w:pPr>
        <w:spacing w:line="360" w:lineRule="auto"/>
        <w:ind w:left="567" w:right="567"/>
        <w:jc w:val="both"/>
        <w:rPr>
          <w:rFonts w:ascii="Palatino Linotype" w:eastAsia="MS Mincho" w:hAnsi="Palatino Linotype" w:cs="Times New Roman"/>
          <w:i/>
        </w:rPr>
      </w:pPr>
    </w:p>
    <w:p w14:paraId="5E504ED7" w14:textId="77777777" w:rsidR="003F33D8" w:rsidRPr="00D75391" w:rsidRDefault="003F33D8" w:rsidP="00D75391">
      <w:pPr>
        <w:spacing w:line="360" w:lineRule="auto"/>
        <w:ind w:left="567" w:right="567"/>
        <w:jc w:val="both"/>
        <w:rPr>
          <w:rFonts w:ascii="Palatino Linotype" w:eastAsia="MS Mincho" w:hAnsi="Palatino Linotype" w:cs="Times New Roman"/>
          <w:i/>
        </w:rPr>
      </w:pPr>
      <w:r w:rsidRPr="00D75391">
        <w:rPr>
          <w:rFonts w:ascii="Palatino Linotype" w:eastAsia="MS Mincho" w:hAnsi="Palatino Linotype" w:cs="Times New Roman"/>
          <w:b/>
          <w:i/>
        </w:rPr>
        <w:t>En la aplicación e interpretación de la presente Ley deberá prevalecer el principio de máxima publicidad,</w:t>
      </w:r>
      <w:r w:rsidRPr="00D75391">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75391">
        <w:rPr>
          <w:rFonts w:ascii="Palatino Linotype" w:eastAsia="MS Mincho" w:hAnsi="Palatino Linotype" w:cs="Times New Roman"/>
          <w:i/>
        </w:rPr>
        <w:t>pro</w:t>
      </w:r>
      <w:proofErr w:type="spellEnd"/>
      <w:r w:rsidRPr="00D75391">
        <w:rPr>
          <w:rFonts w:ascii="Palatino Linotype" w:eastAsia="MS Mincho" w:hAnsi="Palatino Linotype" w:cs="Times New Roman"/>
          <w:i/>
        </w:rPr>
        <w:t xml:space="preserve"> persona.</w:t>
      </w:r>
    </w:p>
    <w:p w14:paraId="49ED7941" w14:textId="77777777" w:rsidR="003F33D8" w:rsidRPr="00D75391" w:rsidRDefault="003F33D8" w:rsidP="00D75391">
      <w:pPr>
        <w:spacing w:line="360" w:lineRule="auto"/>
        <w:ind w:left="567" w:right="567"/>
        <w:jc w:val="both"/>
        <w:rPr>
          <w:rFonts w:ascii="Palatino Linotype" w:eastAsia="MS Mincho" w:hAnsi="Palatino Linotype" w:cs="Times New Roman"/>
          <w:i/>
        </w:rPr>
      </w:pPr>
    </w:p>
    <w:p w14:paraId="365182B6" w14:textId="77777777" w:rsidR="003F33D8" w:rsidRPr="00D75391" w:rsidRDefault="003F33D8" w:rsidP="00D75391">
      <w:pPr>
        <w:spacing w:line="360" w:lineRule="auto"/>
        <w:ind w:left="567" w:right="567"/>
        <w:jc w:val="both"/>
        <w:rPr>
          <w:rFonts w:ascii="Palatino Linotype" w:eastAsia="MS Mincho" w:hAnsi="Palatino Linotype" w:cs="Times New Roman"/>
          <w:i/>
        </w:rPr>
      </w:pPr>
      <w:r w:rsidRPr="00D75391">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7010609F" w14:textId="77777777" w:rsidR="003F33D8" w:rsidRPr="00D75391" w:rsidRDefault="003F33D8" w:rsidP="00D75391">
      <w:pPr>
        <w:spacing w:line="360" w:lineRule="auto"/>
        <w:ind w:left="567" w:right="567"/>
        <w:jc w:val="both"/>
        <w:rPr>
          <w:rFonts w:ascii="Palatino Linotype" w:eastAsia="MS Mincho" w:hAnsi="Palatino Linotype" w:cs="Times New Roman"/>
          <w:i/>
        </w:rPr>
      </w:pPr>
    </w:p>
    <w:p w14:paraId="3F57B22B" w14:textId="77777777" w:rsidR="003F33D8" w:rsidRPr="00D75391" w:rsidRDefault="003F33D8" w:rsidP="00D75391">
      <w:pPr>
        <w:spacing w:line="360" w:lineRule="auto"/>
        <w:ind w:left="567" w:right="567"/>
        <w:jc w:val="both"/>
        <w:rPr>
          <w:rFonts w:ascii="Palatino Linotype" w:eastAsia="MS Mincho" w:hAnsi="Palatino Linotype" w:cs="Times New Roman"/>
          <w:i/>
        </w:rPr>
      </w:pPr>
      <w:r w:rsidRPr="00D75391">
        <w:rPr>
          <w:rFonts w:ascii="Palatino Linotype" w:eastAsia="MS Mincho" w:hAnsi="Palatino Linotype" w:cs="Times New Roman"/>
          <w:i/>
        </w:rPr>
        <w:t>(Énfasis añadido)</w:t>
      </w:r>
    </w:p>
    <w:p w14:paraId="225ADF95" w14:textId="77777777" w:rsidR="003F33D8" w:rsidRPr="00D75391" w:rsidRDefault="003F33D8" w:rsidP="00D75391">
      <w:pPr>
        <w:spacing w:line="360" w:lineRule="auto"/>
        <w:ind w:right="567"/>
        <w:jc w:val="both"/>
        <w:rPr>
          <w:rFonts w:ascii="Palatino Linotype" w:eastAsia="MS Mincho" w:hAnsi="Palatino Linotype" w:cs="Times New Roman"/>
          <w:i/>
        </w:rPr>
      </w:pPr>
    </w:p>
    <w:p w14:paraId="1340274E" w14:textId="77777777" w:rsidR="003F33D8" w:rsidRPr="00D75391" w:rsidRDefault="003F33D8" w:rsidP="00D75391">
      <w:pPr>
        <w:numPr>
          <w:ilvl w:val="0"/>
          <w:numId w:val="1"/>
        </w:numPr>
        <w:spacing w:before="240" w:after="240" w:line="360" w:lineRule="auto"/>
        <w:ind w:left="0" w:right="49" w:firstLine="0"/>
        <w:contextualSpacing/>
        <w:jc w:val="both"/>
        <w:rPr>
          <w:rFonts w:ascii="Palatino Linotype" w:eastAsia="MS Mincho" w:hAnsi="Palatino Linotype" w:cs="Arial"/>
        </w:rPr>
      </w:pPr>
      <w:r w:rsidRPr="00D75391">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F309C73" w14:textId="77777777" w:rsidR="003F33D8" w:rsidRPr="00D75391" w:rsidRDefault="003F33D8" w:rsidP="00D75391">
      <w:pPr>
        <w:spacing w:before="240" w:after="240" w:line="360" w:lineRule="auto"/>
        <w:ind w:right="49"/>
        <w:contextualSpacing/>
        <w:jc w:val="both"/>
        <w:rPr>
          <w:rFonts w:ascii="Palatino Linotype" w:eastAsia="MS Mincho" w:hAnsi="Palatino Linotype" w:cs="Arial"/>
        </w:rPr>
      </w:pPr>
    </w:p>
    <w:p w14:paraId="26EEBBB3"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b/>
          <w:i/>
        </w:rPr>
      </w:pPr>
      <w:r w:rsidRPr="00D75391">
        <w:rPr>
          <w:rFonts w:ascii="Palatino Linotype" w:eastAsia="MS Mincho" w:hAnsi="Palatino Linotype" w:cs="Times New Roman"/>
          <w:b/>
          <w:i/>
        </w:rPr>
        <w:t xml:space="preserve">“Artículo 12. Quienes generen, recopilen, administren, manejen, procesen, archiven o conserven información pública serán responsables de la misma en los términos de las disposiciones jurídicas aplicables. </w:t>
      </w:r>
    </w:p>
    <w:p w14:paraId="2FA3864A"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p>
    <w:p w14:paraId="2F638A91"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r w:rsidRPr="00D75391">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D75391">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C7B3AC"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p>
    <w:p w14:paraId="40447C8A"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r w:rsidRPr="00D75391">
        <w:rPr>
          <w:rFonts w:ascii="Palatino Linotype" w:eastAsia="MS Mincho" w:hAnsi="Palatino Linotype" w:cs="Times New Roman"/>
          <w:b/>
          <w:i/>
        </w:rPr>
        <w:t xml:space="preserve">“Artículo 160. </w:t>
      </w:r>
      <w:r w:rsidRPr="00D75391">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E6A96AC"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p>
    <w:p w14:paraId="7A230478"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r w:rsidRPr="00D75391">
        <w:rPr>
          <w:rFonts w:ascii="Palatino Linotype" w:eastAsia="MS Mincho" w:hAnsi="Palatino Linotype" w:cs="Times New Roman"/>
          <w:i/>
        </w:rPr>
        <w:t>En caso que la información solicitada consista en bases de datos se deberá privilegiar la entrega de la misma en formatos abiertos. “</w:t>
      </w:r>
    </w:p>
    <w:p w14:paraId="2C6F7471"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p>
    <w:p w14:paraId="4AD2EED6"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r w:rsidRPr="00D75391">
        <w:rPr>
          <w:rFonts w:ascii="Palatino Linotype" w:eastAsia="MS Mincho" w:hAnsi="Palatino Linotype" w:cs="Times New Roman"/>
          <w:i/>
        </w:rPr>
        <w:t>(Énfasis añadido)</w:t>
      </w:r>
    </w:p>
    <w:p w14:paraId="19217524" w14:textId="77777777" w:rsidR="003F33D8" w:rsidRPr="00D75391" w:rsidRDefault="003F33D8" w:rsidP="00D75391">
      <w:pPr>
        <w:spacing w:before="240" w:after="240" w:line="360" w:lineRule="auto"/>
        <w:ind w:left="567" w:right="567"/>
        <w:contextualSpacing/>
        <w:jc w:val="both"/>
        <w:rPr>
          <w:rFonts w:ascii="Palatino Linotype" w:eastAsia="MS Mincho" w:hAnsi="Palatino Linotype" w:cs="Times New Roman"/>
          <w:i/>
        </w:rPr>
      </w:pPr>
    </w:p>
    <w:p w14:paraId="65D77328" w14:textId="255768C0" w:rsidR="009D562C" w:rsidRPr="00D75391" w:rsidRDefault="003F33D8" w:rsidP="00D75391">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D75391">
        <w:rPr>
          <w:rFonts w:ascii="Palatino Linotype" w:eastAsia="MS Mincho" w:hAnsi="Palatino Linotype" w:cs="Times New Roman"/>
          <w:lang w:eastAsia="es-ES_tradnl"/>
        </w:rPr>
        <w:t>En ese tenor la Ley de Transparencia, pre</w:t>
      </w:r>
      <w:r w:rsidR="00043464" w:rsidRPr="00D75391">
        <w:rPr>
          <w:rFonts w:ascii="Palatino Linotype" w:eastAsia="MS Mincho" w:hAnsi="Palatino Linotype" w:cs="Times New Roman"/>
          <w:lang w:eastAsia="es-ES_tradnl"/>
        </w:rPr>
        <w:t>vé en su artículo 23 fracción I</w:t>
      </w:r>
      <w:r w:rsidRPr="00D75391">
        <w:rPr>
          <w:rFonts w:ascii="Palatino Linotype" w:eastAsia="MS Mincho" w:hAnsi="Palatino Linotype" w:cs="Times New Roman"/>
          <w:lang w:eastAsia="es-ES_tradnl"/>
        </w:rPr>
        <w:t xml:space="preserve"> que son Sujetos Obligados a transparentar, permitir el acceso a su información, así como proteger los datos que obren en su poder:</w:t>
      </w:r>
    </w:p>
    <w:p w14:paraId="5B0A2153" w14:textId="4AA57E7A" w:rsidR="003F33D8" w:rsidRPr="00D75391" w:rsidRDefault="003F33D8" w:rsidP="00D75391">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sidRPr="00D75391">
        <w:rPr>
          <w:rFonts w:ascii="Palatino Linotype" w:eastAsia="MS Mincho" w:hAnsi="Palatino Linotype" w:cs="Times New Roman"/>
          <w:lang w:eastAsia="es-ES_tradnl"/>
        </w:rPr>
        <w:t xml:space="preserve">      </w:t>
      </w:r>
      <w:r w:rsidR="00043464" w:rsidRPr="00D75391">
        <w:rPr>
          <w:rFonts w:ascii="Palatino Linotype" w:eastAsia="MS Mincho" w:hAnsi="Palatino Linotype" w:cs="Times New Roman"/>
          <w:lang w:eastAsia="es-ES_tradnl"/>
        </w:rPr>
        <w:t>“</w:t>
      </w:r>
      <w:r w:rsidRPr="00D75391">
        <w:rPr>
          <w:rFonts w:ascii="Palatino Linotype" w:eastAsia="MS Mincho" w:hAnsi="Palatino Linotype" w:cs="Times New Roman"/>
          <w:lang w:eastAsia="es-ES_tradnl"/>
        </w:rPr>
        <w:t>(…)</w:t>
      </w:r>
    </w:p>
    <w:p w14:paraId="3019F384" w14:textId="25B2CCC4" w:rsidR="00043464" w:rsidRPr="00D75391" w:rsidRDefault="00043464" w:rsidP="00D75391">
      <w:pPr>
        <w:widowControl w:val="0"/>
        <w:autoSpaceDE w:val="0"/>
        <w:autoSpaceDN w:val="0"/>
        <w:adjustRightInd w:val="0"/>
        <w:spacing w:before="240" w:after="240" w:line="360" w:lineRule="auto"/>
        <w:ind w:left="567" w:right="616"/>
        <w:jc w:val="both"/>
        <w:rPr>
          <w:rFonts w:ascii="Palatino Linotype" w:eastAsia="MS Mincho" w:hAnsi="Palatino Linotype" w:cs="Times New Roman"/>
          <w:b/>
          <w:i/>
          <w:lang w:eastAsia="es-ES_tradnl"/>
        </w:rPr>
      </w:pPr>
      <w:r w:rsidRPr="00D75391">
        <w:rPr>
          <w:rFonts w:ascii="Palatino Linotype" w:eastAsia="MS Mincho" w:hAnsi="Palatino Linotype" w:cs="Times New Roman"/>
          <w:b/>
          <w:i/>
          <w:lang w:eastAsia="es-ES_tradnl"/>
        </w:rPr>
        <w:t>I. El Poder Ejecutivo del Estado de México, las dependencias, organismos auxiliares, órganos, entidades, fideicomisos y fondos públicos, así como la Procuraduría General de Justicia;</w:t>
      </w:r>
    </w:p>
    <w:p w14:paraId="1D74EE88" w14:textId="10795B96" w:rsidR="003F33D8" w:rsidRPr="00D75391" w:rsidRDefault="00043464" w:rsidP="00D75391">
      <w:pPr>
        <w:spacing w:line="360" w:lineRule="auto"/>
        <w:ind w:left="426" w:right="567"/>
        <w:contextualSpacing/>
        <w:rPr>
          <w:rFonts w:ascii="Palatino Linotype" w:eastAsia="Times New Roman" w:hAnsi="Palatino Linotype" w:cs="Arial"/>
          <w:i/>
        </w:rPr>
      </w:pPr>
      <w:r w:rsidRPr="00D75391">
        <w:rPr>
          <w:rFonts w:ascii="Palatino Linotype" w:eastAsia="Times New Roman" w:hAnsi="Palatino Linotype" w:cs="Arial"/>
          <w:i/>
        </w:rPr>
        <w:t xml:space="preserve"> </w:t>
      </w:r>
      <w:r w:rsidR="003F33D8" w:rsidRPr="00D75391">
        <w:rPr>
          <w:rFonts w:ascii="Palatino Linotype" w:eastAsia="Times New Roman" w:hAnsi="Palatino Linotype" w:cs="Arial"/>
          <w:i/>
        </w:rPr>
        <w:t>(…)</w:t>
      </w:r>
      <w:r w:rsidRPr="00D75391">
        <w:rPr>
          <w:rFonts w:ascii="Palatino Linotype" w:eastAsia="Times New Roman" w:hAnsi="Palatino Linotype" w:cs="Arial"/>
          <w:i/>
        </w:rPr>
        <w:t>”</w:t>
      </w:r>
    </w:p>
    <w:p w14:paraId="1ABB33AE" w14:textId="77777777" w:rsidR="00807C37" w:rsidRPr="00D75391" w:rsidRDefault="00807C37" w:rsidP="00D75391">
      <w:pPr>
        <w:spacing w:line="360" w:lineRule="auto"/>
        <w:ind w:right="567"/>
        <w:contextualSpacing/>
        <w:rPr>
          <w:rFonts w:ascii="Palatino Linotype" w:eastAsia="Times New Roman" w:hAnsi="Palatino Linotype" w:cs="Arial"/>
          <w:i/>
        </w:rPr>
      </w:pPr>
    </w:p>
    <w:p w14:paraId="4B9FC14A" w14:textId="77EE7BD2" w:rsidR="00043464" w:rsidRPr="00D75391" w:rsidRDefault="003F33D8" w:rsidP="00D75391">
      <w:pPr>
        <w:numPr>
          <w:ilvl w:val="0"/>
          <w:numId w:val="1"/>
        </w:numPr>
        <w:spacing w:before="240" w:after="240" w:line="360" w:lineRule="auto"/>
        <w:ind w:left="0" w:firstLine="0"/>
        <w:contextualSpacing/>
        <w:jc w:val="both"/>
        <w:rPr>
          <w:rFonts w:ascii="Palatino Linotype" w:eastAsia="MS Mincho" w:hAnsi="Palatino Linotype" w:cs="Arial"/>
          <w:i/>
          <w:lang w:val="es-MX"/>
        </w:rPr>
      </w:pPr>
      <w:r w:rsidRPr="00D75391">
        <w:rPr>
          <w:rFonts w:ascii="Palatino Linotype" w:eastAsia="Calibri" w:hAnsi="Palatino Linotype" w:cs="Times New Roman"/>
        </w:rPr>
        <w:t xml:space="preserve">Así las cosas, para determinar si la información proporcionada por el </w:t>
      </w:r>
      <w:r w:rsidRPr="00D75391">
        <w:rPr>
          <w:rFonts w:ascii="Palatino Linotype" w:eastAsia="Calibri" w:hAnsi="Palatino Linotype" w:cs="Times New Roman"/>
          <w:b/>
        </w:rPr>
        <w:t xml:space="preserve">SUJETO OBLIGADO </w:t>
      </w:r>
      <w:r w:rsidRPr="00D75391">
        <w:rPr>
          <w:rFonts w:ascii="Palatino Linotype" w:eastAsia="Calibri" w:hAnsi="Palatino Linotype" w:cs="Times New Roman"/>
        </w:rPr>
        <w:t>satisface el derecho accionado,</w:t>
      </w:r>
      <w:r w:rsidR="00043464" w:rsidRPr="00D75391">
        <w:rPr>
          <w:rFonts w:ascii="Palatino Linotype" w:eastAsia="Calibri" w:hAnsi="Palatino Linotype" w:cs="Times New Roman"/>
        </w:rPr>
        <w:t xml:space="preserve"> es necesario recordar que el particular requirió acceso a: </w:t>
      </w:r>
    </w:p>
    <w:p w14:paraId="5024525D" w14:textId="77777777" w:rsidR="00043464" w:rsidRPr="00D75391" w:rsidRDefault="00043464" w:rsidP="00D75391">
      <w:pPr>
        <w:spacing w:before="240" w:after="240" w:line="360" w:lineRule="auto"/>
        <w:contextualSpacing/>
        <w:jc w:val="both"/>
        <w:rPr>
          <w:rFonts w:ascii="Palatino Linotype" w:eastAsia="Calibri" w:hAnsi="Palatino Linotype" w:cs="Times New Roman"/>
        </w:rPr>
      </w:pPr>
    </w:p>
    <w:p w14:paraId="5DCFAB62" w14:textId="6B5C36F5" w:rsidR="00C50317" w:rsidRPr="00D75391" w:rsidRDefault="00043464" w:rsidP="00D75391">
      <w:pPr>
        <w:pStyle w:val="Prrafodelista"/>
        <w:numPr>
          <w:ilvl w:val="0"/>
          <w:numId w:val="6"/>
        </w:numPr>
        <w:spacing w:before="240" w:after="240" w:line="360" w:lineRule="auto"/>
        <w:ind w:right="474"/>
        <w:jc w:val="both"/>
        <w:rPr>
          <w:rFonts w:ascii="Palatino Linotype" w:eastAsia="MS Mincho" w:hAnsi="Palatino Linotype" w:cs="Arial"/>
          <w:b/>
          <w:lang w:val="es-MX"/>
        </w:rPr>
      </w:pPr>
      <w:r w:rsidRPr="00D75391">
        <w:rPr>
          <w:rFonts w:ascii="Palatino Linotype" w:eastAsia="MS Mincho" w:hAnsi="Palatino Linotype" w:cs="Arial"/>
          <w:b/>
          <w:lang w:val="es-MX"/>
        </w:rPr>
        <w:t xml:space="preserve">Auditorias </w:t>
      </w:r>
      <w:r w:rsidR="00C50317" w:rsidRPr="00D75391">
        <w:rPr>
          <w:rFonts w:ascii="Palatino Linotype" w:eastAsia="MS Mincho" w:hAnsi="Palatino Linotype" w:cs="Arial"/>
          <w:b/>
          <w:lang w:val="es-MX"/>
        </w:rPr>
        <w:t xml:space="preserve">de la Contraloría Interna de la Secretaría de Ejecutiva del 01 de enero al 29 de julio de dos mil diecinueve. </w:t>
      </w:r>
    </w:p>
    <w:p w14:paraId="3000A33E" w14:textId="77777777" w:rsidR="00C50317" w:rsidRPr="00D75391" w:rsidRDefault="00C50317" w:rsidP="00D75391">
      <w:pPr>
        <w:pStyle w:val="Prrafodelista"/>
        <w:spacing w:before="240" w:after="240" w:line="360" w:lineRule="auto"/>
        <w:ind w:left="1080" w:right="474"/>
        <w:jc w:val="both"/>
        <w:rPr>
          <w:rFonts w:ascii="Palatino Linotype" w:eastAsia="MS Mincho" w:hAnsi="Palatino Linotype" w:cs="Arial"/>
          <w:b/>
          <w:lang w:val="es-MX"/>
        </w:rPr>
      </w:pPr>
    </w:p>
    <w:p w14:paraId="169E3062" w14:textId="1D621C87" w:rsidR="00B0210A" w:rsidRPr="00D75391" w:rsidRDefault="00C50317" w:rsidP="00D75391">
      <w:pPr>
        <w:pStyle w:val="Prrafodelista"/>
        <w:numPr>
          <w:ilvl w:val="0"/>
          <w:numId w:val="7"/>
        </w:numPr>
        <w:spacing w:before="240" w:after="240" w:line="360" w:lineRule="auto"/>
        <w:ind w:right="474"/>
        <w:jc w:val="both"/>
        <w:rPr>
          <w:rFonts w:ascii="Palatino Linotype" w:eastAsia="MS Mincho" w:hAnsi="Palatino Linotype" w:cs="Arial"/>
          <w:b/>
          <w:lang w:val="es-MX"/>
        </w:rPr>
      </w:pPr>
      <w:r w:rsidRPr="00D75391">
        <w:rPr>
          <w:rFonts w:ascii="Palatino Linotype" w:eastAsia="MS Mincho" w:hAnsi="Palatino Linotype" w:cs="Arial"/>
          <w:b/>
          <w:lang w:val="es-MX"/>
        </w:rPr>
        <w:t xml:space="preserve">Papeles de trabajo de la Contraloría Interna del 01 de enero al 29 de julio de dos mil diecinueve. </w:t>
      </w:r>
    </w:p>
    <w:p w14:paraId="54E5F75A" w14:textId="77777777" w:rsidR="00807C37" w:rsidRPr="00D75391" w:rsidRDefault="00807C37"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eastAsia="Times New Roman" w:hAnsi="Palatino Linotype" w:cs="Arial"/>
          <w:lang w:val="es-ES"/>
        </w:rPr>
        <w:t xml:space="preserve">A </w:t>
      </w:r>
      <w:r w:rsidR="00C50317" w:rsidRPr="00D75391">
        <w:rPr>
          <w:rFonts w:ascii="Palatino Linotype" w:eastAsia="Times New Roman" w:hAnsi="Palatino Linotype" w:cs="Arial"/>
          <w:lang w:val="es-ES"/>
        </w:rPr>
        <w:t xml:space="preserve">dichos requerimientos el </w:t>
      </w:r>
      <w:r w:rsidR="00C50317" w:rsidRPr="00D75391">
        <w:rPr>
          <w:rFonts w:ascii="Palatino Linotype" w:eastAsia="Times New Roman" w:hAnsi="Palatino Linotype" w:cs="Arial"/>
          <w:b/>
          <w:lang w:val="es-ES"/>
        </w:rPr>
        <w:t xml:space="preserve">SUJETO OBLIGADO </w:t>
      </w:r>
      <w:r w:rsidR="00C50317" w:rsidRPr="00D75391">
        <w:rPr>
          <w:rFonts w:ascii="Palatino Linotype" w:eastAsia="Times New Roman" w:hAnsi="Palatino Linotype" w:cs="Arial"/>
          <w:lang w:val="es-ES"/>
        </w:rPr>
        <w:t>manifestó su presunta incompetencia, refiriendo que el Sujeto Obligado competente era la Secretaría de la Contraloría del Estado de México,</w:t>
      </w:r>
      <w:r w:rsidRPr="00D75391">
        <w:rPr>
          <w:rFonts w:ascii="Palatino Linotype" w:eastAsia="Times New Roman" w:hAnsi="Palatino Linotype" w:cs="Arial"/>
          <w:lang w:val="es-ES"/>
        </w:rPr>
        <w:t xml:space="preserve"> por lo que </w:t>
      </w:r>
      <w:r w:rsidR="00C50317" w:rsidRPr="00D75391">
        <w:rPr>
          <w:rFonts w:ascii="Palatino Linotype" w:eastAsia="Times New Roman" w:hAnsi="Palatino Linotype" w:cs="Arial"/>
          <w:lang w:val="es-ES"/>
        </w:rPr>
        <w:t xml:space="preserve"> en ese sentido resulta oportuno traer a contexto</w:t>
      </w:r>
      <w:r w:rsidRPr="00D75391">
        <w:rPr>
          <w:rFonts w:ascii="Palatino Linotype" w:eastAsia="Times New Roman" w:hAnsi="Palatino Linotype" w:cs="Arial"/>
          <w:lang w:val="es-ES"/>
        </w:rPr>
        <w:t xml:space="preserve"> en primer término la Ley del Sistema Anticorrupción del Estado de México y Municipios </w:t>
      </w:r>
      <w:r w:rsidR="00C50317" w:rsidRPr="00D75391">
        <w:rPr>
          <w:rFonts w:ascii="Palatino Linotype" w:eastAsia="Times New Roman" w:hAnsi="Palatino Linotype" w:cs="Arial"/>
          <w:lang w:val="es-ES"/>
        </w:rPr>
        <w:t xml:space="preserve"> </w:t>
      </w:r>
      <w:r w:rsidRPr="00D75391">
        <w:rPr>
          <w:rFonts w:ascii="Palatino Linotype" w:eastAsia="Times New Roman" w:hAnsi="Palatino Linotype" w:cs="Arial"/>
          <w:lang w:val="es-ES"/>
        </w:rPr>
        <w:t xml:space="preserve"> misma que refiere lo siguiente: </w:t>
      </w:r>
    </w:p>
    <w:p w14:paraId="174370B8" w14:textId="77777777" w:rsidR="00807C37" w:rsidRPr="00D75391" w:rsidRDefault="00807C37" w:rsidP="00D75391">
      <w:pPr>
        <w:spacing w:before="240" w:after="240" w:line="360" w:lineRule="auto"/>
        <w:contextualSpacing/>
        <w:jc w:val="both"/>
        <w:rPr>
          <w:rFonts w:ascii="Palatino Linotype" w:eastAsia="Times New Roman" w:hAnsi="Palatino Linotype" w:cs="Arial"/>
          <w:lang w:val="es-ES"/>
        </w:rPr>
      </w:pPr>
    </w:p>
    <w:p w14:paraId="1147F413" w14:textId="30C6F4D1" w:rsidR="00807C37" w:rsidRPr="00D75391" w:rsidRDefault="00807C37"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b/>
          <w:i/>
        </w:rPr>
        <w:t xml:space="preserve">“Artículo 3. </w:t>
      </w:r>
      <w:r w:rsidRPr="00D75391">
        <w:rPr>
          <w:rFonts w:ascii="Palatino Linotype" w:hAnsi="Palatino Linotype"/>
          <w:i/>
        </w:rPr>
        <w:t>Para efectos de la presente Ley, se entenderá por:</w:t>
      </w:r>
    </w:p>
    <w:p w14:paraId="2DD93958" w14:textId="77777777" w:rsidR="00807C37" w:rsidRPr="00D75391" w:rsidRDefault="00807C37" w:rsidP="00D75391">
      <w:pPr>
        <w:spacing w:before="240" w:after="240" w:line="360" w:lineRule="auto"/>
        <w:ind w:left="567" w:right="616"/>
        <w:contextualSpacing/>
        <w:jc w:val="both"/>
        <w:rPr>
          <w:rFonts w:ascii="Palatino Linotype" w:eastAsia="Times New Roman" w:hAnsi="Palatino Linotype" w:cs="Arial"/>
          <w:i/>
          <w:lang w:val="es-ES"/>
        </w:rPr>
      </w:pPr>
    </w:p>
    <w:p w14:paraId="7D1D1489" w14:textId="182B4F25" w:rsidR="00807C37" w:rsidRPr="00D75391" w:rsidRDefault="00807C37" w:rsidP="00D75391">
      <w:pPr>
        <w:spacing w:before="240" w:after="240" w:line="360" w:lineRule="auto"/>
        <w:ind w:left="567" w:right="616"/>
        <w:contextualSpacing/>
        <w:jc w:val="both"/>
        <w:rPr>
          <w:rFonts w:ascii="Palatino Linotype" w:hAnsi="Palatino Linotype"/>
          <w:b/>
          <w:i/>
        </w:rPr>
      </w:pPr>
      <w:r w:rsidRPr="00D75391">
        <w:rPr>
          <w:rFonts w:ascii="Palatino Linotype" w:hAnsi="Palatino Linotype"/>
          <w:b/>
          <w:i/>
        </w:rPr>
        <w:t>XII.</w:t>
      </w:r>
      <w:r w:rsidRPr="00D75391">
        <w:rPr>
          <w:rFonts w:ascii="Palatino Linotype" w:hAnsi="Palatino Linotype"/>
          <w:i/>
        </w:rPr>
        <w:t xml:space="preserve"> Sistema Estatal Anticorrupción: </w:t>
      </w:r>
      <w:r w:rsidRPr="00D75391">
        <w:rPr>
          <w:rFonts w:ascii="Palatino Linotype" w:hAnsi="Palatino Linotype"/>
          <w:b/>
          <w:i/>
        </w:rPr>
        <w:t>Al conjunto de mecanismos interinstitucionales de coordinación entre los entes públicos del Estado de México, que tienen por objeto el combate a la corrupción.”</w:t>
      </w:r>
    </w:p>
    <w:p w14:paraId="134DE1B9" w14:textId="77777777" w:rsidR="00807C37" w:rsidRPr="00D75391" w:rsidRDefault="00807C37" w:rsidP="00D75391">
      <w:pPr>
        <w:spacing w:before="240" w:after="240" w:line="360" w:lineRule="auto"/>
        <w:contextualSpacing/>
        <w:jc w:val="both"/>
        <w:rPr>
          <w:rFonts w:ascii="Palatino Linotype" w:eastAsia="Times New Roman" w:hAnsi="Palatino Linotype" w:cs="Times New Roman"/>
        </w:rPr>
      </w:pPr>
    </w:p>
    <w:p w14:paraId="115B4AFB" w14:textId="2D8FAE5B" w:rsidR="002C11B6" w:rsidRPr="00D75391" w:rsidRDefault="00807C37"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eastAsia="Times New Roman" w:hAnsi="Palatino Linotype" w:cs="Arial"/>
          <w:lang w:val="es-ES"/>
        </w:rPr>
        <w:t xml:space="preserve">Así, precisado lo anterior, el Sistema Estatal y Municipal Anticorrupción </w:t>
      </w:r>
      <w:r w:rsidR="002C11B6" w:rsidRPr="00D75391">
        <w:rPr>
          <w:rFonts w:ascii="Palatino Linotype" w:eastAsia="Times New Roman" w:hAnsi="Palatino Linotype" w:cs="Arial"/>
          <w:lang w:val="es-ES"/>
        </w:rPr>
        <w:t xml:space="preserve">  se integra por diversos entes dentro de los cuales se encuentra el Comité Coordinador como a continuación se observa: </w:t>
      </w:r>
    </w:p>
    <w:p w14:paraId="7C20A1A9" w14:textId="77777777" w:rsidR="002C11B6" w:rsidRPr="00D75391" w:rsidRDefault="002C11B6" w:rsidP="00D75391">
      <w:pPr>
        <w:spacing w:before="240" w:after="240" w:line="360" w:lineRule="auto"/>
        <w:contextualSpacing/>
        <w:jc w:val="both"/>
        <w:rPr>
          <w:rFonts w:ascii="Palatino Linotype" w:eastAsia="Times New Roman" w:hAnsi="Palatino Linotype" w:cs="Times New Roman"/>
        </w:rPr>
      </w:pPr>
    </w:p>
    <w:p w14:paraId="577951CD" w14:textId="612F55FB"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b/>
          <w:i/>
        </w:rPr>
        <w:t>“Artículo 7.</w:t>
      </w:r>
      <w:r w:rsidRPr="00D75391">
        <w:rPr>
          <w:rFonts w:ascii="Palatino Linotype" w:hAnsi="Palatino Linotype"/>
          <w:i/>
        </w:rPr>
        <w:t xml:space="preserve"> El Sistema Estatal y Municipal Anticorrupción, se integrará por:</w:t>
      </w:r>
    </w:p>
    <w:p w14:paraId="24077F4D" w14:textId="77777777" w:rsidR="002C11B6" w:rsidRPr="00D75391" w:rsidRDefault="002C11B6" w:rsidP="00D75391">
      <w:pPr>
        <w:spacing w:before="240" w:after="240" w:line="360" w:lineRule="auto"/>
        <w:ind w:left="567" w:right="616"/>
        <w:contextualSpacing/>
        <w:jc w:val="both"/>
        <w:rPr>
          <w:rFonts w:ascii="Palatino Linotype" w:hAnsi="Palatino Linotype"/>
          <w:i/>
        </w:rPr>
      </w:pPr>
    </w:p>
    <w:p w14:paraId="63196F6B" w14:textId="64441C88" w:rsidR="002C11B6" w:rsidRPr="00D75391" w:rsidRDefault="002C11B6" w:rsidP="00D75391">
      <w:pPr>
        <w:spacing w:before="240" w:after="240" w:line="360" w:lineRule="auto"/>
        <w:ind w:left="567" w:right="616"/>
        <w:contextualSpacing/>
        <w:jc w:val="both"/>
        <w:rPr>
          <w:rFonts w:ascii="Palatino Linotype" w:hAnsi="Palatino Linotype"/>
          <w:b/>
          <w:i/>
        </w:rPr>
      </w:pPr>
      <w:r w:rsidRPr="00D75391">
        <w:rPr>
          <w:rFonts w:ascii="Palatino Linotype" w:hAnsi="Palatino Linotype"/>
          <w:b/>
          <w:i/>
        </w:rPr>
        <w:t xml:space="preserve"> I. Los integrantes del Comité Coordinador. </w:t>
      </w:r>
    </w:p>
    <w:p w14:paraId="5A036D17" w14:textId="77777777" w:rsidR="009D562C" w:rsidRPr="00D75391" w:rsidRDefault="009D562C" w:rsidP="00D75391">
      <w:pPr>
        <w:spacing w:before="240" w:after="240" w:line="360" w:lineRule="auto"/>
        <w:ind w:left="567" w:right="616"/>
        <w:contextualSpacing/>
        <w:jc w:val="both"/>
        <w:rPr>
          <w:rFonts w:ascii="Palatino Linotype" w:hAnsi="Palatino Linotype"/>
          <w:b/>
          <w:i/>
        </w:rPr>
      </w:pPr>
    </w:p>
    <w:p w14:paraId="27F777F1" w14:textId="77777777"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i/>
        </w:rPr>
        <w:t xml:space="preserve">II. El Comité de Participación Ciudadana. </w:t>
      </w:r>
    </w:p>
    <w:p w14:paraId="6D48D8D6" w14:textId="77777777" w:rsidR="009D562C" w:rsidRPr="00D75391" w:rsidRDefault="009D562C" w:rsidP="00D75391">
      <w:pPr>
        <w:spacing w:before="240" w:after="240" w:line="360" w:lineRule="auto"/>
        <w:ind w:left="567" w:right="616"/>
        <w:contextualSpacing/>
        <w:jc w:val="both"/>
        <w:rPr>
          <w:rFonts w:ascii="Palatino Linotype" w:hAnsi="Palatino Linotype"/>
          <w:i/>
        </w:rPr>
      </w:pPr>
    </w:p>
    <w:p w14:paraId="1C020BA9" w14:textId="77777777"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i/>
        </w:rPr>
        <w:t xml:space="preserve">III. El Comité Rector del Sistema Estatal de Fiscalización. </w:t>
      </w:r>
    </w:p>
    <w:p w14:paraId="1EB3768B" w14:textId="77777777" w:rsidR="009D562C" w:rsidRPr="00D75391" w:rsidRDefault="009D562C" w:rsidP="00D75391">
      <w:pPr>
        <w:spacing w:before="240" w:after="240" w:line="360" w:lineRule="auto"/>
        <w:ind w:left="567" w:right="616"/>
        <w:contextualSpacing/>
        <w:jc w:val="both"/>
        <w:rPr>
          <w:rFonts w:ascii="Palatino Linotype" w:hAnsi="Palatino Linotype"/>
          <w:i/>
        </w:rPr>
      </w:pPr>
    </w:p>
    <w:p w14:paraId="31B32286" w14:textId="15861203"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i/>
        </w:rPr>
        <w:t xml:space="preserve">IV. Los Sistemas Municipales Anticorrupción, quienes concurrirán a través de sus presidentes rotatoriamente conforme a los dieciocho distritos judiciales en que se divide el territorio del Estado de México. </w:t>
      </w:r>
    </w:p>
    <w:p w14:paraId="2FCAEEAD" w14:textId="77777777" w:rsidR="002C11B6" w:rsidRPr="00D75391" w:rsidRDefault="002C11B6" w:rsidP="00D75391">
      <w:pPr>
        <w:spacing w:before="240" w:after="240" w:line="360" w:lineRule="auto"/>
        <w:ind w:left="567" w:right="616"/>
        <w:contextualSpacing/>
        <w:jc w:val="both"/>
        <w:rPr>
          <w:rFonts w:ascii="Palatino Linotype" w:hAnsi="Palatino Linotype"/>
          <w:i/>
        </w:rPr>
      </w:pPr>
    </w:p>
    <w:p w14:paraId="3E0CE193" w14:textId="029908EC" w:rsidR="002C11B6" w:rsidRPr="00D75391" w:rsidRDefault="002C11B6" w:rsidP="00D75391">
      <w:pPr>
        <w:spacing w:before="240" w:after="240" w:line="360" w:lineRule="auto"/>
        <w:ind w:left="567" w:right="616"/>
        <w:contextualSpacing/>
        <w:jc w:val="both"/>
        <w:rPr>
          <w:rFonts w:ascii="Palatino Linotype" w:eastAsia="Times New Roman" w:hAnsi="Palatino Linotype" w:cs="Times New Roman"/>
        </w:rPr>
      </w:pPr>
      <w:r w:rsidRPr="00D75391">
        <w:rPr>
          <w:rFonts w:ascii="Palatino Linotype" w:eastAsia="Times New Roman" w:hAnsi="Palatino Linotype" w:cs="Times New Roman"/>
          <w:b/>
          <w:i/>
        </w:rPr>
        <w:t>Artículo 8. El Comité Coordinador es la instancia responsable de establecer los mecanismos de coordinación entre los integrantes del Sistema Estatal y Municipal Anticorrupción y tendrá bajo su encargo el diseño, promoción y evaluación de políticas públicas y programas de combate a la corrupción</w:t>
      </w:r>
      <w:r w:rsidRPr="00D75391">
        <w:rPr>
          <w:rFonts w:ascii="Palatino Linotype" w:eastAsia="Times New Roman" w:hAnsi="Palatino Linotype" w:cs="Times New Roman"/>
        </w:rPr>
        <w:t>.”</w:t>
      </w:r>
    </w:p>
    <w:p w14:paraId="691875F9" w14:textId="77777777" w:rsidR="002C11B6" w:rsidRPr="00D75391" w:rsidRDefault="002C11B6" w:rsidP="00D75391">
      <w:pPr>
        <w:spacing w:before="240" w:after="240" w:line="360" w:lineRule="auto"/>
        <w:contextualSpacing/>
        <w:jc w:val="both"/>
        <w:rPr>
          <w:rFonts w:ascii="Palatino Linotype" w:eastAsia="Times New Roman" w:hAnsi="Palatino Linotype" w:cs="Times New Roman"/>
        </w:rPr>
      </w:pPr>
    </w:p>
    <w:p w14:paraId="46F43CFB" w14:textId="43590553" w:rsidR="002C11B6" w:rsidRPr="00D75391" w:rsidRDefault="002C11B6"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eastAsia="Times New Roman" w:hAnsi="Palatino Linotype" w:cs="Arial"/>
          <w:lang w:val="es-ES"/>
        </w:rPr>
        <w:t xml:space="preserve">Así las cosas el Comité Coordinador contara con una Secretaría Ejecutiva misma como a continuación se observa: </w:t>
      </w:r>
    </w:p>
    <w:p w14:paraId="492E19CB" w14:textId="77777777" w:rsidR="002C11B6" w:rsidRPr="00D75391" w:rsidRDefault="002C11B6" w:rsidP="00D75391">
      <w:pPr>
        <w:spacing w:before="240" w:after="240" w:line="360" w:lineRule="auto"/>
        <w:contextualSpacing/>
        <w:jc w:val="both"/>
        <w:rPr>
          <w:rFonts w:ascii="Palatino Linotype" w:eastAsia="Times New Roman" w:hAnsi="Palatino Linotype" w:cs="Times New Roman"/>
        </w:rPr>
      </w:pPr>
    </w:p>
    <w:p w14:paraId="19FB801F" w14:textId="31133AFD"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i/>
        </w:rPr>
        <w:t>“</w:t>
      </w:r>
      <w:r w:rsidRPr="00D75391">
        <w:rPr>
          <w:rFonts w:ascii="Palatino Linotype" w:hAnsi="Palatino Linotype"/>
          <w:b/>
          <w:i/>
        </w:rPr>
        <w:t>Artículo 6</w:t>
      </w:r>
      <w:r w:rsidRPr="00D75391">
        <w:rPr>
          <w:rFonts w:ascii="Palatino Linotype" w:hAnsi="Palatino Linotype"/>
          <w:i/>
        </w:rPr>
        <w:t xml:space="preserve">. El Sistema Estatal y Municipal Anticorrupción, tiene por objeto establecer principios, bases generales, políticas públicas y procedimientos para la coordinación entre las autoridades del Estado de México y sus Municipios, en materia de prevención, detección y sanción de faltas administrativas y hechos de corrupción, así como en la fiscalización y control de recursos públicos, transparencia y rendición de cuentas, en congruencia con el Sistema Nacional Anticorrupción. Es una instancia cuya finalidad es establecer, articular y evaluar la política en la materia. </w:t>
      </w:r>
    </w:p>
    <w:p w14:paraId="18B40E5E" w14:textId="77777777" w:rsidR="002C11B6" w:rsidRPr="00D75391" w:rsidRDefault="002C11B6" w:rsidP="00D75391">
      <w:pPr>
        <w:spacing w:before="240" w:after="240" w:line="360" w:lineRule="auto"/>
        <w:ind w:left="567" w:right="616"/>
        <w:contextualSpacing/>
        <w:jc w:val="both"/>
        <w:rPr>
          <w:rFonts w:ascii="Palatino Linotype" w:hAnsi="Palatino Linotype"/>
          <w:i/>
        </w:rPr>
      </w:pPr>
    </w:p>
    <w:p w14:paraId="133874C7" w14:textId="606EE0D4"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i/>
        </w:rPr>
        <w:t>Las políticas públicas que establezca el Comité Coordinador, deberán ser implementadas por todos los entes públicos.</w:t>
      </w:r>
    </w:p>
    <w:p w14:paraId="4E97EE76" w14:textId="77777777" w:rsidR="002C11B6" w:rsidRPr="00D75391" w:rsidRDefault="002C11B6" w:rsidP="00D75391">
      <w:pPr>
        <w:spacing w:before="240" w:after="240" w:line="360" w:lineRule="auto"/>
        <w:ind w:left="567" w:right="616"/>
        <w:contextualSpacing/>
        <w:jc w:val="both"/>
        <w:rPr>
          <w:rFonts w:ascii="Palatino Linotype" w:hAnsi="Palatino Linotype"/>
          <w:i/>
        </w:rPr>
      </w:pPr>
    </w:p>
    <w:p w14:paraId="3087142A" w14:textId="77E4A785" w:rsidR="002C11B6" w:rsidRPr="00D75391" w:rsidRDefault="002C11B6" w:rsidP="00D75391">
      <w:pPr>
        <w:spacing w:before="240" w:after="240" w:line="360" w:lineRule="auto"/>
        <w:ind w:left="567" w:right="616"/>
        <w:contextualSpacing/>
        <w:jc w:val="both"/>
        <w:rPr>
          <w:rFonts w:ascii="Palatino Linotype" w:hAnsi="Palatino Linotype"/>
          <w:b/>
          <w:i/>
        </w:rPr>
      </w:pPr>
      <w:r w:rsidRPr="00D75391">
        <w:rPr>
          <w:rFonts w:ascii="Palatino Linotype" w:hAnsi="Palatino Linotype"/>
          <w:b/>
          <w:i/>
        </w:rPr>
        <w:t xml:space="preserve"> La Secretaría Ejecutiva, dará seguimiento a la implementación de dichas políticas.</w:t>
      </w:r>
    </w:p>
    <w:p w14:paraId="5DF8B671" w14:textId="77777777" w:rsidR="002C11B6" w:rsidRPr="00D75391" w:rsidRDefault="002C11B6" w:rsidP="00D75391">
      <w:pPr>
        <w:spacing w:before="240" w:after="240" w:line="360" w:lineRule="auto"/>
        <w:ind w:left="567" w:right="616"/>
        <w:contextualSpacing/>
        <w:jc w:val="both"/>
        <w:rPr>
          <w:rFonts w:ascii="Palatino Linotype" w:eastAsia="Times New Roman" w:hAnsi="Palatino Linotype" w:cs="Times New Roman"/>
          <w:i/>
        </w:rPr>
      </w:pPr>
    </w:p>
    <w:p w14:paraId="08A05605" w14:textId="297BF37B"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b/>
          <w:i/>
        </w:rPr>
        <w:t xml:space="preserve">Artículo 3. </w:t>
      </w:r>
      <w:r w:rsidRPr="00D75391">
        <w:rPr>
          <w:rFonts w:ascii="Palatino Linotype" w:hAnsi="Palatino Linotype"/>
          <w:i/>
        </w:rPr>
        <w:t>Para efectos de la presente Ley, se entenderá por:</w:t>
      </w:r>
    </w:p>
    <w:p w14:paraId="0A10A60E" w14:textId="77777777" w:rsidR="002C11B6" w:rsidRPr="00D75391" w:rsidRDefault="002C11B6" w:rsidP="00D75391">
      <w:pPr>
        <w:spacing w:before="240" w:after="240" w:line="360" w:lineRule="auto"/>
        <w:ind w:left="567" w:right="616"/>
        <w:contextualSpacing/>
        <w:jc w:val="both"/>
        <w:rPr>
          <w:rFonts w:ascii="Palatino Linotype" w:hAnsi="Palatino Linotype"/>
          <w:i/>
        </w:rPr>
      </w:pPr>
    </w:p>
    <w:p w14:paraId="3BBF2F51" w14:textId="63BFA1DF" w:rsidR="002C11B6" w:rsidRPr="00D75391" w:rsidRDefault="002C11B6"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b/>
          <w:i/>
        </w:rPr>
        <w:t>X.</w:t>
      </w:r>
      <w:r w:rsidRPr="00D75391">
        <w:rPr>
          <w:rFonts w:ascii="Palatino Linotype" w:hAnsi="Palatino Linotype"/>
          <w:i/>
        </w:rPr>
        <w:t xml:space="preserve"> </w:t>
      </w:r>
      <w:r w:rsidRPr="00D75391">
        <w:rPr>
          <w:rFonts w:ascii="Palatino Linotype" w:hAnsi="Palatino Linotype"/>
          <w:b/>
          <w:i/>
        </w:rPr>
        <w:t>Secretaría Ejecutiva: Al organismo que se desempeña como órgano de apoyo técnico del Comité Coordinador.”</w:t>
      </w:r>
    </w:p>
    <w:p w14:paraId="418CAC57" w14:textId="77777777" w:rsidR="002C11B6" w:rsidRPr="00D75391" w:rsidRDefault="002C11B6" w:rsidP="00D75391">
      <w:pPr>
        <w:spacing w:before="240" w:after="240" w:line="360" w:lineRule="auto"/>
        <w:contextualSpacing/>
        <w:jc w:val="both"/>
        <w:rPr>
          <w:rFonts w:ascii="Palatino Linotype" w:eastAsia="Times New Roman" w:hAnsi="Palatino Linotype" w:cs="Times New Roman"/>
        </w:rPr>
      </w:pPr>
    </w:p>
    <w:p w14:paraId="213B95E4" w14:textId="286F52EB" w:rsidR="0011215D" w:rsidRPr="00D75391" w:rsidRDefault="000401A7"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eastAsia="Times New Roman" w:hAnsi="Palatino Linotype" w:cs="Arial"/>
          <w:lang w:val="es-ES"/>
        </w:rPr>
        <w:t xml:space="preserve">Puntualizado lo anterior, </w:t>
      </w:r>
      <w:r w:rsidR="002C11B6" w:rsidRPr="00D75391">
        <w:rPr>
          <w:rFonts w:ascii="Palatino Linotype" w:eastAsia="Times New Roman" w:hAnsi="Palatino Linotype" w:cs="Arial"/>
          <w:lang w:val="es-ES"/>
        </w:rPr>
        <w:t>resulta pertinente traer a contexto el Estatuto Orgánico de la Secretaría Ejecutiva del Sistema Estatal  Anticorrupci</w:t>
      </w:r>
      <w:r w:rsidR="0011215D" w:rsidRPr="00D75391">
        <w:rPr>
          <w:rFonts w:ascii="Palatino Linotype" w:eastAsia="Times New Roman" w:hAnsi="Palatino Linotype" w:cs="Arial"/>
          <w:lang w:val="es-ES"/>
        </w:rPr>
        <w:t>ón, mismo que refiere  en su artículo 3 que  dicha secretaria  “</w:t>
      </w:r>
      <w:r w:rsidR="0011215D" w:rsidRPr="00D75391">
        <w:rPr>
          <w:rFonts w:ascii="Palatino Linotype" w:hAnsi="Palatino Linotype"/>
          <w:i/>
        </w:rPr>
        <w:t xml:space="preserve">es un organismo descentralizado, no sectorizado, con personalidad jurídica y patrimonio propios, con autonomía técnica y de gestión, mismo que tendrá su sede en la ciudad de Toluca de Lerdo, México,”, </w:t>
      </w:r>
      <w:r w:rsidR="0011215D" w:rsidRPr="00D75391">
        <w:rPr>
          <w:rFonts w:ascii="Palatino Linotype" w:hAnsi="Palatino Linotype"/>
        </w:rPr>
        <w:t xml:space="preserve">por lo que bajo esas consideraciones, se presume que dicho organismo tiene dentro de su naturaleza fungir como un órgano de apoyo y soporte del Comité  Coordinador. </w:t>
      </w:r>
    </w:p>
    <w:p w14:paraId="3126B623" w14:textId="77777777" w:rsidR="0011215D" w:rsidRPr="00D75391" w:rsidRDefault="0011215D" w:rsidP="00D75391">
      <w:pPr>
        <w:spacing w:before="240" w:after="240" w:line="360" w:lineRule="auto"/>
        <w:contextualSpacing/>
        <w:jc w:val="both"/>
        <w:rPr>
          <w:rFonts w:ascii="Palatino Linotype" w:eastAsia="Times New Roman" w:hAnsi="Palatino Linotype" w:cs="Times New Roman"/>
        </w:rPr>
      </w:pPr>
    </w:p>
    <w:p w14:paraId="7D9BC56B" w14:textId="23A6D906" w:rsidR="0011215D" w:rsidRPr="00D75391" w:rsidRDefault="0011215D"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hAnsi="Palatino Linotype"/>
        </w:rPr>
        <w:t xml:space="preserve"> Señalado lo anterior, los ya referidos Estatutos señalan que dicha Secretaría contará con un Órgano de Control Interno como a continuación se advierte: </w:t>
      </w:r>
    </w:p>
    <w:p w14:paraId="083B469C" w14:textId="77777777" w:rsidR="0011215D" w:rsidRPr="00D75391" w:rsidRDefault="0011215D" w:rsidP="00D75391">
      <w:pPr>
        <w:pStyle w:val="Prrafodelista"/>
        <w:spacing w:line="360" w:lineRule="auto"/>
        <w:rPr>
          <w:rFonts w:ascii="Palatino Linotype" w:eastAsia="Times New Roman" w:hAnsi="Palatino Linotype" w:cs="Times New Roman"/>
        </w:rPr>
      </w:pPr>
    </w:p>
    <w:p w14:paraId="53362C87" w14:textId="2C29A31C" w:rsidR="0011215D" w:rsidRPr="00D75391" w:rsidRDefault="000401A7" w:rsidP="00D75391">
      <w:pPr>
        <w:spacing w:before="240" w:after="240" w:line="360" w:lineRule="auto"/>
        <w:ind w:left="567" w:right="616"/>
        <w:contextualSpacing/>
        <w:jc w:val="center"/>
        <w:rPr>
          <w:rFonts w:ascii="Palatino Linotype" w:hAnsi="Palatino Linotype"/>
          <w:b/>
          <w:i/>
        </w:rPr>
      </w:pPr>
      <w:r w:rsidRPr="00D75391">
        <w:rPr>
          <w:rFonts w:ascii="Palatino Linotype" w:hAnsi="Palatino Linotype"/>
          <w:b/>
          <w:i/>
        </w:rPr>
        <w:t>“</w:t>
      </w:r>
      <w:r w:rsidR="0011215D" w:rsidRPr="00D75391">
        <w:rPr>
          <w:rFonts w:ascii="Palatino Linotype" w:hAnsi="Palatino Linotype"/>
          <w:b/>
          <w:i/>
        </w:rPr>
        <w:t>CAPÍTULO V</w:t>
      </w:r>
    </w:p>
    <w:p w14:paraId="065DA938" w14:textId="28969B45" w:rsidR="0011215D" w:rsidRPr="00D75391" w:rsidRDefault="0011215D" w:rsidP="00D75391">
      <w:pPr>
        <w:spacing w:before="240" w:after="240" w:line="360" w:lineRule="auto"/>
        <w:ind w:left="567" w:right="616"/>
        <w:contextualSpacing/>
        <w:jc w:val="center"/>
        <w:rPr>
          <w:rFonts w:ascii="Palatino Linotype" w:hAnsi="Palatino Linotype"/>
          <w:b/>
          <w:i/>
        </w:rPr>
      </w:pPr>
      <w:r w:rsidRPr="00D75391">
        <w:rPr>
          <w:rFonts w:ascii="Palatino Linotype" w:hAnsi="Palatino Linotype"/>
          <w:b/>
          <w:i/>
        </w:rPr>
        <w:t>DEL ÓRGANO INTERNO DE CONTROL</w:t>
      </w:r>
    </w:p>
    <w:p w14:paraId="34CF7A10" w14:textId="77777777" w:rsidR="0011215D" w:rsidRPr="00D75391" w:rsidRDefault="0011215D" w:rsidP="00D75391">
      <w:pPr>
        <w:spacing w:before="240" w:after="240" w:line="360" w:lineRule="auto"/>
        <w:ind w:left="567" w:right="616"/>
        <w:contextualSpacing/>
        <w:jc w:val="center"/>
        <w:rPr>
          <w:rFonts w:ascii="Palatino Linotype" w:hAnsi="Palatino Linotype"/>
          <w:i/>
        </w:rPr>
      </w:pPr>
    </w:p>
    <w:p w14:paraId="2C582158" w14:textId="1AD53E2F" w:rsidR="0011215D" w:rsidRPr="00D75391" w:rsidRDefault="0011215D" w:rsidP="00D75391">
      <w:pPr>
        <w:spacing w:before="240" w:after="240" w:line="360" w:lineRule="auto"/>
        <w:ind w:left="567" w:right="616"/>
        <w:contextualSpacing/>
        <w:jc w:val="both"/>
        <w:rPr>
          <w:rFonts w:ascii="Palatino Linotype" w:eastAsia="Times New Roman" w:hAnsi="Palatino Linotype" w:cs="Times New Roman"/>
          <w:i/>
        </w:rPr>
      </w:pPr>
      <w:r w:rsidRPr="00D75391">
        <w:rPr>
          <w:rFonts w:ascii="Palatino Linotype" w:hAnsi="Palatino Linotype"/>
          <w:b/>
          <w:i/>
        </w:rPr>
        <w:t>Artículo 26.-</w:t>
      </w:r>
      <w:r w:rsidRPr="00D75391">
        <w:rPr>
          <w:rFonts w:ascii="Palatino Linotype" w:hAnsi="Palatino Linotype"/>
          <w:i/>
        </w:rPr>
        <w:t xml:space="preserve"> Al frente del Órgano Interno de Control, habrá una o un titular, designada o designado en los términos del artículo 38 bis, fracción XIV de la Ley Orgánica de la Administración Pública del Estado de México, quien en el ejercicio de sus atribuciones se auxiliará por los servidores públicos que se requieran para satisfacer las necesidades del servicio, así como de las unidades administrativas que corresponda, de conformidad con la estructura orgánica aprobada y presupuesto autorizado, </w:t>
      </w:r>
      <w:r w:rsidRPr="00D75391">
        <w:rPr>
          <w:rFonts w:ascii="Palatino Linotype" w:hAnsi="Palatino Linotype"/>
          <w:b/>
          <w:i/>
        </w:rPr>
        <w:t>quien tendrá las atribuciones previstas en la Ley y demás disposiciones jurídicas aplicables</w:t>
      </w:r>
      <w:r w:rsidRPr="00D75391">
        <w:rPr>
          <w:rFonts w:ascii="Palatino Linotype" w:hAnsi="Palatino Linotype"/>
          <w:i/>
        </w:rPr>
        <w:t>.</w:t>
      </w:r>
      <w:r w:rsidR="000401A7" w:rsidRPr="00D75391">
        <w:rPr>
          <w:rFonts w:ascii="Palatino Linotype" w:hAnsi="Palatino Linotype"/>
          <w:i/>
        </w:rPr>
        <w:t>”</w:t>
      </w:r>
    </w:p>
    <w:p w14:paraId="5CEA7115" w14:textId="77777777" w:rsidR="0011215D" w:rsidRPr="00D75391" w:rsidRDefault="0011215D" w:rsidP="00D75391">
      <w:pPr>
        <w:spacing w:before="240" w:after="240" w:line="360" w:lineRule="auto"/>
        <w:contextualSpacing/>
        <w:jc w:val="both"/>
        <w:rPr>
          <w:rFonts w:ascii="Palatino Linotype" w:eastAsia="Times New Roman" w:hAnsi="Palatino Linotype" w:cs="Times New Roman"/>
        </w:rPr>
      </w:pPr>
    </w:p>
    <w:p w14:paraId="4F6B5F44" w14:textId="60F51CC0" w:rsidR="009D562C" w:rsidRPr="00D75391" w:rsidRDefault="00895422"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eastAsia="Times New Roman" w:hAnsi="Palatino Linotype" w:cs="Times New Roman"/>
        </w:rPr>
        <w:t xml:space="preserve">En concordancia con lo anterior en </w:t>
      </w:r>
      <w:r w:rsidR="009D562C" w:rsidRPr="00D75391">
        <w:rPr>
          <w:rFonts w:ascii="Palatino Linotype" w:eastAsia="Times New Roman" w:hAnsi="Palatino Linotype" w:cs="Times New Roman"/>
        </w:rPr>
        <w:t>la página electrónica</w:t>
      </w:r>
      <w:r w:rsidR="009D562C" w:rsidRPr="00D75391">
        <w:rPr>
          <w:rStyle w:val="Refdenotaalpie"/>
          <w:rFonts w:ascii="Palatino Linotype" w:eastAsia="Times New Roman" w:hAnsi="Palatino Linotype" w:cs="Times New Roman"/>
        </w:rPr>
        <w:footnoteReference w:id="2"/>
      </w:r>
      <w:r w:rsidR="009D562C" w:rsidRPr="00D75391">
        <w:rPr>
          <w:rFonts w:ascii="Palatino Linotype" w:eastAsia="Times New Roman" w:hAnsi="Palatino Linotype" w:cs="Times New Roman"/>
        </w:rPr>
        <w:t xml:space="preserve"> de la Secretaría Ejecutiva del Sistema Anticorrupción del Estado de México y Municipios se encuentra publicado el Organigrama del cual es posible advertir la existencia del ya referido Órgano Interno de control: </w:t>
      </w:r>
    </w:p>
    <w:p w14:paraId="17AB3B5B" w14:textId="77777777" w:rsidR="009D562C" w:rsidRPr="00D75391" w:rsidRDefault="009D562C" w:rsidP="00D75391">
      <w:pPr>
        <w:spacing w:before="240" w:after="240" w:line="360" w:lineRule="auto"/>
        <w:contextualSpacing/>
        <w:jc w:val="both"/>
        <w:rPr>
          <w:rFonts w:ascii="Palatino Linotype" w:eastAsia="Times New Roman" w:hAnsi="Palatino Linotype" w:cs="Times New Roman"/>
        </w:rPr>
      </w:pPr>
    </w:p>
    <w:p w14:paraId="2C07A0F9" w14:textId="2008DEA7" w:rsidR="009D562C" w:rsidRPr="00D75391" w:rsidRDefault="0086781E" w:rsidP="00D75391">
      <w:pPr>
        <w:spacing w:before="240" w:after="240" w:line="360" w:lineRule="auto"/>
        <w:contextualSpacing/>
        <w:jc w:val="both"/>
        <w:rPr>
          <w:rFonts w:ascii="Palatino Linotype" w:eastAsia="Times New Roman" w:hAnsi="Palatino Linotype" w:cs="Times New Roman"/>
        </w:rPr>
      </w:pPr>
      <w:r w:rsidRPr="00D75391">
        <w:rPr>
          <w:rFonts w:ascii="Palatino Linotype" w:eastAsia="Times New Roman" w:hAnsi="Palatino Linotype" w:cs="Times New Roman"/>
          <w:noProof/>
          <w:lang w:val="es-MX" w:eastAsia="es-MX"/>
        </w:rPr>
        <mc:AlternateContent>
          <mc:Choice Requires="wps">
            <w:drawing>
              <wp:anchor distT="0" distB="0" distL="114300" distR="114300" simplePos="0" relativeHeight="251660288" behindDoc="0" locked="0" layoutInCell="1" allowOverlap="1" wp14:anchorId="0F5263BE" wp14:editId="4B0CA6FD">
                <wp:simplePos x="0" y="0"/>
                <wp:positionH relativeFrom="column">
                  <wp:posOffset>1510665</wp:posOffset>
                </wp:positionH>
                <wp:positionV relativeFrom="paragraph">
                  <wp:posOffset>2295525</wp:posOffset>
                </wp:positionV>
                <wp:extent cx="647700" cy="361950"/>
                <wp:effectExtent l="57150" t="38100" r="76200" b="95250"/>
                <wp:wrapNone/>
                <wp:docPr id="3" name="Rectángulo 3"/>
                <wp:cNvGraphicFramePr/>
                <a:graphic xmlns:a="http://schemas.openxmlformats.org/drawingml/2006/main">
                  <a:graphicData uri="http://schemas.microsoft.com/office/word/2010/wordprocessingShape">
                    <wps:wsp>
                      <wps:cNvSpPr/>
                      <wps:spPr>
                        <a:xfrm>
                          <a:off x="0" y="0"/>
                          <a:ext cx="647700" cy="3619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360818" id="Rectángulo 3" o:spid="_x0000_s1026" style="position:absolute;margin-left:118.95pt;margin-top:180.75pt;width:51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BNjQIAAG0FAAAOAAAAZHJzL2Uyb0RvYy54bWysVNtqGzEQfS/0H4Tem/U1TkzWwSS4FEJi&#10;kpQ8y1rJXtBq1JHstfs3/Zb+WEfa9cakgUCpH2TNzpkZzZnL1fW+Mmyn0Jdgc94/63GmrISitOuc&#10;f39efLngzAdhC2HAqpwflOfXs8+frmo3VQPYgCkUMnJi/bR2Od+E4KZZ5uVGVcKfgVOWlBqwEoFE&#10;XGcFipq8VyYb9HrnWQ1YOASpvKevt42Sz5J/rZUMD1p7FZjJOb0tpBPTuYpnNrsS0zUKtyll+wzx&#10;D6+oRGkpaOfqVgTBtlj+5aoqJYIHHc4kVBloXUqVcqBs+r032TxthFMpFyLHu44m///cyvvdEllZ&#10;5HzImRUVleiRSPv9y663BtgwElQ7PyXck1tiK3m6xmz3Gqv4T3mwfSL10JGq9oFJ+ng+mkx6RL0k&#10;1fC8fzlOpGevxg59+KqgYvGSc6TwiUqxu/OBAhL0CImxLCxKY1LdjGV1zgcX48k4WXgwZRG1Eedx&#10;vboxyHaCSr9Y9OgXkyFvJzCSjKWPMcUmqXQLB6OiD2MflSZ2KI1+EyH2percCimVDf3Wb0JHM01P&#10;6AyHHxu2+GiqUs92xoOPjTuLFBls6Iyr0gK+58B0T9YN/shAk3ekYAXFgRoDoZkY7+SipPLcCR+W&#10;AmlEqKI09uGBDm2AygDtjbMN4M/3vkc8dS5pOatp5HLuf2wFKs7MN0s9fdkfjeKMJmE0ngxIwFPN&#10;6lRjt9UNUGn7tGCcTNeID+Z41QjVC22HeYxKKmElxc65DHgUbkKzCmi/SDWfJxjNpRPhzj45eax6&#10;bL/n/YtA1/ZooOa+h+N4iumbVm2wsR4W5tsAukx9/MpryzfNdGrIdv/EpXEqJ9Trlpz9AQAA//8D&#10;AFBLAwQUAAYACAAAACEA/noYbeIAAAALAQAADwAAAGRycy9kb3ducmV2LnhtbEyPwU7DMAyG70i8&#10;Q2QkbiztykZbmk4DAdoBDoxJXNPWtB2JUzXZVt5+5gRH259+f3+xmqwRRxx970hBPItAINWu6alV&#10;sPt4vklB+KCp0cYRKvhBD6vy8qLQeeNO9I7HbWgFh5DPtYIuhCGX0tcdWu1nbkDi25cbrQ48jq1s&#10;Rn3icGvkPIqW0uqe+EOnB3zssP7eHqwCk1Wb/ct6t083b09mePj0ryFLlbq+mtb3IAJO4Q+GX31W&#10;h5KdKnegxgujYJ7cZYwqSJbxAgQTSZLxplJwG6cLkGUh/3cozwAAAP//AwBQSwECLQAUAAYACAAA&#10;ACEAtoM4kv4AAADhAQAAEwAAAAAAAAAAAAAAAAAAAAAAW0NvbnRlbnRfVHlwZXNdLnhtbFBLAQIt&#10;ABQABgAIAAAAIQA4/SH/1gAAAJQBAAALAAAAAAAAAAAAAAAAAC8BAABfcmVscy8ucmVsc1BLAQIt&#10;ABQABgAIAAAAIQCZUsBNjQIAAG0FAAAOAAAAAAAAAAAAAAAAAC4CAABkcnMvZTJvRG9jLnhtbFBL&#10;AQItABQABgAIAAAAIQD+ehht4gAAAAsBAAAPAAAAAAAAAAAAAAAAAOcEAABkcnMvZG93bnJldi54&#10;bWxQSwUGAAAAAAQABADzAAAA9gUAAAAA&#10;" filled="f" strokecolor="red" strokeweight="2.25pt">
                <v:shadow on="t" color="black" opacity="22937f" origin=",.5" offset="0,.63889mm"/>
              </v:rect>
            </w:pict>
          </mc:Fallback>
        </mc:AlternateContent>
      </w:r>
      <w:r w:rsidR="009D562C" w:rsidRPr="00D75391">
        <w:rPr>
          <w:rFonts w:ascii="Palatino Linotype" w:eastAsia="Times New Roman" w:hAnsi="Palatino Linotype" w:cs="Times New Roman"/>
        </w:rPr>
        <w:t xml:space="preserve">  </w:t>
      </w:r>
      <w:r w:rsidR="009D562C" w:rsidRPr="00D75391">
        <w:rPr>
          <w:rFonts w:ascii="Palatino Linotype" w:hAnsi="Palatino Linotype"/>
          <w:noProof/>
          <w:lang w:val="es-MX" w:eastAsia="es-MX"/>
        </w:rPr>
        <w:drawing>
          <wp:inline distT="0" distB="0" distL="0" distR="0" wp14:anchorId="62916947" wp14:editId="0C6D5931">
            <wp:extent cx="5661025" cy="3600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56" t="29270" r="12424" b="19735"/>
                    <a:stretch/>
                  </pic:blipFill>
                  <pic:spPr bwMode="auto">
                    <a:xfrm>
                      <a:off x="0" y="0"/>
                      <a:ext cx="5678446" cy="3611530"/>
                    </a:xfrm>
                    <a:prstGeom prst="rect">
                      <a:avLst/>
                    </a:prstGeom>
                    <a:ln>
                      <a:noFill/>
                    </a:ln>
                    <a:extLst>
                      <a:ext uri="{53640926-AAD7-44D8-BBD7-CCE9431645EC}">
                        <a14:shadowObscured xmlns:a14="http://schemas.microsoft.com/office/drawing/2010/main"/>
                      </a:ext>
                    </a:extLst>
                  </pic:spPr>
                </pic:pic>
              </a:graphicData>
            </a:graphic>
          </wp:inline>
        </w:drawing>
      </w:r>
    </w:p>
    <w:p w14:paraId="7B1CEB24" w14:textId="77777777" w:rsidR="009D562C" w:rsidRPr="00D75391" w:rsidRDefault="009D562C" w:rsidP="00D75391">
      <w:pPr>
        <w:spacing w:before="240" w:after="240" w:line="360" w:lineRule="auto"/>
        <w:contextualSpacing/>
        <w:jc w:val="both"/>
        <w:rPr>
          <w:rFonts w:ascii="Palatino Linotype" w:eastAsia="Times New Roman" w:hAnsi="Palatino Linotype" w:cs="Times New Roman"/>
        </w:rPr>
      </w:pPr>
    </w:p>
    <w:p w14:paraId="1E20E476" w14:textId="3CB9B6FD" w:rsidR="000401A7" w:rsidRPr="00D75391" w:rsidRDefault="000401A7"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hAnsi="Palatino Linotype"/>
        </w:rPr>
        <w:t>As</w:t>
      </w:r>
      <w:r w:rsidR="001A0042" w:rsidRPr="00D75391">
        <w:rPr>
          <w:rFonts w:ascii="Palatino Linotype" w:hAnsi="Palatino Linotype"/>
        </w:rPr>
        <w:t xml:space="preserve">í y toda vez que como se señala, </w:t>
      </w:r>
      <w:r w:rsidRPr="00D75391">
        <w:rPr>
          <w:rFonts w:ascii="Palatino Linotype" w:hAnsi="Palatino Linotype"/>
        </w:rPr>
        <w:t xml:space="preserve">la Secretaría Ejecutiva del sistema Estatal Anticorrupción cuenta con un Órgano Interno de Control, mismo que tendrá de manera supletoria las funciones que realiza la secretaría de la Contraloría del Estado de México dentro de las cuales se encuentran: </w:t>
      </w:r>
    </w:p>
    <w:p w14:paraId="791307E1" w14:textId="77777777" w:rsidR="000401A7" w:rsidRPr="00D75391" w:rsidRDefault="000401A7" w:rsidP="00D75391">
      <w:pPr>
        <w:spacing w:before="240" w:after="240" w:line="360" w:lineRule="auto"/>
        <w:contextualSpacing/>
        <w:jc w:val="both"/>
        <w:rPr>
          <w:rFonts w:ascii="Palatino Linotype" w:eastAsia="Times New Roman" w:hAnsi="Palatino Linotype" w:cs="Times New Roman"/>
        </w:rPr>
      </w:pPr>
    </w:p>
    <w:p w14:paraId="2E7D0899" w14:textId="64DC13C7" w:rsidR="000401A7" w:rsidRPr="00D75391" w:rsidRDefault="001E6DA9"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b/>
          <w:i/>
        </w:rPr>
        <w:t>“</w:t>
      </w:r>
      <w:r w:rsidR="000401A7" w:rsidRPr="00D75391">
        <w:rPr>
          <w:rFonts w:ascii="Palatino Linotype" w:hAnsi="Palatino Linotype"/>
          <w:b/>
          <w:i/>
        </w:rPr>
        <w:t>Artículo 38 bis.</w:t>
      </w:r>
      <w:r w:rsidR="000401A7" w:rsidRPr="00D75391">
        <w:rPr>
          <w:rFonts w:ascii="Palatino Linotype" w:hAnsi="Palatino Linotype"/>
          <w:i/>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14:paraId="0A66BA31" w14:textId="77777777" w:rsidR="000401A7" w:rsidRPr="00D75391" w:rsidRDefault="000401A7" w:rsidP="00D75391">
      <w:pPr>
        <w:spacing w:before="240" w:after="240" w:line="360" w:lineRule="auto"/>
        <w:ind w:left="567" w:right="616"/>
        <w:contextualSpacing/>
        <w:jc w:val="both"/>
        <w:rPr>
          <w:rFonts w:ascii="Palatino Linotype" w:hAnsi="Palatino Linotype"/>
          <w:i/>
        </w:rPr>
      </w:pPr>
    </w:p>
    <w:p w14:paraId="08B067C7" w14:textId="0DBF993F" w:rsidR="000401A7" w:rsidRPr="00D75391" w:rsidRDefault="000401A7" w:rsidP="00D75391">
      <w:pPr>
        <w:spacing w:before="240" w:after="240" w:line="360" w:lineRule="auto"/>
        <w:ind w:left="567" w:right="616"/>
        <w:contextualSpacing/>
        <w:jc w:val="both"/>
        <w:rPr>
          <w:rFonts w:ascii="Palatino Linotype" w:hAnsi="Palatino Linotype"/>
          <w:i/>
        </w:rPr>
      </w:pPr>
      <w:r w:rsidRPr="00D75391">
        <w:rPr>
          <w:rFonts w:ascii="Palatino Linotype" w:hAnsi="Palatino Linotype"/>
          <w:i/>
        </w:rPr>
        <w:t xml:space="preserve"> A la propia Secretaría, le corresponde el despacho de los siguientes asuntos:</w:t>
      </w:r>
    </w:p>
    <w:p w14:paraId="0C2445EC" w14:textId="77777777" w:rsidR="001E6DA9" w:rsidRPr="00D75391" w:rsidRDefault="001E6DA9" w:rsidP="00D75391">
      <w:pPr>
        <w:spacing w:before="240" w:after="240" w:line="360" w:lineRule="auto"/>
        <w:ind w:left="567" w:right="616"/>
        <w:contextualSpacing/>
        <w:jc w:val="both"/>
        <w:rPr>
          <w:rFonts w:ascii="Palatino Linotype" w:hAnsi="Palatino Linotype"/>
          <w:i/>
        </w:rPr>
      </w:pPr>
    </w:p>
    <w:p w14:paraId="32C820D9" w14:textId="066C02A2" w:rsidR="001A0042" w:rsidRPr="00D75391" w:rsidRDefault="001E6DA9" w:rsidP="00D75391">
      <w:pPr>
        <w:spacing w:before="240" w:after="240" w:line="360" w:lineRule="auto"/>
        <w:ind w:left="567" w:right="616"/>
        <w:contextualSpacing/>
        <w:jc w:val="both"/>
        <w:rPr>
          <w:rFonts w:ascii="Palatino Linotype" w:hAnsi="Palatino Linotype"/>
          <w:b/>
          <w:i/>
        </w:rPr>
      </w:pPr>
      <w:r w:rsidRPr="00D75391">
        <w:rPr>
          <w:rFonts w:ascii="Palatino Linotype" w:hAnsi="Palatino Linotype"/>
          <w:i/>
        </w:rPr>
        <w:t xml:space="preserve">VIII. Inspeccionar y vigilar directamente </w:t>
      </w:r>
      <w:r w:rsidRPr="00D75391">
        <w:rPr>
          <w:rFonts w:ascii="Palatino Linotype" w:hAnsi="Palatino Linotype"/>
          <w:b/>
          <w:i/>
        </w:rPr>
        <w:t>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w:t>
      </w:r>
      <w:r w:rsidR="002E783F" w:rsidRPr="00D75391">
        <w:rPr>
          <w:rFonts w:ascii="Palatino Linotype" w:hAnsi="Palatino Linotype"/>
          <w:b/>
          <w:i/>
        </w:rPr>
        <w:t>dministración Pública Estatal.”</w:t>
      </w:r>
    </w:p>
    <w:p w14:paraId="6244C5AC" w14:textId="34785927" w:rsidR="002E783F" w:rsidRPr="00D75391" w:rsidRDefault="001A0042" w:rsidP="00D75391">
      <w:pPr>
        <w:pStyle w:val="Prrafodelista"/>
        <w:numPr>
          <w:ilvl w:val="0"/>
          <w:numId w:val="1"/>
        </w:numPr>
        <w:spacing w:line="360" w:lineRule="auto"/>
        <w:ind w:left="0" w:firstLine="0"/>
        <w:jc w:val="both"/>
        <w:rPr>
          <w:rFonts w:ascii="Palatino Linotype" w:hAnsi="Palatino Linotype"/>
          <w:lang w:val="es-MX" w:eastAsia="en-US"/>
        </w:rPr>
      </w:pPr>
      <w:r w:rsidRPr="00D75391">
        <w:rPr>
          <w:rFonts w:ascii="Palatino Linotype" w:hAnsi="Palatino Linotype"/>
        </w:rPr>
        <w:t xml:space="preserve">Así, </w:t>
      </w:r>
      <w:r w:rsidR="00895422" w:rsidRPr="00D75391">
        <w:rPr>
          <w:rFonts w:ascii="Palatino Linotype" w:hAnsi="Palatino Linotype"/>
        </w:rPr>
        <w:t xml:space="preserve">este </w:t>
      </w:r>
      <w:proofErr w:type="spellStart"/>
      <w:r w:rsidR="00895422" w:rsidRPr="00D75391">
        <w:rPr>
          <w:rFonts w:ascii="Palatino Linotype" w:hAnsi="Palatino Linotype"/>
        </w:rPr>
        <w:t>Resolutor</w:t>
      </w:r>
      <w:proofErr w:type="spellEnd"/>
      <w:r w:rsidR="00895422" w:rsidRPr="00D75391">
        <w:rPr>
          <w:rFonts w:ascii="Palatino Linotype" w:hAnsi="Palatino Linotype"/>
        </w:rPr>
        <w:t xml:space="preserve"> se encuentra en posibilidad de determinar que </w:t>
      </w:r>
      <w:r w:rsidRPr="00D75391">
        <w:rPr>
          <w:rFonts w:ascii="Palatino Linotype" w:hAnsi="Palatino Linotype"/>
        </w:rPr>
        <w:t xml:space="preserve">le corresponde al </w:t>
      </w:r>
      <w:r w:rsidRPr="00D75391">
        <w:rPr>
          <w:rFonts w:ascii="Palatino Linotype" w:hAnsi="Palatino Linotype"/>
          <w:b/>
        </w:rPr>
        <w:t xml:space="preserve">Órgano Interno de Control de la Secretaría ejecutiva del Sistema Estatal Anticorrupción </w:t>
      </w:r>
      <w:r w:rsidR="00895422" w:rsidRPr="00D75391">
        <w:rPr>
          <w:rFonts w:ascii="Palatino Linotype" w:hAnsi="Palatino Linotype"/>
          <w:b/>
        </w:rPr>
        <w:t>realizar a</w:t>
      </w:r>
      <w:r w:rsidR="002E783F" w:rsidRPr="00D75391">
        <w:rPr>
          <w:rFonts w:ascii="Palatino Linotype" w:hAnsi="Palatino Linotype"/>
          <w:b/>
        </w:rPr>
        <w:t xml:space="preserve">uditorías y evaluaciones de las áreas que integran la estructura orgánica del Sujeto Obligado. </w:t>
      </w:r>
      <w:r w:rsidR="002E783F" w:rsidRPr="00D75391">
        <w:rPr>
          <w:rFonts w:ascii="Palatino Linotype" w:hAnsi="Palatino Linotype"/>
        </w:rPr>
        <w:t>En ese sentido, l</w:t>
      </w:r>
      <w:r w:rsidR="002E783F" w:rsidRPr="00D75391">
        <w:rPr>
          <w:rFonts w:ascii="Palatino Linotype" w:hAnsi="Palatino Linotype"/>
          <w:lang w:val="es-ES"/>
        </w:rPr>
        <w:t xml:space="preserve">os </w:t>
      </w:r>
      <w:r w:rsidR="002E783F" w:rsidRPr="00D75391">
        <w:rPr>
          <w:rFonts w:ascii="Palatino Linotype"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2E783F" w:rsidRPr="00D75391">
        <w:rPr>
          <w:rFonts w:ascii="Palatino Linotype" w:hAnsi="Palatino Linotype"/>
          <w:i/>
          <w:vertAlign w:val="superscript"/>
        </w:rPr>
        <w:footnoteReference w:id="3"/>
      </w:r>
      <w:r w:rsidR="002E783F" w:rsidRPr="00D75391">
        <w:rPr>
          <w:rFonts w:ascii="Palatino Linotype" w:hAnsi="Palatino Linotype"/>
        </w:rPr>
        <w:t>, indican la forma en que deberá ser publicada la información relativa a los informes de resultados de las Auditorías al ejercicio presupuestal de cada Sujeto Obligado, a saber:</w:t>
      </w:r>
    </w:p>
    <w:p w14:paraId="0360518C" w14:textId="77777777" w:rsidR="002E783F"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i/>
          <w:lang w:val="es-MX" w:eastAsia="es-MX"/>
        </w:rPr>
        <w:t xml:space="preserve">“Los sujetos obligados publicarán la información correspondiente a los resultados de las auditorías internas y externas realizadas a su ejercicio presupuestal, así como los </w:t>
      </w:r>
      <w:r w:rsidRPr="00D75391">
        <w:rPr>
          <w:rFonts w:ascii="Palatino Linotype" w:eastAsia="Times New Roman" w:hAnsi="Palatino Linotype" w:cs="Times New Roman"/>
          <w:b/>
          <w:i/>
          <w:lang w:val="es-MX" w:eastAsia="es-MX"/>
        </w:rPr>
        <w:t>hallazgos, observaciones, conclusiones, recomendaciones, dictámenes o documentos correspondientes, entregados por la instancia que las haya realizado y, en su caso, el seguimiento a cada una de ellas</w:t>
      </w:r>
      <w:r w:rsidRPr="00D75391">
        <w:rPr>
          <w:rFonts w:ascii="Palatino Linotype" w:eastAsia="Times New Roman" w:hAnsi="Palatino Linotype" w:cs="Times New Roman"/>
          <w:i/>
          <w:lang w:val="es-MX" w:eastAsia="es-MX"/>
        </w:rPr>
        <w:t>.</w:t>
      </w:r>
    </w:p>
    <w:p w14:paraId="21251737" w14:textId="77777777" w:rsidR="002E783F"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i/>
          <w:lang w:val="es-MX" w:eastAsia="es-MX"/>
        </w:rPr>
        <w:t>(…)</w:t>
      </w:r>
    </w:p>
    <w:p w14:paraId="26F86B07" w14:textId="77777777" w:rsidR="002E783F"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i/>
          <w:lang w:val="es-MX" w:eastAsia="es-MX"/>
        </w:rPr>
        <w:t xml:space="preserve">Los resultados de estas verificaciones, mismos que emiten los órganos fiscalizadores, deben ser publicados por el sujeto obligado, así como las aclaraciones correspondientes aun cuando su seguimiento no esté concluido. </w:t>
      </w:r>
    </w:p>
    <w:p w14:paraId="232EC16A" w14:textId="77777777" w:rsidR="002E783F"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i/>
          <w:lang w:val="es-MX" w:eastAsia="es-MX"/>
        </w:rPr>
        <w:t xml:space="preserve">El sujeto obligado deberá ordenar la información en dos rubros: </w:t>
      </w:r>
    </w:p>
    <w:p w14:paraId="53BEB920" w14:textId="77777777" w:rsidR="002E783F"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b/>
          <w:i/>
          <w:lang w:val="es-MX" w:eastAsia="es-MX"/>
        </w:rPr>
      </w:pPr>
      <w:r w:rsidRPr="00D75391">
        <w:rPr>
          <w:rFonts w:ascii="Palatino Linotype" w:eastAsia="Times New Roman" w:hAnsi="Palatino Linotype" w:cs="Times New Roman"/>
          <w:b/>
          <w:i/>
          <w:lang w:val="es-MX" w:eastAsia="es-MX"/>
        </w:rPr>
        <w:sym w:font="Symbol" w:char="F0B7"/>
      </w:r>
      <w:r w:rsidRPr="00D75391">
        <w:rPr>
          <w:rFonts w:ascii="Palatino Linotype" w:eastAsia="Times New Roman" w:hAnsi="Palatino Linotype" w:cs="Times New Roman"/>
          <w:b/>
          <w:i/>
          <w:lang w:val="es-MX" w:eastAsia="es-MX"/>
        </w:rPr>
        <w:t xml:space="preserve"> Auditorías Internas </w:t>
      </w:r>
    </w:p>
    <w:p w14:paraId="56D0F49D" w14:textId="77777777" w:rsidR="002E783F"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i/>
          <w:lang w:val="es-MX" w:eastAsia="es-MX"/>
        </w:rPr>
        <w:sym w:font="Symbol" w:char="F0B7"/>
      </w:r>
      <w:r w:rsidRPr="00D75391">
        <w:rPr>
          <w:rFonts w:ascii="Palatino Linotype" w:eastAsia="Times New Roman" w:hAnsi="Palatino Linotype" w:cs="Times New Roman"/>
          <w:i/>
          <w:lang w:val="es-MX" w:eastAsia="es-MX"/>
        </w:rPr>
        <w:t xml:space="preserve"> Auditorías Externas </w:t>
      </w:r>
    </w:p>
    <w:p w14:paraId="099BD2A0" w14:textId="2BC617A9" w:rsidR="001A0042" w:rsidRPr="00D75391" w:rsidRDefault="002E783F" w:rsidP="00D75391">
      <w:pPr>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b/>
          <w:i/>
          <w:lang w:val="es-MX" w:eastAsia="es-MX"/>
        </w:rPr>
        <w:t>Las auditorías internas se refieren a las revisiones realizadas por los órganos internos de control o contralorías de cada sujeto obligado</w:t>
      </w:r>
      <w:r w:rsidRPr="00D75391">
        <w:rPr>
          <w:rFonts w:ascii="Palatino Linotype" w:eastAsia="Times New Roman" w:hAnsi="Palatino Linotype" w:cs="Times New Roman"/>
          <w:i/>
          <w:lang w:val="es-MX" w:eastAsia="es-MX"/>
        </w:rPr>
        <w:t xml:space="preserve">, los cuales actúan a lo largo de todo el año o durante la gestión del sujeto. Las auditorías externas se refieren a las revisiones realizadas por el organismo fiscalizador encargado de la entidad que corresponda, así como por las organizaciones, instituciones, consultoras u homólogas externas que el sujeto obligado haya contratado para tal finalidad. Además, en el rubro correspondiente a esta fracción se publicarán los datos obtenidos de las revisiones hechas por la Auditoría Superior de la Federación (ASF) independientemente </w:t>
      </w:r>
      <w:r w:rsidR="001A0042" w:rsidRPr="00D75391">
        <w:rPr>
          <w:rFonts w:ascii="Palatino Linotype" w:eastAsia="Times New Roman" w:hAnsi="Palatino Linotype" w:cs="Times New Roman"/>
          <w:i/>
          <w:lang w:val="es-MX" w:eastAsia="es-MX"/>
        </w:rPr>
        <w:t>del nivel del sujeto obligado…”</w:t>
      </w:r>
    </w:p>
    <w:p w14:paraId="687745EB" w14:textId="144AC477" w:rsidR="00DB2D10" w:rsidRPr="00D75391" w:rsidRDefault="002E783F" w:rsidP="00D75391">
      <w:pPr>
        <w:numPr>
          <w:ilvl w:val="0"/>
          <w:numId w:val="1"/>
        </w:numPr>
        <w:spacing w:line="360" w:lineRule="auto"/>
        <w:ind w:left="0" w:firstLine="0"/>
        <w:jc w:val="both"/>
        <w:rPr>
          <w:rFonts w:ascii="Palatino Linotype" w:eastAsia="Times New Roman" w:hAnsi="Palatino Linotype" w:cs="Times New Roman"/>
          <w:lang w:val="es-MX" w:eastAsia="es-MX"/>
        </w:rPr>
      </w:pPr>
      <w:r w:rsidRPr="00D75391">
        <w:rPr>
          <w:rFonts w:ascii="Palatino Linotype" w:eastAsia="Times New Roman" w:hAnsi="Palatino Linotype" w:cs="Times New Roman"/>
          <w:lang w:val="es-MX" w:eastAsia="es-MX"/>
        </w:rPr>
        <w:t xml:space="preserve">De lo anterior transcrito se desprende que los Lineamientos en consulta, contemplan la publicación de los resultados de las Auditorías tanto </w:t>
      </w:r>
      <w:r w:rsidRPr="00D75391">
        <w:rPr>
          <w:rFonts w:ascii="Palatino Linotype" w:eastAsia="Times New Roman" w:hAnsi="Palatino Linotype" w:cs="Times New Roman"/>
          <w:b/>
          <w:lang w:val="es-MX" w:eastAsia="es-MX"/>
        </w:rPr>
        <w:t>internas</w:t>
      </w:r>
      <w:r w:rsidRPr="00D75391">
        <w:rPr>
          <w:rFonts w:ascii="Palatino Linotype" w:eastAsia="Times New Roman" w:hAnsi="Palatino Linotype" w:cs="Times New Roman"/>
          <w:lang w:val="es-MX" w:eastAsia="es-MX"/>
        </w:rPr>
        <w:t xml:space="preserve"> como externas</w:t>
      </w:r>
      <w:r w:rsidRPr="00D75391">
        <w:rPr>
          <w:rFonts w:ascii="Palatino Linotype" w:eastAsia="Times New Roman" w:hAnsi="Palatino Linotype" w:cs="Times New Roman"/>
          <w:b/>
          <w:lang w:val="es-MX" w:eastAsia="es-MX"/>
        </w:rPr>
        <w:t>,</w:t>
      </w:r>
      <w:r w:rsidRPr="00D75391">
        <w:rPr>
          <w:rFonts w:ascii="Palatino Linotype" w:eastAsia="Times New Roman" w:hAnsi="Palatino Linotype" w:cs="Times New Roman"/>
          <w:lang w:val="es-MX" w:eastAsia="es-MX"/>
        </w:rPr>
        <w:t xml:space="preserve"> además de los hallazgos, observaciones, conclusiones, recomendaciones, dictámenes o documentos correspondientes, entregados por la instancia que las haya realizado</w:t>
      </w:r>
      <w:r w:rsidR="00DB2D10" w:rsidRPr="00D75391">
        <w:rPr>
          <w:rFonts w:ascii="Palatino Linotype" w:eastAsia="Times New Roman" w:hAnsi="Palatino Linotype" w:cs="Times New Roman"/>
          <w:lang w:val="es-MX" w:eastAsia="es-MX"/>
        </w:rPr>
        <w:t>.</w:t>
      </w:r>
    </w:p>
    <w:p w14:paraId="135FBA76" w14:textId="77777777" w:rsidR="00A420DE" w:rsidRPr="00D75391" w:rsidRDefault="00A420DE" w:rsidP="00D75391">
      <w:pPr>
        <w:spacing w:line="360" w:lineRule="auto"/>
        <w:jc w:val="both"/>
        <w:rPr>
          <w:rFonts w:ascii="Palatino Linotype" w:eastAsia="Times New Roman" w:hAnsi="Palatino Linotype" w:cs="Times New Roman"/>
          <w:lang w:val="es-MX" w:eastAsia="es-MX"/>
        </w:rPr>
      </w:pPr>
    </w:p>
    <w:p w14:paraId="46D98774" w14:textId="4A1DFA83" w:rsidR="00B031F5" w:rsidRPr="00D75391" w:rsidRDefault="00DB2D10" w:rsidP="00D75391">
      <w:pPr>
        <w:numPr>
          <w:ilvl w:val="0"/>
          <w:numId w:val="1"/>
        </w:numPr>
        <w:spacing w:line="360" w:lineRule="auto"/>
        <w:ind w:left="0" w:firstLine="0"/>
        <w:jc w:val="both"/>
        <w:rPr>
          <w:rFonts w:ascii="Palatino Linotype" w:eastAsia="Times New Roman" w:hAnsi="Palatino Linotype" w:cs="Times New Roman"/>
          <w:lang w:val="es-MX" w:eastAsia="es-MX"/>
        </w:rPr>
      </w:pPr>
      <w:r w:rsidRPr="00D75391">
        <w:rPr>
          <w:rFonts w:ascii="Palatino Linotype" w:eastAsia="Times New Roman" w:hAnsi="Palatino Linotype" w:cs="Times New Roman"/>
          <w:lang w:val="es-MX" w:eastAsia="es-MX"/>
        </w:rPr>
        <w:t>E</w:t>
      </w:r>
      <w:r w:rsidR="00A420DE" w:rsidRPr="00D75391">
        <w:rPr>
          <w:rFonts w:ascii="Palatino Linotype" w:eastAsia="Times New Roman" w:hAnsi="Palatino Linotype" w:cs="Times New Roman"/>
          <w:lang w:val="es-MX" w:eastAsia="es-MX"/>
        </w:rPr>
        <w:t>n ese sentido</w:t>
      </w:r>
      <w:r w:rsidR="00003AF9" w:rsidRPr="00D75391">
        <w:rPr>
          <w:rFonts w:ascii="Palatino Linotype" w:eastAsia="Times New Roman" w:hAnsi="Palatino Linotype" w:cs="Times New Roman"/>
          <w:lang w:val="es-MX" w:eastAsia="es-MX"/>
        </w:rPr>
        <w:t xml:space="preserve"> resulta inadmisible para este </w:t>
      </w:r>
      <w:proofErr w:type="spellStart"/>
      <w:r w:rsidR="00003AF9" w:rsidRPr="00D75391">
        <w:rPr>
          <w:rFonts w:ascii="Palatino Linotype" w:eastAsia="Times New Roman" w:hAnsi="Palatino Linotype" w:cs="Times New Roman"/>
          <w:lang w:val="es-MX" w:eastAsia="es-MX"/>
        </w:rPr>
        <w:t>resolutor</w:t>
      </w:r>
      <w:proofErr w:type="spellEnd"/>
      <w:r w:rsidR="00A420DE" w:rsidRPr="00D75391">
        <w:rPr>
          <w:rFonts w:ascii="Palatino Linotype" w:eastAsia="Times New Roman" w:hAnsi="Palatino Linotype" w:cs="Times New Roman"/>
          <w:lang w:val="es-MX" w:eastAsia="es-MX"/>
        </w:rPr>
        <w:t xml:space="preserve">, </w:t>
      </w:r>
      <w:r w:rsidR="00003AF9" w:rsidRPr="00D75391">
        <w:rPr>
          <w:rFonts w:ascii="Palatino Linotype" w:eastAsia="Times New Roman" w:hAnsi="Palatino Linotype" w:cs="Times New Roman"/>
          <w:lang w:val="es-MX" w:eastAsia="es-MX"/>
        </w:rPr>
        <w:t xml:space="preserve"> que el </w:t>
      </w:r>
      <w:r w:rsidR="001A0042" w:rsidRPr="00D75391">
        <w:rPr>
          <w:rFonts w:ascii="Palatino Linotype" w:eastAsia="Times New Roman" w:hAnsi="Palatino Linotype" w:cs="Times New Roman"/>
          <w:lang w:val="es-MX" w:eastAsia="es-MX"/>
        </w:rPr>
        <w:t xml:space="preserve">Órgano de Control Interno de la Secretaría Ejecutiva del Sistema Estatal Anticorrupción </w:t>
      </w:r>
      <w:r w:rsidR="00746D89" w:rsidRPr="00D75391">
        <w:rPr>
          <w:rFonts w:ascii="Palatino Linotype" w:eastAsia="Times New Roman" w:hAnsi="Palatino Linotype" w:cs="Times New Roman"/>
          <w:lang w:val="es-MX" w:eastAsia="es-MX"/>
        </w:rPr>
        <w:t>no hubiera</w:t>
      </w:r>
      <w:r w:rsidR="00B4077D" w:rsidRPr="00D75391">
        <w:rPr>
          <w:rFonts w:ascii="Palatino Linotype" w:eastAsia="Times New Roman" w:hAnsi="Palatino Linotype" w:cs="Times New Roman"/>
          <w:lang w:val="es-MX" w:eastAsia="es-MX"/>
        </w:rPr>
        <w:t xml:space="preserve"> realizado ninguna acción de control a las direcciones o  entes </w:t>
      </w:r>
      <w:r w:rsidRPr="00D75391">
        <w:rPr>
          <w:rFonts w:ascii="Palatino Linotype" w:eastAsia="Times New Roman" w:hAnsi="Palatino Linotype" w:cs="Times New Roman"/>
          <w:lang w:val="es-MX" w:eastAsia="es-MX"/>
        </w:rPr>
        <w:t xml:space="preserve"> fiscalizables</w:t>
      </w:r>
      <w:r w:rsidR="000305E0" w:rsidRPr="00D75391">
        <w:rPr>
          <w:rFonts w:ascii="Palatino Linotype" w:eastAsia="Times New Roman" w:hAnsi="Palatino Linotype" w:cs="Times New Roman"/>
          <w:lang w:val="es-MX" w:eastAsia="es-MX"/>
        </w:rPr>
        <w:t xml:space="preserve"> a su cargo</w:t>
      </w:r>
      <w:r w:rsidR="00003AF9" w:rsidRPr="00D75391">
        <w:rPr>
          <w:rFonts w:ascii="Palatino Linotype" w:eastAsia="Times New Roman" w:hAnsi="Palatino Linotype" w:cs="Times New Roman"/>
          <w:lang w:val="es-MX" w:eastAsia="es-MX"/>
        </w:rPr>
        <w:t xml:space="preserve">, </w:t>
      </w:r>
      <w:r w:rsidR="00B4077D" w:rsidRPr="00D75391">
        <w:rPr>
          <w:rFonts w:ascii="Palatino Linotype" w:eastAsia="Times New Roman" w:hAnsi="Palatino Linotype" w:cs="Times New Roman"/>
          <w:lang w:val="es-MX" w:eastAsia="es-MX"/>
        </w:rPr>
        <w:t xml:space="preserve">toda vez que como </w:t>
      </w:r>
      <w:r w:rsidR="000305E0" w:rsidRPr="00D75391">
        <w:rPr>
          <w:rFonts w:ascii="Palatino Linotype" w:eastAsia="Times New Roman" w:hAnsi="Palatino Linotype" w:cs="Times New Roman"/>
          <w:lang w:val="es-MX" w:eastAsia="es-MX"/>
        </w:rPr>
        <w:t xml:space="preserve">principal </w:t>
      </w:r>
      <w:r w:rsidR="00B4077D" w:rsidRPr="00D75391">
        <w:rPr>
          <w:rFonts w:ascii="Palatino Linotype" w:eastAsia="Times New Roman" w:hAnsi="Palatino Linotype" w:cs="Times New Roman"/>
          <w:lang w:val="es-MX" w:eastAsia="es-MX"/>
        </w:rPr>
        <w:t>función</w:t>
      </w:r>
      <w:r w:rsidR="000305E0" w:rsidRPr="00D75391">
        <w:rPr>
          <w:rFonts w:ascii="Palatino Linotype" w:eastAsia="Times New Roman" w:hAnsi="Palatino Linotype" w:cs="Times New Roman"/>
          <w:lang w:val="es-MX" w:eastAsia="es-MX"/>
        </w:rPr>
        <w:t xml:space="preserve"> de la Secretaría Ejecutiva del Sistema Estatal Anticorrupción se tiene la </w:t>
      </w:r>
      <w:r w:rsidRPr="00D75391">
        <w:rPr>
          <w:rFonts w:ascii="Palatino Linotype" w:eastAsia="Times New Roman" w:hAnsi="Palatino Linotype" w:cs="Times New Roman"/>
          <w:lang w:val="es-MX" w:eastAsia="es-MX"/>
        </w:rPr>
        <w:t xml:space="preserve"> </w:t>
      </w:r>
      <w:r w:rsidR="000305E0" w:rsidRPr="00D75391">
        <w:rPr>
          <w:rFonts w:ascii="Palatino Linotype" w:eastAsia="Times New Roman" w:hAnsi="Palatino Linotype" w:cs="Times New Roman"/>
          <w:lang w:val="es-MX" w:eastAsia="es-MX"/>
        </w:rPr>
        <w:t xml:space="preserve">fungir como órgano de apoyo técnico del Comité Coordinador mismo que tiene como </w:t>
      </w:r>
      <w:r w:rsidR="008F20E0" w:rsidRPr="00D75391">
        <w:rPr>
          <w:rFonts w:ascii="Palatino Linotype" w:eastAsia="Times New Roman" w:hAnsi="Palatino Linotype" w:cs="Times New Roman"/>
          <w:lang w:val="es-MX" w:eastAsia="es-MX"/>
        </w:rPr>
        <w:t xml:space="preserve">principal </w:t>
      </w:r>
      <w:r w:rsidR="000305E0" w:rsidRPr="00D75391">
        <w:rPr>
          <w:rFonts w:ascii="Palatino Linotype" w:eastAsia="Times New Roman" w:hAnsi="Palatino Linotype" w:cs="Times New Roman"/>
          <w:lang w:val="es-MX" w:eastAsia="es-MX"/>
        </w:rPr>
        <w:t xml:space="preserve">finalidad el </w:t>
      </w:r>
      <w:r w:rsidR="00B4077D" w:rsidRPr="00D75391">
        <w:rPr>
          <w:rFonts w:ascii="Palatino Linotype" w:eastAsia="Times New Roman" w:hAnsi="Palatino Linotype" w:cs="Times New Roman"/>
          <w:lang w:val="es-MX" w:eastAsia="es-MX"/>
        </w:rPr>
        <w:t>combate a la corrupción</w:t>
      </w:r>
      <w:r w:rsidR="00B031F5" w:rsidRPr="00D75391">
        <w:rPr>
          <w:rFonts w:ascii="Palatino Linotype" w:eastAsia="Times New Roman" w:hAnsi="Palatino Linotype" w:cs="Times New Roman"/>
          <w:lang w:val="es-MX" w:eastAsia="es-MX"/>
        </w:rPr>
        <w:t>, por lo que se le</w:t>
      </w:r>
      <w:r w:rsidR="00A420DE" w:rsidRPr="00D75391">
        <w:rPr>
          <w:rFonts w:ascii="Palatino Linotype" w:eastAsia="Times New Roman" w:hAnsi="Palatino Linotype" w:cs="Times New Roman"/>
          <w:lang w:val="es-MX" w:eastAsia="es-MX"/>
        </w:rPr>
        <w:t xml:space="preserve"> apercibe</w:t>
      </w:r>
      <w:r w:rsidRPr="00D75391">
        <w:rPr>
          <w:rFonts w:ascii="Palatino Linotype" w:eastAsia="Times New Roman" w:hAnsi="Palatino Linotype" w:cs="Times New Roman"/>
          <w:lang w:val="es-MX" w:eastAsia="es-MX"/>
        </w:rPr>
        <w:t xml:space="preserve"> al </w:t>
      </w:r>
      <w:r w:rsidRPr="00D75391">
        <w:rPr>
          <w:rFonts w:ascii="Palatino Linotype" w:eastAsia="Times New Roman" w:hAnsi="Palatino Linotype" w:cs="Times New Roman"/>
          <w:b/>
          <w:lang w:val="es-MX" w:eastAsia="es-MX"/>
        </w:rPr>
        <w:t>SUJETO OBLIGADO</w:t>
      </w:r>
      <w:r w:rsidR="00003AF9" w:rsidRPr="00D75391">
        <w:rPr>
          <w:rFonts w:ascii="Palatino Linotype" w:eastAsia="Times New Roman" w:hAnsi="Palatino Linotype" w:cs="Times New Roman"/>
          <w:lang w:val="es-MX" w:eastAsia="es-MX"/>
        </w:rPr>
        <w:t>,</w:t>
      </w:r>
      <w:r w:rsidRPr="00D75391">
        <w:rPr>
          <w:rFonts w:ascii="Palatino Linotype" w:eastAsia="Times New Roman" w:hAnsi="Palatino Linotype" w:cs="Times New Roman"/>
          <w:b/>
          <w:lang w:val="es-MX" w:eastAsia="es-MX"/>
        </w:rPr>
        <w:t xml:space="preserve"> </w:t>
      </w:r>
      <w:r w:rsidR="00B031F5" w:rsidRPr="00D75391">
        <w:rPr>
          <w:rFonts w:ascii="Palatino Linotype" w:eastAsia="Times New Roman" w:hAnsi="Palatino Linotype" w:cs="Times New Roman"/>
          <w:lang w:val="es-MX" w:eastAsia="es-MX"/>
        </w:rPr>
        <w:t>en este acto</w:t>
      </w:r>
      <w:r w:rsidRPr="00D75391">
        <w:rPr>
          <w:rFonts w:ascii="Palatino Linotype" w:eastAsia="Times New Roman" w:hAnsi="Palatino Linotype" w:cs="Times New Roman"/>
          <w:lang w:val="es-MX" w:eastAsia="es-MX"/>
        </w:rPr>
        <w:t>,</w:t>
      </w:r>
      <w:r w:rsidR="00B031F5" w:rsidRPr="00D75391">
        <w:rPr>
          <w:rFonts w:ascii="Palatino Linotype" w:eastAsia="Times New Roman" w:hAnsi="Palatino Linotype" w:cs="Times New Roman"/>
          <w:b/>
          <w:lang w:val="es-MX" w:eastAsia="es-MX"/>
        </w:rPr>
        <w:t xml:space="preserve"> </w:t>
      </w:r>
      <w:r w:rsidR="00B031F5" w:rsidRPr="00D75391">
        <w:rPr>
          <w:rFonts w:ascii="Palatino Linotype" w:eastAsia="Times New Roman" w:hAnsi="Palatino Linotype" w:cs="Times New Roman"/>
          <w:lang w:val="es-MX" w:eastAsia="es-MX"/>
        </w:rPr>
        <w:t>de la alta responsabilidad que implica el vulnerar y retrasar el ejercicio del derecho convencional y constitucionalmente</w:t>
      </w:r>
      <w:r w:rsidRPr="00D75391">
        <w:rPr>
          <w:rFonts w:ascii="Palatino Linotype" w:eastAsia="Times New Roman" w:hAnsi="Palatino Linotype" w:cs="Times New Roman"/>
          <w:lang w:val="es-MX" w:eastAsia="es-MX"/>
        </w:rPr>
        <w:t xml:space="preserve"> reconocido</w:t>
      </w:r>
      <w:r w:rsidR="00B031F5" w:rsidRPr="00D75391">
        <w:rPr>
          <w:rFonts w:ascii="Palatino Linotype" w:eastAsia="Times New Roman" w:hAnsi="Palatino Linotype" w:cs="Times New Roman"/>
          <w:lang w:val="es-MX" w:eastAsia="es-MX"/>
        </w:rPr>
        <w:t xml:space="preserve"> de acceso a la informaci</w:t>
      </w:r>
      <w:r w:rsidR="00A420DE" w:rsidRPr="00D75391">
        <w:rPr>
          <w:rFonts w:ascii="Palatino Linotype" w:eastAsia="Times New Roman" w:hAnsi="Palatino Linotype" w:cs="Times New Roman"/>
          <w:lang w:val="es-MX" w:eastAsia="es-MX"/>
        </w:rPr>
        <w:t>ón</w:t>
      </w:r>
      <w:r w:rsidR="008F20E0" w:rsidRPr="00D75391">
        <w:rPr>
          <w:rFonts w:ascii="Palatino Linotype" w:eastAsia="Times New Roman" w:hAnsi="Palatino Linotype" w:cs="Times New Roman"/>
          <w:lang w:val="es-MX" w:eastAsia="es-MX"/>
        </w:rPr>
        <w:t xml:space="preserve"> pública</w:t>
      </w:r>
      <w:r w:rsidR="00A420DE" w:rsidRPr="00D75391">
        <w:rPr>
          <w:rFonts w:ascii="Palatino Linotype" w:eastAsia="Times New Roman" w:hAnsi="Palatino Linotype" w:cs="Times New Roman"/>
          <w:lang w:val="es-MX" w:eastAsia="es-MX"/>
        </w:rPr>
        <w:t xml:space="preserve">, así como de ir en contra de la naturaleza y las funciones que la Ley y el Estado le han encomendado. </w:t>
      </w:r>
    </w:p>
    <w:p w14:paraId="6EAAD5EA" w14:textId="77777777" w:rsidR="00A420DE" w:rsidRPr="00D75391" w:rsidRDefault="00A420DE" w:rsidP="00D75391">
      <w:pPr>
        <w:spacing w:line="360" w:lineRule="auto"/>
        <w:jc w:val="both"/>
        <w:rPr>
          <w:rFonts w:ascii="Palatino Linotype" w:eastAsia="Times New Roman" w:hAnsi="Palatino Linotype" w:cs="Times New Roman"/>
          <w:lang w:val="es-MX" w:eastAsia="es-MX"/>
        </w:rPr>
      </w:pPr>
    </w:p>
    <w:p w14:paraId="446226A1" w14:textId="411D3D1C" w:rsidR="002E783F" w:rsidRPr="00D75391" w:rsidRDefault="00746D89" w:rsidP="00D75391">
      <w:pPr>
        <w:numPr>
          <w:ilvl w:val="0"/>
          <w:numId w:val="1"/>
        </w:numPr>
        <w:spacing w:line="360" w:lineRule="auto"/>
        <w:ind w:left="0" w:firstLine="0"/>
        <w:jc w:val="both"/>
        <w:rPr>
          <w:rFonts w:ascii="Palatino Linotype" w:eastAsia="Times New Roman" w:hAnsi="Palatino Linotype" w:cs="Times New Roman"/>
          <w:lang w:val="es-MX" w:eastAsia="es-MX"/>
        </w:rPr>
      </w:pPr>
      <w:r w:rsidRPr="00D75391">
        <w:rPr>
          <w:rFonts w:ascii="Palatino Linotype" w:eastAsia="Times New Roman" w:hAnsi="Palatino Linotype" w:cs="Times New Roman"/>
          <w:lang w:val="es-MX" w:eastAsia="es-MX"/>
        </w:rPr>
        <w:t xml:space="preserve">Así </w:t>
      </w:r>
      <w:r w:rsidR="008F20E0" w:rsidRPr="00D75391">
        <w:rPr>
          <w:rFonts w:ascii="Palatino Linotype" w:eastAsia="Times New Roman" w:hAnsi="Palatino Linotype" w:cs="Times New Roman"/>
          <w:lang w:val="es-MX" w:eastAsia="es-MX"/>
        </w:rPr>
        <w:t>y toda vez que el fenómeno de la corrupción en México ha sido un gran problema que ha causado desconfianza en las instituciones del Estado, daños en el sistema económico y social</w:t>
      </w:r>
      <w:r w:rsidR="002E783F" w:rsidRPr="00D75391">
        <w:rPr>
          <w:rFonts w:ascii="Palatino Linotype" w:eastAsia="Times New Roman" w:hAnsi="Palatino Linotype" w:cs="Times New Roman"/>
          <w:lang w:val="es-MX" w:eastAsia="es-MX"/>
        </w:rPr>
        <w:t xml:space="preserve"> la Ley de Transparencia y Acceso a la Información Pública del Estado de México y Municipios en el artículo 92, fracción XXVIII, establece lo siguiente:</w:t>
      </w:r>
    </w:p>
    <w:p w14:paraId="0470CF86" w14:textId="77777777" w:rsidR="002E783F" w:rsidRPr="00D75391" w:rsidRDefault="002E783F" w:rsidP="00D75391">
      <w:pPr>
        <w:spacing w:line="360" w:lineRule="auto"/>
        <w:ind w:left="720"/>
        <w:contextualSpacing/>
        <w:rPr>
          <w:rFonts w:ascii="Palatino Linotype" w:hAnsi="Palatino Linotype"/>
        </w:rPr>
      </w:pPr>
    </w:p>
    <w:p w14:paraId="76D603C5" w14:textId="77777777" w:rsidR="002E783F" w:rsidRPr="00D75391" w:rsidRDefault="002E783F" w:rsidP="00D75391">
      <w:pPr>
        <w:spacing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b/>
          <w:i/>
          <w:lang w:val="es-MX" w:eastAsia="es-MX"/>
        </w:rPr>
        <w:t>Artículo 92</w:t>
      </w:r>
      <w:r w:rsidRPr="00D75391">
        <w:rPr>
          <w:rFonts w:ascii="Palatino Linotype" w:eastAsia="Times New Roman" w:hAnsi="Palatino Linotype" w:cs="Times New Roman"/>
          <w:i/>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D54A92" w14:textId="116AD0D8" w:rsidR="002E783F" w:rsidRPr="00D75391" w:rsidRDefault="002E783F" w:rsidP="00D75391">
      <w:pPr>
        <w:spacing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i/>
          <w:lang w:val="es-MX" w:eastAsia="es-MX"/>
        </w:rPr>
        <w:t>(…)</w:t>
      </w:r>
    </w:p>
    <w:p w14:paraId="5E9A9BAD" w14:textId="77777777" w:rsidR="002E783F" w:rsidRPr="00D75391" w:rsidRDefault="002E783F" w:rsidP="00D75391">
      <w:pPr>
        <w:spacing w:line="360" w:lineRule="auto"/>
        <w:ind w:left="567" w:right="567"/>
        <w:jc w:val="both"/>
        <w:rPr>
          <w:rFonts w:ascii="Palatino Linotype" w:eastAsia="Times New Roman" w:hAnsi="Palatino Linotype" w:cs="Times New Roman"/>
          <w:i/>
          <w:lang w:val="es-MX" w:eastAsia="es-MX"/>
        </w:rPr>
      </w:pPr>
      <w:r w:rsidRPr="00D75391">
        <w:rPr>
          <w:rFonts w:ascii="Palatino Linotype" w:eastAsia="Times New Roman" w:hAnsi="Palatino Linotype" w:cs="Times New Roman"/>
          <w:b/>
          <w:i/>
          <w:lang w:val="es-MX" w:eastAsia="es-MX"/>
        </w:rPr>
        <w:t>XXVIII. Los informes de resultados de las auditorías al ejercicio presupuestal de cada sujeto obligado</w:t>
      </w:r>
      <w:r w:rsidRPr="00D75391">
        <w:rPr>
          <w:rFonts w:ascii="Palatino Linotype" w:eastAsia="Times New Roman" w:hAnsi="Palatino Linotype" w:cs="Times New Roman"/>
          <w:i/>
          <w:lang w:val="es-MX" w:eastAsia="es-MX"/>
        </w:rPr>
        <w:t xml:space="preserve"> que se realicen y, en su caso, las aclaraciones que correspondan.</w:t>
      </w:r>
    </w:p>
    <w:p w14:paraId="41643C18" w14:textId="77777777" w:rsidR="002E783F" w:rsidRPr="00D75391" w:rsidRDefault="002E783F" w:rsidP="00D75391">
      <w:pPr>
        <w:spacing w:line="360" w:lineRule="auto"/>
        <w:ind w:left="567" w:right="567"/>
        <w:jc w:val="both"/>
        <w:rPr>
          <w:rFonts w:ascii="Palatino Linotype" w:eastAsia="Times New Roman" w:hAnsi="Palatino Linotype" w:cs="Times New Roman"/>
          <w:i/>
          <w:lang w:val="es-MX" w:eastAsia="es-MX"/>
        </w:rPr>
      </w:pPr>
    </w:p>
    <w:p w14:paraId="6C53377A" w14:textId="658BDB2D" w:rsidR="002E783F" w:rsidRPr="00D75391" w:rsidRDefault="002E783F" w:rsidP="00D75391">
      <w:pPr>
        <w:spacing w:line="360" w:lineRule="auto"/>
        <w:ind w:left="567" w:right="567"/>
        <w:jc w:val="both"/>
        <w:rPr>
          <w:rFonts w:ascii="Palatino Linotype" w:eastAsia="Times New Roman" w:hAnsi="Palatino Linotype" w:cs="Times New Roman"/>
          <w:lang w:val="es-ES" w:eastAsia="es-MX"/>
        </w:rPr>
      </w:pPr>
      <w:r w:rsidRPr="00D75391">
        <w:rPr>
          <w:rFonts w:ascii="Palatino Linotype" w:eastAsia="Times New Roman" w:hAnsi="Palatino Linotype" w:cs="Times New Roman"/>
          <w:b/>
          <w:i/>
          <w:lang w:val="es-MX" w:eastAsia="es-MX"/>
        </w:rPr>
        <w:t>(…)</w:t>
      </w:r>
    </w:p>
    <w:p w14:paraId="4F843848" w14:textId="2DF14736" w:rsidR="002E783F" w:rsidRPr="00D75391" w:rsidRDefault="002E783F" w:rsidP="00D75391">
      <w:pPr>
        <w:tabs>
          <w:tab w:val="left" w:pos="851"/>
        </w:tabs>
        <w:spacing w:line="360" w:lineRule="auto"/>
        <w:ind w:right="49" w:firstLine="567"/>
        <w:contextualSpacing/>
        <w:jc w:val="both"/>
        <w:rPr>
          <w:rFonts w:ascii="Palatino Linotype" w:hAnsi="Palatino Linotype"/>
          <w:lang w:val="es-ES"/>
        </w:rPr>
      </w:pPr>
      <w:r w:rsidRPr="00D75391">
        <w:rPr>
          <w:rFonts w:ascii="Palatino Linotype" w:hAnsi="Palatino Linotype"/>
          <w:lang w:val="es-ES"/>
        </w:rPr>
        <w:t xml:space="preserve">(Énfasis añadido) </w:t>
      </w:r>
    </w:p>
    <w:p w14:paraId="7A3F95AB" w14:textId="77777777" w:rsidR="002E783F" w:rsidRPr="00D75391" w:rsidRDefault="002E783F" w:rsidP="00D75391">
      <w:pPr>
        <w:tabs>
          <w:tab w:val="left" w:pos="851"/>
        </w:tabs>
        <w:spacing w:line="360" w:lineRule="auto"/>
        <w:ind w:right="49" w:firstLine="567"/>
        <w:contextualSpacing/>
        <w:jc w:val="both"/>
        <w:rPr>
          <w:rFonts w:ascii="Palatino Linotype" w:hAnsi="Palatino Linotype"/>
          <w:lang w:val="es-ES"/>
        </w:rPr>
      </w:pPr>
    </w:p>
    <w:p w14:paraId="01B21E35" w14:textId="096B40A4" w:rsidR="009D562C" w:rsidRPr="00D75391" w:rsidRDefault="008F20E0" w:rsidP="00D75391">
      <w:pPr>
        <w:numPr>
          <w:ilvl w:val="0"/>
          <w:numId w:val="1"/>
        </w:numPr>
        <w:tabs>
          <w:tab w:val="left" w:pos="851"/>
        </w:tabs>
        <w:spacing w:line="360" w:lineRule="auto"/>
        <w:ind w:left="0" w:right="49" w:firstLine="0"/>
        <w:contextualSpacing/>
        <w:jc w:val="both"/>
        <w:rPr>
          <w:rFonts w:ascii="Palatino Linotype" w:eastAsia="Times New Roman" w:hAnsi="Palatino Linotype" w:cs="Times New Roman"/>
        </w:rPr>
      </w:pPr>
      <w:r w:rsidRPr="00D75391">
        <w:rPr>
          <w:rFonts w:ascii="Palatino Linotype" w:hAnsi="Palatino Linotype"/>
          <w:lang w:val="es-ES"/>
        </w:rPr>
        <w:t>Ello con la intención de que la ciudadanía tenga conocimiento de las acciones y políticas que emprende el estado a través de sus instituciones para combatir los problemas socia</w:t>
      </w:r>
      <w:r w:rsidR="00746D89" w:rsidRPr="00D75391">
        <w:rPr>
          <w:rFonts w:ascii="Palatino Linotype" w:hAnsi="Palatino Linotype"/>
          <w:lang w:val="es-ES"/>
        </w:rPr>
        <w:t xml:space="preserve">les, </w:t>
      </w:r>
      <w:r w:rsidRPr="00D75391">
        <w:rPr>
          <w:rFonts w:ascii="Palatino Linotype" w:hAnsi="Palatino Linotype"/>
          <w:lang w:val="es-ES"/>
        </w:rPr>
        <w:t>por lo que de</w:t>
      </w:r>
      <w:r w:rsidR="002E783F" w:rsidRPr="00D75391">
        <w:rPr>
          <w:rFonts w:ascii="Palatino Linotype" w:hAnsi="Palatino Linotype"/>
          <w:lang w:val="es-ES"/>
        </w:rPr>
        <w:t xml:space="preserve"> la interpretación sistemática y progresiva de los preceptos legales cita</w:t>
      </w:r>
      <w:r w:rsidR="00746D89" w:rsidRPr="00D75391">
        <w:rPr>
          <w:rFonts w:ascii="Palatino Linotype" w:hAnsi="Palatino Linotype"/>
          <w:lang w:val="es-ES"/>
        </w:rPr>
        <w:t xml:space="preserve">dos, se deduce que, corresponde </w:t>
      </w:r>
      <w:r w:rsidR="002E783F" w:rsidRPr="00D75391">
        <w:rPr>
          <w:rFonts w:ascii="Palatino Linotype" w:hAnsi="Palatino Linotype"/>
          <w:lang w:val="es-ES"/>
        </w:rPr>
        <w:t xml:space="preserve">al </w:t>
      </w:r>
      <w:r w:rsidRPr="00D75391">
        <w:rPr>
          <w:rFonts w:ascii="Palatino Linotype" w:hAnsi="Palatino Linotype"/>
          <w:lang w:val="es-ES"/>
        </w:rPr>
        <w:t>Órgano de Control Interno</w:t>
      </w:r>
      <w:r w:rsidR="00746D89" w:rsidRPr="00D75391">
        <w:rPr>
          <w:rFonts w:ascii="Palatino Linotype" w:hAnsi="Palatino Linotype"/>
          <w:lang w:val="es-ES"/>
        </w:rPr>
        <w:t xml:space="preserve"> tanto la facultad de realizar</w:t>
      </w:r>
      <w:r w:rsidRPr="00D75391">
        <w:rPr>
          <w:rFonts w:ascii="Palatino Linotype" w:hAnsi="Palatino Linotype"/>
          <w:lang w:val="es-ES"/>
        </w:rPr>
        <w:t xml:space="preserve"> </w:t>
      </w:r>
      <w:r w:rsidR="00746D89" w:rsidRPr="00D75391">
        <w:rPr>
          <w:rFonts w:ascii="Palatino Linotype" w:hAnsi="Palatino Linotype"/>
          <w:lang w:val="es-ES"/>
        </w:rPr>
        <w:t>a</w:t>
      </w:r>
      <w:r w:rsidR="002E783F" w:rsidRPr="00D75391">
        <w:rPr>
          <w:rFonts w:ascii="Palatino Linotype" w:hAnsi="Palatino Linotype"/>
          <w:lang w:val="es-ES"/>
        </w:rPr>
        <w:t>uditorías</w:t>
      </w:r>
      <w:r w:rsidR="00746D89" w:rsidRPr="00D75391">
        <w:rPr>
          <w:rFonts w:ascii="Palatino Linotype" w:hAnsi="Palatino Linotype"/>
          <w:lang w:val="es-ES"/>
        </w:rPr>
        <w:t xml:space="preserve"> internas, como la de poseer información relacionada con auditorías externas</w:t>
      </w:r>
      <w:r w:rsidR="002E783F" w:rsidRPr="00D75391">
        <w:rPr>
          <w:rFonts w:ascii="Palatino Linotype" w:hAnsi="Palatino Linotype"/>
          <w:lang w:val="es-ES"/>
        </w:rPr>
        <w:t>,</w:t>
      </w:r>
      <w:r w:rsidRPr="00D75391">
        <w:rPr>
          <w:rFonts w:ascii="Palatino Linotype" w:hAnsi="Palatino Linotype"/>
          <w:lang w:val="es-ES"/>
        </w:rPr>
        <w:t xml:space="preserve"> </w:t>
      </w:r>
      <w:r w:rsidR="001E6DA9" w:rsidRPr="00D75391">
        <w:rPr>
          <w:rFonts w:ascii="Palatino Linotype" w:hAnsi="Palatino Linotype"/>
        </w:rPr>
        <w:t>siendo importante así traer a colación el</w:t>
      </w:r>
      <w:r w:rsidR="009D562C" w:rsidRPr="00D75391">
        <w:rPr>
          <w:rFonts w:ascii="Palatino Linotype" w:hAnsi="Palatino Linotype"/>
        </w:rPr>
        <w:t xml:space="preserve"> artículo 18 de la Ley de Transparencia Estatal: </w:t>
      </w:r>
    </w:p>
    <w:p w14:paraId="536313CF" w14:textId="77777777" w:rsidR="0086781E" w:rsidRPr="00D75391" w:rsidRDefault="0086781E" w:rsidP="00D75391">
      <w:pPr>
        <w:spacing w:before="240" w:after="240" w:line="360" w:lineRule="auto"/>
        <w:contextualSpacing/>
        <w:jc w:val="both"/>
        <w:rPr>
          <w:rFonts w:ascii="Palatino Linotype" w:eastAsia="Times New Roman" w:hAnsi="Palatino Linotype" w:cs="Times New Roman"/>
        </w:rPr>
      </w:pPr>
    </w:p>
    <w:p w14:paraId="1C996B66" w14:textId="0B4FECA8" w:rsidR="009D562C" w:rsidRPr="00D75391" w:rsidRDefault="0086781E" w:rsidP="00D75391">
      <w:pPr>
        <w:spacing w:before="240" w:after="240" w:line="360" w:lineRule="auto"/>
        <w:ind w:left="567" w:right="616"/>
        <w:contextualSpacing/>
        <w:jc w:val="both"/>
        <w:rPr>
          <w:rFonts w:ascii="Palatino Linotype" w:eastAsia="Times New Roman" w:hAnsi="Palatino Linotype" w:cs="Times New Roman"/>
          <w:b/>
          <w:i/>
        </w:rPr>
      </w:pPr>
      <w:r w:rsidRPr="00D75391">
        <w:rPr>
          <w:rFonts w:ascii="Palatino Linotype" w:hAnsi="Palatino Linotype"/>
          <w:b/>
          <w:i/>
        </w:rPr>
        <w:t>“Artículo 18</w:t>
      </w:r>
      <w:r w:rsidRPr="00D75391">
        <w:rPr>
          <w:rFonts w:ascii="Palatino Linotype" w:hAnsi="Palatino Linotype"/>
          <w:i/>
        </w:rPr>
        <w:t xml:space="preserve">. </w:t>
      </w:r>
      <w:r w:rsidRPr="00D75391">
        <w:rPr>
          <w:rFonts w:ascii="Palatino Linotype" w:hAnsi="Palatino Linotype"/>
          <w:b/>
          <w:i/>
        </w:rPr>
        <w:t>Los sujetos obligados deberán documentar todo acto que derive del ejercicio de sus facultades, competencias o funciones, considerando desde su origen la eventual publicidad y reutilización de la información que generen.”</w:t>
      </w:r>
    </w:p>
    <w:p w14:paraId="0A56658C" w14:textId="77777777" w:rsidR="009D562C" w:rsidRPr="00D75391" w:rsidRDefault="009D562C" w:rsidP="00D75391">
      <w:pPr>
        <w:spacing w:before="240" w:after="240" w:line="360" w:lineRule="auto"/>
        <w:contextualSpacing/>
        <w:jc w:val="both"/>
        <w:rPr>
          <w:rFonts w:ascii="Palatino Linotype" w:eastAsia="Times New Roman" w:hAnsi="Palatino Linotype" w:cs="Times New Roman"/>
        </w:rPr>
      </w:pPr>
    </w:p>
    <w:p w14:paraId="6CFA695B" w14:textId="185CACEB" w:rsidR="001E6DA9" w:rsidRPr="00D75391" w:rsidRDefault="0086781E"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hAnsi="Palatino Linotype"/>
        </w:rPr>
        <w:t>En efecto,  los  Sujetos Obligados se encuentran constreñidos a documentar todo acto que derive del ejercicio de sus facultades o funciones, otorgando acceso a los mismos en términos del</w:t>
      </w:r>
      <w:r w:rsidR="001E6DA9" w:rsidRPr="00D75391">
        <w:rPr>
          <w:rFonts w:ascii="Palatino Linotype" w:hAnsi="Palatino Linotype"/>
        </w:rPr>
        <w:t xml:space="preserve"> artículo 160 de la Ley de tra</w:t>
      </w:r>
      <w:r w:rsidR="00683614" w:rsidRPr="00D75391">
        <w:rPr>
          <w:rFonts w:ascii="Palatino Linotype" w:hAnsi="Palatino Linotype"/>
        </w:rPr>
        <w:t>n</w:t>
      </w:r>
      <w:r w:rsidR="001E6DA9" w:rsidRPr="00D75391">
        <w:rPr>
          <w:rFonts w:ascii="Palatino Linotype" w:hAnsi="Palatino Linotype"/>
        </w:rPr>
        <w:t xml:space="preserve">sparencia: </w:t>
      </w:r>
    </w:p>
    <w:p w14:paraId="0F9EA9C2" w14:textId="77777777" w:rsidR="001E6DA9" w:rsidRPr="00D75391" w:rsidRDefault="001E6DA9" w:rsidP="00D75391">
      <w:pPr>
        <w:spacing w:before="240" w:after="240" w:line="360" w:lineRule="auto"/>
        <w:contextualSpacing/>
        <w:jc w:val="both"/>
        <w:rPr>
          <w:rFonts w:ascii="Palatino Linotype" w:eastAsia="Times New Roman" w:hAnsi="Palatino Linotype" w:cs="Times New Roman"/>
        </w:rPr>
      </w:pPr>
    </w:p>
    <w:p w14:paraId="26AD2ED5" w14:textId="588F4A20" w:rsidR="001E6DA9" w:rsidRPr="00D75391" w:rsidRDefault="001E6DA9" w:rsidP="00D75391">
      <w:pPr>
        <w:spacing w:before="240" w:after="240" w:line="360" w:lineRule="auto"/>
        <w:ind w:left="567" w:right="616"/>
        <w:contextualSpacing/>
        <w:jc w:val="both"/>
        <w:rPr>
          <w:rFonts w:ascii="Palatino Linotype" w:eastAsia="Times New Roman" w:hAnsi="Palatino Linotype" w:cs="Arial"/>
          <w:i/>
          <w:lang w:eastAsia="gl-ES"/>
        </w:rPr>
      </w:pPr>
      <w:r w:rsidRPr="00D75391">
        <w:rPr>
          <w:rFonts w:ascii="Palatino Linotype" w:eastAsia="Times New Roman" w:hAnsi="Palatino Linotype" w:cs="Arial"/>
          <w:b/>
          <w:i/>
          <w:lang w:eastAsia="gl-ES"/>
        </w:rPr>
        <w:t>“Artículo 160</w:t>
      </w:r>
      <w:r w:rsidRPr="00D75391">
        <w:rPr>
          <w:rFonts w:ascii="Palatino Linotype" w:eastAsia="Times New Roman" w:hAnsi="Palatino Linotype" w:cs="Arial"/>
          <w:i/>
          <w:lang w:eastAsia="gl-ES"/>
        </w:rPr>
        <w:t xml:space="preserve">. </w:t>
      </w:r>
      <w:r w:rsidRPr="00D75391">
        <w:rPr>
          <w:rFonts w:ascii="Palatino Linotype" w:eastAsia="Times New Roman" w:hAnsi="Palatino Linotype" w:cs="Arial"/>
          <w:b/>
          <w:i/>
          <w:lang w:eastAsia="gl-ES"/>
        </w:rPr>
        <w:t xml:space="preserve">Los sujetos obligados deberán otorgar acceso a los documentos que se encuentren en sus archivos o que estén obligados a documentar de acuerdo con sus facultades, competencias o funciones </w:t>
      </w:r>
      <w:r w:rsidRPr="00D75391">
        <w:rPr>
          <w:rFonts w:ascii="Palatino Linotype" w:eastAsia="Times New Roman" w:hAnsi="Palatino Linotype" w:cs="Arial"/>
          <w:i/>
          <w:lang w:eastAsia="gl-ES"/>
        </w:rPr>
        <w:t>en el formato que el solicitante manifieste, de entre aquellos formatos existentes, conforme a las características físicas de la información o del lugar donde se encuentre así lo permita.”</w:t>
      </w:r>
    </w:p>
    <w:p w14:paraId="6BDEA930" w14:textId="0E8F7F97" w:rsidR="001E6DA9" w:rsidRPr="00D75391" w:rsidRDefault="001E6DA9" w:rsidP="00D75391">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D75391">
        <w:rPr>
          <w:rFonts w:ascii="Palatino Linotype" w:eastAsia="Times New Roman" w:hAnsi="Palatino Linotype" w:cs="Times New Roman"/>
        </w:rPr>
        <w:t xml:space="preserve">En ese mismo sentido el artículo 19  de la Ley de Transparencia Estatal refiere la presunción de existencia, misma que se configura cuando la información solicitada se refiere a las facultades competencias y funciones que la Ley le otorga a los Sujetos Obligados, como a continuación se observa: </w:t>
      </w:r>
    </w:p>
    <w:p w14:paraId="68B7E09A" w14:textId="77777777" w:rsidR="001E6DA9" w:rsidRPr="00D75391" w:rsidRDefault="001E6DA9" w:rsidP="00D75391">
      <w:pPr>
        <w:spacing w:before="240" w:after="240" w:line="360" w:lineRule="auto"/>
        <w:contextualSpacing/>
        <w:jc w:val="both"/>
        <w:rPr>
          <w:rFonts w:ascii="Palatino Linotype" w:eastAsia="Times New Roman" w:hAnsi="Palatino Linotype" w:cs="Times New Roman"/>
        </w:rPr>
      </w:pPr>
    </w:p>
    <w:p w14:paraId="67980FD0" w14:textId="77777777" w:rsidR="001E6DA9" w:rsidRPr="00D75391" w:rsidRDefault="001E6DA9" w:rsidP="00D75391">
      <w:pPr>
        <w:shd w:val="clear" w:color="auto" w:fill="FFFFFF"/>
        <w:spacing w:before="240" w:after="360" w:line="360" w:lineRule="auto"/>
        <w:ind w:left="567" w:right="567"/>
        <w:jc w:val="both"/>
        <w:rPr>
          <w:rFonts w:ascii="Palatino Linotype" w:eastAsia="Times New Roman" w:hAnsi="Palatino Linotype" w:cs="Times New Roman"/>
          <w:b/>
          <w:color w:val="222222"/>
          <w:lang w:val="es-MX" w:eastAsia="es-MX"/>
        </w:rPr>
      </w:pPr>
      <w:r w:rsidRPr="00D75391">
        <w:rPr>
          <w:rFonts w:ascii="Palatino Linotype" w:eastAsia="Times New Roman" w:hAnsi="Palatino Linotype" w:cs="Times New Roman"/>
          <w:b/>
          <w:bCs/>
          <w:i/>
          <w:iCs/>
          <w:color w:val="000000"/>
          <w:lang w:val="es-MX" w:eastAsia="es-MX"/>
        </w:rPr>
        <w:t>“Artículo 19.</w:t>
      </w:r>
      <w:r w:rsidRPr="00D75391">
        <w:rPr>
          <w:rFonts w:ascii="Palatino Linotype" w:eastAsia="Times New Roman" w:hAnsi="Palatino Linotype" w:cs="Times New Roman"/>
          <w:i/>
          <w:iCs/>
          <w:color w:val="000000"/>
          <w:lang w:val="es-MX" w:eastAsia="es-MX"/>
        </w:rPr>
        <w:t> </w:t>
      </w:r>
      <w:r w:rsidRPr="00D75391">
        <w:rPr>
          <w:rFonts w:ascii="Palatino Linotype" w:eastAsia="Times New Roman" w:hAnsi="Palatino Linotype" w:cs="Times New Roman"/>
          <w:b/>
          <w:i/>
          <w:iCs/>
          <w:color w:val="000000"/>
          <w:lang w:val="es-MX" w:eastAsia="es-MX"/>
        </w:rPr>
        <w:t>Se presume que la información debe existir si se refiere a las facultades, competencias y funciones que los ordenamientos jurídicos aplicables otorgan a los sujetos obligados.</w:t>
      </w:r>
    </w:p>
    <w:p w14:paraId="1AD83A48" w14:textId="78F05BA3" w:rsidR="0086781E" w:rsidRPr="00D75391" w:rsidRDefault="001E6DA9" w:rsidP="00D75391">
      <w:pPr>
        <w:shd w:val="clear" w:color="auto" w:fill="FFFFFF"/>
        <w:spacing w:before="240" w:after="240" w:line="360" w:lineRule="auto"/>
        <w:ind w:left="567" w:right="567"/>
        <w:jc w:val="both"/>
        <w:rPr>
          <w:rFonts w:ascii="Palatino Linotype" w:eastAsia="Times New Roman" w:hAnsi="Palatino Linotype" w:cs="Times New Roman"/>
          <w:i/>
          <w:iCs/>
          <w:color w:val="000000"/>
        </w:rPr>
      </w:pPr>
      <w:r w:rsidRPr="00D75391">
        <w:rPr>
          <w:rFonts w:ascii="Palatino Linotype" w:eastAsia="Times New Roman" w:hAnsi="Palatino Linotype" w:cs="Times New Roman"/>
          <w:i/>
          <w:iCs/>
          <w:color w:val="000000"/>
        </w:rPr>
        <w:t>En los casos en que ciertas facultades, competencias o funciones no se hayan ejercido, se debe motivar la respuesta en función de las causas que motiven la inexistencia.</w:t>
      </w:r>
    </w:p>
    <w:p w14:paraId="6E2D0EB5" w14:textId="1EFAE963" w:rsidR="0086781E" w:rsidRPr="00D75391" w:rsidRDefault="001E6DA9" w:rsidP="00D75391">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75391">
        <w:rPr>
          <w:rFonts w:ascii="Palatino Linotype" w:hAnsi="Palatino Linotype"/>
        </w:rPr>
        <w:t xml:space="preserve">  </w:t>
      </w:r>
      <w:r w:rsidR="009D562C" w:rsidRPr="00D75391">
        <w:rPr>
          <w:rFonts w:ascii="Palatino Linotype" w:hAnsi="Palatino Linotype"/>
        </w:rPr>
        <w:t>Apuntado lo anterior</w:t>
      </w:r>
      <w:r w:rsidR="0086781E" w:rsidRPr="00D75391">
        <w:rPr>
          <w:rFonts w:ascii="Palatino Linotype" w:hAnsi="Palatino Linotype"/>
        </w:rPr>
        <w:t xml:space="preserve">,  </w:t>
      </w:r>
      <w:r w:rsidR="0086781E" w:rsidRPr="00D75391">
        <w:rPr>
          <w:rFonts w:ascii="Palatino Linotype" w:hAnsi="Palatino Linotype" w:cs="Arial"/>
        </w:rPr>
        <w:t xml:space="preserve">para entender los alcances de la información pública se considera importante citar el criterio </w:t>
      </w:r>
      <w:r w:rsidR="0086781E" w:rsidRPr="00D7539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86781E" w:rsidRPr="00D75391">
        <w:rPr>
          <w:rFonts w:ascii="Palatino Linotype" w:hAnsi="Palatino Linotype" w:cs="Arial"/>
        </w:rPr>
        <w:t>cuyo rubro y texto dispone:</w:t>
      </w:r>
    </w:p>
    <w:p w14:paraId="519A1AAE" w14:textId="77777777" w:rsidR="0086781E" w:rsidRPr="00D75391" w:rsidRDefault="0086781E" w:rsidP="00D75391">
      <w:pPr>
        <w:autoSpaceDE w:val="0"/>
        <w:autoSpaceDN w:val="0"/>
        <w:adjustRightInd w:val="0"/>
        <w:spacing w:line="360" w:lineRule="auto"/>
        <w:contextualSpacing/>
        <w:jc w:val="both"/>
        <w:rPr>
          <w:rFonts w:ascii="Palatino Linotype" w:hAnsi="Palatino Linotype" w:cs="Arial"/>
          <w:lang w:val="es-MX"/>
        </w:rPr>
      </w:pPr>
    </w:p>
    <w:p w14:paraId="1FFE78D4" w14:textId="77777777" w:rsidR="0086781E" w:rsidRPr="00D75391" w:rsidRDefault="0086781E" w:rsidP="00D75391">
      <w:pPr>
        <w:autoSpaceDE w:val="0"/>
        <w:autoSpaceDN w:val="0"/>
        <w:adjustRightInd w:val="0"/>
        <w:spacing w:line="360" w:lineRule="auto"/>
        <w:ind w:left="567" w:right="567"/>
        <w:jc w:val="both"/>
        <w:rPr>
          <w:rFonts w:ascii="Palatino Linotype" w:hAnsi="Palatino Linotype" w:cs="Arial"/>
          <w:b/>
          <w:i/>
          <w:lang w:val="es-MX" w:eastAsia="es-MX"/>
        </w:rPr>
      </w:pPr>
      <w:r w:rsidRPr="00D75391">
        <w:rPr>
          <w:rFonts w:ascii="Palatino Linotype" w:hAnsi="Palatino Linotype" w:cs="Arial"/>
          <w:b/>
          <w:i/>
          <w:lang w:val="es-MX" w:eastAsia="es-MX"/>
        </w:rPr>
        <w:t>“CRITERIO 0002-11</w:t>
      </w:r>
    </w:p>
    <w:p w14:paraId="006E1AE9" w14:textId="77777777" w:rsidR="0086781E" w:rsidRPr="00D75391" w:rsidRDefault="0086781E" w:rsidP="00D75391">
      <w:pPr>
        <w:autoSpaceDE w:val="0"/>
        <w:autoSpaceDN w:val="0"/>
        <w:adjustRightInd w:val="0"/>
        <w:spacing w:line="360" w:lineRule="auto"/>
        <w:ind w:left="567" w:right="567"/>
        <w:jc w:val="both"/>
        <w:rPr>
          <w:rFonts w:ascii="Palatino Linotype" w:hAnsi="Palatino Linotype" w:cs="Arial"/>
          <w:i/>
          <w:lang w:val="es-MX" w:eastAsia="es-MX"/>
        </w:rPr>
      </w:pPr>
      <w:r w:rsidRPr="00D75391">
        <w:rPr>
          <w:rFonts w:ascii="Palatino Linotype" w:hAnsi="Palatino Linotype" w:cs="Arial"/>
          <w:b/>
          <w:i/>
          <w:lang w:val="es-MX" w:eastAsia="es-MX"/>
        </w:rPr>
        <w:t xml:space="preserve">INFORMACIÓN PÚBLICA, CONCEPTO DE, EN MATERIA DE TRANSPARENCIA. INTERPRETACIÓN TEMÁTICA DE LOS ARTÍCULOS 2, FRACCIÓN </w:t>
      </w:r>
      <w:r w:rsidRPr="00D75391">
        <w:rPr>
          <w:rFonts w:ascii="Palatino Linotype" w:hAnsi="Palatino Linotype" w:cs="Arial"/>
          <w:b/>
          <w:bCs/>
          <w:i/>
          <w:lang w:val="es-MX" w:eastAsia="es-MX"/>
        </w:rPr>
        <w:t xml:space="preserve">V, XV, Y XVI, </w:t>
      </w:r>
      <w:r w:rsidRPr="00D75391">
        <w:rPr>
          <w:rFonts w:ascii="Palatino Linotype" w:hAnsi="Palatino Linotype" w:cs="Arial"/>
          <w:b/>
          <w:i/>
          <w:lang w:val="es-MX" w:eastAsia="es-MX"/>
        </w:rPr>
        <w:t>3, 4,11 Y 41.</w:t>
      </w:r>
      <w:r w:rsidRPr="00D75391">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0B1179" w14:textId="77777777" w:rsidR="0086781E" w:rsidRPr="00D75391" w:rsidRDefault="0086781E" w:rsidP="00D75391">
      <w:pPr>
        <w:autoSpaceDE w:val="0"/>
        <w:autoSpaceDN w:val="0"/>
        <w:adjustRightInd w:val="0"/>
        <w:spacing w:line="360" w:lineRule="auto"/>
        <w:ind w:left="567" w:right="567"/>
        <w:jc w:val="both"/>
        <w:rPr>
          <w:rFonts w:ascii="Palatino Linotype" w:hAnsi="Palatino Linotype" w:cs="Arial"/>
          <w:i/>
          <w:lang w:val="es-MX" w:eastAsia="es-MX"/>
        </w:rPr>
      </w:pPr>
      <w:r w:rsidRPr="00D75391">
        <w:rPr>
          <w:rFonts w:ascii="Palatino Linotype" w:hAnsi="Palatino Linotype" w:cs="Arial"/>
          <w:i/>
          <w:lang w:val="es-MX" w:eastAsia="es-MX"/>
        </w:rPr>
        <w:t>En consecuencia el acceso a la información se refiere a que se cumplan cualquiera de los siguientes tres supuestos:</w:t>
      </w:r>
    </w:p>
    <w:p w14:paraId="12AA049C" w14:textId="77777777" w:rsidR="0086781E" w:rsidRPr="00D75391" w:rsidRDefault="0086781E" w:rsidP="00D75391">
      <w:pPr>
        <w:autoSpaceDE w:val="0"/>
        <w:autoSpaceDN w:val="0"/>
        <w:adjustRightInd w:val="0"/>
        <w:spacing w:line="360" w:lineRule="auto"/>
        <w:ind w:left="567" w:right="567"/>
        <w:jc w:val="both"/>
        <w:rPr>
          <w:rFonts w:ascii="Palatino Linotype" w:hAnsi="Palatino Linotype" w:cs="Arial"/>
          <w:i/>
          <w:lang w:val="es-MX" w:eastAsia="es-MX"/>
        </w:rPr>
      </w:pPr>
      <w:r w:rsidRPr="00D75391">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1F7F95C0" w14:textId="77777777" w:rsidR="0086781E" w:rsidRPr="00D75391" w:rsidRDefault="0086781E" w:rsidP="00D75391">
      <w:pPr>
        <w:autoSpaceDE w:val="0"/>
        <w:autoSpaceDN w:val="0"/>
        <w:adjustRightInd w:val="0"/>
        <w:spacing w:line="360" w:lineRule="auto"/>
        <w:ind w:left="567" w:right="567"/>
        <w:jc w:val="both"/>
        <w:rPr>
          <w:rFonts w:ascii="Palatino Linotype" w:hAnsi="Palatino Linotype" w:cs="Arial"/>
          <w:i/>
          <w:lang w:val="es-MX" w:eastAsia="es-MX"/>
        </w:rPr>
      </w:pPr>
      <w:r w:rsidRPr="00D75391">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39C093DE" w14:textId="19422E54" w:rsidR="0086781E" w:rsidRPr="00D75391" w:rsidRDefault="0086781E" w:rsidP="00D75391">
      <w:pPr>
        <w:spacing w:line="360" w:lineRule="auto"/>
        <w:ind w:left="567" w:right="567"/>
        <w:jc w:val="both"/>
        <w:rPr>
          <w:rFonts w:ascii="Palatino Linotype" w:hAnsi="Palatino Linotype" w:cs="Arial"/>
          <w:i/>
          <w:color w:val="000000" w:themeColor="text1"/>
        </w:rPr>
      </w:pPr>
      <w:r w:rsidRPr="00D75391">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67346422" w14:textId="0781CA7F" w:rsidR="0086781E" w:rsidRPr="00D75391" w:rsidRDefault="0086781E" w:rsidP="00D75391">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D75391">
        <w:rPr>
          <w:rFonts w:ascii="Palatino Linotype" w:hAnsi="Palatino Linotype"/>
          <w:lang w:val="es-ES"/>
        </w:rPr>
        <w:t>Así el derecho de acceso a la información encuentra su materia elemental en los documentos, y la Ley de Transparencia local  nos brinda el siguiente concepto, para darnos un mejor panorama:</w:t>
      </w:r>
    </w:p>
    <w:p w14:paraId="7440A249" w14:textId="5AF1AD44" w:rsidR="0086781E" w:rsidRPr="00D75391" w:rsidRDefault="0086781E" w:rsidP="00D75391">
      <w:pPr>
        <w:tabs>
          <w:tab w:val="left" w:pos="851"/>
        </w:tabs>
        <w:spacing w:before="240" w:after="240" w:line="360" w:lineRule="auto"/>
        <w:ind w:left="567" w:right="49"/>
        <w:contextualSpacing/>
        <w:jc w:val="both"/>
        <w:rPr>
          <w:rFonts w:ascii="Palatino Linotype" w:hAnsi="Palatino Linotype"/>
          <w:i/>
        </w:rPr>
      </w:pPr>
      <w:r w:rsidRPr="00D75391">
        <w:rPr>
          <w:rFonts w:ascii="Palatino Linotype" w:hAnsi="Palatino Linotype"/>
        </w:rPr>
        <w:t>“</w:t>
      </w:r>
      <w:r w:rsidRPr="00D75391">
        <w:rPr>
          <w:rFonts w:ascii="Palatino Linotype" w:hAnsi="Palatino Linotype"/>
          <w:b/>
          <w:i/>
        </w:rPr>
        <w:t>Artículo 3.</w:t>
      </w:r>
      <w:r w:rsidRPr="00D75391">
        <w:rPr>
          <w:rFonts w:ascii="Palatino Linotype" w:hAnsi="Palatino Linotype"/>
          <w:i/>
        </w:rPr>
        <w:t xml:space="preserve"> Para los efectos de la presente Ley se entenderá por:</w:t>
      </w:r>
    </w:p>
    <w:p w14:paraId="5B88CFAE" w14:textId="77777777" w:rsidR="0086781E" w:rsidRPr="00D75391" w:rsidRDefault="0086781E" w:rsidP="00D75391">
      <w:pPr>
        <w:tabs>
          <w:tab w:val="left" w:pos="851"/>
        </w:tabs>
        <w:spacing w:before="240" w:after="240" w:line="360" w:lineRule="auto"/>
        <w:ind w:left="567" w:right="49"/>
        <w:contextualSpacing/>
        <w:jc w:val="both"/>
        <w:rPr>
          <w:rFonts w:ascii="Palatino Linotype" w:hAnsi="Palatino Linotype"/>
        </w:rPr>
      </w:pPr>
    </w:p>
    <w:p w14:paraId="70E6980C" w14:textId="1DEE56E8" w:rsidR="0086781E" w:rsidRPr="00D75391" w:rsidRDefault="0086781E" w:rsidP="00D75391">
      <w:pPr>
        <w:tabs>
          <w:tab w:val="left" w:pos="851"/>
        </w:tabs>
        <w:spacing w:before="240" w:after="240" w:line="360" w:lineRule="auto"/>
        <w:ind w:left="567" w:right="49"/>
        <w:contextualSpacing/>
        <w:jc w:val="both"/>
        <w:rPr>
          <w:rFonts w:ascii="Palatino Linotype" w:hAnsi="Palatino Linotype" w:cs="Arial"/>
          <w:lang w:val="es-ES"/>
        </w:rPr>
      </w:pPr>
      <w:r w:rsidRPr="00D75391">
        <w:rPr>
          <w:rFonts w:ascii="Palatino Linotype" w:hAnsi="Palatino Linotype" w:cs="Arial"/>
          <w:lang w:val="es-ES"/>
        </w:rPr>
        <w:t xml:space="preserve">(…) </w:t>
      </w:r>
    </w:p>
    <w:p w14:paraId="0E04239D" w14:textId="77777777" w:rsidR="0086781E" w:rsidRPr="00D75391" w:rsidRDefault="0086781E" w:rsidP="00D75391">
      <w:pPr>
        <w:tabs>
          <w:tab w:val="left" w:pos="851"/>
        </w:tabs>
        <w:spacing w:before="240" w:after="240" w:line="360" w:lineRule="auto"/>
        <w:ind w:left="567" w:right="49"/>
        <w:contextualSpacing/>
        <w:jc w:val="both"/>
        <w:rPr>
          <w:rFonts w:ascii="Palatino Linotype" w:hAnsi="Palatino Linotype" w:cs="Arial"/>
          <w:lang w:val="es-ES"/>
        </w:rPr>
      </w:pPr>
    </w:p>
    <w:p w14:paraId="13449A5E" w14:textId="13A71F93" w:rsidR="0086781E" w:rsidRPr="00D75391" w:rsidRDefault="0086781E" w:rsidP="00D75391">
      <w:pPr>
        <w:autoSpaceDE w:val="0"/>
        <w:autoSpaceDN w:val="0"/>
        <w:adjustRightInd w:val="0"/>
        <w:spacing w:line="360" w:lineRule="auto"/>
        <w:ind w:left="567" w:right="567"/>
        <w:jc w:val="both"/>
        <w:rPr>
          <w:rFonts w:ascii="Palatino Linotype" w:eastAsiaTheme="minorHAnsi" w:hAnsi="Palatino Linotype" w:cs="Bookman Old Style"/>
          <w:b/>
          <w:i/>
          <w:lang w:val="es-MX" w:eastAsia="en-US"/>
        </w:rPr>
      </w:pPr>
      <w:r w:rsidRPr="00D75391">
        <w:rPr>
          <w:rFonts w:ascii="Palatino Linotype" w:eastAsiaTheme="minorHAnsi" w:hAnsi="Palatino Linotype" w:cs="Bookman Old Style,Bold"/>
          <w:b/>
          <w:bCs/>
          <w:i/>
          <w:lang w:val="es-MX" w:eastAsia="en-US"/>
        </w:rPr>
        <w:t xml:space="preserve">XI. Documento: </w:t>
      </w:r>
      <w:r w:rsidRPr="00D75391">
        <w:rPr>
          <w:rFonts w:ascii="Palatino Linotype" w:eastAsiaTheme="minorHAnsi" w:hAnsi="Palatino Linotype" w:cs="Bookman Old Style"/>
          <w:b/>
          <w:i/>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72F3EB" w14:textId="77777777" w:rsidR="0086781E" w:rsidRPr="00D75391" w:rsidRDefault="0086781E" w:rsidP="00D75391">
      <w:pPr>
        <w:autoSpaceDE w:val="0"/>
        <w:autoSpaceDN w:val="0"/>
        <w:adjustRightInd w:val="0"/>
        <w:spacing w:line="360" w:lineRule="auto"/>
        <w:ind w:left="567" w:right="567"/>
        <w:jc w:val="both"/>
        <w:rPr>
          <w:rFonts w:ascii="Palatino Linotype" w:eastAsiaTheme="minorHAnsi" w:hAnsi="Palatino Linotype" w:cs="Bookman Old Style"/>
          <w:b/>
          <w:i/>
          <w:lang w:val="es-MX" w:eastAsia="en-US"/>
        </w:rPr>
      </w:pPr>
    </w:p>
    <w:p w14:paraId="0206C101" w14:textId="73020FEC" w:rsidR="0086781E" w:rsidRPr="00D75391" w:rsidRDefault="0086781E" w:rsidP="00D75391">
      <w:pPr>
        <w:autoSpaceDE w:val="0"/>
        <w:autoSpaceDN w:val="0"/>
        <w:adjustRightInd w:val="0"/>
        <w:spacing w:line="360" w:lineRule="auto"/>
        <w:ind w:left="567" w:right="567"/>
        <w:jc w:val="both"/>
        <w:rPr>
          <w:rFonts w:ascii="Palatino Linotype" w:eastAsiaTheme="minorHAnsi" w:hAnsi="Palatino Linotype" w:cs="Bookman Old Style"/>
          <w:b/>
          <w:i/>
          <w:lang w:val="es-MX" w:eastAsia="en-US"/>
        </w:rPr>
      </w:pPr>
      <w:r w:rsidRPr="00D75391">
        <w:rPr>
          <w:rFonts w:ascii="Palatino Linotype" w:eastAsiaTheme="minorHAnsi" w:hAnsi="Palatino Linotype" w:cs="Bookman Old Style,Bold"/>
          <w:b/>
          <w:bCs/>
          <w:i/>
          <w:lang w:val="es-MX" w:eastAsia="en-US"/>
        </w:rPr>
        <w:t>(…</w:t>
      </w:r>
      <w:r w:rsidRPr="00D75391">
        <w:rPr>
          <w:rFonts w:ascii="Palatino Linotype" w:eastAsiaTheme="minorHAnsi" w:hAnsi="Palatino Linotype" w:cs="Bookman Old Style"/>
          <w:b/>
          <w:i/>
          <w:lang w:val="es-MX" w:eastAsia="en-US"/>
        </w:rPr>
        <w:t>)”</w:t>
      </w:r>
    </w:p>
    <w:p w14:paraId="46BAE46E" w14:textId="77777777" w:rsidR="0086781E" w:rsidRPr="00D75391" w:rsidRDefault="0086781E" w:rsidP="00D75391">
      <w:pPr>
        <w:autoSpaceDE w:val="0"/>
        <w:autoSpaceDN w:val="0"/>
        <w:adjustRightInd w:val="0"/>
        <w:spacing w:line="360" w:lineRule="auto"/>
        <w:ind w:right="567"/>
        <w:jc w:val="both"/>
        <w:rPr>
          <w:rFonts w:ascii="Palatino Linotype" w:eastAsiaTheme="minorHAnsi" w:hAnsi="Palatino Linotype" w:cs="Bookman Old Style"/>
          <w:b/>
          <w:i/>
          <w:lang w:val="es-MX" w:eastAsia="en-US"/>
        </w:rPr>
      </w:pPr>
    </w:p>
    <w:p w14:paraId="731ABD18" w14:textId="61244012" w:rsidR="0086781E" w:rsidRPr="00D75391" w:rsidRDefault="0086781E" w:rsidP="00D75391">
      <w:pPr>
        <w:autoSpaceDE w:val="0"/>
        <w:autoSpaceDN w:val="0"/>
        <w:adjustRightInd w:val="0"/>
        <w:spacing w:line="360" w:lineRule="auto"/>
        <w:ind w:left="567" w:right="567"/>
        <w:jc w:val="both"/>
        <w:rPr>
          <w:rFonts w:ascii="Palatino Linotype" w:hAnsi="Palatino Linotype"/>
          <w:i/>
          <w:lang w:val="es-ES"/>
        </w:rPr>
      </w:pPr>
      <w:r w:rsidRPr="00D75391">
        <w:rPr>
          <w:rFonts w:ascii="Palatino Linotype" w:eastAsiaTheme="minorHAnsi" w:hAnsi="Palatino Linotype" w:cs="Bookman Old Style,Bold"/>
          <w:bCs/>
          <w:i/>
          <w:lang w:val="es-MX" w:eastAsia="en-US"/>
        </w:rPr>
        <w:t xml:space="preserve">(Énfasis añadido) </w:t>
      </w:r>
    </w:p>
    <w:p w14:paraId="5826F68A" w14:textId="77777777" w:rsidR="0086781E" w:rsidRPr="00D75391" w:rsidRDefault="0086781E" w:rsidP="00D75391">
      <w:pPr>
        <w:tabs>
          <w:tab w:val="left" w:pos="851"/>
        </w:tabs>
        <w:spacing w:line="360" w:lineRule="auto"/>
        <w:ind w:right="49"/>
        <w:contextualSpacing/>
        <w:jc w:val="both"/>
        <w:rPr>
          <w:rFonts w:ascii="Palatino Linotype" w:hAnsi="Palatino Linotype"/>
          <w:lang w:val="es-ES"/>
        </w:rPr>
      </w:pPr>
    </w:p>
    <w:p w14:paraId="37550405" w14:textId="77777777" w:rsidR="005C5592" w:rsidRPr="00D75391" w:rsidRDefault="0086781E"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hAnsi="Palatino Linotype"/>
          <w:lang w:val="es-ES"/>
        </w:rPr>
        <w:t xml:space="preserve">Es así que, todos los actos de autoridad que realicen los Sujetos Obligados deben estar documentados y, bajo el más alto estándar de transparencia deberán poner toda la información que se encuentre en su posesión, a disposición de los particulares que la soliciten, por lo que es dable ordenar el o los documentos donde conste o se aprecien las auditorías realizadas por el Órgano Interno de Control así como todos los documentos generados por el mismo del 01 de enero al veintinueve 29 de julio de dos mil diecinueve, en términos del considerando </w:t>
      </w:r>
      <w:r w:rsidRPr="00D75391">
        <w:rPr>
          <w:rFonts w:ascii="Palatino Linotype" w:hAnsi="Palatino Linotype"/>
          <w:b/>
          <w:lang w:val="es-ES"/>
        </w:rPr>
        <w:t xml:space="preserve">QUINTO. </w:t>
      </w:r>
    </w:p>
    <w:p w14:paraId="50397E4D" w14:textId="77777777" w:rsidR="002E783F" w:rsidRPr="00D75391" w:rsidRDefault="002E783F" w:rsidP="00D75391">
      <w:pPr>
        <w:tabs>
          <w:tab w:val="left" w:pos="851"/>
        </w:tabs>
        <w:spacing w:line="360" w:lineRule="auto"/>
        <w:ind w:right="49"/>
        <w:contextualSpacing/>
        <w:jc w:val="both"/>
        <w:rPr>
          <w:rFonts w:ascii="Palatino Linotype" w:hAnsi="Palatino Linotype"/>
          <w:lang w:val="es-ES"/>
        </w:rPr>
      </w:pPr>
    </w:p>
    <w:p w14:paraId="21702685" w14:textId="0BCA3A88" w:rsidR="005C5592" w:rsidRPr="00D75391" w:rsidRDefault="005C5592" w:rsidP="00D75391">
      <w:pPr>
        <w:keepNext/>
        <w:keepLines/>
        <w:spacing w:line="360" w:lineRule="auto"/>
        <w:outlineLvl w:val="0"/>
        <w:rPr>
          <w:rFonts w:ascii="Palatino Linotype" w:eastAsia="Times New Roman" w:hAnsi="Palatino Linotype" w:cs="Times New Roman"/>
          <w:b/>
          <w:noProof/>
          <w:lang w:val="es-MX" w:eastAsia="en-US"/>
        </w:rPr>
      </w:pPr>
      <w:bookmarkStart w:id="105" w:name="_Toc4073617"/>
      <w:bookmarkStart w:id="106" w:name="_Toc4078180"/>
      <w:bookmarkStart w:id="107" w:name="_Toc8897707"/>
      <w:bookmarkStart w:id="108" w:name="_Toc20423570"/>
      <w:r w:rsidRPr="00D75391">
        <w:rPr>
          <w:rFonts w:ascii="Palatino Linotype" w:eastAsia="Times New Roman" w:hAnsi="Palatino Linotype" w:cs="Times New Roman"/>
          <w:b/>
          <w:noProof/>
          <w:color w:val="000000"/>
          <w:lang w:val="es-MX" w:eastAsia="en-US"/>
        </w:rPr>
        <w:t>QUINTO. De las consideraciones que se deben observar para realizar el acuerdo de clasificación de la información como confidencial o reservada.</w:t>
      </w:r>
      <w:bookmarkEnd w:id="105"/>
      <w:bookmarkEnd w:id="106"/>
      <w:bookmarkEnd w:id="107"/>
      <w:bookmarkEnd w:id="108"/>
      <w:r w:rsidRPr="00D75391">
        <w:rPr>
          <w:rFonts w:ascii="Palatino Linotype" w:eastAsia="Times New Roman" w:hAnsi="Palatino Linotype" w:cs="Times New Roman"/>
          <w:b/>
          <w:noProof/>
          <w:color w:val="000000"/>
          <w:lang w:val="es-MX" w:eastAsia="en-US"/>
        </w:rPr>
        <w:t xml:space="preserve"> </w:t>
      </w:r>
    </w:p>
    <w:p w14:paraId="68342F7F" w14:textId="77777777" w:rsidR="005C5592" w:rsidRPr="00D75391" w:rsidRDefault="005C5592" w:rsidP="00D75391">
      <w:pPr>
        <w:keepNext/>
        <w:keepLines/>
        <w:spacing w:line="360" w:lineRule="auto"/>
        <w:outlineLvl w:val="0"/>
        <w:rPr>
          <w:rFonts w:ascii="Palatino Linotype" w:eastAsia="Times New Roman" w:hAnsi="Palatino Linotype" w:cs="Times New Roman"/>
          <w:b/>
          <w:noProof/>
          <w:lang w:val="es-MX" w:eastAsia="en-US"/>
        </w:rPr>
      </w:pPr>
    </w:p>
    <w:p w14:paraId="4CD83134" w14:textId="1AF7FBDD" w:rsidR="005C5592" w:rsidRPr="00D75391" w:rsidRDefault="005C5592"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eastAsia="Calibri" w:hAnsi="Palatino Linotype" w:cs="Arial"/>
          <w:noProof/>
          <w:color w:val="000000"/>
          <w:lang w:val="es-MX" w:eastAsia="es-MX"/>
        </w:rPr>
        <w:t xml:space="preserve">Resulta </w:t>
      </w:r>
      <w:r w:rsidRPr="00D75391">
        <w:rPr>
          <w:rFonts w:ascii="Palatino Linotype" w:eastAsia="Calibri" w:hAnsi="Palatino Linotype" w:cs="Arial"/>
          <w:color w:val="000000"/>
          <w:lang w:val="es-MX" w:eastAsia="en-US"/>
        </w:rPr>
        <w:t xml:space="preserve">necesario manifestar que debido a la naturaleza de </w:t>
      </w:r>
      <w:r w:rsidRPr="00D75391">
        <w:rPr>
          <w:rFonts w:ascii="Palatino Linotype" w:eastAsia="Calibri" w:hAnsi="Palatino Linotype" w:cs="Times New Roman"/>
          <w:color w:val="000000"/>
          <w:lang w:val="es-MX" w:eastAsia="en-US"/>
        </w:rPr>
        <w:t>la información que se ordenará entregar</w:t>
      </w:r>
      <w:r w:rsidRPr="00D75391">
        <w:rPr>
          <w:rFonts w:ascii="Palatino Linotype" w:eastAsia="Calibri" w:hAnsi="Palatino Linotype" w:cs="Arial"/>
          <w:color w:val="000000"/>
          <w:lang w:val="es-MX" w:eastAsia="en-US"/>
        </w:rPr>
        <w:t xml:space="preserve">, pudieran obrar </w:t>
      </w:r>
      <w:r w:rsidRPr="00D75391">
        <w:rPr>
          <w:rFonts w:ascii="Palatino Linotype" w:eastAsia="Calibri" w:hAnsi="Palatino Linotype" w:cs="Arial"/>
          <w:b/>
          <w:color w:val="000000"/>
          <w:lang w:val="es-MX" w:eastAsia="en-US"/>
        </w:rPr>
        <w:t xml:space="preserve">datos o información relativa a algún procedimiento que pudieran ser susceptibles de ser clasificados </w:t>
      </w:r>
      <w:r w:rsidRPr="00D75391">
        <w:rPr>
          <w:rFonts w:ascii="Palatino Linotype" w:eastAsia="Calibri" w:hAnsi="Palatino Linotype" w:cs="Arial"/>
          <w:color w:val="000000"/>
          <w:lang w:val="es-MX" w:eastAsia="en-US"/>
        </w:rPr>
        <w:t xml:space="preserve">como reservados o </w:t>
      </w:r>
      <w:r w:rsidR="002E783F" w:rsidRPr="00D75391">
        <w:rPr>
          <w:rFonts w:ascii="Palatino Linotype" w:eastAsia="Calibri" w:hAnsi="Palatino Linotype" w:cs="Arial"/>
          <w:color w:val="000000"/>
          <w:lang w:val="es-MX" w:eastAsia="en-US"/>
        </w:rPr>
        <w:t xml:space="preserve">datos </w:t>
      </w:r>
      <w:r w:rsidRPr="00D75391">
        <w:rPr>
          <w:rFonts w:ascii="Palatino Linotype" w:eastAsia="Calibri" w:hAnsi="Palatino Linotype" w:cs="Arial"/>
          <w:color w:val="000000"/>
          <w:lang w:val="es-MX" w:eastAsia="en-US"/>
        </w:rPr>
        <w:t xml:space="preserve">confidenciales, por ello el Instituto de Acceso a la Información Pública y Protección de Datos Personales del Estado de México tiene el deber de velar por la protección de los datos, de tal modo que el </w:t>
      </w:r>
      <w:r w:rsidRPr="00D75391">
        <w:rPr>
          <w:rFonts w:ascii="Palatino Linotype" w:eastAsia="Calibri" w:hAnsi="Palatino Linotype" w:cs="Arial"/>
          <w:b/>
          <w:color w:val="000000"/>
          <w:lang w:val="es-MX" w:eastAsia="en-US"/>
        </w:rPr>
        <w:t>Sujeto Obligado</w:t>
      </w:r>
      <w:r w:rsidRPr="00D75391">
        <w:rPr>
          <w:rFonts w:ascii="Palatino Linotype" w:eastAsia="Calibri" w:hAnsi="Palatino Linotype" w:cs="Arial"/>
          <w:color w:val="000000"/>
          <w:lang w:val="es-MX" w:eastAsia="en-US"/>
        </w:rPr>
        <w:t xml:space="preserve"> deberá en su caso generar la versión pública de las documentales que se deberán entregar en cumplimiento a esta resolución.  </w:t>
      </w:r>
    </w:p>
    <w:p w14:paraId="04F9ECF1" w14:textId="77777777" w:rsidR="005C5592" w:rsidRPr="00D75391" w:rsidRDefault="005C5592" w:rsidP="00D75391">
      <w:pPr>
        <w:tabs>
          <w:tab w:val="left" w:pos="851"/>
        </w:tabs>
        <w:spacing w:line="360" w:lineRule="auto"/>
        <w:ind w:right="49"/>
        <w:contextualSpacing/>
        <w:jc w:val="both"/>
        <w:rPr>
          <w:rFonts w:ascii="Palatino Linotype" w:hAnsi="Palatino Linotype"/>
          <w:lang w:val="es-ES"/>
        </w:rPr>
      </w:pPr>
    </w:p>
    <w:p w14:paraId="28837028" w14:textId="77777777" w:rsidR="005C5592" w:rsidRPr="00D75391" w:rsidRDefault="005C5592"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eastAsia="Calibri" w:hAnsi="Palatino Linotype" w:cs="Arial"/>
          <w:color w:val="000000"/>
          <w:lang w:val="es-ES" w:eastAsia="es-MX"/>
        </w:rPr>
        <w:t xml:space="preserve">Es de señalar, que por lo que hace a las versiones públicas, el </w:t>
      </w:r>
      <w:r w:rsidRPr="00D75391">
        <w:rPr>
          <w:rFonts w:ascii="Palatino Linotype" w:eastAsia="Calibri" w:hAnsi="Palatino Linotype" w:cs="Arial"/>
          <w:b/>
          <w:color w:val="000000"/>
          <w:lang w:val="es-ES" w:eastAsia="es-MX"/>
        </w:rPr>
        <w:t>Sujeto Obligado</w:t>
      </w:r>
      <w:r w:rsidRPr="00D75391">
        <w:rPr>
          <w:rFonts w:ascii="Palatino Linotype" w:eastAsia="Calibri" w:hAnsi="Palatino Linotype" w:cs="Arial"/>
          <w:color w:val="000000"/>
          <w:lang w:val="es-ES" w:eastAsia="es-MX"/>
        </w:rPr>
        <w:t xml:space="preserve"> debe cumplir con las formalidades exigidas en la Ley, por lo que </w:t>
      </w:r>
      <w:r w:rsidRPr="00D75391">
        <w:rPr>
          <w:rFonts w:ascii="Palatino Linotype" w:eastAsia="Times New Roman" w:hAnsi="Palatino Linotype" w:cs="Arial"/>
          <w:color w:val="000000"/>
          <w:lang w:val="es-MX" w:eastAsia="es-MX"/>
        </w:rPr>
        <w:t xml:space="preserve">para tal efecto emitirá el </w:t>
      </w:r>
      <w:r w:rsidRPr="00D75391">
        <w:rPr>
          <w:rFonts w:ascii="Palatino Linotype" w:eastAsia="Calibri" w:hAnsi="Palatino Linotype" w:cs="Arial"/>
          <w:color w:val="000000"/>
          <w:lang w:val="es-ES" w:eastAsia="es-MX"/>
        </w:rPr>
        <w:t>Acuerdo del Comité de Transparencia en términos de los artículos 49 fracción</w:t>
      </w:r>
      <w:r w:rsidRPr="00D75391">
        <w:rPr>
          <w:rFonts w:ascii="Palatino Linotype" w:eastAsia="Calibri" w:hAnsi="Palatino Linotype" w:cs="Arial"/>
          <w:bCs/>
          <w:color w:val="000000"/>
          <w:lang w:val="es-MX" w:eastAsia="en-US"/>
        </w:rPr>
        <w:t xml:space="preserve"> VIII,</w:t>
      </w:r>
      <w:r w:rsidRPr="00D75391">
        <w:rPr>
          <w:rFonts w:ascii="Palatino Linotype" w:eastAsia="Calibri" w:hAnsi="Palatino Linotype" w:cs="Arial"/>
          <w:color w:val="000000"/>
          <w:lang w:val="es-ES" w:eastAsia="es-MX"/>
        </w:rPr>
        <w:t xml:space="preserve"> 122</w:t>
      </w:r>
      <w:r w:rsidRPr="00D75391">
        <w:rPr>
          <w:rFonts w:ascii="Palatino Linotype" w:eastAsia="Calibri" w:hAnsi="Palatino Linotype" w:cs="Times New Roman"/>
          <w:vertAlign w:val="superscript"/>
          <w:lang w:val="es-ES" w:eastAsia="es-MX"/>
        </w:rPr>
        <w:footnoteReference w:id="4"/>
      </w:r>
      <w:r w:rsidRPr="00D75391">
        <w:rPr>
          <w:rFonts w:ascii="Palatino Linotype" w:eastAsia="Calibri" w:hAnsi="Palatino Linotype" w:cs="Arial"/>
          <w:color w:val="000000"/>
          <w:lang w:val="es-ES" w:eastAsia="es-MX"/>
        </w:rPr>
        <w:t>, 135</w:t>
      </w:r>
      <w:r w:rsidRPr="00D75391">
        <w:rPr>
          <w:rFonts w:ascii="Palatino Linotype" w:eastAsia="Calibri" w:hAnsi="Palatino Linotype" w:cs="Times New Roman"/>
          <w:vertAlign w:val="superscript"/>
          <w:lang w:val="es-ES" w:eastAsia="es-MX"/>
        </w:rPr>
        <w:footnoteReference w:id="5"/>
      </w:r>
      <w:r w:rsidRPr="00D75391">
        <w:rPr>
          <w:rFonts w:ascii="Palatino Linotype" w:eastAsia="Calibri" w:hAnsi="Palatino Linotype" w:cs="Arial"/>
          <w:color w:val="000000"/>
          <w:lang w:val="es-ES" w:eastAsia="es-MX"/>
        </w:rPr>
        <w:t xml:space="preserve"> y 149 de la </w:t>
      </w:r>
      <w:r w:rsidRPr="00D75391">
        <w:rPr>
          <w:rFonts w:ascii="Palatino Linotype" w:eastAsia="Calibri" w:hAnsi="Palatino Linotype" w:cs="Arial"/>
          <w:b/>
          <w:color w:val="000000"/>
          <w:lang w:val="es-ES" w:eastAsia="es-MX"/>
        </w:rPr>
        <w:t>Ley de Transparencia y Acceso a la Información Pública del Estado de México y Municipios</w:t>
      </w:r>
      <w:r w:rsidRPr="00D7539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375EB36F" w14:textId="77777777" w:rsidR="005C5592" w:rsidRPr="00D75391" w:rsidRDefault="005C5592" w:rsidP="00D75391">
      <w:pPr>
        <w:tabs>
          <w:tab w:val="left" w:pos="851"/>
        </w:tabs>
        <w:spacing w:line="360" w:lineRule="auto"/>
        <w:ind w:right="49"/>
        <w:contextualSpacing/>
        <w:jc w:val="both"/>
        <w:rPr>
          <w:rFonts w:ascii="Palatino Linotype" w:hAnsi="Palatino Linotype"/>
          <w:lang w:val="es-ES"/>
        </w:rPr>
      </w:pPr>
    </w:p>
    <w:p w14:paraId="34B5A3EE" w14:textId="77777777" w:rsidR="005C5592" w:rsidRPr="00D75391" w:rsidRDefault="005C5592" w:rsidP="00D75391">
      <w:pPr>
        <w:keepNext/>
        <w:keepLines/>
        <w:spacing w:line="360" w:lineRule="auto"/>
        <w:outlineLvl w:val="1"/>
        <w:rPr>
          <w:rFonts w:ascii="Palatino Linotype" w:eastAsia="Times New Roman" w:hAnsi="Palatino Linotype" w:cs="Times New Roman"/>
          <w:b/>
          <w:color w:val="000000"/>
          <w:lang w:val="es-MX" w:eastAsia="en-US"/>
        </w:rPr>
      </w:pPr>
      <w:bookmarkStart w:id="109" w:name="_Toc500756709"/>
      <w:bookmarkStart w:id="110" w:name="_Toc536691777"/>
      <w:bookmarkStart w:id="111" w:name="_Toc4073618"/>
      <w:bookmarkStart w:id="112" w:name="_Toc4078181"/>
      <w:bookmarkStart w:id="113" w:name="_Toc8897708"/>
      <w:bookmarkStart w:id="114" w:name="_Toc20423571"/>
      <w:r w:rsidRPr="00D75391">
        <w:rPr>
          <w:rFonts w:ascii="Palatino Linotype" w:eastAsia="Times New Roman" w:hAnsi="Palatino Linotype" w:cs="Times New Roman"/>
          <w:b/>
          <w:color w:val="000000"/>
          <w:lang w:val="es-MX" w:eastAsia="en-US"/>
        </w:rPr>
        <w:t>I. De la clasificación de la información.</w:t>
      </w:r>
      <w:bookmarkEnd w:id="109"/>
      <w:bookmarkEnd w:id="110"/>
      <w:bookmarkEnd w:id="111"/>
      <w:bookmarkEnd w:id="112"/>
      <w:bookmarkEnd w:id="113"/>
      <w:bookmarkEnd w:id="114"/>
    </w:p>
    <w:p w14:paraId="24A484AC" w14:textId="77777777" w:rsidR="005C5592" w:rsidRPr="00D75391" w:rsidRDefault="005C5592" w:rsidP="00D75391">
      <w:pPr>
        <w:pStyle w:val="Prrafodelista"/>
        <w:spacing w:line="360" w:lineRule="auto"/>
        <w:rPr>
          <w:rFonts w:ascii="Palatino Linotype" w:eastAsia="Calibri" w:hAnsi="Palatino Linotype" w:cs="Times New Roman"/>
          <w:color w:val="000000"/>
          <w:lang w:val="es-MX" w:eastAsia="en-US"/>
        </w:rPr>
      </w:pPr>
    </w:p>
    <w:p w14:paraId="205BA38F" w14:textId="77777777" w:rsidR="005C5592" w:rsidRPr="00D75391" w:rsidRDefault="005C5592"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eastAsia="Calibri" w:hAnsi="Palatino Linotype" w:cs="Times New Roman"/>
          <w:color w:val="000000"/>
          <w:lang w:val="es-MX" w:eastAsia="en-U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75391">
        <w:rPr>
          <w:rFonts w:ascii="Palatino Linotype" w:hAnsi="Palatino Linotype"/>
          <w:vertAlign w:val="superscript"/>
          <w:lang w:val="es-MX" w:eastAsia="en-US"/>
        </w:rPr>
        <w:footnoteReference w:id="6"/>
      </w:r>
      <w:r w:rsidRPr="00D75391">
        <w:rPr>
          <w:rFonts w:ascii="Palatino Linotype" w:eastAsia="Calibri" w:hAnsi="Palatino Linotype" w:cs="Times New Roman"/>
          <w:color w:val="000000"/>
          <w:lang w:val="es-MX" w:eastAsia="en-U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75391">
        <w:rPr>
          <w:rFonts w:ascii="Palatino Linotype" w:hAnsi="Palatino Linotype"/>
          <w:vertAlign w:val="superscript"/>
          <w:lang w:val="es-MX" w:eastAsia="en-US"/>
        </w:rPr>
        <w:footnoteReference w:id="7"/>
      </w:r>
      <w:r w:rsidRPr="00D75391">
        <w:rPr>
          <w:rFonts w:ascii="Palatino Linotype" w:eastAsia="Calibri" w:hAnsi="Palatino Linotype" w:cs="Times New Roman"/>
          <w:color w:val="000000"/>
          <w:lang w:val="es-MX" w:eastAsia="en-U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8E058E6" w14:textId="77777777" w:rsidR="005C5592" w:rsidRPr="00D75391" w:rsidRDefault="005C5592" w:rsidP="00D75391">
      <w:pPr>
        <w:tabs>
          <w:tab w:val="left" w:pos="851"/>
        </w:tabs>
        <w:spacing w:line="360" w:lineRule="auto"/>
        <w:ind w:right="49"/>
        <w:contextualSpacing/>
        <w:jc w:val="both"/>
        <w:rPr>
          <w:rFonts w:ascii="Palatino Linotype" w:hAnsi="Palatino Linotype"/>
          <w:lang w:val="es-ES"/>
        </w:rPr>
      </w:pPr>
    </w:p>
    <w:p w14:paraId="1227321C" w14:textId="77777777" w:rsidR="005C5592" w:rsidRPr="00D75391" w:rsidRDefault="005C5592"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eastAsia="Calibri" w:hAnsi="Palatino Linotype" w:cs="Times New Roman"/>
          <w:color w:val="000000"/>
          <w:lang w:val="es-MX" w:eastAsia="en-U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70E02602" w14:textId="77777777" w:rsidR="005C5592" w:rsidRPr="00D75391" w:rsidRDefault="005C5592" w:rsidP="00D75391">
      <w:pPr>
        <w:pStyle w:val="Prrafodelista"/>
        <w:spacing w:line="360" w:lineRule="auto"/>
        <w:rPr>
          <w:rFonts w:ascii="Palatino Linotype" w:eastAsia="Calibri" w:hAnsi="Palatino Linotype" w:cs="Times New Roman"/>
          <w:color w:val="000000"/>
          <w:lang w:val="es-MX" w:eastAsia="en-US"/>
        </w:rPr>
      </w:pPr>
    </w:p>
    <w:p w14:paraId="6FCC4B30" w14:textId="04BA0F0D" w:rsidR="005C5592" w:rsidRPr="00D75391" w:rsidRDefault="005C5592"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eastAsia="Calibri" w:hAnsi="Palatino Linotype" w:cs="Times New Roman"/>
          <w:color w:val="000000"/>
          <w:lang w:val="es-MX" w:eastAsia="en-US"/>
        </w:rPr>
        <w:t>.Por esa razón, es que en esta ocasión se presenta un apretado resumen de las formalidades, elementos y procedimientos que debe considerar el sujeto obligado para emitir este tipo de acuerdos y que el Órgano Garante debe verificar que se cumplan.</w:t>
      </w:r>
    </w:p>
    <w:p w14:paraId="0B6D5299" w14:textId="77777777" w:rsidR="005C5592" w:rsidRPr="00D75391" w:rsidRDefault="005C5592" w:rsidP="00D75391">
      <w:pPr>
        <w:spacing w:line="360" w:lineRule="auto"/>
        <w:jc w:val="both"/>
        <w:rPr>
          <w:rFonts w:ascii="Palatino Linotype" w:eastAsia="Calibri" w:hAnsi="Palatino Linotype" w:cs="Times New Roman"/>
          <w:color w:val="000000"/>
          <w:lang w:val="es-MX" w:eastAsia="en-US"/>
        </w:rPr>
      </w:pPr>
    </w:p>
    <w:p w14:paraId="7C066942" w14:textId="77777777" w:rsidR="005C5592" w:rsidRPr="00D75391" w:rsidRDefault="005C5592" w:rsidP="00D75391">
      <w:pPr>
        <w:keepNext/>
        <w:keepLines/>
        <w:numPr>
          <w:ilvl w:val="0"/>
          <w:numId w:val="12"/>
        </w:numPr>
        <w:pBdr>
          <w:top w:val="nil"/>
          <w:left w:val="nil"/>
          <w:bottom w:val="nil"/>
          <w:right w:val="nil"/>
          <w:between w:val="nil"/>
          <w:bar w:val="nil"/>
        </w:pBdr>
        <w:spacing w:after="160" w:line="360" w:lineRule="auto"/>
        <w:contextualSpacing/>
        <w:outlineLvl w:val="0"/>
        <w:rPr>
          <w:rFonts w:ascii="Palatino Linotype" w:eastAsia="Times New Roman" w:hAnsi="Palatino Linotype" w:cs="Times New Roman"/>
          <w:b/>
          <w:color w:val="000000"/>
          <w:lang w:val="es-MX" w:eastAsia="en-US"/>
        </w:rPr>
      </w:pPr>
      <w:bookmarkStart w:id="115" w:name="_Toc485631700"/>
      <w:bookmarkStart w:id="116" w:name="_Toc500756710"/>
      <w:bookmarkStart w:id="117" w:name="_Toc536691778"/>
      <w:bookmarkStart w:id="118" w:name="_Toc4073619"/>
      <w:bookmarkStart w:id="119" w:name="_Toc4078182"/>
      <w:bookmarkStart w:id="120" w:name="_Toc8897709"/>
      <w:bookmarkStart w:id="121" w:name="_Toc20423572"/>
      <w:r w:rsidRPr="00D75391">
        <w:rPr>
          <w:rFonts w:ascii="Palatino Linotype" w:eastAsia="Times New Roman" w:hAnsi="Palatino Linotype" w:cs="Times New Roman"/>
          <w:b/>
          <w:color w:val="000000"/>
          <w:lang w:val="es-MX" w:eastAsia="en-US"/>
        </w:rPr>
        <w:t>Requisitos previos.</w:t>
      </w:r>
      <w:bookmarkEnd w:id="115"/>
      <w:bookmarkEnd w:id="116"/>
      <w:bookmarkEnd w:id="117"/>
      <w:bookmarkEnd w:id="118"/>
      <w:bookmarkEnd w:id="119"/>
      <w:bookmarkEnd w:id="120"/>
      <w:bookmarkEnd w:id="121"/>
    </w:p>
    <w:p w14:paraId="1D00F33A"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487FC16D" w14:textId="604E2879" w:rsidR="005C5592" w:rsidRPr="00D75391" w:rsidRDefault="005C5592" w:rsidP="00D75391">
      <w:pPr>
        <w:pStyle w:val="Prrafodelista"/>
        <w:numPr>
          <w:ilvl w:val="0"/>
          <w:numId w:val="1"/>
        </w:numPr>
        <w:spacing w:after="160" w:line="360" w:lineRule="auto"/>
        <w:ind w:left="0" w:firstLine="0"/>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Los </w:t>
      </w:r>
      <w:r w:rsidRPr="00D75391">
        <w:rPr>
          <w:rFonts w:ascii="Palatino Linotype" w:eastAsia="Calibri" w:hAnsi="Palatino Linotype" w:cs="Times New Roman"/>
          <w:color w:val="000000"/>
          <w:lang w:val="es-MX" w:eastAsia="en-US"/>
        </w:rPr>
        <w:t>artículos</w:t>
      </w:r>
      <w:r w:rsidRPr="00D75391">
        <w:rPr>
          <w:rFonts w:ascii="Palatino Linotype" w:eastAsia="Calibri" w:hAnsi="Palatino Linotype" w:cs="Arial"/>
          <w:color w:val="000000"/>
          <w:lang w:val="es-MX" w:eastAsia="en-US"/>
        </w:rPr>
        <w:t xml:space="preserve"> 122 y 100 de la Ley Estatal y de la Ley General, respectivamente, señalan que los </w:t>
      </w:r>
      <w:r w:rsidRPr="00D75391">
        <w:rPr>
          <w:rFonts w:ascii="Palatino Linotype" w:eastAsia="Calibri" w:hAnsi="Palatino Linotype" w:cs="Arial"/>
          <w:b/>
          <w:color w:val="000000"/>
          <w:lang w:val="es-MX" w:eastAsia="en-US"/>
        </w:rPr>
        <w:t>Sujetos Obligados</w:t>
      </w:r>
      <w:r w:rsidRPr="00D75391">
        <w:rPr>
          <w:rFonts w:ascii="Palatino Linotype" w:eastAsia="Calibri" w:hAnsi="Palatino Linotype" w:cs="Arial"/>
          <w:color w:val="000000"/>
          <w:lang w:val="es-MX" w:eastAsia="en-US"/>
        </w:rPr>
        <w:t xml:space="preserve">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82C45C4"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057D61E0"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620708B"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158A57BF"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754E64B"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0F13B606" w14:textId="77777777" w:rsidR="005C5592" w:rsidRPr="00D75391" w:rsidRDefault="005C5592" w:rsidP="00D75391">
      <w:pPr>
        <w:keepNext/>
        <w:keepLines/>
        <w:numPr>
          <w:ilvl w:val="0"/>
          <w:numId w:val="12"/>
        </w:numPr>
        <w:pBdr>
          <w:top w:val="nil"/>
          <w:left w:val="nil"/>
          <w:bottom w:val="nil"/>
          <w:right w:val="nil"/>
          <w:between w:val="nil"/>
          <w:bar w:val="nil"/>
        </w:pBdr>
        <w:spacing w:after="160" w:line="360" w:lineRule="auto"/>
        <w:contextualSpacing/>
        <w:outlineLvl w:val="0"/>
        <w:rPr>
          <w:rFonts w:ascii="Palatino Linotype" w:eastAsia="Times New Roman" w:hAnsi="Palatino Linotype" w:cs="Times New Roman"/>
          <w:b/>
          <w:color w:val="000000"/>
          <w:lang w:val="es-MX" w:eastAsia="en-US"/>
        </w:rPr>
      </w:pPr>
      <w:bookmarkStart w:id="122" w:name="_Toc485631701"/>
      <w:bookmarkStart w:id="123" w:name="_Toc500756711"/>
      <w:bookmarkStart w:id="124" w:name="_Toc536691779"/>
      <w:bookmarkStart w:id="125" w:name="_Toc4073620"/>
      <w:bookmarkStart w:id="126" w:name="_Toc4078183"/>
      <w:bookmarkStart w:id="127" w:name="_Toc8897710"/>
      <w:bookmarkStart w:id="128" w:name="_Toc20423573"/>
      <w:r w:rsidRPr="00D75391">
        <w:rPr>
          <w:rFonts w:ascii="Palatino Linotype" w:eastAsia="Times New Roman" w:hAnsi="Palatino Linotype" w:cs="Times New Roman"/>
          <w:b/>
          <w:color w:val="000000"/>
          <w:lang w:val="es-MX" w:eastAsia="en-US"/>
        </w:rPr>
        <w:t>Supuestos de clasificación.</w:t>
      </w:r>
      <w:bookmarkEnd w:id="122"/>
      <w:bookmarkEnd w:id="123"/>
      <w:bookmarkEnd w:id="124"/>
      <w:bookmarkEnd w:id="125"/>
      <w:bookmarkEnd w:id="126"/>
      <w:bookmarkEnd w:id="127"/>
      <w:bookmarkEnd w:id="128"/>
    </w:p>
    <w:p w14:paraId="023AB184" w14:textId="77777777" w:rsidR="005C5592" w:rsidRPr="00D75391" w:rsidRDefault="005C5592" w:rsidP="00D75391">
      <w:pPr>
        <w:spacing w:line="360" w:lineRule="auto"/>
        <w:jc w:val="both"/>
        <w:rPr>
          <w:rFonts w:ascii="Palatino Linotype" w:eastAsia="Calibri" w:hAnsi="Palatino Linotype" w:cs="Arial"/>
          <w:color w:val="000000"/>
          <w:lang w:val="es-MX" w:eastAsia="en-US"/>
        </w:rPr>
      </w:pPr>
    </w:p>
    <w:p w14:paraId="20B8C44F"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Las disposiciones constitucionales y legales en la materia establecen los dos supuestos generales para clasificar la información: por reserva y por confidencialidad.</w:t>
      </w:r>
    </w:p>
    <w:p w14:paraId="6B4FDCBF"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71D47841"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Los artículos 140 y 113 de la Ley Estatal y de la Ley General, respectivamente, señalan los supuestos para que una información pueda considerarse como reservada, que son los siguientes:</w:t>
      </w:r>
    </w:p>
    <w:p w14:paraId="7F1652F7"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tbl>
      <w:tblPr>
        <w:tblStyle w:val="Tablanormal11"/>
        <w:tblW w:w="0" w:type="auto"/>
        <w:tblInd w:w="688" w:type="dxa"/>
        <w:tblLook w:val="04A0" w:firstRow="1" w:lastRow="0" w:firstColumn="1" w:lastColumn="0" w:noHBand="0" w:noVBand="1"/>
      </w:tblPr>
      <w:tblGrid>
        <w:gridCol w:w="3726"/>
        <w:gridCol w:w="3661"/>
      </w:tblGrid>
      <w:tr w:rsidR="005C5592" w:rsidRPr="00D75391" w14:paraId="3CE092BD" w14:textId="77777777" w:rsidTr="005C5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679C997" w14:textId="77777777" w:rsidR="005C5592" w:rsidRPr="00D75391" w:rsidRDefault="005C5592" w:rsidP="00D75391">
            <w:pPr>
              <w:autoSpaceDE w:val="0"/>
              <w:autoSpaceDN w:val="0"/>
              <w:adjustRightInd w:val="0"/>
              <w:spacing w:line="360" w:lineRule="auto"/>
              <w:jc w:val="center"/>
              <w:rPr>
                <w:rFonts w:ascii="Palatino Linotype" w:hAnsi="Palatino Linotype" w:cs="Times New Roman"/>
                <w:color w:val="000000"/>
                <w:sz w:val="24"/>
                <w:szCs w:val="24"/>
              </w:rPr>
            </w:pPr>
            <w:r w:rsidRPr="00D75391">
              <w:rPr>
                <w:rFonts w:ascii="Palatino Linotype" w:hAnsi="Palatino Linotype" w:cs="Gill Sans,Bold"/>
                <w:color w:val="000000"/>
                <w:sz w:val="24"/>
                <w:szCs w:val="24"/>
              </w:rPr>
              <w:t>LEY ESTATAL</w:t>
            </w:r>
          </w:p>
        </w:tc>
        <w:tc>
          <w:tcPr>
            <w:tcW w:w="3661" w:type="dxa"/>
          </w:tcPr>
          <w:p w14:paraId="59376312" w14:textId="77777777" w:rsidR="005C5592" w:rsidRPr="00D75391" w:rsidRDefault="005C5592" w:rsidP="00D753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rPr>
            </w:pPr>
            <w:r w:rsidRPr="00D75391">
              <w:rPr>
                <w:rFonts w:ascii="Palatino Linotype" w:hAnsi="Palatino Linotype" w:cs="Times New Roman"/>
                <w:color w:val="000000"/>
                <w:sz w:val="24"/>
                <w:szCs w:val="24"/>
              </w:rPr>
              <w:t>LEY GENERAL</w:t>
            </w:r>
          </w:p>
        </w:tc>
      </w:tr>
      <w:tr w:rsidR="005C5592" w:rsidRPr="00D75391" w14:paraId="2BE80E89"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E6A3767"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I. Comprometa la seguridad pública y cuente con un propósito genuino y un efecto demostrable;</w:t>
            </w:r>
          </w:p>
          <w:p w14:paraId="1BDC1C9F" w14:textId="77777777" w:rsidR="005C5592" w:rsidRPr="00D75391" w:rsidRDefault="005C5592" w:rsidP="00D75391">
            <w:pPr>
              <w:spacing w:line="360" w:lineRule="auto"/>
              <w:jc w:val="both"/>
              <w:rPr>
                <w:rFonts w:ascii="Palatino Linotype" w:hAnsi="Palatino Linotype" w:cs="Times New Roman"/>
                <w:color w:val="000000"/>
                <w:sz w:val="24"/>
                <w:szCs w:val="24"/>
              </w:rPr>
            </w:pPr>
          </w:p>
        </w:tc>
        <w:tc>
          <w:tcPr>
            <w:tcW w:w="3661" w:type="dxa"/>
          </w:tcPr>
          <w:p w14:paraId="6642CE0F"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I.</w:t>
            </w:r>
            <w:r w:rsidRPr="00D75391">
              <w:rPr>
                <w:rFonts w:ascii="Palatino Linotype" w:hAnsi="Palatino Linotype" w:cs="Times New Roman"/>
                <w:color w:val="000000"/>
                <w:sz w:val="24"/>
                <w:szCs w:val="24"/>
                <w:lang w:val="es-ES"/>
              </w:rPr>
              <w:tab/>
              <w:t>Comprometa la seguridad nacional, la seguridad pública o la defensa nacional y cuente con un propósito genuino y un efecto demostrable;</w:t>
            </w:r>
          </w:p>
        </w:tc>
      </w:tr>
      <w:tr w:rsidR="005C5592" w:rsidRPr="00D75391" w14:paraId="75F35C99"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008265A1"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II. Pueda menoscabar la conducción de las negociaciones y relaciones internacionales;</w:t>
            </w:r>
          </w:p>
        </w:tc>
        <w:tc>
          <w:tcPr>
            <w:tcW w:w="3661" w:type="dxa"/>
          </w:tcPr>
          <w:p w14:paraId="25818C62"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II.</w:t>
            </w:r>
            <w:r w:rsidRPr="00D75391">
              <w:rPr>
                <w:rFonts w:ascii="Palatino Linotype" w:hAnsi="Palatino Linotype" w:cs="Times New Roman"/>
                <w:color w:val="000000"/>
                <w:sz w:val="24"/>
                <w:szCs w:val="24"/>
                <w:lang w:val="es-ES"/>
              </w:rPr>
              <w:tab/>
              <w:t>Pueda menoscabar la conducción de las negociaciones y relaciones internacionales;</w:t>
            </w:r>
          </w:p>
        </w:tc>
      </w:tr>
      <w:tr w:rsidR="005C5592" w:rsidRPr="00D75391" w14:paraId="4D5E7508"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4344C7D"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661" w:type="dxa"/>
          </w:tcPr>
          <w:p w14:paraId="35670CAF"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III.</w:t>
            </w:r>
            <w:r w:rsidRPr="00D75391">
              <w:rPr>
                <w:rFonts w:ascii="Palatino Linotype" w:hAnsi="Palatino Linotype" w:cs="Times New Roman"/>
                <w:color w:val="000000"/>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5C5592" w:rsidRPr="00D75391" w14:paraId="63C9B7E0"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3BBC9D7B"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p>
        </w:tc>
        <w:tc>
          <w:tcPr>
            <w:tcW w:w="3661" w:type="dxa"/>
          </w:tcPr>
          <w:p w14:paraId="4DF24EE6"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IV.</w:t>
            </w:r>
            <w:r w:rsidRPr="00D75391">
              <w:rPr>
                <w:rFonts w:ascii="Palatino Linotype" w:hAnsi="Palatino Linotype" w:cs="Times New Roman"/>
                <w:color w:val="000000"/>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5C5592" w:rsidRPr="00D75391" w14:paraId="5DB8552E"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4CA002E9"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IV. Ponga en riesgo la vida, la seguridad o la salud de una persona física;</w:t>
            </w:r>
          </w:p>
        </w:tc>
        <w:tc>
          <w:tcPr>
            <w:tcW w:w="3661" w:type="dxa"/>
          </w:tcPr>
          <w:p w14:paraId="319C8C1F"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V.</w:t>
            </w:r>
            <w:r w:rsidRPr="00D75391">
              <w:rPr>
                <w:rFonts w:ascii="Palatino Linotype" w:hAnsi="Palatino Linotype" w:cs="Times New Roman"/>
                <w:color w:val="000000"/>
                <w:sz w:val="24"/>
                <w:szCs w:val="24"/>
                <w:lang w:val="es-ES"/>
              </w:rPr>
              <w:tab/>
              <w:t>Pueda poner en riesgo la vida, seguridad o salud de una persona física;</w:t>
            </w:r>
          </w:p>
        </w:tc>
      </w:tr>
      <w:tr w:rsidR="005C5592" w:rsidRPr="00D75391" w14:paraId="2D0B413E"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03A8B057"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V. Aquella cuya divulgación obstruya o pueda causar un serio perjuicio a:</w:t>
            </w:r>
          </w:p>
          <w:p w14:paraId="798198EC"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p>
          <w:p w14:paraId="7BD49316"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1. Las actividades de fiscalización, verificación, inspección, comprobación y auditoría sobre el cumplimiento de las Leyes; o</w:t>
            </w:r>
          </w:p>
          <w:p w14:paraId="251BAEDA"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p>
          <w:p w14:paraId="320F9E6A"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2. La recaudación de las contribuciones.</w:t>
            </w:r>
          </w:p>
        </w:tc>
        <w:tc>
          <w:tcPr>
            <w:tcW w:w="3661" w:type="dxa"/>
          </w:tcPr>
          <w:p w14:paraId="1C3D0B59"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VI.</w:t>
            </w:r>
            <w:r w:rsidRPr="00D75391">
              <w:rPr>
                <w:rFonts w:ascii="Palatino Linotype" w:hAnsi="Palatino Linotype" w:cs="Times New Roman"/>
                <w:color w:val="000000"/>
                <w:sz w:val="24"/>
                <w:szCs w:val="24"/>
                <w:lang w:val="es-ES"/>
              </w:rPr>
              <w:tab/>
              <w:t>Obstruya las actividades de verificación, inspección y auditoría relativas al cumplimiento de las leyes o afecte la recaudación de contribuciones;</w:t>
            </w:r>
          </w:p>
          <w:p w14:paraId="6CE909B4"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p>
          <w:p w14:paraId="43263D52"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rPr>
            </w:pPr>
          </w:p>
        </w:tc>
      </w:tr>
      <w:tr w:rsidR="005C5592" w:rsidRPr="00D75391" w14:paraId="56CE6846"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23D2A1D2"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661" w:type="dxa"/>
          </w:tcPr>
          <w:p w14:paraId="6296B4E7"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VII.</w:t>
            </w:r>
            <w:r w:rsidRPr="00D75391">
              <w:rPr>
                <w:rFonts w:ascii="Palatino Linotype" w:hAnsi="Palatino Linotype" w:cs="Times New Roman"/>
                <w:color w:val="000000"/>
                <w:sz w:val="24"/>
                <w:szCs w:val="24"/>
                <w:lang w:val="es-ES"/>
              </w:rPr>
              <w:tab/>
              <w:t>Obstruya la prevención o persecución de los delitos;</w:t>
            </w:r>
          </w:p>
          <w:p w14:paraId="4AA6E3ED"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p>
          <w:p w14:paraId="7F82C50C"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p>
        </w:tc>
      </w:tr>
      <w:tr w:rsidR="005C5592" w:rsidRPr="00D75391" w14:paraId="532B3030"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47833CA4"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3661" w:type="dxa"/>
          </w:tcPr>
          <w:p w14:paraId="10BA390C"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VIII.</w:t>
            </w:r>
            <w:r w:rsidRPr="00D75391">
              <w:rPr>
                <w:rFonts w:ascii="Palatino Linotype" w:hAnsi="Palatino Linotype" w:cs="Times New Roman"/>
                <w:color w:val="000000"/>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5C5592" w:rsidRPr="00D75391" w14:paraId="7F330734"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AE48F6F"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p>
        </w:tc>
        <w:tc>
          <w:tcPr>
            <w:tcW w:w="3661" w:type="dxa"/>
          </w:tcPr>
          <w:p w14:paraId="6D5F61AC"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IX.</w:t>
            </w:r>
            <w:r w:rsidRPr="00D75391">
              <w:rPr>
                <w:rFonts w:ascii="Palatino Linotype" w:hAnsi="Palatino Linotype" w:cs="Times New Roman"/>
                <w:color w:val="000000"/>
                <w:sz w:val="24"/>
                <w:szCs w:val="24"/>
                <w:lang w:val="es-ES"/>
              </w:rPr>
              <w:tab/>
              <w:t>Obstruya los procedimientos para fincar responsabilidad a los Servidores Públicos, en tanto no se haya dictado la resolución administrativa;</w:t>
            </w:r>
          </w:p>
        </w:tc>
      </w:tr>
      <w:tr w:rsidR="005C5592" w:rsidRPr="00D75391" w14:paraId="6EB03B38"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63A862AE"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p>
        </w:tc>
        <w:tc>
          <w:tcPr>
            <w:tcW w:w="3661" w:type="dxa"/>
          </w:tcPr>
          <w:p w14:paraId="4DDE92BD"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X.</w:t>
            </w:r>
            <w:r w:rsidRPr="00D75391">
              <w:rPr>
                <w:rFonts w:ascii="Palatino Linotype" w:hAnsi="Palatino Linotype" w:cs="Times New Roman"/>
                <w:color w:val="000000"/>
                <w:sz w:val="24"/>
                <w:szCs w:val="24"/>
                <w:lang w:val="es-ES"/>
              </w:rPr>
              <w:tab/>
              <w:t>Afecte los derechos del debido proceso;</w:t>
            </w:r>
          </w:p>
        </w:tc>
      </w:tr>
      <w:tr w:rsidR="005C5592" w:rsidRPr="00D75391" w14:paraId="657CE8D1"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9DCB605"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VIII. Vulnere la conducción de los expedientes judiciales o de los procedimientos administrativos seguidos en forma de juicio, en tanto no hayan quedado firmes;</w:t>
            </w:r>
          </w:p>
        </w:tc>
        <w:tc>
          <w:tcPr>
            <w:tcW w:w="3661" w:type="dxa"/>
          </w:tcPr>
          <w:p w14:paraId="233FE690"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XI.</w:t>
            </w:r>
            <w:r w:rsidRPr="00D75391">
              <w:rPr>
                <w:rFonts w:ascii="Palatino Linotype" w:hAnsi="Palatino Linotype" w:cs="Times New Roman"/>
                <w:color w:val="000000"/>
                <w:sz w:val="24"/>
                <w:szCs w:val="24"/>
                <w:lang w:val="es-ES"/>
              </w:rPr>
              <w:tab/>
              <w:t>Vulnere la conducción de los Expedientes judiciales o de los procedimientos administrativos seguidos en forma de juicio, en tanto no hayan causado estado;</w:t>
            </w:r>
          </w:p>
        </w:tc>
      </w:tr>
      <w:tr w:rsidR="005C5592" w:rsidRPr="00D75391" w14:paraId="4BD8CC0C"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03FC9736"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IX. Se encuentre contenida dentro de las investigaciones de hechos que la Ley señale como delitos y se tramiten ante el Ministerio Público;</w:t>
            </w:r>
          </w:p>
        </w:tc>
        <w:tc>
          <w:tcPr>
            <w:tcW w:w="3661" w:type="dxa"/>
          </w:tcPr>
          <w:p w14:paraId="0C419AB5"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XII.</w:t>
            </w:r>
            <w:r w:rsidRPr="00D75391">
              <w:rPr>
                <w:rFonts w:ascii="Palatino Linotype" w:hAnsi="Palatino Linotype" w:cs="Times New Roman"/>
                <w:color w:val="000000"/>
                <w:sz w:val="24"/>
                <w:szCs w:val="24"/>
                <w:lang w:val="es-ES"/>
              </w:rPr>
              <w:tab/>
              <w:t>Se encuentre contenida dentro de las investigaciones de hechos que la ley señale como delitos y se tramiten ante el Ministerio Público, y</w:t>
            </w:r>
          </w:p>
        </w:tc>
      </w:tr>
      <w:tr w:rsidR="005C5592" w:rsidRPr="00D75391" w14:paraId="6BB49F84" w14:textId="77777777" w:rsidTr="005C5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718CE56"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DB09B3F" w14:textId="77777777" w:rsidR="005C5592" w:rsidRPr="00D75391" w:rsidRDefault="005C5592" w:rsidP="00D75391">
            <w:pPr>
              <w:autoSpaceDE w:val="0"/>
              <w:autoSpaceDN w:val="0"/>
              <w:adjustRightInd w:val="0"/>
              <w:spacing w:line="360" w:lineRule="auto"/>
              <w:jc w:val="both"/>
              <w:rPr>
                <w:rFonts w:ascii="Palatino Linotype" w:hAnsi="Palatino Linotype" w:cs="Arial"/>
                <w:color w:val="000000"/>
                <w:sz w:val="24"/>
                <w:szCs w:val="24"/>
              </w:rPr>
            </w:pPr>
            <w:r w:rsidRPr="00D75391">
              <w:rPr>
                <w:rFonts w:ascii="Palatino Linotype" w:hAnsi="Palatino Linotype" w:cs="Arial"/>
                <w:color w:val="00000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661" w:type="dxa"/>
          </w:tcPr>
          <w:p w14:paraId="2B40B035" w14:textId="77777777" w:rsidR="005C5592" w:rsidRPr="00D75391" w:rsidRDefault="005C5592" w:rsidP="00D753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p>
        </w:tc>
      </w:tr>
      <w:tr w:rsidR="005C5592" w:rsidRPr="00D75391" w14:paraId="39FA1831" w14:textId="77777777" w:rsidTr="005C5592">
        <w:tc>
          <w:tcPr>
            <w:cnfStyle w:val="001000000000" w:firstRow="0" w:lastRow="0" w:firstColumn="1" w:lastColumn="0" w:oddVBand="0" w:evenVBand="0" w:oddHBand="0" w:evenHBand="0" w:firstRowFirstColumn="0" w:firstRowLastColumn="0" w:lastRowFirstColumn="0" w:lastRowLastColumn="0"/>
            <w:tcW w:w="3726" w:type="dxa"/>
          </w:tcPr>
          <w:p w14:paraId="0B5888FC" w14:textId="77777777" w:rsidR="005C5592" w:rsidRPr="00D75391" w:rsidRDefault="005C5592" w:rsidP="00D75391">
            <w:pPr>
              <w:spacing w:line="360" w:lineRule="auto"/>
              <w:jc w:val="both"/>
              <w:rPr>
                <w:rFonts w:ascii="Palatino Linotype" w:hAnsi="Palatino Linotype" w:cs="Times New Roman"/>
                <w:color w:val="000000"/>
                <w:sz w:val="24"/>
                <w:szCs w:val="24"/>
              </w:rPr>
            </w:pPr>
            <w:r w:rsidRPr="00D75391">
              <w:rPr>
                <w:rFonts w:ascii="Palatino Linotype" w:hAnsi="Palatino Linotype" w:cs="Arial"/>
                <w:color w:val="000000"/>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3661" w:type="dxa"/>
          </w:tcPr>
          <w:p w14:paraId="5E8BF31A" w14:textId="77777777" w:rsidR="005C5592" w:rsidRPr="00D75391" w:rsidRDefault="005C5592" w:rsidP="00D753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lang w:val="es-ES"/>
              </w:rPr>
            </w:pPr>
            <w:r w:rsidRPr="00D75391">
              <w:rPr>
                <w:rFonts w:ascii="Palatino Linotype" w:hAnsi="Palatino Linotype" w:cs="Times New Roman"/>
                <w:color w:val="000000"/>
                <w:sz w:val="24"/>
                <w:szCs w:val="24"/>
                <w:lang w:val="es-ES"/>
              </w:rPr>
              <w:t>XIII.</w:t>
            </w:r>
            <w:r w:rsidRPr="00D75391">
              <w:rPr>
                <w:rFonts w:ascii="Palatino Linotype" w:hAnsi="Palatino Linotype" w:cs="Times New Roman"/>
                <w:color w:val="000000"/>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4A7EF148" w14:textId="77777777" w:rsidR="005C5592" w:rsidRPr="00D75391" w:rsidRDefault="005C5592" w:rsidP="00D75391">
      <w:pPr>
        <w:spacing w:line="360" w:lineRule="auto"/>
        <w:jc w:val="both"/>
        <w:rPr>
          <w:rFonts w:ascii="Palatino Linotype" w:eastAsia="Calibri" w:hAnsi="Palatino Linotype" w:cs="Arial"/>
          <w:color w:val="000000"/>
          <w:lang w:val="es-MX" w:eastAsia="en-US"/>
        </w:rPr>
      </w:pPr>
    </w:p>
    <w:p w14:paraId="02FB3D10"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Mientras que los artículos 143 y 116 de la Ley Estatal y de la Ley General, respectivamente, señalan los supuestos para que la información pueda ser clasificada como confidencial:</w:t>
      </w:r>
    </w:p>
    <w:p w14:paraId="7B62437C" w14:textId="77777777" w:rsidR="005C5592" w:rsidRPr="00D75391" w:rsidRDefault="005C5592" w:rsidP="00D75391">
      <w:pPr>
        <w:spacing w:line="360" w:lineRule="auto"/>
        <w:jc w:val="both"/>
        <w:rPr>
          <w:rFonts w:ascii="Palatino Linotype" w:eastAsia="Calibri" w:hAnsi="Palatino Linotype" w:cs="Arial"/>
          <w:color w:val="000000"/>
          <w:lang w:val="es-MX" w:eastAsia="en-US"/>
        </w:rPr>
      </w:pPr>
    </w:p>
    <w:p w14:paraId="03C3E07E"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color w:val="000000"/>
          <w:lang w:val="es-MX" w:eastAsia="en-US"/>
        </w:rPr>
      </w:pPr>
      <w:r w:rsidRPr="00D75391">
        <w:rPr>
          <w:rFonts w:ascii="Palatino Linotype" w:eastAsia="Calibri" w:hAnsi="Palatino Linotype" w:cs="Bookman Old Style"/>
          <w:bCs/>
          <w:color w:val="000000"/>
          <w:lang w:val="es-MX" w:eastAsia="en-US"/>
        </w:rPr>
        <w:t xml:space="preserve">I. </w:t>
      </w:r>
      <w:r w:rsidRPr="00D75391">
        <w:rPr>
          <w:rFonts w:ascii="Palatino Linotype" w:eastAsia="Calibri" w:hAnsi="Palatino Linotype" w:cs="Bookman Old Style"/>
          <w:color w:val="000000"/>
          <w:lang w:val="es-MX" w:eastAsia="en-US"/>
        </w:rPr>
        <w:t xml:space="preserve">Se refiera a la información privada y los datos personales concernientes a una persona física o </w:t>
      </w:r>
      <w:proofErr w:type="gramStart"/>
      <w:r w:rsidRPr="00D75391">
        <w:rPr>
          <w:rFonts w:ascii="Palatino Linotype" w:eastAsia="Calibri" w:hAnsi="Palatino Linotype" w:cs="Bookman Old Style"/>
          <w:color w:val="000000"/>
          <w:lang w:val="es-MX" w:eastAsia="en-US"/>
        </w:rPr>
        <w:t>jurídico</w:t>
      </w:r>
      <w:proofErr w:type="gramEnd"/>
      <w:r w:rsidRPr="00D75391">
        <w:rPr>
          <w:rFonts w:ascii="Palatino Linotype" w:eastAsia="Calibri" w:hAnsi="Palatino Linotype" w:cs="Bookman Old Style"/>
          <w:color w:val="000000"/>
          <w:lang w:val="es-MX" w:eastAsia="en-US"/>
        </w:rPr>
        <w:t xml:space="preserve"> colectiva identificada o identificable; </w:t>
      </w:r>
    </w:p>
    <w:p w14:paraId="0C87F04F"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color w:val="000000"/>
          <w:lang w:val="es-MX" w:eastAsia="en-US"/>
        </w:rPr>
      </w:pPr>
      <w:r w:rsidRPr="00D75391">
        <w:rPr>
          <w:rFonts w:ascii="Palatino Linotype" w:eastAsia="Calibri" w:hAnsi="Palatino Linotype" w:cs="Bookman Old Style"/>
          <w:bCs/>
          <w:color w:val="000000"/>
          <w:lang w:val="es-MX" w:eastAsia="en-US"/>
        </w:rPr>
        <w:t xml:space="preserve">II. </w:t>
      </w:r>
      <w:r w:rsidRPr="00D75391">
        <w:rPr>
          <w:rFonts w:ascii="Palatino Linotype" w:eastAsia="Calibri" w:hAnsi="Palatino Linotype" w:cs="Bookman Old Style"/>
          <w:color w:val="000000"/>
          <w:lang w:val="es-MX" w:eastAsia="en-U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61AB275"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color w:val="000000"/>
          <w:lang w:val="es-MX" w:eastAsia="en-US"/>
        </w:rPr>
      </w:pPr>
      <w:r w:rsidRPr="00D75391">
        <w:rPr>
          <w:rFonts w:ascii="Palatino Linotype" w:eastAsia="Calibri" w:hAnsi="Palatino Linotype" w:cs="Bookman Old Style"/>
          <w:bCs/>
          <w:color w:val="000000"/>
          <w:lang w:val="es-MX" w:eastAsia="en-US"/>
        </w:rPr>
        <w:t xml:space="preserve">III. </w:t>
      </w:r>
      <w:r w:rsidRPr="00D75391">
        <w:rPr>
          <w:rFonts w:ascii="Palatino Linotype" w:eastAsia="Calibri" w:hAnsi="Palatino Linotype" w:cs="Bookman Old Style"/>
          <w:color w:val="000000"/>
          <w:lang w:val="es-MX" w:eastAsia="en-US"/>
        </w:rPr>
        <w:t xml:space="preserve">La que presenten los particulares a los sujetos obligados, de conformidad con lo dispuesto por las leyes o los tratados internacionales. </w:t>
      </w:r>
    </w:p>
    <w:p w14:paraId="593D0F57"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color w:val="000000"/>
          <w:lang w:val="es-MX" w:eastAsia="en-US"/>
        </w:rPr>
      </w:pPr>
      <w:r w:rsidRPr="00D75391">
        <w:rPr>
          <w:rFonts w:ascii="Palatino Linotype" w:eastAsia="Calibri" w:hAnsi="Palatino Linotype" w:cs="Bookman Old Style"/>
          <w:color w:val="000000"/>
          <w:lang w:val="es-MX" w:eastAsia="en-US"/>
        </w:rPr>
        <w:t xml:space="preserve">La información confidencial no estará sujeta a temporalidad alguna y sólo podrán tener acceso a ella los titulares de la misma, sus representantes y los servidores públicos facultados para ello. </w:t>
      </w:r>
    </w:p>
    <w:p w14:paraId="16825878"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color w:val="000000"/>
          <w:lang w:val="es-MX" w:eastAsia="en-US"/>
        </w:rPr>
      </w:pPr>
      <w:r w:rsidRPr="00D75391">
        <w:rPr>
          <w:rFonts w:ascii="Palatino Linotype" w:eastAsia="Calibri" w:hAnsi="Palatino Linotype" w:cs="Bookman Old Style"/>
          <w:color w:val="000000"/>
          <w:lang w:val="es-MX" w:eastAsia="en-US"/>
        </w:rPr>
        <w:t xml:space="preserve">No se considerará confidencial la información que se encuentre en los registros públicos o en fuentes de acceso público, ni tampoco la que sea considerada por la presente ley como información pública. </w:t>
      </w:r>
    </w:p>
    <w:p w14:paraId="2188C199" w14:textId="77777777" w:rsidR="005C5592" w:rsidRPr="00D75391" w:rsidRDefault="005C5592" w:rsidP="00D75391">
      <w:pPr>
        <w:spacing w:line="360" w:lineRule="auto"/>
        <w:jc w:val="both"/>
        <w:rPr>
          <w:rFonts w:ascii="Palatino Linotype" w:eastAsia="Calibri" w:hAnsi="Palatino Linotype" w:cs="Arial"/>
          <w:color w:val="000000"/>
          <w:lang w:val="es-MX" w:eastAsia="en-US"/>
        </w:rPr>
      </w:pPr>
    </w:p>
    <w:p w14:paraId="1677C16F"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En el mismo sentido,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44714E"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5BBB76BB"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Como consecuencia de lo anterior, el </w:t>
      </w:r>
      <w:r w:rsidRPr="00D75391">
        <w:rPr>
          <w:rFonts w:ascii="Palatino Linotype" w:eastAsia="Calibri" w:hAnsi="Palatino Linotype" w:cs="Arial"/>
          <w:b/>
          <w:color w:val="000000"/>
          <w:lang w:val="es-MX" w:eastAsia="en-US"/>
        </w:rPr>
        <w:t xml:space="preserve">Sujeto Obligado </w:t>
      </w:r>
      <w:r w:rsidRPr="00D75391">
        <w:rPr>
          <w:rFonts w:ascii="Palatino Linotype" w:eastAsia="Calibri" w:hAnsi="Palatino Linotype" w:cs="Arial"/>
          <w:color w:val="000000"/>
          <w:lang w:val="es-MX" w:eastAsia="en-US"/>
        </w:rPr>
        <w:t>debe identificar claramente el tipo de información y hacer un juicio de subsunción o encaje</w:t>
      </w:r>
      <w:r w:rsidRPr="00D75391">
        <w:rPr>
          <w:rFonts w:ascii="Palatino Linotype" w:eastAsia="Calibri" w:hAnsi="Palatino Linotype" w:cs="Arial"/>
          <w:color w:val="000000"/>
          <w:vertAlign w:val="superscript"/>
          <w:lang w:val="es-MX" w:eastAsia="en-US"/>
        </w:rPr>
        <w:footnoteReference w:id="8"/>
      </w:r>
      <w:r w:rsidRPr="00D75391">
        <w:rPr>
          <w:rFonts w:ascii="Palatino Linotype" w:eastAsia="Calibri" w:hAnsi="Palatino Linotype" w:cs="Arial"/>
          <w:color w:val="000000"/>
          <w:lang w:val="es-MX" w:eastAsia="en-US"/>
        </w:rPr>
        <w:t xml:space="preserve"> para acreditar que el supuesto de hecho corresponde estrictamente con la hipótesis jurídica. Esto también lo debe de realizar el servidor público habilitado y el titular del área que administra la información.</w:t>
      </w:r>
    </w:p>
    <w:p w14:paraId="41C6C305"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01345D8E"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Una vez realizado, se remite la información al Titular de la Unidad de Transparencia, con el acuerdo de clasificación correspondiente, para que sea sometido al conocimiento del Comité de Transparencia.</w:t>
      </w:r>
    </w:p>
    <w:p w14:paraId="50F5AFAE" w14:textId="77777777" w:rsidR="005C5592" w:rsidRPr="00D75391" w:rsidRDefault="005C5592" w:rsidP="00D75391">
      <w:pPr>
        <w:spacing w:line="360" w:lineRule="auto"/>
        <w:contextualSpacing/>
        <w:jc w:val="both"/>
        <w:rPr>
          <w:rFonts w:ascii="Palatino Linotype" w:eastAsia="Calibri" w:hAnsi="Palatino Linotype" w:cs="Times New Roman"/>
          <w:b/>
          <w:color w:val="000000"/>
          <w:lang w:val="es-MX" w:eastAsia="en-US"/>
        </w:rPr>
      </w:pPr>
    </w:p>
    <w:p w14:paraId="7C618EA9" w14:textId="77777777" w:rsidR="005C5592" w:rsidRPr="00D75391" w:rsidRDefault="005C5592" w:rsidP="00D75391">
      <w:pPr>
        <w:keepNext/>
        <w:keepLines/>
        <w:numPr>
          <w:ilvl w:val="0"/>
          <w:numId w:val="12"/>
        </w:numPr>
        <w:pBdr>
          <w:top w:val="nil"/>
          <w:left w:val="nil"/>
          <w:bottom w:val="nil"/>
          <w:right w:val="nil"/>
          <w:between w:val="nil"/>
          <w:bar w:val="nil"/>
        </w:pBdr>
        <w:spacing w:after="160" w:line="360" w:lineRule="auto"/>
        <w:contextualSpacing/>
        <w:jc w:val="both"/>
        <w:outlineLvl w:val="0"/>
        <w:rPr>
          <w:rFonts w:ascii="Palatino Linotype" w:eastAsia="Times New Roman" w:hAnsi="Palatino Linotype" w:cs="Times New Roman"/>
          <w:b/>
          <w:color w:val="000000"/>
          <w:lang w:val="es-MX" w:eastAsia="en-US"/>
        </w:rPr>
      </w:pPr>
      <w:bookmarkStart w:id="129" w:name="_Toc485631702"/>
      <w:bookmarkStart w:id="130" w:name="_Toc500756712"/>
      <w:bookmarkStart w:id="131" w:name="_Toc536691780"/>
      <w:bookmarkStart w:id="132" w:name="_Toc4073621"/>
      <w:bookmarkStart w:id="133" w:name="_Toc4078184"/>
      <w:bookmarkStart w:id="134" w:name="_Toc8897711"/>
      <w:bookmarkStart w:id="135" w:name="_Toc20423574"/>
      <w:r w:rsidRPr="00D75391">
        <w:rPr>
          <w:rFonts w:ascii="Palatino Linotype" w:eastAsia="Times New Roman" w:hAnsi="Palatino Linotype" w:cs="Times New Roman"/>
          <w:b/>
          <w:color w:val="000000"/>
          <w:lang w:val="es-MX" w:eastAsia="en-US"/>
        </w:rPr>
        <w:t>Excepciones a los supuestos de clasificación de la información como reservada.</w:t>
      </w:r>
      <w:bookmarkEnd w:id="129"/>
      <w:bookmarkEnd w:id="130"/>
      <w:bookmarkEnd w:id="131"/>
      <w:bookmarkEnd w:id="132"/>
      <w:bookmarkEnd w:id="133"/>
      <w:bookmarkEnd w:id="134"/>
      <w:bookmarkEnd w:id="135"/>
    </w:p>
    <w:p w14:paraId="45AAD6A4" w14:textId="77777777" w:rsidR="005C5592" w:rsidRPr="00D75391" w:rsidRDefault="005C5592" w:rsidP="00D75391">
      <w:pPr>
        <w:spacing w:line="360" w:lineRule="auto"/>
        <w:rPr>
          <w:rFonts w:ascii="Palatino Linotype" w:eastAsia="Calibri" w:hAnsi="Palatino Linotype" w:cs="Times New Roman"/>
          <w:color w:val="000000"/>
          <w:lang w:val="es-MX" w:eastAsia="en-US"/>
        </w:rPr>
      </w:pPr>
    </w:p>
    <w:p w14:paraId="45F92520" w14:textId="77777777" w:rsidR="005C5592" w:rsidRPr="00D75391" w:rsidRDefault="005C5592" w:rsidP="00D75391">
      <w:pPr>
        <w:numPr>
          <w:ilvl w:val="0"/>
          <w:numId w:val="1"/>
        </w:numPr>
        <w:spacing w:after="160" w:line="360" w:lineRule="auto"/>
        <w:ind w:left="0" w:firstLine="0"/>
        <w:jc w:val="both"/>
        <w:rPr>
          <w:rFonts w:ascii="Palatino Linotype" w:eastAsia="Times New Roman" w:hAnsi="Palatino Linotype" w:cs="Times New Roman"/>
          <w:color w:val="000000"/>
          <w:lang w:val="es-ES" w:eastAsia="en-US"/>
        </w:rPr>
      </w:pPr>
      <w:r w:rsidRPr="00D75391">
        <w:rPr>
          <w:rFonts w:ascii="Palatino Linotype" w:eastAsia="Times New Roman" w:hAnsi="Palatino Linotype" w:cs="Times New Roman"/>
          <w:color w:val="000000"/>
          <w:lang w:val="es-ES" w:eastAsia="en-U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02120469" w14:textId="77777777" w:rsidR="005C5592" w:rsidRPr="00D75391" w:rsidRDefault="005C5592" w:rsidP="00D75391">
      <w:pPr>
        <w:spacing w:line="360" w:lineRule="auto"/>
        <w:jc w:val="both"/>
        <w:rPr>
          <w:rFonts w:ascii="Palatino Linotype" w:eastAsia="Times New Roman" w:hAnsi="Palatino Linotype" w:cs="Times New Roman"/>
          <w:color w:val="000000"/>
          <w:lang w:val="es-ES" w:eastAsia="en-US"/>
        </w:rPr>
      </w:pPr>
    </w:p>
    <w:p w14:paraId="083FE413" w14:textId="77777777" w:rsidR="005C5592" w:rsidRPr="00D75391" w:rsidRDefault="005C5592" w:rsidP="00D75391">
      <w:pPr>
        <w:keepNext/>
        <w:keepLines/>
        <w:pBdr>
          <w:top w:val="nil"/>
          <w:left w:val="nil"/>
          <w:bottom w:val="nil"/>
          <w:right w:val="nil"/>
          <w:between w:val="nil"/>
          <w:bar w:val="nil"/>
        </w:pBdr>
        <w:spacing w:line="360" w:lineRule="auto"/>
        <w:outlineLvl w:val="0"/>
        <w:rPr>
          <w:rFonts w:ascii="Palatino Linotype" w:eastAsia="Times New Roman" w:hAnsi="Palatino Linotype" w:cs="Times New Roman"/>
          <w:b/>
          <w:color w:val="000000"/>
          <w:lang w:val="es-MX" w:eastAsia="en-US"/>
        </w:rPr>
      </w:pPr>
      <w:bookmarkStart w:id="136" w:name="_Toc485631703"/>
      <w:bookmarkStart w:id="137" w:name="_Toc500756713"/>
      <w:bookmarkStart w:id="138" w:name="_Toc536691781"/>
      <w:bookmarkStart w:id="139" w:name="_Toc4073622"/>
      <w:bookmarkStart w:id="140" w:name="_Toc4078185"/>
      <w:bookmarkStart w:id="141" w:name="_Toc8897712"/>
      <w:bookmarkStart w:id="142" w:name="_Toc20423575"/>
      <w:r w:rsidRPr="00D75391">
        <w:rPr>
          <w:rFonts w:ascii="Palatino Linotype" w:eastAsia="Times New Roman" w:hAnsi="Palatino Linotype" w:cs="Times New Roman"/>
          <w:b/>
          <w:color w:val="000000"/>
          <w:lang w:val="es-MX" w:eastAsia="en-US"/>
        </w:rPr>
        <w:t>II. La intervención del Comité de Transparencia.</w:t>
      </w:r>
      <w:bookmarkEnd w:id="136"/>
      <w:bookmarkEnd w:id="137"/>
      <w:bookmarkEnd w:id="138"/>
      <w:bookmarkEnd w:id="139"/>
      <w:bookmarkEnd w:id="140"/>
      <w:bookmarkEnd w:id="141"/>
      <w:bookmarkEnd w:id="142"/>
    </w:p>
    <w:p w14:paraId="161D5BAA" w14:textId="77777777" w:rsidR="005C5592" w:rsidRPr="00D75391" w:rsidRDefault="005C5592" w:rsidP="00D75391">
      <w:pPr>
        <w:spacing w:line="360" w:lineRule="auto"/>
        <w:contextualSpacing/>
        <w:jc w:val="both"/>
        <w:rPr>
          <w:rFonts w:ascii="Palatino Linotype" w:eastAsia="Calibri" w:hAnsi="Palatino Linotype" w:cs="Arial"/>
          <w:b/>
          <w:color w:val="000000"/>
          <w:lang w:val="es-MX" w:eastAsia="en-US"/>
        </w:rPr>
      </w:pPr>
    </w:p>
    <w:p w14:paraId="7F523A0C" w14:textId="77777777" w:rsidR="005C5592" w:rsidRPr="00D75391" w:rsidRDefault="005C5592" w:rsidP="00D75391">
      <w:pPr>
        <w:keepNext/>
        <w:keepLines/>
        <w:numPr>
          <w:ilvl w:val="0"/>
          <w:numId w:val="13"/>
        </w:numPr>
        <w:pBdr>
          <w:top w:val="nil"/>
          <w:left w:val="nil"/>
          <w:bottom w:val="nil"/>
          <w:right w:val="nil"/>
          <w:between w:val="nil"/>
          <w:bar w:val="nil"/>
        </w:pBdr>
        <w:spacing w:after="160" w:line="360" w:lineRule="auto"/>
        <w:contextualSpacing/>
        <w:outlineLvl w:val="1"/>
        <w:rPr>
          <w:rFonts w:ascii="Palatino Linotype" w:eastAsia="Times New Roman" w:hAnsi="Palatino Linotype" w:cs="Times New Roman"/>
          <w:b/>
          <w:color w:val="000000"/>
          <w:lang w:val="es-MX" w:eastAsia="en-US"/>
        </w:rPr>
      </w:pPr>
      <w:bookmarkStart w:id="143" w:name="_Toc485631704"/>
      <w:bookmarkStart w:id="144" w:name="_Toc500756714"/>
      <w:bookmarkStart w:id="145" w:name="_Toc536691782"/>
      <w:bookmarkStart w:id="146" w:name="_Toc4073623"/>
      <w:bookmarkStart w:id="147" w:name="_Toc4078186"/>
      <w:bookmarkStart w:id="148" w:name="_Toc8897713"/>
      <w:bookmarkStart w:id="149" w:name="_Toc20423576"/>
      <w:r w:rsidRPr="00D75391">
        <w:rPr>
          <w:rFonts w:ascii="Palatino Linotype" w:eastAsia="Times New Roman" w:hAnsi="Palatino Linotype" w:cs="Times New Roman"/>
          <w:b/>
          <w:color w:val="000000"/>
          <w:lang w:val="es-MX" w:eastAsia="en-US"/>
        </w:rPr>
        <w:t>Formalidades para emitir el acuerdo de clasificación.</w:t>
      </w:r>
      <w:bookmarkEnd w:id="143"/>
      <w:bookmarkEnd w:id="144"/>
      <w:bookmarkEnd w:id="145"/>
      <w:bookmarkEnd w:id="146"/>
      <w:bookmarkEnd w:id="147"/>
      <w:bookmarkEnd w:id="148"/>
      <w:bookmarkEnd w:id="149"/>
    </w:p>
    <w:p w14:paraId="1089E33F" w14:textId="77777777" w:rsidR="005C5592" w:rsidRPr="00D75391" w:rsidRDefault="005C5592" w:rsidP="00D75391">
      <w:pPr>
        <w:tabs>
          <w:tab w:val="left" w:pos="7770"/>
        </w:tabs>
        <w:spacing w:line="360" w:lineRule="auto"/>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ab/>
      </w:r>
    </w:p>
    <w:p w14:paraId="14DFB3F1" w14:textId="77777777" w:rsidR="005C5592" w:rsidRPr="00D75391" w:rsidRDefault="005C5592" w:rsidP="00D75391">
      <w:pPr>
        <w:numPr>
          <w:ilvl w:val="0"/>
          <w:numId w:val="1"/>
        </w:numPr>
        <w:spacing w:after="160" w:line="360" w:lineRule="auto"/>
        <w:ind w:left="0" w:firstLine="0"/>
        <w:contextualSpacing/>
        <w:jc w:val="both"/>
        <w:rPr>
          <w:rFonts w:ascii="Palatino Linotype" w:eastAsia="Times New Roman" w:hAnsi="Palatino Linotype" w:cs="Times New Roman"/>
          <w:color w:val="000000"/>
          <w:lang w:val="es-MX" w:eastAsia="es-ES_tradnl"/>
        </w:rPr>
      </w:pPr>
      <w:r w:rsidRPr="00D75391">
        <w:rPr>
          <w:rFonts w:ascii="Palatino Linotype" w:eastAsia="Calibri" w:hAnsi="Palatino Linotype" w:cs="Arial"/>
          <w:color w:val="000000"/>
          <w:lang w:val="es-MX" w:eastAsia="en-US"/>
        </w:rPr>
        <w:t xml:space="preserve">El Comité de Transparencia, según lo dispuesto en los artículos 128 y 103 de la Ley Estatal y de la Ley General, respectivamente, y </w:t>
      </w:r>
      <w:r w:rsidRPr="00D75391">
        <w:rPr>
          <w:rFonts w:ascii="Palatino Linotype" w:eastAsia="Calibri" w:hAnsi="Palatino Linotype" w:cs="Times New Roman"/>
          <w:color w:val="000000"/>
          <w:lang w:val="es-MX" w:eastAsia="en-US"/>
        </w:rPr>
        <w:t xml:space="preserve">la fracción III del numeral Segundo de los </w:t>
      </w:r>
      <w:r w:rsidRPr="00D75391">
        <w:rPr>
          <w:rFonts w:ascii="Palatino Linotype" w:eastAsia="Calibri" w:hAnsi="Palatino Linotype" w:cs="Arial"/>
          <w:color w:val="000000"/>
          <w:lang w:val="es-MX" w:eastAsia="en-US"/>
        </w:rPr>
        <w:t>Lineamientos generales en materia de clasificación y desclasificación de la información, así como para la elaboración de versiones públicas, en adelante los Lineamientos Generales,</w:t>
      </w:r>
      <w:r w:rsidRPr="00D75391">
        <w:rPr>
          <w:rFonts w:ascii="Palatino Linotype" w:eastAsia="Calibri" w:hAnsi="Palatino Linotype" w:cs="Times New Roman"/>
          <w:color w:val="000000"/>
          <w:lang w:val="es-MX" w:eastAsia="en-US"/>
        </w:rPr>
        <w:t xml:space="preserve"> </w:t>
      </w:r>
      <w:r w:rsidRPr="00D75391">
        <w:rPr>
          <w:rFonts w:ascii="Palatino Linotype" w:eastAsia="Calibri" w:hAnsi="Palatino Linotype" w:cs="Arial"/>
          <w:color w:val="000000"/>
          <w:lang w:val="es-MX" w:eastAsia="en-U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506E609"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54B3DE08"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359AEED" w14:textId="77777777" w:rsidR="005C5592" w:rsidRPr="00D75391" w:rsidRDefault="005C5592" w:rsidP="00D75391">
      <w:pPr>
        <w:spacing w:line="360" w:lineRule="auto"/>
        <w:jc w:val="both"/>
        <w:rPr>
          <w:rFonts w:ascii="Palatino Linotype" w:eastAsia="Calibri" w:hAnsi="Palatino Linotype" w:cs="Times New Roman"/>
          <w:color w:val="000000"/>
          <w:lang w:val="es-MX" w:eastAsia="en-US"/>
        </w:rPr>
      </w:pPr>
    </w:p>
    <w:p w14:paraId="729881A7"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FB2CF6A" w14:textId="77777777" w:rsidR="005C5592" w:rsidRPr="00D75391" w:rsidRDefault="005C5592" w:rsidP="00D75391">
      <w:pPr>
        <w:spacing w:line="360" w:lineRule="auto"/>
        <w:jc w:val="both"/>
        <w:rPr>
          <w:rFonts w:ascii="Palatino Linotype" w:eastAsia="Calibri" w:hAnsi="Palatino Linotype" w:cs="Times New Roman"/>
          <w:color w:val="000000"/>
          <w:lang w:val="es-MX" w:eastAsia="en-US"/>
        </w:rPr>
      </w:pPr>
    </w:p>
    <w:p w14:paraId="69CBF723" w14:textId="77777777" w:rsidR="005C5592" w:rsidRPr="00D75391" w:rsidRDefault="005C5592" w:rsidP="00D75391">
      <w:pPr>
        <w:keepNext/>
        <w:keepLines/>
        <w:numPr>
          <w:ilvl w:val="0"/>
          <w:numId w:val="13"/>
        </w:numPr>
        <w:pBdr>
          <w:top w:val="nil"/>
          <w:left w:val="nil"/>
          <w:bottom w:val="nil"/>
          <w:right w:val="nil"/>
          <w:between w:val="nil"/>
          <w:bar w:val="nil"/>
        </w:pBdr>
        <w:spacing w:after="160" w:line="360" w:lineRule="auto"/>
        <w:contextualSpacing/>
        <w:outlineLvl w:val="1"/>
        <w:rPr>
          <w:rFonts w:ascii="Palatino Linotype" w:eastAsia="Times New Roman" w:hAnsi="Palatino Linotype" w:cs="Times New Roman"/>
          <w:b/>
          <w:color w:val="000000"/>
          <w:lang w:val="es-MX" w:eastAsia="en-US"/>
        </w:rPr>
      </w:pPr>
      <w:bookmarkStart w:id="150" w:name="_Toc485631705"/>
      <w:bookmarkStart w:id="151" w:name="_Toc500756715"/>
      <w:bookmarkStart w:id="152" w:name="_Toc536691783"/>
      <w:bookmarkStart w:id="153" w:name="_Toc4073624"/>
      <w:bookmarkStart w:id="154" w:name="_Toc4078187"/>
      <w:bookmarkStart w:id="155" w:name="_Toc8897714"/>
      <w:bookmarkStart w:id="156" w:name="_Toc20423577"/>
      <w:r w:rsidRPr="00D75391">
        <w:rPr>
          <w:rFonts w:ascii="Palatino Linotype" w:eastAsia="Times New Roman" w:hAnsi="Palatino Linotype" w:cs="Times New Roman"/>
          <w:b/>
          <w:color w:val="000000"/>
          <w:lang w:val="es-MX" w:eastAsia="en-US"/>
        </w:rPr>
        <w:t>Requisitos de fondo del acuerdo de clasificación.</w:t>
      </w:r>
      <w:bookmarkEnd w:id="150"/>
      <w:bookmarkEnd w:id="151"/>
      <w:bookmarkEnd w:id="152"/>
      <w:bookmarkEnd w:id="153"/>
      <w:bookmarkEnd w:id="154"/>
      <w:bookmarkEnd w:id="155"/>
      <w:bookmarkEnd w:id="156"/>
    </w:p>
    <w:p w14:paraId="50D4ED8E"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13AA3362"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382056E" w14:textId="77777777" w:rsidR="005C5592" w:rsidRPr="00D75391" w:rsidRDefault="005C5592" w:rsidP="00D75391">
      <w:pPr>
        <w:spacing w:line="360" w:lineRule="auto"/>
        <w:contextualSpacing/>
        <w:jc w:val="both"/>
        <w:rPr>
          <w:rFonts w:ascii="Palatino Linotype" w:eastAsia="Calibri" w:hAnsi="Palatino Linotype" w:cs="Times New Roman"/>
          <w:color w:val="000000"/>
          <w:lang w:val="es-MX" w:eastAsia="en-US"/>
        </w:rPr>
      </w:pPr>
    </w:p>
    <w:p w14:paraId="2E1703BC"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F714AB" w14:textId="77777777" w:rsidR="005C5592" w:rsidRPr="00D75391" w:rsidRDefault="005C5592" w:rsidP="00D75391">
      <w:pPr>
        <w:shd w:val="clear" w:color="auto" w:fill="FFFFFF"/>
        <w:spacing w:line="360" w:lineRule="auto"/>
        <w:contextualSpacing/>
        <w:jc w:val="both"/>
        <w:rPr>
          <w:rFonts w:ascii="Palatino Linotype" w:eastAsia="Times New Roman" w:hAnsi="Palatino Linotype" w:cs="Arial"/>
          <w:color w:val="000000"/>
          <w:lang w:val="es-MX" w:eastAsia="es-MX"/>
        </w:rPr>
      </w:pPr>
    </w:p>
    <w:p w14:paraId="78E0C7FF"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Times New Roman" w:hAnsi="Palatino Linotype" w:cs="Arial"/>
          <w:color w:val="000000"/>
          <w:lang w:val="es-MX"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5391">
        <w:rPr>
          <w:rFonts w:ascii="Palatino Linotype" w:eastAsia="Times New Roman" w:hAnsi="Palatino Linotype" w:cs="Arial"/>
          <w:color w:val="000000"/>
          <w:vertAlign w:val="superscript"/>
          <w:lang w:val="es-MX" w:eastAsia="es-MX"/>
        </w:rPr>
        <w:footnoteReference w:id="9"/>
      </w:r>
    </w:p>
    <w:p w14:paraId="626586B5" w14:textId="77777777" w:rsidR="005C5592" w:rsidRPr="00D75391" w:rsidRDefault="005C5592" w:rsidP="00D75391">
      <w:pPr>
        <w:shd w:val="clear" w:color="auto" w:fill="FFFFFF"/>
        <w:spacing w:line="360" w:lineRule="auto"/>
        <w:contextualSpacing/>
        <w:jc w:val="both"/>
        <w:rPr>
          <w:rFonts w:ascii="Palatino Linotype" w:eastAsia="Times New Roman" w:hAnsi="Palatino Linotype" w:cs="Arial"/>
          <w:color w:val="000000"/>
          <w:lang w:val="es-MX" w:eastAsia="es-MX"/>
        </w:rPr>
      </w:pPr>
    </w:p>
    <w:p w14:paraId="6BEDBE5E"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Times New Roman" w:hAnsi="Palatino Linotype" w:cs="Arial"/>
          <w:color w:val="000000"/>
          <w:lang w:val="es-MX" w:eastAsia="es-MX"/>
        </w:rPr>
        <w:t>Por su parte, el intérprete judicial del país ha establecido una jurisprudencia respecto a qué debe entenderse por fundamentación y motivación, en los siguientes términos:</w:t>
      </w:r>
    </w:p>
    <w:p w14:paraId="1AAD1C94" w14:textId="77777777" w:rsidR="005C5592" w:rsidRPr="00D75391" w:rsidRDefault="005C5592" w:rsidP="00D75391">
      <w:pPr>
        <w:spacing w:line="360" w:lineRule="auto"/>
        <w:ind w:right="618"/>
        <w:contextualSpacing/>
        <w:jc w:val="both"/>
        <w:rPr>
          <w:rFonts w:ascii="Palatino Linotype" w:eastAsia="Calibri" w:hAnsi="Palatino Linotype" w:cs="Arial"/>
          <w:color w:val="000000"/>
          <w:lang w:val="es-MX" w:eastAsia="en-US"/>
        </w:rPr>
      </w:pPr>
    </w:p>
    <w:p w14:paraId="7E2E1A20"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b/>
          <w:color w:val="000000"/>
          <w:lang w:val="es-MX" w:eastAsia="en-US"/>
        </w:rPr>
        <w:t>FUNDAMENTACIÓN Y MOTIVACIÓN.</w:t>
      </w:r>
      <w:r w:rsidRPr="00D75391">
        <w:rPr>
          <w:rFonts w:ascii="Palatino Linotype" w:eastAsia="Calibri" w:hAnsi="Palatino Linotype" w:cs="Arial"/>
          <w:color w:val="000000"/>
          <w:lang w:val="es-MX" w:eastAsia="en-U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9AD3EF3"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SEGUNDO TRIBUNAL COLEGIADO DEL SEXTO CIRCUITO.</w:t>
      </w:r>
    </w:p>
    <w:p w14:paraId="1654DDE6"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Amparo directo 194/88. Bufete Industrial Construcciones, S.A. de C.V. 28 de junio de 1988. Unanimidad de votos. Ponente: Gustavo Calvillo Rangel. Secretario: Jorge Alberto González Álvarez.</w:t>
      </w:r>
    </w:p>
    <w:p w14:paraId="50D1906D"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Revisión fiscal 103/88. Instituto Mexicano del Seguro Social. 18 de octubre de 1988. Unanimidad de votos. Ponente: Arnoldo Nájera Virgen. Secretario: Alejandro </w:t>
      </w:r>
      <w:proofErr w:type="spellStart"/>
      <w:r w:rsidRPr="00D75391">
        <w:rPr>
          <w:rFonts w:ascii="Palatino Linotype" w:eastAsia="Calibri" w:hAnsi="Palatino Linotype" w:cs="Arial"/>
          <w:color w:val="000000"/>
          <w:lang w:val="es-MX" w:eastAsia="en-US"/>
        </w:rPr>
        <w:t>Esponda</w:t>
      </w:r>
      <w:proofErr w:type="spellEnd"/>
      <w:r w:rsidRPr="00D75391">
        <w:rPr>
          <w:rFonts w:ascii="Palatino Linotype" w:eastAsia="Calibri" w:hAnsi="Palatino Linotype" w:cs="Arial"/>
          <w:color w:val="000000"/>
          <w:lang w:val="es-MX" w:eastAsia="en-US"/>
        </w:rPr>
        <w:t xml:space="preserve"> Rincón.</w:t>
      </w:r>
    </w:p>
    <w:p w14:paraId="129E9791"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Amparo en revisión 333/88. </w:t>
      </w:r>
      <w:proofErr w:type="spellStart"/>
      <w:r w:rsidRPr="00D75391">
        <w:rPr>
          <w:rFonts w:ascii="Palatino Linotype" w:eastAsia="Calibri" w:hAnsi="Palatino Linotype" w:cs="Arial"/>
          <w:color w:val="000000"/>
          <w:lang w:val="es-MX" w:eastAsia="en-US"/>
        </w:rPr>
        <w:t>Adilia</w:t>
      </w:r>
      <w:proofErr w:type="spellEnd"/>
      <w:r w:rsidRPr="00D75391">
        <w:rPr>
          <w:rFonts w:ascii="Palatino Linotype" w:eastAsia="Calibri" w:hAnsi="Palatino Linotype" w:cs="Arial"/>
          <w:color w:val="000000"/>
          <w:lang w:val="es-MX" w:eastAsia="en-US"/>
        </w:rPr>
        <w:t xml:space="preserve"> Romero. 26 de octubre de 1988. Unanimidad de votos. Ponente: Arnoldo Nájera Virgen. Secretario: Enrique Crispín Campos Ramírez.</w:t>
      </w:r>
    </w:p>
    <w:p w14:paraId="692953B7"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Amparo en revisión 597/95. Emilio Maurer Bretón. 15 de noviembre de 1995. Unanimidad de votos. Ponente: Clementina Ramírez Moguel </w:t>
      </w:r>
      <w:proofErr w:type="spellStart"/>
      <w:r w:rsidRPr="00D75391">
        <w:rPr>
          <w:rFonts w:ascii="Palatino Linotype" w:eastAsia="Calibri" w:hAnsi="Palatino Linotype" w:cs="Arial"/>
          <w:color w:val="000000"/>
          <w:lang w:val="es-MX" w:eastAsia="en-US"/>
        </w:rPr>
        <w:t>Goyzueta</w:t>
      </w:r>
      <w:proofErr w:type="spellEnd"/>
      <w:r w:rsidRPr="00D75391">
        <w:rPr>
          <w:rFonts w:ascii="Palatino Linotype" w:eastAsia="Calibri" w:hAnsi="Palatino Linotype" w:cs="Arial"/>
          <w:color w:val="000000"/>
          <w:lang w:val="es-MX" w:eastAsia="en-US"/>
        </w:rPr>
        <w:t>. Secretario: Gonzalo Carrera Molina.</w:t>
      </w:r>
    </w:p>
    <w:p w14:paraId="717D7C9A" w14:textId="77777777" w:rsidR="005C5592" w:rsidRPr="00D75391" w:rsidRDefault="005C5592" w:rsidP="00D75391">
      <w:pPr>
        <w:spacing w:line="360" w:lineRule="auto"/>
        <w:ind w:left="567" w:right="618"/>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Amparo directo 7/96. Pedro Vicente López Miro. 21 de febrero de 1996. Unanimidad de votos. Ponente: María Eugenia Estela Martínez Cardiel. Secretario: Enrique </w:t>
      </w:r>
      <w:proofErr w:type="spellStart"/>
      <w:r w:rsidRPr="00D75391">
        <w:rPr>
          <w:rFonts w:ascii="Palatino Linotype" w:eastAsia="Calibri" w:hAnsi="Palatino Linotype" w:cs="Arial"/>
          <w:color w:val="000000"/>
          <w:lang w:val="es-MX" w:eastAsia="en-US"/>
        </w:rPr>
        <w:t>Baigts</w:t>
      </w:r>
      <w:proofErr w:type="spellEnd"/>
      <w:r w:rsidRPr="00D75391">
        <w:rPr>
          <w:rFonts w:ascii="Palatino Linotype" w:eastAsia="Calibri" w:hAnsi="Palatino Linotype" w:cs="Arial"/>
          <w:color w:val="000000"/>
          <w:lang w:val="es-MX" w:eastAsia="en-US"/>
        </w:rPr>
        <w:t xml:space="preserve"> Muñoz.</w:t>
      </w:r>
      <w:r w:rsidRPr="00D75391">
        <w:rPr>
          <w:rFonts w:ascii="Palatino Linotype" w:eastAsia="Calibri" w:hAnsi="Palatino Linotype" w:cs="Arial"/>
          <w:color w:val="000000"/>
          <w:vertAlign w:val="superscript"/>
          <w:lang w:val="es-MX" w:eastAsia="en-US"/>
        </w:rPr>
        <w:footnoteReference w:id="10"/>
      </w:r>
    </w:p>
    <w:p w14:paraId="76221A13" w14:textId="77777777" w:rsidR="005C5592" w:rsidRPr="00D75391" w:rsidRDefault="005C5592" w:rsidP="00D75391">
      <w:pPr>
        <w:spacing w:line="360" w:lineRule="auto"/>
        <w:ind w:left="567"/>
        <w:contextualSpacing/>
        <w:jc w:val="both"/>
        <w:rPr>
          <w:rFonts w:ascii="Palatino Linotype" w:eastAsia="Calibri" w:hAnsi="Palatino Linotype" w:cs="Arial"/>
          <w:color w:val="000000"/>
          <w:lang w:val="es-ES" w:eastAsia="en-US"/>
        </w:rPr>
      </w:pPr>
    </w:p>
    <w:p w14:paraId="154F4E1B"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Times New Roman" w:hAnsi="Palatino Linotype" w:cs="Arial"/>
          <w:color w:val="00000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741762" w14:textId="77777777" w:rsidR="005C5592" w:rsidRPr="00D75391" w:rsidRDefault="005C5592" w:rsidP="00D75391">
      <w:pPr>
        <w:shd w:val="clear" w:color="auto" w:fill="FFFFFF"/>
        <w:spacing w:line="360" w:lineRule="auto"/>
        <w:contextualSpacing/>
        <w:jc w:val="both"/>
        <w:rPr>
          <w:rFonts w:ascii="Palatino Linotype" w:eastAsia="Times New Roman" w:hAnsi="Palatino Linotype" w:cs="Arial"/>
          <w:color w:val="000000"/>
          <w:lang w:val="es-MX" w:eastAsia="es-MX"/>
        </w:rPr>
      </w:pPr>
    </w:p>
    <w:p w14:paraId="66B1DF91"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Times New Roman" w:hAnsi="Palatino Linotype" w:cs="Arial"/>
          <w:color w:val="000000"/>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DABD21" w14:textId="77777777" w:rsidR="005C5592" w:rsidRPr="00D75391" w:rsidRDefault="005C5592" w:rsidP="00D75391">
      <w:pPr>
        <w:shd w:val="clear" w:color="auto" w:fill="FFFFFF"/>
        <w:spacing w:line="360" w:lineRule="auto"/>
        <w:contextualSpacing/>
        <w:jc w:val="both"/>
        <w:rPr>
          <w:rFonts w:ascii="Palatino Linotype" w:eastAsia="Times New Roman" w:hAnsi="Palatino Linotype" w:cs="Arial"/>
          <w:color w:val="000000"/>
          <w:lang w:val="es-MX" w:eastAsia="es-MX"/>
        </w:rPr>
      </w:pPr>
    </w:p>
    <w:p w14:paraId="729673B3"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Times New Roman" w:hAnsi="Palatino Linotype" w:cs="Arial"/>
          <w:color w:val="000000"/>
          <w:lang w:val="es-MX" w:eastAsia="es-MX"/>
        </w:rPr>
        <w:t>En ese mismo sentido, el lineamiento trigésimo tercero fracción V de los Lineamientos Generales, precisa que para motivar la clasificación se deben acreditar las circunstancias de tiempo, modo y lugar.</w:t>
      </w:r>
    </w:p>
    <w:p w14:paraId="10E19CA1" w14:textId="77777777" w:rsidR="005C5592" w:rsidRPr="00D75391" w:rsidRDefault="005C5592" w:rsidP="00D75391">
      <w:pPr>
        <w:shd w:val="clear" w:color="auto" w:fill="FFFFFF"/>
        <w:spacing w:line="360" w:lineRule="auto"/>
        <w:contextualSpacing/>
        <w:jc w:val="both"/>
        <w:rPr>
          <w:rFonts w:ascii="Palatino Linotype" w:eastAsia="Times New Roman" w:hAnsi="Palatino Linotype" w:cs="Arial"/>
          <w:color w:val="000000"/>
          <w:lang w:val="es-MX" w:eastAsia="es-MX"/>
        </w:rPr>
      </w:pPr>
    </w:p>
    <w:p w14:paraId="3A42970B"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Times New Roman" w:hAnsi="Palatino Linotype" w:cs="Arial"/>
          <w:color w:val="000000"/>
          <w:lang w:val="es-MX"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75391">
        <w:rPr>
          <w:rFonts w:ascii="Palatino Linotype" w:eastAsia="Calibri" w:hAnsi="Palatino Linotype" w:cs="Times New Roman"/>
          <w:color w:val="000000"/>
          <w:lang w:val="es-MX" w:eastAsia="en-US"/>
        </w:rPr>
        <w:t xml:space="preserve"> </w:t>
      </w:r>
      <w:r w:rsidRPr="00D75391">
        <w:rPr>
          <w:rFonts w:ascii="Palatino Linotype" w:eastAsia="Times New Roman" w:hAnsi="Palatino Linotype" w:cs="Arial"/>
          <w:color w:val="000000"/>
          <w:lang w:val="es-MX" w:eastAsia="es-MX"/>
        </w:rPr>
        <w:t>datos personales</w:t>
      </w:r>
      <w:r w:rsidRPr="00D75391">
        <w:rPr>
          <w:rFonts w:ascii="Palatino Linotype" w:eastAsia="Times New Roman" w:hAnsi="Palatino Linotype" w:cs="Arial"/>
          <w:color w:val="000000"/>
          <w:vertAlign w:val="superscript"/>
          <w:lang w:val="es-MX" w:eastAsia="es-MX"/>
        </w:rPr>
        <w:footnoteReference w:id="11"/>
      </w:r>
      <w:r w:rsidRPr="00D75391">
        <w:rPr>
          <w:rFonts w:ascii="Palatino Linotype" w:eastAsia="Times New Roman" w:hAnsi="Palatino Linotype" w:cs="Arial"/>
          <w:color w:val="000000"/>
          <w:lang w:val="es-MX" w:eastAsia="es-MX"/>
        </w:rPr>
        <w:t xml:space="preserve"> del servidor público que no tienen ninguna injerencia en el tema de la transparencia y la rendición de cuentas,  por ejemplo, </w:t>
      </w:r>
      <w:r w:rsidRPr="00D7539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7A95092" w14:textId="77777777" w:rsidR="005C5592" w:rsidRPr="00D75391" w:rsidRDefault="005C5592" w:rsidP="00D75391">
      <w:pPr>
        <w:shd w:val="clear" w:color="auto" w:fill="FFFFFF"/>
        <w:spacing w:line="360" w:lineRule="auto"/>
        <w:contextualSpacing/>
        <w:jc w:val="both"/>
        <w:rPr>
          <w:rFonts w:ascii="Palatino Linotype" w:eastAsia="Calibri" w:hAnsi="Palatino Linotype" w:cs="Arial"/>
          <w:color w:val="000000"/>
          <w:lang w:val="es-ES" w:eastAsia="es-MX"/>
        </w:rPr>
      </w:pPr>
    </w:p>
    <w:p w14:paraId="2584C722"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Calibri" w:hAnsi="Palatino Linotype" w:cs="Arial"/>
          <w:color w:val="000000"/>
          <w:lang w:val="es-ES" w:eastAsia="es-MX"/>
        </w:rPr>
      </w:pPr>
      <w:r w:rsidRPr="00D7539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1D831E0"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0DFE4601" w14:textId="77777777" w:rsidR="005C5592" w:rsidRPr="00D75391" w:rsidRDefault="005C5592" w:rsidP="00D75391">
      <w:pPr>
        <w:keepNext/>
        <w:keepLines/>
        <w:pBdr>
          <w:top w:val="nil"/>
          <w:left w:val="nil"/>
          <w:bottom w:val="nil"/>
          <w:right w:val="nil"/>
          <w:between w:val="nil"/>
          <w:bar w:val="nil"/>
        </w:pBdr>
        <w:spacing w:line="360" w:lineRule="auto"/>
        <w:jc w:val="both"/>
        <w:outlineLvl w:val="1"/>
        <w:rPr>
          <w:rFonts w:ascii="Palatino Linotype" w:eastAsia="Times New Roman" w:hAnsi="Palatino Linotype" w:cs="Times New Roman"/>
          <w:b/>
          <w:color w:val="000000"/>
          <w:lang w:val="es-MX" w:eastAsia="en-US"/>
        </w:rPr>
      </w:pPr>
      <w:bookmarkStart w:id="157" w:name="_Toc485631706"/>
      <w:bookmarkStart w:id="158" w:name="_Toc500756716"/>
      <w:bookmarkStart w:id="159" w:name="_Toc536691784"/>
      <w:bookmarkStart w:id="160" w:name="_Toc4073625"/>
      <w:bookmarkStart w:id="161" w:name="_Toc4078188"/>
      <w:bookmarkStart w:id="162" w:name="_Toc8897715"/>
      <w:bookmarkStart w:id="163" w:name="_Toc20423578"/>
      <w:r w:rsidRPr="00D75391">
        <w:rPr>
          <w:rFonts w:ascii="Palatino Linotype" w:eastAsia="Times New Roman" w:hAnsi="Palatino Linotype" w:cs="Times New Roman"/>
          <w:b/>
          <w:color w:val="000000"/>
          <w:lang w:val="es-MX" w:eastAsia="en-US"/>
        </w:rPr>
        <w:t>III. Condiciones especiales de la clasificación de la información como reservada</w:t>
      </w:r>
      <w:bookmarkEnd w:id="157"/>
      <w:bookmarkEnd w:id="158"/>
      <w:bookmarkEnd w:id="159"/>
      <w:bookmarkEnd w:id="160"/>
      <w:bookmarkEnd w:id="161"/>
      <w:bookmarkEnd w:id="162"/>
      <w:bookmarkEnd w:id="163"/>
      <w:r w:rsidRPr="00D75391">
        <w:rPr>
          <w:rFonts w:ascii="Palatino Linotype" w:eastAsia="Times New Roman" w:hAnsi="Palatino Linotype" w:cs="Times New Roman"/>
          <w:b/>
          <w:color w:val="000000"/>
          <w:lang w:val="es-MX" w:eastAsia="en-US"/>
        </w:rPr>
        <w:t xml:space="preserve"> </w:t>
      </w:r>
    </w:p>
    <w:p w14:paraId="6ED04FEE" w14:textId="77777777" w:rsidR="005C5592" w:rsidRPr="00D75391" w:rsidRDefault="005C5592" w:rsidP="00D75391">
      <w:pPr>
        <w:spacing w:line="360" w:lineRule="auto"/>
        <w:contextualSpacing/>
        <w:jc w:val="both"/>
        <w:rPr>
          <w:rFonts w:ascii="Palatino Linotype" w:eastAsia="Calibri" w:hAnsi="Palatino Linotype" w:cs="Arial"/>
          <w:b/>
          <w:color w:val="000000"/>
          <w:lang w:val="es-MX" w:eastAsia="en-US"/>
        </w:rPr>
      </w:pPr>
    </w:p>
    <w:p w14:paraId="489746CF" w14:textId="77777777" w:rsidR="005C5592" w:rsidRPr="00D75391" w:rsidRDefault="005C5592" w:rsidP="00D75391">
      <w:pPr>
        <w:keepNext/>
        <w:keepLines/>
        <w:numPr>
          <w:ilvl w:val="0"/>
          <w:numId w:val="8"/>
        </w:numPr>
        <w:pBdr>
          <w:top w:val="nil"/>
          <w:left w:val="nil"/>
          <w:bottom w:val="nil"/>
          <w:right w:val="nil"/>
          <w:between w:val="nil"/>
          <w:bar w:val="nil"/>
        </w:pBdr>
        <w:spacing w:after="160" w:line="360" w:lineRule="auto"/>
        <w:outlineLvl w:val="2"/>
        <w:rPr>
          <w:rFonts w:ascii="Palatino Linotype" w:eastAsia="Times New Roman" w:hAnsi="Palatino Linotype" w:cs="Times New Roman"/>
          <w:b/>
          <w:color w:val="000000"/>
          <w:lang w:val="es-MX" w:eastAsia="en-US"/>
        </w:rPr>
      </w:pPr>
      <w:bookmarkStart w:id="164" w:name="_Toc485631707"/>
      <w:bookmarkStart w:id="165" w:name="_Toc500756717"/>
      <w:bookmarkStart w:id="166" w:name="_Toc536691785"/>
      <w:bookmarkStart w:id="167" w:name="_Toc4073626"/>
      <w:bookmarkStart w:id="168" w:name="_Toc4078189"/>
      <w:bookmarkStart w:id="169" w:name="_Toc8897716"/>
      <w:bookmarkStart w:id="170" w:name="_Toc20423579"/>
      <w:r w:rsidRPr="00D75391">
        <w:rPr>
          <w:rFonts w:ascii="Palatino Linotype" w:eastAsia="Times New Roman" w:hAnsi="Palatino Linotype" w:cs="Times New Roman"/>
          <w:b/>
          <w:color w:val="000000"/>
          <w:lang w:val="es-MX" w:eastAsia="en-US"/>
        </w:rPr>
        <w:t>La fundamentación específica.</w:t>
      </w:r>
      <w:bookmarkEnd w:id="164"/>
      <w:bookmarkEnd w:id="165"/>
      <w:bookmarkEnd w:id="166"/>
      <w:bookmarkEnd w:id="167"/>
      <w:bookmarkEnd w:id="168"/>
      <w:bookmarkEnd w:id="169"/>
      <w:bookmarkEnd w:id="170"/>
    </w:p>
    <w:p w14:paraId="6E845C05" w14:textId="77777777" w:rsidR="005C5592" w:rsidRPr="00D75391" w:rsidRDefault="005C5592" w:rsidP="00D75391">
      <w:pPr>
        <w:spacing w:line="360" w:lineRule="auto"/>
        <w:contextualSpacing/>
        <w:jc w:val="both"/>
        <w:rPr>
          <w:rFonts w:ascii="Palatino Linotype" w:eastAsia="Calibri" w:hAnsi="Palatino Linotype" w:cs="Arial"/>
          <w:color w:val="000000"/>
          <w:lang w:val="es-MX" w:eastAsia="en-US"/>
        </w:rPr>
      </w:pPr>
    </w:p>
    <w:p w14:paraId="66CB3070"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Arial"/>
          <w:color w:val="000000"/>
          <w:lang w:val="es-MX" w:eastAsia="en-US"/>
        </w:rPr>
      </w:pPr>
      <w:r w:rsidRPr="00D75391">
        <w:rPr>
          <w:rFonts w:ascii="Palatino Linotype" w:eastAsia="Calibri" w:hAnsi="Palatino Linotype" w:cs="Arial"/>
          <w:color w:val="000000"/>
          <w:lang w:val="es-MX" w:eastAsia="en-U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75391">
        <w:rPr>
          <w:rFonts w:ascii="Palatino Linotype" w:eastAsia="Calibri" w:hAnsi="Palatino Linotype" w:cs="Arial"/>
          <w:color w:val="000000"/>
          <w:lang w:val="es-MX" w:eastAsia="en-US"/>
        </w:rPr>
        <w:t>autoreferencial</w:t>
      </w:r>
      <w:proofErr w:type="spellEnd"/>
      <w:r w:rsidRPr="00D75391">
        <w:rPr>
          <w:rFonts w:ascii="Palatino Linotype" w:eastAsia="Calibri" w:hAnsi="Palatino Linotype" w:cs="Arial"/>
          <w:color w:val="000000"/>
          <w:lang w:val="es-MX" w:eastAsia="en-US"/>
        </w:rPr>
        <w:t xml:space="preserve"> en el que primero se dice algo, después se dice lo mismo y al final exactamente lo mismo, cambiando sólo el orden de las palabras.</w:t>
      </w:r>
    </w:p>
    <w:p w14:paraId="1C0E2603" w14:textId="77777777" w:rsidR="005C5592" w:rsidRPr="00D75391" w:rsidRDefault="005C5592" w:rsidP="00D75391">
      <w:pPr>
        <w:spacing w:line="360" w:lineRule="auto"/>
        <w:contextualSpacing/>
        <w:jc w:val="both"/>
        <w:rPr>
          <w:rFonts w:ascii="Palatino Linotype" w:eastAsia="Calibri" w:hAnsi="Palatino Linotype" w:cs="Arial"/>
          <w:b/>
          <w:color w:val="000000"/>
          <w:lang w:val="es-MX" w:eastAsia="en-US"/>
        </w:rPr>
      </w:pPr>
    </w:p>
    <w:p w14:paraId="65D4F517" w14:textId="77777777" w:rsidR="005C5592" w:rsidRPr="00D75391" w:rsidRDefault="005C5592" w:rsidP="00D75391">
      <w:pPr>
        <w:keepNext/>
        <w:keepLines/>
        <w:numPr>
          <w:ilvl w:val="0"/>
          <w:numId w:val="8"/>
        </w:numPr>
        <w:pBdr>
          <w:top w:val="nil"/>
          <w:left w:val="nil"/>
          <w:bottom w:val="nil"/>
          <w:right w:val="nil"/>
          <w:between w:val="nil"/>
          <w:bar w:val="nil"/>
        </w:pBdr>
        <w:spacing w:after="160" w:line="360" w:lineRule="auto"/>
        <w:outlineLvl w:val="2"/>
        <w:rPr>
          <w:rFonts w:ascii="Palatino Linotype" w:eastAsia="Times New Roman" w:hAnsi="Palatino Linotype" w:cs="Times New Roman"/>
          <w:b/>
          <w:color w:val="000000"/>
          <w:lang w:val="es-MX" w:eastAsia="en-US"/>
        </w:rPr>
      </w:pPr>
      <w:bookmarkStart w:id="171" w:name="_Toc485631708"/>
      <w:bookmarkStart w:id="172" w:name="_Toc500756718"/>
      <w:bookmarkStart w:id="173" w:name="_Toc536691786"/>
      <w:bookmarkStart w:id="174" w:name="_Toc4073627"/>
      <w:bookmarkStart w:id="175" w:name="_Toc4078190"/>
      <w:bookmarkStart w:id="176" w:name="_Toc8897717"/>
      <w:bookmarkStart w:id="177" w:name="_Toc20423580"/>
      <w:r w:rsidRPr="00D75391">
        <w:rPr>
          <w:rFonts w:ascii="Palatino Linotype" w:eastAsia="Times New Roman" w:hAnsi="Palatino Linotype" w:cs="Times New Roman"/>
          <w:b/>
          <w:color w:val="000000"/>
          <w:lang w:val="es-MX" w:eastAsia="en-US"/>
        </w:rPr>
        <w:t>La prueba de daño.</w:t>
      </w:r>
      <w:bookmarkEnd w:id="171"/>
      <w:bookmarkEnd w:id="172"/>
      <w:bookmarkEnd w:id="173"/>
      <w:bookmarkEnd w:id="174"/>
      <w:bookmarkEnd w:id="175"/>
      <w:bookmarkEnd w:id="176"/>
      <w:bookmarkEnd w:id="177"/>
    </w:p>
    <w:p w14:paraId="35CB4F71" w14:textId="77777777" w:rsidR="005C5592" w:rsidRPr="00D75391" w:rsidRDefault="005C5592" w:rsidP="00D75391">
      <w:pPr>
        <w:spacing w:line="360" w:lineRule="auto"/>
        <w:contextualSpacing/>
        <w:jc w:val="both"/>
        <w:rPr>
          <w:rFonts w:ascii="Palatino Linotype" w:eastAsia="Calibri" w:hAnsi="Palatino Linotype" w:cs="Times New Roman"/>
          <w:color w:val="000000"/>
          <w:lang w:val="es-MX" w:eastAsia="en-US"/>
        </w:rPr>
      </w:pPr>
    </w:p>
    <w:p w14:paraId="53B384F5"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9007BDA" w14:textId="77777777" w:rsidR="005C5592" w:rsidRPr="00D75391" w:rsidRDefault="005C5592" w:rsidP="00D75391">
      <w:pPr>
        <w:spacing w:line="360" w:lineRule="auto"/>
        <w:contextualSpacing/>
        <w:jc w:val="both"/>
        <w:rPr>
          <w:rFonts w:ascii="Palatino Linotype" w:eastAsia="Calibri" w:hAnsi="Palatino Linotype" w:cs="Times New Roman"/>
          <w:color w:val="000000"/>
          <w:lang w:val="es-MX" w:eastAsia="en-US"/>
        </w:rPr>
      </w:pPr>
    </w:p>
    <w:p w14:paraId="129C33AA"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Para aplicar la prueba de daño, se deberán de precisar la razones objetivas por las que la apertura genera una afectación, acreditando que:</w:t>
      </w:r>
    </w:p>
    <w:p w14:paraId="0D76AF97" w14:textId="77777777" w:rsidR="005C5592" w:rsidRPr="00D75391" w:rsidRDefault="005C5592" w:rsidP="00D75391">
      <w:pPr>
        <w:spacing w:line="360" w:lineRule="auto"/>
        <w:contextualSpacing/>
        <w:jc w:val="both"/>
        <w:rPr>
          <w:rFonts w:ascii="Palatino Linotype" w:eastAsia="Calibri" w:hAnsi="Palatino Linotype" w:cs="Times New Roman"/>
          <w:color w:val="000000"/>
          <w:lang w:val="es-MX" w:eastAsia="en-US"/>
        </w:rPr>
      </w:pPr>
    </w:p>
    <w:p w14:paraId="1D3AFB7D"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i/>
          <w:color w:val="000000"/>
          <w:lang w:val="es-MX" w:eastAsia="en-US"/>
        </w:rPr>
      </w:pPr>
      <w:r w:rsidRPr="00D75391">
        <w:rPr>
          <w:rFonts w:ascii="Palatino Linotype" w:eastAsia="Calibri" w:hAnsi="Palatino Linotype" w:cs="Bookman Old Style"/>
          <w:bCs/>
          <w:i/>
          <w:color w:val="000000"/>
          <w:lang w:val="es-MX" w:eastAsia="en-US"/>
        </w:rPr>
        <w:t xml:space="preserve">I. </w:t>
      </w:r>
      <w:r w:rsidRPr="00D75391">
        <w:rPr>
          <w:rFonts w:ascii="Palatino Linotype" w:eastAsia="Calibri" w:hAnsi="Palatino Linotype" w:cs="Bookman Old Style"/>
          <w:i/>
          <w:color w:val="000000"/>
          <w:lang w:val="es-MX" w:eastAsia="en-US"/>
        </w:rPr>
        <w:t xml:space="preserve">La divulgación de la información representa un riesgo real, demostrable e identificable del perjuicio significativo al interés público o a la seguridad pública; </w:t>
      </w:r>
    </w:p>
    <w:p w14:paraId="7ACEB6C2"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i/>
          <w:color w:val="000000"/>
          <w:lang w:val="es-MX" w:eastAsia="en-US"/>
        </w:rPr>
      </w:pPr>
      <w:r w:rsidRPr="00D75391">
        <w:rPr>
          <w:rFonts w:ascii="Palatino Linotype" w:eastAsia="Calibri" w:hAnsi="Palatino Linotype" w:cs="Bookman Old Style"/>
          <w:bCs/>
          <w:i/>
          <w:color w:val="000000"/>
          <w:lang w:val="es-MX" w:eastAsia="en-US"/>
        </w:rPr>
        <w:t xml:space="preserve">II. </w:t>
      </w:r>
      <w:r w:rsidRPr="00D75391">
        <w:rPr>
          <w:rFonts w:ascii="Palatino Linotype" w:eastAsia="Calibri" w:hAnsi="Palatino Linotype" w:cs="Bookman Old Style"/>
          <w:i/>
          <w:color w:val="000000"/>
          <w:lang w:val="es-MX" w:eastAsia="en-US"/>
        </w:rPr>
        <w:t xml:space="preserve">El riesgo de perjuicio que supondría la divulgación supera el interés público general de que se difunda; y </w:t>
      </w:r>
    </w:p>
    <w:p w14:paraId="67463433"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Bookman Old Style"/>
          <w:i/>
          <w:color w:val="000000"/>
          <w:lang w:val="es-MX" w:eastAsia="en-US"/>
        </w:rPr>
      </w:pPr>
      <w:r w:rsidRPr="00D75391">
        <w:rPr>
          <w:rFonts w:ascii="Palatino Linotype" w:eastAsia="Calibri" w:hAnsi="Palatino Linotype" w:cs="Bookman Old Style"/>
          <w:bCs/>
          <w:i/>
          <w:color w:val="000000"/>
          <w:lang w:val="es-MX" w:eastAsia="en-US"/>
        </w:rPr>
        <w:t xml:space="preserve">III. </w:t>
      </w:r>
      <w:r w:rsidRPr="00D75391">
        <w:rPr>
          <w:rFonts w:ascii="Palatino Linotype" w:eastAsia="Calibri" w:hAnsi="Palatino Linotype" w:cs="Bookman Old Style"/>
          <w:i/>
          <w:color w:val="000000"/>
          <w:lang w:val="es-MX" w:eastAsia="en-US"/>
        </w:rPr>
        <w:t xml:space="preserve">La limitación se adecua al principio de proporcionalidad y representa el medio menos restrictivo disponible para evitar el perjuicio. </w:t>
      </w:r>
    </w:p>
    <w:p w14:paraId="0B4D6EF5" w14:textId="77777777" w:rsidR="005C5592" w:rsidRPr="00D75391" w:rsidRDefault="005C5592" w:rsidP="00D75391">
      <w:pPr>
        <w:widowControl w:val="0"/>
        <w:autoSpaceDE w:val="0"/>
        <w:autoSpaceDN w:val="0"/>
        <w:adjustRightInd w:val="0"/>
        <w:spacing w:line="360" w:lineRule="auto"/>
        <w:ind w:left="567" w:right="616"/>
        <w:jc w:val="both"/>
        <w:rPr>
          <w:rFonts w:ascii="Palatino Linotype" w:eastAsia="Calibri" w:hAnsi="Palatino Linotype" w:cs="Times"/>
          <w:i/>
          <w:color w:val="000000"/>
          <w:lang w:val="es-MX" w:eastAsia="en-US"/>
        </w:rPr>
      </w:pPr>
    </w:p>
    <w:p w14:paraId="34A66C18" w14:textId="77777777" w:rsidR="005C5592" w:rsidRPr="00D75391" w:rsidRDefault="005C5592" w:rsidP="00D75391">
      <w:pPr>
        <w:numPr>
          <w:ilvl w:val="0"/>
          <w:numId w:val="1"/>
        </w:numPr>
        <w:shd w:val="clear" w:color="auto" w:fill="FFFFFF"/>
        <w:suppressAutoHyphens/>
        <w:spacing w:after="160" w:line="360" w:lineRule="auto"/>
        <w:ind w:left="0" w:firstLine="0"/>
        <w:jc w:val="both"/>
        <w:textAlignment w:val="baseline"/>
        <w:rPr>
          <w:rFonts w:ascii="Palatino Linotype" w:eastAsia="Calibri" w:hAnsi="Palatino Linotype" w:cs="Times New Roman"/>
          <w:color w:val="000000"/>
          <w:lang w:val="es-MX" w:eastAsia="es-ES_tradnl"/>
        </w:rPr>
      </w:pPr>
      <w:r w:rsidRPr="00D75391">
        <w:rPr>
          <w:rFonts w:ascii="Palatino Linotype" w:eastAsia="Calibri" w:hAnsi="Palatino Linotype" w:cs="Times New Roman"/>
          <w:color w:val="000000"/>
          <w:lang w:val="es-MX" w:eastAsia="es-ES_tradnl"/>
        </w:rPr>
        <w:t>Sobre el primer supuesto consideremos que según el diccionario del español jurídico, por riesgo podemos entender “la contingencia o proximidad de un daño”,</w:t>
      </w:r>
      <w:r w:rsidRPr="00D75391">
        <w:rPr>
          <w:rFonts w:ascii="Palatino Linotype" w:eastAsia="Calibri" w:hAnsi="Palatino Linotype" w:cs="Times New Roman"/>
          <w:color w:val="000000"/>
          <w:vertAlign w:val="superscript"/>
          <w:lang w:val="es-MX" w:eastAsia="es-ES_tradnl"/>
        </w:rPr>
        <w:footnoteReference w:id="12"/>
      </w:r>
      <w:r w:rsidRPr="00D75391">
        <w:rPr>
          <w:rFonts w:ascii="Palatino Linotype" w:eastAsia="Calibri" w:hAnsi="Palatino Linotype" w:cs="Times New Roman"/>
          <w:color w:val="000000"/>
          <w:lang w:val="es-MX" w:eastAsia="es-ES_tradnl"/>
        </w:rPr>
        <w:t xml:space="preserve"> mientras que el daño es considerado como un “perjuicio o lesión”</w:t>
      </w:r>
      <w:r w:rsidRPr="00D75391">
        <w:rPr>
          <w:rFonts w:ascii="Palatino Linotype" w:eastAsia="Calibri" w:hAnsi="Palatino Linotype" w:cs="Times New Roman"/>
          <w:color w:val="000000"/>
          <w:vertAlign w:val="superscript"/>
          <w:lang w:val="es-MX" w:eastAsia="es-ES_tradnl"/>
        </w:rPr>
        <w:footnoteReference w:id="13"/>
      </w:r>
      <w:r w:rsidRPr="00D75391">
        <w:rPr>
          <w:rFonts w:ascii="Palatino Linotype" w:eastAsia="Calibri" w:hAnsi="Palatino Linotype" w:cs="Times New Roman"/>
          <w:color w:val="000000"/>
          <w:lang w:val="es-MX" w:eastAsia="es-ES_tradnl"/>
        </w:rPr>
        <w:t>, mientras que según el Diccionario de la Lengua Española, lo real es</w:t>
      </w:r>
      <w:r w:rsidRPr="00D75391">
        <w:rPr>
          <w:rFonts w:ascii="Palatino Linotype" w:eastAsia="Arial Unicode MS" w:hAnsi="Palatino Linotype" w:cs="Arial Unicode MS"/>
          <w:color w:val="000000"/>
          <w:spacing w:val="4"/>
          <w:shd w:val="clear" w:color="auto" w:fill="FFFFFF"/>
          <w:lang w:val="es-MX" w:eastAsia="es-ES_tradnl"/>
        </w:rPr>
        <w:t xml:space="preserve"> lo “</w:t>
      </w:r>
      <w:r w:rsidRPr="00D75391">
        <w:rPr>
          <w:rFonts w:ascii="Palatino Linotype" w:eastAsia="Times New Roman" w:hAnsi="Palatino Linotype" w:cs="Times New Roman"/>
          <w:color w:val="000000"/>
          <w:lang w:val="es-MX" w:eastAsia="es-ES_tradnl"/>
        </w:rPr>
        <w:t>(que</w:t>
      </w:r>
      <w:r w:rsidRPr="00D75391">
        <w:rPr>
          <w:rFonts w:ascii="Palatino Linotype" w:eastAsia="Arial Unicode MS" w:hAnsi="Palatino Linotype" w:cs="Arial Unicode MS"/>
          <w:color w:val="000000"/>
          <w:spacing w:val="4"/>
          <w:shd w:val="clear" w:color="auto" w:fill="FFFFFF"/>
          <w:lang w:val="es-MX" w:eastAsia="es-ES_tradnl"/>
        </w:rPr>
        <w:t xml:space="preserve"> </w:t>
      </w:r>
      <w:r w:rsidRPr="00D75391">
        <w:rPr>
          <w:rFonts w:ascii="Palatino Linotype" w:eastAsia="Times New Roman" w:hAnsi="Palatino Linotype" w:cs="Times New Roman"/>
          <w:color w:val="000000"/>
          <w:lang w:val="es-MX" w:eastAsia="es-ES_tradnl"/>
        </w:rPr>
        <w:t>tiene</w:t>
      </w:r>
      <w:r w:rsidRPr="00D75391">
        <w:rPr>
          <w:rFonts w:ascii="Palatino Linotype" w:eastAsia="Arial Unicode MS" w:hAnsi="Palatino Linotype" w:cs="Arial Unicode MS"/>
          <w:color w:val="000000"/>
          <w:spacing w:val="4"/>
          <w:shd w:val="clear" w:color="auto" w:fill="FFFFFF"/>
          <w:lang w:val="es-MX" w:eastAsia="es-ES_tradnl"/>
        </w:rPr>
        <w:t xml:space="preserve"> </w:t>
      </w:r>
      <w:r w:rsidRPr="00D75391">
        <w:rPr>
          <w:rFonts w:ascii="Palatino Linotype" w:eastAsia="Times New Roman" w:hAnsi="Palatino Linotype" w:cs="Times New Roman"/>
          <w:color w:val="000000"/>
          <w:lang w:val="es-MX" w:eastAsia="es-ES_tradnl"/>
        </w:rPr>
        <w:t>existencia</w:t>
      </w:r>
      <w:r w:rsidRPr="00D75391">
        <w:rPr>
          <w:rFonts w:ascii="Palatino Linotype" w:eastAsia="Arial Unicode MS" w:hAnsi="Palatino Linotype" w:cs="Arial Unicode MS"/>
          <w:color w:val="000000"/>
          <w:spacing w:val="4"/>
          <w:shd w:val="clear" w:color="auto" w:fill="FFFFFF"/>
          <w:lang w:val="es-MX" w:eastAsia="es-ES_tradnl"/>
        </w:rPr>
        <w:t xml:space="preserve"> </w:t>
      </w:r>
      <w:r w:rsidRPr="00D75391">
        <w:rPr>
          <w:rFonts w:ascii="Palatino Linotype" w:eastAsia="Times New Roman" w:hAnsi="Palatino Linotype" w:cs="Times New Roman"/>
          <w:color w:val="000000"/>
          <w:lang w:val="es-MX" w:eastAsia="es-ES_tradnl"/>
        </w:rPr>
        <w:t>objetiva”,</w:t>
      </w:r>
      <w:r w:rsidRPr="00D75391">
        <w:rPr>
          <w:rFonts w:ascii="Palatino Linotype" w:eastAsia="Times New Roman" w:hAnsi="Palatino Linotype" w:cs="Times New Roman"/>
          <w:color w:val="000000"/>
          <w:vertAlign w:val="superscript"/>
          <w:lang w:val="es-MX" w:eastAsia="es-ES_tradnl"/>
        </w:rPr>
        <w:footnoteReference w:id="14"/>
      </w:r>
      <w:r w:rsidRPr="00D75391">
        <w:rPr>
          <w:rFonts w:ascii="Palatino Linotype" w:eastAsia="Times New Roman" w:hAnsi="Palatino Linotype" w:cs="Times New Roman"/>
          <w:color w:val="000000"/>
          <w:lang w:val="es-MX" w:eastAsia="es-ES_tradnl"/>
        </w:rPr>
        <w:t xml:space="preserve"> </w:t>
      </w:r>
      <w:r w:rsidRPr="00D75391">
        <w:rPr>
          <w:rFonts w:ascii="Palatino Linotype" w:eastAsia="Arial Unicode MS" w:hAnsi="Palatino Linotype" w:cs="Arial Unicode MS"/>
          <w:color w:val="000000"/>
          <w:spacing w:val="4"/>
          <w:shd w:val="clear" w:color="auto" w:fill="FFFFFF"/>
          <w:lang w:val="es-MX" w:eastAsia="es-ES_tradnl"/>
        </w:rPr>
        <w:t>mientras que lo demostrables es, según la misma fuente, aquello que se puede demostrar,</w:t>
      </w:r>
      <w:r w:rsidRPr="00D75391">
        <w:rPr>
          <w:rFonts w:ascii="Palatino Linotype" w:eastAsia="Arial Unicode MS" w:hAnsi="Palatino Linotype" w:cs="Arial Unicode MS"/>
          <w:color w:val="000000"/>
          <w:spacing w:val="4"/>
          <w:shd w:val="clear" w:color="auto" w:fill="FFFFFF"/>
          <w:vertAlign w:val="superscript"/>
          <w:lang w:val="es-MX" w:eastAsia="es-ES_tradnl"/>
        </w:rPr>
        <w:footnoteReference w:id="15"/>
      </w:r>
      <w:r w:rsidRPr="00D75391">
        <w:rPr>
          <w:rFonts w:ascii="Palatino Linotype" w:eastAsia="Arial Unicode MS" w:hAnsi="Palatino Linotype" w:cs="Arial Unicode MS"/>
          <w:color w:val="000000"/>
          <w:spacing w:val="4"/>
          <w:shd w:val="clear" w:color="auto" w:fill="FFFFFF"/>
          <w:lang w:val="es-MX" w:eastAsia="es-ES_tradnl"/>
        </w:rPr>
        <w:t xml:space="preserve"> es decir, </w:t>
      </w:r>
      <w:r w:rsidRPr="00D75391">
        <w:rPr>
          <w:rFonts w:ascii="Palatino Linotype" w:eastAsia="Calibri" w:hAnsi="Palatino Linotype" w:cs="Times New Roman"/>
          <w:color w:val="000000"/>
          <w:lang w:val="es-MX" w:eastAsia="en-US"/>
        </w:rPr>
        <w:t xml:space="preserve">“(manifestar, declarar. Probar, sirviéndose de cualquier género de demostración, </w:t>
      </w:r>
      <w:hyperlink r:id="rId11" w:anchor="6nAyKjE" w:history="1">
        <w:r w:rsidRPr="00D75391">
          <w:rPr>
            <w:rFonts w:ascii="Palatino Linotype" w:eastAsia="Calibri" w:hAnsi="Palatino Linotype" w:cs="Times New Roman"/>
            <w:color w:val="000000"/>
            <w:lang w:val="es-MX" w:eastAsia="en-US"/>
          </w:rPr>
          <w:t>enseñar</w:t>
        </w:r>
      </w:hyperlink>
      <w:r w:rsidRPr="00D75391">
        <w:rPr>
          <w:rFonts w:ascii="Palatino Linotype" w:eastAsia="Calibri" w:hAnsi="Palatino Linotype" w:cs="Times New Roman"/>
          <w:color w:val="000000"/>
          <w:lang w:val="es-MX" w:eastAsia="en-US"/>
        </w:rPr>
        <w:t xml:space="preserve"> mostrar o exponer algo)”.</w:t>
      </w:r>
      <w:r w:rsidRPr="00D75391">
        <w:rPr>
          <w:rFonts w:ascii="Palatino Linotype" w:eastAsia="Calibri" w:hAnsi="Palatino Linotype" w:cs="Times New Roman"/>
          <w:color w:val="000000"/>
          <w:vertAlign w:val="superscript"/>
          <w:lang w:val="es-MX" w:eastAsia="en-US"/>
        </w:rPr>
        <w:footnoteReference w:id="16"/>
      </w:r>
      <w:r w:rsidRPr="00D75391">
        <w:rPr>
          <w:rFonts w:ascii="Palatino Linotype" w:eastAsia="Calibri" w:hAnsi="Palatino Linotype" w:cs="Times New Roman"/>
          <w:color w:val="000000"/>
          <w:lang w:val="es-MX" w:eastAsia="en-US"/>
        </w:rPr>
        <w:t xml:space="preserve"> Mientras que lo identificable es lo que puede ser identificado,</w:t>
      </w:r>
      <w:r w:rsidRPr="00D75391">
        <w:rPr>
          <w:rFonts w:ascii="Palatino Linotype" w:eastAsia="Calibri" w:hAnsi="Palatino Linotype" w:cs="Times New Roman"/>
          <w:color w:val="000000"/>
          <w:vertAlign w:val="superscript"/>
          <w:lang w:val="es-MX" w:eastAsia="en-US"/>
        </w:rPr>
        <w:footnoteReference w:id="17"/>
      </w:r>
      <w:r w:rsidRPr="00D75391">
        <w:rPr>
          <w:rFonts w:ascii="Palatino Linotype" w:eastAsia="Calibri" w:hAnsi="Palatino Linotype" w:cs="Times New Roman"/>
          <w:color w:val="000000"/>
          <w:lang w:val="es-MX" w:eastAsia="en-US"/>
        </w:rPr>
        <w:t xml:space="preserve"> esto es,</w:t>
      </w:r>
      <w:r w:rsidRPr="00D75391">
        <w:rPr>
          <w:rFonts w:ascii="Palatino Linotype" w:eastAsia="Calibri" w:hAnsi="Palatino Linotype" w:cs="Times New Roman"/>
          <w:color w:val="000000"/>
          <w:lang w:val="es-MX" w:eastAsia="es-ES_tradnl"/>
        </w:rPr>
        <w:t xml:space="preserve"> “(dar los datos necesarios para ser reconocido”.</w:t>
      </w:r>
      <w:r w:rsidRPr="00D75391">
        <w:rPr>
          <w:rFonts w:ascii="Palatino Linotype" w:eastAsia="Calibri" w:hAnsi="Palatino Linotype" w:cs="Times New Roman"/>
          <w:color w:val="000000"/>
          <w:vertAlign w:val="superscript"/>
          <w:lang w:val="es-MX" w:eastAsia="es-ES_tradnl"/>
        </w:rPr>
        <w:footnoteReference w:id="18"/>
      </w:r>
    </w:p>
    <w:p w14:paraId="6F8DAC4F" w14:textId="77777777" w:rsidR="005C5592" w:rsidRPr="00D75391" w:rsidRDefault="005C5592" w:rsidP="00D75391">
      <w:pPr>
        <w:shd w:val="clear" w:color="auto" w:fill="FFFFFF"/>
        <w:suppressAutoHyphens/>
        <w:spacing w:line="360" w:lineRule="auto"/>
        <w:jc w:val="both"/>
        <w:textAlignment w:val="baseline"/>
        <w:rPr>
          <w:rFonts w:ascii="Palatino Linotype" w:eastAsia="Calibri" w:hAnsi="Palatino Linotype" w:cs="Times New Roman"/>
          <w:color w:val="000000"/>
          <w:lang w:val="es-MX" w:eastAsia="es-ES_tradnl"/>
        </w:rPr>
      </w:pPr>
    </w:p>
    <w:p w14:paraId="2162C56F" w14:textId="58ADDC2F"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53CF64F"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 xml:space="preserve">Identificado ese riesgo, se debe demostrar que el mismo supera el interés público general porque se difunda dicha información. </w:t>
      </w:r>
    </w:p>
    <w:p w14:paraId="6EC21D5F" w14:textId="77777777" w:rsidR="005C5592" w:rsidRPr="00D75391" w:rsidRDefault="005C5592" w:rsidP="00D75391">
      <w:pPr>
        <w:spacing w:line="360" w:lineRule="auto"/>
        <w:contextualSpacing/>
        <w:jc w:val="both"/>
        <w:rPr>
          <w:rFonts w:ascii="Palatino Linotype" w:eastAsia="Calibri" w:hAnsi="Palatino Linotype" w:cs="Times New Roman"/>
          <w:color w:val="000000"/>
          <w:lang w:val="es-MX" w:eastAsia="en-US"/>
        </w:rPr>
      </w:pPr>
    </w:p>
    <w:p w14:paraId="27EDBC33"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Y, por último,  que la limitación es acorde con el principio de proporcionalidad, para ello, se sugiere emplear los tres juicios propuestos por la Corte Constitucional Colombiana</w:t>
      </w:r>
      <w:r w:rsidRPr="00D75391">
        <w:rPr>
          <w:rFonts w:ascii="Palatino Linotype" w:eastAsia="Calibri" w:hAnsi="Palatino Linotype" w:cs="Times New Roman"/>
          <w:color w:val="000000"/>
          <w:vertAlign w:val="superscript"/>
          <w:lang w:val="es-MX" w:eastAsia="en-US"/>
        </w:rPr>
        <w:footnoteReference w:id="19"/>
      </w:r>
      <w:r w:rsidRPr="00D75391">
        <w:rPr>
          <w:rFonts w:ascii="Palatino Linotype" w:eastAsia="Calibri" w:hAnsi="Palatino Linotype" w:cs="Times New Roman"/>
          <w:color w:val="000000"/>
          <w:lang w:val="es-MX" w:eastAsia="en-US"/>
        </w:rPr>
        <w:t>, siguiendo el principio de ponderación propuesto por el Tribunal Constitucional Alemán,</w:t>
      </w:r>
      <w:r w:rsidRPr="00D75391">
        <w:rPr>
          <w:rFonts w:ascii="Palatino Linotype" w:eastAsia="Calibri" w:hAnsi="Palatino Linotype" w:cs="Times New Roman"/>
          <w:color w:val="000000"/>
          <w:vertAlign w:val="superscript"/>
          <w:lang w:val="es-MX" w:eastAsia="en-US"/>
        </w:rPr>
        <w:footnoteReference w:id="20"/>
      </w:r>
      <w:r w:rsidRPr="00D75391">
        <w:rPr>
          <w:rFonts w:ascii="Palatino Linotype" w:eastAsia="Calibri" w:hAnsi="Palatino Linotype" w:cs="Times New Roman"/>
          <w:color w:val="000000"/>
          <w:lang w:val="es-MX" w:eastAsia="en-U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659BF93" w14:textId="77777777" w:rsidR="005C5592" w:rsidRPr="00D75391" w:rsidRDefault="005C5592" w:rsidP="00D75391">
      <w:pPr>
        <w:spacing w:line="360" w:lineRule="auto"/>
        <w:contextualSpacing/>
        <w:rPr>
          <w:rFonts w:ascii="Palatino Linotype" w:eastAsia="Calibri" w:hAnsi="Palatino Linotype" w:cs="Times New Roman"/>
          <w:color w:val="000000"/>
          <w:lang w:val="es-MX" w:eastAsia="en-US"/>
        </w:rPr>
      </w:pPr>
    </w:p>
    <w:p w14:paraId="1C175C72" w14:textId="77777777" w:rsidR="005C5592" w:rsidRPr="00D75391" w:rsidRDefault="005C5592" w:rsidP="00D75391">
      <w:pPr>
        <w:keepNext/>
        <w:keepLines/>
        <w:numPr>
          <w:ilvl w:val="0"/>
          <w:numId w:val="8"/>
        </w:numPr>
        <w:pBdr>
          <w:top w:val="nil"/>
          <w:left w:val="nil"/>
          <w:bottom w:val="nil"/>
          <w:right w:val="nil"/>
          <w:between w:val="nil"/>
          <w:bar w:val="nil"/>
        </w:pBdr>
        <w:spacing w:after="160" w:line="360" w:lineRule="auto"/>
        <w:contextualSpacing/>
        <w:outlineLvl w:val="0"/>
        <w:rPr>
          <w:rFonts w:ascii="Palatino Linotype" w:eastAsia="Times New Roman" w:hAnsi="Palatino Linotype" w:cs="Times New Roman"/>
          <w:b/>
          <w:color w:val="000000"/>
          <w:lang w:val="es-MX" w:eastAsia="en-US"/>
        </w:rPr>
      </w:pPr>
      <w:bookmarkStart w:id="178" w:name="_Toc485631709"/>
      <w:bookmarkStart w:id="179" w:name="_Toc500756719"/>
      <w:bookmarkStart w:id="180" w:name="_Toc536691787"/>
      <w:bookmarkStart w:id="181" w:name="_Toc4073628"/>
      <w:bookmarkStart w:id="182" w:name="_Toc4078191"/>
      <w:bookmarkStart w:id="183" w:name="_Toc8897718"/>
      <w:bookmarkStart w:id="184" w:name="_Toc20423581"/>
      <w:r w:rsidRPr="00D75391">
        <w:rPr>
          <w:rFonts w:ascii="Palatino Linotype" w:eastAsia="Times New Roman" w:hAnsi="Palatino Linotype" w:cs="Times New Roman"/>
          <w:b/>
          <w:color w:val="000000"/>
          <w:lang w:val="es-MX" w:eastAsia="en-US"/>
        </w:rPr>
        <w:t>La clasificación de la información reservada debe ser de manera temporal.</w:t>
      </w:r>
      <w:bookmarkEnd w:id="178"/>
      <w:bookmarkEnd w:id="179"/>
      <w:bookmarkEnd w:id="180"/>
      <w:bookmarkEnd w:id="181"/>
      <w:bookmarkEnd w:id="182"/>
      <w:bookmarkEnd w:id="183"/>
      <w:bookmarkEnd w:id="184"/>
    </w:p>
    <w:p w14:paraId="4742466C" w14:textId="77777777" w:rsidR="005C5592" w:rsidRPr="00D75391" w:rsidRDefault="005C5592" w:rsidP="00D75391">
      <w:pPr>
        <w:spacing w:line="360" w:lineRule="auto"/>
        <w:jc w:val="both"/>
        <w:rPr>
          <w:rFonts w:ascii="Palatino Linotype" w:eastAsia="Calibri" w:hAnsi="Palatino Linotype" w:cs="Times New Roman"/>
          <w:b/>
          <w:color w:val="000000"/>
          <w:lang w:val="es-MX" w:eastAsia="en-US"/>
        </w:rPr>
      </w:pPr>
    </w:p>
    <w:p w14:paraId="5494823D"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055324E" w14:textId="77777777" w:rsidR="005C5592" w:rsidRPr="00D75391" w:rsidRDefault="005C5592" w:rsidP="00D75391">
      <w:pPr>
        <w:spacing w:line="360" w:lineRule="auto"/>
        <w:contextualSpacing/>
        <w:jc w:val="both"/>
        <w:rPr>
          <w:rFonts w:ascii="Palatino Linotype" w:eastAsia="Calibri" w:hAnsi="Palatino Linotype" w:cs="Times New Roman"/>
          <w:color w:val="000000"/>
          <w:lang w:val="es-MX" w:eastAsia="en-US"/>
        </w:rPr>
      </w:pPr>
    </w:p>
    <w:p w14:paraId="3F77B380"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E2E152E" w14:textId="77777777" w:rsidR="005C5592" w:rsidRPr="00D75391" w:rsidRDefault="005C5592" w:rsidP="00D75391">
      <w:pPr>
        <w:spacing w:line="360" w:lineRule="auto"/>
        <w:contextualSpacing/>
        <w:rPr>
          <w:rFonts w:ascii="Palatino Linotype" w:eastAsia="Calibri" w:hAnsi="Palatino Linotype" w:cs="Times New Roman"/>
          <w:color w:val="000000"/>
          <w:lang w:val="es-MX" w:eastAsia="en-US"/>
        </w:rPr>
      </w:pPr>
    </w:p>
    <w:p w14:paraId="78EF8430"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7AF16A8" w14:textId="77777777" w:rsidR="005C5592" w:rsidRPr="00D75391" w:rsidRDefault="005C5592" w:rsidP="00D75391">
      <w:pPr>
        <w:spacing w:line="360" w:lineRule="auto"/>
        <w:contextualSpacing/>
        <w:rPr>
          <w:rFonts w:ascii="Palatino Linotype" w:eastAsia="Calibri" w:hAnsi="Palatino Linotype" w:cs="Times New Roman"/>
          <w:b/>
          <w:color w:val="000000"/>
          <w:lang w:val="es-MX" w:eastAsia="en-US"/>
        </w:rPr>
      </w:pPr>
    </w:p>
    <w:p w14:paraId="3304F031"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De</w:t>
      </w:r>
      <w:r w:rsidRPr="00D75391">
        <w:rPr>
          <w:rFonts w:ascii="Palatino Linotype" w:eastAsia="Calibri" w:hAnsi="Palatino Linotype" w:cs="Times New Roman"/>
          <w:b/>
          <w:color w:val="000000"/>
          <w:lang w:val="es-MX" w:eastAsia="en-US"/>
        </w:rPr>
        <w:t xml:space="preserve"> </w:t>
      </w:r>
      <w:r w:rsidRPr="00D75391">
        <w:rPr>
          <w:rFonts w:ascii="Palatino Linotype" w:eastAsia="Calibri" w:hAnsi="Palatino Linotype" w:cs="Times New Roman"/>
          <w:color w:val="000000"/>
          <w:lang w:val="es-MX" w:eastAsia="en-U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F7F5460" w14:textId="77777777" w:rsidR="005C5592" w:rsidRPr="00D75391" w:rsidRDefault="005C5592" w:rsidP="00D75391">
      <w:pPr>
        <w:spacing w:line="360" w:lineRule="auto"/>
        <w:contextualSpacing/>
        <w:rPr>
          <w:rFonts w:ascii="Palatino Linotype" w:eastAsia="Calibri" w:hAnsi="Palatino Linotype" w:cs="Times New Roman"/>
          <w:color w:val="000000"/>
          <w:lang w:val="es-MX" w:eastAsia="en-US"/>
        </w:rPr>
      </w:pPr>
    </w:p>
    <w:p w14:paraId="32D4D924" w14:textId="77777777" w:rsidR="005C5592" w:rsidRPr="00D75391" w:rsidRDefault="005C5592" w:rsidP="00D75391">
      <w:pPr>
        <w:numPr>
          <w:ilvl w:val="0"/>
          <w:numId w:val="1"/>
        </w:numPr>
        <w:spacing w:after="160" w:line="360" w:lineRule="auto"/>
        <w:ind w:left="0" w:firstLine="0"/>
        <w:contextualSpacing/>
        <w:jc w:val="both"/>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A9B13FE" w14:textId="77777777" w:rsidR="005C5592" w:rsidRPr="00D75391" w:rsidRDefault="005C5592" w:rsidP="00D75391">
      <w:pPr>
        <w:keepNext/>
        <w:keepLines/>
        <w:numPr>
          <w:ilvl w:val="0"/>
          <w:numId w:val="14"/>
        </w:numPr>
        <w:pBdr>
          <w:top w:val="nil"/>
          <w:left w:val="nil"/>
          <w:bottom w:val="nil"/>
          <w:right w:val="nil"/>
          <w:between w:val="nil"/>
          <w:bar w:val="nil"/>
        </w:pBdr>
        <w:spacing w:after="160" w:line="360" w:lineRule="auto"/>
        <w:contextualSpacing/>
        <w:jc w:val="both"/>
        <w:outlineLvl w:val="1"/>
        <w:rPr>
          <w:rFonts w:ascii="Palatino Linotype" w:eastAsia="Times New Roman" w:hAnsi="Palatino Linotype" w:cs="Times New Roman"/>
          <w:b/>
          <w:color w:val="000000"/>
          <w:lang w:val="es-MX" w:eastAsia="en-US"/>
        </w:rPr>
      </w:pPr>
      <w:bookmarkStart w:id="185" w:name="_Toc485631710"/>
      <w:bookmarkStart w:id="186" w:name="_Toc500756720"/>
      <w:bookmarkStart w:id="187" w:name="_Toc536691788"/>
      <w:bookmarkStart w:id="188" w:name="_Toc4073629"/>
      <w:bookmarkStart w:id="189" w:name="_Toc4078192"/>
      <w:bookmarkStart w:id="190" w:name="_Toc8897719"/>
      <w:bookmarkStart w:id="191" w:name="_Toc20423582"/>
      <w:r w:rsidRPr="00D75391">
        <w:rPr>
          <w:rFonts w:ascii="Palatino Linotype" w:eastAsia="Times New Roman" w:hAnsi="Palatino Linotype" w:cs="Times New Roman"/>
          <w:b/>
          <w:color w:val="000000"/>
          <w:lang w:val="es-MX" w:eastAsia="en-US"/>
        </w:rPr>
        <w:t>Condiciones especiales de la clasificación de la información como confidencial.</w:t>
      </w:r>
      <w:bookmarkEnd w:id="185"/>
      <w:bookmarkEnd w:id="186"/>
      <w:bookmarkEnd w:id="187"/>
      <w:bookmarkEnd w:id="188"/>
      <w:bookmarkEnd w:id="189"/>
      <w:bookmarkEnd w:id="190"/>
      <w:bookmarkEnd w:id="191"/>
    </w:p>
    <w:p w14:paraId="1A5ACFEB" w14:textId="77777777" w:rsidR="005C5592" w:rsidRPr="00D75391" w:rsidRDefault="005C5592" w:rsidP="00D75391">
      <w:pPr>
        <w:keepNext/>
        <w:keepLines/>
        <w:pBdr>
          <w:top w:val="nil"/>
          <w:left w:val="nil"/>
          <w:bottom w:val="nil"/>
          <w:right w:val="nil"/>
          <w:between w:val="nil"/>
          <w:bar w:val="nil"/>
        </w:pBdr>
        <w:spacing w:line="360" w:lineRule="auto"/>
        <w:ind w:left="1080"/>
        <w:contextualSpacing/>
        <w:jc w:val="both"/>
        <w:outlineLvl w:val="1"/>
        <w:rPr>
          <w:rFonts w:ascii="Palatino Linotype" w:eastAsia="Times New Roman" w:hAnsi="Palatino Linotype" w:cs="Times New Roman"/>
          <w:b/>
          <w:color w:val="000000"/>
          <w:lang w:val="es-MX" w:eastAsia="en-US"/>
        </w:rPr>
      </w:pPr>
    </w:p>
    <w:p w14:paraId="28E71947" w14:textId="77777777" w:rsidR="005C5592" w:rsidRPr="00D75391" w:rsidRDefault="005C5592" w:rsidP="00D75391">
      <w:pPr>
        <w:numPr>
          <w:ilvl w:val="0"/>
          <w:numId w:val="1"/>
        </w:numPr>
        <w:shd w:val="clear" w:color="auto" w:fill="FFFFFF"/>
        <w:spacing w:after="160" w:line="360" w:lineRule="auto"/>
        <w:ind w:left="0" w:firstLine="0"/>
        <w:jc w:val="both"/>
        <w:textAlignment w:val="baseline"/>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4C18765" w14:textId="77777777" w:rsidR="005C5592" w:rsidRPr="00D75391" w:rsidRDefault="005C5592" w:rsidP="00D75391">
      <w:pPr>
        <w:shd w:val="clear" w:color="auto" w:fill="FFFFFF"/>
        <w:spacing w:line="360" w:lineRule="auto"/>
        <w:jc w:val="both"/>
        <w:textAlignment w:val="baseline"/>
        <w:rPr>
          <w:rFonts w:ascii="Palatino Linotype" w:eastAsia="Calibri" w:hAnsi="Palatino Linotype" w:cs="Times New Roman"/>
          <w:color w:val="000000"/>
          <w:lang w:val="es-MX" w:eastAsia="en-US"/>
        </w:rPr>
      </w:pPr>
    </w:p>
    <w:p w14:paraId="4F73F5EC" w14:textId="77777777" w:rsidR="005C5592" w:rsidRPr="00D75391" w:rsidRDefault="005C5592" w:rsidP="00D75391">
      <w:pPr>
        <w:spacing w:line="360" w:lineRule="auto"/>
        <w:ind w:left="567" w:right="616"/>
        <w:jc w:val="both"/>
        <w:rPr>
          <w:rFonts w:ascii="Palatino Linotype" w:eastAsia="Times New Roman" w:hAnsi="Palatino Linotype" w:cs="Times New Roman"/>
          <w:bCs/>
          <w:color w:val="000000"/>
          <w:lang w:val="es-ES" w:eastAsia="en-US"/>
        </w:rPr>
      </w:pPr>
      <w:r w:rsidRPr="00D75391">
        <w:rPr>
          <w:rFonts w:ascii="Palatino Linotype" w:eastAsia="Times New Roman" w:hAnsi="Palatino Linotype" w:cs="Times New Roman"/>
          <w:bCs/>
          <w:color w:val="000000"/>
          <w:lang w:val="es-ES" w:eastAsia="en-US"/>
        </w:rPr>
        <w:t>I.</w:t>
      </w:r>
      <w:r w:rsidRPr="00D75391">
        <w:rPr>
          <w:rFonts w:ascii="Palatino Linotype" w:eastAsia="Times New Roman" w:hAnsi="Palatino Linotype" w:cs="Times New Roman"/>
          <w:color w:val="000000"/>
          <w:lang w:val="es-ES" w:eastAsia="en-US"/>
        </w:rPr>
        <w:t xml:space="preserve"> La información se encuentre en registros públicos o fuentes de acceso público;</w:t>
      </w:r>
    </w:p>
    <w:p w14:paraId="2EAE3C79" w14:textId="77777777" w:rsidR="005C5592" w:rsidRPr="00D75391" w:rsidRDefault="005C5592" w:rsidP="00D75391">
      <w:pPr>
        <w:spacing w:line="360" w:lineRule="auto"/>
        <w:ind w:left="567" w:right="616"/>
        <w:jc w:val="both"/>
        <w:rPr>
          <w:rFonts w:ascii="Palatino Linotype" w:eastAsia="Times New Roman" w:hAnsi="Palatino Linotype" w:cs="Times New Roman"/>
          <w:bCs/>
          <w:color w:val="000000"/>
          <w:lang w:val="es-ES" w:eastAsia="en-US"/>
        </w:rPr>
      </w:pPr>
      <w:r w:rsidRPr="00D75391">
        <w:rPr>
          <w:rFonts w:ascii="Palatino Linotype" w:eastAsia="Times New Roman" w:hAnsi="Palatino Linotype" w:cs="Times New Roman"/>
          <w:bCs/>
          <w:color w:val="000000"/>
          <w:lang w:val="es-ES" w:eastAsia="en-US"/>
        </w:rPr>
        <w:t xml:space="preserve">II. </w:t>
      </w:r>
      <w:r w:rsidRPr="00D75391">
        <w:rPr>
          <w:rFonts w:ascii="Palatino Linotype" w:eastAsia="Times New Roman" w:hAnsi="Palatino Linotype" w:cs="Times New Roman"/>
          <w:color w:val="000000"/>
          <w:lang w:val="es-ES" w:eastAsia="en-US"/>
        </w:rPr>
        <w:t>Por Ley tenga el carácter de pública;</w:t>
      </w:r>
    </w:p>
    <w:p w14:paraId="6D52AA59" w14:textId="77777777" w:rsidR="005C5592" w:rsidRPr="00D75391" w:rsidRDefault="005C5592" w:rsidP="00D75391">
      <w:pPr>
        <w:spacing w:line="360" w:lineRule="auto"/>
        <w:ind w:left="567" w:right="616"/>
        <w:jc w:val="both"/>
        <w:rPr>
          <w:rFonts w:ascii="Palatino Linotype" w:eastAsia="Times New Roman" w:hAnsi="Palatino Linotype" w:cs="Times New Roman"/>
          <w:color w:val="000000"/>
          <w:lang w:val="es-ES" w:eastAsia="en-US"/>
        </w:rPr>
      </w:pPr>
      <w:r w:rsidRPr="00D75391">
        <w:rPr>
          <w:rFonts w:ascii="Palatino Linotype" w:eastAsia="Times New Roman" w:hAnsi="Palatino Linotype" w:cs="Times New Roman"/>
          <w:bCs/>
          <w:color w:val="000000"/>
          <w:lang w:val="es-ES" w:eastAsia="en-US"/>
        </w:rPr>
        <w:t xml:space="preserve">III. </w:t>
      </w:r>
      <w:r w:rsidRPr="00D75391">
        <w:rPr>
          <w:rFonts w:ascii="Palatino Linotype" w:eastAsia="Times New Roman" w:hAnsi="Palatino Linotype" w:cs="Times New Roman"/>
          <w:color w:val="000000"/>
          <w:lang w:val="es-ES" w:eastAsia="en-US"/>
        </w:rPr>
        <w:t xml:space="preserve">Exista una orden judicial; </w:t>
      </w:r>
    </w:p>
    <w:p w14:paraId="175E019C" w14:textId="77777777" w:rsidR="005C5592" w:rsidRPr="00D75391" w:rsidRDefault="005C5592" w:rsidP="00D75391">
      <w:pPr>
        <w:spacing w:line="360" w:lineRule="auto"/>
        <w:ind w:left="567" w:right="616"/>
        <w:jc w:val="both"/>
        <w:rPr>
          <w:rFonts w:ascii="Palatino Linotype" w:eastAsia="Times New Roman" w:hAnsi="Palatino Linotype" w:cs="Times New Roman"/>
          <w:color w:val="000000"/>
          <w:lang w:val="es-ES" w:eastAsia="en-US"/>
        </w:rPr>
      </w:pPr>
      <w:r w:rsidRPr="00D75391">
        <w:rPr>
          <w:rFonts w:ascii="Palatino Linotype" w:eastAsia="Times New Roman" w:hAnsi="Palatino Linotype" w:cs="Times New Roman"/>
          <w:bCs/>
          <w:color w:val="000000"/>
          <w:lang w:val="es-ES" w:eastAsia="en-US"/>
        </w:rPr>
        <w:t xml:space="preserve">IV. </w:t>
      </w:r>
      <w:r w:rsidRPr="00D75391">
        <w:rPr>
          <w:rFonts w:ascii="Palatino Linotype" w:eastAsia="Times New Roman" w:hAnsi="Palatino Linotype" w:cs="Times New Roman"/>
          <w:color w:val="000000"/>
          <w:lang w:val="es-ES" w:eastAsia="en-US"/>
        </w:rPr>
        <w:t xml:space="preserve">Por razones de seguridad pública, o para proteger los derechos de terceros, se requiera su publicación; o </w:t>
      </w:r>
    </w:p>
    <w:p w14:paraId="0C707918" w14:textId="77777777" w:rsidR="005C5592" w:rsidRPr="00D75391" w:rsidRDefault="005C5592" w:rsidP="00D75391">
      <w:pPr>
        <w:numPr>
          <w:ilvl w:val="0"/>
          <w:numId w:val="14"/>
        </w:numPr>
        <w:tabs>
          <w:tab w:val="left" w:pos="993"/>
        </w:tabs>
        <w:spacing w:after="160" w:line="360" w:lineRule="auto"/>
        <w:ind w:left="567" w:right="616" w:firstLine="0"/>
        <w:contextualSpacing/>
        <w:jc w:val="both"/>
        <w:rPr>
          <w:rFonts w:ascii="Palatino Linotype" w:eastAsia="Times New Roman" w:hAnsi="Palatino Linotype" w:cs="Times New Roman"/>
          <w:color w:val="000000"/>
          <w:lang w:val="es-ES" w:eastAsia="en-US"/>
        </w:rPr>
      </w:pPr>
      <w:r w:rsidRPr="00D75391">
        <w:rPr>
          <w:rFonts w:ascii="Palatino Linotype" w:eastAsia="Times New Roman" w:hAnsi="Palatino Linotype" w:cs="Times New Roman"/>
          <w:color w:val="000000"/>
          <w:lang w:val="es-ES" w:eastAsia="en-U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E242C4" w14:textId="77777777" w:rsidR="005C5592" w:rsidRPr="00D75391" w:rsidRDefault="005C5592" w:rsidP="00D75391">
      <w:pPr>
        <w:spacing w:line="360" w:lineRule="auto"/>
        <w:ind w:left="1080" w:right="616"/>
        <w:contextualSpacing/>
        <w:jc w:val="both"/>
        <w:rPr>
          <w:rFonts w:ascii="Palatino Linotype" w:eastAsia="Times New Roman" w:hAnsi="Palatino Linotype" w:cs="Times New Roman"/>
          <w:color w:val="000000"/>
          <w:lang w:val="es-ES" w:eastAsia="en-US"/>
        </w:rPr>
      </w:pPr>
    </w:p>
    <w:p w14:paraId="615F9682" w14:textId="274BEAFB" w:rsidR="00D75391" w:rsidRPr="00D75391" w:rsidRDefault="005C5592" w:rsidP="00D75391">
      <w:pPr>
        <w:numPr>
          <w:ilvl w:val="0"/>
          <w:numId w:val="1"/>
        </w:numPr>
        <w:shd w:val="clear" w:color="auto" w:fill="FFFFFF"/>
        <w:spacing w:after="160" w:line="360" w:lineRule="auto"/>
        <w:ind w:left="0" w:firstLine="0"/>
        <w:jc w:val="both"/>
        <w:textAlignment w:val="baseline"/>
        <w:rPr>
          <w:rFonts w:ascii="Palatino Linotype" w:eastAsia="Calibri" w:hAnsi="Palatino Linotype" w:cs="Times New Roman"/>
          <w:color w:val="000000"/>
          <w:lang w:val="es-MX" w:eastAsia="es-ES_tradnl"/>
        </w:rPr>
      </w:pPr>
      <w:r w:rsidRPr="00D75391">
        <w:rPr>
          <w:rFonts w:ascii="Palatino Linotype" w:eastAsia="Calibri" w:hAnsi="Palatino Linotype" w:cs="Times New Roman"/>
          <w:color w:val="000000"/>
          <w:lang w:val="es-MX" w:eastAsia="en-US"/>
        </w:rPr>
        <w:t>En</w:t>
      </w:r>
      <w:r w:rsidRPr="00D75391">
        <w:rPr>
          <w:rFonts w:ascii="Palatino Linotype" w:eastAsia="Calibri" w:hAnsi="Palatino Linotype" w:cs="Times New Roman"/>
          <w:color w:val="000000"/>
          <w:lang w:val="es-MX"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C0025FD" w14:textId="77777777" w:rsidR="005C5592" w:rsidRPr="00D75391" w:rsidRDefault="005C5592" w:rsidP="00D75391">
      <w:pPr>
        <w:numPr>
          <w:ilvl w:val="0"/>
          <w:numId w:val="1"/>
        </w:numPr>
        <w:shd w:val="clear" w:color="auto" w:fill="FFFFFF"/>
        <w:spacing w:after="160" w:line="360" w:lineRule="auto"/>
        <w:ind w:left="0" w:firstLine="0"/>
        <w:contextualSpacing/>
        <w:jc w:val="both"/>
        <w:textAlignment w:val="baseline"/>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Pero</w:t>
      </w:r>
      <w:r w:rsidRPr="00D75391">
        <w:rPr>
          <w:rFonts w:ascii="Palatino Linotype" w:eastAsia="Calibri" w:hAnsi="Palatino Linotype" w:cs="Times New Roman"/>
          <w:color w:val="000000"/>
          <w:lang w:val="es-MX"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CBE1101" w14:textId="77777777" w:rsidR="005C5592" w:rsidRPr="00D75391" w:rsidRDefault="005C5592" w:rsidP="00D75391">
      <w:pPr>
        <w:shd w:val="clear" w:color="auto" w:fill="FFFFFF"/>
        <w:spacing w:line="360" w:lineRule="auto"/>
        <w:contextualSpacing/>
        <w:jc w:val="both"/>
        <w:textAlignment w:val="baseline"/>
        <w:rPr>
          <w:rFonts w:ascii="Palatino Linotype" w:eastAsia="Calibri" w:hAnsi="Palatino Linotype" w:cs="Times New Roman"/>
          <w:color w:val="000000"/>
          <w:lang w:val="es-MX" w:eastAsia="en-US"/>
        </w:rPr>
      </w:pPr>
    </w:p>
    <w:p w14:paraId="229F591D" w14:textId="77777777" w:rsidR="005C5592" w:rsidRPr="00D75391" w:rsidRDefault="005C5592" w:rsidP="00D75391">
      <w:pPr>
        <w:numPr>
          <w:ilvl w:val="0"/>
          <w:numId w:val="1"/>
        </w:numPr>
        <w:shd w:val="clear" w:color="auto" w:fill="FFFFFF"/>
        <w:spacing w:after="160" w:line="360" w:lineRule="auto"/>
        <w:ind w:left="0" w:firstLine="0"/>
        <w:contextualSpacing/>
        <w:jc w:val="both"/>
        <w:textAlignment w:val="baseline"/>
        <w:rPr>
          <w:rFonts w:ascii="Palatino Linotype" w:eastAsia="Calibri" w:hAnsi="Palatino Linotype" w:cs="Times New Roman"/>
          <w:color w:val="000000"/>
          <w:lang w:val="es-MX" w:eastAsia="en-US"/>
        </w:rPr>
      </w:pPr>
      <w:r w:rsidRPr="00D75391">
        <w:rPr>
          <w:rFonts w:ascii="Palatino Linotype" w:eastAsia="Calibri" w:hAnsi="Palatino Linotype" w:cs="Times New Roman"/>
          <w:color w:val="000000"/>
          <w:lang w:val="es-MX" w:eastAsia="en-U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562A69DA" w14:textId="77777777" w:rsidR="005C5592" w:rsidRPr="00D75391" w:rsidRDefault="005C5592" w:rsidP="00D75391">
      <w:pPr>
        <w:spacing w:line="360" w:lineRule="auto"/>
        <w:rPr>
          <w:rFonts w:ascii="Palatino Linotype" w:eastAsia="Calibri" w:hAnsi="Palatino Linotype" w:cs="Times New Roman"/>
          <w:color w:val="000000"/>
          <w:lang w:val="es-MX" w:eastAsia="en-US"/>
        </w:rPr>
      </w:pPr>
    </w:p>
    <w:tbl>
      <w:tblPr>
        <w:tblStyle w:val="Tablaconcuadrcula22"/>
        <w:tblW w:w="8451" w:type="dxa"/>
        <w:tblLook w:val="04A0" w:firstRow="1" w:lastRow="0" w:firstColumn="1" w:lastColumn="0" w:noHBand="0" w:noVBand="1"/>
      </w:tblPr>
      <w:tblGrid>
        <w:gridCol w:w="2100"/>
        <w:gridCol w:w="1731"/>
        <w:gridCol w:w="2418"/>
        <w:gridCol w:w="2202"/>
      </w:tblGrid>
      <w:tr w:rsidR="005C5592" w:rsidRPr="00D75391" w14:paraId="0A1ABB3E" w14:textId="77777777" w:rsidTr="005C5592">
        <w:tc>
          <w:tcPr>
            <w:tcW w:w="2155" w:type="dxa"/>
            <w:vMerge w:val="restart"/>
            <w:shd w:val="clear" w:color="auto" w:fill="D5DCE4"/>
          </w:tcPr>
          <w:p w14:paraId="342BB281"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Requisitos previos</w:t>
            </w:r>
          </w:p>
        </w:tc>
        <w:tc>
          <w:tcPr>
            <w:tcW w:w="1759" w:type="dxa"/>
          </w:tcPr>
          <w:p w14:paraId="0B6BBE55"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Los sujetos obligados determinan que la información actualiza alguno de los supuestos de clasificación:</w:t>
            </w:r>
          </w:p>
        </w:tc>
        <w:tc>
          <w:tcPr>
            <w:tcW w:w="2269" w:type="dxa"/>
          </w:tcPr>
          <w:p w14:paraId="3F717096" w14:textId="77777777" w:rsidR="005C5592" w:rsidRPr="00D75391" w:rsidRDefault="005C5592" w:rsidP="00D75391">
            <w:pPr>
              <w:spacing w:line="360" w:lineRule="auto"/>
              <w:jc w:val="both"/>
              <w:rPr>
                <w:rFonts w:ascii="Palatino Linotype" w:eastAsia="Times New Roman" w:hAnsi="Palatino Linotype" w:cs="Times New Roman"/>
                <w:color w:val="000000"/>
              </w:rPr>
            </w:pPr>
          </w:p>
          <w:p w14:paraId="7DF8FCAF" w14:textId="77777777" w:rsidR="005C5592" w:rsidRPr="00D75391" w:rsidRDefault="005C5592" w:rsidP="00D75391">
            <w:pPr>
              <w:spacing w:line="360" w:lineRule="auto"/>
              <w:jc w:val="both"/>
              <w:rPr>
                <w:rFonts w:ascii="Palatino Linotype" w:eastAsia="Times New Roman" w:hAnsi="Palatino Linotype" w:cs="Times New Roman"/>
                <w:color w:val="000000"/>
              </w:rPr>
            </w:pPr>
          </w:p>
          <w:p w14:paraId="5402CFBE" w14:textId="77777777" w:rsidR="005C5592" w:rsidRPr="00D75391" w:rsidRDefault="005C5592" w:rsidP="00D75391">
            <w:pPr>
              <w:spacing w:line="360" w:lineRule="auto"/>
              <w:jc w:val="both"/>
              <w:rPr>
                <w:rFonts w:ascii="Palatino Linotype" w:eastAsia="Times New Roman" w:hAnsi="Palatino Linotype" w:cs="Times New Roman"/>
                <w:color w:val="000000"/>
              </w:rPr>
            </w:pPr>
          </w:p>
          <w:p w14:paraId="0AE883C5" w14:textId="77777777" w:rsidR="005C5592" w:rsidRPr="00D75391" w:rsidRDefault="005C5592" w:rsidP="00D75391">
            <w:pPr>
              <w:numPr>
                <w:ilvl w:val="0"/>
                <w:numId w:val="10"/>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Confidencialidad </w:t>
            </w:r>
          </w:p>
          <w:p w14:paraId="1513C495" w14:textId="77777777" w:rsidR="005C5592" w:rsidRPr="00D75391" w:rsidRDefault="005C5592" w:rsidP="00D75391">
            <w:pPr>
              <w:numPr>
                <w:ilvl w:val="0"/>
                <w:numId w:val="10"/>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Reserva</w:t>
            </w:r>
          </w:p>
        </w:tc>
        <w:tc>
          <w:tcPr>
            <w:tcW w:w="2268" w:type="dxa"/>
          </w:tcPr>
          <w:p w14:paraId="32693B75"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1DE54A13" w14:textId="77777777" w:rsidTr="005C5592">
        <w:tc>
          <w:tcPr>
            <w:tcW w:w="2155" w:type="dxa"/>
            <w:vMerge/>
            <w:shd w:val="clear" w:color="auto" w:fill="D5DCE4"/>
          </w:tcPr>
          <w:p w14:paraId="3E8DF4CB"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tcPr>
          <w:p w14:paraId="66F4DD38"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Los titulares de las áreas que administran la información son los que aprueban la clasificación </w:t>
            </w:r>
          </w:p>
        </w:tc>
        <w:tc>
          <w:tcPr>
            <w:tcW w:w="2269" w:type="dxa"/>
          </w:tcPr>
          <w:p w14:paraId="5AD7A680"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8" w:type="dxa"/>
          </w:tcPr>
          <w:p w14:paraId="1E1B71B1"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31044448" w14:textId="77777777" w:rsidTr="005C5592">
        <w:tc>
          <w:tcPr>
            <w:tcW w:w="2155" w:type="dxa"/>
            <w:vMerge/>
            <w:shd w:val="clear" w:color="auto" w:fill="D5DCE4"/>
          </w:tcPr>
          <w:p w14:paraId="00578C47"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tcPr>
          <w:p w14:paraId="39AD3D4F"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La clasificación de la información se realiza al momento de:</w:t>
            </w:r>
          </w:p>
        </w:tc>
        <w:tc>
          <w:tcPr>
            <w:tcW w:w="2269" w:type="dxa"/>
          </w:tcPr>
          <w:p w14:paraId="4615DE69" w14:textId="77777777" w:rsidR="005C5592" w:rsidRPr="00D75391" w:rsidRDefault="005C5592" w:rsidP="00D75391">
            <w:pPr>
              <w:numPr>
                <w:ilvl w:val="0"/>
                <w:numId w:val="9"/>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Atender una solicitud</w:t>
            </w:r>
          </w:p>
          <w:p w14:paraId="50023AC9" w14:textId="77777777" w:rsidR="005C5592" w:rsidRPr="00D75391" w:rsidRDefault="005C5592" w:rsidP="00D75391">
            <w:pPr>
              <w:numPr>
                <w:ilvl w:val="0"/>
                <w:numId w:val="9"/>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Por mandato de una autoridad competente</w:t>
            </w:r>
          </w:p>
          <w:p w14:paraId="0096064B" w14:textId="77777777" w:rsidR="005C5592" w:rsidRPr="00D75391" w:rsidRDefault="005C5592" w:rsidP="00D75391">
            <w:pPr>
              <w:numPr>
                <w:ilvl w:val="0"/>
                <w:numId w:val="9"/>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Para elaborar una versión pública y cumplir una obligación de transparencia</w:t>
            </w:r>
          </w:p>
        </w:tc>
        <w:tc>
          <w:tcPr>
            <w:tcW w:w="2268" w:type="dxa"/>
          </w:tcPr>
          <w:p w14:paraId="167C137C"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744F5437" w14:textId="77777777" w:rsidTr="005C5592">
        <w:tc>
          <w:tcPr>
            <w:tcW w:w="2155" w:type="dxa"/>
            <w:vMerge/>
            <w:shd w:val="clear" w:color="auto" w:fill="D5DCE4"/>
          </w:tcPr>
          <w:p w14:paraId="0BBC4109"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tcPr>
          <w:p w14:paraId="50179AF2"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No se pueden emitir acuerdos de carácter general ni particular</w:t>
            </w:r>
          </w:p>
        </w:tc>
        <w:tc>
          <w:tcPr>
            <w:tcW w:w="2269" w:type="dxa"/>
          </w:tcPr>
          <w:p w14:paraId="34A01F9A"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El sujeto obligado debe emitir un acuerdo describiendo y analizando cada documento de un expediente y todos los datos incluidos en un documento </w:t>
            </w:r>
          </w:p>
        </w:tc>
        <w:tc>
          <w:tcPr>
            <w:tcW w:w="2268" w:type="dxa"/>
          </w:tcPr>
          <w:p w14:paraId="7DE92577"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42674FC8" w14:textId="77777777" w:rsidTr="005C5592">
        <w:tc>
          <w:tcPr>
            <w:tcW w:w="2155" w:type="dxa"/>
            <w:vMerge w:val="restart"/>
            <w:shd w:val="clear" w:color="auto" w:fill="D5DCE4"/>
          </w:tcPr>
          <w:p w14:paraId="225ECA47"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Supuestos de clasificación</w:t>
            </w:r>
          </w:p>
        </w:tc>
        <w:tc>
          <w:tcPr>
            <w:tcW w:w="1759" w:type="dxa"/>
          </w:tcPr>
          <w:p w14:paraId="2982C8DB"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Para clasificar la información como reservada hay</w:t>
            </w:r>
          </w:p>
        </w:tc>
        <w:tc>
          <w:tcPr>
            <w:tcW w:w="2269" w:type="dxa"/>
          </w:tcPr>
          <w:p w14:paraId="196042D7" w14:textId="77777777" w:rsidR="005C5592" w:rsidRPr="00D75391" w:rsidRDefault="005C5592" w:rsidP="00D75391">
            <w:pPr>
              <w:numPr>
                <w:ilvl w:val="0"/>
                <w:numId w:val="11"/>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11 supuestos en la Ley Estatal</w:t>
            </w:r>
          </w:p>
          <w:p w14:paraId="1CF0FE4F" w14:textId="77777777" w:rsidR="005C5592" w:rsidRPr="00D75391" w:rsidRDefault="005C5592" w:rsidP="00D75391">
            <w:pPr>
              <w:numPr>
                <w:ilvl w:val="0"/>
                <w:numId w:val="11"/>
              </w:numPr>
              <w:spacing w:line="360" w:lineRule="auto"/>
              <w:contextualSpacing/>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13 supuestos en la Ley General</w:t>
            </w:r>
          </w:p>
        </w:tc>
        <w:tc>
          <w:tcPr>
            <w:tcW w:w="2268" w:type="dxa"/>
          </w:tcPr>
          <w:p w14:paraId="6458EC1F"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El sujeto obligado debe identificar claramente la información que se pretende clasificar y realizar un juicio de subsunción o encaje</w:t>
            </w:r>
          </w:p>
        </w:tc>
      </w:tr>
      <w:tr w:rsidR="005C5592" w:rsidRPr="00D75391" w14:paraId="7A40E640" w14:textId="77777777" w:rsidTr="005C5592">
        <w:tc>
          <w:tcPr>
            <w:tcW w:w="2155" w:type="dxa"/>
            <w:vMerge/>
            <w:shd w:val="clear" w:color="auto" w:fill="D5DCE4"/>
          </w:tcPr>
          <w:p w14:paraId="106C826D"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tcPr>
          <w:p w14:paraId="2DD4501D"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Para clasificar la información como confidencial hay</w:t>
            </w:r>
          </w:p>
        </w:tc>
        <w:tc>
          <w:tcPr>
            <w:tcW w:w="2269" w:type="dxa"/>
          </w:tcPr>
          <w:p w14:paraId="45122B12"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que considerar la definición de dato personal</w:t>
            </w:r>
          </w:p>
        </w:tc>
        <w:tc>
          <w:tcPr>
            <w:tcW w:w="2268" w:type="dxa"/>
          </w:tcPr>
          <w:p w14:paraId="650B36C4"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0A2C7C67" w14:textId="77777777" w:rsidTr="005C5592">
        <w:tc>
          <w:tcPr>
            <w:tcW w:w="2155" w:type="dxa"/>
            <w:vMerge/>
            <w:shd w:val="clear" w:color="auto" w:fill="D5DCE4"/>
          </w:tcPr>
          <w:p w14:paraId="26CE186B"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tcPr>
          <w:p w14:paraId="4B8B7B64"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Estos supuestos se aplican de manera restrictiva y estricta, no pueden ampliarse</w:t>
            </w:r>
          </w:p>
        </w:tc>
        <w:tc>
          <w:tcPr>
            <w:tcW w:w="2269" w:type="dxa"/>
          </w:tcPr>
          <w:p w14:paraId="41097FD9"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8" w:type="dxa"/>
          </w:tcPr>
          <w:p w14:paraId="247A7D7A"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46FA4957" w14:textId="77777777" w:rsidTr="005C5592">
        <w:tc>
          <w:tcPr>
            <w:tcW w:w="2155" w:type="dxa"/>
            <w:vMerge w:val="restart"/>
            <w:shd w:val="clear" w:color="auto" w:fill="D5DCE4"/>
          </w:tcPr>
          <w:p w14:paraId="67AD2F0B"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Excepciones a la clasificación de reserva</w:t>
            </w:r>
          </w:p>
        </w:tc>
        <w:tc>
          <w:tcPr>
            <w:tcW w:w="1759" w:type="dxa"/>
            <w:vMerge w:val="restart"/>
          </w:tcPr>
          <w:p w14:paraId="79F2989A"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No puede clasificarse como información reservada la concerniente a:</w:t>
            </w:r>
          </w:p>
        </w:tc>
        <w:tc>
          <w:tcPr>
            <w:tcW w:w="2269" w:type="dxa"/>
          </w:tcPr>
          <w:p w14:paraId="6AD54374"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Actos (probados o en investigación) graves de violaciones a derechos humanos</w:t>
            </w:r>
          </w:p>
        </w:tc>
        <w:tc>
          <w:tcPr>
            <w:tcW w:w="2268" w:type="dxa"/>
          </w:tcPr>
          <w:p w14:paraId="1289AE8E"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594FCE81" w14:textId="77777777" w:rsidTr="005C5592">
        <w:tc>
          <w:tcPr>
            <w:tcW w:w="2155" w:type="dxa"/>
            <w:vMerge/>
            <w:shd w:val="clear" w:color="auto" w:fill="D5DCE4"/>
          </w:tcPr>
          <w:p w14:paraId="0ADC5A96"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vMerge/>
          </w:tcPr>
          <w:p w14:paraId="428BE703"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9" w:type="dxa"/>
          </w:tcPr>
          <w:p w14:paraId="0C2A329D"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Delitos de </w:t>
            </w:r>
            <w:proofErr w:type="spellStart"/>
            <w:r w:rsidRPr="00D75391">
              <w:rPr>
                <w:rFonts w:ascii="Palatino Linotype" w:eastAsia="Times New Roman" w:hAnsi="Palatino Linotype" w:cs="Times New Roman"/>
                <w:color w:val="000000"/>
              </w:rPr>
              <w:t>lessa</w:t>
            </w:r>
            <w:proofErr w:type="spellEnd"/>
            <w:r w:rsidRPr="00D75391">
              <w:rPr>
                <w:rFonts w:ascii="Palatino Linotype" w:eastAsia="Times New Roman" w:hAnsi="Palatino Linotype" w:cs="Times New Roman"/>
                <w:color w:val="000000"/>
              </w:rPr>
              <w:t xml:space="preserve"> humanidad</w:t>
            </w:r>
          </w:p>
        </w:tc>
        <w:tc>
          <w:tcPr>
            <w:tcW w:w="2268" w:type="dxa"/>
          </w:tcPr>
          <w:p w14:paraId="49E46051"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24532056" w14:textId="77777777" w:rsidTr="005C5592">
        <w:tc>
          <w:tcPr>
            <w:tcW w:w="2155" w:type="dxa"/>
            <w:vMerge/>
            <w:shd w:val="clear" w:color="auto" w:fill="D5DCE4"/>
          </w:tcPr>
          <w:p w14:paraId="65B204DA"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vMerge/>
          </w:tcPr>
          <w:p w14:paraId="7970FECD"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9" w:type="dxa"/>
          </w:tcPr>
          <w:p w14:paraId="7EEBF5FB"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Actos de Corrupción</w:t>
            </w:r>
          </w:p>
        </w:tc>
        <w:tc>
          <w:tcPr>
            <w:tcW w:w="2268" w:type="dxa"/>
          </w:tcPr>
          <w:p w14:paraId="3D489399"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Los comprendidos en el Título Sexto del Código Penal del Estado</w:t>
            </w:r>
          </w:p>
        </w:tc>
      </w:tr>
      <w:tr w:rsidR="005C5592" w:rsidRPr="00D75391" w14:paraId="62C41CA7" w14:textId="77777777" w:rsidTr="005C5592">
        <w:tc>
          <w:tcPr>
            <w:tcW w:w="2155" w:type="dxa"/>
            <w:vMerge w:val="restart"/>
            <w:shd w:val="clear" w:color="auto" w:fill="D5DCE4"/>
          </w:tcPr>
          <w:p w14:paraId="240C4F39" w14:textId="77777777" w:rsidR="005C5592" w:rsidRPr="00D75391" w:rsidRDefault="005C5592" w:rsidP="00D75391">
            <w:pPr>
              <w:shd w:val="clear" w:color="auto" w:fill="AADAF8"/>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Participación del Comité de Transparencia</w:t>
            </w:r>
          </w:p>
        </w:tc>
        <w:tc>
          <w:tcPr>
            <w:tcW w:w="1759" w:type="dxa"/>
            <w:vMerge w:val="restart"/>
          </w:tcPr>
          <w:p w14:paraId="0747F83B"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Formalidades</w:t>
            </w:r>
          </w:p>
        </w:tc>
        <w:tc>
          <w:tcPr>
            <w:tcW w:w="2269" w:type="dxa"/>
          </w:tcPr>
          <w:p w14:paraId="6F0A9D96"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El Comité debe de estar debidamente integrado</w:t>
            </w:r>
          </w:p>
        </w:tc>
        <w:tc>
          <w:tcPr>
            <w:tcW w:w="2268" w:type="dxa"/>
          </w:tcPr>
          <w:p w14:paraId="054C7F81"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7AA2BEE2" w14:textId="77777777" w:rsidTr="005C5592">
        <w:tc>
          <w:tcPr>
            <w:tcW w:w="2155" w:type="dxa"/>
            <w:vMerge/>
            <w:shd w:val="clear" w:color="auto" w:fill="D5DCE4"/>
          </w:tcPr>
          <w:p w14:paraId="188C13A1"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vMerge/>
          </w:tcPr>
          <w:p w14:paraId="50D9BC9D"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9" w:type="dxa"/>
          </w:tcPr>
          <w:p w14:paraId="4C25A48F"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El Comité no aprueba la clasificación, sólo: confirma, modifica o revoca la decisión de las áreas </w:t>
            </w:r>
          </w:p>
        </w:tc>
        <w:tc>
          <w:tcPr>
            <w:tcW w:w="2268" w:type="dxa"/>
          </w:tcPr>
          <w:p w14:paraId="5B26CD67"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00E0D187" w14:textId="77777777" w:rsidTr="005C5592">
        <w:tc>
          <w:tcPr>
            <w:tcW w:w="2155" w:type="dxa"/>
            <w:shd w:val="clear" w:color="auto" w:fill="D5DCE4"/>
          </w:tcPr>
          <w:p w14:paraId="5081D578"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Fondo del acuerdo de clasificación</w:t>
            </w:r>
          </w:p>
        </w:tc>
        <w:tc>
          <w:tcPr>
            <w:tcW w:w="1759" w:type="dxa"/>
          </w:tcPr>
          <w:p w14:paraId="1FE72FB1"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La carga de la prueba para justificar la restricción corresponde al sujeto obligado</w:t>
            </w:r>
          </w:p>
        </w:tc>
        <w:tc>
          <w:tcPr>
            <w:tcW w:w="2269" w:type="dxa"/>
          </w:tcPr>
          <w:p w14:paraId="031D5DA4"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Deber de fundar y motivar</w:t>
            </w:r>
          </w:p>
        </w:tc>
        <w:tc>
          <w:tcPr>
            <w:tcW w:w="2268" w:type="dxa"/>
          </w:tcPr>
          <w:p w14:paraId="189E02DF"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24ECA7F9" w14:textId="77777777" w:rsidTr="005C5592">
        <w:trPr>
          <w:trHeight w:val="726"/>
        </w:trPr>
        <w:tc>
          <w:tcPr>
            <w:tcW w:w="2155" w:type="dxa"/>
            <w:vMerge w:val="restart"/>
            <w:shd w:val="clear" w:color="auto" w:fill="D5DCE4"/>
          </w:tcPr>
          <w:p w14:paraId="4BD2C81D"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Condiciones especiales de la reserva</w:t>
            </w:r>
          </w:p>
        </w:tc>
        <w:tc>
          <w:tcPr>
            <w:tcW w:w="1759" w:type="dxa"/>
            <w:vMerge w:val="restart"/>
          </w:tcPr>
          <w:p w14:paraId="7053D07B"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Motivar implica</w:t>
            </w:r>
          </w:p>
          <w:p w14:paraId="5A720315"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Además se debe aplicar, caso por caso, una prueba de daño.</w:t>
            </w:r>
          </w:p>
        </w:tc>
        <w:tc>
          <w:tcPr>
            <w:tcW w:w="2269" w:type="dxa"/>
            <w:vMerge w:val="restart"/>
          </w:tcPr>
          <w:p w14:paraId="62ED14F8"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Señalar las razones, motivos o circunstancias.</w:t>
            </w:r>
          </w:p>
          <w:p w14:paraId="3C4A4DDA"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Se deben señalar las razones objetivas y acreditar.</w:t>
            </w:r>
          </w:p>
          <w:p w14:paraId="09998348" w14:textId="77777777" w:rsidR="005C5592" w:rsidRPr="00D75391" w:rsidRDefault="005C5592" w:rsidP="00D75391">
            <w:pPr>
              <w:spacing w:line="360" w:lineRule="auto"/>
              <w:jc w:val="both"/>
              <w:rPr>
                <w:rFonts w:ascii="Palatino Linotype" w:eastAsia="Times New Roman" w:hAnsi="Palatino Linotype" w:cs="Times New Roman"/>
                <w:color w:val="000000"/>
              </w:rPr>
            </w:pPr>
          </w:p>
          <w:p w14:paraId="614E27E3"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*Adquiere la condición especial de ser temporal por un periodo de 5 años con la posibilidad de ampliarse por un periodo igual.</w:t>
            </w:r>
          </w:p>
        </w:tc>
        <w:tc>
          <w:tcPr>
            <w:tcW w:w="2268" w:type="dxa"/>
            <w:vMerge w:val="restart"/>
          </w:tcPr>
          <w:p w14:paraId="0E5D1B4A"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Que entregar la información provoca un riesgo real, demostrable e identificable al interés público o a la seguridad pública</w:t>
            </w:r>
          </w:p>
        </w:tc>
      </w:tr>
      <w:tr w:rsidR="005C5592" w:rsidRPr="00D75391" w14:paraId="0B7275F0" w14:textId="77777777" w:rsidTr="005C5592">
        <w:trPr>
          <w:trHeight w:val="726"/>
        </w:trPr>
        <w:tc>
          <w:tcPr>
            <w:tcW w:w="2155" w:type="dxa"/>
            <w:vMerge/>
            <w:shd w:val="clear" w:color="auto" w:fill="D5DCE4"/>
          </w:tcPr>
          <w:p w14:paraId="25F4B6E1"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vMerge/>
          </w:tcPr>
          <w:p w14:paraId="38188ACA"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9" w:type="dxa"/>
            <w:vMerge/>
          </w:tcPr>
          <w:p w14:paraId="209131F0"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8" w:type="dxa"/>
            <w:vMerge/>
          </w:tcPr>
          <w:p w14:paraId="7D3593C2"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4CA10902" w14:textId="77777777" w:rsidTr="005C5592">
        <w:tc>
          <w:tcPr>
            <w:tcW w:w="2155" w:type="dxa"/>
            <w:vMerge/>
            <w:shd w:val="clear" w:color="auto" w:fill="D5DCE4"/>
          </w:tcPr>
          <w:p w14:paraId="4123206D"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vMerge/>
          </w:tcPr>
          <w:p w14:paraId="7B9FBDD3"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9" w:type="dxa"/>
            <w:vMerge/>
          </w:tcPr>
          <w:p w14:paraId="3A424BC0"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8" w:type="dxa"/>
          </w:tcPr>
          <w:p w14:paraId="1C60E795"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El riesgo por divulgar es mayor que el interés público de que se difunda  </w:t>
            </w:r>
          </w:p>
        </w:tc>
      </w:tr>
      <w:tr w:rsidR="005C5592" w:rsidRPr="00D75391" w14:paraId="50508787" w14:textId="77777777" w:rsidTr="005C5592">
        <w:trPr>
          <w:trHeight w:val="1454"/>
        </w:trPr>
        <w:tc>
          <w:tcPr>
            <w:tcW w:w="2155" w:type="dxa"/>
            <w:vMerge/>
            <w:shd w:val="clear" w:color="auto" w:fill="D5DCE4"/>
          </w:tcPr>
          <w:p w14:paraId="58E36F50"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vMerge/>
          </w:tcPr>
          <w:p w14:paraId="283224E2"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9" w:type="dxa"/>
            <w:vMerge/>
          </w:tcPr>
          <w:p w14:paraId="26BDBD42"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8" w:type="dxa"/>
          </w:tcPr>
          <w:p w14:paraId="58124792"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El principio de proporcionalidad</w:t>
            </w:r>
          </w:p>
        </w:tc>
      </w:tr>
      <w:tr w:rsidR="005C5592" w:rsidRPr="00D75391" w14:paraId="32F0E253" w14:textId="77777777" w:rsidTr="005C5592">
        <w:tc>
          <w:tcPr>
            <w:tcW w:w="2155" w:type="dxa"/>
            <w:vMerge w:val="restart"/>
            <w:shd w:val="clear" w:color="auto" w:fill="D5DCE4"/>
          </w:tcPr>
          <w:p w14:paraId="3C6C1791"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Condiciones especiales de la confidencialidad</w:t>
            </w:r>
          </w:p>
        </w:tc>
        <w:tc>
          <w:tcPr>
            <w:tcW w:w="1759" w:type="dxa"/>
          </w:tcPr>
          <w:p w14:paraId="19D0E122"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Para clasificar se debe verificar que no se encuentre en los supuestos del artículo 148 de la ley Estatal </w:t>
            </w:r>
          </w:p>
        </w:tc>
        <w:tc>
          <w:tcPr>
            <w:tcW w:w="2269" w:type="dxa"/>
          </w:tcPr>
          <w:p w14:paraId="7D598574"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 xml:space="preserve">Si se encuentra en los supuestos de dicho artículo se entrega aún sin consentimiento del titular del dato personal </w:t>
            </w:r>
          </w:p>
        </w:tc>
        <w:tc>
          <w:tcPr>
            <w:tcW w:w="2268" w:type="dxa"/>
          </w:tcPr>
          <w:p w14:paraId="6E61A481"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r w:rsidR="005C5592" w:rsidRPr="00D75391" w14:paraId="3EC78788" w14:textId="77777777" w:rsidTr="005C5592">
        <w:trPr>
          <w:trHeight w:val="3404"/>
        </w:trPr>
        <w:tc>
          <w:tcPr>
            <w:tcW w:w="2155" w:type="dxa"/>
            <w:vMerge/>
            <w:shd w:val="clear" w:color="auto" w:fill="D5DCE4"/>
          </w:tcPr>
          <w:p w14:paraId="5E274E8F"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1759" w:type="dxa"/>
          </w:tcPr>
          <w:p w14:paraId="24FDBDEF" w14:textId="77777777" w:rsidR="005C5592" w:rsidRPr="00D75391" w:rsidRDefault="005C5592" w:rsidP="00D75391">
            <w:pPr>
              <w:spacing w:line="360" w:lineRule="auto"/>
              <w:jc w:val="both"/>
              <w:rPr>
                <w:rFonts w:ascii="Palatino Linotype" w:eastAsia="Times New Roman" w:hAnsi="Palatino Linotype" w:cs="Times New Roman"/>
                <w:color w:val="000000"/>
              </w:rPr>
            </w:pPr>
            <w:r w:rsidRPr="00D75391">
              <w:rPr>
                <w:rFonts w:ascii="Palatino Linotype" w:eastAsia="Times New Roman" w:hAnsi="Palatino Linotype" w:cs="Times New Roman"/>
                <w:color w:val="000000"/>
              </w:rPr>
              <w:t>Si es posible, se debe consultar al titular de los datos para requerir su autorización para entregarlo</w:t>
            </w:r>
          </w:p>
        </w:tc>
        <w:tc>
          <w:tcPr>
            <w:tcW w:w="2269" w:type="dxa"/>
          </w:tcPr>
          <w:p w14:paraId="356C4893"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c>
          <w:tcPr>
            <w:tcW w:w="2268" w:type="dxa"/>
          </w:tcPr>
          <w:p w14:paraId="16290593" w14:textId="77777777" w:rsidR="005C5592" w:rsidRPr="00D75391" w:rsidRDefault="005C5592" w:rsidP="00D75391">
            <w:pPr>
              <w:spacing w:line="360" w:lineRule="auto"/>
              <w:jc w:val="both"/>
              <w:rPr>
                <w:rFonts w:ascii="Palatino Linotype" w:eastAsia="Times New Roman" w:hAnsi="Palatino Linotype" w:cs="Times New Roman"/>
                <w:color w:val="000000"/>
              </w:rPr>
            </w:pPr>
          </w:p>
        </w:tc>
      </w:tr>
    </w:tbl>
    <w:p w14:paraId="07A74FEA" w14:textId="77777777" w:rsidR="005C5592" w:rsidRPr="00D75391" w:rsidRDefault="005C5592" w:rsidP="00D75391">
      <w:pPr>
        <w:shd w:val="clear" w:color="auto" w:fill="FFFFFF"/>
        <w:spacing w:line="360" w:lineRule="auto"/>
        <w:jc w:val="both"/>
        <w:textAlignment w:val="baseline"/>
        <w:rPr>
          <w:rFonts w:ascii="Palatino Linotype" w:eastAsia="Calibri" w:hAnsi="Palatino Linotype" w:cs="Times New Roman"/>
          <w:color w:val="000000"/>
          <w:lang w:val="es-MX" w:eastAsia="es-ES_tradnl"/>
        </w:rPr>
      </w:pPr>
    </w:p>
    <w:p w14:paraId="38B17FE0" w14:textId="77777777" w:rsidR="005C5592" w:rsidRPr="00D75391" w:rsidRDefault="005C5592" w:rsidP="00D75391">
      <w:pPr>
        <w:numPr>
          <w:ilvl w:val="0"/>
          <w:numId w:val="1"/>
        </w:numPr>
        <w:shd w:val="clear" w:color="auto" w:fill="FFFFFF"/>
        <w:spacing w:after="160" w:line="360" w:lineRule="auto"/>
        <w:ind w:left="0" w:firstLine="0"/>
        <w:jc w:val="both"/>
        <w:textAlignment w:val="baseline"/>
        <w:rPr>
          <w:rFonts w:ascii="Palatino Linotype" w:eastAsia="Calibri" w:hAnsi="Palatino Linotype" w:cs="Times New Roman"/>
          <w:color w:val="000000"/>
          <w:lang w:val="es-MX" w:eastAsia="es-ES_tradnl"/>
        </w:rPr>
      </w:pPr>
      <w:r w:rsidRPr="00D75391">
        <w:rPr>
          <w:rFonts w:ascii="Palatino Linotype" w:eastAsia="Calibri" w:hAnsi="Palatino Linotype" w:cs="Times New Roman"/>
          <w:color w:val="000000"/>
          <w:lang w:val="es-MX" w:eastAsia="en-US"/>
        </w:rPr>
        <w:t>Pero</w:t>
      </w:r>
      <w:r w:rsidRPr="00D75391">
        <w:rPr>
          <w:rFonts w:ascii="Palatino Linotype" w:eastAsia="Calibri" w:hAnsi="Palatino Linotype" w:cs="Times New Roman"/>
          <w:color w:val="000000"/>
          <w:lang w:val="es-MX"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C83933D" w14:textId="77777777" w:rsidR="005C5592" w:rsidRPr="00D75391" w:rsidRDefault="005C5592" w:rsidP="00D75391">
      <w:pPr>
        <w:shd w:val="clear" w:color="auto" w:fill="FFFFFF"/>
        <w:spacing w:line="360" w:lineRule="auto"/>
        <w:jc w:val="both"/>
        <w:textAlignment w:val="baseline"/>
        <w:rPr>
          <w:rFonts w:ascii="Palatino Linotype" w:eastAsia="Calibri" w:hAnsi="Palatino Linotype" w:cs="Times New Roman"/>
          <w:color w:val="000000"/>
          <w:lang w:val="es-MX" w:eastAsia="es-ES_tradnl"/>
        </w:rPr>
      </w:pPr>
    </w:p>
    <w:p w14:paraId="2EB43CFD" w14:textId="77777777" w:rsidR="005C5592" w:rsidRPr="00D75391" w:rsidRDefault="005C5592" w:rsidP="00D75391">
      <w:pPr>
        <w:numPr>
          <w:ilvl w:val="0"/>
          <w:numId w:val="1"/>
        </w:numPr>
        <w:shd w:val="clear" w:color="auto" w:fill="FFFFFF"/>
        <w:spacing w:after="160" w:line="360" w:lineRule="auto"/>
        <w:ind w:left="0" w:firstLine="0"/>
        <w:contextualSpacing/>
        <w:jc w:val="both"/>
        <w:rPr>
          <w:rFonts w:ascii="Palatino Linotype" w:eastAsia="Times New Roman" w:hAnsi="Palatino Linotype" w:cs="Arial"/>
          <w:color w:val="000000"/>
          <w:lang w:val="es-MX" w:eastAsia="es-MX"/>
        </w:rPr>
      </w:pPr>
      <w:r w:rsidRPr="00D75391">
        <w:rPr>
          <w:rFonts w:ascii="Palatino Linotype" w:eastAsia="Calibri" w:hAnsi="Palatino Linotype" w:cs="Times New Roman"/>
          <w:color w:val="000000"/>
          <w:lang w:val="es-MX" w:eastAsia="en-U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E871760" w14:textId="760AD11E" w:rsidR="004D38F2" w:rsidRPr="00D75391" w:rsidRDefault="004D38F2" w:rsidP="00D75391">
      <w:pPr>
        <w:pStyle w:val="Prrafodelista"/>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Por otro lado, debe destacarse que debido a la naturaleza de la información solicitada, podrían obrar eventualmente datos personales susceptibles de protegerse, y toda vez que éste Instituto de </w:t>
      </w:r>
      <w:r w:rsidRPr="00D75391">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D75391">
        <w:rPr>
          <w:rFonts w:ascii="Palatino Linotype" w:hAnsi="Palatino Linotype" w:cs="Arial"/>
          <w:b/>
          <w:color w:val="000000" w:themeColor="text1"/>
        </w:rPr>
        <w:t>SUJETO OBLIGADO</w:t>
      </w:r>
      <w:r w:rsidRPr="00D75391">
        <w:rPr>
          <w:rFonts w:ascii="Palatino Linotype" w:hAnsi="Palatino Linotype" w:cs="Arial"/>
          <w:color w:val="000000" w:themeColor="text1"/>
        </w:rPr>
        <w:t xml:space="preserve"> deberá analizar el contenido de los oficios a efecto de asegurarse que no se encuentren datos personales y, en su caso, deberá generar las </w:t>
      </w:r>
      <w:r w:rsidRPr="00D75391">
        <w:rPr>
          <w:rFonts w:ascii="Palatino Linotype" w:hAnsi="Palatino Linotype" w:cs="Arial"/>
          <w:b/>
          <w:color w:val="000000" w:themeColor="text1"/>
        </w:rPr>
        <w:t>versiones públicas</w:t>
      </w:r>
      <w:r w:rsidRPr="00D75391">
        <w:rPr>
          <w:rFonts w:ascii="Palatino Linotype" w:hAnsi="Palatino Linotype" w:cs="Arial"/>
          <w:color w:val="000000" w:themeColor="text1"/>
        </w:rPr>
        <w:t xml:space="preserve"> de los documentos por las consideraciones que se estimen pertinentes.</w:t>
      </w:r>
    </w:p>
    <w:p w14:paraId="4F98B9BB"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Cabe señalar que la </w:t>
      </w:r>
      <w:r w:rsidRPr="00D75391">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D75391">
        <w:rPr>
          <w:rFonts w:ascii="Palatino Linotype" w:hAnsi="Palatino Linotype"/>
          <w:vertAlign w:val="superscript"/>
        </w:rPr>
        <w:footnoteReference w:id="21"/>
      </w:r>
      <w:r w:rsidRPr="00D75391">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75391">
        <w:rPr>
          <w:rFonts w:ascii="Palatino Linotype" w:hAnsi="Palatino Linotype"/>
          <w:vertAlign w:val="superscript"/>
        </w:rPr>
        <w:footnoteReference w:id="22"/>
      </w:r>
      <w:r w:rsidRPr="00D75391">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11A1E84"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Así, el </w:t>
      </w:r>
      <w:r w:rsidRPr="00D75391">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521170CA" w14:textId="77777777" w:rsidR="004D38F2" w:rsidRPr="00D75391" w:rsidRDefault="004D38F2" w:rsidP="00D7539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92" w:name="_Toc17991906"/>
      <w:bookmarkStart w:id="193" w:name="_Toc20423583"/>
      <w:r w:rsidRPr="00D75391">
        <w:rPr>
          <w:rFonts w:ascii="Palatino Linotype" w:eastAsiaTheme="majorEastAsia" w:hAnsi="Palatino Linotype" w:cstheme="majorBidi"/>
          <w:b/>
          <w:color w:val="000000" w:themeColor="text1"/>
          <w:lang w:val="es-MX" w:eastAsia="en-US"/>
        </w:rPr>
        <w:t>I. Requisitos previos.</w:t>
      </w:r>
      <w:bookmarkEnd w:id="192"/>
      <w:bookmarkEnd w:id="193"/>
    </w:p>
    <w:p w14:paraId="0220D020"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Los </w:t>
      </w:r>
      <w:r w:rsidRPr="00D75391">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FDD0DD4"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Además, </w:t>
      </w:r>
      <w:r w:rsidRPr="00D75391">
        <w:rPr>
          <w:rFonts w:ascii="Palatino Linotype" w:hAnsi="Palatino Linotype" w:cs="Arial"/>
          <w:color w:val="000000" w:themeColor="text1"/>
        </w:rPr>
        <w:t xml:space="preserve">se debe señalar el procedimiento, de los tres que establecen los artículos 132 y 106 de la Ley Estatal y General, </w:t>
      </w:r>
      <w:r w:rsidRPr="00D75391">
        <w:rPr>
          <w:rFonts w:ascii="Palatino Linotype" w:hAnsi="Palatino Linotype" w:cs="Arial"/>
          <w:color w:val="000000"/>
        </w:rPr>
        <w:t>respectivamente</w:t>
      </w:r>
      <w:r w:rsidRPr="00D7539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1E684C52"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El </w:t>
      </w:r>
      <w:r w:rsidRPr="00D75391">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D75391">
        <w:rPr>
          <w:rFonts w:ascii="Palatino Linotype" w:hAnsi="Palatino Linotype" w:cs="Arial"/>
          <w:b/>
          <w:color w:val="000000" w:themeColor="text1"/>
        </w:rPr>
        <w:t xml:space="preserve">no se puede hacer un acuerdo para clasificar de manera general todos los documentos de un expediente o área, </w:t>
      </w:r>
      <w:r w:rsidRPr="00D7539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244A927" w14:textId="77777777" w:rsidR="004D38F2" w:rsidRPr="00D75391" w:rsidRDefault="004D38F2" w:rsidP="00D7539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94" w:name="_Toc17991907"/>
      <w:bookmarkStart w:id="195" w:name="_Toc20423584"/>
      <w:r w:rsidRPr="00D75391">
        <w:rPr>
          <w:rFonts w:ascii="Palatino Linotype" w:eastAsiaTheme="majorEastAsia" w:hAnsi="Palatino Linotype" w:cstheme="majorBidi"/>
          <w:b/>
          <w:color w:val="000000" w:themeColor="text1"/>
          <w:lang w:val="es-MX" w:eastAsia="en-US"/>
        </w:rPr>
        <w:t>II. Supuestos de clasificación.</w:t>
      </w:r>
      <w:bookmarkEnd w:id="194"/>
      <w:bookmarkEnd w:id="195"/>
    </w:p>
    <w:p w14:paraId="3F19FBF5"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Las </w:t>
      </w:r>
      <w:r w:rsidRPr="00D75391">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62E3C815"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Los </w:t>
      </w:r>
      <w:r w:rsidRPr="00D75391">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577FC4EA" w14:textId="77777777" w:rsidR="004D38F2" w:rsidRPr="00D75391" w:rsidRDefault="004D38F2" w:rsidP="00D75391">
      <w:pPr>
        <w:tabs>
          <w:tab w:val="left" w:pos="5670"/>
        </w:tabs>
        <w:spacing w:line="360" w:lineRule="auto"/>
        <w:ind w:left="851" w:right="709"/>
        <w:jc w:val="both"/>
        <w:rPr>
          <w:rFonts w:ascii="Palatino Linotype" w:hAnsi="Palatino Linotype"/>
          <w:i/>
        </w:rPr>
      </w:pPr>
      <w:r w:rsidRPr="00D75391">
        <w:rPr>
          <w:rFonts w:ascii="Palatino Linotype" w:hAnsi="Palatino Linotype"/>
          <w:bCs/>
          <w:i/>
        </w:rPr>
        <w:t xml:space="preserve">“I. </w:t>
      </w:r>
      <w:r w:rsidRPr="00D75391">
        <w:rPr>
          <w:rFonts w:ascii="Palatino Linotype" w:hAnsi="Palatino Linotype"/>
          <w:i/>
        </w:rPr>
        <w:t xml:space="preserve">Se refiera a la información privada y los datos personales concernientes a una persona física o jurídica colectiva identificada o identificable; </w:t>
      </w:r>
    </w:p>
    <w:p w14:paraId="5BB22570" w14:textId="77777777" w:rsidR="004D38F2" w:rsidRPr="00D75391" w:rsidRDefault="004D38F2" w:rsidP="00D75391">
      <w:pPr>
        <w:tabs>
          <w:tab w:val="left" w:pos="5670"/>
        </w:tabs>
        <w:spacing w:line="360" w:lineRule="auto"/>
        <w:ind w:left="851" w:right="709"/>
        <w:jc w:val="both"/>
        <w:rPr>
          <w:rFonts w:ascii="Palatino Linotype" w:hAnsi="Palatino Linotype"/>
          <w:i/>
        </w:rPr>
      </w:pPr>
      <w:r w:rsidRPr="00D75391">
        <w:rPr>
          <w:rFonts w:ascii="Palatino Linotype" w:hAnsi="Palatino Linotype"/>
          <w:bCs/>
          <w:i/>
        </w:rPr>
        <w:t xml:space="preserve">II. </w:t>
      </w:r>
      <w:r w:rsidRPr="00D75391">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C53311F" w14:textId="77777777" w:rsidR="004D38F2" w:rsidRPr="00D75391" w:rsidRDefault="004D38F2" w:rsidP="00D75391">
      <w:pPr>
        <w:tabs>
          <w:tab w:val="left" w:pos="5670"/>
        </w:tabs>
        <w:spacing w:line="360" w:lineRule="auto"/>
        <w:ind w:left="851" w:right="709"/>
        <w:jc w:val="both"/>
        <w:rPr>
          <w:rFonts w:ascii="Palatino Linotype" w:hAnsi="Palatino Linotype"/>
          <w:i/>
        </w:rPr>
      </w:pPr>
      <w:r w:rsidRPr="00D75391">
        <w:rPr>
          <w:rFonts w:ascii="Palatino Linotype" w:hAnsi="Palatino Linotype"/>
          <w:bCs/>
          <w:i/>
        </w:rPr>
        <w:t xml:space="preserve">III. </w:t>
      </w:r>
      <w:r w:rsidRPr="00D75391">
        <w:rPr>
          <w:rFonts w:ascii="Palatino Linotype" w:hAnsi="Palatino Linotype"/>
          <w:i/>
        </w:rPr>
        <w:t xml:space="preserve">La que presenten los particulares a los sujetos obligados, de conformidad con lo dispuesto por las leyes o los tratados internacionales. </w:t>
      </w:r>
    </w:p>
    <w:p w14:paraId="7E9060A1" w14:textId="77777777" w:rsidR="004D38F2" w:rsidRPr="00D75391" w:rsidRDefault="004D38F2" w:rsidP="00D75391">
      <w:pPr>
        <w:tabs>
          <w:tab w:val="left" w:pos="5670"/>
        </w:tabs>
        <w:spacing w:line="360" w:lineRule="auto"/>
        <w:ind w:left="851" w:right="709"/>
        <w:jc w:val="both"/>
        <w:rPr>
          <w:rFonts w:ascii="Palatino Linotype" w:hAnsi="Palatino Linotype"/>
          <w:i/>
        </w:rPr>
      </w:pPr>
    </w:p>
    <w:p w14:paraId="03D7EFB0" w14:textId="77777777" w:rsidR="004D38F2" w:rsidRPr="00D75391" w:rsidRDefault="004D38F2" w:rsidP="00D75391">
      <w:pPr>
        <w:tabs>
          <w:tab w:val="left" w:pos="5670"/>
        </w:tabs>
        <w:spacing w:line="360" w:lineRule="auto"/>
        <w:ind w:left="851" w:right="709"/>
        <w:jc w:val="both"/>
        <w:rPr>
          <w:rFonts w:ascii="Palatino Linotype" w:hAnsi="Palatino Linotype"/>
          <w:i/>
        </w:rPr>
      </w:pPr>
      <w:r w:rsidRPr="00D75391">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038EDFAC" w14:textId="7BE927D1" w:rsidR="004D38F2" w:rsidRDefault="004D38F2" w:rsidP="00D75391">
      <w:pPr>
        <w:tabs>
          <w:tab w:val="left" w:pos="5670"/>
        </w:tabs>
        <w:spacing w:line="360" w:lineRule="auto"/>
        <w:ind w:left="851" w:right="709"/>
        <w:jc w:val="both"/>
        <w:rPr>
          <w:rFonts w:ascii="Palatino Linotype" w:hAnsi="Palatino Linotype"/>
          <w:i/>
        </w:rPr>
      </w:pPr>
      <w:r w:rsidRPr="00D75391">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633D3DC0" w14:textId="77777777" w:rsidR="00D75391" w:rsidRPr="00D75391" w:rsidRDefault="00D75391" w:rsidP="00D75391">
      <w:pPr>
        <w:tabs>
          <w:tab w:val="left" w:pos="5670"/>
        </w:tabs>
        <w:spacing w:line="360" w:lineRule="auto"/>
        <w:ind w:left="851" w:right="709"/>
        <w:jc w:val="both"/>
        <w:rPr>
          <w:rFonts w:ascii="Palatino Linotype" w:eastAsia="Calibri" w:hAnsi="Palatino Linotype" w:cs="Times New Roman"/>
          <w:i/>
        </w:rPr>
      </w:pPr>
    </w:p>
    <w:p w14:paraId="1B276908" w14:textId="77777777" w:rsidR="004D38F2" w:rsidRPr="00D75391" w:rsidRDefault="004D38F2" w:rsidP="00D75391">
      <w:pPr>
        <w:widowControl w:val="0"/>
        <w:numPr>
          <w:ilvl w:val="0"/>
          <w:numId w:val="1"/>
        </w:numPr>
        <w:tabs>
          <w:tab w:val="left" w:pos="426"/>
        </w:tabs>
        <w:autoSpaceDE w:val="0"/>
        <w:autoSpaceDN w:val="0"/>
        <w:adjustRightInd w:val="0"/>
        <w:spacing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Mientras </w:t>
      </w:r>
      <w:r w:rsidRPr="00D75391">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F51D70"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Entonces, como </w:t>
      </w:r>
      <w:r w:rsidRPr="00D75391">
        <w:rPr>
          <w:rFonts w:ascii="Palatino Linotype" w:hAnsi="Palatino Linotype" w:cs="Arial"/>
          <w:color w:val="000000" w:themeColor="text1"/>
        </w:rPr>
        <w:t xml:space="preserve">consecuencia de lo anterior, el </w:t>
      </w:r>
      <w:r w:rsidRPr="00D75391">
        <w:rPr>
          <w:rFonts w:ascii="Palatino Linotype" w:hAnsi="Palatino Linotype" w:cs="Arial"/>
          <w:b/>
          <w:color w:val="000000" w:themeColor="text1"/>
        </w:rPr>
        <w:t>SUJETO OBLIGADO</w:t>
      </w:r>
      <w:r w:rsidRPr="00D75391">
        <w:rPr>
          <w:rFonts w:ascii="Palatino Linotype" w:hAnsi="Palatino Linotype" w:cs="Arial"/>
          <w:color w:val="000000" w:themeColor="text1"/>
        </w:rPr>
        <w:t xml:space="preserve"> debe identificar claramente el tipo de información y </w:t>
      </w:r>
      <w:r w:rsidRPr="00D75391">
        <w:rPr>
          <w:rFonts w:ascii="Palatino Linotype" w:hAnsi="Palatino Linotype" w:cs="Arial"/>
          <w:b/>
        </w:rPr>
        <w:t>hacer un juicio de subsunción o encaje</w:t>
      </w:r>
      <w:r w:rsidRPr="00D75391">
        <w:rPr>
          <w:rFonts w:ascii="Palatino Linotype" w:hAnsi="Palatino Linotype" w:cs="Arial"/>
          <w:color w:val="000000" w:themeColor="text1"/>
          <w:vertAlign w:val="superscript"/>
        </w:rPr>
        <w:footnoteReference w:id="23"/>
      </w:r>
      <w:r w:rsidRPr="00D7539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377411B" w14:textId="77777777" w:rsidR="004D38F2" w:rsidRPr="00D75391" w:rsidRDefault="004D38F2" w:rsidP="00D7539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96" w:name="_Toc17991908"/>
      <w:bookmarkStart w:id="197" w:name="_Toc20423585"/>
      <w:r w:rsidRPr="00D75391">
        <w:rPr>
          <w:rFonts w:ascii="Palatino Linotype" w:eastAsiaTheme="majorEastAsia" w:hAnsi="Palatino Linotype" w:cstheme="majorBidi"/>
          <w:b/>
          <w:color w:val="000000" w:themeColor="text1"/>
          <w:lang w:val="es-MX" w:eastAsia="en-US"/>
        </w:rPr>
        <w:t>III. Formalidades para emitir el acuerdo de clasificación.</w:t>
      </w:r>
      <w:bookmarkEnd w:id="196"/>
      <w:bookmarkEnd w:id="197"/>
    </w:p>
    <w:p w14:paraId="51098678"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El </w:t>
      </w:r>
      <w:r w:rsidRPr="00D75391">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75788561"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rPr>
        <w:t xml:space="preserve">Evidentemente, </w:t>
      </w:r>
      <w:r w:rsidRPr="00D75391">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D75391">
        <w:rPr>
          <w:rFonts w:ascii="Palatino Linotype" w:hAnsi="Palatino Linotype" w:cs="Arial"/>
          <w:b/>
          <w:color w:val="000000" w:themeColor="text1"/>
        </w:rPr>
        <w:t>el acto reúna con los requisitos elementales</w:t>
      </w:r>
      <w:r w:rsidRPr="00D7539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BA1C7A3"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874732E" w14:textId="77777777" w:rsidR="004D38F2" w:rsidRPr="00D75391" w:rsidRDefault="004D38F2" w:rsidP="00D75391">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98" w:name="_Toc17991909"/>
      <w:bookmarkStart w:id="199" w:name="_Toc20423586"/>
      <w:r w:rsidRPr="00D75391">
        <w:rPr>
          <w:rFonts w:ascii="Palatino Linotype" w:eastAsiaTheme="majorEastAsia" w:hAnsi="Palatino Linotype" w:cstheme="majorBidi"/>
          <w:b/>
          <w:color w:val="000000" w:themeColor="text1"/>
          <w:lang w:val="es-MX" w:eastAsia="en-US"/>
        </w:rPr>
        <w:t>IV. Requisitos de fondo del acuerdo de clasificación.</w:t>
      </w:r>
      <w:bookmarkEnd w:id="198"/>
      <w:bookmarkEnd w:id="199"/>
    </w:p>
    <w:p w14:paraId="2673AA0B"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E4F2510"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Times New Roman"/>
          <w:lang w:eastAsia="es-ES_tradnl"/>
        </w:rPr>
        <w:t xml:space="preserve">De lo </w:t>
      </w:r>
      <w:r w:rsidRPr="00D75391">
        <w:rPr>
          <w:rFonts w:ascii="Palatino Linotype" w:hAnsi="Palatino Linotype" w:cs="Arial"/>
          <w:color w:val="000000" w:themeColor="text1"/>
        </w:rPr>
        <w:t xml:space="preserve">anterior, se desprende que para una correcta </w:t>
      </w:r>
      <w:r w:rsidRPr="00D75391">
        <w:rPr>
          <w:rFonts w:ascii="Palatino Linotype" w:hAnsi="Palatino Linotype" w:cs="Arial"/>
          <w:b/>
          <w:color w:val="000000" w:themeColor="text1"/>
        </w:rPr>
        <w:t>clasificación total o parcial</w:t>
      </w:r>
      <w:r w:rsidRPr="00D7539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4DB212"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D75391">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75391">
        <w:rPr>
          <w:rFonts w:ascii="Palatino Linotype" w:hAnsi="Palatino Linotype" w:cs="Arial"/>
          <w:i/>
          <w:color w:val="000000" w:themeColor="text1"/>
          <w:vertAlign w:val="superscript"/>
        </w:rPr>
        <w:footnoteReference w:id="24"/>
      </w:r>
    </w:p>
    <w:p w14:paraId="28B565E2"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521266FE"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b/>
          <w:i/>
        </w:rPr>
        <w:t>“FUNDAMENTACIÓN Y MOTIVACIÓN.</w:t>
      </w:r>
      <w:r w:rsidRPr="00D75391">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705FA96" w14:textId="77777777" w:rsidR="004D38F2" w:rsidRPr="00D75391" w:rsidRDefault="004D38F2" w:rsidP="00D75391">
      <w:pPr>
        <w:spacing w:line="360" w:lineRule="auto"/>
        <w:ind w:left="851" w:right="567"/>
        <w:jc w:val="both"/>
        <w:rPr>
          <w:rFonts w:ascii="Palatino Linotype" w:hAnsi="Palatino Linotype"/>
          <w:i/>
        </w:rPr>
      </w:pPr>
    </w:p>
    <w:p w14:paraId="2B6B1DF1"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i/>
        </w:rPr>
        <w:t>SEGUNDO TRIBUNAL COLEGIADO DEL SEXTO CIRCUITO.</w:t>
      </w:r>
    </w:p>
    <w:p w14:paraId="47686B09"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i/>
        </w:rPr>
        <w:t>Amparo directo 194/88. Bufete Industrial Construcciones, S.A. de C.V. 28 de junio de 1988. Unanimidad de votos. Ponente: Gustavo Calvillo Rangel. Secretario: Jorge Alberto González Álvarez.</w:t>
      </w:r>
    </w:p>
    <w:p w14:paraId="0BDF12DD"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D75391">
        <w:rPr>
          <w:rFonts w:ascii="Palatino Linotype" w:hAnsi="Palatino Linotype"/>
          <w:i/>
        </w:rPr>
        <w:t>Esponda</w:t>
      </w:r>
      <w:proofErr w:type="spellEnd"/>
      <w:r w:rsidRPr="00D75391">
        <w:rPr>
          <w:rFonts w:ascii="Palatino Linotype" w:hAnsi="Palatino Linotype"/>
          <w:i/>
        </w:rPr>
        <w:t xml:space="preserve"> Rincón.</w:t>
      </w:r>
    </w:p>
    <w:p w14:paraId="07E34C8E"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i/>
        </w:rPr>
        <w:t xml:space="preserve">Amparo en revisión 333/88. </w:t>
      </w:r>
      <w:proofErr w:type="spellStart"/>
      <w:r w:rsidRPr="00D75391">
        <w:rPr>
          <w:rFonts w:ascii="Palatino Linotype" w:hAnsi="Palatino Linotype"/>
          <w:i/>
        </w:rPr>
        <w:t>Adilia</w:t>
      </w:r>
      <w:proofErr w:type="spellEnd"/>
      <w:r w:rsidRPr="00D75391">
        <w:rPr>
          <w:rFonts w:ascii="Palatino Linotype" w:hAnsi="Palatino Linotype"/>
          <w:i/>
        </w:rPr>
        <w:t xml:space="preserve"> Romero. 26 de octubre de 1988. Unanimidad de votos. Ponente: Arnoldo Nájera Virgen. Secretario: Enrique Crispín Campos Ramírez.</w:t>
      </w:r>
    </w:p>
    <w:p w14:paraId="35FC93C4"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i/>
        </w:rPr>
        <w:t xml:space="preserve">Amparo en revisión 597/95. Emilio Maurer Bretón. 15 de noviembre de 1995. Unanimidad de votos. Ponente: Clementina Ramírez Moguel </w:t>
      </w:r>
      <w:proofErr w:type="spellStart"/>
      <w:r w:rsidRPr="00D75391">
        <w:rPr>
          <w:rFonts w:ascii="Palatino Linotype" w:hAnsi="Palatino Linotype"/>
          <w:i/>
        </w:rPr>
        <w:t>Goyzueta</w:t>
      </w:r>
      <w:proofErr w:type="spellEnd"/>
      <w:r w:rsidRPr="00D75391">
        <w:rPr>
          <w:rFonts w:ascii="Palatino Linotype" w:hAnsi="Palatino Linotype"/>
          <w:i/>
        </w:rPr>
        <w:t>. Secretario: Gonzalo Carrera Molina.</w:t>
      </w:r>
    </w:p>
    <w:p w14:paraId="35BD982D"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D75391">
        <w:rPr>
          <w:rFonts w:ascii="Palatino Linotype" w:hAnsi="Palatino Linotype"/>
          <w:i/>
        </w:rPr>
        <w:t>Baigts</w:t>
      </w:r>
      <w:proofErr w:type="spellEnd"/>
      <w:r w:rsidRPr="00D75391">
        <w:rPr>
          <w:rFonts w:ascii="Palatino Linotype" w:hAnsi="Palatino Linotype"/>
          <w:i/>
        </w:rPr>
        <w:t xml:space="preserve"> Muñoz.</w:t>
      </w:r>
    </w:p>
    <w:p w14:paraId="4583C53F"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Así</w:t>
      </w:r>
      <w:r w:rsidRPr="00D75391">
        <w:rPr>
          <w:rFonts w:ascii="Palatino Linotype" w:eastAsia="Calibri" w:hAnsi="Palatino Linotype" w:cs="Times New Roman"/>
        </w:rPr>
        <w:t xml:space="preserve">, </w:t>
      </w:r>
      <w:r w:rsidRPr="00D75391">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32E5FD"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AE0E87"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22700F03"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Ahora bien, para cada caso además de fundar y motivar, se</w:t>
      </w:r>
      <w:r w:rsidRPr="00D75391">
        <w:rPr>
          <w:rFonts w:ascii="Palatino Linotype" w:hAnsi="Palatino Linotype" w:cs="Arial"/>
          <w:b/>
          <w:color w:val="000000" w:themeColor="text1"/>
        </w:rPr>
        <w:t xml:space="preserve"> debe identificar con claridad qué datos contenidos en las documentales son susceptibles de suprimirse</w:t>
      </w:r>
      <w:r w:rsidRPr="00D75391">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D75391">
        <w:rPr>
          <w:rFonts w:ascii="Palatino Linotype" w:hAnsi="Palatino Linotype" w:cs="Arial"/>
          <w:color w:val="000000" w:themeColor="text1"/>
          <w:vertAlign w:val="superscript"/>
        </w:rPr>
        <w:footnoteReference w:id="25"/>
      </w:r>
      <w:r w:rsidRPr="00D7539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3FFCA1E2"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9401696" w14:textId="05A80034" w:rsidR="004D38F2" w:rsidRPr="00D75391" w:rsidRDefault="004D38F2" w:rsidP="00D75391">
      <w:pPr>
        <w:keepNext/>
        <w:keepLines/>
        <w:tabs>
          <w:tab w:val="left" w:pos="7797"/>
          <w:tab w:val="left" w:pos="8222"/>
        </w:tabs>
        <w:spacing w:before="240" w:line="360" w:lineRule="auto"/>
        <w:outlineLvl w:val="0"/>
        <w:rPr>
          <w:rFonts w:ascii="Palatino Linotype" w:eastAsiaTheme="majorEastAsia" w:hAnsi="Palatino Linotype" w:cstheme="majorBidi"/>
          <w:b/>
          <w:color w:val="000000" w:themeColor="text1"/>
          <w:lang w:val="es-MX" w:eastAsia="en-US"/>
        </w:rPr>
      </w:pPr>
      <w:bookmarkStart w:id="200" w:name="_Toc17991910"/>
      <w:bookmarkStart w:id="201" w:name="_Toc20423587"/>
      <w:r w:rsidRPr="00D75391">
        <w:rPr>
          <w:rFonts w:ascii="Palatino Linotype" w:eastAsiaTheme="majorEastAsia" w:hAnsi="Palatino Linotype" w:cstheme="majorBidi"/>
          <w:b/>
          <w:color w:val="000000" w:themeColor="text1"/>
          <w:lang w:val="es-MX" w:eastAsia="en-US"/>
        </w:rPr>
        <w:t>V. Condiciones especiales de la clasificación de la información como confidencial.</w:t>
      </w:r>
      <w:bookmarkEnd w:id="200"/>
      <w:bookmarkEnd w:id="201"/>
    </w:p>
    <w:p w14:paraId="3AAF49F1" w14:textId="77777777" w:rsidR="004D38F2" w:rsidRPr="00D75391" w:rsidRDefault="004D38F2" w:rsidP="00D75391">
      <w:pPr>
        <w:widowControl w:val="0"/>
        <w:numPr>
          <w:ilvl w:val="0"/>
          <w:numId w:val="1"/>
        </w:numPr>
        <w:tabs>
          <w:tab w:val="left" w:pos="426"/>
          <w:tab w:val="left" w:pos="7797"/>
          <w:tab w:val="left" w:pos="8222"/>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71B46708" w14:textId="77777777" w:rsidR="004D38F2" w:rsidRPr="00D75391" w:rsidRDefault="004D38F2" w:rsidP="00D75391">
      <w:pPr>
        <w:spacing w:line="360" w:lineRule="auto"/>
        <w:ind w:left="851" w:right="567"/>
        <w:jc w:val="both"/>
        <w:rPr>
          <w:rFonts w:ascii="Palatino Linotype" w:hAnsi="Palatino Linotype"/>
          <w:bCs/>
          <w:i/>
        </w:rPr>
      </w:pPr>
      <w:r w:rsidRPr="00D75391">
        <w:rPr>
          <w:rFonts w:ascii="Palatino Linotype" w:hAnsi="Palatino Linotype"/>
          <w:bCs/>
          <w:i/>
        </w:rPr>
        <w:t>“I.</w:t>
      </w:r>
      <w:r w:rsidRPr="00D75391">
        <w:rPr>
          <w:rFonts w:ascii="Palatino Linotype" w:hAnsi="Palatino Linotype"/>
          <w:i/>
        </w:rPr>
        <w:t xml:space="preserve"> La información se encuentre en registros públicos o fuentes de acceso público;</w:t>
      </w:r>
    </w:p>
    <w:p w14:paraId="30E19EDC" w14:textId="77777777" w:rsidR="004D38F2" w:rsidRPr="00D75391" w:rsidRDefault="004D38F2" w:rsidP="00D75391">
      <w:pPr>
        <w:spacing w:line="360" w:lineRule="auto"/>
        <w:ind w:left="851" w:right="567"/>
        <w:jc w:val="both"/>
        <w:rPr>
          <w:rFonts w:ascii="Palatino Linotype" w:hAnsi="Palatino Linotype"/>
          <w:bCs/>
          <w:i/>
        </w:rPr>
      </w:pPr>
      <w:r w:rsidRPr="00D75391">
        <w:rPr>
          <w:rFonts w:ascii="Palatino Linotype" w:hAnsi="Palatino Linotype"/>
          <w:bCs/>
          <w:i/>
        </w:rPr>
        <w:t xml:space="preserve">II. </w:t>
      </w:r>
      <w:r w:rsidRPr="00D75391">
        <w:rPr>
          <w:rFonts w:ascii="Palatino Linotype" w:hAnsi="Palatino Linotype"/>
          <w:i/>
        </w:rPr>
        <w:t>Por Ley tenga el carácter de pública;</w:t>
      </w:r>
    </w:p>
    <w:p w14:paraId="5A9828A0"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bCs/>
          <w:i/>
        </w:rPr>
        <w:t xml:space="preserve">III. </w:t>
      </w:r>
      <w:r w:rsidRPr="00D75391">
        <w:rPr>
          <w:rFonts w:ascii="Palatino Linotype" w:hAnsi="Palatino Linotype"/>
          <w:i/>
        </w:rPr>
        <w:t xml:space="preserve">Exista una orden judicial; </w:t>
      </w:r>
    </w:p>
    <w:p w14:paraId="1A5B5FA3" w14:textId="77777777" w:rsidR="004D38F2" w:rsidRPr="00D75391" w:rsidRDefault="004D38F2" w:rsidP="00D75391">
      <w:pPr>
        <w:spacing w:line="360" w:lineRule="auto"/>
        <w:ind w:left="851" w:right="567"/>
        <w:jc w:val="both"/>
        <w:rPr>
          <w:rFonts w:ascii="Palatino Linotype" w:hAnsi="Palatino Linotype"/>
          <w:i/>
        </w:rPr>
      </w:pPr>
      <w:r w:rsidRPr="00D75391">
        <w:rPr>
          <w:rFonts w:ascii="Palatino Linotype" w:hAnsi="Palatino Linotype"/>
          <w:bCs/>
          <w:i/>
        </w:rPr>
        <w:t xml:space="preserve">IV. </w:t>
      </w:r>
      <w:r w:rsidRPr="00D75391">
        <w:rPr>
          <w:rFonts w:ascii="Palatino Linotype" w:hAnsi="Palatino Linotype"/>
          <w:i/>
        </w:rPr>
        <w:t xml:space="preserve">Por razones de seguridad pública, o para proteger los derechos de terceros, se requiera su publicación; o </w:t>
      </w:r>
    </w:p>
    <w:p w14:paraId="3E70BE11" w14:textId="77777777" w:rsidR="004D38F2" w:rsidRPr="00D75391" w:rsidRDefault="004D38F2" w:rsidP="00D75391">
      <w:pPr>
        <w:spacing w:line="360" w:lineRule="auto"/>
        <w:ind w:left="851" w:right="567"/>
        <w:jc w:val="both"/>
        <w:rPr>
          <w:rFonts w:ascii="Palatino Linotype" w:hAnsi="Palatino Linotype" w:cs="Times New Roman"/>
          <w:lang w:eastAsia="es-ES_tradnl"/>
        </w:rPr>
      </w:pPr>
      <w:r w:rsidRPr="00D75391">
        <w:rPr>
          <w:rFonts w:ascii="Palatino Linotype" w:hAnsi="Palatino Linotype"/>
          <w:bCs/>
          <w:i/>
        </w:rPr>
        <w:t xml:space="preserve">V. </w:t>
      </w:r>
      <w:r w:rsidRPr="00D75391">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6386174" w14:textId="77777777" w:rsidR="004D38F2" w:rsidRPr="00D75391" w:rsidRDefault="004D38F2"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487B2B6" w14:textId="5D8747A9" w:rsidR="009A02AC" w:rsidRPr="00D75391" w:rsidRDefault="009A02AC"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hAnsi="Palatino Linotype"/>
          <w:lang w:val="es-ES"/>
        </w:rPr>
        <w:t xml:space="preserve">Finalmente es necesario señalar que en relación a las Auditorias de las cuales se ordena hacer entrega pudieran encontrase algunas en procedimiento, lo que invariablemente comprometería el desarrollo de las mismas, por lo que  de der el caso el </w:t>
      </w:r>
      <w:r w:rsidRPr="00D75391">
        <w:rPr>
          <w:rFonts w:ascii="Palatino Linotype" w:hAnsi="Palatino Linotype"/>
          <w:b/>
          <w:lang w:val="es-ES"/>
        </w:rPr>
        <w:t xml:space="preserve">SUJETO OBLIGADO </w:t>
      </w:r>
      <w:r w:rsidRPr="00D75391">
        <w:rPr>
          <w:rFonts w:ascii="Palatino Linotype" w:hAnsi="Palatino Linotype"/>
          <w:lang w:val="es-ES"/>
        </w:rPr>
        <w:t xml:space="preserve">de conformidad con lo que establece el artículo 140 de la Ley de transparencia deberá de realizar el acuerdo de clasificación como información reservada, en el que se expresen los motivos de manera fundada y motivada, así como la respectiva prueba de daño, por la cual la información no puede hacerse del conocimiento del particular. </w:t>
      </w:r>
    </w:p>
    <w:p w14:paraId="6F16333D" w14:textId="77777777" w:rsidR="009A02AC" w:rsidRPr="00D75391" w:rsidRDefault="009A02AC" w:rsidP="00D75391">
      <w:pPr>
        <w:tabs>
          <w:tab w:val="left" w:pos="851"/>
        </w:tabs>
        <w:spacing w:line="360" w:lineRule="auto"/>
        <w:ind w:right="49"/>
        <w:contextualSpacing/>
        <w:jc w:val="both"/>
        <w:rPr>
          <w:rFonts w:ascii="Palatino Linotype" w:hAnsi="Palatino Linotype"/>
          <w:lang w:val="es-ES"/>
        </w:rPr>
      </w:pPr>
    </w:p>
    <w:p w14:paraId="553E338F" w14:textId="51EF431F" w:rsidR="009A02AC" w:rsidRPr="00D75391" w:rsidRDefault="009A02AC" w:rsidP="00D75391">
      <w:pPr>
        <w:numPr>
          <w:ilvl w:val="0"/>
          <w:numId w:val="1"/>
        </w:numPr>
        <w:tabs>
          <w:tab w:val="left" w:pos="851"/>
        </w:tabs>
        <w:spacing w:line="360" w:lineRule="auto"/>
        <w:ind w:left="0" w:right="49" w:firstLine="0"/>
        <w:contextualSpacing/>
        <w:jc w:val="both"/>
        <w:rPr>
          <w:rFonts w:ascii="Palatino Linotype" w:hAnsi="Palatino Linotype"/>
          <w:lang w:val="es-ES"/>
        </w:rPr>
      </w:pPr>
      <w:r w:rsidRPr="00D75391">
        <w:rPr>
          <w:rFonts w:ascii="Palatino Linotype" w:hAnsi="Palatino Linotype"/>
          <w:lang w:val="es-ES"/>
        </w:rPr>
        <w:t xml:space="preserve">Por otro lado, de conformidad con los oficios mediante los cuales se notifica la acción de control por parte del Órgano Interno de Control, y  de los cuales se ordena hacer entrega, se deberá de clasificar como confidencial el nombre de los servidores públicos a efecto de que no medie coacción sobre la correcta realización de sus funciones.   </w:t>
      </w:r>
    </w:p>
    <w:p w14:paraId="4E13FD6E" w14:textId="74A753A3" w:rsidR="004D38F2" w:rsidRPr="00D75391" w:rsidRDefault="004D38F2" w:rsidP="00D75391">
      <w:pPr>
        <w:pStyle w:val="Prrafodelista"/>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D75391">
        <w:rPr>
          <w:rFonts w:ascii="Palatino Linotype" w:hAnsi="Palatino Linotype" w:cs="Arial"/>
          <w:color w:val="000000" w:themeColor="text1"/>
        </w:rPr>
        <w:t xml:space="preserve">Luego entonces, en términos del artículo 179 </w:t>
      </w:r>
      <w:proofErr w:type="gramStart"/>
      <w:r w:rsidRPr="00D75391">
        <w:rPr>
          <w:rFonts w:ascii="Palatino Linotype" w:hAnsi="Palatino Linotype" w:cs="Arial"/>
          <w:color w:val="000000" w:themeColor="text1"/>
        </w:rPr>
        <w:t>f</w:t>
      </w:r>
      <w:r w:rsidR="00082A91" w:rsidRPr="00D75391">
        <w:rPr>
          <w:rFonts w:ascii="Palatino Linotype" w:hAnsi="Palatino Linotype" w:cs="Arial"/>
          <w:color w:val="000000" w:themeColor="text1"/>
        </w:rPr>
        <w:t>racción</w:t>
      </w:r>
      <w:proofErr w:type="gramEnd"/>
      <w:r w:rsidRPr="00D75391">
        <w:rPr>
          <w:rFonts w:ascii="Palatino Linotype" w:hAnsi="Palatino Linotype" w:cs="Arial"/>
          <w:color w:val="000000" w:themeColor="text1"/>
        </w:rPr>
        <w:t xml:space="preserve"> </w:t>
      </w:r>
      <w:r w:rsidR="00082A91" w:rsidRPr="00D75391">
        <w:rPr>
          <w:rFonts w:ascii="Palatino Linotype" w:hAnsi="Palatino Linotype" w:cs="Arial"/>
          <w:color w:val="000000" w:themeColor="text1"/>
        </w:rPr>
        <w:t>III</w:t>
      </w:r>
      <w:r w:rsidRPr="00D75391">
        <w:rPr>
          <w:rFonts w:ascii="Palatino Linotype" w:hAnsi="Palatino Linotype" w:cs="Arial"/>
          <w:color w:val="000000" w:themeColor="text1"/>
        </w:rPr>
        <w:t xml:space="preserve"> de la Ley de Transparencia y Acceso a la Información Pública del Estado de México y Municipios, </w:t>
      </w:r>
      <w:r w:rsidRPr="00D75391">
        <w:rPr>
          <w:rFonts w:ascii="Palatino Linotype" w:eastAsia="MS Mincho" w:hAnsi="Palatino Linotype" w:cstheme="majorBidi"/>
        </w:rPr>
        <w:t xml:space="preserve">resultan </w:t>
      </w:r>
      <w:r w:rsidRPr="00D75391">
        <w:rPr>
          <w:rFonts w:ascii="Palatino Linotype" w:eastAsia="Times New Roman" w:hAnsi="Palatino Linotype" w:cs="Arial"/>
        </w:rPr>
        <w:t>fundadas las</w:t>
      </w:r>
      <w:r w:rsidRPr="00D75391">
        <w:rPr>
          <w:rFonts w:ascii="Palatino Linotype" w:eastAsia="Times New Roman" w:hAnsi="Palatino Linotype" w:cs="Arial"/>
          <w:b/>
        </w:rPr>
        <w:t xml:space="preserve"> </w:t>
      </w:r>
      <w:r w:rsidRPr="00D75391">
        <w:rPr>
          <w:rFonts w:ascii="Palatino Linotype" w:eastAsia="Times New Roman" w:hAnsi="Palatino Linotype" w:cs="Arial"/>
          <w:lang w:val="es-ES"/>
        </w:rPr>
        <w:t xml:space="preserve">razones o motivos de inconformidad hechos valer por el </w:t>
      </w:r>
      <w:r w:rsidRPr="00D75391">
        <w:rPr>
          <w:rFonts w:ascii="Palatino Linotype" w:eastAsia="Times New Roman" w:hAnsi="Palatino Linotype" w:cs="Arial"/>
          <w:b/>
          <w:lang w:val="es-ES"/>
        </w:rPr>
        <w:t>RECURRENTE</w:t>
      </w:r>
      <w:r w:rsidRPr="00D75391">
        <w:rPr>
          <w:rFonts w:ascii="Palatino Linotype" w:eastAsia="Times New Roman" w:hAnsi="Palatino Linotype" w:cs="Arial"/>
          <w:lang w:val="es-ES"/>
        </w:rPr>
        <w:t xml:space="preserve"> </w:t>
      </w:r>
      <w:r w:rsidRPr="00D75391">
        <w:rPr>
          <w:rFonts w:ascii="Palatino Linotype" w:eastAsia="Calibri" w:hAnsi="Palatino Linotype" w:cs="Arial"/>
          <w:lang w:val="es-ES"/>
        </w:rPr>
        <w:t>en los recursos de revisión en mérito</w:t>
      </w:r>
      <w:r w:rsidRPr="00D75391">
        <w:rPr>
          <w:rFonts w:ascii="Palatino Linotype" w:eastAsia="Calibri" w:hAnsi="Palatino Linotype" w:cs="Times New Roman"/>
        </w:rPr>
        <w:t>.</w:t>
      </w:r>
    </w:p>
    <w:p w14:paraId="6CB9B305" w14:textId="696C76D6" w:rsidR="004D38F2" w:rsidRPr="00D75391" w:rsidRDefault="00D75391" w:rsidP="00D75391">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0117F245" wp14:editId="0B61F146">
                <wp:simplePos x="0" y="0"/>
                <wp:positionH relativeFrom="column">
                  <wp:posOffset>-25692</wp:posOffset>
                </wp:positionH>
                <wp:positionV relativeFrom="paragraph">
                  <wp:posOffset>644146</wp:posOffset>
                </wp:positionV>
                <wp:extent cx="5601730" cy="3443417"/>
                <wp:effectExtent l="57150" t="38100" r="56515" b="81280"/>
                <wp:wrapNone/>
                <wp:docPr id="1" name="Conector recto 1"/>
                <wp:cNvGraphicFramePr/>
                <a:graphic xmlns:a="http://schemas.openxmlformats.org/drawingml/2006/main">
                  <a:graphicData uri="http://schemas.microsoft.com/office/word/2010/wordprocessingShape">
                    <wps:wsp>
                      <wps:cNvCnPr/>
                      <wps:spPr>
                        <a:xfrm>
                          <a:off x="0" y="0"/>
                          <a:ext cx="5601730" cy="344341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710123"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50.7pt" to="439.1pt,3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qGxAEAANYDAAAOAAAAZHJzL2Uyb0RvYy54bWysU8tu2zAQvBfoPxC815JsNwkEyzk4aC9F&#10;a/TxAQy1tAjwhSVryX/fJeUoQVsgQNELX7szmtld7e4na9gZMGrvOt6sas7ASd9rd+r4j+8f3t1x&#10;FpNwvTDeQccvEPn9/u2b3RhaWPvBmx6QEYmL7Rg6PqQU2qqKcgAr4soHcBRUHq1IdMVT1aMYid2a&#10;al3XN9XosQ/oJcRIrw9zkO8Lv1Ig0xelIiRmOk7aUlmxrI95rfY70Z5QhEHLqwzxDyqs0I4+ulA9&#10;iCTYT9R/UFkt0Uev0kp6W3mltITigdw09W9uvg0iQPFCxYlhKVP8f7Ty8/mITPfUO86csNSiAzVK&#10;Jo8M88aaXKMxxJZSD+6I11sMR8yGJ4U272SFTaWul6WuMCUm6fH9Td3cbqj8kmKb7XazbW4za/UM&#10;DxjTR/CW5UPHjXbZuGjF+VNMc+pTSn42jo1EddfUpYVV1jcrKqd0MTCnfQVF7kjDutCVuYKDQXYW&#10;NBFCSnCpOCQtxlF2hiltzAKsXwde8zMUyswt4OZ18IIoX/YuLWCrnce/EaTpSbKa86mUL3zn46Pv&#10;L6VXJUDDU6p9HfQ8nS/vBf78O+5/AQAA//8DAFBLAwQUAAYACAAAACEAhYMws94AAAAKAQAADwAA&#10;AGRycy9kb3ducmV2LnhtbEyPO0/DQBCEeyT+w2mR6JJzgpVYxufIIEGL4lBQbnzrB9zD+C6J8+9Z&#10;KihnZzT7TbGbrRFnmsLgnYLVMgFBrvF6cJ2C98PLIgMRIjqNxjtScKUAu/L2psBc+4vb07mOneAS&#10;F3JU0Mc45lKGpieLYelHcuy1frIYWU6d1BNeuNwauU6SjbQ4OP7Q40jPPTVf9ckq8G+mxf0Ynz5M&#10;fdXh21ev7Wel1P3dXD2CiDTHvzD84jM6lMx09CengzAKFilPiXxPVikIDmTbbA3iqGCTPmxBloX8&#10;P6H8AQAA//8DAFBLAQItABQABgAIAAAAIQC2gziS/gAAAOEBAAATAAAAAAAAAAAAAAAAAAAAAABb&#10;Q29udGVudF9UeXBlc10ueG1sUEsBAi0AFAAGAAgAAAAhADj9If/WAAAAlAEAAAsAAAAAAAAAAAAA&#10;AAAALwEAAF9yZWxzLy5yZWxzUEsBAi0AFAAGAAgAAAAhAN4IaobEAQAA1gMAAA4AAAAAAAAAAAAA&#10;AAAALgIAAGRycy9lMm9Eb2MueG1sUEsBAi0AFAAGAAgAAAAhAIWDMLPeAAAACgEAAA8AAAAAAAAA&#10;AAAAAAAAHgQAAGRycy9kb3ducmV2LnhtbFBLBQYAAAAABAAEAPMAAAApBQAAAAA=&#10;" strokecolor="#4f81bd [3204]" strokeweight="3pt">
                <v:shadow on="t" color="black" opacity="24903f" origin=",.5" offset="0,.55556mm"/>
              </v:line>
            </w:pict>
          </mc:Fallback>
        </mc:AlternateContent>
      </w:r>
      <w:r w:rsidR="004D38F2" w:rsidRPr="00D75391">
        <w:rPr>
          <w:rFonts w:ascii="Palatino Linotype" w:hAnsi="Palatino Linotype"/>
          <w:color w:val="000000" w:themeColor="text1"/>
          <w:lang w:val="es-ES" w:eastAsia="es-MX"/>
        </w:rPr>
        <w:t xml:space="preserve">Por lo anteriormente expuesto y fundado, este </w:t>
      </w:r>
      <w:r w:rsidR="004D38F2" w:rsidRPr="00D75391">
        <w:rPr>
          <w:rFonts w:ascii="Palatino Linotype" w:hAnsi="Palatino Linotype"/>
          <w:b/>
          <w:bCs/>
          <w:color w:val="000000" w:themeColor="text1"/>
          <w:lang w:val="es-ES" w:eastAsia="es-MX"/>
        </w:rPr>
        <w:t>ÓRGANO GARANTE</w:t>
      </w:r>
      <w:r w:rsidR="004D38F2" w:rsidRPr="00D75391">
        <w:rPr>
          <w:rFonts w:ascii="Palatino Linotype" w:hAnsi="Palatino Linotype"/>
          <w:color w:val="000000" w:themeColor="text1"/>
          <w:lang w:val="es-ES" w:eastAsia="es-MX"/>
        </w:rPr>
        <w:t xml:space="preserve"> emite los siguientes:</w:t>
      </w:r>
    </w:p>
    <w:p w14:paraId="74E0D976" w14:textId="77777777" w:rsidR="00D75391" w:rsidRDefault="00D75391" w:rsidP="00D75391">
      <w:pPr>
        <w:widowControl w:val="0"/>
        <w:tabs>
          <w:tab w:val="left" w:pos="426"/>
        </w:tabs>
        <w:autoSpaceDE w:val="0"/>
        <w:autoSpaceDN w:val="0"/>
        <w:adjustRightInd w:val="0"/>
        <w:spacing w:before="240" w:after="240" w:line="360" w:lineRule="auto"/>
        <w:jc w:val="both"/>
        <w:rPr>
          <w:rFonts w:ascii="Palatino Linotype" w:hAnsi="Palatino Linotype"/>
          <w:color w:val="000000" w:themeColor="text1"/>
          <w:lang w:val="es-ES" w:eastAsia="es-MX"/>
        </w:rPr>
      </w:pPr>
    </w:p>
    <w:p w14:paraId="221CDF52" w14:textId="77777777" w:rsidR="00D75391" w:rsidRDefault="00D75391" w:rsidP="00D75391">
      <w:pPr>
        <w:widowControl w:val="0"/>
        <w:tabs>
          <w:tab w:val="left" w:pos="426"/>
        </w:tabs>
        <w:autoSpaceDE w:val="0"/>
        <w:autoSpaceDN w:val="0"/>
        <w:adjustRightInd w:val="0"/>
        <w:spacing w:before="240" w:after="240" w:line="360" w:lineRule="auto"/>
        <w:jc w:val="both"/>
        <w:rPr>
          <w:rFonts w:ascii="Palatino Linotype" w:hAnsi="Palatino Linotype"/>
          <w:color w:val="000000" w:themeColor="text1"/>
          <w:lang w:val="es-ES" w:eastAsia="es-MX"/>
        </w:rPr>
      </w:pPr>
    </w:p>
    <w:p w14:paraId="04304587" w14:textId="77777777" w:rsidR="00D75391" w:rsidRDefault="00D75391" w:rsidP="00D75391">
      <w:pPr>
        <w:widowControl w:val="0"/>
        <w:tabs>
          <w:tab w:val="left" w:pos="426"/>
        </w:tabs>
        <w:autoSpaceDE w:val="0"/>
        <w:autoSpaceDN w:val="0"/>
        <w:adjustRightInd w:val="0"/>
        <w:spacing w:before="240" w:after="240" w:line="360" w:lineRule="auto"/>
        <w:jc w:val="both"/>
        <w:rPr>
          <w:rFonts w:ascii="Palatino Linotype" w:hAnsi="Palatino Linotype"/>
          <w:color w:val="000000" w:themeColor="text1"/>
          <w:lang w:val="es-ES" w:eastAsia="es-MX"/>
        </w:rPr>
      </w:pPr>
    </w:p>
    <w:p w14:paraId="4AE811A7" w14:textId="77777777" w:rsidR="00D75391" w:rsidRPr="00D75391" w:rsidRDefault="00D75391" w:rsidP="00D75391">
      <w:pPr>
        <w:widowControl w:val="0"/>
        <w:tabs>
          <w:tab w:val="left" w:pos="426"/>
        </w:tabs>
        <w:autoSpaceDE w:val="0"/>
        <w:autoSpaceDN w:val="0"/>
        <w:adjustRightInd w:val="0"/>
        <w:spacing w:before="240" w:after="240" w:line="360" w:lineRule="auto"/>
        <w:jc w:val="both"/>
        <w:rPr>
          <w:rFonts w:ascii="Palatino Linotype" w:hAnsi="Palatino Linotype" w:cs="Times New Roman"/>
          <w:lang w:eastAsia="es-ES_tradnl"/>
        </w:rPr>
      </w:pPr>
    </w:p>
    <w:p w14:paraId="2DF00469" w14:textId="6BE5EBB6" w:rsidR="005C6142" w:rsidRPr="00D75391" w:rsidRDefault="00B83E2E" w:rsidP="00D75391">
      <w:pPr>
        <w:pStyle w:val="Ttulo1"/>
        <w:spacing w:line="360" w:lineRule="auto"/>
        <w:jc w:val="center"/>
        <w:rPr>
          <w:b/>
          <w:color w:val="000000" w:themeColor="text1"/>
          <w:szCs w:val="24"/>
        </w:rPr>
      </w:pPr>
      <w:bookmarkStart w:id="202" w:name="_Toc466371865"/>
      <w:bookmarkStart w:id="203" w:name="_Toc466377653"/>
      <w:bookmarkStart w:id="204" w:name="_Toc490733631"/>
      <w:bookmarkStart w:id="205" w:name="_Toc495490236"/>
      <w:bookmarkStart w:id="206" w:name="_Toc20423588"/>
      <w:bookmarkEnd w:id="95"/>
      <w:bookmarkEnd w:id="96"/>
      <w:bookmarkEnd w:id="97"/>
      <w:bookmarkEnd w:id="98"/>
      <w:r w:rsidRPr="00D75391">
        <w:rPr>
          <w:b/>
          <w:color w:val="000000" w:themeColor="text1"/>
          <w:szCs w:val="24"/>
        </w:rPr>
        <w:t>R E S O L U T I V O S</w:t>
      </w:r>
      <w:bookmarkEnd w:id="202"/>
      <w:bookmarkEnd w:id="203"/>
      <w:bookmarkEnd w:id="204"/>
      <w:bookmarkEnd w:id="205"/>
      <w:bookmarkEnd w:id="206"/>
    </w:p>
    <w:p w14:paraId="4F2DE4F6" w14:textId="2EB5810D" w:rsidR="002A2A5F" w:rsidRPr="00D75391" w:rsidRDefault="00C6671B" w:rsidP="00D75391">
      <w:pPr>
        <w:spacing w:before="240" w:after="360" w:line="360" w:lineRule="auto"/>
        <w:jc w:val="both"/>
        <w:rPr>
          <w:rFonts w:ascii="Palatino Linotype" w:hAnsi="Palatino Linotype" w:cs="Arial"/>
          <w:bCs/>
          <w:lang w:eastAsia="es-MX"/>
        </w:rPr>
      </w:pPr>
      <w:r w:rsidRPr="00D75391">
        <w:rPr>
          <w:rFonts w:ascii="Palatino Linotype" w:eastAsia="Times New Roman" w:hAnsi="Palatino Linotype" w:cs="Arial"/>
          <w:b/>
        </w:rPr>
        <w:t>PRIMERO</w:t>
      </w:r>
      <w:r w:rsidRPr="00D75391">
        <w:rPr>
          <w:rFonts w:ascii="Palatino Linotype" w:eastAsia="Times New Roman" w:hAnsi="Palatino Linotype" w:cs="Arial"/>
          <w:lang w:val="es-ES"/>
        </w:rPr>
        <w:t>.</w:t>
      </w:r>
      <w:r w:rsidR="002A2A5F" w:rsidRPr="00D75391">
        <w:rPr>
          <w:rFonts w:ascii="Palatino Linotype" w:eastAsia="Times New Roman" w:hAnsi="Palatino Linotype" w:cs="Arial"/>
          <w:lang w:val="es-ES"/>
        </w:rPr>
        <w:t xml:space="preserve"> Resultan fundadas las razones o motivos de inconformidad hechos valer en los recursos de revisión </w:t>
      </w:r>
      <w:r w:rsidR="002A2A5F" w:rsidRPr="00D75391">
        <w:rPr>
          <w:rFonts w:ascii="Palatino Linotype" w:eastAsia="Times New Roman" w:hAnsi="Palatino Linotype" w:cs="Arial"/>
          <w:b/>
          <w:bCs/>
        </w:rPr>
        <w:t xml:space="preserve">06418/INFOEM/IP/RR/2019 y </w:t>
      </w:r>
      <w:r w:rsidR="002A2A5F" w:rsidRPr="00D75391">
        <w:rPr>
          <w:rFonts w:ascii="Palatino Linotype" w:hAnsi="Palatino Linotype" w:cs="Arial"/>
          <w:b/>
          <w:bCs/>
          <w:lang w:eastAsia="es-MX"/>
        </w:rPr>
        <w:t xml:space="preserve">06419/INFOEM/IP/RR/2019 </w:t>
      </w:r>
      <w:r w:rsidR="002A2A5F" w:rsidRPr="00D75391">
        <w:rPr>
          <w:rFonts w:ascii="Palatino Linotype" w:hAnsi="Palatino Linotype" w:cs="Arial"/>
          <w:bCs/>
          <w:lang w:eastAsia="es-MX"/>
        </w:rPr>
        <w:t xml:space="preserve">en términos de los considerandos </w:t>
      </w:r>
      <w:r w:rsidR="002A2A5F" w:rsidRPr="00D75391">
        <w:rPr>
          <w:rFonts w:ascii="Palatino Linotype" w:hAnsi="Palatino Linotype" w:cs="Arial"/>
          <w:b/>
          <w:bCs/>
          <w:lang w:eastAsia="es-MX"/>
        </w:rPr>
        <w:t xml:space="preserve">CUARTO y QUINTO </w:t>
      </w:r>
      <w:r w:rsidR="002A2A5F" w:rsidRPr="00D75391">
        <w:rPr>
          <w:rFonts w:ascii="Palatino Linotype" w:hAnsi="Palatino Linotype" w:cs="Arial"/>
          <w:bCs/>
          <w:lang w:eastAsia="es-MX"/>
        </w:rPr>
        <w:t xml:space="preserve"> de la presente resolución. </w:t>
      </w:r>
    </w:p>
    <w:p w14:paraId="707FEFCE" w14:textId="2D75D423" w:rsidR="002A2A5F" w:rsidRPr="00D75391" w:rsidRDefault="00C6671B" w:rsidP="00D75391">
      <w:pPr>
        <w:spacing w:before="240" w:after="240" w:line="360" w:lineRule="auto"/>
        <w:jc w:val="both"/>
        <w:rPr>
          <w:rFonts w:ascii="Palatino Linotype" w:eastAsia="Times New Roman" w:hAnsi="Palatino Linotype" w:cs="Times New Roman"/>
        </w:rPr>
      </w:pPr>
      <w:bookmarkStart w:id="207" w:name="_Toc503891607"/>
      <w:bookmarkStart w:id="208" w:name="_Toc511647757"/>
      <w:bookmarkStart w:id="209" w:name="_Toc511647818"/>
      <w:bookmarkStart w:id="210" w:name="_Toc477891768"/>
      <w:bookmarkStart w:id="211" w:name="_Toc477891858"/>
      <w:bookmarkStart w:id="212" w:name="_Toc481576259"/>
      <w:bookmarkStart w:id="213" w:name="_Toc492590391"/>
      <w:bookmarkStart w:id="214" w:name="_Toc462653937"/>
      <w:bookmarkStart w:id="215" w:name="_Toc453696502"/>
      <w:bookmarkStart w:id="216" w:name="_Toc454301155"/>
      <w:r w:rsidRPr="00D75391">
        <w:rPr>
          <w:rFonts w:ascii="Palatino Linotype" w:eastAsia="Times New Roman" w:hAnsi="Palatino Linotype" w:cs="Times New Roman"/>
          <w:b/>
        </w:rPr>
        <w:t>SEGUNDO.</w:t>
      </w:r>
      <w:bookmarkEnd w:id="207"/>
      <w:bookmarkEnd w:id="208"/>
      <w:bookmarkEnd w:id="209"/>
      <w:r w:rsidR="001E380D" w:rsidRPr="00D75391">
        <w:rPr>
          <w:rFonts w:ascii="Palatino Linotype" w:eastAsia="Times New Roman" w:hAnsi="Palatino Linotype" w:cs="Times New Roman"/>
          <w:b/>
        </w:rPr>
        <w:t xml:space="preserve"> </w:t>
      </w:r>
      <w:r w:rsidR="002A2A5F" w:rsidRPr="00D75391">
        <w:rPr>
          <w:rFonts w:ascii="Palatino Linotype" w:eastAsia="Times New Roman" w:hAnsi="Palatino Linotype" w:cs="Times New Roman"/>
        </w:rPr>
        <w:t>S</w:t>
      </w:r>
      <w:r w:rsidR="00193A85" w:rsidRPr="00D75391">
        <w:rPr>
          <w:rFonts w:ascii="Palatino Linotype" w:eastAsia="Times New Roman" w:hAnsi="Palatino Linotype" w:cs="Times New Roman"/>
        </w:rPr>
        <w:t xml:space="preserve">e </w:t>
      </w:r>
      <w:r w:rsidR="00746D89" w:rsidRPr="00D75391">
        <w:rPr>
          <w:rFonts w:ascii="Palatino Linotype" w:eastAsia="Times New Roman" w:hAnsi="Palatino Linotype" w:cs="Times New Roman"/>
          <w:b/>
        </w:rPr>
        <w:t xml:space="preserve">REVOCAN </w:t>
      </w:r>
      <w:r w:rsidR="00193A85" w:rsidRPr="00D75391">
        <w:rPr>
          <w:rFonts w:ascii="Palatino Linotype" w:eastAsia="Times New Roman" w:hAnsi="Palatino Linotype" w:cs="Times New Roman"/>
        </w:rPr>
        <w:t>l</w:t>
      </w:r>
      <w:r w:rsidR="002A2A5F" w:rsidRPr="00D75391">
        <w:rPr>
          <w:rFonts w:ascii="Palatino Linotype" w:eastAsia="Times New Roman" w:hAnsi="Palatino Linotype" w:cs="Times New Roman"/>
        </w:rPr>
        <w:t>a</w:t>
      </w:r>
      <w:r w:rsidR="00746D89" w:rsidRPr="00D75391">
        <w:rPr>
          <w:rFonts w:ascii="Palatino Linotype" w:eastAsia="Times New Roman" w:hAnsi="Palatino Linotype" w:cs="Times New Roman"/>
        </w:rPr>
        <w:t>s</w:t>
      </w:r>
      <w:r w:rsidR="002A2A5F" w:rsidRPr="00D75391">
        <w:rPr>
          <w:rFonts w:ascii="Palatino Linotype" w:eastAsia="Times New Roman" w:hAnsi="Palatino Linotype" w:cs="Times New Roman"/>
        </w:rPr>
        <w:t xml:space="preserve"> respuesta</w:t>
      </w:r>
      <w:r w:rsidR="00193A85" w:rsidRPr="00D75391">
        <w:rPr>
          <w:rFonts w:ascii="Palatino Linotype" w:eastAsia="Times New Roman" w:hAnsi="Palatino Linotype" w:cs="Times New Roman"/>
        </w:rPr>
        <w:t>s</w:t>
      </w:r>
      <w:r w:rsidR="002A2A5F" w:rsidRPr="00D75391">
        <w:rPr>
          <w:rFonts w:ascii="Palatino Linotype" w:eastAsia="Times New Roman" w:hAnsi="Palatino Linotype" w:cs="Times New Roman"/>
        </w:rPr>
        <w:t xml:space="preserve"> emitida</w:t>
      </w:r>
      <w:r w:rsidR="00193A85" w:rsidRPr="00D75391">
        <w:rPr>
          <w:rFonts w:ascii="Palatino Linotype" w:eastAsia="Times New Roman" w:hAnsi="Palatino Linotype" w:cs="Times New Roman"/>
        </w:rPr>
        <w:t>s</w:t>
      </w:r>
      <w:r w:rsidR="002A2A5F" w:rsidRPr="00D75391">
        <w:rPr>
          <w:rFonts w:ascii="Palatino Linotype" w:eastAsia="Times New Roman" w:hAnsi="Palatino Linotype" w:cs="Times New Roman"/>
        </w:rPr>
        <w:t xml:space="preserve"> por la </w:t>
      </w:r>
      <w:r w:rsidR="002A2A5F" w:rsidRPr="00D75391">
        <w:rPr>
          <w:rFonts w:ascii="Palatino Linotype" w:eastAsia="Times New Roman" w:hAnsi="Palatino Linotype" w:cs="Times New Roman"/>
          <w:b/>
        </w:rPr>
        <w:t xml:space="preserve">Secretaría Ejecutiva del </w:t>
      </w:r>
      <w:r w:rsidR="00193A85" w:rsidRPr="00D75391">
        <w:rPr>
          <w:rFonts w:ascii="Palatino Linotype" w:eastAsia="Times New Roman" w:hAnsi="Palatino Linotype" w:cs="Times New Roman"/>
          <w:b/>
        </w:rPr>
        <w:t>S</w:t>
      </w:r>
      <w:r w:rsidR="002A2A5F" w:rsidRPr="00D75391">
        <w:rPr>
          <w:rFonts w:ascii="Palatino Linotype" w:eastAsia="Times New Roman" w:hAnsi="Palatino Linotype" w:cs="Times New Roman"/>
          <w:b/>
        </w:rPr>
        <w:t xml:space="preserve">istema Estatal Anticorrupción </w:t>
      </w:r>
      <w:r w:rsidR="002A2A5F" w:rsidRPr="00D75391">
        <w:rPr>
          <w:rFonts w:ascii="Palatino Linotype" w:eastAsia="Times New Roman" w:hAnsi="Palatino Linotype" w:cs="Times New Roman"/>
        </w:rPr>
        <w:t xml:space="preserve">y se </w:t>
      </w:r>
      <w:r w:rsidR="002A2A5F" w:rsidRPr="00D75391">
        <w:rPr>
          <w:rFonts w:ascii="Palatino Linotype" w:eastAsia="Times New Roman" w:hAnsi="Palatino Linotype" w:cs="Times New Roman"/>
          <w:b/>
        </w:rPr>
        <w:t xml:space="preserve">ORDENA </w:t>
      </w:r>
      <w:r w:rsidR="002A2A5F" w:rsidRPr="00D75391">
        <w:rPr>
          <w:rFonts w:ascii="Palatino Linotype" w:eastAsia="Times New Roman" w:hAnsi="Palatino Linotype" w:cs="Times New Roman"/>
        </w:rPr>
        <w:t xml:space="preserve"> entregar vía Sistema de Acceso a la Información Mexiquense </w:t>
      </w:r>
      <w:r w:rsidR="002A2A5F" w:rsidRPr="00D75391">
        <w:rPr>
          <w:rFonts w:ascii="Palatino Linotype" w:eastAsia="Times New Roman" w:hAnsi="Palatino Linotype" w:cs="Times New Roman"/>
          <w:b/>
        </w:rPr>
        <w:t xml:space="preserve">(SAIMEX), </w:t>
      </w:r>
      <w:r w:rsidR="002A2A5F" w:rsidRPr="00D75391">
        <w:rPr>
          <w:rFonts w:ascii="Palatino Linotype" w:eastAsia="Times New Roman" w:hAnsi="Palatino Linotype" w:cs="Times New Roman"/>
        </w:rPr>
        <w:t>en versión pública,</w:t>
      </w:r>
      <w:r w:rsidR="002A2A5F" w:rsidRPr="00D75391">
        <w:rPr>
          <w:rFonts w:ascii="Palatino Linotype" w:eastAsia="Times New Roman" w:hAnsi="Palatino Linotype" w:cs="Times New Roman"/>
          <w:b/>
        </w:rPr>
        <w:t xml:space="preserve"> </w:t>
      </w:r>
      <w:r w:rsidR="002A2A5F" w:rsidRPr="00D75391">
        <w:rPr>
          <w:rFonts w:ascii="Palatino Linotype" w:eastAsia="Times New Roman" w:hAnsi="Palatino Linotype" w:cs="Times New Roman"/>
        </w:rPr>
        <w:t xml:space="preserve">la siguiente información: </w:t>
      </w:r>
    </w:p>
    <w:p w14:paraId="783B2B4B" w14:textId="77777777" w:rsidR="00831155" w:rsidRPr="00831155" w:rsidRDefault="002A2A5F" w:rsidP="00831155">
      <w:pPr>
        <w:pStyle w:val="Prrafodelista"/>
        <w:numPr>
          <w:ilvl w:val="0"/>
          <w:numId w:val="16"/>
        </w:numPr>
        <w:spacing w:before="240" w:after="240" w:line="360" w:lineRule="auto"/>
        <w:ind w:right="616"/>
        <w:jc w:val="both"/>
        <w:rPr>
          <w:rFonts w:ascii="Palatino Linotype" w:eastAsia="Times New Roman" w:hAnsi="Palatino Linotype" w:cs="Times New Roman"/>
          <w:b/>
        </w:rPr>
      </w:pPr>
      <w:r w:rsidRPr="00831155">
        <w:rPr>
          <w:rFonts w:ascii="Palatino Linotype" w:eastAsia="Times New Roman" w:hAnsi="Palatino Linotype" w:cs="Times New Roman"/>
          <w:b/>
        </w:rPr>
        <w:t xml:space="preserve">Los documentos </w:t>
      </w:r>
      <w:r w:rsidRPr="00831155">
        <w:rPr>
          <w:rFonts w:ascii="Palatino Linotype" w:eastAsia="Times New Roman" w:hAnsi="Palatino Linotype" w:cs="Times New Roman"/>
          <w:b/>
          <w:lang w:val="es-ES"/>
        </w:rPr>
        <w:t>generados por el Órgano Interno de Control del 01 de enero al veintinueve 29</w:t>
      </w:r>
      <w:r w:rsidR="00D61A05" w:rsidRPr="00831155">
        <w:rPr>
          <w:rFonts w:ascii="Palatino Linotype" w:eastAsia="Times New Roman" w:hAnsi="Palatino Linotype" w:cs="Times New Roman"/>
          <w:b/>
          <w:lang w:val="es-ES"/>
        </w:rPr>
        <w:t xml:space="preserve"> de julio de dos mil diecinueve;</w:t>
      </w:r>
    </w:p>
    <w:p w14:paraId="36C09301" w14:textId="77777777" w:rsidR="00831155" w:rsidRPr="00831155" w:rsidRDefault="00831155" w:rsidP="00831155">
      <w:pPr>
        <w:pStyle w:val="Prrafodelista"/>
        <w:spacing w:before="240" w:after="240" w:line="360" w:lineRule="auto"/>
        <w:ind w:right="616"/>
        <w:jc w:val="both"/>
        <w:rPr>
          <w:rFonts w:ascii="Palatino Linotype" w:eastAsia="Times New Roman" w:hAnsi="Palatino Linotype" w:cs="Times New Roman"/>
          <w:b/>
        </w:rPr>
      </w:pPr>
    </w:p>
    <w:p w14:paraId="222CDD2D" w14:textId="10F8E046" w:rsidR="002A2A5F" w:rsidRPr="00831155" w:rsidRDefault="002A2A5F" w:rsidP="00831155">
      <w:pPr>
        <w:pStyle w:val="Prrafodelista"/>
        <w:numPr>
          <w:ilvl w:val="0"/>
          <w:numId w:val="16"/>
        </w:numPr>
        <w:spacing w:before="240" w:after="240" w:line="360" w:lineRule="auto"/>
        <w:ind w:right="616"/>
        <w:jc w:val="both"/>
        <w:rPr>
          <w:rFonts w:ascii="Palatino Linotype" w:eastAsia="Times New Roman" w:hAnsi="Palatino Linotype" w:cs="Times New Roman"/>
          <w:b/>
        </w:rPr>
      </w:pPr>
      <w:r w:rsidRPr="00831155">
        <w:rPr>
          <w:rFonts w:ascii="Palatino Linotype" w:eastAsia="Times New Roman" w:hAnsi="Palatino Linotype" w:cs="Times New Roman"/>
          <w:b/>
        </w:rPr>
        <w:t xml:space="preserve">Las auditorías concluidas realizadas por el Órgano Interno de Control </w:t>
      </w:r>
      <w:r w:rsidRPr="00831155">
        <w:rPr>
          <w:rFonts w:ascii="Palatino Linotype" w:eastAsia="Times New Roman" w:hAnsi="Palatino Linotype" w:cs="Times New Roman"/>
          <w:b/>
          <w:lang w:val="es-ES"/>
        </w:rPr>
        <w:t xml:space="preserve">del 01 de enero al veintinueve 29 de julio de dos </w:t>
      </w:r>
      <w:r w:rsidR="00D61A05" w:rsidRPr="00831155">
        <w:rPr>
          <w:rFonts w:ascii="Palatino Linotype" w:eastAsia="Times New Roman" w:hAnsi="Palatino Linotype" w:cs="Times New Roman"/>
          <w:b/>
          <w:lang w:val="es-ES"/>
        </w:rPr>
        <w:t>mil diecinueve;</w:t>
      </w:r>
    </w:p>
    <w:p w14:paraId="6F42707D" w14:textId="77777777" w:rsidR="002A2A5F" w:rsidRPr="00D75391" w:rsidRDefault="002A2A5F" w:rsidP="00D75391">
      <w:pPr>
        <w:pStyle w:val="Prrafodelista"/>
        <w:spacing w:before="240" w:after="240" w:line="360" w:lineRule="auto"/>
        <w:ind w:left="851" w:right="616" w:hanging="284"/>
        <w:jc w:val="both"/>
        <w:rPr>
          <w:rFonts w:ascii="Palatino Linotype" w:eastAsia="Times New Roman" w:hAnsi="Palatino Linotype" w:cs="Times New Roman"/>
          <w:b/>
        </w:rPr>
      </w:pPr>
    </w:p>
    <w:p w14:paraId="1C5813DD" w14:textId="162A9249" w:rsidR="00746D89" w:rsidRPr="00831155" w:rsidRDefault="00746D89" w:rsidP="00831155">
      <w:pPr>
        <w:pStyle w:val="Prrafodelista"/>
        <w:numPr>
          <w:ilvl w:val="0"/>
          <w:numId w:val="16"/>
        </w:numPr>
        <w:spacing w:before="240" w:after="240" w:line="360" w:lineRule="auto"/>
        <w:ind w:right="616"/>
        <w:jc w:val="both"/>
        <w:rPr>
          <w:rFonts w:ascii="Palatino Linotype" w:eastAsia="Times New Roman" w:hAnsi="Palatino Linotype" w:cs="Times New Roman"/>
          <w:b/>
        </w:rPr>
      </w:pPr>
      <w:r w:rsidRPr="00831155">
        <w:rPr>
          <w:rFonts w:ascii="Palatino Linotype" w:eastAsia="Times New Roman" w:hAnsi="Palatino Linotype" w:cs="Times New Roman"/>
          <w:b/>
        </w:rPr>
        <w:t xml:space="preserve">Los oficios mediante los cuales se </w:t>
      </w:r>
      <w:r w:rsidR="00D61A05" w:rsidRPr="00831155">
        <w:rPr>
          <w:rFonts w:ascii="Palatino Linotype" w:eastAsia="Times New Roman" w:hAnsi="Palatino Linotype" w:cs="Times New Roman"/>
          <w:b/>
        </w:rPr>
        <w:t xml:space="preserve">notificó el </w:t>
      </w:r>
      <w:r w:rsidR="009A02AC" w:rsidRPr="00831155">
        <w:rPr>
          <w:rFonts w:ascii="Palatino Linotype" w:eastAsia="Times New Roman" w:hAnsi="Palatino Linotype" w:cs="Times New Roman"/>
          <w:b/>
        </w:rPr>
        <w:t xml:space="preserve">inicio de las auditorías llevadas a cabo </w:t>
      </w:r>
      <w:r w:rsidR="00D61A05" w:rsidRPr="00831155">
        <w:rPr>
          <w:rFonts w:ascii="Palatino Linotype" w:eastAsia="Times New Roman" w:hAnsi="Palatino Linotype" w:cs="Times New Roman"/>
          <w:b/>
        </w:rPr>
        <w:t>uno (</w:t>
      </w:r>
      <w:r w:rsidR="009A02AC" w:rsidRPr="00831155">
        <w:rPr>
          <w:rFonts w:ascii="Palatino Linotype" w:eastAsia="Times New Roman" w:hAnsi="Palatino Linotype" w:cs="Times New Roman"/>
          <w:b/>
          <w:lang w:val="es-ES"/>
        </w:rPr>
        <w:t>01</w:t>
      </w:r>
      <w:r w:rsidR="00D61A05" w:rsidRPr="00831155">
        <w:rPr>
          <w:rFonts w:ascii="Palatino Linotype" w:eastAsia="Times New Roman" w:hAnsi="Palatino Linotype" w:cs="Times New Roman"/>
          <w:b/>
          <w:lang w:val="es-ES"/>
        </w:rPr>
        <w:t>)</w:t>
      </w:r>
      <w:r w:rsidR="009A02AC" w:rsidRPr="00831155">
        <w:rPr>
          <w:rFonts w:ascii="Palatino Linotype" w:eastAsia="Times New Roman" w:hAnsi="Palatino Linotype" w:cs="Times New Roman"/>
          <w:b/>
          <w:lang w:val="es-ES"/>
        </w:rPr>
        <w:t xml:space="preserve"> de enero al veintinueve </w:t>
      </w:r>
      <w:r w:rsidR="00D61A05" w:rsidRPr="00831155">
        <w:rPr>
          <w:rFonts w:ascii="Palatino Linotype" w:eastAsia="Times New Roman" w:hAnsi="Palatino Linotype" w:cs="Times New Roman"/>
          <w:b/>
          <w:lang w:val="es-ES"/>
        </w:rPr>
        <w:t>(</w:t>
      </w:r>
      <w:r w:rsidR="009A02AC" w:rsidRPr="00831155">
        <w:rPr>
          <w:rFonts w:ascii="Palatino Linotype" w:eastAsia="Times New Roman" w:hAnsi="Palatino Linotype" w:cs="Times New Roman"/>
          <w:b/>
          <w:lang w:val="es-ES"/>
        </w:rPr>
        <w:t>29</w:t>
      </w:r>
      <w:r w:rsidR="00D61A05" w:rsidRPr="00831155">
        <w:rPr>
          <w:rFonts w:ascii="Palatino Linotype" w:eastAsia="Times New Roman" w:hAnsi="Palatino Linotype" w:cs="Times New Roman"/>
          <w:b/>
          <w:lang w:val="es-ES"/>
        </w:rPr>
        <w:t>)</w:t>
      </w:r>
      <w:r w:rsidR="009A02AC" w:rsidRPr="00831155">
        <w:rPr>
          <w:rFonts w:ascii="Palatino Linotype" w:eastAsia="Times New Roman" w:hAnsi="Palatino Linotype" w:cs="Times New Roman"/>
          <w:b/>
          <w:lang w:val="es-ES"/>
        </w:rPr>
        <w:t xml:space="preserve"> de julio de dos mil diecinueve </w:t>
      </w:r>
      <w:r w:rsidR="00D61A05" w:rsidRPr="00831155">
        <w:rPr>
          <w:rFonts w:ascii="Palatino Linotype" w:eastAsia="Times New Roman" w:hAnsi="Palatino Linotype" w:cs="Times New Roman"/>
          <w:b/>
          <w:lang w:val="es-ES"/>
        </w:rPr>
        <w:t>y que se encuentren en proceso; y</w:t>
      </w:r>
    </w:p>
    <w:p w14:paraId="79FED442" w14:textId="77777777" w:rsidR="00746D89" w:rsidRPr="00D75391" w:rsidRDefault="00746D89" w:rsidP="00D75391">
      <w:pPr>
        <w:pStyle w:val="Prrafodelista"/>
        <w:spacing w:line="360" w:lineRule="auto"/>
        <w:rPr>
          <w:rFonts w:ascii="Palatino Linotype" w:hAnsi="Palatino Linotype"/>
          <w:b/>
          <w:color w:val="222222"/>
          <w:shd w:val="clear" w:color="auto" w:fill="FFFFFF"/>
        </w:rPr>
      </w:pPr>
    </w:p>
    <w:p w14:paraId="2EE5918B" w14:textId="1CFF85EC" w:rsidR="00831155" w:rsidRPr="00831155" w:rsidRDefault="002A2A5F" w:rsidP="00831155">
      <w:pPr>
        <w:pStyle w:val="Prrafodelista"/>
        <w:numPr>
          <w:ilvl w:val="0"/>
          <w:numId w:val="16"/>
        </w:numPr>
        <w:spacing w:before="240" w:after="240" w:line="360" w:lineRule="auto"/>
        <w:ind w:right="616"/>
        <w:jc w:val="both"/>
        <w:rPr>
          <w:rFonts w:ascii="Palatino Linotype" w:eastAsia="Times New Roman" w:hAnsi="Palatino Linotype" w:cs="Times New Roman"/>
          <w:b/>
        </w:rPr>
      </w:pPr>
      <w:r w:rsidRPr="00D75391">
        <w:rPr>
          <w:rFonts w:ascii="Palatino Linotype" w:hAnsi="Palatino Linotype"/>
          <w:b/>
          <w:color w:val="222222"/>
          <w:shd w:val="clear" w:color="auto" w:fill="FFFFFF"/>
        </w:rPr>
        <w:t>El acuerdo del Comité de Transparencia que clasifique como información reservada</w:t>
      </w:r>
      <w:r w:rsidR="00D61A05" w:rsidRPr="00D75391">
        <w:rPr>
          <w:rFonts w:ascii="Palatino Linotype" w:hAnsi="Palatino Linotype"/>
          <w:b/>
          <w:color w:val="222222"/>
          <w:shd w:val="clear" w:color="auto" w:fill="FFFFFF"/>
        </w:rPr>
        <w:t xml:space="preserve"> la relativa a</w:t>
      </w:r>
      <w:r w:rsidR="009A02AC" w:rsidRPr="00D75391">
        <w:rPr>
          <w:rFonts w:ascii="Palatino Linotype" w:hAnsi="Palatino Linotype"/>
          <w:b/>
          <w:color w:val="222222"/>
          <w:shd w:val="clear" w:color="auto" w:fill="FFFFFF"/>
        </w:rPr>
        <w:t xml:space="preserve"> </w:t>
      </w:r>
      <w:r w:rsidRPr="00D75391">
        <w:rPr>
          <w:rFonts w:ascii="Palatino Linotype" w:hAnsi="Palatino Linotype"/>
          <w:b/>
          <w:color w:val="222222"/>
          <w:shd w:val="clear" w:color="auto" w:fill="FFFFFF"/>
        </w:rPr>
        <w:t>las auditorías</w:t>
      </w:r>
      <w:r w:rsidR="00FE0D44" w:rsidRPr="00D75391">
        <w:rPr>
          <w:rFonts w:ascii="Palatino Linotype" w:hAnsi="Palatino Linotype"/>
          <w:b/>
          <w:color w:val="222222"/>
          <w:shd w:val="clear" w:color="auto" w:fill="FFFFFF"/>
        </w:rPr>
        <w:t xml:space="preserve"> llevadas a cabo </w:t>
      </w:r>
      <w:r w:rsidR="00FE0D44" w:rsidRPr="00D75391">
        <w:rPr>
          <w:rFonts w:ascii="Palatino Linotype" w:eastAsia="Times New Roman" w:hAnsi="Palatino Linotype" w:cs="Times New Roman"/>
          <w:b/>
          <w:lang w:val="es-ES"/>
        </w:rPr>
        <w:t>del 01 de enero al veintinueve 29 de julio de dos m</w:t>
      </w:r>
      <w:r w:rsidR="00F904AA" w:rsidRPr="00D75391">
        <w:rPr>
          <w:rFonts w:ascii="Palatino Linotype" w:eastAsia="Times New Roman" w:hAnsi="Palatino Linotype" w:cs="Times New Roman"/>
          <w:b/>
          <w:lang w:val="es-ES"/>
        </w:rPr>
        <w:t>il diecinueve y que se encuentre</w:t>
      </w:r>
      <w:r w:rsidR="00FE0D44" w:rsidRPr="00D75391">
        <w:rPr>
          <w:rFonts w:ascii="Palatino Linotype" w:eastAsia="Times New Roman" w:hAnsi="Palatino Linotype" w:cs="Times New Roman"/>
          <w:b/>
          <w:lang w:val="es-ES"/>
        </w:rPr>
        <w:t>n</w:t>
      </w:r>
      <w:r w:rsidRPr="00D75391">
        <w:rPr>
          <w:rFonts w:ascii="Palatino Linotype" w:hAnsi="Palatino Linotype"/>
          <w:b/>
          <w:color w:val="222222"/>
          <w:shd w:val="clear" w:color="auto" w:fill="FFFFFF"/>
        </w:rPr>
        <w:t xml:space="preserve"> en proceso</w:t>
      </w:r>
      <w:r w:rsidR="00D61A05" w:rsidRPr="00D75391">
        <w:rPr>
          <w:rFonts w:ascii="Palatino Linotype" w:hAnsi="Palatino Linotype"/>
          <w:b/>
          <w:color w:val="222222"/>
          <w:shd w:val="clear" w:color="auto" w:fill="FFFFFF"/>
        </w:rPr>
        <w:t xml:space="preserve"> (a excepción de los oficios señalados en el inciso anterior),</w:t>
      </w:r>
      <w:r w:rsidRPr="00D75391">
        <w:rPr>
          <w:rFonts w:ascii="Palatino Linotype" w:hAnsi="Palatino Linotype"/>
          <w:b/>
          <w:color w:val="222222"/>
          <w:shd w:val="clear" w:color="auto" w:fill="FFFFFF"/>
        </w:rPr>
        <w:t xml:space="preserve"> realizadas por el Órgano Interno de Control, previa valoración del daño que la entrega de la información causaría en términos de  los artículos 129 y 140 de la Ley de Transparencia y Acceso a la Información Pública del Estado de México y Municipios.</w:t>
      </w:r>
      <w:bookmarkEnd w:id="210"/>
      <w:bookmarkEnd w:id="211"/>
      <w:bookmarkEnd w:id="212"/>
      <w:bookmarkEnd w:id="213"/>
      <w:bookmarkEnd w:id="214"/>
      <w:bookmarkEnd w:id="215"/>
      <w:bookmarkEnd w:id="216"/>
    </w:p>
    <w:p w14:paraId="34EDB122" w14:textId="3C7988AD" w:rsidR="00C6671B" w:rsidRPr="00D75391" w:rsidRDefault="00C6671B" w:rsidP="00D75391">
      <w:pPr>
        <w:spacing w:before="240" w:after="240" w:line="360" w:lineRule="auto"/>
        <w:jc w:val="both"/>
        <w:rPr>
          <w:rFonts w:ascii="Palatino Linotype" w:eastAsia="Times New Roman" w:hAnsi="Palatino Linotype" w:cs="Arial"/>
          <w:b/>
        </w:rPr>
      </w:pPr>
      <w:bookmarkStart w:id="217" w:name="_Toc503891610"/>
      <w:bookmarkStart w:id="218" w:name="_Toc453696503"/>
      <w:bookmarkStart w:id="219" w:name="_Toc454301156"/>
      <w:bookmarkStart w:id="220" w:name="_Toc462653938"/>
      <w:bookmarkStart w:id="221" w:name="_Toc477891769"/>
      <w:bookmarkStart w:id="222" w:name="_Toc477891859"/>
      <w:bookmarkStart w:id="223" w:name="_Toc481576260"/>
      <w:bookmarkStart w:id="224" w:name="_Toc492590392"/>
      <w:r w:rsidRPr="00D7539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D61A05" w:rsidRPr="00D75391">
        <w:rPr>
          <w:rFonts w:ascii="Palatino Linotype" w:eastAsia="Calibri" w:hAnsi="Palatino Linotype" w:cs="Arial"/>
        </w:rPr>
        <w:t xml:space="preserve">len y se ponga a disposición del </w:t>
      </w:r>
      <w:r w:rsidR="00D61A05" w:rsidRPr="00D75391">
        <w:rPr>
          <w:rFonts w:ascii="Palatino Linotype" w:eastAsia="Calibri" w:hAnsi="Palatino Linotype" w:cs="Arial"/>
          <w:b/>
        </w:rPr>
        <w:t>RECURRENTE</w:t>
      </w:r>
      <w:r w:rsidR="00D61A05" w:rsidRPr="00D75391">
        <w:rPr>
          <w:rFonts w:ascii="Palatino Linotype" w:eastAsia="Calibri" w:hAnsi="Palatino Linotype" w:cs="Arial"/>
        </w:rPr>
        <w:t>.</w:t>
      </w:r>
    </w:p>
    <w:p w14:paraId="1DB1427D" w14:textId="77777777" w:rsidR="00C6671B" w:rsidRPr="00D75391" w:rsidRDefault="00C6671B" w:rsidP="00D75391">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25" w:name="_Toc511647758"/>
      <w:bookmarkStart w:id="226" w:name="_Toc511647819"/>
      <w:r w:rsidRPr="00D75391">
        <w:rPr>
          <w:rFonts w:ascii="Palatino Linotype" w:eastAsia="Times New Roman" w:hAnsi="Palatino Linotype" w:cs="Times New Roman"/>
          <w:b/>
        </w:rPr>
        <w:t>TERCERO.</w:t>
      </w:r>
      <w:bookmarkEnd w:id="217"/>
      <w:bookmarkEnd w:id="225"/>
      <w:bookmarkEnd w:id="226"/>
      <w:r w:rsidRPr="00D75391">
        <w:rPr>
          <w:rFonts w:ascii="Palatino Linotype" w:eastAsia="Times New Roman" w:hAnsi="Palatino Linotype" w:cs="Times New Roman"/>
          <w:b/>
        </w:rPr>
        <w:t xml:space="preserve"> </w:t>
      </w:r>
      <w:bookmarkEnd w:id="218"/>
      <w:bookmarkEnd w:id="219"/>
      <w:bookmarkEnd w:id="220"/>
      <w:bookmarkEnd w:id="221"/>
      <w:bookmarkEnd w:id="222"/>
      <w:bookmarkEnd w:id="223"/>
      <w:bookmarkEnd w:id="224"/>
      <w:r w:rsidRPr="00D75391">
        <w:rPr>
          <w:rFonts w:ascii="Palatino Linotype" w:eastAsia="Palatino Linotype" w:hAnsi="Palatino Linotype" w:cs="Palatino Linotype"/>
          <w:b/>
        </w:rPr>
        <w:t xml:space="preserve">Notifíquese </w:t>
      </w:r>
      <w:r w:rsidRPr="00D75391">
        <w:rPr>
          <w:rFonts w:ascii="Palatino Linotype" w:eastAsia="Palatino Linotype" w:hAnsi="Palatino Linotype" w:cs="Palatino Linotype"/>
        </w:rPr>
        <w:t xml:space="preserve">al Titular de la Unidad de Transparencia del </w:t>
      </w:r>
      <w:r w:rsidRPr="00D75391">
        <w:rPr>
          <w:rFonts w:ascii="Palatino Linotype" w:eastAsia="Palatino Linotype" w:hAnsi="Palatino Linotype" w:cs="Palatino Linotype"/>
          <w:b/>
        </w:rPr>
        <w:t>SUJETO OBLIGADO</w:t>
      </w:r>
      <w:r w:rsidRPr="00D7539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75391">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345086C9" w14:textId="422429EE" w:rsidR="00C6671B" w:rsidRPr="00D75391" w:rsidRDefault="00C6671B" w:rsidP="00D75391">
      <w:pPr>
        <w:tabs>
          <w:tab w:val="left" w:pos="8080"/>
        </w:tabs>
        <w:spacing w:before="240" w:line="360" w:lineRule="auto"/>
        <w:ind w:right="49"/>
        <w:jc w:val="both"/>
        <w:rPr>
          <w:rFonts w:ascii="Palatino Linotype" w:eastAsia="Times New Roman" w:hAnsi="Palatino Linotype" w:cs="Arial"/>
          <w:b/>
          <w:lang w:val="es-ES"/>
        </w:rPr>
      </w:pPr>
      <w:bookmarkStart w:id="227" w:name="_Toc492590393"/>
      <w:bookmarkStart w:id="228" w:name="_Toc503891611"/>
      <w:bookmarkStart w:id="229" w:name="_Toc511647759"/>
      <w:bookmarkStart w:id="230" w:name="_Toc511647820"/>
      <w:r w:rsidRPr="00D75391">
        <w:rPr>
          <w:rFonts w:ascii="Palatino Linotype" w:eastAsia="Times New Roman" w:hAnsi="Palatino Linotype" w:cs="Times New Roman"/>
          <w:b/>
        </w:rPr>
        <w:t xml:space="preserve">CUARTO. </w:t>
      </w:r>
      <w:r w:rsidRPr="00D75391">
        <w:rPr>
          <w:rFonts w:ascii="Palatino Linotype" w:eastAsia="Times New Roman" w:hAnsi="Palatino Linotype" w:cs="Times New Roman"/>
        </w:rPr>
        <w:t>Notifíquese a</w:t>
      </w:r>
      <w:bookmarkEnd w:id="227"/>
      <w:bookmarkEnd w:id="228"/>
      <w:bookmarkEnd w:id="229"/>
      <w:bookmarkEnd w:id="230"/>
      <w:r w:rsidRPr="00D75391">
        <w:rPr>
          <w:rFonts w:ascii="Palatino Linotype" w:eastAsia="Times New Roman" w:hAnsi="Palatino Linotype" w:cs="Arial"/>
          <w:b/>
          <w:lang w:val="es-ES"/>
        </w:rPr>
        <w:t xml:space="preserve"> </w:t>
      </w:r>
      <w:r w:rsidR="003703A8" w:rsidRPr="003703A8">
        <w:rPr>
          <w:rFonts w:ascii="Palatino Linotype" w:eastAsia="Times New Roman" w:hAnsi="Palatino Linotype" w:cs="Arial"/>
          <w:b/>
          <w:highlight w:val="black"/>
        </w:rPr>
        <w:t>-----------</w:t>
      </w:r>
      <w:r w:rsidR="003703A8">
        <w:rPr>
          <w:rFonts w:ascii="Palatino Linotype" w:eastAsia="Times New Roman" w:hAnsi="Palatino Linotype" w:cs="Arial"/>
          <w:b/>
          <w:highlight w:val="black"/>
        </w:rPr>
        <w:t>---</w:t>
      </w:r>
      <w:r w:rsidR="003703A8" w:rsidRPr="003703A8">
        <w:rPr>
          <w:rFonts w:ascii="Palatino Linotype" w:eastAsia="Times New Roman" w:hAnsi="Palatino Linotype" w:cs="Arial"/>
          <w:b/>
          <w:highlight w:val="black"/>
        </w:rPr>
        <w:t>----------</w:t>
      </w:r>
      <w:r w:rsidR="004D38F2" w:rsidRPr="00D75391">
        <w:rPr>
          <w:rFonts w:ascii="Palatino Linotype" w:eastAsia="Times New Roman" w:hAnsi="Palatino Linotype" w:cs="Arial"/>
          <w:b/>
        </w:rPr>
        <w:t xml:space="preserve"> </w:t>
      </w:r>
      <w:r w:rsidRPr="00D75391">
        <w:rPr>
          <w:rFonts w:ascii="Palatino Linotype" w:eastAsia="Times New Roman" w:hAnsi="Palatino Linotype" w:cs="Times New Roman"/>
        </w:rPr>
        <w:t>la presente</w:t>
      </w:r>
      <w:r w:rsidRPr="00D75391">
        <w:rPr>
          <w:rFonts w:ascii="Palatino Linotype" w:eastAsia="Times New Roman" w:hAnsi="Palatino Linotype" w:cs="Times New Roman"/>
          <w:lang w:val="es-ES" w:eastAsia="es-MX"/>
        </w:rPr>
        <w:t xml:space="preserve"> resolución</w:t>
      </w:r>
      <w:r w:rsidR="004D38F2" w:rsidRPr="00D75391">
        <w:rPr>
          <w:rFonts w:ascii="Palatino Linotype" w:eastAsia="Times New Roman" w:hAnsi="Palatino Linotype" w:cs="Times New Roman"/>
          <w:lang w:val="es-ES" w:eastAsia="es-MX"/>
        </w:rPr>
        <w:t xml:space="preserve"> y los informes justificados correspondientes. </w:t>
      </w:r>
    </w:p>
    <w:p w14:paraId="104F8A8A" w14:textId="652AC7AA" w:rsidR="00C6671B" w:rsidRPr="00D75391" w:rsidRDefault="00C6671B" w:rsidP="00D75391">
      <w:pPr>
        <w:shd w:val="clear" w:color="auto" w:fill="FFFFFF"/>
        <w:spacing w:before="240" w:after="360" w:line="360" w:lineRule="auto"/>
        <w:jc w:val="both"/>
        <w:rPr>
          <w:rFonts w:ascii="Palatino Linotype" w:eastAsia="Times New Roman" w:hAnsi="Palatino Linotype" w:cs="Times New Roman"/>
          <w:lang w:val="es-ES" w:eastAsia="es-MX"/>
        </w:rPr>
      </w:pPr>
      <w:r w:rsidRPr="00D75391">
        <w:rPr>
          <w:rFonts w:ascii="Palatino Linotype" w:eastAsia="Calibri" w:hAnsi="Palatino Linotype" w:cs="Times New Roman"/>
          <w:b/>
          <w:lang w:val="es-MX" w:eastAsia="en-US"/>
        </w:rPr>
        <w:t>QUINTO.</w:t>
      </w:r>
      <w:r w:rsidRPr="00D75391">
        <w:rPr>
          <w:rFonts w:ascii="Palatino Linotype" w:eastAsia="Calibri" w:hAnsi="Palatino Linotype" w:cs="Times New Roman"/>
          <w:lang w:val="es-MX" w:eastAsia="en-US"/>
        </w:rPr>
        <w:t xml:space="preserve"> </w:t>
      </w:r>
      <w:r w:rsidRPr="00D75391">
        <w:rPr>
          <w:rFonts w:ascii="Palatino Linotype" w:eastAsia="Times New Roman" w:hAnsi="Palatino Linotype" w:cs="Times New Roman"/>
          <w:lang w:val="es-ES" w:eastAsia="es-MX"/>
        </w:rPr>
        <w:t>Se hace del conocimiento de</w:t>
      </w:r>
      <w:r w:rsidR="004D38F2" w:rsidRPr="00D75391">
        <w:rPr>
          <w:rFonts w:ascii="Palatino Linotype" w:eastAsia="Times New Roman" w:hAnsi="Palatino Linotype" w:cs="Arial"/>
          <w:b/>
        </w:rPr>
        <w:t xml:space="preserve"> </w:t>
      </w:r>
      <w:r w:rsidR="003703A8" w:rsidRPr="003703A8">
        <w:rPr>
          <w:rFonts w:ascii="Palatino Linotype" w:eastAsia="Times New Roman" w:hAnsi="Palatino Linotype" w:cs="Times New Roman"/>
          <w:b/>
          <w:highlight w:val="black"/>
          <w:lang w:eastAsia="es-MX"/>
        </w:rPr>
        <w:t>------------------------</w:t>
      </w:r>
      <w:bookmarkStart w:id="231" w:name="_GoBack"/>
      <w:bookmarkEnd w:id="231"/>
      <w:r w:rsidR="00F904AA" w:rsidRPr="00D75391">
        <w:rPr>
          <w:rFonts w:ascii="Palatino Linotype" w:eastAsia="Times New Roman" w:hAnsi="Palatino Linotype" w:cs="Times New Roman"/>
          <w:b/>
          <w:lang w:eastAsia="es-MX"/>
        </w:rPr>
        <w:t xml:space="preserve"> </w:t>
      </w:r>
      <w:r w:rsidRPr="00D75391">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D75391">
        <w:rPr>
          <w:rFonts w:ascii="Palatino Linotype" w:eastAsia="Times New Roman" w:hAnsi="Palatino Linotype" w:cs="Times New Roman"/>
          <w:bCs/>
          <w:lang w:val="es-ES" w:eastAsia="es-MX"/>
        </w:rPr>
        <w:t>vía juicio de amparo</w:t>
      </w:r>
      <w:r w:rsidRPr="00D75391">
        <w:rPr>
          <w:rFonts w:ascii="Palatino Linotype" w:eastAsia="Times New Roman" w:hAnsi="Palatino Linotype" w:cs="Times New Roman"/>
          <w:lang w:val="es-ES" w:eastAsia="es-MX"/>
        </w:rPr>
        <w:t> en los términos de las leyes aplicables.</w:t>
      </w:r>
    </w:p>
    <w:p w14:paraId="68BAA0EF" w14:textId="5AA2BDF9" w:rsidR="00D75391" w:rsidRDefault="00C6671B" w:rsidP="00D75391">
      <w:pPr>
        <w:spacing w:before="240" w:after="240" w:line="360" w:lineRule="auto"/>
        <w:jc w:val="both"/>
        <w:rPr>
          <w:rFonts w:ascii="Palatino Linotype" w:eastAsia="MS Mincho" w:hAnsi="Palatino Linotype" w:cs="Arial"/>
          <w:color w:val="000000"/>
        </w:rPr>
      </w:pPr>
      <w:r w:rsidRPr="00D75391">
        <w:rPr>
          <w:rFonts w:ascii="Palatino Linotype" w:eastAsia="MS Mincho" w:hAnsi="Palatino Linotype" w:cs="Times New Roman"/>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D75391">
        <w:rPr>
          <w:rFonts w:ascii="Palatino Linotype" w:eastAsia="MS Mincho" w:hAnsi="Palatino Linotype" w:cs="Times New Roman"/>
          <w:color w:val="000000"/>
        </w:rPr>
        <w:t xml:space="preserve"> EMITIENDO VOTO PARTICULAR</w:t>
      </w:r>
      <w:r w:rsidRPr="00D75391">
        <w:rPr>
          <w:rFonts w:ascii="Palatino Linotype" w:eastAsia="MS Mincho" w:hAnsi="Palatino Linotype" w:cs="Times New Roman"/>
          <w:color w:val="000000"/>
        </w:rPr>
        <w:t>, EVA ABAID YAPUR; JOSÉ GUADALUPE LUNA HERNÁNDEZ; JAVIER MARTÍNEZ CRUZ</w:t>
      </w:r>
      <w:r w:rsidR="00831155">
        <w:rPr>
          <w:rFonts w:ascii="Palatino Linotype" w:eastAsia="MS Mincho" w:hAnsi="Palatino Linotype" w:cs="Times New Roman"/>
          <w:color w:val="000000"/>
        </w:rPr>
        <w:t xml:space="preserve"> EMITIENDO OPINIÓN</w:t>
      </w:r>
      <w:r w:rsidR="00D75391">
        <w:rPr>
          <w:rFonts w:ascii="Palatino Linotype" w:eastAsia="MS Mincho" w:hAnsi="Palatino Linotype" w:cs="Times New Roman"/>
          <w:color w:val="000000"/>
        </w:rPr>
        <w:t xml:space="preserve"> PARTICULAR </w:t>
      </w:r>
      <w:r w:rsidRPr="00D75391">
        <w:rPr>
          <w:rFonts w:ascii="Palatino Linotype" w:eastAsia="MS Mincho" w:hAnsi="Palatino Linotype" w:cs="Times New Roman"/>
          <w:color w:val="000000"/>
        </w:rPr>
        <w:t>Y LUIS GUSTAVO PARRA NORIEGA</w:t>
      </w:r>
      <w:r w:rsidR="00D75391">
        <w:rPr>
          <w:rFonts w:ascii="Palatino Linotype" w:eastAsia="MS Mincho" w:hAnsi="Palatino Linotype" w:cs="Times New Roman"/>
          <w:color w:val="000000"/>
        </w:rPr>
        <w:t xml:space="preserve"> EMITIENDO VOTO PARTICULAR </w:t>
      </w:r>
      <w:r w:rsidRPr="00D75391">
        <w:rPr>
          <w:rFonts w:ascii="Palatino Linotype" w:eastAsia="MS Mincho" w:hAnsi="Palatino Linotype" w:cs="Times New Roman"/>
          <w:color w:val="000000"/>
        </w:rPr>
        <w:t xml:space="preserve">; EN LA </w:t>
      </w:r>
      <w:r w:rsidR="00D75391">
        <w:rPr>
          <w:rFonts w:ascii="Palatino Linotype" w:eastAsia="MS Mincho" w:hAnsi="Palatino Linotype" w:cs="Times New Roman"/>
          <w:color w:val="000000"/>
        </w:rPr>
        <w:t>TRIGÉSIMA SEXTA</w:t>
      </w:r>
      <w:r w:rsidRPr="00D75391">
        <w:rPr>
          <w:rFonts w:ascii="Palatino Linotype" w:eastAsia="MS Mincho" w:hAnsi="Palatino Linotype" w:cs="Times New Roman"/>
          <w:color w:val="000000"/>
        </w:rPr>
        <w:t xml:space="preserve"> S</w:t>
      </w:r>
      <w:r w:rsidR="00D75391">
        <w:rPr>
          <w:rFonts w:ascii="Palatino Linotype" w:eastAsia="MS Mincho" w:hAnsi="Palatino Linotype" w:cs="Times New Roman"/>
          <w:color w:val="000000"/>
        </w:rPr>
        <w:t>ESIÓN ORDINARIA CELEBRADA EL DOS (02</w:t>
      </w:r>
      <w:r w:rsidRPr="00D75391">
        <w:rPr>
          <w:rFonts w:ascii="Palatino Linotype" w:eastAsia="MS Mincho" w:hAnsi="Palatino Linotype" w:cs="Times New Roman"/>
          <w:color w:val="000000"/>
        </w:rPr>
        <w:t>)</w:t>
      </w:r>
      <w:r w:rsidR="00D75391">
        <w:rPr>
          <w:rFonts w:ascii="Palatino Linotype" w:eastAsia="MS Mincho" w:hAnsi="Palatino Linotype" w:cs="Times New Roman"/>
          <w:color w:val="000000"/>
        </w:rPr>
        <w:t xml:space="preserve"> DE OCTUBRE DE DOS MIL DIECINUEVE</w:t>
      </w:r>
      <w:r w:rsidRPr="00D75391">
        <w:rPr>
          <w:rFonts w:ascii="Palatino Linotype" w:eastAsia="MS Mincho" w:hAnsi="Palatino Linotype" w:cs="Times New Roman"/>
          <w:color w:val="000000"/>
        </w:rPr>
        <w:t>, ANTE EL SECRETARIO TÉCNICO DEL PLENO</w:t>
      </w:r>
      <w:r w:rsidR="00D75391">
        <w:rPr>
          <w:rFonts w:ascii="Palatino Linotype" w:eastAsia="MS Mincho" w:hAnsi="Palatino Linotype" w:cs="Times New Roman"/>
          <w:color w:val="000000"/>
        </w:rPr>
        <w:t>,</w:t>
      </w:r>
      <w:r w:rsidRPr="00D75391">
        <w:rPr>
          <w:rFonts w:ascii="Palatino Linotype" w:eastAsia="MS Mincho" w:hAnsi="Palatino Linotype" w:cs="Times New Roman"/>
          <w:color w:val="000000"/>
        </w:rPr>
        <w:t xml:space="preserve"> ALEXIS TAPIA RAMÍREZ.</w:t>
      </w:r>
      <w:r w:rsidRPr="00D75391">
        <w:rPr>
          <w:rFonts w:ascii="Palatino Linotype" w:eastAsia="MS Mincho" w:hAnsi="Palatino Linotype" w:cs="Arial"/>
          <w:color w:val="000000"/>
        </w:rPr>
        <w:t xml:space="preserve"> </w:t>
      </w:r>
    </w:p>
    <w:p w14:paraId="722EC830" w14:textId="77777777" w:rsidR="00D75391" w:rsidRPr="00D75391" w:rsidRDefault="00D75391" w:rsidP="00D75391">
      <w:pPr>
        <w:rPr>
          <w:rFonts w:ascii="Palatino Linotype" w:eastAsia="MS Mincho" w:hAnsi="Palatino Linotype" w:cs="Arial"/>
        </w:rPr>
      </w:pPr>
    </w:p>
    <w:p w14:paraId="47E49C9B" w14:textId="07C2BFA5" w:rsidR="00D75391" w:rsidRDefault="00D75391" w:rsidP="00D75391">
      <w:pPr>
        <w:rPr>
          <w:rFonts w:ascii="Palatino Linotype" w:eastAsia="MS Mincho" w:hAnsi="Palatino Linotype" w:cs="Arial"/>
        </w:rPr>
      </w:pPr>
    </w:p>
    <w:p w14:paraId="553EC720" w14:textId="6469FA94" w:rsidR="00C6671B" w:rsidRPr="00D75391" w:rsidRDefault="00D75391" w:rsidP="00D75391">
      <w:pPr>
        <w:tabs>
          <w:tab w:val="left" w:pos="947"/>
        </w:tabs>
        <w:rPr>
          <w:rFonts w:ascii="Palatino Linotype" w:eastAsia="MS Mincho" w:hAnsi="Palatino Linotype" w:cs="Arial"/>
        </w:rPr>
      </w:pPr>
      <w:r>
        <w:rPr>
          <w:rFonts w:ascii="Palatino Linotype" w:eastAsia="MS Mincho" w:hAnsi="Palatino Linotype" w:cs="Arial"/>
        </w:rPr>
        <w:tab/>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C6671B" w:rsidRPr="00D75391" w14:paraId="19D16C86" w14:textId="77777777" w:rsidTr="00C6671B">
        <w:trPr>
          <w:trHeight w:val="1807"/>
        </w:trPr>
        <w:tc>
          <w:tcPr>
            <w:tcW w:w="8779" w:type="dxa"/>
            <w:gridSpan w:val="2"/>
            <w:vAlign w:val="center"/>
          </w:tcPr>
          <w:p w14:paraId="31855976" w14:textId="77777777" w:rsidR="00D75391" w:rsidRDefault="00D75391" w:rsidP="00D75391">
            <w:pPr>
              <w:spacing w:line="360" w:lineRule="auto"/>
              <w:rPr>
                <w:rFonts w:ascii="Palatino Linotype" w:eastAsia="MS Mincho" w:hAnsi="Palatino Linotype" w:cs="Times New Roman"/>
                <w:b/>
                <w:color w:val="000000"/>
              </w:rPr>
            </w:pPr>
          </w:p>
          <w:p w14:paraId="1D800AD4" w14:textId="77777777" w:rsidR="00C6671B" w:rsidRPr="00D75391" w:rsidRDefault="00C6671B" w:rsidP="00D75391">
            <w:pPr>
              <w:spacing w:line="360" w:lineRule="auto"/>
              <w:jc w:val="center"/>
              <w:rPr>
                <w:rFonts w:ascii="Palatino Linotype" w:eastAsia="MS Mincho" w:hAnsi="Palatino Linotype" w:cs="Times New Roman"/>
                <w:b/>
                <w:color w:val="000000"/>
              </w:rPr>
            </w:pPr>
            <w:r w:rsidRPr="00D75391">
              <w:rPr>
                <w:rFonts w:ascii="Palatino Linotype" w:eastAsia="MS Mincho" w:hAnsi="Palatino Linotype" w:cs="Times New Roman"/>
                <w:b/>
                <w:color w:val="000000"/>
              </w:rPr>
              <w:t>Zulema Martínez Sánchez</w:t>
            </w:r>
          </w:p>
          <w:p w14:paraId="542C340A"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Comisionada Presidenta</w:t>
            </w:r>
          </w:p>
          <w:p w14:paraId="3ED55958" w14:textId="50BEE571"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(Rúbrica)</w:t>
            </w:r>
          </w:p>
        </w:tc>
      </w:tr>
      <w:tr w:rsidR="00C6671B" w:rsidRPr="00D75391" w14:paraId="1FE7061E" w14:textId="77777777" w:rsidTr="00C6671B">
        <w:trPr>
          <w:trHeight w:val="2156"/>
        </w:trPr>
        <w:tc>
          <w:tcPr>
            <w:tcW w:w="4392" w:type="dxa"/>
            <w:vAlign w:val="center"/>
          </w:tcPr>
          <w:p w14:paraId="57C1F338" w14:textId="77777777" w:rsidR="00C6671B" w:rsidRPr="00D75391" w:rsidRDefault="00C6671B" w:rsidP="00D75391">
            <w:pPr>
              <w:spacing w:line="360" w:lineRule="auto"/>
              <w:jc w:val="center"/>
              <w:rPr>
                <w:rFonts w:ascii="Palatino Linotype" w:eastAsia="MS Mincho" w:hAnsi="Palatino Linotype" w:cs="Times New Roman"/>
                <w:b/>
                <w:color w:val="000000"/>
              </w:rPr>
            </w:pPr>
            <w:r w:rsidRPr="00D75391">
              <w:rPr>
                <w:rFonts w:ascii="Palatino Linotype" w:eastAsia="MS Mincho" w:hAnsi="Palatino Linotype" w:cs="Times New Roman"/>
                <w:b/>
                <w:color w:val="000000"/>
              </w:rPr>
              <w:t xml:space="preserve">Eva </w:t>
            </w:r>
            <w:proofErr w:type="spellStart"/>
            <w:r w:rsidRPr="00D75391">
              <w:rPr>
                <w:rFonts w:ascii="Palatino Linotype" w:eastAsia="MS Mincho" w:hAnsi="Palatino Linotype" w:cs="Times New Roman"/>
                <w:b/>
                <w:color w:val="000000"/>
              </w:rPr>
              <w:t>Abaid</w:t>
            </w:r>
            <w:proofErr w:type="spellEnd"/>
            <w:r w:rsidRPr="00D75391">
              <w:rPr>
                <w:rFonts w:ascii="Palatino Linotype" w:eastAsia="MS Mincho" w:hAnsi="Palatino Linotype" w:cs="Times New Roman"/>
                <w:b/>
                <w:color w:val="000000"/>
              </w:rPr>
              <w:t xml:space="preserve"> </w:t>
            </w:r>
            <w:proofErr w:type="spellStart"/>
            <w:r w:rsidRPr="00D75391">
              <w:rPr>
                <w:rFonts w:ascii="Palatino Linotype" w:eastAsia="MS Mincho" w:hAnsi="Palatino Linotype" w:cs="Times New Roman"/>
                <w:b/>
                <w:color w:val="000000"/>
              </w:rPr>
              <w:t>Yapur</w:t>
            </w:r>
            <w:proofErr w:type="spellEnd"/>
          </w:p>
          <w:p w14:paraId="469C9285"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Comisionada</w:t>
            </w:r>
          </w:p>
          <w:p w14:paraId="7FADD6B9"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(Rúbrica)</w:t>
            </w:r>
          </w:p>
        </w:tc>
        <w:tc>
          <w:tcPr>
            <w:tcW w:w="4387" w:type="dxa"/>
            <w:vAlign w:val="center"/>
          </w:tcPr>
          <w:p w14:paraId="6864B4C0" w14:textId="77777777" w:rsidR="00C6671B" w:rsidRPr="00D75391" w:rsidRDefault="00C6671B" w:rsidP="00D75391">
            <w:pPr>
              <w:spacing w:line="360" w:lineRule="auto"/>
              <w:jc w:val="center"/>
              <w:rPr>
                <w:rFonts w:ascii="Palatino Linotype" w:eastAsia="MS Mincho" w:hAnsi="Palatino Linotype" w:cs="Times New Roman"/>
                <w:b/>
                <w:color w:val="000000"/>
              </w:rPr>
            </w:pPr>
            <w:r w:rsidRPr="00D75391">
              <w:rPr>
                <w:rFonts w:ascii="Palatino Linotype" w:eastAsia="MS Mincho" w:hAnsi="Palatino Linotype" w:cs="Times New Roman"/>
                <w:b/>
                <w:color w:val="000000"/>
              </w:rPr>
              <w:t>José Guadalupe Luna Hernández</w:t>
            </w:r>
          </w:p>
          <w:p w14:paraId="7A772588"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Comisionado</w:t>
            </w:r>
          </w:p>
          <w:p w14:paraId="47E7BA68"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(Rúbrica)</w:t>
            </w:r>
          </w:p>
        </w:tc>
      </w:tr>
      <w:tr w:rsidR="00C6671B" w:rsidRPr="00D75391" w14:paraId="7D8E33FD" w14:textId="77777777" w:rsidTr="00C6671B">
        <w:trPr>
          <w:trHeight w:val="2244"/>
        </w:trPr>
        <w:tc>
          <w:tcPr>
            <w:tcW w:w="4392" w:type="dxa"/>
            <w:vAlign w:val="center"/>
          </w:tcPr>
          <w:p w14:paraId="17890728" w14:textId="77777777" w:rsidR="00C6671B" w:rsidRPr="00D75391" w:rsidRDefault="00C6671B" w:rsidP="00D75391">
            <w:pPr>
              <w:spacing w:line="360" w:lineRule="auto"/>
              <w:jc w:val="center"/>
              <w:rPr>
                <w:rFonts w:ascii="Palatino Linotype" w:eastAsia="MS Mincho" w:hAnsi="Palatino Linotype" w:cs="Times New Roman"/>
                <w:b/>
                <w:color w:val="000000"/>
              </w:rPr>
            </w:pPr>
            <w:r w:rsidRPr="00D75391">
              <w:rPr>
                <w:rFonts w:ascii="Palatino Linotype" w:eastAsia="MS Mincho" w:hAnsi="Palatino Linotype" w:cs="Times New Roman"/>
                <w:b/>
                <w:color w:val="000000"/>
              </w:rPr>
              <w:t>Javier Martínez Cruz</w:t>
            </w:r>
          </w:p>
          <w:p w14:paraId="7EE447F1"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Comisionado</w:t>
            </w:r>
          </w:p>
          <w:p w14:paraId="16A8F485"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(Rúbrica)</w:t>
            </w:r>
          </w:p>
        </w:tc>
        <w:tc>
          <w:tcPr>
            <w:tcW w:w="4387" w:type="dxa"/>
            <w:vAlign w:val="center"/>
          </w:tcPr>
          <w:p w14:paraId="6277BA3E" w14:textId="46750C8C" w:rsidR="00C6671B" w:rsidRPr="00D75391" w:rsidRDefault="00C6671B" w:rsidP="00D75391">
            <w:pPr>
              <w:spacing w:line="360" w:lineRule="auto"/>
              <w:jc w:val="center"/>
              <w:rPr>
                <w:rFonts w:ascii="Palatino Linotype" w:eastAsia="MS Mincho" w:hAnsi="Palatino Linotype" w:cs="Times New Roman"/>
                <w:b/>
                <w:color w:val="000000"/>
              </w:rPr>
            </w:pPr>
            <w:r w:rsidRPr="00D75391">
              <w:rPr>
                <w:rFonts w:ascii="Palatino Linotype" w:eastAsia="MS Mincho" w:hAnsi="Palatino Linotype" w:cs="Times New Roman"/>
                <w:b/>
                <w:color w:val="000000"/>
              </w:rPr>
              <w:t>Luis Gustavo Parra Noriega</w:t>
            </w:r>
          </w:p>
          <w:p w14:paraId="2630BF35" w14:textId="136F314D"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Comisionado</w:t>
            </w:r>
          </w:p>
          <w:p w14:paraId="37241033" w14:textId="77777777" w:rsidR="00C6671B" w:rsidRPr="00D75391"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(Rúbrica)</w:t>
            </w:r>
          </w:p>
        </w:tc>
      </w:tr>
      <w:tr w:rsidR="00C6671B" w:rsidRPr="00D75391" w14:paraId="37882B71" w14:textId="77777777" w:rsidTr="00C6671B">
        <w:trPr>
          <w:trHeight w:val="1953"/>
        </w:trPr>
        <w:tc>
          <w:tcPr>
            <w:tcW w:w="8779" w:type="dxa"/>
            <w:gridSpan w:val="2"/>
            <w:vAlign w:val="center"/>
          </w:tcPr>
          <w:p w14:paraId="6DBFABCD" w14:textId="77777777" w:rsidR="00C6671B" w:rsidRPr="00D75391" w:rsidRDefault="00C6671B" w:rsidP="00D75391">
            <w:pPr>
              <w:spacing w:line="360" w:lineRule="auto"/>
              <w:jc w:val="center"/>
              <w:rPr>
                <w:rFonts w:ascii="Palatino Linotype" w:eastAsia="MS Mincho" w:hAnsi="Palatino Linotype" w:cs="Times New Roman"/>
                <w:b/>
                <w:color w:val="000000"/>
              </w:rPr>
            </w:pPr>
            <w:r w:rsidRPr="00D75391">
              <w:rPr>
                <w:rFonts w:ascii="Palatino Linotype" w:eastAsia="MS Mincho" w:hAnsi="Palatino Linotype" w:cs="Times New Roman"/>
                <w:b/>
                <w:color w:val="000000"/>
              </w:rPr>
              <w:t>Alexis Tapia Ramírez</w:t>
            </w:r>
          </w:p>
          <w:p w14:paraId="63C5E233" w14:textId="77777777" w:rsidR="00C6671B" w:rsidRDefault="00C6671B" w:rsidP="00D75391">
            <w:pPr>
              <w:spacing w:line="360" w:lineRule="auto"/>
              <w:jc w:val="center"/>
              <w:rPr>
                <w:rFonts w:ascii="Palatino Linotype" w:eastAsia="MS Mincho" w:hAnsi="Palatino Linotype" w:cs="Times New Roman"/>
                <w:color w:val="000000"/>
              </w:rPr>
            </w:pPr>
            <w:r w:rsidRPr="00D75391">
              <w:rPr>
                <w:rFonts w:ascii="Palatino Linotype" w:eastAsia="MS Mincho" w:hAnsi="Palatino Linotype" w:cs="Times New Roman"/>
                <w:color w:val="000000"/>
              </w:rPr>
              <w:t>Secretario Técnico del Pleno</w:t>
            </w:r>
          </w:p>
          <w:p w14:paraId="6D2ECD55" w14:textId="0C6A126E" w:rsidR="00D75391" w:rsidRPr="00D75391" w:rsidRDefault="00D75391" w:rsidP="00D75391">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(Rúbrica)</w:t>
            </w:r>
          </w:p>
        </w:tc>
      </w:tr>
    </w:tbl>
    <w:p w14:paraId="1EC41396" w14:textId="795AF54D" w:rsidR="005C6142" w:rsidRPr="00D75391" w:rsidRDefault="00C6671B" w:rsidP="00D75391">
      <w:pPr>
        <w:spacing w:before="240" w:after="240" w:line="360" w:lineRule="auto"/>
        <w:jc w:val="both"/>
        <w:rPr>
          <w:rFonts w:ascii="Palatino Linotype" w:eastAsia="Calibri" w:hAnsi="Palatino Linotype" w:cs="Arial"/>
          <w:b/>
          <w:color w:val="000000"/>
        </w:rPr>
      </w:pPr>
      <w:r w:rsidRPr="00D75391">
        <w:rPr>
          <w:rFonts w:ascii="Palatino Linotype" w:eastAsia="Times New Roman" w:hAnsi="Palatino Linotype" w:cs="Arial"/>
          <w:color w:val="000000"/>
        </w:rPr>
        <w:t>Esta hoja cor</w:t>
      </w:r>
      <w:r w:rsidR="00D75391">
        <w:rPr>
          <w:rFonts w:ascii="Palatino Linotype" w:eastAsia="Times New Roman" w:hAnsi="Palatino Linotype" w:cs="Arial"/>
          <w:color w:val="000000"/>
        </w:rPr>
        <w:t>responde a la resolución de dos (02) de octubre</w:t>
      </w:r>
      <w:r w:rsidRPr="00D75391">
        <w:rPr>
          <w:rFonts w:ascii="Palatino Linotype" w:eastAsia="Times New Roman" w:hAnsi="Palatino Linotype" w:cs="Arial"/>
          <w:color w:val="000000"/>
        </w:rPr>
        <w:t xml:space="preserve"> de dos mil diecinueve, emitida en el recurso de revisión </w:t>
      </w:r>
      <w:r w:rsidR="00D75391">
        <w:rPr>
          <w:rFonts w:ascii="Palatino Linotype" w:eastAsia="Times New Roman" w:hAnsi="Palatino Linotype" w:cs="Arial"/>
          <w:b/>
          <w:color w:val="000000"/>
        </w:rPr>
        <w:t>06418</w:t>
      </w:r>
      <w:r w:rsidRPr="00D75391">
        <w:rPr>
          <w:rFonts w:ascii="Palatino Linotype" w:eastAsia="Times New Roman" w:hAnsi="Palatino Linotype" w:cs="Arial"/>
          <w:b/>
          <w:color w:val="000000"/>
        </w:rPr>
        <w:t xml:space="preserve">/INFOEM/IP/RR/2019 y acumulado. </w:t>
      </w:r>
    </w:p>
    <w:sectPr w:rsidR="005C6142" w:rsidRPr="00D75391" w:rsidSect="00D75391">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6457A" w14:textId="77777777" w:rsidR="00E9770F" w:rsidRDefault="00E9770F" w:rsidP="00587366">
      <w:r>
        <w:separator/>
      </w:r>
    </w:p>
  </w:endnote>
  <w:endnote w:type="continuationSeparator" w:id="0">
    <w:p w14:paraId="2FF87230" w14:textId="77777777" w:rsidR="00E9770F" w:rsidRDefault="00E9770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895422" w:rsidRPr="00883450" w:rsidRDefault="0089542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703A8">
              <w:rPr>
                <w:rFonts w:ascii="Palatino Linotype" w:hAnsi="Palatino Linotype"/>
                <w:b/>
                <w:bCs/>
                <w:noProof/>
                <w:sz w:val="22"/>
                <w:szCs w:val="20"/>
              </w:rPr>
              <w:t>91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703A8">
              <w:rPr>
                <w:rFonts w:ascii="Palatino Linotype" w:hAnsi="Palatino Linotype"/>
                <w:b/>
                <w:bCs/>
                <w:noProof/>
                <w:sz w:val="22"/>
                <w:szCs w:val="20"/>
              </w:rPr>
              <w:t>92</w:t>
            </w:r>
            <w:r w:rsidRPr="00883450">
              <w:rPr>
                <w:rFonts w:ascii="Palatino Linotype" w:hAnsi="Palatino Linotype"/>
                <w:b/>
                <w:bCs/>
                <w:sz w:val="22"/>
                <w:szCs w:val="20"/>
              </w:rPr>
              <w:fldChar w:fldCharType="end"/>
            </w:r>
          </w:p>
        </w:sdtContent>
      </w:sdt>
    </w:sdtContent>
  </w:sdt>
  <w:p w14:paraId="6243EC1B" w14:textId="77777777" w:rsidR="00895422" w:rsidRDefault="008954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95422" w:rsidRPr="00883450" w:rsidRDefault="0089542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703A8" w:rsidRPr="003703A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703A8" w:rsidRPr="003703A8">
      <w:rPr>
        <w:rFonts w:ascii="Palatino Linotype" w:hAnsi="Palatino Linotype"/>
        <w:noProof/>
        <w:sz w:val="22"/>
        <w:szCs w:val="22"/>
        <w:lang w:val="es-ES"/>
      </w:rPr>
      <w:t>92</w:t>
    </w:r>
    <w:r w:rsidRPr="00883450">
      <w:rPr>
        <w:rFonts w:ascii="Palatino Linotype" w:hAnsi="Palatino Linotype"/>
        <w:sz w:val="22"/>
        <w:szCs w:val="22"/>
      </w:rPr>
      <w:fldChar w:fldCharType="end"/>
    </w:r>
  </w:p>
  <w:p w14:paraId="5F5C4865" w14:textId="77777777" w:rsidR="00895422" w:rsidRPr="00883450" w:rsidRDefault="0089542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477E2" w14:textId="77777777" w:rsidR="00E9770F" w:rsidRDefault="00E9770F" w:rsidP="00587366">
      <w:r>
        <w:separator/>
      </w:r>
    </w:p>
  </w:footnote>
  <w:footnote w:type="continuationSeparator" w:id="0">
    <w:p w14:paraId="5E818005" w14:textId="77777777" w:rsidR="00E9770F" w:rsidRDefault="00E9770F" w:rsidP="00587366">
      <w:r>
        <w:continuationSeparator/>
      </w:r>
    </w:p>
  </w:footnote>
  <w:footnote w:id="1">
    <w:p w14:paraId="117027BB" w14:textId="77777777" w:rsidR="00895422" w:rsidRPr="00F75272" w:rsidRDefault="00895422"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37F4166" w14:textId="3FFBBD96" w:rsidR="00895422" w:rsidRDefault="00895422">
      <w:pPr>
        <w:pStyle w:val="Textonotapie"/>
      </w:pPr>
      <w:r>
        <w:rPr>
          <w:rStyle w:val="Refdenotaalpie"/>
        </w:rPr>
        <w:footnoteRef/>
      </w:r>
      <w:r>
        <w:t xml:space="preserve"> </w:t>
      </w:r>
      <w:hyperlink r:id="rId1" w:history="1">
        <w:r w:rsidRPr="009D562C">
          <w:rPr>
            <w:rFonts w:eastAsiaTheme="minorEastAsia"/>
            <w:color w:val="0000FF"/>
            <w:sz w:val="24"/>
            <w:szCs w:val="24"/>
            <w:u w:val="single"/>
            <w:lang w:val="es-ES_tradnl" w:eastAsia="es-ES"/>
          </w:rPr>
          <w:t>http://sesaemm.gob.mx/organigrama</w:t>
        </w:r>
      </w:hyperlink>
    </w:p>
  </w:footnote>
  <w:footnote w:id="3">
    <w:p w14:paraId="4C42535B" w14:textId="77777777" w:rsidR="00895422" w:rsidRDefault="00895422" w:rsidP="002E783F">
      <w:pPr>
        <w:pStyle w:val="Textonotapie"/>
      </w:pPr>
      <w:r>
        <w:rPr>
          <w:rStyle w:val="Refdenotaalpie"/>
        </w:rPr>
        <w:footnoteRef/>
      </w:r>
      <w:r>
        <w:t xml:space="preserve"> Disponible en </w:t>
      </w:r>
      <w:hyperlink r:id="rId2" w:history="1">
        <w:r w:rsidRPr="00EA3C28">
          <w:rPr>
            <w:rStyle w:val="Hipervnculo"/>
          </w:rPr>
          <w:t>http://www.dof.gob.mx/nota_detalle.php?codigo=5436072&amp;fecha=04/05/2016</w:t>
        </w:r>
      </w:hyperlink>
    </w:p>
    <w:p w14:paraId="2784A8B2" w14:textId="77777777" w:rsidR="00895422" w:rsidRDefault="00895422" w:rsidP="002E783F">
      <w:pPr>
        <w:pStyle w:val="Textonotapie"/>
      </w:pPr>
    </w:p>
  </w:footnote>
  <w:footnote w:id="4">
    <w:p w14:paraId="539487BB" w14:textId="77777777" w:rsidR="00895422" w:rsidRPr="00985DD4" w:rsidRDefault="00895422" w:rsidP="005C5592">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0427F844" w14:textId="77777777" w:rsidR="00895422" w:rsidRPr="00985DD4" w:rsidRDefault="00895422" w:rsidP="005C5592">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0C6BE854" w14:textId="77777777" w:rsidR="00895422" w:rsidRPr="00985DD4" w:rsidRDefault="00895422" w:rsidP="005C5592">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22BC84A8" w14:textId="77777777" w:rsidR="00895422" w:rsidRPr="00985DD4" w:rsidRDefault="00895422" w:rsidP="005C5592">
      <w:pPr>
        <w:autoSpaceDE w:val="0"/>
        <w:autoSpaceDN w:val="0"/>
        <w:adjustRightInd w:val="0"/>
        <w:spacing w:line="276" w:lineRule="auto"/>
        <w:jc w:val="both"/>
        <w:rPr>
          <w:sz w:val="20"/>
          <w:szCs w:val="20"/>
        </w:rPr>
      </w:pPr>
    </w:p>
  </w:footnote>
  <w:footnote w:id="5">
    <w:p w14:paraId="3539E5F7" w14:textId="77777777" w:rsidR="00895422" w:rsidRPr="00985DD4" w:rsidRDefault="00895422" w:rsidP="005C5592">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6">
    <w:p w14:paraId="093812C5" w14:textId="77777777" w:rsidR="00895422" w:rsidRDefault="00895422" w:rsidP="005C5592">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4734C178" w14:textId="77777777" w:rsidR="00895422" w:rsidRPr="00266430" w:rsidRDefault="00895422" w:rsidP="005C5592">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4DEEF162" w14:textId="77777777" w:rsidR="00895422" w:rsidRPr="00A870EF" w:rsidRDefault="00895422" w:rsidP="005C5592">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62AF1FCE" w14:textId="77777777" w:rsidR="00895422" w:rsidRDefault="00895422" w:rsidP="005C559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3640E8E" w14:textId="77777777" w:rsidR="00895422" w:rsidRDefault="00895422" w:rsidP="005C559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08F4CED" w14:textId="77777777" w:rsidR="00895422" w:rsidRPr="001E1F95" w:rsidRDefault="00895422" w:rsidP="005C559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74871D4D" w14:textId="77777777" w:rsidR="00895422" w:rsidRPr="005C5592" w:rsidRDefault="00895422" w:rsidP="005C5592">
      <w:pPr>
        <w:pStyle w:val="Textonotapie"/>
        <w:rPr>
          <w:color w:val="000000"/>
        </w:rPr>
      </w:pPr>
      <w:r>
        <w:rPr>
          <w:rStyle w:val="Refdenotaalpie"/>
        </w:rPr>
        <w:footnoteRef/>
      </w:r>
      <w:r>
        <w:t xml:space="preserve"> </w:t>
      </w:r>
      <w:r w:rsidRPr="005C5592">
        <w:rPr>
          <w:bCs/>
          <w:color w:val="000000"/>
          <w:bdr w:val="none" w:sz="0" w:space="0" w:color="auto" w:frame="1"/>
          <w:shd w:val="clear" w:color="auto" w:fill="FFFFFF"/>
        </w:rPr>
        <w:t>OVALLE FAVELA, José,</w:t>
      </w:r>
      <w:r w:rsidRPr="005C5592">
        <w:rPr>
          <w:rStyle w:val="apple-converted-space"/>
          <w:bCs/>
          <w:color w:val="000000"/>
          <w:bdr w:val="none" w:sz="0" w:space="0" w:color="auto" w:frame="1"/>
          <w:shd w:val="clear" w:color="auto" w:fill="FFFFFF"/>
        </w:rPr>
        <w:t xml:space="preserve"> “</w:t>
      </w:r>
      <w:r w:rsidRPr="005C5592">
        <w:rPr>
          <w:bCs/>
          <w:i/>
          <w:iCs/>
          <w:color w:val="000000"/>
          <w:bdr w:val="none" w:sz="0" w:space="0" w:color="auto" w:frame="1"/>
          <w:shd w:val="clear" w:color="auto" w:fill="FFFFFF"/>
        </w:rPr>
        <w:t>Garantías constitucionales del proceso”</w:t>
      </w:r>
      <w:r w:rsidRPr="005C5592">
        <w:rPr>
          <w:bCs/>
          <w:color w:val="000000"/>
          <w:bdr w:val="none" w:sz="0" w:space="0" w:color="auto" w:frame="1"/>
          <w:shd w:val="clear" w:color="auto" w:fill="FFFFFF"/>
        </w:rPr>
        <w:t xml:space="preserve">, 2a. ed., México, Oxford </w:t>
      </w:r>
      <w:proofErr w:type="spellStart"/>
      <w:r w:rsidRPr="005C5592">
        <w:rPr>
          <w:bCs/>
          <w:color w:val="000000"/>
          <w:bdr w:val="none" w:sz="0" w:space="0" w:color="auto" w:frame="1"/>
          <w:shd w:val="clear" w:color="auto" w:fill="FFFFFF"/>
        </w:rPr>
        <w:t>University</w:t>
      </w:r>
      <w:proofErr w:type="spellEnd"/>
      <w:r w:rsidRPr="005C5592">
        <w:rPr>
          <w:bCs/>
          <w:color w:val="000000"/>
          <w:bdr w:val="none" w:sz="0" w:space="0" w:color="auto" w:frame="1"/>
          <w:shd w:val="clear" w:color="auto" w:fill="FFFFFF"/>
        </w:rPr>
        <w:t xml:space="preserve"> </w:t>
      </w:r>
      <w:proofErr w:type="spellStart"/>
      <w:r w:rsidRPr="005C5592">
        <w:rPr>
          <w:bCs/>
          <w:color w:val="000000"/>
          <w:bdr w:val="none" w:sz="0" w:space="0" w:color="auto" w:frame="1"/>
          <w:shd w:val="clear" w:color="auto" w:fill="FFFFFF"/>
        </w:rPr>
        <w:t>Press</w:t>
      </w:r>
      <w:proofErr w:type="spellEnd"/>
      <w:r w:rsidRPr="005C5592">
        <w:rPr>
          <w:bCs/>
          <w:color w:val="000000"/>
          <w:bdr w:val="none" w:sz="0" w:space="0" w:color="auto" w:frame="1"/>
          <w:shd w:val="clear" w:color="auto" w:fill="FFFFFF"/>
        </w:rPr>
        <w:t>, 2002, 474 pp.</w:t>
      </w:r>
    </w:p>
  </w:footnote>
  <w:footnote w:id="10">
    <w:p w14:paraId="7E7C00D0" w14:textId="77777777" w:rsidR="00895422" w:rsidRPr="0037004E" w:rsidRDefault="00895422" w:rsidP="005C5592">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763836DA" w14:textId="77777777" w:rsidR="00895422" w:rsidRDefault="00895422" w:rsidP="005C5592">
      <w:pPr>
        <w:pStyle w:val="Textonotapie"/>
      </w:pPr>
    </w:p>
  </w:footnote>
  <w:footnote w:id="11">
    <w:p w14:paraId="659D3CCF" w14:textId="77777777" w:rsidR="00895422" w:rsidRDefault="00895422" w:rsidP="005C5592">
      <w:pPr>
        <w:pStyle w:val="Textonotapie"/>
        <w:jc w:val="both"/>
      </w:pPr>
      <w:r>
        <w:rPr>
          <w:rStyle w:val="Refdenotaalpie"/>
        </w:rPr>
        <w:footnoteRef/>
      </w:r>
      <w:r>
        <w:t xml:space="preserve"> Artículo 3. Para los efectos de la presente Ley se entenderá por:</w:t>
      </w:r>
    </w:p>
    <w:p w14:paraId="5C32B587" w14:textId="77777777" w:rsidR="00895422" w:rsidRDefault="00895422" w:rsidP="005C5592">
      <w:pPr>
        <w:pStyle w:val="Textonotapie"/>
        <w:jc w:val="both"/>
      </w:pPr>
      <w:r>
        <w:t xml:space="preserve"> (…)</w:t>
      </w:r>
    </w:p>
    <w:p w14:paraId="206ADE34" w14:textId="77777777" w:rsidR="00895422" w:rsidRDefault="00895422" w:rsidP="005C5592">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3EDB226B" w14:textId="77777777" w:rsidR="00895422" w:rsidRPr="00ED2A04" w:rsidRDefault="00895422" w:rsidP="005C5592">
      <w:pPr>
        <w:pStyle w:val="Textonotapie"/>
        <w:jc w:val="both"/>
        <w:rPr>
          <w:lang w:val="es-ES"/>
        </w:rPr>
      </w:pPr>
      <w:r>
        <w:rPr>
          <w:rStyle w:val="Refdenotaalpie"/>
        </w:rPr>
        <w:footnoteRef/>
      </w:r>
      <w:r>
        <w:t xml:space="preserve"> </w:t>
      </w:r>
      <w:hyperlink r:id="rId3" w:anchor="/entry-id/E216930" w:history="1">
        <w:r w:rsidRPr="00AA2458">
          <w:rPr>
            <w:rStyle w:val="Hipervnculo"/>
          </w:rPr>
          <w:t>http://dej.rae.es/#/entry-id/E216930</w:t>
        </w:r>
      </w:hyperlink>
      <w:r>
        <w:t xml:space="preserve"> </w:t>
      </w:r>
    </w:p>
  </w:footnote>
  <w:footnote w:id="13">
    <w:p w14:paraId="77C43F2E" w14:textId="77777777" w:rsidR="00895422" w:rsidRPr="00ED2A04" w:rsidRDefault="00895422" w:rsidP="005C5592">
      <w:pPr>
        <w:pStyle w:val="Textonotapie"/>
        <w:jc w:val="both"/>
        <w:rPr>
          <w:lang w:val="es-ES"/>
        </w:rPr>
      </w:pPr>
      <w:r>
        <w:rPr>
          <w:rStyle w:val="Refdenotaalpie"/>
        </w:rPr>
        <w:footnoteRef/>
      </w:r>
      <w:r>
        <w:t xml:space="preserve"> </w:t>
      </w:r>
      <w:hyperlink r:id="rId4" w:anchor="/entry-id/E87450" w:history="1">
        <w:r w:rsidRPr="00AA2458">
          <w:rPr>
            <w:rStyle w:val="Hipervnculo"/>
          </w:rPr>
          <w:t>http://dej.rae.es/#/entry-id/E87450</w:t>
        </w:r>
      </w:hyperlink>
      <w:r>
        <w:t xml:space="preserve"> </w:t>
      </w:r>
    </w:p>
  </w:footnote>
  <w:footnote w:id="14">
    <w:p w14:paraId="3EB8BF86" w14:textId="77777777" w:rsidR="00895422" w:rsidRPr="000406A4" w:rsidRDefault="00895422" w:rsidP="005C5592">
      <w:pPr>
        <w:pStyle w:val="Textonotapie"/>
        <w:jc w:val="both"/>
        <w:rPr>
          <w:lang w:val="es-ES"/>
        </w:rPr>
      </w:pPr>
      <w:r>
        <w:rPr>
          <w:rStyle w:val="Refdenotaalpie"/>
        </w:rPr>
        <w:footnoteRef/>
      </w:r>
      <w:r>
        <w:t xml:space="preserve"> </w:t>
      </w:r>
      <w:hyperlink r:id="rId5" w:history="1">
        <w:r w:rsidRPr="00AA2458">
          <w:rPr>
            <w:rStyle w:val="Hipervnculo"/>
          </w:rPr>
          <w:t>http://dle.rae.es/?id=VGqyuLj|VGtxgAo|VGuc9Wg</w:t>
        </w:r>
      </w:hyperlink>
      <w:r>
        <w:t xml:space="preserve"> </w:t>
      </w:r>
    </w:p>
  </w:footnote>
  <w:footnote w:id="15">
    <w:p w14:paraId="50983C3D" w14:textId="77777777" w:rsidR="00895422" w:rsidRPr="000406A4" w:rsidRDefault="00895422" w:rsidP="005C5592">
      <w:pPr>
        <w:pStyle w:val="Textonotapie"/>
        <w:jc w:val="both"/>
        <w:rPr>
          <w:lang w:val="es-ES"/>
        </w:rPr>
      </w:pPr>
      <w:r>
        <w:rPr>
          <w:rStyle w:val="Refdenotaalpie"/>
        </w:rPr>
        <w:footnoteRef/>
      </w:r>
      <w:r>
        <w:t xml:space="preserve"> </w:t>
      </w:r>
      <w:hyperlink r:id="rId6" w:history="1">
        <w:r w:rsidRPr="00AA2458">
          <w:rPr>
            <w:rStyle w:val="Hipervnculo"/>
          </w:rPr>
          <w:t>http://dle.rae.es/?id=CAjNzMR</w:t>
        </w:r>
      </w:hyperlink>
      <w:r>
        <w:t xml:space="preserve"> </w:t>
      </w:r>
    </w:p>
  </w:footnote>
  <w:footnote w:id="16">
    <w:p w14:paraId="7B4BD1B7" w14:textId="77777777" w:rsidR="00895422" w:rsidRPr="000406A4" w:rsidRDefault="00895422" w:rsidP="005C5592">
      <w:pPr>
        <w:pStyle w:val="Textonotapie"/>
        <w:jc w:val="both"/>
        <w:rPr>
          <w:lang w:val="es-ES"/>
        </w:rPr>
      </w:pPr>
      <w:r>
        <w:rPr>
          <w:rStyle w:val="Refdenotaalpie"/>
        </w:rPr>
        <w:footnoteRef/>
      </w:r>
      <w:r>
        <w:t xml:space="preserve"> </w:t>
      </w:r>
      <w:hyperlink r:id="rId7" w:history="1">
        <w:r w:rsidRPr="00AA2458">
          <w:rPr>
            <w:rStyle w:val="Hipervnculo"/>
          </w:rPr>
          <w:t>http://dle.rae.es/?id=CAqWkEB</w:t>
        </w:r>
      </w:hyperlink>
      <w:r>
        <w:t xml:space="preserve"> </w:t>
      </w:r>
    </w:p>
  </w:footnote>
  <w:footnote w:id="17">
    <w:p w14:paraId="26B9465A" w14:textId="77777777" w:rsidR="00895422" w:rsidRPr="000406A4" w:rsidRDefault="00895422" w:rsidP="005C5592">
      <w:pPr>
        <w:pStyle w:val="Textonotapie"/>
        <w:jc w:val="both"/>
        <w:rPr>
          <w:lang w:val="es-ES"/>
        </w:rPr>
      </w:pPr>
      <w:r>
        <w:rPr>
          <w:rStyle w:val="Refdenotaalpie"/>
        </w:rPr>
        <w:footnoteRef/>
      </w:r>
      <w:r>
        <w:t xml:space="preserve"> </w:t>
      </w:r>
      <w:hyperlink r:id="rId8" w:history="1">
        <w:r w:rsidRPr="00AA2458">
          <w:rPr>
            <w:rStyle w:val="Hipervnculo"/>
          </w:rPr>
          <w:t>http://dle.rae.es/?id=KtnHLLd</w:t>
        </w:r>
      </w:hyperlink>
      <w:r>
        <w:t xml:space="preserve"> </w:t>
      </w:r>
    </w:p>
  </w:footnote>
  <w:footnote w:id="18">
    <w:p w14:paraId="2CCCC1B0" w14:textId="77777777" w:rsidR="00895422" w:rsidRPr="000406A4" w:rsidRDefault="00895422" w:rsidP="005C5592">
      <w:pPr>
        <w:pStyle w:val="Textonotapie"/>
        <w:jc w:val="both"/>
        <w:rPr>
          <w:lang w:val="es-ES"/>
        </w:rPr>
      </w:pPr>
      <w:r>
        <w:rPr>
          <w:rStyle w:val="Refdenotaalpie"/>
        </w:rPr>
        <w:footnoteRef/>
      </w:r>
      <w:r>
        <w:t xml:space="preserve"> </w:t>
      </w:r>
      <w:hyperlink r:id="rId9" w:history="1">
        <w:r w:rsidRPr="00AA2458">
          <w:rPr>
            <w:rStyle w:val="Hipervnculo"/>
          </w:rPr>
          <w:t>http://dle.rae.es/?id=KtpfgjV</w:t>
        </w:r>
      </w:hyperlink>
      <w:r>
        <w:t xml:space="preserve"> </w:t>
      </w:r>
    </w:p>
  </w:footnote>
  <w:footnote w:id="19">
    <w:p w14:paraId="462F525B" w14:textId="77777777" w:rsidR="00895422" w:rsidRPr="005C5592" w:rsidRDefault="00895422" w:rsidP="005C5592">
      <w:pPr>
        <w:jc w:val="both"/>
        <w:rPr>
          <w:rFonts w:eastAsia="Times New Roman"/>
          <w:color w:val="000000"/>
          <w:sz w:val="20"/>
          <w:szCs w:val="20"/>
          <w:lang w:eastAsia="es-ES_tradnl"/>
        </w:rPr>
      </w:pPr>
      <w:r>
        <w:rPr>
          <w:rStyle w:val="Refdenotaalpie"/>
        </w:rPr>
        <w:footnoteRef/>
      </w:r>
      <w:r>
        <w:t xml:space="preserve"> </w:t>
      </w:r>
      <w:r>
        <w:rPr>
          <w:lang w:val="es-ES"/>
        </w:rPr>
        <w:t>“</w:t>
      </w:r>
      <w:r w:rsidRPr="005C5592">
        <w:rPr>
          <w:rFonts w:eastAsia="Times New Roman"/>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5C5592">
        <w:rPr>
          <w:rFonts w:eastAsia="Times New Roman"/>
          <w:color w:val="000000"/>
          <w:sz w:val="20"/>
          <w:szCs w:val="20"/>
          <w:lang w:eastAsia="es-ES_tradnl"/>
        </w:rPr>
        <w:t>tests</w:t>
      </w:r>
      <w:proofErr w:type="spellEnd"/>
      <w:r w:rsidRPr="005C5592">
        <w:rPr>
          <w:rFonts w:eastAsia="Times New Roman"/>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5C5592">
        <w:rPr>
          <w:rFonts w:eastAsia="Times New Roman"/>
          <w:color w:val="000000"/>
          <w:sz w:val="20"/>
          <w:szCs w:val="20"/>
          <w:lang w:eastAsia="es-ES_tradnl"/>
        </w:rPr>
        <w:t>Lluy</w:t>
      </w:r>
      <w:proofErr w:type="spellEnd"/>
      <w:r w:rsidRPr="005C5592">
        <w:rPr>
          <w:rFonts w:eastAsia="Times New Roman"/>
          <w:color w:val="000000"/>
          <w:sz w:val="20"/>
          <w:szCs w:val="20"/>
          <w:lang w:eastAsia="es-ES_tradnl"/>
        </w:rPr>
        <w:t xml:space="preserve"> y otros contra Ecuador. Excepciones preliminares, fondo, reparaciones y costas. Sentencia del 01 de septiembre de 2015. Párr. 256. </w:t>
      </w:r>
    </w:p>
  </w:footnote>
  <w:footnote w:id="20">
    <w:p w14:paraId="20774999" w14:textId="77777777" w:rsidR="00895422" w:rsidRPr="00A4142C" w:rsidRDefault="00895422" w:rsidP="005C5592">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1">
    <w:p w14:paraId="23C37AF0" w14:textId="77777777" w:rsidR="00895422" w:rsidRPr="00034B44" w:rsidRDefault="00895422" w:rsidP="004D38F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1D500B0D" w14:textId="77777777" w:rsidR="00895422" w:rsidRPr="00034B44" w:rsidRDefault="00895422" w:rsidP="004D38F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22">
    <w:p w14:paraId="22C4BE9A" w14:textId="77777777" w:rsidR="00895422" w:rsidRPr="00034B44" w:rsidRDefault="00895422" w:rsidP="004D38F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23">
    <w:p w14:paraId="70D0DB5B" w14:textId="77777777" w:rsidR="00895422" w:rsidRPr="00034B44" w:rsidRDefault="00895422" w:rsidP="004D38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77C21DB" w14:textId="77777777" w:rsidR="00895422" w:rsidRPr="00034B44" w:rsidRDefault="00895422" w:rsidP="004D38F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2B8256" w14:textId="77777777" w:rsidR="00895422" w:rsidRPr="00034B44" w:rsidRDefault="00895422" w:rsidP="004D38F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24">
    <w:p w14:paraId="7033E46C" w14:textId="77777777" w:rsidR="00895422" w:rsidRPr="00034B44" w:rsidRDefault="00895422" w:rsidP="004D38F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25">
    <w:p w14:paraId="11CEF282" w14:textId="77777777" w:rsidR="00895422" w:rsidRPr="00034B44" w:rsidRDefault="00895422" w:rsidP="004D38F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B3A0EA9" w14:textId="77777777" w:rsidR="00895422" w:rsidRPr="00034B44" w:rsidRDefault="00895422" w:rsidP="004D38F2">
      <w:pPr>
        <w:pStyle w:val="Textonotapie"/>
        <w:jc w:val="both"/>
        <w:rPr>
          <w:rFonts w:ascii="Palatino Linotype" w:hAnsi="Palatino Linotype"/>
          <w:sz w:val="18"/>
        </w:rPr>
      </w:pPr>
      <w:r w:rsidRPr="00034B44">
        <w:rPr>
          <w:rFonts w:ascii="Palatino Linotype" w:hAnsi="Palatino Linotype"/>
          <w:sz w:val="18"/>
        </w:rPr>
        <w:t xml:space="preserve"> (…)</w:t>
      </w:r>
    </w:p>
    <w:p w14:paraId="0D515465" w14:textId="77777777" w:rsidR="00895422" w:rsidRPr="00034B44" w:rsidRDefault="00895422" w:rsidP="004D38F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95422" w:rsidRDefault="00895422" w:rsidP="001C6012">
    <w:pPr>
      <w:pStyle w:val="Encabezado"/>
      <w:tabs>
        <w:tab w:val="clear" w:pos="4252"/>
        <w:tab w:val="clear" w:pos="8504"/>
        <w:tab w:val="left" w:pos="8460"/>
      </w:tabs>
    </w:pPr>
    <w:r>
      <w:tab/>
    </w:r>
  </w:p>
  <w:p w14:paraId="64F5F23E" w14:textId="390690E5" w:rsidR="00895422" w:rsidRDefault="00895422">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895422" w:rsidRPr="00674A46" w14:paraId="07F2896E" w14:textId="77777777" w:rsidTr="000C1C1E">
      <w:trPr>
        <w:trHeight w:val="138"/>
        <w:jc w:val="right"/>
      </w:trPr>
      <w:tc>
        <w:tcPr>
          <w:tcW w:w="2556" w:type="dxa"/>
          <w:vAlign w:val="center"/>
        </w:tcPr>
        <w:p w14:paraId="4A5B1974" w14:textId="267F0F42" w:rsidR="00895422" w:rsidRPr="00674A46" w:rsidRDefault="00895422"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3E92CAAD" w:rsidR="00895422" w:rsidRPr="00674A46" w:rsidRDefault="00895422" w:rsidP="00E66073">
          <w:pPr>
            <w:pStyle w:val="Encabezado"/>
            <w:rPr>
              <w:rFonts w:ascii="Palatino Linotype" w:hAnsi="Palatino Linotype"/>
              <w:b/>
              <w:sz w:val="22"/>
              <w:szCs w:val="22"/>
            </w:rPr>
          </w:pPr>
          <w:r>
            <w:rPr>
              <w:rFonts w:ascii="Palatino Linotype" w:hAnsi="Palatino Linotype" w:cs="Arial"/>
              <w:b/>
              <w:bCs/>
              <w:sz w:val="22"/>
              <w:szCs w:val="22"/>
              <w:lang w:eastAsia="es-MX"/>
            </w:rPr>
            <w:t>06418/INFOEM/IP/RR/2019 y acumulado.</w:t>
          </w:r>
        </w:p>
      </w:tc>
    </w:tr>
    <w:tr w:rsidR="00895422" w:rsidRPr="00674A46" w14:paraId="1B5D8690" w14:textId="77777777" w:rsidTr="000C1C1E">
      <w:trPr>
        <w:trHeight w:val="233"/>
        <w:jc w:val="right"/>
      </w:trPr>
      <w:tc>
        <w:tcPr>
          <w:tcW w:w="2556" w:type="dxa"/>
          <w:vAlign w:val="center"/>
        </w:tcPr>
        <w:p w14:paraId="3903F2C6" w14:textId="0AB19AD8" w:rsidR="00895422" w:rsidRPr="00674A46" w:rsidRDefault="00895422"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396F687A" w:rsidR="00895422" w:rsidRPr="00B75F20" w:rsidRDefault="00895422" w:rsidP="006073E1">
          <w:pPr>
            <w:pStyle w:val="Encabezado"/>
            <w:rPr>
              <w:rFonts w:ascii="Palatino Linotype" w:hAnsi="Palatino Linotype"/>
              <w:b/>
              <w:sz w:val="22"/>
              <w:szCs w:val="22"/>
            </w:rPr>
          </w:pPr>
          <w:r>
            <w:rPr>
              <w:rFonts w:ascii="Palatino Linotype" w:hAnsi="Palatino Linotype"/>
              <w:b/>
              <w:bCs/>
              <w:color w:val="000000"/>
              <w:sz w:val="22"/>
              <w:szCs w:val="22"/>
            </w:rPr>
            <w:t>Secretaría Ejecutiva del Sistema Estatal Anticorrupción.</w:t>
          </w:r>
        </w:p>
      </w:tc>
    </w:tr>
    <w:tr w:rsidR="00895422" w:rsidRPr="00674A46" w14:paraId="095EB01B" w14:textId="77777777" w:rsidTr="000C1C1E">
      <w:trPr>
        <w:trHeight w:val="321"/>
        <w:jc w:val="right"/>
      </w:trPr>
      <w:tc>
        <w:tcPr>
          <w:tcW w:w="2556" w:type="dxa"/>
          <w:vAlign w:val="center"/>
        </w:tcPr>
        <w:p w14:paraId="6E000A51" w14:textId="33AFA024" w:rsidR="00895422" w:rsidRPr="00674A46" w:rsidRDefault="00895422"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895422" w:rsidRPr="00674A46" w:rsidRDefault="00895422"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95422" w:rsidRDefault="0089542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95422" w:rsidRDefault="00895422"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895422" w:rsidRPr="00674A46" w14:paraId="0A3256F2" w14:textId="77777777" w:rsidTr="007B32C0">
      <w:trPr>
        <w:trHeight w:val="138"/>
      </w:trPr>
      <w:tc>
        <w:tcPr>
          <w:tcW w:w="2556" w:type="dxa"/>
          <w:vAlign w:val="center"/>
        </w:tcPr>
        <w:p w14:paraId="3D80769D" w14:textId="0843A291" w:rsidR="00895422" w:rsidRPr="00674A46" w:rsidRDefault="00895422"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134005A6" w:rsidR="00895422" w:rsidRPr="000D1606" w:rsidRDefault="00895422"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06418/INFOEM/IP/RR/2019 y acumulado.</w:t>
          </w:r>
        </w:p>
      </w:tc>
    </w:tr>
    <w:tr w:rsidR="00895422" w:rsidRPr="00B75F20" w14:paraId="128C8B3C" w14:textId="77777777" w:rsidTr="007B32C0">
      <w:trPr>
        <w:trHeight w:val="233"/>
      </w:trPr>
      <w:tc>
        <w:tcPr>
          <w:tcW w:w="2556" w:type="dxa"/>
          <w:vAlign w:val="center"/>
        </w:tcPr>
        <w:p w14:paraId="483E3371" w14:textId="0A4F2110" w:rsidR="00895422" w:rsidRPr="00674A46" w:rsidRDefault="00895422"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04037BAF" w:rsidR="00895422" w:rsidRPr="00B75F20" w:rsidRDefault="003703A8" w:rsidP="00472C41">
          <w:pPr>
            <w:pStyle w:val="Encabezado"/>
            <w:rPr>
              <w:rFonts w:ascii="Palatino Linotype" w:hAnsi="Palatino Linotype"/>
              <w:b/>
              <w:sz w:val="22"/>
              <w:szCs w:val="22"/>
            </w:rPr>
          </w:pPr>
          <w:r w:rsidRPr="003703A8">
            <w:rPr>
              <w:rFonts w:ascii="Palatino Linotype" w:hAnsi="Palatino Linotype"/>
              <w:b/>
              <w:sz w:val="22"/>
              <w:szCs w:val="22"/>
              <w:highlight w:val="black"/>
            </w:rPr>
            <w:t>----------------------------------</w:t>
          </w:r>
          <w:r w:rsidR="00895422">
            <w:rPr>
              <w:rFonts w:ascii="Palatino Linotype" w:hAnsi="Palatino Linotype"/>
              <w:b/>
              <w:sz w:val="22"/>
              <w:szCs w:val="22"/>
            </w:rPr>
            <w:t xml:space="preserve"> </w:t>
          </w:r>
        </w:p>
      </w:tc>
    </w:tr>
    <w:tr w:rsidR="00895422" w:rsidRPr="00674A46" w14:paraId="41BE0704" w14:textId="77777777" w:rsidTr="007B32C0">
      <w:trPr>
        <w:trHeight w:val="321"/>
      </w:trPr>
      <w:tc>
        <w:tcPr>
          <w:tcW w:w="2556" w:type="dxa"/>
          <w:vAlign w:val="center"/>
        </w:tcPr>
        <w:p w14:paraId="34C64148" w14:textId="77E39B44" w:rsidR="00895422" w:rsidRPr="00674A46" w:rsidRDefault="00895422"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0D69AAD7" w:rsidR="00895422" w:rsidRPr="00674A46" w:rsidRDefault="00895422" w:rsidP="00D336DB">
          <w:pPr>
            <w:pStyle w:val="Encabezado"/>
            <w:rPr>
              <w:rFonts w:ascii="Palatino Linotype" w:hAnsi="Palatino Linotype"/>
              <w:b/>
              <w:sz w:val="22"/>
              <w:szCs w:val="22"/>
            </w:rPr>
          </w:pPr>
          <w:r>
            <w:rPr>
              <w:rFonts w:ascii="Palatino Linotype" w:hAnsi="Palatino Linotype"/>
              <w:b/>
              <w:bCs/>
              <w:color w:val="000000"/>
              <w:sz w:val="22"/>
              <w:szCs w:val="22"/>
            </w:rPr>
            <w:t xml:space="preserve">Secretaría Ejecutiva del Sistema Estatal Anticorrupción.  </w:t>
          </w:r>
        </w:p>
      </w:tc>
    </w:tr>
    <w:tr w:rsidR="00895422" w:rsidRPr="00674A46" w14:paraId="0C8B6193" w14:textId="77777777" w:rsidTr="007B32C0">
      <w:trPr>
        <w:trHeight w:val="321"/>
      </w:trPr>
      <w:tc>
        <w:tcPr>
          <w:tcW w:w="2556" w:type="dxa"/>
          <w:vAlign w:val="center"/>
        </w:tcPr>
        <w:p w14:paraId="321FFAFF" w14:textId="6C6C7227" w:rsidR="00895422" w:rsidRPr="00674A46" w:rsidRDefault="00895422"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895422" w:rsidRPr="00674A46" w:rsidRDefault="0089542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95422" w:rsidRDefault="0089542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EE35AE"/>
    <w:multiLevelType w:val="hybridMultilevel"/>
    <w:tmpl w:val="5002BD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4B4BBA"/>
    <w:multiLevelType w:val="hybridMultilevel"/>
    <w:tmpl w:val="DA50D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9E6DE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1D67B6D"/>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8D439D1"/>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49F324A6"/>
    <w:multiLevelType w:val="hybridMultilevel"/>
    <w:tmpl w:val="761EC05E"/>
    <w:lvl w:ilvl="0" w:tplc="A8101D9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DD1377"/>
    <w:multiLevelType w:val="hybridMultilevel"/>
    <w:tmpl w:val="0262DCEA"/>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6F875C07"/>
    <w:multiLevelType w:val="hybridMultilevel"/>
    <w:tmpl w:val="562AFADC"/>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5"/>
  </w:num>
  <w:num w:numId="2">
    <w:abstractNumId w:val="12"/>
  </w:num>
  <w:num w:numId="3">
    <w:abstractNumId w:val="4"/>
  </w:num>
  <w:num w:numId="4">
    <w:abstractNumId w:val="13"/>
  </w:num>
  <w:num w:numId="5">
    <w:abstractNumId w:val="5"/>
  </w:num>
  <w:num w:numId="6">
    <w:abstractNumId w:val="8"/>
  </w:num>
  <w:num w:numId="7">
    <w:abstractNumId w:val="9"/>
  </w:num>
  <w:num w:numId="8">
    <w:abstractNumId w:val="7"/>
  </w:num>
  <w:num w:numId="9">
    <w:abstractNumId w:val="14"/>
  </w:num>
  <w:num w:numId="10">
    <w:abstractNumId w:val="10"/>
  </w:num>
  <w:num w:numId="11">
    <w:abstractNumId w:val="1"/>
  </w:num>
  <w:num w:numId="12">
    <w:abstractNumId w:val="11"/>
  </w:num>
  <w:num w:numId="13">
    <w:abstractNumId w:val="2"/>
  </w:num>
  <w:num w:numId="14">
    <w:abstractNumId w:val="0"/>
  </w:num>
  <w:num w:numId="15">
    <w:abstractNumId w:val="6"/>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3AF9"/>
    <w:rsid w:val="0000407F"/>
    <w:rsid w:val="000058E3"/>
    <w:rsid w:val="000060C4"/>
    <w:rsid w:val="00006F9D"/>
    <w:rsid w:val="0000724D"/>
    <w:rsid w:val="000072D1"/>
    <w:rsid w:val="00007E8A"/>
    <w:rsid w:val="0001106B"/>
    <w:rsid w:val="00012472"/>
    <w:rsid w:val="00016144"/>
    <w:rsid w:val="00017040"/>
    <w:rsid w:val="000203D3"/>
    <w:rsid w:val="000211F8"/>
    <w:rsid w:val="00026A2E"/>
    <w:rsid w:val="00027EA9"/>
    <w:rsid w:val="00027EF7"/>
    <w:rsid w:val="000305E0"/>
    <w:rsid w:val="0003063D"/>
    <w:rsid w:val="000313DA"/>
    <w:rsid w:val="00031F10"/>
    <w:rsid w:val="000321E2"/>
    <w:rsid w:val="00032493"/>
    <w:rsid w:val="00033F39"/>
    <w:rsid w:val="000353D8"/>
    <w:rsid w:val="000401A7"/>
    <w:rsid w:val="00040774"/>
    <w:rsid w:val="0004193F"/>
    <w:rsid w:val="00042380"/>
    <w:rsid w:val="0004246E"/>
    <w:rsid w:val="00042AFA"/>
    <w:rsid w:val="00043464"/>
    <w:rsid w:val="00043987"/>
    <w:rsid w:val="0004686A"/>
    <w:rsid w:val="000468E2"/>
    <w:rsid w:val="000514BA"/>
    <w:rsid w:val="0005237C"/>
    <w:rsid w:val="000525AF"/>
    <w:rsid w:val="00052A3C"/>
    <w:rsid w:val="00054A03"/>
    <w:rsid w:val="000567D5"/>
    <w:rsid w:val="00056A79"/>
    <w:rsid w:val="000572EE"/>
    <w:rsid w:val="00061344"/>
    <w:rsid w:val="00062379"/>
    <w:rsid w:val="000631D9"/>
    <w:rsid w:val="000647ED"/>
    <w:rsid w:val="00064A37"/>
    <w:rsid w:val="00064B95"/>
    <w:rsid w:val="000652F1"/>
    <w:rsid w:val="0006548A"/>
    <w:rsid w:val="0006608C"/>
    <w:rsid w:val="00067F29"/>
    <w:rsid w:val="000700A4"/>
    <w:rsid w:val="0007471F"/>
    <w:rsid w:val="000775F3"/>
    <w:rsid w:val="000800AC"/>
    <w:rsid w:val="000813F6"/>
    <w:rsid w:val="00082A91"/>
    <w:rsid w:val="00082D11"/>
    <w:rsid w:val="0008542A"/>
    <w:rsid w:val="00085BFA"/>
    <w:rsid w:val="0008694B"/>
    <w:rsid w:val="00090D6F"/>
    <w:rsid w:val="00090DBA"/>
    <w:rsid w:val="000920E5"/>
    <w:rsid w:val="00093E1E"/>
    <w:rsid w:val="00095A3E"/>
    <w:rsid w:val="0009781D"/>
    <w:rsid w:val="000A0913"/>
    <w:rsid w:val="000A319B"/>
    <w:rsid w:val="000A3932"/>
    <w:rsid w:val="000A3F90"/>
    <w:rsid w:val="000A4932"/>
    <w:rsid w:val="000A4E44"/>
    <w:rsid w:val="000A5B93"/>
    <w:rsid w:val="000A6903"/>
    <w:rsid w:val="000A77ED"/>
    <w:rsid w:val="000B0370"/>
    <w:rsid w:val="000B19FB"/>
    <w:rsid w:val="000B38FC"/>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0CD8"/>
    <w:rsid w:val="000F2D8B"/>
    <w:rsid w:val="000F2EDD"/>
    <w:rsid w:val="00100DDD"/>
    <w:rsid w:val="00102447"/>
    <w:rsid w:val="00103888"/>
    <w:rsid w:val="00105CF9"/>
    <w:rsid w:val="00107499"/>
    <w:rsid w:val="00107557"/>
    <w:rsid w:val="00110A8E"/>
    <w:rsid w:val="0011167C"/>
    <w:rsid w:val="0011215D"/>
    <w:rsid w:val="001125C5"/>
    <w:rsid w:val="00112B02"/>
    <w:rsid w:val="00112FBF"/>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6CA6"/>
    <w:rsid w:val="001775DF"/>
    <w:rsid w:val="0017768E"/>
    <w:rsid w:val="001831C5"/>
    <w:rsid w:val="00183907"/>
    <w:rsid w:val="00185071"/>
    <w:rsid w:val="00187763"/>
    <w:rsid w:val="00192E4B"/>
    <w:rsid w:val="00193A85"/>
    <w:rsid w:val="00193AE9"/>
    <w:rsid w:val="00193C37"/>
    <w:rsid w:val="00195ADE"/>
    <w:rsid w:val="00196CF3"/>
    <w:rsid w:val="00197BA9"/>
    <w:rsid w:val="001A0042"/>
    <w:rsid w:val="001A0571"/>
    <w:rsid w:val="001A12EE"/>
    <w:rsid w:val="001A138D"/>
    <w:rsid w:val="001A2857"/>
    <w:rsid w:val="001A2A89"/>
    <w:rsid w:val="001A44D1"/>
    <w:rsid w:val="001A5466"/>
    <w:rsid w:val="001A61E1"/>
    <w:rsid w:val="001A6A6D"/>
    <w:rsid w:val="001A6C1E"/>
    <w:rsid w:val="001B0F8D"/>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88C"/>
    <w:rsid w:val="001D0E73"/>
    <w:rsid w:val="001D1324"/>
    <w:rsid w:val="001D1810"/>
    <w:rsid w:val="001D2FDE"/>
    <w:rsid w:val="001D3AB5"/>
    <w:rsid w:val="001D4D3A"/>
    <w:rsid w:val="001D5070"/>
    <w:rsid w:val="001D7E82"/>
    <w:rsid w:val="001E0AD2"/>
    <w:rsid w:val="001E3000"/>
    <w:rsid w:val="001E380D"/>
    <w:rsid w:val="001E3F91"/>
    <w:rsid w:val="001E4773"/>
    <w:rsid w:val="001E55B7"/>
    <w:rsid w:val="001E6822"/>
    <w:rsid w:val="001E69B4"/>
    <w:rsid w:val="001E6DA9"/>
    <w:rsid w:val="001E74A5"/>
    <w:rsid w:val="001E7765"/>
    <w:rsid w:val="001E7871"/>
    <w:rsid w:val="001E7A48"/>
    <w:rsid w:val="001E7B9E"/>
    <w:rsid w:val="001F025B"/>
    <w:rsid w:val="001F1403"/>
    <w:rsid w:val="001F33E8"/>
    <w:rsid w:val="001F351E"/>
    <w:rsid w:val="001F40F9"/>
    <w:rsid w:val="001F7DE2"/>
    <w:rsid w:val="002007FF"/>
    <w:rsid w:val="002031F3"/>
    <w:rsid w:val="00205FB6"/>
    <w:rsid w:val="00206776"/>
    <w:rsid w:val="00210945"/>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022"/>
    <w:rsid w:val="00244318"/>
    <w:rsid w:val="00244F8B"/>
    <w:rsid w:val="002458B8"/>
    <w:rsid w:val="00246E43"/>
    <w:rsid w:val="002522F4"/>
    <w:rsid w:val="00252B41"/>
    <w:rsid w:val="0025514B"/>
    <w:rsid w:val="0025524F"/>
    <w:rsid w:val="00255799"/>
    <w:rsid w:val="00255B21"/>
    <w:rsid w:val="002564AC"/>
    <w:rsid w:val="00257314"/>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2A5F"/>
    <w:rsid w:val="002A35B6"/>
    <w:rsid w:val="002A3C1B"/>
    <w:rsid w:val="002A43F6"/>
    <w:rsid w:val="002B0014"/>
    <w:rsid w:val="002B085C"/>
    <w:rsid w:val="002B2A2E"/>
    <w:rsid w:val="002B2B22"/>
    <w:rsid w:val="002B2F59"/>
    <w:rsid w:val="002B378D"/>
    <w:rsid w:val="002B39AD"/>
    <w:rsid w:val="002B4D21"/>
    <w:rsid w:val="002B62AC"/>
    <w:rsid w:val="002B6755"/>
    <w:rsid w:val="002B7C77"/>
    <w:rsid w:val="002C0804"/>
    <w:rsid w:val="002C1100"/>
    <w:rsid w:val="002C11B6"/>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CE"/>
    <w:rsid w:val="002E783F"/>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0FE1"/>
    <w:rsid w:val="00345B79"/>
    <w:rsid w:val="00345D0F"/>
    <w:rsid w:val="00346885"/>
    <w:rsid w:val="003472B3"/>
    <w:rsid w:val="00347878"/>
    <w:rsid w:val="00347DC2"/>
    <w:rsid w:val="0035104F"/>
    <w:rsid w:val="00352D74"/>
    <w:rsid w:val="00355AEE"/>
    <w:rsid w:val="00355D3B"/>
    <w:rsid w:val="0036073F"/>
    <w:rsid w:val="003643B3"/>
    <w:rsid w:val="00366022"/>
    <w:rsid w:val="003703A8"/>
    <w:rsid w:val="00370BB1"/>
    <w:rsid w:val="003721B2"/>
    <w:rsid w:val="003752C5"/>
    <w:rsid w:val="00376F41"/>
    <w:rsid w:val="00383C88"/>
    <w:rsid w:val="00383E66"/>
    <w:rsid w:val="00387872"/>
    <w:rsid w:val="00387DC9"/>
    <w:rsid w:val="0039193E"/>
    <w:rsid w:val="00391ADA"/>
    <w:rsid w:val="00392CDB"/>
    <w:rsid w:val="003930AC"/>
    <w:rsid w:val="00393580"/>
    <w:rsid w:val="0039380F"/>
    <w:rsid w:val="00393B71"/>
    <w:rsid w:val="00394095"/>
    <w:rsid w:val="003940F6"/>
    <w:rsid w:val="00394EE2"/>
    <w:rsid w:val="00395D7E"/>
    <w:rsid w:val="00396545"/>
    <w:rsid w:val="00396F71"/>
    <w:rsid w:val="00397EA0"/>
    <w:rsid w:val="003A2029"/>
    <w:rsid w:val="003A2C31"/>
    <w:rsid w:val="003A423A"/>
    <w:rsid w:val="003A5466"/>
    <w:rsid w:val="003A6417"/>
    <w:rsid w:val="003A65FE"/>
    <w:rsid w:val="003A6A5A"/>
    <w:rsid w:val="003A7221"/>
    <w:rsid w:val="003A7EAD"/>
    <w:rsid w:val="003B1B16"/>
    <w:rsid w:val="003B1DC1"/>
    <w:rsid w:val="003B286C"/>
    <w:rsid w:val="003B55AD"/>
    <w:rsid w:val="003B70DC"/>
    <w:rsid w:val="003B747A"/>
    <w:rsid w:val="003B7EC4"/>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3073"/>
    <w:rsid w:val="003D46D0"/>
    <w:rsid w:val="003D48F5"/>
    <w:rsid w:val="003D5A38"/>
    <w:rsid w:val="003E03D3"/>
    <w:rsid w:val="003E2372"/>
    <w:rsid w:val="003E5785"/>
    <w:rsid w:val="003E6679"/>
    <w:rsid w:val="003E712E"/>
    <w:rsid w:val="003E7F93"/>
    <w:rsid w:val="003F0309"/>
    <w:rsid w:val="003F140F"/>
    <w:rsid w:val="003F15DB"/>
    <w:rsid w:val="003F186F"/>
    <w:rsid w:val="003F1FD5"/>
    <w:rsid w:val="003F22F2"/>
    <w:rsid w:val="003F2702"/>
    <w:rsid w:val="003F301B"/>
    <w:rsid w:val="003F320C"/>
    <w:rsid w:val="003F33D8"/>
    <w:rsid w:val="003F36A4"/>
    <w:rsid w:val="003F6055"/>
    <w:rsid w:val="003F70CA"/>
    <w:rsid w:val="003F7B36"/>
    <w:rsid w:val="00400F25"/>
    <w:rsid w:val="0040278D"/>
    <w:rsid w:val="00404C67"/>
    <w:rsid w:val="00405EBA"/>
    <w:rsid w:val="0040633D"/>
    <w:rsid w:val="00406EE3"/>
    <w:rsid w:val="00413CC5"/>
    <w:rsid w:val="00414607"/>
    <w:rsid w:val="00416727"/>
    <w:rsid w:val="00417A24"/>
    <w:rsid w:val="0042068A"/>
    <w:rsid w:val="004208F0"/>
    <w:rsid w:val="00421ACD"/>
    <w:rsid w:val="00423019"/>
    <w:rsid w:val="004239BC"/>
    <w:rsid w:val="0042490C"/>
    <w:rsid w:val="00425CAD"/>
    <w:rsid w:val="00426D7C"/>
    <w:rsid w:val="00427AE1"/>
    <w:rsid w:val="004300ED"/>
    <w:rsid w:val="00431687"/>
    <w:rsid w:val="00431CC9"/>
    <w:rsid w:val="00432762"/>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49B7"/>
    <w:rsid w:val="0044535B"/>
    <w:rsid w:val="00445FDA"/>
    <w:rsid w:val="00450A5F"/>
    <w:rsid w:val="00451514"/>
    <w:rsid w:val="00451B47"/>
    <w:rsid w:val="00451B87"/>
    <w:rsid w:val="00453BB4"/>
    <w:rsid w:val="0045535A"/>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52"/>
    <w:rsid w:val="004923B6"/>
    <w:rsid w:val="00492E23"/>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C750D"/>
    <w:rsid w:val="004D0490"/>
    <w:rsid w:val="004D12F1"/>
    <w:rsid w:val="004D1805"/>
    <w:rsid w:val="004D257A"/>
    <w:rsid w:val="004D284E"/>
    <w:rsid w:val="004D38F2"/>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500930"/>
    <w:rsid w:val="0050309F"/>
    <w:rsid w:val="005041C2"/>
    <w:rsid w:val="00505CA0"/>
    <w:rsid w:val="0050690E"/>
    <w:rsid w:val="00506FB6"/>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0CFF"/>
    <w:rsid w:val="0053544C"/>
    <w:rsid w:val="00537E2C"/>
    <w:rsid w:val="00542797"/>
    <w:rsid w:val="00542B3A"/>
    <w:rsid w:val="00544D6E"/>
    <w:rsid w:val="00544E24"/>
    <w:rsid w:val="00544EC9"/>
    <w:rsid w:val="005454A6"/>
    <w:rsid w:val="00546FBD"/>
    <w:rsid w:val="00551B13"/>
    <w:rsid w:val="0055202D"/>
    <w:rsid w:val="005520BF"/>
    <w:rsid w:val="00552421"/>
    <w:rsid w:val="00552B7E"/>
    <w:rsid w:val="0055322E"/>
    <w:rsid w:val="00554A5A"/>
    <w:rsid w:val="0055544F"/>
    <w:rsid w:val="00556B04"/>
    <w:rsid w:val="00561C53"/>
    <w:rsid w:val="0056257C"/>
    <w:rsid w:val="00562B0A"/>
    <w:rsid w:val="00562CCE"/>
    <w:rsid w:val="00563846"/>
    <w:rsid w:val="0056452D"/>
    <w:rsid w:val="005669D6"/>
    <w:rsid w:val="00567998"/>
    <w:rsid w:val="00570E92"/>
    <w:rsid w:val="00571A39"/>
    <w:rsid w:val="0057343F"/>
    <w:rsid w:val="00576D09"/>
    <w:rsid w:val="00576EE1"/>
    <w:rsid w:val="00577884"/>
    <w:rsid w:val="005805F5"/>
    <w:rsid w:val="00581C0F"/>
    <w:rsid w:val="00581DEE"/>
    <w:rsid w:val="005826B7"/>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6ADF"/>
    <w:rsid w:val="005B6EC8"/>
    <w:rsid w:val="005B76C1"/>
    <w:rsid w:val="005B773D"/>
    <w:rsid w:val="005B7C5D"/>
    <w:rsid w:val="005C0B20"/>
    <w:rsid w:val="005C1A74"/>
    <w:rsid w:val="005C3294"/>
    <w:rsid w:val="005C347F"/>
    <w:rsid w:val="005C4986"/>
    <w:rsid w:val="005C5592"/>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8FC"/>
    <w:rsid w:val="005F0137"/>
    <w:rsid w:val="005F11CA"/>
    <w:rsid w:val="005F1A24"/>
    <w:rsid w:val="005F487C"/>
    <w:rsid w:val="005F53A4"/>
    <w:rsid w:val="005F5924"/>
    <w:rsid w:val="005F5FE1"/>
    <w:rsid w:val="005F62B2"/>
    <w:rsid w:val="005F715E"/>
    <w:rsid w:val="005F77B7"/>
    <w:rsid w:val="006010DA"/>
    <w:rsid w:val="006017AB"/>
    <w:rsid w:val="00604AC3"/>
    <w:rsid w:val="00605865"/>
    <w:rsid w:val="0060623B"/>
    <w:rsid w:val="006073E1"/>
    <w:rsid w:val="00611BA6"/>
    <w:rsid w:val="00613191"/>
    <w:rsid w:val="00617813"/>
    <w:rsid w:val="006206CC"/>
    <w:rsid w:val="00620CFC"/>
    <w:rsid w:val="00622B06"/>
    <w:rsid w:val="00622BFD"/>
    <w:rsid w:val="00623028"/>
    <w:rsid w:val="00624649"/>
    <w:rsid w:val="006257CA"/>
    <w:rsid w:val="00627163"/>
    <w:rsid w:val="00632275"/>
    <w:rsid w:val="00634476"/>
    <w:rsid w:val="00642285"/>
    <w:rsid w:val="006431B1"/>
    <w:rsid w:val="0064393B"/>
    <w:rsid w:val="006440D4"/>
    <w:rsid w:val="00644375"/>
    <w:rsid w:val="00644A5C"/>
    <w:rsid w:val="00646A08"/>
    <w:rsid w:val="00650392"/>
    <w:rsid w:val="0065061D"/>
    <w:rsid w:val="0065715E"/>
    <w:rsid w:val="00657670"/>
    <w:rsid w:val="00657DE0"/>
    <w:rsid w:val="00657F4D"/>
    <w:rsid w:val="00662C69"/>
    <w:rsid w:val="006635BA"/>
    <w:rsid w:val="00664106"/>
    <w:rsid w:val="0066458B"/>
    <w:rsid w:val="0066610C"/>
    <w:rsid w:val="00670809"/>
    <w:rsid w:val="00671165"/>
    <w:rsid w:val="006718FB"/>
    <w:rsid w:val="00673695"/>
    <w:rsid w:val="00674701"/>
    <w:rsid w:val="00674A46"/>
    <w:rsid w:val="00674D2D"/>
    <w:rsid w:val="006752B0"/>
    <w:rsid w:val="00675431"/>
    <w:rsid w:val="00676959"/>
    <w:rsid w:val="00676C6B"/>
    <w:rsid w:val="006773FB"/>
    <w:rsid w:val="00677CA6"/>
    <w:rsid w:val="00680F25"/>
    <w:rsid w:val="00683614"/>
    <w:rsid w:val="0068461F"/>
    <w:rsid w:val="0068594B"/>
    <w:rsid w:val="00686B04"/>
    <w:rsid w:val="006901FA"/>
    <w:rsid w:val="00690660"/>
    <w:rsid w:val="006909D8"/>
    <w:rsid w:val="006915D7"/>
    <w:rsid w:val="0069218D"/>
    <w:rsid w:val="00693427"/>
    <w:rsid w:val="00694E2B"/>
    <w:rsid w:val="006958A7"/>
    <w:rsid w:val="006964F5"/>
    <w:rsid w:val="00696EF8"/>
    <w:rsid w:val="00697BEA"/>
    <w:rsid w:val="006A1047"/>
    <w:rsid w:val="006A26C9"/>
    <w:rsid w:val="006A3D7A"/>
    <w:rsid w:val="006A3DFC"/>
    <w:rsid w:val="006A464E"/>
    <w:rsid w:val="006A4F64"/>
    <w:rsid w:val="006A6D2E"/>
    <w:rsid w:val="006B0198"/>
    <w:rsid w:val="006B12CA"/>
    <w:rsid w:val="006B12E8"/>
    <w:rsid w:val="006B1C19"/>
    <w:rsid w:val="006B1E4C"/>
    <w:rsid w:val="006B5A58"/>
    <w:rsid w:val="006B7A58"/>
    <w:rsid w:val="006C19FE"/>
    <w:rsid w:val="006C1A97"/>
    <w:rsid w:val="006C2FEE"/>
    <w:rsid w:val="006C50C2"/>
    <w:rsid w:val="006C563A"/>
    <w:rsid w:val="006D0DAE"/>
    <w:rsid w:val="006D26A5"/>
    <w:rsid w:val="006D27EF"/>
    <w:rsid w:val="006D2A07"/>
    <w:rsid w:val="006D2E5C"/>
    <w:rsid w:val="006D3024"/>
    <w:rsid w:val="006D3485"/>
    <w:rsid w:val="006D357C"/>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F0635"/>
    <w:rsid w:val="006F1AB0"/>
    <w:rsid w:val="006F1E31"/>
    <w:rsid w:val="006F2C12"/>
    <w:rsid w:val="006F2F92"/>
    <w:rsid w:val="006F3EC7"/>
    <w:rsid w:val="006F44C4"/>
    <w:rsid w:val="006F5E25"/>
    <w:rsid w:val="006F672F"/>
    <w:rsid w:val="006F6A74"/>
    <w:rsid w:val="006F7910"/>
    <w:rsid w:val="00700781"/>
    <w:rsid w:val="00702482"/>
    <w:rsid w:val="007050B1"/>
    <w:rsid w:val="00706C9E"/>
    <w:rsid w:val="00706EED"/>
    <w:rsid w:val="00707096"/>
    <w:rsid w:val="00707A12"/>
    <w:rsid w:val="00707C73"/>
    <w:rsid w:val="00712443"/>
    <w:rsid w:val="007136BC"/>
    <w:rsid w:val="00714576"/>
    <w:rsid w:val="007160D6"/>
    <w:rsid w:val="00721335"/>
    <w:rsid w:val="00721924"/>
    <w:rsid w:val="00721F66"/>
    <w:rsid w:val="00722B93"/>
    <w:rsid w:val="00731F1F"/>
    <w:rsid w:val="00732120"/>
    <w:rsid w:val="007365AD"/>
    <w:rsid w:val="007366ED"/>
    <w:rsid w:val="00736FF1"/>
    <w:rsid w:val="00740857"/>
    <w:rsid w:val="007416F3"/>
    <w:rsid w:val="00742486"/>
    <w:rsid w:val="0074433B"/>
    <w:rsid w:val="00746D89"/>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39E9"/>
    <w:rsid w:val="00793C80"/>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D0C01"/>
    <w:rsid w:val="007D28B9"/>
    <w:rsid w:val="007D2B0E"/>
    <w:rsid w:val="007D3ED2"/>
    <w:rsid w:val="007D3FBD"/>
    <w:rsid w:val="007D4C2F"/>
    <w:rsid w:val="007D617C"/>
    <w:rsid w:val="007D74D6"/>
    <w:rsid w:val="007D7EF3"/>
    <w:rsid w:val="007E100A"/>
    <w:rsid w:val="007E2961"/>
    <w:rsid w:val="007E5125"/>
    <w:rsid w:val="007E5DB4"/>
    <w:rsid w:val="007E744C"/>
    <w:rsid w:val="007F0617"/>
    <w:rsid w:val="007F0711"/>
    <w:rsid w:val="007F2AF5"/>
    <w:rsid w:val="007F729E"/>
    <w:rsid w:val="00800DBD"/>
    <w:rsid w:val="00800E69"/>
    <w:rsid w:val="0080394C"/>
    <w:rsid w:val="008039C2"/>
    <w:rsid w:val="008046E4"/>
    <w:rsid w:val="00804B9B"/>
    <w:rsid w:val="00807201"/>
    <w:rsid w:val="00807C37"/>
    <w:rsid w:val="00810F94"/>
    <w:rsid w:val="0081220D"/>
    <w:rsid w:val="00814028"/>
    <w:rsid w:val="00814427"/>
    <w:rsid w:val="008150A8"/>
    <w:rsid w:val="008167F5"/>
    <w:rsid w:val="00817D8E"/>
    <w:rsid w:val="008200A3"/>
    <w:rsid w:val="00820BF2"/>
    <w:rsid w:val="00824C4E"/>
    <w:rsid w:val="0083097C"/>
    <w:rsid w:val="00830D0B"/>
    <w:rsid w:val="00831155"/>
    <w:rsid w:val="008319E2"/>
    <w:rsid w:val="008320B5"/>
    <w:rsid w:val="00832ACC"/>
    <w:rsid w:val="00833D5D"/>
    <w:rsid w:val="00833E18"/>
    <w:rsid w:val="00833E4C"/>
    <w:rsid w:val="00835DC3"/>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62C0"/>
    <w:rsid w:val="00866705"/>
    <w:rsid w:val="0086781E"/>
    <w:rsid w:val="008702BC"/>
    <w:rsid w:val="00870ACC"/>
    <w:rsid w:val="0087153F"/>
    <w:rsid w:val="008720FE"/>
    <w:rsid w:val="00872C2F"/>
    <w:rsid w:val="00872DF8"/>
    <w:rsid w:val="008731CF"/>
    <w:rsid w:val="0087459A"/>
    <w:rsid w:val="008749F7"/>
    <w:rsid w:val="00875167"/>
    <w:rsid w:val="00876EBA"/>
    <w:rsid w:val="00881572"/>
    <w:rsid w:val="0088293F"/>
    <w:rsid w:val="00883450"/>
    <w:rsid w:val="00883864"/>
    <w:rsid w:val="0088398C"/>
    <w:rsid w:val="008845D2"/>
    <w:rsid w:val="00885165"/>
    <w:rsid w:val="00885C6E"/>
    <w:rsid w:val="00886672"/>
    <w:rsid w:val="00887497"/>
    <w:rsid w:val="0089067B"/>
    <w:rsid w:val="0089412A"/>
    <w:rsid w:val="00895422"/>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372"/>
    <w:rsid w:val="008B5C94"/>
    <w:rsid w:val="008B7CF1"/>
    <w:rsid w:val="008B7FFE"/>
    <w:rsid w:val="008C040B"/>
    <w:rsid w:val="008C0446"/>
    <w:rsid w:val="008C1702"/>
    <w:rsid w:val="008C1859"/>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20E0"/>
    <w:rsid w:val="008F3751"/>
    <w:rsid w:val="008F383A"/>
    <w:rsid w:val="008F5024"/>
    <w:rsid w:val="008F5927"/>
    <w:rsid w:val="008F7E1B"/>
    <w:rsid w:val="00901474"/>
    <w:rsid w:val="0090174A"/>
    <w:rsid w:val="00902FBD"/>
    <w:rsid w:val="009036B3"/>
    <w:rsid w:val="00904297"/>
    <w:rsid w:val="009071FE"/>
    <w:rsid w:val="00907761"/>
    <w:rsid w:val="00913AA4"/>
    <w:rsid w:val="00915778"/>
    <w:rsid w:val="009164DD"/>
    <w:rsid w:val="009168CC"/>
    <w:rsid w:val="009210C9"/>
    <w:rsid w:val="00921E88"/>
    <w:rsid w:val="00924B24"/>
    <w:rsid w:val="00925C68"/>
    <w:rsid w:val="009278BD"/>
    <w:rsid w:val="009315B0"/>
    <w:rsid w:val="009316E9"/>
    <w:rsid w:val="00932C28"/>
    <w:rsid w:val="00934877"/>
    <w:rsid w:val="009365EA"/>
    <w:rsid w:val="00940E36"/>
    <w:rsid w:val="00945A61"/>
    <w:rsid w:val="00945D65"/>
    <w:rsid w:val="00947812"/>
    <w:rsid w:val="00950154"/>
    <w:rsid w:val="00950677"/>
    <w:rsid w:val="009515A7"/>
    <w:rsid w:val="00952AD9"/>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2AC"/>
    <w:rsid w:val="009A0461"/>
    <w:rsid w:val="009A05B6"/>
    <w:rsid w:val="009A11BF"/>
    <w:rsid w:val="009A2A08"/>
    <w:rsid w:val="009A42F1"/>
    <w:rsid w:val="009A4B79"/>
    <w:rsid w:val="009A50A8"/>
    <w:rsid w:val="009A5191"/>
    <w:rsid w:val="009A66D2"/>
    <w:rsid w:val="009B0F5C"/>
    <w:rsid w:val="009B11D6"/>
    <w:rsid w:val="009B2261"/>
    <w:rsid w:val="009B2EE9"/>
    <w:rsid w:val="009B39BF"/>
    <w:rsid w:val="009B4828"/>
    <w:rsid w:val="009B4864"/>
    <w:rsid w:val="009B5504"/>
    <w:rsid w:val="009B5506"/>
    <w:rsid w:val="009B649B"/>
    <w:rsid w:val="009B6E7F"/>
    <w:rsid w:val="009B6F16"/>
    <w:rsid w:val="009B76E3"/>
    <w:rsid w:val="009C0940"/>
    <w:rsid w:val="009C1D99"/>
    <w:rsid w:val="009C1F8B"/>
    <w:rsid w:val="009C2A06"/>
    <w:rsid w:val="009C534D"/>
    <w:rsid w:val="009C6786"/>
    <w:rsid w:val="009D08B2"/>
    <w:rsid w:val="009D120B"/>
    <w:rsid w:val="009D2556"/>
    <w:rsid w:val="009D3240"/>
    <w:rsid w:val="009D3A6E"/>
    <w:rsid w:val="009D562C"/>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0EF1"/>
    <w:rsid w:val="00A41F16"/>
    <w:rsid w:val="00A420DE"/>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E91"/>
    <w:rsid w:val="00A56275"/>
    <w:rsid w:val="00A572BC"/>
    <w:rsid w:val="00A633C3"/>
    <w:rsid w:val="00A6599C"/>
    <w:rsid w:val="00A67428"/>
    <w:rsid w:val="00A679E3"/>
    <w:rsid w:val="00A67E39"/>
    <w:rsid w:val="00A70CF3"/>
    <w:rsid w:val="00A7155E"/>
    <w:rsid w:val="00A72243"/>
    <w:rsid w:val="00A727AD"/>
    <w:rsid w:val="00A72B2A"/>
    <w:rsid w:val="00A73B07"/>
    <w:rsid w:val="00A755EC"/>
    <w:rsid w:val="00A75C6B"/>
    <w:rsid w:val="00A76B0D"/>
    <w:rsid w:val="00A77442"/>
    <w:rsid w:val="00A80901"/>
    <w:rsid w:val="00A819B7"/>
    <w:rsid w:val="00A81AB5"/>
    <w:rsid w:val="00A81EAA"/>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18B0"/>
    <w:rsid w:val="00AB26E1"/>
    <w:rsid w:val="00AB274F"/>
    <w:rsid w:val="00AB2D14"/>
    <w:rsid w:val="00AB4E49"/>
    <w:rsid w:val="00AB5F30"/>
    <w:rsid w:val="00AB6A62"/>
    <w:rsid w:val="00AB6BE3"/>
    <w:rsid w:val="00AB78A7"/>
    <w:rsid w:val="00AC0CAC"/>
    <w:rsid w:val="00AC37C3"/>
    <w:rsid w:val="00AC535B"/>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6794"/>
    <w:rsid w:val="00AF7056"/>
    <w:rsid w:val="00B016F7"/>
    <w:rsid w:val="00B0210A"/>
    <w:rsid w:val="00B031F5"/>
    <w:rsid w:val="00B055B9"/>
    <w:rsid w:val="00B0568A"/>
    <w:rsid w:val="00B13AD9"/>
    <w:rsid w:val="00B13D85"/>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077D"/>
    <w:rsid w:val="00B42238"/>
    <w:rsid w:val="00B423CB"/>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33C"/>
    <w:rsid w:val="00B667C6"/>
    <w:rsid w:val="00B709AD"/>
    <w:rsid w:val="00B72B45"/>
    <w:rsid w:val="00B72D4E"/>
    <w:rsid w:val="00B73838"/>
    <w:rsid w:val="00B7421A"/>
    <w:rsid w:val="00B74827"/>
    <w:rsid w:val="00B75948"/>
    <w:rsid w:val="00B75F20"/>
    <w:rsid w:val="00B7661A"/>
    <w:rsid w:val="00B77233"/>
    <w:rsid w:val="00B81371"/>
    <w:rsid w:val="00B83E2E"/>
    <w:rsid w:val="00B85408"/>
    <w:rsid w:val="00B86635"/>
    <w:rsid w:val="00B866D9"/>
    <w:rsid w:val="00B87A31"/>
    <w:rsid w:val="00B902E7"/>
    <w:rsid w:val="00B922D9"/>
    <w:rsid w:val="00B923ED"/>
    <w:rsid w:val="00B926D6"/>
    <w:rsid w:val="00B92BE4"/>
    <w:rsid w:val="00B9529E"/>
    <w:rsid w:val="00B966BF"/>
    <w:rsid w:val="00B974B4"/>
    <w:rsid w:val="00BA4107"/>
    <w:rsid w:val="00BA4F66"/>
    <w:rsid w:val="00BA512E"/>
    <w:rsid w:val="00BA5BAA"/>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6D83"/>
    <w:rsid w:val="00BF704D"/>
    <w:rsid w:val="00BF7824"/>
    <w:rsid w:val="00C002A2"/>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0317"/>
    <w:rsid w:val="00C51569"/>
    <w:rsid w:val="00C5235A"/>
    <w:rsid w:val="00C5573D"/>
    <w:rsid w:val="00C55AC9"/>
    <w:rsid w:val="00C61A25"/>
    <w:rsid w:val="00C6220B"/>
    <w:rsid w:val="00C6236D"/>
    <w:rsid w:val="00C63320"/>
    <w:rsid w:val="00C635F3"/>
    <w:rsid w:val="00C63CF2"/>
    <w:rsid w:val="00C640B7"/>
    <w:rsid w:val="00C648FC"/>
    <w:rsid w:val="00C64BCF"/>
    <w:rsid w:val="00C64C81"/>
    <w:rsid w:val="00C64FE7"/>
    <w:rsid w:val="00C6514C"/>
    <w:rsid w:val="00C663BE"/>
    <w:rsid w:val="00C6671B"/>
    <w:rsid w:val="00C71858"/>
    <w:rsid w:val="00C722C5"/>
    <w:rsid w:val="00C74781"/>
    <w:rsid w:val="00C7649D"/>
    <w:rsid w:val="00C76E42"/>
    <w:rsid w:val="00C77EC9"/>
    <w:rsid w:val="00C80034"/>
    <w:rsid w:val="00C83EA7"/>
    <w:rsid w:val="00C8443A"/>
    <w:rsid w:val="00C84559"/>
    <w:rsid w:val="00C859D6"/>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C0B5A"/>
    <w:rsid w:val="00CC2DE4"/>
    <w:rsid w:val="00CC360E"/>
    <w:rsid w:val="00CC3CBF"/>
    <w:rsid w:val="00CC43AD"/>
    <w:rsid w:val="00CC48D6"/>
    <w:rsid w:val="00CC5DEB"/>
    <w:rsid w:val="00CC62BA"/>
    <w:rsid w:val="00CC6378"/>
    <w:rsid w:val="00CD0E30"/>
    <w:rsid w:val="00CD369D"/>
    <w:rsid w:val="00CD4A18"/>
    <w:rsid w:val="00CD6866"/>
    <w:rsid w:val="00CD7218"/>
    <w:rsid w:val="00CD76D4"/>
    <w:rsid w:val="00CD7893"/>
    <w:rsid w:val="00CE03CC"/>
    <w:rsid w:val="00CE2277"/>
    <w:rsid w:val="00CE5CEE"/>
    <w:rsid w:val="00CE603F"/>
    <w:rsid w:val="00CE7E6A"/>
    <w:rsid w:val="00CF030B"/>
    <w:rsid w:val="00CF0FBA"/>
    <w:rsid w:val="00CF1B66"/>
    <w:rsid w:val="00CF4294"/>
    <w:rsid w:val="00CF67A5"/>
    <w:rsid w:val="00CF6EB2"/>
    <w:rsid w:val="00D011A2"/>
    <w:rsid w:val="00D038BF"/>
    <w:rsid w:val="00D063BD"/>
    <w:rsid w:val="00D06B38"/>
    <w:rsid w:val="00D0750E"/>
    <w:rsid w:val="00D1033C"/>
    <w:rsid w:val="00D10354"/>
    <w:rsid w:val="00D10D23"/>
    <w:rsid w:val="00D11804"/>
    <w:rsid w:val="00D12EE7"/>
    <w:rsid w:val="00D13221"/>
    <w:rsid w:val="00D1373C"/>
    <w:rsid w:val="00D13E7E"/>
    <w:rsid w:val="00D16FD4"/>
    <w:rsid w:val="00D25A9F"/>
    <w:rsid w:val="00D27279"/>
    <w:rsid w:val="00D2734A"/>
    <w:rsid w:val="00D27C11"/>
    <w:rsid w:val="00D306AB"/>
    <w:rsid w:val="00D31B93"/>
    <w:rsid w:val="00D336DB"/>
    <w:rsid w:val="00D3469A"/>
    <w:rsid w:val="00D34A5C"/>
    <w:rsid w:val="00D35986"/>
    <w:rsid w:val="00D3789A"/>
    <w:rsid w:val="00D378D8"/>
    <w:rsid w:val="00D407B7"/>
    <w:rsid w:val="00D408B6"/>
    <w:rsid w:val="00D409B3"/>
    <w:rsid w:val="00D418FB"/>
    <w:rsid w:val="00D41E2D"/>
    <w:rsid w:val="00D4287D"/>
    <w:rsid w:val="00D4793C"/>
    <w:rsid w:val="00D515DB"/>
    <w:rsid w:val="00D56D95"/>
    <w:rsid w:val="00D576BD"/>
    <w:rsid w:val="00D617B7"/>
    <w:rsid w:val="00D61A05"/>
    <w:rsid w:val="00D65068"/>
    <w:rsid w:val="00D65243"/>
    <w:rsid w:val="00D658A1"/>
    <w:rsid w:val="00D7176B"/>
    <w:rsid w:val="00D738F0"/>
    <w:rsid w:val="00D73FDD"/>
    <w:rsid w:val="00D74E08"/>
    <w:rsid w:val="00D75391"/>
    <w:rsid w:val="00D801E8"/>
    <w:rsid w:val="00D82CB3"/>
    <w:rsid w:val="00D82FC0"/>
    <w:rsid w:val="00D830F3"/>
    <w:rsid w:val="00D8322A"/>
    <w:rsid w:val="00D83C17"/>
    <w:rsid w:val="00D84FAF"/>
    <w:rsid w:val="00D84FD2"/>
    <w:rsid w:val="00D85885"/>
    <w:rsid w:val="00D8594A"/>
    <w:rsid w:val="00D87527"/>
    <w:rsid w:val="00D87652"/>
    <w:rsid w:val="00D90C23"/>
    <w:rsid w:val="00D91ED7"/>
    <w:rsid w:val="00D92D08"/>
    <w:rsid w:val="00D9372E"/>
    <w:rsid w:val="00D947F0"/>
    <w:rsid w:val="00D94EA1"/>
    <w:rsid w:val="00D963CC"/>
    <w:rsid w:val="00D96E06"/>
    <w:rsid w:val="00DA1FCD"/>
    <w:rsid w:val="00DA2F64"/>
    <w:rsid w:val="00DA3A4F"/>
    <w:rsid w:val="00DA42C0"/>
    <w:rsid w:val="00DA52A2"/>
    <w:rsid w:val="00DA5E27"/>
    <w:rsid w:val="00DA73EE"/>
    <w:rsid w:val="00DA7E2F"/>
    <w:rsid w:val="00DB0C0B"/>
    <w:rsid w:val="00DB163B"/>
    <w:rsid w:val="00DB1979"/>
    <w:rsid w:val="00DB20EA"/>
    <w:rsid w:val="00DB2D10"/>
    <w:rsid w:val="00DB31E7"/>
    <w:rsid w:val="00DB3A66"/>
    <w:rsid w:val="00DB4A78"/>
    <w:rsid w:val="00DB4BEF"/>
    <w:rsid w:val="00DB4F86"/>
    <w:rsid w:val="00DB7125"/>
    <w:rsid w:val="00DB78B2"/>
    <w:rsid w:val="00DB7D9A"/>
    <w:rsid w:val="00DC076C"/>
    <w:rsid w:val="00DC1792"/>
    <w:rsid w:val="00DC230C"/>
    <w:rsid w:val="00DC301A"/>
    <w:rsid w:val="00DC5FF8"/>
    <w:rsid w:val="00DC6AEA"/>
    <w:rsid w:val="00DC7377"/>
    <w:rsid w:val="00DC7A4D"/>
    <w:rsid w:val="00DD3114"/>
    <w:rsid w:val="00DD3BE6"/>
    <w:rsid w:val="00DD4849"/>
    <w:rsid w:val="00DD7CDB"/>
    <w:rsid w:val="00DE09AE"/>
    <w:rsid w:val="00DE0FC0"/>
    <w:rsid w:val="00DE2593"/>
    <w:rsid w:val="00DE3A31"/>
    <w:rsid w:val="00DE4715"/>
    <w:rsid w:val="00DE4A83"/>
    <w:rsid w:val="00DE5182"/>
    <w:rsid w:val="00DE55CA"/>
    <w:rsid w:val="00DF1C93"/>
    <w:rsid w:val="00DF1E5D"/>
    <w:rsid w:val="00DF26A0"/>
    <w:rsid w:val="00DF2ABA"/>
    <w:rsid w:val="00DF419C"/>
    <w:rsid w:val="00DF449A"/>
    <w:rsid w:val="00DF4FA8"/>
    <w:rsid w:val="00DF51C5"/>
    <w:rsid w:val="00DF651D"/>
    <w:rsid w:val="00DF70CC"/>
    <w:rsid w:val="00DF72C7"/>
    <w:rsid w:val="00DF7F9A"/>
    <w:rsid w:val="00E002EF"/>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16ADB"/>
    <w:rsid w:val="00E227C3"/>
    <w:rsid w:val="00E22843"/>
    <w:rsid w:val="00E22B15"/>
    <w:rsid w:val="00E264B4"/>
    <w:rsid w:val="00E26881"/>
    <w:rsid w:val="00E2713B"/>
    <w:rsid w:val="00E275C0"/>
    <w:rsid w:val="00E32DDF"/>
    <w:rsid w:val="00E33108"/>
    <w:rsid w:val="00E34501"/>
    <w:rsid w:val="00E34706"/>
    <w:rsid w:val="00E34838"/>
    <w:rsid w:val="00E36F0F"/>
    <w:rsid w:val="00E43ABE"/>
    <w:rsid w:val="00E445BD"/>
    <w:rsid w:val="00E4665E"/>
    <w:rsid w:val="00E47A5F"/>
    <w:rsid w:val="00E507A5"/>
    <w:rsid w:val="00E528D2"/>
    <w:rsid w:val="00E52A0F"/>
    <w:rsid w:val="00E56B1A"/>
    <w:rsid w:val="00E56D69"/>
    <w:rsid w:val="00E601CE"/>
    <w:rsid w:val="00E60B07"/>
    <w:rsid w:val="00E62303"/>
    <w:rsid w:val="00E62441"/>
    <w:rsid w:val="00E630A8"/>
    <w:rsid w:val="00E636B7"/>
    <w:rsid w:val="00E63879"/>
    <w:rsid w:val="00E65FEA"/>
    <w:rsid w:val="00E66073"/>
    <w:rsid w:val="00E67A06"/>
    <w:rsid w:val="00E72689"/>
    <w:rsid w:val="00E72FB1"/>
    <w:rsid w:val="00E730AA"/>
    <w:rsid w:val="00E731A1"/>
    <w:rsid w:val="00E748FD"/>
    <w:rsid w:val="00E75FE0"/>
    <w:rsid w:val="00E766E3"/>
    <w:rsid w:val="00E76F52"/>
    <w:rsid w:val="00E82B54"/>
    <w:rsid w:val="00E86C2A"/>
    <w:rsid w:val="00E90A76"/>
    <w:rsid w:val="00E91EBD"/>
    <w:rsid w:val="00E92290"/>
    <w:rsid w:val="00E92A90"/>
    <w:rsid w:val="00E937B5"/>
    <w:rsid w:val="00E9442F"/>
    <w:rsid w:val="00E969D2"/>
    <w:rsid w:val="00E96E28"/>
    <w:rsid w:val="00E9770F"/>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373D"/>
    <w:rsid w:val="00F04044"/>
    <w:rsid w:val="00F046C8"/>
    <w:rsid w:val="00F047AB"/>
    <w:rsid w:val="00F0503B"/>
    <w:rsid w:val="00F05DE1"/>
    <w:rsid w:val="00F07353"/>
    <w:rsid w:val="00F12147"/>
    <w:rsid w:val="00F13E45"/>
    <w:rsid w:val="00F142E2"/>
    <w:rsid w:val="00F147C6"/>
    <w:rsid w:val="00F20600"/>
    <w:rsid w:val="00F20FBA"/>
    <w:rsid w:val="00F211E9"/>
    <w:rsid w:val="00F21705"/>
    <w:rsid w:val="00F22527"/>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061D"/>
    <w:rsid w:val="00F53441"/>
    <w:rsid w:val="00F53C70"/>
    <w:rsid w:val="00F60C62"/>
    <w:rsid w:val="00F628D8"/>
    <w:rsid w:val="00F6398D"/>
    <w:rsid w:val="00F645AF"/>
    <w:rsid w:val="00F66BC9"/>
    <w:rsid w:val="00F67907"/>
    <w:rsid w:val="00F67946"/>
    <w:rsid w:val="00F7108A"/>
    <w:rsid w:val="00F72E9F"/>
    <w:rsid w:val="00F735C8"/>
    <w:rsid w:val="00F739E9"/>
    <w:rsid w:val="00F75AB0"/>
    <w:rsid w:val="00F762D0"/>
    <w:rsid w:val="00F77E59"/>
    <w:rsid w:val="00F805CC"/>
    <w:rsid w:val="00F81620"/>
    <w:rsid w:val="00F837AA"/>
    <w:rsid w:val="00F84240"/>
    <w:rsid w:val="00F85237"/>
    <w:rsid w:val="00F87CD2"/>
    <w:rsid w:val="00F87DAE"/>
    <w:rsid w:val="00F9000A"/>
    <w:rsid w:val="00F9002A"/>
    <w:rsid w:val="00F904AA"/>
    <w:rsid w:val="00F9089C"/>
    <w:rsid w:val="00F90CC8"/>
    <w:rsid w:val="00F93E20"/>
    <w:rsid w:val="00F946E7"/>
    <w:rsid w:val="00F94E43"/>
    <w:rsid w:val="00F95884"/>
    <w:rsid w:val="00F97AFE"/>
    <w:rsid w:val="00FA0128"/>
    <w:rsid w:val="00FA0CBC"/>
    <w:rsid w:val="00FA14DD"/>
    <w:rsid w:val="00FA1786"/>
    <w:rsid w:val="00FA215F"/>
    <w:rsid w:val="00FA3191"/>
    <w:rsid w:val="00FA4FE4"/>
    <w:rsid w:val="00FA536E"/>
    <w:rsid w:val="00FA5AE3"/>
    <w:rsid w:val="00FA73DD"/>
    <w:rsid w:val="00FA7ADC"/>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35C1"/>
    <w:rsid w:val="00FD4B65"/>
    <w:rsid w:val="00FD4CC7"/>
    <w:rsid w:val="00FD6729"/>
    <w:rsid w:val="00FD7FE3"/>
    <w:rsid w:val="00FE0533"/>
    <w:rsid w:val="00FE0D44"/>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D8"/>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F0274F"/>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C6671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3F33D8"/>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C5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C5592"/>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3">
    <w:name w:val="toc 3"/>
    <w:basedOn w:val="Normal"/>
    <w:next w:val="Normal"/>
    <w:autoRedefine/>
    <w:uiPriority w:val="39"/>
    <w:unhideWhenUsed/>
    <w:rsid w:val="00FA4FE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8730725">
      <w:bodyDiv w:val="1"/>
      <w:marLeft w:val="0"/>
      <w:marRight w:val="0"/>
      <w:marTop w:val="0"/>
      <w:marBottom w:val="0"/>
      <w:divBdr>
        <w:top w:val="none" w:sz="0" w:space="0" w:color="auto"/>
        <w:left w:val="none" w:sz="0" w:space="0" w:color="auto"/>
        <w:bottom w:val="none" w:sz="0" w:space="0" w:color="auto"/>
        <w:right w:val="none" w:sz="0" w:space="0" w:color="auto"/>
      </w:divBdr>
    </w:div>
    <w:div w:id="292566760">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05743921">
      <w:bodyDiv w:val="1"/>
      <w:marLeft w:val="0"/>
      <w:marRight w:val="0"/>
      <w:marTop w:val="0"/>
      <w:marBottom w:val="0"/>
      <w:divBdr>
        <w:top w:val="none" w:sz="0" w:space="0" w:color="auto"/>
        <w:left w:val="none" w:sz="0" w:space="0" w:color="auto"/>
        <w:bottom w:val="none" w:sz="0" w:space="0" w:color="auto"/>
        <w:right w:val="none" w:sz="0" w:space="0" w:color="auto"/>
      </w:divBdr>
      <w:divsChild>
        <w:div w:id="1918439683">
          <w:marLeft w:val="0"/>
          <w:marRight w:val="0"/>
          <w:marTop w:val="0"/>
          <w:marBottom w:val="0"/>
          <w:divBdr>
            <w:top w:val="none" w:sz="0" w:space="0" w:color="auto"/>
            <w:left w:val="none" w:sz="0" w:space="0" w:color="auto"/>
            <w:bottom w:val="none" w:sz="0" w:space="0" w:color="auto"/>
            <w:right w:val="none" w:sz="0" w:space="0" w:color="auto"/>
          </w:divBdr>
        </w:div>
      </w:divsChild>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555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revision/acuse/270865/0.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http://www.dof.gob.mx/nota_detalle.php?codigo=5436072&amp;fecha=04/05/2016" TargetMode="External"/><Relationship Id="rId1" Type="http://schemas.openxmlformats.org/officeDocument/2006/relationships/hyperlink" Target="http://sesaemm.gob.mx/organigrama"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31C0-9D35-4BE8-9540-9383327E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92</Pages>
  <Words>14863</Words>
  <Characters>81751</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2019-10-04T19:01:00Z</cp:lastPrinted>
  <dcterms:created xsi:type="dcterms:W3CDTF">2019-10-04T20:50:00Z</dcterms:created>
  <dcterms:modified xsi:type="dcterms:W3CDTF">2019-12-10T01:35:00Z</dcterms:modified>
</cp:coreProperties>
</file>