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21" w:rsidRDefault="00202921" w:rsidP="00D31CB8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73286C">
        <w:rPr>
          <w:rFonts w:ascii="Palatino Linotype" w:hAnsi="Palatino Linotype" w:cs="Arial"/>
          <w:b/>
        </w:rPr>
        <w:t>VOTO PARTICULAR</w:t>
      </w:r>
      <w:r w:rsidR="006577EC">
        <w:rPr>
          <w:rFonts w:ascii="Palatino Linotype" w:hAnsi="Palatino Linotype" w:cs="Arial"/>
          <w:b/>
        </w:rPr>
        <w:t xml:space="preserve"> CONCURRENTE</w:t>
      </w:r>
      <w:r w:rsidRPr="0073286C">
        <w:rPr>
          <w:rFonts w:ascii="Palatino Linotype" w:hAnsi="Palatino Linotype" w:cs="Arial"/>
          <w:b/>
        </w:rPr>
        <w:t xml:space="preserve"> QUE FORMULA</w:t>
      </w:r>
      <w:r w:rsidR="006577EC">
        <w:rPr>
          <w:rFonts w:ascii="Palatino Linotype" w:hAnsi="Palatino Linotype" w:cs="Arial"/>
          <w:b/>
        </w:rPr>
        <w:t xml:space="preserve">N </w:t>
      </w:r>
      <w:r w:rsidRPr="0073286C">
        <w:rPr>
          <w:rFonts w:ascii="Palatino Linotype" w:hAnsi="Palatino Linotype" w:cs="Arial"/>
          <w:b/>
        </w:rPr>
        <w:t>LA COMISIONADA EVA ABAID YAPUR</w:t>
      </w:r>
      <w:r w:rsidR="006577EC">
        <w:rPr>
          <w:rFonts w:ascii="Palatino Linotype" w:hAnsi="Palatino Linotype" w:cs="Arial"/>
          <w:b/>
        </w:rPr>
        <w:t xml:space="preserve"> Y LA COMISIONADA PRESIDENTA ZULEMA MARTÍNEZ SÁNCHEZ</w:t>
      </w:r>
      <w:r w:rsidRPr="0073286C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EN LA </w:t>
      </w:r>
      <w:r w:rsidR="006577EC">
        <w:rPr>
          <w:rFonts w:ascii="Palatino Linotype" w:hAnsi="Palatino Linotype" w:cs="Arial"/>
          <w:b/>
        </w:rPr>
        <w:t>TRIGÉSIMA OCTAVA</w:t>
      </w:r>
      <w:r w:rsidR="00400547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SESIÓN ORDINARIA DE </w:t>
      </w:r>
      <w:r w:rsidR="006577EC">
        <w:rPr>
          <w:rFonts w:ascii="Palatino Linotype" w:hAnsi="Palatino Linotype" w:cs="Arial"/>
          <w:b/>
        </w:rPr>
        <w:t>DIECISÉIS</w:t>
      </w:r>
      <w:r w:rsidR="00400547">
        <w:rPr>
          <w:rFonts w:ascii="Palatino Linotype" w:hAnsi="Palatino Linotype" w:cs="Arial"/>
          <w:b/>
        </w:rPr>
        <w:t xml:space="preserve"> DE </w:t>
      </w:r>
      <w:r w:rsidR="006577EC">
        <w:rPr>
          <w:rFonts w:ascii="Palatino Linotype" w:hAnsi="Palatino Linotype" w:cs="Arial"/>
          <w:b/>
        </w:rPr>
        <w:t xml:space="preserve">OCTUBRE </w:t>
      </w:r>
      <w:r>
        <w:rPr>
          <w:rFonts w:ascii="Palatino Linotype" w:hAnsi="Palatino Linotype" w:cs="Arial"/>
          <w:b/>
        </w:rPr>
        <w:t xml:space="preserve">DE DOS MIL </w:t>
      </w:r>
      <w:r w:rsidRPr="0073286C">
        <w:rPr>
          <w:rFonts w:ascii="Palatino Linotype" w:hAnsi="Palatino Linotype" w:cs="Arial"/>
          <w:b/>
        </w:rPr>
        <w:t>DIECI</w:t>
      </w:r>
      <w:r w:rsidR="006577EC">
        <w:rPr>
          <w:rFonts w:ascii="Palatino Linotype" w:hAnsi="Palatino Linotype" w:cs="Arial"/>
          <w:b/>
        </w:rPr>
        <w:t>NUEVE</w:t>
      </w:r>
      <w:r w:rsidRPr="0073286C">
        <w:rPr>
          <w:rFonts w:ascii="Palatino Linotype" w:hAnsi="Palatino Linotype" w:cs="Arial"/>
          <w:b/>
        </w:rPr>
        <w:t xml:space="preserve">, EN </w:t>
      </w:r>
      <w:r w:rsidR="00400547">
        <w:rPr>
          <w:rFonts w:ascii="Palatino Linotype" w:hAnsi="Palatino Linotype" w:cs="Arial"/>
          <w:b/>
        </w:rPr>
        <w:t>EL</w:t>
      </w:r>
      <w:r w:rsidRPr="0073286C">
        <w:rPr>
          <w:rFonts w:ascii="Palatino Linotype" w:hAnsi="Palatino Linotype" w:cs="Arial"/>
          <w:b/>
        </w:rPr>
        <w:t xml:space="preserve"> RECURSO DE REVISIÓN</w:t>
      </w:r>
      <w:r w:rsidR="006577EC">
        <w:rPr>
          <w:rFonts w:ascii="Palatino Linotype" w:hAnsi="Palatino Linotype" w:cs="Arial"/>
          <w:b/>
        </w:rPr>
        <w:t xml:space="preserve"> 06628</w:t>
      </w:r>
      <w:r>
        <w:rPr>
          <w:rFonts w:ascii="Palatino Linotype" w:hAnsi="Palatino Linotype" w:cs="Arial"/>
          <w:b/>
        </w:rPr>
        <w:t>/</w:t>
      </w:r>
      <w:r w:rsidRPr="00F87541">
        <w:rPr>
          <w:rFonts w:ascii="Palatino Linotype" w:hAnsi="Palatino Linotype" w:cs="Arial"/>
          <w:b/>
        </w:rPr>
        <w:t>INFOEM/IP/RR/201</w:t>
      </w:r>
      <w:r w:rsidR="006577EC">
        <w:rPr>
          <w:rFonts w:ascii="Palatino Linotype" w:hAnsi="Palatino Linotype" w:cs="Arial"/>
          <w:b/>
        </w:rPr>
        <w:t>9</w:t>
      </w:r>
      <w:r w:rsidRPr="0073286C">
        <w:rPr>
          <w:rFonts w:ascii="Palatino Linotype" w:eastAsia="Calibri" w:hAnsi="Palatino Linotype" w:cs="Arial"/>
          <w:b/>
          <w:color w:val="000000"/>
        </w:rPr>
        <w:t>.</w:t>
      </w:r>
      <w:r w:rsidR="00213408">
        <w:rPr>
          <w:rFonts w:ascii="Palatino Linotype" w:eastAsia="Calibri" w:hAnsi="Palatino Linotype" w:cs="Arial"/>
          <w:b/>
          <w:color w:val="000000"/>
        </w:rPr>
        <w:t xml:space="preserve"> </w:t>
      </w:r>
    </w:p>
    <w:p w:rsidR="006468C8" w:rsidRDefault="006468C8" w:rsidP="00D31CB8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:rsidR="00202921" w:rsidRDefault="00202921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Con fundamento en lo dispuesto por el artículo 14 fracciones X y XI del Reglamento Interior del Instituto de Transparencia, Acceso a la Información Pública y Protección de Datos Personales del Estado de México y Municipios, la</w:t>
      </w:r>
      <w:r w:rsidR="006577EC">
        <w:rPr>
          <w:rFonts w:ascii="Palatino Linotype" w:hAnsi="Palatino Linotype" w:cs="Arial"/>
        </w:rPr>
        <w:t>s</w:t>
      </w:r>
      <w:r w:rsidRPr="0073286C">
        <w:rPr>
          <w:rFonts w:ascii="Palatino Linotype" w:hAnsi="Palatino Linotype" w:cs="Arial"/>
        </w:rPr>
        <w:t xml:space="preserve"> que suscribe</w:t>
      </w:r>
      <w:r w:rsidR="006577EC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  <w:b/>
          <w:lang w:val="es-ES_tradnl"/>
        </w:rPr>
        <w:t xml:space="preserve"> </w:t>
      </w:r>
      <w:r w:rsidRPr="0073286C">
        <w:rPr>
          <w:rFonts w:ascii="Palatino Linotype" w:hAnsi="Palatino Linotype" w:cs="Arial"/>
          <w:b/>
        </w:rPr>
        <w:t>EVA ABAID YAPUR</w:t>
      </w:r>
      <w:r w:rsidR="006577EC">
        <w:rPr>
          <w:rFonts w:ascii="Palatino Linotype" w:hAnsi="Palatino Linotype" w:cs="Arial"/>
          <w:b/>
        </w:rPr>
        <w:t xml:space="preserve"> y ZULEMA MARTÍNEZ SÁNCHEZ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emite</w:t>
      </w:r>
      <w:r w:rsidR="006577EC">
        <w:rPr>
          <w:rFonts w:ascii="Palatino Linotype" w:hAnsi="Palatino Linotype" w:cs="Arial"/>
        </w:rPr>
        <w:t>n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VOTO PARTICULAR</w:t>
      </w:r>
      <w:r w:rsidR="006577EC">
        <w:rPr>
          <w:rFonts w:ascii="Palatino Linotype" w:hAnsi="Palatino Linotype" w:cs="Arial"/>
          <w:b/>
        </w:rPr>
        <w:t xml:space="preserve"> CONCURRENTE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 xml:space="preserve">respecto de la resolución dictada en </w:t>
      </w:r>
      <w:r w:rsidR="00400547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recurso de revisión </w:t>
      </w:r>
      <w:r w:rsidR="006577EC">
        <w:rPr>
          <w:rFonts w:ascii="Palatino Linotype" w:hAnsi="Palatino Linotype" w:cs="Arial"/>
          <w:b/>
        </w:rPr>
        <w:t>06628/INFOEM/IP/RR/2019</w:t>
      </w:r>
      <w:r w:rsidRPr="0073286C">
        <w:rPr>
          <w:rFonts w:ascii="Palatino Linotype" w:hAnsi="Palatino Linotype" w:cs="Arial"/>
        </w:rPr>
        <w:t xml:space="preserve">, pronunciada por el Pleno de este Instituto ante el proyecto presentado por el Comisionado </w:t>
      </w:r>
      <w:r w:rsidRPr="0073286C">
        <w:rPr>
          <w:rFonts w:ascii="Palatino Linotype" w:hAnsi="Palatino Linotype" w:cs="Arial"/>
          <w:b/>
        </w:rPr>
        <w:t>JOSÉ GUADALUPE LUNA HERNÁNDEZ</w:t>
      </w:r>
      <w:r w:rsidRPr="0073286C">
        <w:rPr>
          <w:rFonts w:ascii="Palatino Linotype" w:hAnsi="Palatino Linotype" w:cs="Arial"/>
        </w:rPr>
        <w:t>, que es del tenor siguiente</w:t>
      </w:r>
      <w:r>
        <w:rPr>
          <w:rFonts w:ascii="Palatino Linotype" w:hAnsi="Palatino Linotype" w:cs="Arial"/>
        </w:rPr>
        <w:t>.</w:t>
      </w:r>
    </w:p>
    <w:p w:rsidR="006468C8" w:rsidRDefault="006468C8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202921" w:rsidRDefault="00202921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t>Es de destacar, que la</w:t>
      </w:r>
      <w:r w:rsidR="002A5DD9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suscrita</w:t>
      </w:r>
      <w:r w:rsidR="002A5DD9">
        <w:rPr>
          <w:rFonts w:ascii="Palatino Linotype" w:hAnsi="Palatino Linotype"/>
        </w:rPr>
        <w:t>s</w:t>
      </w:r>
      <w:r w:rsidRPr="0073286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comparte</w:t>
      </w:r>
      <w:r w:rsidR="002A5DD9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 esencialmente el sentido de la </w:t>
      </w:r>
      <w:r w:rsidRPr="0073286C">
        <w:rPr>
          <w:rFonts w:ascii="Palatino Linotype" w:hAnsi="Palatino Linotype"/>
        </w:rPr>
        <w:t xml:space="preserve">resolución </w:t>
      </w:r>
      <w:r>
        <w:rPr>
          <w:rFonts w:ascii="Palatino Linotype" w:hAnsi="Palatino Linotype"/>
        </w:rPr>
        <w:t xml:space="preserve">del </w:t>
      </w:r>
      <w:r w:rsidRPr="0073286C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empero, estimo</w:t>
      </w:r>
      <w:r w:rsidRPr="0073286C">
        <w:rPr>
          <w:rFonts w:ascii="Palatino Linotype" w:hAnsi="Palatino Linotype"/>
        </w:rPr>
        <w:t xml:space="preserve"> necesario precisar algunas consideraciones de hecho y de derecho, tocante a</w:t>
      </w:r>
      <w:r>
        <w:rPr>
          <w:rFonts w:ascii="Palatino Linotype" w:hAnsi="Palatino Linotype"/>
        </w:rPr>
        <w:t xml:space="preserve"> parte de </w:t>
      </w:r>
      <w:r w:rsidRPr="0073286C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que se ordena.</w:t>
      </w:r>
    </w:p>
    <w:p w:rsidR="006468C8" w:rsidRDefault="006468C8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6577EC" w:rsidRDefault="00202921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lastRenderedPageBreak/>
        <w:t>Al respecto, tal y como quedó debidamente asentado en la resolución materia del presente</w:t>
      </w:r>
      <w:r w:rsidR="006577EC">
        <w:rPr>
          <w:rFonts w:ascii="Palatino Linotype" w:hAnsi="Palatino Linotype"/>
        </w:rPr>
        <w:t xml:space="preserve"> voto, el particular requirió del </w:t>
      </w:r>
      <w:r w:rsidR="006577EC">
        <w:rPr>
          <w:rFonts w:ascii="Palatino Linotype" w:hAnsi="Palatino Linotype"/>
          <w:b/>
        </w:rPr>
        <w:t xml:space="preserve">Ayuntamiento de </w:t>
      </w:r>
      <w:proofErr w:type="spellStart"/>
      <w:r w:rsidR="006577EC">
        <w:rPr>
          <w:rFonts w:ascii="Palatino Linotype" w:hAnsi="Palatino Linotype"/>
          <w:b/>
        </w:rPr>
        <w:t>Coyotepec</w:t>
      </w:r>
      <w:proofErr w:type="spellEnd"/>
      <w:r>
        <w:rPr>
          <w:rFonts w:ascii="Palatino Linotype" w:hAnsi="Palatino Linotype"/>
        </w:rPr>
        <w:t xml:space="preserve">, en lo sucesivo </w:t>
      </w:r>
      <w:r w:rsidRPr="0073286C">
        <w:rPr>
          <w:rFonts w:ascii="Palatino Linotype" w:hAnsi="Palatino Linotype"/>
          <w:b/>
        </w:rPr>
        <w:t>SUJETO OBLIGADO,</w:t>
      </w:r>
      <w:r w:rsidRPr="0073286C">
        <w:rPr>
          <w:rFonts w:ascii="Palatino Linotype" w:hAnsi="Palatino Linotype"/>
        </w:rPr>
        <w:t xml:space="preserve"> </w:t>
      </w:r>
      <w:r w:rsidR="00E515B2">
        <w:rPr>
          <w:rFonts w:ascii="Palatino Linotype" w:hAnsi="Palatino Linotype"/>
        </w:rPr>
        <w:t>la información que a continuación se desagrega</w:t>
      </w:r>
      <w:r w:rsidR="000F0BC5">
        <w:rPr>
          <w:rFonts w:ascii="Palatino Linotype" w:hAnsi="Palatino Linotype"/>
        </w:rPr>
        <w:t>:</w:t>
      </w:r>
    </w:p>
    <w:p w:rsidR="006577EC" w:rsidRDefault="00FF1472" w:rsidP="00D31CB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“</w:t>
      </w:r>
      <w:r w:rsidR="006577EC" w:rsidRPr="00FF1472">
        <w:rPr>
          <w:rFonts w:ascii="Palatino Linotype" w:hAnsi="Palatino Linotype"/>
          <w:i/>
          <w:sz w:val="22"/>
          <w:szCs w:val="22"/>
        </w:rPr>
        <w:t xml:space="preserve">del </w:t>
      </w:r>
      <w:r w:rsidRPr="00FF1472">
        <w:rPr>
          <w:rFonts w:ascii="Palatino Linotype" w:hAnsi="Palatino Linotype"/>
          <w:i/>
          <w:sz w:val="22"/>
          <w:szCs w:val="22"/>
        </w:rPr>
        <w:t xml:space="preserve">Ayuntamiento y DIF </w:t>
      </w:r>
      <w:r w:rsidR="006577EC" w:rsidRPr="00FF1472">
        <w:rPr>
          <w:rFonts w:ascii="Palatino Linotype" w:hAnsi="Palatino Linotype"/>
          <w:i/>
          <w:sz w:val="22"/>
          <w:szCs w:val="22"/>
        </w:rPr>
        <w:t xml:space="preserve">de </w:t>
      </w:r>
      <w:proofErr w:type="spellStart"/>
      <w:r w:rsidR="006577EC" w:rsidRPr="00FF1472">
        <w:rPr>
          <w:rFonts w:ascii="Palatino Linotype" w:hAnsi="Palatino Linotype"/>
          <w:i/>
          <w:sz w:val="22"/>
          <w:szCs w:val="22"/>
        </w:rPr>
        <w:t>coyotepec</w:t>
      </w:r>
      <w:proofErr w:type="spellEnd"/>
      <w:r w:rsidR="006577EC" w:rsidRPr="00FF1472">
        <w:rPr>
          <w:rFonts w:ascii="Palatino Linotype" w:hAnsi="Palatino Linotype"/>
          <w:i/>
          <w:sz w:val="22"/>
          <w:szCs w:val="22"/>
        </w:rPr>
        <w:t xml:space="preserve"> solicito:</w:t>
      </w:r>
    </w:p>
    <w:p w:rsidR="00FF1472" w:rsidRPr="00FF1472" w:rsidRDefault="00FF1472" w:rsidP="00D31CB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B57C14" w:rsidRDefault="006577EC" w:rsidP="00B57C1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proofErr w:type="gramStart"/>
      <w:r w:rsidRPr="00FF1472">
        <w:rPr>
          <w:rFonts w:ascii="Palatino Linotype" w:hAnsi="Palatino Linotype"/>
          <w:i/>
          <w:sz w:val="22"/>
          <w:szCs w:val="22"/>
        </w:rPr>
        <w:t>nómina</w:t>
      </w:r>
      <w:proofErr w:type="gramEnd"/>
      <w:r w:rsidRPr="00FF1472">
        <w:rPr>
          <w:rFonts w:ascii="Palatino Linotype" w:hAnsi="Palatino Linotype"/>
          <w:i/>
          <w:sz w:val="22"/>
          <w:szCs w:val="22"/>
        </w:rPr>
        <w:t>, lista de raya, nómina semanal, nómina quincenal, nómina confidencial</w:t>
      </w:r>
      <w:r w:rsidR="00FF1472" w:rsidRPr="00FF1472">
        <w:rPr>
          <w:rFonts w:ascii="Palatino Linotype" w:hAnsi="Palatino Linotype"/>
          <w:i/>
          <w:sz w:val="22"/>
          <w:szCs w:val="22"/>
        </w:rPr>
        <w:t xml:space="preserve"> de</w:t>
      </w:r>
      <w:r w:rsidR="00FF1472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="00FF1472">
        <w:rPr>
          <w:rFonts w:ascii="Palatino Linotype" w:hAnsi="Palatino Linotype"/>
          <w:i/>
          <w:sz w:val="22"/>
          <w:szCs w:val="22"/>
        </w:rPr>
        <w:t>dicembre</w:t>
      </w:r>
      <w:proofErr w:type="spellEnd"/>
      <w:r w:rsidR="00FF1472">
        <w:rPr>
          <w:rFonts w:ascii="Palatino Linotype" w:hAnsi="Palatino Linotype"/>
          <w:i/>
          <w:sz w:val="22"/>
          <w:szCs w:val="22"/>
        </w:rPr>
        <w:t xml:space="preserve"> 2018 y</w:t>
      </w:r>
      <w:r w:rsidR="00FF1472" w:rsidRPr="00FF1472">
        <w:rPr>
          <w:rFonts w:ascii="Palatino Linotype" w:hAnsi="Palatino Linotype"/>
          <w:i/>
          <w:sz w:val="22"/>
          <w:szCs w:val="22"/>
        </w:rPr>
        <w:t xml:space="preserve"> enero febrero, marzo, abril y mayo 2019</w:t>
      </w:r>
      <w:r w:rsidR="00FF1472">
        <w:rPr>
          <w:rFonts w:ascii="Palatino Linotype" w:hAnsi="Palatino Linotype"/>
          <w:i/>
          <w:sz w:val="22"/>
          <w:szCs w:val="22"/>
        </w:rPr>
        <w:t>”</w:t>
      </w:r>
    </w:p>
    <w:p w:rsidR="00B57C14" w:rsidRPr="00B57C14" w:rsidRDefault="00B57C14" w:rsidP="00B57C1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6468C8" w:rsidRPr="00D31CB8" w:rsidRDefault="00202921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 w:cs="Arial"/>
        </w:rPr>
        <w:t>De las constancias que obran dentro del expediente electrónico</w:t>
      </w:r>
      <w:r>
        <w:rPr>
          <w:rFonts w:ascii="Palatino Linotype" w:hAnsi="Palatino Linotype" w:cs="Arial"/>
        </w:rPr>
        <w:t xml:space="preserve"> del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SAIMEX,</w:t>
      </w:r>
      <w:r w:rsidRPr="0073286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se advirtió </w:t>
      </w:r>
      <w:r w:rsidRPr="0073286C">
        <w:rPr>
          <w:rFonts w:ascii="Palatino Linotype" w:hAnsi="Palatino Linotype" w:cs="Arial"/>
        </w:rPr>
        <w:t xml:space="preserve">que </w:t>
      </w:r>
      <w:r w:rsidRPr="0073286C">
        <w:rPr>
          <w:rFonts w:ascii="Palatino Linotype" w:hAnsi="Palatino Linotype" w:cs="Arial"/>
          <w:b/>
        </w:rPr>
        <w:t xml:space="preserve">EL SUJETO OBLIGADO, </w:t>
      </w:r>
      <w:r w:rsidRPr="0073286C">
        <w:rPr>
          <w:rFonts w:ascii="Palatino Linotype" w:hAnsi="Palatino Linotype" w:cs="Arial"/>
        </w:rPr>
        <w:t>en respuesta</w:t>
      </w:r>
      <w:r>
        <w:rPr>
          <w:rFonts w:ascii="Palatino Linotype" w:hAnsi="Palatino Linotype" w:cs="Arial"/>
        </w:rPr>
        <w:t xml:space="preserve"> </w:t>
      </w:r>
      <w:r w:rsidR="000F0BC5">
        <w:rPr>
          <w:rFonts w:ascii="Palatino Linotype" w:hAnsi="Palatino Linotype" w:cs="Arial"/>
        </w:rPr>
        <w:t xml:space="preserve">a la solicitud de información </w:t>
      </w:r>
      <w:r w:rsidR="00FF1472">
        <w:rPr>
          <w:rFonts w:ascii="Palatino Linotype" w:hAnsi="Palatino Linotype"/>
          <w:b/>
          <w:bCs/>
        </w:rPr>
        <w:t>00282</w:t>
      </w:r>
      <w:r w:rsidR="00CB7A00" w:rsidRPr="00CB7A00">
        <w:rPr>
          <w:rFonts w:ascii="Palatino Linotype" w:hAnsi="Palatino Linotype"/>
          <w:b/>
          <w:bCs/>
        </w:rPr>
        <w:t>/</w:t>
      </w:r>
      <w:r w:rsidR="00AF0831">
        <w:rPr>
          <w:rFonts w:ascii="Palatino Linotype" w:hAnsi="Palatino Linotype"/>
          <w:b/>
          <w:bCs/>
        </w:rPr>
        <w:t>COYOTEP</w:t>
      </w:r>
      <w:r w:rsidR="00FA5E83">
        <w:rPr>
          <w:rFonts w:ascii="Palatino Linotype" w:hAnsi="Palatino Linotype"/>
          <w:b/>
          <w:bCs/>
        </w:rPr>
        <w:t>/IP/2019</w:t>
      </w:r>
      <w:r w:rsidR="003878EC">
        <w:rPr>
          <w:rFonts w:ascii="Palatino Linotype" w:hAnsi="Palatino Linotype"/>
          <w:b/>
          <w:bCs/>
        </w:rPr>
        <w:t xml:space="preserve"> </w:t>
      </w:r>
      <w:r w:rsidR="00DE6850">
        <w:rPr>
          <w:rFonts w:ascii="Palatino Linotype" w:hAnsi="Palatino Linotype"/>
          <w:bCs/>
        </w:rPr>
        <w:t xml:space="preserve">remitió los archivos electrónicos </w:t>
      </w:r>
      <w:r w:rsidR="00DE6850">
        <w:rPr>
          <w:rFonts w:ascii="Palatino Linotype" w:hAnsi="Palatino Linotype"/>
          <w:b/>
          <w:bCs/>
        </w:rPr>
        <w:t xml:space="preserve">NOMINA </w:t>
      </w:r>
      <w:proofErr w:type="spellStart"/>
      <w:r w:rsidR="00DE6850">
        <w:rPr>
          <w:rFonts w:ascii="Palatino Linotype" w:hAnsi="Palatino Linotype"/>
          <w:b/>
          <w:bCs/>
        </w:rPr>
        <w:t>DIF</w:t>
      </w:r>
      <w:proofErr w:type="gramStart"/>
      <w:r w:rsidR="00DE6850">
        <w:rPr>
          <w:rFonts w:ascii="Palatino Linotype" w:hAnsi="Palatino Linotype"/>
          <w:b/>
          <w:bCs/>
        </w:rPr>
        <w:t>..pdf</w:t>
      </w:r>
      <w:proofErr w:type="spellEnd"/>
      <w:proofErr w:type="gramEnd"/>
      <w:r w:rsidR="00DE6850">
        <w:rPr>
          <w:rFonts w:ascii="Palatino Linotype" w:hAnsi="Palatino Linotype"/>
          <w:b/>
          <w:bCs/>
        </w:rPr>
        <w:t xml:space="preserve"> </w:t>
      </w:r>
      <w:r w:rsidR="00D31CB8">
        <w:rPr>
          <w:rFonts w:ascii="Palatino Linotype" w:hAnsi="Palatino Linotype"/>
          <w:bCs/>
        </w:rPr>
        <w:t xml:space="preserve">del que se desprenden 24 fojas consistentes en  un cuadro con los rubros Clave, PUESTO Y Neto; asimismo, adjuntó el archivo </w:t>
      </w:r>
      <w:r w:rsidR="00D31CB8">
        <w:rPr>
          <w:rFonts w:ascii="Palatino Linotype" w:hAnsi="Palatino Linotype"/>
          <w:b/>
          <w:bCs/>
        </w:rPr>
        <w:t xml:space="preserve">TRANSPARENCIA puestos </w:t>
      </w:r>
      <w:proofErr w:type="spellStart"/>
      <w:r w:rsidR="00D31CB8">
        <w:rPr>
          <w:rFonts w:ascii="Palatino Linotype" w:hAnsi="Palatino Linotype"/>
          <w:b/>
          <w:bCs/>
        </w:rPr>
        <w:t>rrr</w:t>
      </w:r>
      <w:proofErr w:type="spellEnd"/>
      <w:r w:rsidR="00D31CB8">
        <w:rPr>
          <w:rFonts w:ascii="Palatino Linotype" w:hAnsi="Palatino Linotype"/>
          <w:b/>
          <w:bCs/>
        </w:rPr>
        <w:t xml:space="preserve"> (Autoguardado).pdf </w:t>
      </w:r>
      <w:r w:rsidR="00D31CB8">
        <w:rPr>
          <w:rFonts w:ascii="Palatino Linotype" w:hAnsi="Palatino Linotype"/>
          <w:bCs/>
        </w:rPr>
        <w:t>consistente en 10 fojas con un cuadro con los rubros NOMBRE COMPLETO, CATEGORIA Y SUELDO NETO.</w:t>
      </w:r>
    </w:p>
    <w:p w:rsidR="004E606A" w:rsidRPr="00CB7A00" w:rsidRDefault="004E606A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b/>
          <w:bCs/>
        </w:rPr>
      </w:pPr>
    </w:p>
    <w:p w:rsidR="00563561" w:rsidRDefault="00177727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</w:t>
      </w:r>
      <w:r w:rsidR="004E606A">
        <w:rPr>
          <w:rFonts w:ascii="Palatino Linotype" w:hAnsi="Palatino Linotype"/>
        </w:rPr>
        <w:t>la respuesta</w:t>
      </w:r>
      <w:r w:rsidR="00563561">
        <w:rPr>
          <w:rFonts w:ascii="Palatino Linotype" w:hAnsi="Palatino Linotype"/>
        </w:rPr>
        <w:t xml:space="preserve"> otorgada por </w:t>
      </w:r>
      <w:r w:rsidR="00563561">
        <w:rPr>
          <w:rFonts w:ascii="Palatino Linotype" w:hAnsi="Palatino Linotype"/>
          <w:b/>
        </w:rPr>
        <w:t>EL SUJETO OBLIGADO</w:t>
      </w:r>
      <w:r w:rsidR="00E515B2">
        <w:rPr>
          <w:rFonts w:ascii="Palatino Linotype" w:hAnsi="Palatino Linotype"/>
          <w:b/>
        </w:rPr>
        <w:t>,</w:t>
      </w:r>
      <w:r w:rsidR="00563561">
        <w:rPr>
          <w:rFonts w:ascii="Palatino Linotype" w:hAnsi="Palatino Linotype"/>
          <w:b/>
        </w:rPr>
        <w:t xml:space="preserve"> </w:t>
      </w:r>
      <w:r w:rsidR="00563561">
        <w:rPr>
          <w:rFonts w:ascii="Palatino Linotype" w:hAnsi="Palatino Linotype"/>
        </w:rPr>
        <w:t xml:space="preserve">el particular interpuso </w:t>
      </w:r>
      <w:r w:rsidR="004E606A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recurso</w:t>
      </w:r>
      <w:r w:rsidR="004E606A">
        <w:rPr>
          <w:rFonts w:ascii="Palatino Linotype" w:hAnsi="Palatino Linotype"/>
        </w:rPr>
        <w:t xml:space="preserve"> de revisión de mérito, </w:t>
      </w:r>
      <w:r w:rsidR="002C1CC6">
        <w:rPr>
          <w:rFonts w:ascii="Palatino Linotype" w:hAnsi="Palatino Linotype"/>
        </w:rPr>
        <w:t>adoleciéndose precisamente de la negativa a proporcionar la información.</w:t>
      </w:r>
      <w:r w:rsidR="004E606A">
        <w:rPr>
          <w:rFonts w:ascii="Palatino Linotype" w:hAnsi="Palatino Linotype"/>
        </w:rPr>
        <w:t xml:space="preserve"> </w:t>
      </w:r>
    </w:p>
    <w:p w:rsidR="006468C8" w:rsidRDefault="006468C8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222326" w:rsidRDefault="000F0BC5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Atento a lo anterior, l</w:t>
      </w:r>
      <w:r w:rsidR="002A5DD9">
        <w:rPr>
          <w:rFonts w:ascii="Palatino Linotype" w:hAnsi="Palatino Linotype" w:cs="Arial"/>
        </w:rPr>
        <w:t xml:space="preserve">a Ponencia Resolutora determinó </w:t>
      </w:r>
      <w:r w:rsidR="002A5DD9">
        <w:rPr>
          <w:rFonts w:ascii="Palatino Linotype" w:hAnsi="Palatino Linotype" w:cs="Arial"/>
          <w:b/>
        </w:rPr>
        <w:t>REVO</w:t>
      </w:r>
      <w:r w:rsidR="002C1CC6">
        <w:rPr>
          <w:rFonts w:ascii="Palatino Linotype" w:hAnsi="Palatino Linotype" w:cs="Arial"/>
          <w:b/>
        </w:rPr>
        <w:t>CAR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la respuesta del</w:t>
      </w:r>
      <w:r w:rsidRPr="0073286C">
        <w:rPr>
          <w:rFonts w:ascii="Palatino Linotype" w:hAnsi="Palatino Linotype" w:cs="Arial"/>
          <w:b/>
        </w:rPr>
        <w:t xml:space="preserve"> SUJETO OBLIGADO </w:t>
      </w:r>
      <w:r w:rsidR="006468C8">
        <w:rPr>
          <w:rFonts w:ascii="Palatino Linotype" w:hAnsi="Palatino Linotype" w:cs="Arial"/>
        </w:rPr>
        <w:t>ordenándole</w:t>
      </w:r>
      <w:r w:rsidR="00563561">
        <w:rPr>
          <w:rFonts w:ascii="Palatino Linotype" w:hAnsi="Palatino Linotype" w:cs="Arial"/>
        </w:rPr>
        <w:t xml:space="preserve"> </w:t>
      </w:r>
      <w:r w:rsidR="00222326" w:rsidRPr="00222326">
        <w:rPr>
          <w:rFonts w:ascii="Palatino Linotype" w:hAnsi="Palatino Linotype" w:cs="Arial"/>
        </w:rPr>
        <w:t xml:space="preserve">entregar en versión pública, </w:t>
      </w:r>
      <w:r w:rsidR="002A5DD9">
        <w:rPr>
          <w:rFonts w:ascii="Palatino Linotype" w:hAnsi="Palatino Linotype" w:cs="Arial"/>
        </w:rPr>
        <w:t>en CD-ROM</w:t>
      </w:r>
      <w:r w:rsidR="00222326" w:rsidRPr="00222326">
        <w:rPr>
          <w:rFonts w:ascii="Palatino Linotype" w:hAnsi="Palatino Linotype" w:cs="Arial"/>
        </w:rPr>
        <w:t xml:space="preserve"> </w:t>
      </w:r>
      <w:r w:rsidR="00222326" w:rsidRPr="00222326">
        <w:rPr>
          <w:rFonts w:ascii="Palatino Linotype" w:hAnsi="Palatino Linotype" w:cs="Arial"/>
          <w:i/>
        </w:rPr>
        <w:t>sin costo</w:t>
      </w:r>
      <w:r w:rsidR="00222326" w:rsidRPr="00222326">
        <w:rPr>
          <w:rFonts w:ascii="Palatino Linotype" w:hAnsi="Palatino Linotype" w:cs="Arial"/>
        </w:rPr>
        <w:t xml:space="preserve">, </w:t>
      </w:r>
      <w:r w:rsidR="00222326">
        <w:rPr>
          <w:rFonts w:ascii="Palatino Linotype" w:hAnsi="Palatino Linotype" w:cs="Arial"/>
        </w:rPr>
        <w:t>de lo</w:t>
      </w:r>
      <w:r w:rsidR="00222326" w:rsidRPr="00222326">
        <w:rPr>
          <w:rFonts w:ascii="Palatino Linotype" w:hAnsi="Palatino Linotype" w:cs="Arial"/>
        </w:rPr>
        <w:t xml:space="preserve"> siguiente:</w:t>
      </w:r>
    </w:p>
    <w:p w:rsidR="006468C8" w:rsidRDefault="006468C8" w:rsidP="00D31CB8">
      <w:pPr>
        <w:spacing w:before="100" w:beforeAutospacing="1" w:after="100" w:afterAutospacing="1" w:line="360" w:lineRule="auto"/>
        <w:ind w:right="992"/>
        <w:contextualSpacing/>
        <w:jc w:val="both"/>
        <w:rPr>
          <w:rFonts w:ascii="Palatino Linotype" w:hAnsi="Palatino Linotype" w:cs="Arial"/>
        </w:rPr>
      </w:pPr>
    </w:p>
    <w:p w:rsidR="007B3771" w:rsidRPr="007B3771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lastRenderedPageBreak/>
        <w:t xml:space="preserve">a) </w:t>
      </w:r>
      <w:r w:rsidRPr="007B3771">
        <w:rPr>
          <w:rFonts w:ascii="Palatino Linotype" w:hAnsi="Palatino Linotype" w:cs="Arial"/>
          <w:i/>
          <w:sz w:val="22"/>
          <w:szCs w:val="22"/>
        </w:rPr>
        <w:t xml:space="preserve">Nómina general del Municipio de </w:t>
      </w:r>
      <w:proofErr w:type="spellStart"/>
      <w:r w:rsidRPr="007B3771">
        <w:rPr>
          <w:rFonts w:ascii="Palatino Linotype" w:hAnsi="Palatino Linotype" w:cs="Arial"/>
          <w:i/>
          <w:sz w:val="22"/>
          <w:szCs w:val="22"/>
        </w:rPr>
        <w:t>Coyotepec</w:t>
      </w:r>
      <w:proofErr w:type="spellEnd"/>
      <w:r w:rsidRPr="007B3771">
        <w:rPr>
          <w:rFonts w:ascii="Palatino Linotype" w:hAnsi="Palatino Linotype" w:cs="Arial"/>
          <w:i/>
          <w:sz w:val="22"/>
          <w:szCs w:val="22"/>
        </w:rPr>
        <w:t xml:space="preserve"> y del Sistema Municipal para el Desarrollo Integral de la Familia del Municipio de </w:t>
      </w:r>
      <w:proofErr w:type="spellStart"/>
      <w:r w:rsidRPr="007B3771">
        <w:rPr>
          <w:rFonts w:ascii="Palatino Linotype" w:hAnsi="Palatino Linotype" w:cs="Arial"/>
          <w:i/>
          <w:sz w:val="22"/>
          <w:szCs w:val="22"/>
        </w:rPr>
        <w:t>Coyotepec</w:t>
      </w:r>
      <w:proofErr w:type="spellEnd"/>
      <w:r w:rsidRPr="007B3771">
        <w:rPr>
          <w:rFonts w:ascii="Palatino Linotype" w:hAnsi="Palatino Linotype" w:cs="Arial"/>
          <w:i/>
          <w:sz w:val="22"/>
          <w:szCs w:val="22"/>
        </w:rPr>
        <w:t>, del mes de diciembre de dos mil dieciocho y de enero a mayo de dos mil diecinueve; y</w:t>
      </w:r>
    </w:p>
    <w:p w:rsidR="007B3771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D31CB8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b) </w:t>
      </w:r>
      <w:r w:rsidRPr="007B3771">
        <w:rPr>
          <w:rFonts w:ascii="Palatino Linotype" w:hAnsi="Palatino Linotype" w:cs="Arial"/>
          <w:i/>
          <w:sz w:val="22"/>
          <w:szCs w:val="22"/>
        </w:rPr>
        <w:t xml:space="preserve">Lista de raya del Municipio de </w:t>
      </w:r>
      <w:proofErr w:type="spellStart"/>
      <w:r w:rsidRPr="007B3771">
        <w:rPr>
          <w:rFonts w:ascii="Palatino Linotype" w:hAnsi="Palatino Linotype" w:cs="Arial"/>
          <w:i/>
          <w:sz w:val="22"/>
          <w:szCs w:val="22"/>
        </w:rPr>
        <w:t>Coyotepec</w:t>
      </w:r>
      <w:proofErr w:type="spellEnd"/>
      <w:r w:rsidRPr="007B3771">
        <w:rPr>
          <w:rFonts w:ascii="Palatino Linotype" w:hAnsi="Palatino Linotype" w:cs="Arial"/>
          <w:i/>
          <w:sz w:val="22"/>
          <w:szCs w:val="22"/>
        </w:rPr>
        <w:t xml:space="preserve"> correspondiente a los meses de diciembre de dos mil dieciocho y de enero a mayo de dos mil diecinueve. </w:t>
      </w:r>
    </w:p>
    <w:p w:rsidR="00D31CB8" w:rsidRDefault="00D31CB8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D31CB8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7B3771">
        <w:rPr>
          <w:rFonts w:ascii="Palatino Linotype" w:eastAsia="Calibri" w:hAnsi="Palatino Linotype" w:cs="Arial"/>
          <w:i/>
          <w:sz w:val="22"/>
          <w:szCs w:val="22"/>
        </w:rPr>
        <w:t>Para efectos de lo anterior, se deberá emitir el Acuerdo del Comité de Transparencia en términos de los artículos 49, fracción VIII y 132,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pongan a disposición del RECURRENTE.</w:t>
      </w:r>
    </w:p>
    <w:p w:rsidR="00D31CB8" w:rsidRDefault="00D31CB8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eastAsia="Calibri" w:hAnsi="Palatino Linotype" w:cs="Arial"/>
          <w:i/>
          <w:sz w:val="22"/>
          <w:szCs w:val="22"/>
        </w:rPr>
      </w:pPr>
    </w:p>
    <w:p w:rsidR="00D31CB8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color w:val="000000" w:themeColor="text1"/>
          <w:sz w:val="22"/>
          <w:szCs w:val="22"/>
        </w:rPr>
      </w:pPr>
      <w:r w:rsidRPr="007B3771">
        <w:rPr>
          <w:rFonts w:ascii="Palatino Linotype" w:hAnsi="Palatino Linotype" w:cs="Arial"/>
          <w:i/>
          <w:color w:val="222222"/>
          <w:sz w:val="22"/>
          <w:szCs w:val="22"/>
        </w:rPr>
        <w:t xml:space="preserve">A efecto de que el Sujeto Obligado dé pleno cumplimiento a lo anterior, es necesario que informe a la recurrente el procedimiento para la expedición del CD-ROM, así como el lugar, </w:t>
      </w:r>
      <w:r w:rsidRPr="007B3771">
        <w:rPr>
          <w:rFonts w:ascii="Palatino Linotype" w:hAnsi="Palatino Linotype" w:cs="Arial"/>
          <w:i/>
          <w:color w:val="000000" w:themeColor="text1"/>
          <w:sz w:val="22"/>
          <w:szCs w:val="22"/>
        </w:rPr>
        <w:t>días y horas hábiles, para recoger dicho medio de almacenamiento.</w:t>
      </w:r>
    </w:p>
    <w:p w:rsidR="00D31CB8" w:rsidRDefault="00D31CB8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eastAsia="Calibri" w:hAnsi="Palatino Linotype" w:cs="Arial"/>
          <w:i/>
          <w:sz w:val="22"/>
          <w:szCs w:val="22"/>
        </w:rPr>
      </w:pPr>
    </w:p>
    <w:p w:rsidR="007B3771" w:rsidRPr="00D31CB8" w:rsidRDefault="007B3771" w:rsidP="00D31CB8">
      <w:pPr>
        <w:pStyle w:val="Prrafodelista"/>
        <w:tabs>
          <w:tab w:val="left" w:pos="0"/>
        </w:tabs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eastAsia="Calibri" w:hAnsi="Palatino Linotype" w:cs="Arial"/>
          <w:i/>
          <w:sz w:val="22"/>
          <w:szCs w:val="22"/>
        </w:rPr>
        <w:t>Para</w:t>
      </w:r>
      <w:r w:rsidRPr="007B3771">
        <w:rPr>
          <w:rFonts w:ascii="Palatino Linotype" w:hAnsi="Palatino Linotype"/>
          <w:i/>
          <w:sz w:val="22"/>
          <w:szCs w:val="22"/>
        </w:rPr>
        <w:t xml:space="preserve"> el caso, que la información que se ordena en el inciso b) </w:t>
      </w:r>
      <w:r w:rsidRPr="007B3771">
        <w:rPr>
          <w:rFonts w:ascii="Palatino Linotype" w:eastAsia="Calibri" w:hAnsi="Palatino Linotype" w:cs="Arial"/>
          <w:i/>
          <w:color w:val="000000" w:themeColor="text1"/>
          <w:sz w:val="22"/>
          <w:szCs w:val="22"/>
          <w:lang w:val="es-MX"/>
        </w:rPr>
        <w:t>no haya sido generada poseída o administrada, el SUJETO OBLIGADO, deberá manifestar de manera precisa y clara las razones que expliquen las causas por las cuales no cuenta con la información requerida.</w:t>
      </w:r>
    </w:p>
    <w:p w:rsidR="00202921" w:rsidRDefault="00717A14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En ese sentido, la</w:t>
      </w:r>
      <w:r w:rsidR="002A5DD9">
        <w:rPr>
          <w:rFonts w:ascii="Palatino Linotype" w:hAnsi="Palatino Linotype" w:cs="Arial"/>
          <w:lang w:val="es-MX"/>
        </w:rPr>
        <w:t>s</w:t>
      </w:r>
      <w:r>
        <w:rPr>
          <w:rFonts w:ascii="Palatino Linotype" w:hAnsi="Palatino Linotype" w:cs="Arial"/>
          <w:lang w:val="es-MX"/>
        </w:rPr>
        <w:t xml:space="preserve"> </w:t>
      </w:r>
      <w:r w:rsidR="002A5DD9">
        <w:rPr>
          <w:rFonts w:ascii="Palatino Linotype" w:hAnsi="Palatino Linotype" w:cs="Arial"/>
          <w:lang w:val="es-MX"/>
        </w:rPr>
        <w:t>suscritas</w:t>
      </w:r>
      <w:r w:rsidR="00202921" w:rsidRPr="0073286C">
        <w:rPr>
          <w:rFonts w:ascii="Palatino Linotype" w:hAnsi="Palatino Linotype" w:cs="Arial"/>
          <w:lang w:val="es-MX"/>
        </w:rPr>
        <w:t xml:space="preserve"> reitera</w:t>
      </w:r>
      <w:r w:rsidR="002A5DD9">
        <w:rPr>
          <w:rFonts w:ascii="Palatino Linotype" w:hAnsi="Palatino Linotype" w:cs="Arial"/>
          <w:lang w:val="es-MX"/>
        </w:rPr>
        <w:t>n</w:t>
      </w:r>
      <w:r w:rsidR="00202921" w:rsidRPr="0073286C">
        <w:rPr>
          <w:rFonts w:ascii="Palatino Linotype" w:hAnsi="Palatino Linotype" w:cs="Arial"/>
          <w:lang w:val="es-MX"/>
        </w:rPr>
        <w:t>, que si bien coincide</w:t>
      </w:r>
      <w:r w:rsidR="007B3771">
        <w:rPr>
          <w:rFonts w:ascii="Palatino Linotype" w:hAnsi="Palatino Linotype" w:cs="Arial"/>
          <w:lang w:val="es-MX"/>
        </w:rPr>
        <w:t>n</w:t>
      </w:r>
      <w:r w:rsidR="00202921" w:rsidRPr="0073286C">
        <w:rPr>
          <w:rFonts w:ascii="Palatino Linotype" w:hAnsi="Palatino Linotype" w:cs="Arial"/>
          <w:lang w:val="es-MX"/>
        </w:rPr>
        <w:t xml:space="preserve"> en términos generales con el </w:t>
      </w:r>
      <w:r w:rsidR="00202921">
        <w:rPr>
          <w:rFonts w:ascii="Palatino Linotype" w:hAnsi="Palatino Linotype" w:cs="Arial"/>
          <w:lang w:val="es-MX"/>
        </w:rPr>
        <w:t>sentido de la r</w:t>
      </w:r>
      <w:r w:rsidR="00202921" w:rsidRPr="0073286C">
        <w:rPr>
          <w:rFonts w:ascii="Palatino Linotype" w:hAnsi="Palatino Linotype" w:cs="Arial"/>
          <w:lang w:val="es-MX"/>
        </w:rPr>
        <w:t xml:space="preserve">esolución en comento, </w:t>
      </w:r>
      <w:r w:rsidR="007B3771">
        <w:rPr>
          <w:rFonts w:ascii="Palatino Linotype" w:hAnsi="Palatino Linotype" w:cs="Arial"/>
          <w:lang w:val="es-MX"/>
        </w:rPr>
        <w:t>consideran</w:t>
      </w:r>
      <w:r>
        <w:rPr>
          <w:rFonts w:ascii="Palatino Linotype" w:hAnsi="Palatino Linotype" w:cs="Arial"/>
          <w:lang w:val="es-MX"/>
        </w:rPr>
        <w:t xml:space="preserve"> necesario señalar que se debió ordenar </w:t>
      </w:r>
      <w:r w:rsidR="00B63948">
        <w:rPr>
          <w:rFonts w:ascii="Palatino Linotype" w:hAnsi="Palatino Linotype" w:cs="Arial"/>
          <w:lang w:val="es-MX"/>
        </w:rPr>
        <w:t xml:space="preserve">el cobro por </w:t>
      </w:r>
      <w:r w:rsidR="00E777E5">
        <w:rPr>
          <w:rFonts w:ascii="Palatino Linotype" w:hAnsi="Palatino Linotype" w:cs="Arial"/>
          <w:lang w:val="es-MX"/>
        </w:rPr>
        <w:t>concepto de la expedición del</w:t>
      </w:r>
      <w:r w:rsidR="00B63948">
        <w:rPr>
          <w:rFonts w:ascii="Palatino Linotype" w:hAnsi="Palatino Linotype" w:cs="Arial"/>
          <w:lang w:val="es-MX"/>
        </w:rPr>
        <w:t xml:space="preserve"> </w:t>
      </w:r>
      <w:r w:rsidR="00E777E5">
        <w:rPr>
          <w:rFonts w:ascii="Palatino Linotype" w:hAnsi="Palatino Linotype" w:cs="Arial"/>
          <w:lang w:val="es-MX"/>
        </w:rPr>
        <w:t>CD-ROM requerido</w:t>
      </w:r>
      <w:r w:rsidR="00B63948">
        <w:rPr>
          <w:rFonts w:ascii="Palatino Linotype" w:hAnsi="Palatino Linotype" w:cs="Arial"/>
          <w:lang w:val="es-MX"/>
        </w:rPr>
        <w:t xml:space="preserve"> por </w:t>
      </w:r>
      <w:r w:rsidR="00B63948" w:rsidRPr="00B63948">
        <w:rPr>
          <w:rFonts w:ascii="Palatino Linotype" w:hAnsi="Palatino Linotype" w:cs="Arial"/>
          <w:b/>
          <w:lang w:val="es-MX"/>
        </w:rPr>
        <w:t>EL RECURRENTE</w:t>
      </w:r>
      <w:r w:rsidR="00385565">
        <w:rPr>
          <w:rFonts w:ascii="Palatino Linotype" w:hAnsi="Palatino Linotype" w:cs="Arial"/>
          <w:lang w:val="es-MX"/>
        </w:rPr>
        <w:t>.</w:t>
      </w:r>
    </w:p>
    <w:p w:rsidR="00B63948" w:rsidRDefault="00B63948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B63948" w:rsidRDefault="00B63948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Resolutora estableció que ante la solicitud formulada por </w:t>
      </w:r>
      <w:r w:rsidR="00E515B2" w:rsidRPr="00E515B2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Pr="00B63948">
        <w:rPr>
          <w:rFonts w:ascii="Palatino Linotype" w:hAnsi="Palatino Linotype" w:cs="Arial"/>
        </w:rPr>
        <w:t xml:space="preserve"> de manera clara, precisa, contundente e indubitable requirió información pública a la que pretende acceder en su modalidad de </w:t>
      </w:r>
      <w:r w:rsidR="00E777E5">
        <w:rPr>
          <w:rFonts w:ascii="Palatino Linotype" w:hAnsi="Palatino Linotype" w:cs="Arial"/>
        </w:rPr>
        <w:t>CD-ROM</w:t>
      </w:r>
      <w:r w:rsidRPr="00B63948">
        <w:rPr>
          <w:rFonts w:ascii="Palatino Linotype" w:hAnsi="Palatino Linotype" w:cs="Arial"/>
        </w:rPr>
        <w:t xml:space="preserve"> con costo y </w:t>
      </w:r>
      <w:r>
        <w:rPr>
          <w:rFonts w:ascii="Palatino Linotype" w:hAnsi="Palatino Linotype" w:cs="Arial"/>
        </w:rPr>
        <w:t xml:space="preserve">derivado de que </w:t>
      </w:r>
      <w:r w:rsidRPr="00B63948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pretendió</w:t>
      </w:r>
      <w:r w:rsidRPr="00B63948">
        <w:rPr>
          <w:rFonts w:ascii="Palatino Linotype" w:hAnsi="Palatino Linotype" w:cs="Arial"/>
        </w:rPr>
        <w:t xml:space="preserve"> clasifica</w:t>
      </w:r>
      <w:r>
        <w:rPr>
          <w:rFonts w:ascii="Palatino Linotype" w:hAnsi="Palatino Linotype" w:cs="Arial"/>
        </w:rPr>
        <w:t xml:space="preserve">r </w:t>
      </w:r>
      <w:r w:rsidR="00BC1C56">
        <w:rPr>
          <w:rFonts w:ascii="Palatino Linotype" w:hAnsi="Palatino Linotype" w:cs="Arial"/>
        </w:rPr>
        <w:t>de manera general la información</w:t>
      </w:r>
      <w:r w:rsidRPr="00B63948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</w:t>
      </w:r>
      <w:r w:rsidRPr="00B63948">
        <w:rPr>
          <w:rFonts w:ascii="Palatino Linotype" w:hAnsi="Palatino Linotype" w:cs="Arial"/>
        </w:rPr>
        <w:lastRenderedPageBreak/>
        <w:t>solicitud no fuera atendida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por lo que </w:t>
      </w:r>
      <w:r>
        <w:rPr>
          <w:rFonts w:ascii="Palatino Linotype" w:hAnsi="Palatino Linotype" w:cs="Arial"/>
        </w:rPr>
        <w:t>la Ponencia determinó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BC1C56">
        <w:rPr>
          <w:rFonts w:ascii="Palatino Linotype" w:hAnsi="Palatino Linotype" w:cs="Arial"/>
        </w:rPr>
        <w:t xml:space="preserve">CD-ROM </w:t>
      </w:r>
      <w:r w:rsidRPr="00B63948">
        <w:rPr>
          <w:rFonts w:ascii="Palatino Linotype" w:hAnsi="Palatino Linotype" w:cs="Arial"/>
        </w:rPr>
        <w:t xml:space="preserve">sin que medie el pago de los derechos correspondientes. </w:t>
      </w:r>
    </w:p>
    <w:p w:rsidR="00B63948" w:rsidRDefault="00B63948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B57C14" w:rsidRPr="00B57C14" w:rsidRDefault="00B63948" w:rsidP="00B57C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su interposición obedece a una garantía secundaria mediante el cual se pretende 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acceso a la información pública del particular, y una vez instrumentadas cada una de las actuaciones que la Ley contempla, este Órgano Garante emitirá un fallo donde se podrá:</w:t>
      </w:r>
    </w:p>
    <w:p w:rsidR="00B63948" w:rsidRPr="007B3771" w:rsidRDefault="00B63948" w:rsidP="00D31CB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I. Desechar o sobreseer el recurso;</w:t>
      </w:r>
    </w:p>
    <w:p w:rsidR="00B63948" w:rsidRPr="007B3771" w:rsidRDefault="00B63948" w:rsidP="00D31CB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II. Confirmar la respuesta del sujeto obligado;</w:t>
      </w:r>
    </w:p>
    <w:p w:rsidR="00B63948" w:rsidRPr="007B3771" w:rsidRDefault="00B63948" w:rsidP="00D31CB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III. Revocar o modificar la respuesta del sujeto obligado; y</w:t>
      </w:r>
    </w:p>
    <w:p w:rsidR="00B63948" w:rsidRDefault="00B63948" w:rsidP="00D31CB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IV. Ordenar la entrega de la información.</w:t>
      </w:r>
    </w:p>
    <w:p w:rsidR="00B57C14" w:rsidRPr="007B3771" w:rsidRDefault="00B57C14" w:rsidP="00D31CB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:rsidR="000060E4" w:rsidRDefault="00B63948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, no contempla como 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0060E4" w:rsidRDefault="000060E4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0060E4" w:rsidRDefault="000060E4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aunado a que el fundamento que la Ponencia invoca para determinar la entrega de la información requerida sin que medie previo pago </w:t>
      </w:r>
      <w:r w:rsidR="00E777E5">
        <w:rPr>
          <w:rFonts w:ascii="Palatino Linotype" w:hAnsi="Palatino Linotype" w:cs="Arial"/>
        </w:rPr>
        <w:t>de derechos por la expedición del CD-ROM</w:t>
      </w:r>
      <w:r>
        <w:rPr>
          <w:rFonts w:ascii="Palatino Linotype" w:hAnsi="Palatino Linotype" w:cs="Arial"/>
        </w:rPr>
        <w:t xml:space="preserve">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 xml:space="preserve">Sujetos </w:t>
      </w:r>
      <w:r w:rsidR="00E515B2" w:rsidRPr="000060E4">
        <w:rPr>
          <w:rFonts w:ascii="Palatino Linotype" w:hAnsi="Palatino Linotype" w:cs="Arial"/>
        </w:rPr>
        <w:lastRenderedPageBreak/>
        <w:t>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>
        <w:rPr>
          <w:rFonts w:ascii="Palatino Linotype" w:hAnsi="Palatino Linotype" w:cs="Arial"/>
        </w:rPr>
        <w:t xml:space="preserve"> señala que e</w:t>
      </w:r>
      <w:r w:rsidRPr="000060E4">
        <w:rPr>
          <w:rFonts w:ascii="Palatino Linotype" w:hAnsi="Palatino Linotype" w:cs="Arial"/>
        </w:rPr>
        <w:t xml:space="preserve">l 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 y las demás disposiciones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>jurídicas, deberá hacerlo del conocimiento del Órgano de Control Interno de la instancia competente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para que éste </w:t>
      </w:r>
      <w:r w:rsidR="00E515B2">
        <w:rPr>
          <w:rFonts w:ascii="Palatino Linotype" w:hAnsi="Palatino Linotype" w:cs="Arial"/>
        </w:rPr>
        <w:t>determine realice lo conducente</w:t>
      </w:r>
      <w:r w:rsidRPr="000060E4">
        <w:rPr>
          <w:rFonts w:ascii="Palatino Linotype" w:hAnsi="Palatino Linotype" w:cs="Arial"/>
        </w:rPr>
        <w:t>.</w:t>
      </w:r>
    </w:p>
    <w:p w:rsidR="00E515B2" w:rsidRDefault="00E515B2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B63948" w:rsidRDefault="0046500C" w:rsidP="00D31CB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="00B63948">
        <w:rPr>
          <w:rFonts w:ascii="Palatino Linotype" w:hAnsi="Palatino Linotype" w:cs="Arial"/>
        </w:rPr>
        <w:t>or lo cual, la</w:t>
      </w:r>
      <w:r w:rsidR="002A5DD9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suscrita</w:t>
      </w:r>
      <w:r w:rsidR="002A5DD9">
        <w:rPr>
          <w:rFonts w:ascii="Palatino Linotype" w:hAnsi="Palatino Linotype" w:cs="Arial"/>
        </w:rPr>
        <w:t>s</w:t>
      </w:r>
      <w:r w:rsidR="00B63948">
        <w:rPr>
          <w:rFonts w:ascii="Palatino Linotype" w:hAnsi="Palatino Linotype" w:cs="Arial"/>
        </w:rPr>
        <w:t xml:space="preserve"> emite</w:t>
      </w:r>
      <w:r w:rsidR="002A5DD9">
        <w:rPr>
          <w:rFonts w:ascii="Palatino Linotype" w:hAnsi="Palatino Linotype" w:cs="Arial"/>
        </w:rPr>
        <w:t>n</w:t>
      </w:r>
      <w:r w:rsidR="00B63948">
        <w:rPr>
          <w:rFonts w:ascii="Palatino Linotype" w:hAnsi="Palatino Linotype" w:cs="Arial"/>
        </w:rPr>
        <w:t xml:space="preserve">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2A5DD9">
        <w:rPr>
          <w:rFonts w:ascii="Palatino Linotype" w:hAnsi="Palatino Linotype" w:cs="Arial"/>
          <w:b/>
        </w:rPr>
        <w:t xml:space="preserve"> CONCURRENTE</w:t>
      </w:r>
      <w:r w:rsidR="00B63948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</w:t>
      </w:r>
      <w:r w:rsidR="007B3771">
        <w:rPr>
          <w:rFonts w:ascii="Palatino Linotype" w:hAnsi="Palatino Linotype" w:cs="Arial"/>
        </w:rPr>
        <w:t>CD-ROM</w:t>
      </w:r>
      <w:r>
        <w:rPr>
          <w:rFonts w:ascii="Palatino Linotype" w:hAnsi="Palatino Linotype" w:cs="Arial"/>
        </w:rPr>
        <w:t xml:space="preserve">, modalidad de entrega elegida por éste, en razón de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>determinar las responsabilidades de 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2A5DD9" w:rsidRDefault="002A5DD9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B57C14" w:rsidRDefault="00B57C14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sz w:val="20"/>
        </w:rPr>
      </w:pPr>
    </w:p>
    <w:p w:rsidR="001C3CB5" w:rsidRPr="00B57C14" w:rsidRDefault="001C3CB5" w:rsidP="00D31CB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sz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139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2A5DD9" w:rsidRPr="0073286C" w:rsidTr="00B57C14">
        <w:trPr>
          <w:trHeight w:val="428"/>
        </w:trPr>
        <w:tc>
          <w:tcPr>
            <w:tcW w:w="4393" w:type="dxa"/>
          </w:tcPr>
          <w:p w:rsidR="002A5DD9" w:rsidRPr="0073286C" w:rsidRDefault="002A5DD9" w:rsidP="00D31CB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EVA ABAID YAPUR</w:t>
            </w:r>
            <w:r>
              <w:rPr>
                <w:rFonts w:ascii="Palatino Linotype" w:hAnsi="Palatino Linotype"/>
                <w:b/>
              </w:rPr>
              <w:t xml:space="preserve">     </w:t>
            </w:r>
          </w:p>
          <w:p w:rsidR="002A5DD9" w:rsidRDefault="002A5DD9" w:rsidP="00B57C14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73286C">
              <w:rPr>
                <w:rFonts w:ascii="Palatino Linotype" w:hAnsi="Palatino Linotype"/>
                <w:b/>
              </w:rPr>
              <w:t>COMISIONADA</w:t>
            </w:r>
          </w:p>
          <w:p w:rsidR="001C3CB5" w:rsidRPr="0073286C" w:rsidRDefault="001C3CB5" w:rsidP="00B57C14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2A5DD9" w:rsidRPr="00457590" w:rsidTr="00A96CF7">
        <w:trPr>
          <w:trHeight w:val="274"/>
        </w:trPr>
        <w:tc>
          <w:tcPr>
            <w:tcW w:w="4991" w:type="dxa"/>
          </w:tcPr>
          <w:p w:rsidR="002A5DD9" w:rsidRPr="00457590" w:rsidRDefault="002A5DD9" w:rsidP="00D31CB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2A5DD9" w:rsidRPr="00457590" w:rsidTr="00B57C14">
        <w:trPr>
          <w:trHeight w:val="91"/>
        </w:trPr>
        <w:tc>
          <w:tcPr>
            <w:tcW w:w="4991" w:type="dxa"/>
          </w:tcPr>
          <w:p w:rsidR="002A5DD9" w:rsidRDefault="002A5DD9" w:rsidP="00D31CB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  <w:p w:rsidR="001C3CB5" w:rsidRPr="00457590" w:rsidRDefault="001C3CB5" w:rsidP="00D31CB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7B3771" w:rsidRPr="00B57C14" w:rsidRDefault="007B3771" w:rsidP="00D31CB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B57C14" w:rsidRDefault="00B57C14" w:rsidP="00D31CB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02921" w:rsidRDefault="00202921" w:rsidP="00D31CB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emitido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del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06628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dieciséis de octubre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468C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diecinueve.</w:t>
      </w:r>
    </w:p>
    <w:p w:rsidR="00202921" w:rsidRPr="001A4E4A" w:rsidRDefault="00202921" w:rsidP="00D31CB8">
      <w:pPr>
        <w:spacing w:before="100" w:beforeAutospacing="1" w:after="100" w:afterAutospacing="1"/>
        <w:contextualSpacing/>
        <w:jc w:val="both"/>
        <w:rPr>
          <w:rFonts w:ascii="Palatino Linotype" w:hAnsi="Palatino Linotype"/>
          <w:sz w:val="20"/>
          <w:szCs w:val="20"/>
        </w:rPr>
      </w:pPr>
      <w:r w:rsidRPr="001A4E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YSM/A</w:t>
      </w:r>
      <w:r w:rsidR="0046500C">
        <w:rPr>
          <w:rFonts w:ascii="Palatino Linotype" w:eastAsia="Calibri" w:hAnsi="Palatino Linotype" w:cs="Arial"/>
          <w:color w:val="000000" w:themeColor="text1"/>
          <w:sz w:val="20"/>
          <w:szCs w:val="20"/>
        </w:rPr>
        <w:t>TU</w:t>
      </w:r>
      <w:r w:rsidR="002A5DD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/OSAM/LGMJ</w:t>
      </w:r>
    </w:p>
    <w:sectPr w:rsidR="00202921" w:rsidRPr="001A4E4A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48" w:rsidRDefault="00A90248" w:rsidP="00202921">
      <w:r>
        <w:separator/>
      </w:r>
    </w:p>
  </w:endnote>
  <w:endnote w:type="continuationSeparator" w:id="0">
    <w:p w:rsidR="00A90248" w:rsidRDefault="00A90248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C3CB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1C3CB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1C3CB5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C3CB5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C3CB5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1C3CB5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48" w:rsidRDefault="00A90248" w:rsidP="00202921">
      <w:r>
        <w:separator/>
      </w:r>
    </w:p>
  </w:footnote>
  <w:footnote w:type="continuationSeparator" w:id="0">
    <w:p w:rsidR="00A90248" w:rsidRDefault="00A90248" w:rsidP="0020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C3CB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EEF36E" wp14:editId="6CFDAEA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Pr="00B57C14" w:rsidRDefault="001C3CB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</w:rPr>
    </w:pPr>
  </w:p>
  <w:p w:rsidR="00400547" w:rsidRDefault="00400547" w:rsidP="006577EC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B57C14" w:rsidRPr="003764C2">
      <w:rPr>
        <w:rFonts w:ascii="Palatino Linotype" w:hAnsi="Palatino Linotype" w:cs="Arial"/>
        <w:sz w:val="20"/>
        <w:szCs w:val="20"/>
      </w:rPr>
      <w:t>VOTO</w:t>
    </w:r>
    <w:r w:rsidR="00B57C14" w:rsidRPr="006F01F2">
      <w:rPr>
        <w:rFonts w:ascii="Palatino Linotype" w:hAnsi="Palatino Linotype" w:cs="Arial"/>
        <w:sz w:val="20"/>
        <w:szCs w:val="20"/>
      </w:rPr>
      <w:t xml:space="preserve"> PARTICULAR</w:t>
    </w:r>
    <w:r w:rsidR="00B57C14">
      <w:rPr>
        <w:rFonts w:ascii="Palatino Linotype" w:hAnsi="Palatino Linotype" w:cs="Arial"/>
        <w:sz w:val="20"/>
        <w:szCs w:val="20"/>
      </w:rPr>
      <w:t xml:space="preserve"> CONCURRENTE</w:t>
    </w:r>
  </w:p>
  <w:p w:rsidR="00400547" w:rsidRDefault="00B57C14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06628</w:t>
    </w:r>
    <w:r w:rsidRPr="00400547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</w:t>
    </w:r>
  </w:p>
  <w:p w:rsidR="006008A4" w:rsidRDefault="001C3CB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-80.25pt;margin-top:257.45pt;width:660.5pt;height:93.55pt;rotation:315;z-index:-251655168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C3CB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 w15:restartNumberingAfterBreak="0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50FCC"/>
    <w:multiLevelType w:val="hybridMultilevel"/>
    <w:tmpl w:val="C0EA5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F0BC5"/>
    <w:rsid w:val="001478F4"/>
    <w:rsid w:val="00173159"/>
    <w:rsid w:val="00177727"/>
    <w:rsid w:val="001C3CB5"/>
    <w:rsid w:val="001E0C0E"/>
    <w:rsid w:val="00202921"/>
    <w:rsid w:val="00213408"/>
    <w:rsid w:val="00222326"/>
    <w:rsid w:val="002A5DD9"/>
    <w:rsid w:val="002B258A"/>
    <w:rsid w:val="002C1CC6"/>
    <w:rsid w:val="00364F1A"/>
    <w:rsid w:val="003837CB"/>
    <w:rsid w:val="00385565"/>
    <w:rsid w:val="003878EC"/>
    <w:rsid w:val="003C6361"/>
    <w:rsid w:val="00400547"/>
    <w:rsid w:val="00451878"/>
    <w:rsid w:val="0046500C"/>
    <w:rsid w:val="004E606A"/>
    <w:rsid w:val="00563561"/>
    <w:rsid w:val="00615728"/>
    <w:rsid w:val="006468C8"/>
    <w:rsid w:val="00650F98"/>
    <w:rsid w:val="006577EC"/>
    <w:rsid w:val="00717A14"/>
    <w:rsid w:val="007739F4"/>
    <w:rsid w:val="007B3771"/>
    <w:rsid w:val="007E5E40"/>
    <w:rsid w:val="008C6F1B"/>
    <w:rsid w:val="00A86F59"/>
    <w:rsid w:val="00A90248"/>
    <w:rsid w:val="00AB3A08"/>
    <w:rsid w:val="00AF0831"/>
    <w:rsid w:val="00B1482C"/>
    <w:rsid w:val="00B57C14"/>
    <w:rsid w:val="00B63948"/>
    <w:rsid w:val="00B81A48"/>
    <w:rsid w:val="00BC1C56"/>
    <w:rsid w:val="00C23B43"/>
    <w:rsid w:val="00C9714C"/>
    <w:rsid w:val="00CB7A00"/>
    <w:rsid w:val="00D31CB8"/>
    <w:rsid w:val="00DE6850"/>
    <w:rsid w:val="00E515B2"/>
    <w:rsid w:val="00E777E5"/>
    <w:rsid w:val="00F007A5"/>
    <w:rsid w:val="00F22431"/>
    <w:rsid w:val="00FA5E83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2E6DD8-C5A3-4C85-B62B-D0AFC23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A5DD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EB1C-8F37-4693-AD62-D60B3677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INFOEM usuario 2019</cp:lastModifiedBy>
  <cp:revision>7</cp:revision>
  <cp:lastPrinted>2019-10-21T20:30:00Z</cp:lastPrinted>
  <dcterms:created xsi:type="dcterms:W3CDTF">2019-10-18T20:12:00Z</dcterms:created>
  <dcterms:modified xsi:type="dcterms:W3CDTF">2019-10-25T20:06:00Z</dcterms:modified>
</cp:coreProperties>
</file>