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8E67" w14:textId="40094BF0"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106BD">
        <w:rPr>
          <w:rFonts w:ascii="Palatino Linotype" w:eastAsia="Times New Roman" w:hAnsi="Palatino Linotype" w:cs="Arial"/>
          <w:color w:val="000000"/>
          <w:sz w:val="24"/>
          <w:szCs w:val="24"/>
          <w:lang w:eastAsia="es-MX"/>
        </w:rPr>
        <w:t>veintinueve de enero de dos mil veinte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67068F15"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D106BD" w:rsidRPr="00D106BD">
        <w:rPr>
          <w:rFonts w:ascii="Palatino Linotype" w:hAnsi="Palatino Linotype" w:cs="Arial"/>
          <w:b/>
          <w:bCs/>
          <w:sz w:val="24"/>
          <w:lang w:eastAsia="es-MX"/>
        </w:rPr>
        <w:t>08505/INFOEM/IP/RR/2019</w:t>
      </w:r>
      <w:r w:rsidR="000D4CB2" w:rsidRPr="00B21190">
        <w:rPr>
          <w:rFonts w:ascii="Palatino Linotype" w:hAnsi="Palatino Linotype" w:cs="Arial"/>
          <w:sz w:val="24"/>
        </w:rPr>
        <w:t>, interpuesto por</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F17066">
        <w:rPr>
          <w:rFonts w:ascii="Palatino Linotype" w:hAnsi="Palatino Linotype" w:cs="Arial"/>
          <w:b/>
          <w:sz w:val="24"/>
          <w:szCs w:val="24"/>
        </w:rPr>
        <w:t>XXXXXXXXXXXXXXXXXXXXX XXXXXXXXXXXXX</w:t>
      </w:r>
      <w:r w:rsidRPr="00B21190">
        <w:rPr>
          <w:rFonts w:ascii="Palatino Linotype" w:hAnsi="Palatino Linotype" w:cs="Arial"/>
          <w:sz w:val="24"/>
        </w:rPr>
        <w:t xml:space="preserve"> en lo sucesivo </w:t>
      </w:r>
      <w:r w:rsidR="00E31501">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D106BD" w:rsidRPr="00D106BD">
        <w:rPr>
          <w:rFonts w:ascii="Palatino Linotype" w:hAnsi="Palatino Linotype" w:cs="Arial"/>
          <w:b/>
          <w:sz w:val="24"/>
          <w:szCs w:val="24"/>
        </w:rPr>
        <w:t>Ayuntamiento de Cuautitlán Izcalli</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CF7EF31" w14:textId="71A2B281" w:rsidR="0087697C" w:rsidRDefault="0087697C" w:rsidP="0087697C">
      <w:pPr>
        <w:spacing w:after="0" w:line="360" w:lineRule="auto"/>
        <w:jc w:val="both"/>
        <w:rPr>
          <w:rFonts w:ascii="Palatino Linotype" w:hAnsi="Palatino Linotype"/>
          <w:sz w:val="24"/>
          <w:szCs w:val="24"/>
        </w:rPr>
      </w:pPr>
      <w:r w:rsidRPr="0087697C">
        <w:rPr>
          <w:rFonts w:ascii="Palatino Linotype" w:hAnsi="Palatino Linotype"/>
          <w:sz w:val="24"/>
          <w:szCs w:val="24"/>
        </w:rPr>
        <w:t xml:space="preserve">Con fecha </w:t>
      </w:r>
      <w:r>
        <w:rPr>
          <w:rFonts w:ascii="Palatino Linotype" w:hAnsi="Palatino Linotype"/>
          <w:sz w:val="24"/>
          <w:szCs w:val="24"/>
        </w:rPr>
        <w:t>dieciséis de octubre</w:t>
      </w:r>
      <w:r w:rsidRPr="0087697C">
        <w:rPr>
          <w:rFonts w:ascii="Palatino Linotype" w:hAnsi="Palatino Linotype"/>
          <w:sz w:val="24"/>
          <w:szCs w:val="24"/>
        </w:rPr>
        <w:t xml:space="preserve"> de dos mil diecinueve, el </w:t>
      </w:r>
      <w:r w:rsidRPr="0087697C">
        <w:rPr>
          <w:rFonts w:ascii="Palatino Linotype" w:hAnsi="Palatino Linotype"/>
          <w:b/>
          <w:sz w:val="24"/>
          <w:szCs w:val="24"/>
        </w:rPr>
        <w:t>Recurrente</w:t>
      </w:r>
      <w:r w:rsidRPr="0087697C">
        <w:rPr>
          <w:rFonts w:ascii="Palatino Linotype" w:hAnsi="Palatino Linotype"/>
          <w:sz w:val="24"/>
          <w:szCs w:val="24"/>
        </w:rPr>
        <w:t xml:space="preserve">, presentó </w:t>
      </w:r>
      <w:r w:rsidRPr="0087697C">
        <w:rPr>
          <w:rFonts w:ascii="Palatino Linotype" w:hAnsi="Palatino Linotype" w:cs="Arial"/>
          <w:sz w:val="24"/>
          <w:szCs w:val="24"/>
        </w:rPr>
        <w:t xml:space="preserve">a través de la Plataforma Nacional de Transparencia </w:t>
      </w:r>
      <w:r w:rsidRPr="0087697C">
        <w:rPr>
          <w:rFonts w:ascii="Palatino Linotype" w:hAnsi="Palatino Linotype" w:cs="Arial"/>
          <w:b/>
          <w:bCs/>
          <w:sz w:val="24"/>
          <w:szCs w:val="24"/>
        </w:rPr>
        <w:t>(PNT)</w:t>
      </w:r>
      <w:r w:rsidRPr="0087697C">
        <w:rPr>
          <w:rFonts w:ascii="Palatino Linotype" w:hAnsi="Palatino Linotype"/>
          <w:sz w:val="24"/>
          <w:szCs w:val="24"/>
        </w:rPr>
        <w:t xml:space="preserve"> ante el </w:t>
      </w:r>
      <w:r w:rsidRPr="0087697C">
        <w:rPr>
          <w:rFonts w:ascii="Palatino Linotype" w:hAnsi="Palatino Linotype"/>
          <w:b/>
          <w:sz w:val="24"/>
          <w:szCs w:val="24"/>
        </w:rPr>
        <w:t>Sujeto Obligado</w:t>
      </w:r>
      <w:r w:rsidRPr="0087697C">
        <w:rPr>
          <w:rFonts w:ascii="Palatino Linotype" w:hAnsi="Palatino Linotype"/>
          <w:sz w:val="24"/>
          <w:szCs w:val="24"/>
        </w:rPr>
        <w:t>, solicitud de acceso a la información pública, registrada bajo el número de expediente</w:t>
      </w:r>
      <w:r w:rsidRPr="0087697C">
        <w:rPr>
          <w:rFonts w:ascii="Palatino Linotype" w:hAnsi="Palatino Linotype"/>
          <w:b/>
          <w:sz w:val="24"/>
          <w:szCs w:val="24"/>
        </w:rPr>
        <w:t xml:space="preserve"> 01004/CUAUTIZC/IP/2019</w:t>
      </w:r>
      <w:r w:rsidRPr="0087697C">
        <w:rPr>
          <w:rFonts w:ascii="Palatino Linotype" w:hAnsi="Palatino Linotype"/>
          <w:b/>
          <w:sz w:val="24"/>
          <w:szCs w:val="24"/>
          <w:lang w:eastAsia="es-MX"/>
        </w:rPr>
        <w:t xml:space="preserve">, </w:t>
      </w:r>
      <w:r w:rsidRPr="0087697C">
        <w:rPr>
          <w:rFonts w:ascii="Palatino Linotype" w:hAnsi="Palatino Linotype"/>
          <w:sz w:val="24"/>
          <w:szCs w:val="24"/>
        </w:rPr>
        <w:t>mediante la cual solicitó información en el tenor siguiente:</w:t>
      </w:r>
    </w:p>
    <w:p w14:paraId="09A6E212" w14:textId="77777777" w:rsidR="0087697C" w:rsidRPr="0087697C" w:rsidRDefault="0087697C" w:rsidP="0087697C">
      <w:pPr>
        <w:spacing w:after="0" w:line="360" w:lineRule="auto"/>
        <w:jc w:val="both"/>
        <w:rPr>
          <w:rFonts w:ascii="Palatino Linotype" w:hAnsi="Palatino Linotype"/>
          <w:sz w:val="24"/>
          <w:szCs w:val="24"/>
        </w:rPr>
      </w:pPr>
    </w:p>
    <w:p w14:paraId="4EA01C9E" w14:textId="5603F2CC" w:rsidR="0087697C" w:rsidRPr="0087697C" w:rsidRDefault="0087697C" w:rsidP="0087697C">
      <w:pPr>
        <w:spacing w:after="0" w:line="360" w:lineRule="auto"/>
        <w:jc w:val="both"/>
        <w:rPr>
          <w:rFonts w:ascii="Palatino Linotype" w:hAnsi="Palatino Linotype"/>
          <w:sz w:val="24"/>
          <w:szCs w:val="24"/>
        </w:rPr>
      </w:pPr>
      <w:r w:rsidRPr="0087697C">
        <w:rPr>
          <w:rFonts w:ascii="Palatino Linotype" w:hAnsi="Palatino Linotype"/>
          <w:noProof/>
          <w:sz w:val="24"/>
          <w:szCs w:val="24"/>
        </w:rPr>
        <w:drawing>
          <wp:inline distT="0" distB="0" distL="0" distR="0" wp14:anchorId="70864F94" wp14:editId="4557067B">
            <wp:extent cx="5760720" cy="9550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55040"/>
                    </a:xfrm>
                    <a:prstGeom prst="rect">
                      <a:avLst/>
                    </a:prstGeom>
                  </pic:spPr>
                </pic:pic>
              </a:graphicData>
            </a:graphic>
          </wp:inline>
        </w:drawing>
      </w:r>
    </w:p>
    <w:p w14:paraId="6F76AFF0" w14:textId="36A07E04" w:rsidR="0087697C" w:rsidRPr="0087697C" w:rsidRDefault="0087697C" w:rsidP="0087697C">
      <w:pPr>
        <w:spacing w:after="0" w:line="360" w:lineRule="auto"/>
        <w:jc w:val="both"/>
        <w:rPr>
          <w:rFonts w:ascii="Palatino Linotype" w:eastAsia="Times New Roman" w:hAnsi="Palatino Linotype"/>
          <w:sz w:val="24"/>
          <w:szCs w:val="24"/>
          <w:lang w:val="es-ES_tradnl" w:eastAsia="es-ES"/>
        </w:rPr>
      </w:pPr>
    </w:p>
    <w:p w14:paraId="37488286" w14:textId="50CDE726" w:rsidR="0087697C" w:rsidRDefault="0087697C" w:rsidP="0087697C">
      <w:pPr>
        <w:spacing w:before="240" w:after="240" w:line="360" w:lineRule="auto"/>
        <w:jc w:val="both"/>
        <w:rPr>
          <w:rFonts w:ascii="Palatino Linotype" w:eastAsia="Calibri" w:hAnsi="Palatino Linotype" w:cs="Arial"/>
          <w:sz w:val="24"/>
        </w:rPr>
      </w:pPr>
      <w:r w:rsidRPr="0087697C">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Pr="0087697C">
        <w:rPr>
          <w:rFonts w:ascii="Palatino Linotype" w:eastAsia="Calibri" w:hAnsi="Palatino Linotype" w:cs="Arial"/>
          <w:b/>
          <w:bCs/>
          <w:sz w:val="24"/>
        </w:rPr>
        <w:t>el Recurrente</w:t>
      </w:r>
      <w:r w:rsidRPr="0087697C">
        <w:rPr>
          <w:rFonts w:ascii="Palatino Linotype" w:eastAsia="Calibri" w:hAnsi="Palatino Linotype" w:cs="Arial"/>
          <w:sz w:val="24"/>
        </w:rPr>
        <w:t xml:space="preserve"> eligió como modalidad de entrega de la información, a través del sistema de solicitudes de acceso a la información de la </w:t>
      </w:r>
      <w:r w:rsidRPr="0087697C">
        <w:rPr>
          <w:rFonts w:ascii="Palatino Linotype" w:eastAsia="Calibri" w:hAnsi="Palatino Linotype" w:cs="Arial"/>
          <w:b/>
          <w:bCs/>
          <w:sz w:val="24"/>
        </w:rPr>
        <w:t>PNT</w:t>
      </w:r>
      <w:r w:rsidRPr="0087697C">
        <w:rPr>
          <w:rFonts w:ascii="Palatino Linotype" w:eastAsia="Calibri" w:hAnsi="Palatino Linotype" w:cs="Arial"/>
          <w:sz w:val="24"/>
        </w:rPr>
        <w:t>, como se observa a continuación:</w:t>
      </w:r>
    </w:p>
    <w:p w14:paraId="18DC1CCA" w14:textId="024D3964" w:rsidR="00E91EE4" w:rsidRDefault="0087697C" w:rsidP="0087697C">
      <w:pPr>
        <w:spacing w:before="240" w:after="240" w:line="360" w:lineRule="auto"/>
        <w:jc w:val="both"/>
        <w:rPr>
          <w:rFonts w:ascii="Palatino Linotype" w:eastAsia="Calibri" w:hAnsi="Palatino Linotype" w:cs="Arial"/>
          <w:sz w:val="24"/>
        </w:rPr>
      </w:pPr>
      <w:r w:rsidRPr="0087697C">
        <w:rPr>
          <w:rFonts w:ascii="Palatino Linotype" w:eastAsia="Calibri" w:hAnsi="Palatino Linotype" w:cs="Arial"/>
          <w:noProof/>
          <w:sz w:val="24"/>
        </w:rPr>
        <w:drawing>
          <wp:inline distT="0" distB="0" distL="0" distR="0" wp14:anchorId="66B4F085" wp14:editId="640F9205">
            <wp:extent cx="5760720" cy="589280"/>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89280"/>
                    </a:xfrm>
                    <a:prstGeom prst="rect">
                      <a:avLst/>
                    </a:prstGeom>
                  </pic:spPr>
                </pic:pic>
              </a:graphicData>
            </a:graphic>
          </wp:inline>
        </w:drawing>
      </w:r>
    </w:p>
    <w:p w14:paraId="679F57FD" w14:textId="77777777" w:rsidR="0087697C" w:rsidRPr="0087697C" w:rsidRDefault="0087697C" w:rsidP="0087697C">
      <w:pPr>
        <w:spacing w:before="240" w:after="240" w:line="360" w:lineRule="auto"/>
        <w:jc w:val="both"/>
        <w:rPr>
          <w:rFonts w:ascii="Palatino Linotype" w:eastAsia="Calibri" w:hAnsi="Palatino Linotype" w:cs="Arial"/>
          <w:sz w:val="24"/>
        </w:rPr>
      </w:pP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3E5F6324"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87697C">
        <w:rPr>
          <w:rFonts w:ascii="Palatino Linotype" w:hAnsi="Palatino Linotype" w:cs="Arial"/>
          <w:sz w:val="24"/>
        </w:rPr>
        <w:t>seis de noviembre</w:t>
      </w:r>
      <w:r w:rsidR="000D4CB2" w:rsidRPr="00B21190">
        <w:rPr>
          <w:rFonts w:ascii="Palatino Linotype" w:hAnsi="Palatino Linotype" w:cs="Arial"/>
          <w:sz w:val="24"/>
        </w:rPr>
        <w:t xml:space="preserve"> del año dos mil </w:t>
      </w:r>
      <w:r w:rsidR="000C7DA1">
        <w:rPr>
          <w:rFonts w:ascii="Palatino Linotype" w:hAnsi="Palatino Linotype" w:cs="Arial"/>
          <w:sz w:val="24"/>
        </w:rPr>
        <w:t>diecinueve</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6905E344" w14:textId="77777777" w:rsidR="0087697C" w:rsidRPr="0087697C" w:rsidRDefault="003F3CC8" w:rsidP="0087697C">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87697C" w:rsidRPr="0087697C">
        <w:rPr>
          <w:rFonts w:ascii="Palatino Linotype" w:hAnsi="Palatino Linotype" w:cs="Arial"/>
          <w:i/>
          <w:sz w:val="24"/>
        </w:rPr>
        <w:t>Folio de la solicitud: 01004/CUAUTIZC/IP/2019</w:t>
      </w:r>
    </w:p>
    <w:p w14:paraId="753A2DC2" w14:textId="77777777" w:rsidR="0087697C" w:rsidRDefault="0087697C" w:rsidP="0087697C">
      <w:pPr>
        <w:spacing w:after="0" w:line="240" w:lineRule="auto"/>
        <w:ind w:left="567" w:right="567"/>
        <w:jc w:val="right"/>
        <w:rPr>
          <w:rFonts w:ascii="Palatino Linotype" w:hAnsi="Palatino Linotype" w:cs="Arial"/>
          <w:i/>
          <w:sz w:val="24"/>
        </w:rPr>
      </w:pPr>
    </w:p>
    <w:p w14:paraId="21EC9FD1" w14:textId="53FA56FF" w:rsidR="0087697C" w:rsidRDefault="0087697C" w:rsidP="0087697C">
      <w:pPr>
        <w:spacing w:after="0" w:line="240" w:lineRule="auto"/>
        <w:ind w:left="567" w:right="567"/>
        <w:jc w:val="both"/>
        <w:rPr>
          <w:rFonts w:ascii="Palatino Linotype" w:hAnsi="Palatino Linotype" w:cs="Arial"/>
          <w:i/>
          <w:sz w:val="24"/>
        </w:rPr>
      </w:pPr>
      <w:r w:rsidRPr="0087697C">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E867A7" w14:textId="77777777" w:rsidR="0087697C" w:rsidRPr="0087697C" w:rsidRDefault="0087697C" w:rsidP="0087697C">
      <w:pPr>
        <w:spacing w:after="0" w:line="240" w:lineRule="auto"/>
        <w:ind w:left="567" w:right="567"/>
        <w:jc w:val="both"/>
        <w:rPr>
          <w:rFonts w:ascii="Palatino Linotype" w:hAnsi="Palatino Linotype" w:cs="Arial"/>
          <w:i/>
          <w:sz w:val="24"/>
        </w:rPr>
      </w:pPr>
    </w:p>
    <w:p w14:paraId="0DBBCEEC" w14:textId="77777777" w:rsidR="0087697C" w:rsidRPr="0087697C" w:rsidRDefault="0087697C" w:rsidP="0087697C">
      <w:pPr>
        <w:spacing w:after="0" w:line="240" w:lineRule="auto"/>
        <w:ind w:left="567" w:right="567"/>
        <w:jc w:val="both"/>
        <w:rPr>
          <w:rFonts w:ascii="Palatino Linotype" w:hAnsi="Palatino Linotype" w:cs="Arial"/>
          <w:i/>
          <w:sz w:val="24"/>
        </w:rPr>
      </w:pPr>
      <w:r w:rsidRPr="0087697C">
        <w:rPr>
          <w:rFonts w:ascii="Palatino Linotype" w:hAnsi="Palatino Linotype" w:cs="Arial"/>
          <w:i/>
          <w:sz w:val="24"/>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w:t>
      </w:r>
      <w:r w:rsidRPr="0087697C">
        <w:rPr>
          <w:rFonts w:ascii="Palatino Linotype" w:hAnsi="Palatino Linotype" w:cs="Arial"/>
          <w:i/>
          <w:sz w:val="24"/>
        </w:rPr>
        <w:lastRenderedPageBreak/>
        <w:t xml:space="preserve">Municipios; le informo la contestación que a su solicitud efectuó (1)Dirección de Desarrollo Urbano y (2)Dirección de Medio Ambiente. 1.-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w:t>
      </w:r>
      <w:proofErr w:type="spellStart"/>
      <w:r w:rsidRPr="0087697C">
        <w:rPr>
          <w:rFonts w:ascii="Palatino Linotype" w:hAnsi="Palatino Linotype" w:cs="Arial"/>
          <w:i/>
          <w:sz w:val="24"/>
        </w:rPr>
        <w:t>Sexies</w:t>
      </w:r>
      <w:proofErr w:type="spellEnd"/>
      <w:r w:rsidRPr="0087697C">
        <w:rPr>
          <w:rFonts w:ascii="Palatino Linotype" w:hAnsi="Palatino Linotype" w:cs="Arial"/>
          <w:i/>
          <w:sz w:val="24"/>
        </w:rPr>
        <w:t xml:space="preserve"> fracciones III, VI y VII de la Ley Orgánica Municipal del Estado de México; 1.5 fracción VIII y 1.41 del Código Administrativo del Estado de México; 6 fracción XI, 131,132, 133 y 134 del Bando Municipal 2019, me permito referirme a la Solicitud de Información bajo el número de folio 01004/CUAUTIZC/IP/2019, ingresada a través del Sistema de Acceso a la Información Mexiquense (SAIMEX), donde se solicita lo siguiente: “…¿Es posible obtener la autorización para el derribo de árboles con una licencia de construcción de movimiento de tierras (tal como las expide esa H. Dirección de Desarrollo Metropolitano), de conformidad como lo señala el artículo 106 del Reglamento de Protección al Ambiente para el Desarrollo Sostenible del 2008? En caso negativo, pueden compartir el fundamento y el razonamiento ? pues el artículo no es específico en el tipo y objeto de licencia de construcción emitida…”(sic); </w:t>
      </w:r>
      <w:r w:rsidRPr="0087697C">
        <w:rPr>
          <w:rFonts w:ascii="Palatino Linotype" w:hAnsi="Palatino Linotype" w:cs="Arial"/>
          <w:b/>
          <w:bCs/>
          <w:i/>
          <w:sz w:val="24"/>
        </w:rPr>
        <w:t>al respecto se le informa lo siguiente</w:t>
      </w:r>
      <w:r w:rsidRPr="0087697C">
        <w:rPr>
          <w:rFonts w:ascii="Palatino Linotype" w:hAnsi="Palatino Linotype" w:cs="Arial"/>
          <w:i/>
          <w:sz w:val="24"/>
        </w:rPr>
        <w:t xml:space="preserve">: Que es obligación de la Dirección de Desarrollo Urbano, así como de la Dirección de Medio Ambiente, ambas dependientes de la Dirección General de Desarrollo Metropolitano de este H. Ayuntamiento, el observar los principios generales de política pública en materia de ordenamiento territorial de los asentamientos humanos y el desarrollo urbano de los centros de población, dentro de los cuales está previsto el de la sustentabilidad ambiental, como parte del ordenamiento ecológico del territorio municipal. Que la Ley General del Equilibrio Ecológico y la Protección al Ambiente, así como la Ley General de Asentamientos Humanos, Ordenamiento Territorial y Desarrollo Urbano, establecen las facultades, atribuciones, concurrencia, congruencia, coordinación y participación entre los diferentes niveles de gobierno en la materia, dentro de los cuales está la facultad municipal de reglamentar y expedir las autorizaciones, licencias o permisos de las diversas </w:t>
      </w:r>
      <w:r w:rsidRPr="0087697C">
        <w:rPr>
          <w:rFonts w:ascii="Palatino Linotype" w:hAnsi="Palatino Linotype" w:cs="Arial"/>
          <w:i/>
          <w:sz w:val="24"/>
        </w:rPr>
        <w:lastRenderedPageBreak/>
        <w:t xml:space="preserve">acciones urbanísticas, con estricto apego a las normas jurídicas generales y estatales, planes o programas de Desarrollo Urbano. Derivado de lo anterior y con fundamento en lo previsto en el Capítulo Tercero, denominado “Del Manejo y Mantenimiento de la Vegetación Urbana” </w:t>
      </w:r>
      <w:r w:rsidRPr="00F46230">
        <w:rPr>
          <w:rFonts w:ascii="Palatino Linotype" w:hAnsi="Palatino Linotype" w:cs="Arial"/>
          <w:b/>
          <w:bCs/>
          <w:i/>
          <w:sz w:val="24"/>
          <w:u w:val="single"/>
        </w:rPr>
        <w:t>del Reglamento Municipal de Protección al Ambiente para el Desarrollo Sostenible del Municipio de Cuautitlán Izcalli y en particular en lo dispuesto en su artículo 106, es necesario para tramitar la autorización de poda, derribo o trasplante de vegetación de un predio, contar con licencia de construcción, única y exclusivamente en su modalidad de obra nueva, modificaciones o ampliación de obra existente</w:t>
      </w:r>
      <w:r w:rsidRPr="00F46230">
        <w:rPr>
          <w:rFonts w:ascii="Palatino Linotype" w:hAnsi="Palatino Linotype" w:cs="Arial"/>
          <w:b/>
          <w:bCs/>
          <w:i/>
          <w:sz w:val="24"/>
        </w:rPr>
        <w:t>. Por lo anterior, y en estricto apego a la norma, no procede gestionar ante la Dirección de Medio Ambiente, la autorización de la poda, derribo o trasplante de vegetación contando con una licencia de construcción para excavación, relleno o movimiento de tierras</w:t>
      </w:r>
      <w:r w:rsidRPr="0087697C">
        <w:rPr>
          <w:rFonts w:ascii="Palatino Linotype" w:hAnsi="Palatino Linotype" w:cs="Arial"/>
          <w:i/>
          <w:sz w:val="24"/>
        </w:rPr>
        <w:t>. Para mejor proveer lo antes señalado se transcribe el artículo 106 del Reglamento Municipal de Protección al Ambiente para el Desarrollo Sostenible del Municipio de Cuautitlán Izcalli, que a la letra dispone: “Artículo 106.- Cuando la poda, derribo o trasplante de vegetación sea por construcción de obra nueva, modificaciones o ampliación se deberá respetar el treinta por ciento de la vegetación existente (…)”. Sin otro particular al respecto, quedo a sus órdenes para cualquier aclaración al respecto. “sic 2.- “En atención a la Solicitud de Información Pública marcada con el número de folio 01004/CUAUTIZC/IP/2019 turnada a través del Sistema SAIMEX a esta Unidad Administrativa, en la cual solicita la siguiente información: DESCRIPCIÓN DE LA INFORMACIÓN: ¿Es posible obtener la autorización para el derribo de árboles con una licencia de construcción de movimiento de tierras (tal como las expide esa H. Dirección de Desarrollo Metropolitano), de conformidad como lo señala el artículo 106 del Reglamento de Protección al Ambiente para el Desarrollo Sostenible del 2008? En caso negativo, pueden compartir el fundamento y el razonamiento? pues el artículo no es específico en el tipo y objeto de licencia de construcción emitida</w:t>
      </w:r>
      <w:proofErr w:type="gramStart"/>
      <w:r w:rsidRPr="0087697C">
        <w:rPr>
          <w:rFonts w:ascii="Palatino Linotype" w:hAnsi="Palatino Linotype" w:cs="Arial"/>
          <w:i/>
          <w:sz w:val="24"/>
        </w:rPr>
        <w:t>. ”</w:t>
      </w:r>
      <w:proofErr w:type="gramEnd"/>
      <w:r w:rsidRPr="0087697C">
        <w:rPr>
          <w:rFonts w:ascii="Palatino Linotype" w:hAnsi="Palatino Linotype" w:cs="Arial"/>
          <w:i/>
          <w:sz w:val="24"/>
        </w:rPr>
        <w:t xml:space="preserve"> sic. Al respecto me permito informar a Usted que </w:t>
      </w:r>
      <w:r w:rsidRPr="00F46230">
        <w:rPr>
          <w:rFonts w:ascii="Palatino Linotype" w:hAnsi="Palatino Linotype" w:cs="Arial"/>
          <w:b/>
          <w:bCs/>
          <w:i/>
          <w:sz w:val="24"/>
          <w:u w:val="single"/>
        </w:rPr>
        <w:t>de acuerdo al artículo 106 del Reglamento Municipal para la Protección al Ambiente para el Desarrollo Sostenible del municipio de Cuautitlán Izcalli en mención, para tramitar la autorización de poda, derribo o trasplante de vegetación de un predio, es necesario contar con la licencia de construcción única y exclusivamente en su modalidad de obra nueva, modificaciones o ampliación de obra existente</w:t>
      </w:r>
      <w:r w:rsidRPr="0087697C">
        <w:rPr>
          <w:rFonts w:ascii="Palatino Linotype" w:hAnsi="Palatino Linotype" w:cs="Arial"/>
          <w:i/>
          <w:sz w:val="24"/>
        </w:rPr>
        <w:t xml:space="preserve">, por lo cual, no procede gestionar ante esta Dirección de Medio Ambiente la autorización de poda, derribo </w:t>
      </w:r>
      <w:r w:rsidRPr="0087697C">
        <w:rPr>
          <w:rFonts w:ascii="Palatino Linotype" w:hAnsi="Palatino Linotype" w:cs="Arial"/>
          <w:i/>
          <w:sz w:val="24"/>
        </w:rPr>
        <w:lastRenderedPageBreak/>
        <w:t>o trasplante de vegetación solamente con la licencia de construcción para excavación, relleno o movimiento de tierras. Lo anterior, con fundamento en el artículo 6º de la Constitución Política de los Estados Unidos Mexicanos, 5º de la Constitución Política del Estado Libre y Soberano de México, 12, 23 fracción IV, 24 fracción XI y XXV, 25, 50 y 54 de la Ley de Transparencia y Acceso a la Información Pública del Estado de México y Municipios.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2C83FB9E" w14:textId="77777777" w:rsidR="00F46230" w:rsidRDefault="00F46230" w:rsidP="0087697C">
      <w:pPr>
        <w:spacing w:after="0" w:line="240" w:lineRule="auto"/>
        <w:ind w:left="567" w:right="567"/>
        <w:jc w:val="both"/>
        <w:rPr>
          <w:rFonts w:ascii="Palatino Linotype" w:hAnsi="Palatino Linotype" w:cs="Arial"/>
          <w:i/>
          <w:sz w:val="24"/>
        </w:rPr>
      </w:pPr>
    </w:p>
    <w:p w14:paraId="78FDFDD6" w14:textId="27DEE1AA" w:rsidR="0087697C" w:rsidRPr="0087697C" w:rsidRDefault="0087697C" w:rsidP="0087697C">
      <w:pPr>
        <w:spacing w:after="0" w:line="240" w:lineRule="auto"/>
        <w:ind w:left="567" w:right="567"/>
        <w:jc w:val="both"/>
        <w:rPr>
          <w:rFonts w:ascii="Palatino Linotype" w:hAnsi="Palatino Linotype" w:cs="Arial"/>
          <w:i/>
          <w:sz w:val="24"/>
        </w:rPr>
      </w:pPr>
      <w:r w:rsidRPr="0087697C">
        <w:rPr>
          <w:rFonts w:ascii="Palatino Linotype" w:hAnsi="Palatino Linotype" w:cs="Arial"/>
          <w:i/>
          <w:sz w:val="24"/>
        </w:rPr>
        <w:t>ATENTAMENTE</w:t>
      </w:r>
    </w:p>
    <w:p w14:paraId="54820A0C" w14:textId="42FFED3C" w:rsidR="003F3CC8" w:rsidRPr="00B21190" w:rsidRDefault="0087697C" w:rsidP="0087697C">
      <w:pPr>
        <w:spacing w:after="0" w:line="240" w:lineRule="auto"/>
        <w:ind w:left="567" w:right="567"/>
        <w:jc w:val="both"/>
        <w:rPr>
          <w:rFonts w:ascii="Palatino Linotype" w:hAnsi="Palatino Linotype" w:cs="Arial"/>
          <w:i/>
          <w:sz w:val="24"/>
        </w:rPr>
      </w:pPr>
      <w:r w:rsidRPr="0087697C">
        <w:rPr>
          <w:rFonts w:ascii="Palatino Linotype" w:hAnsi="Palatino Linotype" w:cs="Arial"/>
          <w:i/>
          <w:sz w:val="24"/>
        </w:rPr>
        <w:t>LIC. HUGO INFANTE LLERENAS</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FE19104" w14:textId="6176E818" w:rsidR="003D0754" w:rsidRPr="00F46230" w:rsidRDefault="00F46230" w:rsidP="00F46230">
      <w:pPr>
        <w:pStyle w:val="Sinespaciado"/>
        <w:spacing w:line="360" w:lineRule="auto"/>
        <w:rPr>
          <w:rFonts w:ascii="Palatino Linotype" w:eastAsiaTheme="minorHAnsi" w:hAnsi="Palatino Linotype" w:cs="Arial"/>
          <w:lang w:eastAsia="en-US"/>
        </w:rPr>
      </w:pPr>
      <w:r w:rsidRPr="00F46230">
        <w:rPr>
          <w:rFonts w:ascii="Palatino Linotype" w:eastAsiaTheme="minorHAnsi" w:hAnsi="Palatino Linotype" w:cs="Arial"/>
          <w:lang w:eastAsia="en-US"/>
        </w:rPr>
        <w:t>Adjuntando para tal efecto, los archivos electrónicos denominados “</w:t>
      </w:r>
      <w:r w:rsidRPr="00F46230">
        <w:rPr>
          <w:rFonts w:ascii="Palatino Linotype" w:eastAsiaTheme="minorHAnsi" w:hAnsi="Palatino Linotype" w:cs="Arial"/>
          <w:b/>
          <w:bCs/>
          <w:lang w:eastAsia="en-US"/>
        </w:rPr>
        <w:t>Sol 01004-2019-rotado.pdf</w:t>
      </w:r>
      <w:r w:rsidRPr="00F46230">
        <w:rPr>
          <w:rFonts w:ascii="Palatino Linotype" w:eastAsiaTheme="minorHAnsi" w:hAnsi="Palatino Linotype" w:cs="Arial"/>
          <w:lang w:eastAsia="en-US"/>
        </w:rPr>
        <w:t>” y “</w:t>
      </w:r>
      <w:r w:rsidRPr="00F46230">
        <w:rPr>
          <w:rFonts w:ascii="Palatino Linotype" w:eastAsiaTheme="minorHAnsi" w:hAnsi="Palatino Linotype" w:cs="Arial"/>
          <w:b/>
          <w:bCs/>
          <w:lang w:eastAsia="en-US"/>
        </w:rPr>
        <w:t>Sol 01004-2019-rotado.pdf</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los cuales no se reproducen toda vez que su contenido es del 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593E1B42"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7D7483">
        <w:rPr>
          <w:rFonts w:ascii="Palatino Linotype" w:hAnsi="Palatino Linotype" w:cs="Arial"/>
          <w:sz w:val="24"/>
          <w:szCs w:val="24"/>
        </w:rPr>
        <w:t>seis de noviembre</w:t>
      </w:r>
      <w:r w:rsidR="00FD1200">
        <w:rPr>
          <w:rFonts w:ascii="Palatino Linotype" w:hAnsi="Palatino Linotype" w:cs="Arial"/>
          <w:sz w:val="24"/>
          <w:szCs w:val="24"/>
        </w:rPr>
        <w:t xml:space="preserve"> de dos mil diecinueve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7D7483" w:rsidRPr="007D7483">
        <w:rPr>
          <w:rFonts w:ascii="Palatino Linotype" w:hAnsi="Palatino Linotype" w:cs="Arial"/>
          <w:b/>
          <w:bCs/>
          <w:sz w:val="24"/>
          <w:szCs w:val="24"/>
          <w:lang w:eastAsia="es-MX"/>
        </w:rPr>
        <w:t>08505/INFOEM/IP/RR/2019</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B46B6EC"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7D7483" w:rsidRPr="007D7483">
        <w:rPr>
          <w:rFonts w:ascii="Palatino Linotype" w:hAnsi="Palatino Linotype"/>
          <w:b/>
          <w:bCs/>
          <w:i/>
          <w:color w:val="000000"/>
          <w:sz w:val="24"/>
          <w:szCs w:val="24"/>
          <w:u w:val="single"/>
        </w:rPr>
        <w:t>La respuesta de la Dirección General de Desarrollo Metropolitano se encuentra mal fundamentada e interpretada</w:t>
      </w:r>
      <w:r w:rsidR="007D7483" w:rsidRPr="007D7483">
        <w:rPr>
          <w:rFonts w:ascii="Palatino Linotype" w:hAnsi="Palatino Linotype"/>
          <w:i/>
          <w:color w:val="000000"/>
          <w:sz w:val="24"/>
          <w:szCs w:val="24"/>
        </w:rPr>
        <w:t xml:space="preserve">, pues señala como </w:t>
      </w:r>
      <w:r w:rsidR="007D7483" w:rsidRPr="007D7483">
        <w:rPr>
          <w:rFonts w:ascii="Palatino Linotype" w:hAnsi="Palatino Linotype"/>
          <w:i/>
          <w:color w:val="000000"/>
          <w:sz w:val="24"/>
          <w:szCs w:val="24"/>
        </w:rPr>
        <w:lastRenderedPageBreak/>
        <w:t xml:space="preserve">fundamento el artículo 106 del Reglamento Municipal de Protección al Ambiente para el Desarrollo Sostenible del Municipio de Cuautitlán Izcalli, siendo este incompleto pues debe interpretar la esencia del ordenamiento completo y no de una sola disposición, toda vez que el artículo 105 del propio ordenamiento señala el listado de requisitos para otorgar el derribo, y es ahí donde no hace diferencia de exclusión sobre el tipo de licencia. Es decir, el artículo señala: Artículo 105.- Son requisitos para tramitar autorización para la poda, derribo y trasplante de vegetación ubicada en propiedad privada, los que a continuación se mencionan: ... VIII. En caso de derribos por construcción se deberá anexar: a) Plano de sembrado de vegetación traslapado con plano base de construcción; y b) Copia de licencia de construcción </w:t>
      </w:r>
      <w:proofErr w:type="spellStart"/>
      <w:r w:rsidR="007D7483" w:rsidRPr="007D7483">
        <w:rPr>
          <w:rFonts w:ascii="Palatino Linotype" w:hAnsi="Palatino Linotype"/>
          <w:i/>
          <w:color w:val="000000"/>
          <w:sz w:val="24"/>
          <w:szCs w:val="24"/>
        </w:rPr>
        <w:t>ó</w:t>
      </w:r>
      <w:proofErr w:type="spellEnd"/>
      <w:r w:rsidR="007D7483" w:rsidRPr="007D7483">
        <w:rPr>
          <w:rFonts w:ascii="Palatino Linotype" w:hAnsi="Palatino Linotype"/>
          <w:i/>
          <w:color w:val="000000"/>
          <w:sz w:val="24"/>
          <w:szCs w:val="24"/>
        </w:rPr>
        <w:t xml:space="preserve"> plano autorizado. En este artículo no se distingue si es licencia de construcción por excavación o relleno u obra nueva, ampliación, remodelación etc. En el Artículo 106 que refiere la Autoridad en su contestación se indica que: ¿</w:t>
      </w:r>
      <w:proofErr w:type="spellStart"/>
      <w:proofErr w:type="gramStart"/>
      <w:r w:rsidR="007D7483" w:rsidRPr="007D7483">
        <w:rPr>
          <w:rFonts w:ascii="Palatino Linotype" w:hAnsi="Palatino Linotype"/>
          <w:i/>
          <w:color w:val="000000"/>
          <w:sz w:val="24"/>
          <w:szCs w:val="24"/>
        </w:rPr>
        <w:t>Cuando</w:t>
      </w:r>
      <w:proofErr w:type="spellEnd"/>
      <w:proofErr w:type="gramEnd"/>
      <w:r w:rsidR="007D7483" w:rsidRPr="007D7483">
        <w:rPr>
          <w:rFonts w:ascii="Palatino Linotype" w:hAnsi="Palatino Linotype"/>
          <w:i/>
          <w:color w:val="000000"/>
          <w:sz w:val="24"/>
          <w:szCs w:val="24"/>
        </w:rPr>
        <w:t xml:space="preserve"> (adverbio circunstancial de tiempo, es decir, si solo </w:t>
      </w:r>
      <w:proofErr w:type="spellStart"/>
      <w:r w:rsidR="007D7483" w:rsidRPr="007D7483">
        <w:rPr>
          <w:rFonts w:ascii="Palatino Linotype" w:hAnsi="Palatino Linotype"/>
          <w:i/>
          <w:color w:val="000000"/>
          <w:sz w:val="24"/>
          <w:szCs w:val="24"/>
        </w:rPr>
        <w:t>si</w:t>
      </w:r>
      <w:proofErr w:type="spellEnd"/>
      <w:r w:rsidR="007D7483" w:rsidRPr="007D7483">
        <w:rPr>
          <w:rFonts w:ascii="Palatino Linotype" w:hAnsi="Palatino Linotype"/>
          <w:i/>
          <w:color w:val="000000"/>
          <w:sz w:val="24"/>
          <w:szCs w:val="24"/>
        </w:rPr>
        <w:t xml:space="preserve">) el derribo ... sea por Obra Nueva, modificaciones o ampliaciones (excluye de lo general), (entonces, si solo sí) se deberá... De conformidad con lo anterior el artículo 106 a la interpretación de la Ley y el principio general del derecho </w:t>
      </w:r>
      <w:proofErr w:type="spellStart"/>
      <w:r w:rsidR="007D7483" w:rsidRPr="007D7483">
        <w:rPr>
          <w:rFonts w:ascii="Palatino Linotype" w:hAnsi="Palatino Linotype"/>
          <w:i/>
          <w:color w:val="000000"/>
          <w:sz w:val="24"/>
          <w:szCs w:val="24"/>
        </w:rPr>
        <w:t>Ubi</w:t>
      </w:r>
      <w:proofErr w:type="spellEnd"/>
      <w:r w:rsidR="007D7483" w:rsidRPr="007D7483">
        <w:rPr>
          <w:rFonts w:ascii="Palatino Linotype" w:hAnsi="Palatino Linotype"/>
          <w:i/>
          <w:color w:val="000000"/>
          <w:sz w:val="24"/>
          <w:szCs w:val="24"/>
        </w:rPr>
        <w:t xml:space="preserve"> lex non </w:t>
      </w:r>
      <w:proofErr w:type="spellStart"/>
      <w:r w:rsidR="007D7483" w:rsidRPr="007D7483">
        <w:rPr>
          <w:rFonts w:ascii="Palatino Linotype" w:hAnsi="Palatino Linotype"/>
          <w:i/>
          <w:color w:val="000000"/>
          <w:sz w:val="24"/>
          <w:szCs w:val="24"/>
        </w:rPr>
        <w:t>distinguit</w:t>
      </w:r>
      <w:proofErr w:type="spellEnd"/>
      <w:r w:rsidR="007D7483" w:rsidRPr="007D7483">
        <w:rPr>
          <w:rFonts w:ascii="Palatino Linotype" w:hAnsi="Palatino Linotype"/>
          <w:i/>
          <w:color w:val="000000"/>
          <w:sz w:val="24"/>
          <w:szCs w:val="24"/>
        </w:rPr>
        <w:t xml:space="preserve">, </w:t>
      </w:r>
      <w:proofErr w:type="spellStart"/>
      <w:r w:rsidR="007D7483" w:rsidRPr="007D7483">
        <w:rPr>
          <w:rFonts w:ascii="Palatino Linotype" w:hAnsi="Palatino Linotype"/>
          <w:i/>
          <w:color w:val="000000"/>
          <w:sz w:val="24"/>
          <w:szCs w:val="24"/>
        </w:rPr>
        <w:t>nec</w:t>
      </w:r>
      <w:proofErr w:type="spellEnd"/>
      <w:r w:rsidR="007D7483" w:rsidRPr="007D7483">
        <w:rPr>
          <w:rFonts w:ascii="Palatino Linotype" w:hAnsi="Palatino Linotype"/>
          <w:i/>
          <w:color w:val="000000"/>
          <w:sz w:val="24"/>
          <w:szCs w:val="24"/>
        </w:rPr>
        <w:t xml:space="preserve"> nos </w:t>
      </w:r>
      <w:proofErr w:type="spellStart"/>
      <w:r w:rsidR="007D7483" w:rsidRPr="007D7483">
        <w:rPr>
          <w:rFonts w:ascii="Palatino Linotype" w:hAnsi="Palatino Linotype"/>
          <w:i/>
          <w:color w:val="000000"/>
          <w:sz w:val="24"/>
          <w:szCs w:val="24"/>
        </w:rPr>
        <w:t>distinguere</w:t>
      </w:r>
      <w:proofErr w:type="spellEnd"/>
      <w:r w:rsidR="007D7483" w:rsidRPr="007D7483">
        <w:rPr>
          <w:rFonts w:ascii="Palatino Linotype" w:hAnsi="Palatino Linotype"/>
          <w:i/>
          <w:color w:val="000000"/>
          <w:sz w:val="24"/>
          <w:szCs w:val="24"/>
        </w:rPr>
        <w:t xml:space="preserve"> </w:t>
      </w:r>
      <w:proofErr w:type="spellStart"/>
      <w:r w:rsidR="007D7483" w:rsidRPr="007D7483">
        <w:rPr>
          <w:rFonts w:ascii="Palatino Linotype" w:hAnsi="Palatino Linotype"/>
          <w:i/>
          <w:color w:val="000000"/>
          <w:sz w:val="24"/>
          <w:szCs w:val="24"/>
        </w:rPr>
        <w:t>debemus</w:t>
      </w:r>
      <w:proofErr w:type="spellEnd"/>
      <w:r w:rsidR="007D7483" w:rsidRPr="007D7483">
        <w:rPr>
          <w:rFonts w:ascii="Palatino Linotype" w:hAnsi="Palatino Linotype"/>
          <w:i/>
          <w:color w:val="000000"/>
          <w:sz w:val="24"/>
          <w:szCs w:val="24"/>
        </w:rPr>
        <w:t xml:space="preserve">, el reglamento no distingue entre licencias de construcción, más aún solo las distingue para efectos de reserva en los casos de obra nueva, ampliación y modificación, es decir, para que operara la respuesta otorgada por la autoridad, esa diferencia debía haberse colocado dentro del artículo 105 que señala los requisitos esenciales, y no en el 106 que solo establece una condición para el otorgamiento de dichas autorizaciones. Sostengo lo anterior con los criterios jurisprudenciales siguientes: Época: Novena Época Registro: 181320 Instancia: Primera Sala Tipo de Tesis: Aislada Fuente: Semanario Judicial de la Federación y su Gaceta Tomo XIX, </w:t>
      </w:r>
      <w:proofErr w:type="gramStart"/>
      <w:r w:rsidR="007D7483" w:rsidRPr="007D7483">
        <w:rPr>
          <w:rFonts w:ascii="Palatino Linotype" w:hAnsi="Palatino Linotype"/>
          <w:i/>
          <w:color w:val="000000"/>
          <w:sz w:val="24"/>
          <w:szCs w:val="24"/>
        </w:rPr>
        <w:t>Junio</w:t>
      </w:r>
      <w:proofErr w:type="gramEnd"/>
      <w:r w:rsidR="007D7483" w:rsidRPr="007D7483">
        <w:rPr>
          <w:rFonts w:ascii="Palatino Linotype" w:hAnsi="Palatino Linotype"/>
          <w:i/>
          <w:color w:val="000000"/>
          <w:sz w:val="24"/>
          <w:szCs w:val="24"/>
        </w:rPr>
        <w:t xml:space="preserve"> de 2004 Materia(s): Común Tesis: 1a. LXXII/2004 Página: 234 INTERPRETACIÓN DE LA LEY. SI SU TEXTO ES OSCURO O INCOMPLETO Y NO BASTA EL EXAMEN GRAMATICAL, EL JUZGADOR PODRÁ UTILIZAR EL MÉTODO QUE CONFORME A SU CRITERIO SEA EL MÁS ADECUADO PARA RESOLVER EL CASO CONCRETO. De acuerdo con el cuarto párrafo del artículo 14 de la Constitución Política de los Estados Unidos Mexicanos, el órgano jurisdiccional, al resolver la cuestión jurídica que se le plantee, deberá hacerlo conforme a la letra o a la interpretación jurídica de la ley y, a falta de </w:t>
      </w:r>
      <w:r w:rsidR="007D7483" w:rsidRPr="007D7483">
        <w:rPr>
          <w:rFonts w:ascii="Palatino Linotype" w:hAnsi="Palatino Linotype"/>
          <w:i/>
          <w:color w:val="000000"/>
          <w:sz w:val="24"/>
          <w:szCs w:val="24"/>
        </w:rPr>
        <w:lastRenderedPageBreak/>
        <w:t xml:space="preserve">ésta, se fundará en los principios generales del derecho. En este sentido, los juzgadores no están obligados a aplicar un método de interpretación específico, por lo que válidamente pueden utilizar el que acorde con su criterio sea el más adecuado para resolver el caso concreto. Sin embargo, en principio deberá utilizarse el literal, pues como lo establece el propio precepto constitucional, los fallos judiciales deberán dictarse "conforme a la letra o a la interpretación jurídica de la ley", con lo que se constriñe al juzgador a buscar la solución del problema que se le presente, considerando en primer lugar lo dispuesto expresamente en el ordenamiento jurídico correspondiente. Amparo directo en revisión 1886/2003. Miguel Armando </w:t>
      </w:r>
      <w:proofErr w:type="spellStart"/>
      <w:r w:rsidR="007D7483" w:rsidRPr="007D7483">
        <w:rPr>
          <w:rFonts w:ascii="Palatino Linotype" w:hAnsi="Palatino Linotype"/>
          <w:i/>
          <w:color w:val="000000"/>
          <w:sz w:val="24"/>
          <w:szCs w:val="24"/>
        </w:rPr>
        <w:t>Oleta</w:t>
      </w:r>
      <w:proofErr w:type="spellEnd"/>
      <w:r w:rsidR="007D7483" w:rsidRPr="007D7483">
        <w:rPr>
          <w:rFonts w:ascii="Palatino Linotype" w:hAnsi="Palatino Linotype"/>
          <w:i/>
          <w:color w:val="000000"/>
          <w:sz w:val="24"/>
          <w:szCs w:val="24"/>
        </w:rPr>
        <w:t xml:space="preserve"> Montalvo. 31 de marzo de 2004. Unanimidad de cuatro votos. Ausente: Humberto Román Palacios. Ponente: Olga Sánchez Cordero de García Villegas. Secretaria: Leticia Flores Díaz. Época: Novena Época Registro: 177274 Instancia: Tribunales Colegiados de Circuito Tipo de Tesis: Aislada Fuente: Semanario Judicial de la Federación y su Gaceta Tomo XXII, </w:t>
      </w:r>
      <w:proofErr w:type="gramStart"/>
      <w:r w:rsidR="007D7483" w:rsidRPr="007D7483">
        <w:rPr>
          <w:rFonts w:ascii="Palatino Linotype" w:hAnsi="Palatino Linotype"/>
          <w:i/>
          <w:color w:val="000000"/>
          <w:sz w:val="24"/>
          <w:szCs w:val="24"/>
        </w:rPr>
        <w:t>Septiembre</w:t>
      </w:r>
      <w:proofErr w:type="gramEnd"/>
      <w:r w:rsidR="007D7483" w:rsidRPr="007D7483">
        <w:rPr>
          <w:rFonts w:ascii="Palatino Linotype" w:hAnsi="Palatino Linotype"/>
          <w:i/>
          <w:color w:val="000000"/>
          <w:sz w:val="24"/>
          <w:szCs w:val="24"/>
        </w:rPr>
        <w:t xml:space="preserve"> de 2005 Materia(s): Civil Tesis: I.6o.C.357 C Página: 1482 INTERPRETACIÓN DE LA LEY EN MATERIA CIVIL, EN CUMPLIMIENTO A LA</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1112FDA3"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7D7483" w:rsidRPr="007D7483">
        <w:rPr>
          <w:rFonts w:ascii="Palatino Linotype" w:hAnsi="Palatino Linotype"/>
          <w:i/>
          <w:color w:val="000000"/>
          <w:sz w:val="24"/>
          <w:szCs w:val="24"/>
        </w:rPr>
        <w:t xml:space="preserve">La respuesta de la Dirección General de Desarrollo Metropolitano se encuentra mal fundamentada e interpretada, pues señala como fundamento el artículo 106 del Reglamento Municipal de Protección al Ambiente para el Desarrollo Sostenible del Municipio de Cuautitlán Izcalli, siendo este incompleto pues debe interpretar la esencia del ordenamiento completo y no de una sola disposición, toda vez que el artículo 105 del propio ordenamiento señala el listado de requisitos para otorgar el derribo, y es ahí donde no hace diferencia de exclusión sobre el tipo de licencia. Es decir, el artículo señala: Artículo 105.- Son requisitos para tramitar autorización para la poda, derribo y trasplante de vegetación ubicada en propiedad privada, los que a continuación se mencionan: ... VIII. En caso de derribos por construcción se deberá anexar: a) Plano de sembrado de vegetación traslapado con plano base de construcción; y b) Copia de licencia de construcción </w:t>
      </w:r>
      <w:proofErr w:type="spellStart"/>
      <w:r w:rsidR="007D7483" w:rsidRPr="007D7483">
        <w:rPr>
          <w:rFonts w:ascii="Palatino Linotype" w:hAnsi="Palatino Linotype"/>
          <w:i/>
          <w:color w:val="000000"/>
          <w:sz w:val="24"/>
          <w:szCs w:val="24"/>
        </w:rPr>
        <w:t>ó</w:t>
      </w:r>
      <w:proofErr w:type="spellEnd"/>
      <w:r w:rsidR="007D7483" w:rsidRPr="007D7483">
        <w:rPr>
          <w:rFonts w:ascii="Palatino Linotype" w:hAnsi="Palatino Linotype"/>
          <w:i/>
          <w:color w:val="000000"/>
          <w:sz w:val="24"/>
          <w:szCs w:val="24"/>
        </w:rPr>
        <w:t xml:space="preserve"> plano autorizado. En este artículo no se distingue si es licencia de construcción por excavación o relleno u obra nueva, ampliación, remodelación etc. En el Artículo 106 que refiere la Autoridad en su contestación se indica que: ¿</w:t>
      </w:r>
      <w:proofErr w:type="spellStart"/>
      <w:proofErr w:type="gramStart"/>
      <w:r w:rsidR="007D7483" w:rsidRPr="007D7483">
        <w:rPr>
          <w:rFonts w:ascii="Palatino Linotype" w:hAnsi="Palatino Linotype"/>
          <w:i/>
          <w:color w:val="000000"/>
          <w:sz w:val="24"/>
          <w:szCs w:val="24"/>
        </w:rPr>
        <w:t>Cuando</w:t>
      </w:r>
      <w:proofErr w:type="spellEnd"/>
      <w:proofErr w:type="gramEnd"/>
      <w:r w:rsidR="007D7483" w:rsidRPr="007D7483">
        <w:rPr>
          <w:rFonts w:ascii="Palatino Linotype" w:hAnsi="Palatino Linotype"/>
          <w:i/>
          <w:color w:val="000000"/>
          <w:sz w:val="24"/>
          <w:szCs w:val="24"/>
        </w:rPr>
        <w:t xml:space="preserve"> (adverbio </w:t>
      </w:r>
      <w:r w:rsidR="007D7483" w:rsidRPr="007D7483">
        <w:rPr>
          <w:rFonts w:ascii="Palatino Linotype" w:hAnsi="Palatino Linotype"/>
          <w:i/>
          <w:color w:val="000000"/>
          <w:sz w:val="24"/>
          <w:szCs w:val="24"/>
        </w:rPr>
        <w:lastRenderedPageBreak/>
        <w:t xml:space="preserve">circunstancial de tiempo, es decir, si solo </w:t>
      </w:r>
      <w:proofErr w:type="spellStart"/>
      <w:r w:rsidR="007D7483" w:rsidRPr="007D7483">
        <w:rPr>
          <w:rFonts w:ascii="Palatino Linotype" w:hAnsi="Palatino Linotype"/>
          <w:i/>
          <w:color w:val="000000"/>
          <w:sz w:val="24"/>
          <w:szCs w:val="24"/>
        </w:rPr>
        <w:t>si</w:t>
      </w:r>
      <w:proofErr w:type="spellEnd"/>
      <w:r w:rsidR="007D7483" w:rsidRPr="007D7483">
        <w:rPr>
          <w:rFonts w:ascii="Palatino Linotype" w:hAnsi="Palatino Linotype"/>
          <w:i/>
          <w:color w:val="000000"/>
          <w:sz w:val="24"/>
          <w:szCs w:val="24"/>
        </w:rPr>
        <w:t xml:space="preserve">) el derribo ... sea por Obra Nueva, modificaciones o ampliaciones (excluye de lo general), (entonces, si solo sí) se deberá... De conformidad con lo anterior el artículo 106 a la interpretación de la Ley y el principio general del derecho </w:t>
      </w:r>
      <w:proofErr w:type="spellStart"/>
      <w:r w:rsidR="007D7483" w:rsidRPr="007D7483">
        <w:rPr>
          <w:rFonts w:ascii="Palatino Linotype" w:hAnsi="Palatino Linotype"/>
          <w:i/>
          <w:color w:val="000000"/>
          <w:sz w:val="24"/>
          <w:szCs w:val="24"/>
        </w:rPr>
        <w:t>Ubi</w:t>
      </w:r>
      <w:proofErr w:type="spellEnd"/>
      <w:r w:rsidR="007D7483" w:rsidRPr="007D7483">
        <w:rPr>
          <w:rFonts w:ascii="Palatino Linotype" w:hAnsi="Palatino Linotype"/>
          <w:i/>
          <w:color w:val="000000"/>
          <w:sz w:val="24"/>
          <w:szCs w:val="24"/>
        </w:rPr>
        <w:t xml:space="preserve"> lex non </w:t>
      </w:r>
      <w:proofErr w:type="spellStart"/>
      <w:r w:rsidR="007D7483" w:rsidRPr="007D7483">
        <w:rPr>
          <w:rFonts w:ascii="Palatino Linotype" w:hAnsi="Palatino Linotype"/>
          <w:i/>
          <w:color w:val="000000"/>
          <w:sz w:val="24"/>
          <w:szCs w:val="24"/>
        </w:rPr>
        <w:t>distinguit</w:t>
      </w:r>
      <w:proofErr w:type="spellEnd"/>
      <w:r w:rsidR="007D7483" w:rsidRPr="007D7483">
        <w:rPr>
          <w:rFonts w:ascii="Palatino Linotype" w:hAnsi="Palatino Linotype"/>
          <w:i/>
          <w:color w:val="000000"/>
          <w:sz w:val="24"/>
          <w:szCs w:val="24"/>
        </w:rPr>
        <w:t xml:space="preserve">, </w:t>
      </w:r>
      <w:proofErr w:type="spellStart"/>
      <w:r w:rsidR="007D7483" w:rsidRPr="007D7483">
        <w:rPr>
          <w:rFonts w:ascii="Palatino Linotype" w:hAnsi="Palatino Linotype"/>
          <w:i/>
          <w:color w:val="000000"/>
          <w:sz w:val="24"/>
          <w:szCs w:val="24"/>
        </w:rPr>
        <w:t>nec</w:t>
      </w:r>
      <w:proofErr w:type="spellEnd"/>
      <w:r w:rsidR="007D7483" w:rsidRPr="007D7483">
        <w:rPr>
          <w:rFonts w:ascii="Palatino Linotype" w:hAnsi="Palatino Linotype"/>
          <w:i/>
          <w:color w:val="000000"/>
          <w:sz w:val="24"/>
          <w:szCs w:val="24"/>
        </w:rPr>
        <w:t xml:space="preserve"> nos </w:t>
      </w:r>
      <w:proofErr w:type="spellStart"/>
      <w:r w:rsidR="007D7483" w:rsidRPr="007D7483">
        <w:rPr>
          <w:rFonts w:ascii="Palatino Linotype" w:hAnsi="Palatino Linotype"/>
          <w:i/>
          <w:color w:val="000000"/>
          <w:sz w:val="24"/>
          <w:szCs w:val="24"/>
        </w:rPr>
        <w:t>distinguere</w:t>
      </w:r>
      <w:proofErr w:type="spellEnd"/>
      <w:r w:rsidR="007D7483" w:rsidRPr="007D7483">
        <w:rPr>
          <w:rFonts w:ascii="Palatino Linotype" w:hAnsi="Palatino Linotype"/>
          <w:i/>
          <w:color w:val="000000"/>
          <w:sz w:val="24"/>
          <w:szCs w:val="24"/>
        </w:rPr>
        <w:t xml:space="preserve"> </w:t>
      </w:r>
      <w:proofErr w:type="spellStart"/>
      <w:r w:rsidR="007D7483" w:rsidRPr="007D7483">
        <w:rPr>
          <w:rFonts w:ascii="Palatino Linotype" w:hAnsi="Palatino Linotype"/>
          <w:i/>
          <w:color w:val="000000"/>
          <w:sz w:val="24"/>
          <w:szCs w:val="24"/>
        </w:rPr>
        <w:t>debemus</w:t>
      </w:r>
      <w:proofErr w:type="spellEnd"/>
      <w:r w:rsidR="007D7483" w:rsidRPr="007D7483">
        <w:rPr>
          <w:rFonts w:ascii="Palatino Linotype" w:hAnsi="Palatino Linotype"/>
          <w:i/>
          <w:color w:val="000000"/>
          <w:sz w:val="24"/>
          <w:szCs w:val="24"/>
        </w:rPr>
        <w:t xml:space="preserve">, el reglamento no distingue entre licencias de construcción, más aún solo las distingue para efectos de reserva en los casos de obra nueva, ampliación y modificación, es decir, para que operara la respuesta otorgada por la autoridad, esa diferencia debía haberse colocado dentro del artículo 105 que señala los requisitos esenciales, y no en el 106 que solo establece una condición para el otorgamiento de dichas autorizaciones. Sostengo lo anterior con los criterios jurisprudenciales siguientes: Época: Novena Época Registro: 181320 Instancia: Primera Sala Tipo de Tesis: Aislada Fuente: Semanario Judicial de la Federación y su Gaceta Tomo XIX, </w:t>
      </w:r>
      <w:proofErr w:type="gramStart"/>
      <w:r w:rsidR="007D7483" w:rsidRPr="007D7483">
        <w:rPr>
          <w:rFonts w:ascii="Palatino Linotype" w:hAnsi="Palatino Linotype"/>
          <w:i/>
          <w:color w:val="000000"/>
          <w:sz w:val="24"/>
          <w:szCs w:val="24"/>
        </w:rPr>
        <w:t>Junio</w:t>
      </w:r>
      <w:proofErr w:type="gramEnd"/>
      <w:r w:rsidR="007D7483" w:rsidRPr="007D7483">
        <w:rPr>
          <w:rFonts w:ascii="Palatino Linotype" w:hAnsi="Palatino Linotype"/>
          <w:i/>
          <w:color w:val="000000"/>
          <w:sz w:val="24"/>
          <w:szCs w:val="24"/>
        </w:rPr>
        <w:t xml:space="preserve"> de 2004 Materia(s): Común Tesis: 1a. LXXII/2004 Página: 234 INTERPRETACIÓN DE LA LEY. SI SU TEXTO ES OSCURO O INCOMPLETO Y NO BASTA EL EXAMEN GRAMATICAL, EL JUZGADOR PODRÁ UTILIZAR EL MÉTODO QUE CONFORME A SU CRITERIO SEA EL MÁS ADECUADO PARA RESOLVER EL CASO CONCRETO. De acuerdo con el cuarto párrafo del artículo 14 de la Constitución Política de los Estados Unidos Mexicanos, el órgano jurisdiccional, al resolver la cuestión jurídica que se le plantee, deberá hacerlo conforme a la letra o a la interpretación jurídica de la ley y, a falta de ésta, se fundará en los principios generales del derecho. En este sentido, los juzgadores no están obligados a aplicar un método de interpretación específico, por lo que válidamente pueden utilizar el que acorde con su criterio sea el más adecuado para resolver el caso concreto. Sin embargo, en principio deberá utilizarse el literal, pues como lo establece el propio precepto constitucional, los fallos judiciales deberán dictarse "conforme a la letra o a la interpretación jurídica de la ley", con lo que se constriñe al juzgador a buscar la solución del problema que se le presente, considerando en primer lugar lo dispuesto expresamente en el ordenamiento jurídico correspondiente. Amparo directo en revisión 1886/2003. Miguel Armando </w:t>
      </w:r>
      <w:proofErr w:type="spellStart"/>
      <w:r w:rsidR="007D7483" w:rsidRPr="007D7483">
        <w:rPr>
          <w:rFonts w:ascii="Palatino Linotype" w:hAnsi="Palatino Linotype"/>
          <w:i/>
          <w:color w:val="000000"/>
          <w:sz w:val="24"/>
          <w:szCs w:val="24"/>
        </w:rPr>
        <w:t>Oleta</w:t>
      </w:r>
      <w:proofErr w:type="spellEnd"/>
      <w:r w:rsidR="007D7483" w:rsidRPr="007D7483">
        <w:rPr>
          <w:rFonts w:ascii="Palatino Linotype" w:hAnsi="Palatino Linotype"/>
          <w:i/>
          <w:color w:val="000000"/>
          <w:sz w:val="24"/>
          <w:szCs w:val="24"/>
        </w:rPr>
        <w:t xml:space="preserve"> Montalvo. 31 de marzo de 2004. Unanimidad de cuatro votos. Ausente: Humberto Román Palacios. Ponente: Olga Sánchez Cordero de García Villegas. Secretaria: Leticia Flores Díaz. Época: Novena Época Registro: 177274 Instancia: Tribunales Colegiados de Circuito Tipo de Tesis: Aislada Fuente: Semanario </w:t>
      </w:r>
      <w:r w:rsidR="007D7483" w:rsidRPr="007D7483">
        <w:rPr>
          <w:rFonts w:ascii="Palatino Linotype" w:hAnsi="Palatino Linotype"/>
          <w:i/>
          <w:color w:val="000000"/>
          <w:sz w:val="24"/>
          <w:szCs w:val="24"/>
        </w:rPr>
        <w:lastRenderedPageBreak/>
        <w:t xml:space="preserve">Judicial de la Federación y su Gaceta Tomo XXII, </w:t>
      </w:r>
      <w:proofErr w:type="gramStart"/>
      <w:r w:rsidR="007D7483" w:rsidRPr="007D7483">
        <w:rPr>
          <w:rFonts w:ascii="Palatino Linotype" w:hAnsi="Palatino Linotype"/>
          <w:i/>
          <w:color w:val="000000"/>
          <w:sz w:val="24"/>
          <w:szCs w:val="24"/>
        </w:rPr>
        <w:t>Septiembre</w:t>
      </w:r>
      <w:proofErr w:type="gramEnd"/>
      <w:r w:rsidR="007D7483" w:rsidRPr="007D7483">
        <w:rPr>
          <w:rFonts w:ascii="Palatino Linotype" w:hAnsi="Palatino Linotype"/>
          <w:i/>
          <w:color w:val="000000"/>
          <w:sz w:val="24"/>
          <w:szCs w:val="24"/>
        </w:rPr>
        <w:t xml:space="preserve"> de 2005 Materia(s): Civil Tesis: I.6o.C.357 C Página: 1482 INTERPRETACIÓN DE LA LEY EN MATERIA CIVIL, EN CUMPLIMIENTO A LA</w:t>
      </w:r>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0035E6C3"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050780">
        <w:rPr>
          <w:rFonts w:ascii="Palatino Linotype" w:hAnsi="Palatino Linotype" w:cs="Arial"/>
          <w:sz w:val="24"/>
          <w:szCs w:val="24"/>
        </w:rPr>
        <w:t>doce de noviembre</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45BDA99D"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Pr>
          <w:rFonts w:ascii="Palatino Linotype" w:eastAsia="Times New Roman" w:hAnsi="Palatino Linotype" w:cs="Arial"/>
          <w:sz w:val="24"/>
          <w:szCs w:val="24"/>
          <w:lang w:eastAsia="es-ES"/>
        </w:rPr>
        <w:t>veintiuno de noviembre</w:t>
      </w:r>
      <w:r w:rsidRPr="00A35B6F">
        <w:rPr>
          <w:rFonts w:ascii="Palatino Linotype" w:eastAsia="Times New Roman" w:hAnsi="Palatino Linotype" w:cs="Arial"/>
          <w:sz w:val="24"/>
          <w:szCs w:val="24"/>
          <w:lang w:eastAsia="es-ES"/>
        </w:rPr>
        <w:t xml:space="preserve"> de dos mil diecinueve, mediante el archivo electrónico denominado “</w:t>
      </w:r>
      <w:r w:rsidRPr="00A35B6F">
        <w:rPr>
          <w:rFonts w:ascii="Palatino Linotype" w:eastAsia="Times New Roman" w:hAnsi="Palatino Linotype" w:cs="Arial"/>
          <w:b/>
          <w:bCs/>
          <w:sz w:val="24"/>
          <w:szCs w:val="24"/>
          <w:lang w:eastAsia="es-ES"/>
        </w:rPr>
        <w:t>1004-8505 INFORME.pdf</w:t>
      </w:r>
      <w:r w:rsidRPr="00A35B6F">
        <w:rPr>
          <w:rFonts w:ascii="Palatino Linotype" w:eastAsia="Times New Roman" w:hAnsi="Palatino Linotype" w:cs="Arial"/>
          <w:sz w:val="24"/>
          <w:szCs w:val="24"/>
          <w:lang w:eastAsia="es-ES"/>
        </w:rPr>
        <w:t xml:space="preserve">”, mismo que se puso a la vista del Recurrente el día </w:t>
      </w:r>
      <w:r>
        <w:rPr>
          <w:rFonts w:ascii="Palatino Linotype" w:eastAsia="Times New Roman" w:hAnsi="Palatino Linotype" w:cs="Arial"/>
          <w:sz w:val="24"/>
          <w:szCs w:val="24"/>
          <w:lang w:eastAsia="es-ES"/>
        </w:rPr>
        <w:t>seis de diciembre de dos mil diecinueve</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lastRenderedPageBreak/>
        <w:t>SEXTO. Del cierre de instrucción.</w:t>
      </w:r>
      <w:r w:rsidRPr="00D27E5B">
        <w:rPr>
          <w:rFonts w:ascii="Palatino Linotype" w:hAnsi="Palatino Linotype"/>
          <w:b/>
          <w:sz w:val="28"/>
          <w:szCs w:val="28"/>
        </w:rPr>
        <w:tab/>
      </w:r>
    </w:p>
    <w:p w14:paraId="7D5351C9" w14:textId="5279B7E8"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3C0538">
        <w:rPr>
          <w:rFonts w:ascii="Palatino Linotype" w:hAnsi="Palatino Linotype"/>
          <w:sz w:val="24"/>
          <w:szCs w:val="24"/>
        </w:rPr>
        <w:t>nueve de enero de dos mil veinte</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3A5A43F7"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SÉPTIMO. De la ampliación del término para resolver.</w:t>
      </w:r>
    </w:p>
    <w:p w14:paraId="33EE3EFD" w14:textId="4B534021" w:rsidR="00D27E5B" w:rsidRPr="00D27E5B" w:rsidRDefault="00D27E5B" w:rsidP="00D27E5B">
      <w:pPr>
        <w:spacing w:after="0" w:line="360" w:lineRule="auto"/>
        <w:jc w:val="both"/>
        <w:rPr>
          <w:rFonts w:ascii="Palatino Linotype" w:eastAsia="Calibri" w:hAnsi="Palatino Linotype" w:cs="Arial"/>
          <w:sz w:val="24"/>
          <w:szCs w:val="24"/>
        </w:rPr>
      </w:pPr>
      <w:r w:rsidRPr="00D27E5B">
        <w:rPr>
          <w:rFonts w:ascii="Palatino Linotype" w:eastAsia="Calibri" w:hAnsi="Palatino Linotype" w:cs="Arial"/>
          <w:sz w:val="24"/>
          <w:szCs w:val="24"/>
        </w:rPr>
        <w:t xml:space="preserve">En fecha </w:t>
      </w:r>
      <w:r w:rsidR="003C0538">
        <w:rPr>
          <w:rFonts w:ascii="Palatino Linotype" w:eastAsia="Calibri" w:hAnsi="Palatino Linotype" w:cs="Arial"/>
          <w:sz w:val="24"/>
          <w:szCs w:val="24"/>
        </w:rPr>
        <w:t>trece de enero de dos mil veinte</w:t>
      </w:r>
      <w:r w:rsidRPr="00D27E5B">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18DC940" w14:textId="2617F803" w:rsidR="00BD28E3" w:rsidRPr="00B21190" w:rsidRDefault="00BD28E3" w:rsidP="00E91EE4">
      <w:pPr>
        <w:spacing w:before="240" w:line="360" w:lineRule="auto"/>
        <w:jc w:val="both"/>
        <w:rPr>
          <w:rFonts w:ascii="Palatino Linotype" w:hAnsi="Palatino Linotype" w:cs="Arial"/>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w:t>
      </w:r>
      <w:r w:rsidRPr="00B21190">
        <w:rPr>
          <w:rFonts w:ascii="Palatino Linotype" w:hAnsi="Palatino Linotype" w:cs="Arial"/>
          <w:sz w:val="24"/>
          <w:szCs w:val="24"/>
        </w:rPr>
        <w:lastRenderedPageBreak/>
        <w:t xml:space="preserve">185, 188 y 194 </w:t>
      </w:r>
      <w:r w:rsidRPr="00B2119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21190">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229D5097" w:rsidR="00847043" w:rsidRPr="00847043" w:rsidRDefault="00847043"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sidRPr="00847043">
        <w:rPr>
          <w:rFonts w:ascii="Palatino Linotype" w:eastAsia="Times New Roman" w:hAnsi="Palatino Linotype" w:cs="Arial"/>
          <w:i/>
          <w:sz w:val="24"/>
          <w:szCs w:val="24"/>
          <w:lang w:val="es-ES" w:eastAsia="es-MX"/>
        </w:rPr>
        <w:lastRenderedPageBreak/>
        <w:t>“</w:t>
      </w:r>
      <w:r w:rsidR="00050780" w:rsidRPr="00050780">
        <w:rPr>
          <w:rFonts w:ascii="Palatino Linotype" w:eastAsia="Times New Roman" w:hAnsi="Palatino Linotype" w:cs="Arial"/>
          <w:i/>
          <w:sz w:val="24"/>
          <w:szCs w:val="24"/>
          <w:lang w:val="es-ES" w:eastAsia="es-MX"/>
        </w:rPr>
        <w:t>¿</w:t>
      </w:r>
      <w:r w:rsidR="00050780" w:rsidRPr="00912A21">
        <w:rPr>
          <w:rFonts w:ascii="Palatino Linotype" w:eastAsia="Times New Roman" w:hAnsi="Palatino Linotype" w:cs="Arial"/>
          <w:i/>
          <w:sz w:val="24"/>
          <w:szCs w:val="24"/>
          <w:lang w:val="es-ES" w:eastAsia="es-MX"/>
        </w:rPr>
        <w:t>Es posible obtener la autorización para el derribo de árboles con una licencia de construcción de movimiento de tierras (tal como las expide esa H. Dirección de Desarrollo Metropolitano), de conformidad como lo señala el artículo 106 del Reglamento de Protección al Ambiente para el Desarrollo Sostenible del 2008?</w:t>
      </w:r>
      <w:r w:rsidR="00050780" w:rsidRPr="00050780">
        <w:rPr>
          <w:rFonts w:ascii="Palatino Linotype" w:eastAsia="Times New Roman" w:hAnsi="Palatino Linotype" w:cs="Arial"/>
          <w:i/>
          <w:sz w:val="24"/>
          <w:szCs w:val="24"/>
          <w:lang w:val="es-ES" w:eastAsia="es-MX"/>
        </w:rPr>
        <w:t xml:space="preserve"> </w:t>
      </w:r>
      <w:proofErr w:type="gramStart"/>
      <w:r w:rsidR="00050780" w:rsidRPr="00050780">
        <w:rPr>
          <w:rFonts w:ascii="Palatino Linotype" w:eastAsia="Times New Roman" w:hAnsi="Palatino Linotype" w:cs="Arial"/>
          <w:i/>
          <w:sz w:val="24"/>
          <w:szCs w:val="24"/>
          <w:lang w:val="es-ES" w:eastAsia="es-MX"/>
        </w:rPr>
        <w:t>En caso negativo, pueden compartir el fundamento y el razonamiento?</w:t>
      </w:r>
      <w:proofErr w:type="gramEnd"/>
      <w:r w:rsidR="00050780" w:rsidRPr="00050780">
        <w:rPr>
          <w:rFonts w:ascii="Palatino Linotype" w:eastAsia="Times New Roman" w:hAnsi="Palatino Linotype" w:cs="Arial"/>
          <w:i/>
          <w:sz w:val="24"/>
          <w:szCs w:val="24"/>
          <w:lang w:val="es-ES" w:eastAsia="es-MX"/>
        </w:rPr>
        <w:t xml:space="preserve"> pues el artículo no es específico en el tipo y objeto de licencia de construcción emitida.</w:t>
      </w:r>
      <w:r w:rsidRPr="00847043">
        <w:rPr>
          <w:rFonts w:ascii="Palatino Linotype" w:eastAsia="Times New Roman" w:hAnsi="Palatino Linotype" w:cs="Arial"/>
          <w:i/>
          <w:sz w:val="24"/>
          <w:szCs w:val="24"/>
          <w:lang w:val="es-ES" w:eastAsia="es-MX"/>
        </w:rPr>
        <w:t xml:space="preserve"> “(sic)</w:t>
      </w:r>
    </w:p>
    <w:p w14:paraId="53638A77" w14:textId="77777777" w:rsidR="00847043" w:rsidRDefault="00847043" w:rsidP="00B12105">
      <w:pPr>
        <w:spacing w:line="360" w:lineRule="auto"/>
        <w:jc w:val="both"/>
        <w:rPr>
          <w:rFonts w:ascii="Palatino Linotype" w:hAnsi="Palatino Linotype" w:cs="Arial"/>
          <w:sz w:val="24"/>
        </w:rPr>
      </w:pPr>
    </w:p>
    <w:p w14:paraId="2F04D039" w14:textId="0B5824E7" w:rsidR="000F5CBE"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el </w:t>
      </w:r>
      <w:r w:rsidRPr="000F5CBE">
        <w:rPr>
          <w:rFonts w:ascii="Palatino Linotype" w:hAnsi="Palatino Linotype"/>
          <w:b/>
          <w:color w:val="000000"/>
          <w:lang w:val="es-ES_tradnl"/>
        </w:rPr>
        <w:t xml:space="preserve">sujeto obligado </w:t>
      </w:r>
      <w:r w:rsidRPr="000F5CBE">
        <w:rPr>
          <w:rFonts w:ascii="Palatino Linotype" w:hAnsi="Palatino Linotype"/>
          <w:color w:val="000000"/>
          <w:lang w:val="es-ES_tradnl"/>
        </w:rPr>
        <w:t>emitió su respuesta</w:t>
      </w:r>
      <w:r>
        <w:rPr>
          <w:rFonts w:ascii="Palatino Linotype" w:hAnsi="Palatino Linotype"/>
          <w:color w:val="000000"/>
          <w:lang w:val="es-ES_tradnl"/>
        </w:rPr>
        <w:t>, en la cual, medularmente señaló que</w:t>
      </w:r>
      <w:r w:rsidRPr="000F5CBE">
        <w:rPr>
          <w:rFonts w:ascii="Palatino Linotype" w:hAnsi="Palatino Linotype"/>
          <w:color w:val="000000"/>
          <w:lang w:val="es-ES_tradnl"/>
        </w:rPr>
        <w:t xml:space="preserve"> </w:t>
      </w:r>
      <w:r w:rsidR="00050780" w:rsidRPr="00050780">
        <w:rPr>
          <w:rFonts w:ascii="Palatino Linotype" w:hAnsi="Palatino Linotype"/>
          <w:color w:val="000000"/>
          <w:lang w:val="es-ES_tradnl"/>
        </w:rPr>
        <w:t xml:space="preserve">de acuerdo al artículo 106 del Reglamento Municipal para la Protección al Ambiente para el Desarrollo Sostenible del municipio de Cuautitlán Izcalli en mención, </w:t>
      </w:r>
      <w:r w:rsidR="00050780" w:rsidRPr="00FE23C7">
        <w:rPr>
          <w:rFonts w:ascii="Palatino Linotype" w:hAnsi="Palatino Linotype"/>
          <w:b/>
          <w:bCs/>
          <w:color w:val="000000"/>
          <w:u w:val="single"/>
          <w:lang w:val="es-ES_tradnl"/>
        </w:rPr>
        <w:t>para tramitar la autorización de poda, derribo o trasplante de vegetación de un predio, es necesario contar con la licencia de construcción única y exclusivamente en su modalidad de obra nueva, modificaciones o ampliación de obra existente</w:t>
      </w:r>
      <w:r w:rsidR="00050780" w:rsidRPr="00050780">
        <w:rPr>
          <w:rFonts w:ascii="Palatino Linotype" w:hAnsi="Palatino Linotype"/>
          <w:color w:val="000000"/>
          <w:lang w:val="es-ES_tradnl"/>
        </w:rPr>
        <w:t>, por lo cual, no procede gestionar ante esta Dirección de Medio Ambiente la autorización de poda, derribo o trasplante de vegetación solamente con la licencia de construcción para excavación, relleno o movimiento de tierras</w:t>
      </w:r>
      <w:r>
        <w:rPr>
          <w:rFonts w:ascii="Palatino Linotype" w:hAnsi="Palatino Linotype"/>
          <w:color w:val="000000"/>
          <w:lang w:val="es-ES_tradnl"/>
        </w:rPr>
        <w:t>.</w:t>
      </w:r>
    </w:p>
    <w:p w14:paraId="341A2527" w14:textId="77777777" w:rsidR="000F5CBE" w:rsidRDefault="000F5CBE" w:rsidP="00FF14FE">
      <w:pPr>
        <w:pStyle w:val="Prrafodelista"/>
        <w:spacing w:line="360" w:lineRule="auto"/>
        <w:ind w:left="0"/>
        <w:contextualSpacing/>
        <w:jc w:val="both"/>
        <w:rPr>
          <w:rFonts w:ascii="Palatino Linotype" w:hAnsi="Palatino Linotype"/>
          <w:color w:val="000000"/>
        </w:rPr>
      </w:pPr>
    </w:p>
    <w:p w14:paraId="5394B66D" w14:textId="70D61D41" w:rsidR="00FF14FE" w:rsidRPr="00A37185" w:rsidRDefault="000F5CBE" w:rsidP="00A37185">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00FF14FE" w:rsidRPr="00B21190">
        <w:rPr>
          <w:rFonts w:ascii="Palatino Linotype" w:hAnsi="Palatino Linotype"/>
          <w:color w:val="000000"/>
        </w:rPr>
        <w:t xml:space="preserve">, en dicha solicitud se observa en primer lugar que la información fue formulada parcialmente a través de planteamientos en donde </w:t>
      </w:r>
      <w:r w:rsidR="00FF14FE" w:rsidRPr="00B21190">
        <w:rPr>
          <w:rFonts w:ascii="Palatino Linotype" w:hAnsi="Palatino Linotype" w:cs="Arial"/>
          <w:bCs/>
          <w:iCs/>
          <w:color w:val="222222"/>
        </w:rPr>
        <w:t>no se identifica un documento en específico</w:t>
      </w:r>
      <w:r w:rsidR="00FF14FE" w:rsidRPr="00B21190">
        <w:rPr>
          <w:rFonts w:ascii="Palatino Linotype" w:hAnsi="Palatino Linotype"/>
          <w:color w:val="000000"/>
        </w:rPr>
        <w:t xml:space="preserve">, en segundo </w:t>
      </w:r>
      <w:r w:rsidRPr="00B21190">
        <w:rPr>
          <w:rFonts w:ascii="Palatino Linotype" w:hAnsi="Palatino Linotype"/>
          <w:color w:val="000000"/>
        </w:rPr>
        <w:t>lugar,</w:t>
      </w:r>
      <w:r w:rsidR="00FF14FE" w:rsidRPr="00B21190">
        <w:rPr>
          <w:rFonts w:ascii="Palatino Linotype" w:hAnsi="Palatino Linotype"/>
          <w:color w:val="000000"/>
        </w:rPr>
        <w:t xml:space="preserve">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Pr="000F5CBE">
        <w:rPr>
          <w:rFonts w:ascii="Palatino Linotype" w:hAnsi="Palatino Linotype"/>
          <w:b/>
          <w:bCs/>
        </w:rPr>
        <w:t>sujeto obligado</w:t>
      </w:r>
      <w:r>
        <w:rPr>
          <w:rFonts w:ascii="Palatino Linotype" w:hAnsi="Palatino Linotype"/>
        </w:rPr>
        <w:t xml:space="preserve"> pueda entregar información alguna, ello es así porque el </w:t>
      </w:r>
      <w:r w:rsidR="00A37185">
        <w:rPr>
          <w:rFonts w:ascii="Palatino Linotype" w:hAnsi="Palatino Linotype"/>
        </w:rPr>
        <w:t>R</w:t>
      </w:r>
      <w:r>
        <w:rPr>
          <w:rFonts w:ascii="Palatino Linotype" w:hAnsi="Palatino Linotype"/>
        </w:rPr>
        <w:t>ecurrente refiere: “…</w:t>
      </w:r>
      <w:r w:rsidR="00FE23C7" w:rsidRPr="00FE23C7">
        <w:rPr>
          <w:rFonts w:ascii="Palatino Linotype" w:hAnsi="Palatino Linotype" w:cs="Arial"/>
          <w:i/>
          <w:lang w:eastAsia="es-MX"/>
        </w:rPr>
        <w:t xml:space="preserve">¿Es posible obtener la autorización para el derribo de árboles con una licencia de construcción de movimiento de tierras (tal como las </w:t>
      </w:r>
      <w:r w:rsidR="00FE23C7" w:rsidRPr="00FE23C7">
        <w:rPr>
          <w:rFonts w:ascii="Palatino Linotype" w:hAnsi="Palatino Linotype" w:cs="Arial"/>
          <w:i/>
          <w:lang w:eastAsia="es-MX"/>
        </w:rPr>
        <w:lastRenderedPageBreak/>
        <w:t>expide esa H. Dirección de Desarrollo Metropolitano), de conformidad como lo señala el artículo 106 del Reglamento de Protección al Ambiente para el Desarrollo Sostenible del 2008?</w:t>
      </w:r>
      <w:r>
        <w:rPr>
          <w:rFonts w:ascii="Palatino Linotype" w:hAnsi="Palatino Linotype"/>
        </w:rPr>
        <w:t>…”</w:t>
      </w:r>
      <w:r w:rsidR="00FE23C7">
        <w:rPr>
          <w:rFonts w:ascii="Palatino Linotype" w:hAnsi="Palatino Linotype"/>
        </w:rPr>
        <w:t xml:space="preserve"> y “</w:t>
      </w:r>
      <w:proofErr w:type="gramStart"/>
      <w:r w:rsidR="00FE23C7" w:rsidRPr="00FE23C7">
        <w:rPr>
          <w:rFonts w:ascii="Palatino Linotype" w:hAnsi="Palatino Linotype"/>
          <w:i/>
          <w:iCs/>
        </w:rPr>
        <w:t>En caso negativo, pueden compartir el fundamento y el razonamiento?</w:t>
      </w:r>
      <w:proofErr w:type="gramEnd"/>
      <w:r w:rsidR="00FE23C7">
        <w:rPr>
          <w:rFonts w:ascii="Palatino Linotype" w:hAnsi="Palatino Linotype"/>
        </w:rPr>
        <w:t>”</w:t>
      </w:r>
      <w:r>
        <w:rPr>
          <w:rFonts w:ascii="Palatino Linotype" w:hAnsi="Palatino Linotype"/>
        </w:rPr>
        <w:t xml:space="preserve">, (sic) lo que supone que el sujeto obligado lleve a cabo un pronunciamiento especifico, contestando a dos interrogantes “el cómo y el por qué”, respecto de una cuestión instrumentada en diverso procedimiento administrativo, </w:t>
      </w:r>
      <w:r w:rsidR="00A37185">
        <w:rPr>
          <w:rFonts w:ascii="Palatino Linotype" w:hAnsi="Palatino Linotype"/>
        </w:rPr>
        <w:t>de lo cual, no</w:t>
      </w:r>
      <w:r>
        <w:rPr>
          <w:rFonts w:ascii="Palatino Linotype" w:hAnsi="Palatino Linotype"/>
        </w:rPr>
        <w:t xml:space="preserve"> existe ordenamiento jurídico que imponga tal obligación</w:t>
      </w:r>
      <w:r w:rsidR="00A37185">
        <w:rPr>
          <w:rFonts w:ascii="Palatino Linotype" w:hAnsi="Palatino Linotype"/>
        </w:rPr>
        <w:t>.</w:t>
      </w:r>
    </w:p>
    <w:p w14:paraId="172B9FC0" w14:textId="77777777" w:rsidR="000F5CBE" w:rsidRDefault="000F5CBE" w:rsidP="00FF14FE">
      <w:pPr>
        <w:pStyle w:val="Prrafodelista"/>
        <w:autoSpaceDE w:val="0"/>
        <w:autoSpaceDN w:val="0"/>
        <w:adjustRightInd w:val="0"/>
        <w:spacing w:line="360" w:lineRule="auto"/>
        <w:ind w:left="0"/>
        <w:contextualSpacing/>
        <w:jc w:val="both"/>
        <w:rPr>
          <w:rFonts w:ascii="Palatino Linotype" w:hAnsi="Palatino Linotype"/>
        </w:rPr>
      </w:pPr>
    </w:p>
    <w:p w14:paraId="0B2748F2" w14:textId="734AC9C6"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7D261B1E"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9EB385F" w14:textId="4537D1D4"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w:t>
      </w:r>
      <w:r w:rsidRPr="00B21190">
        <w:rPr>
          <w:rFonts w:ascii="Palatino Linotype" w:hAnsi="Palatino Linotype" w:cs="Arial"/>
          <w:color w:val="000000" w:themeColor="text1"/>
        </w:rPr>
        <w:lastRenderedPageBreak/>
        <w:t xml:space="preserve">solicitud de información sin identificar de forma precisa la documentación, </w:t>
      </w:r>
      <w:r w:rsidR="00A37185">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sidR="00A37185">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0FDE72B3" w14:textId="77777777" w:rsidR="00FF14FE" w:rsidRPr="00B21190" w:rsidRDefault="00FF14FE" w:rsidP="00FF14FE">
      <w:pPr>
        <w:pStyle w:val="Sinespaciado"/>
      </w:pPr>
    </w:p>
    <w:p w14:paraId="63E2FCDD" w14:textId="77777777" w:rsidR="00FF14FE" w:rsidRPr="00B21190" w:rsidRDefault="00FF14FE" w:rsidP="00FF14FE">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60BA133"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7AE05D0A" w14:textId="77777777" w:rsidR="00BB4154" w:rsidRPr="00B21190" w:rsidRDefault="00BB4154" w:rsidP="008D7CE1">
      <w:pPr>
        <w:pStyle w:val="Sinespaciado"/>
        <w:spacing w:line="360" w:lineRule="auto"/>
        <w:jc w:val="both"/>
        <w:rPr>
          <w:rFonts w:ascii="Palatino Linotype" w:eastAsiaTheme="minorHAnsi" w:hAnsi="Palatino Linotype" w:cs="Arial"/>
          <w:lang w:eastAsia="es-MX"/>
        </w:rPr>
      </w:pPr>
    </w:p>
    <w:p w14:paraId="0C5E4FCF" w14:textId="2E1EAAA7" w:rsidR="009440E4" w:rsidRPr="00B21190" w:rsidRDefault="00627C77" w:rsidP="00E91E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Inconforme con la respuesta emitida por </w:t>
      </w:r>
      <w:r w:rsidRPr="00B21190">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 </w:t>
      </w:r>
      <w:r w:rsidRPr="00B21190">
        <w:rPr>
          <w:rFonts w:ascii="Palatino Linotype" w:eastAsia="Times New Roman" w:hAnsi="Palatino Linotype" w:cs="Arial"/>
          <w:sz w:val="24"/>
          <w:szCs w:val="24"/>
          <w:lang w:val="es-ES" w:eastAsia="es-ES"/>
        </w:rPr>
        <w:t xml:space="preserve">interpuso el presente recurso de revisión, señalando como motivos de inconformidad, </w:t>
      </w:r>
      <w:r w:rsidRPr="00B21190">
        <w:rPr>
          <w:rFonts w:ascii="Palatino Linotype" w:eastAsia="Times New Roman" w:hAnsi="Palatino Linotype" w:cs="Arial"/>
          <w:i/>
          <w:sz w:val="24"/>
          <w:szCs w:val="24"/>
          <w:lang w:val="es-ES" w:eastAsia="es-ES"/>
        </w:rPr>
        <w:t>“</w:t>
      </w:r>
      <w:r w:rsidR="00CD0423" w:rsidRPr="00AC3F77">
        <w:rPr>
          <w:rFonts w:ascii="Palatino Linotype" w:eastAsia="Times New Roman" w:hAnsi="Palatino Linotype" w:cs="Arial"/>
          <w:b/>
          <w:bCs/>
          <w:i/>
          <w:sz w:val="24"/>
          <w:szCs w:val="24"/>
          <w:lang w:val="es-ES" w:eastAsia="es-ES"/>
        </w:rPr>
        <w:t>La respuesta de la Dirección General de Desarrollo Metropolitano se encuentra mal fundamentada e interpretada</w:t>
      </w:r>
      <w:r w:rsidR="00CD0423" w:rsidRPr="00CD0423">
        <w:rPr>
          <w:rFonts w:ascii="Palatino Linotype" w:eastAsia="Times New Roman" w:hAnsi="Palatino Linotype" w:cs="Arial"/>
          <w:i/>
          <w:sz w:val="24"/>
          <w:szCs w:val="24"/>
          <w:lang w:val="es-ES" w:eastAsia="es-ES"/>
        </w:rPr>
        <w:t xml:space="preserve">, pues señala como fundamento el artículo 106 del Reglamento Municipal de Protección al Ambiente para el Desarrollo Sostenible del Municipio de Cuautitlán Izcalli, siendo este incompleto pues debe interpretar la esencia del ordenamiento completo y no de una sola disposición, toda vez que el artículo 105 del propio ordenamiento señala el listado </w:t>
      </w:r>
      <w:r w:rsidR="00CD0423" w:rsidRPr="00CD0423">
        <w:rPr>
          <w:rFonts w:ascii="Palatino Linotype" w:eastAsia="Times New Roman" w:hAnsi="Palatino Linotype" w:cs="Arial"/>
          <w:i/>
          <w:sz w:val="24"/>
          <w:szCs w:val="24"/>
          <w:lang w:val="es-ES" w:eastAsia="es-ES"/>
        </w:rPr>
        <w:lastRenderedPageBreak/>
        <w:t xml:space="preserve">de requisitos para otorgar el derribo, y es ahí donde no hace diferencia de exclusión sobre el tipo de licencia. Es decir, el artículo señala: Artículo 105.- Son requisitos para tramitar autorización para la poda, derribo y trasplante de vegetación ubicada en propiedad privada, los que a continuación se mencionan: ... VIII. En caso de derribos por construcción se deberá anexar: a) Plano de sembrado de vegetación traslapado con plano base de construcción; y b) Copia de licencia de construcción </w:t>
      </w:r>
      <w:proofErr w:type="spellStart"/>
      <w:r w:rsidR="00CD0423" w:rsidRPr="00CD0423">
        <w:rPr>
          <w:rFonts w:ascii="Palatino Linotype" w:eastAsia="Times New Roman" w:hAnsi="Palatino Linotype" w:cs="Arial"/>
          <w:i/>
          <w:sz w:val="24"/>
          <w:szCs w:val="24"/>
          <w:lang w:val="es-ES" w:eastAsia="es-ES"/>
        </w:rPr>
        <w:t>ó</w:t>
      </w:r>
      <w:proofErr w:type="spellEnd"/>
      <w:r w:rsidR="00CD0423" w:rsidRPr="00CD0423">
        <w:rPr>
          <w:rFonts w:ascii="Palatino Linotype" w:eastAsia="Times New Roman" w:hAnsi="Palatino Linotype" w:cs="Arial"/>
          <w:i/>
          <w:sz w:val="24"/>
          <w:szCs w:val="24"/>
          <w:lang w:val="es-ES" w:eastAsia="es-ES"/>
        </w:rPr>
        <w:t xml:space="preserve"> plano autorizado. En este artículo no se distingue si es licencia de construcción por excavación o relleno u obra nueva, ampliación, remodelación etc. En el Artículo 106 que refiere la Autoridad en su contestación se indica que: ¿</w:t>
      </w:r>
      <w:proofErr w:type="spellStart"/>
      <w:proofErr w:type="gramStart"/>
      <w:r w:rsidR="00CD0423" w:rsidRPr="00CD0423">
        <w:rPr>
          <w:rFonts w:ascii="Palatino Linotype" w:eastAsia="Times New Roman" w:hAnsi="Palatino Linotype" w:cs="Arial"/>
          <w:i/>
          <w:sz w:val="24"/>
          <w:szCs w:val="24"/>
          <w:lang w:val="es-ES" w:eastAsia="es-ES"/>
        </w:rPr>
        <w:t>Cuando</w:t>
      </w:r>
      <w:proofErr w:type="spellEnd"/>
      <w:proofErr w:type="gramEnd"/>
      <w:r w:rsidR="00CD0423" w:rsidRPr="00CD0423">
        <w:rPr>
          <w:rFonts w:ascii="Palatino Linotype" w:eastAsia="Times New Roman" w:hAnsi="Palatino Linotype" w:cs="Arial"/>
          <w:i/>
          <w:sz w:val="24"/>
          <w:szCs w:val="24"/>
          <w:lang w:val="es-ES" w:eastAsia="es-ES"/>
        </w:rPr>
        <w:t xml:space="preserve"> (adverbio circunstancial de tiempo, es decir, si solo </w:t>
      </w:r>
      <w:proofErr w:type="spellStart"/>
      <w:r w:rsidR="00CD0423" w:rsidRPr="00CD0423">
        <w:rPr>
          <w:rFonts w:ascii="Palatino Linotype" w:eastAsia="Times New Roman" w:hAnsi="Palatino Linotype" w:cs="Arial"/>
          <w:i/>
          <w:sz w:val="24"/>
          <w:szCs w:val="24"/>
          <w:lang w:val="es-ES" w:eastAsia="es-ES"/>
        </w:rPr>
        <w:t>si</w:t>
      </w:r>
      <w:proofErr w:type="spellEnd"/>
      <w:r w:rsidR="00CD0423" w:rsidRPr="00CD0423">
        <w:rPr>
          <w:rFonts w:ascii="Palatino Linotype" w:eastAsia="Times New Roman" w:hAnsi="Palatino Linotype" w:cs="Arial"/>
          <w:i/>
          <w:sz w:val="24"/>
          <w:szCs w:val="24"/>
          <w:lang w:val="es-ES" w:eastAsia="es-ES"/>
        </w:rPr>
        <w:t xml:space="preserve">) el derribo ... sea por Obra Nueva, modificaciones o ampliaciones (excluye de lo general), (entonces, si solo sí) se deberá... De conformidad con lo anterior el artículo 106 a la interpretación de la Ley y el principio general del derecho </w:t>
      </w:r>
      <w:proofErr w:type="spellStart"/>
      <w:r w:rsidR="00CD0423" w:rsidRPr="00CD0423">
        <w:rPr>
          <w:rFonts w:ascii="Palatino Linotype" w:eastAsia="Times New Roman" w:hAnsi="Palatino Linotype" w:cs="Arial"/>
          <w:i/>
          <w:sz w:val="24"/>
          <w:szCs w:val="24"/>
          <w:lang w:val="es-ES" w:eastAsia="es-ES"/>
        </w:rPr>
        <w:t>Ubi</w:t>
      </w:r>
      <w:proofErr w:type="spellEnd"/>
      <w:r w:rsidR="00CD0423" w:rsidRPr="00CD0423">
        <w:rPr>
          <w:rFonts w:ascii="Palatino Linotype" w:eastAsia="Times New Roman" w:hAnsi="Palatino Linotype" w:cs="Arial"/>
          <w:i/>
          <w:sz w:val="24"/>
          <w:szCs w:val="24"/>
          <w:lang w:val="es-ES" w:eastAsia="es-ES"/>
        </w:rPr>
        <w:t xml:space="preserve"> lex non </w:t>
      </w:r>
      <w:proofErr w:type="spellStart"/>
      <w:r w:rsidR="00CD0423" w:rsidRPr="00CD0423">
        <w:rPr>
          <w:rFonts w:ascii="Palatino Linotype" w:eastAsia="Times New Roman" w:hAnsi="Palatino Linotype" w:cs="Arial"/>
          <w:i/>
          <w:sz w:val="24"/>
          <w:szCs w:val="24"/>
          <w:lang w:val="es-ES" w:eastAsia="es-ES"/>
        </w:rPr>
        <w:t>distinguit</w:t>
      </w:r>
      <w:proofErr w:type="spellEnd"/>
      <w:r w:rsidR="00CD0423" w:rsidRPr="00CD0423">
        <w:rPr>
          <w:rFonts w:ascii="Palatino Linotype" w:eastAsia="Times New Roman" w:hAnsi="Palatino Linotype" w:cs="Arial"/>
          <w:i/>
          <w:sz w:val="24"/>
          <w:szCs w:val="24"/>
          <w:lang w:val="es-ES" w:eastAsia="es-ES"/>
        </w:rPr>
        <w:t xml:space="preserve">, </w:t>
      </w:r>
      <w:proofErr w:type="spellStart"/>
      <w:r w:rsidR="00CD0423" w:rsidRPr="00CD0423">
        <w:rPr>
          <w:rFonts w:ascii="Palatino Linotype" w:eastAsia="Times New Roman" w:hAnsi="Palatino Linotype" w:cs="Arial"/>
          <w:i/>
          <w:sz w:val="24"/>
          <w:szCs w:val="24"/>
          <w:lang w:val="es-ES" w:eastAsia="es-ES"/>
        </w:rPr>
        <w:t>nec</w:t>
      </w:r>
      <w:proofErr w:type="spellEnd"/>
      <w:r w:rsidR="00CD0423" w:rsidRPr="00CD0423">
        <w:rPr>
          <w:rFonts w:ascii="Palatino Linotype" w:eastAsia="Times New Roman" w:hAnsi="Palatino Linotype" w:cs="Arial"/>
          <w:i/>
          <w:sz w:val="24"/>
          <w:szCs w:val="24"/>
          <w:lang w:val="es-ES" w:eastAsia="es-ES"/>
        </w:rPr>
        <w:t xml:space="preserve"> nos </w:t>
      </w:r>
      <w:proofErr w:type="spellStart"/>
      <w:r w:rsidR="00CD0423" w:rsidRPr="00CD0423">
        <w:rPr>
          <w:rFonts w:ascii="Palatino Linotype" w:eastAsia="Times New Roman" w:hAnsi="Palatino Linotype" w:cs="Arial"/>
          <w:i/>
          <w:sz w:val="24"/>
          <w:szCs w:val="24"/>
          <w:lang w:val="es-ES" w:eastAsia="es-ES"/>
        </w:rPr>
        <w:t>distinguere</w:t>
      </w:r>
      <w:proofErr w:type="spellEnd"/>
      <w:r w:rsidR="00CD0423" w:rsidRPr="00CD0423">
        <w:rPr>
          <w:rFonts w:ascii="Palatino Linotype" w:eastAsia="Times New Roman" w:hAnsi="Palatino Linotype" w:cs="Arial"/>
          <w:i/>
          <w:sz w:val="24"/>
          <w:szCs w:val="24"/>
          <w:lang w:val="es-ES" w:eastAsia="es-ES"/>
        </w:rPr>
        <w:t xml:space="preserve"> </w:t>
      </w:r>
      <w:proofErr w:type="spellStart"/>
      <w:r w:rsidR="00CD0423" w:rsidRPr="00CD0423">
        <w:rPr>
          <w:rFonts w:ascii="Palatino Linotype" w:eastAsia="Times New Roman" w:hAnsi="Palatino Linotype" w:cs="Arial"/>
          <w:i/>
          <w:sz w:val="24"/>
          <w:szCs w:val="24"/>
          <w:lang w:val="es-ES" w:eastAsia="es-ES"/>
        </w:rPr>
        <w:t>debemus</w:t>
      </w:r>
      <w:proofErr w:type="spellEnd"/>
      <w:r w:rsidR="00CD0423" w:rsidRPr="00CD0423">
        <w:rPr>
          <w:rFonts w:ascii="Palatino Linotype" w:eastAsia="Times New Roman" w:hAnsi="Palatino Linotype" w:cs="Arial"/>
          <w:i/>
          <w:sz w:val="24"/>
          <w:szCs w:val="24"/>
          <w:lang w:val="es-ES" w:eastAsia="es-ES"/>
        </w:rPr>
        <w:t xml:space="preserve">, el reglamento no distingue entre licencias de construcción, más aún solo las distingue para efectos de reserva en los casos de obra nueva, ampliación y modificación, es decir, para que operara la respuesta otorgada por la autoridad, esa diferencia debía haberse colocado dentro del artículo 105 que señala los requisitos esenciales, y no en el 106 que solo establece una condición para el otorgamiento de dichas autorizaciones. Sostengo lo anterior con los criterios jurisprudenciales siguientes: Época: Novena Época Registro: 181320 Instancia: Primera Sala Tipo de Tesis: Aislada Fuente: Semanario Judicial de la Federación y su Gaceta Tomo XIX, </w:t>
      </w:r>
      <w:proofErr w:type="gramStart"/>
      <w:r w:rsidR="00CD0423" w:rsidRPr="00CD0423">
        <w:rPr>
          <w:rFonts w:ascii="Palatino Linotype" w:eastAsia="Times New Roman" w:hAnsi="Palatino Linotype" w:cs="Arial"/>
          <w:i/>
          <w:sz w:val="24"/>
          <w:szCs w:val="24"/>
          <w:lang w:val="es-ES" w:eastAsia="es-ES"/>
        </w:rPr>
        <w:t>Junio</w:t>
      </w:r>
      <w:proofErr w:type="gramEnd"/>
      <w:r w:rsidR="00CD0423" w:rsidRPr="00CD0423">
        <w:rPr>
          <w:rFonts w:ascii="Palatino Linotype" w:eastAsia="Times New Roman" w:hAnsi="Palatino Linotype" w:cs="Arial"/>
          <w:i/>
          <w:sz w:val="24"/>
          <w:szCs w:val="24"/>
          <w:lang w:val="es-ES" w:eastAsia="es-ES"/>
        </w:rPr>
        <w:t xml:space="preserve"> de 2004 Materia(s): Común Tesis: 1a. LXXII/2004 Página: 234 INTERPRETACIÓN DE LA LEY. SI SU TEXTO ES OSCURO O INCOMPLETO Y NO BASTA EL EXAMEN GRAMATICAL, EL JUZGADOR PODRÁ UTILIZAR EL MÉTODO QUE CONFORME A SU CRITERIO SEA EL MÁS ADECUADO PARA RESOLVER EL CASO CONCRETO. De acuerdo con el cuarto párrafo del artículo 14 de la Constitución Política de los Estados Unidos Mexicanos, el órgano </w:t>
      </w:r>
      <w:r w:rsidR="00CD0423" w:rsidRPr="00CD0423">
        <w:rPr>
          <w:rFonts w:ascii="Palatino Linotype" w:eastAsia="Times New Roman" w:hAnsi="Palatino Linotype" w:cs="Arial"/>
          <w:i/>
          <w:sz w:val="24"/>
          <w:szCs w:val="24"/>
          <w:lang w:val="es-ES" w:eastAsia="es-ES"/>
        </w:rPr>
        <w:lastRenderedPageBreak/>
        <w:t xml:space="preserve">jurisdiccional, al resolver la cuestión jurídica que se le plantee, deberá hacerlo conforme a la letra o a la interpretación jurídica de la ley y, a falta de ésta, se fundará en los principios generales del derecho. En este sentido, los juzgadores no están obligados a aplicar un método de interpretación específico, por lo que válidamente pueden utilizar el que acorde con su criterio sea el más adecuado para resolver el caso concreto. Sin embargo, en principio deberá utilizarse el literal, pues como lo establece el propio precepto constitucional, los fallos judiciales deberán dictarse "conforme a la letra o a la interpretación jurídica de la ley", con lo que se constriñe al juzgador a buscar la solución del problema que se le presente, considerando en primer lugar lo dispuesto expresamente en el ordenamiento jurídico correspondiente. Amparo directo en revisión 1886/2003. Miguel Armando </w:t>
      </w:r>
      <w:proofErr w:type="spellStart"/>
      <w:r w:rsidR="00CD0423" w:rsidRPr="00CD0423">
        <w:rPr>
          <w:rFonts w:ascii="Palatino Linotype" w:eastAsia="Times New Roman" w:hAnsi="Palatino Linotype" w:cs="Arial"/>
          <w:i/>
          <w:sz w:val="24"/>
          <w:szCs w:val="24"/>
          <w:lang w:val="es-ES" w:eastAsia="es-ES"/>
        </w:rPr>
        <w:t>Oleta</w:t>
      </w:r>
      <w:proofErr w:type="spellEnd"/>
      <w:r w:rsidR="00CD0423" w:rsidRPr="00CD0423">
        <w:rPr>
          <w:rFonts w:ascii="Palatino Linotype" w:eastAsia="Times New Roman" w:hAnsi="Palatino Linotype" w:cs="Arial"/>
          <w:i/>
          <w:sz w:val="24"/>
          <w:szCs w:val="24"/>
          <w:lang w:val="es-ES" w:eastAsia="es-ES"/>
        </w:rPr>
        <w:t xml:space="preserve"> Montalvo. 31 de marzo de 2004. Unanimidad de cuatro votos. Ausente: Humberto Román Palacios. Ponente: Olga Sánchez Cordero de García Villegas. Secretaria: Leticia Flores Díaz. Época: Novena Época Registro: 177274 Instancia: Tribunales Colegiados de Circuito Tipo de Tesis: Aislada Fuente: Semanario Judicial de la Federación y su Gaceta Tomo XXII, </w:t>
      </w:r>
      <w:proofErr w:type="gramStart"/>
      <w:r w:rsidR="00CD0423" w:rsidRPr="00CD0423">
        <w:rPr>
          <w:rFonts w:ascii="Palatino Linotype" w:eastAsia="Times New Roman" w:hAnsi="Palatino Linotype" w:cs="Arial"/>
          <w:i/>
          <w:sz w:val="24"/>
          <w:szCs w:val="24"/>
          <w:lang w:val="es-ES" w:eastAsia="es-ES"/>
        </w:rPr>
        <w:t>Septiembre</w:t>
      </w:r>
      <w:proofErr w:type="gramEnd"/>
      <w:r w:rsidR="00CD0423" w:rsidRPr="00CD0423">
        <w:rPr>
          <w:rFonts w:ascii="Palatino Linotype" w:eastAsia="Times New Roman" w:hAnsi="Palatino Linotype" w:cs="Arial"/>
          <w:i/>
          <w:sz w:val="24"/>
          <w:szCs w:val="24"/>
          <w:lang w:val="es-ES" w:eastAsia="es-ES"/>
        </w:rPr>
        <w:t xml:space="preserve"> de 2005 Materia(s): Civil Tesis: I.6o.C.357 C Página: 1482 INTERPRETACIÓN DE LA LEY EN MATERIA CIVIL, EN CUMPLIMIENTO A LA</w:t>
      </w:r>
      <w:r w:rsidR="009440E4" w:rsidRPr="00B21190">
        <w:rPr>
          <w:rFonts w:ascii="Palatino Linotype" w:eastAsia="Times New Roman" w:hAnsi="Palatino Linotype" w:cs="Arial"/>
          <w:i/>
          <w:sz w:val="24"/>
          <w:szCs w:val="24"/>
          <w:lang w:val="es-ES" w:eastAsia="es-ES"/>
        </w:rPr>
        <w:t>”</w:t>
      </w:r>
      <w:r w:rsidR="00525C26" w:rsidRPr="00B21190">
        <w:rPr>
          <w:rFonts w:ascii="Palatino Linotype" w:eastAsia="Times New Roman" w:hAnsi="Palatino Linotype" w:cs="Arial"/>
          <w:i/>
          <w:sz w:val="24"/>
          <w:szCs w:val="24"/>
          <w:lang w:val="es-ES" w:eastAsia="es-ES"/>
        </w:rPr>
        <w:t xml:space="preserve"> (Sic)</w:t>
      </w:r>
      <w:r w:rsidR="009440E4" w:rsidRPr="00B21190">
        <w:rPr>
          <w:rFonts w:ascii="Palatino Linotype" w:eastAsia="Times New Roman" w:hAnsi="Palatino Linotype" w:cs="Arial"/>
          <w:sz w:val="24"/>
          <w:szCs w:val="24"/>
          <w:lang w:val="es-ES" w:eastAsia="es-ES"/>
        </w:rPr>
        <w:t>.</w:t>
      </w:r>
    </w:p>
    <w:p w14:paraId="19285F64" w14:textId="77777777" w:rsidR="009440E4" w:rsidRPr="00B21190" w:rsidRDefault="009440E4" w:rsidP="00E91E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DECB5D" w14:textId="0C80B2BC" w:rsidR="0078004C" w:rsidRPr="0078004C" w:rsidRDefault="0078004C" w:rsidP="0078004C">
      <w:pPr>
        <w:spacing w:after="0" w:line="360" w:lineRule="auto"/>
        <w:jc w:val="both"/>
        <w:rPr>
          <w:rFonts w:ascii="Palatino Linotype" w:hAnsi="Palatino Linotype"/>
          <w:sz w:val="24"/>
          <w:szCs w:val="24"/>
        </w:rPr>
      </w:pPr>
      <w:r w:rsidRPr="0078004C">
        <w:rPr>
          <w:rFonts w:ascii="Palatino Linotype" w:hAnsi="Palatino Linotype"/>
          <w:sz w:val="24"/>
          <w:szCs w:val="24"/>
        </w:rPr>
        <w:t>Por su parte, el Sujeto Obligado rindió con oportunidad su Informe Justificado que fue puesto a la vista de la Recurrente y mediante el cual reiteró su respuesta original fundamentalmente, y señalando que</w:t>
      </w:r>
      <w:r>
        <w:rPr>
          <w:rFonts w:ascii="Palatino Linotype" w:hAnsi="Palatino Linotype"/>
          <w:sz w:val="24"/>
          <w:szCs w:val="24"/>
        </w:rPr>
        <w:t xml:space="preserve"> el Recurso de Revisión en únicamente un instrumento que permite hacer valer su derecho para tener acceso a la información de carácter pública, misma que ha sido atendida</w:t>
      </w:r>
      <w:r w:rsidRPr="0078004C">
        <w:rPr>
          <w:rFonts w:ascii="Palatino Linotype" w:hAnsi="Palatino Linotype"/>
          <w:sz w:val="24"/>
          <w:szCs w:val="24"/>
        </w:rPr>
        <w:t>.</w:t>
      </w:r>
    </w:p>
    <w:p w14:paraId="75600C5E" w14:textId="77777777" w:rsidR="0078004C" w:rsidRDefault="0078004C" w:rsidP="00155F3D">
      <w:pPr>
        <w:pStyle w:val="Prrafodelista"/>
        <w:autoSpaceDE w:val="0"/>
        <w:autoSpaceDN w:val="0"/>
        <w:adjustRightInd w:val="0"/>
        <w:spacing w:line="360" w:lineRule="auto"/>
        <w:ind w:left="0"/>
        <w:jc w:val="both"/>
        <w:rPr>
          <w:rFonts w:ascii="Palatino Linotype" w:hAnsi="Palatino Linotype" w:cs="Arial"/>
        </w:rPr>
      </w:pPr>
    </w:p>
    <w:p w14:paraId="5A6058E6" w14:textId="11B130EB" w:rsidR="00155F3D" w:rsidRPr="00B21190" w:rsidRDefault="0078004C" w:rsidP="00155F3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Señalado lo anterior</w:t>
      </w:r>
      <w:r w:rsidR="00155F3D" w:rsidRPr="00B21190">
        <w:rPr>
          <w:rFonts w:ascii="Palatino Linotype" w:hAnsi="Palatino Linotype" w:cs="Arial"/>
        </w:rPr>
        <w:t xml:space="preserve">, podemos concluir que la respuesta emitida por </w:t>
      </w:r>
      <w:r w:rsidR="00155F3D" w:rsidRPr="00B21190">
        <w:rPr>
          <w:rFonts w:ascii="Palatino Linotype" w:hAnsi="Palatino Linotype" w:cs="Arial"/>
          <w:b/>
        </w:rPr>
        <w:t>El Sujeto Obligado</w:t>
      </w:r>
      <w:r w:rsidR="00155F3D" w:rsidRPr="00B21190">
        <w:rPr>
          <w:rFonts w:ascii="Palatino Linotype" w:hAnsi="Palatino Linotype" w:cs="Arial"/>
        </w:rPr>
        <w:t xml:space="preserve"> se encuentra encaminada a determinar que</w:t>
      </w:r>
      <w:r w:rsidR="00174621">
        <w:rPr>
          <w:rFonts w:ascii="Palatino Linotype" w:hAnsi="Palatino Linotype" w:cs="Arial"/>
        </w:rPr>
        <w:t>,</w:t>
      </w:r>
      <w:r w:rsidR="00155F3D" w:rsidRPr="00B21190">
        <w:rPr>
          <w:rFonts w:ascii="Palatino Linotype" w:hAnsi="Palatino Linotype" w:cs="Arial"/>
        </w:rPr>
        <w:t xml:space="preserve"> de la solicitud de información, no se pretende acceder a documento alguno, sino a que se realice un pronunciamiento sobre cuestionamientos planteados por </w:t>
      </w:r>
      <w:r w:rsidR="00627C77">
        <w:rPr>
          <w:rFonts w:ascii="Palatino Linotype" w:hAnsi="Palatino Linotype" w:cs="Arial"/>
          <w:b/>
        </w:rPr>
        <w:t>El</w:t>
      </w:r>
      <w:r w:rsidR="00155F3D" w:rsidRPr="00B21190">
        <w:rPr>
          <w:rFonts w:ascii="Palatino Linotype" w:hAnsi="Palatino Linotype" w:cs="Arial"/>
          <w:b/>
        </w:rPr>
        <w:t xml:space="preserve"> Recurrente</w:t>
      </w:r>
      <w:r w:rsidR="00155F3D" w:rsidRPr="00B21190">
        <w:rPr>
          <w:rFonts w:ascii="Palatino Linotype" w:hAnsi="Palatino Linotype" w:cs="Arial"/>
        </w:rPr>
        <w:t>.</w:t>
      </w:r>
    </w:p>
    <w:p w14:paraId="3D3F511D" w14:textId="77777777" w:rsidR="00155F3D" w:rsidRPr="00B21190" w:rsidRDefault="00155F3D" w:rsidP="00155F3D">
      <w:pPr>
        <w:pStyle w:val="Prrafodelista"/>
        <w:autoSpaceDE w:val="0"/>
        <w:autoSpaceDN w:val="0"/>
        <w:adjustRightInd w:val="0"/>
        <w:spacing w:line="360" w:lineRule="auto"/>
        <w:ind w:left="0"/>
        <w:jc w:val="both"/>
        <w:rPr>
          <w:rFonts w:ascii="Palatino Linotype" w:hAnsi="Palatino Linotype" w:cs="Arial"/>
        </w:rPr>
      </w:pPr>
    </w:p>
    <w:p w14:paraId="41178C0B"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3F6458EA"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B3D776" w14:textId="5377F2AE" w:rsidR="00155F3D"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 xml:space="preserve">es menester precisar que la naturaleza del derecho de acceso a la información impide que se dé contestación a requerimientos que conllevan al pronunciamiento específico de interrogantes sobre variados temas, se brinde una asesoría legal o se </w:t>
      </w:r>
      <w:r w:rsidRPr="00B21190">
        <w:rPr>
          <w:rFonts w:ascii="Palatino Linotype" w:eastAsia="Times New Roman" w:hAnsi="Palatino Linotype" w:cs="Arial"/>
          <w:b/>
          <w:sz w:val="24"/>
          <w:szCs w:val="24"/>
          <w:u w:val="single"/>
          <w:lang w:val="es-ES" w:eastAsia="es-ES"/>
        </w:rPr>
        <w:lastRenderedPageBreak/>
        <w:t>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sidR="00627C77">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195D842A" w14:textId="77777777" w:rsidR="00155F3D" w:rsidRPr="00B21190" w:rsidRDefault="00155F3D" w:rsidP="00155F3D">
      <w:pPr>
        <w:pStyle w:val="Sinespaciado"/>
        <w:rPr>
          <w:lang w:val="es-ES"/>
        </w:rPr>
      </w:pPr>
    </w:p>
    <w:p w14:paraId="33A3FEDF"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35759305" w14:textId="77777777" w:rsidR="00155F3D" w:rsidRPr="00B21190" w:rsidRDefault="00155F3D" w:rsidP="00155F3D">
      <w:pPr>
        <w:pStyle w:val="Sinespaciado"/>
        <w:rPr>
          <w:lang w:val="es-ES"/>
        </w:rPr>
      </w:pPr>
    </w:p>
    <w:p w14:paraId="7A95F0C4" w14:textId="77777777" w:rsidR="00155F3D" w:rsidRPr="00B21190" w:rsidRDefault="00155F3D" w:rsidP="00155F3D">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5429A1E" w14:textId="77777777" w:rsidR="00155F3D" w:rsidRPr="00B21190" w:rsidRDefault="00155F3D" w:rsidP="00155F3D">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471F681C"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b/>
          <w:bCs/>
          <w:i/>
          <w:color w:val="000000"/>
          <w:lang w:val="es-ES_tradnl" w:eastAsia="es-MX"/>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1AE9D3A4"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i/>
          <w:color w:val="000000"/>
          <w:lang w:eastAsia="es-MX"/>
        </w:rPr>
        <w:t> </w:t>
      </w:r>
    </w:p>
    <w:p w14:paraId="1768E969" w14:textId="77777777" w:rsidR="00155F3D" w:rsidRPr="00B21190" w:rsidRDefault="00155F3D" w:rsidP="00155F3D">
      <w:pPr>
        <w:spacing w:after="0" w:line="240" w:lineRule="auto"/>
        <w:ind w:left="567" w:right="567"/>
        <w:jc w:val="both"/>
        <w:rPr>
          <w:rFonts w:ascii="Palatino Linotype" w:eastAsia="Times New Roman" w:hAnsi="Palatino Linotype" w:cs="Courier New"/>
          <w:i/>
          <w:color w:val="000000"/>
          <w:lang w:eastAsia="es-MX"/>
        </w:rPr>
      </w:pPr>
      <w:r w:rsidRPr="00B21190">
        <w:rPr>
          <w:rFonts w:ascii="Palatino Linotype" w:eastAsia="Times New Roman" w:hAnsi="Palatino Linotype" w:cs="Arial"/>
          <w:b/>
          <w:bCs/>
          <w:i/>
          <w:color w:val="000000"/>
          <w:lang w:eastAsia="es-MX"/>
        </w:rPr>
        <w:t xml:space="preserve">I. </w:t>
      </w:r>
      <w:r w:rsidRPr="00B21190">
        <w:rPr>
          <w:rFonts w:ascii="Palatino Linotype" w:eastAsia="Times New Roman" w:hAnsi="Palatino Linotype" w:cs="Arial"/>
          <w:b/>
          <w:i/>
          <w:color w:val="000000"/>
          <w:u w:val="single"/>
          <w:lang w:eastAsia="es-MX"/>
        </w:rPr>
        <w:t>Toda la información en posesión de cualquier autoridad, entidad, órgano y organismo de los Poderes</w:t>
      </w:r>
      <w:r w:rsidRPr="00B21190">
        <w:rPr>
          <w:rFonts w:ascii="Palatino Linotype" w:eastAsia="Times New Roman" w:hAnsi="Palatino Linotype" w:cs="Arial"/>
          <w:i/>
          <w:color w:val="000000"/>
          <w:lang w:eastAsia="es-MX"/>
        </w:rPr>
        <w:t xml:space="preserve"> Ejecutivo, Legislativo y Judicial, </w:t>
      </w:r>
      <w:r w:rsidRPr="00B21190">
        <w:rPr>
          <w:rFonts w:ascii="Palatino Linotype" w:eastAsia="Times New Roman" w:hAnsi="Palatino Linotype" w:cs="Arial"/>
          <w:b/>
          <w:i/>
          <w:color w:val="000000"/>
          <w:u w:val="single"/>
          <w:lang w:eastAsia="es-MX"/>
        </w:rPr>
        <w:t>órganos autónomos</w:t>
      </w:r>
      <w:r w:rsidRPr="00B21190">
        <w:rPr>
          <w:rFonts w:ascii="Palatino Linotype" w:eastAsia="Times New Roman" w:hAnsi="Palatino Linotype" w:cs="Arial"/>
          <w:i/>
          <w:color w:val="000000"/>
          <w:lang w:eastAsia="es-MX"/>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CF28C7" w14:textId="77777777" w:rsidR="00155F3D" w:rsidRPr="00B21190" w:rsidRDefault="00155F3D" w:rsidP="00155F3D">
      <w:pPr>
        <w:spacing w:after="0" w:line="240" w:lineRule="auto"/>
        <w:ind w:left="567" w:right="567"/>
        <w:jc w:val="both"/>
        <w:rPr>
          <w:rFonts w:ascii="Palatino Linotype" w:eastAsia="Times New Roman" w:hAnsi="Palatino Linotype" w:cs="Arial"/>
          <w:b/>
          <w:i/>
          <w:color w:val="000000"/>
          <w:lang w:eastAsia="es-MX"/>
        </w:rPr>
      </w:pPr>
      <w:r w:rsidRPr="00B21190">
        <w:rPr>
          <w:rFonts w:ascii="Palatino Linotype" w:eastAsia="Times New Roman" w:hAnsi="Palatino Linotype" w:cs="Arial"/>
          <w:i/>
          <w:color w:val="000000"/>
          <w:lang w:eastAsia="es-MX"/>
        </w:rPr>
        <w:t> </w:t>
      </w:r>
      <w:r w:rsidRPr="00B21190">
        <w:rPr>
          <w:rFonts w:ascii="Palatino Linotype" w:eastAsia="Times New Roman" w:hAnsi="Palatino Linotype" w:cs="Arial"/>
          <w:b/>
          <w:bCs/>
          <w:i/>
          <w:color w:val="000000"/>
          <w:lang w:eastAsia="es-MX"/>
        </w:rPr>
        <w:t xml:space="preserve">II. </w:t>
      </w:r>
      <w:r w:rsidRPr="00B21190">
        <w:rPr>
          <w:rFonts w:ascii="Palatino Linotype" w:eastAsia="Times New Roman" w:hAnsi="Palatino Linotype" w:cs="Arial"/>
          <w:b/>
          <w:i/>
          <w:color w:val="000000"/>
          <w:lang w:eastAsia="es-MX"/>
        </w:rPr>
        <w:t>La información que se refiere a la vida privada y los datos personales será protegida en los términos y con las excepciones que fijen las leyes.</w:t>
      </w:r>
    </w:p>
    <w:p w14:paraId="5C5C26A5"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i/>
          <w:color w:val="000000"/>
          <w:lang w:eastAsia="es-MX"/>
        </w:rPr>
        <w:t> </w:t>
      </w:r>
    </w:p>
    <w:p w14:paraId="5643654D" w14:textId="77777777" w:rsidR="00155F3D" w:rsidRPr="00B21190" w:rsidRDefault="00155F3D" w:rsidP="00155F3D">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lang w:eastAsia="es-MX"/>
        </w:rPr>
        <w:t xml:space="preserve">III. </w:t>
      </w:r>
      <w:r w:rsidRPr="00B21190">
        <w:rPr>
          <w:rFonts w:ascii="Palatino Linotype" w:eastAsia="Times New Roman" w:hAnsi="Palatino Linotype" w:cs="Arial"/>
          <w:b/>
          <w:i/>
          <w:color w:val="000000"/>
          <w:u w:val="single"/>
          <w:lang w:eastAsia="es-MX"/>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lang w:eastAsia="es-MX"/>
        </w:rPr>
        <w:t xml:space="preserve"> a sus datos personales o a la rectificación de éstos.” (sic)</w:t>
      </w:r>
    </w:p>
    <w:p w14:paraId="7292213F"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p>
    <w:p w14:paraId="6B126BC4"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3CBD1E09" w14:textId="77777777" w:rsidR="00155F3D" w:rsidRPr="00B21190" w:rsidRDefault="00155F3D" w:rsidP="00155F3D">
      <w:pPr>
        <w:pStyle w:val="Sinespaciado"/>
      </w:pPr>
    </w:p>
    <w:p w14:paraId="3E362566"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3E4583A2"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p>
    <w:p w14:paraId="0BD7C5EE"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D0FA66"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p>
    <w:p w14:paraId="3F230B13"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3E6CA0A8"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85C352E"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b/>
          <w:i/>
        </w:rPr>
      </w:pPr>
    </w:p>
    <w:p w14:paraId="347111FC"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0CBB614"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p>
    <w:p w14:paraId="52150CAF"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4C686B" w14:textId="77777777" w:rsidR="00140DDF" w:rsidRDefault="00140DDF" w:rsidP="00155F3D">
      <w:pPr>
        <w:autoSpaceDE w:val="0"/>
        <w:autoSpaceDN w:val="0"/>
        <w:adjustRightInd w:val="0"/>
        <w:spacing w:after="0" w:line="360" w:lineRule="auto"/>
        <w:jc w:val="both"/>
        <w:rPr>
          <w:rFonts w:ascii="Palatino Linotype" w:hAnsi="Palatino Linotype" w:cs="Arial"/>
          <w:sz w:val="24"/>
          <w:szCs w:val="24"/>
        </w:rPr>
      </w:pPr>
    </w:p>
    <w:p w14:paraId="0C947350" w14:textId="0FFACC02" w:rsidR="00155F3D"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3712113" w14:textId="460EA028" w:rsidR="002D2D32" w:rsidRDefault="002D2D32" w:rsidP="00155F3D">
      <w:pPr>
        <w:autoSpaceDE w:val="0"/>
        <w:autoSpaceDN w:val="0"/>
        <w:adjustRightInd w:val="0"/>
        <w:spacing w:after="0" w:line="360" w:lineRule="auto"/>
        <w:jc w:val="both"/>
        <w:rPr>
          <w:rFonts w:ascii="Palatino Linotype" w:hAnsi="Palatino Linotype" w:cs="Arial"/>
          <w:sz w:val="24"/>
          <w:szCs w:val="24"/>
        </w:rPr>
      </w:pPr>
    </w:p>
    <w:p w14:paraId="799B035F" w14:textId="77777777" w:rsidR="002D2D32" w:rsidRPr="002D2D32" w:rsidRDefault="002D2D32" w:rsidP="002D2D32">
      <w:pPr>
        <w:spacing w:before="240" w:after="240" w:line="360" w:lineRule="auto"/>
        <w:jc w:val="both"/>
        <w:rPr>
          <w:rFonts w:ascii="Palatino Linotype" w:eastAsia="Calibri" w:hAnsi="Palatino Linotype" w:cs="Arial"/>
          <w:sz w:val="24"/>
        </w:rPr>
      </w:pPr>
      <w:r w:rsidRPr="002D2D32">
        <w:rPr>
          <w:rFonts w:ascii="Palatino Linotype" w:eastAsia="Calibri" w:hAnsi="Palatino Linotype" w:cs="Arial"/>
          <w:sz w:val="24"/>
        </w:rPr>
        <w:t xml:space="preserve">En este contexto, </w:t>
      </w:r>
      <w:r w:rsidRPr="002D2D32">
        <w:rPr>
          <w:rFonts w:ascii="Palatino Linotype" w:eastAsia="Calibri" w:hAnsi="Palatino Linotype" w:cs="Arial"/>
          <w:sz w:val="24"/>
          <w:lang w:eastAsia="es-MX"/>
        </w:rPr>
        <w:t xml:space="preserve">el </w:t>
      </w:r>
      <w:r w:rsidRPr="002D2D32">
        <w:rPr>
          <w:rFonts w:ascii="Palatino Linotype" w:eastAsia="Calibri" w:hAnsi="Palatino Linotype" w:cs="Arial"/>
          <w:b/>
          <w:sz w:val="24"/>
          <w:lang w:eastAsia="es-MX"/>
        </w:rPr>
        <w:t>Sujeto Obligado</w:t>
      </w:r>
      <w:r w:rsidRPr="002D2D32">
        <w:rPr>
          <w:rFonts w:ascii="Palatino Linotype" w:eastAsia="Calibri" w:hAnsi="Palatino Linotype" w:cs="Arial"/>
          <w:sz w:val="24"/>
        </w:rPr>
        <w:t xml:space="preserve"> no está obligado a generar documento </w:t>
      </w:r>
      <w:r w:rsidRPr="002D2D32">
        <w:rPr>
          <w:rFonts w:ascii="Palatino Linotype" w:eastAsia="Calibri" w:hAnsi="Palatino Linotype" w:cs="Arial"/>
          <w:b/>
          <w:i/>
          <w:sz w:val="24"/>
        </w:rPr>
        <w:t>ad hoc</w:t>
      </w:r>
      <w:r w:rsidRPr="002D2D32">
        <w:rPr>
          <w:rFonts w:ascii="Palatino Linotype" w:eastAsia="Calibri" w:hAnsi="Palatino Linotype" w:cs="Arial"/>
          <w:sz w:val="24"/>
        </w:rPr>
        <w:t xml:space="preserve"> para para satisfacer el derecho de acceso, situación que no está permitida dentro de la materia de acceso a la información.</w:t>
      </w:r>
    </w:p>
    <w:p w14:paraId="4ADD458D" w14:textId="77777777" w:rsidR="002D2D32" w:rsidRPr="002D2D32" w:rsidRDefault="002D2D32" w:rsidP="002D2D32">
      <w:pPr>
        <w:spacing w:before="240" w:after="240" w:line="360" w:lineRule="auto"/>
        <w:jc w:val="both"/>
        <w:rPr>
          <w:rFonts w:ascii="Palatino Linotype" w:eastAsia="Calibri" w:hAnsi="Palatino Linotype" w:cs="Arial"/>
          <w:sz w:val="2"/>
        </w:rPr>
      </w:pPr>
    </w:p>
    <w:p w14:paraId="25C21DBF" w14:textId="77777777" w:rsidR="002D2D32" w:rsidRPr="002D2D32" w:rsidRDefault="002D2D32" w:rsidP="002D2D32">
      <w:pPr>
        <w:spacing w:line="360" w:lineRule="auto"/>
        <w:jc w:val="both"/>
        <w:rPr>
          <w:rFonts w:ascii="Palatino Linotype" w:eastAsia="Calibri" w:hAnsi="Palatino Linotype" w:cs="Times New Roman"/>
          <w:b/>
          <w:bCs/>
          <w:color w:val="000000"/>
          <w:sz w:val="24"/>
        </w:rPr>
      </w:pPr>
      <w:r w:rsidRPr="002D2D32">
        <w:rPr>
          <w:rFonts w:ascii="Palatino Linotype" w:eastAsia="Calibri" w:hAnsi="Palatino Linotype" w:cs="Arial"/>
          <w:color w:val="000000"/>
          <w:sz w:val="24"/>
        </w:rPr>
        <w:t xml:space="preserve">Como apoyo a lo anterior, es aplicable el Criterio 03-17, emitido por </w:t>
      </w:r>
      <w:r w:rsidRPr="002D2D32">
        <w:rPr>
          <w:rFonts w:ascii="Palatino Linotype" w:eastAsia="Arial Unicode MS" w:hAnsi="Palatino Linotype" w:cs="Arial"/>
          <w:color w:val="000000"/>
          <w:sz w:val="24"/>
        </w:rPr>
        <w:t>el Instituto Nacional de Transparencia, Acceso a la Información y Protección de Datos Personales,</w:t>
      </w:r>
      <w:r w:rsidRPr="002D2D32">
        <w:rPr>
          <w:rFonts w:ascii="Palatino Linotype" w:eastAsia="Calibri" w:hAnsi="Palatino Linotype" w:cs="Times New Roman"/>
          <w:bCs/>
          <w:color w:val="000000"/>
          <w:sz w:val="24"/>
        </w:rPr>
        <w:t xml:space="preserve"> que dice:</w:t>
      </w:r>
      <w:r w:rsidRPr="002D2D32">
        <w:rPr>
          <w:rFonts w:ascii="Palatino Linotype" w:eastAsia="Calibri" w:hAnsi="Palatino Linotype" w:cs="Times New Roman"/>
          <w:b/>
          <w:bCs/>
          <w:color w:val="000000"/>
          <w:sz w:val="24"/>
        </w:rPr>
        <w:t xml:space="preserve"> </w:t>
      </w:r>
    </w:p>
    <w:p w14:paraId="22FBF4F7" w14:textId="77777777" w:rsidR="002D2D32" w:rsidRPr="002D2D32" w:rsidRDefault="002D2D32" w:rsidP="002D2D32">
      <w:pPr>
        <w:spacing w:line="254" w:lineRule="auto"/>
        <w:ind w:left="851" w:right="850"/>
        <w:jc w:val="both"/>
        <w:rPr>
          <w:rFonts w:ascii="Palatino Linotype" w:eastAsia="Calibri" w:hAnsi="Palatino Linotype" w:cs="Arial"/>
          <w:color w:val="000000"/>
          <w:sz w:val="2"/>
        </w:rPr>
      </w:pPr>
    </w:p>
    <w:p w14:paraId="36F173A2" w14:textId="77777777" w:rsidR="002D2D32" w:rsidRPr="002D2D32" w:rsidRDefault="002D2D32" w:rsidP="002D2D32">
      <w:pPr>
        <w:spacing w:line="254" w:lineRule="auto"/>
        <w:ind w:left="851" w:right="901"/>
        <w:jc w:val="both"/>
        <w:rPr>
          <w:rFonts w:ascii="Palatino Linotype" w:eastAsia="Calibri" w:hAnsi="Palatino Linotype" w:cs="Arial"/>
          <w:i/>
          <w:color w:val="000000"/>
        </w:rPr>
      </w:pPr>
      <w:r w:rsidRPr="002D2D32">
        <w:rPr>
          <w:rFonts w:ascii="Palatino Linotype" w:eastAsia="Calibri" w:hAnsi="Palatino Linotype" w:cs="Arial"/>
          <w:i/>
          <w:color w:val="000000"/>
        </w:rPr>
        <w:t>“</w:t>
      </w:r>
      <w:r w:rsidRPr="002D2D32">
        <w:rPr>
          <w:rFonts w:ascii="Palatino Linotype" w:eastAsia="Calibri" w:hAnsi="Palatino Linotype" w:cs="Arial"/>
          <w:b/>
          <w:i/>
          <w:color w:val="000000"/>
        </w:rPr>
        <w:t>No existe obligación de elaborar documentos ad hoc para atender las solicitudes de acceso a la información.</w:t>
      </w:r>
      <w:r w:rsidRPr="002D2D32">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2D2D32">
        <w:rPr>
          <w:rFonts w:ascii="Palatino Linotype" w:eastAsia="Calibri" w:hAnsi="Palatino Linotype" w:cs="Arial"/>
          <w:i/>
          <w:color w:val="000000"/>
        </w:rPr>
        <w:lastRenderedPageBreak/>
        <w:t>cuentan en el formato en que la misma obre en sus archivos; sin necesidad de elaborar documentos ad hoc para atender las solicitudes de información.</w:t>
      </w:r>
    </w:p>
    <w:p w14:paraId="67EDE7C3" w14:textId="77777777" w:rsidR="002D2D32" w:rsidRPr="002D2D32" w:rsidRDefault="002D2D32" w:rsidP="002D2D32">
      <w:pPr>
        <w:spacing w:line="254" w:lineRule="auto"/>
        <w:ind w:left="851" w:right="901"/>
        <w:jc w:val="both"/>
        <w:rPr>
          <w:rFonts w:ascii="Palatino Linotype" w:eastAsia="Calibri" w:hAnsi="Palatino Linotype" w:cs="Arial"/>
          <w:i/>
          <w:color w:val="000000"/>
          <w:sz w:val="2"/>
        </w:rPr>
      </w:pPr>
    </w:p>
    <w:p w14:paraId="2CE122D8"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t xml:space="preserve">Resoluciones: </w:t>
      </w:r>
    </w:p>
    <w:p w14:paraId="54028DBC"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01045A44"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1F078493"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3A22F899" w14:textId="77777777" w:rsidR="002D2D32" w:rsidRPr="00B21190" w:rsidRDefault="002D2D32" w:rsidP="00155F3D">
      <w:pPr>
        <w:autoSpaceDE w:val="0"/>
        <w:autoSpaceDN w:val="0"/>
        <w:adjustRightInd w:val="0"/>
        <w:spacing w:after="0" w:line="360" w:lineRule="auto"/>
        <w:jc w:val="both"/>
        <w:rPr>
          <w:rFonts w:ascii="Palatino Linotype" w:hAnsi="Palatino Linotype" w:cs="Arial"/>
          <w:sz w:val="24"/>
          <w:szCs w:val="24"/>
        </w:rPr>
      </w:pPr>
    </w:p>
    <w:p w14:paraId="6504CB6A" w14:textId="77777777" w:rsidR="00E53C06" w:rsidRPr="00B21190" w:rsidRDefault="00E53C06" w:rsidP="00BD6588">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03FC8338" w14:textId="77777777" w:rsidR="00BD6588" w:rsidRPr="00B21190" w:rsidRDefault="00BD6588" w:rsidP="00155F3D">
      <w:pPr>
        <w:pStyle w:val="Sinespaciado"/>
      </w:pPr>
    </w:p>
    <w:p w14:paraId="0A8AD132" w14:textId="77777777" w:rsidR="00140DDF" w:rsidRPr="00486536" w:rsidRDefault="00140DDF" w:rsidP="00140DDF">
      <w:pPr>
        <w:spacing w:after="0" w:line="360" w:lineRule="auto"/>
        <w:jc w:val="both"/>
        <w:rPr>
          <w:rFonts w:ascii="Palatino Linotype" w:hAnsi="Palatino Linotype"/>
          <w:i/>
          <w:sz w:val="24"/>
          <w:szCs w:val="24"/>
        </w:rPr>
      </w:pPr>
    </w:p>
    <w:p w14:paraId="25A0F05A" w14:textId="79B774FE" w:rsidR="00140DDF" w:rsidRDefault="00140DDF" w:rsidP="002D2D32">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emitir una respuesta al mismo, por lo que se estima infundado el motivo de inconformidad de </w:t>
      </w:r>
      <w:r>
        <w:rPr>
          <w:rFonts w:ascii="Palatino Linotype" w:hAnsi="Palatino Linotype"/>
          <w:sz w:val="24"/>
          <w:szCs w:val="24"/>
        </w:rPr>
        <w:t>la</w:t>
      </w:r>
      <w:r w:rsidRPr="00486536">
        <w:rPr>
          <w:rFonts w:ascii="Palatino Linotype" w:hAnsi="Palatino Linotype"/>
          <w:sz w:val="24"/>
          <w:szCs w:val="24"/>
        </w:rPr>
        <w:t xml:space="preserve"> Recurrente.</w:t>
      </w:r>
    </w:p>
    <w:p w14:paraId="0E103CB9" w14:textId="1FF62FD8" w:rsidR="00912A21" w:rsidRDefault="00912A21" w:rsidP="002D2D32">
      <w:pPr>
        <w:spacing w:after="0" w:line="360" w:lineRule="auto"/>
        <w:jc w:val="both"/>
        <w:rPr>
          <w:rFonts w:ascii="Palatino Linotype" w:hAnsi="Palatino Linotype"/>
          <w:sz w:val="24"/>
          <w:szCs w:val="24"/>
        </w:rPr>
      </w:pPr>
    </w:p>
    <w:p w14:paraId="42963282" w14:textId="3DF43A8B" w:rsidR="00912A21" w:rsidRDefault="00912A21" w:rsidP="002D2D32">
      <w:pPr>
        <w:spacing w:after="0" w:line="360" w:lineRule="auto"/>
        <w:jc w:val="both"/>
        <w:rPr>
          <w:rFonts w:ascii="Palatino Linotype" w:hAnsi="Palatino Linotype"/>
          <w:sz w:val="24"/>
          <w:szCs w:val="24"/>
        </w:rPr>
      </w:pPr>
      <w:r>
        <w:rPr>
          <w:rFonts w:ascii="Palatino Linotype" w:hAnsi="Palatino Linotype"/>
          <w:sz w:val="24"/>
          <w:szCs w:val="24"/>
        </w:rPr>
        <w:t xml:space="preserve">No </w:t>
      </w:r>
      <w:r w:rsidR="00AA2D91">
        <w:rPr>
          <w:rFonts w:ascii="Palatino Linotype" w:hAnsi="Palatino Linotype"/>
          <w:sz w:val="24"/>
          <w:szCs w:val="24"/>
        </w:rPr>
        <w:t>obstante</w:t>
      </w:r>
      <w:r>
        <w:rPr>
          <w:rFonts w:ascii="Palatino Linotype" w:hAnsi="Palatino Linotype"/>
          <w:sz w:val="24"/>
          <w:szCs w:val="24"/>
        </w:rPr>
        <w:t xml:space="preserve"> a lo anteriormente expuesto, </w:t>
      </w:r>
      <w:r w:rsidR="00AA2D91">
        <w:rPr>
          <w:rFonts w:ascii="Palatino Linotype" w:hAnsi="Palatino Linotype"/>
          <w:sz w:val="24"/>
          <w:szCs w:val="24"/>
        </w:rPr>
        <w:t xml:space="preserve">debemos destacar que, </w:t>
      </w:r>
      <w:r>
        <w:rPr>
          <w:rFonts w:ascii="Palatino Linotype" w:hAnsi="Palatino Linotype"/>
          <w:sz w:val="24"/>
          <w:szCs w:val="24"/>
        </w:rPr>
        <w:t xml:space="preserve">ante la solicitud de información </w:t>
      </w:r>
      <w:r w:rsidR="00AA2D91">
        <w:rPr>
          <w:rFonts w:ascii="Palatino Linotype" w:hAnsi="Palatino Linotype"/>
          <w:sz w:val="24"/>
          <w:szCs w:val="24"/>
        </w:rPr>
        <w:t xml:space="preserve">presentada por el hoy Recurrente, en la cual solicita saber si es </w:t>
      </w:r>
      <w:r w:rsidR="00AA2D91" w:rsidRPr="00AA2D91">
        <w:rPr>
          <w:rFonts w:ascii="Palatino Linotype" w:hAnsi="Palatino Linotype"/>
          <w:sz w:val="24"/>
          <w:szCs w:val="24"/>
        </w:rPr>
        <w:t xml:space="preserve">posible obtener la autorización para el derribo de árboles con una licencia de construcción de movimiento de tierras </w:t>
      </w:r>
      <w:r w:rsidR="00AA2D91">
        <w:rPr>
          <w:rFonts w:ascii="Palatino Linotype" w:hAnsi="Palatino Linotype"/>
          <w:sz w:val="24"/>
          <w:szCs w:val="24"/>
        </w:rPr>
        <w:t xml:space="preserve">y en </w:t>
      </w:r>
      <w:r w:rsidR="00AA2D91" w:rsidRPr="00AA2D91">
        <w:rPr>
          <w:rFonts w:ascii="Palatino Linotype" w:hAnsi="Palatino Linotype"/>
          <w:sz w:val="24"/>
          <w:szCs w:val="24"/>
        </w:rPr>
        <w:t>caso negativo compartir el fundamento y el razonamiento</w:t>
      </w:r>
      <w:r w:rsidR="00AA2D91">
        <w:rPr>
          <w:rFonts w:ascii="Palatino Linotype" w:hAnsi="Palatino Linotype"/>
          <w:sz w:val="24"/>
          <w:szCs w:val="24"/>
        </w:rPr>
        <w:t xml:space="preserve">, </w:t>
      </w:r>
      <w:r w:rsidR="00AA2D91">
        <w:rPr>
          <w:rFonts w:ascii="Palatino Linotype" w:hAnsi="Palatino Linotype"/>
          <w:sz w:val="24"/>
          <w:szCs w:val="24"/>
        </w:rPr>
        <w:lastRenderedPageBreak/>
        <w:t xml:space="preserve">el Sujeto Obligado </w:t>
      </w:r>
      <w:r w:rsidR="00AA2D91" w:rsidRPr="00AA2D91">
        <w:rPr>
          <w:rFonts w:ascii="Palatino Linotype" w:hAnsi="Palatino Linotype"/>
          <w:sz w:val="24"/>
          <w:szCs w:val="24"/>
        </w:rPr>
        <w:t>privilegiando el principio de máxima publicidad establecido en la Ley de Transparencia y Acceso a la Información Pública del Estado de México y Municipios</w:t>
      </w:r>
      <w:r w:rsidR="00AA2D91">
        <w:rPr>
          <w:rFonts w:ascii="Palatino Linotype" w:hAnsi="Palatino Linotype"/>
          <w:sz w:val="24"/>
          <w:szCs w:val="24"/>
        </w:rPr>
        <w:t xml:space="preserve"> y con la</w:t>
      </w:r>
      <w:r w:rsidR="00AA2D91" w:rsidRPr="00AA2D91">
        <w:rPr>
          <w:rFonts w:ascii="Palatino Linotype" w:hAnsi="Palatino Linotype"/>
          <w:sz w:val="24"/>
          <w:szCs w:val="24"/>
        </w:rPr>
        <w:t xml:space="preserve"> intención de </w:t>
      </w:r>
      <w:r w:rsidR="00AA2D91">
        <w:rPr>
          <w:rFonts w:ascii="Palatino Linotype" w:hAnsi="Palatino Linotype"/>
          <w:sz w:val="24"/>
          <w:szCs w:val="24"/>
        </w:rPr>
        <w:t xml:space="preserve">otorgar respuesta a dichos requerimientos, señalo que </w:t>
      </w:r>
      <w:r w:rsidR="00AA2D91" w:rsidRPr="00AA2D91">
        <w:rPr>
          <w:rFonts w:ascii="Palatino Linotype" w:hAnsi="Palatino Linotype"/>
          <w:sz w:val="24"/>
          <w:szCs w:val="24"/>
        </w:rPr>
        <w:t xml:space="preserve">es necesario para tramitar la autorización de poda, derribo o trasplante de vegetación de un predio, </w:t>
      </w:r>
      <w:r w:rsidR="00AA2D91" w:rsidRPr="00AA2D91">
        <w:rPr>
          <w:rFonts w:ascii="Palatino Linotype" w:hAnsi="Palatino Linotype"/>
          <w:b/>
          <w:bCs/>
          <w:sz w:val="24"/>
          <w:szCs w:val="24"/>
        </w:rPr>
        <w:t>contar con licencia de construcción, única y exclusivamente en su modalidad de obra nueva, modificaciones o ampliación de obra existente</w:t>
      </w:r>
      <w:r w:rsidR="00AA2D91">
        <w:rPr>
          <w:rFonts w:ascii="Palatino Linotype" w:hAnsi="Palatino Linotype"/>
          <w:b/>
          <w:bCs/>
          <w:sz w:val="24"/>
          <w:szCs w:val="24"/>
        </w:rPr>
        <w:t xml:space="preserve">, </w:t>
      </w:r>
      <w:r w:rsidR="00AA2D91">
        <w:rPr>
          <w:rFonts w:ascii="Palatino Linotype" w:hAnsi="Palatino Linotype"/>
          <w:sz w:val="24"/>
          <w:szCs w:val="24"/>
        </w:rPr>
        <w:t xml:space="preserve">en virtud de ello, </w:t>
      </w:r>
      <w:r w:rsidR="00AA2D91" w:rsidRPr="00AA2D91">
        <w:rPr>
          <w:rFonts w:ascii="Palatino Linotype" w:hAnsi="Palatino Linotype"/>
          <w:b/>
          <w:bCs/>
          <w:sz w:val="24"/>
          <w:szCs w:val="24"/>
        </w:rPr>
        <w:t>no procede gestionar ante la Dirección de Medio Ambiente, la autorización de la poda, derribo o trasplante de vegetación contando con una licencia de construcción para excavación, relleno o movimiento de tierras</w:t>
      </w:r>
      <w:r w:rsidR="00AA2D91">
        <w:rPr>
          <w:rFonts w:ascii="Palatino Linotype" w:hAnsi="Palatino Linotype"/>
          <w:b/>
          <w:bCs/>
          <w:sz w:val="24"/>
          <w:szCs w:val="24"/>
        </w:rPr>
        <w:t xml:space="preserve">, </w:t>
      </w:r>
      <w:r w:rsidR="00E1740E" w:rsidRPr="00E1740E">
        <w:rPr>
          <w:rFonts w:ascii="Palatino Linotype" w:hAnsi="Palatino Linotype"/>
          <w:sz w:val="24"/>
          <w:szCs w:val="24"/>
        </w:rPr>
        <w:t>fundamentando dicho pronunciamiento con</w:t>
      </w:r>
      <w:r w:rsidR="00E1740E">
        <w:rPr>
          <w:rFonts w:ascii="Palatino Linotype" w:hAnsi="Palatino Linotype"/>
          <w:b/>
          <w:bCs/>
          <w:sz w:val="24"/>
          <w:szCs w:val="24"/>
        </w:rPr>
        <w:t xml:space="preserve"> </w:t>
      </w:r>
      <w:r w:rsidR="00E1740E" w:rsidRPr="00E1740E">
        <w:rPr>
          <w:rFonts w:ascii="Palatino Linotype" w:hAnsi="Palatino Linotype"/>
          <w:sz w:val="24"/>
          <w:szCs w:val="24"/>
        </w:rPr>
        <w:t>artículo 106 del Reglamento Municipal de Protección al Ambiente para el Desarrollo Sostenible del Municipio de Cuautitlán Izcalli, que a la letra dispone: “Artículo 106.- Cuando la poda, derribo o trasplante de vegetación sea por construcción de obra nueva, modificaciones o ampliación se deberá respetar el treinta por ciento de la vegetación existente (…)</w:t>
      </w:r>
      <w:r w:rsidR="00E1740E">
        <w:rPr>
          <w:rFonts w:ascii="Palatino Linotype" w:hAnsi="Palatino Linotype"/>
          <w:sz w:val="24"/>
          <w:szCs w:val="24"/>
        </w:rPr>
        <w:t>.</w:t>
      </w:r>
    </w:p>
    <w:p w14:paraId="5D76C055" w14:textId="2FBD74EA" w:rsidR="00E1740E" w:rsidRDefault="00E1740E" w:rsidP="002D2D32">
      <w:pPr>
        <w:spacing w:after="0" w:line="360" w:lineRule="auto"/>
        <w:jc w:val="both"/>
        <w:rPr>
          <w:rFonts w:ascii="Palatino Linotype" w:hAnsi="Palatino Linotype"/>
          <w:sz w:val="24"/>
          <w:szCs w:val="24"/>
        </w:rPr>
      </w:pPr>
    </w:p>
    <w:p w14:paraId="292CA4D8" w14:textId="77777777" w:rsidR="00E1740E" w:rsidRPr="00E1740E" w:rsidRDefault="00E1740E" w:rsidP="00E1740E">
      <w:pPr>
        <w:spacing w:after="0" w:line="360" w:lineRule="auto"/>
        <w:jc w:val="both"/>
        <w:rPr>
          <w:rFonts w:ascii="Palatino Linotype" w:hAnsi="Palatino Linotype"/>
          <w:sz w:val="24"/>
          <w:szCs w:val="24"/>
        </w:rPr>
      </w:pPr>
      <w:r w:rsidRPr="00E1740E">
        <w:rPr>
          <w:rFonts w:ascii="Palatino Linotype" w:hAnsi="Palatino Linotype"/>
          <w:sz w:val="24"/>
          <w:szCs w:val="24"/>
        </w:rPr>
        <w:t xml:space="preserve">En tal tesitura, la respuesta emitida por </w:t>
      </w:r>
      <w:r w:rsidRPr="00E1740E">
        <w:rPr>
          <w:rFonts w:ascii="Palatino Linotype" w:hAnsi="Palatino Linotype"/>
          <w:b/>
          <w:sz w:val="24"/>
          <w:szCs w:val="24"/>
        </w:rPr>
        <w:t>el Sujeto Obligado</w:t>
      </w:r>
      <w:r w:rsidRPr="00E1740E">
        <w:rPr>
          <w:rFonts w:ascii="Palatino Linotype" w:hAnsi="Palatino Linotype"/>
          <w:sz w:val="24"/>
          <w:szCs w:val="24"/>
        </w:rPr>
        <w:t xml:space="preserve"> tiene la presunción legal de ser verídica, considerado que fue emitida por un servidor público en ejercicio de sus funciones, lo que conlleva la presunción de veracidad de todo acto administrativo.</w:t>
      </w:r>
    </w:p>
    <w:p w14:paraId="123B0E66" w14:textId="77777777" w:rsidR="00E1740E" w:rsidRDefault="00E1740E" w:rsidP="002D2D32">
      <w:pPr>
        <w:spacing w:after="0" w:line="360" w:lineRule="auto"/>
        <w:jc w:val="both"/>
        <w:rPr>
          <w:rFonts w:ascii="Palatino Linotype" w:hAnsi="Palatino Linotype"/>
          <w:sz w:val="24"/>
          <w:szCs w:val="24"/>
        </w:rPr>
      </w:pPr>
    </w:p>
    <w:p w14:paraId="479BD140" w14:textId="7B06A9EA" w:rsidR="00E1740E" w:rsidRPr="00E1740E" w:rsidRDefault="00E1740E" w:rsidP="00E1740E">
      <w:pPr>
        <w:spacing w:before="240" w:after="24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w:t>
      </w:r>
      <w:r>
        <w:rPr>
          <w:rFonts w:ascii="Palatino Linotype" w:eastAsia="Times New Roman" w:hAnsi="Palatino Linotype" w:cs="Arial"/>
          <w:color w:val="000000"/>
          <w:sz w:val="24"/>
          <w:szCs w:val="24"/>
          <w:lang w:eastAsia="es-ES"/>
        </w:rPr>
        <w:t xml:space="preserve"> otorgar respuesta a los planteamientos formulados por el hoy Recurrente aun y cuando se aprecia que, éste no requiere acceder a un documento en específico y </w:t>
      </w:r>
      <w:r w:rsidRPr="00E1740E">
        <w:rPr>
          <w:rFonts w:ascii="Palatino Linotype" w:eastAsia="Times New Roman" w:hAnsi="Palatino Linotype" w:cs="Arial"/>
          <w:color w:val="000000"/>
          <w:sz w:val="24"/>
          <w:szCs w:val="24"/>
          <w:lang w:eastAsia="es-ES"/>
        </w:rPr>
        <w:t>al no constituirse dicho cuestionamiento como materia del derecho de acceso a la información</w:t>
      </w:r>
      <w:r>
        <w:rPr>
          <w:rFonts w:ascii="Palatino Linotype" w:eastAsia="Times New Roman" w:hAnsi="Palatino Linotype" w:cs="Arial"/>
          <w:color w:val="000000"/>
          <w:sz w:val="24"/>
          <w:szCs w:val="24"/>
          <w:lang w:eastAsia="es-ES"/>
        </w:rPr>
        <w:t>, aunado a</w:t>
      </w:r>
      <w:r w:rsidRPr="00267A3D">
        <w:rPr>
          <w:rFonts w:ascii="Palatino Linotype" w:eastAsia="Times New Roman" w:hAnsi="Palatino Linotype" w:cs="Arial"/>
          <w:color w:val="000000"/>
          <w:sz w:val="24"/>
          <w:szCs w:val="24"/>
          <w:lang w:val="es-ES" w:eastAsia="es-ES"/>
        </w:rPr>
        <w:t xml:space="preserve"> que la obligación de acceso a la información pública se tendrá por cumplida cuando el </w:t>
      </w:r>
      <w:r w:rsidRPr="00267A3D">
        <w:rPr>
          <w:rFonts w:ascii="Palatino Linotype" w:eastAsia="Times New Roman" w:hAnsi="Palatino Linotype" w:cs="Arial"/>
          <w:color w:val="000000"/>
          <w:sz w:val="24"/>
          <w:szCs w:val="24"/>
          <w:lang w:val="es-ES" w:eastAsia="es-ES"/>
        </w:rPr>
        <w:lastRenderedPageBreak/>
        <w:t>solicitante tenga a su disposición la información requerida, o cuando realice la consulta de la misma en el lugar en el que ésta se localice.</w:t>
      </w:r>
    </w:p>
    <w:p w14:paraId="15876D55" w14:textId="077A1220" w:rsidR="0078004C" w:rsidRDefault="0078004C" w:rsidP="002D2D32">
      <w:pPr>
        <w:spacing w:after="0" w:line="360" w:lineRule="auto"/>
        <w:jc w:val="both"/>
        <w:rPr>
          <w:rFonts w:ascii="Palatino Linotype" w:hAnsi="Palatino Linotype"/>
          <w:sz w:val="24"/>
          <w:szCs w:val="24"/>
        </w:rPr>
      </w:pPr>
    </w:p>
    <w:p w14:paraId="71160A99" w14:textId="1C9F2567" w:rsidR="0078004C" w:rsidRDefault="0078004C" w:rsidP="002D2D32">
      <w:pPr>
        <w:spacing w:after="0"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Por otra parte, respecto a lo manifestado por el Recurrente en sus razones o motivos de inconformidad, al señalar que…</w:t>
      </w:r>
      <w:r>
        <w:rPr>
          <w:rFonts w:ascii="Palatino Linotype" w:hAnsi="Palatino Linotype"/>
          <w:i/>
          <w:sz w:val="24"/>
          <w:szCs w:val="24"/>
        </w:rPr>
        <w:t xml:space="preserve"> </w:t>
      </w:r>
      <w:r w:rsidR="00820DE3" w:rsidRPr="00820DE3">
        <w:rPr>
          <w:rFonts w:ascii="Palatino Linotype" w:hAnsi="Palatino Linotype"/>
          <w:b/>
          <w:bCs/>
          <w:i/>
          <w:sz w:val="24"/>
          <w:szCs w:val="24"/>
        </w:rPr>
        <w:t>La respuesta de la Dirección General de Desarrollo Metropolitano se encuentra mal fundamentada e interpretada</w:t>
      </w:r>
      <w:r w:rsidR="00820DE3" w:rsidRPr="00820DE3">
        <w:rPr>
          <w:rFonts w:ascii="Palatino Linotype" w:hAnsi="Palatino Linotype"/>
          <w:i/>
          <w:sz w:val="24"/>
          <w:szCs w:val="24"/>
        </w:rPr>
        <w:t xml:space="preserve"> </w:t>
      </w:r>
      <w:r>
        <w:rPr>
          <w:rFonts w:ascii="Palatino Linotype" w:hAnsi="Palatino Linotype"/>
          <w:i/>
          <w:sz w:val="24"/>
          <w:szCs w:val="24"/>
        </w:rPr>
        <w:t xml:space="preserve">… </w:t>
      </w:r>
      <w:r>
        <w:rPr>
          <w:rFonts w:ascii="Palatino Linotype" w:hAnsi="Palatino Linotype"/>
          <w:sz w:val="24"/>
          <w:szCs w:val="24"/>
        </w:rPr>
        <w:t>se advierte que dichos señalamientos difícilmente pueden colmarse con documentos previamente generados</w:t>
      </w:r>
      <w:r>
        <w:rPr>
          <w:rFonts w:ascii="Palatino Linotype" w:hAnsi="Palatino Linotype"/>
          <w:color w:val="000000" w:themeColor="text1"/>
          <w:sz w:val="24"/>
          <w:szCs w:val="24"/>
        </w:rPr>
        <w:t xml:space="preserve">, por lo que </w:t>
      </w:r>
      <w:r>
        <w:rPr>
          <w:rFonts w:ascii="Palatino Linotype" w:hAnsi="Palatino Linotype" w:cs="Arial"/>
          <w:sz w:val="24"/>
          <w:szCs w:val="24"/>
        </w:rPr>
        <w:t xml:space="preserve">no al no colmarse con la entrega de documentos, </w:t>
      </w:r>
      <w:r w:rsidR="00820DE3">
        <w:rPr>
          <w:rFonts w:ascii="Palatino Linotype" w:hAnsi="Palatino Linotype" w:cs="Arial"/>
          <w:sz w:val="24"/>
          <w:szCs w:val="24"/>
        </w:rPr>
        <w:t>se reitera</w:t>
      </w:r>
      <w:r>
        <w:rPr>
          <w:rFonts w:ascii="Palatino Linotype" w:hAnsi="Palatino Linotype" w:cs="Arial"/>
          <w:sz w:val="24"/>
          <w:szCs w:val="24"/>
        </w:rPr>
        <w:t xml:space="preserve"> que no se está en presencia del ejercicio del derecho de acceso a la información</w:t>
      </w:r>
      <w:r>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w:t>
      </w:r>
      <w:r w:rsidR="00820DE3">
        <w:rPr>
          <w:rFonts w:ascii="Palatino Linotype" w:eastAsia="MS Mincho" w:hAnsi="Palatino Linotype" w:cs="Arial"/>
          <w:sz w:val="24"/>
          <w:szCs w:val="24"/>
          <w:lang w:val="es-ES_tradnl" w:eastAsia="es-ES"/>
        </w:rPr>
        <w:t>el</w:t>
      </w:r>
      <w:r>
        <w:rPr>
          <w:rFonts w:ascii="Palatino Linotype" w:eastAsia="MS Mincho" w:hAnsi="Palatino Linotype" w:cs="Arial"/>
          <w:sz w:val="24"/>
          <w:szCs w:val="24"/>
          <w:lang w:val="es-ES_tradnl" w:eastAsia="es-ES"/>
        </w:rPr>
        <w:t xml:space="preserve"> Recurrente, es decir, se trata de interrogantes y declaraciones que no se colman con la entrega de documentos, situación que conlleva a afirmar que se está en presencia del ejercicio del derecho de petición.</w:t>
      </w:r>
    </w:p>
    <w:p w14:paraId="206AAA99" w14:textId="371F82AE" w:rsidR="00820DE3" w:rsidRDefault="00820DE3" w:rsidP="002D2D32">
      <w:pPr>
        <w:spacing w:after="0" w:line="360" w:lineRule="auto"/>
        <w:jc w:val="both"/>
        <w:rPr>
          <w:rFonts w:ascii="Palatino Linotype" w:eastAsia="MS Mincho" w:hAnsi="Palatino Linotype" w:cs="Arial"/>
          <w:sz w:val="24"/>
          <w:szCs w:val="24"/>
          <w:lang w:val="es-ES_tradnl" w:eastAsia="es-ES"/>
        </w:rPr>
      </w:pPr>
    </w:p>
    <w:p w14:paraId="4EE5118C" w14:textId="484E961A" w:rsidR="00820DE3" w:rsidRPr="00ED224E" w:rsidRDefault="00820DE3" w:rsidP="002D2D32">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r w:rsidR="006A2320">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w:t>
      </w:r>
      <w:r w:rsidR="006A2320" w:rsidRPr="006A2320">
        <w:rPr>
          <w:rFonts w:ascii="Palatino Linotype" w:eastAsia="MS Mincho" w:hAnsi="Palatino Linotype" w:cstheme="majorBidi"/>
          <w:sz w:val="24"/>
          <w:szCs w:val="24"/>
          <w:lang w:val="es-ES_tradnl" w:eastAsia="es-ES"/>
        </w:rPr>
        <w:t>por lo que se estima infundado el motivo de inconformidad de</w:t>
      </w:r>
      <w:r w:rsidR="006A2320">
        <w:rPr>
          <w:rFonts w:ascii="Palatino Linotype" w:eastAsia="MS Mincho" w:hAnsi="Palatino Linotype" w:cstheme="majorBidi"/>
          <w:sz w:val="24"/>
          <w:szCs w:val="24"/>
          <w:lang w:val="es-ES_tradnl" w:eastAsia="es-ES"/>
        </w:rPr>
        <w:t>l</w:t>
      </w:r>
      <w:r w:rsidR="006A2320" w:rsidRPr="006A2320">
        <w:rPr>
          <w:rFonts w:ascii="Palatino Linotype" w:eastAsia="MS Mincho" w:hAnsi="Palatino Linotype" w:cstheme="majorBidi"/>
          <w:sz w:val="24"/>
          <w:szCs w:val="24"/>
          <w:lang w:val="es-ES_tradnl" w:eastAsia="es-ES"/>
        </w:rPr>
        <w:t xml:space="preserve"> Recurrente.</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0CABF4E6" w14:textId="7B404240"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r w:rsidRPr="006A2320">
        <w:rPr>
          <w:rFonts w:ascii="Palatino Linotype" w:eastAsia="Times New Roman" w:hAnsi="Palatino Linotype"/>
          <w:sz w:val="24"/>
          <w:szCs w:val="24"/>
        </w:rPr>
        <w:t xml:space="preserve">Así, en mérito de lo expuesto en líneas anteriores </w:t>
      </w:r>
      <w:r w:rsidRPr="006A2320">
        <w:rPr>
          <w:rFonts w:ascii="Palatino Linotype" w:eastAsia="Times New Roman" w:hAnsi="Palatino Linotype"/>
          <w:noProof/>
          <w:sz w:val="24"/>
          <w:szCs w:val="24"/>
          <w:lang w:eastAsia="es-MX"/>
        </w:rPr>
        <w:t xml:space="preserve">resultan infundadas las razones o motivos de inconformidad que arguye </w:t>
      </w:r>
      <w:r>
        <w:rPr>
          <w:rFonts w:ascii="Palatino Linotype" w:eastAsia="Times New Roman" w:hAnsi="Palatino Linotype"/>
          <w:noProof/>
          <w:sz w:val="24"/>
          <w:szCs w:val="24"/>
          <w:lang w:eastAsia="es-MX"/>
        </w:rPr>
        <w:t>el</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b/>
          <w:noProof/>
          <w:sz w:val="24"/>
          <w:szCs w:val="24"/>
          <w:lang w:eastAsia="es-MX"/>
        </w:rPr>
        <w:t>Recurrente</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sz w:val="24"/>
          <w:szCs w:val="24"/>
        </w:rPr>
        <w:t xml:space="preserve">por ello, con fundamento en el artículo 186 fracción II de la Ley de Transparencia y Acceso a la Información Pública </w:t>
      </w:r>
      <w:r w:rsidRPr="006A2320">
        <w:rPr>
          <w:rFonts w:ascii="Palatino Linotype" w:eastAsia="Times New Roman" w:hAnsi="Palatino Linotype"/>
          <w:sz w:val="24"/>
          <w:szCs w:val="24"/>
        </w:rPr>
        <w:lastRenderedPageBreak/>
        <w:t xml:space="preserve">del Estado de México y Municipios, se </w:t>
      </w:r>
      <w:r w:rsidRPr="006A2320">
        <w:rPr>
          <w:rFonts w:ascii="Palatino Linotype" w:eastAsia="Times New Roman" w:hAnsi="Palatino Linotype"/>
          <w:b/>
          <w:sz w:val="24"/>
          <w:szCs w:val="24"/>
        </w:rPr>
        <w:t>CONFIRMA</w:t>
      </w:r>
      <w:r w:rsidRPr="006A2320">
        <w:rPr>
          <w:rFonts w:ascii="Palatino Linotype" w:eastAsia="Times New Roman" w:hAnsi="Palatino Linotype"/>
          <w:sz w:val="24"/>
          <w:szCs w:val="24"/>
        </w:rPr>
        <w:t xml:space="preserve"> la respuesta a la solicitud de información pública </w:t>
      </w:r>
      <w:r w:rsidR="004F3954" w:rsidRPr="004F3954">
        <w:rPr>
          <w:rFonts w:ascii="Palatino Linotype" w:eastAsia="Times New Roman" w:hAnsi="Palatino Linotype"/>
          <w:b/>
          <w:sz w:val="24"/>
          <w:szCs w:val="24"/>
        </w:rPr>
        <w:t>01004/CUAUTIZC/IP/2019</w:t>
      </w:r>
      <w:r w:rsidRPr="006A2320">
        <w:rPr>
          <w:rFonts w:ascii="Palatino Linotype" w:eastAsia="Times New Roman" w:hAnsi="Palatino Linotype"/>
          <w:b/>
          <w:sz w:val="24"/>
          <w:szCs w:val="24"/>
        </w:rPr>
        <w:t xml:space="preserve"> </w:t>
      </w:r>
      <w:r w:rsidRPr="006A2320">
        <w:rPr>
          <w:rFonts w:ascii="Palatino Linotype" w:eastAsia="Times New Roman" w:hAnsi="Palatino Linotype"/>
          <w:bCs/>
          <w:sz w:val="24"/>
          <w:szCs w:val="24"/>
        </w:rPr>
        <w:t>que ha sido materia del presente fallo</w:t>
      </w:r>
      <w:r w:rsidRPr="006A2320">
        <w:rPr>
          <w:rFonts w:ascii="Palatino Linotype" w:eastAsia="Times New Roman" w:hAnsi="Palatino Linotype"/>
          <w:sz w:val="24"/>
          <w:szCs w:val="24"/>
        </w:rPr>
        <w:t>, por lo que este Pleno:</w:t>
      </w: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02C52011" w14:textId="6521D5FB"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Pr="006A2320">
        <w:rPr>
          <w:rFonts w:ascii="Palatino Linotype" w:eastAsia="Calibri" w:hAnsi="Palatino Linotype" w:cs="Arial"/>
          <w:sz w:val="24"/>
          <w:szCs w:val="24"/>
        </w:rPr>
        <w:t xml:space="preserve">Se </w:t>
      </w:r>
      <w:r w:rsidRPr="006A2320">
        <w:rPr>
          <w:rFonts w:ascii="Palatino Linotype" w:eastAsia="Calibri" w:hAnsi="Palatino Linotype" w:cs="Arial"/>
          <w:b/>
          <w:sz w:val="24"/>
          <w:szCs w:val="24"/>
        </w:rPr>
        <w:t>CONFIRMA</w:t>
      </w:r>
      <w:r w:rsidRPr="006A2320">
        <w:rPr>
          <w:rFonts w:ascii="Palatino Linotype" w:eastAsia="Calibri" w:hAnsi="Palatino Linotype" w:cs="Arial"/>
          <w:sz w:val="24"/>
          <w:szCs w:val="24"/>
        </w:rPr>
        <w:t xml:space="preserve"> la respuesta del </w:t>
      </w:r>
      <w:r w:rsidRPr="006A2320">
        <w:rPr>
          <w:rFonts w:ascii="Palatino Linotype" w:eastAsia="Calibri" w:hAnsi="Palatino Linotype" w:cs="Arial"/>
          <w:b/>
          <w:sz w:val="24"/>
          <w:szCs w:val="24"/>
        </w:rPr>
        <w:t xml:space="preserve">Sujeto Obligado </w:t>
      </w:r>
      <w:r w:rsidRPr="006A2320">
        <w:rPr>
          <w:rFonts w:ascii="Palatino Linotype" w:eastAsia="Calibri" w:hAnsi="Palatino Linotype" w:cs="Arial"/>
          <w:bCs/>
          <w:sz w:val="24"/>
          <w:szCs w:val="24"/>
        </w:rPr>
        <w:t xml:space="preserve">a la solicitud de información </w:t>
      </w:r>
      <w:r w:rsidRPr="006A2320">
        <w:rPr>
          <w:rFonts w:ascii="Palatino Linotype" w:eastAsia="Calibri" w:hAnsi="Palatino Linotype" w:cs="Arial"/>
          <w:b/>
          <w:sz w:val="24"/>
          <w:szCs w:val="24"/>
        </w:rPr>
        <w:t>01004/CUAUTIZC/IP/2019,</w:t>
      </w:r>
      <w:r w:rsidRPr="006A2320">
        <w:rPr>
          <w:rFonts w:ascii="Palatino Linotype" w:eastAsia="Calibri" w:hAnsi="Palatino Linotype" w:cs="Arial"/>
          <w:bCs/>
          <w:sz w:val="24"/>
          <w:szCs w:val="24"/>
        </w:rPr>
        <w:t xml:space="preserve"> </w:t>
      </w:r>
      <w:r w:rsidRPr="006A2320">
        <w:rPr>
          <w:rFonts w:ascii="Palatino Linotype" w:eastAsia="Calibri" w:hAnsi="Palatino Linotype" w:cs="Arial"/>
          <w:sz w:val="24"/>
          <w:szCs w:val="24"/>
          <w:lang w:val="es-ES_tradnl"/>
        </w:rPr>
        <w:t xml:space="preserve">por resultar </w:t>
      </w:r>
      <w:r w:rsidRPr="006A2320">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sz w:val="24"/>
          <w:szCs w:val="24"/>
        </w:rPr>
        <w:t>el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Recurrente</w:t>
      </w:r>
      <w:r w:rsidRPr="006A2320">
        <w:rPr>
          <w:rFonts w:ascii="Palatino Linotype" w:eastAsia="Calibri" w:hAnsi="Palatino Linotype" w:cs="Arial"/>
          <w:sz w:val="24"/>
          <w:szCs w:val="24"/>
        </w:rPr>
        <w:t xml:space="preserve">, en términos del Considerando </w:t>
      </w:r>
      <w:r w:rsidRPr="006A2320">
        <w:rPr>
          <w:rFonts w:ascii="Palatino Linotype" w:eastAsia="Calibri" w:hAnsi="Palatino Linotype" w:cs="Arial"/>
          <w:b/>
          <w:sz w:val="24"/>
          <w:szCs w:val="24"/>
        </w:rPr>
        <w:t xml:space="preserve">CUARTO </w:t>
      </w:r>
      <w:r w:rsidRPr="006A2320">
        <w:rPr>
          <w:rFonts w:ascii="Palatino Linotype" w:eastAsia="Calibri" w:hAnsi="Palatino Linotype" w:cs="Arial"/>
          <w:sz w:val="24"/>
          <w:szCs w:val="24"/>
        </w:rPr>
        <w:t>de esta resolución.</w:t>
      </w:r>
    </w:p>
    <w:p w14:paraId="5F6BCB92"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56D7E00"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SEGUNDO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la presente resolución</w:t>
      </w:r>
      <w:r w:rsidRPr="006A2320">
        <w:rPr>
          <w:rFonts w:ascii="Palatino Linotype" w:eastAsia="Times New Roman" w:hAnsi="Palatino Linotype" w:cs="Arial"/>
          <w:bCs/>
          <w:lang w:eastAsia="es-MX"/>
        </w:rPr>
        <w:t xml:space="preserve"> vía</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SAIMEX</w:t>
      </w:r>
      <w:r w:rsidRPr="006A2320">
        <w:rPr>
          <w:rFonts w:ascii="Palatino Linotype" w:eastAsia="Calibri" w:hAnsi="Palatino Linotype" w:cs="Arial"/>
          <w:sz w:val="24"/>
          <w:szCs w:val="24"/>
        </w:rPr>
        <w:t xml:space="preserve">, al Titular de la Unidad de Transparencia del </w:t>
      </w:r>
      <w:r w:rsidRPr="006A2320">
        <w:rPr>
          <w:rFonts w:ascii="Palatino Linotype" w:eastAsia="Calibri" w:hAnsi="Palatino Linotype" w:cs="Arial"/>
          <w:b/>
          <w:sz w:val="24"/>
          <w:szCs w:val="24"/>
        </w:rPr>
        <w:t>Sujeto Obligado</w:t>
      </w:r>
      <w:r w:rsidRPr="006A2320">
        <w:rPr>
          <w:rFonts w:ascii="Palatino Linotype" w:eastAsia="Calibri" w:hAnsi="Palatino Linotype" w:cs="Arial"/>
          <w:sz w:val="24"/>
          <w:szCs w:val="24"/>
        </w:rPr>
        <w:t>.</w:t>
      </w:r>
    </w:p>
    <w:p w14:paraId="1487AE4E"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343693D2" w14:textId="25BF359A" w:rsidR="006A2320" w:rsidRPr="006A2320" w:rsidRDefault="006A2320" w:rsidP="006A2320">
      <w:pPr>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TERCERO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a</w:t>
      </w:r>
      <w:r>
        <w:rPr>
          <w:rFonts w:ascii="Palatino Linotype" w:eastAsia="Calibri" w:hAnsi="Palatino Linotype" w:cs="Arial"/>
          <w:sz w:val="24"/>
          <w:szCs w:val="24"/>
        </w:rPr>
        <w:t>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 xml:space="preserve">Recurrente </w:t>
      </w:r>
      <w:r w:rsidRPr="006A2320">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55B94944"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w:t>
      </w:r>
      <w:r w:rsidRPr="00B21190">
        <w:rPr>
          <w:rFonts w:ascii="Palatino Linotype" w:eastAsia="Arial Unicode MS" w:hAnsi="Palatino Linotype" w:cs="Arial"/>
          <w:sz w:val="24"/>
          <w:szCs w:val="24"/>
        </w:rPr>
        <w:lastRenderedPageBreak/>
        <w:t>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D93767">
        <w:rPr>
          <w:rFonts w:ascii="Palatino Linotype" w:hAnsi="Palatino Linotype" w:cs="Arial"/>
          <w:sz w:val="24"/>
          <w:szCs w:val="24"/>
        </w:rPr>
        <w:t>TERCERA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D93767">
        <w:rPr>
          <w:rFonts w:ascii="Palatino Linotype" w:hAnsi="Palatino Linotype" w:cs="Arial"/>
          <w:sz w:val="24"/>
          <w:szCs w:val="24"/>
        </w:rPr>
        <w:t xml:space="preserve">VEINTINUEVE DE </w:t>
      </w:r>
      <w:r w:rsidR="00DA43AD">
        <w:rPr>
          <w:rFonts w:ascii="Palatino Linotype" w:hAnsi="Palatino Linotype" w:cs="Arial"/>
          <w:sz w:val="24"/>
          <w:szCs w:val="24"/>
        </w:rPr>
        <w:t>ENE</w:t>
      </w:r>
      <w:r w:rsidR="00D93767">
        <w:rPr>
          <w:rFonts w:ascii="Palatino Linotype" w:hAnsi="Palatino Linotype" w:cs="Arial"/>
          <w:sz w:val="24"/>
          <w:szCs w:val="24"/>
        </w:rPr>
        <w:t>RO DE D</w:t>
      </w:r>
      <w:r w:rsidR="00DA43AD">
        <w:rPr>
          <w:rFonts w:ascii="Palatino Linotype" w:hAnsi="Palatino Linotype" w:cs="Arial"/>
          <w:sz w:val="24"/>
          <w:szCs w:val="24"/>
        </w:rPr>
        <w:t>OS MIL VEINTE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117E65">
        <w:rPr>
          <w:rFonts w:ascii="Palatino Linotype" w:hAnsi="Palatino Linotype" w:cs="Arial"/>
          <w:sz w:val="24"/>
          <w:szCs w:val="24"/>
        </w:rPr>
        <w:t>---------------------</w:t>
      </w:r>
    </w:p>
    <w:p w14:paraId="68E6AB1A" w14:textId="77777777" w:rsidR="00B21190" w:rsidRPr="00B21190" w:rsidRDefault="00B21190" w:rsidP="00FE459F">
      <w:pPr>
        <w:spacing w:before="240" w:line="276" w:lineRule="auto"/>
        <w:jc w:val="both"/>
        <w:rPr>
          <w:rFonts w:ascii="Palatino Linotype" w:hAnsi="Palatino Linotype"/>
          <w:sz w:val="24"/>
          <w:szCs w:val="24"/>
        </w:rPr>
      </w:pPr>
    </w:p>
    <w:p w14:paraId="743EFE33" w14:textId="77777777" w:rsidR="00B21190" w:rsidRPr="00B21190" w:rsidRDefault="00B21190"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77777777" w:rsidR="00386844" w:rsidRPr="00B21190" w:rsidRDefault="00C44875" w:rsidP="00FE459F">
      <w:pPr>
        <w:spacing w:after="0" w:line="276" w:lineRule="auto"/>
        <w:jc w:val="both"/>
        <w:rPr>
          <w:rFonts w:ascii="Palatino Linotype" w:hAnsi="Palatino Linotype" w:cs="Arial"/>
          <w:sz w:val="16"/>
          <w:szCs w:val="16"/>
        </w:rPr>
      </w:pPr>
      <w:r w:rsidRPr="00B21190">
        <w:rPr>
          <w:rFonts w:ascii="Palatino Linotype" w:hAnsi="Palatino Linotype" w:cs="Arial"/>
          <w:sz w:val="2"/>
          <w:szCs w:val="16"/>
        </w:rPr>
        <w:t>.00000000</w:t>
      </w: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0108A654"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123ECE">
        <w:rPr>
          <w:rFonts w:ascii="Palatino Linotype" w:hAnsi="Palatino Linotype" w:cs="Arial"/>
          <w:sz w:val="16"/>
          <w:szCs w:val="16"/>
        </w:rPr>
        <w:t>veintinueve de enero de dos mil veinte</w:t>
      </w:r>
      <w:r w:rsidRPr="00B21190">
        <w:rPr>
          <w:rFonts w:ascii="Palatino Linotype" w:hAnsi="Palatino Linotype" w:cs="Arial"/>
          <w:sz w:val="16"/>
          <w:szCs w:val="16"/>
        </w:rPr>
        <w:t xml:space="preserve">, emitida en el recurso de revisión </w:t>
      </w:r>
      <w:r w:rsidR="00123ECE" w:rsidRPr="00123ECE">
        <w:rPr>
          <w:rFonts w:ascii="Palatino Linotype" w:hAnsi="Palatino Linotype" w:cs="Arial"/>
          <w:b/>
          <w:bCs/>
          <w:sz w:val="16"/>
          <w:szCs w:val="16"/>
          <w:lang w:eastAsia="es-MX"/>
        </w:rPr>
        <w:t>08505/INFOEM/IP/RR/2019</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p>
    <w:sectPr w:rsidR="00DD13E2"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FB6EB" w14:textId="77777777" w:rsidR="00722E69" w:rsidRDefault="00722E69" w:rsidP="00D34057">
      <w:pPr>
        <w:spacing w:after="0" w:line="240" w:lineRule="auto"/>
      </w:pPr>
      <w:r>
        <w:separator/>
      </w:r>
    </w:p>
  </w:endnote>
  <w:endnote w:type="continuationSeparator" w:id="0">
    <w:p w14:paraId="06A8B9F7" w14:textId="77777777" w:rsidR="00722E69" w:rsidRDefault="00722E69"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32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77B69" w14:textId="77777777" w:rsidR="00722E69" w:rsidRDefault="00722E69" w:rsidP="00D34057">
      <w:pPr>
        <w:spacing w:after="0" w:line="240" w:lineRule="auto"/>
      </w:pPr>
      <w:r>
        <w:separator/>
      </w:r>
    </w:p>
  </w:footnote>
  <w:footnote w:type="continuationSeparator" w:id="0">
    <w:p w14:paraId="17CD9C1A" w14:textId="77777777" w:rsidR="00722E69" w:rsidRDefault="00722E69"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2D19" w14:textId="77777777"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93E1BC2" w14:textId="094CAA28" w:rsidR="00F457C8" w:rsidRDefault="00D106BD" w:rsidP="00564DB2">
          <w:pPr>
            <w:spacing w:after="120" w:line="256" w:lineRule="auto"/>
            <w:ind w:left="-486" w:right="214" w:firstLine="1585"/>
            <w:jc w:val="right"/>
            <w:rPr>
              <w:rFonts w:ascii="Palatino Linotype" w:hAnsi="Palatino Linotype" w:cs="Arial"/>
              <w:szCs w:val="20"/>
            </w:rPr>
          </w:pPr>
          <w:r w:rsidRPr="00D106BD">
            <w:rPr>
              <w:rFonts w:ascii="Palatino Linotype" w:hAnsi="Palatino Linotype" w:cs="Arial"/>
              <w:bCs/>
              <w:sz w:val="24"/>
              <w:lang w:eastAsia="es-MX"/>
            </w:rPr>
            <w:t>08505/INFOEM/IP/RR/2019</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8CFCC70" w:rsidR="00F457C8" w:rsidRDefault="00D106BD" w:rsidP="00E31501">
          <w:pPr>
            <w:spacing w:after="0" w:line="256" w:lineRule="auto"/>
            <w:ind w:left="-72" w:right="214" w:firstLine="284"/>
            <w:jc w:val="right"/>
            <w:rPr>
              <w:rFonts w:ascii="Palatino Linotype" w:hAnsi="Palatino Linotype" w:cs="Arial"/>
              <w:szCs w:val="20"/>
            </w:rPr>
          </w:pPr>
          <w:r w:rsidRPr="00D106BD">
            <w:rPr>
              <w:rFonts w:ascii="Palatino Linotype" w:hAnsi="Palatino Linotype" w:cs="Arial"/>
              <w:szCs w:val="20"/>
            </w:rPr>
            <w:t>Ayuntamiento de Cuautitlán Izcalli</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9E60AD2" w14:textId="7B256FF7" w:rsidR="00F457C8" w:rsidRPr="00B4142F" w:rsidRDefault="00D106BD" w:rsidP="004558D1">
          <w:pPr>
            <w:spacing w:after="120" w:line="256" w:lineRule="auto"/>
            <w:ind w:left="-486" w:right="214" w:firstLine="1408"/>
            <w:jc w:val="right"/>
            <w:rPr>
              <w:rFonts w:ascii="Palatino Linotype" w:hAnsi="Palatino Linotype" w:cs="Arial"/>
              <w:szCs w:val="20"/>
            </w:rPr>
          </w:pPr>
          <w:r w:rsidRPr="00D106BD">
            <w:rPr>
              <w:rFonts w:ascii="Palatino Linotype" w:hAnsi="Palatino Linotype" w:cs="Arial"/>
              <w:bCs/>
              <w:sz w:val="24"/>
              <w:lang w:eastAsia="es-MX"/>
            </w:rPr>
            <w:t>08505/INFOEM/IP/RR/2019</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F0DA77A" w:rsidR="00F457C8" w:rsidRPr="00F06FED" w:rsidRDefault="00F17066"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57C0E85" w:rsidR="00F457C8" w:rsidRDefault="00D106BD" w:rsidP="008171C2">
          <w:pPr>
            <w:spacing w:after="0" w:line="256" w:lineRule="auto"/>
            <w:ind w:left="-495" w:right="214" w:firstLine="567"/>
            <w:jc w:val="right"/>
            <w:rPr>
              <w:rFonts w:ascii="Palatino Linotype" w:hAnsi="Palatino Linotype" w:cs="Arial"/>
              <w:szCs w:val="20"/>
            </w:rPr>
          </w:pPr>
          <w:r w:rsidRPr="00D106BD">
            <w:rPr>
              <w:rFonts w:ascii="Palatino Linotype" w:hAnsi="Palatino Linotype" w:cs="Arial"/>
              <w:szCs w:val="20"/>
            </w:rPr>
            <w:t>Ayuntamiento de Cuautitlán Izcalli</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77777777" w:rsidR="00F457C8" w:rsidRPr="00FF74F5" w:rsidRDefault="00F457C8">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7"/>
  </w:num>
  <w:num w:numId="5">
    <w:abstractNumId w:val="12"/>
  </w:num>
  <w:num w:numId="6">
    <w:abstractNumId w:val="9"/>
  </w:num>
  <w:num w:numId="7">
    <w:abstractNumId w:val="6"/>
  </w:num>
  <w:num w:numId="8">
    <w:abstractNumId w:val="10"/>
  </w:num>
  <w:num w:numId="9">
    <w:abstractNumId w:val="5"/>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16BB6"/>
    <w:rsid w:val="00017B86"/>
    <w:rsid w:val="00041A17"/>
    <w:rsid w:val="00050780"/>
    <w:rsid w:val="00055AB9"/>
    <w:rsid w:val="000B1582"/>
    <w:rsid w:val="000C7DA1"/>
    <w:rsid w:val="000D006F"/>
    <w:rsid w:val="000D4CB2"/>
    <w:rsid w:val="000F5CBE"/>
    <w:rsid w:val="000F6CA6"/>
    <w:rsid w:val="00117E65"/>
    <w:rsid w:val="00123ECE"/>
    <w:rsid w:val="00135F23"/>
    <w:rsid w:val="00140DDF"/>
    <w:rsid w:val="00143843"/>
    <w:rsid w:val="00152971"/>
    <w:rsid w:val="001545AD"/>
    <w:rsid w:val="00155F3D"/>
    <w:rsid w:val="001615BA"/>
    <w:rsid w:val="00174621"/>
    <w:rsid w:val="001C2774"/>
    <w:rsid w:val="001D40B1"/>
    <w:rsid w:val="001D6B18"/>
    <w:rsid w:val="001E7A89"/>
    <w:rsid w:val="002379F2"/>
    <w:rsid w:val="002468A3"/>
    <w:rsid w:val="00272D2A"/>
    <w:rsid w:val="0028416A"/>
    <w:rsid w:val="002A7856"/>
    <w:rsid w:val="002B1BB7"/>
    <w:rsid w:val="002B2B95"/>
    <w:rsid w:val="002D2D32"/>
    <w:rsid w:val="002D66D5"/>
    <w:rsid w:val="002F33A9"/>
    <w:rsid w:val="002F62E0"/>
    <w:rsid w:val="002F7BA4"/>
    <w:rsid w:val="00306441"/>
    <w:rsid w:val="00322DC7"/>
    <w:rsid w:val="00362E23"/>
    <w:rsid w:val="003708E1"/>
    <w:rsid w:val="003756A5"/>
    <w:rsid w:val="00386844"/>
    <w:rsid w:val="003A1A28"/>
    <w:rsid w:val="003A5AE4"/>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B2123"/>
    <w:rsid w:val="004B3A7C"/>
    <w:rsid w:val="004B6B78"/>
    <w:rsid w:val="004C191E"/>
    <w:rsid w:val="004D498F"/>
    <w:rsid w:val="004D55BA"/>
    <w:rsid w:val="004F3954"/>
    <w:rsid w:val="004F643D"/>
    <w:rsid w:val="0050427F"/>
    <w:rsid w:val="00525C26"/>
    <w:rsid w:val="0053007F"/>
    <w:rsid w:val="00544ADD"/>
    <w:rsid w:val="00564DB2"/>
    <w:rsid w:val="005733EB"/>
    <w:rsid w:val="00573B4F"/>
    <w:rsid w:val="00594FEE"/>
    <w:rsid w:val="005B5976"/>
    <w:rsid w:val="00601482"/>
    <w:rsid w:val="006054E7"/>
    <w:rsid w:val="00622C8D"/>
    <w:rsid w:val="00627C77"/>
    <w:rsid w:val="00640746"/>
    <w:rsid w:val="00654C45"/>
    <w:rsid w:val="00656B46"/>
    <w:rsid w:val="00657723"/>
    <w:rsid w:val="00666716"/>
    <w:rsid w:val="00666B5B"/>
    <w:rsid w:val="006802F0"/>
    <w:rsid w:val="006A2320"/>
    <w:rsid w:val="006A66EE"/>
    <w:rsid w:val="007017C7"/>
    <w:rsid w:val="0070231E"/>
    <w:rsid w:val="00722BF3"/>
    <w:rsid w:val="00722E69"/>
    <w:rsid w:val="00725027"/>
    <w:rsid w:val="007250E5"/>
    <w:rsid w:val="007476C5"/>
    <w:rsid w:val="00751C25"/>
    <w:rsid w:val="00755A9B"/>
    <w:rsid w:val="0076744D"/>
    <w:rsid w:val="0076759C"/>
    <w:rsid w:val="0078004C"/>
    <w:rsid w:val="00783FD2"/>
    <w:rsid w:val="007B1512"/>
    <w:rsid w:val="007C07B0"/>
    <w:rsid w:val="007C4C2E"/>
    <w:rsid w:val="007D7483"/>
    <w:rsid w:val="007E1970"/>
    <w:rsid w:val="007F2A5E"/>
    <w:rsid w:val="00805DE1"/>
    <w:rsid w:val="00806692"/>
    <w:rsid w:val="0080743D"/>
    <w:rsid w:val="00812043"/>
    <w:rsid w:val="00816560"/>
    <w:rsid w:val="008171C2"/>
    <w:rsid w:val="00820DE3"/>
    <w:rsid w:val="00841CCD"/>
    <w:rsid w:val="00847043"/>
    <w:rsid w:val="0087697C"/>
    <w:rsid w:val="00881E67"/>
    <w:rsid w:val="008852D8"/>
    <w:rsid w:val="008A38A0"/>
    <w:rsid w:val="008D7CE1"/>
    <w:rsid w:val="008E5AAE"/>
    <w:rsid w:val="008E5D5B"/>
    <w:rsid w:val="00902C13"/>
    <w:rsid w:val="009126FE"/>
    <w:rsid w:val="00912A21"/>
    <w:rsid w:val="00916EEF"/>
    <w:rsid w:val="00917CAA"/>
    <w:rsid w:val="00925243"/>
    <w:rsid w:val="00926051"/>
    <w:rsid w:val="009440E4"/>
    <w:rsid w:val="00972636"/>
    <w:rsid w:val="00996492"/>
    <w:rsid w:val="009A3EDE"/>
    <w:rsid w:val="009C3C39"/>
    <w:rsid w:val="009D62BD"/>
    <w:rsid w:val="009D7D7B"/>
    <w:rsid w:val="009E6C93"/>
    <w:rsid w:val="009E71C1"/>
    <w:rsid w:val="009F46A9"/>
    <w:rsid w:val="009F47DC"/>
    <w:rsid w:val="009F74E7"/>
    <w:rsid w:val="00A1684F"/>
    <w:rsid w:val="00A35B6F"/>
    <w:rsid w:val="00A37185"/>
    <w:rsid w:val="00A41464"/>
    <w:rsid w:val="00A47E40"/>
    <w:rsid w:val="00A56F06"/>
    <w:rsid w:val="00A573AC"/>
    <w:rsid w:val="00A7407A"/>
    <w:rsid w:val="00A76C35"/>
    <w:rsid w:val="00A8418B"/>
    <w:rsid w:val="00A864B6"/>
    <w:rsid w:val="00AA0796"/>
    <w:rsid w:val="00AA2D91"/>
    <w:rsid w:val="00AA4F99"/>
    <w:rsid w:val="00AC3F77"/>
    <w:rsid w:val="00AF1B80"/>
    <w:rsid w:val="00B12105"/>
    <w:rsid w:val="00B21190"/>
    <w:rsid w:val="00B235E2"/>
    <w:rsid w:val="00B32668"/>
    <w:rsid w:val="00B35972"/>
    <w:rsid w:val="00B42E2D"/>
    <w:rsid w:val="00B506F8"/>
    <w:rsid w:val="00B53702"/>
    <w:rsid w:val="00B61E37"/>
    <w:rsid w:val="00B66344"/>
    <w:rsid w:val="00B72016"/>
    <w:rsid w:val="00BA06F7"/>
    <w:rsid w:val="00BB4154"/>
    <w:rsid w:val="00BC73E3"/>
    <w:rsid w:val="00BD28E3"/>
    <w:rsid w:val="00BD6588"/>
    <w:rsid w:val="00C07D77"/>
    <w:rsid w:val="00C31842"/>
    <w:rsid w:val="00C34327"/>
    <w:rsid w:val="00C42C80"/>
    <w:rsid w:val="00C44875"/>
    <w:rsid w:val="00C57CB5"/>
    <w:rsid w:val="00C61705"/>
    <w:rsid w:val="00C81700"/>
    <w:rsid w:val="00C90E54"/>
    <w:rsid w:val="00C92FAC"/>
    <w:rsid w:val="00CB7DC4"/>
    <w:rsid w:val="00CC416B"/>
    <w:rsid w:val="00CC6F3C"/>
    <w:rsid w:val="00CD0423"/>
    <w:rsid w:val="00CD51C8"/>
    <w:rsid w:val="00CE7764"/>
    <w:rsid w:val="00CF70A0"/>
    <w:rsid w:val="00D106BD"/>
    <w:rsid w:val="00D20C1D"/>
    <w:rsid w:val="00D27E5B"/>
    <w:rsid w:val="00D34057"/>
    <w:rsid w:val="00D36682"/>
    <w:rsid w:val="00D53DDC"/>
    <w:rsid w:val="00D623CE"/>
    <w:rsid w:val="00D67A0D"/>
    <w:rsid w:val="00D800F2"/>
    <w:rsid w:val="00D93767"/>
    <w:rsid w:val="00D95458"/>
    <w:rsid w:val="00DA323F"/>
    <w:rsid w:val="00DA43AD"/>
    <w:rsid w:val="00DD13E2"/>
    <w:rsid w:val="00DE2F9E"/>
    <w:rsid w:val="00E02FE0"/>
    <w:rsid w:val="00E131A8"/>
    <w:rsid w:val="00E1740E"/>
    <w:rsid w:val="00E2616D"/>
    <w:rsid w:val="00E31501"/>
    <w:rsid w:val="00E3262B"/>
    <w:rsid w:val="00E53C06"/>
    <w:rsid w:val="00E746BE"/>
    <w:rsid w:val="00E82F11"/>
    <w:rsid w:val="00E91EE4"/>
    <w:rsid w:val="00EA3EE4"/>
    <w:rsid w:val="00EA53C7"/>
    <w:rsid w:val="00EB5A3A"/>
    <w:rsid w:val="00EC61B4"/>
    <w:rsid w:val="00ED224E"/>
    <w:rsid w:val="00ED33BB"/>
    <w:rsid w:val="00ED6C96"/>
    <w:rsid w:val="00F11AD3"/>
    <w:rsid w:val="00F16EF8"/>
    <w:rsid w:val="00F17066"/>
    <w:rsid w:val="00F3632E"/>
    <w:rsid w:val="00F457C8"/>
    <w:rsid w:val="00F46230"/>
    <w:rsid w:val="00F50059"/>
    <w:rsid w:val="00F96E94"/>
    <w:rsid w:val="00FB3270"/>
    <w:rsid w:val="00FC3BBC"/>
    <w:rsid w:val="00FD1200"/>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D116-1FC3-4064-B83C-4C2062BC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7967</Words>
  <Characters>43819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2018-04-05T14:31:00Z</cp:lastPrinted>
  <dcterms:created xsi:type="dcterms:W3CDTF">2020-04-13T21:33:00Z</dcterms:created>
  <dcterms:modified xsi:type="dcterms:W3CDTF">2020-04-13T21:33:00Z</dcterms:modified>
</cp:coreProperties>
</file>