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BF155C"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ab/>
      </w: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6F512E">
        <w:rPr>
          <w:rFonts w:ascii="Palatino Linotype" w:eastAsia="Times New Roman" w:hAnsi="Palatino Linotype" w:cs="Arial"/>
          <w:color w:val="000000"/>
          <w:sz w:val="24"/>
          <w:szCs w:val="24"/>
          <w:lang w:eastAsia="es-MX"/>
        </w:rPr>
        <w:t>veintidós de mayo</w:t>
      </w:r>
      <w:r w:rsidR="00F44F06">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8125ED">
        <w:rPr>
          <w:rFonts w:ascii="Palatino Linotype" w:hAnsi="Palatino Linotype" w:cs="Arial"/>
          <w:b/>
          <w:bCs/>
          <w:sz w:val="24"/>
          <w:lang w:eastAsia="es-MX"/>
        </w:rPr>
        <w:t>01415</w:t>
      </w:r>
      <w:r w:rsidR="007E2959" w:rsidRPr="007E2959">
        <w:rPr>
          <w:rFonts w:ascii="Palatino Linotype" w:hAnsi="Palatino Linotype" w:cs="Arial"/>
          <w:b/>
          <w:bCs/>
          <w:sz w:val="24"/>
          <w:lang w:eastAsia="es-MX"/>
        </w:rPr>
        <w:t>/INFOEM/IP/RR/201</w:t>
      </w:r>
      <w:r w:rsidR="008156F6">
        <w:rPr>
          <w:rFonts w:ascii="Palatino Linotype" w:hAnsi="Palatino Linotype" w:cs="Arial"/>
          <w:b/>
          <w:bCs/>
          <w:sz w:val="24"/>
          <w:lang w:eastAsia="es-MX"/>
        </w:rPr>
        <w:t>9</w:t>
      </w:r>
      <w:r>
        <w:rPr>
          <w:rFonts w:ascii="Palatino Linotype" w:hAnsi="Palatino Linotype" w:cs="Arial"/>
          <w:sz w:val="24"/>
        </w:rPr>
        <w:t xml:space="preserve">, </w:t>
      </w:r>
      <w:r w:rsidR="00840DD9">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01B5B">
        <w:rPr>
          <w:rFonts w:ascii="Palatino Linotype" w:hAnsi="Palatino Linotype" w:cs="Arial"/>
          <w:b/>
          <w:sz w:val="24"/>
          <w:szCs w:val="24"/>
        </w:rPr>
        <w:t>XXXXXXX XXXXXXXX XXXXXXX</w:t>
      </w:r>
      <w:bookmarkStart w:id="0" w:name="_GoBack"/>
      <w:bookmarkEnd w:id="0"/>
      <w:r w:rsidR="008125E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8125ED" w:rsidRPr="008125ED">
        <w:rPr>
          <w:rFonts w:ascii="Palatino Linotype" w:hAnsi="Palatino Linotype" w:cs="Arial"/>
          <w:b/>
          <w:sz w:val="24"/>
          <w:szCs w:val="24"/>
        </w:rPr>
        <w:t>Ayuntamiento de Tecámac</w:t>
      </w:r>
      <w:r w:rsidR="008125ED">
        <w:rPr>
          <w:rFonts w:ascii="Palatino Linotype" w:hAnsi="Palatino Linotype" w:cs="Arial"/>
          <w:b/>
          <w:sz w:val="24"/>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82CB6">
        <w:rPr>
          <w:rFonts w:ascii="Palatino Linotype" w:hAnsi="Palatino Linotype" w:cs="Arial"/>
          <w:sz w:val="24"/>
        </w:rPr>
        <w:t>ocho de enero de dos mil diecinueve</w:t>
      </w:r>
      <w:r>
        <w:rPr>
          <w:rFonts w:ascii="Palatino Linotype" w:hAnsi="Palatino Linotype" w:cs="Arial"/>
          <w:sz w:val="24"/>
        </w:rPr>
        <w:t xml:space="preserve">, </w:t>
      </w:r>
      <w:r w:rsidR="002606F0">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8125ED" w:rsidRPr="008125ED">
        <w:rPr>
          <w:rFonts w:ascii="Palatino Linotype" w:hAnsi="Palatino Linotype" w:cs="Arial"/>
          <w:b/>
          <w:sz w:val="24"/>
        </w:rPr>
        <w:t>00227/TECAMAC/IP/2019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8125ED" w:rsidRPr="008125ED">
        <w:rPr>
          <w:rFonts w:ascii="Palatino Linotype" w:hAnsi="Palatino Linotype"/>
          <w:i/>
          <w:color w:val="000000"/>
        </w:rPr>
        <w:t>solicito copia de la integracion del comite de obras públicas del Ayuntamiento de Tecámac 2019 - 2021. Gracias</w:t>
      </w:r>
      <w:r w:rsidR="002606F0" w:rsidRPr="002606F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14FDD" w:rsidRDefault="00E15E85" w:rsidP="005658E6">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365366">
        <w:rPr>
          <w:rFonts w:ascii="Palatino Linotype" w:hAnsi="Palatino Linotype" w:cs="Arial"/>
          <w:sz w:val="24"/>
        </w:rPr>
        <w:t xml:space="preserve">dio respuesta a la solicitud de información en fecha </w:t>
      </w:r>
      <w:r w:rsidR="008125ED">
        <w:rPr>
          <w:rFonts w:ascii="Palatino Linotype" w:hAnsi="Palatino Linotype" w:cs="Arial"/>
          <w:sz w:val="24"/>
        </w:rPr>
        <w:t>ocho de marzo</w:t>
      </w:r>
      <w:r w:rsidR="00A82CB6">
        <w:rPr>
          <w:rFonts w:ascii="Palatino Linotype" w:hAnsi="Palatino Linotype" w:cs="Arial"/>
          <w:sz w:val="24"/>
        </w:rPr>
        <w:t xml:space="preserve"> de la presente anualidad, en el siguiente tenor.</w:t>
      </w:r>
    </w:p>
    <w:p w:rsidR="008125ED" w:rsidRPr="008125ED" w:rsidRDefault="008125ED" w:rsidP="008125ED">
      <w:pPr>
        <w:spacing w:before="240" w:line="360" w:lineRule="auto"/>
        <w:ind w:left="708"/>
        <w:jc w:val="both"/>
        <w:rPr>
          <w:rFonts w:ascii="Palatino Linotype" w:hAnsi="Palatino Linotype" w:cs="Arial"/>
          <w:sz w:val="24"/>
        </w:rPr>
      </w:pPr>
      <w:r w:rsidRPr="008125ED">
        <w:rPr>
          <w:rFonts w:ascii="Palatino Linotype" w:hAnsi="Palatino Linotype" w:cs="Arial"/>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125ED" w:rsidRPr="008125ED" w:rsidRDefault="008125ED" w:rsidP="008125ED">
      <w:pPr>
        <w:spacing w:before="240" w:line="360" w:lineRule="auto"/>
        <w:ind w:left="708"/>
        <w:jc w:val="both"/>
        <w:rPr>
          <w:rFonts w:ascii="Palatino Linotype" w:hAnsi="Palatino Linotype" w:cs="Arial"/>
          <w:sz w:val="24"/>
        </w:rPr>
      </w:pPr>
      <w:r w:rsidRPr="008125ED">
        <w:rPr>
          <w:rFonts w:ascii="Palatino Linotype" w:hAnsi="Palatino Linotype" w:cs="Arial"/>
          <w:sz w:val="24"/>
        </w:rPr>
        <w:t>LE INFORMO QUE SOLO LE DARE LOS NOMBRES QUE INTEGRARON EL COMITÉ DE OBRAS PUBLICAS: HILDA ANGELICA DUARTE ENCISO DIRECTORA GENERAL DE URBANISMO Y OBRAS PUBLICAS, OLGA MOLINA HERNANDEZ COORDINADORA GENERAL DE ADMINISTRACION, ELIZANDRA CASOLCO SOSA SECRETARIO TÉCNICO DEL COMITÉ, CARLOS GALINDO BERTAUD SECRETARIO TÉCNICO DE LA PRESIDENCIA MUNICIPAL, ROBERTO CARLOS GARCIA SUAREZ DIRECTOR DE DESARROLLO URBANO, MIGUEL ANGEL ALARCON MONTIEL DIRECTOR DE LA CONSTRUCTORA MUNICIPAL Y MANTENIMIENTO DE VIALIDADES, ADRIAN PEREZ GUERRERO DIRECTOR GENERAL JURIDICA Y CONSULTIVA, ALEJANDRO HERVE MAURIE ORTEGA CONTRALOR MUNICIPAL.</w:t>
      </w:r>
    </w:p>
    <w:p w:rsidR="008125ED" w:rsidRPr="008125ED" w:rsidRDefault="008125ED" w:rsidP="008125ED">
      <w:pPr>
        <w:spacing w:before="240" w:line="360" w:lineRule="auto"/>
        <w:ind w:left="708"/>
        <w:jc w:val="both"/>
        <w:rPr>
          <w:rFonts w:ascii="Palatino Linotype" w:hAnsi="Palatino Linotype" w:cs="Arial"/>
          <w:sz w:val="24"/>
        </w:rPr>
      </w:pPr>
      <w:r w:rsidRPr="008125ED">
        <w:rPr>
          <w:rFonts w:ascii="Palatino Linotype" w:hAnsi="Palatino Linotype" w:cs="Arial"/>
          <w:sz w:val="24"/>
        </w:rPr>
        <w:t>ATENTAMENTE</w:t>
      </w:r>
    </w:p>
    <w:p w:rsidR="008125ED" w:rsidRDefault="008125ED" w:rsidP="008125ED">
      <w:pPr>
        <w:spacing w:before="240" w:line="360" w:lineRule="auto"/>
        <w:ind w:left="708"/>
        <w:jc w:val="both"/>
        <w:rPr>
          <w:rFonts w:ascii="Palatino Linotype" w:hAnsi="Palatino Linotype" w:cs="Arial"/>
          <w:sz w:val="24"/>
        </w:rPr>
      </w:pPr>
      <w:r w:rsidRPr="008125ED">
        <w:rPr>
          <w:rFonts w:ascii="Palatino Linotype" w:hAnsi="Palatino Linotype" w:cs="Arial"/>
          <w:sz w:val="24"/>
        </w:rPr>
        <w:lastRenderedPageBreak/>
        <w:t>C. CARLOS ALONSO HERNANDEZ PELAEZ</w:t>
      </w:r>
    </w:p>
    <w:p w:rsidR="00E15E85" w:rsidRPr="00441A94" w:rsidRDefault="00E15E85" w:rsidP="008125E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8125ED">
        <w:rPr>
          <w:rFonts w:ascii="Palatino Linotype" w:hAnsi="Palatino Linotype" w:cs="Arial"/>
          <w:sz w:val="24"/>
          <w:szCs w:val="24"/>
        </w:rPr>
        <w:t xml:space="preserve">ocho de marzo </w:t>
      </w:r>
      <w:r w:rsidR="00A82CB6">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865846">
        <w:rPr>
          <w:rFonts w:ascii="Palatino Linotype" w:hAnsi="Palatino Linotype" w:cs="Arial"/>
          <w:b/>
          <w:bCs/>
          <w:sz w:val="24"/>
          <w:szCs w:val="24"/>
          <w:lang w:eastAsia="es-MX"/>
        </w:rPr>
        <w:t>0</w:t>
      </w:r>
      <w:r w:rsidR="008125ED">
        <w:rPr>
          <w:rFonts w:ascii="Palatino Linotype" w:hAnsi="Palatino Linotype" w:cs="Arial"/>
          <w:b/>
          <w:bCs/>
          <w:sz w:val="24"/>
          <w:szCs w:val="24"/>
          <w:lang w:eastAsia="es-MX"/>
        </w:rPr>
        <w:t>1415</w:t>
      </w:r>
      <w:r w:rsidR="00A82CB6">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8125ED" w:rsidRPr="008125ED">
        <w:rPr>
          <w:rFonts w:ascii="Palatino Linotype" w:hAnsi="Palatino Linotype"/>
          <w:i/>
          <w:color w:val="000000"/>
        </w:rPr>
        <w:t>solicito copia de la integracion del comite de obras públicas del Ayuntamiento de Tecámac 2019 - 2021. Gracias</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8125ED" w:rsidRPr="008125ED">
        <w:rPr>
          <w:rFonts w:ascii="Palatino Linotype" w:hAnsi="Palatino Linotype" w:cs="Arial"/>
          <w:i/>
        </w:rPr>
        <w:t>La contestacion llevada a cabo el dia 08 de Marzo de 2019 a traves de este portal de informacion, solo se brinda el nombre de los titulares y cargos, se esta negando copia de la integracion del comite de obras publicas, que fue lo que se solicito a traves de la solicitud. Gracias</w:t>
      </w:r>
      <w:r w:rsidR="00614FDD" w:rsidRPr="00614FDD">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6D7A99">
        <w:rPr>
          <w:rFonts w:ascii="Palatino Linotype" w:hAnsi="Palatino Linotype" w:cs="Arial"/>
          <w:sz w:val="24"/>
          <w:szCs w:val="24"/>
        </w:rPr>
        <w:t xml:space="preserve">catorce de </w:t>
      </w:r>
      <w:r w:rsidR="008125ED">
        <w:rPr>
          <w:rFonts w:ascii="Palatino Linotype" w:hAnsi="Palatino Linotype" w:cs="Arial"/>
          <w:sz w:val="24"/>
          <w:szCs w:val="24"/>
        </w:rPr>
        <w:t xml:space="preserve">marzo </w:t>
      </w:r>
      <w:r w:rsidR="00630E9E">
        <w:rPr>
          <w:rFonts w:ascii="Palatino Linotype" w:hAnsi="Palatino Linotype" w:cs="Arial"/>
          <w:sz w:val="24"/>
          <w:szCs w:val="24"/>
        </w:rPr>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8125ED">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2360A5">
        <w:rPr>
          <w:rFonts w:ascii="Palatino Linotype" w:hAnsi="Palatino Linotype" w:cs="Arial"/>
          <w:sz w:val="24"/>
          <w:szCs w:val="24"/>
        </w:rPr>
        <w:t>doce</w:t>
      </w:r>
      <w:r w:rsidR="008125ED">
        <w:rPr>
          <w:rFonts w:ascii="Palatino Linotype" w:hAnsi="Palatino Linotype" w:cs="Arial"/>
          <w:sz w:val="24"/>
          <w:szCs w:val="24"/>
        </w:rPr>
        <w:t xml:space="preserve"> de marzo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630E9E" w:rsidRDefault="00630E9E"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006356">
        <w:rPr>
          <w:rFonts w:ascii="Palatino Linotype" w:hAnsi="Palatino Linotype" w:cs="Arial"/>
          <w:sz w:val="24"/>
          <w:szCs w:val="24"/>
        </w:rPr>
        <w:t xml:space="preserve">179 fracción </w:t>
      </w:r>
      <w:r w:rsidR="00630E9E">
        <w:rPr>
          <w:rFonts w:ascii="Palatino Linotype" w:hAnsi="Palatino Linotype" w:cs="Arial"/>
          <w:sz w:val="24"/>
          <w:szCs w:val="24"/>
        </w:rPr>
        <w:t>VIII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w:t>
      </w:r>
      <w:r>
        <w:rPr>
          <w:rFonts w:ascii="Palatino Linotype" w:hAnsi="Palatino Linotype" w:cs="Arial"/>
          <w:sz w:val="24"/>
        </w:rPr>
        <w:lastRenderedPageBreak/>
        <w:t xml:space="preserve">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FB5FA3"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0C3DB6" w:rsidRDefault="002902D7"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w:t>
      </w:r>
      <w:r w:rsidR="000C3DB6">
        <w:rPr>
          <w:rFonts w:ascii="Palatino Linotype" w:hAnsi="Palatino Linotype"/>
          <w:sz w:val="24"/>
          <w:szCs w:val="24"/>
        </w:rPr>
        <w:t>de los requerimientos vertidos por el hoy recurrente, tuvo a bien solicitar lo siguiente:</w:t>
      </w:r>
    </w:p>
    <w:p w:rsidR="002879C2" w:rsidRPr="002879C2" w:rsidRDefault="00E8295D" w:rsidP="002879C2">
      <w:pPr>
        <w:pStyle w:val="Prrafodelista"/>
        <w:numPr>
          <w:ilvl w:val="0"/>
          <w:numId w:val="23"/>
        </w:numPr>
        <w:spacing w:before="240" w:after="240" w:line="360" w:lineRule="auto"/>
        <w:jc w:val="both"/>
        <w:rPr>
          <w:rFonts w:ascii="Palatino Linotype" w:hAnsi="Palatino Linotype"/>
        </w:rPr>
      </w:pPr>
      <w:r>
        <w:rPr>
          <w:rFonts w:ascii="Palatino Linotype" w:hAnsi="Palatino Linotype"/>
        </w:rPr>
        <w:t>Copia de la integración del Comité de Obras Públicas del Ayuntamiento de Tecámac 2019-2021.</w:t>
      </w:r>
    </w:p>
    <w:p w:rsidR="00E8295D" w:rsidRDefault="00DD2F8B" w:rsidP="008C43EB">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su parte, el sujeto obligado </w:t>
      </w:r>
      <w:r w:rsidR="00E8295D">
        <w:rPr>
          <w:rFonts w:ascii="Palatino Linotype" w:hAnsi="Palatino Linotype"/>
          <w:sz w:val="24"/>
          <w:szCs w:val="24"/>
        </w:rPr>
        <w:t>dio respuesta a lo solicitado aludiendo que únicamente se le entregaran los nombres de las personas que integraron el comité de obras públicas, anunciando así ocho servidores públicos.</w:t>
      </w:r>
    </w:p>
    <w:p w:rsidR="00090E2C" w:rsidRDefault="00090E2C" w:rsidP="008C43EB">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Derivado de la respuesta otorgada, el impetrante de derechos se adoleció por la </w:t>
      </w:r>
      <w:r w:rsidR="00E8295D">
        <w:rPr>
          <w:rFonts w:ascii="Palatino Linotype" w:hAnsi="Palatino Linotype"/>
          <w:sz w:val="24"/>
          <w:szCs w:val="24"/>
        </w:rPr>
        <w:t>respuesta del s</w:t>
      </w:r>
      <w:r w:rsidR="00AD5DE2">
        <w:rPr>
          <w:rFonts w:ascii="Palatino Linotype" w:hAnsi="Palatino Linotype"/>
          <w:sz w:val="24"/>
          <w:szCs w:val="24"/>
        </w:rPr>
        <w:t>ujeto obligado, aludiendo que se le está negando copia de la integración del comité de obras públicas.</w:t>
      </w:r>
    </w:p>
    <w:p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Pr>
          <w:rStyle w:val="Refdenotaalpie"/>
          <w:rFonts w:ascii="Palatino Linotype" w:hAnsi="Palatino Linotype"/>
          <w:sz w:val="24"/>
          <w:szCs w:val="24"/>
        </w:rPr>
        <w:footnoteReference w:id="2"/>
      </w:r>
      <w:r>
        <w:rPr>
          <w:rFonts w:ascii="Palatino Linotype" w:hAnsi="Palatino Linotype"/>
          <w:sz w:val="24"/>
          <w:szCs w:val="24"/>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rsidR="0062365C" w:rsidRDefault="0062365C" w:rsidP="0062365C">
      <w:pPr>
        <w:spacing w:before="240" w:after="240" w:line="360" w:lineRule="auto"/>
        <w:jc w:val="both"/>
        <w:rPr>
          <w:rFonts w:ascii="Palatino Linotype" w:hAnsi="Palatino Linotype"/>
          <w:sz w:val="24"/>
          <w:szCs w:val="24"/>
        </w:rPr>
      </w:pPr>
    </w:p>
    <w:p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rsidR="0062365C" w:rsidRPr="00357A8F" w:rsidRDefault="0062365C" w:rsidP="0062365C">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62365C" w:rsidRPr="00357A8F" w:rsidRDefault="0062365C" w:rsidP="0062365C">
      <w:pPr>
        <w:spacing w:before="240" w:after="240" w:line="360" w:lineRule="auto"/>
        <w:ind w:left="708"/>
        <w:jc w:val="both"/>
        <w:rPr>
          <w:rFonts w:ascii="Palatino Linotype" w:hAnsi="Palatino Linotype"/>
          <w:i/>
          <w:sz w:val="24"/>
          <w:szCs w:val="24"/>
        </w:rPr>
      </w:pPr>
      <w:r w:rsidRPr="00357A8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2365C" w:rsidRDefault="0062365C" w:rsidP="008C43EB">
      <w:pPr>
        <w:spacing w:before="240" w:after="240" w:line="360" w:lineRule="auto"/>
        <w:jc w:val="both"/>
        <w:rPr>
          <w:rFonts w:ascii="Palatino Linotype" w:hAnsi="Palatino Linotype"/>
          <w:sz w:val="24"/>
          <w:szCs w:val="24"/>
        </w:rPr>
      </w:pPr>
      <w:r>
        <w:rPr>
          <w:rFonts w:ascii="Palatino Linotype" w:hAnsi="Palatino Linotype"/>
          <w:sz w:val="24"/>
          <w:szCs w:val="24"/>
        </w:rPr>
        <w:t>Por lo tanto, el presente estudio únicamente versara sobre la copia de la integración del Comité de Obras Públicas y para ello la Ley Orgánica Municipal establece:</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 Artículo 64.- Los ayuntamientos, para el eficaz desempeño de sus funciones públicas, podrán auxiliarse por: </w:t>
      </w:r>
    </w:p>
    <w:p w:rsidR="0062365C" w:rsidRDefault="0062365C" w:rsidP="0062365C">
      <w:pPr>
        <w:pStyle w:val="Prrafodelista"/>
        <w:numPr>
          <w:ilvl w:val="0"/>
          <w:numId w:val="25"/>
        </w:numPr>
        <w:spacing w:before="240" w:after="240" w:line="360" w:lineRule="auto"/>
        <w:ind w:left="1440"/>
        <w:jc w:val="both"/>
        <w:rPr>
          <w:rFonts w:ascii="Palatino Linotype" w:hAnsi="Palatino Linotype"/>
          <w:i/>
          <w:sz w:val="22"/>
          <w:szCs w:val="22"/>
        </w:rPr>
      </w:pPr>
      <w:r w:rsidRPr="0062365C">
        <w:rPr>
          <w:rFonts w:ascii="Palatino Linotype" w:hAnsi="Palatino Linotype"/>
          <w:i/>
          <w:sz w:val="22"/>
          <w:szCs w:val="22"/>
        </w:rPr>
        <w:t>Comisiones del ayuntamiento;</w:t>
      </w:r>
    </w:p>
    <w:p w:rsidR="003F2660" w:rsidRPr="0062365C" w:rsidRDefault="003F2660" w:rsidP="0062365C">
      <w:pPr>
        <w:pStyle w:val="Prrafodelista"/>
        <w:numPr>
          <w:ilvl w:val="0"/>
          <w:numId w:val="25"/>
        </w:numPr>
        <w:spacing w:before="240" w:after="240" w:line="360" w:lineRule="auto"/>
        <w:ind w:left="1440"/>
        <w:jc w:val="both"/>
        <w:rPr>
          <w:rFonts w:ascii="Palatino Linotype" w:hAnsi="Palatino Linotype"/>
          <w:i/>
          <w:sz w:val="22"/>
          <w:szCs w:val="22"/>
        </w:rPr>
      </w:pPr>
      <w:r>
        <w:rPr>
          <w:rFonts w:ascii="Palatino Linotype" w:hAnsi="Palatino Linotype"/>
          <w:i/>
          <w:sz w:val="22"/>
          <w:szCs w:val="22"/>
        </w:rPr>
        <w:t>…..</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lastRenderedPageBreak/>
        <w:t xml:space="preserve">Artículo 65.- Los integrantes de las comisiones del ayuntamiento serán nombrados por éste, de entre sus miembros, a propuesta del presidente municipal, a más tardar en la tercera sesión ordinaria que celebren al inicio de su gestión.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Las comisiones se conformarán de forma plural y proporcional, teniendo en cuenta el número de sus integrantes y la importancia de los ramos encomendados a las mismas; en su integración se deberá tomar en consideración el conocimiento, profesión, vocación y experiencia de los integrantes del ayuntamiento.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Una vez nombrados los integrantes de las comisiones, los presidentes de cada una tendrán treinta días para convocar a sesión a efecto de llevar a cabo su instalación e inicio de los trabajos.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Las comisiones, deberán entregar al ayuntamiento, en sesión ordinaria, un informe trimestral que permita conocer y transparentar el desarrollo de sus actividades, trabajo y gestiones realizadas.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Artículo 67.-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 xml:space="preserve">Artículo 68.- Previa autorización del ayuntamiento, las comisiones podrán llamar a comparecer a los titulares de las dependencias administrativas municipales a efecto de que les informen, cuando así se requiera, sobre el estado que guardan los asuntos de su dependencia.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lastRenderedPageBreak/>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62365C" w:rsidRPr="0062365C" w:rsidRDefault="0062365C" w:rsidP="0062365C">
      <w:pPr>
        <w:spacing w:before="240" w:after="240" w:line="360" w:lineRule="auto"/>
        <w:ind w:left="360"/>
        <w:jc w:val="both"/>
        <w:rPr>
          <w:rFonts w:ascii="Palatino Linotype" w:hAnsi="Palatino Linotype"/>
          <w:i/>
        </w:rPr>
      </w:pPr>
      <w:r w:rsidRPr="0062365C">
        <w:rPr>
          <w:rFonts w:ascii="Palatino Linotype" w:hAnsi="Palatino Linotype"/>
          <w:i/>
        </w:rPr>
        <w:t>Artículo 69.- Las comisiones las determinará el ayuntamiento de acuerdo a las necesidades del municipio y podrán ser permanentes o transitorias.</w:t>
      </w:r>
    </w:p>
    <w:p w:rsidR="0062365C" w:rsidRPr="0062365C" w:rsidRDefault="0062365C" w:rsidP="0062365C">
      <w:pPr>
        <w:pStyle w:val="Prrafodelista"/>
        <w:numPr>
          <w:ilvl w:val="0"/>
          <w:numId w:val="26"/>
        </w:numPr>
        <w:spacing w:before="240" w:after="240" w:line="360" w:lineRule="auto"/>
        <w:ind w:left="1440"/>
        <w:jc w:val="both"/>
        <w:rPr>
          <w:rFonts w:ascii="Palatino Linotype" w:hAnsi="Palatino Linotype"/>
          <w:i/>
          <w:sz w:val="22"/>
          <w:szCs w:val="22"/>
        </w:rPr>
      </w:pPr>
      <w:r w:rsidRPr="0062365C">
        <w:rPr>
          <w:rFonts w:ascii="Palatino Linotype" w:hAnsi="Palatino Linotype"/>
          <w:i/>
          <w:sz w:val="22"/>
          <w:szCs w:val="22"/>
        </w:rPr>
        <w:t xml:space="preserve">Serán permanentes las comisiones: </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 xml:space="preserve">De gobernación, de seguridad pública y tránsito y de protección civil, cuyo responsable será el presidente municipal; </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De planeación para el desarrollo, que estará a cargo del presidente municipal;</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 xml:space="preserve">De hacienda, que presidirá el síndico o el primer síndico, cuando haya mas de uno; </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De agua, drenaje y alcantarillado;</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 xml:space="preserve">De mercados, centrales de abasto y rastros; </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 xml:space="preserve">De alumbrado público; </w:t>
      </w:r>
    </w:p>
    <w:p w:rsidR="0062365C" w:rsidRPr="0062365C" w:rsidRDefault="0062365C" w:rsidP="0062365C">
      <w:pPr>
        <w:pStyle w:val="Prrafodelista"/>
        <w:numPr>
          <w:ilvl w:val="0"/>
          <w:numId w:val="27"/>
        </w:numPr>
        <w:spacing w:before="240" w:after="240" w:line="360" w:lineRule="auto"/>
        <w:ind w:left="1428"/>
        <w:jc w:val="both"/>
        <w:rPr>
          <w:rFonts w:ascii="Palatino Linotype" w:hAnsi="Palatino Linotype"/>
          <w:i/>
          <w:sz w:val="22"/>
          <w:szCs w:val="22"/>
        </w:rPr>
      </w:pPr>
      <w:r w:rsidRPr="0062365C">
        <w:rPr>
          <w:rFonts w:ascii="Palatino Linotype" w:hAnsi="Palatino Linotype"/>
          <w:i/>
          <w:sz w:val="22"/>
          <w:szCs w:val="22"/>
        </w:rPr>
        <w:t>De obras públicas y desarrollo urbano;</w:t>
      </w:r>
    </w:p>
    <w:p w:rsidR="0062365C" w:rsidRPr="0062365C" w:rsidRDefault="0062365C" w:rsidP="0062365C">
      <w:pPr>
        <w:spacing w:before="240" w:after="240" w:line="360" w:lineRule="auto"/>
        <w:ind w:left="1068"/>
        <w:jc w:val="both"/>
        <w:rPr>
          <w:rFonts w:ascii="Palatino Linotype" w:hAnsi="Palatino Linotype"/>
          <w:i/>
        </w:rPr>
      </w:pPr>
      <w:r w:rsidRPr="0062365C">
        <w:rPr>
          <w:rFonts w:ascii="Palatino Linotype" w:hAnsi="Palatino Linotype"/>
          <w:i/>
        </w:rPr>
        <w:t>…..</w:t>
      </w:r>
    </w:p>
    <w:p w:rsidR="006B7CD1" w:rsidRDefault="006B7CD1"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De la normatividad plasmada se denota que los Ayuntamientos para el eficaz desempeño de sus funciones públicas, podrán auxiliarse de comisiones, de las cuales sus integrantes serán nombrados por el ayuntamiento, a propuesta del presidente </w:t>
      </w:r>
      <w:r>
        <w:rPr>
          <w:rFonts w:ascii="Palatino Linotype" w:hAnsi="Palatino Linotype"/>
          <w:sz w:val="24"/>
          <w:szCs w:val="24"/>
        </w:rPr>
        <w:lastRenderedPageBreak/>
        <w:t>municipal, a más tardar en la tercera sesión ordinaria que celebren al inicio de su gestión.</w:t>
      </w:r>
    </w:p>
    <w:p w:rsidR="00492925" w:rsidRDefault="006B7CD1"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Aunado a lo anterior, </w:t>
      </w:r>
      <w:r w:rsidR="00492925">
        <w:rPr>
          <w:rFonts w:ascii="Palatino Linotype" w:hAnsi="Palatino Linotype"/>
          <w:sz w:val="24"/>
          <w:szCs w:val="24"/>
        </w:rPr>
        <w:t xml:space="preserve">una vez nombrados los </w:t>
      </w:r>
      <w:r w:rsidR="008D08D2">
        <w:rPr>
          <w:rFonts w:ascii="Palatino Linotype" w:hAnsi="Palatino Linotype"/>
          <w:sz w:val="24"/>
          <w:szCs w:val="24"/>
        </w:rPr>
        <w:t>integrantes</w:t>
      </w:r>
      <w:r w:rsidR="00492925">
        <w:rPr>
          <w:rFonts w:ascii="Palatino Linotype" w:hAnsi="Palatino Linotype"/>
          <w:sz w:val="24"/>
          <w:szCs w:val="24"/>
        </w:rPr>
        <w:t xml:space="preserve"> de las comisiones, el presidente de cada comisión tendrá treinta días para convocar a sesión, con la finalidad de llevar a cabo su instalación e inicio de los trabajos.</w:t>
      </w:r>
    </w:p>
    <w:p w:rsidR="009721A3" w:rsidRDefault="00840E04"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Por último es de recordar, que las comisiones determinadas por el ayuntamiento podrán ser permanente y transitorias, de las cuales la de obras públicas y desarrollo urbano, la encontramos en la categoría de comisiones permanente.</w:t>
      </w:r>
    </w:p>
    <w:p w:rsidR="009721A3" w:rsidRDefault="00840E04"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Luego entonces, lo procedente es ordenar la entrega de la copia de integración del Comité de Obras Publicas de Tecámac, ello en virtud de que el sujeto obligado únicamente remitió el nombre de los integrantes de dicha comisión, </w:t>
      </w:r>
      <w:r w:rsidR="0078631B" w:rsidRPr="0078631B">
        <w:rPr>
          <w:rFonts w:ascii="Palatino Linotype" w:hAnsi="Palatino Linotype"/>
          <w:sz w:val="24"/>
          <w:szCs w:val="24"/>
        </w:rPr>
        <w:t>sin anexar el documento soporte de la información, por lo cual no da cabal cumplimiento a la solicitud de acceso, ya que es de recordar que dicho derecho de acceso a la información se satisface mediante la entrega de documentos en los cuales conste la información solicitada.</w:t>
      </w:r>
    </w:p>
    <w:p w:rsidR="004970B2" w:rsidRPr="004970B2" w:rsidRDefault="004970B2"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Así pues, todo acto que conlleve la transgresión de un derecho por parte de la autoridad competente debe contener una debida</w:t>
      </w:r>
      <w:r w:rsidRPr="004970B2">
        <w:rPr>
          <w:rFonts w:ascii="Palatino Linotype" w:hAnsi="Palatino Linotype"/>
          <w:sz w:val="24"/>
          <w:szCs w:val="24"/>
        </w:rPr>
        <w:t xml:space="preserve"> fundamentación y motivación de los actos de autoridad, con la finalidad de evitar decisiones arbitrarias; debiendo establecer el fundamento jurídico en que se basa sus determinaciones y la exposición razonada que justifique clasificación de información. </w:t>
      </w:r>
    </w:p>
    <w:p w:rsidR="004970B2" w:rsidRPr="004970B2" w:rsidRDefault="004970B2" w:rsidP="004970B2">
      <w:pPr>
        <w:spacing w:before="240" w:after="260" w:line="360" w:lineRule="auto"/>
        <w:ind w:right="-232"/>
        <w:jc w:val="both"/>
        <w:rPr>
          <w:rFonts w:ascii="Palatino Linotype" w:eastAsia="Times New Roman" w:hAnsi="Palatino Linotype" w:cs="Times New Roman"/>
          <w:color w:val="000000"/>
          <w:sz w:val="24"/>
          <w:szCs w:val="24"/>
          <w:lang w:eastAsia="es-MX"/>
        </w:rPr>
      </w:pPr>
      <w:r w:rsidRPr="004970B2">
        <w:rPr>
          <w:rFonts w:ascii="Palatino Linotype" w:eastAsia="Times New Roman" w:hAnsi="Palatino Linotype" w:cs="Times New Roman"/>
          <w:color w:val="000000"/>
          <w:sz w:val="24"/>
          <w:szCs w:val="24"/>
          <w:lang w:eastAsia="es-MX"/>
        </w:rPr>
        <w:lastRenderedPageBreak/>
        <w:t>Cobra aplicación la jurisprudencia de la novena época visible en el Semanario Judicial de la Federación y su Gaceta. Instancia: Tribunales Colegiados de Circuito. Tesis I.4o.A.J/43 (9a.) bajo el número de registro 175082 cuyo rubro y texto esgrime:</w:t>
      </w:r>
    </w:p>
    <w:p w:rsidR="004970B2" w:rsidRPr="004970B2" w:rsidRDefault="004970B2" w:rsidP="004970B2">
      <w:pPr>
        <w:spacing w:before="240" w:after="0" w:line="360" w:lineRule="auto"/>
        <w:ind w:left="567" w:right="567"/>
        <w:jc w:val="both"/>
        <w:rPr>
          <w:rFonts w:ascii="Palatino Linotype" w:eastAsia="Times New Roman" w:hAnsi="Palatino Linotype" w:cs="Times New Roman"/>
          <w:b/>
          <w:bCs/>
          <w:i/>
          <w:color w:val="000000"/>
          <w:szCs w:val="24"/>
          <w:lang w:eastAsia="es-MX"/>
        </w:rPr>
      </w:pPr>
      <w:r w:rsidRPr="004970B2">
        <w:rPr>
          <w:rFonts w:ascii="Palatino Linotype" w:eastAsia="Times New Roman" w:hAnsi="Palatino Linotype" w:cs="Times New Roman"/>
          <w:b/>
          <w:bCs/>
          <w:i/>
          <w:color w:val="000000"/>
          <w:szCs w:val="24"/>
          <w:lang w:eastAsia="es-MX"/>
        </w:rPr>
        <w:t>FUNDAMENTACIÓN Y MOTIVACIÓN. EL ASPECTO FORMAL DE LA GARANTÍA Y SU FINALIDAD SE TRADUCEN EN EXPLICAR, JUSTIFICAR, POSIBILITAR LA DEFENSA Y COMUNICAR LA DECISIÓN.</w:t>
      </w:r>
    </w:p>
    <w:p w:rsidR="004970B2" w:rsidRPr="004970B2" w:rsidRDefault="004970B2" w:rsidP="004970B2">
      <w:pPr>
        <w:spacing w:before="240" w:after="0" w:line="360" w:lineRule="auto"/>
        <w:ind w:left="567" w:right="567"/>
        <w:jc w:val="both"/>
        <w:rPr>
          <w:rFonts w:ascii="Palatino Linotype" w:eastAsia="Times New Roman" w:hAnsi="Palatino Linotype" w:cs="Times New Roman"/>
          <w:i/>
          <w:color w:val="000000"/>
          <w:szCs w:val="24"/>
          <w:lang w:eastAsia="es-MX"/>
        </w:rPr>
      </w:pPr>
      <w:r w:rsidRPr="004970B2">
        <w:rPr>
          <w:rFonts w:ascii="Palatino Linotype" w:eastAsia="Times New Roman" w:hAnsi="Palatino Linotype" w:cs="Times New Roman"/>
          <w:i/>
          <w:color w:val="000000"/>
          <w:szCs w:val="24"/>
          <w:lang w:eastAsia="es-MX"/>
        </w:rPr>
        <w:t>El contenido formal de la garantía de legalidad prevista en el artículo </w:t>
      </w:r>
      <w:hyperlink r:id="rId8" w:history="1">
        <w:r w:rsidRPr="004970B2">
          <w:rPr>
            <w:rFonts w:ascii="Palatino Linotype" w:eastAsia="Times New Roman" w:hAnsi="Palatino Linotype" w:cs="Times New Roman"/>
            <w:i/>
            <w:szCs w:val="24"/>
            <w:lang w:eastAsia="es-MX"/>
          </w:rPr>
          <w:t>16 constitucional</w:t>
        </w:r>
      </w:hyperlink>
      <w:r w:rsidRPr="004970B2">
        <w:rPr>
          <w:rFonts w:ascii="Palatino Linotype" w:eastAsia="Times New Roman" w:hAnsi="Palatino Linotype" w:cs="Times New Roman"/>
          <w:i/>
          <w:color w:val="000000"/>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970B2" w:rsidRPr="004970B2" w:rsidRDefault="004970B2" w:rsidP="004970B2">
      <w:pPr>
        <w:tabs>
          <w:tab w:val="left" w:pos="709"/>
        </w:tabs>
        <w:spacing w:before="240" w:line="360" w:lineRule="auto"/>
        <w:jc w:val="both"/>
        <w:rPr>
          <w:rFonts w:ascii="Palatino Linotype" w:hAnsi="Palatino Linotype"/>
          <w:sz w:val="24"/>
          <w:szCs w:val="24"/>
        </w:rPr>
      </w:pPr>
      <w:r w:rsidRPr="004970B2">
        <w:rPr>
          <w:rFonts w:ascii="Palatino Linotype" w:hAnsi="Palatino Linotype"/>
          <w:sz w:val="24"/>
          <w:szCs w:val="24"/>
        </w:rPr>
        <w:t xml:space="preserve">Derecho Humano inmerso en el artículo 8.1 de la Convención Americana de Derechos humanos e interpretado por la Corte Interamericana de Derechos Humanos, en diversos instrumentos como en el </w:t>
      </w:r>
      <w:r w:rsidRPr="004970B2">
        <w:rPr>
          <w:rFonts w:ascii="Palatino Linotype" w:hAnsi="Palatino Linotype"/>
          <w:i/>
          <w:sz w:val="24"/>
          <w:szCs w:val="24"/>
        </w:rPr>
        <w:t>Caso Claude Reyes y otros vs. Chile.</w:t>
      </w:r>
      <w:r w:rsidRPr="004970B2">
        <w:rPr>
          <w:rFonts w:ascii="Palatino Linotype" w:hAnsi="Palatino Linotype"/>
          <w:sz w:val="24"/>
          <w:szCs w:val="24"/>
        </w:rPr>
        <w:t xml:space="preserve"> Fondo, </w:t>
      </w:r>
      <w:r w:rsidRPr="004970B2">
        <w:rPr>
          <w:rFonts w:ascii="Palatino Linotype" w:hAnsi="Palatino Linotype"/>
          <w:sz w:val="24"/>
          <w:szCs w:val="24"/>
        </w:rPr>
        <w:lastRenderedPageBreak/>
        <w:t>reparaciones y costas, Sentencia de 19 de septiembre de 2006. Serie C, num., 151 párrafo 120.</w:t>
      </w:r>
    </w:p>
    <w:p w:rsidR="004970B2" w:rsidRPr="004970B2" w:rsidRDefault="004970B2" w:rsidP="004970B2">
      <w:pPr>
        <w:tabs>
          <w:tab w:val="left" w:pos="709"/>
        </w:tabs>
        <w:spacing w:before="240" w:line="360" w:lineRule="auto"/>
        <w:ind w:left="567" w:right="567"/>
        <w:jc w:val="both"/>
        <w:rPr>
          <w:rFonts w:ascii="Palatino Linotype" w:hAnsi="Palatino Linotype"/>
          <w:i/>
          <w:szCs w:val="24"/>
        </w:rPr>
      </w:pPr>
      <w:r w:rsidRPr="004970B2">
        <w:rPr>
          <w:rFonts w:ascii="Palatino Linotype" w:hAnsi="Palatino Linotype"/>
          <w:i/>
          <w:szCs w:val="24"/>
        </w:rPr>
        <w:t>120. La Corte ha establecido que las decisiones que adopten los órganos internos que puedan afectar derechos humanos deben estar debidamente fundamentadas, pues de lo contrario serían decisiones arbitrarias.</w:t>
      </w:r>
    </w:p>
    <w:p w:rsidR="004970B2" w:rsidRPr="004970B2" w:rsidRDefault="004970B2" w:rsidP="004970B2">
      <w:pPr>
        <w:tabs>
          <w:tab w:val="left" w:pos="709"/>
        </w:tabs>
        <w:spacing w:before="240" w:line="360" w:lineRule="auto"/>
        <w:jc w:val="both"/>
        <w:rPr>
          <w:rFonts w:ascii="Palatino Linotype" w:hAnsi="Palatino Linotype"/>
          <w:sz w:val="24"/>
          <w:szCs w:val="24"/>
        </w:rPr>
      </w:pPr>
      <w:r w:rsidRPr="004970B2">
        <w:rPr>
          <w:rFonts w:ascii="Palatino Linotype" w:hAnsi="Palatino Linotype"/>
          <w:sz w:val="24"/>
          <w:szCs w:val="24"/>
        </w:rPr>
        <w:t xml:space="preserve">Así como en su diverso Caso </w:t>
      </w:r>
      <w:r w:rsidRPr="004970B2">
        <w:rPr>
          <w:rFonts w:ascii="Palatino Linotype" w:hAnsi="Palatino Linotype"/>
          <w:i/>
          <w:sz w:val="24"/>
          <w:szCs w:val="24"/>
        </w:rPr>
        <w:t>Apitz Barbea y otros (Corte Primera de lo Contencioso Administrativo”) vs. Venezuela.</w:t>
      </w:r>
      <w:r w:rsidRPr="004970B2">
        <w:rPr>
          <w:rFonts w:ascii="Palatino Linotype" w:hAnsi="Palatino Linotype"/>
          <w:sz w:val="24"/>
          <w:szCs w:val="24"/>
        </w:rPr>
        <w:t xml:space="preserve"> Excepción preliminar, fondo, reparaciones y costas. Sentencia de 5 de agosto de 2008. Serie C, núm., párrafos 77 y 78.</w:t>
      </w:r>
    </w:p>
    <w:p w:rsidR="004970B2" w:rsidRPr="004970B2" w:rsidRDefault="004970B2" w:rsidP="004970B2">
      <w:pPr>
        <w:tabs>
          <w:tab w:val="left" w:pos="709"/>
        </w:tabs>
        <w:spacing w:before="240" w:line="360" w:lineRule="auto"/>
        <w:ind w:left="567" w:right="567"/>
        <w:jc w:val="both"/>
        <w:rPr>
          <w:rFonts w:ascii="Palatino Linotype" w:hAnsi="Palatino Linotype"/>
          <w:i/>
          <w:szCs w:val="24"/>
        </w:rPr>
      </w:pPr>
      <w:r w:rsidRPr="004970B2">
        <w:rPr>
          <w:rFonts w:ascii="Palatino Linotype" w:hAnsi="Palatino Linotype"/>
          <w:i/>
          <w:szCs w:val="24"/>
        </w:rPr>
        <w:t>77. La Corte ha señalado que la motivación “es la exteriorización de la justificación razonada que permite llegar a una conclusión”. El deber de motivar las resoluciones es una garantía vinculada con la correcta administración de justicia, que protege el derecho de los ciudadanos a ser juzgados por las razones que el Derecho suministra, y otorga credibilidad de las decisiones jurídicas en el marco de una sociedad democrática.</w:t>
      </w:r>
    </w:p>
    <w:p w:rsidR="00ED18B6" w:rsidRDefault="004970B2" w:rsidP="004970B2">
      <w:pPr>
        <w:tabs>
          <w:tab w:val="left" w:pos="709"/>
        </w:tabs>
        <w:spacing w:before="240" w:line="360" w:lineRule="auto"/>
        <w:ind w:left="567" w:right="567"/>
        <w:jc w:val="both"/>
        <w:rPr>
          <w:rFonts w:ascii="Palatino Linotype" w:hAnsi="Palatino Linotype"/>
          <w:i/>
          <w:szCs w:val="24"/>
        </w:rPr>
      </w:pPr>
      <w:r w:rsidRPr="004970B2">
        <w:rPr>
          <w:rFonts w:ascii="Palatino Linotype" w:hAnsi="Palatino Linotype"/>
          <w:i/>
          <w:szCs w:val="24"/>
        </w:rPr>
        <w:t>78. El Tribunal ha resaltado que las decisiones que adopten los órganos internos que puedan afectar derechos humanos deben estar debidamente fundamentadas, pues de lo contrario serían decisiones arbitrarias. En este sentido, la argumentación de un fallo debe mostrar que han sido debidamente tomados en cuenta los alegatos de las partes y que el conjunto de pruebas ha sido analizado. Asimismo, la motivación demuestra a las partes que éstas han sido oídas y, en aquellos casos en que las decisiones son recurribles, les proporciona la posibilidad de criticar la resolución y lograr un nuevo examen de la cuestión ante las instancias superiores. Por todo ello, el deber de motivación es una de las “debidas garantías” incluidas en el artículo 8.1 para salvaguardar el derecho a un debido proceso.</w:t>
      </w:r>
    </w:p>
    <w:p w:rsidR="0078631B" w:rsidRDefault="0078631B">
      <w:pPr>
        <w:rPr>
          <w:rFonts w:ascii="Palatino Linotype" w:hAnsi="Palatino Linotype"/>
          <w:i/>
          <w:szCs w:val="24"/>
        </w:rPr>
      </w:pPr>
      <w:r>
        <w:rPr>
          <w:rFonts w:ascii="Palatino Linotype" w:hAnsi="Palatino Linotype"/>
          <w:i/>
          <w:szCs w:val="24"/>
        </w:rPr>
        <w:br w:type="page"/>
      </w:r>
    </w:p>
    <w:p w:rsidR="0078631B" w:rsidRDefault="0078631B"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lastRenderedPageBreak/>
        <w:t>Así pues, como se desprende de lo anterior</w:t>
      </w:r>
      <w:r w:rsidR="001A63EA">
        <w:rPr>
          <w:rFonts w:ascii="Palatino Linotype" w:hAnsi="Palatino Linotype"/>
          <w:sz w:val="24"/>
          <w:szCs w:val="24"/>
        </w:rPr>
        <w:t>,</w:t>
      </w:r>
      <w:r>
        <w:rPr>
          <w:rFonts w:ascii="Palatino Linotype" w:hAnsi="Palatino Linotype"/>
          <w:sz w:val="24"/>
          <w:szCs w:val="24"/>
        </w:rPr>
        <w:t xml:space="preserve"> ante la negativa del sujeto obligado de no entregar la copia de la integración del Comité de Obras Públicas, </w:t>
      </w:r>
      <w:r w:rsidR="001A63EA">
        <w:rPr>
          <w:rFonts w:ascii="Palatino Linotype" w:hAnsi="Palatino Linotype"/>
          <w:sz w:val="24"/>
          <w:szCs w:val="24"/>
        </w:rPr>
        <w:t>debió fundamentar y motivar el porqué de su negativa para poder entregar el documento solicitado por el recurrente, o en su caso derivado que es un documento oficial para dar cuenta de la integración de un Organismo Auxiliar del Ayuntamiento se denota a todas luces que es un documento de interés público, por lo cual no procedería su clasificación y en el caso de que contenga datos que sean susceptibles de clasificarse, podrá entregarse en versión pública, tomando en cuenta las siguientes consideraciones.</w:t>
      </w:r>
    </w:p>
    <w:p w:rsidR="001A63EA" w:rsidRPr="0078631B" w:rsidRDefault="001A63EA" w:rsidP="0078631B">
      <w:pPr>
        <w:tabs>
          <w:tab w:val="left" w:pos="709"/>
        </w:tabs>
        <w:spacing w:before="240" w:line="360" w:lineRule="auto"/>
        <w:ind w:right="567"/>
        <w:jc w:val="both"/>
        <w:rPr>
          <w:rFonts w:ascii="Palatino Linotype" w:hAnsi="Palatino Linotype"/>
          <w:sz w:val="24"/>
          <w:szCs w:val="24"/>
        </w:rPr>
      </w:pPr>
    </w:p>
    <w:p w:rsidR="00CA2EAB" w:rsidRPr="004970B2" w:rsidRDefault="00CA2EAB" w:rsidP="009D1CEC">
      <w:pPr>
        <w:pStyle w:val="Prrafodelista"/>
        <w:numPr>
          <w:ilvl w:val="0"/>
          <w:numId w:val="22"/>
        </w:numPr>
        <w:tabs>
          <w:tab w:val="left" w:pos="709"/>
        </w:tabs>
        <w:spacing w:before="240" w:line="360" w:lineRule="auto"/>
        <w:ind w:right="51"/>
        <w:jc w:val="both"/>
        <w:rPr>
          <w:rFonts w:ascii="Palatino Linotype" w:hAnsi="Palatino Linotype" w:cs="Arial"/>
          <w:b/>
          <w:sz w:val="28"/>
        </w:rPr>
      </w:pPr>
      <w:r w:rsidRPr="004970B2">
        <w:rPr>
          <w:rFonts w:ascii="Palatino Linotype" w:hAnsi="Palatino Linotype" w:cs="Arial"/>
          <w:b/>
          <w:sz w:val="28"/>
        </w:rPr>
        <w:t xml:space="preserve">De la Versión Pública </w:t>
      </w:r>
    </w:p>
    <w:p w:rsidR="00CA2EAB" w:rsidRPr="00CA2EAB" w:rsidRDefault="00CA2EAB" w:rsidP="00CA2EAB">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CA2EAB" w:rsidRPr="00CA2EAB" w:rsidRDefault="00CA2EAB" w:rsidP="00CA2EAB">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 xml:space="preserve">Por lo anterior, tomando en cuenta que dentro de la información señalada en el párrafo que antecede pudieran actualizarse supuestos para clasificar la información como confidencial o, en su caso, reservada y en el entendido de que este Instituto debe </w:t>
      </w:r>
      <w:r w:rsidRPr="00CA2EAB">
        <w:rPr>
          <w:rFonts w:ascii="Palatino Linotype" w:hAnsi="Palatino Linotype"/>
          <w:sz w:val="24"/>
        </w:rPr>
        <w:lastRenderedPageBreak/>
        <w:t>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CA2EAB" w:rsidRDefault="00CA2EAB" w:rsidP="00CA2EAB">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CA2EAB" w:rsidRPr="00874DBF" w:rsidRDefault="00CA2EAB" w:rsidP="00CA2EAB">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Por lo tanto, en el supuesto de que en la </w:t>
      </w:r>
      <w:r w:rsidR="00E64812">
        <w:rPr>
          <w:rFonts w:ascii="Palatino Linotype" w:hAnsi="Palatino Linotype"/>
          <w:sz w:val="24"/>
        </w:rPr>
        <w:t>información</w:t>
      </w:r>
      <w:r>
        <w:rPr>
          <w:rFonts w:ascii="Palatino Linotype" w:hAnsi="Palatino Linotype"/>
          <w:sz w:val="24"/>
        </w:rPr>
        <w:t xml:space="preserve"> que le sea remitida al recurrente </w:t>
      </w:r>
      <w:r w:rsidR="00E64812">
        <w:rPr>
          <w:rFonts w:ascii="Palatino Linotype" w:hAnsi="Palatino Linotype"/>
          <w:sz w:val="24"/>
        </w:rPr>
        <w:t>contenga datos que puedan ser susceptibles de clasificarse, el sujeto obligado deberá de remitir su acuerdo de clasificación debidamente fundado y motivado, emitido por el comité de transparencia, en términos del marco normativo aplicable.</w:t>
      </w:r>
    </w:p>
    <w:p w:rsidR="00A14C6B" w:rsidRDefault="00A14C6B" w:rsidP="00A14C6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sidR="004F6D37">
        <w:rPr>
          <w:rFonts w:ascii="Palatino Linotype" w:hAnsi="Palatino Linotype"/>
          <w:sz w:val="24"/>
          <w:szCs w:val="24"/>
        </w:rPr>
        <w:t xml:space="preserve">parcialmente </w:t>
      </w:r>
      <w:r>
        <w:rPr>
          <w:rFonts w:ascii="Palatino Linotype" w:hAnsi="Palatino Linotype"/>
          <w:sz w:val="24"/>
          <w:szCs w:val="24"/>
        </w:rPr>
        <w:t xml:space="preserve">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E64812">
        <w:rPr>
          <w:rFonts w:ascii="Palatino Linotype" w:hAnsi="Palatino Linotype" w:cs="Arial"/>
          <w:b/>
          <w:sz w:val="24"/>
        </w:rPr>
        <w:t xml:space="preserve">primera </w:t>
      </w:r>
      <w:r>
        <w:rPr>
          <w:rFonts w:ascii="Palatino Linotype" w:hAnsi="Palatino Linotype" w:cs="Arial"/>
          <w:b/>
          <w:sz w:val="24"/>
        </w:rPr>
        <w:t>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CA2EAB">
        <w:rPr>
          <w:rFonts w:ascii="Palatino Linotype" w:hAnsi="Palatino Linotype" w:cs="Arial"/>
          <w:b/>
          <w:sz w:val="24"/>
        </w:rPr>
        <w:t>REVOCA</w:t>
      </w:r>
      <w:r>
        <w:rPr>
          <w:rFonts w:ascii="Palatino Linotype" w:hAnsi="Palatino Linotype" w:cs="Arial"/>
          <w:b/>
          <w:sz w:val="24"/>
        </w:rPr>
        <w:t xml:space="preserve"> </w:t>
      </w:r>
      <w:r>
        <w:rPr>
          <w:rFonts w:ascii="Palatino Linotype" w:hAnsi="Palatino Linotype" w:cs="Arial"/>
          <w:sz w:val="24"/>
        </w:rPr>
        <w:t xml:space="preserve">la respuesta otorgada a la solicitud de información con número de folio </w:t>
      </w:r>
      <w:r w:rsidR="004970B2" w:rsidRPr="00A82CB6">
        <w:rPr>
          <w:rFonts w:ascii="Palatino Linotype" w:hAnsi="Palatino Linotype" w:cs="Arial"/>
          <w:b/>
          <w:sz w:val="24"/>
        </w:rPr>
        <w:t>00045/ATIZARA/IP/2019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A14C6B" w:rsidRDefault="00A14C6B" w:rsidP="00A14C6B">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A63EA" w:rsidRDefault="001A63EA" w:rsidP="00A14C6B">
      <w:pPr>
        <w:spacing w:before="240" w:line="360" w:lineRule="auto"/>
        <w:jc w:val="center"/>
        <w:rPr>
          <w:rFonts w:ascii="Palatino Linotype" w:eastAsia="Times New Roman" w:hAnsi="Palatino Linotype"/>
          <w:b/>
          <w:bCs/>
          <w:spacing w:val="60"/>
          <w:sz w:val="28"/>
          <w:lang w:val="es-ES_tradnl"/>
        </w:rPr>
      </w:pPr>
    </w:p>
    <w:p w:rsidR="00A14C6B" w:rsidRDefault="00A14C6B" w:rsidP="00A14C6B">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1A63EA" w:rsidRDefault="001A63EA" w:rsidP="00A14C6B">
      <w:pPr>
        <w:spacing w:before="240" w:line="360" w:lineRule="auto"/>
        <w:jc w:val="center"/>
        <w:rPr>
          <w:rFonts w:ascii="Palatino Linotype" w:eastAsia="Times New Roman" w:hAnsi="Palatino Linotype"/>
          <w:b/>
          <w:bCs/>
          <w:spacing w:val="60"/>
          <w:sz w:val="28"/>
          <w:lang w:val="es-ES_tradnl"/>
        </w:rPr>
      </w:pPr>
    </w:p>
    <w:p w:rsidR="00E64812" w:rsidRPr="00921CA9" w:rsidRDefault="00A14C6B" w:rsidP="00A14C6B">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E64812">
        <w:rPr>
          <w:rFonts w:ascii="Palatino Linotype" w:hAnsi="Palatino Linotype" w:cs="Arial"/>
          <w:b/>
          <w:sz w:val="24"/>
          <w:szCs w:val="24"/>
          <w:lang w:val="es-ES_tradnl"/>
        </w:rPr>
        <w:t>REVOCA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5D257F" w:rsidRPr="008125ED">
        <w:rPr>
          <w:rFonts w:ascii="Palatino Linotype" w:hAnsi="Palatino Linotype" w:cs="Arial"/>
          <w:b/>
          <w:sz w:val="24"/>
        </w:rPr>
        <w:t>00227/TECAMAC/IP/2019</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A14C6B" w:rsidRDefault="00A14C6B" w:rsidP="00A14C6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7A28AC">
        <w:rPr>
          <w:rFonts w:ascii="Palatino Linotype" w:hAnsi="Palatino Linotype" w:cs="Arial"/>
          <w:sz w:val="24"/>
          <w:szCs w:val="24"/>
        </w:rPr>
        <w:t xml:space="preserve"> a través del SAIMEX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sidR="007A28AC" w:rsidRPr="007A28AC">
        <w:rPr>
          <w:rFonts w:ascii="Palatino Linotype" w:hAnsi="Palatino Linotype" w:cs="Arial"/>
          <w:sz w:val="24"/>
          <w:szCs w:val="24"/>
        </w:rPr>
        <w:t xml:space="preserve"> </w:t>
      </w:r>
      <w:r w:rsidR="007A28AC">
        <w:rPr>
          <w:rFonts w:ascii="Palatino Linotype" w:hAnsi="Palatino Linotype" w:cs="Arial"/>
          <w:sz w:val="24"/>
          <w:szCs w:val="24"/>
        </w:rPr>
        <w:t xml:space="preserve">y en versión </w:t>
      </w:r>
      <w:r w:rsidR="004970B2">
        <w:rPr>
          <w:rFonts w:ascii="Palatino Linotype" w:hAnsi="Palatino Linotype" w:cs="Arial"/>
          <w:sz w:val="24"/>
          <w:szCs w:val="24"/>
        </w:rPr>
        <w:t>pública</w:t>
      </w:r>
      <w:r w:rsidR="007A28AC">
        <w:rPr>
          <w:rFonts w:ascii="Palatino Linotype" w:hAnsi="Palatino Linotype" w:cs="Arial"/>
          <w:sz w:val="24"/>
          <w:szCs w:val="24"/>
        </w:rPr>
        <w:t xml:space="preserve"> en caso de ser procedente de lo siguiente</w:t>
      </w:r>
      <w:r>
        <w:rPr>
          <w:rFonts w:ascii="Palatino Linotype" w:hAnsi="Palatino Linotype" w:cs="Arial"/>
          <w:sz w:val="24"/>
          <w:szCs w:val="24"/>
        </w:rPr>
        <w:t>:</w:t>
      </w:r>
    </w:p>
    <w:p w:rsidR="004970B2" w:rsidRPr="004970B2" w:rsidRDefault="00FB77BB" w:rsidP="00A14CB7">
      <w:pPr>
        <w:pStyle w:val="Prrafodelista"/>
        <w:numPr>
          <w:ilvl w:val="0"/>
          <w:numId w:val="24"/>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Documento o documentos en donde conste</w:t>
      </w:r>
      <w:r w:rsidR="001A63EA">
        <w:rPr>
          <w:rFonts w:ascii="Palatino Linotype" w:hAnsi="Palatino Linotype" w:cs="Arial"/>
          <w:i/>
        </w:rPr>
        <w:t xml:space="preserve"> la Integración del Comité de Obras Publicas del Ayuntamiento de Tecámac 2019-2021.</w:t>
      </w:r>
    </w:p>
    <w:p w:rsidR="00E64812" w:rsidRDefault="00E64812" w:rsidP="00A14C6B">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E64812">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E64812" w:rsidRDefault="00A14C6B" w:rsidP="00A14C6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 xml:space="preserve">días </w:t>
      </w:r>
      <w:r w:rsidRPr="00F31631">
        <w:rPr>
          <w:rFonts w:ascii="Palatino Linotype" w:hAnsi="Palatino Linotype" w:cs="Arial"/>
          <w:sz w:val="24"/>
          <w:szCs w:val="24"/>
        </w:rPr>
        <w:lastRenderedPageBreak/>
        <w:t>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E64812" w:rsidRDefault="00E64812" w:rsidP="00E64812">
      <w:pPr>
        <w:autoSpaceDE w:val="0"/>
        <w:autoSpaceDN w:val="0"/>
        <w:adjustRightInd w:val="0"/>
        <w:spacing w:before="240" w:line="360" w:lineRule="auto"/>
        <w:jc w:val="both"/>
        <w:rPr>
          <w:rFonts w:ascii="Palatino Linotype" w:hAnsi="Palatino Linotype"/>
          <w:color w:val="222222"/>
          <w:sz w:val="24"/>
          <w:szCs w:val="24"/>
          <w:shd w:val="clear" w:color="auto" w:fill="FFFFFF"/>
          <w:lang w:val="es-ES"/>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1A63EA" w:rsidRDefault="001A63EA" w:rsidP="00E64812">
      <w:pPr>
        <w:autoSpaceDE w:val="0"/>
        <w:autoSpaceDN w:val="0"/>
        <w:adjustRightInd w:val="0"/>
        <w:spacing w:before="240" w:line="360" w:lineRule="auto"/>
        <w:jc w:val="both"/>
        <w:rPr>
          <w:rFonts w:ascii="Palatino Linotype" w:hAnsi="Palatino Linotype"/>
          <w:color w:val="222222"/>
          <w:sz w:val="24"/>
          <w:szCs w:val="24"/>
          <w:shd w:val="clear" w:color="auto" w:fill="FFFFFF"/>
          <w:lang w:val="es-ES"/>
        </w:rPr>
      </w:pPr>
    </w:p>
    <w:p w:rsidR="00BE503B" w:rsidRDefault="000C5278" w:rsidP="000C5278">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w:t>
      </w:r>
      <w:r w:rsidR="00BE503B">
        <w:rPr>
          <w:rFonts w:ascii="Palatino Linotype" w:hAnsi="Palatino Linotype" w:cs="Arial"/>
          <w:sz w:val="24"/>
          <w:szCs w:val="24"/>
        </w:rPr>
        <w:t xml:space="preserve">AUSENCIA JUSTIFICADA </w:t>
      </w:r>
      <w:r>
        <w:rPr>
          <w:rFonts w:ascii="Palatino Linotype" w:hAnsi="Palatino Linotype" w:cs="Arial"/>
          <w:sz w:val="24"/>
          <w:szCs w:val="24"/>
        </w:rPr>
        <w:t xml:space="preserve">Y </w:t>
      </w:r>
      <w:r w:rsidRPr="00E07455">
        <w:rPr>
          <w:rFonts w:ascii="Palatino Linotype" w:hAnsi="Palatino Linotype" w:cs="Arial"/>
          <w:sz w:val="24"/>
          <w:szCs w:val="24"/>
        </w:rPr>
        <w:t>LUIS GUSTAVO PARRA NORIEGA</w:t>
      </w:r>
      <w:r w:rsidR="00BE503B">
        <w:rPr>
          <w:rFonts w:ascii="Palatino Linotype" w:hAnsi="Palatino Linotype" w:cs="Arial"/>
          <w:sz w:val="24"/>
          <w:szCs w:val="24"/>
        </w:rPr>
        <w:t xml:space="preserve"> AUSENCIA JUSTIFICADA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 xml:space="preserve">DÉCIMO </w:t>
      </w:r>
      <w:r w:rsidR="006F512E">
        <w:rPr>
          <w:rFonts w:ascii="Palatino Linotype" w:hAnsi="Palatino Linotype" w:cs="Arial"/>
          <w:sz w:val="24"/>
          <w:szCs w:val="24"/>
        </w:rPr>
        <w:t>NOVENA</w:t>
      </w:r>
      <w:r>
        <w:rPr>
          <w:rFonts w:ascii="Palatino Linotype" w:hAnsi="Palatino Linotype" w:cs="Arial"/>
          <w:sz w:val="24"/>
          <w:szCs w:val="24"/>
        </w:rPr>
        <w:t xml:space="preserve">  SESIÓN ORDINARIA CELEBRADA EL </w:t>
      </w:r>
      <w:r w:rsidR="006F512E">
        <w:rPr>
          <w:rFonts w:ascii="Palatino Linotype" w:eastAsia="Times New Roman" w:hAnsi="Palatino Linotype" w:cs="Arial"/>
          <w:color w:val="000000"/>
          <w:sz w:val="24"/>
          <w:szCs w:val="24"/>
          <w:lang w:eastAsia="es-MX"/>
        </w:rPr>
        <w:t xml:space="preserve">VEINTIDÓS DE MAYO </w:t>
      </w:r>
      <w:r w:rsidRPr="0024637B">
        <w:rPr>
          <w:rFonts w:ascii="Palatino Linotype" w:hAnsi="Palatino Linotype" w:cs="Arial"/>
          <w:sz w:val="24"/>
          <w:szCs w:val="24"/>
        </w:rPr>
        <w:t>DE DOS MIL DIECI</w:t>
      </w:r>
      <w:r>
        <w:rPr>
          <w:rFonts w:ascii="Palatino Linotype" w:hAnsi="Palatino Linotype" w:cs="Arial"/>
          <w:sz w:val="24"/>
          <w:szCs w:val="24"/>
        </w:rPr>
        <w:t>NUEVE</w:t>
      </w:r>
      <w:r w:rsidR="00F44F06" w:rsidRPr="0024637B">
        <w:rPr>
          <w:rFonts w:ascii="Palatino Linotype" w:hAnsi="Palatino Linotype" w:cs="Arial"/>
          <w:sz w:val="24"/>
          <w:szCs w:val="24"/>
        </w:rPr>
        <w:t xml:space="preserve">, ANTE </w:t>
      </w:r>
      <w:r w:rsidR="00F44F06">
        <w:rPr>
          <w:rFonts w:ascii="Palatino Linotype" w:hAnsi="Palatino Linotype" w:cs="Arial"/>
          <w:sz w:val="24"/>
          <w:szCs w:val="24"/>
        </w:rPr>
        <w:t>EL</w:t>
      </w:r>
      <w:r w:rsidR="00F44F06" w:rsidRPr="0024637B">
        <w:rPr>
          <w:rFonts w:ascii="Palatino Linotype" w:hAnsi="Palatino Linotype" w:cs="Arial"/>
          <w:sz w:val="24"/>
          <w:szCs w:val="24"/>
        </w:rPr>
        <w:t xml:space="preserve"> SECRETARI</w:t>
      </w:r>
      <w:r w:rsidR="00F44F06">
        <w:rPr>
          <w:rFonts w:ascii="Palatino Linotype" w:hAnsi="Palatino Linotype" w:cs="Arial"/>
          <w:sz w:val="24"/>
          <w:szCs w:val="24"/>
        </w:rPr>
        <w:t>O</w:t>
      </w:r>
      <w:r w:rsidR="00F44F06" w:rsidRPr="0024637B">
        <w:rPr>
          <w:rFonts w:ascii="Palatino Linotype" w:hAnsi="Palatino Linotype" w:cs="Arial"/>
          <w:sz w:val="24"/>
          <w:szCs w:val="24"/>
        </w:rPr>
        <w:t xml:space="preserve"> TÉCNIC</w:t>
      </w:r>
      <w:r w:rsidR="00F44F06">
        <w:rPr>
          <w:rFonts w:ascii="Palatino Linotype" w:hAnsi="Palatino Linotype" w:cs="Arial"/>
          <w:sz w:val="24"/>
          <w:szCs w:val="24"/>
        </w:rPr>
        <w:t>O</w:t>
      </w:r>
      <w:r w:rsidR="00F44F06" w:rsidRPr="0024637B">
        <w:rPr>
          <w:rFonts w:ascii="Palatino Linotype" w:hAnsi="Palatino Linotype" w:cs="Arial"/>
          <w:sz w:val="24"/>
          <w:szCs w:val="24"/>
        </w:rPr>
        <w:t xml:space="preserve"> DEL PLENO, </w:t>
      </w:r>
      <w:r w:rsidR="00F44F06" w:rsidRPr="00B86F1F">
        <w:rPr>
          <w:rFonts w:ascii="Palatino Linotype" w:hAnsi="Palatino Linotype" w:cs="Arial"/>
          <w:sz w:val="24"/>
          <w:szCs w:val="24"/>
        </w:rPr>
        <w:t>ALEXIS TAPIA RAMÍREZ</w:t>
      </w:r>
      <w:r w:rsidR="00F44F06">
        <w:rPr>
          <w:rFonts w:ascii="Palatino Linotype" w:hAnsi="Palatino Linotype" w:cs="Arial"/>
          <w:sz w:val="24"/>
          <w:szCs w:val="24"/>
        </w:rPr>
        <w:t>.------------------------</w:t>
      </w:r>
      <w:r w:rsidR="003E4FE1">
        <w:rPr>
          <w:rFonts w:ascii="Palatino Linotype" w:hAnsi="Palatino Linotype" w:cs="Arial"/>
          <w:sz w:val="24"/>
          <w:szCs w:val="24"/>
        </w:rPr>
        <w:t>-</w:t>
      </w:r>
      <w:r w:rsidR="00F44F06">
        <w:rPr>
          <w:rFonts w:ascii="Palatino Linotype" w:hAnsi="Palatino Linotype" w:cs="Arial"/>
          <w:sz w:val="24"/>
          <w:szCs w:val="24"/>
        </w:rPr>
        <w:t>----------</w:t>
      </w:r>
      <w:r w:rsidR="001A63EA">
        <w:rPr>
          <w:rFonts w:ascii="Palatino Linotype" w:hAnsi="Palatino Linotype" w:cs="Arial"/>
          <w:sz w:val="24"/>
          <w:szCs w:val="24"/>
        </w:rPr>
        <w:t>-------------------------------------------------------------------------------------------------------------------------------------------------------------------------------------------------------------------------------------------------------------------------------------------------------------------------------------------------------------------------------------------------------------------------------------------------------------------------------------------------------------------------------------------------------------------------------------------------------------------------------------------------------------------------------------------</w:t>
      </w:r>
    </w:p>
    <w:p w:rsidR="00BE503B" w:rsidRDefault="00BE503B" w:rsidP="000C5278">
      <w:pPr>
        <w:spacing w:after="0" w:line="360" w:lineRule="auto"/>
        <w:jc w:val="both"/>
        <w:rPr>
          <w:rFonts w:ascii="Palatino Linotype" w:hAnsi="Palatino Linotype" w:cs="Arial"/>
          <w:sz w:val="24"/>
          <w:szCs w:val="24"/>
        </w:rPr>
      </w:pPr>
    </w:p>
    <w:p w:rsidR="000C5278" w:rsidRDefault="00BE503B" w:rsidP="000C5278">
      <w:pPr>
        <w:spacing w:after="0" w:line="360" w:lineRule="auto"/>
        <w:jc w:val="both"/>
        <w:rPr>
          <w:rFonts w:ascii="Palatino Linotype" w:hAnsi="Palatino Linotype"/>
        </w:rPr>
      </w:pPr>
      <w:r>
        <w:rPr>
          <w:rFonts w:ascii="Palatino Linotype" w:hAnsi="Palatino Linotype"/>
        </w:rPr>
        <w:lastRenderedPageBreak/>
        <w:t xml:space="preserve"> </w:t>
      </w: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3E4FE1"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posOffset>9525</wp:posOffset>
                </wp:positionH>
                <wp:positionV relativeFrom="paragraph">
                  <wp:posOffset>205105</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7" type="#_x0000_t202" style="position:absolute;margin-left:.75pt;margin-top:16.15pt;width:153pt;height:7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posOffset>3188970</wp:posOffset>
                </wp:positionH>
                <wp:positionV relativeFrom="paragraph">
                  <wp:posOffset>205105</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8" type="#_x0000_t202" style="position:absolute;margin-left:251.1pt;margin-top:16.15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p>
    <w:p w:rsidR="00A459D0"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840DD9" w:rsidRDefault="00A459D0" w:rsidP="00A459D0">
                            <w:pPr>
                              <w:spacing w:line="240" w:lineRule="auto"/>
                              <w:jc w:val="center"/>
                              <w:rPr>
                                <w:rFonts w:ascii="Palatino Linotype" w:hAnsi="Palatino Linotype"/>
                                <w:b/>
                                <w:sz w:val="24"/>
                                <w:szCs w:val="24"/>
                              </w:rPr>
                            </w:pPr>
                            <w:r w:rsidRPr="00840DD9">
                              <w:rPr>
                                <w:rFonts w:ascii="Palatino Linotype" w:hAnsi="Palatino Linotype"/>
                                <w:b/>
                                <w:sz w:val="24"/>
                                <w:szCs w:val="24"/>
                              </w:rPr>
                              <w:t>(</w:t>
                            </w:r>
                            <w:r w:rsidR="00BE503B" w:rsidRPr="00840DD9">
                              <w:rPr>
                                <w:rFonts w:ascii="Palatino Linotype" w:hAnsi="Palatino Linotype" w:cs="Arial"/>
                                <w:b/>
                                <w:sz w:val="24"/>
                                <w:szCs w:val="24"/>
                              </w:rPr>
                              <w:t>Ausencia Justificada</w:t>
                            </w:r>
                            <w:r w:rsidRPr="00840DD9">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2A91" id="_x0000_t202" coordsize="21600,21600" o:spt="202" path="m,l,21600r21600,l21600,xe">
                <v:stroke joinstyle="miter"/>
                <v:path gradientshapeok="t" o:connecttype="rect"/>
              </v:shapetype>
              <v:shap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840DD9" w:rsidRDefault="00A459D0" w:rsidP="00A459D0">
                      <w:pPr>
                        <w:spacing w:line="240" w:lineRule="auto"/>
                        <w:jc w:val="center"/>
                        <w:rPr>
                          <w:rFonts w:ascii="Palatino Linotype" w:hAnsi="Palatino Linotype"/>
                          <w:b/>
                          <w:sz w:val="24"/>
                          <w:szCs w:val="24"/>
                        </w:rPr>
                      </w:pPr>
                      <w:r w:rsidRPr="00840DD9">
                        <w:rPr>
                          <w:rFonts w:ascii="Palatino Linotype" w:hAnsi="Palatino Linotype"/>
                          <w:b/>
                          <w:sz w:val="24"/>
                          <w:szCs w:val="24"/>
                        </w:rPr>
                        <w:t>(</w:t>
                      </w:r>
                      <w:r w:rsidR="00BE503B" w:rsidRPr="00840DD9">
                        <w:rPr>
                          <w:rFonts w:ascii="Palatino Linotype" w:hAnsi="Palatino Linotype" w:cs="Arial"/>
                          <w:b/>
                          <w:sz w:val="24"/>
                          <w:szCs w:val="24"/>
                        </w:rPr>
                        <w:t>Ausencia Justificada</w:t>
                      </w:r>
                      <w:r w:rsidRPr="00840DD9">
                        <w:rPr>
                          <w:rFonts w:ascii="Palatino Linotype" w:hAnsi="Palatino Linotype"/>
                          <w:b/>
                          <w:sz w:val="24"/>
                          <w:szCs w:val="24"/>
                        </w:rPr>
                        <w:t>).</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840DD9" w:rsidRDefault="00A459D0" w:rsidP="00A459D0">
                            <w:pPr>
                              <w:spacing w:line="240" w:lineRule="auto"/>
                              <w:jc w:val="center"/>
                              <w:rPr>
                                <w:rFonts w:ascii="Palatino Linotype" w:hAnsi="Palatino Linotype"/>
                                <w:b/>
                                <w:sz w:val="24"/>
                                <w:szCs w:val="24"/>
                              </w:rPr>
                            </w:pPr>
                            <w:r w:rsidRPr="00840DD9">
                              <w:rPr>
                                <w:rFonts w:ascii="Palatino Linotype" w:hAnsi="Palatino Linotype"/>
                                <w:b/>
                                <w:sz w:val="24"/>
                                <w:szCs w:val="24"/>
                              </w:rPr>
                              <w:t>(</w:t>
                            </w:r>
                            <w:r w:rsidR="00BE503B" w:rsidRPr="00840DD9">
                              <w:rPr>
                                <w:rFonts w:ascii="Palatino Linotype" w:hAnsi="Palatino Linotype" w:cs="Arial"/>
                                <w:b/>
                                <w:sz w:val="24"/>
                                <w:szCs w:val="24"/>
                              </w:rPr>
                              <w:t>Ausencia Justificada</w:t>
                            </w:r>
                            <w:r w:rsidRPr="00840DD9">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840DD9" w:rsidRDefault="00A459D0" w:rsidP="00A459D0">
                      <w:pPr>
                        <w:spacing w:line="240" w:lineRule="auto"/>
                        <w:jc w:val="center"/>
                        <w:rPr>
                          <w:rFonts w:ascii="Palatino Linotype" w:hAnsi="Palatino Linotype"/>
                          <w:b/>
                          <w:sz w:val="24"/>
                          <w:szCs w:val="24"/>
                        </w:rPr>
                      </w:pPr>
                      <w:r w:rsidRPr="00840DD9">
                        <w:rPr>
                          <w:rFonts w:ascii="Palatino Linotype" w:hAnsi="Palatino Linotype"/>
                          <w:b/>
                          <w:sz w:val="24"/>
                          <w:szCs w:val="24"/>
                        </w:rPr>
                        <w:t>(</w:t>
                      </w:r>
                      <w:r w:rsidR="00BE503B" w:rsidRPr="00840DD9">
                        <w:rPr>
                          <w:rFonts w:ascii="Palatino Linotype" w:hAnsi="Palatino Linotype" w:cs="Arial"/>
                          <w:b/>
                          <w:sz w:val="24"/>
                          <w:szCs w:val="24"/>
                        </w:rPr>
                        <w:t>Ausencia Justificada</w:t>
                      </w:r>
                      <w:r w:rsidRPr="00840DD9">
                        <w:rPr>
                          <w:rFonts w:ascii="Palatino Linotype" w:hAnsi="Palatino Linotype"/>
                          <w:b/>
                          <w:sz w:val="24"/>
                          <w:szCs w:val="24"/>
                        </w:rPr>
                        <w:t>).</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52045B" w:rsidP="00A459D0">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82993</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6.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52045B" w:rsidRDefault="0052045B" w:rsidP="0052045B">
      <w:pPr>
        <w:spacing w:after="0" w:line="276" w:lineRule="auto"/>
        <w:jc w:val="both"/>
        <w:rPr>
          <w:rFonts w:ascii="Palatino Linotype" w:hAnsi="Palatino Linotype" w:cs="Arial"/>
          <w:sz w:val="16"/>
          <w:szCs w:val="16"/>
        </w:rPr>
      </w:pPr>
    </w:p>
    <w:p w:rsidR="00A459D0" w:rsidRPr="0052045B" w:rsidRDefault="00A459D0" w:rsidP="0052045B">
      <w:pPr>
        <w:spacing w:after="0" w:line="276" w:lineRule="auto"/>
        <w:jc w:val="both"/>
        <w:rPr>
          <w:rFonts w:ascii="Palatino Linotype" w:hAnsi="Palatino Linotype" w:cs="Arial"/>
          <w:sz w:val="18"/>
          <w:szCs w:val="16"/>
        </w:rPr>
      </w:pPr>
      <w:r w:rsidRPr="0052045B">
        <w:rPr>
          <w:rFonts w:ascii="Palatino Linotype" w:hAnsi="Palatino Linotype" w:cs="Arial"/>
          <w:sz w:val="18"/>
          <w:szCs w:val="16"/>
        </w:rPr>
        <w:t xml:space="preserve">Esta hoja corresponde a la resolución de fecha </w:t>
      </w:r>
      <w:r w:rsidR="00840DD9">
        <w:rPr>
          <w:rFonts w:ascii="Palatino Linotype" w:hAnsi="Palatino Linotype" w:cs="Arial"/>
          <w:sz w:val="18"/>
          <w:szCs w:val="16"/>
        </w:rPr>
        <w:t>veintidós</w:t>
      </w:r>
      <w:r w:rsidR="000C5278">
        <w:rPr>
          <w:rFonts w:ascii="Palatino Linotype" w:hAnsi="Palatino Linotype" w:cs="Arial"/>
          <w:sz w:val="18"/>
          <w:szCs w:val="16"/>
        </w:rPr>
        <w:t xml:space="preserve"> de m</w:t>
      </w:r>
      <w:r w:rsidR="006F512E">
        <w:rPr>
          <w:rFonts w:ascii="Palatino Linotype" w:hAnsi="Palatino Linotype" w:cs="Arial"/>
          <w:sz w:val="18"/>
          <w:szCs w:val="16"/>
        </w:rPr>
        <w:t>ayo</w:t>
      </w:r>
      <w:r w:rsidR="000C5278">
        <w:rPr>
          <w:rFonts w:ascii="Palatino Linotype" w:hAnsi="Palatino Linotype" w:cs="Arial"/>
          <w:sz w:val="18"/>
          <w:szCs w:val="16"/>
        </w:rPr>
        <w:t xml:space="preserve"> </w:t>
      </w:r>
      <w:r w:rsidR="00F44F06" w:rsidRPr="0052045B">
        <w:rPr>
          <w:rFonts w:ascii="Palatino Linotype" w:hAnsi="Palatino Linotype" w:cs="Arial"/>
          <w:sz w:val="18"/>
          <w:szCs w:val="16"/>
        </w:rPr>
        <w:t>de dos mil diecinueve</w:t>
      </w:r>
      <w:r w:rsidRPr="0052045B">
        <w:rPr>
          <w:rFonts w:ascii="Palatino Linotype" w:hAnsi="Palatino Linotype" w:cs="Arial"/>
          <w:sz w:val="18"/>
          <w:szCs w:val="16"/>
        </w:rPr>
        <w:t xml:space="preserve">, emitida en el recurso de revisión </w:t>
      </w:r>
      <w:r w:rsidR="006F512E">
        <w:rPr>
          <w:rFonts w:ascii="Palatino Linotype" w:hAnsi="Palatino Linotype" w:cs="Arial"/>
          <w:bCs/>
          <w:sz w:val="18"/>
          <w:szCs w:val="16"/>
          <w:lang w:eastAsia="es-MX"/>
        </w:rPr>
        <w:t>01415</w:t>
      </w:r>
      <w:r w:rsidR="0052045B" w:rsidRPr="0052045B">
        <w:rPr>
          <w:rFonts w:ascii="Palatino Linotype" w:hAnsi="Palatino Linotype" w:cs="Arial"/>
          <w:bCs/>
          <w:sz w:val="18"/>
          <w:szCs w:val="16"/>
          <w:lang w:eastAsia="es-MX"/>
        </w:rPr>
        <w:t>/INFOEM/IP/RR/2019</w:t>
      </w:r>
      <w:r w:rsidRPr="0052045B">
        <w:rPr>
          <w:rFonts w:ascii="Palatino Linotype" w:hAnsi="Palatino Linotype" w:cs="Arial"/>
          <w:sz w:val="18"/>
          <w:szCs w:val="16"/>
        </w:rPr>
        <w:t>.</w:t>
      </w:r>
    </w:p>
    <w:p w:rsidR="00DD13E2" w:rsidRPr="0052045B" w:rsidRDefault="00A459D0" w:rsidP="0052045B">
      <w:pPr>
        <w:spacing w:after="0" w:line="276" w:lineRule="auto"/>
        <w:rPr>
          <w:sz w:val="18"/>
        </w:rPr>
      </w:pPr>
      <w:r w:rsidRPr="0052045B">
        <w:rPr>
          <w:sz w:val="18"/>
        </w:rPr>
        <w:t>ZMS/OSAM/MAEM</w:t>
      </w:r>
    </w:p>
    <w:sectPr w:rsidR="00DD13E2" w:rsidRPr="0052045B"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830" w:rsidRDefault="006C1830" w:rsidP="00E15E85">
      <w:pPr>
        <w:spacing w:after="0" w:line="240" w:lineRule="auto"/>
      </w:pPr>
      <w:r>
        <w:separator/>
      </w:r>
    </w:p>
  </w:endnote>
  <w:endnote w:type="continuationSeparator" w:id="0">
    <w:p w:rsidR="006C1830" w:rsidRDefault="006C183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55D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55D8">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5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55D8">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830" w:rsidRDefault="006C1830" w:rsidP="00E15E85">
      <w:pPr>
        <w:spacing w:after="0" w:line="240" w:lineRule="auto"/>
      </w:pPr>
      <w:r>
        <w:separator/>
      </w:r>
    </w:p>
  </w:footnote>
  <w:footnote w:type="continuationSeparator" w:id="0">
    <w:p w:rsidR="006C1830" w:rsidRDefault="006C1830"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2365C" w:rsidRPr="00F36995" w:rsidRDefault="0062365C" w:rsidP="0062365C">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rsidR="0062365C" w:rsidRPr="00F36995" w:rsidRDefault="0062365C" w:rsidP="0062365C">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8125ED"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01415</w:t>
          </w:r>
          <w:r w:rsidR="008156F6">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8125ED" w:rsidP="00E15E85">
          <w:pPr>
            <w:spacing w:after="120" w:line="256" w:lineRule="auto"/>
            <w:ind w:left="-486" w:right="214" w:firstLine="284"/>
            <w:jc w:val="right"/>
            <w:rPr>
              <w:rFonts w:ascii="Palatino Linotype" w:hAnsi="Palatino Linotype" w:cs="Arial"/>
              <w:szCs w:val="20"/>
            </w:rPr>
          </w:pPr>
          <w:r w:rsidRPr="008125ED">
            <w:rPr>
              <w:rFonts w:ascii="Palatino Linotype" w:hAnsi="Palatino Linotype" w:cs="Arial"/>
              <w:szCs w:val="20"/>
            </w:rPr>
            <w:t>Ayuntamiento de Tecámac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8125ED" w:rsidP="008156F6">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01415</w:t>
          </w:r>
          <w:r w:rsidR="007E2959" w:rsidRPr="007E2959">
            <w:rPr>
              <w:rFonts w:ascii="Palatino Linotype" w:hAnsi="Palatino Linotype" w:cs="Arial"/>
              <w:bCs/>
              <w:sz w:val="24"/>
              <w:lang w:eastAsia="es-MX"/>
            </w:rPr>
            <w:t>/INFOEM/IP/RR/201</w:t>
          </w:r>
          <w:r w:rsidR="008156F6">
            <w:rPr>
              <w:rFonts w:ascii="Palatino Linotype" w:hAnsi="Palatino Linotype" w:cs="Arial"/>
              <w:bCs/>
              <w:sz w:val="24"/>
              <w:lang w:eastAsia="es-MX"/>
            </w:rPr>
            <w:t>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A01B5B"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 XXXXXXX 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8125ED" w:rsidP="0015550A">
          <w:pPr>
            <w:spacing w:after="120" w:line="256" w:lineRule="auto"/>
            <w:ind w:left="-495" w:right="214" w:firstLine="567"/>
            <w:jc w:val="right"/>
            <w:rPr>
              <w:rFonts w:ascii="Palatino Linotype" w:hAnsi="Palatino Linotype" w:cs="Arial"/>
              <w:szCs w:val="20"/>
            </w:rPr>
          </w:pPr>
          <w:r w:rsidRPr="008125ED">
            <w:rPr>
              <w:rFonts w:ascii="Palatino Linotype" w:hAnsi="Palatino Linotype" w:cs="Arial"/>
              <w:szCs w:val="20"/>
            </w:rPr>
            <w:t>Ayuntamiento de Tecámac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E85"/>
    <w:multiLevelType w:val="hybridMultilevel"/>
    <w:tmpl w:val="D57A4022"/>
    <w:lvl w:ilvl="0" w:tplc="B96027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C43E66"/>
    <w:multiLevelType w:val="hybridMultilevel"/>
    <w:tmpl w:val="D4788A42"/>
    <w:lvl w:ilvl="0" w:tplc="C42EA88C">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28419F"/>
    <w:multiLevelType w:val="hybridMultilevel"/>
    <w:tmpl w:val="0240B17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66B7B"/>
    <w:multiLevelType w:val="hybridMultilevel"/>
    <w:tmpl w:val="4AE8F832"/>
    <w:lvl w:ilvl="0" w:tplc="03180A0E">
      <w:start w:val="1"/>
      <w:numFmt w:val="upperRoman"/>
      <w:lvlText w:val="%1."/>
      <w:lvlJc w:val="left"/>
      <w:pPr>
        <w:ind w:left="1428" w:hanging="720"/>
      </w:pPr>
      <w:rPr>
        <w:rFonts w:hint="default"/>
      </w:rPr>
    </w:lvl>
    <w:lvl w:ilvl="1" w:tplc="553C4D8A">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3E255D3"/>
    <w:multiLevelType w:val="hybridMultilevel"/>
    <w:tmpl w:val="B492C81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69E1655"/>
    <w:multiLevelType w:val="hybridMultilevel"/>
    <w:tmpl w:val="FF8669C0"/>
    <w:lvl w:ilvl="0" w:tplc="3550B2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37573231"/>
    <w:multiLevelType w:val="hybridMultilevel"/>
    <w:tmpl w:val="3C944266"/>
    <w:lvl w:ilvl="0" w:tplc="5FC0A60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421D0FD7"/>
    <w:multiLevelType w:val="hybridMultilevel"/>
    <w:tmpl w:val="08F27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684EB7"/>
    <w:multiLevelType w:val="hybridMultilevel"/>
    <w:tmpl w:val="8E1C33DC"/>
    <w:lvl w:ilvl="0" w:tplc="464E97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FA7659"/>
    <w:multiLevelType w:val="hybridMultilevel"/>
    <w:tmpl w:val="4AE8F832"/>
    <w:lvl w:ilvl="0" w:tplc="03180A0E">
      <w:start w:val="1"/>
      <w:numFmt w:val="upperRoman"/>
      <w:lvlText w:val="%1."/>
      <w:lvlJc w:val="left"/>
      <w:pPr>
        <w:ind w:left="1428" w:hanging="720"/>
      </w:pPr>
      <w:rPr>
        <w:rFonts w:hint="default"/>
      </w:rPr>
    </w:lvl>
    <w:lvl w:ilvl="1" w:tplc="553C4D8A">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54603994"/>
    <w:multiLevelType w:val="hybridMultilevel"/>
    <w:tmpl w:val="62502EBC"/>
    <w:lvl w:ilvl="0" w:tplc="3550B2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157DB9"/>
    <w:multiLevelType w:val="hybridMultilevel"/>
    <w:tmpl w:val="18640776"/>
    <w:numStyleLink w:val="Estiloimportado2"/>
  </w:abstractNum>
  <w:abstractNum w:abstractNumId="20">
    <w:nsid w:val="5B1C0153"/>
    <w:multiLevelType w:val="hybridMultilevel"/>
    <w:tmpl w:val="E0E4331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0F722A"/>
    <w:multiLevelType w:val="hybridMultilevel"/>
    <w:tmpl w:val="F5E29BBE"/>
    <w:lvl w:ilvl="0" w:tplc="3550B27A">
      <w:start w:val="1"/>
      <w:numFmt w:val="upperRoman"/>
      <w:lvlText w:val="%1."/>
      <w:lvlJc w:val="left"/>
      <w:pPr>
        <w:ind w:left="2136"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6A714ABB"/>
    <w:multiLevelType w:val="hybridMultilevel"/>
    <w:tmpl w:val="5A90CF06"/>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4"/>
  </w:num>
  <w:num w:numId="2">
    <w:abstractNumId w:val="4"/>
  </w:num>
  <w:num w:numId="3">
    <w:abstractNumId w:val="18"/>
  </w:num>
  <w:num w:numId="4">
    <w:abstractNumId w:val="10"/>
  </w:num>
  <w:num w:numId="5">
    <w:abstractNumId w:val="19"/>
  </w:num>
  <w:num w:numId="6">
    <w:abstractNumId w:val="5"/>
  </w:num>
  <w:num w:numId="7">
    <w:abstractNumId w:val="26"/>
  </w:num>
  <w:num w:numId="8">
    <w:abstractNumId w:val="13"/>
  </w:num>
  <w:num w:numId="9">
    <w:abstractNumId w:val="9"/>
  </w:num>
  <w:num w:numId="10">
    <w:abstractNumId w:val="25"/>
  </w:num>
  <w:num w:numId="11">
    <w:abstractNumId w:val="3"/>
  </w:num>
  <w:num w:numId="12">
    <w:abstractNumId w:val="17"/>
  </w:num>
  <w:num w:numId="13">
    <w:abstractNumId w:val="0"/>
  </w:num>
  <w:num w:numId="14">
    <w:abstractNumId w:val="8"/>
  </w:num>
  <w:num w:numId="15">
    <w:abstractNumId w:val="12"/>
  </w:num>
  <w:num w:numId="16">
    <w:abstractNumId w:val="16"/>
  </w:num>
  <w:num w:numId="17">
    <w:abstractNumId w:val="7"/>
  </w:num>
  <w:num w:numId="18">
    <w:abstractNumId w:val="22"/>
  </w:num>
  <w:num w:numId="19">
    <w:abstractNumId w:val="11"/>
  </w:num>
  <w:num w:numId="20">
    <w:abstractNumId w:val="6"/>
  </w:num>
  <w:num w:numId="21">
    <w:abstractNumId w:val="1"/>
  </w:num>
  <w:num w:numId="22">
    <w:abstractNumId w:val="21"/>
  </w:num>
  <w:num w:numId="23">
    <w:abstractNumId w:val="14"/>
  </w:num>
  <w:num w:numId="24">
    <w:abstractNumId w:val="20"/>
  </w:num>
  <w:num w:numId="25">
    <w:abstractNumId w:val="2"/>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EA6"/>
    <w:rsid w:val="00005309"/>
    <w:rsid w:val="00006356"/>
    <w:rsid w:val="0003050E"/>
    <w:rsid w:val="00035F8F"/>
    <w:rsid w:val="00041425"/>
    <w:rsid w:val="000425E1"/>
    <w:rsid w:val="0004795A"/>
    <w:rsid w:val="000527A4"/>
    <w:rsid w:val="00053ED1"/>
    <w:rsid w:val="00054163"/>
    <w:rsid w:val="000577D4"/>
    <w:rsid w:val="00062CBD"/>
    <w:rsid w:val="00073973"/>
    <w:rsid w:val="00074A99"/>
    <w:rsid w:val="00074FEF"/>
    <w:rsid w:val="00076643"/>
    <w:rsid w:val="00082DF3"/>
    <w:rsid w:val="00090E2C"/>
    <w:rsid w:val="000916B7"/>
    <w:rsid w:val="000A7B8B"/>
    <w:rsid w:val="000B4502"/>
    <w:rsid w:val="000B49A3"/>
    <w:rsid w:val="000C22EC"/>
    <w:rsid w:val="000C3DB6"/>
    <w:rsid w:val="000C5278"/>
    <w:rsid w:val="000C59EE"/>
    <w:rsid w:val="000D33D5"/>
    <w:rsid w:val="000D3601"/>
    <w:rsid w:val="000F019E"/>
    <w:rsid w:val="000F2613"/>
    <w:rsid w:val="001054CF"/>
    <w:rsid w:val="0011750A"/>
    <w:rsid w:val="0012266D"/>
    <w:rsid w:val="00130D58"/>
    <w:rsid w:val="00154EE3"/>
    <w:rsid w:val="0015550A"/>
    <w:rsid w:val="0016576D"/>
    <w:rsid w:val="00171BD5"/>
    <w:rsid w:val="00182B27"/>
    <w:rsid w:val="00183623"/>
    <w:rsid w:val="001A4AA3"/>
    <w:rsid w:val="001A63EA"/>
    <w:rsid w:val="001B066D"/>
    <w:rsid w:val="001B3E5E"/>
    <w:rsid w:val="001C28D0"/>
    <w:rsid w:val="001C3E01"/>
    <w:rsid w:val="001C3F41"/>
    <w:rsid w:val="001C7069"/>
    <w:rsid w:val="001D56AF"/>
    <w:rsid w:val="001E5C2A"/>
    <w:rsid w:val="002052F6"/>
    <w:rsid w:val="00217E99"/>
    <w:rsid w:val="00223C2F"/>
    <w:rsid w:val="00224181"/>
    <w:rsid w:val="00233D51"/>
    <w:rsid w:val="002360A5"/>
    <w:rsid w:val="00240133"/>
    <w:rsid w:val="002606F0"/>
    <w:rsid w:val="0026534C"/>
    <w:rsid w:val="002677ED"/>
    <w:rsid w:val="00287512"/>
    <w:rsid w:val="002879C2"/>
    <w:rsid w:val="002902D7"/>
    <w:rsid w:val="00294D05"/>
    <w:rsid w:val="00294D34"/>
    <w:rsid w:val="002A1820"/>
    <w:rsid w:val="002A30B2"/>
    <w:rsid w:val="002A6F17"/>
    <w:rsid w:val="002B067A"/>
    <w:rsid w:val="002B144D"/>
    <w:rsid w:val="002B1C71"/>
    <w:rsid w:val="002B5F43"/>
    <w:rsid w:val="002C4900"/>
    <w:rsid w:val="002C55C0"/>
    <w:rsid w:val="002D0C5B"/>
    <w:rsid w:val="002D1F34"/>
    <w:rsid w:val="002D6A81"/>
    <w:rsid w:val="002E5C2F"/>
    <w:rsid w:val="002E755A"/>
    <w:rsid w:val="002E7A29"/>
    <w:rsid w:val="002F6A1F"/>
    <w:rsid w:val="003011A8"/>
    <w:rsid w:val="003034F4"/>
    <w:rsid w:val="00304FD7"/>
    <w:rsid w:val="00314F25"/>
    <w:rsid w:val="00317B8A"/>
    <w:rsid w:val="0032062F"/>
    <w:rsid w:val="00330A95"/>
    <w:rsid w:val="00331D0E"/>
    <w:rsid w:val="00332179"/>
    <w:rsid w:val="003341B0"/>
    <w:rsid w:val="00334E11"/>
    <w:rsid w:val="00342A59"/>
    <w:rsid w:val="0034696E"/>
    <w:rsid w:val="003470B1"/>
    <w:rsid w:val="003474F2"/>
    <w:rsid w:val="00357A8F"/>
    <w:rsid w:val="00357BFC"/>
    <w:rsid w:val="00365366"/>
    <w:rsid w:val="0036563B"/>
    <w:rsid w:val="00385299"/>
    <w:rsid w:val="0039084D"/>
    <w:rsid w:val="003A67BC"/>
    <w:rsid w:val="003B465B"/>
    <w:rsid w:val="003B7CB7"/>
    <w:rsid w:val="003C4690"/>
    <w:rsid w:val="003C5897"/>
    <w:rsid w:val="003E4FE1"/>
    <w:rsid w:val="003F2660"/>
    <w:rsid w:val="00422158"/>
    <w:rsid w:val="004254FE"/>
    <w:rsid w:val="00427311"/>
    <w:rsid w:val="004347E3"/>
    <w:rsid w:val="00437C82"/>
    <w:rsid w:val="00461E45"/>
    <w:rsid w:val="00473606"/>
    <w:rsid w:val="00482CAD"/>
    <w:rsid w:val="0048336F"/>
    <w:rsid w:val="00492244"/>
    <w:rsid w:val="00492925"/>
    <w:rsid w:val="004970B2"/>
    <w:rsid w:val="004A2BFB"/>
    <w:rsid w:val="004C0C5D"/>
    <w:rsid w:val="004C3693"/>
    <w:rsid w:val="004E6DB3"/>
    <w:rsid w:val="004F05B2"/>
    <w:rsid w:val="004F6D37"/>
    <w:rsid w:val="0052045B"/>
    <w:rsid w:val="00527221"/>
    <w:rsid w:val="00527856"/>
    <w:rsid w:val="00527A48"/>
    <w:rsid w:val="00527C6A"/>
    <w:rsid w:val="005329E8"/>
    <w:rsid w:val="00534B57"/>
    <w:rsid w:val="00550BC8"/>
    <w:rsid w:val="00562B80"/>
    <w:rsid w:val="005658E6"/>
    <w:rsid w:val="0057139C"/>
    <w:rsid w:val="005733EB"/>
    <w:rsid w:val="005748D8"/>
    <w:rsid w:val="0057576D"/>
    <w:rsid w:val="005A519D"/>
    <w:rsid w:val="005B0B2F"/>
    <w:rsid w:val="005C0E2F"/>
    <w:rsid w:val="005C208A"/>
    <w:rsid w:val="005D257F"/>
    <w:rsid w:val="005F7F26"/>
    <w:rsid w:val="00600F68"/>
    <w:rsid w:val="00611799"/>
    <w:rsid w:val="0061417E"/>
    <w:rsid w:val="00614FDD"/>
    <w:rsid w:val="006163E3"/>
    <w:rsid w:val="00616784"/>
    <w:rsid w:val="0062365C"/>
    <w:rsid w:val="00630E9E"/>
    <w:rsid w:val="00631B59"/>
    <w:rsid w:val="00653A0F"/>
    <w:rsid w:val="00653B08"/>
    <w:rsid w:val="00654B56"/>
    <w:rsid w:val="0066014D"/>
    <w:rsid w:val="00673CFD"/>
    <w:rsid w:val="00674C9F"/>
    <w:rsid w:val="00676040"/>
    <w:rsid w:val="00682982"/>
    <w:rsid w:val="00684028"/>
    <w:rsid w:val="006914BF"/>
    <w:rsid w:val="006A053F"/>
    <w:rsid w:val="006B2E10"/>
    <w:rsid w:val="006B7CD1"/>
    <w:rsid w:val="006C1830"/>
    <w:rsid w:val="006C1A4F"/>
    <w:rsid w:val="006D7A99"/>
    <w:rsid w:val="006F1F9A"/>
    <w:rsid w:val="006F2EA8"/>
    <w:rsid w:val="006F512E"/>
    <w:rsid w:val="00707CD8"/>
    <w:rsid w:val="00711895"/>
    <w:rsid w:val="0071620F"/>
    <w:rsid w:val="00754225"/>
    <w:rsid w:val="00755099"/>
    <w:rsid w:val="00757871"/>
    <w:rsid w:val="00773B52"/>
    <w:rsid w:val="00783AD0"/>
    <w:rsid w:val="0078631B"/>
    <w:rsid w:val="0079194D"/>
    <w:rsid w:val="007A0267"/>
    <w:rsid w:val="007A28AC"/>
    <w:rsid w:val="007C1445"/>
    <w:rsid w:val="007C4927"/>
    <w:rsid w:val="007C7726"/>
    <w:rsid w:val="007D276C"/>
    <w:rsid w:val="007D48FA"/>
    <w:rsid w:val="007D49BF"/>
    <w:rsid w:val="007E2959"/>
    <w:rsid w:val="007F2C38"/>
    <w:rsid w:val="007F5F77"/>
    <w:rsid w:val="008043BF"/>
    <w:rsid w:val="008125ED"/>
    <w:rsid w:val="008156F6"/>
    <w:rsid w:val="00840DD9"/>
    <w:rsid w:val="00840E04"/>
    <w:rsid w:val="00845C1C"/>
    <w:rsid w:val="00865846"/>
    <w:rsid w:val="00872278"/>
    <w:rsid w:val="00874DBF"/>
    <w:rsid w:val="00875499"/>
    <w:rsid w:val="00876EA4"/>
    <w:rsid w:val="00881D0D"/>
    <w:rsid w:val="00882E49"/>
    <w:rsid w:val="00884B80"/>
    <w:rsid w:val="00886038"/>
    <w:rsid w:val="008A0536"/>
    <w:rsid w:val="008A12F6"/>
    <w:rsid w:val="008B34EC"/>
    <w:rsid w:val="008C43EB"/>
    <w:rsid w:val="008C6FFC"/>
    <w:rsid w:val="008D08D2"/>
    <w:rsid w:val="008E0E21"/>
    <w:rsid w:val="008E5141"/>
    <w:rsid w:val="008F5D12"/>
    <w:rsid w:val="008F7A52"/>
    <w:rsid w:val="00910B05"/>
    <w:rsid w:val="00943223"/>
    <w:rsid w:val="0094613F"/>
    <w:rsid w:val="00953B04"/>
    <w:rsid w:val="00956FE2"/>
    <w:rsid w:val="00971785"/>
    <w:rsid w:val="009721A3"/>
    <w:rsid w:val="00980401"/>
    <w:rsid w:val="009838CD"/>
    <w:rsid w:val="009841C4"/>
    <w:rsid w:val="00991CC2"/>
    <w:rsid w:val="00994336"/>
    <w:rsid w:val="00997030"/>
    <w:rsid w:val="009B5BC0"/>
    <w:rsid w:val="009B76BF"/>
    <w:rsid w:val="009C75A5"/>
    <w:rsid w:val="009D1CEC"/>
    <w:rsid w:val="009D2140"/>
    <w:rsid w:val="009D3BAE"/>
    <w:rsid w:val="009E042B"/>
    <w:rsid w:val="009E3B36"/>
    <w:rsid w:val="009F2BFA"/>
    <w:rsid w:val="009F7948"/>
    <w:rsid w:val="00A01B5B"/>
    <w:rsid w:val="00A14C6B"/>
    <w:rsid w:val="00A27B2A"/>
    <w:rsid w:val="00A459D0"/>
    <w:rsid w:val="00A57556"/>
    <w:rsid w:val="00A66AA6"/>
    <w:rsid w:val="00A70873"/>
    <w:rsid w:val="00A76CF0"/>
    <w:rsid w:val="00A82CB6"/>
    <w:rsid w:val="00A92C85"/>
    <w:rsid w:val="00A94811"/>
    <w:rsid w:val="00A948EF"/>
    <w:rsid w:val="00AA2CB1"/>
    <w:rsid w:val="00AA5127"/>
    <w:rsid w:val="00AB356B"/>
    <w:rsid w:val="00AB7C40"/>
    <w:rsid w:val="00AC1D50"/>
    <w:rsid w:val="00AD3A99"/>
    <w:rsid w:val="00AD5DE2"/>
    <w:rsid w:val="00AE4EA7"/>
    <w:rsid w:val="00AF001B"/>
    <w:rsid w:val="00B0151F"/>
    <w:rsid w:val="00B052B4"/>
    <w:rsid w:val="00B10B28"/>
    <w:rsid w:val="00B11308"/>
    <w:rsid w:val="00B15069"/>
    <w:rsid w:val="00B15743"/>
    <w:rsid w:val="00B179E3"/>
    <w:rsid w:val="00B17A1D"/>
    <w:rsid w:val="00B258A2"/>
    <w:rsid w:val="00B34A6D"/>
    <w:rsid w:val="00B355AB"/>
    <w:rsid w:val="00B41F56"/>
    <w:rsid w:val="00B446C1"/>
    <w:rsid w:val="00B44BB1"/>
    <w:rsid w:val="00B50BD7"/>
    <w:rsid w:val="00B51395"/>
    <w:rsid w:val="00B54578"/>
    <w:rsid w:val="00B664DC"/>
    <w:rsid w:val="00B67466"/>
    <w:rsid w:val="00B74369"/>
    <w:rsid w:val="00B87EAC"/>
    <w:rsid w:val="00BA2458"/>
    <w:rsid w:val="00BA2ACF"/>
    <w:rsid w:val="00BA571F"/>
    <w:rsid w:val="00BA61A9"/>
    <w:rsid w:val="00BA68FA"/>
    <w:rsid w:val="00BA7EA5"/>
    <w:rsid w:val="00BC1280"/>
    <w:rsid w:val="00BC1C0A"/>
    <w:rsid w:val="00BC4EF7"/>
    <w:rsid w:val="00BD682E"/>
    <w:rsid w:val="00BE503B"/>
    <w:rsid w:val="00BF155C"/>
    <w:rsid w:val="00C012DD"/>
    <w:rsid w:val="00C16071"/>
    <w:rsid w:val="00C203E8"/>
    <w:rsid w:val="00C25BA8"/>
    <w:rsid w:val="00C31978"/>
    <w:rsid w:val="00C56C4E"/>
    <w:rsid w:val="00C6478B"/>
    <w:rsid w:val="00C64C22"/>
    <w:rsid w:val="00C6694A"/>
    <w:rsid w:val="00C66E70"/>
    <w:rsid w:val="00C673A7"/>
    <w:rsid w:val="00C80AEF"/>
    <w:rsid w:val="00C902E2"/>
    <w:rsid w:val="00C95A75"/>
    <w:rsid w:val="00CA2EAB"/>
    <w:rsid w:val="00CA4A73"/>
    <w:rsid w:val="00CD629C"/>
    <w:rsid w:val="00CE052D"/>
    <w:rsid w:val="00CE6990"/>
    <w:rsid w:val="00D120B9"/>
    <w:rsid w:val="00D27869"/>
    <w:rsid w:val="00D36336"/>
    <w:rsid w:val="00D44FCF"/>
    <w:rsid w:val="00D52890"/>
    <w:rsid w:val="00D56BC3"/>
    <w:rsid w:val="00D61DA4"/>
    <w:rsid w:val="00D67629"/>
    <w:rsid w:val="00D70FE3"/>
    <w:rsid w:val="00D8485C"/>
    <w:rsid w:val="00D8778D"/>
    <w:rsid w:val="00D9010D"/>
    <w:rsid w:val="00D94001"/>
    <w:rsid w:val="00D955D8"/>
    <w:rsid w:val="00D95936"/>
    <w:rsid w:val="00DA235F"/>
    <w:rsid w:val="00DA4284"/>
    <w:rsid w:val="00DB584E"/>
    <w:rsid w:val="00DC3B85"/>
    <w:rsid w:val="00DD13E2"/>
    <w:rsid w:val="00DD2F8B"/>
    <w:rsid w:val="00DF4EB2"/>
    <w:rsid w:val="00E027BB"/>
    <w:rsid w:val="00E10DEE"/>
    <w:rsid w:val="00E158AD"/>
    <w:rsid w:val="00E15E85"/>
    <w:rsid w:val="00E16AC8"/>
    <w:rsid w:val="00E221C1"/>
    <w:rsid w:val="00E30AF5"/>
    <w:rsid w:val="00E3294D"/>
    <w:rsid w:val="00E34874"/>
    <w:rsid w:val="00E36C9A"/>
    <w:rsid w:val="00E372DA"/>
    <w:rsid w:val="00E44464"/>
    <w:rsid w:val="00E542F1"/>
    <w:rsid w:val="00E64812"/>
    <w:rsid w:val="00E8295D"/>
    <w:rsid w:val="00E85DB7"/>
    <w:rsid w:val="00E87E34"/>
    <w:rsid w:val="00E92E34"/>
    <w:rsid w:val="00EA0D06"/>
    <w:rsid w:val="00EA4B96"/>
    <w:rsid w:val="00EB2403"/>
    <w:rsid w:val="00EC18E8"/>
    <w:rsid w:val="00EC601F"/>
    <w:rsid w:val="00ED18B6"/>
    <w:rsid w:val="00ED3DC4"/>
    <w:rsid w:val="00ED466F"/>
    <w:rsid w:val="00EE2217"/>
    <w:rsid w:val="00EE5CB5"/>
    <w:rsid w:val="00EF2AE9"/>
    <w:rsid w:val="00F02E93"/>
    <w:rsid w:val="00F07E6A"/>
    <w:rsid w:val="00F100D8"/>
    <w:rsid w:val="00F36995"/>
    <w:rsid w:val="00F433DC"/>
    <w:rsid w:val="00F44F06"/>
    <w:rsid w:val="00F52CF7"/>
    <w:rsid w:val="00F812A0"/>
    <w:rsid w:val="00F9756D"/>
    <w:rsid w:val="00FA36A0"/>
    <w:rsid w:val="00FB5FA3"/>
    <w:rsid w:val="00FB77BB"/>
    <w:rsid w:val="00FC64E6"/>
    <w:rsid w:val="00FD2984"/>
    <w:rsid w:val="00FE0916"/>
    <w:rsid w:val="00FE2CEA"/>
    <w:rsid w:val="00FF7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basedOn w:val="Normal"/>
    <w:link w:val="TextonotapieCar"/>
    <w:uiPriority w:val="99"/>
    <w:semiHidden/>
    <w:unhideWhenUsed/>
    <w:rsid w:val="00AA51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127"/>
    <w:rPr>
      <w:sz w:val="20"/>
      <w:szCs w:val="20"/>
    </w:rPr>
  </w:style>
  <w:style w:type="character" w:customStyle="1" w:styleId="nacep">
    <w:name w:val="n_acep"/>
    <w:basedOn w:val="Fuentedeprrafopredeter"/>
    <w:rsid w:val="00B87EAC"/>
  </w:style>
  <w:style w:type="paragraph" w:customStyle="1" w:styleId="j">
    <w:name w:val="j"/>
    <w:basedOn w:val="Normal"/>
    <w:rsid w:val="00B87EA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E4F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4FE1"/>
    <w:rPr>
      <w:rFonts w:ascii="Segoe UI" w:hAnsi="Segoe UI" w:cs="Segoe UI"/>
      <w:sz w:val="18"/>
      <w:szCs w:val="18"/>
    </w:rPr>
  </w:style>
  <w:style w:type="paragraph" w:customStyle="1" w:styleId="Default">
    <w:name w:val="Default"/>
    <w:rsid w:val="00C95A75"/>
    <w:pPr>
      <w:autoSpaceDE w:val="0"/>
      <w:autoSpaceDN w:val="0"/>
      <w:adjustRightInd w:val="0"/>
      <w:spacing w:after="0" w:line="240" w:lineRule="auto"/>
    </w:pPr>
    <w:rPr>
      <w:rFonts w:ascii="Bookman Old Style" w:hAnsi="Bookman Old Style" w:cs="Bookman Old Style"/>
      <w:color w:val="000000"/>
      <w:sz w:val="24"/>
      <w:szCs w:val="24"/>
    </w:rPr>
  </w:style>
  <w:style w:type="character" w:styleId="nfasissutil">
    <w:name w:val="Subtle Emphasis"/>
    <w:basedOn w:val="Fuentedeprrafopredeter"/>
    <w:uiPriority w:val="19"/>
    <w:qFormat/>
    <w:rsid w:val="00653A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643">
      <w:bodyDiv w:val="1"/>
      <w:marLeft w:val="0"/>
      <w:marRight w:val="0"/>
      <w:marTop w:val="0"/>
      <w:marBottom w:val="0"/>
      <w:divBdr>
        <w:top w:val="none" w:sz="0" w:space="0" w:color="auto"/>
        <w:left w:val="none" w:sz="0" w:space="0" w:color="auto"/>
        <w:bottom w:val="none" w:sz="0" w:space="0" w:color="auto"/>
        <w:right w:val="none" w:sz="0" w:space="0" w:color="auto"/>
      </w:divBdr>
    </w:div>
    <w:div w:id="18999868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302815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30106823">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4218883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2586817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E78F-0B3B-41F1-9709-B271468C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3954</Words>
  <Characters>21751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2019-05-27T23:55:00Z</cp:lastPrinted>
  <dcterms:created xsi:type="dcterms:W3CDTF">2019-06-11T19:11:00Z</dcterms:created>
  <dcterms:modified xsi:type="dcterms:W3CDTF">2019-06-11T19:11:00Z</dcterms:modified>
</cp:coreProperties>
</file>