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A69B6" w:rsidRDefault="007A69B6" w:rsidP="001266BB">
      <w:pPr>
        <w:pStyle w:val="Sinespaciado"/>
        <w:spacing w:line="360" w:lineRule="auto"/>
        <w:jc w:val="both"/>
        <w:rPr>
          <w:rFonts w:ascii="Palatino Linotype" w:hAnsi="Palatino Linotype"/>
        </w:rPr>
      </w:pPr>
    </w:p>
    <w:p w:rsidR="007A69B6" w:rsidRDefault="007A69B6" w:rsidP="001266BB">
      <w:pPr>
        <w:pStyle w:val="Sinespaciado"/>
        <w:spacing w:line="360" w:lineRule="auto"/>
        <w:jc w:val="both"/>
        <w:rPr>
          <w:rFonts w:ascii="Palatino Linotype" w:hAnsi="Palatino Linotype"/>
        </w:rPr>
      </w:pPr>
    </w:p>
    <w:p w:rsidR="00D80BE8" w:rsidRPr="00205730" w:rsidRDefault="001032D4" w:rsidP="001266BB">
      <w:pPr>
        <w:pStyle w:val="Sinespaciado"/>
        <w:spacing w:line="360" w:lineRule="auto"/>
        <w:jc w:val="both"/>
        <w:rPr>
          <w:rFonts w:ascii="Palatino Linotype" w:hAnsi="Palatino Linotype"/>
        </w:rPr>
      </w:pPr>
      <w:r w:rsidRPr="00205730">
        <w:rPr>
          <w:rFonts w:ascii="Palatino Linotype" w:hAnsi="Palatino Linotype"/>
        </w:rPr>
        <w:t>Resolución del Pleno del Instituto de Transparencia, Acceso a la Información Pública y Protección de Datos Personales del Estado de México</w:t>
      </w:r>
      <w:r w:rsidR="00A35220" w:rsidRPr="00205730">
        <w:rPr>
          <w:rFonts w:ascii="Palatino Linotype" w:hAnsi="Palatino Linotype"/>
        </w:rPr>
        <w:t xml:space="preserve"> y Municipios</w:t>
      </w:r>
      <w:r w:rsidRPr="00205730">
        <w:rPr>
          <w:rFonts w:ascii="Palatino Linotype" w:hAnsi="Palatino Linotype"/>
        </w:rPr>
        <w:t xml:space="preserve">, con domicilio en Metepec, México, a </w:t>
      </w:r>
      <w:r w:rsidR="007A69B6">
        <w:rPr>
          <w:rFonts w:ascii="Palatino Linotype" w:hAnsi="Palatino Linotype"/>
        </w:rPr>
        <w:t>veintiséis</w:t>
      </w:r>
      <w:r w:rsidR="00051582" w:rsidRPr="00205730">
        <w:rPr>
          <w:rFonts w:ascii="Palatino Linotype" w:hAnsi="Palatino Linotype"/>
        </w:rPr>
        <w:t xml:space="preserve"> de junio</w:t>
      </w:r>
      <w:r w:rsidR="001266BB" w:rsidRPr="00205730">
        <w:rPr>
          <w:rFonts w:ascii="Palatino Linotype" w:hAnsi="Palatino Linotype"/>
        </w:rPr>
        <w:t xml:space="preserve"> </w:t>
      </w:r>
      <w:r w:rsidR="00D80BE8" w:rsidRPr="00205730">
        <w:rPr>
          <w:rFonts w:ascii="Palatino Linotype" w:hAnsi="Palatino Linotype"/>
        </w:rPr>
        <w:t>de dos mil dieciocho</w:t>
      </w:r>
      <w:r w:rsidRPr="00205730">
        <w:rPr>
          <w:rFonts w:ascii="Palatino Linotype" w:hAnsi="Palatino Linotype"/>
        </w:rPr>
        <w:t>.</w:t>
      </w:r>
    </w:p>
    <w:p w:rsidR="00D80BE8" w:rsidRPr="00205730" w:rsidRDefault="00D80BE8" w:rsidP="001266BB">
      <w:pPr>
        <w:pStyle w:val="Sinespaciado"/>
        <w:spacing w:line="360" w:lineRule="auto"/>
        <w:jc w:val="both"/>
        <w:rPr>
          <w:rFonts w:ascii="Palatino Linotype" w:hAnsi="Palatino Linotype"/>
        </w:rPr>
      </w:pPr>
    </w:p>
    <w:p w:rsidR="001032D4" w:rsidRPr="00205730" w:rsidRDefault="001032D4" w:rsidP="001266BB">
      <w:pPr>
        <w:pStyle w:val="Sinespaciado"/>
        <w:spacing w:line="360" w:lineRule="auto"/>
        <w:jc w:val="both"/>
        <w:rPr>
          <w:rFonts w:ascii="Palatino Linotype" w:hAnsi="Palatino Linotype"/>
        </w:rPr>
      </w:pPr>
      <w:r w:rsidRPr="00205730">
        <w:rPr>
          <w:rFonts w:ascii="Palatino Linotype" w:hAnsi="Palatino Linotype"/>
          <w:b/>
        </w:rPr>
        <w:t>VISTO</w:t>
      </w:r>
      <w:r w:rsidR="00CF32DD" w:rsidRPr="00205730">
        <w:rPr>
          <w:rFonts w:ascii="Palatino Linotype" w:hAnsi="Palatino Linotype"/>
          <w:b/>
        </w:rPr>
        <w:t>S</w:t>
      </w:r>
      <w:r w:rsidRPr="00205730">
        <w:rPr>
          <w:rFonts w:ascii="Palatino Linotype" w:hAnsi="Palatino Linotype"/>
        </w:rPr>
        <w:t xml:space="preserve"> </w:t>
      </w:r>
      <w:r w:rsidR="007A69B6">
        <w:rPr>
          <w:rFonts w:ascii="Palatino Linotype" w:hAnsi="Palatino Linotype"/>
        </w:rPr>
        <w:t xml:space="preserve">el expediente electrónico formado con motivo del recurso de revisión </w:t>
      </w:r>
      <w:r w:rsidR="007A69B6">
        <w:rPr>
          <w:rFonts w:ascii="Palatino Linotype" w:hAnsi="Palatino Linotype"/>
          <w:b/>
        </w:rPr>
        <w:t>02490</w:t>
      </w:r>
      <w:r w:rsidR="00CF32DD" w:rsidRPr="00205730">
        <w:rPr>
          <w:rFonts w:ascii="Palatino Linotype" w:hAnsi="Palatino Linotype"/>
          <w:b/>
        </w:rPr>
        <w:t>/INFOEM/IP/RR/2019</w:t>
      </w:r>
      <w:r w:rsidRPr="00205730">
        <w:rPr>
          <w:rFonts w:ascii="Palatino Linotype" w:hAnsi="Palatino Linotype"/>
        </w:rPr>
        <w:t xml:space="preserve"> interpuesto por</w:t>
      </w:r>
      <w:r w:rsidR="00921639" w:rsidRPr="00205730">
        <w:rPr>
          <w:rFonts w:ascii="Palatino Linotype" w:hAnsi="Palatino Linotype"/>
        </w:rPr>
        <w:t xml:space="preserve"> </w:t>
      </w:r>
      <w:r w:rsidR="007D29B1" w:rsidRPr="00205730">
        <w:rPr>
          <w:rFonts w:ascii="Palatino Linotype" w:hAnsi="Palatino Linotype"/>
        </w:rPr>
        <w:t>el</w:t>
      </w:r>
      <w:r w:rsidR="00845AEA" w:rsidRPr="00205730">
        <w:rPr>
          <w:rFonts w:ascii="Palatino Linotype" w:hAnsi="Palatino Linotype"/>
        </w:rPr>
        <w:t xml:space="preserve"> </w:t>
      </w:r>
      <w:r w:rsidR="00845AEA" w:rsidRPr="00205730">
        <w:rPr>
          <w:rFonts w:ascii="Palatino Linotype" w:hAnsi="Palatino Linotype"/>
          <w:b/>
        </w:rPr>
        <w:t xml:space="preserve">C. </w:t>
      </w:r>
      <w:r w:rsidR="00AA1BB1">
        <w:rPr>
          <w:rFonts w:ascii="Palatino Linotype" w:hAnsi="Palatino Linotype"/>
          <w:b/>
        </w:rPr>
        <w:t>XXXX XXXXXXXXX</w:t>
      </w:r>
      <w:r w:rsidR="00051582" w:rsidRPr="00205730">
        <w:rPr>
          <w:rFonts w:ascii="Palatino Linotype" w:hAnsi="Palatino Linotype"/>
          <w:b/>
        </w:rPr>
        <w:t xml:space="preserve"> </w:t>
      </w:r>
      <w:r w:rsidRPr="00205730">
        <w:rPr>
          <w:rFonts w:ascii="Palatino Linotype" w:hAnsi="Palatino Linotype"/>
        </w:rPr>
        <w:t xml:space="preserve">en lo sucesivo </w:t>
      </w:r>
      <w:r w:rsidR="007D29B1" w:rsidRPr="00205730">
        <w:rPr>
          <w:rFonts w:ascii="Palatino Linotype" w:hAnsi="Palatino Linotype"/>
        </w:rPr>
        <w:t>el</w:t>
      </w:r>
      <w:r w:rsidR="006170BC" w:rsidRPr="00205730">
        <w:rPr>
          <w:rFonts w:ascii="Palatino Linotype" w:hAnsi="Palatino Linotype"/>
          <w:b/>
        </w:rPr>
        <w:t xml:space="preserve"> </w:t>
      </w:r>
      <w:r w:rsidRPr="00205730">
        <w:rPr>
          <w:rFonts w:ascii="Palatino Linotype" w:hAnsi="Palatino Linotype"/>
          <w:b/>
        </w:rPr>
        <w:t>Recurrente</w:t>
      </w:r>
      <w:r w:rsidRPr="00205730">
        <w:rPr>
          <w:rFonts w:ascii="Palatino Linotype" w:hAnsi="Palatino Linotype"/>
        </w:rPr>
        <w:t>, en contra de la</w:t>
      </w:r>
      <w:r w:rsidR="00800F02" w:rsidRPr="00205730">
        <w:rPr>
          <w:rFonts w:ascii="Palatino Linotype" w:hAnsi="Palatino Linotype"/>
        </w:rPr>
        <w:t xml:space="preserve"> falta de</w:t>
      </w:r>
      <w:r w:rsidRPr="00205730">
        <w:rPr>
          <w:rFonts w:ascii="Palatino Linotype" w:hAnsi="Palatino Linotype"/>
        </w:rPr>
        <w:t xml:space="preserve"> respuesta </w:t>
      </w:r>
      <w:r w:rsidR="00983A5D" w:rsidRPr="00205730">
        <w:rPr>
          <w:rFonts w:ascii="Palatino Linotype" w:hAnsi="Palatino Linotype"/>
        </w:rPr>
        <w:t>de</w:t>
      </w:r>
      <w:r w:rsidR="00D41C04" w:rsidRPr="00205730">
        <w:rPr>
          <w:rFonts w:ascii="Palatino Linotype" w:hAnsi="Palatino Linotype"/>
        </w:rPr>
        <w:t>l</w:t>
      </w:r>
      <w:r w:rsidR="00AE3156" w:rsidRPr="00205730">
        <w:rPr>
          <w:rFonts w:ascii="Palatino Linotype" w:hAnsi="Palatino Linotype"/>
        </w:rPr>
        <w:t xml:space="preserve"> </w:t>
      </w:r>
      <w:r w:rsidR="00201139" w:rsidRPr="00205730">
        <w:rPr>
          <w:rFonts w:ascii="Palatino Linotype" w:hAnsi="Palatino Linotype"/>
          <w:b/>
        </w:rPr>
        <w:t xml:space="preserve">Ayuntamiento </w:t>
      </w:r>
      <w:r w:rsidR="005C0595" w:rsidRPr="00205730">
        <w:rPr>
          <w:rFonts w:ascii="Palatino Linotype" w:hAnsi="Palatino Linotype"/>
          <w:b/>
        </w:rPr>
        <w:t xml:space="preserve">de </w:t>
      </w:r>
      <w:r w:rsidR="007A69B6">
        <w:rPr>
          <w:rFonts w:ascii="Palatino Linotype" w:hAnsi="Palatino Linotype"/>
          <w:b/>
        </w:rPr>
        <w:t>Tecámac</w:t>
      </w:r>
      <w:r w:rsidR="005C0595" w:rsidRPr="00205730">
        <w:rPr>
          <w:rFonts w:ascii="Palatino Linotype" w:hAnsi="Palatino Linotype"/>
          <w:b/>
        </w:rPr>
        <w:t xml:space="preserve"> </w:t>
      </w:r>
      <w:r w:rsidRPr="00205730">
        <w:rPr>
          <w:rFonts w:ascii="Palatino Linotype" w:hAnsi="Palatino Linotype"/>
        </w:rPr>
        <w:t>en lo subsecuente</w:t>
      </w:r>
      <w:r w:rsidRPr="00205730">
        <w:rPr>
          <w:rFonts w:ascii="Palatino Linotype" w:hAnsi="Palatino Linotype"/>
          <w:b/>
        </w:rPr>
        <w:t xml:space="preserve"> </w:t>
      </w:r>
      <w:r w:rsidR="006170BC" w:rsidRPr="00205730">
        <w:rPr>
          <w:rFonts w:ascii="Palatino Linotype" w:hAnsi="Palatino Linotype"/>
        </w:rPr>
        <w:t>el</w:t>
      </w:r>
      <w:r w:rsidR="006170BC" w:rsidRPr="00205730">
        <w:rPr>
          <w:rFonts w:ascii="Palatino Linotype" w:hAnsi="Palatino Linotype"/>
          <w:b/>
        </w:rPr>
        <w:t xml:space="preserve"> </w:t>
      </w:r>
      <w:r w:rsidRPr="00205730">
        <w:rPr>
          <w:rFonts w:ascii="Palatino Linotype" w:hAnsi="Palatino Linotype"/>
          <w:b/>
        </w:rPr>
        <w:t>Sujeto Obligado</w:t>
      </w:r>
      <w:r w:rsidRPr="00205730">
        <w:rPr>
          <w:rFonts w:ascii="Palatino Linotype" w:hAnsi="Palatino Linotype"/>
        </w:rPr>
        <w:t>,</w:t>
      </w:r>
      <w:r w:rsidRPr="00205730">
        <w:rPr>
          <w:rFonts w:ascii="Palatino Linotype" w:hAnsi="Palatino Linotype"/>
          <w:b/>
        </w:rPr>
        <w:t xml:space="preserve"> </w:t>
      </w:r>
      <w:r w:rsidRPr="00205730">
        <w:rPr>
          <w:rFonts w:ascii="Palatino Linotype" w:hAnsi="Palatino Linotype"/>
        </w:rPr>
        <w:t>se procede a dictar la presente resolución.</w:t>
      </w:r>
    </w:p>
    <w:p w:rsidR="00093F4C" w:rsidRPr="00205730" w:rsidRDefault="00093F4C" w:rsidP="007F15C7">
      <w:pPr>
        <w:pStyle w:val="Sinespaciado"/>
        <w:spacing w:line="360" w:lineRule="auto"/>
        <w:jc w:val="center"/>
        <w:rPr>
          <w:rFonts w:ascii="Palatino Linotype" w:hAnsi="Palatino Linotype"/>
        </w:rPr>
      </w:pPr>
    </w:p>
    <w:p w:rsidR="00093F4C" w:rsidRPr="00205730" w:rsidRDefault="000B518A" w:rsidP="009E3A4B">
      <w:pPr>
        <w:pStyle w:val="Sinespaciado"/>
        <w:spacing w:line="360" w:lineRule="auto"/>
        <w:jc w:val="center"/>
        <w:rPr>
          <w:rFonts w:ascii="Palatino Linotype" w:hAnsi="Palatino Linotype"/>
          <w:b/>
          <w:sz w:val="28"/>
          <w:szCs w:val="28"/>
        </w:rPr>
      </w:pPr>
      <w:r w:rsidRPr="00205730">
        <w:rPr>
          <w:rFonts w:ascii="Palatino Linotype" w:hAnsi="Palatino Linotype"/>
          <w:b/>
          <w:sz w:val="28"/>
          <w:szCs w:val="28"/>
        </w:rPr>
        <w:t xml:space="preserve">A N T E C E D E N T E </w:t>
      </w:r>
      <w:r w:rsidR="00D80BE8" w:rsidRPr="00205730">
        <w:rPr>
          <w:rFonts w:ascii="Palatino Linotype" w:hAnsi="Palatino Linotype"/>
          <w:b/>
          <w:sz w:val="28"/>
          <w:szCs w:val="28"/>
        </w:rPr>
        <w:t>S</w:t>
      </w:r>
    </w:p>
    <w:p w:rsidR="00D80BE8" w:rsidRPr="00205730" w:rsidRDefault="00D80BE8" w:rsidP="001266BB">
      <w:pPr>
        <w:pStyle w:val="Sinespaciado"/>
        <w:spacing w:line="360" w:lineRule="auto"/>
        <w:jc w:val="both"/>
        <w:rPr>
          <w:rFonts w:ascii="Palatino Linotype" w:hAnsi="Palatino Linotype"/>
          <w:b/>
        </w:rPr>
      </w:pPr>
    </w:p>
    <w:p w:rsidR="008D5A5D" w:rsidRPr="00205730" w:rsidRDefault="008D5A5D" w:rsidP="008D5A5D">
      <w:pPr>
        <w:pStyle w:val="Sinespaciado"/>
        <w:spacing w:line="360" w:lineRule="auto"/>
        <w:jc w:val="both"/>
        <w:rPr>
          <w:rFonts w:ascii="Palatino Linotype" w:hAnsi="Palatino Linotype"/>
          <w:b/>
          <w:sz w:val="26"/>
          <w:szCs w:val="26"/>
        </w:rPr>
      </w:pPr>
      <w:r w:rsidRPr="00205730">
        <w:rPr>
          <w:rFonts w:ascii="Palatino Linotype" w:hAnsi="Palatino Linotype"/>
          <w:b/>
          <w:sz w:val="26"/>
          <w:szCs w:val="26"/>
        </w:rPr>
        <w:t>PRIMERO.</w:t>
      </w:r>
      <w:r w:rsidRPr="00205730">
        <w:rPr>
          <w:rFonts w:ascii="Palatino Linotype" w:hAnsi="Palatino Linotype"/>
          <w:sz w:val="26"/>
          <w:szCs w:val="26"/>
        </w:rPr>
        <w:t xml:space="preserve"> </w:t>
      </w:r>
      <w:r w:rsidRPr="00205730">
        <w:rPr>
          <w:rFonts w:ascii="Palatino Linotype" w:hAnsi="Palatino Linotype"/>
          <w:b/>
          <w:sz w:val="26"/>
          <w:szCs w:val="26"/>
        </w:rPr>
        <w:t>De la Solicitud de Información.</w:t>
      </w:r>
    </w:p>
    <w:p w:rsidR="008D5A5D" w:rsidRPr="00205730" w:rsidRDefault="008D5A5D" w:rsidP="008D5A5D">
      <w:pPr>
        <w:pStyle w:val="Sinespaciado"/>
        <w:spacing w:line="360" w:lineRule="auto"/>
        <w:jc w:val="both"/>
        <w:rPr>
          <w:rFonts w:ascii="Palatino Linotype" w:hAnsi="Palatino Linotype"/>
        </w:rPr>
      </w:pPr>
      <w:r w:rsidRPr="00205730">
        <w:rPr>
          <w:rFonts w:ascii="Palatino Linotype" w:hAnsi="Palatino Linotype"/>
        </w:rPr>
        <w:t xml:space="preserve">Con fecha </w:t>
      </w:r>
      <w:r w:rsidR="007A69B6">
        <w:rPr>
          <w:rFonts w:ascii="Palatino Linotype" w:hAnsi="Palatino Linotype"/>
        </w:rPr>
        <w:t>trece de marzo</w:t>
      </w:r>
      <w:r w:rsidR="00037A76" w:rsidRPr="00205730">
        <w:rPr>
          <w:rFonts w:ascii="Palatino Linotype" w:hAnsi="Palatino Linotype"/>
        </w:rPr>
        <w:t xml:space="preserve"> de dos mil diecinueve</w:t>
      </w:r>
      <w:r w:rsidRPr="00205730">
        <w:rPr>
          <w:rFonts w:ascii="Palatino Linotype" w:hAnsi="Palatino Linotype"/>
        </w:rPr>
        <w:t>, el Recurrente presentó a través del Sistema de Acceso a la Información Mexiquense (</w:t>
      </w:r>
      <w:r w:rsidRPr="00205730">
        <w:rPr>
          <w:rFonts w:ascii="Palatino Linotype" w:hAnsi="Palatino Linotype"/>
          <w:b/>
        </w:rPr>
        <w:t>SAIMEX)</w:t>
      </w:r>
      <w:r w:rsidRPr="00205730">
        <w:rPr>
          <w:rFonts w:ascii="Palatino Linotype" w:hAnsi="Palatino Linotype"/>
        </w:rPr>
        <w:t xml:space="preserve"> ante</w:t>
      </w:r>
      <w:r w:rsidR="007A69B6">
        <w:rPr>
          <w:rFonts w:ascii="Palatino Linotype" w:hAnsi="Palatino Linotype"/>
        </w:rPr>
        <w:t xml:space="preserve"> el Sujeto Obligado, solicitud</w:t>
      </w:r>
      <w:r w:rsidRPr="00205730">
        <w:rPr>
          <w:rFonts w:ascii="Palatino Linotype" w:hAnsi="Palatino Linotype"/>
        </w:rPr>
        <w:t xml:space="preserve"> de acceso a la</w:t>
      </w:r>
      <w:r w:rsidR="007A69B6">
        <w:rPr>
          <w:rFonts w:ascii="Palatino Linotype" w:hAnsi="Palatino Linotype"/>
        </w:rPr>
        <w:t xml:space="preserve"> información pública registrada</w:t>
      </w:r>
      <w:r w:rsidRPr="00205730">
        <w:rPr>
          <w:rFonts w:ascii="Palatino Linotype" w:hAnsi="Palatino Linotype"/>
        </w:rPr>
        <w:t xml:space="preserve"> bajo </w:t>
      </w:r>
      <w:r w:rsidR="007A69B6">
        <w:rPr>
          <w:rFonts w:ascii="Palatino Linotype" w:hAnsi="Palatino Linotype"/>
        </w:rPr>
        <w:t xml:space="preserve">el número de expediente </w:t>
      </w:r>
      <w:r w:rsidR="007A69B6">
        <w:rPr>
          <w:rFonts w:ascii="Palatino Linotype" w:hAnsi="Palatino Linotype"/>
          <w:b/>
          <w:bCs/>
          <w:color w:val="000000" w:themeColor="text1"/>
        </w:rPr>
        <w:t>00264/TECAMAC</w:t>
      </w:r>
      <w:r w:rsidR="00037A76" w:rsidRPr="00205730">
        <w:rPr>
          <w:rFonts w:ascii="Palatino Linotype" w:hAnsi="Palatino Linotype"/>
          <w:b/>
          <w:bCs/>
          <w:color w:val="000000" w:themeColor="text1"/>
        </w:rPr>
        <w:t>/IP/2019</w:t>
      </w:r>
      <w:r w:rsidR="00037A76" w:rsidRPr="00205730">
        <w:rPr>
          <w:rFonts w:ascii="Palatino Linotype" w:hAnsi="Palatino Linotype"/>
        </w:rPr>
        <w:t>,</w:t>
      </w:r>
      <w:r w:rsidR="00037A76" w:rsidRPr="00205730">
        <w:rPr>
          <w:rFonts w:ascii="Palatino Linotype" w:hAnsi="Palatino Linotype"/>
          <w:b/>
        </w:rPr>
        <w:t xml:space="preserve"> </w:t>
      </w:r>
      <w:r w:rsidR="007A69B6">
        <w:rPr>
          <w:rFonts w:ascii="Palatino Linotype" w:hAnsi="Palatino Linotype"/>
        </w:rPr>
        <w:t>por medio del cual requirió lo siguiente</w:t>
      </w:r>
      <w:r w:rsidRPr="00205730">
        <w:rPr>
          <w:rFonts w:ascii="Palatino Linotype" w:hAnsi="Palatino Linotype"/>
        </w:rPr>
        <w:t>:</w:t>
      </w:r>
    </w:p>
    <w:p w:rsidR="008D5A5D" w:rsidRPr="00205730" w:rsidRDefault="008D5A5D" w:rsidP="008D5A5D">
      <w:pPr>
        <w:pStyle w:val="Sinespaciado"/>
        <w:spacing w:line="360" w:lineRule="auto"/>
        <w:jc w:val="both"/>
        <w:rPr>
          <w:rFonts w:ascii="Palatino Linotype" w:hAnsi="Palatino Linotype"/>
        </w:rPr>
      </w:pPr>
    </w:p>
    <w:p w:rsidR="008D5A5D" w:rsidRPr="00205730" w:rsidRDefault="008D5A5D" w:rsidP="008D5A5D">
      <w:pPr>
        <w:pStyle w:val="Sinespaciado"/>
        <w:ind w:left="567" w:right="567"/>
        <w:jc w:val="both"/>
        <w:rPr>
          <w:rFonts w:ascii="Palatino Linotype" w:hAnsi="Palatino Linotype"/>
          <w:i/>
          <w:lang w:val="es-ES_tradnl"/>
        </w:rPr>
      </w:pPr>
      <w:r w:rsidRPr="00205730">
        <w:rPr>
          <w:rFonts w:ascii="Palatino Linotype" w:hAnsi="Palatino Linotype"/>
          <w:i/>
          <w:lang w:val="es-ES_tradnl"/>
        </w:rPr>
        <w:t>“</w:t>
      </w:r>
      <w:r w:rsidR="007A69B6" w:rsidRPr="007A69B6">
        <w:rPr>
          <w:rFonts w:ascii="Palatino Linotype" w:hAnsi="Palatino Linotype"/>
          <w:i/>
        </w:rPr>
        <w:t>NOMBRAMIENTOS DE LOS DIRECTORES Y JEFES DE AREA DE LA ADMINISTRACIÒN PASADA 2016-2018</w:t>
      </w:r>
      <w:r w:rsidRPr="00205730">
        <w:rPr>
          <w:rFonts w:ascii="Palatino Linotype" w:hAnsi="Palatino Linotype"/>
          <w:i/>
          <w:lang w:val="es-ES_tradnl"/>
        </w:rPr>
        <w:t>” [Sic]</w:t>
      </w:r>
    </w:p>
    <w:p w:rsidR="00037A76" w:rsidRPr="00205730" w:rsidRDefault="00037A76" w:rsidP="00037A76">
      <w:pPr>
        <w:pStyle w:val="Sinespaciado"/>
        <w:spacing w:line="360" w:lineRule="auto"/>
        <w:jc w:val="both"/>
        <w:rPr>
          <w:rFonts w:ascii="Palatino Linotype" w:hAnsi="Palatino Linotype"/>
          <w:i/>
          <w:lang w:val="es-ES_tradnl"/>
        </w:rPr>
      </w:pPr>
    </w:p>
    <w:p w:rsidR="008D5A5D" w:rsidRPr="00205730" w:rsidRDefault="008D5A5D" w:rsidP="008D5A5D">
      <w:pPr>
        <w:pStyle w:val="Sinespaciado"/>
        <w:spacing w:line="360" w:lineRule="auto"/>
        <w:jc w:val="both"/>
        <w:rPr>
          <w:rFonts w:ascii="Palatino Linotype" w:hAnsi="Palatino Linotype"/>
          <w:lang w:val="es-ES_tradnl"/>
        </w:rPr>
      </w:pPr>
      <w:r w:rsidRPr="00205730">
        <w:rPr>
          <w:rFonts w:ascii="Palatino Linotype" w:hAnsi="Palatino Linotype"/>
          <w:lang w:val="es-ES_tradnl"/>
        </w:rPr>
        <w:t xml:space="preserve">Modalidad de entrega: a través del </w:t>
      </w:r>
      <w:r w:rsidRPr="00205730">
        <w:rPr>
          <w:rFonts w:ascii="Palatino Linotype" w:hAnsi="Palatino Linotype"/>
          <w:b/>
          <w:lang w:val="es-ES_tradnl"/>
        </w:rPr>
        <w:t>SAIMEX</w:t>
      </w:r>
      <w:r w:rsidRPr="00205730">
        <w:rPr>
          <w:rFonts w:ascii="Palatino Linotype" w:hAnsi="Palatino Linotype"/>
          <w:lang w:val="es-ES_tradnl"/>
        </w:rPr>
        <w:t>.</w:t>
      </w:r>
    </w:p>
    <w:p w:rsidR="008D5A5D" w:rsidRPr="00205730" w:rsidRDefault="008D5A5D" w:rsidP="008D5A5D">
      <w:pPr>
        <w:pStyle w:val="Sinespaciado"/>
        <w:spacing w:line="360" w:lineRule="auto"/>
        <w:jc w:val="both"/>
        <w:rPr>
          <w:rFonts w:ascii="Palatino Linotype" w:hAnsi="Palatino Linotype"/>
          <w:lang w:val="es-ES_tradnl"/>
        </w:rPr>
      </w:pPr>
    </w:p>
    <w:p w:rsidR="008D5A5D" w:rsidRPr="00205730" w:rsidRDefault="008D5A5D" w:rsidP="008D5A5D">
      <w:pPr>
        <w:pStyle w:val="Sinespaciado"/>
        <w:spacing w:line="360" w:lineRule="auto"/>
        <w:jc w:val="both"/>
        <w:rPr>
          <w:rFonts w:ascii="Palatino Linotype" w:hAnsi="Palatino Linotype" w:cs="Arial"/>
          <w:b/>
          <w:sz w:val="26"/>
          <w:szCs w:val="26"/>
        </w:rPr>
      </w:pPr>
      <w:r w:rsidRPr="00205730">
        <w:rPr>
          <w:rFonts w:ascii="Palatino Linotype" w:hAnsi="Palatino Linotype" w:cs="Arial"/>
          <w:b/>
          <w:sz w:val="26"/>
          <w:szCs w:val="26"/>
        </w:rPr>
        <w:lastRenderedPageBreak/>
        <w:t>SEGUNDO. De la respuesta del Sujeto Obligado.</w:t>
      </w:r>
    </w:p>
    <w:p w:rsidR="008D5A5D" w:rsidRPr="00205730" w:rsidRDefault="008D5A5D" w:rsidP="008D5A5D">
      <w:pPr>
        <w:pStyle w:val="Sinespaciado"/>
        <w:spacing w:line="360" w:lineRule="auto"/>
        <w:jc w:val="both"/>
        <w:rPr>
          <w:rFonts w:ascii="Palatino Linotype" w:hAnsi="Palatino Linotype" w:cs="Arial"/>
        </w:rPr>
      </w:pPr>
      <w:r w:rsidRPr="00205730">
        <w:rPr>
          <w:rFonts w:ascii="Palatino Linotype" w:hAnsi="Palatino Linotype" w:cs="Arial"/>
        </w:rPr>
        <w:t xml:space="preserve">Del expediente electrónico que obra en </w:t>
      </w:r>
      <w:r w:rsidRPr="00205730">
        <w:rPr>
          <w:rFonts w:ascii="Palatino Linotype" w:hAnsi="Palatino Linotype" w:cs="Arial"/>
          <w:b/>
        </w:rPr>
        <w:t xml:space="preserve">SAIMEX, </w:t>
      </w:r>
      <w:r w:rsidRPr="00205730">
        <w:rPr>
          <w:rFonts w:ascii="Palatino Linotype" w:hAnsi="Palatino Linotype" w:cs="Arial"/>
        </w:rPr>
        <w:t xml:space="preserve">se observa que el </w:t>
      </w:r>
      <w:r w:rsidRPr="00205730">
        <w:rPr>
          <w:rFonts w:ascii="Palatino Linotype" w:hAnsi="Palatino Linotype" w:cs="Arial"/>
          <w:b/>
        </w:rPr>
        <w:t>Sujeto Obligado</w:t>
      </w:r>
      <w:r w:rsidRPr="00205730">
        <w:rPr>
          <w:rFonts w:ascii="Palatino Linotype" w:hAnsi="Palatino Linotype" w:cs="Arial"/>
        </w:rPr>
        <w:t xml:space="preserve"> fue omiso en su en dar respuesta a la</w:t>
      </w:r>
      <w:r w:rsidR="006A2C28" w:rsidRPr="00205730">
        <w:rPr>
          <w:rFonts w:ascii="Palatino Linotype" w:hAnsi="Palatino Linotype" w:cs="Arial"/>
        </w:rPr>
        <w:t xml:space="preserve"> soli</w:t>
      </w:r>
      <w:r w:rsidRPr="00205730">
        <w:rPr>
          <w:rFonts w:ascii="Palatino Linotype" w:hAnsi="Palatino Linotype" w:cs="Arial"/>
        </w:rPr>
        <w:t>citud de información.</w:t>
      </w:r>
    </w:p>
    <w:p w:rsidR="008D5A5D" w:rsidRPr="00205730" w:rsidRDefault="008D5A5D" w:rsidP="008D5A5D">
      <w:pPr>
        <w:pStyle w:val="Sinespaciado"/>
        <w:spacing w:line="360" w:lineRule="auto"/>
        <w:jc w:val="both"/>
        <w:rPr>
          <w:rFonts w:ascii="Palatino Linotype" w:hAnsi="Palatino Linotype" w:cs="Arial"/>
          <w:b/>
        </w:rPr>
      </w:pPr>
    </w:p>
    <w:p w:rsidR="008D5A5D" w:rsidRPr="00205730" w:rsidRDefault="008D5A5D" w:rsidP="008D5A5D">
      <w:pPr>
        <w:pStyle w:val="Sinespaciado"/>
        <w:spacing w:line="360" w:lineRule="auto"/>
        <w:jc w:val="both"/>
        <w:rPr>
          <w:rFonts w:ascii="Palatino Linotype" w:hAnsi="Palatino Linotype"/>
          <w:b/>
          <w:sz w:val="26"/>
          <w:szCs w:val="26"/>
        </w:rPr>
      </w:pPr>
      <w:r w:rsidRPr="00205730">
        <w:rPr>
          <w:rFonts w:ascii="Palatino Linotype" w:hAnsi="Palatino Linotype" w:cs="Arial"/>
          <w:b/>
          <w:sz w:val="26"/>
          <w:szCs w:val="26"/>
        </w:rPr>
        <w:t xml:space="preserve">TERCERO. </w:t>
      </w:r>
      <w:r w:rsidRPr="00205730">
        <w:rPr>
          <w:rFonts w:ascii="Palatino Linotype" w:hAnsi="Palatino Linotype"/>
          <w:b/>
          <w:sz w:val="26"/>
          <w:szCs w:val="26"/>
        </w:rPr>
        <w:t>Del recurso de revisión.</w:t>
      </w:r>
    </w:p>
    <w:p w:rsidR="008D5A5D" w:rsidRPr="00205730" w:rsidRDefault="008D5A5D" w:rsidP="008D5A5D">
      <w:pPr>
        <w:pStyle w:val="Sinespaciado"/>
        <w:spacing w:line="360" w:lineRule="auto"/>
        <w:jc w:val="both"/>
        <w:rPr>
          <w:rFonts w:ascii="Palatino Linotype" w:hAnsi="Palatino Linotype" w:cs="Arial"/>
        </w:rPr>
      </w:pPr>
      <w:r w:rsidRPr="00205730">
        <w:rPr>
          <w:rFonts w:ascii="Palatino Linotype" w:hAnsi="Palatino Linotype" w:cs="Arial"/>
        </w:rPr>
        <w:t xml:space="preserve">En fecha </w:t>
      </w:r>
      <w:r w:rsidR="007A69B6">
        <w:rPr>
          <w:rFonts w:ascii="Palatino Linotype" w:hAnsi="Palatino Linotype" w:cs="Arial"/>
        </w:rPr>
        <w:t>nueve de abril</w:t>
      </w:r>
      <w:r w:rsidR="006A2C28" w:rsidRPr="00205730">
        <w:rPr>
          <w:rFonts w:ascii="Palatino Linotype" w:hAnsi="Palatino Linotype" w:cs="Arial"/>
        </w:rPr>
        <w:t xml:space="preserve"> de dos mil diecinueve</w:t>
      </w:r>
      <w:r w:rsidRPr="00205730">
        <w:rPr>
          <w:rFonts w:ascii="Palatino Linotype" w:hAnsi="Palatino Linotype" w:cs="Arial"/>
        </w:rPr>
        <w:t xml:space="preserve">, el </w:t>
      </w:r>
      <w:r w:rsidRPr="00205730">
        <w:rPr>
          <w:rFonts w:ascii="Palatino Linotype" w:hAnsi="Palatino Linotype" w:cs="Arial"/>
          <w:b/>
        </w:rPr>
        <w:t>Recurrente</w:t>
      </w:r>
      <w:r w:rsidRPr="00205730">
        <w:rPr>
          <w:rFonts w:ascii="Palatino Linotype" w:hAnsi="Palatino Linotype" w:cs="Arial"/>
        </w:rPr>
        <w:t xml:space="preserve"> interpuso </w:t>
      </w:r>
      <w:r w:rsidR="00B65A93">
        <w:rPr>
          <w:rFonts w:ascii="Palatino Linotype" w:hAnsi="Palatino Linotype" w:cs="Arial"/>
        </w:rPr>
        <w:t xml:space="preserve">el recurso de revisión que quedó registrado en </w:t>
      </w:r>
      <w:r w:rsidRPr="00205730">
        <w:rPr>
          <w:rFonts w:ascii="Palatino Linotype" w:hAnsi="Palatino Linotype" w:cs="Arial"/>
        </w:rPr>
        <w:t xml:space="preserve">el </w:t>
      </w:r>
      <w:r w:rsidRPr="00205730">
        <w:rPr>
          <w:rFonts w:ascii="Palatino Linotype" w:hAnsi="Palatino Linotype" w:cs="Arial"/>
          <w:b/>
        </w:rPr>
        <w:t>SAIMEX</w:t>
      </w:r>
      <w:r w:rsidRPr="00205730">
        <w:rPr>
          <w:rFonts w:ascii="Palatino Linotype" w:hAnsi="Palatino Linotype" w:cs="Arial"/>
        </w:rPr>
        <w:t xml:space="preserve"> con </w:t>
      </w:r>
      <w:r w:rsidR="00B65A93">
        <w:rPr>
          <w:rFonts w:ascii="Palatino Linotype" w:hAnsi="Palatino Linotype" w:cs="Arial"/>
        </w:rPr>
        <w:t>el expediente</w:t>
      </w:r>
      <w:r w:rsidRPr="00205730">
        <w:rPr>
          <w:rFonts w:ascii="Palatino Linotype" w:hAnsi="Palatino Linotype" w:cs="Arial"/>
        </w:rPr>
        <w:t xml:space="preserve"> número</w:t>
      </w:r>
      <w:r w:rsidRPr="00205730">
        <w:rPr>
          <w:rFonts w:ascii="Palatino Linotype" w:hAnsi="Palatino Linotype" w:cs="Arial"/>
          <w:b/>
        </w:rPr>
        <w:t xml:space="preserve"> </w:t>
      </w:r>
      <w:r w:rsidR="00B65A93">
        <w:rPr>
          <w:rFonts w:ascii="Palatino Linotype" w:hAnsi="Palatino Linotype"/>
          <w:b/>
        </w:rPr>
        <w:t xml:space="preserve">02490/INFOEM/IP/RR/2019, </w:t>
      </w:r>
      <w:r w:rsidRPr="00205730">
        <w:rPr>
          <w:rFonts w:ascii="Palatino Linotype" w:hAnsi="Palatino Linotype" w:cs="Arial"/>
        </w:rPr>
        <w:t>manifesta</w:t>
      </w:r>
      <w:r w:rsidR="000B687C" w:rsidRPr="00205730">
        <w:rPr>
          <w:rFonts w:ascii="Palatino Linotype" w:hAnsi="Palatino Linotype" w:cs="Arial"/>
        </w:rPr>
        <w:t>ndo</w:t>
      </w:r>
      <w:r w:rsidR="00F0159D" w:rsidRPr="00205730">
        <w:rPr>
          <w:rFonts w:ascii="Palatino Linotype" w:hAnsi="Palatino Linotype" w:cs="Arial"/>
        </w:rPr>
        <w:t xml:space="preserve"> </w:t>
      </w:r>
      <w:r w:rsidRPr="00205730">
        <w:rPr>
          <w:rFonts w:ascii="Palatino Linotype" w:hAnsi="Palatino Linotype" w:cs="Arial"/>
        </w:rPr>
        <w:t>lo siguiente:</w:t>
      </w:r>
    </w:p>
    <w:p w:rsidR="008D5A5D" w:rsidRPr="00205730" w:rsidRDefault="008D5A5D" w:rsidP="008D5A5D">
      <w:pPr>
        <w:pStyle w:val="Sinespaciado"/>
        <w:spacing w:line="360" w:lineRule="auto"/>
        <w:jc w:val="both"/>
        <w:rPr>
          <w:rFonts w:ascii="Palatino Linotype" w:hAnsi="Palatino Linotype" w:cs="Arial"/>
        </w:rPr>
      </w:pPr>
    </w:p>
    <w:p w:rsidR="008D5A5D" w:rsidRPr="00205730" w:rsidRDefault="008D5A5D" w:rsidP="008D5A5D">
      <w:pPr>
        <w:pStyle w:val="Sinespaciado"/>
        <w:spacing w:line="360" w:lineRule="auto"/>
        <w:jc w:val="both"/>
        <w:rPr>
          <w:rFonts w:ascii="Palatino Linotype" w:hAnsi="Palatino Linotype" w:cs="Arial"/>
          <w:b/>
        </w:rPr>
      </w:pPr>
      <w:r w:rsidRPr="00205730">
        <w:rPr>
          <w:rFonts w:ascii="Palatino Linotype" w:hAnsi="Palatino Linotype" w:cs="Arial"/>
          <w:b/>
        </w:rPr>
        <w:t>Actos Impugnados:</w:t>
      </w:r>
    </w:p>
    <w:p w:rsidR="008D5A5D" w:rsidRPr="00205730" w:rsidRDefault="008D5A5D" w:rsidP="008D5A5D">
      <w:pPr>
        <w:pStyle w:val="Sinespaciado"/>
        <w:ind w:left="567" w:right="567"/>
        <w:jc w:val="both"/>
        <w:rPr>
          <w:rFonts w:ascii="Palatino Linotype" w:hAnsi="Palatino Linotype"/>
          <w:i/>
          <w:color w:val="000000"/>
        </w:rPr>
      </w:pPr>
      <w:r w:rsidRPr="00205730">
        <w:rPr>
          <w:rFonts w:ascii="Palatino Linotype" w:hAnsi="Palatino Linotype"/>
          <w:i/>
          <w:color w:val="000000"/>
        </w:rPr>
        <w:t>“</w:t>
      </w:r>
      <w:r w:rsidR="00B65A93" w:rsidRPr="00B65A93">
        <w:rPr>
          <w:rFonts w:ascii="Palatino Linotype" w:hAnsi="Palatino Linotype"/>
          <w:i/>
          <w:color w:val="000000"/>
        </w:rPr>
        <w:t>NO HAN DADO RESPUESTA A MI SOLICITUD, CREO QUE NO SABEN MANEJAR UN ARCHIVO</w:t>
      </w:r>
      <w:r w:rsidRPr="00205730">
        <w:rPr>
          <w:rFonts w:ascii="Palatino Linotype" w:hAnsi="Palatino Linotype"/>
          <w:i/>
          <w:color w:val="000000"/>
        </w:rPr>
        <w:t xml:space="preserve">” (Sic) </w:t>
      </w:r>
    </w:p>
    <w:p w:rsidR="002C468E" w:rsidRPr="00205730" w:rsidRDefault="002C468E" w:rsidP="008D5A5D">
      <w:pPr>
        <w:pStyle w:val="Sinespaciado"/>
        <w:spacing w:line="360" w:lineRule="auto"/>
        <w:jc w:val="both"/>
        <w:rPr>
          <w:rFonts w:ascii="Palatino Linotype" w:hAnsi="Palatino Linotype" w:cs="Arial"/>
        </w:rPr>
      </w:pPr>
    </w:p>
    <w:p w:rsidR="008D5A5D" w:rsidRPr="00205730" w:rsidRDefault="008D5A5D" w:rsidP="008D5A5D">
      <w:pPr>
        <w:pStyle w:val="Sinespaciado"/>
        <w:spacing w:line="360" w:lineRule="auto"/>
        <w:jc w:val="both"/>
        <w:rPr>
          <w:rFonts w:ascii="Palatino Linotype" w:hAnsi="Palatino Linotype" w:cs="Arial"/>
        </w:rPr>
      </w:pPr>
      <w:r w:rsidRPr="00205730">
        <w:rPr>
          <w:rFonts w:ascii="Palatino Linotype" w:hAnsi="Palatino Linotype" w:cs="Arial"/>
        </w:rPr>
        <w:t>Y como</w:t>
      </w:r>
      <w:r w:rsidRPr="00205730">
        <w:rPr>
          <w:rFonts w:ascii="Palatino Linotype" w:hAnsi="Palatino Linotype" w:cs="Arial"/>
          <w:b/>
        </w:rPr>
        <w:t xml:space="preserve"> Razones o Motivos de Inconformidad</w:t>
      </w:r>
      <w:r w:rsidRPr="00205730">
        <w:rPr>
          <w:rFonts w:ascii="Palatino Linotype" w:hAnsi="Palatino Linotype" w:cs="Arial"/>
        </w:rPr>
        <w:t>:</w:t>
      </w:r>
    </w:p>
    <w:p w:rsidR="008D5A5D" w:rsidRPr="00205730" w:rsidRDefault="008D5A5D" w:rsidP="008D5A5D">
      <w:pPr>
        <w:pStyle w:val="Sinespaciado"/>
        <w:ind w:left="567" w:right="567"/>
        <w:jc w:val="both"/>
        <w:rPr>
          <w:rFonts w:ascii="Palatino Linotype" w:hAnsi="Palatino Linotype"/>
          <w:i/>
          <w:lang w:eastAsia="es-MX"/>
        </w:rPr>
      </w:pPr>
      <w:r w:rsidRPr="00205730">
        <w:rPr>
          <w:rFonts w:ascii="Palatino Linotype" w:hAnsi="Palatino Linotype"/>
          <w:i/>
          <w:color w:val="000000"/>
        </w:rPr>
        <w:t>“</w:t>
      </w:r>
      <w:r w:rsidR="00B65A93" w:rsidRPr="00B65A93">
        <w:rPr>
          <w:rFonts w:ascii="Palatino Linotype" w:hAnsi="Palatino Linotype"/>
          <w:i/>
          <w:color w:val="000000"/>
        </w:rPr>
        <w:t>NO RESPONDIERON Y NO ACATARON LA LEY DE TRANSPARENCIA</w:t>
      </w:r>
      <w:r w:rsidRPr="00205730">
        <w:rPr>
          <w:rFonts w:ascii="Palatino Linotype" w:hAnsi="Palatino Linotype"/>
          <w:i/>
          <w:color w:val="000000"/>
        </w:rPr>
        <w:t xml:space="preserve">” (Sic) </w:t>
      </w:r>
    </w:p>
    <w:p w:rsidR="008D5A5D" w:rsidRPr="00205730" w:rsidRDefault="008D5A5D" w:rsidP="008D5A5D">
      <w:pPr>
        <w:pStyle w:val="Sinespaciado"/>
        <w:spacing w:line="360" w:lineRule="auto"/>
        <w:jc w:val="both"/>
        <w:rPr>
          <w:rFonts w:ascii="Palatino Linotype" w:hAnsi="Palatino Linotype" w:cs="Arial"/>
        </w:rPr>
      </w:pPr>
    </w:p>
    <w:p w:rsidR="008D5A5D" w:rsidRPr="00205730" w:rsidRDefault="008D5A5D" w:rsidP="008D5A5D">
      <w:pPr>
        <w:pStyle w:val="Sinespaciado"/>
        <w:spacing w:line="360" w:lineRule="auto"/>
        <w:jc w:val="both"/>
        <w:rPr>
          <w:rFonts w:ascii="Palatino Linotype" w:hAnsi="Palatino Linotype"/>
          <w:b/>
          <w:sz w:val="26"/>
          <w:szCs w:val="26"/>
        </w:rPr>
      </w:pPr>
      <w:r w:rsidRPr="00205730">
        <w:rPr>
          <w:rFonts w:ascii="Palatino Linotype" w:hAnsi="Palatino Linotype"/>
          <w:b/>
          <w:sz w:val="26"/>
          <w:szCs w:val="26"/>
        </w:rPr>
        <w:t>CUARTO. Del turno y admisión de</w:t>
      </w:r>
      <w:r w:rsidR="00713BC2">
        <w:rPr>
          <w:rFonts w:ascii="Palatino Linotype" w:hAnsi="Palatino Linotype"/>
          <w:b/>
          <w:sz w:val="26"/>
          <w:szCs w:val="26"/>
        </w:rPr>
        <w:t>l</w:t>
      </w:r>
      <w:r w:rsidRPr="00205730">
        <w:rPr>
          <w:rFonts w:ascii="Palatino Linotype" w:hAnsi="Palatino Linotype"/>
          <w:b/>
          <w:sz w:val="26"/>
          <w:szCs w:val="26"/>
        </w:rPr>
        <w:t xml:space="preserve"> </w:t>
      </w:r>
      <w:r w:rsidR="00713BC2">
        <w:rPr>
          <w:rFonts w:ascii="Palatino Linotype" w:hAnsi="Palatino Linotype"/>
          <w:b/>
          <w:sz w:val="26"/>
          <w:szCs w:val="26"/>
        </w:rPr>
        <w:t>recurso</w:t>
      </w:r>
      <w:r w:rsidRPr="00205730">
        <w:rPr>
          <w:rFonts w:ascii="Palatino Linotype" w:hAnsi="Palatino Linotype"/>
          <w:b/>
          <w:sz w:val="26"/>
          <w:szCs w:val="26"/>
        </w:rPr>
        <w:t xml:space="preserve"> de revisión.</w:t>
      </w:r>
    </w:p>
    <w:p w:rsidR="008D5A5D" w:rsidRPr="00205730" w:rsidRDefault="008354FD" w:rsidP="008D5A5D">
      <w:pPr>
        <w:pStyle w:val="Sinespaciado"/>
        <w:spacing w:line="360" w:lineRule="auto"/>
        <w:jc w:val="both"/>
        <w:rPr>
          <w:rFonts w:ascii="Palatino Linotype" w:hAnsi="Palatino Linotype"/>
        </w:rPr>
      </w:pPr>
      <w:r w:rsidRPr="00205730">
        <w:rPr>
          <w:rFonts w:ascii="Palatino Linotype" w:hAnsi="Palatino Linotype"/>
        </w:rPr>
        <w:t xml:space="preserve">En términos del numeral 185 fracción I de la Ley de Transparencia y Acceso a la Información Pública del Estado de México y Municipios, </w:t>
      </w:r>
      <w:r w:rsidR="00B65A93">
        <w:rPr>
          <w:rFonts w:ascii="Palatino Linotype" w:hAnsi="Palatino Linotype"/>
        </w:rPr>
        <w:t>el recurso de revisión descrito</w:t>
      </w:r>
      <w:r w:rsidRPr="00205730">
        <w:rPr>
          <w:rFonts w:ascii="Palatino Linotype" w:hAnsi="Palatino Linotype"/>
        </w:rPr>
        <w:t xml:space="preserve"> an</w:t>
      </w:r>
      <w:r w:rsidR="00F0159D" w:rsidRPr="00205730">
        <w:rPr>
          <w:rFonts w:ascii="Palatino Linotype" w:hAnsi="Palatino Linotype"/>
        </w:rPr>
        <w:t>terior</w:t>
      </w:r>
      <w:r w:rsidR="00B65A93">
        <w:rPr>
          <w:rFonts w:ascii="Palatino Linotype" w:hAnsi="Palatino Linotype"/>
        </w:rPr>
        <w:t>mente fue turnado a la</w:t>
      </w:r>
      <w:r w:rsidR="00F0159D" w:rsidRPr="00205730">
        <w:rPr>
          <w:rFonts w:ascii="Palatino Linotype" w:hAnsi="Palatino Linotype"/>
        </w:rPr>
        <w:t xml:space="preserve"> Comisionada</w:t>
      </w:r>
      <w:r w:rsidRPr="00205730">
        <w:rPr>
          <w:rFonts w:ascii="Palatino Linotype" w:hAnsi="Palatino Linotype"/>
        </w:rPr>
        <w:t xml:space="preserve"> </w:t>
      </w:r>
      <w:r w:rsidRPr="00205730">
        <w:rPr>
          <w:rFonts w:ascii="Palatino Linotype" w:hAnsi="Palatino Linotype"/>
          <w:b/>
        </w:rPr>
        <w:t xml:space="preserve">Zulema Martínez Sánchez, </w:t>
      </w:r>
      <w:r w:rsidRPr="00205730">
        <w:rPr>
          <w:rFonts w:ascii="Palatino Linotype" w:hAnsi="Palatino Linotype"/>
        </w:rPr>
        <w:t xml:space="preserve">para su revisión y análisis sobre la admisión o desechamiento; por lo que en fecha </w:t>
      </w:r>
      <w:r w:rsidR="00B65A93">
        <w:rPr>
          <w:rFonts w:ascii="Palatino Linotype" w:hAnsi="Palatino Linotype"/>
        </w:rPr>
        <w:t>veintidós</w:t>
      </w:r>
      <w:r w:rsidR="00892976" w:rsidRPr="00205730">
        <w:rPr>
          <w:rFonts w:ascii="Palatino Linotype" w:hAnsi="Palatino Linotype"/>
        </w:rPr>
        <w:t xml:space="preserve"> de abril de dos mil diecinueve, </w:t>
      </w:r>
      <w:r w:rsidR="00B65A93">
        <w:rPr>
          <w:rFonts w:ascii="Palatino Linotype" w:hAnsi="Palatino Linotype"/>
        </w:rPr>
        <w:t xml:space="preserve">dicho recurso fue admitido </w:t>
      </w:r>
      <w:r w:rsidRPr="00205730">
        <w:rPr>
          <w:rFonts w:ascii="Palatino Linotype" w:hAnsi="Palatino Linotype"/>
        </w:rPr>
        <w:t xml:space="preserve">en la vía interpuesta, poniendo </w:t>
      </w:r>
      <w:r w:rsidR="00B65A93">
        <w:rPr>
          <w:rFonts w:ascii="Palatino Linotype" w:hAnsi="Palatino Linotype"/>
        </w:rPr>
        <w:t>el expediente</w:t>
      </w:r>
      <w:r w:rsidRPr="00205730">
        <w:rPr>
          <w:rFonts w:ascii="Palatino Linotype" w:hAnsi="Palatino Linotype"/>
        </w:rPr>
        <w:t xml:space="preserve"> a disposición de las partes para que, en un plazo máximo de siete días, manifestaran lo que a su derecho corresponda a efecto de ofrecer pruebas, </w:t>
      </w:r>
      <w:r w:rsidRPr="00205730">
        <w:rPr>
          <w:rFonts w:ascii="Palatino Linotype" w:hAnsi="Palatino Linotype"/>
        </w:rPr>
        <w:lastRenderedPageBreak/>
        <w:t>informe justificado y presentar alegatos, con fundamento en el artículo 185 fracciones I, II y IV de la Ley de Transparencia y Acceso a la Información Pública del Estado de México y Municipios.</w:t>
      </w:r>
    </w:p>
    <w:p w:rsidR="008D5A5D" w:rsidRPr="00205730" w:rsidRDefault="008D5A5D" w:rsidP="008D5A5D">
      <w:pPr>
        <w:pStyle w:val="Sinespaciado"/>
        <w:spacing w:line="360" w:lineRule="auto"/>
        <w:jc w:val="both"/>
        <w:rPr>
          <w:rFonts w:ascii="Palatino Linotype" w:hAnsi="Palatino Linotype"/>
        </w:rPr>
      </w:pPr>
    </w:p>
    <w:p w:rsidR="008D5A5D" w:rsidRPr="00205730" w:rsidRDefault="008D5A5D" w:rsidP="008D5A5D">
      <w:pPr>
        <w:pStyle w:val="Sinespaciado"/>
        <w:spacing w:line="360" w:lineRule="auto"/>
        <w:jc w:val="both"/>
        <w:rPr>
          <w:rFonts w:ascii="Palatino Linotype" w:hAnsi="Palatino Linotype"/>
          <w:b/>
          <w:sz w:val="26"/>
          <w:szCs w:val="26"/>
        </w:rPr>
      </w:pPr>
      <w:r w:rsidRPr="00205730">
        <w:rPr>
          <w:rFonts w:ascii="Palatino Linotype" w:hAnsi="Palatino Linotype"/>
          <w:b/>
          <w:sz w:val="26"/>
          <w:szCs w:val="26"/>
        </w:rPr>
        <w:t>QUINTO. De la etapa de instrucción.</w:t>
      </w:r>
    </w:p>
    <w:p w:rsidR="00BC0DA8" w:rsidRPr="00205730" w:rsidRDefault="0019140B" w:rsidP="002F700C">
      <w:pPr>
        <w:pStyle w:val="Sinespaciado"/>
        <w:spacing w:line="360" w:lineRule="auto"/>
        <w:jc w:val="both"/>
        <w:rPr>
          <w:rFonts w:ascii="Palatino Linotype" w:hAnsi="Palatino Linotype"/>
        </w:rPr>
      </w:pPr>
      <w:r w:rsidRPr="00205730">
        <w:rPr>
          <w:rFonts w:ascii="Palatino Linotype" w:hAnsi="Palatino Linotype"/>
        </w:rPr>
        <w:t xml:space="preserve">Así, una vez abierta la etapa de instrucción, en el sumario se observa que el Recurrente no presentó pruebas, realizó manifestaciones ni vertió alegatos que a su derecho conviniera. Por su parte el Sujeto Obligado </w:t>
      </w:r>
      <w:r w:rsidR="00892976" w:rsidRPr="00205730">
        <w:rPr>
          <w:rFonts w:ascii="Palatino Linotype" w:hAnsi="Palatino Linotype"/>
        </w:rPr>
        <w:t xml:space="preserve">rindió su Informe Justificado el día </w:t>
      </w:r>
      <w:r w:rsidR="00B65A93">
        <w:rPr>
          <w:rFonts w:ascii="Palatino Linotype" w:hAnsi="Palatino Linotype"/>
        </w:rPr>
        <w:t xml:space="preserve">veintiséis </w:t>
      </w:r>
      <w:r w:rsidR="00892976" w:rsidRPr="00205730">
        <w:rPr>
          <w:rFonts w:ascii="Palatino Linotype" w:hAnsi="Palatino Linotype"/>
        </w:rPr>
        <w:t xml:space="preserve">de abril de dos mil diecinueve, consistente del archivo denominado </w:t>
      </w:r>
      <w:r w:rsidR="00B65A93">
        <w:rPr>
          <w:rFonts w:ascii="Palatino Linotype" w:hAnsi="Palatino Linotype"/>
          <w:b/>
        </w:rPr>
        <w:t>“SOL-264-RR-2490</w:t>
      </w:r>
      <w:r w:rsidR="00892976" w:rsidRPr="00205730">
        <w:rPr>
          <w:rFonts w:ascii="Palatino Linotype" w:hAnsi="Palatino Linotype"/>
          <w:b/>
        </w:rPr>
        <w:t>.pdf</w:t>
      </w:r>
      <w:r w:rsidR="00FD3C4E" w:rsidRPr="00205730">
        <w:rPr>
          <w:rFonts w:ascii="Palatino Linotype" w:hAnsi="Palatino Linotype"/>
          <w:b/>
        </w:rPr>
        <w:t>”</w:t>
      </w:r>
      <w:r w:rsidR="00892976" w:rsidRPr="00205730">
        <w:rPr>
          <w:rFonts w:ascii="Palatino Linotype" w:hAnsi="Palatino Linotype"/>
        </w:rPr>
        <w:t xml:space="preserve">, </w:t>
      </w:r>
      <w:r w:rsidR="002F700C">
        <w:rPr>
          <w:rFonts w:ascii="Palatino Linotype" w:hAnsi="Palatino Linotype"/>
        </w:rPr>
        <w:t xml:space="preserve">mediante </w:t>
      </w:r>
      <w:r w:rsidR="00892976" w:rsidRPr="00205730">
        <w:rPr>
          <w:rFonts w:ascii="Palatino Linotype" w:hAnsi="Palatino Linotype"/>
        </w:rPr>
        <w:t>el cual</w:t>
      </w:r>
      <w:r w:rsidR="002F700C">
        <w:rPr>
          <w:rFonts w:ascii="Palatino Linotype" w:hAnsi="Palatino Linotype"/>
        </w:rPr>
        <w:t xml:space="preserve"> el Sujeto Obligado remitió la información requerida por el particular, sin embargo, derivado del análisis al documento referido, se observó que</w:t>
      </w:r>
      <w:r w:rsidR="00F721C9">
        <w:rPr>
          <w:rFonts w:ascii="Palatino Linotype" w:hAnsi="Palatino Linotype"/>
        </w:rPr>
        <w:t xml:space="preserve"> en la página 43 del documento</w:t>
      </w:r>
      <w:r w:rsidR="002F700C">
        <w:rPr>
          <w:rFonts w:ascii="Palatino Linotype" w:hAnsi="Palatino Linotype"/>
        </w:rPr>
        <w:t xml:space="preserve"> se dejaron parcialmente visibles datos personales, por lo que no fue puesto </w:t>
      </w:r>
      <w:r w:rsidR="00BC0DA8" w:rsidRPr="00205730">
        <w:rPr>
          <w:rFonts w:ascii="Palatino Linotype" w:hAnsi="Palatino Linotype"/>
        </w:rPr>
        <w:t xml:space="preserve">a la vista del Recurrente, no obstante se </w:t>
      </w:r>
      <w:r w:rsidR="002F700C">
        <w:rPr>
          <w:rFonts w:ascii="Palatino Linotype" w:hAnsi="Palatino Linotype"/>
        </w:rPr>
        <w:t xml:space="preserve">hará referencia a su contenido en el estudio correspondiente. </w:t>
      </w:r>
    </w:p>
    <w:p w:rsidR="008D5A5D" w:rsidRPr="00205730" w:rsidRDefault="008D5A5D" w:rsidP="008D5A5D">
      <w:pPr>
        <w:pStyle w:val="Sinespaciado"/>
        <w:spacing w:line="360" w:lineRule="auto"/>
        <w:jc w:val="both"/>
        <w:rPr>
          <w:rFonts w:ascii="Palatino Linotype" w:hAnsi="Palatino Linotype"/>
        </w:rPr>
      </w:pPr>
    </w:p>
    <w:p w:rsidR="008D5A5D" w:rsidRPr="00205730" w:rsidRDefault="00C3749A" w:rsidP="008D5A5D">
      <w:pPr>
        <w:pStyle w:val="Sinespaciado"/>
        <w:spacing w:line="360" w:lineRule="auto"/>
        <w:jc w:val="both"/>
        <w:rPr>
          <w:rFonts w:ascii="Palatino Linotype" w:hAnsi="Palatino Linotype"/>
          <w:b/>
          <w:sz w:val="26"/>
          <w:szCs w:val="26"/>
        </w:rPr>
      </w:pPr>
      <w:r>
        <w:rPr>
          <w:rFonts w:ascii="Palatino Linotype" w:hAnsi="Palatino Linotype"/>
          <w:b/>
          <w:sz w:val="26"/>
          <w:szCs w:val="26"/>
        </w:rPr>
        <w:t>SEXTO</w:t>
      </w:r>
      <w:r w:rsidR="008D5A5D" w:rsidRPr="00205730">
        <w:rPr>
          <w:rFonts w:ascii="Palatino Linotype" w:hAnsi="Palatino Linotype"/>
          <w:b/>
          <w:sz w:val="26"/>
          <w:szCs w:val="26"/>
        </w:rPr>
        <w:t>. Del cierre de instrucción.</w:t>
      </w:r>
    </w:p>
    <w:p w:rsidR="007C0F23" w:rsidRPr="00205730" w:rsidRDefault="008D5A5D" w:rsidP="008D5A5D">
      <w:pPr>
        <w:pStyle w:val="Sinespaciado"/>
        <w:spacing w:line="360" w:lineRule="auto"/>
        <w:jc w:val="both"/>
        <w:rPr>
          <w:rFonts w:ascii="Palatino Linotype" w:hAnsi="Palatino Linotype"/>
        </w:rPr>
      </w:pPr>
      <w:r w:rsidRPr="00205730">
        <w:rPr>
          <w:rFonts w:ascii="Palatino Linotype" w:hAnsi="Palatino Linotype"/>
        </w:rPr>
        <w:t xml:space="preserve">Por lo anterior, en fecha </w:t>
      </w:r>
      <w:r w:rsidR="00C3749A">
        <w:rPr>
          <w:rFonts w:ascii="Palatino Linotype" w:hAnsi="Palatino Linotype"/>
        </w:rPr>
        <w:t>tres de mayo</w:t>
      </w:r>
      <w:r w:rsidR="00725FA6" w:rsidRPr="00205730">
        <w:rPr>
          <w:rFonts w:ascii="Palatino Linotype" w:hAnsi="Palatino Linotype"/>
        </w:rPr>
        <w:t xml:space="preserve"> de dos mil diecinueve,</w:t>
      </w:r>
      <w:r w:rsidRPr="00205730">
        <w:rPr>
          <w:rFonts w:ascii="Palatino Linotype" w:hAnsi="Palatino Linotype"/>
        </w:rPr>
        <w:t xml:space="preserve"> mediante acuerdo de la </w:t>
      </w:r>
      <w:r w:rsidRPr="00205730">
        <w:rPr>
          <w:rFonts w:ascii="Palatino Linotype" w:hAnsi="Palatino Linotype"/>
          <w:b/>
        </w:rPr>
        <w:t>Comisionada Zulema Martínez Sánchez</w:t>
      </w:r>
      <w:r w:rsidRPr="00205730">
        <w:rPr>
          <w:rFonts w:ascii="Palatino Linotype" w:hAnsi="Palatino Linotype"/>
        </w:rPr>
        <w:t>, una vez transcurrido el plazo otorgado a las partes para que manifestaran lo que a su derecho conviniera, ofrecieran pruebas que estimaran convenientes y rindieran alegatos, se decretó el cierre de instrucción, en términos del artículo 185 Fracción VI de la Ley de Transparencia y Acceso a la Información Pública del Estado de México y Municipios, en los recursos de revisión citados.</w:t>
      </w:r>
    </w:p>
    <w:p w:rsidR="002C468E" w:rsidRPr="00205730" w:rsidRDefault="002C468E" w:rsidP="008D5A5D">
      <w:pPr>
        <w:pStyle w:val="Sinespaciado"/>
        <w:spacing w:line="360" w:lineRule="auto"/>
        <w:jc w:val="both"/>
        <w:rPr>
          <w:rFonts w:ascii="Palatino Linotype" w:hAnsi="Palatino Linotype"/>
        </w:rPr>
      </w:pPr>
    </w:p>
    <w:p w:rsidR="002C468E" w:rsidRPr="00205730" w:rsidRDefault="002C468E" w:rsidP="002C468E">
      <w:pPr>
        <w:pStyle w:val="Sinespaciado"/>
        <w:spacing w:line="360" w:lineRule="auto"/>
        <w:jc w:val="both"/>
        <w:rPr>
          <w:rFonts w:ascii="Palatino Linotype" w:hAnsi="Palatino Linotype" w:cs="Arial"/>
          <w:b/>
          <w:sz w:val="26"/>
          <w:szCs w:val="26"/>
        </w:rPr>
      </w:pPr>
      <w:r w:rsidRPr="00205730">
        <w:rPr>
          <w:rFonts w:ascii="Palatino Linotype" w:hAnsi="Palatino Linotype" w:cs="Arial"/>
          <w:b/>
          <w:sz w:val="26"/>
          <w:szCs w:val="26"/>
        </w:rPr>
        <w:lastRenderedPageBreak/>
        <w:t>OCTAVO. De la ampliación del término para resolver.</w:t>
      </w:r>
    </w:p>
    <w:p w:rsidR="002C468E" w:rsidRPr="00205730" w:rsidRDefault="002C468E" w:rsidP="002C468E">
      <w:pPr>
        <w:pStyle w:val="Sinespaciado"/>
        <w:spacing w:line="360" w:lineRule="auto"/>
        <w:jc w:val="both"/>
        <w:rPr>
          <w:rFonts w:ascii="Palatino Linotype" w:hAnsi="Palatino Linotype"/>
        </w:rPr>
      </w:pPr>
      <w:r w:rsidRPr="00205730">
        <w:rPr>
          <w:rFonts w:ascii="Palatino Linotype" w:hAnsi="Palatino Linotype" w:cs="Arial"/>
        </w:rPr>
        <w:t xml:space="preserve">En fecha </w:t>
      </w:r>
      <w:r w:rsidR="00C3749A">
        <w:rPr>
          <w:rFonts w:ascii="Palatino Linotype" w:hAnsi="Palatino Linotype" w:cs="Arial"/>
        </w:rPr>
        <w:t>cinco de junio</w:t>
      </w:r>
      <w:r w:rsidR="00725FA6" w:rsidRPr="00205730">
        <w:rPr>
          <w:rFonts w:ascii="Palatino Linotype" w:hAnsi="Palatino Linotype" w:cs="Arial"/>
        </w:rPr>
        <w:t xml:space="preserve"> de dos mil diecinueve</w:t>
      </w:r>
      <w:r w:rsidRPr="00205730">
        <w:rPr>
          <w:rFonts w:ascii="Palatino Linotype" w:hAnsi="Palatino Linotype" w:cs="Arial"/>
        </w:rPr>
        <w:t xml:space="preserve">, se amplió el término para resolver </w:t>
      </w:r>
      <w:r w:rsidR="00725FA6" w:rsidRPr="00205730">
        <w:rPr>
          <w:rFonts w:ascii="Palatino Linotype" w:hAnsi="Palatino Linotype" w:cs="Arial"/>
        </w:rPr>
        <w:t xml:space="preserve">los </w:t>
      </w:r>
      <w:r w:rsidRPr="00205730">
        <w:rPr>
          <w:rFonts w:ascii="Palatino Linotype" w:hAnsi="Palatino Linotype" w:cs="Arial"/>
        </w:rPr>
        <w:t>recurso</w:t>
      </w:r>
      <w:r w:rsidR="00725FA6" w:rsidRPr="00205730">
        <w:rPr>
          <w:rFonts w:ascii="Palatino Linotype" w:hAnsi="Palatino Linotype" w:cs="Arial"/>
        </w:rPr>
        <w:t>s</w:t>
      </w:r>
      <w:r w:rsidRPr="00205730">
        <w:rPr>
          <w:rFonts w:ascii="Palatino Linotype" w:hAnsi="Palatino Linotype" w:cs="Arial"/>
        </w:rPr>
        <w:t xml:space="preserve"> de revisión en términos del artículo 181 párrafo tercero de la Ley de Transparencia y Acceso a la Información Pública del Estado de México y Municipios por un plazo de quince días hábiles.</w:t>
      </w:r>
    </w:p>
    <w:p w:rsidR="00171965" w:rsidRPr="00205730" w:rsidRDefault="00171965" w:rsidP="008D5A5D">
      <w:pPr>
        <w:pStyle w:val="Sinespaciado"/>
        <w:spacing w:line="360" w:lineRule="auto"/>
        <w:jc w:val="both"/>
        <w:rPr>
          <w:rFonts w:ascii="Palatino Linotype" w:hAnsi="Palatino Linotype"/>
        </w:rPr>
      </w:pPr>
    </w:p>
    <w:p w:rsidR="001032D4" w:rsidRPr="00205730" w:rsidRDefault="00F06264" w:rsidP="009E3A4B">
      <w:pPr>
        <w:pStyle w:val="Sinespaciado"/>
        <w:spacing w:line="360" w:lineRule="auto"/>
        <w:jc w:val="center"/>
        <w:rPr>
          <w:rFonts w:ascii="Palatino Linotype" w:hAnsi="Palatino Linotype" w:cs="Arial"/>
          <w:b/>
          <w:sz w:val="28"/>
          <w:szCs w:val="28"/>
        </w:rPr>
      </w:pPr>
      <w:r w:rsidRPr="00205730">
        <w:rPr>
          <w:rFonts w:ascii="Palatino Linotype" w:hAnsi="Palatino Linotype" w:cs="Arial"/>
          <w:b/>
          <w:sz w:val="28"/>
          <w:szCs w:val="28"/>
        </w:rPr>
        <w:t>C O N S I D E R A N D O</w:t>
      </w:r>
    </w:p>
    <w:p w:rsidR="000E3A84" w:rsidRPr="00205730" w:rsidRDefault="000E3A84" w:rsidP="009E3A4B">
      <w:pPr>
        <w:pStyle w:val="Sinespaciado"/>
        <w:spacing w:line="360" w:lineRule="auto"/>
        <w:jc w:val="both"/>
        <w:rPr>
          <w:rFonts w:ascii="Palatino Linotype" w:hAnsi="Palatino Linotype"/>
        </w:rPr>
      </w:pPr>
    </w:p>
    <w:p w:rsidR="000B518A" w:rsidRPr="00205730" w:rsidRDefault="000B518A" w:rsidP="009E3A4B">
      <w:pPr>
        <w:pStyle w:val="Sinespaciado"/>
        <w:spacing w:line="360" w:lineRule="auto"/>
        <w:jc w:val="both"/>
        <w:rPr>
          <w:rFonts w:ascii="Palatino Linotype" w:hAnsi="Palatino Linotype"/>
          <w:b/>
          <w:sz w:val="26"/>
          <w:szCs w:val="26"/>
        </w:rPr>
      </w:pPr>
      <w:r w:rsidRPr="00205730">
        <w:rPr>
          <w:rFonts w:ascii="Palatino Linotype" w:hAnsi="Palatino Linotype"/>
          <w:b/>
          <w:sz w:val="26"/>
          <w:szCs w:val="26"/>
        </w:rPr>
        <w:t>PRIMERO. De la competencia.</w:t>
      </w:r>
    </w:p>
    <w:p w:rsidR="00421F6E" w:rsidRPr="00205730" w:rsidRDefault="007C0F23" w:rsidP="009E3A4B">
      <w:pPr>
        <w:pStyle w:val="Sinespaciado"/>
        <w:spacing w:line="360" w:lineRule="auto"/>
        <w:jc w:val="both"/>
        <w:rPr>
          <w:rFonts w:ascii="Palatino Linotype" w:hAnsi="Palatino Linotype"/>
        </w:rPr>
      </w:pPr>
      <w:r w:rsidRPr="00205730">
        <w:rPr>
          <w:rFonts w:ascii="Palatino Linotype" w:hAnsi="Palatino Linotype"/>
        </w:rPr>
        <w:t xml:space="preserve">Este Instituto de Transparencia, Acceso a la Información Pública y Protección de Datos Personales del Estado de México y Municipios es competente para conocer y resolver el presente recurso de revisión, de conformidad con los artículos: 6, fracción IV de la Constitución Política de los Estados Unidos Mexicanos; 5, párrafos </w:t>
      </w:r>
      <w:r w:rsidR="00F00E9D" w:rsidRPr="00205730">
        <w:rPr>
          <w:rFonts w:ascii="Palatino Linotype" w:hAnsi="Palatino Linotype"/>
        </w:rPr>
        <w:t>vigésimo, vigésimo primero y vigésimo segundo</w:t>
      </w:r>
      <w:r w:rsidRPr="00205730">
        <w:rPr>
          <w:rFonts w:ascii="Palatino Linotype" w:hAnsi="Palatino Linotype"/>
        </w:rPr>
        <w:t>, fracción IV de la Constitución Política del Es</w:t>
      </w:r>
      <w:r w:rsidR="00491FBF" w:rsidRPr="00205730">
        <w:rPr>
          <w:rFonts w:ascii="Palatino Linotype" w:hAnsi="Palatino Linotype"/>
        </w:rPr>
        <w:t>tado Libre y Soberano de México;</w:t>
      </w:r>
      <w:r w:rsidRPr="00205730">
        <w:rPr>
          <w:rFonts w:ascii="Palatino Linotype" w:hAnsi="Palatino Linotype"/>
        </w:rPr>
        <w:t xml:space="preserve"> 1, 2 fracción II, 13, 29, 36 fracciones II y III, 176, 178, 179, 181 párrafo tercero, 185, 188 y 194 de la Ley de Transparencia y Acceso a la Información Pública del Estado de México y Municipios; </w:t>
      </w:r>
      <w:r w:rsidR="004D138A" w:rsidRPr="00205730">
        <w:rPr>
          <w:rFonts w:ascii="Palatino Linotype" w:hAnsi="Palatino Linotype"/>
        </w:rPr>
        <w:t xml:space="preserve">9, fracciones I y XXIV, 11 y 14 fracción I </w:t>
      </w:r>
      <w:r w:rsidRPr="00205730">
        <w:rPr>
          <w:rFonts w:ascii="Palatino Linotype" w:hAnsi="Palatino Linotype"/>
        </w:rPr>
        <w:t>del Reglamento Interior del Instituto de Transparencia, Acceso a la Información Pública y Protección de Datos Personales del Estado de México y Municipios.</w:t>
      </w:r>
    </w:p>
    <w:p w:rsidR="002C468E" w:rsidRPr="00205730" w:rsidRDefault="002C468E" w:rsidP="009E3A4B">
      <w:pPr>
        <w:pStyle w:val="Sinespaciado"/>
        <w:spacing w:line="360" w:lineRule="auto"/>
        <w:jc w:val="both"/>
        <w:rPr>
          <w:rFonts w:ascii="Palatino Linotype" w:hAnsi="Palatino Linotype"/>
          <w:b/>
        </w:rPr>
      </w:pPr>
    </w:p>
    <w:p w:rsidR="000B518A" w:rsidRPr="00205730" w:rsidRDefault="000B518A" w:rsidP="009E3A4B">
      <w:pPr>
        <w:pStyle w:val="Sinespaciado"/>
        <w:spacing w:line="360" w:lineRule="auto"/>
        <w:jc w:val="both"/>
        <w:rPr>
          <w:rFonts w:ascii="Palatino Linotype" w:hAnsi="Palatino Linotype"/>
          <w:b/>
          <w:sz w:val="26"/>
          <w:szCs w:val="26"/>
        </w:rPr>
      </w:pPr>
      <w:r w:rsidRPr="00205730">
        <w:rPr>
          <w:rFonts w:ascii="Palatino Linotype" w:hAnsi="Palatino Linotype"/>
          <w:b/>
          <w:sz w:val="26"/>
          <w:szCs w:val="26"/>
        </w:rPr>
        <w:t xml:space="preserve">SEGUNDO. Sobre los alcances del recurso de revisión. </w:t>
      </w:r>
    </w:p>
    <w:p w:rsidR="001032D4" w:rsidRPr="00205730" w:rsidRDefault="001032D4" w:rsidP="009E3A4B">
      <w:pPr>
        <w:pStyle w:val="Sinespaciado"/>
        <w:spacing w:line="360" w:lineRule="auto"/>
        <w:jc w:val="both"/>
        <w:rPr>
          <w:rFonts w:ascii="Palatino Linotype" w:hAnsi="Palatino Linotype"/>
        </w:rPr>
      </w:pPr>
      <w:r w:rsidRPr="00205730">
        <w:rPr>
          <w:rFonts w:ascii="Palatino Linotype" w:hAnsi="Palatino Linotype"/>
        </w:rPr>
        <w:t xml:space="preserve">Anterior a todo debe destacarse que el recurso de revisión tiene el fin y alcance que señalan los numerales 176, 179, 181 párrafo cuarto, 194 y 195 y demás aplicables de la </w:t>
      </w:r>
      <w:r w:rsidRPr="00205730">
        <w:rPr>
          <w:rFonts w:ascii="Palatino Linotype" w:hAnsi="Palatino Linotype"/>
        </w:rPr>
        <w:lastRenderedPageBreak/>
        <w:t>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rsidR="00A55AEC" w:rsidRPr="00205730" w:rsidRDefault="00A55AEC" w:rsidP="009E3A4B">
      <w:pPr>
        <w:pStyle w:val="Sinespaciado"/>
        <w:spacing w:line="360" w:lineRule="auto"/>
        <w:jc w:val="both"/>
        <w:rPr>
          <w:rFonts w:ascii="Palatino Linotype" w:hAnsi="Palatino Linotype"/>
        </w:rPr>
      </w:pPr>
    </w:p>
    <w:p w:rsidR="00F97E8E" w:rsidRPr="00205730" w:rsidRDefault="00F97E8E" w:rsidP="009E3A4B">
      <w:pPr>
        <w:pStyle w:val="Sinespaciado"/>
        <w:spacing w:line="360" w:lineRule="auto"/>
        <w:jc w:val="both"/>
        <w:rPr>
          <w:rFonts w:ascii="Palatino Linotype" w:hAnsi="Palatino Linotype"/>
          <w:b/>
          <w:sz w:val="26"/>
          <w:szCs w:val="26"/>
        </w:rPr>
      </w:pPr>
      <w:r w:rsidRPr="00205730">
        <w:rPr>
          <w:rFonts w:ascii="Palatino Linotype" w:hAnsi="Palatino Linotype"/>
          <w:b/>
          <w:sz w:val="26"/>
          <w:szCs w:val="26"/>
        </w:rPr>
        <w:t>TERCERO. De las causas de improcedencia.</w:t>
      </w:r>
    </w:p>
    <w:p w:rsidR="00FF3879" w:rsidRPr="00205730" w:rsidRDefault="00FF3879" w:rsidP="009E3A4B">
      <w:pPr>
        <w:pStyle w:val="Sinespaciado"/>
        <w:spacing w:line="360" w:lineRule="auto"/>
        <w:jc w:val="both"/>
        <w:rPr>
          <w:rFonts w:ascii="Palatino Linotype" w:hAnsi="Palatino Linotype"/>
        </w:rPr>
      </w:pPr>
      <w:r w:rsidRPr="00205730">
        <w:rPr>
          <w:rFonts w:ascii="Palatino Linotype" w:hAnsi="Palatino Linotype"/>
        </w:rPr>
        <w:t>En el procedimiento de acceso a la información y de los medios de impugnación de la materia, se advierten diversos supuestos de procedibilidad, los cuales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rsidR="00FF3879" w:rsidRPr="00205730" w:rsidRDefault="00FF3879" w:rsidP="009E3A4B">
      <w:pPr>
        <w:pStyle w:val="Sinespaciado"/>
        <w:spacing w:line="360" w:lineRule="auto"/>
        <w:jc w:val="both"/>
        <w:rPr>
          <w:rFonts w:ascii="Palatino Linotype" w:hAnsi="Palatino Linotype"/>
        </w:rPr>
      </w:pPr>
    </w:p>
    <w:p w:rsidR="0052294F" w:rsidRPr="00205730" w:rsidRDefault="00FF3879" w:rsidP="009E3A4B">
      <w:pPr>
        <w:pStyle w:val="Sinespaciado"/>
        <w:spacing w:line="360" w:lineRule="auto"/>
        <w:jc w:val="both"/>
        <w:rPr>
          <w:rFonts w:ascii="Palatino Linotype" w:hAnsi="Palatino Linotype"/>
        </w:rPr>
      </w:pPr>
      <w:r w:rsidRPr="00205730">
        <w:rPr>
          <w:rFonts w:ascii="Palatino Linotype" w:hAnsi="Palatino Linotype"/>
        </w:rPr>
        <w:t xml:space="preserve">Siendo facultad de este Órgano entrar al estudio de las causas de improcedencia que hagan valer las partes o que se adviertan de oficio por este Resolutor y por ende objeto de análisis previo al estudio de fondo del asunto, en los presupuestos procesales sobre el inicio o trámite de un proceso, generando eficacia jurídica en las resoluciones, máxime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w:t>
      </w:r>
      <w:r w:rsidRPr="00205730">
        <w:rPr>
          <w:rFonts w:ascii="Palatino Linotype" w:hAnsi="Palatino Linotype"/>
        </w:rPr>
        <w:lastRenderedPageBreak/>
        <w:t>el derecho de acceso a la justicia, ya que éste no se coarta por regular causas de improcedencia y sobreseimiento con tales fines</w:t>
      </w:r>
      <w:r w:rsidRPr="00205730">
        <w:rPr>
          <w:rFonts w:ascii="Palatino Linotype" w:hAnsi="Palatino Linotype"/>
          <w:vertAlign w:val="superscript"/>
        </w:rPr>
        <w:footnoteReference w:id="1"/>
      </w:r>
      <w:r w:rsidRPr="00205730">
        <w:rPr>
          <w:rFonts w:ascii="Palatino Linotype" w:hAnsi="Palatino Linotype"/>
        </w:rPr>
        <w:t>.</w:t>
      </w:r>
    </w:p>
    <w:p w:rsidR="00F704C4" w:rsidRPr="00205730" w:rsidRDefault="00F704C4" w:rsidP="009E3A4B">
      <w:pPr>
        <w:pStyle w:val="Sinespaciado"/>
        <w:spacing w:line="360" w:lineRule="auto"/>
        <w:jc w:val="both"/>
        <w:rPr>
          <w:rFonts w:ascii="Palatino Linotype" w:hAnsi="Palatino Linotype"/>
        </w:rPr>
      </w:pPr>
    </w:p>
    <w:p w:rsidR="00FF3879" w:rsidRPr="00205730" w:rsidRDefault="00FF3879" w:rsidP="009E3A4B">
      <w:pPr>
        <w:pStyle w:val="Sinespaciado"/>
        <w:spacing w:line="360" w:lineRule="auto"/>
        <w:jc w:val="both"/>
        <w:rPr>
          <w:rFonts w:ascii="Palatino Linotype" w:hAnsi="Palatino Linotype"/>
        </w:rPr>
      </w:pPr>
      <w:r w:rsidRPr="00205730">
        <w:rPr>
          <w:rFonts w:ascii="Palatino Linotype" w:hAnsi="Palatino Linotype"/>
        </w:rPr>
        <w:t>Así las cosas, del análisis del expediente electrónico no se advierte ninguna causa de improcedencia que se actualice, ni mucho menos alguna hecha valer por alguna de las partes, procediendo al estudio del fondo del asunto, en los siguientes términos.</w:t>
      </w:r>
    </w:p>
    <w:p w:rsidR="002F382F" w:rsidRPr="00205730" w:rsidRDefault="002F382F" w:rsidP="009E3A4B">
      <w:pPr>
        <w:pStyle w:val="Sinespaciado"/>
        <w:spacing w:line="360" w:lineRule="auto"/>
        <w:jc w:val="both"/>
        <w:rPr>
          <w:rFonts w:ascii="Palatino Linotype" w:hAnsi="Palatino Linotype"/>
        </w:rPr>
      </w:pPr>
    </w:p>
    <w:p w:rsidR="00FF3879" w:rsidRPr="00D13500" w:rsidRDefault="002F08B7" w:rsidP="009E3A4B">
      <w:pPr>
        <w:pStyle w:val="Sinespaciado"/>
        <w:spacing w:line="360" w:lineRule="auto"/>
        <w:jc w:val="both"/>
        <w:rPr>
          <w:rFonts w:ascii="Palatino Linotype" w:hAnsi="Palatino Linotype"/>
          <w:b/>
          <w:sz w:val="26"/>
          <w:szCs w:val="26"/>
        </w:rPr>
      </w:pPr>
      <w:r w:rsidRPr="00D13500">
        <w:rPr>
          <w:rFonts w:ascii="Palatino Linotype" w:hAnsi="Palatino Linotype"/>
          <w:b/>
          <w:sz w:val="26"/>
          <w:szCs w:val="26"/>
        </w:rPr>
        <w:t>C</w:t>
      </w:r>
      <w:r w:rsidR="0052294F" w:rsidRPr="00D13500">
        <w:rPr>
          <w:rFonts w:ascii="Palatino Linotype" w:hAnsi="Palatino Linotype"/>
          <w:b/>
          <w:sz w:val="26"/>
          <w:szCs w:val="26"/>
        </w:rPr>
        <w:t>UARTO</w:t>
      </w:r>
      <w:r w:rsidR="00FF3879" w:rsidRPr="00D13500">
        <w:rPr>
          <w:rFonts w:ascii="Palatino Linotype" w:hAnsi="Palatino Linotype"/>
          <w:b/>
          <w:sz w:val="26"/>
          <w:szCs w:val="26"/>
        </w:rPr>
        <w:t>. Estudio y resolución del asunto.</w:t>
      </w:r>
    </w:p>
    <w:p w:rsidR="00576276" w:rsidRPr="00205730" w:rsidRDefault="00576276" w:rsidP="009E3A4B">
      <w:pPr>
        <w:pStyle w:val="Sinespaciado"/>
        <w:spacing w:line="360" w:lineRule="auto"/>
        <w:jc w:val="both"/>
        <w:rPr>
          <w:rFonts w:ascii="Palatino Linotype" w:hAnsi="Palatino Linotype"/>
        </w:rPr>
      </w:pPr>
      <w:r w:rsidRPr="00205730">
        <w:rPr>
          <w:rFonts w:ascii="Palatino Linotype" w:hAnsi="Palatino Linotype"/>
        </w:rPr>
        <w:t>Antes del entrar al</w:t>
      </w:r>
      <w:r w:rsidR="006728D9" w:rsidRPr="00205730">
        <w:rPr>
          <w:rFonts w:ascii="Palatino Linotype" w:hAnsi="Palatino Linotype"/>
        </w:rPr>
        <w:t xml:space="preserve"> estudio, cabe precisar que el Sujeto O</w:t>
      </w:r>
      <w:r w:rsidRPr="00205730">
        <w:rPr>
          <w:rFonts w:ascii="Palatino Linotype" w:hAnsi="Palatino Linotype"/>
        </w:rPr>
        <w:t>bligado no realizó pronunciamiento alguno, pues no se debe perder de vista que el objeto del presente fallo nace a la vida jurídica en el momento en el que el p</w:t>
      </w:r>
      <w:r w:rsidR="000403ED" w:rsidRPr="00205730">
        <w:rPr>
          <w:rFonts w:ascii="Palatino Linotype" w:hAnsi="Palatino Linotype"/>
        </w:rPr>
        <w:t>articular reviste la figura de R</w:t>
      </w:r>
      <w:r w:rsidRPr="00205730">
        <w:rPr>
          <w:rFonts w:ascii="Palatino Linotype" w:hAnsi="Palatino Linotype"/>
        </w:rPr>
        <w:t>ecurrente interponiendo dicho medio de impugnación, el cual tiene como motivo de inconformidad la omisión de la autoridad en dar respuesta a su solicitud, e</w:t>
      </w:r>
      <w:r w:rsidR="00885C18" w:rsidRPr="00205730">
        <w:rPr>
          <w:rFonts w:ascii="Palatino Linotype" w:hAnsi="Palatino Linotype"/>
        </w:rPr>
        <w:t xml:space="preserve">n </w:t>
      </w:r>
      <w:r w:rsidR="00885C18" w:rsidRPr="00205730">
        <w:rPr>
          <w:rFonts w:ascii="Palatino Linotype" w:hAnsi="Palatino Linotype"/>
        </w:rPr>
        <w:lastRenderedPageBreak/>
        <w:t xml:space="preserve">consecuencia se </w:t>
      </w:r>
      <w:r w:rsidR="00FD7A28" w:rsidRPr="00205730">
        <w:rPr>
          <w:rFonts w:ascii="Palatino Linotype" w:hAnsi="Palatino Linotype"/>
        </w:rPr>
        <w:t>actualizan</w:t>
      </w:r>
      <w:r w:rsidRPr="00205730">
        <w:rPr>
          <w:rFonts w:ascii="Palatino Linotype" w:hAnsi="Palatino Linotype"/>
        </w:rPr>
        <w:t xml:space="preserve"> las hipótesis, señaladas</w:t>
      </w:r>
      <w:r w:rsidRPr="00205730">
        <w:rPr>
          <w:rFonts w:ascii="Palatino Linotype" w:eastAsia="Calibri" w:hAnsi="Palatino Linotype"/>
        </w:rPr>
        <w:t xml:space="preserve"> en las fracciones I y VII del artículo 179 de la </w:t>
      </w:r>
      <w:r w:rsidRPr="00205730">
        <w:rPr>
          <w:rFonts w:ascii="Palatino Linotype" w:eastAsia="Calibri" w:hAnsi="Palatino Linotype"/>
          <w:b/>
        </w:rPr>
        <w:t>Ley de Transparencia y Acceso a la Información Pública del Estado de México y Municipios</w:t>
      </w:r>
      <w:r w:rsidRPr="00205730">
        <w:rPr>
          <w:rFonts w:ascii="Palatino Linotype" w:eastAsia="Calibri" w:hAnsi="Palatino Linotype"/>
        </w:rPr>
        <w:t>,</w:t>
      </w:r>
      <w:r w:rsidRPr="00205730">
        <w:rPr>
          <w:rFonts w:ascii="Palatino Linotype" w:eastAsia="Calibri" w:hAnsi="Palatino Linotype"/>
          <w:b/>
        </w:rPr>
        <w:t xml:space="preserve"> </w:t>
      </w:r>
      <w:r w:rsidRPr="00205730">
        <w:rPr>
          <w:rFonts w:ascii="Palatino Linotype" w:hAnsi="Palatino Linotype"/>
        </w:rPr>
        <w:t>resultando procedente la interposición del recurso de revisión cuando no se dé respuesta a una solicitud de información.</w:t>
      </w:r>
    </w:p>
    <w:p w:rsidR="00A0709D" w:rsidRPr="00205730" w:rsidRDefault="00A0709D" w:rsidP="009E3A4B">
      <w:pPr>
        <w:pStyle w:val="Sinespaciado"/>
        <w:spacing w:line="360" w:lineRule="auto"/>
        <w:jc w:val="both"/>
        <w:rPr>
          <w:rFonts w:ascii="Palatino Linotype" w:hAnsi="Palatino Linotype"/>
        </w:rPr>
      </w:pPr>
    </w:p>
    <w:p w:rsidR="00576276" w:rsidRPr="00205730" w:rsidRDefault="00576276" w:rsidP="009E3A4B">
      <w:pPr>
        <w:pStyle w:val="Sinespaciado"/>
        <w:spacing w:line="360" w:lineRule="auto"/>
        <w:jc w:val="both"/>
        <w:rPr>
          <w:rFonts w:ascii="Palatino Linotype" w:hAnsi="Palatino Linotype"/>
        </w:rPr>
      </w:pPr>
      <w:r w:rsidRPr="00205730">
        <w:rPr>
          <w:rFonts w:ascii="Palatino Linotype" w:hAnsi="Palatino Linotype"/>
        </w:rPr>
        <w:t xml:space="preserve">Así las cosas, ante la omisión del Sujeto </w:t>
      </w:r>
      <w:r w:rsidR="000403ED" w:rsidRPr="00205730">
        <w:rPr>
          <w:rFonts w:ascii="Palatino Linotype" w:hAnsi="Palatino Linotype"/>
        </w:rPr>
        <w:t>O</w:t>
      </w:r>
      <w:r w:rsidR="006728D9" w:rsidRPr="00205730">
        <w:rPr>
          <w:rFonts w:ascii="Palatino Linotype" w:hAnsi="Palatino Linotype"/>
        </w:rPr>
        <w:t xml:space="preserve">bligado para dar respuesta al </w:t>
      </w:r>
      <w:r w:rsidR="000403ED" w:rsidRPr="00205730">
        <w:rPr>
          <w:rFonts w:ascii="Palatino Linotype" w:hAnsi="Palatino Linotype"/>
        </w:rPr>
        <w:t>R</w:t>
      </w:r>
      <w:r w:rsidRPr="00205730">
        <w:rPr>
          <w:rFonts w:ascii="Palatino Linotype" w:hAnsi="Palatino Linotype"/>
        </w:rPr>
        <w:t xml:space="preserve">ecurrente, se advierte </w:t>
      </w:r>
      <w:r w:rsidR="006728D9" w:rsidRPr="00205730">
        <w:rPr>
          <w:rFonts w:ascii="Palatino Linotype" w:hAnsi="Palatino Linotype"/>
        </w:rPr>
        <w:t xml:space="preserve">lo </w:t>
      </w:r>
      <w:r w:rsidRPr="00205730">
        <w:rPr>
          <w:rFonts w:ascii="Palatino Linotype" w:hAnsi="Palatino Linotype"/>
        </w:rPr>
        <w:t xml:space="preserve">que en la doctrina se le conoce como </w:t>
      </w:r>
      <w:r w:rsidRPr="00205730">
        <w:rPr>
          <w:rFonts w:ascii="Palatino Linotype" w:hAnsi="Palatino Linotype"/>
          <w:b/>
          <w:i/>
        </w:rPr>
        <w:t>negativa ficta</w:t>
      </w:r>
      <w:r w:rsidRPr="00205730">
        <w:rPr>
          <w:rFonts w:ascii="Palatino Linotype" w:hAnsi="Palatino Linotype"/>
        </w:rPr>
        <w:t>, figura jurídica cuya esencia consiste en atribuir un efecto negativo al silencio de la autoridad administrativa frente a las instancias y solicitudes que hagan los particulares.</w:t>
      </w:r>
    </w:p>
    <w:p w:rsidR="00576276" w:rsidRPr="00205730" w:rsidRDefault="00576276" w:rsidP="009E3A4B">
      <w:pPr>
        <w:pStyle w:val="Sinespaciado"/>
        <w:spacing w:line="360" w:lineRule="auto"/>
        <w:jc w:val="both"/>
        <w:rPr>
          <w:rFonts w:ascii="Palatino Linotype" w:hAnsi="Palatino Linotype"/>
        </w:rPr>
      </w:pPr>
    </w:p>
    <w:p w:rsidR="00576276" w:rsidRPr="00205730" w:rsidRDefault="00576276" w:rsidP="009E3A4B">
      <w:pPr>
        <w:pStyle w:val="Sinespaciado"/>
        <w:spacing w:line="360" w:lineRule="auto"/>
        <w:jc w:val="both"/>
        <w:rPr>
          <w:rFonts w:ascii="Palatino Linotype" w:hAnsi="Palatino Linotype"/>
        </w:rPr>
      </w:pPr>
      <w:r w:rsidRPr="00205730">
        <w:rPr>
          <w:rFonts w:ascii="Palatino Linotype" w:hAnsi="Palatino Linotype"/>
        </w:rPr>
        <w:t>En este sentido la negativa ficta constituye una presunción legal, en el entendido de que donde no hubo respuesta por parte del Sujeto Obligado</w:t>
      </w:r>
      <w:r w:rsidRPr="00205730">
        <w:rPr>
          <w:rFonts w:ascii="Palatino Linotype" w:hAnsi="Palatino Linotype"/>
          <w:b/>
        </w:rPr>
        <w:t xml:space="preserve"> </w:t>
      </w:r>
      <w:r w:rsidRPr="00205730">
        <w:rPr>
          <w:rFonts w:ascii="Palatino Linotype" w:hAnsi="Palatino Linotype"/>
        </w:rPr>
        <w:t xml:space="preserve">existe, una resolución de rechazo ante la solicitud del ciudadano; ya que efectivamente, dicha figura se encuentra íntimamente vinculada con el Derecho al Acceso de Información, consagrado en nuestra Carta Magna, es por ello que constituye un instrumento que garantiza la posibilidad de defensa del particular en contra de la incertidumbre jurídica y que tiende a realizar ese </w:t>
      </w:r>
      <w:r w:rsidRPr="00205730">
        <w:rPr>
          <w:rFonts w:ascii="Palatino Linotype" w:hAnsi="Palatino Linotype"/>
          <w:i/>
        </w:rPr>
        <w:t>Estado de Derecho</w:t>
      </w:r>
      <w:r w:rsidRPr="00205730">
        <w:rPr>
          <w:rFonts w:ascii="Palatino Linotype" w:hAnsi="Palatino Linotype"/>
        </w:rPr>
        <w:t xml:space="preserve"> en el que, el particular, tiene siempre una vía de defensa.</w:t>
      </w:r>
    </w:p>
    <w:p w:rsidR="00576276" w:rsidRPr="00205730" w:rsidRDefault="00576276" w:rsidP="009E3A4B">
      <w:pPr>
        <w:pStyle w:val="Sinespaciado"/>
        <w:spacing w:line="360" w:lineRule="auto"/>
        <w:jc w:val="both"/>
        <w:rPr>
          <w:rFonts w:ascii="Palatino Linotype" w:hAnsi="Palatino Linotype"/>
        </w:rPr>
      </w:pPr>
    </w:p>
    <w:p w:rsidR="00576276" w:rsidRPr="00205730" w:rsidRDefault="00576276" w:rsidP="009E3A4B">
      <w:pPr>
        <w:pStyle w:val="Sinespaciado"/>
        <w:spacing w:line="360" w:lineRule="auto"/>
        <w:jc w:val="both"/>
        <w:rPr>
          <w:rFonts w:ascii="Palatino Linotype" w:hAnsi="Palatino Linotype"/>
        </w:rPr>
      </w:pPr>
      <w:r w:rsidRPr="00205730">
        <w:rPr>
          <w:rFonts w:ascii="Palatino Linotype" w:hAnsi="Palatino Linotype"/>
        </w:rPr>
        <w:t xml:space="preserve">En este sentido en el marco del derecho de acceso a la información pública, la figura de la negativa ficta brinda al ciudadano la oportunidad de inconformarse en los casos en que estime violentado su derecho; en consecuencia, resulta indispensable subrayar que el derecho de acceso a la información pública, implica que cualquier persona conozca la información contenida en los documentos que se encuentren en los archivos </w:t>
      </w:r>
      <w:r w:rsidRPr="00205730">
        <w:rPr>
          <w:rFonts w:ascii="Palatino Linotype" w:hAnsi="Palatino Linotype"/>
        </w:rPr>
        <w:lastRenderedPageBreak/>
        <w:t>de los Sujetos Obligados, conforme a los artículos 4, 12, 24 último párrafo y 160 de la Ley local en la materia, que a la letra citan:</w:t>
      </w:r>
    </w:p>
    <w:p w:rsidR="00845597" w:rsidRPr="00205730" w:rsidRDefault="00845597" w:rsidP="009E3A4B">
      <w:pPr>
        <w:pStyle w:val="Sinespaciado"/>
        <w:spacing w:line="360" w:lineRule="auto"/>
        <w:jc w:val="both"/>
        <w:rPr>
          <w:rFonts w:ascii="Palatino Linotype" w:hAnsi="Palatino Linotype"/>
        </w:rPr>
      </w:pPr>
    </w:p>
    <w:p w:rsidR="00576276" w:rsidRPr="00D13500" w:rsidRDefault="00576276" w:rsidP="00761A1E">
      <w:pPr>
        <w:pStyle w:val="Sinespaciado"/>
        <w:ind w:left="567" w:right="567"/>
        <w:jc w:val="both"/>
        <w:rPr>
          <w:rFonts w:ascii="Palatino Linotype" w:hAnsi="Palatino Linotype"/>
          <w:i/>
          <w:sz w:val="22"/>
          <w:szCs w:val="22"/>
        </w:rPr>
      </w:pPr>
      <w:r w:rsidRPr="00D13500">
        <w:rPr>
          <w:rFonts w:ascii="Palatino Linotype" w:hAnsi="Palatino Linotype"/>
          <w:b/>
          <w:i/>
          <w:sz w:val="22"/>
          <w:szCs w:val="22"/>
        </w:rPr>
        <w:t>Artículo 4.</w:t>
      </w:r>
      <w:r w:rsidRPr="00D13500">
        <w:rPr>
          <w:rFonts w:ascii="Palatino Linotype" w:hAnsi="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w:t>
      </w:r>
    </w:p>
    <w:p w:rsidR="00761A1E" w:rsidRPr="00D13500" w:rsidRDefault="00761A1E" w:rsidP="00761A1E">
      <w:pPr>
        <w:pStyle w:val="Sinespaciado"/>
        <w:ind w:left="567" w:right="567"/>
        <w:jc w:val="both"/>
        <w:rPr>
          <w:rFonts w:ascii="Palatino Linotype" w:hAnsi="Palatino Linotype"/>
          <w:i/>
          <w:sz w:val="22"/>
          <w:szCs w:val="22"/>
        </w:rPr>
      </w:pPr>
    </w:p>
    <w:p w:rsidR="00576276" w:rsidRPr="00D13500" w:rsidRDefault="00576276" w:rsidP="00761A1E">
      <w:pPr>
        <w:pStyle w:val="Sinespaciado"/>
        <w:ind w:left="567" w:right="567"/>
        <w:jc w:val="both"/>
        <w:rPr>
          <w:rFonts w:ascii="Palatino Linotype" w:hAnsi="Palatino Linotype"/>
          <w:i/>
          <w:sz w:val="22"/>
          <w:szCs w:val="22"/>
        </w:rPr>
      </w:pPr>
      <w:r w:rsidRPr="00D13500">
        <w:rPr>
          <w:rFonts w:ascii="Palatino Linotype" w:hAnsi="Palatino Linotype"/>
          <w:i/>
          <w:sz w:val="22"/>
          <w:szCs w:val="22"/>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rsidR="00761A1E" w:rsidRPr="00D13500" w:rsidRDefault="00761A1E" w:rsidP="00761A1E">
      <w:pPr>
        <w:pStyle w:val="Sinespaciado"/>
        <w:ind w:left="567" w:right="567"/>
        <w:jc w:val="both"/>
        <w:rPr>
          <w:rFonts w:ascii="Palatino Linotype" w:hAnsi="Palatino Linotype"/>
          <w:i/>
          <w:sz w:val="22"/>
          <w:szCs w:val="22"/>
        </w:rPr>
      </w:pPr>
    </w:p>
    <w:p w:rsidR="00576276" w:rsidRPr="00D13500" w:rsidRDefault="00576276" w:rsidP="00761A1E">
      <w:pPr>
        <w:pStyle w:val="Sinespaciado"/>
        <w:ind w:left="567" w:right="567"/>
        <w:jc w:val="both"/>
        <w:rPr>
          <w:rFonts w:ascii="Palatino Linotype" w:hAnsi="Palatino Linotype"/>
          <w:i/>
          <w:sz w:val="22"/>
          <w:szCs w:val="22"/>
        </w:rPr>
      </w:pPr>
      <w:r w:rsidRPr="00D13500">
        <w:rPr>
          <w:rFonts w:ascii="Palatino Linotype" w:hAnsi="Palatino Linotype"/>
          <w:i/>
          <w:sz w:val="22"/>
          <w:szCs w:val="22"/>
        </w:rPr>
        <w:t>Los sujetos obligados deben poner en práctica, políticas y programas de acceso a la información que se apeguen a criterios de publicidad, veracidad, oportunidad, precisión y suficiencia en beneficio de los solicitantes.</w:t>
      </w:r>
    </w:p>
    <w:p w:rsidR="00761A1E" w:rsidRPr="00D13500" w:rsidRDefault="00761A1E" w:rsidP="00761A1E">
      <w:pPr>
        <w:pStyle w:val="Sinespaciado"/>
        <w:ind w:left="567" w:right="567"/>
        <w:jc w:val="both"/>
        <w:rPr>
          <w:rFonts w:ascii="Palatino Linotype" w:hAnsi="Palatino Linotype"/>
          <w:i/>
          <w:sz w:val="22"/>
          <w:szCs w:val="22"/>
        </w:rPr>
      </w:pPr>
    </w:p>
    <w:p w:rsidR="00576276" w:rsidRPr="00D13500" w:rsidRDefault="00576276" w:rsidP="00761A1E">
      <w:pPr>
        <w:pStyle w:val="Sinespaciado"/>
        <w:ind w:left="567" w:right="567"/>
        <w:jc w:val="both"/>
        <w:rPr>
          <w:rFonts w:ascii="Palatino Linotype" w:hAnsi="Palatino Linotype"/>
          <w:i/>
          <w:sz w:val="22"/>
          <w:szCs w:val="22"/>
        </w:rPr>
      </w:pPr>
      <w:r w:rsidRPr="00D13500">
        <w:rPr>
          <w:rFonts w:ascii="Palatino Linotype" w:hAnsi="Palatino Linotype"/>
          <w:b/>
          <w:i/>
          <w:sz w:val="22"/>
          <w:szCs w:val="22"/>
        </w:rPr>
        <w:t>Artículo 12.</w:t>
      </w:r>
      <w:r w:rsidRPr="00D13500">
        <w:rPr>
          <w:rFonts w:ascii="Palatino Linotype" w:hAnsi="Palatino Linotype"/>
          <w:i/>
          <w:sz w:val="22"/>
          <w:szCs w:val="22"/>
        </w:rPr>
        <w:t xml:space="preserve"> Quienes generen, recopilen, administren, manejen, procesen, archiven o conserven información pública serán responsables de la misma en los términos de las disposiciones jurídicas aplicables.</w:t>
      </w:r>
    </w:p>
    <w:p w:rsidR="00761A1E" w:rsidRPr="00D13500" w:rsidRDefault="00761A1E" w:rsidP="00761A1E">
      <w:pPr>
        <w:pStyle w:val="Sinespaciado"/>
        <w:ind w:left="567" w:right="567"/>
        <w:jc w:val="both"/>
        <w:rPr>
          <w:rFonts w:ascii="Palatino Linotype" w:hAnsi="Palatino Linotype"/>
          <w:i/>
          <w:sz w:val="22"/>
          <w:szCs w:val="22"/>
        </w:rPr>
      </w:pPr>
    </w:p>
    <w:p w:rsidR="00576276" w:rsidRPr="00D13500" w:rsidRDefault="00576276" w:rsidP="00761A1E">
      <w:pPr>
        <w:pStyle w:val="Sinespaciado"/>
        <w:ind w:left="567" w:right="567"/>
        <w:jc w:val="both"/>
        <w:rPr>
          <w:rFonts w:ascii="Palatino Linotype" w:hAnsi="Palatino Linotype"/>
          <w:i/>
          <w:sz w:val="22"/>
          <w:szCs w:val="22"/>
        </w:rPr>
      </w:pPr>
      <w:r w:rsidRPr="00D13500">
        <w:rPr>
          <w:rFonts w:ascii="Palatino Linotype" w:hAnsi="Palatino Linotype"/>
          <w:i/>
          <w:sz w:val="22"/>
          <w:szCs w:val="22"/>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rsidR="00576276" w:rsidRPr="00D13500" w:rsidRDefault="00761A1E" w:rsidP="00761A1E">
      <w:pPr>
        <w:pStyle w:val="Sinespaciado"/>
        <w:ind w:left="567" w:right="567"/>
        <w:jc w:val="both"/>
        <w:rPr>
          <w:rFonts w:ascii="Palatino Linotype" w:hAnsi="Palatino Linotype"/>
          <w:i/>
          <w:sz w:val="22"/>
          <w:szCs w:val="22"/>
        </w:rPr>
      </w:pPr>
      <w:r w:rsidRPr="00D13500">
        <w:rPr>
          <w:rFonts w:ascii="Palatino Linotype" w:hAnsi="Palatino Linotype"/>
          <w:i/>
          <w:sz w:val="22"/>
          <w:szCs w:val="22"/>
        </w:rPr>
        <w:t>(</w:t>
      </w:r>
      <w:r w:rsidR="00576276" w:rsidRPr="00D13500">
        <w:rPr>
          <w:rFonts w:ascii="Palatino Linotype" w:hAnsi="Palatino Linotype"/>
          <w:i/>
          <w:sz w:val="22"/>
          <w:szCs w:val="22"/>
        </w:rPr>
        <w:t>…</w:t>
      </w:r>
      <w:r w:rsidRPr="00D13500">
        <w:rPr>
          <w:rFonts w:ascii="Palatino Linotype" w:hAnsi="Palatino Linotype"/>
          <w:i/>
          <w:sz w:val="22"/>
          <w:szCs w:val="22"/>
        </w:rPr>
        <w:t>)</w:t>
      </w:r>
    </w:p>
    <w:p w:rsidR="00171965" w:rsidRPr="00D13500" w:rsidRDefault="00171965" w:rsidP="00761A1E">
      <w:pPr>
        <w:pStyle w:val="Sinespaciado"/>
        <w:ind w:left="567" w:right="567"/>
        <w:jc w:val="both"/>
        <w:rPr>
          <w:rFonts w:ascii="Palatino Linotype" w:hAnsi="Palatino Linotype"/>
          <w:b/>
          <w:i/>
          <w:sz w:val="22"/>
          <w:szCs w:val="22"/>
        </w:rPr>
      </w:pPr>
    </w:p>
    <w:p w:rsidR="00576276" w:rsidRPr="00D13500" w:rsidRDefault="00576276" w:rsidP="00761A1E">
      <w:pPr>
        <w:pStyle w:val="Sinespaciado"/>
        <w:ind w:left="567" w:right="567"/>
        <w:jc w:val="both"/>
        <w:rPr>
          <w:rFonts w:ascii="Palatino Linotype" w:hAnsi="Palatino Linotype"/>
          <w:b/>
          <w:i/>
          <w:sz w:val="22"/>
          <w:szCs w:val="22"/>
        </w:rPr>
      </w:pPr>
      <w:r w:rsidRPr="00D13500">
        <w:rPr>
          <w:rFonts w:ascii="Palatino Linotype" w:hAnsi="Palatino Linotype"/>
          <w:b/>
          <w:i/>
          <w:sz w:val="22"/>
          <w:szCs w:val="22"/>
        </w:rPr>
        <w:t xml:space="preserve">Artículo 24. </w:t>
      </w:r>
    </w:p>
    <w:p w:rsidR="00576276" w:rsidRPr="00D13500" w:rsidRDefault="00761A1E" w:rsidP="00761A1E">
      <w:pPr>
        <w:pStyle w:val="Sinespaciado"/>
        <w:ind w:left="567" w:right="567"/>
        <w:jc w:val="both"/>
        <w:rPr>
          <w:rFonts w:ascii="Palatino Linotype" w:hAnsi="Palatino Linotype"/>
          <w:i/>
          <w:sz w:val="22"/>
          <w:szCs w:val="22"/>
        </w:rPr>
      </w:pPr>
      <w:r w:rsidRPr="00D13500">
        <w:rPr>
          <w:rFonts w:ascii="Palatino Linotype" w:hAnsi="Palatino Linotype"/>
          <w:i/>
          <w:sz w:val="22"/>
          <w:szCs w:val="22"/>
        </w:rPr>
        <w:t>(</w:t>
      </w:r>
      <w:r w:rsidR="00576276" w:rsidRPr="00D13500">
        <w:rPr>
          <w:rFonts w:ascii="Palatino Linotype" w:hAnsi="Palatino Linotype"/>
          <w:i/>
          <w:sz w:val="22"/>
          <w:szCs w:val="22"/>
        </w:rPr>
        <w:t>…</w:t>
      </w:r>
      <w:r w:rsidRPr="00D13500">
        <w:rPr>
          <w:rFonts w:ascii="Palatino Linotype" w:hAnsi="Palatino Linotype"/>
          <w:i/>
          <w:sz w:val="22"/>
          <w:szCs w:val="22"/>
        </w:rPr>
        <w:t>)</w:t>
      </w:r>
    </w:p>
    <w:p w:rsidR="00576276" w:rsidRPr="00D13500" w:rsidRDefault="00576276" w:rsidP="00761A1E">
      <w:pPr>
        <w:pStyle w:val="Sinespaciado"/>
        <w:ind w:left="567" w:right="567"/>
        <w:jc w:val="both"/>
        <w:rPr>
          <w:rFonts w:ascii="Palatino Linotype" w:hAnsi="Palatino Linotype"/>
          <w:i/>
          <w:sz w:val="22"/>
          <w:szCs w:val="22"/>
        </w:rPr>
      </w:pPr>
      <w:r w:rsidRPr="00D13500">
        <w:rPr>
          <w:rFonts w:ascii="Palatino Linotype" w:hAnsi="Palatino Linotype"/>
          <w:i/>
          <w:sz w:val="22"/>
          <w:szCs w:val="22"/>
        </w:rPr>
        <w:t>Los sujetos obligados solo proporcionarán la información pública que generen, administren o posean en el ejercicio de sus atribuciones.”</w:t>
      </w:r>
    </w:p>
    <w:p w:rsidR="00576276" w:rsidRPr="00D13500" w:rsidRDefault="00761A1E" w:rsidP="00761A1E">
      <w:pPr>
        <w:pStyle w:val="Sinespaciado"/>
        <w:ind w:left="567" w:right="567"/>
        <w:jc w:val="both"/>
        <w:rPr>
          <w:rFonts w:ascii="Palatino Linotype" w:hAnsi="Palatino Linotype"/>
          <w:i/>
          <w:sz w:val="22"/>
          <w:szCs w:val="22"/>
        </w:rPr>
      </w:pPr>
      <w:r w:rsidRPr="00D13500">
        <w:rPr>
          <w:rFonts w:ascii="Palatino Linotype" w:hAnsi="Palatino Linotype"/>
          <w:i/>
          <w:sz w:val="22"/>
          <w:szCs w:val="22"/>
        </w:rPr>
        <w:t>(</w:t>
      </w:r>
      <w:r w:rsidR="00576276" w:rsidRPr="00D13500">
        <w:rPr>
          <w:rFonts w:ascii="Palatino Linotype" w:hAnsi="Palatino Linotype"/>
          <w:i/>
          <w:sz w:val="22"/>
          <w:szCs w:val="22"/>
        </w:rPr>
        <w:t>…</w:t>
      </w:r>
      <w:r w:rsidRPr="00D13500">
        <w:rPr>
          <w:rFonts w:ascii="Palatino Linotype" w:hAnsi="Palatino Linotype"/>
          <w:i/>
          <w:sz w:val="22"/>
          <w:szCs w:val="22"/>
        </w:rPr>
        <w:t>)</w:t>
      </w:r>
    </w:p>
    <w:p w:rsidR="00761A1E" w:rsidRPr="00D13500" w:rsidRDefault="00761A1E" w:rsidP="00761A1E">
      <w:pPr>
        <w:pStyle w:val="Sinespaciado"/>
        <w:ind w:left="567" w:right="567"/>
        <w:jc w:val="both"/>
        <w:rPr>
          <w:rFonts w:ascii="Palatino Linotype" w:hAnsi="Palatino Linotype"/>
          <w:i/>
          <w:sz w:val="22"/>
          <w:szCs w:val="22"/>
        </w:rPr>
      </w:pPr>
    </w:p>
    <w:p w:rsidR="00576276" w:rsidRPr="00D13500" w:rsidRDefault="00576276" w:rsidP="00761A1E">
      <w:pPr>
        <w:pStyle w:val="Sinespaciado"/>
        <w:ind w:left="567" w:right="567"/>
        <w:jc w:val="both"/>
        <w:rPr>
          <w:rFonts w:ascii="Palatino Linotype" w:hAnsi="Palatino Linotype"/>
          <w:i/>
          <w:sz w:val="22"/>
          <w:szCs w:val="22"/>
        </w:rPr>
      </w:pPr>
      <w:r w:rsidRPr="00D13500">
        <w:rPr>
          <w:rFonts w:ascii="Palatino Linotype" w:hAnsi="Palatino Linotype"/>
          <w:b/>
          <w:i/>
          <w:sz w:val="22"/>
          <w:szCs w:val="22"/>
        </w:rPr>
        <w:lastRenderedPageBreak/>
        <w:t>Artículo 160.</w:t>
      </w:r>
      <w:r w:rsidRPr="00D13500">
        <w:rPr>
          <w:rFonts w:ascii="Palatino Linotype" w:hAnsi="Palatino Linotype"/>
          <w:i/>
          <w:sz w:val="22"/>
          <w:szCs w:val="22"/>
        </w:rPr>
        <w:t xml:space="preserve"> 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rsidR="00761A1E" w:rsidRPr="00D13500" w:rsidRDefault="00761A1E" w:rsidP="00761A1E">
      <w:pPr>
        <w:pStyle w:val="Sinespaciado"/>
        <w:ind w:left="567" w:right="567"/>
        <w:jc w:val="both"/>
        <w:rPr>
          <w:rFonts w:ascii="Palatino Linotype" w:hAnsi="Palatino Linotype"/>
          <w:i/>
          <w:sz w:val="22"/>
          <w:szCs w:val="22"/>
        </w:rPr>
      </w:pPr>
    </w:p>
    <w:p w:rsidR="00576276" w:rsidRPr="00205730" w:rsidRDefault="00576276" w:rsidP="00761A1E">
      <w:pPr>
        <w:pStyle w:val="Sinespaciado"/>
        <w:ind w:left="567" w:right="567"/>
        <w:jc w:val="both"/>
        <w:rPr>
          <w:rFonts w:ascii="Palatino Linotype" w:hAnsi="Palatino Linotype"/>
          <w:i/>
        </w:rPr>
      </w:pPr>
      <w:r w:rsidRPr="00D13500">
        <w:rPr>
          <w:rFonts w:ascii="Palatino Linotype" w:hAnsi="Palatino Linotype"/>
          <w:i/>
          <w:sz w:val="22"/>
          <w:szCs w:val="22"/>
        </w:rPr>
        <w:t>En caso que la información solicitada consista en bases de datos se deberá privilegiar la entrega de</w:t>
      </w:r>
      <w:r w:rsidR="00761A1E" w:rsidRPr="00D13500">
        <w:rPr>
          <w:rFonts w:ascii="Palatino Linotype" w:hAnsi="Palatino Linotype"/>
          <w:i/>
          <w:sz w:val="22"/>
          <w:szCs w:val="22"/>
        </w:rPr>
        <w:t xml:space="preserve"> la misma en formatos abiertos.</w:t>
      </w:r>
    </w:p>
    <w:p w:rsidR="00576276" w:rsidRPr="00205730" w:rsidRDefault="00576276" w:rsidP="009E3A4B">
      <w:pPr>
        <w:pStyle w:val="Sinespaciado"/>
        <w:spacing w:line="360" w:lineRule="auto"/>
        <w:jc w:val="both"/>
        <w:rPr>
          <w:rFonts w:ascii="Palatino Linotype" w:hAnsi="Palatino Linotype"/>
        </w:rPr>
      </w:pPr>
    </w:p>
    <w:p w:rsidR="00576276" w:rsidRPr="00205730" w:rsidRDefault="00576276" w:rsidP="009E3A4B">
      <w:pPr>
        <w:pStyle w:val="Sinespaciado"/>
        <w:spacing w:line="360" w:lineRule="auto"/>
        <w:jc w:val="both"/>
        <w:rPr>
          <w:rFonts w:ascii="Palatino Linotype" w:hAnsi="Palatino Linotype"/>
        </w:rPr>
      </w:pPr>
      <w:r w:rsidRPr="00205730">
        <w:rPr>
          <w:rFonts w:ascii="Palatino Linotype" w:hAnsi="Palatino Linotype"/>
        </w:rPr>
        <w:t xml:space="preserve">Así que la obligación de los Sujetos Obligados de dar acceso a la información pública que generen, administren o posean, se tendrá por cumplida cuando el solicitante tenga a su disposición la información requerida, o cuando realice la consulta de la misma en el lugar que ésta se localice, de acuerdo a lo señalado por el artículo 166 </w:t>
      </w:r>
      <w:r w:rsidRPr="00205730">
        <w:rPr>
          <w:rFonts w:ascii="Palatino Linotype" w:hAnsi="Palatino Linotype"/>
          <w:bCs/>
        </w:rPr>
        <w:t>de la Ley local en la materia, que se reproduce de la siguiente forma</w:t>
      </w:r>
      <w:r w:rsidRPr="00205730">
        <w:rPr>
          <w:rFonts w:ascii="Palatino Linotype" w:hAnsi="Palatino Linotype"/>
        </w:rPr>
        <w:t>:</w:t>
      </w:r>
    </w:p>
    <w:p w:rsidR="00A0709D" w:rsidRPr="00205730" w:rsidRDefault="00A0709D" w:rsidP="00A0709D">
      <w:pPr>
        <w:pStyle w:val="Sinespaciado"/>
        <w:spacing w:line="360" w:lineRule="auto"/>
        <w:rPr>
          <w:rFonts w:ascii="Palatino Linotype" w:hAnsi="Palatino Linotype"/>
        </w:rPr>
      </w:pPr>
    </w:p>
    <w:p w:rsidR="00576276" w:rsidRPr="00D13500" w:rsidRDefault="00576276" w:rsidP="00A0709D">
      <w:pPr>
        <w:pStyle w:val="Sinespaciado"/>
        <w:ind w:left="567" w:right="567"/>
        <w:jc w:val="both"/>
        <w:rPr>
          <w:rFonts w:ascii="Palatino Linotype" w:hAnsi="Palatino Linotype" w:cs="Arial"/>
          <w:i/>
          <w:sz w:val="22"/>
          <w:szCs w:val="22"/>
        </w:rPr>
      </w:pPr>
      <w:r w:rsidRPr="00D13500">
        <w:rPr>
          <w:rFonts w:ascii="Palatino Linotype" w:hAnsi="Palatino Linotype" w:cs="Arial"/>
          <w:b/>
          <w:i/>
          <w:sz w:val="22"/>
          <w:szCs w:val="22"/>
        </w:rPr>
        <w:t>Artículo 166.</w:t>
      </w:r>
      <w:r w:rsidRPr="00D13500">
        <w:rPr>
          <w:rFonts w:ascii="Palatino Linotype" w:hAnsi="Palatino Linotype" w:cs="Arial"/>
          <w:i/>
          <w:sz w:val="22"/>
          <w:szCs w:val="22"/>
        </w:rPr>
        <w:t xml:space="preserve"> </w:t>
      </w:r>
      <w:r w:rsidRPr="00D13500">
        <w:rPr>
          <w:rFonts w:ascii="Palatino Linotype" w:hAnsi="Palatino Linotype" w:cs="Arial"/>
          <w:b/>
          <w:i/>
          <w:sz w:val="22"/>
          <w:szCs w:val="22"/>
          <w:u w:val="single"/>
        </w:rPr>
        <w:t>La obligación de acceso a la información pública se tendrá por cumplida cuando el solicitante tenga a su disposición la información requerida, o cuando realice la consulta de la misma en el lugar en el que ésta se localice.</w:t>
      </w:r>
    </w:p>
    <w:p w:rsidR="00576276" w:rsidRPr="00205730" w:rsidRDefault="00576276" w:rsidP="00171965">
      <w:pPr>
        <w:pStyle w:val="Sinespaciado"/>
        <w:spacing w:line="360" w:lineRule="auto"/>
        <w:rPr>
          <w:rFonts w:ascii="Palatino Linotype" w:hAnsi="Palatino Linotype"/>
        </w:rPr>
      </w:pPr>
    </w:p>
    <w:p w:rsidR="0063037D" w:rsidRPr="00205730" w:rsidRDefault="00576276" w:rsidP="00171965">
      <w:pPr>
        <w:pStyle w:val="Sinespaciado"/>
        <w:spacing w:line="360" w:lineRule="auto"/>
        <w:jc w:val="both"/>
        <w:rPr>
          <w:rFonts w:ascii="Palatino Linotype" w:hAnsi="Palatino Linotype"/>
        </w:rPr>
      </w:pPr>
      <w:r w:rsidRPr="00205730">
        <w:rPr>
          <w:rFonts w:ascii="Palatino Linotype" w:hAnsi="Palatino Linotype"/>
        </w:rPr>
        <w:t>De lo anterior, conforme a las acciones del Sujeto Obligado, se establece que éste vulnera el derecho de acceso a la información pública de</w:t>
      </w:r>
      <w:r w:rsidR="004B730C" w:rsidRPr="00205730">
        <w:rPr>
          <w:rFonts w:ascii="Palatino Linotype" w:hAnsi="Palatino Linotype"/>
        </w:rPr>
        <w:t>l Recurrente</w:t>
      </w:r>
      <w:r w:rsidRPr="00205730">
        <w:rPr>
          <w:rFonts w:ascii="Palatino Linotype" w:hAnsi="Palatino Linotype"/>
        </w:rPr>
        <w:t>, toda vez que no entrega respuesta a la solicitud de información presentada, de conformidad a lo establecido en los artículos 24 fracción XI, y 166 de la ley local en la materia, y que señalan:</w:t>
      </w:r>
    </w:p>
    <w:p w:rsidR="0063037D" w:rsidRPr="00205730" w:rsidRDefault="0063037D" w:rsidP="00BC0474">
      <w:pPr>
        <w:pStyle w:val="Sinespaciado"/>
        <w:spacing w:line="360" w:lineRule="auto"/>
        <w:jc w:val="both"/>
        <w:rPr>
          <w:rFonts w:ascii="Palatino Linotype" w:hAnsi="Palatino Linotype"/>
        </w:rPr>
      </w:pPr>
    </w:p>
    <w:p w:rsidR="00576276" w:rsidRPr="00D13500" w:rsidRDefault="0063037D" w:rsidP="00761A1E">
      <w:pPr>
        <w:pStyle w:val="Sinespaciado"/>
        <w:ind w:left="567" w:right="567"/>
        <w:jc w:val="both"/>
        <w:rPr>
          <w:rFonts w:ascii="Palatino Linotype" w:hAnsi="Palatino Linotype"/>
          <w:i/>
          <w:sz w:val="22"/>
          <w:szCs w:val="22"/>
        </w:rPr>
      </w:pPr>
      <w:r w:rsidRPr="00D13500">
        <w:rPr>
          <w:rFonts w:ascii="Palatino Linotype" w:hAnsi="Palatino Linotype"/>
          <w:b/>
          <w:i/>
          <w:sz w:val="22"/>
          <w:szCs w:val="22"/>
        </w:rPr>
        <w:t>A</w:t>
      </w:r>
      <w:r w:rsidR="00576276" w:rsidRPr="00D13500">
        <w:rPr>
          <w:rFonts w:ascii="Palatino Linotype" w:hAnsi="Palatino Linotype"/>
          <w:b/>
          <w:bCs/>
          <w:i/>
          <w:sz w:val="22"/>
          <w:szCs w:val="22"/>
        </w:rPr>
        <w:t>rtículo 24.</w:t>
      </w:r>
      <w:r w:rsidR="00576276" w:rsidRPr="00D13500">
        <w:rPr>
          <w:rFonts w:ascii="Palatino Linotype" w:hAnsi="Palatino Linotype"/>
          <w:bCs/>
          <w:i/>
          <w:sz w:val="22"/>
          <w:szCs w:val="22"/>
        </w:rPr>
        <w:t xml:space="preserve"> </w:t>
      </w:r>
      <w:r w:rsidR="00576276" w:rsidRPr="00D13500">
        <w:rPr>
          <w:rFonts w:ascii="Palatino Linotype" w:hAnsi="Palatino Linotype"/>
          <w:i/>
          <w:sz w:val="22"/>
          <w:szCs w:val="22"/>
        </w:rPr>
        <w:t>Para el cumplimiento de los objetivos de esta Ley, los sujetos obligados deberán cumplir con las siguientes obligaciones, según corresponda, de acuerdo a su naturaleza:</w:t>
      </w:r>
    </w:p>
    <w:p w:rsidR="00576276" w:rsidRPr="00D13500" w:rsidRDefault="00761A1E" w:rsidP="00761A1E">
      <w:pPr>
        <w:pStyle w:val="Sinespaciado"/>
        <w:ind w:left="567" w:right="567"/>
        <w:jc w:val="both"/>
        <w:rPr>
          <w:rFonts w:ascii="Palatino Linotype" w:hAnsi="Palatino Linotype"/>
          <w:i/>
          <w:sz w:val="22"/>
          <w:szCs w:val="22"/>
        </w:rPr>
      </w:pPr>
      <w:r w:rsidRPr="00D13500">
        <w:rPr>
          <w:rFonts w:ascii="Palatino Linotype" w:hAnsi="Palatino Linotype"/>
          <w:bCs/>
          <w:i/>
          <w:sz w:val="22"/>
          <w:szCs w:val="22"/>
        </w:rPr>
        <w:t>(</w:t>
      </w:r>
      <w:r w:rsidR="00576276" w:rsidRPr="00D13500">
        <w:rPr>
          <w:rFonts w:ascii="Palatino Linotype" w:hAnsi="Palatino Linotype"/>
          <w:bCs/>
          <w:i/>
          <w:sz w:val="22"/>
          <w:szCs w:val="22"/>
        </w:rPr>
        <w:t>..</w:t>
      </w:r>
      <w:r w:rsidR="00576276" w:rsidRPr="00D13500">
        <w:rPr>
          <w:rFonts w:ascii="Palatino Linotype" w:hAnsi="Palatino Linotype"/>
          <w:i/>
          <w:sz w:val="22"/>
          <w:szCs w:val="22"/>
        </w:rPr>
        <w:t>.</w:t>
      </w:r>
      <w:r w:rsidRPr="00D13500">
        <w:rPr>
          <w:rFonts w:ascii="Palatino Linotype" w:hAnsi="Palatino Linotype"/>
          <w:i/>
          <w:sz w:val="22"/>
          <w:szCs w:val="22"/>
        </w:rPr>
        <w:t>)</w:t>
      </w:r>
    </w:p>
    <w:p w:rsidR="00576276" w:rsidRPr="00D13500" w:rsidRDefault="00576276" w:rsidP="00761A1E">
      <w:pPr>
        <w:pStyle w:val="Sinespaciado"/>
        <w:ind w:left="567" w:right="567"/>
        <w:jc w:val="both"/>
        <w:rPr>
          <w:rFonts w:ascii="Palatino Linotype" w:hAnsi="Palatino Linotype"/>
          <w:bCs/>
          <w:i/>
          <w:sz w:val="22"/>
          <w:szCs w:val="22"/>
        </w:rPr>
      </w:pPr>
      <w:r w:rsidRPr="00D13500">
        <w:rPr>
          <w:rFonts w:ascii="Palatino Linotype" w:hAnsi="Palatino Linotype"/>
          <w:bCs/>
          <w:i/>
          <w:sz w:val="22"/>
          <w:szCs w:val="22"/>
        </w:rPr>
        <w:lastRenderedPageBreak/>
        <w:t>XI. Dar acceso a la información pública que le sea requerida, en los términos de la Ley General, esta Ley y demás disposiciones jurídicas aplicables;</w:t>
      </w:r>
    </w:p>
    <w:p w:rsidR="00FF3879" w:rsidRPr="00205730" w:rsidRDefault="00FF3879" w:rsidP="00761A1E">
      <w:pPr>
        <w:pStyle w:val="Sinespaciado"/>
        <w:spacing w:line="360" w:lineRule="auto"/>
        <w:rPr>
          <w:rFonts w:ascii="Palatino Linotype" w:hAnsi="Palatino Linotype"/>
        </w:rPr>
      </w:pPr>
    </w:p>
    <w:p w:rsidR="00713BC2" w:rsidRDefault="00087DCC" w:rsidP="00BC0474">
      <w:pPr>
        <w:pStyle w:val="Sinespaciado"/>
        <w:spacing w:line="360" w:lineRule="auto"/>
        <w:jc w:val="both"/>
        <w:rPr>
          <w:rFonts w:ascii="Palatino Linotype" w:hAnsi="Palatino Linotype" w:cs="Arial"/>
        </w:rPr>
      </w:pPr>
      <w:r w:rsidRPr="00205730">
        <w:rPr>
          <w:rFonts w:ascii="Palatino Linotype" w:hAnsi="Palatino Linotype" w:cs="Arial"/>
        </w:rPr>
        <w:t>Ahora bien</w:t>
      </w:r>
      <w:r w:rsidR="0063037D" w:rsidRPr="00205730">
        <w:rPr>
          <w:rFonts w:ascii="Palatino Linotype" w:hAnsi="Palatino Linotype" w:cs="Arial"/>
        </w:rPr>
        <w:t xml:space="preserve">, </w:t>
      </w:r>
      <w:r w:rsidR="00894205" w:rsidRPr="00205730">
        <w:rPr>
          <w:rFonts w:ascii="Palatino Linotype" w:hAnsi="Palatino Linotype" w:cs="Arial"/>
        </w:rPr>
        <w:t xml:space="preserve">con la finalidad de llevar a buen término </w:t>
      </w:r>
      <w:r w:rsidR="00713BC2">
        <w:rPr>
          <w:rFonts w:ascii="Palatino Linotype" w:hAnsi="Palatino Linotype" w:cs="Arial"/>
        </w:rPr>
        <w:t>el presente recurso, es necesario recordar la petición del Recurrente, que consistió en la entrega de los nombramientos de los directores y jefes de área de la administración 2016-2018.</w:t>
      </w:r>
    </w:p>
    <w:p w:rsidR="00713BC2" w:rsidRDefault="00713BC2" w:rsidP="00BC0474">
      <w:pPr>
        <w:pStyle w:val="Sinespaciado"/>
        <w:spacing w:line="360" w:lineRule="auto"/>
        <w:jc w:val="both"/>
        <w:rPr>
          <w:rFonts w:ascii="Palatino Linotype" w:hAnsi="Palatino Linotype" w:cs="Arial"/>
        </w:rPr>
      </w:pPr>
    </w:p>
    <w:p w:rsidR="00713BC2" w:rsidRDefault="00713BC2" w:rsidP="00BC0474">
      <w:pPr>
        <w:pStyle w:val="Sinespaciado"/>
        <w:spacing w:line="360" w:lineRule="auto"/>
        <w:jc w:val="both"/>
        <w:rPr>
          <w:rFonts w:ascii="Palatino Linotype" w:hAnsi="Palatino Linotype" w:cs="Arial"/>
        </w:rPr>
      </w:pPr>
      <w:r>
        <w:rPr>
          <w:rFonts w:ascii="Palatino Linotype" w:hAnsi="Palatino Linotype" w:cs="Arial"/>
        </w:rPr>
        <w:t xml:space="preserve">Dado que el Sujeto Obligado no atendió la solicitud del hoy Recurrente, éste interpuso el presente recurso de revisión </w:t>
      </w:r>
      <w:r w:rsidR="001B1F1C">
        <w:rPr>
          <w:rFonts w:ascii="Palatino Linotype" w:hAnsi="Palatino Linotype" w:cs="Arial"/>
        </w:rPr>
        <w:t>impugnando la falta de respuesta a la solicitud</w:t>
      </w:r>
      <w:r w:rsidR="00A902D8">
        <w:rPr>
          <w:rFonts w:ascii="Palatino Linotype" w:hAnsi="Palatino Linotype" w:cs="Arial"/>
        </w:rPr>
        <w:t xml:space="preserve"> y dando como razones o motivos de inconformidad que no se le respondió y no se acató la Ley de Transparencia.</w:t>
      </w:r>
    </w:p>
    <w:p w:rsidR="00A902D8" w:rsidRDefault="00A902D8" w:rsidP="00BC0474">
      <w:pPr>
        <w:pStyle w:val="Sinespaciado"/>
        <w:spacing w:line="360" w:lineRule="auto"/>
        <w:jc w:val="both"/>
        <w:rPr>
          <w:rFonts w:ascii="Palatino Linotype" w:hAnsi="Palatino Linotype" w:cs="Arial"/>
        </w:rPr>
      </w:pPr>
    </w:p>
    <w:p w:rsidR="00A902D8" w:rsidRDefault="00A902D8" w:rsidP="00BC0474">
      <w:pPr>
        <w:pStyle w:val="Sinespaciado"/>
        <w:spacing w:line="360" w:lineRule="auto"/>
        <w:jc w:val="both"/>
        <w:rPr>
          <w:rFonts w:ascii="Palatino Linotype" w:hAnsi="Palatino Linotype" w:cs="Arial"/>
        </w:rPr>
      </w:pPr>
      <w:r>
        <w:rPr>
          <w:rFonts w:ascii="Palatino Linotype" w:hAnsi="Palatino Linotype" w:cs="Arial"/>
        </w:rPr>
        <w:t xml:space="preserve">Por su parte, durante la etapa de instrucción, el Sujeto Obligado rindió su Informe Justificado en cuyo contenido se observa el oficio CGA/0502/04/2019 de fecha veintitrés de abril de dos mil diecinueve, emitido por la Coordinadora General de Administración, con el que se remiten los nombramientos de los directores y jefes de área de la administración </w:t>
      </w:r>
      <w:r w:rsidR="005A2F49">
        <w:rPr>
          <w:rFonts w:ascii="Palatino Linotype" w:hAnsi="Palatino Linotype" w:cs="Arial"/>
        </w:rPr>
        <w:t>2016-2018, como se observa en las siguientes imágenes a modo de ejemplo:</w:t>
      </w:r>
    </w:p>
    <w:p w:rsidR="005A2F49" w:rsidRDefault="005A2F49" w:rsidP="00BC0474">
      <w:pPr>
        <w:pStyle w:val="Sinespaciado"/>
        <w:spacing w:line="360" w:lineRule="auto"/>
        <w:jc w:val="both"/>
        <w:rPr>
          <w:rFonts w:ascii="Palatino Linotype" w:hAnsi="Palatino Linotype" w:cs="Arial"/>
        </w:rPr>
      </w:pPr>
      <w:r>
        <w:rPr>
          <w:rFonts w:ascii="Palatino Linotype" w:hAnsi="Palatino Linotype" w:cs="Arial"/>
        </w:rPr>
        <w:t>------------------------------------------------------------------------------------------------------------------------------------------------------------------------------------------------------------------------------------------------------------------------------------------------------------------------------------------------------------------------------------------------------------------------------------------------------------------------------------------------------------------------------------------------------------------------------------------------------------------------------------------------------------------------------------------------------</w:t>
      </w:r>
    </w:p>
    <w:p w:rsidR="00837E98" w:rsidRDefault="00837E98" w:rsidP="00BC0474">
      <w:pPr>
        <w:pStyle w:val="Sinespaciado"/>
        <w:spacing w:line="360" w:lineRule="auto"/>
        <w:jc w:val="both"/>
        <w:rPr>
          <w:rFonts w:ascii="Palatino Linotype" w:hAnsi="Palatino Linotype" w:cs="Arial"/>
        </w:rPr>
      </w:pPr>
    </w:p>
    <w:p w:rsidR="005A2F49" w:rsidRDefault="005A2F49" w:rsidP="00837E98">
      <w:pPr>
        <w:pStyle w:val="Sinespaciado"/>
        <w:spacing w:line="360" w:lineRule="auto"/>
        <w:jc w:val="center"/>
        <w:rPr>
          <w:rFonts w:ascii="Palatino Linotype" w:hAnsi="Palatino Linotype" w:cs="Arial"/>
        </w:rPr>
      </w:pPr>
      <w:r>
        <w:rPr>
          <w:noProof/>
          <w:lang w:eastAsia="es-MX"/>
        </w:rPr>
        <w:drawing>
          <wp:inline distT="0" distB="0" distL="0" distR="0" wp14:anchorId="46D7C6BB" wp14:editId="3C600B60">
            <wp:extent cx="4895850" cy="6737622"/>
            <wp:effectExtent l="0" t="0" r="0" b="63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3565" t="8230" r="31713" b="6820"/>
                    <a:stretch/>
                  </pic:blipFill>
                  <pic:spPr bwMode="auto">
                    <a:xfrm>
                      <a:off x="0" y="0"/>
                      <a:ext cx="4930911" cy="6785873"/>
                    </a:xfrm>
                    <a:prstGeom prst="rect">
                      <a:avLst/>
                    </a:prstGeom>
                    <a:ln>
                      <a:noFill/>
                    </a:ln>
                    <a:extLst>
                      <a:ext uri="{53640926-AAD7-44D8-BBD7-CCE9431645EC}">
                        <a14:shadowObscured xmlns:a14="http://schemas.microsoft.com/office/drawing/2010/main"/>
                      </a:ext>
                    </a:extLst>
                  </pic:spPr>
                </pic:pic>
              </a:graphicData>
            </a:graphic>
          </wp:inline>
        </w:drawing>
      </w:r>
    </w:p>
    <w:p w:rsidR="00713BC2" w:rsidRDefault="00713BC2" w:rsidP="00BC0474">
      <w:pPr>
        <w:pStyle w:val="Sinespaciado"/>
        <w:spacing w:line="360" w:lineRule="auto"/>
        <w:jc w:val="both"/>
        <w:rPr>
          <w:rFonts w:ascii="Palatino Linotype" w:hAnsi="Palatino Linotype" w:cs="Arial"/>
        </w:rPr>
      </w:pPr>
    </w:p>
    <w:p w:rsidR="00837E98" w:rsidRDefault="00837E98" w:rsidP="00BC0474">
      <w:pPr>
        <w:pStyle w:val="Sinespaciado"/>
        <w:spacing w:line="360" w:lineRule="auto"/>
        <w:jc w:val="both"/>
        <w:rPr>
          <w:rFonts w:ascii="Palatino Linotype" w:hAnsi="Palatino Linotype" w:cs="Arial"/>
        </w:rPr>
      </w:pPr>
    </w:p>
    <w:p w:rsidR="005A2F49" w:rsidRDefault="00837E98" w:rsidP="00837E98">
      <w:pPr>
        <w:pStyle w:val="Sinespaciado"/>
        <w:spacing w:line="360" w:lineRule="auto"/>
        <w:jc w:val="center"/>
        <w:rPr>
          <w:rFonts w:ascii="Palatino Linotype" w:hAnsi="Palatino Linotype" w:cs="Arial"/>
        </w:rPr>
      </w:pPr>
      <w:r>
        <w:rPr>
          <w:noProof/>
          <w:lang w:eastAsia="es-MX"/>
        </w:rPr>
        <w:drawing>
          <wp:inline distT="0" distB="0" distL="0" distR="0" wp14:anchorId="49F8B3FA" wp14:editId="6BE3BA73">
            <wp:extent cx="4848225" cy="6749491"/>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3731" t="8523" r="32539" b="7996"/>
                    <a:stretch/>
                  </pic:blipFill>
                  <pic:spPr bwMode="auto">
                    <a:xfrm>
                      <a:off x="0" y="0"/>
                      <a:ext cx="4862717" cy="6769666"/>
                    </a:xfrm>
                    <a:prstGeom prst="rect">
                      <a:avLst/>
                    </a:prstGeom>
                    <a:ln>
                      <a:noFill/>
                    </a:ln>
                    <a:extLst>
                      <a:ext uri="{53640926-AAD7-44D8-BBD7-CCE9431645EC}">
                        <a14:shadowObscured xmlns:a14="http://schemas.microsoft.com/office/drawing/2010/main"/>
                      </a:ext>
                    </a:extLst>
                  </pic:spPr>
                </pic:pic>
              </a:graphicData>
            </a:graphic>
          </wp:inline>
        </w:drawing>
      </w:r>
    </w:p>
    <w:p w:rsidR="005A2F49" w:rsidRDefault="005A2F49" w:rsidP="00BC0474">
      <w:pPr>
        <w:pStyle w:val="Sinespaciado"/>
        <w:spacing w:line="360" w:lineRule="auto"/>
        <w:jc w:val="both"/>
        <w:rPr>
          <w:rFonts w:ascii="Palatino Linotype" w:hAnsi="Palatino Linotype" w:cs="Arial"/>
        </w:rPr>
      </w:pPr>
    </w:p>
    <w:p w:rsidR="00DF2ACF" w:rsidRDefault="00DF2ACF" w:rsidP="00DF2ACF">
      <w:pPr>
        <w:pStyle w:val="Sinespaciado"/>
        <w:spacing w:line="360" w:lineRule="auto"/>
        <w:jc w:val="both"/>
        <w:rPr>
          <w:rFonts w:ascii="Palatino Linotype" w:hAnsi="Palatino Linotype" w:cs="Arial"/>
          <w:lang w:val="es-ES"/>
        </w:rPr>
      </w:pPr>
      <w:r>
        <w:rPr>
          <w:rFonts w:ascii="Palatino Linotype" w:hAnsi="Palatino Linotype" w:cs="Arial"/>
        </w:rPr>
        <w:lastRenderedPageBreak/>
        <w:t xml:space="preserve">Así, este Órgano Garante advierte que el Sujeto Obligado admitió al momento de rendir su Informe Justificado que generó, administró y poseyó la información que el Recurrente solicitó, la cual consistió en los nombramientos de los directores y jefes de área de la administración 2016-2018. Por tal motivo, </w:t>
      </w:r>
      <w:r>
        <w:rPr>
          <w:rFonts w:ascii="Palatino Linotype" w:hAnsi="Palatino Linotype" w:cs="Arial"/>
          <w:lang w:val="es-ES"/>
        </w:rPr>
        <w:t>se obviará el estudio de la naturaleza de la información solicitada, así como de las facultades del Sujeto Obligado para generarla, ya que dicho estudio tiene como fin concluir en la existencia de la fuente obligacional para los sujetos obligados que haga indubitable que los mismos deben poseer en sus archivos la información que les esté requiriendo, empero ello resulta ocioso en los casos en que aquellos reconozcan tener la información en sus archivos.</w:t>
      </w:r>
    </w:p>
    <w:p w:rsidR="005A2F49" w:rsidRDefault="005A2F49" w:rsidP="00BC0474">
      <w:pPr>
        <w:pStyle w:val="Sinespaciado"/>
        <w:spacing w:line="360" w:lineRule="auto"/>
        <w:jc w:val="both"/>
        <w:rPr>
          <w:rFonts w:ascii="Palatino Linotype" w:hAnsi="Palatino Linotype" w:cs="Arial"/>
        </w:rPr>
      </w:pPr>
    </w:p>
    <w:p w:rsidR="008A3E36" w:rsidRPr="00E8669D" w:rsidRDefault="00DF2ACF" w:rsidP="008A3E36">
      <w:pPr>
        <w:pStyle w:val="Sinespaciado"/>
        <w:spacing w:line="360" w:lineRule="auto"/>
        <w:jc w:val="both"/>
        <w:rPr>
          <w:rFonts w:ascii="Palatino Linotype" w:hAnsi="Palatino Linotype"/>
        </w:rPr>
      </w:pPr>
      <w:r>
        <w:rPr>
          <w:rFonts w:ascii="Palatino Linotype" w:hAnsi="Palatino Linotype" w:cs="Arial"/>
        </w:rPr>
        <w:t xml:space="preserve">Asimismo, </w:t>
      </w:r>
      <w:r w:rsidR="008A3E36">
        <w:rPr>
          <w:rFonts w:ascii="Palatino Linotype" w:hAnsi="Palatino Linotype" w:cs="Arial"/>
        </w:rPr>
        <w:t xml:space="preserve">aun cuando el Sujeto Obligado no dio respuesta a la solicitud y que su Informe Justificado no fue puesto a la vista del Recurrente, es evidente que dicho Sujeto realizó un pronunciamiento respecto a la solicitud de información hecha por el particular, en el sentido de intentar subsanar la falta de respuesta mediante la entrega de la documentación requerida vía Informe Justificado, de tal forma que este Instituto  no tiene </w:t>
      </w:r>
      <w:r w:rsidR="008A3E36">
        <w:rPr>
          <w:rFonts w:ascii="Palatino Linotype" w:hAnsi="Palatino Linotype"/>
        </w:rPr>
        <w:t xml:space="preserve">facultades para dudar de la veracidad del contenido de la documentación remitida por los sujetos obligados, tal y como se establece en el </w:t>
      </w:r>
      <w:r w:rsidR="008A3E36" w:rsidRPr="00E8669D">
        <w:rPr>
          <w:rFonts w:ascii="Palatino Linotype" w:hAnsi="Palatino Linotype"/>
        </w:rPr>
        <w:t>Criterio 31-10 emitido por el entonces Instituto Federal de Accesos a la Información y Protección de Datos, que a la letra establece lo siguiente:</w:t>
      </w:r>
    </w:p>
    <w:p w:rsidR="008A3E36" w:rsidRPr="00E8669D" w:rsidRDefault="008A3E36" w:rsidP="008A3E36">
      <w:pPr>
        <w:spacing w:after="0" w:line="360" w:lineRule="auto"/>
        <w:jc w:val="both"/>
        <w:rPr>
          <w:rFonts w:ascii="Palatino Linotype" w:hAnsi="Palatino Linotype"/>
          <w:sz w:val="24"/>
          <w:szCs w:val="24"/>
        </w:rPr>
      </w:pPr>
    </w:p>
    <w:p w:rsidR="008A3E36" w:rsidRDefault="008A3E36" w:rsidP="008A3E36">
      <w:pPr>
        <w:pStyle w:val="Sinespaciado"/>
        <w:ind w:left="567" w:right="567"/>
        <w:jc w:val="both"/>
        <w:rPr>
          <w:rFonts w:ascii="Palatino Linotype" w:hAnsi="Palatino Linotype" w:cs="Arial"/>
        </w:rPr>
      </w:pPr>
      <w:r w:rsidRPr="00E8669D">
        <w:rPr>
          <w:rFonts w:ascii="Palatino Linotype" w:hAnsi="Palatino Linotype"/>
          <w:b/>
          <w:i/>
        </w:rPr>
        <w:t>El Instituto Federal de Acceso a la Información y Protección de Datos no cuenta con facultades para pronunciarse respecto de la veracidad de los documentos proporcionados por los sujetos obligados.</w:t>
      </w:r>
      <w:r w:rsidRPr="00E8669D">
        <w:rPr>
          <w:rFonts w:ascii="Palatino Linotype" w:hAnsi="Palatino Linotype"/>
          <w:i/>
        </w:rPr>
        <w:t xml:space="preserve"> El Instituto Federal de Acceso a la Información y Protección de Datos es un órgano de la Administración </w:t>
      </w:r>
      <w:r w:rsidRPr="00E8669D">
        <w:rPr>
          <w:rFonts w:ascii="Palatino Linotype" w:hAnsi="Palatino Linotype"/>
          <w:i/>
        </w:rPr>
        <w:lastRenderedPageBreak/>
        <w:t>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Accesos a la Información Pública Gubernamental no se prevé una causal que permita al Instituto Federal de Acceso a la Información y Protección de Datos conocer, vía recurso de revisión, al respecto.</w:t>
      </w:r>
    </w:p>
    <w:p w:rsidR="008A3E36" w:rsidRDefault="008A3E36" w:rsidP="00BC0474">
      <w:pPr>
        <w:pStyle w:val="Sinespaciado"/>
        <w:spacing w:line="360" w:lineRule="auto"/>
        <w:jc w:val="both"/>
        <w:rPr>
          <w:rFonts w:ascii="Palatino Linotype" w:hAnsi="Palatino Linotype" w:cs="Arial"/>
        </w:rPr>
      </w:pPr>
    </w:p>
    <w:p w:rsidR="00713BC2" w:rsidRDefault="008A3E36" w:rsidP="00BC0474">
      <w:pPr>
        <w:pStyle w:val="Sinespaciado"/>
        <w:spacing w:line="360" w:lineRule="auto"/>
        <w:jc w:val="both"/>
        <w:rPr>
          <w:rFonts w:ascii="Palatino Linotype" w:hAnsi="Palatino Linotype" w:cs="Arial"/>
        </w:rPr>
      </w:pPr>
      <w:r>
        <w:rPr>
          <w:rFonts w:ascii="Palatino Linotype" w:hAnsi="Palatino Linotype" w:cs="Arial"/>
        </w:rPr>
        <w:t xml:space="preserve">En consecuencia, se colige que la documentación remitida como Informe Justificado es la requerida por el Recurrente; sin embargo, en virtud de que el particular no tuvo la oportunidad de conocer el contenido de esos documentos debido a que no fueron puestos a la vista por </w:t>
      </w:r>
      <w:r w:rsidR="00147F67">
        <w:rPr>
          <w:rFonts w:ascii="Palatino Linotype" w:hAnsi="Palatino Linotype" w:cs="Arial"/>
        </w:rPr>
        <w:t xml:space="preserve">dejar parcialmente visibles datos de naturaleza confidencial, este Instituto considera viable ordenar al Sujeto Obligado a que haga entrega de los nombramientos de los directores y jefes de área adscritos a la administración pública municipal 2016-2018 en versión pública. </w:t>
      </w:r>
    </w:p>
    <w:p w:rsidR="00345C4A" w:rsidRDefault="00345C4A" w:rsidP="00BC0474">
      <w:pPr>
        <w:pStyle w:val="Sinespaciado"/>
        <w:spacing w:line="360" w:lineRule="auto"/>
        <w:jc w:val="both"/>
        <w:rPr>
          <w:rFonts w:ascii="Palatino Linotype" w:hAnsi="Palatino Linotype" w:cs="Arial"/>
        </w:rPr>
      </w:pPr>
    </w:p>
    <w:p w:rsidR="00345C4A" w:rsidRDefault="00345C4A" w:rsidP="00BC0474">
      <w:pPr>
        <w:pStyle w:val="Sinespaciado"/>
        <w:spacing w:line="360" w:lineRule="auto"/>
        <w:jc w:val="both"/>
        <w:rPr>
          <w:rFonts w:ascii="Palatino Linotype" w:hAnsi="Palatino Linotype" w:cs="Arial"/>
        </w:rPr>
      </w:pPr>
      <w:r>
        <w:rPr>
          <w:rFonts w:ascii="Palatino Linotype" w:hAnsi="Palatino Linotype" w:cs="Arial"/>
        </w:rPr>
        <w:t>No es de soslayarse el he</w:t>
      </w:r>
      <w:r w:rsidR="00F61295">
        <w:rPr>
          <w:rFonts w:ascii="Palatino Linotype" w:hAnsi="Palatino Linotype" w:cs="Arial"/>
        </w:rPr>
        <w:t xml:space="preserve">cho de que el Recurrente, al momento de hacer su solicitud, requirió los nombramientos de los directores y jefes de área de la administración 2016-2018, lo que en una interpretación amplia puede entenderse de todas las unidades administrativas pertenecientes a la administración pública municipal, </w:t>
      </w:r>
      <w:r w:rsidR="0059297E">
        <w:rPr>
          <w:rFonts w:ascii="Palatino Linotype" w:hAnsi="Palatino Linotype" w:cs="Arial"/>
        </w:rPr>
        <w:t>por lo que, atendiendo al artículo 33 del Bando Municipal vigente en ese periodo, la administración pública se componía de las siguientes unidades:</w:t>
      </w:r>
    </w:p>
    <w:p w:rsidR="00147F67" w:rsidRDefault="00147F67" w:rsidP="00BC0474">
      <w:pPr>
        <w:pStyle w:val="Sinespaciado"/>
        <w:spacing w:line="360" w:lineRule="auto"/>
        <w:jc w:val="both"/>
        <w:rPr>
          <w:rFonts w:ascii="Palatino Linotype" w:hAnsi="Palatino Linotype" w:cs="Arial"/>
        </w:rPr>
      </w:pPr>
    </w:p>
    <w:p w:rsidR="0059297E" w:rsidRDefault="0059297E" w:rsidP="00BC0474">
      <w:pPr>
        <w:pStyle w:val="Sinespaciado"/>
        <w:spacing w:line="360" w:lineRule="auto"/>
        <w:jc w:val="both"/>
        <w:rPr>
          <w:noProof/>
          <w:lang w:eastAsia="es-MX"/>
        </w:rPr>
      </w:pPr>
    </w:p>
    <w:p w:rsidR="0059297E" w:rsidRDefault="0059297E" w:rsidP="0059297E">
      <w:pPr>
        <w:pStyle w:val="Sinespaciado"/>
        <w:spacing w:line="360" w:lineRule="auto"/>
        <w:jc w:val="center"/>
        <w:rPr>
          <w:rFonts w:ascii="Palatino Linotype" w:hAnsi="Palatino Linotype" w:cs="Arial"/>
        </w:rPr>
      </w:pPr>
      <w:bookmarkStart w:id="0" w:name="_GoBack"/>
      <w:r>
        <w:rPr>
          <w:noProof/>
          <w:lang w:eastAsia="es-MX"/>
        </w:rPr>
        <w:lastRenderedPageBreak/>
        <w:drawing>
          <wp:inline distT="0" distB="0" distL="0" distR="0" wp14:anchorId="03475962" wp14:editId="124D62C9">
            <wp:extent cx="5784762" cy="5838825"/>
            <wp:effectExtent l="0" t="0" r="698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3069" t="32335" r="31548" b="4173"/>
                    <a:stretch/>
                  </pic:blipFill>
                  <pic:spPr bwMode="auto">
                    <a:xfrm>
                      <a:off x="0" y="0"/>
                      <a:ext cx="5812875" cy="5867200"/>
                    </a:xfrm>
                    <a:prstGeom prst="rect">
                      <a:avLst/>
                    </a:prstGeom>
                    <a:ln>
                      <a:noFill/>
                    </a:ln>
                    <a:extLst>
                      <a:ext uri="{53640926-AAD7-44D8-BBD7-CCE9431645EC}">
                        <a14:shadowObscured xmlns:a14="http://schemas.microsoft.com/office/drawing/2010/main"/>
                      </a:ext>
                    </a:extLst>
                  </pic:spPr>
                </pic:pic>
              </a:graphicData>
            </a:graphic>
          </wp:inline>
        </w:drawing>
      </w:r>
      <w:bookmarkEnd w:id="0"/>
    </w:p>
    <w:p w:rsidR="0059297E" w:rsidRDefault="0059297E" w:rsidP="00BC0474">
      <w:pPr>
        <w:pStyle w:val="Sinespaciado"/>
        <w:spacing w:line="360" w:lineRule="auto"/>
        <w:jc w:val="both"/>
        <w:rPr>
          <w:rFonts w:ascii="Palatino Linotype" w:hAnsi="Palatino Linotype" w:cs="Arial"/>
        </w:rPr>
      </w:pPr>
    </w:p>
    <w:p w:rsidR="0059297E" w:rsidRDefault="0059297E" w:rsidP="0059297E">
      <w:pPr>
        <w:pStyle w:val="Sinespaciado"/>
        <w:spacing w:line="360" w:lineRule="auto"/>
        <w:jc w:val="center"/>
        <w:rPr>
          <w:rFonts w:ascii="Palatino Linotype" w:hAnsi="Palatino Linotype" w:cs="Arial"/>
        </w:rPr>
      </w:pPr>
      <w:r>
        <w:rPr>
          <w:noProof/>
          <w:lang w:eastAsia="es-MX"/>
        </w:rPr>
        <w:lastRenderedPageBreak/>
        <w:drawing>
          <wp:inline distT="0" distB="0" distL="0" distR="0" wp14:anchorId="6DB346EE" wp14:editId="1BE50CC1">
            <wp:extent cx="5302464" cy="733425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2903" t="8230" r="31714" b="4762"/>
                    <a:stretch/>
                  </pic:blipFill>
                  <pic:spPr bwMode="auto">
                    <a:xfrm>
                      <a:off x="0" y="0"/>
                      <a:ext cx="5336035" cy="7380685"/>
                    </a:xfrm>
                    <a:prstGeom prst="rect">
                      <a:avLst/>
                    </a:prstGeom>
                    <a:ln>
                      <a:noFill/>
                    </a:ln>
                    <a:extLst>
                      <a:ext uri="{53640926-AAD7-44D8-BBD7-CCE9431645EC}">
                        <a14:shadowObscured xmlns:a14="http://schemas.microsoft.com/office/drawing/2010/main"/>
                      </a:ext>
                    </a:extLst>
                  </pic:spPr>
                </pic:pic>
              </a:graphicData>
            </a:graphic>
          </wp:inline>
        </w:drawing>
      </w:r>
    </w:p>
    <w:p w:rsidR="0059297E" w:rsidRDefault="0059297E" w:rsidP="00BC0474">
      <w:pPr>
        <w:pStyle w:val="Sinespaciado"/>
        <w:spacing w:line="360" w:lineRule="auto"/>
        <w:jc w:val="both"/>
        <w:rPr>
          <w:rFonts w:ascii="Palatino Linotype" w:hAnsi="Palatino Linotype" w:cs="Arial"/>
        </w:rPr>
      </w:pPr>
    </w:p>
    <w:p w:rsidR="0059297E" w:rsidRDefault="004D7AF8" w:rsidP="00BC0474">
      <w:pPr>
        <w:pStyle w:val="Sinespaciado"/>
        <w:spacing w:line="360" w:lineRule="auto"/>
        <w:jc w:val="both"/>
        <w:rPr>
          <w:rFonts w:ascii="Palatino Linotype" w:hAnsi="Palatino Linotype" w:cs="Arial"/>
        </w:rPr>
      </w:pPr>
      <w:r>
        <w:rPr>
          <w:rFonts w:ascii="Palatino Linotype" w:hAnsi="Palatino Linotype" w:cs="Arial"/>
        </w:rPr>
        <w:t>Sin embargo, no debe perderse de vista que este Instituto emitido el Acuerdo mediante el cual el Pleno del Instituto de Transparencia, Acceso a la Información Pública y Protección de Datos Personales del Estado de México y Municipios, aprueba el Padrón de Sujetos Obligados en Materia de Transparencia y Acceso a la Información Pública del Estado de México y Municipios, el cual fue publicado en el Periódico Oficial Gaceta del Gobierno</w:t>
      </w:r>
      <w:r w:rsidR="008E5CAB">
        <w:rPr>
          <w:rFonts w:ascii="Palatino Linotype" w:hAnsi="Palatino Linotype" w:cs="Arial"/>
        </w:rPr>
        <w:t xml:space="preserve"> el día veintisiete de febrero de dos mil diecisiete. En dicho Acuerdo se aprobó considerar al Organismo Descentralizado para la Prestación de los Servicios del Agua Potable, Alcantarillado y Saneamiento de Tecámac y al Sistema Municipal para el Desarrollo Integral de la Familia de Tecámac como sujetos obligados independientes. Dado que el artículo segundo transitorio estableció que el Acuerdo en cita entraría en vigor al día siguiente de su publicación, se tiene que desde el veintiocho d</w:t>
      </w:r>
      <w:r w:rsidR="00353280">
        <w:rPr>
          <w:rFonts w:ascii="Palatino Linotype" w:hAnsi="Palatino Linotype" w:cs="Arial"/>
        </w:rPr>
        <w:t>e febrero de dos mil diecisiete</w:t>
      </w:r>
      <w:r w:rsidR="008E5CAB">
        <w:rPr>
          <w:rFonts w:ascii="Palatino Linotype" w:hAnsi="Palatino Linotype" w:cs="Arial"/>
        </w:rPr>
        <w:t xml:space="preserve"> ambos organismos son independientes del Sujeto Obligado</w:t>
      </w:r>
      <w:r w:rsidR="00353280" w:rsidRPr="00353280">
        <w:rPr>
          <w:rFonts w:ascii="Palatino Linotype" w:hAnsi="Palatino Linotype" w:cs="Arial"/>
        </w:rPr>
        <w:t xml:space="preserve"> </w:t>
      </w:r>
      <w:r w:rsidR="00353280">
        <w:rPr>
          <w:rFonts w:ascii="Palatino Linotype" w:hAnsi="Palatino Linotype" w:cs="Arial"/>
        </w:rPr>
        <w:t>en materia de transparencia</w:t>
      </w:r>
      <w:r w:rsidR="008E5CAB">
        <w:rPr>
          <w:rFonts w:ascii="Palatino Linotype" w:hAnsi="Palatino Linotype" w:cs="Arial"/>
        </w:rPr>
        <w:t xml:space="preserve">, por lo cual se dejan a salvo los derechos del Recurrente para </w:t>
      </w:r>
      <w:r w:rsidR="00353280">
        <w:rPr>
          <w:rFonts w:ascii="Palatino Linotype" w:hAnsi="Palatino Linotype" w:cs="Arial"/>
        </w:rPr>
        <w:t>que, de considerarlo conveniente, realice una nueva solicitud de información ante ambos sujetos obligados.</w:t>
      </w:r>
    </w:p>
    <w:p w:rsidR="003C21E9" w:rsidRDefault="003C21E9" w:rsidP="00BC0474">
      <w:pPr>
        <w:pStyle w:val="Sinespaciado"/>
        <w:spacing w:line="360" w:lineRule="auto"/>
        <w:jc w:val="both"/>
        <w:rPr>
          <w:rFonts w:ascii="Palatino Linotype" w:hAnsi="Palatino Linotype" w:cs="Arial"/>
        </w:rPr>
      </w:pPr>
    </w:p>
    <w:p w:rsidR="003C21E9" w:rsidRDefault="003C21E9" w:rsidP="00BC0474">
      <w:pPr>
        <w:pStyle w:val="Sinespaciado"/>
        <w:spacing w:line="360" w:lineRule="auto"/>
        <w:jc w:val="both"/>
        <w:rPr>
          <w:rFonts w:ascii="Palatino Linotype" w:hAnsi="Palatino Linotype" w:cs="Arial"/>
        </w:rPr>
      </w:pPr>
      <w:r>
        <w:rPr>
          <w:rFonts w:ascii="Palatino Linotype" w:hAnsi="Palatino Linotype" w:cs="Arial"/>
        </w:rPr>
        <w:t>Por lo anterior, la información que el Sujeto Obligado entregue debe</w:t>
      </w:r>
      <w:r w:rsidR="006C4C61">
        <w:rPr>
          <w:rFonts w:ascii="Palatino Linotype" w:hAnsi="Palatino Linotype" w:cs="Arial"/>
        </w:rPr>
        <w:t>rá</w:t>
      </w:r>
      <w:r>
        <w:rPr>
          <w:rFonts w:ascii="Palatino Linotype" w:hAnsi="Palatino Linotype" w:cs="Arial"/>
        </w:rPr>
        <w:t xml:space="preserve"> contemplar a </w:t>
      </w:r>
      <w:r w:rsidR="00CE43E8">
        <w:rPr>
          <w:rFonts w:ascii="Palatino Linotype" w:hAnsi="Palatino Linotype" w:cs="Arial"/>
        </w:rPr>
        <w:t>toda la administración pública municipal del primero de enero de dos mil dieciséis al treinta y uno de diciembre de dos mil dieciocho; mientras que, por lo que toca al Organismo Descentralizado para la Prestación de los Servicios del Agua Potable, Alcantarillado y Saneamiento de Tecámac y al Sistema Municipal para el Desarrollo Integral de la Familia de Tecámac,</w:t>
      </w:r>
      <w:r>
        <w:rPr>
          <w:rFonts w:ascii="Palatino Linotype" w:hAnsi="Palatino Linotype" w:cs="Arial"/>
        </w:rPr>
        <w:t xml:space="preserve"> </w:t>
      </w:r>
      <w:r w:rsidR="00CE43E8">
        <w:rPr>
          <w:rFonts w:ascii="Palatino Linotype" w:hAnsi="Palatino Linotype" w:cs="Arial"/>
        </w:rPr>
        <w:t>la información comprenderá únicamente d</w:t>
      </w:r>
      <w:r>
        <w:rPr>
          <w:rFonts w:ascii="Palatino Linotype" w:hAnsi="Palatino Linotype" w:cs="Arial"/>
        </w:rPr>
        <w:t>e</w:t>
      </w:r>
      <w:r w:rsidR="006C4C61">
        <w:rPr>
          <w:rFonts w:ascii="Palatino Linotype" w:hAnsi="Palatino Linotype" w:cs="Arial"/>
        </w:rPr>
        <w:t>l primero de</w:t>
      </w:r>
      <w:r>
        <w:rPr>
          <w:rFonts w:ascii="Palatino Linotype" w:hAnsi="Palatino Linotype" w:cs="Arial"/>
        </w:rPr>
        <w:t xml:space="preserve"> enero de dos mil dieciséis al veintiocho de febrero de dos mil diecisiete; </w:t>
      </w:r>
      <w:r w:rsidR="00CE43E8">
        <w:rPr>
          <w:rFonts w:ascii="Palatino Linotype" w:hAnsi="Palatino Linotype" w:cs="Arial"/>
        </w:rPr>
        <w:t xml:space="preserve">en </w:t>
      </w:r>
      <w:r w:rsidR="00CE43E8">
        <w:rPr>
          <w:rFonts w:ascii="Palatino Linotype" w:hAnsi="Palatino Linotype" w:cs="Arial"/>
        </w:rPr>
        <w:lastRenderedPageBreak/>
        <w:t xml:space="preserve">virtud de que, a partir del primero de marzo de dos mil diecisiete, ambos </w:t>
      </w:r>
      <w:r w:rsidR="008527B2">
        <w:rPr>
          <w:rFonts w:ascii="Palatino Linotype" w:hAnsi="Palatino Linotype" w:cs="Arial"/>
        </w:rPr>
        <w:t>organismos</w:t>
      </w:r>
      <w:r w:rsidR="00CE43E8">
        <w:rPr>
          <w:rFonts w:ascii="Palatino Linotype" w:hAnsi="Palatino Linotype" w:cs="Arial"/>
        </w:rPr>
        <w:t xml:space="preserve"> son </w:t>
      </w:r>
      <w:r w:rsidR="006C4C61">
        <w:rPr>
          <w:rFonts w:ascii="Palatino Linotype" w:hAnsi="Palatino Linotype" w:cs="Arial"/>
        </w:rPr>
        <w:t>considerados como sujetos obligados independientes.</w:t>
      </w:r>
    </w:p>
    <w:p w:rsidR="0059297E" w:rsidRDefault="0059297E" w:rsidP="00BC0474">
      <w:pPr>
        <w:pStyle w:val="Sinespaciado"/>
        <w:spacing w:line="360" w:lineRule="auto"/>
        <w:jc w:val="both"/>
        <w:rPr>
          <w:rFonts w:ascii="Palatino Linotype" w:hAnsi="Palatino Linotype" w:cs="Arial"/>
        </w:rPr>
      </w:pPr>
    </w:p>
    <w:p w:rsidR="00147F67" w:rsidRDefault="00147F67" w:rsidP="00BC0474">
      <w:pPr>
        <w:pStyle w:val="Sinespaciado"/>
        <w:spacing w:line="360" w:lineRule="auto"/>
        <w:jc w:val="both"/>
        <w:rPr>
          <w:rFonts w:ascii="Palatino Linotype" w:hAnsi="Palatino Linotype" w:cs="Arial"/>
        </w:rPr>
      </w:pPr>
      <w:r>
        <w:rPr>
          <w:rFonts w:ascii="Palatino Linotype" w:hAnsi="Palatino Linotype" w:cs="Arial"/>
        </w:rPr>
        <w:t>Asimismo, es de resaltar que el Sujeto Obligado no remitió el Acuerdo de Clasificación con el cual sustentó la versión publica de los documentos remitidos, por lo cual se ordena que la versión pública de la información a entregarse se acompañe del Acuerdo correspondiente, con la finalidad de dar certeza jurídica al Recurrente respecto de la elaboración de dicha versión pública.</w:t>
      </w:r>
    </w:p>
    <w:p w:rsidR="00147F67" w:rsidRDefault="00147F67" w:rsidP="00BC0474">
      <w:pPr>
        <w:pStyle w:val="Sinespaciado"/>
        <w:spacing w:line="360" w:lineRule="auto"/>
        <w:jc w:val="both"/>
        <w:rPr>
          <w:rFonts w:ascii="Palatino Linotype" w:hAnsi="Palatino Linotype" w:cs="Arial"/>
        </w:rPr>
      </w:pPr>
    </w:p>
    <w:p w:rsidR="00E65C96" w:rsidRPr="00EC3D4F" w:rsidRDefault="00E65C96" w:rsidP="00E65C96">
      <w:pPr>
        <w:pStyle w:val="Sinespaciado"/>
        <w:spacing w:line="360" w:lineRule="auto"/>
        <w:jc w:val="both"/>
        <w:rPr>
          <w:rFonts w:ascii="Palatino Linotype" w:hAnsi="Palatino Linotype" w:cs="Arial"/>
        </w:rPr>
      </w:pPr>
      <w:r w:rsidRPr="00EC3D4F">
        <w:rPr>
          <w:rFonts w:ascii="Palatino Linotype" w:hAnsi="Palatino Linotype"/>
          <w:lang w:val="es-ES_tradnl"/>
        </w:rPr>
        <w:t>Finalmente</w:t>
      </w:r>
      <w:r w:rsidRPr="00EC3D4F">
        <w:rPr>
          <w:rFonts w:ascii="Palatino Linotype" w:hAnsi="Palatino Linotype"/>
        </w:rPr>
        <w:t xml:space="preserve">, no pasa inadvertido para esta Ponencia Resolutora la omisión del Sujeto Obligado de dar trámite a la solicitud de información del Recurrente y, a su vez, de proporcionar la respuesta a su solicitud de acceso a la información pública, lo que, en estricto sentido, podría ser considerado como infracciones a la </w:t>
      </w:r>
      <w:r w:rsidRPr="00EC3D4F">
        <w:rPr>
          <w:rFonts w:ascii="Palatino Linotype" w:hAnsi="Palatino Linotype"/>
          <w:lang w:eastAsia="es-ES_tradnl"/>
        </w:rPr>
        <w:t xml:space="preserve">Ley de Transparencia y Acceso a la </w:t>
      </w:r>
      <w:r w:rsidRPr="00EC3D4F">
        <w:rPr>
          <w:rFonts w:ascii="Palatino Linotype" w:hAnsi="Palatino Linotype"/>
        </w:rPr>
        <w:t>Información</w:t>
      </w:r>
      <w:r w:rsidRPr="00EC3D4F">
        <w:rPr>
          <w:rFonts w:ascii="Palatino Linotype" w:hAnsi="Palatino Linotype"/>
          <w:lang w:eastAsia="es-ES_tradnl"/>
        </w:rPr>
        <w:t xml:space="preserve"> Pública del Estado de México y Municipios; sin embargo, si bien, </w:t>
      </w:r>
      <w:r w:rsidRPr="00EC3D4F">
        <w:rPr>
          <w:rFonts w:ascii="Palatino Linotype" w:eastAsia="Arial Unicode MS" w:hAnsi="Palatino Linotype"/>
        </w:rPr>
        <w:t xml:space="preserve">la imposición de medidas de apremio al Sujeto Obligado, no es materia del presente medio de impugnación, también lo es que, de conformidad con lo establecido en el artículo 36 fracción X de la Ley de la materia, </w:t>
      </w:r>
      <w:r w:rsidRPr="00EC3D4F">
        <w:rPr>
          <w:rFonts w:ascii="Palatino Linotype" w:hAnsi="Palatino Linotype"/>
          <w:b/>
        </w:rPr>
        <w:t xml:space="preserve">se ordena dar vista al </w:t>
      </w:r>
      <w:r w:rsidRPr="00EC3D4F">
        <w:rPr>
          <w:rFonts w:ascii="Palatino Linotype" w:hAnsi="Palatino Linotype"/>
          <w:b/>
          <w:lang w:eastAsia="es-ES_tradnl"/>
        </w:rPr>
        <w:t>Titular de la Contraloría Interna y Órgano de Control y Vigilancia de este Instituto</w:t>
      </w:r>
      <w:r w:rsidRPr="00EC3D4F">
        <w:rPr>
          <w:rFonts w:ascii="Palatino Linotype" w:hAnsi="Palatino Linotype"/>
          <w:lang w:eastAsia="es-ES_tradnl"/>
        </w:rPr>
        <w:t>, de conformidad con el artículo 190 de la Ley de Transparencia y Acceso a la Información Pública del Estado de México y Municipios, a efecto de que determine lo conducente</w:t>
      </w:r>
      <w:r w:rsidRPr="00EC3D4F">
        <w:rPr>
          <w:rFonts w:ascii="Palatino Linotype" w:hAnsi="Palatino Linotype"/>
        </w:rPr>
        <w:t>.</w:t>
      </w:r>
    </w:p>
    <w:p w:rsidR="00E65C96" w:rsidRPr="00EC3D4F" w:rsidRDefault="00E65C96" w:rsidP="00E65C96">
      <w:pPr>
        <w:pStyle w:val="Sinespaciado"/>
        <w:spacing w:line="360" w:lineRule="auto"/>
        <w:jc w:val="both"/>
        <w:rPr>
          <w:rFonts w:ascii="Palatino Linotype" w:hAnsi="Palatino Linotype" w:cs="Arial"/>
        </w:rPr>
      </w:pPr>
    </w:p>
    <w:p w:rsidR="00E65C96" w:rsidRPr="005107EA" w:rsidRDefault="00E65C96" w:rsidP="00E65C96">
      <w:pPr>
        <w:pStyle w:val="Sinespaciado"/>
        <w:spacing w:line="360" w:lineRule="auto"/>
        <w:jc w:val="both"/>
        <w:rPr>
          <w:rFonts w:ascii="Palatino Linotype" w:hAnsi="Palatino Linotype"/>
          <w:b/>
          <w:i/>
          <w:sz w:val="26"/>
          <w:szCs w:val="26"/>
          <w:u w:val="single"/>
        </w:rPr>
      </w:pPr>
      <w:r w:rsidRPr="005107EA">
        <w:rPr>
          <w:rFonts w:ascii="Palatino Linotype" w:hAnsi="Palatino Linotype"/>
          <w:b/>
          <w:i/>
          <w:sz w:val="26"/>
          <w:szCs w:val="26"/>
          <w:u w:val="single"/>
        </w:rPr>
        <w:t>DE LA VERSIÓN PÚBLICA</w:t>
      </w:r>
    </w:p>
    <w:p w:rsidR="00E65C96" w:rsidRPr="00477BC7" w:rsidRDefault="00E65C96" w:rsidP="00E65C96">
      <w:pPr>
        <w:spacing w:after="0" w:line="360" w:lineRule="auto"/>
        <w:jc w:val="both"/>
        <w:rPr>
          <w:rFonts w:ascii="Palatino Linotype" w:eastAsia="Arial Unicode MS" w:hAnsi="Palatino Linotype" w:cs="Times New Roman"/>
          <w:sz w:val="24"/>
          <w:szCs w:val="24"/>
          <w:lang w:val="es-ES" w:eastAsia="es-ES"/>
        </w:rPr>
      </w:pPr>
      <w:r>
        <w:rPr>
          <w:rFonts w:ascii="Palatino Linotype" w:eastAsia="Arial Unicode MS" w:hAnsi="Palatino Linotype" w:cs="Times New Roman"/>
          <w:sz w:val="24"/>
          <w:szCs w:val="24"/>
          <w:lang w:val="es-ES" w:eastAsia="es-ES"/>
        </w:rPr>
        <w:t xml:space="preserve">Toda vez que </w:t>
      </w:r>
      <w:r w:rsidRPr="00477BC7">
        <w:rPr>
          <w:rFonts w:ascii="Palatino Linotype" w:eastAsia="Arial Unicode MS" w:hAnsi="Palatino Linotype" w:cs="Times New Roman"/>
          <w:sz w:val="24"/>
          <w:szCs w:val="24"/>
          <w:lang w:val="es-ES" w:eastAsia="es-ES"/>
        </w:rPr>
        <w:t>los documentos r</w:t>
      </w:r>
      <w:r>
        <w:rPr>
          <w:rFonts w:ascii="Palatino Linotype" w:eastAsia="Arial Unicode MS" w:hAnsi="Palatino Linotype" w:cs="Times New Roman"/>
          <w:sz w:val="24"/>
          <w:szCs w:val="24"/>
          <w:lang w:val="es-ES" w:eastAsia="es-ES"/>
        </w:rPr>
        <w:t>eferidos anteriormente</w:t>
      </w:r>
      <w:r w:rsidRPr="00477BC7">
        <w:rPr>
          <w:rFonts w:ascii="Palatino Linotype" w:eastAsia="Arial Unicode MS" w:hAnsi="Palatino Linotype" w:cs="Times New Roman"/>
          <w:sz w:val="24"/>
          <w:szCs w:val="24"/>
          <w:lang w:val="es-ES" w:eastAsia="es-ES"/>
        </w:rPr>
        <w:t xml:space="preserve"> son elaborados por quincenas y atendiendo al requerimiento del ciudadano, este Órgano Garante determina ordenar </w:t>
      </w:r>
      <w:r>
        <w:rPr>
          <w:rFonts w:ascii="Palatino Linotype" w:eastAsia="Arial Unicode MS" w:hAnsi="Palatino Linotype" w:cs="Times New Roman"/>
          <w:sz w:val="24"/>
          <w:szCs w:val="24"/>
          <w:lang w:val="es-ES" w:eastAsia="es-ES"/>
        </w:rPr>
        <w:lastRenderedPageBreak/>
        <w:t xml:space="preserve">que </w:t>
      </w:r>
      <w:r w:rsidRPr="00477BC7">
        <w:rPr>
          <w:rFonts w:ascii="Palatino Linotype" w:eastAsia="Arial Unicode MS" w:hAnsi="Palatino Linotype" w:cs="Times New Roman"/>
          <w:sz w:val="24"/>
          <w:szCs w:val="24"/>
          <w:lang w:val="es-ES" w:eastAsia="es-ES"/>
        </w:rPr>
        <w:t xml:space="preserve">la entrega de la </w:t>
      </w:r>
      <w:r>
        <w:rPr>
          <w:rFonts w:ascii="Palatino Linotype" w:eastAsia="Arial Unicode MS" w:hAnsi="Palatino Linotype" w:cs="Times New Roman"/>
          <w:sz w:val="24"/>
          <w:szCs w:val="24"/>
          <w:lang w:val="es-ES" w:eastAsia="es-ES"/>
        </w:rPr>
        <w:t xml:space="preserve">información a la Recurrente se haga en </w:t>
      </w:r>
      <w:r w:rsidRPr="00477BC7">
        <w:rPr>
          <w:rFonts w:ascii="Palatino Linotype" w:eastAsia="Arial Unicode MS" w:hAnsi="Palatino Linotype" w:cs="Times New Roman"/>
          <w:b/>
          <w:sz w:val="24"/>
          <w:szCs w:val="24"/>
          <w:lang w:val="es-ES" w:eastAsia="es-ES"/>
        </w:rPr>
        <w:t>versión pública</w:t>
      </w:r>
      <w:r>
        <w:rPr>
          <w:rFonts w:ascii="Palatino Linotype" w:eastAsia="Arial Unicode MS" w:hAnsi="Palatino Linotype" w:cs="Times New Roman"/>
          <w:sz w:val="24"/>
          <w:szCs w:val="24"/>
          <w:lang w:val="es-ES" w:eastAsia="es-ES"/>
        </w:rPr>
        <w:t>, esto es, omitiendo, eliminando o suprimiendo</w:t>
      </w:r>
      <w:r w:rsidRPr="00477BC7">
        <w:rPr>
          <w:rFonts w:ascii="Palatino Linotype" w:eastAsia="Arial Unicode MS" w:hAnsi="Palatino Linotype" w:cs="Times New Roman"/>
          <w:sz w:val="24"/>
          <w:szCs w:val="24"/>
          <w:lang w:val="es-ES" w:eastAsia="es-ES"/>
        </w:rPr>
        <w:t xml:space="preserve"> la información personal de cada funcionario público, susceptibles de ser clasificadas como confidencial o cualquier otro dato que ponga en riesgo la vida, seguridad o salud de dicha persona.</w:t>
      </w:r>
    </w:p>
    <w:p w:rsidR="00E65C96" w:rsidRPr="00477BC7" w:rsidRDefault="00E65C96" w:rsidP="00E65C96">
      <w:pPr>
        <w:spacing w:after="0" w:line="360" w:lineRule="auto"/>
        <w:jc w:val="both"/>
        <w:rPr>
          <w:rFonts w:ascii="Palatino Linotype" w:eastAsia="Arial Unicode MS" w:hAnsi="Palatino Linotype" w:cs="Times New Roman"/>
          <w:sz w:val="24"/>
          <w:szCs w:val="24"/>
          <w:lang w:val="es-ES" w:eastAsia="es-ES"/>
        </w:rPr>
      </w:pPr>
    </w:p>
    <w:p w:rsidR="00E65C96" w:rsidRPr="00477BC7" w:rsidRDefault="00E65C96" w:rsidP="00E65C96">
      <w:pPr>
        <w:spacing w:after="0" w:line="360" w:lineRule="auto"/>
        <w:jc w:val="both"/>
        <w:rPr>
          <w:rFonts w:ascii="Palatino Linotype" w:eastAsia="Times New Roman" w:hAnsi="Palatino Linotype" w:cs="Times New Roman"/>
          <w:sz w:val="24"/>
          <w:szCs w:val="24"/>
          <w:lang w:eastAsia="es-ES"/>
        </w:rPr>
      </w:pPr>
      <w:r w:rsidRPr="00477BC7">
        <w:rPr>
          <w:rFonts w:ascii="Palatino Linotype" w:eastAsia="Times New Roman" w:hAnsi="Palatino Linotype" w:cs="Times New Roman"/>
          <w:bCs/>
          <w:sz w:val="24"/>
          <w:szCs w:val="24"/>
          <w:lang w:eastAsia="es-ES"/>
        </w:rPr>
        <w:t>A este respecto, los</w:t>
      </w:r>
      <w:r w:rsidRPr="00477BC7">
        <w:rPr>
          <w:rFonts w:ascii="Palatino Linotype" w:eastAsia="Times New Roman" w:hAnsi="Palatino Linotype" w:cs="Times New Roman"/>
          <w:sz w:val="24"/>
          <w:szCs w:val="24"/>
          <w:lang w:eastAsia="es-ES"/>
        </w:rPr>
        <w:t xml:space="preserve"> artículos 3, fracciones IX, XX, XXI y XLV; 51 y 52 de la Ley de Transparencia y Acceso a la Información Pública del Estado de México y Municipios establecen:</w:t>
      </w:r>
    </w:p>
    <w:p w:rsidR="00E65C96" w:rsidRPr="00477BC7" w:rsidRDefault="00E65C96" w:rsidP="00E65C96">
      <w:pPr>
        <w:spacing w:after="0" w:line="360" w:lineRule="auto"/>
        <w:jc w:val="both"/>
        <w:rPr>
          <w:rFonts w:ascii="Palatino Linotype" w:eastAsia="Times New Roman" w:hAnsi="Palatino Linotype" w:cs="Times New Roman"/>
          <w:b/>
          <w:bCs/>
          <w:i/>
          <w:noProof/>
          <w:sz w:val="24"/>
          <w:szCs w:val="24"/>
          <w:lang w:eastAsia="es-ES"/>
        </w:rPr>
      </w:pPr>
    </w:p>
    <w:p w:rsidR="00E65C96" w:rsidRPr="00477BC7" w:rsidRDefault="00E65C96" w:rsidP="00E65C96">
      <w:pPr>
        <w:spacing w:after="0" w:line="240" w:lineRule="auto"/>
        <w:ind w:left="567" w:right="616"/>
        <w:jc w:val="both"/>
        <w:rPr>
          <w:rFonts w:ascii="Palatino Linotype" w:eastAsia="Times New Roman" w:hAnsi="Palatino Linotype" w:cs="Times New Roman"/>
          <w:i/>
          <w:lang w:eastAsia="es-ES"/>
        </w:rPr>
      </w:pPr>
      <w:r w:rsidRPr="00477BC7">
        <w:rPr>
          <w:rFonts w:ascii="Palatino Linotype" w:eastAsia="Times New Roman" w:hAnsi="Palatino Linotype" w:cs="Arial"/>
          <w:b/>
          <w:bCs/>
          <w:i/>
          <w:noProof/>
          <w:lang w:eastAsia="es-ES"/>
        </w:rPr>
        <w:t>“</w:t>
      </w:r>
      <w:r w:rsidRPr="00477BC7">
        <w:rPr>
          <w:rFonts w:ascii="Palatino Linotype" w:eastAsia="Times New Roman" w:hAnsi="Palatino Linotype" w:cs="Arial"/>
          <w:b/>
          <w:bCs/>
          <w:i/>
          <w:lang w:eastAsia="es-MX"/>
        </w:rPr>
        <w:t>Artículo</w:t>
      </w:r>
      <w:r w:rsidRPr="00477BC7">
        <w:rPr>
          <w:rFonts w:ascii="Palatino Linotype" w:eastAsia="Times New Roman" w:hAnsi="Palatino Linotype" w:cs="Arial"/>
          <w:b/>
          <w:bCs/>
          <w:i/>
          <w:lang w:eastAsia="es-ES"/>
        </w:rPr>
        <w:t xml:space="preserve"> 3. </w:t>
      </w:r>
      <w:r w:rsidRPr="00477BC7">
        <w:rPr>
          <w:rFonts w:ascii="Palatino Linotype" w:eastAsia="Times New Roman" w:hAnsi="Palatino Linotype" w:cs="Times New Roman"/>
          <w:i/>
          <w:lang w:eastAsia="es-ES"/>
        </w:rPr>
        <w:t xml:space="preserve">Para los efectos de la presente Ley se entenderá por: </w:t>
      </w:r>
    </w:p>
    <w:p w:rsidR="00E65C96" w:rsidRPr="00477BC7" w:rsidRDefault="00E65C96" w:rsidP="00E65C96">
      <w:pPr>
        <w:spacing w:after="0" w:line="240" w:lineRule="auto"/>
        <w:ind w:left="567" w:right="616"/>
        <w:jc w:val="both"/>
        <w:rPr>
          <w:rFonts w:ascii="Palatino Linotype" w:eastAsia="Times New Roman" w:hAnsi="Palatino Linotype" w:cs="Times New Roman"/>
          <w:i/>
          <w:lang w:eastAsia="es-ES"/>
        </w:rPr>
      </w:pPr>
    </w:p>
    <w:p w:rsidR="00E65C96" w:rsidRPr="00477BC7" w:rsidRDefault="00E65C96" w:rsidP="00E65C96">
      <w:pPr>
        <w:spacing w:after="0" w:line="240" w:lineRule="auto"/>
        <w:ind w:left="567" w:right="616"/>
        <w:jc w:val="both"/>
        <w:rPr>
          <w:rFonts w:ascii="Palatino Linotype" w:eastAsia="Times New Roman" w:hAnsi="Palatino Linotype" w:cs="Arial"/>
          <w:i/>
          <w:lang w:eastAsia="es-ES"/>
        </w:rPr>
      </w:pPr>
      <w:r w:rsidRPr="00477BC7">
        <w:rPr>
          <w:rFonts w:ascii="Palatino Linotype" w:eastAsia="Times New Roman" w:hAnsi="Palatino Linotype" w:cs="Arial"/>
          <w:b/>
          <w:i/>
          <w:lang w:eastAsia="es-ES"/>
        </w:rPr>
        <w:t>IX.</w:t>
      </w:r>
      <w:r w:rsidRPr="00477BC7">
        <w:rPr>
          <w:rFonts w:ascii="Palatino Linotype" w:eastAsia="Times New Roman" w:hAnsi="Palatino Linotype" w:cs="Arial"/>
          <w:i/>
          <w:lang w:eastAsia="es-ES"/>
        </w:rPr>
        <w:t xml:space="preserve"> </w:t>
      </w:r>
      <w:r w:rsidRPr="00477BC7">
        <w:rPr>
          <w:rFonts w:ascii="Palatino Linotype" w:eastAsia="Times New Roman" w:hAnsi="Palatino Linotype" w:cs="Arial"/>
          <w:b/>
          <w:i/>
          <w:lang w:eastAsia="es-ES"/>
        </w:rPr>
        <w:t xml:space="preserve">Datos personales: </w:t>
      </w:r>
      <w:r w:rsidRPr="00477BC7">
        <w:rPr>
          <w:rFonts w:ascii="Palatino Linotype" w:eastAsia="Times New Roman" w:hAnsi="Palatino Linotype" w:cs="Arial"/>
          <w:i/>
          <w:lang w:eastAsia="es-ES"/>
        </w:rPr>
        <w:t xml:space="preserve">La información concerniente a una persona, identificada o identificable según lo dispuesto por la Ley de Protección de Datos Personales del Estado de México; </w:t>
      </w:r>
    </w:p>
    <w:p w:rsidR="00E65C96" w:rsidRPr="00477BC7" w:rsidRDefault="00E65C96" w:rsidP="00E65C96">
      <w:pPr>
        <w:spacing w:after="0" w:line="240" w:lineRule="auto"/>
        <w:ind w:left="567" w:right="616"/>
        <w:jc w:val="both"/>
        <w:rPr>
          <w:rFonts w:ascii="Palatino Linotype" w:eastAsia="Times New Roman" w:hAnsi="Palatino Linotype" w:cs="Arial"/>
          <w:i/>
          <w:lang w:eastAsia="es-ES"/>
        </w:rPr>
      </w:pPr>
    </w:p>
    <w:p w:rsidR="00E65C96" w:rsidRPr="00477BC7" w:rsidRDefault="00E65C96" w:rsidP="00E65C96">
      <w:pPr>
        <w:spacing w:after="0" w:line="240" w:lineRule="auto"/>
        <w:ind w:left="567" w:right="616"/>
        <w:jc w:val="both"/>
        <w:rPr>
          <w:rFonts w:ascii="Palatino Linotype" w:eastAsia="Times New Roman" w:hAnsi="Palatino Linotype" w:cs="Arial"/>
          <w:i/>
          <w:lang w:eastAsia="es-ES"/>
        </w:rPr>
      </w:pPr>
      <w:r w:rsidRPr="00477BC7">
        <w:rPr>
          <w:rFonts w:ascii="Palatino Linotype" w:eastAsia="Times New Roman" w:hAnsi="Palatino Linotype" w:cs="Arial"/>
          <w:b/>
          <w:i/>
          <w:lang w:eastAsia="es-ES"/>
        </w:rPr>
        <w:t>XX.</w:t>
      </w:r>
      <w:r w:rsidRPr="00477BC7">
        <w:rPr>
          <w:rFonts w:ascii="Palatino Linotype" w:eastAsia="Times New Roman" w:hAnsi="Palatino Linotype" w:cs="Arial"/>
          <w:i/>
          <w:lang w:eastAsia="es-ES"/>
        </w:rPr>
        <w:t xml:space="preserve"> </w:t>
      </w:r>
      <w:r w:rsidRPr="00477BC7">
        <w:rPr>
          <w:rFonts w:ascii="Palatino Linotype" w:eastAsia="Times New Roman" w:hAnsi="Palatino Linotype" w:cs="Arial"/>
          <w:b/>
          <w:i/>
          <w:lang w:eastAsia="es-ES"/>
        </w:rPr>
        <w:t>Información clasificada:</w:t>
      </w:r>
      <w:r w:rsidRPr="00477BC7">
        <w:rPr>
          <w:rFonts w:ascii="Palatino Linotype" w:eastAsia="Times New Roman" w:hAnsi="Palatino Linotype" w:cs="Arial"/>
          <w:i/>
          <w:lang w:eastAsia="es-ES"/>
        </w:rPr>
        <w:t xml:space="preserve"> Aquella considerada por la presente Ley como reservada o confidencial; </w:t>
      </w:r>
    </w:p>
    <w:p w:rsidR="00E65C96" w:rsidRPr="00477BC7" w:rsidRDefault="00E65C96" w:rsidP="00E65C96">
      <w:pPr>
        <w:spacing w:after="0" w:line="240" w:lineRule="auto"/>
        <w:ind w:left="567" w:right="616"/>
        <w:jc w:val="both"/>
        <w:rPr>
          <w:rFonts w:ascii="Palatino Linotype" w:eastAsia="Times New Roman" w:hAnsi="Palatino Linotype" w:cs="Arial"/>
          <w:i/>
          <w:lang w:eastAsia="es-ES"/>
        </w:rPr>
      </w:pPr>
    </w:p>
    <w:p w:rsidR="00E65C96" w:rsidRPr="00477BC7" w:rsidRDefault="00E65C96" w:rsidP="00E65C96">
      <w:pPr>
        <w:spacing w:after="0" w:line="240" w:lineRule="auto"/>
        <w:ind w:left="567" w:right="616"/>
        <w:jc w:val="both"/>
        <w:rPr>
          <w:rFonts w:ascii="Palatino Linotype" w:eastAsia="Times New Roman" w:hAnsi="Palatino Linotype" w:cs="Arial"/>
          <w:i/>
          <w:lang w:eastAsia="es-ES"/>
        </w:rPr>
      </w:pPr>
      <w:r w:rsidRPr="00477BC7">
        <w:rPr>
          <w:rFonts w:ascii="Palatino Linotype" w:eastAsia="Times New Roman" w:hAnsi="Palatino Linotype" w:cs="Arial"/>
          <w:b/>
          <w:i/>
          <w:lang w:eastAsia="es-ES"/>
        </w:rPr>
        <w:t>XXI.</w:t>
      </w:r>
      <w:r w:rsidRPr="00477BC7">
        <w:rPr>
          <w:rFonts w:ascii="Palatino Linotype" w:eastAsia="Times New Roman" w:hAnsi="Palatino Linotype" w:cs="Arial"/>
          <w:i/>
          <w:lang w:eastAsia="es-ES"/>
        </w:rPr>
        <w:t xml:space="preserve"> </w:t>
      </w:r>
      <w:r w:rsidRPr="00477BC7">
        <w:rPr>
          <w:rFonts w:ascii="Palatino Linotype" w:eastAsia="Times New Roman" w:hAnsi="Palatino Linotype" w:cs="Arial"/>
          <w:b/>
          <w:i/>
          <w:lang w:eastAsia="es-ES"/>
        </w:rPr>
        <w:t>Información confidencial</w:t>
      </w:r>
      <w:r w:rsidRPr="00477BC7">
        <w:rPr>
          <w:rFonts w:ascii="Palatino Linotype" w:eastAsia="Times New Roman" w:hAnsi="Palatino Linotype" w:cs="Arial"/>
          <w:i/>
          <w:lang w:eastAsia="es-ES"/>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rsidR="00E65C96" w:rsidRPr="00477BC7" w:rsidRDefault="00E65C96" w:rsidP="00E65C96">
      <w:pPr>
        <w:spacing w:after="0" w:line="240" w:lineRule="auto"/>
        <w:ind w:left="567" w:right="616"/>
        <w:jc w:val="both"/>
        <w:rPr>
          <w:rFonts w:ascii="Palatino Linotype" w:eastAsia="Times New Roman" w:hAnsi="Palatino Linotype" w:cs="Arial"/>
          <w:i/>
          <w:lang w:eastAsia="es-ES"/>
        </w:rPr>
      </w:pPr>
    </w:p>
    <w:p w:rsidR="00E65C96" w:rsidRPr="00477BC7" w:rsidRDefault="00E65C96" w:rsidP="00E65C96">
      <w:pPr>
        <w:spacing w:after="0" w:line="240" w:lineRule="auto"/>
        <w:ind w:left="567" w:right="616"/>
        <w:jc w:val="both"/>
        <w:rPr>
          <w:rFonts w:ascii="Palatino Linotype" w:eastAsia="Times New Roman" w:hAnsi="Palatino Linotype" w:cs="Arial"/>
          <w:i/>
          <w:lang w:eastAsia="es-ES"/>
        </w:rPr>
      </w:pPr>
      <w:r w:rsidRPr="00477BC7">
        <w:rPr>
          <w:rFonts w:ascii="Palatino Linotype" w:eastAsia="Times New Roman" w:hAnsi="Palatino Linotype" w:cs="Arial"/>
          <w:b/>
          <w:i/>
          <w:lang w:eastAsia="es-ES"/>
        </w:rPr>
        <w:t>XLV. Versión pública:</w:t>
      </w:r>
      <w:r w:rsidRPr="00477BC7">
        <w:rPr>
          <w:rFonts w:ascii="Palatino Linotype" w:eastAsia="Times New Roman" w:hAnsi="Palatino Linotype" w:cs="Arial"/>
          <w:i/>
          <w:lang w:eastAsia="es-ES"/>
        </w:rPr>
        <w:t xml:space="preserve"> Documento en el que se elimine, suprime o borra la información clasificada como reservada o confidencial para permitir su acceso. </w:t>
      </w:r>
    </w:p>
    <w:p w:rsidR="00E65C96" w:rsidRPr="00477BC7" w:rsidRDefault="00E65C96" w:rsidP="00E65C96">
      <w:pPr>
        <w:spacing w:after="0" w:line="240" w:lineRule="auto"/>
        <w:ind w:left="567" w:right="616"/>
        <w:jc w:val="both"/>
        <w:rPr>
          <w:rFonts w:ascii="Palatino Linotype" w:eastAsia="Times New Roman" w:hAnsi="Palatino Linotype" w:cs="Arial"/>
          <w:i/>
          <w:lang w:eastAsia="es-ES"/>
        </w:rPr>
      </w:pPr>
    </w:p>
    <w:p w:rsidR="00E65C96" w:rsidRPr="00477BC7" w:rsidRDefault="00E65C96" w:rsidP="00E65C96">
      <w:pPr>
        <w:spacing w:after="0" w:line="240" w:lineRule="auto"/>
        <w:ind w:left="567" w:right="616"/>
        <w:jc w:val="both"/>
        <w:rPr>
          <w:rFonts w:ascii="Palatino Linotype" w:eastAsia="Times New Roman" w:hAnsi="Palatino Linotype" w:cs="Arial"/>
          <w:i/>
          <w:lang w:eastAsia="es-ES"/>
        </w:rPr>
      </w:pPr>
      <w:r w:rsidRPr="00477BC7">
        <w:rPr>
          <w:rFonts w:ascii="Palatino Linotype" w:eastAsia="Times New Roman" w:hAnsi="Palatino Linotype" w:cs="Arial"/>
          <w:b/>
          <w:i/>
          <w:lang w:eastAsia="es-ES"/>
        </w:rPr>
        <w:t>Artículo 51.</w:t>
      </w:r>
      <w:r w:rsidRPr="00477BC7">
        <w:rPr>
          <w:rFonts w:ascii="Palatino Linotype" w:eastAsia="Times New Roman" w:hAnsi="Palatino Linotype" w:cs="Arial"/>
          <w:i/>
          <w:lang w:eastAsia="es-ES"/>
        </w:rPr>
        <w:t xml:space="preserve"> Los sujetos obligados designaran a un responsable para atender la Unidad de Transparencia, quien fungirá como enlace entre éstos y los solicitantes. Dicha Unidad será la encargada de tramitar internamente la solicitud de información </w:t>
      </w:r>
      <w:r w:rsidRPr="00477BC7">
        <w:rPr>
          <w:rFonts w:ascii="Palatino Linotype" w:eastAsia="Times New Roman" w:hAnsi="Palatino Linotype" w:cs="Arial"/>
          <w:b/>
          <w:i/>
          <w:lang w:eastAsia="es-ES"/>
        </w:rPr>
        <w:t xml:space="preserve">y tendrá la responsabilidad de verificar en cada caso que la misma no sea confidencial o reservada. </w:t>
      </w:r>
      <w:r w:rsidRPr="00477BC7">
        <w:rPr>
          <w:rFonts w:ascii="Palatino Linotype" w:eastAsia="Times New Roman" w:hAnsi="Palatino Linotype" w:cs="Arial"/>
          <w:i/>
          <w:lang w:eastAsia="es-ES"/>
        </w:rPr>
        <w:t xml:space="preserve">Dicha Unidad contará con las facultades internas necesarias para gestionar la atención a las solicitudes de información en los términos de la Ley General y la presente Ley. </w:t>
      </w:r>
    </w:p>
    <w:p w:rsidR="00E65C96" w:rsidRPr="00477BC7" w:rsidRDefault="00E65C96" w:rsidP="00E65C96">
      <w:pPr>
        <w:spacing w:after="0" w:line="240" w:lineRule="auto"/>
        <w:ind w:left="567" w:right="616"/>
        <w:jc w:val="both"/>
        <w:rPr>
          <w:rFonts w:ascii="Palatino Linotype" w:eastAsia="Times New Roman" w:hAnsi="Palatino Linotype" w:cs="Arial"/>
          <w:i/>
          <w:lang w:eastAsia="es-ES"/>
        </w:rPr>
      </w:pPr>
    </w:p>
    <w:p w:rsidR="00E65C96" w:rsidRPr="00477BC7" w:rsidRDefault="00E65C96" w:rsidP="00E65C96">
      <w:pPr>
        <w:spacing w:after="0" w:line="240" w:lineRule="auto"/>
        <w:ind w:left="567" w:right="616"/>
        <w:jc w:val="both"/>
        <w:rPr>
          <w:rFonts w:ascii="Times New Roman" w:eastAsia="Times New Roman" w:hAnsi="Times New Roman" w:cs="Arial"/>
          <w:bCs/>
          <w:noProof/>
          <w:sz w:val="24"/>
          <w:szCs w:val="24"/>
          <w:lang w:eastAsia="es-ES"/>
        </w:rPr>
      </w:pPr>
      <w:r w:rsidRPr="00477BC7">
        <w:rPr>
          <w:rFonts w:ascii="Palatino Linotype" w:eastAsia="Times New Roman" w:hAnsi="Palatino Linotype" w:cs="Arial"/>
          <w:b/>
          <w:i/>
          <w:lang w:eastAsia="es-ES"/>
        </w:rPr>
        <w:t>Artículo 52.</w:t>
      </w:r>
      <w:r w:rsidRPr="00477BC7">
        <w:rPr>
          <w:rFonts w:ascii="Palatino Linotype" w:eastAsia="Times New Roman" w:hAnsi="Palatino Linotype" w:cs="Arial"/>
          <w:i/>
          <w:lang w:eastAsia="es-ES"/>
        </w:rPr>
        <w:t xml:space="preserve"> Las solicitudes de acceso a la información y las respuestas que se les dé, incluyendo, en su caso, la información entregada, así como las resoluciones a los recursos que en su caso se promuevan serán públicas, y de ser el caso que contenga datos personales que deban ser protegidos se podrá dar su acceso en su versión pública, siempre y cuando la resolución de referencia se someta a un proceso de disociación, es decir, no haga identificable al titular de tales datos personales.</w:t>
      </w:r>
      <w:r w:rsidRPr="00477BC7">
        <w:rPr>
          <w:rFonts w:ascii="Palatino Linotype" w:eastAsia="Times New Roman" w:hAnsi="Palatino Linotype" w:cs="Arial"/>
          <w:bCs/>
          <w:i/>
          <w:noProof/>
          <w:lang w:eastAsia="es-ES"/>
        </w:rPr>
        <w:t>”</w:t>
      </w:r>
    </w:p>
    <w:p w:rsidR="00E65C96" w:rsidRPr="00477BC7" w:rsidRDefault="00E65C96" w:rsidP="00E65C96">
      <w:pPr>
        <w:spacing w:after="0" w:line="360" w:lineRule="auto"/>
        <w:jc w:val="both"/>
        <w:rPr>
          <w:rFonts w:ascii="Palatino Linotype" w:eastAsia="Times New Roman" w:hAnsi="Palatino Linotype" w:cs="Times New Roman"/>
          <w:sz w:val="24"/>
          <w:szCs w:val="24"/>
          <w:lang w:eastAsia="es-ES"/>
        </w:rPr>
      </w:pPr>
    </w:p>
    <w:p w:rsidR="00E65C96" w:rsidRPr="00477BC7" w:rsidRDefault="00E65C96" w:rsidP="00E65C96">
      <w:pPr>
        <w:spacing w:after="0" w:line="360" w:lineRule="auto"/>
        <w:jc w:val="both"/>
        <w:rPr>
          <w:rFonts w:ascii="Palatino Linotype" w:eastAsia="Times New Roman" w:hAnsi="Palatino Linotype" w:cs="Times New Roman"/>
          <w:sz w:val="24"/>
          <w:szCs w:val="24"/>
          <w:lang w:eastAsia="es-ES"/>
        </w:rPr>
      </w:pPr>
      <w:r w:rsidRPr="00477BC7">
        <w:rPr>
          <w:rFonts w:ascii="Palatino Linotype" w:eastAsia="Times New Roman" w:hAnsi="Palatino Linotype" w:cs="Times New Roman"/>
          <w:sz w:val="24"/>
          <w:szCs w:val="24"/>
          <w:lang w:eastAsia="es-ES"/>
        </w:rPr>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efectúen deberá estar justificado en la Ley, lo anterior, en términos de lo dispuesto por el artículo 22 con relación con el 38 de la Ley de Protección de Datos Personales en Posesión de Sujetos Obligados del Estado de México y Municipios, los cuales se transcriben para mayor referencia: </w:t>
      </w:r>
    </w:p>
    <w:p w:rsidR="00E65C96" w:rsidRPr="00477BC7" w:rsidRDefault="00E65C96" w:rsidP="00E65C96">
      <w:pPr>
        <w:spacing w:after="0" w:line="240" w:lineRule="auto"/>
        <w:ind w:left="567" w:right="616"/>
        <w:jc w:val="both"/>
        <w:rPr>
          <w:rFonts w:ascii="Palatino Linotype" w:eastAsia="Times New Roman" w:hAnsi="Palatino Linotype" w:cs="Times New Roman"/>
          <w:sz w:val="24"/>
          <w:szCs w:val="24"/>
          <w:lang w:eastAsia="es-ES"/>
        </w:rPr>
      </w:pPr>
    </w:p>
    <w:p w:rsidR="00E65C96" w:rsidRPr="00477BC7" w:rsidRDefault="00E65C96" w:rsidP="00E65C96">
      <w:pPr>
        <w:spacing w:after="0" w:line="240" w:lineRule="auto"/>
        <w:ind w:left="567" w:right="616"/>
        <w:jc w:val="both"/>
        <w:rPr>
          <w:rFonts w:ascii="Palatino Linotype" w:eastAsia="Arial Unicode MS" w:hAnsi="Palatino Linotype" w:cs="Arial"/>
          <w:i/>
          <w:szCs w:val="24"/>
          <w:lang w:eastAsia="es-ES"/>
        </w:rPr>
      </w:pPr>
      <w:r w:rsidRPr="00477BC7">
        <w:rPr>
          <w:rFonts w:ascii="Palatino Linotype" w:eastAsia="Arial Unicode MS" w:hAnsi="Palatino Linotype" w:cs="Arial"/>
          <w:i/>
          <w:szCs w:val="24"/>
          <w:lang w:eastAsia="es-ES"/>
        </w:rPr>
        <w:t>“</w:t>
      </w:r>
      <w:r w:rsidRPr="00477BC7">
        <w:rPr>
          <w:rFonts w:ascii="Palatino Linotype" w:eastAsia="Arial Unicode MS" w:hAnsi="Palatino Linotype" w:cs="Arial"/>
          <w:b/>
          <w:i/>
          <w:szCs w:val="24"/>
          <w:lang w:eastAsia="es-ES"/>
        </w:rPr>
        <w:t>Artículo</w:t>
      </w:r>
      <w:r w:rsidRPr="00477BC7">
        <w:rPr>
          <w:rFonts w:ascii="Palatino Linotype" w:eastAsia="Arial Unicode MS" w:hAnsi="Palatino Linotype" w:cs="Arial"/>
          <w:i/>
          <w:szCs w:val="24"/>
          <w:lang w:eastAsia="es-ES"/>
        </w:rPr>
        <w:t xml:space="preserve"> </w:t>
      </w:r>
      <w:r w:rsidRPr="00477BC7">
        <w:rPr>
          <w:rFonts w:ascii="Palatino Linotype" w:eastAsia="Arial Unicode MS" w:hAnsi="Palatino Linotype" w:cs="Arial"/>
          <w:b/>
          <w:i/>
          <w:szCs w:val="24"/>
          <w:lang w:eastAsia="es-ES"/>
        </w:rPr>
        <w:t>22</w:t>
      </w:r>
      <w:r w:rsidRPr="00477BC7">
        <w:rPr>
          <w:rFonts w:ascii="Palatino Linotype" w:eastAsia="Arial Unicode MS" w:hAnsi="Palatino Linotype" w:cs="Arial"/>
          <w:i/>
          <w:szCs w:val="24"/>
          <w:lang w:eastAsia="es-ES"/>
        </w:rPr>
        <w:t>. Todo tratamiento de datos personales que efectúe el responsable deberá estar justificado por finalidades concretas, lícitas, explícitas y legítimas, relacionadas con las atribuciones que la normatividad aplicable les confiera.</w:t>
      </w:r>
    </w:p>
    <w:p w:rsidR="00E65C96" w:rsidRPr="00477BC7" w:rsidRDefault="00E65C96" w:rsidP="00E65C96">
      <w:pPr>
        <w:spacing w:after="0" w:line="240" w:lineRule="auto"/>
        <w:ind w:left="567" w:right="616"/>
        <w:jc w:val="both"/>
        <w:rPr>
          <w:rFonts w:ascii="Palatino Linotype" w:eastAsia="Arial Unicode MS" w:hAnsi="Palatino Linotype" w:cs="Arial"/>
          <w:i/>
          <w:szCs w:val="24"/>
          <w:lang w:eastAsia="es-ES"/>
        </w:rPr>
      </w:pPr>
    </w:p>
    <w:p w:rsidR="00E65C96" w:rsidRPr="00477BC7" w:rsidRDefault="00E65C96" w:rsidP="00E65C96">
      <w:pPr>
        <w:spacing w:after="0" w:line="240" w:lineRule="auto"/>
        <w:ind w:left="567" w:right="616"/>
        <w:jc w:val="both"/>
        <w:rPr>
          <w:rFonts w:ascii="Palatino Linotype" w:eastAsia="Arial Unicode MS" w:hAnsi="Palatino Linotype" w:cs="Arial"/>
          <w:i/>
          <w:szCs w:val="24"/>
          <w:lang w:eastAsia="es-ES"/>
        </w:rPr>
      </w:pPr>
      <w:r w:rsidRPr="00477BC7">
        <w:rPr>
          <w:rFonts w:ascii="Palatino Linotype" w:eastAsia="Arial Unicode MS" w:hAnsi="Palatino Linotype" w:cs="Arial"/>
          <w:i/>
          <w:szCs w:val="24"/>
          <w:lang w:eastAsia="es-ES"/>
        </w:rPr>
        <w:t>El responsable podrá tratar datos personales para finalidades distintas a aquéllas establecidas en el aviso de privacidad, en los casos siguientes:</w:t>
      </w:r>
    </w:p>
    <w:p w:rsidR="00E65C96" w:rsidRPr="00477BC7" w:rsidRDefault="00E65C96" w:rsidP="00E65C96">
      <w:pPr>
        <w:spacing w:after="0" w:line="240" w:lineRule="auto"/>
        <w:ind w:left="567" w:right="616"/>
        <w:jc w:val="both"/>
        <w:rPr>
          <w:rFonts w:ascii="Palatino Linotype" w:eastAsia="Arial Unicode MS" w:hAnsi="Palatino Linotype" w:cs="Arial"/>
          <w:i/>
          <w:szCs w:val="24"/>
          <w:lang w:eastAsia="es-ES"/>
        </w:rPr>
      </w:pPr>
    </w:p>
    <w:p w:rsidR="00E65C96" w:rsidRPr="00477BC7" w:rsidRDefault="00E65C96" w:rsidP="00E65C96">
      <w:pPr>
        <w:spacing w:after="0" w:line="240" w:lineRule="auto"/>
        <w:ind w:left="567" w:right="616"/>
        <w:jc w:val="both"/>
        <w:rPr>
          <w:rFonts w:ascii="Palatino Linotype" w:eastAsia="Arial Unicode MS" w:hAnsi="Palatino Linotype" w:cs="Arial"/>
          <w:i/>
          <w:szCs w:val="24"/>
          <w:lang w:eastAsia="es-ES"/>
        </w:rPr>
      </w:pPr>
      <w:r w:rsidRPr="00477BC7">
        <w:rPr>
          <w:rFonts w:ascii="Palatino Linotype" w:eastAsia="Arial Unicode MS" w:hAnsi="Palatino Linotype" w:cs="Arial"/>
          <w:i/>
          <w:szCs w:val="24"/>
          <w:lang w:eastAsia="es-ES"/>
        </w:rPr>
        <w:t>I. Cuente con atribuciones conferidas en ley y medie el consentimiento del titular.</w:t>
      </w:r>
    </w:p>
    <w:p w:rsidR="00E65C96" w:rsidRPr="00477BC7" w:rsidRDefault="00E65C96" w:rsidP="00E65C96">
      <w:pPr>
        <w:spacing w:after="0" w:line="240" w:lineRule="auto"/>
        <w:ind w:left="567" w:right="616"/>
        <w:jc w:val="both"/>
        <w:rPr>
          <w:rFonts w:ascii="Palatino Linotype" w:eastAsia="Arial Unicode MS" w:hAnsi="Palatino Linotype" w:cs="Arial"/>
          <w:i/>
          <w:szCs w:val="24"/>
          <w:lang w:eastAsia="es-ES"/>
        </w:rPr>
      </w:pPr>
      <w:r w:rsidRPr="00477BC7">
        <w:rPr>
          <w:rFonts w:ascii="Palatino Linotype" w:eastAsia="Arial Unicode MS" w:hAnsi="Palatino Linotype" w:cs="Arial"/>
          <w:i/>
          <w:szCs w:val="24"/>
          <w:lang w:eastAsia="es-ES"/>
        </w:rPr>
        <w:t>II. Se trate de una persona reportada como desaparecida, en los términos previstos en la presente Ley y demás disposiciones legales aplicables...</w:t>
      </w:r>
    </w:p>
    <w:p w:rsidR="00E65C96" w:rsidRPr="00477BC7" w:rsidRDefault="00E65C96" w:rsidP="00E65C96">
      <w:pPr>
        <w:spacing w:after="0" w:line="240" w:lineRule="auto"/>
        <w:ind w:left="567" w:right="616"/>
        <w:jc w:val="both"/>
        <w:rPr>
          <w:rFonts w:ascii="Palatino Linotype" w:eastAsia="Arial Unicode MS" w:hAnsi="Palatino Linotype" w:cs="Arial"/>
          <w:i/>
          <w:szCs w:val="24"/>
          <w:lang w:eastAsia="es-ES"/>
        </w:rPr>
      </w:pPr>
    </w:p>
    <w:p w:rsidR="00E65C96" w:rsidRPr="00477BC7" w:rsidRDefault="00E65C96" w:rsidP="00E65C96">
      <w:pPr>
        <w:spacing w:after="0" w:line="240" w:lineRule="auto"/>
        <w:ind w:left="567" w:right="616"/>
        <w:jc w:val="both"/>
        <w:rPr>
          <w:rFonts w:ascii="Palatino Linotype" w:eastAsia="Arial Unicode MS" w:hAnsi="Palatino Linotype" w:cs="Arial"/>
          <w:i/>
          <w:szCs w:val="24"/>
          <w:lang w:eastAsia="es-ES"/>
        </w:rPr>
      </w:pPr>
      <w:r w:rsidRPr="00477BC7">
        <w:rPr>
          <w:rFonts w:ascii="Palatino Linotype" w:eastAsia="Arial Unicode MS" w:hAnsi="Palatino Linotype" w:cs="Arial"/>
          <w:b/>
          <w:i/>
          <w:szCs w:val="24"/>
          <w:lang w:eastAsia="es-ES"/>
        </w:rPr>
        <w:t>Artículo</w:t>
      </w:r>
      <w:r w:rsidRPr="00477BC7">
        <w:rPr>
          <w:rFonts w:ascii="Palatino Linotype" w:eastAsia="Arial Unicode MS" w:hAnsi="Palatino Linotype" w:cs="Arial"/>
          <w:i/>
          <w:szCs w:val="24"/>
          <w:lang w:eastAsia="es-ES"/>
        </w:rPr>
        <w:t xml:space="preserve"> </w:t>
      </w:r>
      <w:r w:rsidRPr="00477BC7">
        <w:rPr>
          <w:rFonts w:ascii="Palatino Linotype" w:eastAsia="Arial Unicode MS" w:hAnsi="Palatino Linotype" w:cs="Arial"/>
          <w:b/>
          <w:i/>
          <w:szCs w:val="24"/>
          <w:lang w:eastAsia="es-ES"/>
        </w:rPr>
        <w:t>38</w:t>
      </w:r>
      <w:r w:rsidRPr="00477BC7">
        <w:rPr>
          <w:rFonts w:ascii="Palatino Linotype" w:eastAsia="Arial Unicode MS" w:hAnsi="Palatino Linotype" w:cs="Arial"/>
          <w:i/>
          <w:szCs w:val="24"/>
          <w:lang w:eastAsia="es-ES"/>
        </w:rPr>
        <w:t xml:space="preserve">.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w:t>
      </w:r>
      <w:r w:rsidRPr="00477BC7">
        <w:rPr>
          <w:rFonts w:ascii="Palatino Linotype" w:eastAsia="Arial Unicode MS" w:hAnsi="Palatino Linotype" w:cs="Arial"/>
          <w:i/>
          <w:szCs w:val="24"/>
          <w:lang w:eastAsia="es-ES"/>
        </w:rPr>
        <w:lastRenderedPageBreak/>
        <w:t xml:space="preserve">destrucción, o el uso, transferencia, acceso o cualquier tratamiento no autorizado o ilícito, de conformidad con lo dispuesto en los lineamientos que al efecto se expidan.” </w:t>
      </w:r>
    </w:p>
    <w:p w:rsidR="00E65C96" w:rsidRPr="00477BC7" w:rsidRDefault="00E65C96" w:rsidP="00E65C96">
      <w:pPr>
        <w:spacing w:after="0" w:line="360" w:lineRule="auto"/>
        <w:jc w:val="both"/>
        <w:rPr>
          <w:rFonts w:ascii="Palatino Linotype" w:eastAsia="Arial Unicode MS" w:hAnsi="Palatino Linotype" w:cs="Times New Roman"/>
          <w:sz w:val="24"/>
          <w:szCs w:val="24"/>
          <w:lang w:eastAsia="es-ES"/>
        </w:rPr>
      </w:pPr>
    </w:p>
    <w:p w:rsidR="00E65C96" w:rsidRPr="00477BC7" w:rsidRDefault="00E65C96" w:rsidP="00E65C96">
      <w:pPr>
        <w:spacing w:after="0" w:line="360" w:lineRule="auto"/>
        <w:jc w:val="both"/>
        <w:rPr>
          <w:rFonts w:ascii="Palatino Linotype" w:eastAsia="Times New Roman" w:hAnsi="Palatino Linotype" w:cs="Times New Roman"/>
          <w:sz w:val="24"/>
          <w:szCs w:val="24"/>
          <w:lang w:eastAsia="es-ES"/>
        </w:rPr>
      </w:pPr>
      <w:r w:rsidRPr="00477BC7">
        <w:rPr>
          <w:rFonts w:ascii="Palatino Linotype" w:eastAsia="Times New Roman" w:hAnsi="Palatino Linotype" w:cs="Times New Roman"/>
          <w:sz w:val="24"/>
          <w:szCs w:val="24"/>
          <w:lang w:eastAsia="es-ES"/>
        </w:rPr>
        <w:t xml:space="preserve">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 toda vez que ésta tiene por objeto proteger datos personales, entendiéndose por tales, aquéllos que hacen identificable a una persona. </w:t>
      </w:r>
    </w:p>
    <w:p w:rsidR="00E65C96" w:rsidRPr="00477BC7" w:rsidRDefault="00E65C96" w:rsidP="00E65C96">
      <w:pPr>
        <w:spacing w:after="0" w:line="360" w:lineRule="auto"/>
        <w:jc w:val="both"/>
        <w:rPr>
          <w:rFonts w:ascii="Palatino Linotype" w:eastAsia="Times New Roman" w:hAnsi="Palatino Linotype" w:cs="Times New Roman"/>
          <w:sz w:val="24"/>
          <w:szCs w:val="24"/>
          <w:lang w:eastAsia="es-ES"/>
        </w:rPr>
      </w:pPr>
    </w:p>
    <w:p w:rsidR="00E65C96" w:rsidRDefault="00E65C96" w:rsidP="00E65C96">
      <w:pPr>
        <w:spacing w:after="0" w:line="360" w:lineRule="auto"/>
        <w:jc w:val="both"/>
        <w:rPr>
          <w:rFonts w:ascii="Palatino Linotype" w:eastAsia="Arial Unicode MS" w:hAnsi="Palatino Linotype" w:cs="Times New Roman"/>
          <w:sz w:val="24"/>
          <w:szCs w:val="24"/>
          <w:lang w:val="es-ES" w:eastAsia="es-ES"/>
        </w:rPr>
      </w:pPr>
      <w:r w:rsidRPr="00477BC7">
        <w:rPr>
          <w:rFonts w:ascii="Palatino Linotype" w:eastAsia="Arial Unicode MS" w:hAnsi="Palatino Linotype" w:cs="Times New Roman"/>
          <w:sz w:val="24"/>
          <w:szCs w:val="24"/>
          <w:lang w:val="es-ES" w:eastAsia="es-ES"/>
        </w:rPr>
        <w:t xml:space="preserve">En efecto, toda la información relativa a una persona física que le pueda hacer identificada o identificable constituye un dato personal en términos del artículo 4 fracción XI, de la Ley de Protección de Datos Personales en Posesión de Sujetos Obligados del Estado de México y Municipios; por consiguiente, se trata de información confidencial, que debe ser protegida por </w:t>
      </w:r>
      <w:r w:rsidRPr="00477BC7">
        <w:rPr>
          <w:rFonts w:ascii="Palatino Linotype" w:eastAsia="Arial Unicode MS" w:hAnsi="Palatino Linotype" w:cs="Times New Roman"/>
          <w:color w:val="000000"/>
          <w:sz w:val="24"/>
          <w:szCs w:val="24"/>
          <w:lang w:eastAsia="es-MX"/>
        </w:rPr>
        <w:t>el Sujeto Obligado</w:t>
      </w:r>
      <w:r w:rsidRPr="00477BC7">
        <w:rPr>
          <w:rFonts w:ascii="Palatino Linotype" w:eastAsia="Arial Unicode MS" w:hAnsi="Palatino Linotype" w:cs="Times New Roman"/>
          <w:sz w:val="24"/>
          <w:szCs w:val="24"/>
          <w:lang w:val="es-ES" w:eastAsia="es-ES"/>
        </w:rPr>
        <w:t xml:space="preserve">, en ese contexto, todo dato personal susceptible de clasificación debe ser protegido. </w:t>
      </w:r>
    </w:p>
    <w:p w:rsidR="00E65C96" w:rsidRPr="00477BC7" w:rsidRDefault="00E65C96" w:rsidP="00E65C96">
      <w:pPr>
        <w:spacing w:after="0" w:line="360" w:lineRule="auto"/>
        <w:jc w:val="both"/>
        <w:rPr>
          <w:rFonts w:ascii="Palatino Linotype" w:eastAsia="Arial Unicode MS" w:hAnsi="Palatino Linotype" w:cs="Times New Roman"/>
          <w:sz w:val="24"/>
          <w:szCs w:val="24"/>
          <w:lang w:val="es-ES" w:eastAsia="es-ES"/>
        </w:rPr>
      </w:pPr>
    </w:p>
    <w:p w:rsidR="00E65C96" w:rsidRPr="00477BC7" w:rsidRDefault="00E65C96" w:rsidP="00E65C96">
      <w:pPr>
        <w:spacing w:after="0" w:line="360" w:lineRule="auto"/>
        <w:jc w:val="both"/>
        <w:rPr>
          <w:rFonts w:ascii="Palatino Linotype" w:eastAsia="Arial Unicode MS" w:hAnsi="Palatino Linotype" w:cs="Times New Roman"/>
          <w:sz w:val="24"/>
          <w:szCs w:val="24"/>
          <w:lang w:val="es-ES" w:eastAsia="es-ES"/>
        </w:rPr>
      </w:pPr>
      <w:r w:rsidRPr="00477BC7">
        <w:rPr>
          <w:rFonts w:ascii="Palatino Linotype" w:eastAsia="Arial Unicode MS" w:hAnsi="Palatino Linotype" w:cs="Times New Roman"/>
          <w:sz w:val="24"/>
          <w:szCs w:val="24"/>
          <w:lang w:val="es-ES" w:eastAsia="es-ES"/>
        </w:rPr>
        <w:t>Asimismo, de la versión pública deberá dejarse a la vista de</w:t>
      </w:r>
      <w:r>
        <w:rPr>
          <w:rFonts w:ascii="Palatino Linotype" w:eastAsia="Arial Unicode MS" w:hAnsi="Palatino Linotype" w:cs="Times New Roman"/>
          <w:sz w:val="24"/>
          <w:szCs w:val="24"/>
          <w:lang w:val="es-ES" w:eastAsia="es-ES"/>
        </w:rPr>
        <w:t xml:space="preserve"> </w:t>
      </w:r>
      <w:r w:rsidRPr="00477BC7">
        <w:rPr>
          <w:rFonts w:ascii="Palatino Linotype" w:eastAsia="Arial Unicode MS" w:hAnsi="Palatino Linotype" w:cs="Times New Roman"/>
          <w:sz w:val="24"/>
          <w:szCs w:val="24"/>
          <w:lang w:val="es-ES" w:eastAsia="es-ES"/>
        </w:rPr>
        <w:t>l</w:t>
      </w:r>
      <w:r>
        <w:rPr>
          <w:rFonts w:ascii="Palatino Linotype" w:eastAsia="Arial Unicode MS" w:hAnsi="Palatino Linotype" w:cs="Times New Roman"/>
          <w:sz w:val="24"/>
          <w:szCs w:val="24"/>
          <w:lang w:val="es-ES" w:eastAsia="es-ES"/>
        </w:rPr>
        <w:t>a</w:t>
      </w:r>
      <w:r w:rsidRPr="00477BC7">
        <w:rPr>
          <w:rFonts w:ascii="Palatino Linotype" w:eastAsia="Arial Unicode MS" w:hAnsi="Palatino Linotype" w:cs="Times New Roman"/>
          <w:sz w:val="24"/>
          <w:szCs w:val="24"/>
          <w:lang w:val="es-ES" w:eastAsia="es-ES"/>
        </w:rPr>
        <w:t xml:space="preserve"> Recurrente</w:t>
      </w:r>
      <w:r w:rsidRPr="00477BC7">
        <w:rPr>
          <w:rFonts w:ascii="Palatino Linotype" w:eastAsia="Arial Unicode MS" w:hAnsi="Palatino Linotype" w:cs="Times New Roman"/>
          <w:b/>
          <w:sz w:val="24"/>
          <w:szCs w:val="24"/>
          <w:lang w:val="es-ES" w:eastAsia="es-ES"/>
        </w:rPr>
        <w:t xml:space="preserve"> </w:t>
      </w:r>
      <w:r w:rsidRPr="00477BC7">
        <w:rPr>
          <w:rFonts w:ascii="Palatino Linotype" w:eastAsia="Arial Unicode MS" w:hAnsi="Palatino Linotype" w:cs="Times New Roman"/>
          <w:sz w:val="24"/>
          <w:szCs w:val="24"/>
          <w:lang w:val="es-ES" w:eastAsia="es-ES"/>
        </w:rPr>
        <w:t xml:space="preserve">los siguientes elementos de información pública: monto total del sueldo neto y bruto, compensaciones, prestaciones, aguinaldos, bonos, pagos por concepto de gasolina, de servicio de telefonía celular, </w:t>
      </w:r>
      <w:r w:rsidRPr="00477BC7">
        <w:rPr>
          <w:rFonts w:ascii="Palatino Linotype" w:eastAsia="Arial Unicode MS" w:hAnsi="Palatino Linotype" w:cs="Times New Roman"/>
          <w:b/>
          <w:sz w:val="24"/>
          <w:szCs w:val="24"/>
          <w:lang w:val="es-ES" w:eastAsia="es-ES"/>
        </w:rPr>
        <w:t>el nombre del servidor público</w:t>
      </w:r>
      <w:r w:rsidRPr="00477BC7">
        <w:rPr>
          <w:rFonts w:ascii="Palatino Linotype" w:eastAsia="Arial Unicode MS" w:hAnsi="Palatino Linotype" w:cs="Times New Roman"/>
          <w:sz w:val="24"/>
          <w:szCs w:val="24"/>
          <w:lang w:val="es-ES" w:eastAsia="es-ES"/>
        </w:rPr>
        <w:t xml:space="preserve">, el cargo que desempeña, área de adscripción, número de empleado (sólo en caso de no arrojar datos personales) y el período de la nómina respectiva, básicamente.  </w:t>
      </w:r>
    </w:p>
    <w:p w:rsidR="00E65C96" w:rsidRPr="00477BC7" w:rsidRDefault="00E65C96" w:rsidP="00E65C96">
      <w:pPr>
        <w:spacing w:after="0" w:line="360" w:lineRule="auto"/>
        <w:jc w:val="both"/>
        <w:rPr>
          <w:rFonts w:ascii="Palatino Linotype" w:eastAsia="Arial Unicode MS" w:hAnsi="Palatino Linotype" w:cs="Times New Roman"/>
          <w:sz w:val="24"/>
          <w:szCs w:val="24"/>
          <w:lang w:val="es-ES" w:eastAsia="es-ES"/>
        </w:rPr>
      </w:pPr>
    </w:p>
    <w:p w:rsidR="00E65C96" w:rsidRPr="00477BC7" w:rsidRDefault="00E65C96" w:rsidP="00E65C96">
      <w:pPr>
        <w:spacing w:after="0" w:line="360" w:lineRule="auto"/>
        <w:jc w:val="both"/>
        <w:rPr>
          <w:rFonts w:ascii="Palatino Linotype" w:eastAsia="Times New Roman" w:hAnsi="Palatino Linotype" w:cs="Times New Roman"/>
          <w:sz w:val="24"/>
          <w:szCs w:val="24"/>
          <w:lang w:val="es-ES" w:eastAsia="es-ES"/>
        </w:rPr>
      </w:pPr>
      <w:r w:rsidRPr="00477BC7">
        <w:rPr>
          <w:rFonts w:ascii="Palatino Linotype" w:eastAsia="Times New Roman" w:hAnsi="Palatino Linotype" w:cs="Times New Roman"/>
          <w:sz w:val="24"/>
          <w:szCs w:val="24"/>
          <w:lang w:val="es-ES" w:eastAsia="es-ES"/>
        </w:rPr>
        <w:lastRenderedPageBreak/>
        <w:t>Robustece lo anterior, el criterio sustentado por la Segunda Sala de la Suprema Corte de Justicia de la Nación, visible en la página 2518 del Tomo XXII, de la Novena Época del Semanario Judicial de la Federación y su Gaceta, Julio de 2008, de rubro y texto siguientes:</w:t>
      </w:r>
    </w:p>
    <w:p w:rsidR="00E65C96" w:rsidRPr="00477BC7" w:rsidRDefault="00E65C96" w:rsidP="00E65C96">
      <w:pPr>
        <w:spacing w:after="0" w:line="360" w:lineRule="auto"/>
        <w:jc w:val="both"/>
        <w:rPr>
          <w:rFonts w:ascii="Palatino Linotype" w:eastAsia="Times New Roman" w:hAnsi="Palatino Linotype" w:cs="Times New Roman"/>
          <w:sz w:val="24"/>
          <w:szCs w:val="24"/>
          <w:lang w:val="es-ES" w:eastAsia="es-ES"/>
        </w:rPr>
      </w:pPr>
    </w:p>
    <w:p w:rsidR="00E65C96" w:rsidRPr="00477BC7" w:rsidRDefault="00E65C96" w:rsidP="00E65C96">
      <w:pPr>
        <w:spacing w:after="0" w:line="240" w:lineRule="auto"/>
        <w:ind w:left="567" w:right="616"/>
        <w:jc w:val="both"/>
        <w:rPr>
          <w:rFonts w:ascii="Palatino Linotype" w:eastAsia="Times New Roman" w:hAnsi="Palatino Linotype" w:cs="Times New Roman"/>
          <w:i/>
          <w:lang w:eastAsia="es-MX"/>
        </w:rPr>
      </w:pPr>
      <w:r w:rsidRPr="00477BC7">
        <w:rPr>
          <w:rFonts w:ascii="Palatino Linotype" w:eastAsia="Times New Roman" w:hAnsi="Palatino Linotype" w:cs="Times New Roman"/>
          <w:i/>
          <w:lang w:eastAsia="es-MX"/>
        </w:rPr>
        <w:t>"</w:t>
      </w:r>
      <w:r w:rsidRPr="00477BC7">
        <w:rPr>
          <w:rFonts w:ascii="Palatino Linotype" w:eastAsia="Times New Roman" w:hAnsi="Palatino Linotype" w:cs="Times New Roman"/>
          <w:b/>
          <w:i/>
          <w:lang w:eastAsia="es-MX"/>
        </w:rPr>
        <w:t>TRANSPARENCIA Y ACCESO A LA INFORMACIÓN PÚBLICA GUBERNAMENTAL. LOS ARTÍCULOS 3o., FRACCIÓN II, Y 18, FRACCIÓN II, DE LA LEY FEDERAL RELATIVA, NO VIOLAN LA GARANTÍA DE IGUALDAD, AL TUTELAR EL DERECHO A LA PROTECCIÓN DE DATOS PERSONALES SÓLO DE LAS PERSONAS FÍSICAS.</w:t>
      </w:r>
      <w:r w:rsidRPr="00477BC7">
        <w:rPr>
          <w:rFonts w:ascii="Palatino Linotype" w:eastAsia="Times New Roman" w:hAnsi="Palatino Linotype" w:cs="Times New Roman"/>
          <w:i/>
          <w:lang w:eastAsia="es-MX"/>
        </w:rPr>
        <w:t xml:space="preserve"> Si se toma en cuenta que la garantía constitucional indicada no implica que todos los sujetos de la norma siempre se encuentren en condiciones de absoluta igualdad, sino que gocen de una igualdad jurídica traducida en la seguridad de no tener que soportar un perjuicio (o privarse de un beneficio) desigual e injustificado, se concluye que los artículos 3o., fracción II, y 18, fracción II, de la Ley Federal de Transparencia y Acceso a la Información Pública Gubernamental, al tutelar sólo el derecho a la protección de datos personales de las personas físicas y no de las morales, colectivas o jurídicas privadas, no violan la indicada garantía contenida en el artículo 1o. de la Constitución Política de los Estados Unidos Mexicanos, pues tal distinción se justifica porque el derecho a la protección de los datos personales se refiere únicamente a las personas físicas por estar encausado al respeto de un derecho personalísimo, como es el de la intimidad, del cual derivó aquél. Esto es, en el apuntado supuesto no se actualiza una igualdad jurídica entre las personas físicas y las morales porque ambas están en situaciones de derecho dispares, ya que la protección de datos personales, entre ellos el del patrimonio y su confidencialidad, es una derivación del derecho a la intimidad, del cual únicamente goza el individuo, entendido como la persona humana."</w:t>
      </w:r>
    </w:p>
    <w:p w:rsidR="00E65C96" w:rsidRPr="00477BC7" w:rsidRDefault="00E65C96" w:rsidP="00E65C96">
      <w:pPr>
        <w:spacing w:after="0" w:line="360" w:lineRule="auto"/>
        <w:jc w:val="both"/>
        <w:rPr>
          <w:rFonts w:ascii="Palatino Linotype" w:eastAsia="Times New Roman" w:hAnsi="Palatino Linotype" w:cs="Times New Roman"/>
          <w:sz w:val="24"/>
          <w:szCs w:val="24"/>
          <w:lang w:eastAsia="es-MX"/>
        </w:rPr>
      </w:pPr>
    </w:p>
    <w:p w:rsidR="00E65C96" w:rsidRPr="00477BC7" w:rsidRDefault="00E65C96" w:rsidP="00E65C96">
      <w:pPr>
        <w:spacing w:after="0" w:line="360" w:lineRule="auto"/>
        <w:jc w:val="both"/>
        <w:rPr>
          <w:rFonts w:ascii="Palatino Linotype" w:eastAsia="Times New Roman" w:hAnsi="Palatino Linotype" w:cs="Times New Roman"/>
          <w:sz w:val="24"/>
          <w:szCs w:val="24"/>
          <w:lang w:val="es-ES" w:eastAsia="es-ES"/>
        </w:rPr>
      </w:pPr>
      <w:r w:rsidRPr="00477BC7">
        <w:rPr>
          <w:rFonts w:ascii="Palatino Linotype" w:eastAsia="Times New Roman" w:hAnsi="Palatino Linotype" w:cs="Times New Roman"/>
          <w:sz w:val="24"/>
          <w:szCs w:val="24"/>
          <w:lang w:val="es-ES_tradnl" w:eastAsia="es-ES"/>
        </w:rPr>
        <w:t xml:space="preserve">Por ende, en el presente caso el Sujeto Obligado sólo podrá testar los datos referidos con antelación, clasificación que tiene que efectuar mediante las formalidades que la Ley impone, es decir, </w:t>
      </w:r>
      <w:r w:rsidRPr="00477BC7">
        <w:rPr>
          <w:rFonts w:ascii="Palatino Linotype" w:eastAsia="Times New Roman" w:hAnsi="Palatino Linotype" w:cs="Times New Roman"/>
          <w:sz w:val="24"/>
          <w:szCs w:val="24"/>
          <w:lang w:val="es-ES" w:eastAsia="es-ES"/>
        </w:rPr>
        <w:t>resulta necesario que el Comité de Transparencia d</w:t>
      </w:r>
      <w:r w:rsidRPr="00477BC7">
        <w:rPr>
          <w:rFonts w:ascii="Palatino Linotype" w:eastAsia="Times New Roman" w:hAnsi="Palatino Linotype" w:cs="Times New Roman"/>
          <w:sz w:val="24"/>
          <w:szCs w:val="24"/>
          <w:lang w:val="es-ES_tradnl" w:eastAsia="es-ES"/>
        </w:rPr>
        <w:t xml:space="preserve">el Sujeto Obligado </w:t>
      </w:r>
      <w:r w:rsidRPr="00477BC7">
        <w:rPr>
          <w:rFonts w:ascii="Palatino Linotype" w:eastAsia="Times New Roman" w:hAnsi="Palatino Linotype" w:cs="Times New Roman"/>
          <w:sz w:val="24"/>
          <w:szCs w:val="24"/>
          <w:lang w:val="es-ES" w:eastAsia="es-ES"/>
        </w:rPr>
        <w:t>emita el Acuerdo de Clasificación correspondiente</w:t>
      </w:r>
      <w:r w:rsidRPr="00477BC7">
        <w:rPr>
          <w:rFonts w:ascii="Palatino Linotype" w:eastAsia="Times New Roman" w:hAnsi="Palatino Linotype" w:cs="Times New Roman"/>
          <w:sz w:val="24"/>
          <w:szCs w:val="24"/>
          <w:lang w:val="es-ES_tradnl" w:eastAsia="es-ES"/>
        </w:rPr>
        <w:t xml:space="preserve"> debidamente fundado y motivado, </w:t>
      </w:r>
      <w:r w:rsidRPr="00477BC7">
        <w:rPr>
          <w:rFonts w:ascii="Palatino Linotype" w:eastAsia="Times New Roman" w:hAnsi="Palatino Linotype" w:cs="Times New Roman"/>
          <w:sz w:val="24"/>
          <w:szCs w:val="24"/>
          <w:lang w:val="es-ES" w:eastAsia="es-ES"/>
        </w:rPr>
        <w:t xml:space="preserve">que sustente la versión pública, el cual deberá cumplir cabalmente con las </w:t>
      </w:r>
      <w:r w:rsidRPr="00477BC7">
        <w:rPr>
          <w:rFonts w:ascii="Palatino Linotype" w:eastAsia="Times New Roman" w:hAnsi="Palatino Linotype" w:cs="Times New Roman"/>
          <w:sz w:val="24"/>
          <w:szCs w:val="24"/>
          <w:lang w:val="es-ES" w:eastAsia="es-ES"/>
        </w:rPr>
        <w:lastRenderedPageBreak/>
        <w:t xml:space="preserve">formalidades previstas en el artículo 137 de la Ley de Transparencia y Acceso a la Información Pública del Estado de México y Municipios, así como con los numerales aplicables de los </w:t>
      </w:r>
      <w:r w:rsidRPr="00477BC7">
        <w:rPr>
          <w:rFonts w:ascii="Palatino Linotype" w:eastAsia="Times New Roman" w:hAnsi="Palatino Linotype" w:cs="Times New Roman"/>
          <w:b/>
          <w:sz w:val="24"/>
          <w:szCs w:val="24"/>
          <w:lang w:val="es-ES" w:eastAsia="es-ES"/>
        </w:rPr>
        <w:t>LINEAMIENTOS GENERALES EN MATERIA DE CLASIFICACIÓN Y DESCLASIFICACIÓN DE LA INFORMACIÓN, ASÍ COMO PARA LA ELABORACIÓN DE VERSIONES PÚBLICAS</w:t>
      </w:r>
      <w:r w:rsidRPr="00477BC7">
        <w:rPr>
          <w:rFonts w:ascii="Palatino Linotype" w:eastAsia="Times New Roman" w:hAnsi="Palatino Linotype" w:cs="Times New Roman"/>
          <w:sz w:val="24"/>
          <w:szCs w:val="24"/>
          <w:lang w:val="es-ES" w:eastAsia="es-ES"/>
        </w:rPr>
        <w:t>, publicados en el Diario Oficial de la Federación en fecha quince de abril del año dos mil dieciséis, mediante Acuerdo del Consejo Nacional del Sistema Nacional de Transparencia, Acceso a la Información Pública y Protección de Datos Personales.</w:t>
      </w:r>
    </w:p>
    <w:p w:rsidR="00E65C96" w:rsidRPr="00477BC7" w:rsidRDefault="00E65C96" w:rsidP="00E65C96">
      <w:pPr>
        <w:spacing w:after="0" w:line="360" w:lineRule="auto"/>
        <w:jc w:val="both"/>
        <w:rPr>
          <w:rFonts w:ascii="Palatino Linotype" w:eastAsia="Times New Roman" w:hAnsi="Palatino Linotype" w:cs="Times New Roman"/>
          <w:sz w:val="24"/>
          <w:szCs w:val="24"/>
          <w:lang w:val="es-ES" w:eastAsia="es-ES"/>
        </w:rPr>
      </w:pPr>
    </w:p>
    <w:p w:rsidR="00E65C96" w:rsidRDefault="00E65C96" w:rsidP="00E65C96">
      <w:pPr>
        <w:spacing w:after="0" w:line="360" w:lineRule="auto"/>
        <w:jc w:val="both"/>
        <w:rPr>
          <w:rFonts w:ascii="Palatino Linotype" w:eastAsia="Times New Roman" w:hAnsi="Palatino Linotype" w:cs="Times New Roman"/>
          <w:sz w:val="24"/>
          <w:szCs w:val="24"/>
          <w:lang w:val="es-ES" w:eastAsia="es-ES"/>
        </w:rPr>
      </w:pPr>
      <w:r w:rsidRPr="00477BC7">
        <w:rPr>
          <w:rFonts w:ascii="Palatino Linotype" w:eastAsia="Times New Roman" w:hAnsi="Palatino Linotype" w:cs="Times New Roman"/>
          <w:sz w:val="24"/>
          <w:szCs w:val="24"/>
          <w:lang w:val="es-ES" w:eastAsia="es-ES"/>
        </w:rPr>
        <w:t>En caso específico, de los documentos solicitados obran datos que son considerados confidenciales, cuyo acceso debe ser restringido, los cuales deben testarse al momento de la elaboración de version</w:t>
      </w:r>
      <w:r>
        <w:rPr>
          <w:rFonts w:ascii="Palatino Linotype" w:eastAsia="Times New Roman" w:hAnsi="Palatino Linotype" w:cs="Times New Roman"/>
          <w:sz w:val="24"/>
          <w:szCs w:val="24"/>
          <w:lang w:val="es-ES" w:eastAsia="es-ES"/>
        </w:rPr>
        <w:t>es públicas, como es el caso de los datos personales de los servidores públicos; así como el</w:t>
      </w:r>
      <w:r w:rsidRPr="00477BC7">
        <w:rPr>
          <w:rFonts w:ascii="Palatino Linotype" w:eastAsia="Times New Roman" w:hAnsi="Palatino Linotype" w:cs="Times New Roman"/>
          <w:sz w:val="24"/>
          <w:szCs w:val="24"/>
          <w:lang w:val="es-ES" w:eastAsia="es-ES"/>
        </w:rPr>
        <w:t xml:space="preserve"> </w:t>
      </w:r>
      <w:r w:rsidRPr="00477BC7">
        <w:rPr>
          <w:rFonts w:ascii="Palatino Linotype" w:eastAsia="Times New Roman" w:hAnsi="Palatino Linotype" w:cs="Times New Roman"/>
          <w:b/>
          <w:sz w:val="24"/>
          <w:szCs w:val="24"/>
          <w:lang w:val="es-ES" w:eastAsia="es-ES"/>
        </w:rPr>
        <w:t>Registro Federal de Contribuyentes</w:t>
      </w:r>
      <w:r w:rsidRPr="00477BC7">
        <w:rPr>
          <w:rFonts w:ascii="Palatino Linotype" w:eastAsia="Times New Roman" w:hAnsi="Palatino Linotype" w:cs="Times New Roman"/>
          <w:sz w:val="24"/>
          <w:szCs w:val="24"/>
          <w:lang w:val="es-ES" w:eastAsia="es-ES"/>
        </w:rPr>
        <w:t xml:space="preserve"> (RFC), la </w:t>
      </w:r>
      <w:r w:rsidRPr="00477BC7">
        <w:rPr>
          <w:rFonts w:ascii="Palatino Linotype" w:eastAsia="Times New Roman" w:hAnsi="Palatino Linotype" w:cs="Times New Roman"/>
          <w:b/>
          <w:sz w:val="24"/>
          <w:szCs w:val="24"/>
          <w:lang w:val="es-ES" w:eastAsia="es-ES"/>
        </w:rPr>
        <w:t>Clave Única de Registro de Población</w:t>
      </w:r>
      <w:r>
        <w:rPr>
          <w:rFonts w:ascii="Palatino Linotype" w:eastAsia="Times New Roman" w:hAnsi="Palatino Linotype" w:cs="Times New Roman"/>
          <w:sz w:val="24"/>
          <w:szCs w:val="24"/>
          <w:lang w:val="es-ES" w:eastAsia="es-ES"/>
        </w:rPr>
        <w:t xml:space="preserve"> (CURP) y</w:t>
      </w:r>
      <w:r w:rsidRPr="00477BC7">
        <w:rPr>
          <w:rFonts w:ascii="Palatino Linotype" w:eastAsia="Times New Roman" w:hAnsi="Palatino Linotype" w:cs="Times New Roman"/>
          <w:sz w:val="24"/>
          <w:szCs w:val="24"/>
          <w:lang w:val="es-ES" w:eastAsia="es-ES"/>
        </w:rPr>
        <w:t xml:space="preserve"> la </w:t>
      </w:r>
      <w:r w:rsidRPr="00477BC7">
        <w:rPr>
          <w:rFonts w:ascii="Palatino Linotype" w:eastAsia="Times New Roman" w:hAnsi="Palatino Linotype" w:cs="Times New Roman"/>
          <w:b/>
          <w:sz w:val="24"/>
          <w:szCs w:val="24"/>
          <w:lang w:val="es-ES" w:eastAsia="es-ES"/>
        </w:rPr>
        <w:t>Clave de cualquier tipo de seguridad social</w:t>
      </w:r>
      <w:r w:rsidRPr="00477BC7">
        <w:rPr>
          <w:rFonts w:ascii="Palatino Linotype" w:eastAsia="Times New Roman" w:hAnsi="Palatino Linotype" w:cs="Times New Roman"/>
          <w:sz w:val="24"/>
          <w:szCs w:val="24"/>
          <w:lang w:val="es-ES" w:eastAsia="es-ES"/>
        </w:rPr>
        <w:t xml:space="preserve"> (ISSEMYM, u otros)</w:t>
      </w:r>
      <w:r>
        <w:rPr>
          <w:rFonts w:ascii="Palatino Linotype" w:eastAsia="Times New Roman" w:hAnsi="Palatino Linotype" w:cs="Times New Roman"/>
          <w:sz w:val="24"/>
          <w:szCs w:val="24"/>
          <w:lang w:val="es-ES" w:eastAsia="es-ES"/>
        </w:rPr>
        <w:t>.</w:t>
      </w:r>
      <w:r w:rsidRPr="00477BC7">
        <w:rPr>
          <w:rFonts w:ascii="Palatino Linotype" w:eastAsia="Times New Roman" w:hAnsi="Palatino Linotype" w:cs="Times New Roman"/>
          <w:sz w:val="24"/>
          <w:szCs w:val="24"/>
          <w:lang w:val="es-ES" w:eastAsia="es-ES"/>
        </w:rPr>
        <w:t xml:space="preserve"> </w:t>
      </w:r>
    </w:p>
    <w:p w:rsidR="00E65C96" w:rsidRPr="00477BC7" w:rsidRDefault="00E65C96" w:rsidP="00E65C96">
      <w:pPr>
        <w:spacing w:after="0" w:line="360" w:lineRule="auto"/>
        <w:jc w:val="both"/>
        <w:rPr>
          <w:rFonts w:ascii="Palatino Linotype" w:eastAsia="Times New Roman" w:hAnsi="Palatino Linotype" w:cs="Times New Roman"/>
          <w:sz w:val="24"/>
          <w:szCs w:val="24"/>
        </w:rPr>
      </w:pPr>
    </w:p>
    <w:p w:rsidR="00E65C96" w:rsidRPr="00477BC7" w:rsidRDefault="00E65C96" w:rsidP="00E65C96">
      <w:pPr>
        <w:spacing w:after="0" w:line="360" w:lineRule="auto"/>
        <w:jc w:val="both"/>
        <w:rPr>
          <w:rFonts w:ascii="Palatino Linotype" w:eastAsia="Times New Roman" w:hAnsi="Palatino Linotype" w:cs="Times New Roman"/>
          <w:sz w:val="24"/>
          <w:szCs w:val="24"/>
          <w:lang w:val="es-ES" w:eastAsia="es-ES"/>
        </w:rPr>
      </w:pPr>
      <w:r w:rsidRPr="00477BC7">
        <w:rPr>
          <w:rFonts w:ascii="Palatino Linotype" w:eastAsia="Times New Roman" w:hAnsi="Palatino Linotype" w:cs="Times New Roman"/>
          <w:sz w:val="24"/>
          <w:szCs w:val="24"/>
          <w:lang w:val="es-ES" w:eastAsia="es-MX"/>
        </w:rPr>
        <w:t xml:space="preserve">Por cuanto hace al </w:t>
      </w:r>
      <w:r w:rsidRPr="00477BC7">
        <w:rPr>
          <w:rFonts w:ascii="Palatino Linotype" w:eastAsia="Times New Roman" w:hAnsi="Palatino Linotype" w:cs="Times New Roman"/>
          <w:b/>
          <w:sz w:val="24"/>
          <w:szCs w:val="24"/>
          <w:lang w:val="es-ES" w:eastAsia="es-MX"/>
        </w:rPr>
        <w:t>Registro Federal de Contribuyentes</w:t>
      </w:r>
      <w:r w:rsidRPr="00477BC7">
        <w:rPr>
          <w:rFonts w:ascii="Palatino Linotype" w:eastAsia="Times New Roman" w:hAnsi="Palatino Linotype" w:cs="Times New Roman"/>
          <w:sz w:val="24"/>
          <w:szCs w:val="24"/>
          <w:lang w:val="es-ES" w:eastAsia="es-MX"/>
        </w:rPr>
        <w:t xml:space="preserve"> </w:t>
      </w:r>
      <w:r w:rsidRPr="00477BC7">
        <w:rPr>
          <w:rFonts w:ascii="Palatino Linotype" w:eastAsia="Times New Roman" w:hAnsi="Palatino Linotype" w:cs="Times New Roman"/>
          <w:b/>
          <w:sz w:val="24"/>
          <w:szCs w:val="24"/>
          <w:lang w:val="es-ES" w:eastAsia="es-MX"/>
        </w:rPr>
        <w:t>de las personas físicas</w:t>
      </w:r>
      <w:r w:rsidRPr="00477BC7">
        <w:rPr>
          <w:rFonts w:ascii="Palatino Linotype" w:eastAsia="Times New Roman" w:hAnsi="Palatino Linotype" w:cs="Times New Roman"/>
          <w:sz w:val="24"/>
          <w:szCs w:val="24"/>
          <w:lang w:val="es-ES" w:eastAsia="es-MX"/>
        </w:rPr>
        <w:t xml:space="preserve"> constituye un dato personal, ya que se genera con caracteres alfanuméricos obtenidos a partir del nombre en mayúsculas sin acentos ni diéresis y la fecha de nacimiento de cada persona; es decir la primera letra del apellido paterno; seguida de la primera letra vocal del primer apellido; seguida de la primera letra del segundo apellido y por último la primera letra del nombre, posterior la fecha de nacimiento año/mes/día</w:t>
      </w:r>
      <w:r w:rsidRPr="00477BC7">
        <w:rPr>
          <w:rFonts w:ascii="Palatino Linotype" w:eastAsia="Times New Roman" w:hAnsi="Palatino Linotype" w:cs="Times New Roman"/>
          <w:sz w:val="24"/>
          <w:szCs w:val="24"/>
          <w:lang w:val="es-ES" w:eastAsia="es-ES"/>
        </w:rPr>
        <w:t xml:space="preserve"> y finalmente la homoclave; la cual para su obtención es necesario acreditar personalidad, fecha de nacimiento entre otros con documentos oficiales.</w:t>
      </w:r>
    </w:p>
    <w:p w:rsidR="00E65C96" w:rsidRPr="00477BC7" w:rsidRDefault="00E65C96" w:rsidP="00E65C96">
      <w:pPr>
        <w:spacing w:after="0" w:line="360" w:lineRule="auto"/>
        <w:jc w:val="both"/>
        <w:rPr>
          <w:rFonts w:ascii="Palatino Linotype" w:eastAsia="Times New Roman" w:hAnsi="Palatino Linotype" w:cs="Times New Roman"/>
          <w:sz w:val="24"/>
          <w:szCs w:val="24"/>
          <w:lang w:val="es-ES" w:eastAsia="es-MX"/>
        </w:rPr>
      </w:pPr>
    </w:p>
    <w:p w:rsidR="00E65C96" w:rsidRPr="00477BC7" w:rsidRDefault="00E65C96" w:rsidP="00E65C96">
      <w:pPr>
        <w:spacing w:after="0" w:line="360" w:lineRule="auto"/>
        <w:jc w:val="both"/>
        <w:rPr>
          <w:rFonts w:ascii="Palatino Linotype" w:eastAsia="Times New Roman" w:hAnsi="Palatino Linotype" w:cs="Times New Roman"/>
          <w:sz w:val="24"/>
          <w:szCs w:val="24"/>
          <w:lang w:val="es-ES" w:eastAsia="es-MX"/>
        </w:rPr>
      </w:pPr>
      <w:r w:rsidRPr="00477BC7">
        <w:rPr>
          <w:rFonts w:ascii="Palatino Linotype" w:eastAsia="Times New Roman" w:hAnsi="Palatino Linotype" w:cs="Times New Roman"/>
          <w:sz w:val="24"/>
          <w:szCs w:val="24"/>
          <w:lang w:val="es-ES" w:eastAsia="es-MX"/>
        </w:rPr>
        <w:t>Al respecto, el Instituto Nacional Transparencia, Acceso a la Información y Protección de Datos Personales (INAI) a través del Criterio 19/17, señala literalmente lo siguiente:</w:t>
      </w:r>
    </w:p>
    <w:p w:rsidR="00E65C96" w:rsidRPr="00477BC7" w:rsidRDefault="00E65C96" w:rsidP="00E65C96">
      <w:pPr>
        <w:spacing w:after="0" w:line="360" w:lineRule="auto"/>
        <w:jc w:val="both"/>
        <w:rPr>
          <w:rFonts w:ascii="Palatino Linotype" w:eastAsia="Times New Roman" w:hAnsi="Palatino Linotype" w:cs="Times New Roman"/>
          <w:b/>
          <w:bCs/>
          <w:sz w:val="24"/>
          <w:szCs w:val="24"/>
          <w:lang w:val="es-ES" w:eastAsia="es-ES"/>
        </w:rPr>
      </w:pPr>
    </w:p>
    <w:p w:rsidR="00E65C96" w:rsidRPr="00477BC7" w:rsidRDefault="00E65C96" w:rsidP="00E65C96">
      <w:pPr>
        <w:spacing w:after="0" w:line="240" w:lineRule="auto"/>
        <w:ind w:left="567" w:right="616"/>
        <w:jc w:val="both"/>
        <w:rPr>
          <w:rFonts w:ascii="Palatino Linotype" w:eastAsia="Times New Roman" w:hAnsi="Palatino Linotype" w:cs="Times New Roman"/>
          <w:i/>
          <w:lang w:val="es-ES" w:eastAsia="es-ES"/>
        </w:rPr>
      </w:pPr>
      <w:r w:rsidRPr="00477BC7">
        <w:rPr>
          <w:rFonts w:ascii="Palatino Linotype" w:eastAsia="Times New Roman" w:hAnsi="Palatino Linotype" w:cs="Times New Roman"/>
          <w:i/>
          <w:lang w:val="es-ES" w:eastAsia="es-ES"/>
        </w:rPr>
        <w:t>“</w:t>
      </w:r>
      <w:r w:rsidRPr="00477BC7">
        <w:rPr>
          <w:rFonts w:ascii="Palatino Linotype" w:eastAsia="Times New Roman" w:hAnsi="Palatino Linotype" w:cs="Times New Roman"/>
          <w:b/>
          <w:i/>
          <w:lang w:val="es-ES" w:eastAsia="es-ES"/>
        </w:rPr>
        <w:t>Registro Federal de Contribuyentes (RFC) de personas físicas</w:t>
      </w:r>
      <w:r w:rsidRPr="00477BC7">
        <w:rPr>
          <w:rFonts w:ascii="Palatino Linotype" w:eastAsia="Times New Roman" w:hAnsi="Palatino Linotype" w:cs="Times New Roman"/>
          <w:i/>
          <w:lang w:val="es-ES" w:eastAsia="es-ES"/>
        </w:rPr>
        <w:t>. El RFC es una clave de carácter fiscal, única e irrepetible, que permite identificar al titular, su edad y fecha de nacimiento, por lo que es un dato personal de carácter confidencial.</w:t>
      </w:r>
    </w:p>
    <w:p w:rsidR="00E65C96" w:rsidRPr="00477BC7" w:rsidRDefault="00E65C96" w:rsidP="00E65C96">
      <w:pPr>
        <w:spacing w:after="0" w:line="360" w:lineRule="auto"/>
        <w:jc w:val="both"/>
        <w:rPr>
          <w:rFonts w:ascii="Palatino Linotype" w:eastAsia="Times New Roman" w:hAnsi="Palatino Linotype" w:cs="Times New Roman"/>
          <w:sz w:val="24"/>
          <w:szCs w:val="24"/>
          <w:lang w:val="es-ES" w:eastAsia="es-ES"/>
        </w:rPr>
      </w:pPr>
    </w:p>
    <w:p w:rsidR="00E65C96" w:rsidRPr="00477BC7" w:rsidRDefault="00E65C96" w:rsidP="00E65C96">
      <w:pPr>
        <w:spacing w:after="0" w:line="360" w:lineRule="auto"/>
        <w:jc w:val="both"/>
        <w:rPr>
          <w:rFonts w:ascii="Palatino Linotype" w:eastAsia="Times New Roman" w:hAnsi="Palatino Linotype" w:cs="Times New Roman"/>
          <w:sz w:val="24"/>
          <w:szCs w:val="24"/>
          <w:lang w:eastAsia="es-MX"/>
        </w:rPr>
      </w:pPr>
      <w:r w:rsidRPr="00477BC7">
        <w:rPr>
          <w:rFonts w:ascii="Palatino Linotype" w:eastAsia="Times New Roman" w:hAnsi="Palatino Linotype" w:cs="Times New Roman"/>
          <w:sz w:val="24"/>
          <w:szCs w:val="24"/>
          <w:lang w:eastAsia="es-MX"/>
        </w:rPr>
        <w:t xml:space="preserve">De lo anterior, se desprende que el Registro Federal de Contribuyentes se vincula al nombre de su titular, permitiendo identificar la edad de la persona, fecha de nacimiento, así como su homoclave, determinando la identificación de dicha persona para efectos fiscales, por lo que éste constituye un dato personal que concierne a una persona física identificada e identificable en términos de los artículos 2 fracción II de la Ley de Transparencia y Acceso a la Información Pública del Estado de México y Municipios y  </w:t>
      </w:r>
      <w:r w:rsidRPr="00477BC7">
        <w:rPr>
          <w:rFonts w:ascii="Palatino Linotype" w:eastAsia="Arial Unicode MS" w:hAnsi="Palatino Linotype" w:cs="Times New Roman"/>
          <w:sz w:val="24"/>
          <w:szCs w:val="24"/>
          <w:lang w:val="es-ES" w:eastAsia="es-ES"/>
        </w:rPr>
        <w:t>4 fracción XI de la Ley de Protección de Datos Personales en Posesión de Sujetos Obligados del Estado de México y Municipios</w:t>
      </w:r>
      <w:r w:rsidRPr="00477BC7">
        <w:rPr>
          <w:rFonts w:ascii="Palatino Linotype" w:eastAsia="Times New Roman" w:hAnsi="Palatino Linotype" w:cs="Times New Roman"/>
          <w:sz w:val="24"/>
          <w:szCs w:val="24"/>
          <w:lang w:eastAsia="es-MX"/>
        </w:rPr>
        <w:t>.</w:t>
      </w:r>
    </w:p>
    <w:p w:rsidR="00E65C96" w:rsidRPr="00477BC7" w:rsidRDefault="00E65C96" w:rsidP="00E65C96">
      <w:pPr>
        <w:spacing w:after="0" w:line="360" w:lineRule="auto"/>
        <w:jc w:val="both"/>
        <w:rPr>
          <w:rFonts w:ascii="Palatino Linotype" w:eastAsia="Times New Roman" w:hAnsi="Palatino Linotype" w:cs="Times New Roman"/>
          <w:sz w:val="24"/>
          <w:szCs w:val="24"/>
          <w:lang w:eastAsia="es-MX"/>
        </w:rPr>
      </w:pPr>
    </w:p>
    <w:p w:rsidR="00E65C96" w:rsidRPr="00477BC7" w:rsidRDefault="00E65C96" w:rsidP="00E65C96">
      <w:pPr>
        <w:spacing w:after="0" w:line="360" w:lineRule="auto"/>
        <w:jc w:val="both"/>
        <w:rPr>
          <w:rFonts w:ascii="Palatino Linotype" w:eastAsia="Times New Roman" w:hAnsi="Palatino Linotype" w:cs="Times New Roman"/>
          <w:sz w:val="24"/>
          <w:szCs w:val="24"/>
          <w:lang w:val="es-ES" w:eastAsia="es-MX"/>
        </w:rPr>
      </w:pPr>
      <w:r w:rsidRPr="00477BC7">
        <w:rPr>
          <w:rFonts w:ascii="Palatino Linotype" w:eastAsia="Times New Roman" w:hAnsi="Palatino Linotype" w:cs="Times New Roman"/>
          <w:sz w:val="24"/>
          <w:szCs w:val="24"/>
          <w:lang w:val="es-ES" w:eastAsia="es-MX"/>
        </w:rPr>
        <w:t xml:space="preserve">Por cuanto hace a la </w:t>
      </w:r>
      <w:r w:rsidRPr="00477BC7">
        <w:rPr>
          <w:rFonts w:ascii="Palatino Linotype" w:eastAsia="Times New Roman" w:hAnsi="Palatino Linotype" w:cs="Times New Roman"/>
          <w:b/>
          <w:sz w:val="24"/>
          <w:szCs w:val="24"/>
          <w:lang w:val="es-ES" w:eastAsia="es-ES"/>
        </w:rPr>
        <w:t xml:space="preserve">Clave Única de Registro de Población, </w:t>
      </w:r>
      <w:r w:rsidRPr="00477BC7">
        <w:rPr>
          <w:rFonts w:ascii="Palatino Linotype" w:eastAsia="Times New Roman" w:hAnsi="Palatino Linotype" w:cs="Times New Roman"/>
          <w:sz w:val="24"/>
          <w:szCs w:val="24"/>
          <w:lang w:val="es-ES" w:eastAsia="es-MX"/>
        </w:rPr>
        <w:t>constituye un dato personal, ya que tiene como finalidad registrar a cada una de las personas que integran la población del país, con los datos que permitan certificar y acreditar fehacientemente su identidad, la cual servirá para identificarla de manera individual.</w:t>
      </w:r>
    </w:p>
    <w:p w:rsidR="00E65C96" w:rsidRPr="00477BC7" w:rsidRDefault="00E65C96" w:rsidP="00E65C96">
      <w:pPr>
        <w:spacing w:after="0" w:line="360" w:lineRule="auto"/>
        <w:jc w:val="both"/>
        <w:rPr>
          <w:rFonts w:ascii="Palatino Linotype" w:eastAsia="Times New Roman" w:hAnsi="Palatino Linotype" w:cs="Times New Roman"/>
          <w:sz w:val="24"/>
          <w:szCs w:val="24"/>
          <w:lang w:val="es-ES" w:eastAsia="es-MX"/>
        </w:rPr>
      </w:pPr>
    </w:p>
    <w:p w:rsidR="00E65C96" w:rsidRPr="00477BC7" w:rsidRDefault="00E65C96" w:rsidP="00E65C96">
      <w:pPr>
        <w:spacing w:after="0" w:line="360" w:lineRule="auto"/>
        <w:jc w:val="both"/>
        <w:rPr>
          <w:rFonts w:ascii="Palatino Linotype" w:eastAsia="Times New Roman" w:hAnsi="Palatino Linotype" w:cs="Times New Roman"/>
          <w:sz w:val="24"/>
          <w:szCs w:val="24"/>
          <w:lang w:val="es-ES" w:eastAsia="es-MX"/>
        </w:rPr>
      </w:pPr>
      <w:r w:rsidRPr="00477BC7">
        <w:rPr>
          <w:rFonts w:ascii="Palatino Linotype" w:eastAsia="Times New Roman" w:hAnsi="Palatino Linotype" w:cs="Times New Roman"/>
          <w:sz w:val="24"/>
          <w:szCs w:val="24"/>
          <w:lang w:val="es-ES" w:eastAsia="es-MX"/>
        </w:rPr>
        <w:t>Lo anterior, tiene sustento en los artículos 86 y 91 de la Ley General de Población, la cual señala lo siguiente:</w:t>
      </w:r>
    </w:p>
    <w:p w:rsidR="00E65C96" w:rsidRPr="00477BC7" w:rsidRDefault="00E65C96" w:rsidP="00E65C96">
      <w:pPr>
        <w:spacing w:after="0" w:line="360" w:lineRule="auto"/>
        <w:jc w:val="both"/>
        <w:rPr>
          <w:rFonts w:ascii="Palatino Linotype" w:eastAsia="Times New Roman" w:hAnsi="Palatino Linotype" w:cs="Times New Roman"/>
          <w:sz w:val="24"/>
          <w:szCs w:val="24"/>
          <w:lang w:val="es-ES" w:eastAsia="es-MX"/>
        </w:rPr>
      </w:pPr>
    </w:p>
    <w:p w:rsidR="00E65C96" w:rsidRPr="00477BC7" w:rsidRDefault="00E65C96" w:rsidP="00E65C96">
      <w:pPr>
        <w:spacing w:after="0" w:line="240" w:lineRule="auto"/>
        <w:ind w:left="709" w:right="757"/>
        <w:jc w:val="both"/>
        <w:rPr>
          <w:rFonts w:ascii="Palatino Linotype" w:eastAsia="Times New Roman" w:hAnsi="Palatino Linotype" w:cs="Arial"/>
          <w:i/>
          <w:szCs w:val="24"/>
          <w:lang w:val="es-ES" w:eastAsia="es-MX"/>
        </w:rPr>
      </w:pPr>
      <w:r w:rsidRPr="00477BC7">
        <w:rPr>
          <w:rFonts w:ascii="Palatino Linotype" w:eastAsia="Times New Roman" w:hAnsi="Palatino Linotype" w:cs="Arial,Bold"/>
          <w:b/>
          <w:bCs/>
          <w:i/>
          <w:szCs w:val="24"/>
          <w:lang w:val="es-ES" w:eastAsia="es-MX"/>
        </w:rPr>
        <w:lastRenderedPageBreak/>
        <w:t xml:space="preserve">“Artículo 86. </w:t>
      </w:r>
      <w:r w:rsidRPr="00477BC7">
        <w:rPr>
          <w:rFonts w:ascii="Palatino Linotype" w:eastAsia="Times New Roman" w:hAnsi="Palatino Linotype" w:cs="Arial"/>
          <w:i/>
          <w:szCs w:val="24"/>
          <w:lang w:val="es-ES" w:eastAsia="es-MX"/>
        </w:rPr>
        <w:t>El Registro Nacional de Población tiene como finalidad registrar a cada una de las personas que integran la población del país, con los datos que permitan certificar y acreditar fehacientemente su identidad.</w:t>
      </w:r>
    </w:p>
    <w:p w:rsidR="00E65C96" w:rsidRPr="00477BC7" w:rsidRDefault="00E65C96" w:rsidP="00E65C96">
      <w:pPr>
        <w:spacing w:after="0" w:line="240" w:lineRule="auto"/>
        <w:ind w:left="709" w:right="757"/>
        <w:jc w:val="both"/>
        <w:rPr>
          <w:rFonts w:ascii="Palatino Linotype" w:eastAsia="Times New Roman" w:hAnsi="Palatino Linotype" w:cs="Arial"/>
          <w:i/>
          <w:szCs w:val="24"/>
          <w:lang w:val="es-ES" w:eastAsia="es-MX"/>
        </w:rPr>
      </w:pPr>
    </w:p>
    <w:p w:rsidR="00E65C96" w:rsidRPr="00477BC7" w:rsidRDefault="00E65C96" w:rsidP="00E65C96">
      <w:pPr>
        <w:spacing w:after="0" w:line="240" w:lineRule="auto"/>
        <w:ind w:left="709" w:right="757"/>
        <w:jc w:val="both"/>
        <w:rPr>
          <w:rFonts w:ascii="Palatino Linotype" w:eastAsia="Times New Roman" w:hAnsi="Palatino Linotype" w:cs="Arial"/>
          <w:i/>
          <w:szCs w:val="24"/>
          <w:lang w:val="es-ES" w:eastAsia="es-MX"/>
        </w:rPr>
      </w:pPr>
      <w:r w:rsidRPr="00477BC7">
        <w:rPr>
          <w:rFonts w:ascii="Palatino Linotype" w:eastAsia="Times New Roman" w:hAnsi="Palatino Linotype" w:cs="Arial,Bold"/>
          <w:b/>
          <w:bCs/>
          <w:i/>
          <w:szCs w:val="24"/>
          <w:lang w:val="es-ES" w:eastAsia="es-MX"/>
        </w:rPr>
        <w:t xml:space="preserve">Artículo 91. </w:t>
      </w:r>
      <w:r w:rsidRPr="00477BC7">
        <w:rPr>
          <w:rFonts w:ascii="Palatino Linotype" w:eastAsia="Times New Roman" w:hAnsi="Palatino Linotype" w:cs="Arial"/>
          <w:i/>
          <w:szCs w:val="24"/>
          <w:lang w:val="es-ES" w:eastAsia="es-MX"/>
        </w:rPr>
        <w:t>Al incorporar a una persona en el Registro Nacional de Población, se le asignará una clave que se denominará Clave Única de Registro de Población. Esta servirá para registrarla e identificarla en forma individual.”</w:t>
      </w:r>
    </w:p>
    <w:p w:rsidR="00E65C96" w:rsidRPr="00477BC7" w:rsidRDefault="00E65C96" w:rsidP="00E65C96">
      <w:pPr>
        <w:spacing w:after="0" w:line="360" w:lineRule="auto"/>
        <w:jc w:val="both"/>
        <w:rPr>
          <w:rFonts w:ascii="Palatino Linotype" w:eastAsia="Times New Roman" w:hAnsi="Palatino Linotype" w:cs="Times New Roman"/>
          <w:sz w:val="24"/>
          <w:szCs w:val="24"/>
          <w:lang w:val="es-ES" w:eastAsia="es-MX"/>
        </w:rPr>
      </w:pPr>
    </w:p>
    <w:p w:rsidR="00E65C96" w:rsidRPr="00477BC7" w:rsidRDefault="00E65C96" w:rsidP="00E65C96">
      <w:pPr>
        <w:spacing w:after="0" w:line="360" w:lineRule="auto"/>
        <w:jc w:val="both"/>
        <w:rPr>
          <w:rFonts w:ascii="Palatino Linotype" w:eastAsia="Times New Roman" w:hAnsi="Palatino Linotype" w:cs="Times New Roman"/>
          <w:sz w:val="24"/>
          <w:szCs w:val="24"/>
          <w:lang w:val="es-ES" w:eastAsia="es-MX"/>
        </w:rPr>
      </w:pPr>
      <w:r w:rsidRPr="00477BC7">
        <w:rPr>
          <w:rFonts w:ascii="Palatino Linotype" w:eastAsia="Times New Roman" w:hAnsi="Palatino Linotype" w:cs="Times New Roman"/>
          <w:sz w:val="24"/>
          <w:szCs w:val="24"/>
          <w:lang w:val="es-ES" w:eastAsia="es-MX"/>
        </w:rPr>
        <w:t xml:space="preserve">Ahora bien, la Clave Única de Registro de Población, está integrada de 18 elementos representados por letras y números, que se generan a partir de los datos contenidos en un documento probatorio de identidad (acta de nacimiento, carta de naturalización o documento migratorio), la cual se integra de la primera letra del apellido paterno; seguida de la primera letra vocal del primer apellido; seguida de la primera letra del segundo apellido y por último la primera letra del nombre; fecha de nacimiento año/mes/día; sexo; Entidad Federativa o lugar de nacimiento; finalmente un digito verificador, compuesto de dos elementos, con el que se evitan duplicaciones en la Clave, identifican el cambio de siglo y garantizan la correcta integración. </w:t>
      </w:r>
    </w:p>
    <w:p w:rsidR="00E65C96" w:rsidRPr="00477BC7" w:rsidRDefault="00E65C96" w:rsidP="00E65C96">
      <w:pPr>
        <w:spacing w:after="0" w:line="360" w:lineRule="auto"/>
        <w:jc w:val="both"/>
        <w:rPr>
          <w:rFonts w:ascii="Palatino Linotype" w:eastAsia="Times New Roman" w:hAnsi="Palatino Linotype" w:cs="Times New Roman"/>
          <w:sz w:val="24"/>
          <w:szCs w:val="24"/>
          <w:lang w:val="es-ES" w:eastAsia="es-MX"/>
        </w:rPr>
      </w:pPr>
    </w:p>
    <w:p w:rsidR="00E65C96" w:rsidRPr="00477BC7" w:rsidRDefault="00E65C96" w:rsidP="00E65C96">
      <w:pPr>
        <w:spacing w:after="0" w:line="360" w:lineRule="auto"/>
        <w:jc w:val="both"/>
        <w:rPr>
          <w:rFonts w:ascii="Palatino Linotype" w:eastAsia="Times New Roman" w:hAnsi="Palatino Linotype" w:cs="Times New Roman"/>
          <w:sz w:val="24"/>
          <w:szCs w:val="24"/>
          <w:lang w:val="es-ES" w:eastAsia="es-MX"/>
        </w:rPr>
      </w:pPr>
      <w:r w:rsidRPr="00477BC7">
        <w:rPr>
          <w:rFonts w:ascii="Palatino Linotype" w:eastAsia="Times New Roman" w:hAnsi="Palatino Linotype" w:cs="Times New Roman"/>
          <w:sz w:val="24"/>
          <w:szCs w:val="24"/>
          <w:lang w:val="es-ES" w:eastAsia="es-MX"/>
        </w:rPr>
        <w:t>Al respecto, el Instituto Nacional de Transparencia, Acceso a la Información y Protección de Datos Personales (INAI) a través del Criterio 18/17, señala literalmente lo siguiente:</w:t>
      </w:r>
    </w:p>
    <w:p w:rsidR="00E65C96" w:rsidRPr="00477BC7" w:rsidRDefault="00E65C96" w:rsidP="00E65C96">
      <w:pPr>
        <w:spacing w:after="0" w:line="360" w:lineRule="auto"/>
        <w:jc w:val="both"/>
        <w:rPr>
          <w:rFonts w:ascii="Palatino Linotype" w:eastAsia="Times New Roman" w:hAnsi="Palatino Linotype" w:cs="Arial"/>
          <w:sz w:val="24"/>
          <w:szCs w:val="24"/>
          <w:lang w:val="es-ES" w:eastAsia="es-MX"/>
        </w:rPr>
      </w:pPr>
    </w:p>
    <w:p w:rsidR="00E65C96" w:rsidRPr="00477BC7" w:rsidRDefault="00E65C96" w:rsidP="00E65C96">
      <w:pPr>
        <w:spacing w:after="0" w:line="240" w:lineRule="auto"/>
        <w:ind w:left="567" w:right="616"/>
        <w:jc w:val="both"/>
        <w:rPr>
          <w:rFonts w:ascii="Palatino Linotype" w:eastAsia="Times New Roman" w:hAnsi="Palatino Linotype" w:cs="Times New Roman"/>
          <w:i/>
          <w:lang w:val="es-ES" w:eastAsia="es-MX"/>
        </w:rPr>
      </w:pPr>
      <w:r w:rsidRPr="00477BC7">
        <w:rPr>
          <w:rFonts w:ascii="Palatino Linotype" w:eastAsia="Times New Roman" w:hAnsi="Palatino Linotype" w:cs="Times New Roman"/>
          <w:b/>
          <w:i/>
          <w:lang w:val="es-ES" w:eastAsia="es-MX"/>
        </w:rPr>
        <w:t>Clave Única de Registro de Población (CURP)</w:t>
      </w:r>
      <w:r w:rsidRPr="00477BC7">
        <w:rPr>
          <w:rFonts w:ascii="Palatino Linotype" w:eastAsia="Times New Roman" w:hAnsi="Palatino Linotype" w:cs="Times New Roman"/>
          <w:i/>
          <w:lang w:val="es-ES" w:eastAsia="es-MX"/>
        </w:rPr>
        <w:t>. 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rsidR="00E65C96" w:rsidRPr="00477BC7" w:rsidRDefault="00E65C96" w:rsidP="00E65C96">
      <w:pPr>
        <w:spacing w:after="0" w:line="240" w:lineRule="auto"/>
        <w:ind w:left="567" w:right="616"/>
        <w:jc w:val="both"/>
        <w:rPr>
          <w:rFonts w:ascii="Palatino Linotype" w:eastAsia="Times New Roman" w:hAnsi="Palatino Linotype" w:cs="Arial"/>
          <w:bCs/>
          <w:i/>
          <w:lang w:val="es-ES" w:eastAsia="es-MX"/>
        </w:rPr>
      </w:pPr>
    </w:p>
    <w:p w:rsidR="00E65C96" w:rsidRPr="00477BC7" w:rsidRDefault="00E65C96" w:rsidP="00E65C96">
      <w:pPr>
        <w:spacing w:after="0" w:line="360" w:lineRule="auto"/>
        <w:jc w:val="both"/>
        <w:rPr>
          <w:rFonts w:ascii="Palatino Linotype" w:eastAsia="Times New Roman" w:hAnsi="Palatino Linotype" w:cs="Times New Roman"/>
          <w:sz w:val="24"/>
          <w:szCs w:val="24"/>
          <w:lang w:val="es-ES" w:eastAsia="es-MX"/>
        </w:rPr>
      </w:pPr>
      <w:r w:rsidRPr="00477BC7">
        <w:rPr>
          <w:rFonts w:ascii="Palatino Linotype" w:eastAsia="Times New Roman" w:hAnsi="Palatino Linotype" w:cs="Times New Roman"/>
          <w:sz w:val="24"/>
          <w:szCs w:val="24"/>
          <w:lang w:val="es-ES" w:eastAsia="es-MX"/>
        </w:rPr>
        <w:lastRenderedPageBreak/>
        <w:t>De lo anterior, se desprende que la Clave Única de Registro de Población, se encuentra vinculada al nombre de la persona, permitiendo identificar la edad, fecha de nacimiento, sexo, lugar de nacimiento, así como el código identificador; datos que únicamente le atañen a un particular, por lo que ésta constituye un dato personal que concierne a una persona física identificada e identificable en términos de los artículos 2 fracción II de la Ley de Transparencia y Acceso a la Información Pública del Estado de México y Municipios y  4 fracción XI de la Ley de Protección de Datos Personales en Posesión de Sujetos Obligados del Estado de México y Municipios.</w:t>
      </w:r>
    </w:p>
    <w:p w:rsidR="00E65C96" w:rsidRPr="00477BC7" w:rsidRDefault="00E65C96" w:rsidP="00E65C96">
      <w:pPr>
        <w:spacing w:after="0" w:line="360" w:lineRule="auto"/>
        <w:jc w:val="both"/>
        <w:rPr>
          <w:rFonts w:ascii="Palatino Linotype" w:eastAsia="Times New Roman" w:hAnsi="Palatino Linotype" w:cs="Times New Roman"/>
          <w:sz w:val="24"/>
          <w:szCs w:val="24"/>
          <w:lang w:val="es-ES" w:eastAsia="es-MX"/>
        </w:rPr>
      </w:pPr>
    </w:p>
    <w:p w:rsidR="00E65C96" w:rsidRPr="00477BC7" w:rsidRDefault="00E65C96" w:rsidP="00E65C96">
      <w:pPr>
        <w:spacing w:after="0" w:line="360" w:lineRule="auto"/>
        <w:jc w:val="both"/>
        <w:rPr>
          <w:rFonts w:ascii="Palatino Linotype" w:eastAsia="Times New Roman" w:hAnsi="Palatino Linotype" w:cs="Times New Roman"/>
          <w:sz w:val="24"/>
          <w:szCs w:val="24"/>
          <w:lang w:val="es-ES" w:eastAsia="es-MX"/>
        </w:rPr>
      </w:pPr>
      <w:r w:rsidRPr="00477BC7">
        <w:rPr>
          <w:rFonts w:ascii="Palatino Linotype" w:eastAsia="Times New Roman" w:hAnsi="Palatino Linotype" w:cs="Times New Roman"/>
          <w:sz w:val="24"/>
          <w:szCs w:val="24"/>
          <w:lang w:val="es-ES" w:eastAsia="es-MX"/>
        </w:rPr>
        <w:t xml:space="preserve">Por cuanto hace a la </w:t>
      </w:r>
      <w:r w:rsidRPr="00477BC7">
        <w:rPr>
          <w:rFonts w:ascii="Palatino Linotype" w:eastAsia="Times New Roman" w:hAnsi="Palatino Linotype" w:cs="Times New Roman"/>
          <w:b/>
          <w:sz w:val="24"/>
          <w:szCs w:val="24"/>
          <w:lang w:val="es-ES" w:eastAsia="es-ES"/>
        </w:rPr>
        <w:t>Clave de cualquier tipo de seguridad social</w:t>
      </w:r>
      <w:r w:rsidRPr="00477BC7">
        <w:rPr>
          <w:rFonts w:ascii="Palatino Linotype" w:eastAsia="Times New Roman" w:hAnsi="Palatino Linotype" w:cs="Times New Roman"/>
          <w:sz w:val="24"/>
          <w:szCs w:val="24"/>
          <w:lang w:val="es-ES" w:eastAsia="es-ES"/>
        </w:rPr>
        <w:t xml:space="preserve"> (ISSEMYM, u otros), está integrado por una </w:t>
      </w:r>
      <w:r w:rsidRPr="00477BC7">
        <w:rPr>
          <w:rFonts w:ascii="Palatino Linotype" w:eastAsia="Times New Roman" w:hAnsi="Palatino Linotype" w:cs="Times New Roman"/>
          <w:bCs/>
          <w:sz w:val="24"/>
          <w:szCs w:val="24"/>
          <w:lang w:val="es-ES" w:eastAsia="es-MX"/>
        </w:rPr>
        <w:t xml:space="preserve">secuencia de números con los que se identifica a los trabajadores que cubren las cuotas respectivas, asimismo, lo identifica con la fuente de trabajo; por lo que al ser una clave de identificación de los trabajadores, constituye información confidencial, </w:t>
      </w:r>
      <w:r w:rsidRPr="00477BC7">
        <w:rPr>
          <w:rFonts w:ascii="Palatino Linotype" w:eastAsia="Times New Roman" w:hAnsi="Palatino Linotype" w:cs="Times New Roman"/>
          <w:sz w:val="24"/>
          <w:szCs w:val="24"/>
          <w:lang w:val="es-ES" w:eastAsia="es-MX"/>
        </w:rPr>
        <w:t xml:space="preserve">dato que únicamente le atañe al servidor público, por lo que constituye un dato personal que concierne a una persona física identificada e identificable en términos de los artículos 2 fracción II de la Ley de Transparencia y Acceso a la Información Pública del Estado de México y Municipios y  </w:t>
      </w:r>
      <w:r w:rsidRPr="00477BC7">
        <w:rPr>
          <w:rFonts w:ascii="Palatino Linotype" w:eastAsia="Arial Unicode MS" w:hAnsi="Palatino Linotype" w:cs="Times New Roman"/>
          <w:sz w:val="24"/>
          <w:szCs w:val="24"/>
          <w:lang w:val="es-ES" w:eastAsia="es-ES"/>
        </w:rPr>
        <w:t>4 fracción XI de la Ley de Protección de Datos Personales en Posesión de Sujetos Obligados del Estado de México y Municipios</w:t>
      </w:r>
      <w:r w:rsidRPr="00477BC7">
        <w:rPr>
          <w:rFonts w:ascii="Palatino Linotype" w:eastAsia="Times New Roman" w:hAnsi="Palatino Linotype" w:cs="Times New Roman"/>
          <w:sz w:val="24"/>
          <w:szCs w:val="24"/>
          <w:lang w:val="es-ES" w:eastAsia="es-MX"/>
        </w:rPr>
        <w:t>.</w:t>
      </w:r>
    </w:p>
    <w:p w:rsidR="00E65C96" w:rsidRPr="00477BC7" w:rsidRDefault="00E65C96" w:rsidP="00E65C96">
      <w:pPr>
        <w:spacing w:after="0" w:line="360" w:lineRule="auto"/>
        <w:jc w:val="both"/>
        <w:rPr>
          <w:rFonts w:ascii="Palatino Linotype" w:eastAsia="Times New Roman" w:hAnsi="Palatino Linotype" w:cs="Times New Roman"/>
          <w:sz w:val="24"/>
          <w:szCs w:val="24"/>
          <w:lang w:val="es-ES" w:eastAsia="es-MX"/>
        </w:rPr>
      </w:pPr>
    </w:p>
    <w:p w:rsidR="00E65C96" w:rsidRPr="00477BC7" w:rsidRDefault="00E65C96" w:rsidP="00E65C96">
      <w:pPr>
        <w:spacing w:after="0" w:line="360" w:lineRule="auto"/>
        <w:jc w:val="both"/>
        <w:rPr>
          <w:rFonts w:ascii="Palatino Linotype" w:eastAsia="Times New Roman" w:hAnsi="Palatino Linotype" w:cs="Times New Roman"/>
          <w:sz w:val="24"/>
          <w:szCs w:val="24"/>
          <w:lang w:eastAsia="es-MX"/>
        </w:rPr>
      </w:pPr>
      <w:r w:rsidRPr="00477BC7">
        <w:rPr>
          <w:rFonts w:ascii="Palatino Linotype" w:eastAsia="Times New Roman" w:hAnsi="Palatino Linotype" w:cs="Times New Roman"/>
          <w:sz w:val="24"/>
          <w:szCs w:val="24"/>
          <w:lang w:val="es-ES_tradnl" w:eastAsia="es-ES"/>
        </w:rPr>
        <w:t xml:space="preserve">Por ende, en el presente caso el Sujeto Obligado debe </w:t>
      </w:r>
      <w:r w:rsidRPr="00477BC7">
        <w:rPr>
          <w:rFonts w:ascii="Palatino Linotype" w:eastAsia="Times New Roman" w:hAnsi="Palatino Linotype" w:cs="Times New Roman"/>
          <w:sz w:val="24"/>
          <w:szCs w:val="24"/>
          <w:lang w:eastAsia="es-MX"/>
        </w:rPr>
        <w:t xml:space="preserve">atender las disposiciones en materia de protección de datos, a fin de salvaguardar los datos de particulares testando estos y emitir el debido Acuerdo que sustente la versión pública que se genere, ya que la clasificación de la información no se da por el simple mandato de la Ley, sino que </w:t>
      </w:r>
      <w:r w:rsidRPr="00477BC7">
        <w:rPr>
          <w:rFonts w:ascii="Palatino Linotype" w:eastAsia="Times New Roman" w:hAnsi="Palatino Linotype" w:cs="Times New Roman"/>
          <w:sz w:val="24"/>
          <w:szCs w:val="24"/>
          <w:lang w:eastAsia="es-MX"/>
        </w:rPr>
        <w:lastRenderedPageBreak/>
        <w:t xml:space="preserve">es necesario que </w:t>
      </w:r>
      <w:r w:rsidRPr="00477BC7">
        <w:rPr>
          <w:rFonts w:ascii="Palatino Linotype" w:eastAsia="Times New Roman" w:hAnsi="Palatino Linotype" w:cs="Times New Roman"/>
          <w:sz w:val="24"/>
          <w:szCs w:val="24"/>
          <w:lang w:val="es-ES_tradnl" w:eastAsia="es-ES"/>
        </w:rPr>
        <w:t xml:space="preserve">el Sujeto Obligado </w:t>
      </w:r>
      <w:r w:rsidRPr="00477BC7">
        <w:rPr>
          <w:rFonts w:ascii="Palatino Linotype" w:eastAsia="Times New Roman" w:hAnsi="Palatino Linotype" w:cs="Times New Roman"/>
          <w:sz w:val="24"/>
          <w:szCs w:val="24"/>
          <w:lang w:eastAsia="es-MX"/>
        </w:rPr>
        <w:t>cuando clasifique un documento, ya sea en todo o en parte, debe atender lo dispuesto por la Ley de la materia, siendo que dicha clasificación es un trabajo en conjunto tanto de los Servidores Públicos Habilitados, de las Unidades de Transparencia y del Comité de Transparencia d</w:t>
      </w:r>
      <w:r w:rsidRPr="00477BC7">
        <w:rPr>
          <w:rFonts w:ascii="Palatino Linotype" w:eastAsia="Times New Roman" w:hAnsi="Palatino Linotype" w:cs="Times New Roman"/>
          <w:sz w:val="24"/>
          <w:szCs w:val="24"/>
          <w:lang w:val="es-ES_tradnl" w:eastAsia="es-ES"/>
        </w:rPr>
        <w:t>el Sujeto Obligado</w:t>
      </w:r>
      <w:r w:rsidRPr="00477BC7">
        <w:rPr>
          <w:rFonts w:ascii="Palatino Linotype" w:eastAsia="Times New Roman" w:hAnsi="Palatino Linotype" w:cs="Times New Roman"/>
          <w:sz w:val="24"/>
          <w:szCs w:val="24"/>
          <w:lang w:eastAsia="es-MX"/>
        </w:rPr>
        <w:t>, teniendo el deber los primeros, de presentar ante la Unidad de Transparencia la propuesta de clasificación de la información, para que luego ésta se presente ante el Comité de Transparencia de así resultar procedente el proyecto de clasificación de la información y finalmente sea éste último quien apruebe, modifique o revoque la clasificación de la información solicitada.</w:t>
      </w:r>
    </w:p>
    <w:p w:rsidR="00E65C96" w:rsidRPr="00477BC7" w:rsidRDefault="00E65C96" w:rsidP="00E65C96">
      <w:pPr>
        <w:spacing w:after="0" w:line="360" w:lineRule="auto"/>
        <w:jc w:val="both"/>
        <w:rPr>
          <w:rFonts w:ascii="Palatino Linotype" w:eastAsia="Times New Roman" w:hAnsi="Palatino Linotype" w:cs="Times New Roman"/>
          <w:sz w:val="24"/>
          <w:szCs w:val="24"/>
          <w:lang w:eastAsia="es-MX"/>
        </w:rPr>
      </w:pPr>
    </w:p>
    <w:p w:rsidR="00E65C96" w:rsidRPr="00477BC7" w:rsidRDefault="00E65C96" w:rsidP="00E65C96">
      <w:pPr>
        <w:spacing w:after="0" w:line="360" w:lineRule="auto"/>
        <w:jc w:val="both"/>
        <w:rPr>
          <w:rFonts w:ascii="Palatino Linotype" w:eastAsia="Calibri" w:hAnsi="Palatino Linotype" w:cs="Times New Roman"/>
          <w:sz w:val="24"/>
          <w:szCs w:val="24"/>
          <w:lang w:eastAsia="es-ES"/>
        </w:rPr>
      </w:pPr>
      <w:r w:rsidRPr="00477BC7">
        <w:rPr>
          <w:rFonts w:ascii="Palatino Linotype" w:eastAsia="Calibri" w:hAnsi="Palatino Linotype" w:cs="Times New Roman"/>
          <w:sz w:val="24"/>
          <w:szCs w:val="24"/>
          <w:lang w:eastAsia="es-ES"/>
        </w:rPr>
        <w:t xml:space="preserve">Así, es que </w:t>
      </w:r>
      <w:r w:rsidRPr="00477BC7">
        <w:rPr>
          <w:rFonts w:ascii="Palatino Linotype" w:eastAsia="Times New Roman" w:hAnsi="Palatino Linotype" w:cs="Times New Roman"/>
          <w:sz w:val="24"/>
          <w:szCs w:val="24"/>
          <w:lang w:val="es-ES_tradnl" w:eastAsia="es-ES"/>
        </w:rPr>
        <w:t xml:space="preserve">el Sujeto Obligado </w:t>
      </w:r>
      <w:r w:rsidRPr="00477BC7">
        <w:rPr>
          <w:rFonts w:ascii="Palatino Linotype" w:eastAsia="Calibri" w:hAnsi="Palatino Linotype" w:cs="Times New Roman"/>
          <w:sz w:val="24"/>
          <w:szCs w:val="24"/>
          <w:lang w:eastAsia="es-ES"/>
        </w:rPr>
        <w:t>deberá cumplir con todos y cada uno de los requisitos señalados en la Ley de Protección de Datos Personales en Posesión de Sujetos Obligados del Estado de México y Municipios, en la Ley de Transparencia y Acceso a la Información Pública del Estado de México y Municipios, y con los Lineamientos Generales en Materia de Clasificación y Desclasificación de la información, así como para la elaboración de Versiones Públicas; máxime que de conformidad con lo establecido en las Leyes y Lineamientos citados, para fundar la clasificación de la información se debe señalar el artículo, fracción, inciso, párrafo o numeral de la Ley que expresamente le otorga el carácter de confidencial.</w:t>
      </w:r>
    </w:p>
    <w:p w:rsidR="00E65C96" w:rsidRPr="00477BC7" w:rsidRDefault="00E65C96" w:rsidP="00E65C96">
      <w:pPr>
        <w:spacing w:after="0" w:line="360" w:lineRule="auto"/>
        <w:jc w:val="both"/>
        <w:rPr>
          <w:rFonts w:ascii="Palatino Linotype" w:eastAsia="Calibri" w:hAnsi="Palatino Linotype" w:cs="Times New Roman"/>
          <w:sz w:val="24"/>
          <w:szCs w:val="24"/>
          <w:lang w:eastAsia="es-ES"/>
        </w:rPr>
      </w:pPr>
    </w:p>
    <w:p w:rsidR="00E65C96" w:rsidRPr="00477BC7" w:rsidRDefault="00E65C96" w:rsidP="00E65C96">
      <w:pPr>
        <w:spacing w:after="0" w:line="360" w:lineRule="auto"/>
        <w:jc w:val="both"/>
        <w:rPr>
          <w:rFonts w:ascii="Palatino Linotype" w:eastAsia="Times New Roman" w:hAnsi="Palatino Linotype" w:cs="Times New Roman"/>
          <w:sz w:val="24"/>
          <w:szCs w:val="24"/>
          <w:lang w:eastAsia="es-ES"/>
        </w:rPr>
      </w:pPr>
      <w:r w:rsidRPr="00477BC7">
        <w:rPr>
          <w:rFonts w:ascii="Palatino Linotype" w:eastAsia="Times New Roman" w:hAnsi="Palatino Linotype" w:cs="Times New Roman"/>
          <w:sz w:val="24"/>
          <w:szCs w:val="24"/>
          <w:lang w:eastAsia="es-ES"/>
        </w:rPr>
        <w:t xml:space="preserve">Ello, sin pasar por alto que la clasificación respectiva tiene que cumplirse mediante las formalidades impuestas por la ley; es decir, mediante Acuerdo debidamente fundado y motivado, en términos de los numerales 49 fracción VIII y 132 fracciones I, II y III de la Ley de Transparencia y Acceso a la Información Pública del Estado de México y </w:t>
      </w:r>
      <w:r w:rsidRPr="00477BC7">
        <w:rPr>
          <w:rFonts w:ascii="Palatino Linotype" w:eastAsia="Times New Roman" w:hAnsi="Palatino Linotype" w:cs="Times New Roman"/>
          <w:sz w:val="24"/>
          <w:szCs w:val="24"/>
          <w:lang w:eastAsia="es-ES"/>
        </w:rPr>
        <w:lastRenderedPageBreak/>
        <w:t>Municipios en vigor, así como los numerales Segundo, fracción XVIII, y del Cuarto al Décimo Primero de los Lineamientos Generales en materia de Clasificación y Desclasificación de la Información, así como para la elaboración de Versiones Públicas, que literalmente expresan:</w:t>
      </w:r>
    </w:p>
    <w:p w:rsidR="00E65C96" w:rsidRPr="00477BC7" w:rsidRDefault="00E65C96" w:rsidP="00E65C96">
      <w:pPr>
        <w:spacing w:after="0" w:line="360" w:lineRule="auto"/>
        <w:jc w:val="both"/>
        <w:rPr>
          <w:rFonts w:ascii="Palatino Linotype" w:eastAsia="Times New Roman" w:hAnsi="Palatino Linotype" w:cs="Times New Roman"/>
          <w:sz w:val="24"/>
          <w:szCs w:val="24"/>
          <w:lang w:eastAsia="es-ES"/>
        </w:rPr>
      </w:pPr>
    </w:p>
    <w:p w:rsidR="00E65C96" w:rsidRPr="00477BC7" w:rsidRDefault="00E65C96" w:rsidP="00E65C96">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b/>
          <w:i/>
          <w:lang w:eastAsia="es-MX"/>
        </w:rPr>
        <w:t xml:space="preserve">“Artículo 49. </w:t>
      </w:r>
      <w:r w:rsidRPr="00477BC7">
        <w:rPr>
          <w:rFonts w:ascii="Times New Roman" w:eastAsia="Times New Roman" w:hAnsi="Times New Roman" w:cs="Times New Roman"/>
          <w:i/>
          <w:lang w:eastAsia="es-MX"/>
        </w:rPr>
        <w:t>Los Comités de Transparencia tendrán las siguientes atribuciones:</w:t>
      </w:r>
    </w:p>
    <w:p w:rsidR="00E65C96" w:rsidRPr="00477BC7" w:rsidRDefault="00E65C96" w:rsidP="00E65C96">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b/>
          <w:i/>
          <w:lang w:eastAsia="es-MX"/>
        </w:rPr>
        <w:t>VIII.</w:t>
      </w:r>
      <w:r w:rsidRPr="00477BC7">
        <w:rPr>
          <w:rFonts w:ascii="Times New Roman" w:eastAsia="Times New Roman" w:hAnsi="Times New Roman" w:cs="Times New Roman"/>
          <w:i/>
          <w:lang w:eastAsia="es-MX"/>
        </w:rPr>
        <w:t xml:space="preserve"> Aprobar, modificar o revocar la clasificación de la información;</w:t>
      </w:r>
    </w:p>
    <w:p w:rsidR="00E65C96" w:rsidRPr="00477BC7" w:rsidRDefault="00E65C96" w:rsidP="00E65C96">
      <w:pPr>
        <w:spacing w:after="0" w:line="240" w:lineRule="auto"/>
        <w:ind w:left="567" w:right="616"/>
        <w:jc w:val="both"/>
        <w:rPr>
          <w:rFonts w:ascii="Times New Roman" w:eastAsia="Times New Roman" w:hAnsi="Times New Roman" w:cs="Times New Roman"/>
          <w:i/>
          <w:lang w:eastAsia="es-MX"/>
        </w:rPr>
      </w:pPr>
    </w:p>
    <w:p w:rsidR="00E65C96" w:rsidRPr="00477BC7" w:rsidRDefault="00E65C96" w:rsidP="00E65C96">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b/>
          <w:i/>
          <w:lang w:eastAsia="es-MX"/>
        </w:rPr>
        <w:t>Artículo 132.</w:t>
      </w:r>
      <w:r w:rsidRPr="00477BC7">
        <w:rPr>
          <w:rFonts w:ascii="Times New Roman" w:eastAsia="Times New Roman" w:hAnsi="Times New Roman" w:cs="Times New Roman"/>
          <w:i/>
          <w:lang w:eastAsia="es-MX"/>
        </w:rPr>
        <w:t xml:space="preserve"> La clasificación de la información se llevará a cabo en el momento en que:</w:t>
      </w:r>
    </w:p>
    <w:p w:rsidR="00E65C96" w:rsidRPr="00477BC7" w:rsidRDefault="00E65C96" w:rsidP="00E65C96">
      <w:pPr>
        <w:spacing w:after="0" w:line="240" w:lineRule="auto"/>
        <w:ind w:left="567" w:right="616"/>
        <w:jc w:val="both"/>
        <w:rPr>
          <w:rFonts w:ascii="Times New Roman" w:eastAsia="Times New Roman" w:hAnsi="Times New Roman" w:cs="Times New Roman"/>
          <w:b/>
          <w:i/>
          <w:lang w:eastAsia="es-MX"/>
        </w:rPr>
      </w:pPr>
    </w:p>
    <w:p w:rsidR="00E65C96" w:rsidRPr="00477BC7" w:rsidRDefault="00E65C96" w:rsidP="00E65C96">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b/>
          <w:i/>
          <w:lang w:eastAsia="es-MX"/>
        </w:rPr>
        <w:t>I.</w:t>
      </w:r>
      <w:r w:rsidRPr="00477BC7">
        <w:rPr>
          <w:rFonts w:ascii="Times New Roman" w:eastAsia="Times New Roman" w:hAnsi="Times New Roman" w:cs="Times New Roman"/>
          <w:i/>
          <w:lang w:eastAsia="es-MX"/>
        </w:rPr>
        <w:t xml:space="preserve"> Se reciba una solicitud de acceso a la información;</w:t>
      </w:r>
    </w:p>
    <w:p w:rsidR="00E65C96" w:rsidRPr="00477BC7" w:rsidRDefault="00E65C96" w:rsidP="00E65C96">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b/>
          <w:i/>
          <w:lang w:eastAsia="es-MX"/>
        </w:rPr>
        <w:t>II.</w:t>
      </w:r>
      <w:r w:rsidRPr="00477BC7">
        <w:rPr>
          <w:rFonts w:ascii="Times New Roman" w:eastAsia="Times New Roman" w:hAnsi="Times New Roman" w:cs="Times New Roman"/>
          <w:i/>
          <w:lang w:eastAsia="es-MX"/>
        </w:rPr>
        <w:t xml:space="preserve"> Se determine mediante resolución de autoridad competente; o</w:t>
      </w:r>
    </w:p>
    <w:p w:rsidR="00E65C96" w:rsidRPr="00477BC7" w:rsidRDefault="00E65C96" w:rsidP="00E65C96">
      <w:pPr>
        <w:spacing w:after="0" w:line="240" w:lineRule="auto"/>
        <w:ind w:left="567" w:right="616"/>
        <w:jc w:val="both"/>
        <w:rPr>
          <w:rFonts w:ascii="Times New Roman" w:eastAsia="Times New Roman" w:hAnsi="Times New Roman" w:cs="Times New Roman"/>
          <w:b/>
          <w:i/>
          <w:lang w:eastAsia="es-MX"/>
        </w:rPr>
      </w:pPr>
      <w:r w:rsidRPr="00477BC7">
        <w:rPr>
          <w:rFonts w:ascii="Times New Roman" w:eastAsia="Times New Roman" w:hAnsi="Times New Roman" w:cs="Times New Roman"/>
          <w:i/>
          <w:lang w:eastAsia="es-MX"/>
        </w:rPr>
        <w:t>III. Se generen versiones públicas para dar cumplimiento a las obligaciones de transparencia previstas en esta Ley.</w:t>
      </w:r>
      <w:r w:rsidRPr="00477BC7">
        <w:rPr>
          <w:rFonts w:ascii="Times New Roman" w:eastAsia="Times New Roman" w:hAnsi="Times New Roman" w:cs="Times New Roman"/>
          <w:b/>
          <w:i/>
          <w:lang w:eastAsia="es-MX"/>
        </w:rPr>
        <w:t>”</w:t>
      </w:r>
    </w:p>
    <w:p w:rsidR="00E65C96" w:rsidRPr="00477BC7" w:rsidRDefault="00E65C96" w:rsidP="00E65C96">
      <w:pPr>
        <w:spacing w:after="0" w:line="240" w:lineRule="auto"/>
        <w:ind w:left="567" w:right="616"/>
        <w:jc w:val="both"/>
        <w:rPr>
          <w:rFonts w:ascii="Times New Roman" w:eastAsia="Times New Roman" w:hAnsi="Times New Roman" w:cs="Times New Roman"/>
          <w:b/>
          <w:i/>
          <w:lang w:eastAsia="es-MX"/>
        </w:rPr>
      </w:pPr>
    </w:p>
    <w:p w:rsidR="00E65C96" w:rsidRPr="00477BC7" w:rsidRDefault="00E65C96" w:rsidP="00E65C96">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b/>
          <w:i/>
          <w:lang w:eastAsia="es-MX"/>
        </w:rPr>
        <w:t>“Segundo.-</w:t>
      </w:r>
      <w:r w:rsidRPr="00477BC7">
        <w:rPr>
          <w:rFonts w:ascii="Times New Roman" w:eastAsia="Times New Roman" w:hAnsi="Times New Roman" w:cs="Times New Roman"/>
          <w:i/>
          <w:lang w:eastAsia="es-MX"/>
        </w:rPr>
        <w:t xml:space="preserve"> Para efectos de los presentes Lineamientos Generales, se entenderá por:</w:t>
      </w:r>
    </w:p>
    <w:p w:rsidR="00E65C96" w:rsidRPr="00477BC7" w:rsidRDefault="00E65C96" w:rsidP="00E65C96">
      <w:pPr>
        <w:spacing w:after="0" w:line="240" w:lineRule="auto"/>
        <w:ind w:left="567" w:right="616"/>
        <w:jc w:val="both"/>
        <w:rPr>
          <w:rFonts w:ascii="Times New Roman" w:eastAsia="Times New Roman" w:hAnsi="Times New Roman" w:cs="Times New Roman"/>
          <w:b/>
          <w:i/>
          <w:lang w:eastAsia="es-MX"/>
        </w:rPr>
      </w:pPr>
    </w:p>
    <w:p w:rsidR="00E65C96" w:rsidRPr="00477BC7" w:rsidRDefault="00E65C96" w:rsidP="00E65C96">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b/>
          <w:i/>
          <w:lang w:eastAsia="es-MX"/>
        </w:rPr>
        <w:t>XVIII.</w:t>
      </w:r>
      <w:r w:rsidRPr="00477BC7">
        <w:rPr>
          <w:rFonts w:ascii="Times New Roman" w:eastAsia="Times New Roman" w:hAnsi="Times New Roman" w:cs="Times New Roman"/>
          <w:i/>
          <w:lang w:eastAsia="es-MX"/>
        </w:rPr>
        <w:t xml:space="preserve"> </w:t>
      </w:r>
      <w:r w:rsidRPr="00477BC7">
        <w:rPr>
          <w:rFonts w:ascii="Times New Roman" w:eastAsia="Times New Roman" w:hAnsi="Times New Roman" w:cs="Times New Roman"/>
          <w:b/>
          <w:i/>
          <w:lang w:eastAsia="es-MX"/>
        </w:rPr>
        <w:t>Versión pública:</w:t>
      </w:r>
      <w:r w:rsidRPr="00477BC7">
        <w:rPr>
          <w:rFonts w:ascii="Times New Roman" w:eastAsia="Times New Roman" w:hAnsi="Times New Roman" w:cs="Times New Roman"/>
          <w:i/>
          <w:lang w:eastAsia="es-MX"/>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rsidR="00E65C96" w:rsidRPr="00477BC7" w:rsidRDefault="00E65C96" w:rsidP="00E65C96">
      <w:pPr>
        <w:spacing w:after="0" w:line="240" w:lineRule="auto"/>
        <w:ind w:left="567" w:right="616"/>
        <w:jc w:val="both"/>
        <w:rPr>
          <w:rFonts w:ascii="Times New Roman" w:eastAsia="Times New Roman" w:hAnsi="Times New Roman" w:cs="Times New Roman"/>
          <w:b/>
          <w:i/>
          <w:lang w:eastAsia="es-MX"/>
        </w:rPr>
      </w:pPr>
    </w:p>
    <w:p w:rsidR="00E65C96" w:rsidRPr="00477BC7" w:rsidRDefault="00E65C96" w:rsidP="00E65C96">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b/>
          <w:i/>
          <w:lang w:eastAsia="es-MX"/>
        </w:rPr>
        <w:t>Cuarto.</w:t>
      </w:r>
      <w:r w:rsidRPr="00477BC7">
        <w:rPr>
          <w:rFonts w:ascii="Times New Roman" w:eastAsia="Times New Roman" w:hAnsi="Times New Roman" w:cs="Times New Roman"/>
          <w:i/>
          <w:lang w:eastAsia="es-MX"/>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E65C96" w:rsidRPr="00477BC7" w:rsidRDefault="00E65C96" w:rsidP="00E65C96">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i/>
          <w:lang w:eastAsia="es-MX"/>
        </w:rPr>
        <w:t>Los Sujetos Obligados deberán aplicar, de manera estricta, las excepciones al derecho de acceso a la información y sólo podrán invocarlas cuando acrediten su procedencia.</w:t>
      </w:r>
    </w:p>
    <w:p w:rsidR="00E65C96" w:rsidRPr="00477BC7" w:rsidRDefault="00E65C96" w:rsidP="00E65C96">
      <w:pPr>
        <w:spacing w:after="0" w:line="240" w:lineRule="auto"/>
        <w:ind w:left="567" w:right="616"/>
        <w:jc w:val="both"/>
        <w:rPr>
          <w:rFonts w:ascii="Times New Roman" w:eastAsia="Times New Roman" w:hAnsi="Times New Roman" w:cs="Times New Roman"/>
          <w:b/>
          <w:i/>
          <w:lang w:eastAsia="es-MX"/>
        </w:rPr>
      </w:pPr>
    </w:p>
    <w:p w:rsidR="00E65C96" w:rsidRPr="00477BC7" w:rsidRDefault="00E65C96" w:rsidP="00E65C96">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b/>
          <w:i/>
          <w:lang w:eastAsia="es-MX"/>
        </w:rPr>
        <w:t>Quinto.</w:t>
      </w:r>
      <w:r w:rsidRPr="00477BC7">
        <w:rPr>
          <w:rFonts w:ascii="Times New Roman" w:eastAsia="Times New Roman" w:hAnsi="Times New Roman" w:cs="Times New Roman"/>
          <w:i/>
          <w:lang w:eastAsia="es-MX"/>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E65C96" w:rsidRPr="00477BC7" w:rsidRDefault="00E65C96" w:rsidP="00E65C96">
      <w:pPr>
        <w:spacing w:after="0" w:line="240" w:lineRule="auto"/>
        <w:ind w:left="567" w:right="616"/>
        <w:jc w:val="both"/>
        <w:rPr>
          <w:rFonts w:ascii="Times New Roman" w:eastAsia="Times New Roman" w:hAnsi="Times New Roman" w:cs="Times New Roman"/>
          <w:b/>
          <w:i/>
          <w:lang w:eastAsia="es-MX"/>
        </w:rPr>
      </w:pPr>
    </w:p>
    <w:p w:rsidR="00E65C96" w:rsidRPr="00477BC7" w:rsidRDefault="00E65C96" w:rsidP="00E65C96">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b/>
          <w:i/>
          <w:lang w:eastAsia="es-MX"/>
        </w:rPr>
        <w:lastRenderedPageBreak/>
        <w:t>Sexto.</w:t>
      </w:r>
      <w:r w:rsidRPr="00477BC7">
        <w:rPr>
          <w:rFonts w:ascii="Times New Roman" w:eastAsia="Times New Roman" w:hAnsi="Times New Roman" w:cs="Times New Roman"/>
          <w:i/>
          <w:lang w:eastAsia="es-MX"/>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rsidR="00E65C96" w:rsidRPr="00477BC7" w:rsidRDefault="00E65C96" w:rsidP="00E65C96">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i/>
          <w:lang w:eastAsia="es-MX"/>
        </w:rPr>
        <w:t>La clasificación de información se realizará conforme a un análisis caso por caso, mediante la aplicación de la prueba de daño y de interés público.</w:t>
      </w:r>
    </w:p>
    <w:p w:rsidR="00E65C96" w:rsidRPr="00477BC7" w:rsidRDefault="00E65C96" w:rsidP="00E65C96">
      <w:pPr>
        <w:spacing w:after="0" w:line="240" w:lineRule="auto"/>
        <w:ind w:left="567" w:right="616"/>
        <w:jc w:val="both"/>
        <w:rPr>
          <w:rFonts w:ascii="Times New Roman" w:eastAsia="Times New Roman" w:hAnsi="Times New Roman" w:cs="Times New Roman"/>
          <w:b/>
          <w:i/>
          <w:lang w:eastAsia="es-MX"/>
        </w:rPr>
      </w:pPr>
    </w:p>
    <w:p w:rsidR="00E65C96" w:rsidRPr="00477BC7" w:rsidRDefault="00E65C96" w:rsidP="00E65C96">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b/>
          <w:i/>
          <w:lang w:eastAsia="es-MX"/>
        </w:rPr>
        <w:t>Séptimo.</w:t>
      </w:r>
      <w:r w:rsidRPr="00477BC7">
        <w:rPr>
          <w:rFonts w:ascii="Times New Roman" w:eastAsia="Times New Roman" w:hAnsi="Times New Roman" w:cs="Times New Roman"/>
          <w:i/>
          <w:lang w:eastAsia="es-MX"/>
        </w:rPr>
        <w:t xml:space="preserve"> La clasificación de la información se llevará a cabo en el momento en que:</w:t>
      </w:r>
    </w:p>
    <w:p w:rsidR="00E65C96" w:rsidRPr="00477BC7" w:rsidRDefault="00E65C96" w:rsidP="00E65C96">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b/>
          <w:i/>
          <w:lang w:eastAsia="es-MX"/>
        </w:rPr>
        <w:t>I.</w:t>
      </w:r>
      <w:r w:rsidRPr="00477BC7">
        <w:rPr>
          <w:rFonts w:ascii="Times New Roman" w:eastAsia="Times New Roman" w:hAnsi="Times New Roman" w:cs="Times New Roman"/>
          <w:i/>
          <w:lang w:eastAsia="es-MX"/>
        </w:rPr>
        <w:t xml:space="preserve"> Se reciba una solicitud de acceso a la información;</w:t>
      </w:r>
    </w:p>
    <w:p w:rsidR="00E65C96" w:rsidRPr="00477BC7" w:rsidRDefault="00E65C96" w:rsidP="00E65C96">
      <w:pPr>
        <w:spacing w:after="0" w:line="240" w:lineRule="auto"/>
        <w:ind w:left="567" w:right="616"/>
        <w:jc w:val="both"/>
        <w:rPr>
          <w:rFonts w:ascii="Times New Roman" w:eastAsia="Times New Roman" w:hAnsi="Times New Roman" w:cs="Times New Roman"/>
          <w:b/>
          <w:i/>
          <w:lang w:eastAsia="es-MX"/>
        </w:rPr>
      </w:pPr>
    </w:p>
    <w:p w:rsidR="00E65C96" w:rsidRPr="00477BC7" w:rsidRDefault="00E65C96" w:rsidP="00E65C96">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b/>
          <w:i/>
          <w:lang w:eastAsia="es-MX"/>
        </w:rPr>
        <w:t>II.</w:t>
      </w:r>
      <w:r w:rsidRPr="00477BC7">
        <w:rPr>
          <w:rFonts w:ascii="Times New Roman" w:eastAsia="Times New Roman" w:hAnsi="Times New Roman" w:cs="Times New Roman"/>
          <w:i/>
          <w:lang w:eastAsia="es-MX"/>
        </w:rPr>
        <w:t xml:space="preserve"> Se determine mediante resolución de autoridad competente, o</w:t>
      </w:r>
    </w:p>
    <w:p w:rsidR="00E65C96" w:rsidRPr="00477BC7" w:rsidRDefault="00E65C96" w:rsidP="00E65C96">
      <w:pPr>
        <w:spacing w:after="0" w:line="240" w:lineRule="auto"/>
        <w:ind w:left="567" w:right="616"/>
        <w:jc w:val="both"/>
        <w:rPr>
          <w:rFonts w:ascii="Times New Roman" w:eastAsia="Times New Roman" w:hAnsi="Times New Roman" w:cs="Times New Roman"/>
          <w:b/>
          <w:i/>
          <w:lang w:eastAsia="es-MX"/>
        </w:rPr>
      </w:pPr>
    </w:p>
    <w:p w:rsidR="00E65C96" w:rsidRPr="00477BC7" w:rsidRDefault="00E65C96" w:rsidP="00E65C96">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b/>
          <w:i/>
          <w:lang w:eastAsia="es-MX"/>
        </w:rPr>
        <w:t>III.</w:t>
      </w:r>
      <w:r w:rsidRPr="00477BC7">
        <w:rPr>
          <w:rFonts w:ascii="Times New Roman" w:eastAsia="Times New Roman" w:hAnsi="Times New Roman" w:cs="Times New Roman"/>
          <w:i/>
          <w:lang w:eastAsia="es-MX"/>
        </w:rPr>
        <w:t xml:space="preserve"> Se generen versiones públicas para dar cumplimiento a las obligaciones de transparencia previstas en la Ley General, la Ley Federal y las correspondientes de las entidades federativas.</w:t>
      </w:r>
    </w:p>
    <w:p w:rsidR="00E65C96" w:rsidRPr="00477BC7" w:rsidRDefault="00E65C96" w:rsidP="00E65C96">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i/>
          <w:lang w:eastAsia="es-MX"/>
        </w:rPr>
        <w:t>Los titulares de las áreas deberán revisar la clasificación al momento de la recepción de una solicitud de acceso a la información, para verificar si encuadra en una causal de reserva o de confidencialidad.</w:t>
      </w:r>
    </w:p>
    <w:p w:rsidR="00E65C96" w:rsidRPr="00477BC7" w:rsidRDefault="00E65C96" w:rsidP="00E65C96">
      <w:pPr>
        <w:spacing w:after="0" w:line="240" w:lineRule="auto"/>
        <w:ind w:left="567" w:right="616"/>
        <w:jc w:val="both"/>
        <w:rPr>
          <w:rFonts w:ascii="Times New Roman" w:eastAsia="Times New Roman" w:hAnsi="Times New Roman" w:cs="Times New Roman"/>
          <w:b/>
          <w:i/>
          <w:lang w:eastAsia="es-MX"/>
        </w:rPr>
      </w:pPr>
    </w:p>
    <w:p w:rsidR="00E65C96" w:rsidRPr="00477BC7" w:rsidRDefault="00E65C96" w:rsidP="00E65C96">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b/>
          <w:i/>
          <w:lang w:eastAsia="es-MX"/>
        </w:rPr>
        <w:t>Octavo.</w:t>
      </w:r>
      <w:r w:rsidRPr="00477BC7">
        <w:rPr>
          <w:rFonts w:ascii="Times New Roman" w:eastAsia="Times New Roman" w:hAnsi="Times New Roman" w:cs="Times New Roman"/>
          <w:i/>
          <w:lang w:eastAsia="es-MX"/>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rsidR="00E65C96" w:rsidRPr="00477BC7" w:rsidRDefault="00E65C96" w:rsidP="00E65C96">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i/>
          <w:lang w:eastAsia="es-MX"/>
        </w:rPr>
        <w:t>Para motivar la clasificación se deberán señalar las razones o circunstancias especiales que lo llevaron a concluir que el caso particular se ajusta al supuesto previsto por la norma legal invocada como fundamento.</w:t>
      </w:r>
    </w:p>
    <w:p w:rsidR="00E65C96" w:rsidRPr="00477BC7" w:rsidRDefault="00E65C96" w:rsidP="00E65C96">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i/>
          <w:lang w:eastAsia="es-MX"/>
        </w:rPr>
        <w:t>En caso de referirse a información reservada, la motivación de la clasificación también deberá comprender las circunstancias que justifican el establecimiento de determinado plazo de reserva.</w:t>
      </w:r>
    </w:p>
    <w:p w:rsidR="00E65C96" w:rsidRPr="00477BC7" w:rsidRDefault="00E65C96" w:rsidP="00E65C96">
      <w:pPr>
        <w:spacing w:after="0" w:line="240" w:lineRule="auto"/>
        <w:ind w:left="567" w:right="616"/>
        <w:jc w:val="both"/>
        <w:rPr>
          <w:rFonts w:ascii="Times New Roman" w:eastAsia="Times New Roman" w:hAnsi="Times New Roman" w:cs="Times New Roman"/>
          <w:i/>
          <w:lang w:eastAsia="es-MX"/>
        </w:rPr>
      </w:pPr>
    </w:p>
    <w:p w:rsidR="00E65C96" w:rsidRPr="00477BC7" w:rsidRDefault="00E65C96" w:rsidP="00E65C96">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i/>
          <w:lang w:eastAsia="es-MX"/>
        </w:rPr>
        <w:t>Tratándose de información clasificada como confidencial respecto de la cual se haya determinado su conservación permanente por tener valor histórico, ésta conservará tal carácter de conformidad con la normativa aplicable en materia de archivos.</w:t>
      </w:r>
    </w:p>
    <w:p w:rsidR="00E65C96" w:rsidRPr="00477BC7" w:rsidRDefault="00E65C96" w:rsidP="00E65C96">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i/>
          <w:lang w:eastAsia="es-MX"/>
        </w:rPr>
        <w:t>Los documentos contenidos en los archivos históricos y los identificados como históricos confidenciales no serán susceptibles de clasificación como reservados.</w:t>
      </w:r>
    </w:p>
    <w:p w:rsidR="00E65C96" w:rsidRPr="00477BC7" w:rsidRDefault="00E65C96" w:rsidP="00E65C96">
      <w:pPr>
        <w:spacing w:after="0" w:line="240" w:lineRule="auto"/>
        <w:ind w:left="567" w:right="616"/>
        <w:jc w:val="both"/>
        <w:rPr>
          <w:rFonts w:ascii="Times New Roman" w:eastAsia="Times New Roman" w:hAnsi="Times New Roman" w:cs="Times New Roman"/>
          <w:b/>
          <w:i/>
          <w:lang w:eastAsia="es-MX"/>
        </w:rPr>
      </w:pPr>
    </w:p>
    <w:p w:rsidR="00E65C96" w:rsidRPr="00477BC7" w:rsidRDefault="00E65C96" w:rsidP="00E65C96">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b/>
          <w:i/>
          <w:lang w:eastAsia="es-MX"/>
        </w:rPr>
        <w:t>Noveno.</w:t>
      </w:r>
      <w:r w:rsidRPr="00477BC7">
        <w:rPr>
          <w:rFonts w:ascii="Times New Roman" w:eastAsia="Times New Roman" w:hAnsi="Times New Roman" w:cs="Times New Roman"/>
          <w:i/>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E65C96" w:rsidRPr="00477BC7" w:rsidRDefault="00E65C96" w:rsidP="00E65C96">
      <w:pPr>
        <w:spacing w:after="0" w:line="240" w:lineRule="auto"/>
        <w:ind w:left="567" w:right="616"/>
        <w:jc w:val="both"/>
        <w:rPr>
          <w:rFonts w:ascii="Times New Roman" w:eastAsia="Times New Roman" w:hAnsi="Times New Roman" w:cs="Times New Roman"/>
          <w:b/>
          <w:i/>
          <w:lang w:eastAsia="es-MX"/>
        </w:rPr>
      </w:pPr>
    </w:p>
    <w:p w:rsidR="00E65C96" w:rsidRPr="00477BC7" w:rsidRDefault="00E65C96" w:rsidP="00E65C96">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b/>
          <w:i/>
          <w:lang w:eastAsia="es-MX"/>
        </w:rPr>
        <w:t>Décimo.</w:t>
      </w:r>
      <w:r w:rsidRPr="00477BC7">
        <w:rPr>
          <w:rFonts w:ascii="Times New Roman" w:eastAsia="Times New Roman" w:hAnsi="Times New Roman" w:cs="Times New Roman"/>
          <w:i/>
          <w:lang w:eastAsia="es-MX"/>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E65C96" w:rsidRPr="00477BC7" w:rsidRDefault="00E65C96" w:rsidP="00E65C96">
      <w:pPr>
        <w:spacing w:after="0" w:line="240" w:lineRule="auto"/>
        <w:ind w:left="567" w:right="616"/>
        <w:jc w:val="both"/>
        <w:rPr>
          <w:rFonts w:ascii="Times New Roman" w:eastAsia="Times New Roman" w:hAnsi="Times New Roman" w:cs="Times New Roman"/>
          <w:i/>
          <w:lang w:eastAsia="es-MX"/>
        </w:rPr>
      </w:pPr>
    </w:p>
    <w:p w:rsidR="00E65C96" w:rsidRPr="00477BC7" w:rsidRDefault="00E65C96" w:rsidP="00E65C96">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i/>
          <w:lang w:eastAsia="es-MX"/>
        </w:rPr>
        <w:t>En ausencia de los titulares de las áreas, la información será clasificada o desclasificada por la persona que lo supla, en términos de la normativa que rija la actuación del sujeto obligado.</w:t>
      </w:r>
    </w:p>
    <w:p w:rsidR="00E65C96" w:rsidRPr="00477BC7" w:rsidRDefault="00E65C96" w:rsidP="00E65C96">
      <w:pPr>
        <w:spacing w:after="0" w:line="240" w:lineRule="auto"/>
        <w:ind w:left="567" w:right="616"/>
        <w:jc w:val="both"/>
        <w:rPr>
          <w:rFonts w:ascii="Times New Roman" w:eastAsia="Times New Roman" w:hAnsi="Times New Roman" w:cs="Times New Roman"/>
          <w:b/>
          <w:i/>
          <w:lang w:eastAsia="es-MX"/>
        </w:rPr>
      </w:pPr>
    </w:p>
    <w:p w:rsidR="00E65C96" w:rsidRPr="00477BC7" w:rsidRDefault="00E65C96" w:rsidP="00E65C96">
      <w:pPr>
        <w:spacing w:after="0" w:line="240" w:lineRule="auto"/>
        <w:ind w:left="567" w:right="616"/>
        <w:jc w:val="both"/>
        <w:rPr>
          <w:rFonts w:ascii="Times New Roman" w:eastAsia="Times New Roman" w:hAnsi="Times New Roman" w:cs="Times New Roman"/>
          <w:b/>
          <w:sz w:val="24"/>
          <w:szCs w:val="24"/>
          <w:lang w:eastAsia="es-MX"/>
        </w:rPr>
      </w:pPr>
      <w:r w:rsidRPr="00477BC7">
        <w:rPr>
          <w:rFonts w:ascii="Times New Roman" w:eastAsia="Times New Roman" w:hAnsi="Times New Roman" w:cs="Times New Roman"/>
          <w:b/>
          <w:i/>
          <w:lang w:eastAsia="es-MX"/>
        </w:rPr>
        <w:t>Décimo primero.</w:t>
      </w:r>
      <w:r w:rsidRPr="00477BC7">
        <w:rPr>
          <w:rFonts w:ascii="Times New Roman" w:eastAsia="Times New Roman" w:hAnsi="Times New Roman" w:cs="Times New Roman"/>
          <w:i/>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477BC7">
        <w:rPr>
          <w:rFonts w:ascii="Times New Roman" w:eastAsia="Times New Roman" w:hAnsi="Times New Roman" w:cs="Times New Roman"/>
          <w:b/>
          <w:i/>
          <w:lang w:eastAsia="es-MX"/>
        </w:rPr>
        <w:t>”</w:t>
      </w:r>
    </w:p>
    <w:p w:rsidR="00E65C96" w:rsidRPr="00477BC7" w:rsidRDefault="00E65C96" w:rsidP="00E65C96">
      <w:pPr>
        <w:spacing w:after="0" w:line="360" w:lineRule="auto"/>
        <w:jc w:val="both"/>
        <w:rPr>
          <w:rFonts w:ascii="Palatino Linotype" w:eastAsia="Times New Roman" w:hAnsi="Palatino Linotype" w:cs="Arial"/>
          <w:i/>
          <w:sz w:val="24"/>
          <w:szCs w:val="24"/>
          <w:lang w:eastAsia="es-MX"/>
        </w:rPr>
      </w:pPr>
    </w:p>
    <w:p w:rsidR="00E65C96" w:rsidRPr="00477BC7" w:rsidRDefault="00E65C96" w:rsidP="00E65C96">
      <w:pPr>
        <w:spacing w:after="0" w:line="360" w:lineRule="auto"/>
        <w:jc w:val="both"/>
        <w:rPr>
          <w:rFonts w:ascii="Palatino Linotype" w:eastAsia="Times New Roman" w:hAnsi="Palatino Linotype" w:cs="Times New Roman"/>
          <w:sz w:val="24"/>
          <w:szCs w:val="24"/>
          <w:lang w:eastAsia="es-ES"/>
        </w:rPr>
      </w:pPr>
      <w:r w:rsidRPr="00477BC7">
        <w:rPr>
          <w:rFonts w:ascii="Palatino Linotype" w:eastAsia="Times New Roman" w:hAnsi="Palatino Linotype" w:cs="Times New Roman"/>
          <w:sz w:val="24"/>
          <w:szCs w:val="24"/>
          <w:lang w:eastAsia="es-ES"/>
        </w:rPr>
        <w:t xml:space="preserve">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suprima aquella información relacionada con la vida privada de particulares mediante el debido Acuerdo fundado y motivado en el que </w:t>
      </w:r>
      <w:r w:rsidRPr="00477BC7">
        <w:rPr>
          <w:rFonts w:ascii="Palatino Linotype" w:eastAsia="Times New Roman" w:hAnsi="Palatino Linotype" w:cs="Times New Roman"/>
          <w:sz w:val="24"/>
          <w:szCs w:val="24"/>
          <w:lang w:val="es-ES_tradnl" w:eastAsia="es-ES"/>
        </w:rPr>
        <w:t>el Sujeto Obligado</w:t>
      </w:r>
      <w:r w:rsidRPr="00477BC7">
        <w:rPr>
          <w:rFonts w:ascii="Palatino Linotype" w:eastAsia="Times New Roman" w:hAnsi="Palatino Linotype" w:cs="Times New Roman"/>
          <w:sz w:val="24"/>
          <w:szCs w:val="24"/>
          <w:lang w:eastAsia="es-ES"/>
        </w:rPr>
        <w:t xml:space="preserve"> precise las razones objetivas por las que la apertura de la información generaría una afectación, asimismo, es claro que el mismo debe aplicar de manera restrictiva y limitada las hipótesis de clasificación y no hacerlas valer de manera general. Es importante señalar que, para acreditar dichos supuestos jurídicos se debe fundar y motivar correctamente la categorización de la información.</w:t>
      </w:r>
    </w:p>
    <w:p w:rsidR="00E65C96" w:rsidRPr="00477BC7" w:rsidRDefault="00E65C96" w:rsidP="00E65C96">
      <w:pPr>
        <w:spacing w:after="0" w:line="360" w:lineRule="auto"/>
        <w:jc w:val="both"/>
        <w:rPr>
          <w:rFonts w:ascii="Palatino Linotype" w:eastAsia="Times New Roman" w:hAnsi="Palatino Linotype" w:cs="Times New Roman"/>
          <w:sz w:val="24"/>
          <w:szCs w:val="24"/>
          <w:lang w:eastAsia="es-ES"/>
        </w:rPr>
      </w:pPr>
    </w:p>
    <w:p w:rsidR="00E65C96" w:rsidRPr="00477BC7" w:rsidRDefault="00E65C96" w:rsidP="00E65C96">
      <w:pPr>
        <w:spacing w:after="0" w:line="360" w:lineRule="auto"/>
        <w:jc w:val="both"/>
        <w:rPr>
          <w:rFonts w:ascii="Palatino Linotype" w:eastAsia="Times New Roman" w:hAnsi="Palatino Linotype" w:cs="Times New Roman"/>
          <w:sz w:val="24"/>
          <w:szCs w:val="24"/>
          <w:lang w:eastAsia="es-ES"/>
        </w:rPr>
      </w:pPr>
      <w:r w:rsidRPr="00477BC7">
        <w:rPr>
          <w:rFonts w:ascii="Palatino Linotype" w:eastAsia="Times New Roman" w:hAnsi="Palatino Linotype" w:cs="Times New Roman"/>
          <w:sz w:val="24"/>
          <w:szCs w:val="24"/>
          <w:lang w:eastAsia="es-ES"/>
        </w:rPr>
        <w:t>Por tanto, la fundamentación y motivación consiste en la obligación que tiene todo ente público de expresar los preceptos jurídicos aplicables al asunto motivo del acto y las razones o argumentos de su actuar.</w:t>
      </w:r>
    </w:p>
    <w:p w:rsidR="00E65C96" w:rsidRPr="00477BC7" w:rsidRDefault="00E65C96" w:rsidP="00E65C96">
      <w:pPr>
        <w:spacing w:after="0" w:line="360" w:lineRule="auto"/>
        <w:jc w:val="both"/>
        <w:rPr>
          <w:rFonts w:ascii="Palatino Linotype" w:eastAsia="Times New Roman" w:hAnsi="Palatino Linotype" w:cs="Times New Roman"/>
          <w:sz w:val="24"/>
          <w:szCs w:val="24"/>
          <w:lang w:eastAsia="es-ES"/>
        </w:rPr>
      </w:pPr>
    </w:p>
    <w:p w:rsidR="00E65C96" w:rsidRPr="00477BC7" w:rsidRDefault="00E65C96" w:rsidP="00E65C96">
      <w:pPr>
        <w:spacing w:after="0" w:line="360" w:lineRule="auto"/>
        <w:jc w:val="both"/>
        <w:rPr>
          <w:rFonts w:ascii="Palatino Linotype" w:eastAsia="Times New Roman" w:hAnsi="Palatino Linotype" w:cs="Times New Roman"/>
          <w:sz w:val="24"/>
          <w:szCs w:val="24"/>
          <w:lang w:eastAsia="es-ES"/>
        </w:rPr>
      </w:pPr>
      <w:r w:rsidRPr="00477BC7">
        <w:rPr>
          <w:rFonts w:ascii="Palatino Linotype" w:eastAsia="Times New Roman" w:hAnsi="Palatino Linotype" w:cs="Times New Roman"/>
          <w:sz w:val="24"/>
          <w:szCs w:val="24"/>
          <w:lang w:eastAsia="es-ES"/>
        </w:rPr>
        <w:t>Al respecto, el máximo tribunal del país ha establecido jurisprudencia respecto a qué debe entenderse por fundamentación y motivación, en los siguientes términos:</w:t>
      </w:r>
    </w:p>
    <w:p w:rsidR="00E65C96" w:rsidRPr="00477BC7" w:rsidRDefault="00E65C96" w:rsidP="00E65C96">
      <w:pPr>
        <w:spacing w:after="0" w:line="360" w:lineRule="auto"/>
        <w:jc w:val="both"/>
        <w:rPr>
          <w:rFonts w:ascii="Palatino Linotype" w:eastAsia="Times New Roman" w:hAnsi="Palatino Linotype" w:cs="Times New Roman"/>
          <w:sz w:val="24"/>
          <w:szCs w:val="24"/>
          <w:lang w:eastAsia="es-ES"/>
        </w:rPr>
      </w:pPr>
    </w:p>
    <w:p w:rsidR="00E65C96" w:rsidRPr="00477BC7" w:rsidRDefault="00E65C96" w:rsidP="00E65C96">
      <w:pPr>
        <w:spacing w:after="0" w:line="240" w:lineRule="auto"/>
        <w:ind w:left="567" w:right="616"/>
        <w:jc w:val="both"/>
        <w:rPr>
          <w:rFonts w:ascii="Palatino Linotype" w:eastAsia="Times New Roman" w:hAnsi="Palatino Linotype" w:cs="Times New Roman"/>
          <w:i/>
          <w:lang w:eastAsia="es-ES"/>
        </w:rPr>
      </w:pPr>
      <w:r w:rsidRPr="00477BC7">
        <w:rPr>
          <w:rFonts w:ascii="Palatino Linotype" w:eastAsia="Times New Roman" w:hAnsi="Palatino Linotype" w:cs="Times New Roman"/>
          <w:b/>
          <w:i/>
          <w:lang w:eastAsia="es-ES"/>
        </w:rPr>
        <w:t xml:space="preserve">FUNDAMENTACIÓN Y MOTIVACIÓN. </w:t>
      </w:r>
      <w:r w:rsidRPr="00477BC7">
        <w:rPr>
          <w:rFonts w:ascii="Palatino Linotype" w:eastAsia="Times New Roman" w:hAnsi="Palatino Linotype" w:cs="Times New Roman"/>
          <w:i/>
          <w:lang w:eastAsia="es-ES"/>
        </w:rPr>
        <w:t>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p>
    <w:p w:rsidR="00E65C96" w:rsidRPr="00477BC7" w:rsidRDefault="00E65C96" w:rsidP="00E65C96">
      <w:pPr>
        <w:spacing w:after="0" w:line="360" w:lineRule="auto"/>
        <w:jc w:val="both"/>
        <w:rPr>
          <w:rFonts w:ascii="Palatino Linotype" w:eastAsia="Times New Roman" w:hAnsi="Palatino Linotype" w:cs="Times New Roman"/>
          <w:sz w:val="24"/>
          <w:szCs w:val="24"/>
          <w:lang w:eastAsia="es-ES"/>
        </w:rPr>
      </w:pPr>
    </w:p>
    <w:p w:rsidR="00E65C96" w:rsidRPr="00477BC7" w:rsidRDefault="00E65C96" w:rsidP="00E65C96">
      <w:pPr>
        <w:spacing w:after="0" w:line="360" w:lineRule="auto"/>
        <w:jc w:val="both"/>
        <w:rPr>
          <w:rFonts w:ascii="Palatino Linotype" w:eastAsia="Times New Roman" w:hAnsi="Palatino Linotype" w:cs="Times New Roman"/>
          <w:sz w:val="24"/>
          <w:szCs w:val="24"/>
          <w:lang w:eastAsia="es-ES"/>
        </w:rPr>
      </w:pPr>
      <w:r w:rsidRPr="00477BC7">
        <w:rPr>
          <w:rFonts w:ascii="Palatino Linotype" w:eastAsia="Times New Roman" w:hAnsi="Palatino Linotype" w:cs="Times New Roman"/>
          <w:sz w:val="24"/>
          <w:szCs w:val="24"/>
          <w:lang w:eastAsia="es-ES"/>
        </w:rPr>
        <w:t>Así,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w:t>
      </w:r>
    </w:p>
    <w:p w:rsidR="00E65C96" w:rsidRPr="00477BC7" w:rsidRDefault="00E65C96" w:rsidP="00E65C96">
      <w:pPr>
        <w:spacing w:after="0" w:line="360" w:lineRule="auto"/>
        <w:jc w:val="both"/>
        <w:rPr>
          <w:rFonts w:ascii="Palatino Linotype" w:eastAsia="Times New Roman" w:hAnsi="Palatino Linotype" w:cs="Times New Roman"/>
          <w:sz w:val="24"/>
          <w:szCs w:val="24"/>
          <w:lang w:eastAsia="es-ES"/>
        </w:rPr>
      </w:pPr>
    </w:p>
    <w:p w:rsidR="00E65C96" w:rsidRPr="00477BC7" w:rsidRDefault="00E65C96" w:rsidP="00E65C96">
      <w:pPr>
        <w:spacing w:after="0" w:line="360" w:lineRule="auto"/>
        <w:jc w:val="both"/>
        <w:rPr>
          <w:rFonts w:ascii="Palatino Linotype" w:eastAsia="Times New Roman" w:hAnsi="Palatino Linotype" w:cs="Times New Roman"/>
          <w:sz w:val="24"/>
          <w:szCs w:val="24"/>
          <w:lang w:eastAsia="es-ES"/>
        </w:rPr>
      </w:pPr>
      <w:r w:rsidRPr="00477BC7">
        <w:rPr>
          <w:rFonts w:ascii="Palatino Linotype" w:eastAsia="Times New Roman" w:hAnsi="Palatino Linotype" w:cs="Times New Roman"/>
          <w:sz w:val="24"/>
          <w:szCs w:val="24"/>
          <w:lang w:eastAsia="es-ES"/>
        </w:rPr>
        <w:t>Más aún, a través de diversa jurisprudencia dictada por el Poder Judicial de la Federación se sostiene que la finalidad de la fundamentación o motivación es la de explicar, justificar, posibilitar la defensa y comunicar la decisión de la autoridad:</w:t>
      </w:r>
    </w:p>
    <w:p w:rsidR="00E65C96" w:rsidRPr="00477BC7" w:rsidRDefault="00E65C96" w:rsidP="00E65C96">
      <w:pPr>
        <w:spacing w:after="0" w:line="360" w:lineRule="auto"/>
        <w:jc w:val="both"/>
        <w:rPr>
          <w:rFonts w:ascii="Palatino Linotype" w:eastAsia="Times New Roman" w:hAnsi="Palatino Linotype" w:cs="Times New Roman"/>
          <w:sz w:val="24"/>
          <w:szCs w:val="24"/>
          <w:lang w:eastAsia="es-ES"/>
        </w:rPr>
      </w:pPr>
    </w:p>
    <w:p w:rsidR="00E65C96" w:rsidRPr="00477BC7" w:rsidRDefault="00E65C96" w:rsidP="00E65C96">
      <w:pPr>
        <w:spacing w:after="0" w:line="240" w:lineRule="auto"/>
        <w:ind w:left="567" w:right="616"/>
        <w:jc w:val="both"/>
        <w:rPr>
          <w:rFonts w:ascii="Palatino Linotype" w:eastAsia="Times New Roman" w:hAnsi="Palatino Linotype" w:cs="Times New Roman"/>
          <w:i/>
          <w:lang w:eastAsia="es-ES"/>
        </w:rPr>
      </w:pPr>
      <w:r w:rsidRPr="00477BC7">
        <w:rPr>
          <w:rFonts w:ascii="Palatino Linotype" w:eastAsia="Times New Roman" w:hAnsi="Palatino Linotype" w:cs="Times New Roman"/>
          <w:b/>
          <w:i/>
          <w:lang w:eastAsia="es-ES"/>
        </w:rPr>
        <w:t>FUNDAMENTACIÓN Y MOTIVACIÓN. EL ASPECTO FORMAL DE LA GARANTÍA Y SU FINALIDAD SE TRADUCEN EN EXPLICAR, JUSTIFICAR, POSIBILITAR LA DEFENSA Y COMUNICAR LA DECISIÓN</w:t>
      </w:r>
      <w:r w:rsidRPr="00477BC7">
        <w:rPr>
          <w:rFonts w:ascii="Palatino Linotype" w:eastAsia="Times New Roman" w:hAnsi="Palatino Linotype" w:cs="Times New Roman"/>
          <w:i/>
          <w:lang w:eastAsia="es-ES"/>
        </w:rPr>
        <w:t xml:space="preserve">. El contenido formal de la garantía de legalidad prevista en el artículo 16 constitucional relativa a la 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w:t>
      </w:r>
      <w:r w:rsidRPr="00477BC7">
        <w:rPr>
          <w:rFonts w:ascii="Palatino Linotype" w:eastAsia="Times New Roman" w:hAnsi="Palatino Linotype" w:cs="Times New Roman"/>
          <w:i/>
          <w:lang w:eastAsia="es-ES"/>
        </w:rPr>
        <w:lastRenderedPageBreak/>
        <w:t>acreditar el razonamiento del que se deduzca la relación de pertenencia lógica de los hechos al derecho invocado, que es la subsunción.</w:t>
      </w:r>
    </w:p>
    <w:p w:rsidR="00E65C96" w:rsidRPr="00477BC7" w:rsidRDefault="00E65C96" w:rsidP="00E65C96">
      <w:pPr>
        <w:spacing w:after="0" w:line="360" w:lineRule="auto"/>
        <w:jc w:val="both"/>
        <w:rPr>
          <w:rFonts w:ascii="Palatino Linotype" w:eastAsia="Times New Roman" w:hAnsi="Palatino Linotype" w:cs="Times New Roman"/>
          <w:sz w:val="24"/>
          <w:szCs w:val="24"/>
          <w:lang w:eastAsia="es-ES"/>
        </w:rPr>
      </w:pPr>
    </w:p>
    <w:p w:rsidR="00E65C96" w:rsidRPr="00477BC7" w:rsidRDefault="00E65C96" w:rsidP="00E65C96">
      <w:pPr>
        <w:spacing w:after="0" w:line="360" w:lineRule="auto"/>
        <w:jc w:val="both"/>
        <w:rPr>
          <w:rFonts w:ascii="Palatino Linotype" w:eastAsia="Times New Roman" w:hAnsi="Palatino Linotype" w:cs="Times New Roman"/>
          <w:sz w:val="24"/>
          <w:szCs w:val="24"/>
          <w:lang w:eastAsia="es-ES"/>
        </w:rPr>
      </w:pPr>
      <w:r w:rsidRPr="00477BC7">
        <w:rPr>
          <w:rFonts w:ascii="Palatino Linotype" w:eastAsia="Times New Roman" w:hAnsi="Palatino Linotype" w:cs="Times New Roman"/>
          <w:sz w:val="24"/>
          <w:szCs w:val="24"/>
          <w:lang w:eastAsia="es-ES"/>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siente afectada pueda impugnar la decisión, permitiéndole una real y auténtica defensa.</w:t>
      </w:r>
    </w:p>
    <w:p w:rsidR="00E65C96" w:rsidRPr="00477BC7" w:rsidRDefault="00E65C96" w:rsidP="00E65C96">
      <w:pPr>
        <w:spacing w:after="0" w:line="360" w:lineRule="auto"/>
        <w:jc w:val="both"/>
        <w:rPr>
          <w:rFonts w:ascii="Palatino Linotype" w:eastAsia="Times New Roman" w:hAnsi="Palatino Linotype" w:cs="Times New Roman"/>
          <w:sz w:val="24"/>
          <w:szCs w:val="24"/>
          <w:lang w:eastAsia="es-ES"/>
        </w:rPr>
      </w:pPr>
    </w:p>
    <w:p w:rsidR="00E65C96" w:rsidRPr="00185A85" w:rsidRDefault="00E65C96" w:rsidP="00E65C96">
      <w:pPr>
        <w:spacing w:after="0" w:line="360" w:lineRule="auto"/>
        <w:jc w:val="both"/>
        <w:rPr>
          <w:rFonts w:ascii="Palatino Linotype" w:eastAsia="Times New Roman" w:hAnsi="Palatino Linotype" w:cs="Times New Roman"/>
          <w:sz w:val="24"/>
          <w:szCs w:val="24"/>
          <w:lang w:val="es-ES" w:eastAsia="es-ES"/>
        </w:rPr>
      </w:pPr>
      <w:r w:rsidRPr="00477BC7">
        <w:rPr>
          <w:rFonts w:ascii="Palatino Linotype" w:eastAsia="Times New Roman" w:hAnsi="Palatino Linotype" w:cs="Times New Roman"/>
          <w:sz w:val="24"/>
          <w:szCs w:val="24"/>
          <w:lang w:val="es-ES" w:eastAsia="es-ES"/>
        </w:rPr>
        <w:t>Por lo tanto, la entrega de documentos en su versión pública debe acompañarse necesariamente del Acuerdo del Comité de Transparencia del Sujeto Obligado</w:t>
      </w:r>
      <w:r w:rsidRPr="00477BC7">
        <w:rPr>
          <w:rFonts w:ascii="Palatino Linotype" w:eastAsia="Times New Roman" w:hAnsi="Palatino Linotype" w:cs="Times New Roman"/>
          <w:b/>
          <w:sz w:val="24"/>
          <w:szCs w:val="24"/>
          <w:lang w:val="es-ES" w:eastAsia="es-ES"/>
        </w:rPr>
        <w:t xml:space="preserve"> </w:t>
      </w:r>
      <w:r w:rsidRPr="00477BC7">
        <w:rPr>
          <w:rFonts w:ascii="Palatino Linotype" w:eastAsia="Times New Roman" w:hAnsi="Palatino Linotype" w:cs="Times New Roman"/>
          <w:sz w:val="24"/>
          <w:szCs w:val="24"/>
          <w:lang w:val="es-ES" w:eastAsia="es-ES"/>
        </w:rPr>
        <w:t xml:space="preserve">que la sustente, en el que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w:t>
      </w:r>
      <w:r w:rsidRPr="00185A85">
        <w:rPr>
          <w:rFonts w:ascii="Palatino Linotype" w:eastAsia="Times New Roman" w:hAnsi="Palatino Linotype" w:cs="Times New Roman"/>
          <w:sz w:val="24"/>
          <w:szCs w:val="24"/>
          <w:lang w:val="es-ES" w:eastAsia="es-ES"/>
        </w:rPr>
        <w:t>las razones de ello se estaría violentando desde un inicio el derecho de acceso a la información del solicitante.</w:t>
      </w:r>
    </w:p>
    <w:p w:rsidR="00E65C96" w:rsidRDefault="00E65C96" w:rsidP="00E65C96">
      <w:pPr>
        <w:pStyle w:val="Sinespaciado"/>
        <w:spacing w:line="360" w:lineRule="auto"/>
        <w:jc w:val="both"/>
        <w:rPr>
          <w:rFonts w:ascii="Palatino Linotype" w:hAnsi="Palatino Linotype"/>
        </w:rPr>
      </w:pPr>
    </w:p>
    <w:p w:rsidR="00E65C96" w:rsidRDefault="00E65C96" w:rsidP="00E65C96">
      <w:pPr>
        <w:pStyle w:val="Sinespaciado"/>
        <w:spacing w:line="360" w:lineRule="auto"/>
        <w:jc w:val="both"/>
        <w:rPr>
          <w:rFonts w:ascii="Palatino Linotype" w:hAnsi="Palatino Linotype" w:cs="Arial"/>
          <w:bCs/>
        </w:rPr>
      </w:pPr>
      <w:r w:rsidRPr="00C12CA8">
        <w:rPr>
          <w:rFonts w:ascii="Palatino Linotype" w:hAnsi="Palatino Linotype" w:cs="Arial"/>
          <w:bCs/>
        </w:rPr>
        <w:t xml:space="preserve">En ese tenor y de acuerdo a la interpretación en el orden administrativo que le da la Ley de la materia a este Instituto específicamente, en términos de su artículo 36, fracción I, </w:t>
      </w:r>
      <w:r w:rsidRPr="00C12CA8">
        <w:rPr>
          <w:rFonts w:ascii="Palatino Linotype" w:hAnsi="Palatino Linotype" w:cs="Arial"/>
        </w:rPr>
        <w:t xml:space="preserve">de la Ley de Transparencia y Acceso a la Información Pública del Estado de </w:t>
      </w:r>
      <w:r w:rsidRPr="00C12CA8">
        <w:rPr>
          <w:rFonts w:ascii="Palatino Linotype" w:hAnsi="Palatino Linotype" w:cs="Arial"/>
        </w:rPr>
        <w:lastRenderedPageBreak/>
        <w:t xml:space="preserve">México y Municipios, </w:t>
      </w:r>
      <w:r w:rsidRPr="00C12CA8">
        <w:rPr>
          <w:rFonts w:ascii="Palatino Linotype" w:hAnsi="Palatino Linotype" w:cs="Arial"/>
          <w:bCs/>
        </w:rPr>
        <w:t>a efecto de salvaguardar el derecho de acceso a la información pública consignado a favor del Recurrente.</w:t>
      </w:r>
    </w:p>
    <w:p w:rsidR="00E65C96" w:rsidRPr="00C12CA8" w:rsidRDefault="00E65C96" w:rsidP="00E65C96">
      <w:pPr>
        <w:pStyle w:val="Sinespaciado"/>
        <w:spacing w:line="360" w:lineRule="auto"/>
        <w:jc w:val="both"/>
        <w:rPr>
          <w:rFonts w:ascii="Palatino Linotype" w:hAnsi="Palatino Linotype"/>
        </w:rPr>
      </w:pPr>
    </w:p>
    <w:p w:rsidR="00E65C96" w:rsidRPr="00C24D80" w:rsidRDefault="00E65C96" w:rsidP="00E65C96">
      <w:pPr>
        <w:pStyle w:val="Sinespaciado"/>
        <w:spacing w:line="360" w:lineRule="auto"/>
        <w:jc w:val="both"/>
        <w:rPr>
          <w:rFonts w:ascii="Palatino Linotype" w:hAnsi="Palatino Linotype"/>
        </w:rPr>
      </w:pPr>
      <w:r w:rsidRPr="00C24D80">
        <w:rPr>
          <w:rFonts w:ascii="Palatino Linotype" w:hAnsi="Palatino Linotype"/>
        </w:rPr>
        <w:t>Por lo anteriormente expuesto, r</w:t>
      </w:r>
      <w:r w:rsidRPr="00C24D80">
        <w:rPr>
          <w:rFonts w:ascii="Palatino Linotype" w:hAnsi="Palatino Linotype"/>
          <w:noProof/>
          <w:lang w:eastAsia="es-MX"/>
        </w:rPr>
        <w:t xml:space="preserve">esultan fundados los motivos de inconformidad que arguye el Recurrente; </w:t>
      </w:r>
      <w:r w:rsidRPr="00C24D80">
        <w:rPr>
          <w:rFonts w:ascii="Palatino Linotype" w:hAnsi="Palatino Linotype"/>
        </w:rPr>
        <w:t>por ello, con fundamento en el artículo 186 fracción IV de la Ley de Transparencia y Acceso a la Información Pública del Estado de México y Municipios, este Pleno:</w:t>
      </w:r>
    </w:p>
    <w:p w:rsidR="00B76A01" w:rsidRPr="00205730" w:rsidRDefault="00B76A01" w:rsidP="00F1574A">
      <w:pPr>
        <w:pStyle w:val="Sinespaciado"/>
        <w:spacing w:line="360" w:lineRule="auto"/>
        <w:jc w:val="both"/>
        <w:rPr>
          <w:rFonts w:ascii="Palatino Linotype" w:hAnsi="Palatino Linotype"/>
        </w:rPr>
      </w:pPr>
    </w:p>
    <w:p w:rsidR="00B76A01" w:rsidRPr="00D13500" w:rsidRDefault="00B76A01" w:rsidP="006E7232">
      <w:pPr>
        <w:pStyle w:val="Sinespaciado"/>
        <w:spacing w:line="360" w:lineRule="auto"/>
        <w:jc w:val="center"/>
        <w:rPr>
          <w:rFonts w:ascii="Palatino Linotype" w:hAnsi="Palatino Linotype"/>
          <w:b/>
          <w:bCs/>
          <w:spacing w:val="60"/>
          <w:sz w:val="28"/>
          <w:szCs w:val="28"/>
          <w:lang w:val="es-ES_tradnl"/>
        </w:rPr>
      </w:pPr>
      <w:r w:rsidRPr="00D13500">
        <w:rPr>
          <w:rFonts w:ascii="Palatino Linotype" w:hAnsi="Palatino Linotype"/>
          <w:b/>
          <w:bCs/>
          <w:spacing w:val="60"/>
          <w:sz w:val="28"/>
          <w:szCs w:val="28"/>
          <w:lang w:val="es-ES_tradnl"/>
        </w:rPr>
        <w:t>RESUELVE</w:t>
      </w:r>
    </w:p>
    <w:p w:rsidR="00B76A01" w:rsidRPr="00205730" w:rsidRDefault="00B76A01" w:rsidP="00F1574A">
      <w:pPr>
        <w:pStyle w:val="Sinespaciado"/>
        <w:spacing w:line="360" w:lineRule="auto"/>
        <w:jc w:val="both"/>
        <w:rPr>
          <w:rFonts w:ascii="Palatino Linotype" w:hAnsi="Palatino Linotype"/>
          <w:b/>
          <w:bCs/>
          <w:spacing w:val="60"/>
          <w:lang w:val="es-ES_tradnl"/>
        </w:rPr>
      </w:pPr>
    </w:p>
    <w:p w:rsidR="00D4082C" w:rsidRPr="00205730" w:rsidRDefault="006E7232" w:rsidP="00F1574A">
      <w:pPr>
        <w:pStyle w:val="Sinespaciado"/>
        <w:spacing w:line="360" w:lineRule="auto"/>
        <w:jc w:val="both"/>
        <w:rPr>
          <w:rFonts w:ascii="Palatino Linotype" w:hAnsi="Palatino Linotype"/>
          <w:bCs/>
          <w:lang w:eastAsia="es-MX"/>
        </w:rPr>
      </w:pPr>
      <w:r w:rsidRPr="00205730">
        <w:rPr>
          <w:rFonts w:ascii="Palatino Linotype" w:hAnsi="Palatino Linotype"/>
          <w:b/>
        </w:rPr>
        <w:t>PRIMERO.</w:t>
      </w:r>
      <w:r w:rsidR="00D4082C" w:rsidRPr="00205730">
        <w:rPr>
          <w:rFonts w:ascii="Palatino Linotype" w:hAnsi="Palatino Linotype"/>
        </w:rPr>
        <w:t xml:space="preserve"> Resultan fundados los motivos de inconformidad </w:t>
      </w:r>
      <w:r w:rsidR="00D91950" w:rsidRPr="00205730">
        <w:rPr>
          <w:rFonts w:ascii="Palatino Linotype" w:hAnsi="Palatino Linotype"/>
        </w:rPr>
        <w:t xml:space="preserve">hechos valer por </w:t>
      </w:r>
      <w:r w:rsidRPr="00205730">
        <w:rPr>
          <w:rFonts w:ascii="Palatino Linotype" w:hAnsi="Palatino Linotype"/>
        </w:rPr>
        <w:t>el</w:t>
      </w:r>
      <w:r w:rsidR="000403ED" w:rsidRPr="00205730">
        <w:rPr>
          <w:rFonts w:ascii="Palatino Linotype" w:hAnsi="Palatino Linotype"/>
        </w:rPr>
        <w:t xml:space="preserve"> R</w:t>
      </w:r>
      <w:r w:rsidR="00D4082C" w:rsidRPr="00205730">
        <w:rPr>
          <w:rFonts w:ascii="Palatino Linotype" w:hAnsi="Palatino Linotype"/>
        </w:rPr>
        <w:t>ecurrente</w:t>
      </w:r>
      <w:r w:rsidR="00EE0077" w:rsidRPr="00205730">
        <w:rPr>
          <w:rFonts w:ascii="Palatino Linotype" w:hAnsi="Palatino Linotype"/>
        </w:rPr>
        <w:t xml:space="preserve">, en términos del </w:t>
      </w:r>
      <w:r w:rsidR="00D4082C" w:rsidRPr="00205730">
        <w:rPr>
          <w:rFonts w:ascii="Palatino Linotype" w:hAnsi="Palatino Linotype"/>
          <w:b/>
          <w:bCs/>
          <w:lang w:eastAsia="es-MX"/>
        </w:rPr>
        <w:t xml:space="preserve">Considerando </w:t>
      </w:r>
      <w:r w:rsidR="00032100" w:rsidRPr="00205730">
        <w:rPr>
          <w:rFonts w:ascii="Palatino Linotype" w:hAnsi="Palatino Linotype"/>
          <w:b/>
          <w:bCs/>
          <w:lang w:eastAsia="es-MX"/>
        </w:rPr>
        <w:t>CUARTO</w:t>
      </w:r>
      <w:r w:rsidR="00D4082C" w:rsidRPr="00205730">
        <w:rPr>
          <w:rFonts w:ascii="Palatino Linotype" w:hAnsi="Palatino Linotype"/>
          <w:bCs/>
          <w:lang w:eastAsia="es-MX"/>
        </w:rPr>
        <w:t xml:space="preserve"> de la presente resolución</w:t>
      </w:r>
    </w:p>
    <w:p w:rsidR="00D4082C" w:rsidRPr="00205730" w:rsidRDefault="00D4082C" w:rsidP="00F1574A">
      <w:pPr>
        <w:pStyle w:val="Sinespaciado"/>
        <w:spacing w:line="360" w:lineRule="auto"/>
        <w:jc w:val="both"/>
        <w:rPr>
          <w:rFonts w:ascii="Palatino Linotype" w:hAnsi="Palatino Linotype"/>
          <w:b/>
        </w:rPr>
      </w:pPr>
    </w:p>
    <w:p w:rsidR="001F1DDC" w:rsidRPr="00205730" w:rsidRDefault="006E7232" w:rsidP="00502301">
      <w:pPr>
        <w:pStyle w:val="Sinespaciado"/>
        <w:spacing w:line="360" w:lineRule="auto"/>
        <w:jc w:val="both"/>
        <w:rPr>
          <w:rFonts w:ascii="Palatino Linotype" w:hAnsi="Palatino Linotype"/>
          <w:lang w:val="es-ES_tradnl"/>
        </w:rPr>
      </w:pPr>
      <w:r w:rsidRPr="00205730">
        <w:rPr>
          <w:rFonts w:ascii="Palatino Linotype" w:hAnsi="Palatino Linotype"/>
          <w:b/>
        </w:rPr>
        <w:t>SEGUNDO</w:t>
      </w:r>
      <w:r w:rsidR="00D4082C" w:rsidRPr="00205730">
        <w:rPr>
          <w:rFonts w:ascii="Palatino Linotype" w:hAnsi="Palatino Linotype"/>
          <w:bCs/>
          <w:lang w:eastAsia="es-MX"/>
        </w:rPr>
        <w:t xml:space="preserve">. </w:t>
      </w:r>
      <w:r w:rsidRPr="00205730">
        <w:rPr>
          <w:rFonts w:ascii="Palatino Linotype" w:hAnsi="Palatino Linotype"/>
          <w:lang w:val="es-ES_tradnl"/>
        </w:rPr>
        <w:t xml:space="preserve">Se </w:t>
      </w:r>
      <w:r w:rsidRPr="00205730">
        <w:rPr>
          <w:rFonts w:ascii="Palatino Linotype" w:hAnsi="Palatino Linotype"/>
          <w:b/>
          <w:lang w:val="es-ES_tradnl"/>
        </w:rPr>
        <w:t>ORDENA</w:t>
      </w:r>
      <w:r w:rsidRPr="00205730">
        <w:rPr>
          <w:rFonts w:ascii="Palatino Linotype" w:hAnsi="Palatino Linotype"/>
          <w:lang w:val="es-ES_tradnl"/>
        </w:rPr>
        <w:t xml:space="preserve"> al Sujeto Obligado </w:t>
      </w:r>
      <w:r w:rsidR="00DF0882" w:rsidRPr="00205730">
        <w:rPr>
          <w:rFonts w:ascii="Palatino Linotype" w:hAnsi="Palatino Linotype"/>
          <w:lang w:val="es-ES_tradnl"/>
        </w:rPr>
        <w:t xml:space="preserve">a </w:t>
      </w:r>
      <w:r w:rsidR="00032100" w:rsidRPr="00205730">
        <w:rPr>
          <w:rFonts w:ascii="Palatino Linotype" w:hAnsi="Palatino Linotype"/>
          <w:lang w:val="es-ES_tradnl"/>
        </w:rPr>
        <w:t xml:space="preserve">que </w:t>
      </w:r>
      <w:r w:rsidR="00804B7E" w:rsidRPr="00205730">
        <w:rPr>
          <w:rFonts w:ascii="Palatino Linotype" w:hAnsi="Palatino Linotype"/>
          <w:lang w:val="es-ES_tradnl"/>
        </w:rPr>
        <w:t>atienda la</w:t>
      </w:r>
      <w:r w:rsidR="00E65C96">
        <w:rPr>
          <w:rFonts w:ascii="Palatino Linotype" w:hAnsi="Palatino Linotype"/>
          <w:lang w:val="es-ES_tradnl"/>
        </w:rPr>
        <w:t xml:space="preserve"> solicitud de información número </w:t>
      </w:r>
      <w:r w:rsidR="00E65C96" w:rsidRPr="00345C4A">
        <w:rPr>
          <w:rFonts w:ascii="Palatino Linotype" w:hAnsi="Palatino Linotype"/>
          <w:b/>
          <w:lang w:val="es-ES_tradnl"/>
        </w:rPr>
        <w:t>00264/TECAMAC/</w:t>
      </w:r>
      <w:r w:rsidR="00345C4A" w:rsidRPr="00345C4A">
        <w:rPr>
          <w:rFonts w:ascii="Palatino Linotype" w:hAnsi="Palatino Linotype"/>
          <w:b/>
          <w:lang w:val="es-ES_tradnl"/>
        </w:rPr>
        <w:t>IP/2019</w:t>
      </w:r>
      <w:r w:rsidR="00804B7E" w:rsidRPr="00205730">
        <w:rPr>
          <w:rFonts w:ascii="Palatino Linotype" w:hAnsi="Palatino Linotype"/>
          <w:lang w:val="es-ES_tradnl"/>
        </w:rPr>
        <w:t xml:space="preserve"> </w:t>
      </w:r>
      <w:r w:rsidR="003D288D" w:rsidRPr="00205730">
        <w:rPr>
          <w:rFonts w:ascii="Palatino Linotype" w:hAnsi="Palatino Linotype"/>
          <w:lang w:val="es-ES_tradnl"/>
        </w:rPr>
        <w:t xml:space="preserve">y </w:t>
      </w:r>
      <w:r w:rsidR="00DF0882" w:rsidRPr="00205730">
        <w:rPr>
          <w:rFonts w:ascii="Palatino Linotype" w:hAnsi="Palatino Linotype"/>
          <w:lang w:val="es-ES_tradnl"/>
        </w:rPr>
        <w:t>que</w:t>
      </w:r>
      <w:r w:rsidR="00DF7FE0">
        <w:rPr>
          <w:rFonts w:ascii="Palatino Linotype" w:hAnsi="Palatino Linotype"/>
          <w:lang w:val="es-ES_tradnl"/>
        </w:rPr>
        <w:t xml:space="preserve"> haga</w:t>
      </w:r>
      <w:r w:rsidR="00D56ACF" w:rsidRPr="00205730">
        <w:rPr>
          <w:rFonts w:ascii="Palatino Linotype" w:hAnsi="Palatino Linotype"/>
          <w:lang w:val="es-ES_tradnl"/>
        </w:rPr>
        <w:t xml:space="preserve"> </w:t>
      </w:r>
      <w:r w:rsidR="003D288D" w:rsidRPr="00205730">
        <w:rPr>
          <w:rFonts w:ascii="Palatino Linotype" w:hAnsi="Palatino Linotype"/>
          <w:lang w:val="es-ES_tradnl"/>
        </w:rPr>
        <w:t xml:space="preserve">entrega </w:t>
      </w:r>
      <w:r w:rsidR="00DF0882" w:rsidRPr="00205730">
        <w:rPr>
          <w:rFonts w:ascii="Palatino Linotype" w:hAnsi="Palatino Linotype"/>
          <w:lang w:val="es-ES_tradnl"/>
        </w:rPr>
        <w:t>a</w:t>
      </w:r>
      <w:r w:rsidR="003D288D" w:rsidRPr="00205730">
        <w:rPr>
          <w:rFonts w:ascii="Palatino Linotype" w:hAnsi="Palatino Linotype"/>
          <w:lang w:val="es-ES_tradnl"/>
        </w:rPr>
        <w:t xml:space="preserve">l Recurrente, vía SAIMEX, </w:t>
      </w:r>
      <w:r w:rsidR="00EE0077" w:rsidRPr="00205730">
        <w:rPr>
          <w:rFonts w:ascii="Palatino Linotype" w:hAnsi="Palatino Linotype"/>
          <w:lang w:val="es-ES_tradnl"/>
        </w:rPr>
        <w:t xml:space="preserve">en términos del </w:t>
      </w:r>
      <w:r w:rsidR="00EE0077" w:rsidRPr="00205730">
        <w:rPr>
          <w:rFonts w:ascii="Palatino Linotype" w:hAnsi="Palatino Linotype"/>
          <w:b/>
          <w:lang w:val="es-ES_tradnl"/>
        </w:rPr>
        <w:t>Considerando CUARTO</w:t>
      </w:r>
      <w:r w:rsidR="003D288D" w:rsidRPr="00205730">
        <w:rPr>
          <w:rFonts w:ascii="Palatino Linotype" w:hAnsi="Palatino Linotype"/>
          <w:lang w:val="es-ES_tradnl"/>
        </w:rPr>
        <w:t>, la versión pública</w:t>
      </w:r>
      <w:r w:rsidR="00A75360" w:rsidRPr="00205730">
        <w:rPr>
          <w:rFonts w:ascii="Palatino Linotype" w:hAnsi="Palatino Linotype"/>
          <w:lang w:val="es-ES_tradnl"/>
        </w:rPr>
        <w:t xml:space="preserve"> de ser procedente,</w:t>
      </w:r>
      <w:r w:rsidR="00D56ACF" w:rsidRPr="00205730">
        <w:rPr>
          <w:rFonts w:ascii="Palatino Linotype" w:hAnsi="Palatino Linotype"/>
          <w:lang w:val="es-ES_tradnl"/>
        </w:rPr>
        <w:t xml:space="preserve"> de</w:t>
      </w:r>
      <w:r w:rsidR="00345C4A">
        <w:rPr>
          <w:rFonts w:ascii="Palatino Linotype" w:hAnsi="Palatino Linotype"/>
          <w:lang w:val="es-ES_tradnl"/>
        </w:rPr>
        <w:t>l</w:t>
      </w:r>
      <w:r w:rsidR="00D56ACF" w:rsidRPr="00205730">
        <w:rPr>
          <w:rFonts w:ascii="Palatino Linotype" w:hAnsi="Palatino Linotype"/>
          <w:lang w:val="es-ES_tradnl"/>
        </w:rPr>
        <w:t xml:space="preserve"> documento </w:t>
      </w:r>
      <w:r w:rsidR="00345C4A">
        <w:rPr>
          <w:rFonts w:ascii="Palatino Linotype" w:hAnsi="Palatino Linotype"/>
          <w:lang w:val="es-ES_tradnl"/>
        </w:rPr>
        <w:t xml:space="preserve">o documentos </w:t>
      </w:r>
      <w:r w:rsidR="00D56ACF" w:rsidRPr="00205730">
        <w:rPr>
          <w:rFonts w:ascii="Palatino Linotype" w:hAnsi="Palatino Linotype"/>
          <w:lang w:val="es-ES_tradnl"/>
        </w:rPr>
        <w:t>en donde conste lo siguiente:</w:t>
      </w:r>
    </w:p>
    <w:p w:rsidR="003D288D" w:rsidRPr="00205730" w:rsidRDefault="003D288D" w:rsidP="00493D7F">
      <w:pPr>
        <w:pStyle w:val="Sinespaciado"/>
        <w:jc w:val="both"/>
        <w:rPr>
          <w:rFonts w:ascii="Palatino Linotype" w:hAnsi="Palatino Linotype"/>
          <w:lang w:val="es-ES_tradnl"/>
        </w:rPr>
      </w:pPr>
    </w:p>
    <w:p w:rsidR="00E51A62" w:rsidRDefault="00345C4A" w:rsidP="00E51A62">
      <w:pPr>
        <w:pStyle w:val="Sinespaciado"/>
        <w:numPr>
          <w:ilvl w:val="0"/>
          <w:numId w:val="1"/>
        </w:numPr>
        <w:jc w:val="both"/>
        <w:rPr>
          <w:rFonts w:ascii="Palatino Linotype" w:hAnsi="Palatino Linotype"/>
          <w:i/>
          <w:lang w:val="es-ES_tradnl"/>
        </w:rPr>
      </w:pPr>
      <w:r>
        <w:rPr>
          <w:rFonts w:ascii="Palatino Linotype" w:hAnsi="Palatino Linotype"/>
          <w:i/>
          <w:lang w:val="es-ES_tradnl"/>
        </w:rPr>
        <w:t xml:space="preserve">Los nombramientos de los directores y jefes de área </w:t>
      </w:r>
      <w:r w:rsidR="008527B2">
        <w:rPr>
          <w:rFonts w:ascii="Palatino Linotype" w:hAnsi="Palatino Linotype"/>
          <w:i/>
          <w:lang w:val="es-ES_tradnl"/>
        </w:rPr>
        <w:t xml:space="preserve">adscritos a la administración pública municipal </w:t>
      </w:r>
      <w:r w:rsidR="00E51A62">
        <w:rPr>
          <w:rFonts w:ascii="Palatino Linotype" w:hAnsi="Palatino Linotype"/>
          <w:i/>
          <w:lang w:val="es-ES_tradnl"/>
        </w:rPr>
        <w:t>generados del primero d</w:t>
      </w:r>
      <w:r w:rsidR="008527B2">
        <w:rPr>
          <w:rFonts w:ascii="Palatino Linotype" w:hAnsi="Palatino Linotype"/>
          <w:i/>
          <w:lang w:val="es-ES_tradnl"/>
        </w:rPr>
        <w:t>e enero de dos mil dieciséis al treinta y uno de diciembre de dos mil dieciocho.</w:t>
      </w:r>
    </w:p>
    <w:p w:rsidR="00D56ACF" w:rsidRDefault="00E51A62" w:rsidP="00C70D67">
      <w:pPr>
        <w:pStyle w:val="Sinespaciado"/>
        <w:numPr>
          <w:ilvl w:val="0"/>
          <w:numId w:val="1"/>
        </w:numPr>
        <w:jc w:val="both"/>
        <w:rPr>
          <w:rFonts w:ascii="Palatino Linotype" w:hAnsi="Palatino Linotype"/>
          <w:i/>
          <w:lang w:val="es-ES_tradnl"/>
        </w:rPr>
      </w:pPr>
      <w:r w:rsidRPr="00E51A62">
        <w:rPr>
          <w:rFonts w:ascii="Palatino Linotype" w:hAnsi="Palatino Linotype"/>
          <w:i/>
          <w:lang w:val="es-ES_tradnl"/>
        </w:rPr>
        <w:t xml:space="preserve">Los nombramientos de los directores y jefes de área </w:t>
      </w:r>
      <w:r w:rsidR="008527B2">
        <w:rPr>
          <w:rFonts w:ascii="Palatino Linotype" w:hAnsi="Palatino Linotype"/>
          <w:i/>
          <w:lang w:val="es-ES_tradnl"/>
        </w:rPr>
        <w:t xml:space="preserve">adscritos al </w:t>
      </w:r>
      <w:r w:rsidRPr="00E51A62">
        <w:rPr>
          <w:rFonts w:ascii="Palatino Linotype" w:hAnsi="Palatino Linotype"/>
          <w:i/>
          <w:lang w:val="es-ES_tradnl"/>
        </w:rPr>
        <w:t>Organismo Descentralizado para la Prestación de los Servicios del Agua Potable, Alcantarilla</w:t>
      </w:r>
      <w:r w:rsidR="008527B2">
        <w:rPr>
          <w:rFonts w:ascii="Palatino Linotype" w:hAnsi="Palatino Linotype"/>
          <w:i/>
          <w:lang w:val="es-ES_tradnl"/>
        </w:rPr>
        <w:t>do y Saneamiento de Tecámac y al</w:t>
      </w:r>
      <w:r w:rsidRPr="00E51A62">
        <w:rPr>
          <w:rFonts w:ascii="Palatino Linotype" w:hAnsi="Palatino Linotype"/>
          <w:i/>
          <w:lang w:val="es-ES_tradnl"/>
        </w:rPr>
        <w:t xml:space="preserve"> Sistema Municipal para el Desarrollo Integral de la Familia de Tecámac</w:t>
      </w:r>
      <w:r w:rsidR="00473C09">
        <w:rPr>
          <w:rFonts w:ascii="Palatino Linotype" w:hAnsi="Palatino Linotype"/>
          <w:i/>
          <w:lang w:val="es-ES_tradnl"/>
        </w:rPr>
        <w:t>,</w:t>
      </w:r>
      <w:r w:rsidRPr="00E51A62">
        <w:rPr>
          <w:rFonts w:ascii="Palatino Linotype" w:hAnsi="Palatino Linotype"/>
          <w:i/>
          <w:lang w:val="es-ES_tradnl"/>
        </w:rPr>
        <w:t xml:space="preserve"> generados del primero de </w:t>
      </w:r>
      <w:r w:rsidR="008527B2">
        <w:rPr>
          <w:rFonts w:ascii="Palatino Linotype" w:hAnsi="Palatino Linotype"/>
          <w:i/>
          <w:lang w:val="es-ES_tradnl"/>
        </w:rPr>
        <w:t xml:space="preserve">enero de dos mil dieciséis al veintiocho de febrero de </w:t>
      </w:r>
      <w:r w:rsidRPr="00E51A62">
        <w:rPr>
          <w:rFonts w:ascii="Palatino Linotype" w:hAnsi="Palatino Linotype"/>
          <w:i/>
          <w:lang w:val="es-ES_tradnl"/>
        </w:rPr>
        <w:t xml:space="preserve">dos mil </w:t>
      </w:r>
      <w:r w:rsidR="008527B2">
        <w:rPr>
          <w:rFonts w:ascii="Palatino Linotype" w:hAnsi="Palatino Linotype"/>
          <w:i/>
          <w:lang w:val="es-ES_tradnl"/>
        </w:rPr>
        <w:t>diecisiete.</w:t>
      </w:r>
    </w:p>
    <w:p w:rsidR="00E51A62" w:rsidRPr="00E51A62" w:rsidRDefault="00E51A62" w:rsidP="00E51A62">
      <w:pPr>
        <w:pStyle w:val="Sinespaciado"/>
        <w:spacing w:line="360" w:lineRule="auto"/>
        <w:ind w:left="720"/>
        <w:jc w:val="both"/>
        <w:rPr>
          <w:rFonts w:ascii="Palatino Linotype" w:hAnsi="Palatino Linotype"/>
          <w:i/>
          <w:lang w:val="es-ES_tradnl"/>
        </w:rPr>
      </w:pPr>
    </w:p>
    <w:p w:rsidR="009D766B" w:rsidRPr="00205730" w:rsidRDefault="003D288D" w:rsidP="00E51A62">
      <w:pPr>
        <w:pStyle w:val="Sinespaciado"/>
        <w:spacing w:line="360" w:lineRule="auto"/>
        <w:jc w:val="both"/>
        <w:rPr>
          <w:rFonts w:ascii="Palatino Linotype" w:hAnsi="Palatino Linotype" w:cs="Arial"/>
        </w:rPr>
      </w:pPr>
      <w:r w:rsidRPr="00205730">
        <w:rPr>
          <w:rFonts w:ascii="Palatino Linotype" w:hAnsi="Palatino Linotype" w:cs="Arial"/>
        </w:rPr>
        <w:lastRenderedPageBreak/>
        <w:t>Como sustento de la versión pública, se deberá entregar el Acuerdo del Comité de Transparencia correspondiente, en términos del artículo 49 fracción VIII y 132 fracción II de la Ley de Transparencia y Acceso a la Información Pública del Estado de México y Municipios, en el que funde y motive las razones sobre los datos que se supriman o eliminen dentro del soporte documental respectivo y se ponga a disposición del Recurrente.</w:t>
      </w:r>
    </w:p>
    <w:p w:rsidR="00C87F26" w:rsidRPr="00205730" w:rsidRDefault="00C87F26" w:rsidP="00E51A62">
      <w:pPr>
        <w:pStyle w:val="Sinespaciado"/>
        <w:spacing w:line="360" w:lineRule="auto"/>
        <w:jc w:val="both"/>
        <w:rPr>
          <w:rFonts w:ascii="Palatino Linotype" w:hAnsi="Palatino Linotype" w:cs="Arial"/>
        </w:rPr>
      </w:pPr>
    </w:p>
    <w:p w:rsidR="00B76A01" w:rsidRPr="00205730" w:rsidRDefault="00502301" w:rsidP="00F1574A">
      <w:pPr>
        <w:pStyle w:val="Sinespaciado"/>
        <w:spacing w:line="360" w:lineRule="auto"/>
        <w:jc w:val="both"/>
        <w:rPr>
          <w:rFonts w:ascii="Palatino Linotype" w:hAnsi="Palatino Linotype"/>
        </w:rPr>
      </w:pPr>
      <w:r w:rsidRPr="00205730">
        <w:rPr>
          <w:rFonts w:ascii="Palatino Linotype" w:hAnsi="Palatino Linotype"/>
          <w:b/>
        </w:rPr>
        <w:t>TERCERO.</w:t>
      </w:r>
      <w:r w:rsidR="00B76A01" w:rsidRPr="00205730">
        <w:rPr>
          <w:rFonts w:ascii="Palatino Linotype" w:hAnsi="Palatino Linotype"/>
          <w:b/>
        </w:rPr>
        <w:t xml:space="preserve"> </w:t>
      </w:r>
      <w:r w:rsidR="00EE0077" w:rsidRPr="00205730">
        <w:rPr>
          <w:rFonts w:ascii="Palatino Linotype" w:hAnsi="Palatino Linotype"/>
          <w:b/>
        </w:rPr>
        <w:t>NOTIFÍQUESE</w:t>
      </w:r>
      <w:r w:rsidR="00B76A01" w:rsidRPr="00205730">
        <w:rPr>
          <w:rFonts w:ascii="Palatino Linotype" w:hAnsi="Palatino Linotype"/>
          <w:b/>
          <w:i/>
        </w:rPr>
        <w:t xml:space="preserve"> </w:t>
      </w:r>
      <w:r w:rsidR="00EE0077" w:rsidRPr="00205730">
        <w:rPr>
          <w:rFonts w:ascii="Palatino Linotype" w:hAnsi="Palatino Linotype"/>
        </w:rPr>
        <w:t xml:space="preserve">la presente resolución </w:t>
      </w:r>
      <w:r w:rsidR="00B76A01" w:rsidRPr="00205730">
        <w:rPr>
          <w:rFonts w:ascii="Palatino Linotype" w:hAnsi="Palatino Linotype"/>
        </w:rPr>
        <w:t>al Titular de la Unidad de Transparencia del Sujeto Obligado, para que conforme al artículo 186 último párrafo y 189 segundo párrafo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rsidR="00B76A01" w:rsidRPr="00205730" w:rsidRDefault="00B76A01" w:rsidP="00F1574A">
      <w:pPr>
        <w:pStyle w:val="Sinespaciado"/>
        <w:spacing w:line="360" w:lineRule="auto"/>
        <w:jc w:val="both"/>
        <w:rPr>
          <w:rFonts w:ascii="Palatino Linotype" w:hAnsi="Palatino Linotype"/>
        </w:rPr>
      </w:pPr>
    </w:p>
    <w:p w:rsidR="00B76A01" w:rsidRPr="00205730" w:rsidRDefault="00502301" w:rsidP="00F1574A">
      <w:pPr>
        <w:pStyle w:val="Sinespaciado"/>
        <w:spacing w:line="360" w:lineRule="auto"/>
        <w:jc w:val="both"/>
        <w:rPr>
          <w:rFonts w:ascii="Palatino Linotype" w:hAnsi="Palatino Linotype"/>
        </w:rPr>
      </w:pPr>
      <w:r w:rsidRPr="00205730">
        <w:rPr>
          <w:rFonts w:ascii="Palatino Linotype" w:hAnsi="Palatino Linotype"/>
          <w:b/>
        </w:rPr>
        <w:t>CUARTO</w:t>
      </w:r>
      <w:r w:rsidR="00B76A01" w:rsidRPr="00205730">
        <w:rPr>
          <w:rFonts w:ascii="Palatino Linotype" w:hAnsi="Palatino Linotype"/>
          <w:b/>
        </w:rPr>
        <w:t xml:space="preserve">. </w:t>
      </w:r>
      <w:r w:rsidR="00EE0077" w:rsidRPr="00205730">
        <w:rPr>
          <w:rFonts w:ascii="Palatino Linotype" w:hAnsi="Palatino Linotype"/>
          <w:b/>
        </w:rPr>
        <w:t>NOTIFÍQUESE</w:t>
      </w:r>
      <w:r w:rsidR="00B76A01" w:rsidRPr="00205730">
        <w:rPr>
          <w:rFonts w:ascii="Palatino Linotype" w:hAnsi="Palatino Linotype"/>
        </w:rPr>
        <w:t xml:space="preserve"> a</w:t>
      </w:r>
      <w:r w:rsidRPr="00205730">
        <w:rPr>
          <w:rFonts w:ascii="Palatino Linotype" w:hAnsi="Palatino Linotype"/>
        </w:rPr>
        <w:t>l</w:t>
      </w:r>
      <w:r w:rsidR="00B76A01" w:rsidRPr="00205730">
        <w:rPr>
          <w:rFonts w:ascii="Palatino Linotype" w:hAnsi="Palatino Linotype"/>
        </w:rPr>
        <w:t xml:space="preserve"> Recurrente la presente resolución</w:t>
      </w:r>
      <w:r w:rsidR="00B76A01" w:rsidRPr="00205730">
        <w:rPr>
          <w:rFonts w:ascii="Palatino Linotype" w:hAnsi="Palatino Linotype"/>
          <w:b/>
        </w:rPr>
        <w:t xml:space="preserve"> </w:t>
      </w:r>
      <w:r w:rsidR="00B76A01" w:rsidRPr="00205730">
        <w:rPr>
          <w:rFonts w:ascii="Palatino Linotype" w:hAnsi="Palatino Linotype"/>
        </w:rPr>
        <w:t>y hágase de su conocimiento que en caso de considerar que le causa algún perjuicio, podrá promover el Juicio de Amparo en los términos de las leyes aplicables, de acuerdo a lo estipulado por el artículo 196 de la Ley de Transparencia y Acceso a la Información Pública del Estado de México y Municipios.</w:t>
      </w:r>
    </w:p>
    <w:p w:rsidR="00DB570E" w:rsidRPr="00205730" w:rsidRDefault="00DB570E" w:rsidP="00F1574A">
      <w:pPr>
        <w:pStyle w:val="Sinespaciado"/>
        <w:spacing w:line="360" w:lineRule="auto"/>
        <w:jc w:val="both"/>
        <w:rPr>
          <w:rFonts w:ascii="Palatino Linotype" w:hAnsi="Palatino Linotype"/>
        </w:rPr>
      </w:pPr>
    </w:p>
    <w:p w:rsidR="00DB570E" w:rsidRPr="00205730" w:rsidRDefault="00DB570E" w:rsidP="00F1574A">
      <w:pPr>
        <w:pStyle w:val="Sinespaciado"/>
        <w:spacing w:line="360" w:lineRule="auto"/>
        <w:jc w:val="both"/>
        <w:rPr>
          <w:rFonts w:ascii="Palatino Linotype" w:hAnsi="Palatino Linotype"/>
        </w:rPr>
      </w:pPr>
      <w:r w:rsidRPr="00205730">
        <w:rPr>
          <w:rFonts w:ascii="Palatino Linotype" w:hAnsi="Palatino Linotype"/>
          <w:b/>
        </w:rPr>
        <w:t>QUINTO.</w:t>
      </w:r>
      <w:r w:rsidR="00F355A3" w:rsidRPr="00205730">
        <w:rPr>
          <w:rFonts w:ascii="Palatino Linotype" w:hAnsi="Palatino Linotype"/>
        </w:rPr>
        <w:t xml:space="preserve"> Gírese </w:t>
      </w:r>
      <w:r w:rsidRPr="00205730">
        <w:rPr>
          <w:rFonts w:ascii="Palatino Linotype" w:hAnsi="Palatino Linotype"/>
        </w:rPr>
        <w:t xml:space="preserve">oficio al Titular de la Contraloría Interna y Órgano de Control y Vigilancia de este Instituto, de conformidad con el artículo 190 de la Ley de Transparencia y Acceso a la Información Pública del Estado de México y Municipios a </w:t>
      </w:r>
      <w:r w:rsidRPr="00205730">
        <w:rPr>
          <w:rFonts w:ascii="Palatino Linotype" w:hAnsi="Palatino Linotype"/>
        </w:rPr>
        <w:lastRenderedPageBreak/>
        <w:t>fin de que determine lo conducent</w:t>
      </w:r>
      <w:r w:rsidR="00FC03AD" w:rsidRPr="00205730">
        <w:rPr>
          <w:rFonts w:ascii="Palatino Linotype" w:hAnsi="Palatino Linotype"/>
        </w:rPr>
        <w:t xml:space="preserve">e, en términos del </w:t>
      </w:r>
      <w:r w:rsidR="00FC03AD" w:rsidRPr="00205730">
        <w:rPr>
          <w:rFonts w:ascii="Palatino Linotype" w:hAnsi="Palatino Linotype"/>
          <w:b/>
        </w:rPr>
        <w:t xml:space="preserve">Considerando </w:t>
      </w:r>
      <w:r w:rsidRPr="00205730">
        <w:rPr>
          <w:rFonts w:ascii="Palatino Linotype" w:hAnsi="Palatino Linotype"/>
          <w:b/>
        </w:rPr>
        <w:t>CUARTO</w:t>
      </w:r>
      <w:r w:rsidR="00FC03AD" w:rsidRPr="00205730">
        <w:rPr>
          <w:rFonts w:ascii="Palatino Linotype" w:hAnsi="Palatino Linotype"/>
        </w:rPr>
        <w:t xml:space="preserve"> </w:t>
      </w:r>
      <w:r w:rsidRPr="00205730">
        <w:rPr>
          <w:rFonts w:ascii="Palatino Linotype" w:hAnsi="Palatino Linotype"/>
        </w:rPr>
        <w:t>de la presente resolución.</w:t>
      </w:r>
    </w:p>
    <w:p w:rsidR="00EE0077" w:rsidRPr="00205730" w:rsidRDefault="00EE0077" w:rsidP="00F1574A">
      <w:pPr>
        <w:pStyle w:val="Sinespaciado"/>
        <w:spacing w:line="360" w:lineRule="auto"/>
        <w:jc w:val="both"/>
        <w:rPr>
          <w:rFonts w:ascii="Palatino Linotype" w:hAnsi="Palatino Linotype"/>
        </w:rPr>
      </w:pPr>
    </w:p>
    <w:p w:rsidR="00B76A01" w:rsidRPr="00205730" w:rsidRDefault="00B76A01" w:rsidP="00205730">
      <w:pPr>
        <w:pStyle w:val="Sinespaciado"/>
        <w:spacing w:line="360" w:lineRule="auto"/>
        <w:jc w:val="both"/>
        <w:rPr>
          <w:rFonts w:ascii="Palatino Linotype" w:hAnsi="Palatino Linotype"/>
        </w:rPr>
      </w:pPr>
      <w:r w:rsidRPr="00205730">
        <w:rPr>
          <w:rFonts w:ascii="Palatino Linotype" w:hAnsi="Palatino Linotype"/>
        </w:rPr>
        <w:t>ASÍ LO RESUELVE, POR UNANIMIDAD DE VOTOS, EL PLENO DEL</w:t>
      </w:r>
      <w:r w:rsidRPr="00205730">
        <w:rPr>
          <w:rFonts w:ascii="Palatino Linotype" w:eastAsia="Arial Unicode MS" w:hAnsi="Palatino Linotype"/>
        </w:rPr>
        <w:t xml:space="preserve"> INSTITUTO DE TRANSPARENCIA, ACCESO A LA INFORMACIÓN PÚBLICA Y PROTECCIÓN DE DATOS PERSONALES DEL ESTADO DE MÉXICO Y MUNICIPIOS</w:t>
      </w:r>
      <w:r w:rsidRPr="00205730">
        <w:rPr>
          <w:rFonts w:ascii="Palatino Linotype" w:hAnsi="Palatino Linotype"/>
        </w:rPr>
        <w:t xml:space="preserve">, CONFORMADO POR LOS COMISIONADOS ZULEMA </w:t>
      </w:r>
      <w:r w:rsidRPr="00205730">
        <w:rPr>
          <w:rFonts w:ascii="Palatino Linotype" w:eastAsia="Arial Unicode MS" w:hAnsi="Palatino Linotype"/>
        </w:rPr>
        <w:t>MARTÍNEZ SÁNCHEZ, EVA ABAID YAPUR</w:t>
      </w:r>
      <w:r w:rsidR="005C55A3" w:rsidRPr="00205730">
        <w:rPr>
          <w:rFonts w:ascii="Palatino Linotype" w:eastAsia="Arial Unicode MS" w:hAnsi="Palatino Linotype"/>
        </w:rPr>
        <w:t>,</w:t>
      </w:r>
      <w:r w:rsidR="00DF0882" w:rsidRPr="00205730">
        <w:rPr>
          <w:rFonts w:ascii="Palatino Linotype" w:eastAsia="Arial Unicode MS" w:hAnsi="Palatino Linotype"/>
        </w:rPr>
        <w:t xml:space="preserve"> JOSÉ GUADALUPE LUNA HERNÁNDEZ,</w:t>
      </w:r>
      <w:r w:rsidRPr="00205730">
        <w:rPr>
          <w:rFonts w:ascii="Palatino Linotype" w:eastAsia="Arial Unicode MS" w:hAnsi="Palatino Linotype"/>
        </w:rPr>
        <w:t xml:space="preserve"> JAVIER MARTÍNEZ CRUZ</w:t>
      </w:r>
      <w:r w:rsidR="00DF0882" w:rsidRPr="00205730">
        <w:rPr>
          <w:rFonts w:ascii="Palatino Linotype" w:eastAsia="Arial Unicode MS" w:hAnsi="Palatino Linotype"/>
        </w:rPr>
        <w:t xml:space="preserve"> Y LUIS GUSTAVO PARRA NORIEGA</w:t>
      </w:r>
      <w:r w:rsidRPr="00205730">
        <w:rPr>
          <w:rFonts w:ascii="Palatino Linotype" w:eastAsia="Arial Unicode MS" w:hAnsi="Palatino Linotype"/>
        </w:rPr>
        <w:t xml:space="preserve">, EN LA </w:t>
      </w:r>
      <w:r w:rsidR="002C468E" w:rsidRPr="00205730">
        <w:rPr>
          <w:rFonts w:ascii="Palatino Linotype" w:eastAsia="Arial Unicode MS" w:hAnsi="Palatino Linotype"/>
        </w:rPr>
        <w:t xml:space="preserve">VIGÉSIMA </w:t>
      </w:r>
      <w:r w:rsidR="004649F1">
        <w:rPr>
          <w:rFonts w:ascii="Palatino Linotype" w:eastAsia="Arial Unicode MS" w:hAnsi="Palatino Linotype"/>
        </w:rPr>
        <w:t>CUARTA</w:t>
      </w:r>
      <w:r w:rsidR="00C87F26" w:rsidRPr="00205730">
        <w:rPr>
          <w:rFonts w:ascii="Palatino Linotype" w:eastAsia="Arial Unicode MS" w:hAnsi="Palatino Linotype"/>
        </w:rPr>
        <w:t xml:space="preserve"> </w:t>
      </w:r>
      <w:r w:rsidR="001266BB" w:rsidRPr="00205730">
        <w:rPr>
          <w:rFonts w:ascii="Palatino Linotype" w:eastAsia="Arial Unicode MS" w:hAnsi="Palatino Linotype"/>
        </w:rPr>
        <w:t>SESIÓN ORDINARIA</w:t>
      </w:r>
      <w:r w:rsidRPr="00205730">
        <w:rPr>
          <w:rFonts w:ascii="Palatino Linotype" w:hAnsi="Palatino Linotype"/>
        </w:rPr>
        <w:t xml:space="preserve"> CELEBRADA EL </w:t>
      </w:r>
      <w:r w:rsidR="004649F1">
        <w:rPr>
          <w:rFonts w:ascii="Palatino Linotype" w:hAnsi="Palatino Linotype"/>
        </w:rPr>
        <w:t>VEINTISÉIS</w:t>
      </w:r>
      <w:r w:rsidR="00C87F26" w:rsidRPr="00205730">
        <w:rPr>
          <w:rFonts w:ascii="Palatino Linotype" w:hAnsi="Palatino Linotype"/>
        </w:rPr>
        <w:t xml:space="preserve"> DE JUNIO DE DOS MIL DIECINUEVE</w:t>
      </w:r>
      <w:r w:rsidRPr="00205730">
        <w:rPr>
          <w:rFonts w:ascii="Palatino Linotype" w:hAnsi="Palatino Linotype"/>
        </w:rPr>
        <w:t xml:space="preserve">, ANTE </w:t>
      </w:r>
      <w:r w:rsidR="009E3A4B" w:rsidRPr="00205730">
        <w:rPr>
          <w:rFonts w:ascii="Palatino Linotype" w:hAnsi="Palatino Linotype"/>
        </w:rPr>
        <w:t>EL SECRETARIO TÉCNICO</w:t>
      </w:r>
      <w:r w:rsidRPr="00205730">
        <w:rPr>
          <w:rFonts w:ascii="Palatino Linotype" w:hAnsi="Palatino Linotype"/>
        </w:rPr>
        <w:t xml:space="preserve"> DEL PLENO, </w:t>
      </w:r>
      <w:r w:rsidR="009E3A4B" w:rsidRPr="00205730">
        <w:rPr>
          <w:rFonts w:ascii="Palatino Linotype" w:hAnsi="Palatino Linotype"/>
        </w:rPr>
        <w:t>ALEXIS TAPIA RAMÍREZ</w:t>
      </w:r>
      <w:r w:rsidR="00C87F26" w:rsidRPr="00205730">
        <w:rPr>
          <w:rFonts w:ascii="Palatino Linotype" w:hAnsi="Palatino Linotype"/>
        </w:rPr>
        <w:t>.-------------------------------------------------</w:t>
      </w:r>
      <w:r w:rsidR="00205730" w:rsidRPr="00205730">
        <w:rPr>
          <w:rFonts w:ascii="Palatino Linotype" w:hAnsi="Palatino Linotype"/>
        </w:rPr>
        <w:t>---------------------------------</w:t>
      </w:r>
      <w:r w:rsidR="00353280">
        <w:rPr>
          <w:rFonts w:ascii="Palatino Linotype" w:hAnsi="Palatino Linotype"/>
        </w:rPr>
        <w:t>----------------</w:t>
      </w:r>
      <w:r w:rsidR="008C1696">
        <w:rPr>
          <w:rFonts w:ascii="Palatino Linotype" w:hAnsi="Palatino Linotype"/>
        </w:rPr>
        <w:t>---------------------------------------------------------------------------------------------------------------------------------------------------------------------------------------------------------------------------------------------------------------------------------------------------------------------------------------------------------------------------------------------------------------------------------------------------------------------------------------------------------------------------------------------------------------------------------------------------------------------------------------------------------------------------------------------------------------------------------------------------------------------------------------------------------------------------------------------------------------------------------------------------------------------------------------------------------------------------------------------------------------------------------------------------------</w:t>
      </w:r>
      <w:r w:rsidR="008527B2">
        <w:rPr>
          <w:rFonts w:ascii="Palatino Linotype" w:hAnsi="Palatino Linotype"/>
        </w:rPr>
        <w:t>---------------------------------------------------------------------------------------------------------------------------------------------------------------------------------------------------------------------------------------------------------------------------------------------------------------------------------------------------</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632BF9" w:rsidRPr="00205730" w:rsidTr="00302F27">
        <w:tc>
          <w:tcPr>
            <w:tcW w:w="9062" w:type="dxa"/>
            <w:gridSpan w:val="2"/>
          </w:tcPr>
          <w:p w:rsidR="00C87F26" w:rsidRPr="00D13500" w:rsidRDefault="00C87F26" w:rsidP="00302F27">
            <w:pPr>
              <w:pStyle w:val="Sinespaciado"/>
              <w:jc w:val="center"/>
              <w:rPr>
                <w:rFonts w:ascii="Palatino Linotype" w:hAnsi="Palatino Linotype"/>
                <w:b/>
                <w:sz w:val="40"/>
              </w:rPr>
            </w:pPr>
          </w:p>
          <w:p w:rsidR="00632BF9" w:rsidRPr="00205730" w:rsidRDefault="00632BF9" w:rsidP="00302F27">
            <w:pPr>
              <w:pStyle w:val="Sinespaciado"/>
              <w:jc w:val="center"/>
              <w:rPr>
                <w:rFonts w:ascii="Palatino Linotype" w:hAnsi="Palatino Linotype"/>
                <w:b/>
              </w:rPr>
            </w:pPr>
          </w:p>
          <w:p w:rsidR="00632BF9" w:rsidRPr="00205730" w:rsidRDefault="00632BF9" w:rsidP="00302F27">
            <w:pPr>
              <w:pStyle w:val="Sinespaciado"/>
              <w:jc w:val="center"/>
              <w:rPr>
                <w:rFonts w:ascii="Palatino Linotype" w:hAnsi="Palatino Linotype"/>
                <w:b/>
              </w:rPr>
            </w:pPr>
          </w:p>
          <w:p w:rsidR="00632BF9" w:rsidRPr="00205730" w:rsidRDefault="00632BF9" w:rsidP="00302F27">
            <w:pPr>
              <w:pStyle w:val="Sinespaciado"/>
              <w:jc w:val="center"/>
              <w:rPr>
                <w:rFonts w:ascii="Palatino Linotype" w:hAnsi="Palatino Linotype"/>
                <w:b/>
              </w:rPr>
            </w:pPr>
          </w:p>
          <w:p w:rsidR="00632BF9" w:rsidRPr="00205730" w:rsidRDefault="00632BF9" w:rsidP="00302F27">
            <w:pPr>
              <w:pStyle w:val="Sinespaciado"/>
              <w:jc w:val="center"/>
              <w:rPr>
                <w:rFonts w:ascii="Palatino Linotype" w:hAnsi="Palatino Linotype"/>
                <w:b/>
              </w:rPr>
            </w:pPr>
            <w:r w:rsidRPr="00205730">
              <w:rPr>
                <w:rFonts w:ascii="Palatino Linotype" w:hAnsi="Palatino Linotype"/>
                <w:b/>
              </w:rPr>
              <w:t>Zulema Martínez Sánchez</w:t>
            </w:r>
          </w:p>
          <w:p w:rsidR="00632BF9" w:rsidRPr="00205730" w:rsidRDefault="00632BF9" w:rsidP="00302F27">
            <w:pPr>
              <w:pStyle w:val="Sinespaciado"/>
              <w:jc w:val="center"/>
              <w:rPr>
                <w:rFonts w:ascii="Palatino Linotype" w:hAnsi="Palatino Linotype"/>
              </w:rPr>
            </w:pPr>
            <w:r w:rsidRPr="00205730">
              <w:rPr>
                <w:rFonts w:ascii="Palatino Linotype" w:hAnsi="Palatino Linotype"/>
              </w:rPr>
              <w:t>Comisionada Presidenta</w:t>
            </w:r>
          </w:p>
          <w:p w:rsidR="00632BF9" w:rsidRPr="00205730" w:rsidRDefault="00632BF9" w:rsidP="00302F27">
            <w:pPr>
              <w:pStyle w:val="Sinespaciado"/>
              <w:jc w:val="center"/>
              <w:rPr>
                <w:rFonts w:ascii="Palatino Linotype" w:hAnsi="Palatino Linotype"/>
              </w:rPr>
            </w:pPr>
            <w:r w:rsidRPr="00205730">
              <w:rPr>
                <w:rFonts w:ascii="Palatino Linotype" w:hAnsi="Palatino Linotype"/>
              </w:rPr>
              <w:t>(Rúbrica)</w:t>
            </w:r>
          </w:p>
        </w:tc>
      </w:tr>
      <w:tr w:rsidR="00632BF9" w:rsidRPr="00205730" w:rsidTr="00302F27">
        <w:tc>
          <w:tcPr>
            <w:tcW w:w="4531" w:type="dxa"/>
          </w:tcPr>
          <w:p w:rsidR="00632BF9" w:rsidRPr="00205730" w:rsidRDefault="00632BF9" w:rsidP="00302F27">
            <w:pPr>
              <w:pStyle w:val="Sinespaciado"/>
              <w:jc w:val="both"/>
              <w:rPr>
                <w:rFonts w:ascii="Palatino Linotype" w:hAnsi="Palatino Linotype"/>
                <w:b/>
              </w:rPr>
            </w:pPr>
          </w:p>
          <w:p w:rsidR="00632BF9" w:rsidRPr="00205730" w:rsidRDefault="00632BF9" w:rsidP="00302F27">
            <w:pPr>
              <w:pStyle w:val="Sinespaciado"/>
              <w:jc w:val="both"/>
              <w:rPr>
                <w:rFonts w:ascii="Palatino Linotype" w:hAnsi="Palatino Linotype"/>
                <w:b/>
              </w:rPr>
            </w:pPr>
          </w:p>
          <w:p w:rsidR="00632BF9" w:rsidRPr="00205730" w:rsidRDefault="00632BF9" w:rsidP="00302F27">
            <w:pPr>
              <w:pStyle w:val="Sinespaciado"/>
              <w:jc w:val="both"/>
              <w:rPr>
                <w:rFonts w:ascii="Palatino Linotype" w:hAnsi="Palatino Linotype"/>
                <w:b/>
              </w:rPr>
            </w:pPr>
          </w:p>
          <w:p w:rsidR="00632BF9" w:rsidRPr="00205730" w:rsidRDefault="00632BF9" w:rsidP="00302F27">
            <w:pPr>
              <w:pStyle w:val="Sinespaciado"/>
              <w:jc w:val="both"/>
              <w:rPr>
                <w:rFonts w:ascii="Palatino Linotype" w:hAnsi="Palatino Linotype"/>
                <w:b/>
              </w:rPr>
            </w:pPr>
          </w:p>
          <w:p w:rsidR="00632BF9" w:rsidRPr="00205730" w:rsidRDefault="00632BF9" w:rsidP="00302F27">
            <w:pPr>
              <w:pStyle w:val="Sinespaciado"/>
              <w:jc w:val="both"/>
              <w:rPr>
                <w:rFonts w:ascii="Palatino Linotype" w:hAnsi="Palatino Linotype"/>
                <w:b/>
              </w:rPr>
            </w:pPr>
          </w:p>
          <w:p w:rsidR="00632BF9" w:rsidRPr="00205730" w:rsidRDefault="00632BF9" w:rsidP="00302F27">
            <w:pPr>
              <w:pStyle w:val="Sinespaciado"/>
              <w:jc w:val="center"/>
              <w:rPr>
                <w:rFonts w:ascii="Palatino Linotype" w:hAnsi="Palatino Linotype"/>
                <w:b/>
              </w:rPr>
            </w:pPr>
            <w:r w:rsidRPr="00205730">
              <w:rPr>
                <w:rFonts w:ascii="Palatino Linotype" w:hAnsi="Palatino Linotype"/>
                <w:b/>
              </w:rPr>
              <w:t>Eva Abaid Yapur</w:t>
            </w:r>
          </w:p>
          <w:p w:rsidR="00632BF9" w:rsidRPr="00205730" w:rsidRDefault="00632BF9" w:rsidP="00302F27">
            <w:pPr>
              <w:pStyle w:val="Sinespaciado"/>
              <w:jc w:val="center"/>
              <w:rPr>
                <w:rFonts w:ascii="Palatino Linotype" w:hAnsi="Palatino Linotype"/>
              </w:rPr>
            </w:pPr>
            <w:r w:rsidRPr="00205730">
              <w:rPr>
                <w:rFonts w:ascii="Palatino Linotype" w:hAnsi="Palatino Linotype"/>
              </w:rPr>
              <w:t>Comisionada</w:t>
            </w:r>
          </w:p>
          <w:p w:rsidR="00632BF9" w:rsidRPr="00205730" w:rsidRDefault="00632BF9" w:rsidP="00302F27">
            <w:pPr>
              <w:pStyle w:val="Sinespaciado"/>
              <w:jc w:val="center"/>
              <w:rPr>
                <w:rFonts w:ascii="Palatino Linotype" w:hAnsi="Palatino Linotype"/>
              </w:rPr>
            </w:pPr>
            <w:r w:rsidRPr="00205730">
              <w:rPr>
                <w:rFonts w:ascii="Palatino Linotype" w:hAnsi="Palatino Linotype"/>
              </w:rPr>
              <w:t>(Rúbrica)</w:t>
            </w:r>
          </w:p>
        </w:tc>
        <w:tc>
          <w:tcPr>
            <w:tcW w:w="4531" w:type="dxa"/>
          </w:tcPr>
          <w:p w:rsidR="00632BF9" w:rsidRPr="00205730" w:rsidRDefault="00632BF9" w:rsidP="00302F27">
            <w:pPr>
              <w:pStyle w:val="Sinespaciado"/>
              <w:jc w:val="both"/>
              <w:rPr>
                <w:rFonts w:ascii="Palatino Linotype" w:hAnsi="Palatino Linotype"/>
                <w:b/>
              </w:rPr>
            </w:pPr>
          </w:p>
          <w:p w:rsidR="00632BF9" w:rsidRPr="00205730" w:rsidRDefault="00632BF9" w:rsidP="00302F27">
            <w:pPr>
              <w:pStyle w:val="Sinespaciado"/>
              <w:jc w:val="both"/>
              <w:rPr>
                <w:rFonts w:ascii="Palatino Linotype" w:hAnsi="Palatino Linotype"/>
                <w:b/>
              </w:rPr>
            </w:pPr>
          </w:p>
          <w:p w:rsidR="00632BF9" w:rsidRPr="00205730" w:rsidRDefault="00632BF9" w:rsidP="00302F27">
            <w:pPr>
              <w:pStyle w:val="Sinespaciado"/>
              <w:jc w:val="both"/>
              <w:rPr>
                <w:rFonts w:ascii="Palatino Linotype" w:hAnsi="Palatino Linotype"/>
                <w:b/>
              </w:rPr>
            </w:pPr>
          </w:p>
          <w:p w:rsidR="00632BF9" w:rsidRPr="00205730" w:rsidRDefault="00632BF9" w:rsidP="00302F27">
            <w:pPr>
              <w:pStyle w:val="Sinespaciado"/>
              <w:jc w:val="both"/>
              <w:rPr>
                <w:rFonts w:ascii="Palatino Linotype" w:hAnsi="Palatino Linotype"/>
                <w:b/>
              </w:rPr>
            </w:pPr>
          </w:p>
          <w:p w:rsidR="00632BF9" w:rsidRPr="00205730" w:rsidRDefault="00632BF9" w:rsidP="00302F27">
            <w:pPr>
              <w:pStyle w:val="Sinespaciado"/>
              <w:jc w:val="both"/>
              <w:rPr>
                <w:rFonts w:ascii="Palatino Linotype" w:hAnsi="Palatino Linotype"/>
                <w:b/>
              </w:rPr>
            </w:pPr>
          </w:p>
          <w:p w:rsidR="00632BF9" w:rsidRPr="00205730" w:rsidRDefault="00632BF9" w:rsidP="00302F27">
            <w:pPr>
              <w:pStyle w:val="Sinespaciado"/>
              <w:jc w:val="center"/>
              <w:rPr>
                <w:rFonts w:ascii="Palatino Linotype" w:hAnsi="Palatino Linotype"/>
                <w:b/>
              </w:rPr>
            </w:pPr>
            <w:r w:rsidRPr="00205730">
              <w:rPr>
                <w:rFonts w:ascii="Palatino Linotype" w:hAnsi="Palatino Linotype"/>
                <w:b/>
              </w:rPr>
              <w:t>José Guadalupe Luna Hernández</w:t>
            </w:r>
          </w:p>
          <w:p w:rsidR="00632BF9" w:rsidRPr="00205730" w:rsidRDefault="00632BF9" w:rsidP="00302F27">
            <w:pPr>
              <w:pStyle w:val="Sinespaciado"/>
              <w:jc w:val="center"/>
              <w:rPr>
                <w:rFonts w:ascii="Palatino Linotype" w:hAnsi="Palatino Linotype"/>
              </w:rPr>
            </w:pPr>
            <w:r w:rsidRPr="00205730">
              <w:rPr>
                <w:rFonts w:ascii="Palatino Linotype" w:hAnsi="Palatino Linotype"/>
              </w:rPr>
              <w:t>Comisionado</w:t>
            </w:r>
          </w:p>
          <w:p w:rsidR="00632BF9" w:rsidRPr="00205730" w:rsidRDefault="00632BF9" w:rsidP="00302F27">
            <w:pPr>
              <w:pStyle w:val="Sinespaciado"/>
              <w:jc w:val="center"/>
              <w:rPr>
                <w:rFonts w:ascii="Palatino Linotype" w:hAnsi="Palatino Linotype"/>
              </w:rPr>
            </w:pPr>
            <w:r w:rsidRPr="00205730">
              <w:rPr>
                <w:rFonts w:ascii="Palatino Linotype" w:hAnsi="Palatino Linotype"/>
              </w:rPr>
              <w:t>(Rúbrica)</w:t>
            </w:r>
          </w:p>
        </w:tc>
      </w:tr>
      <w:tr w:rsidR="00632BF9" w:rsidRPr="00205730" w:rsidTr="00302F27">
        <w:tc>
          <w:tcPr>
            <w:tcW w:w="4531" w:type="dxa"/>
          </w:tcPr>
          <w:p w:rsidR="00632BF9" w:rsidRPr="00205730" w:rsidRDefault="00632BF9" w:rsidP="00302F27">
            <w:pPr>
              <w:pStyle w:val="Sinespaciado"/>
              <w:jc w:val="center"/>
              <w:rPr>
                <w:rFonts w:ascii="Palatino Linotype" w:hAnsi="Palatino Linotype"/>
                <w:b/>
              </w:rPr>
            </w:pPr>
          </w:p>
          <w:p w:rsidR="00632BF9" w:rsidRPr="00205730" w:rsidRDefault="00632BF9" w:rsidP="00302F27">
            <w:pPr>
              <w:pStyle w:val="Sinespaciado"/>
              <w:jc w:val="center"/>
              <w:rPr>
                <w:rFonts w:ascii="Palatino Linotype" w:hAnsi="Palatino Linotype"/>
                <w:b/>
              </w:rPr>
            </w:pPr>
          </w:p>
          <w:p w:rsidR="00632BF9" w:rsidRPr="00205730" w:rsidRDefault="00632BF9" w:rsidP="00302F27">
            <w:pPr>
              <w:pStyle w:val="Sinespaciado"/>
              <w:jc w:val="center"/>
              <w:rPr>
                <w:rFonts w:ascii="Palatino Linotype" w:hAnsi="Palatino Linotype"/>
                <w:b/>
              </w:rPr>
            </w:pPr>
          </w:p>
          <w:p w:rsidR="00632BF9" w:rsidRPr="00205730" w:rsidRDefault="00632BF9" w:rsidP="00302F27">
            <w:pPr>
              <w:pStyle w:val="Sinespaciado"/>
              <w:jc w:val="center"/>
              <w:rPr>
                <w:rFonts w:ascii="Palatino Linotype" w:hAnsi="Palatino Linotype"/>
                <w:b/>
              </w:rPr>
            </w:pPr>
          </w:p>
          <w:p w:rsidR="00632BF9" w:rsidRPr="00205730" w:rsidRDefault="00632BF9" w:rsidP="00302F27">
            <w:pPr>
              <w:pStyle w:val="Sinespaciado"/>
              <w:jc w:val="center"/>
              <w:rPr>
                <w:rFonts w:ascii="Palatino Linotype" w:hAnsi="Palatino Linotype"/>
                <w:b/>
              </w:rPr>
            </w:pPr>
          </w:p>
          <w:p w:rsidR="00632BF9" w:rsidRPr="00205730" w:rsidRDefault="00632BF9" w:rsidP="00302F27">
            <w:pPr>
              <w:pStyle w:val="Sinespaciado"/>
              <w:jc w:val="center"/>
              <w:rPr>
                <w:rFonts w:ascii="Palatino Linotype" w:hAnsi="Palatino Linotype"/>
                <w:b/>
              </w:rPr>
            </w:pPr>
            <w:r w:rsidRPr="00205730">
              <w:rPr>
                <w:rFonts w:ascii="Palatino Linotype" w:hAnsi="Palatino Linotype"/>
                <w:b/>
              </w:rPr>
              <w:t>Javier Martínez Cruz</w:t>
            </w:r>
          </w:p>
          <w:p w:rsidR="00632BF9" w:rsidRPr="00205730" w:rsidRDefault="00632BF9" w:rsidP="00302F27">
            <w:pPr>
              <w:pStyle w:val="Sinespaciado"/>
              <w:jc w:val="center"/>
              <w:rPr>
                <w:rFonts w:ascii="Palatino Linotype" w:hAnsi="Palatino Linotype"/>
              </w:rPr>
            </w:pPr>
            <w:r w:rsidRPr="00205730">
              <w:rPr>
                <w:rFonts w:ascii="Palatino Linotype" w:hAnsi="Palatino Linotype"/>
              </w:rPr>
              <w:t>Comisionado</w:t>
            </w:r>
          </w:p>
          <w:p w:rsidR="00632BF9" w:rsidRPr="00205730" w:rsidRDefault="00632BF9" w:rsidP="00302F27">
            <w:pPr>
              <w:pStyle w:val="Sinespaciado"/>
              <w:jc w:val="center"/>
              <w:rPr>
                <w:rFonts w:ascii="Palatino Linotype" w:hAnsi="Palatino Linotype"/>
                <w:b/>
              </w:rPr>
            </w:pPr>
            <w:r w:rsidRPr="00205730">
              <w:rPr>
                <w:rFonts w:ascii="Palatino Linotype" w:hAnsi="Palatino Linotype"/>
              </w:rPr>
              <w:t>(Rúbrica)</w:t>
            </w:r>
          </w:p>
        </w:tc>
        <w:tc>
          <w:tcPr>
            <w:tcW w:w="4531" w:type="dxa"/>
          </w:tcPr>
          <w:p w:rsidR="00632BF9" w:rsidRPr="00205730" w:rsidRDefault="00632BF9" w:rsidP="00302F27">
            <w:pPr>
              <w:pStyle w:val="Sinespaciado"/>
              <w:jc w:val="center"/>
              <w:rPr>
                <w:rFonts w:ascii="Palatino Linotype" w:hAnsi="Palatino Linotype"/>
                <w:b/>
              </w:rPr>
            </w:pPr>
          </w:p>
          <w:p w:rsidR="00632BF9" w:rsidRPr="00205730" w:rsidRDefault="00632BF9" w:rsidP="00302F27">
            <w:pPr>
              <w:pStyle w:val="Sinespaciado"/>
              <w:jc w:val="center"/>
              <w:rPr>
                <w:rFonts w:ascii="Palatino Linotype" w:hAnsi="Palatino Linotype"/>
                <w:b/>
              </w:rPr>
            </w:pPr>
          </w:p>
          <w:p w:rsidR="00632BF9" w:rsidRPr="00205730" w:rsidRDefault="00632BF9" w:rsidP="00302F27">
            <w:pPr>
              <w:pStyle w:val="Sinespaciado"/>
              <w:jc w:val="center"/>
              <w:rPr>
                <w:rFonts w:ascii="Palatino Linotype" w:hAnsi="Palatino Linotype"/>
                <w:b/>
              </w:rPr>
            </w:pPr>
          </w:p>
          <w:p w:rsidR="00632BF9" w:rsidRPr="00205730" w:rsidRDefault="00632BF9" w:rsidP="00302F27">
            <w:pPr>
              <w:pStyle w:val="Sinespaciado"/>
              <w:jc w:val="center"/>
              <w:rPr>
                <w:rFonts w:ascii="Palatino Linotype" w:hAnsi="Palatino Linotype"/>
                <w:b/>
              </w:rPr>
            </w:pPr>
          </w:p>
          <w:p w:rsidR="00632BF9" w:rsidRPr="00205730" w:rsidRDefault="00632BF9" w:rsidP="00302F27">
            <w:pPr>
              <w:pStyle w:val="Sinespaciado"/>
              <w:jc w:val="center"/>
              <w:rPr>
                <w:rFonts w:ascii="Palatino Linotype" w:hAnsi="Palatino Linotype"/>
                <w:b/>
              </w:rPr>
            </w:pPr>
          </w:p>
          <w:p w:rsidR="00632BF9" w:rsidRPr="00205730" w:rsidRDefault="00632BF9" w:rsidP="00302F27">
            <w:pPr>
              <w:pStyle w:val="Sinespaciado"/>
              <w:jc w:val="center"/>
              <w:rPr>
                <w:rFonts w:ascii="Palatino Linotype" w:hAnsi="Palatino Linotype"/>
                <w:b/>
              </w:rPr>
            </w:pPr>
            <w:r w:rsidRPr="00205730">
              <w:rPr>
                <w:rFonts w:ascii="Palatino Linotype" w:hAnsi="Palatino Linotype"/>
                <w:b/>
              </w:rPr>
              <w:t>Luis Gustavo Parra Noriega</w:t>
            </w:r>
          </w:p>
          <w:p w:rsidR="00632BF9" w:rsidRPr="00205730" w:rsidRDefault="00632BF9" w:rsidP="00302F27">
            <w:pPr>
              <w:pStyle w:val="Sinespaciado"/>
              <w:jc w:val="center"/>
              <w:rPr>
                <w:rFonts w:ascii="Palatino Linotype" w:hAnsi="Palatino Linotype"/>
              </w:rPr>
            </w:pPr>
            <w:r w:rsidRPr="00205730">
              <w:rPr>
                <w:rFonts w:ascii="Palatino Linotype" w:hAnsi="Palatino Linotype"/>
              </w:rPr>
              <w:t>Comisionado</w:t>
            </w:r>
          </w:p>
          <w:p w:rsidR="00632BF9" w:rsidRPr="00205730" w:rsidRDefault="00632BF9" w:rsidP="00302F27">
            <w:pPr>
              <w:pStyle w:val="Sinespaciado"/>
              <w:jc w:val="center"/>
              <w:rPr>
                <w:rFonts w:ascii="Palatino Linotype" w:hAnsi="Palatino Linotype"/>
              </w:rPr>
            </w:pPr>
            <w:r w:rsidRPr="00205730">
              <w:rPr>
                <w:rFonts w:ascii="Palatino Linotype" w:hAnsi="Palatino Linotype"/>
              </w:rPr>
              <w:t>(Rúbrica)</w:t>
            </w:r>
          </w:p>
        </w:tc>
      </w:tr>
      <w:tr w:rsidR="00632BF9" w:rsidRPr="00205730" w:rsidTr="00302F27">
        <w:tc>
          <w:tcPr>
            <w:tcW w:w="9062" w:type="dxa"/>
            <w:gridSpan w:val="2"/>
          </w:tcPr>
          <w:p w:rsidR="00632BF9" w:rsidRPr="00205730" w:rsidRDefault="00632BF9" w:rsidP="00302F27">
            <w:pPr>
              <w:pStyle w:val="Sinespaciado"/>
              <w:jc w:val="both"/>
              <w:rPr>
                <w:rFonts w:ascii="Palatino Linotype" w:hAnsi="Palatino Linotype"/>
                <w:b/>
              </w:rPr>
            </w:pPr>
          </w:p>
          <w:p w:rsidR="00632BF9" w:rsidRPr="00205730" w:rsidRDefault="00632BF9" w:rsidP="00302F27">
            <w:pPr>
              <w:pStyle w:val="Sinespaciado"/>
              <w:jc w:val="both"/>
              <w:rPr>
                <w:rFonts w:ascii="Palatino Linotype" w:hAnsi="Palatino Linotype"/>
                <w:b/>
              </w:rPr>
            </w:pPr>
          </w:p>
          <w:p w:rsidR="00632BF9" w:rsidRPr="00205730" w:rsidRDefault="00632BF9" w:rsidP="00302F27">
            <w:pPr>
              <w:pStyle w:val="Sinespaciado"/>
              <w:jc w:val="both"/>
              <w:rPr>
                <w:rFonts w:ascii="Palatino Linotype" w:hAnsi="Palatino Linotype"/>
                <w:b/>
              </w:rPr>
            </w:pPr>
          </w:p>
          <w:p w:rsidR="00632BF9" w:rsidRPr="00205730" w:rsidRDefault="00632BF9" w:rsidP="00302F27">
            <w:pPr>
              <w:pStyle w:val="Sinespaciado"/>
              <w:jc w:val="both"/>
              <w:rPr>
                <w:rFonts w:ascii="Palatino Linotype" w:hAnsi="Palatino Linotype"/>
                <w:b/>
              </w:rPr>
            </w:pPr>
          </w:p>
          <w:p w:rsidR="00632BF9" w:rsidRPr="00205730" w:rsidRDefault="00632BF9" w:rsidP="00302F27">
            <w:pPr>
              <w:pStyle w:val="Sinespaciado"/>
              <w:jc w:val="both"/>
              <w:rPr>
                <w:rFonts w:ascii="Palatino Linotype" w:hAnsi="Palatino Linotype"/>
                <w:b/>
              </w:rPr>
            </w:pPr>
          </w:p>
          <w:p w:rsidR="00632BF9" w:rsidRPr="00205730" w:rsidRDefault="00632BF9" w:rsidP="00302F27">
            <w:pPr>
              <w:pStyle w:val="Sinespaciado"/>
              <w:jc w:val="center"/>
              <w:rPr>
                <w:rFonts w:ascii="Palatino Linotype" w:hAnsi="Palatino Linotype"/>
                <w:b/>
              </w:rPr>
            </w:pPr>
            <w:r w:rsidRPr="00205730">
              <w:rPr>
                <w:rFonts w:ascii="Palatino Linotype" w:hAnsi="Palatino Linotype"/>
                <w:b/>
              </w:rPr>
              <w:t>Alexis Tapia Ramírez</w:t>
            </w:r>
          </w:p>
          <w:p w:rsidR="00632BF9" w:rsidRPr="00205730" w:rsidRDefault="00632BF9" w:rsidP="00302F27">
            <w:pPr>
              <w:pStyle w:val="Sinespaciado"/>
              <w:jc w:val="center"/>
              <w:rPr>
                <w:rFonts w:ascii="Palatino Linotype" w:hAnsi="Palatino Linotype"/>
              </w:rPr>
            </w:pPr>
            <w:r w:rsidRPr="00205730">
              <w:rPr>
                <w:rFonts w:ascii="Palatino Linotype" w:hAnsi="Palatino Linotype"/>
              </w:rPr>
              <w:t>Secretario Técnico del Pleno</w:t>
            </w:r>
          </w:p>
          <w:p w:rsidR="00632BF9" w:rsidRPr="00205730" w:rsidRDefault="00632BF9" w:rsidP="00302F27">
            <w:pPr>
              <w:pStyle w:val="Sinespaciado"/>
              <w:jc w:val="center"/>
              <w:rPr>
                <w:rFonts w:ascii="Palatino Linotype" w:hAnsi="Palatino Linotype"/>
              </w:rPr>
            </w:pPr>
            <w:r w:rsidRPr="00205730">
              <w:rPr>
                <w:rFonts w:ascii="Palatino Linotype" w:hAnsi="Palatino Linotype"/>
              </w:rPr>
              <w:t>(Rúbrica)</w:t>
            </w:r>
          </w:p>
        </w:tc>
      </w:tr>
    </w:tbl>
    <w:p w:rsidR="00AE4AAC" w:rsidRPr="00205730" w:rsidRDefault="00AE4AAC" w:rsidP="006A3AFB">
      <w:pPr>
        <w:spacing w:after="0" w:line="276" w:lineRule="auto"/>
        <w:jc w:val="both"/>
        <w:rPr>
          <w:rFonts w:ascii="Palatino Linotype" w:hAnsi="Palatino Linotype" w:cs="Arial"/>
          <w:sz w:val="24"/>
          <w:szCs w:val="24"/>
        </w:rPr>
      </w:pPr>
    </w:p>
    <w:p w:rsidR="00B76A01" w:rsidRPr="00D13500" w:rsidRDefault="00B76A01" w:rsidP="006A3AFB">
      <w:pPr>
        <w:spacing w:after="0" w:line="276" w:lineRule="auto"/>
        <w:jc w:val="both"/>
        <w:rPr>
          <w:rFonts w:ascii="Palatino Linotype" w:hAnsi="Palatino Linotype" w:cs="Arial"/>
          <w:sz w:val="20"/>
          <w:szCs w:val="20"/>
        </w:rPr>
      </w:pPr>
      <w:r w:rsidRPr="00D13500">
        <w:rPr>
          <w:rFonts w:ascii="Palatino Linotype" w:hAnsi="Palatino Linotype" w:cs="Arial"/>
          <w:sz w:val="20"/>
          <w:szCs w:val="20"/>
        </w:rPr>
        <w:t xml:space="preserve">Esta hoja corresponde a la resolución de fecha </w:t>
      </w:r>
      <w:r w:rsidR="004649F1">
        <w:rPr>
          <w:rFonts w:ascii="Palatino Linotype" w:hAnsi="Palatino Linotype" w:cs="Arial"/>
          <w:sz w:val="20"/>
          <w:szCs w:val="20"/>
        </w:rPr>
        <w:t>veintiséis</w:t>
      </w:r>
      <w:r w:rsidR="00C87F26" w:rsidRPr="00D13500">
        <w:rPr>
          <w:rFonts w:ascii="Palatino Linotype" w:hAnsi="Palatino Linotype" w:cs="Arial"/>
          <w:sz w:val="20"/>
          <w:szCs w:val="20"/>
        </w:rPr>
        <w:t xml:space="preserve"> de junio de dos mil diecinueve</w:t>
      </w:r>
      <w:r w:rsidR="008E706C" w:rsidRPr="00D13500">
        <w:rPr>
          <w:rFonts w:ascii="Palatino Linotype" w:hAnsi="Palatino Linotype" w:cs="Arial"/>
          <w:sz w:val="20"/>
          <w:szCs w:val="20"/>
        </w:rPr>
        <w:t>, emitida en los</w:t>
      </w:r>
      <w:r w:rsidRPr="00D13500">
        <w:rPr>
          <w:rFonts w:ascii="Palatino Linotype" w:hAnsi="Palatino Linotype" w:cs="Arial"/>
          <w:sz w:val="20"/>
          <w:szCs w:val="20"/>
        </w:rPr>
        <w:t xml:space="preserve"> recurso</w:t>
      </w:r>
      <w:r w:rsidR="008E706C" w:rsidRPr="00D13500">
        <w:rPr>
          <w:rFonts w:ascii="Palatino Linotype" w:hAnsi="Palatino Linotype" w:cs="Arial"/>
          <w:sz w:val="20"/>
          <w:szCs w:val="20"/>
        </w:rPr>
        <w:t>s</w:t>
      </w:r>
      <w:r w:rsidRPr="00D13500">
        <w:rPr>
          <w:rFonts w:ascii="Palatino Linotype" w:hAnsi="Palatino Linotype" w:cs="Arial"/>
          <w:sz w:val="20"/>
          <w:szCs w:val="20"/>
        </w:rPr>
        <w:t xml:space="preserve"> de revisión </w:t>
      </w:r>
      <w:r w:rsidR="004649F1">
        <w:rPr>
          <w:rFonts w:ascii="Palatino Linotype" w:hAnsi="Palatino Linotype" w:cs="Arial"/>
          <w:sz w:val="20"/>
          <w:szCs w:val="20"/>
        </w:rPr>
        <w:t>02490/INFOEM/IP/RR/2019.</w:t>
      </w:r>
    </w:p>
    <w:p w:rsidR="007533A3" w:rsidRPr="00205730" w:rsidRDefault="000E0763" w:rsidP="006A3AFB">
      <w:pPr>
        <w:spacing w:after="0" w:line="276" w:lineRule="auto"/>
        <w:jc w:val="both"/>
        <w:rPr>
          <w:rFonts w:ascii="Palatino Linotype" w:hAnsi="Palatino Linotype" w:cs="Arial"/>
          <w:sz w:val="24"/>
          <w:szCs w:val="24"/>
        </w:rPr>
      </w:pPr>
      <w:r w:rsidRPr="00D13500">
        <w:rPr>
          <w:rFonts w:ascii="Palatino Linotype" w:hAnsi="Palatino Linotype" w:cs="Arial"/>
          <w:sz w:val="20"/>
          <w:szCs w:val="20"/>
        </w:rPr>
        <w:t>ZMS/OSAM/fzh</w:t>
      </w:r>
    </w:p>
    <w:sectPr w:rsidR="007533A3" w:rsidRPr="00205730" w:rsidSect="00671BE8">
      <w:headerReference w:type="default" r:id="rId12"/>
      <w:footerReference w:type="default" r:id="rId13"/>
      <w:headerReference w:type="first" r:id="rId14"/>
      <w:footerReference w:type="first" r:id="rId15"/>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8663F" w:rsidRDefault="00F8663F" w:rsidP="001032D4">
      <w:pPr>
        <w:spacing w:after="0" w:line="240" w:lineRule="auto"/>
      </w:pPr>
      <w:r>
        <w:separator/>
      </w:r>
    </w:p>
  </w:endnote>
  <w:endnote w:type="continuationSeparator" w:id="0">
    <w:p w:rsidR="00F8663F" w:rsidRDefault="00F8663F" w:rsidP="001032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Arial,Bold">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2F27" w:rsidRPr="000B69FA" w:rsidRDefault="00302F27" w:rsidP="00671BE8">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922777">
      <w:rPr>
        <w:rFonts w:ascii="Palatino Linotype" w:hAnsi="Palatino Linotype"/>
        <w:bCs/>
        <w:noProof/>
        <w:sz w:val="20"/>
      </w:rPr>
      <w:t>19</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922777">
      <w:rPr>
        <w:rFonts w:ascii="Palatino Linotype" w:hAnsi="Palatino Linotype"/>
        <w:bCs/>
        <w:noProof/>
        <w:sz w:val="20"/>
      </w:rPr>
      <w:t>36</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2F27" w:rsidRPr="000B69FA" w:rsidRDefault="00302F27" w:rsidP="00671BE8">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AA1BB1">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AA1BB1">
      <w:rPr>
        <w:rFonts w:ascii="Palatino Linotype" w:hAnsi="Palatino Linotype"/>
        <w:bCs/>
        <w:noProof/>
        <w:sz w:val="20"/>
      </w:rPr>
      <w:t>36</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8663F" w:rsidRDefault="00F8663F" w:rsidP="001032D4">
      <w:pPr>
        <w:spacing w:after="0" w:line="240" w:lineRule="auto"/>
      </w:pPr>
      <w:r>
        <w:separator/>
      </w:r>
    </w:p>
  </w:footnote>
  <w:footnote w:type="continuationSeparator" w:id="0">
    <w:p w:rsidR="00F8663F" w:rsidRDefault="00F8663F" w:rsidP="001032D4">
      <w:pPr>
        <w:spacing w:after="0" w:line="240" w:lineRule="auto"/>
      </w:pPr>
      <w:r>
        <w:continuationSeparator/>
      </w:r>
    </w:p>
  </w:footnote>
  <w:footnote w:id="1">
    <w:p w:rsidR="00302F27" w:rsidRPr="00946E1F" w:rsidRDefault="00302F27" w:rsidP="00FF3879">
      <w:pPr>
        <w:spacing w:after="0" w:line="240" w:lineRule="auto"/>
        <w:jc w:val="both"/>
        <w:rPr>
          <w:rFonts w:ascii="Palatino Linotype" w:eastAsia="Times New Roman" w:hAnsi="Palatino Linotype"/>
          <w:b/>
          <w:bCs/>
          <w:i/>
          <w:sz w:val="20"/>
          <w:szCs w:val="20"/>
          <w:lang w:eastAsia="es-MX"/>
        </w:rPr>
      </w:pPr>
      <w:r>
        <w:rPr>
          <w:rStyle w:val="Refdenotaalpie"/>
        </w:rPr>
        <w:footnoteRef/>
      </w:r>
      <w:r>
        <w:t xml:space="preserve"> </w:t>
      </w:r>
      <w:r w:rsidRPr="00946E1F">
        <w:rPr>
          <w:rFonts w:ascii="Palatino Linotype" w:hAnsi="Palatino Linotype"/>
          <w:b/>
          <w:bCs/>
          <w:i/>
          <w:sz w:val="20"/>
          <w:szCs w:val="20"/>
        </w:rPr>
        <w:t>IMPROCEDENCIA Y SOBRESEIMIENTO EN EL JUICIO DE AMPARO. LAS CAUSAS PREVISTAS EN LOS ARTÍCULOS 73 Y 74 DE LA LEY DE LA MATERIA, RESPECTIVAMENTE, NO SON INCOMPATIBLES CON EL ARTÍCULO 25.1 DE LA CONVENCIÓN AMERICANA SOBRE DERECHOS HUMANOS.</w:t>
      </w:r>
    </w:p>
    <w:p w:rsidR="00302F27" w:rsidRPr="00946E1F" w:rsidRDefault="00302F27" w:rsidP="00FF3879">
      <w:pPr>
        <w:spacing w:after="0" w:line="240" w:lineRule="auto"/>
        <w:jc w:val="both"/>
        <w:rPr>
          <w:rFonts w:ascii="Palatino Linotype" w:hAnsi="Palatino Linotype"/>
          <w:i/>
          <w:sz w:val="20"/>
          <w:szCs w:val="20"/>
        </w:rPr>
      </w:pPr>
      <w:r w:rsidRPr="00946E1F">
        <w:rPr>
          <w:rFonts w:ascii="Palatino Linotype" w:hAnsi="Palatino Linotype"/>
          <w:i/>
          <w:sz w:val="20"/>
          <w:szCs w:val="20"/>
        </w:rPr>
        <w:t>Del examen de compatibilidad de los artículos</w:t>
      </w:r>
      <w:r w:rsidRPr="00131F62">
        <w:rPr>
          <w:rFonts w:ascii="Palatino Linotype" w:hAnsi="Palatino Linotype"/>
          <w:i/>
          <w:sz w:val="20"/>
          <w:szCs w:val="20"/>
        </w:rPr>
        <w:t> </w:t>
      </w:r>
      <w:hyperlink r:id="rId1" w:history="1">
        <w:r w:rsidRPr="00131F62">
          <w:rPr>
            <w:rFonts w:ascii="Palatino Linotype" w:hAnsi="Palatino Linotype"/>
            <w:i/>
            <w:sz w:val="20"/>
            <w:szCs w:val="20"/>
          </w:rPr>
          <w:t>73 y 74 de la Ley de Amparo</w:t>
        </w:r>
      </w:hyperlink>
      <w:r w:rsidRPr="00131F62">
        <w:rPr>
          <w:rFonts w:ascii="Palatino Linotype" w:hAnsi="Palatino Linotype"/>
          <w:i/>
          <w:sz w:val="20"/>
          <w:szCs w:val="20"/>
        </w:rPr>
        <w:t> </w:t>
      </w:r>
      <w:r w:rsidRPr="00946E1F">
        <w:rPr>
          <w:rFonts w:ascii="Palatino Linotype" w:hAnsi="Palatino Linotype"/>
          <w:i/>
          <w:sz w:val="20"/>
          <w:szCs w:val="20"/>
        </w:rPr>
        <w:t>con el artículo</w:t>
      </w:r>
      <w:r w:rsidRPr="00131F62">
        <w:rPr>
          <w:rFonts w:ascii="Palatino Linotype" w:hAnsi="Palatino Linotype"/>
          <w:i/>
          <w:sz w:val="20"/>
          <w:szCs w:val="20"/>
        </w:rPr>
        <w:t> </w:t>
      </w:r>
      <w:hyperlink r:id="rId2" w:history="1">
        <w:r w:rsidRPr="00131F62">
          <w:rPr>
            <w:rFonts w:ascii="Palatino Linotype" w:hAnsi="Palatino Linotype"/>
            <w:i/>
            <w:sz w:val="20"/>
            <w:szCs w:val="20"/>
          </w:rPr>
          <w:t>25.1 de la Convención Americana sobre Derechos Humanos</w:t>
        </w:r>
      </w:hyperlink>
      <w:r w:rsidRPr="00946E1F">
        <w:rPr>
          <w:rStyle w:val="apple-converted-space"/>
          <w:rFonts w:ascii="Palatino Linotype" w:hAnsi="Palatino Linotype"/>
          <w:i/>
          <w:sz w:val="20"/>
          <w:szCs w:val="20"/>
        </w:rPr>
        <w:t> </w:t>
      </w:r>
      <w:r w:rsidRPr="00946E1F">
        <w:rPr>
          <w:rFonts w:ascii="Palatino Linotype" w:hAnsi="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946E1F">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2F27" w:rsidRDefault="00302F27">
    <w:pPr>
      <w:pStyle w:val="Encabezado"/>
    </w:pPr>
  </w:p>
  <w:tbl>
    <w:tblPr>
      <w:tblW w:w="10065" w:type="dxa"/>
      <w:tblInd w:w="-851" w:type="dxa"/>
      <w:tblLayout w:type="fixed"/>
      <w:tblCellMar>
        <w:left w:w="70" w:type="dxa"/>
        <w:right w:w="70" w:type="dxa"/>
      </w:tblCellMar>
      <w:tblLook w:val="04A0" w:firstRow="1" w:lastRow="0" w:firstColumn="1" w:lastColumn="0" w:noHBand="0" w:noVBand="1"/>
    </w:tblPr>
    <w:tblGrid>
      <w:gridCol w:w="6805"/>
      <w:gridCol w:w="3260"/>
    </w:tblGrid>
    <w:tr w:rsidR="00302F27" w:rsidTr="00201139">
      <w:trPr>
        <w:trHeight w:val="227"/>
      </w:trPr>
      <w:tc>
        <w:tcPr>
          <w:tcW w:w="6805" w:type="dxa"/>
          <w:hideMark/>
        </w:tcPr>
        <w:p w:rsidR="00302F27" w:rsidRDefault="00302F27" w:rsidP="00671BE8">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3260" w:type="dxa"/>
          <w:hideMark/>
        </w:tcPr>
        <w:p w:rsidR="00302F27" w:rsidRDefault="007A69B6" w:rsidP="00AB2E71">
          <w:pPr>
            <w:spacing w:after="120" w:line="256" w:lineRule="auto"/>
            <w:ind w:left="-486" w:right="214"/>
            <w:jc w:val="right"/>
            <w:rPr>
              <w:rFonts w:ascii="Palatino Linotype" w:hAnsi="Palatino Linotype" w:cs="Arial"/>
              <w:szCs w:val="20"/>
            </w:rPr>
          </w:pPr>
          <w:r>
            <w:rPr>
              <w:rFonts w:ascii="Palatino Linotype" w:hAnsi="Palatino Linotype" w:cs="Arial"/>
              <w:szCs w:val="20"/>
            </w:rPr>
            <w:t>0249</w:t>
          </w:r>
          <w:r w:rsidR="00302F27">
            <w:rPr>
              <w:rFonts w:ascii="Palatino Linotype" w:hAnsi="Palatino Linotype" w:cs="Arial"/>
              <w:szCs w:val="20"/>
            </w:rPr>
            <w:t>0/</w:t>
          </w:r>
          <w:r w:rsidR="00302F27" w:rsidRPr="00201139">
            <w:rPr>
              <w:rFonts w:ascii="Palatino Linotype" w:hAnsi="Palatino Linotype" w:cs="Arial"/>
              <w:szCs w:val="20"/>
            </w:rPr>
            <w:t>INFOEM/IP/RR/201</w:t>
          </w:r>
          <w:r w:rsidR="00302F27">
            <w:rPr>
              <w:rFonts w:ascii="Palatino Linotype" w:hAnsi="Palatino Linotype" w:cs="Arial"/>
              <w:szCs w:val="20"/>
            </w:rPr>
            <w:t>9</w:t>
          </w:r>
        </w:p>
      </w:tc>
    </w:tr>
    <w:tr w:rsidR="00302F27" w:rsidTr="00201139">
      <w:trPr>
        <w:trHeight w:val="242"/>
      </w:trPr>
      <w:tc>
        <w:tcPr>
          <w:tcW w:w="6805" w:type="dxa"/>
          <w:hideMark/>
        </w:tcPr>
        <w:p w:rsidR="00302F27" w:rsidRDefault="00302F27" w:rsidP="00671BE8">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3260" w:type="dxa"/>
          <w:hideMark/>
        </w:tcPr>
        <w:p w:rsidR="00302F27" w:rsidRDefault="00302F27" w:rsidP="007D534B">
          <w:pPr>
            <w:spacing w:after="120" w:line="256" w:lineRule="auto"/>
            <w:ind w:left="-486" w:right="214" w:firstLine="416"/>
            <w:jc w:val="right"/>
            <w:rPr>
              <w:rFonts w:ascii="Palatino Linotype" w:hAnsi="Palatino Linotype" w:cs="Arial"/>
              <w:szCs w:val="20"/>
            </w:rPr>
          </w:pPr>
          <w:r w:rsidRPr="00201139">
            <w:rPr>
              <w:rFonts w:ascii="Palatino Linotype" w:hAnsi="Palatino Linotype" w:cs="Arial"/>
              <w:szCs w:val="20"/>
            </w:rPr>
            <w:t xml:space="preserve">Ayuntamiento de </w:t>
          </w:r>
          <w:r w:rsidR="00AB2E71">
            <w:rPr>
              <w:rFonts w:ascii="Palatino Linotype" w:hAnsi="Palatino Linotype" w:cs="Arial"/>
              <w:szCs w:val="20"/>
            </w:rPr>
            <w:t>Tecámac</w:t>
          </w:r>
          <w:r>
            <w:rPr>
              <w:rFonts w:ascii="Palatino Linotype" w:hAnsi="Palatino Linotype" w:cs="Arial"/>
              <w:szCs w:val="20"/>
            </w:rPr>
            <w:t xml:space="preserve"> </w:t>
          </w:r>
        </w:p>
      </w:tc>
    </w:tr>
    <w:tr w:rsidR="00302F27" w:rsidTr="00201139">
      <w:trPr>
        <w:trHeight w:val="342"/>
      </w:trPr>
      <w:tc>
        <w:tcPr>
          <w:tcW w:w="6805" w:type="dxa"/>
          <w:hideMark/>
        </w:tcPr>
        <w:p w:rsidR="00302F27" w:rsidRDefault="00302F27" w:rsidP="00671BE8">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3260" w:type="dxa"/>
          <w:hideMark/>
        </w:tcPr>
        <w:p w:rsidR="00302F27" w:rsidRDefault="00302F27" w:rsidP="00671BE8">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rsidR="00302F27" w:rsidRDefault="00302F27">
    <w:pPr>
      <w:pStyle w:val="Encabezado"/>
    </w:pPr>
  </w:p>
  <w:p w:rsidR="00AB2E71" w:rsidRDefault="00AB2E71">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6521"/>
      <w:gridCol w:w="3544"/>
    </w:tblGrid>
    <w:tr w:rsidR="00302F27" w:rsidRPr="00633CD9" w:rsidTr="00452BE0">
      <w:trPr>
        <w:trHeight w:val="227"/>
      </w:trPr>
      <w:tc>
        <w:tcPr>
          <w:tcW w:w="6521" w:type="dxa"/>
          <w:hideMark/>
        </w:tcPr>
        <w:p w:rsidR="00302F27" w:rsidRDefault="00302F27" w:rsidP="00671BE8">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3544" w:type="dxa"/>
          <w:hideMark/>
        </w:tcPr>
        <w:p w:rsidR="00302F27" w:rsidRPr="00B4142F" w:rsidRDefault="00AB2E71" w:rsidP="00AB2E71">
          <w:pPr>
            <w:spacing w:after="120" w:line="256" w:lineRule="auto"/>
            <w:ind w:left="-486" w:right="214"/>
            <w:jc w:val="right"/>
            <w:rPr>
              <w:rFonts w:ascii="Palatino Linotype" w:hAnsi="Palatino Linotype" w:cs="Arial"/>
              <w:szCs w:val="20"/>
            </w:rPr>
          </w:pPr>
          <w:r>
            <w:rPr>
              <w:rFonts w:ascii="Palatino Linotype" w:hAnsi="Palatino Linotype" w:cs="Arial"/>
              <w:szCs w:val="20"/>
            </w:rPr>
            <w:t>02490/INFOEM/IP/RR/2019</w:t>
          </w:r>
        </w:p>
      </w:tc>
    </w:tr>
    <w:tr w:rsidR="00302F27" w:rsidRPr="00633CD9" w:rsidTr="00452BE0">
      <w:trPr>
        <w:trHeight w:val="196"/>
      </w:trPr>
      <w:tc>
        <w:tcPr>
          <w:tcW w:w="6521" w:type="dxa"/>
          <w:hideMark/>
        </w:tcPr>
        <w:p w:rsidR="00302F27" w:rsidRDefault="00302F27" w:rsidP="00671BE8">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3544" w:type="dxa"/>
          <w:hideMark/>
        </w:tcPr>
        <w:p w:rsidR="00302F27" w:rsidRPr="00840752" w:rsidRDefault="00AA1BB1" w:rsidP="00840752">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XXXXX XXXXXXXX</w:t>
          </w:r>
          <w:r w:rsidR="00302F27">
            <w:rPr>
              <w:rFonts w:ascii="Palatino Linotype" w:hAnsi="Palatino Linotype" w:cs="Arial"/>
              <w:szCs w:val="20"/>
            </w:rPr>
            <w:t xml:space="preserve"> </w:t>
          </w:r>
        </w:p>
      </w:tc>
    </w:tr>
    <w:tr w:rsidR="00302F27" w:rsidRPr="00633CD9" w:rsidTr="00452BE0">
      <w:trPr>
        <w:trHeight w:val="242"/>
      </w:trPr>
      <w:tc>
        <w:tcPr>
          <w:tcW w:w="6521" w:type="dxa"/>
          <w:hideMark/>
        </w:tcPr>
        <w:p w:rsidR="00302F27" w:rsidRDefault="00302F27" w:rsidP="00671BE8">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3544" w:type="dxa"/>
          <w:hideMark/>
        </w:tcPr>
        <w:p w:rsidR="00302F27" w:rsidRDefault="00302F27" w:rsidP="00D80BE8">
          <w:pPr>
            <w:spacing w:after="120" w:line="256" w:lineRule="auto"/>
            <w:ind w:left="-495" w:right="214" w:firstLine="567"/>
            <w:jc w:val="right"/>
            <w:rPr>
              <w:rFonts w:ascii="Palatino Linotype" w:hAnsi="Palatino Linotype" w:cs="Arial"/>
              <w:szCs w:val="20"/>
            </w:rPr>
          </w:pPr>
          <w:r w:rsidRPr="00201139">
            <w:rPr>
              <w:rFonts w:ascii="Palatino Linotype" w:hAnsi="Palatino Linotype" w:cs="Arial"/>
              <w:szCs w:val="20"/>
            </w:rPr>
            <w:t xml:space="preserve">Ayuntamiento de </w:t>
          </w:r>
          <w:r w:rsidR="00AB2E71">
            <w:rPr>
              <w:rFonts w:ascii="Palatino Linotype" w:hAnsi="Palatino Linotype" w:cs="Arial"/>
              <w:szCs w:val="20"/>
            </w:rPr>
            <w:t>Tecámac</w:t>
          </w:r>
          <w:r>
            <w:rPr>
              <w:rFonts w:ascii="Palatino Linotype" w:hAnsi="Palatino Linotype" w:cs="Arial"/>
              <w:szCs w:val="20"/>
            </w:rPr>
            <w:t xml:space="preserve"> </w:t>
          </w:r>
        </w:p>
      </w:tc>
    </w:tr>
    <w:tr w:rsidR="00302F27" w:rsidTr="00452BE0">
      <w:trPr>
        <w:trHeight w:val="342"/>
      </w:trPr>
      <w:tc>
        <w:tcPr>
          <w:tcW w:w="6521" w:type="dxa"/>
          <w:hideMark/>
        </w:tcPr>
        <w:p w:rsidR="00302F27" w:rsidRDefault="00302F27" w:rsidP="00671BE8">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3544" w:type="dxa"/>
          <w:hideMark/>
        </w:tcPr>
        <w:p w:rsidR="00302F27" w:rsidRDefault="00302F27" w:rsidP="00671BE8">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rsidR="00302F27" w:rsidRDefault="00302F27">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0246EAE"/>
    <w:multiLevelType w:val="hybridMultilevel"/>
    <w:tmpl w:val="B338D7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2A4C5947"/>
    <w:multiLevelType w:val="hybridMultilevel"/>
    <w:tmpl w:val="9416A1F4"/>
    <w:lvl w:ilvl="0" w:tplc="F8B6EEEC">
      <w:start w:val="1"/>
      <w:numFmt w:val="upperRoman"/>
      <w:lvlText w:val="%1."/>
      <w:lvlJc w:val="left"/>
      <w:pPr>
        <w:ind w:left="1422" w:hanging="855"/>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 w15:restartNumberingAfterBreak="0">
    <w:nsid w:val="34E27AA6"/>
    <w:multiLevelType w:val="hybridMultilevel"/>
    <w:tmpl w:val="12EE8A9C"/>
    <w:lvl w:ilvl="0" w:tplc="0EFA0958">
      <w:start w:val="1"/>
      <w:numFmt w:val="upperRoman"/>
      <w:lvlText w:val="%1."/>
      <w:lvlJc w:val="left"/>
      <w:pPr>
        <w:ind w:left="1287"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3" w15:restartNumberingAfterBreak="0">
    <w:nsid w:val="50EF1714"/>
    <w:multiLevelType w:val="hybridMultilevel"/>
    <w:tmpl w:val="441E872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0"/>
  </w:num>
  <w:num w:numId="4">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activeWritingStyle w:appName="MSWord" w:lang="pt-BR" w:vendorID="64" w:dllVersion="131078" w:nlCheck="1" w:checkStyle="0"/>
  <w:activeWritingStyle w:appName="MSWord" w:lang="es-MX" w:vendorID="64" w:dllVersion="131078" w:nlCheck="1" w:checkStyle="1"/>
  <w:activeWritingStyle w:appName="MSWord" w:lang="es-ES_tradnl" w:vendorID="64" w:dllVersion="131078" w:nlCheck="1" w:checkStyle="1"/>
  <w:activeWritingStyle w:appName="MSWord" w:lang="es-ES" w:vendorID="64" w:dllVersion="131078" w:nlCheck="1" w:checkStyle="1"/>
  <w:activeWritingStyle w:appName="MSWord" w:lang="es-CO" w:vendorID="64" w:dllVersion="131078" w:nlCheck="1" w:checkStyle="1"/>
  <w:defaultTabStop w:val="709"/>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32D4"/>
    <w:rsid w:val="00000566"/>
    <w:rsid w:val="000041EE"/>
    <w:rsid w:val="000048F7"/>
    <w:rsid w:val="00005528"/>
    <w:rsid w:val="00005EC4"/>
    <w:rsid w:val="00007425"/>
    <w:rsid w:val="00010801"/>
    <w:rsid w:val="00010A91"/>
    <w:rsid w:val="00015427"/>
    <w:rsid w:val="000242A9"/>
    <w:rsid w:val="0002437E"/>
    <w:rsid w:val="00024E19"/>
    <w:rsid w:val="00027645"/>
    <w:rsid w:val="00030AB1"/>
    <w:rsid w:val="00031554"/>
    <w:rsid w:val="00032100"/>
    <w:rsid w:val="000350DC"/>
    <w:rsid w:val="0003605D"/>
    <w:rsid w:val="00037A76"/>
    <w:rsid w:val="000403ED"/>
    <w:rsid w:val="00040B44"/>
    <w:rsid w:val="00044046"/>
    <w:rsid w:val="00046B1E"/>
    <w:rsid w:val="00051582"/>
    <w:rsid w:val="00056801"/>
    <w:rsid w:val="00057C69"/>
    <w:rsid w:val="0006130B"/>
    <w:rsid w:val="00062B3B"/>
    <w:rsid w:val="00065EAD"/>
    <w:rsid w:val="000714F2"/>
    <w:rsid w:val="000731C6"/>
    <w:rsid w:val="0007372F"/>
    <w:rsid w:val="00076601"/>
    <w:rsid w:val="000806BE"/>
    <w:rsid w:val="0008339D"/>
    <w:rsid w:val="000850CE"/>
    <w:rsid w:val="000865CC"/>
    <w:rsid w:val="00087DCC"/>
    <w:rsid w:val="000908E8"/>
    <w:rsid w:val="000912C3"/>
    <w:rsid w:val="0009312F"/>
    <w:rsid w:val="00093F4C"/>
    <w:rsid w:val="00094A24"/>
    <w:rsid w:val="000A1237"/>
    <w:rsid w:val="000A207D"/>
    <w:rsid w:val="000A5664"/>
    <w:rsid w:val="000A5B86"/>
    <w:rsid w:val="000A601A"/>
    <w:rsid w:val="000B3104"/>
    <w:rsid w:val="000B518A"/>
    <w:rsid w:val="000B58A3"/>
    <w:rsid w:val="000B5E93"/>
    <w:rsid w:val="000B687C"/>
    <w:rsid w:val="000B7219"/>
    <w:rsid w:val="000B7DD9"/>
    <w:rsid w:val="000C225A"/>
    <w:rsid w:val="000C5AC5"/>
    <w:rsid w:val="000C7FB4"/>
    <w:rsid w:val="000D044E"/>
    <w:rsid w:val="000D0569"/>
    <w:rsid w:val="000D1230"/>
    <w:rsid w:val="000D1700"/>
    <w:rsid w:val="000D373B"/>
    <w:rsid w:val="000D4BBF"/>
    <w:rsid w:val="000D64AB"/>
    <w:rsid w:val="000E0763"/>
    <w:rsid w:val="000E0837"/>
    <w:rsid w:val="000E3A84"/>
    <w:rsid w:val="000E63BD"/>
    <w:rsid w:val="000F02B0"/>
    <w:rsid w:val="000F0394"/>
    <w:rsid w:val="000F19E1"/>
    <w:rsid w:val="000F6866"/>
    <w:rsid w:val="000F6C33"/>
    <w:rsid w:val="000F6D77"/>
    <w:rsid w:val="000F7EC4"/>
    <w:rsid w:val="001006A4"/>
    <w:rsid w:val="0010282F"/>
    <w:rsid w:val="00102E10"/>
    <w:rsid w:val="001032D4"/>
    <w:rsid w:val="001056E8"/>
    <w:rsid w:val="00110ADD"/>
    <w:rsid w:val="00111D30"/>
    <w:rsid w:val="0011355F"/>
    <w:rsid w:val="00113B6C"/>
    <w:rsid w:val="00114C21"/>
    <w:rsid w:val="00120D25"/>
    <w:rsid w:val="001226DA"/>
    <w:rsid w:val="001229B9"/>
    <w:rsid w:val="00123880"/>
    <w:rsid w:val="00123A68"/>
    <w:rsid w:val="00124A15"/>
    <w:rsid w:val="001266BB"/>
    <w:rsid w:val="001271AC"/>
    <w:rsid w:val="001273C5"/>
    <w:rsid w:val="00132ED0"/>
    <w:rsid w:val="00134E8C"/>
    <w:rsid w:val="00136DE7"/>
    <w:rsid w:val="00147F67"/>
    <w:rsid w:val="00150BA2"/>
    <w:rsid w:val="00152BFC"/>
    <w:rsid w:val="00156BF0"/>
    <w:rsid w:val="00157C46"/>
    <w:rsid w:val="00161D97"/>
    <w:rsid w:val="00165E9E"/>
    <w:rsid w:val="00167B37"/>
    <w:rsid w:val="00171621"/>
    <w:rsid w:val="00171965"/>
    <w:rsid w:val="00171982"/>
    <w:rsid w:val="00171DE6"/>
    <w:rsid w:val="00172834"/>
    <w:rsid w:val="00173448"/>
    <w:rsid w:val="00177525"/>
    <w:rsid w:val="00180293"/>
    <w:rsid w:val="00182EC3"/>
    <w:rsid w:val="001906EA"/>
    <w:rsid w:val="0019140B"/>
    <w:rsid w:val="00196B79"/>
    <w:rsid w:val="001975FB"/>
    <w:rsid w:val="001A0ADE"/>
    <w:rsid w:val="001A1A7D"/>
    <w:rsid w:val="001A1FAA"/>
    <w:rsid w:val="001A304C"/>
    <w:rsid w:val="001A3B4C"/>
    <w:rsid w:val="001A3E5C"/>
    <w:rsid w:val="001A4BF9"/>
    <w:rsid w:val="001A4E06"/>
    <w:rsid w:val="001A53A2"/>
    <w:rsid w:val="001B1C26"/>
    <w:rsid w:val="001B1F1C"/>
    <w:rsid w:val="001B4E71"/>
    <w:rsid w:val="001B6B26"/>
    <w:rsid w:val="001B780A"/>
    <w:rsid w:val="001C2750"/>
    <w:rsid w:val="001C31E7"/>
    <w:rsid w:val="001C4ACC"/>
    <w:rsid w:val="001C4E64"/>
    <w:rsid w:val="001C5DDC"/>
    <w:rsid w:val="001C63D8"/>
    <w:rsid w:val="001D02D1"/>
    <w:rsid w:val="001D23EA"/>
    <w:rsid w:val="001D375C"/>
    <w:rsid w:val="001D6D43"/>
    <w:rsid w:val="001E2EB6"/>
    <w:rsid w:val="001E7595"/>
    <w:rsid w:val="001E7EBF"/>
    <w:rsid w:val="001F1796"/>
    <w:rsid w:val="001F1DDC"/>
    <w:rsid w:val="001F230F"/>
    <w:rsid w:val="001F2F0C"/>
    <w:rsid w:val="001F365E"/>
    <w:rsid w:val="001F53CB"/>
    <w:rsid w:val="002008C5"/>
    <w:rsid w:val="00201139"/>
    <w:rsid w:val="00201FAB"/>
    <w:rsid w:val="002034B3"/>
    <w:rsid w:val="00205415"/>
    <w:rsid w:val="00205665"/>
    <w:rsid w:val="00205730"/>
    <w:rsid w:val="00206F9E"/>
    <w:rsid w:val="00210BE0"/>
    <w:rsid w:val="00213256"/>
    <w:rsid w:val="0021516C"/>
    <w:rsid w:val="0021581C"/>
    <w:rsid w:val="00215C47"/>
    <w:rsid w:val="002160F2"/>
    <w:rsid w:val="002167E1"/>
    <w:rsid w:val="002204F1"/>
    <w:rsid w:val="00221577"/>
    <w:rsid w:val="00223909"/>
    <w:rsid w:val="00225A3D"/>
    <w:rsid w:val="00230CF8"/>
    <w:rsid w:val="00231273"/>
    <w:rsid w:val="002322F3"/>
    <w:rsid w:val="0023252B"/>
    <w:rsid w:val="002335C4"/>
    <w:rsid w:val="00234144"/>
    <w:rsid w:val="00235B1F"/>
    <w:rsid w:val="00235CCF"/>
    <w:rsid w:val="00237247"/>
    <w:rsid w:val="00240213"/>
    <w:rsid w:val="00242081"/>
    <w:rsid w:val="002426B8"/>
    <w:rsid w:val="00245582"/>
    <w:rsid w:val="00250C08"/>
    <w:rsid w:val="00251A78"/>
    <w:rsid w:val="002539A1"/>
    <w:rsid w:val="00253AFC"/>
    <w:rsid w:val="00254D5C"/>
    <w:rsid w:val="00254E16"/>
    <w:rsid w:val="00255356"/>
    <w:rsid w:val="00255849"/>
    <w:rsid w:val="002649CE"/>
    <w:rsid w:val="002653D7"/>
    <w:rsid w:val="002819DE"/>
    <w:rsid w:val="00284FE1"/>
    <w:rsid w:val="00285B0A"/>
    <w:rsid w:val="00286A8B"/>
    <w:rsid w:val="00287B9A"/>
    <w:rsid w:val="00295743"/>
    <w:rsid w:val="00297564"/>
    <w:rsid w:val="002A6B47"/>
    <w:rsid w:val="002B3BE7"/>
    <w:rsid w:val="002B4ADB"/>
    <w:rsid w:val="002B54C1"/>
    <w:rsid w:val="002B56D9"/>
    <w:rsid w:val="002B6AFE"/>
    <w:rsid w:val="002C2D7A"/>
    <w:rsid w:val="002C4298"/>
    <w:rsid w:val="002C468E"/>
    <w:rsid w:val="002C7DF8"/>
    <w:rsid w:val="002D06A4"/>
    <w:rsid w:val="002D0865"/>
    <w:rsid w:val="002D1BB7"/>
    <w:rsid w:val="002D2DD2"/>
    <w:rsid w:val="002D5206"/>
    <w:rsid w:val="002D6B7D"/>
    <w:rsid w:val="002E35AF"/>
    <w:rsid w:val="002E694C"/>
    <w:rsid w:val="002F08B7"/>
    <w:rsid w:val="002F18C5"/>
    <w:rsid w:val="002F1B38"/>
    <w:rsid w:val="002F382F"/>
    <w:rsid w:val="002F4590"/>
    <w:rsid w:val="002F700C"/>
    <w:rsid w:val="002F786D"/>
    <w:rsid w:val="00300888"/>
    <w:rsid w:val="0030088F"/>
    <w:rsid w:val="00302130"/>
    <w:rsid w:val="00302F27"/>
    <w:rsid w:val="00303C8E"/>
    <w:rsid w:val="003044CD"/>
    <w:rsid w:val="003060D5"/>
    <w:rsid w:val="003068B5"/>
    <w:rsid w:val="00311750"/>
    <w:rsid w:val="00312725"/>
    <w:rsid w:val="0031682D"/>
    <w:rsid w:val="00317187"/>
    <w:rsid w:val="00317244"/>
    <w:rsid w:val="003203EE"/>
    <w:rsid w:val="00320E95"/>
    <w:rsid w:val="00321C48"/>
    <w:rsid w:val="00321DE4"/>
    <w:rsid w:val="00321E4E"/>
    <w:rsid w:val="00323455"/>
    <w:rsid w:val="00330C0C"/>
    <w:rsid w:val="00331FBC"/>
    <w:rsid w:val="00333D79"/>
    <w:rsid w:val="00334D21"/>
    <w:rsid w:val="00337293"/>
    <w:rsid w:val="003404D2"/>
    <w:rsid w:val="003446A3"/>
    <w:rsid w:val="00344716"/>
    <w:rsid w:val="00345C4A"/>
    <w:rsid w:val="00347E2E"/>
    <w:rsid w:val="003505FF"/>
    <w:rsid w:val="0035104C"/>
    <w:rsid w:val="0035234D"/>
    <w:rsid w:val="0035263E"/>
    <w:rsid w:val="00353280"/>
    <w:rsid w:val="00353C13"/>
    <w:rsid w:val="00357276"/>
    <w:rsid w:val="00357303"/>
    <w:rsid w:val="0036177C"/>
    <w:rsid w:val="00363ACF"/>
    <w:rsid w:val="00371BDF"/>
    <w:rsid w:val="0037276E"/>
    <w:rsid w:val="00374093"/>
    <w:rsid w:val="00374812"/>
    <w:rsid w:val="003765D6"/>
    <w:rsid w:val="003809AF"/>
    <w:rsid w:val="00384D1E"/>
    <w:rsid w:val="00385664"/>
    <w:rsid w:val="003857F2"/>
    <w:rsid w:val="0038625C"/>
    <w:rsid w:val="00386EF0"/>
    <w:rsid w:val="003872BE"/>
    <w:rsid w:val="003876C9"/>
    <w:rsid w:val="0039322C"/>
    <w:rsid w:val="00396BB4"/>
    <w:rsid w:val="003A0A02"/>
    <w:rsid w:val="003A1D93"/>
    <w:rsid w:val="003A323F"/>
    <w:rsid w:val="003A356D"/>
    <w:rsid w:val="003A5879"/>
    <w:rsid w:val="003A5A10"/>
    <w:rsid w:val="003A5F05"/>
    <w:rsid w:val="003A6C1F"/>
    <w:rsid w:val="003B205C"/>
    <w:rsid w:val="003B23E1"/>
    <w:rsid w:val="003B602E"/>
    <w:rsid w:val="003B64EF"/>
    <w:rsid w:val="003C0852"/>
    <w:rsid w:val="003C21E9"/>
    <w:rsid w:val="003C30CE"/>
    <w:rsid w:val="003C5555"/>
    <w:rsid w:val="003C7981"/>
    <w:rsid w:val="003D0F2A"/>
    <w:rsid w:val="003D288D"/>
    <w:rsid w:val="003D4E9D"/>
    <w:rsid w:val="003E0924"/>
    <w:rsid w:val="003E171F"/>
    <w:rsid w:val="003E6B88"/>
    <w:rsid w:val="003F0566"/>
    <w:rsid w:val="003F0FAD"/>
    <w:rsid w:val="003F1BEE"/>
    <w:rsid w:val="003F1C1E"/>
    <w:rsid w:val="003F2512"/>
    <w:rsid w:val="003F2775"/>
    <w:rsid w:val="003F3AC5"/>
    <w:rsid w:val="003F4100"/>
    <w:rsid w:val="003F50B6"/>
    <w:rsid w:val="0040240F"/>
    <w:rsid w:val="0040391F"/>
    <w:rsid w:val="00406643"/>
    <w:rsid w:val="00412975"/>
    <w:rsid w:val="004131E8"/>
    <w:rsid w:val="00413712"/>
    <w:rsid w:val="00416F83"/>
    <w:rsid w:val="00421F6E"/>
    <w:rsid w:val="004241AA"/>
    <w:rsid w:val="00424587"/>
    <w:rsid w:val="004263FF"/>
    <w:rsid w:val="004267DA"/>
    <w:rsid w:val="004319FA"/>
    <w:rsid w:val="00432B26"/>
    <w:rsid w:val="00441BBA"/>
    <w:rsid w:val="00452BE0"/>
    <w:rsid w:val="0045429B"/>
    <w:rsid w:val="00454524"/>
    <w:rsid w:val="004555FA"/>
    <w:rsid w:val="004559BC"/>
    <w:rsid w:val="00460907"/>
    <w:rsid w:val="00463583"/>
    <w:rsid w:val="00463702"/>
    <w:rsid w:val="00463F47"/>
    <w:rsid w:val="004649F1"/>
    <w:rsid w:val="004669EA"/>
    <w:rsid w:val="00466D9E"/>
    <w:rsid w:val="004678FB"/>
    <w:rsid w:val="00473C09"/>
    <w:rsid w:val="004826A3"/>
    <w:rsid w:val="00485278"/>
    <w:rsid w:val="00485DC8"/>
    <w:rsid w:val="00486085"/>
    <w:rsid w:val="00486356"/>
    <w:rsid w:val="00491FBF"/>
    <w:rsid w:val="0049326D"/>
    <w:rsid w:val="00493D7F"/>
    <w:rsid w:val="0049418B"/>
    <w:rsid w:val="004942DC"/>
    <w:rsid w:val="004A0E54"/>
    <w:rsid w:val="004A1161"/>
    <w:rsid w:val="004A1165"/>
    <w:rsid w:val="004A5A09"/>
    <w:rsid w:val="004A651D"/>
    <w:rsid w:val="004A7225"/>
    <w:rsid w:val="004B1F97"/>
    <w:rsid w:val="004B2911"/>
    <w:rsid w:val="004B4B0C"/>
    <w:rsid w:val="004B6295"/>
    <w:rsid w:val="004B6A14"/>
    <w:rsid w:val="004B730C"/>
    <w:rsid w:val="004B764B"/>
    <w:rsid w:val="004C1060"/>
    <w:rsid w:val="004C1E49"/>
    <w:rsid w:val="004C3292"/>
    <w:rsid w:val="004C3F15"/>
    <w:rsid w:val="004C41FB"/>
    <w:rsid w:val="004C5522"/>
    <w:rsid w:val="004C6CA5"/>
    <w:rsid w:val="004C7F35"/>
    <w:rsid w:val="004D0295"/>
    <w:rsid w:val="004D0DD3"/>
    <w:rsid w:val="004D138A"/>
    <w:rsid w:val="004D1F85"/>
    <w:rsid w:val="004D5EFA"/>
    <w:rsid w:val="004D7AF8"/>
    <w:rsid w:val="004E34D1"/>
    <w:rsid w:val="004E6142"/>
    <w:rsid w:val="004E760A"/>
    <w:rsid w:val="004F2012"/>
    <w:rsid w:val="004F21BD"/>
    <w:rsid w:val="004F3B37"/>
    <w:rsid w:val="004F52E8"/>
    <w:rsid w:val="004F65D5"/>
    <w:rsid w:val="004F78AF"/>
    <w:rsid w:val="00501577"/>
    <w:rsid w:val="00501C48"/>
    <w:rsid w:val="00502301"/>
    <w:rsid w:val="005028CF"/>
    <w:rsid w:val="005058A5"/>
    <w:rsid w:val="005071AA"/>
    <w:rsid w:val="00512C18"/>
    <w:rsid w:val="00512E56"/>
    <w:rsid w:val="00514740"/>
    <w:rsid w:val="00515319"/>
    <w:rsid w:val="0051636B"/>
    <w:rsid w:val="0052032F"/>
    <w:rsid w:val="005208CA"/>
    <w:rsid w:val="0052294F"/>
    <w:rsid w:val="00522D3C"/>
    <w:rsid w:val="00526858"/>
    <w:rsid w:val="0053199B"/>
    <w:rsid w:val="00532884"/>
    <w:rsid w:val="00535D04"/>
    <w:rsid w:val="005365F2"/>
    <w:rsid w:val="005408D2"/>
    <w:rsid w:val="00541210"/>
    <w:rsid w:val="00542662"/>
    <w:rsid w:val="005453EA"/>
    <w:rsid w:val="00551C5C"/>
    <w:rsid w:val="005523B4"/>
    <w:rsid w:val="00556415"/>
    <w:rsid w:val="00557292"/>
    <w:rsid w:val="00562AF5"/>
    <w:rsid w:val="00563C40"/>
    <w:rsid w:val="00563EE4"/>
    <w:rsid w:val="00565B86"/>
    <w:rsid w:val="00565EC8"/>
    <w:rsid w:val="00570A64"/>
    <w:rsid w:val="00576276"/>
    <w:rsid w:val="00576A1A"/>
    <w:rsid w:val="00580D25"/>
    <w:rsid w:val="00580D68"/>
    <w:rsid w:val="0058513F"/>
    <w:rsid w:val="00586008"/>
    <w:rsid w:val="00586690"/>
    <w:rsid w:val="005903D6"/>
    <w:rsid w:val="00590763"/>
    <w:rsid w:val="005924DB"/>
    <w:rsid w:val="0059297E"/>
    <w:rsid w:val="005930AA"/>
    <w:rsid w:val="005940B0"/>
    <w:rsid w:val="00594581"/>
    <w:rsid w:val="00594C15"/>
    <w:rsid w:val="00597A42"/>
    <w:rsid w:val="005A2F49"/>
    <w:rsid w:val="005A36B6"/>
    <w:rsid w:val="005A4890"/>
    <w:rsid w:val="005A59E5"/>
    <w:rsid w:val="005A6167"/>
    <w:rsid w:val="005A72CE"/>
    <w:rsid w:val="005A7ECE"/>
    <w:rsid w:val="005B7B72"/>
    <w:rsid w:val="005C040A"/>
    <w:rsid w:val="005C0595"/>
    <w:rsid w:val="005C0CAD"/>
    <w:rsid w:val="005C15A9"/>
    <w:rsid w:val="005C1787"/>
    <w:rsid w:val="005C2F5F"/>
    <w:rsid w:val="005C3BA2"/>
    <w:rsid w:val="005C55A3"/>
    <w:rsid w:val="005C779A"/>
    <w:rsid w:val="005D27C6"/>
    <w:rsid w:val="005D52C0"/>
    <w:rsid w:val="005D5CD0"/>
    <w:rsid w:val="005E2A08"/>
    <w:rsid w:val="005E2DE2"/>
    <w:rsid w:val="005E5B8A"/>
    <w:rsid w:val="005F42BC"/>
    <w:rsid w:val="005F4F97"/>
    <w:rsid w:val="005F6959"/>
    <w:rsid w:val="006002B6"/>
    <w:rsid w:val="00600D3E"/>
    <w:rsid w:val="006021D9"/>
    <w:rsid w:val="00602CB3"/>
    <w:rsid w:val="006034ED"/>
    <w:rsid w:val="00603C48"/>
    <w:rsid w:val="006042AA"/>
    <w:rsid w:val="00607DC6"/>
    <w:rsid w:val="00607E2B"/>
    <w:rsid w:val="00611306"/>
    <w:rsid w:val="0061172D"/>
    <w:rsid w:val="006140BE"/>
    <w:rsid w:val="006170BC"/>
    <w:rsid w:val="0062067E"/>
    <w:rsid w:val="00621549"/>
    <w:rsid w:val="006226E7"/>
    <w:rsid w:val="00622837"/>
    <w:rsid w:val="00623889"/>
    <w:rsid w:val="0062391B"/>
    <w:rsid w:val="0063037D"/>
    <w:rsid w:val="00630BE5"/>
    <w:rsid w:val="0063194B"/>
    <w:rsid w:val="00631AB6"/>
    <w:rsid w:val="0063248B"/>
    <w:rsid w:val="00632574"/>
    <w:rsid w:val="00632BF9"/>
    <w:rsid w:val="00633011"/>
    <w:rsid w:val="00633CD9"/>
    <w:rsid w:val="006359FD"/>
    <w:rsid w:val="00637782"/>
    <w:rsid w:val="00637B49"/>
    <w:rsid w:val="0064004B"/>
    <w:rsid w:val="00640428"/>
    <w:rsid w:val="00644DE7"/>
    <w:rsid w:val="00645AC9"/>
    <w:rsid w:val="0065012C"/>
    <w:rsid w:val="0065261D"/>
    <w:rsid w:val="0065261E"/>
    <w:rsid w:val="0065362B"/>
    <w:rsid w:val="00653E48"/>
    <w:rsid w:val="0066007D"/>
    <w:rsid w:val="00662639"/>
    <w:rsid w:val="006631D9"/>
    <w:rsid w:val="0066570E"/>
    <w:rsid w:val="006661EF"/>
    <w:rsid w:val="00667563"/>
    <w:rsid w:val="0067089A"/>
    <w:rsid w:val="006717C2"/>
    <w:rsid w:val="00671BE8"/>
    <w:rsid w:val="006728D9"/>
    <w:rsid w:val="00674AF8"/>
    <w:rsid w:val="00674DFB"/>
    <w:rsid w:val="00684A99"/>
    <w:rsid w:val="00685002"/>
    <w:rsid w:val="00685CAD"/>
    <w:rsid w:val="006935FD"/>
    <w:rsid w:val="00694AF9"/>
    <w:rsid w:val="00695F72"/>
    <w:rsid w:val="006A2057"/>
    <w:rsid w:val="006A2216"/>
    <w:rsid w:val="006A2C28"/>
    <w:rsid w:val="006A319E"/>
    <w:rsid w:val="006A3AFB"/>
    <w:rsid w:val="006A4B2F"/>
    <w:rsid w:val="006A4CC7"/>
    <w:rsid w:val="006B1ECF"/>
    <w:rsid w:val="006B226D"/>
    <w:rsid w:val="006B2FB8"/>
    <w:rsid w:val="006B4E05"/>
    <w:rsid w:val="006B5798"/>
    <w:rsid w:val="006B5F69"/>
    <w:rsid w:val="006B65FE"/>
    <w:rsid w:val="006C201F"/>
    <w:rsid w:val="006C293B"/>
    <w:rsid w:val="006C4C61"/>
    <w:rsid w:val="006C5D23"/>
    <w:rsid w:val="006D1484"/>
    <w:rsid w:val="006D36CF"/>
    <w:rsid w:val="006D380B"/>
    <w:rsid w:val="006D383B"/>
    <w:rsid w:val="006D48D4"/>
    <w:rsid w:val="006D58DF"/>
    <w:rsid w:val="006D6A42"/>
    <w:rsid w:val="006E5383"/>
    <w:rsid w:val="006E5710"/>
    <w:rsid w:val="006E5947"/>
    <w:rsid w:val="006E615F"/>
    <w:rsid w:val="006E7232"/>
    <w:rsid w:val="006F3C71"/>
    <w:rsid w:val="006F6967"/>
    <w:rsid w:val="00700E66"/>
    <w:rsid w:val="00703EA6"/>
    <w:rsid w:val="00711B3B"/>
    <w:rsid w:val="00713840"/>
    <w:rsid w:val="00713BC2"/>
    <w:rsid w:val="00720B5D"/>
    <w:rsid w:val="00722F72"/>
    <w:rsid w:val="00723900"/>
    <w:rsid w:val="00725FA6"/>
    <w:rsid w:val="00727630"/>
    <w:rsid w:val="00732D00"/>
    <w:rsid w:val="007339CD"/>
    <w:rsid w:val="0073681A"/>
    <w:rsid w:val="00740B0E"/>
    <w:rsid w:val="00740EF0"/>
    <w:rsid w:val="00741CB8"/>
    <w:rsid w:val="007420EA"/>
    <w:rsid w:val="0074361B"/>
    <w:rsid w:val="00744159"/>
    <w:rsid w:val="007443B6"/>
    <w:rsid w:val="00744545"/>
    <w:rsid w:val="00744E15"/>
    <w:rsid w:val="00745059"/>
    <w:rsid w:val="0074509C"/>
    <w:rsid w:val="007476D3"/>
    <w:rsid w:val="00747C53"/>
    <w:rsid w:val="00750291"/>
    <w:rsid w:val="007504EE"/>
    <w:rsid w:val="0075245F"/>
    <w:rsid w:val="00752640"/>
    <w:rsid w:val="007533A3"/>
    <w:rsid w:val="00754B9D"/>
    <w:rsid w:val="00754D93"/>
    <w:rsid w:val="0075610F"/>
    <w:rsid w:val="00756231"/>
    <w:rsid w:val="00756EE6"/>
    <w:rsid w:val="00757340"/>
    <w:rsid w:val="00761A1E"/>
    <w:rsid w:val="007627F1"/>
    <w:rsid w:val="0076293A"/>
    <w:rsid w:val="00767539"/>
    <w:rsid w:val="007704E7"/>
    <w:rsid w:val="00770E2E"/>
    <w:rsid w:val="00773C8E"/>
    <w:rsid w:val="007751A7"/>
    <w:rsid w:val="00775A1A"/>
    <w:rsid w:val="00783B14"/>
    <w:rsid w:val="00785AF0"/>
    <w:rsid w:val="00790F8A"/>
    <w:rsid w:val="00792F3E"/>
    <w:rsid w:val="00793455"/>
    <w:rsid w:val="0079518B"/>
    <w:rsid w:val="007953CD"/>
    <w:rsid w:val="00795636"/>
    <w:rsid w:val="00795F59"/>
    <w:rsid w:val="007A08A0"/>
    <w:rsid w:val="007A0992"/>
    <w:rsid w:val="007A2578"/>
    <w:rsid w:val="007A2B6A"/>
    <w:rsid w:val="007A2FB0"/>
    <w:rsid w:val="007A38A3"/>
    <w:rsid w:val="007A3EEE"/>
    <w:rsid w:val="007A40BB"/>
    <w:rsid w:val="007A433B"/>
    <w:rsid w:val="007A4B79"/>
    <w:rsid w:val="007A64D7"/>
    <w:rsid w:val="007A69B6"/>
    <w:rsid w:val="007A7E0A"/>
    <w:rsid w:val="007B028A"/>
    <w:rsid w:val="007B02F5"/>
    <w:rsid w:val="007B0970"/>
    <w:rsid w:val="007C0F23"/>
    <w:rsid w:val="007C20C0"/>
    <w:rsid w:val="007C24F5"/>
    <w:rsid w:val="007C2747"/>
    <w:rsid w:val="007D29B1"/>
    <w:rsid w:val="007D352D"/>
    <w:rsid w:val="007D3991"/>
    <w:rsid w:val="007D3A66"/>
    <w:rsid w:val="007D3F3A"/>
    <w:rsid w:val="007D534B"/>
    <w:rsid w:val="007D5D19"/>
    <w:rsid w:val="007D6256"/>
    <w:rsid w:val="007D6C37"/>
    <w:rsid w:val="007E0D1A"/>
    <w:rsid w:val="007E0D7B"/>
    <w:rsid w:val="007E1F61"/>
    <w:rsid w:val="007E3E9C"/>
    <w:rsid w:val="007E4E00"/>
    <w:rsid w:val="007E6515"/>
    <w:rsid w:val="007E7384"/>
    <w:rsid w:val="007E7C08"/>
    <w:rsid w:val="007F15C7"/>
    <w:rsid w:val="007F23C4"/>
    <w:rsid w:val="007F5B58"/>
    <w:rsid w:val="007F5D11"/>
    <w:rsid w:val="007F7280"/>
    <w:rsid w:val="00800F02"/>
    <w:rsid w:val="00801ED4"/>
    <w:rsid w:val="00804B7E"/>
    <w:rsid w:val="00807285"/>
    <w:rsid w:val="008108BF"/>
    <w:rsid w:val="00810988"/>
    <w:rsid w:val="00812EA4"/>
    <w:rsid w:val="0081554A"/>
    <w:rsid w:val="00816703"/>
    <w:rsid w:val="00821626"/>
    <w:rsid w:val="00823577"/>
    <w:rsid w:val="00826AC5"/>
    <w:rsid w:val="00830FAD"/>
    <w:rsid w:val="008317F8"/>
    <w:rsid w:val="00831CBB"/>
    <w:rsid w:val="00832A32"/>
    <w:rsid w:val="00834ACA"/>
    <w:rsid w:val="00834F1F"/>
    <w:rsid w:val="008354FD"/>
    <w:rsid w:val="008367E4"/>
    <w:rsid w:val="00837102"/>
    <w:rsid w:val="00837E98"/>
    <w:rsid w:val="00840752"/>
    <w:rsid w:val="00840EA1"/>
    <w:rsid w:val="00841874"/>
    <w:rsid w:val="00843D84"/>
    <w:rsid w:val="0084440E"/>
    <w:rsid w:val="00845597"/>
    <w:rsid w:val="00845AEA"/>
    <w:rsid w:val="00846E81"/>
    <w:rsid w:val="00850DFE"/>
    <w:rsid w:val="008527B2"/>
    <w:rsid w:val="00857427"/>
    <w:rsid w:val="00860637"/>
    <w:rsid w:val="00860D17"/>
    <w:rsid w:val="00860E3E"/>
    <w:rsid w:val="00861F86"/>
    <w:rsid w:val="008621C4"/>
    <w:rsid w:val="008628B5"/>
    <w:rsid w:val="0086361C"/>
    <w:rsid w:val="00863C14"/>
    <w:rsid w:val="00863F80"/>
    <w:rsid w:val="008640CE"/>
    <w:rsid w:val="00864B7D"/>
    <w:rsid w:val="008650CA"/>
    <w:rsid w:val="008658AE"/>
    <w:rsid w:val="0087196F"/>
    <w:rsid w:val="008726CB"/>
    <w:rsid w:val="008730FA"/>
    <w:rsid w:val="00873149"/>
    <w:rsid w:val="00875CAA"/>
    <w:rsid w:val="008768B3"/>
    <w:rsid w:val="00885C18"/>
    <w:rsid w:val="0088755C"/>
    <w:rsid w:val="00887C54"/>
    <w:rsid w:val="008907E1"/>
    <w:rsid w:val="00890F00"/>
    <w:rsid w:val="00892976"/>
    <w:rsid w:val="00894205"/>
    <w:rsid w:val="008A1604"/>
    <w:rsid w:val="008A1DCC"/>
    <w:rsid w:val="008A1E37"/>
    <w:rsid w:val="008A3E36"/>
    <w:rsid w:val="008A4221"/>
    <w:rsid w:val="008A5787"/>
    <w:rsid w:val="008A60AC"/>
    <w:rsid w:val="008A6BC2"/>
    <w:rsid w:val="008B03B8"/>
    <w:rsid w:val="008B1D63"/>
    <w:rsid w:val="008B2FC3"/>
    <w:rsid w:val="008B624D"/>
    <w:rsid w:val="008C1696"/>
    <w:rsid w:val="008C26B8"/>
    <w:rsid w:val="008C28C9"/>
    <w:rsid w:val="008C3F21"/>
    <w:rsid w:val="008C677C"/>
    <w:rsid w:val="008D02A1"/>
    <w:rsid w:val="008D405F"/>
    <w:rsid w:val="008D407D"/>
    <w:rsid w:val="008D4B42"/>
    <w:rsid w:val="008D5A5D"/>
    <w:rsid w:val="008E0FEC"/>
    <w:rsid w:val="008E4B39"/>
    <w:rsid w:val="008E5CAB"/>
    <w:rsid w:val="008E706C"/>
    <w:rsid w:val="008E7AEA"/>
    <w:rsid w:val="008F031E"/>
    <w:rsid w:val="008F0593"/>
    <w:rsid w:val="008F095B"/>
    <w:rsid w:val="008F1B09"/>
    <w:rsid w:val="008F27BE"/>
    <w:rsid w:val="008F356E"/>
    <w:rsid w:val="008F524E"/>
    <w:rsid w:val="008F76B7"/>
    <w:rsid w:val="00900782"/>
    <w:rsid w:val="00901C66"/>
    <w:rsid w:val="00905606"/>
    <w:rsid w:val="00906FC0"/>
    <w:rsid w:val="00907C98"/>
    <w:rsid w:val="00910508"/>
    <w:rsid w:val="00910845"/>
    <w:rsid w:val="00911C68"/>
    <w:rsid w:val="00912026"/>
    <w:rsid w:val="00913D70"/>
    <w:rsid w:val="00915ECE"/>
    <w:rsid w:val="0092144D"/>
    <w:rsid w:val="00921639"/>
    <w:rsid w:val="00922777"/>
    <w:rsid w:val="00926741"/>
    <w:rsid w:val="0093174B"/>
    <w:rsid w:val="0093593C"/>
    <w:rsid w:val="00935E3B"/>
    <w:rsid w:val="00936108"/>
    <w:rsid w:val="00936412"/>
    <w:rsid w:val="00942482"/>
    <w:rsid w:val="00944098"/>
    <w:rsid w:val="00950C1A"/>
    <w:rsid w:val="00952C1C"/>
    <w:rsid w:val="00952EA2"/>
    <w:rsid w:val="0095437F"/>
    <w:rsid w:val="009543B9"/>
    <w:rsid w:val="0095609D"/>
    <w:rsid w:val="0095660C"/>
    <w:rsid w:val="0095759E"/>
    <w:rsid w:val="00957EB0"/>
    <w:rsid w:val="00960A97"/>
    <w:rsid w:val="00965EDD"/>
    <w:rsid w:val="00965F90"/>
    <w:rsid w:val="0097115D"/>
    <w:rsid w:val="00974632"/>
    <w:rsid w:val="009769D0"/>
    <w:rsid w:val="00976D4C"/>
    <w:rsid w:val="00977E6E"/>
    <w:rsid w:val="00982E16"/>
    <w:rsid w:val="00982F97"/>
    <w:rsid w:val="00983905"/>
    <w:rsid w:val="00983A5D"/>
    <w:rsid w:val="00983BE7"/>
    <w:rsid w:val="0098415F"/>
    <w:rsid w:val="00985347"/>
    <w:rsid w:val="00985F72"/>
    <w:rsid w:val="00986056"/>
    <w:rsid w:val="009868AC"/>
    <w:rsid w:val="00986FBB"/>
    <w:rsid w:val="009876DB"/>
    <w:rsid w:val="00987E26"/>
    <w:rsid w:val="00993683"/>
    <w:rsid w:val="00996DE7"/>
    <w:rsid w:val="009A2A3C"/>
    <w:rsid w:val="009A4F7D"/>
    <w:rsid w:val="009B1193"/>
    <w:rsid w:val="009B15E4"/>
    <w:rsid w:val="009B1F67"/>
    <w:rsid w:val="009B3BEE"/>
    <w:rsid w:val="009B4772"/>
    <w:rsid w:val="009B4C63"/>
    <w:rsid w:val="009B674A"/>
    <w:rsid w:val="009C26B7"/>
    <w:rsid w:val="009C3B5B"/>
    <w:rsid w:val="009C4C37"/>
    <w:rsid w:val="009C773B"/>
    <w:rsid w:val="009D0717"/>
    <w:rsid w:val="009D0812"/>
    <w:rsid w:val="009D215A"/>
    <w:rsid w:val="009D2D85"/>
    <w:rsid w:val="009D45AE"/>
    <w:rsid w:val="009D4A90"/>
    <w:rsid w:val="009D4AA4"/>
    <w:rsid w:val="009D766B"/>
    <w:rsid w:val="009D7B64"/>
    <w:rsid w:val="009E0985"/>
    <w:rsid w:val="009E1C06"/>
    <w:rsid w:val="009E3A4B"/>
    <w:rsid w:val="009E4DED"/>
    <w:rsid w:val="009F0869"/>
    <w:rsid w:val="009F1D8C"/>
    <w:rsid w:val="009F2484"/>
    <w:rsid w:val="00A012ED"/>
    <w:rsid w:val="00A01775"/>
    <w:rsid w:val="00A01A3A"/>
    <w:rsid w:val="00A01B12"/>
    <w:rsid w:val="00A050DB"/>
    <w:rsid w:val="00A05776"/>
    <w:rsid w:val="00A0709D"/>
    <w:rsid w:val="00A1500D"/>
    <w:rsid w:val="00A15113"/>
    <w:rsid w:val="00A17254"/>
    <w:rsid w:val="00A219E3"/>
    <w:rsid w:val="00A23BAD"/>
    <w:rsid w:val="00A23D15"/>
    <w:rsid w:val="00A243E7"/>
    <w:rsid w:val="00A24F4F"/>
    <w:rsid w:val="00A250A6"/>
    <w:rsid w:val="00A26D4A"/>
    <w:rsid w:val="00A30548"/>
    <w:rsid w:val="00A30D6C"/>
    <w:rsid w:val="00A3180B"/>
    <w:rsid w:val="00A3395E"/>
    <w:rsid w:val="00A342CF"/>
    <w:rsid w:val="00A351B5"/>
    <w:rsid w:val="00A35220"/>
    <w:rsid w:val="00A35292"/>
    <w:rsid w:val="00A408A1"/>
    <w:rsid w:val="00A41856"/>
    <w:rsid w:val="00A43099"/>
    <w:rsid w:val="00A4320B"/>
    <w:rsid w:val="00A44106"/>
    <w:rsid w:val="00A451C4"/>
    <w:rsid w:val="00A4733A"/>
    <w:rsid w:val="00A47E9B"/>
    <w:rsid w:val="00A55741"/>
    <w:rsid w:val="00A55AEC"/>
    <w:rsid w:val="00A62015"/>
    <w:rsid w:val="00A644F7"/>
    <w:rsid w:val="00A64CCE"/>
    <w:rsid w:val="00A6643E"/>
    <w:rsid w:val="00A66711"/>
    <w:rsid w:val="00A7008B"/>
    <w:rsid w:val="00A71B69"/>
    <w:rsid w:val="00A721E4"/>
    <w:rsid w:val="00A724E9"/>
    <w:rsid w:val="00A73998"/>
    <w:rsid w:val="00A7427F"/>
    <w:rsid w:val="00A75360"/>
    <w:rsid w:val="00A77CF8"/>
    <w:rsid w:val="00A81CA3"/>
    <w:rsid w:val="00A82F72"/>
    <w:rsid w:val="00A841BF"/>
    <w:rsid w:val="00A845F3"/>
    <w:rsid w:val="00A84C9D"/>
    <w:rsid w:val="00A858CC"/>
    <w:rsid w:val="00A85C8D"/>
    <w:rsid w:val="00A8696F"/>
    <w:rsid w:val="00A902D8"/>
    <w:rsid w:val="00A91C8C"/>
    <w:rsid w:val="00A92CFB"/>
    <w:rsid w:val="00A9385C"/>
    <w:rsid w:val="00A943CC"/>
    <w:rsid w:val="00A96023"/>
    <w:rsid w:val="00A977B5"/>
    <w:rsid w:val="00AA0690"/>
    <w:rsid w:val="00AA08CA"/>
    <w:rsid w:val="00AA0EB7"/>
    <w:rsid w:val="00AA0EDF"/>
    <w:rsid w:val="00AA1BB1"/>
    <w:rsid w:val="00AA3D9E"/>
    <w:rsid w:val="00AA3F81"/>
    <w:rsid w:val="00AA6844"/>
    <w:rsid w:val="00AB1C94"/>
    <w:rsid w:val="00AB2E71"/>
    <w:rsid w:val="00AB6699"/>
    <w:rsid w:val="00AC4AB9"/>
    <w:rsid w:val="00AC4FA2"/>
    <w:rsid w:val="00AC6A14"/>
    <w:rsid w:val="00AD1220"/>
    <w:rsid w:val="00AD163C"/>
    <w:rsid w:val="00AD1B80"/>
    <w:rsid w:val="00AD3DE2"/>
    <w:rsid w:val="00AD7A0B"/>
    <w:rsid w:val="00AE11F5"/>
    <w:rsid w:val="00AE2A0E"/>
    <w:rsid w:val="00AE3156"/>
    <w:rsid w:val="00AE4AAC"/>
    <w:rsid w:val="00AE50A0"/>
    <w:rsid w:val="00AE5DC3"/>
    <w:rsid w:val="00AF43B5"/>
    <w:rsid w:val="00AF4480"/>
    <w:rsid w:val="00AF5715"/>
    <w:rsid w:val="00AF58FE"/>
    <w:rsid w:val="00B02590"/>
    <w:rsid w:val="00B04A74"/>
    <w:rsid w:val="00B0588A"/>
    <w:rsid w:val="00B10DD6"/>
    <w:rsid w:val="00B1182C"/>
    <w:rsid w:val="00B12F22"/>
    <w:rsid w:val="00B12FE8"/>
    <w:rsid w:val="00B14A14"/>
    <w:rsid w:val="00B14C11"/>
    <w:rsid w:val="00B15098"/>
    <w:rsid w:val="00B227E7"/>
    <w:rsid w:val="00B23BE7"/>
    <w:rsid w:val="00B2554D"/>
    <w:rsid w:val="00B25E6E"/>
    <w:rsid w:val="00B27BFF"/>
    <w:rsid w:val="00B3049B"/>
    <w:rsid w:val="00B33353"/>
    <w:rsid w:val="00B34B5D"/>
    <w:rsid w:val="00B36C33"/>
    <w:rsid w:val="00B40818"/>
    <w:rsid w:val="00B45CFE"/>
    <w:rsid w:val="00B50E07"/>
    <w:rsid w:val="00B50FC1"/>
    <w:rsid w:val="00B52DFF"/>
    <w:rsid w:val="00B542F9"/>
    <w:rsid w:val="00B54D1A"/>
    <w:rsid w:val="00B55222"/>
    <w:rsid w:val="00B65A93"/>
    <w:rsid w:val="00B70C05"/>
    <w:rsid w:val="00B70C0F"/>
    <w:rsid w:val="00B70D7A"/>
    <w:rsid w:val="00B7463C"/>
    <w:rsid w:val="00B7525F"/>
    <w:rsid w:val="00B75413"/>
    <w:rsid w:val="00B76A01"/>
    <w:rsid w:val="00B80D9C"/>
    <w:rsid w:val="00B81BE8"/>
    <w:rsid w:val="00B81BEF"/>
    <w:rsid w:val="00B82A61"/>
    <w:rsid w:val="00B8488F"/>
    <w:rsid w:val="00B85B4D"/>
    <w:rsid w:val="00B871BE"/>
    <w:rsid w:val="00B91A6F"/>
    <w:rsid w:val="00B95987"/>
    <w:rsid w:val="00B9632D"/>
    <w:rsid w:val="00B96F3D"/>
    <w:rsid w:val="00BA0E62"/>
    <w:rsid w:val="00BA16AE"/>
    <w:rsid w:val="00BA420F"/>
    <w:rsid w:val="00BA4429"/>
    <w:rsid w:val="00BA67F4"/>
    <w:rsid w:val="00BA7CB7"/>
    <w:rsid w:val="00BB5BD7"/>
    <w:rsid w:val="00BB7833"/>
    <w:rsid w:val="00BB7EE5"/>
    <w:rsid w:val="00BC0474"/>
    <w:rsid w:val="00BC0DA8"/>
    <w:rsid w:val="00BC4717"/>
    <w:rsid w:val="00BC5819"/>
    <w:rsid w:val="00BC61CD"/>
    <w:rsid w:val="00BD0998"/>
    <w:rsid w:val="00BD16EB"/>
    <w:rsid w:val="00BD2F95"/>
    <w:rsid w:val="00BD4F76"/>
    <w:rsid w:val="00BD55A9"/>
    <w:rsid w:val="00BD5710"/>
    <w:rsid w:val="00BD6A89"/>
    <w:rsid w:val="00BE0A7C"/>
    <w:rsid w:val="00BE23AD"/>
    <w:rsid w:val="00BE2C64"/>
    <w:rsid w:val="00BE3112"/>
    <w:rsid w:val="00BE4D1F"/>
    <w:rsid w:val="00BE5543"/>
    <w:rsid w:val="00BF3360"/>
    <w:rsid w:val="00BF3DC2"/>
    <w:rsid w:val="00BF729D"/>
    <w:rsid w:val="00C0080F"/>
    <w:rsid w:val="00C11909"/>
    <w:rsid w:val="00C13378"/>
    <w:rsid w:val="00C14EFC"/>
    <w:rsid w:val="00C152E4"/>
    <w:rsid w:val="00C165D1"/>
    <w:rsid w:val="00C17AD5"/>
    <w:rsid w:val="00C2062E"/>
    <w:rsid w:val="00C20D17"/>
    <w:rsid w:val="00C23ABA"/>
    <w:rsid w:val="00C25335"/>
    <w:rsid w:val="00C25E3A"/>
    <w:rsid w:val="00C25E7C"/>
    <w:rsid w:val="00C30160"/>
    <w:rsid w:val="00C302CB"/>
    <w:rsid w:val="00C3514F"/>
    <w:rsid w:val="00C356B0"/>
    <w:rsid w:val="00C35978"/>
    <w:rsid w:val="00C359CF"/>
    <w:rsid w:val="00C36FFC"/>
    <w:rsid w:val="00C37060"/>
    <w:rsid w:val="00C3717A"/>
    <w:rsid w:val="00C3749A"/>
    <w:rsid w:val="00C4080F"/>
    <w:rsid w:val="00C421A1"/>
    <w:rsid w:val="00C43CF3"/>
    <w:rsid w:val="00C46496"/>
    <w:rsid w:val="00C46F1F"/>
    <w:rsid w:val="00C47D20"/>
    <w:rsid w:val="00C47D6C"/>
    <w:rsid w:val="00C537D6"/>
    <w:rsid w:val="00C5461E"/>
    <w:rsid w:val="00C552A1"/>
    <w:rsid w:val="00C616FE"/>
    <w:rsid w:val="00C62522"/>
    <w:rsid w:val="00C62834"/>
    <w:rsid w:val="00C64E2E"/>
    <w:rsid w:val="00C657A6"/>
    <w:rsid w:val="00C67AE8"/>
    <w:rsid w:val="00C7239A"/>
    <w:rsid w:val="00C74584"/>
    <w:rsid w:val="00C775AD"/>
    <w:rsid w:val="00C829F6"/>
    <w:rsid w:val="00C84E35"/>
    <w:rsid w:val="00C86956"/>
    <w:rsid w:val="00C87F26"/>
    <w:rsid w:val="00C93856"/>
    <w:rsid w:val="00C952DC"/>
    <w:rsid w:val="00C96E59"/>
    <w:rsid w:val="00CA0BBC"/>
    <w:rsid w:val="00CA1FA4"/>
    <w:rsid w:val="00CA2772"/>
    <w:rsid w:val="00CA2D15"/>
    <w:rsid w:val="00CA54D0"/>
    <w:rsid w:val="00CA7A98"/>
    <w:rsid w:val="00CB03E0"/>
    <w:rsid w:val="00CB264E"/>
    <w:rsid w:val="00CB28CB"/>
    <w:rsid w:val="00CB3576"/>
    <w:rsid w:val="00CB5ECF"/>
    <w:rsid w:val="00CC0393"/>
    <w:rsid w:val="00CC15C7"/>
    <w:rsid w:val="00CC2BDB"/>
    <w:rsid w:val="00CC3253"/>
    <w:rsid w:val="00CC6A18"/>
    <w:rsid w:val="00CC6D07"/>
    <w:rsid w:val="00CD37A6"/>
    <w:rsid w:val="00CE43E8"/>
    <w:rsid w:val="00CF0626"/>
    <w:rsid w:val="00CF32DD"/>
    <w:rsid w:val="00CF3873"/>
    <w:rsid w:val="00CF3C8B"/>
    <w:rsid w:val="00CF40BB"/>
    <w:rsid w:val="00CF43D9"/>
    <w:rsid w:val="00CF78B5"/>
    <w:rsid w:val="00D04882"/>
    <w:rsid w:val="00D04B33"/>
    <w:rsid w:val="00D10FE1"/>
    <w:rsid w:val="00D11DF6"/>
    <w:rsid w:val="00D13500"/>
    <w:rsid w:val="00D13D01"/>
    <w:rsid w:val="00D15432"/>
    <w:rsid w:val="00D1607D"/>
    <w:rsid w:val="00D17135"/>
    <w:rsid w:val="00D21517"/>
    <w:rsid w:val="00D24BB4"/>
    <w:rsid w:val="00D3170D"/>
    <w:rsid w:val="00D327BD"/>
    <w:rsid w:val="00D33726"/>
    <w:rsid w:val="00D3373A"/>
    <w:rsid w:val="00D378DC"/>
    <w:rsid w:val="00D4082C"/>
    <w:rsid w:val="00D4131F"/>
    <w:rsid w:val="00D41C04"/>
    <w:rsid w:val="00D42ACC"/>
    <w:rsid w:val="00D42E35"/>
    <w:rsid w:val="00D43B21"/>
    <w:rsid w:val="00D44004"/>
    <w:rsid w:val="00D45206"/>
    <w:rsid w:val="00D45CDC"/>
    <w:rsid w:val="00D50886"/>
    <w:rsid w:val="00D52B17"/>
    <w:rsid w:val="00D560A0"/>
    <w:rsid w:val="00D56ACF"/>
    <w:rsid w:val="00D61318"/>
    <w:rsid w:val="00D6406B"/>
    <w:rsid w:val="00D670CB"/>
    <w:rsid w:val="00D67968"/>
    <w:rsid w:val="00D70D50"/>
    <w:rsid w:val="00D71DD5"/>
    <w:rsid w:val="00D7304E"/>
    <w:rsid w:val="00D77ED8"/>
    <w:rsid w:val="00D80BE8"/>
    <w:rsid w:val="00D87313"/>
    <w:rsid w:val="00D9190D"/>
    <w:rsid w:val="00D91950"/>
    <w:rsid w:val="00D91E66"/>
    <w:rsid w:val="00D92C15"/>
    <w:rsid w:val="00D93F4B"/>
    <w:rsid w:val="00D94015"/>
    <w:rsid w:val="00D94EEF"/>
    <w:rsid w:val="00D957AC"/>
    <w:rsid w:val="00DA1D06"/>
    <w:rsid w:val="00DA1EA0"/>
    <w:rsid w:val="00DA20DC"/>
    <w:rsid w:val="00DA2C46"/>
    <w:rsid w:val="00DA3207"/>
    <w:rsid w:val="00DA5EF1"/>
    <w:rsid w:val="00DB07B1"/>
    <w:rsid w:val="00DB1F49"/>
    <w:rsid w:val="00DB2D86"/>
    <w:rsid w:val="00DB34A2"/>
    <w:rsid w:val="00DB415C"/>
    <w:rsid w:val="00DB570E"/>
    <w:rsid w:val="00DB6789"/>
    <w:rsid w:val="00DB6CDF"/>
    <w:rsid w:val="00DC3882"/>
    <w:rsid w:val="00DD01DB"/>
    <w:rsid w:val="00DD0855"/>
    <w:rsid w:val="00DD08B0"/>
    <w:rsid w:val="00DD4CFA"/>
    <w:rsid w:val="00DD5D50"/>
    <w:rsid w:val="00DE032A"/>
    <w:rsid w:val="00DE0E41"/>
    <w:rsid w:val="00DE1F80"/>
    <w:rsid w:val="00DE2B53"/>
    <w:rsid w:val="00DE4A33"/>
    <w:rsid w:val="00DE5546"/>
    <w:rsid w:val="00DE643A"/>
    <w:rsid w:val="00DF0882"/>
    <w:rsid w:val="00DF1273"/>
    <w:rsid w:val="00DF2ACF"/>
    <w:rsid w:val="00DF452C"/>
    <w:rsid w:val="00DF61A6"/>
    <w:rsid w:val="00DF7FE0"/>
    <w:rsid w:val="00E00C30"/>
    <w:rsid w:val="00E0117F"/>
    <w:rsid w:val="00E12443"/>
    <w:rsid w:val="00E12B32"/>
    <w:rsid w:val="00E14FF6"/>
    <w:rsid w:val="00E21087"/>
    <w:rsid w:val="00E2275F"/>
    <w:rsid w:val="00E25A44"/>
    <w:rsid w:val="00E34617"/>
    <w:rsid w:val="00E3472B"/>
    <w:rsid w:val="00E34828"/>
    <w:rsid w:val="00E36FA9"/>
    <w:rsid w:val="00E37926"/>
    <w:rsid w:val="00E419F3"/>
    <w:rsid w:val="00E435CE"/>
    <w:rsid w:val="00E444F1"/>
    <w:rsid w:val="00E45CFB"/>
    <w:rsid w:val="00E46370"/>
    <w:rsid w:val="00E4713D"/>
    <w:rsid w:val="00E500E1"/>
    <w:rsid w:val="00E501B3"/>
    <w:rsid w:val="00E51A62"/>
    <w:rsid w:val="00E52269"/>
    <w:rsid w:val="00E54395"/>
    <w:rsid w:val="00E55396"/>
    <w:rsid w:val="00E5642D"/>
    <w:rsid w:val="00E61A72"/>
    <w:rsid w:val="00E6354D"/>
    <w:rsid w:val="00E64140"/>
    <w:rsid w:val="00E64143"/>
    <w:rsid w:val="00E65AB9"/>
    <w:rsid w:val="00E65C96"/>
    <w:rsid w:val="00E7085A"/>
    <w:rsid w:val="00E725B6"/>
    <w:rsid w:val="00E72603"/>
    <w:rsid w:val="00E72F7B"/>
    <w:rsid w:val="00E733EF"/>
    <w:rsid w:val="00E85493"/>
    <w:rsid w:val="00E91C2C"/>
    <w:rsid w:val="00E91D4E"/>
    <w:rsid w:val="00E9258F"/>
    <w:rsid w:val="00EA5993"/>
    <w:rsid w:val="00EB2EA0"/>
    <w:rsid w:val="00EB3459"/>
    <w:rsid w:val="00EB3AB6"/>
    <w:rsid w:val="00EB5862"/>
    <w:rsid w:val="00EC09BF"/>
    <w:rsid w:val="00EC1B06"/>
    <w:rsid w:val="00EC2EA7"/>
    <w:rsid w:val="00EC390B"/>
    <w:rsid w:val="00EC4689"/>
    <w:rsid w:val="00EC5D5F"/>
    <w:rsid w:val="00EC6CD9"/>
    <w:rsid w:val="00EC72D1"/>
    <w:rsid w:val="00EC7AC8"/>
    <w:rsid w:val="00ED0189"/>
    <w:rsid w:val="00ED13C3"/>
    <w:rsid w:val="00ED3A3C"/>
    <w:rsid w:val="00EE0077"/>
    <w:rsid w:val="00EE1046"/>
    <w:rsid w:val="00EE376E"/>
    <w:rsid w:val="00EE41E4"/>
    <w:rsid w:val="00EE7B12"/>
    <w:rsid w:val="00EF0126"/>
    <w:rsid w:val="00EF2F5B"/>
    <w:rsid w:val="00EF3992"/>
    <w:rsid w:val="00EF5380"/>
    <w:rsid w:val="00F00E9D"/>
    <w:rsid w:val="00F0159D"/>
    <w:rsid w:val="00F02612"/>
    <w:rsid w:val="00F06264"/>
    <w:rsid w:val="00F0640A"/>
    <w:rsid w:val="00F06C5A"/>
    <w:rsid w:val="00F07F96"/>
    <w:rsid w:val="00F102F3"/>
    <w:rsid w:val="00F11502"/>
    <w:rsid w:val="00F136C5"/>
    <w:rsid w:val="00F13B6E"/>
    <w:rsid w:val="00F13D95"/>
    <w:rsid w:val="00F1574A"/>
    <w:rsid w:val="00F2227A"/>
    <w:rsid w:val="00F234F0"/>
    <w:rsid w:val="00F248F2"/>
    <w:rsid w:val="00F249D3"/>
    <w:rsid w:val="00F31610"/>
    <w:rsid w:val="00F31788"/>
    <w:rsid w:val="00F355A3"/>
    <w:rsid w:val="00F42DE5"/>
    <w:rsid w:val="00F456DE"/>
    <w:rsid w:val="00F46475"/>
    <w:rsid w:val="00F46C56"/>
    <w:rsid w:val="00F52317"/>
    <w:rsid w:val="00F52EA0"/>
    <w:rsid w:val="00F53D10"/>
    <w:rsid w:val="00F54ABF"/>
    <w:rsid w:val="00F5531F"/>
    <w:rsid w:val="00F574EB"/>
    <w:rsid w:val="00F60B7D"/>
    <w:rsid w:val="00F61295"/>
    <w:rsid w:val="00F6354F"/>
    <w:rsid w:val="00F65FDA"/>
    <w:rsid w:val="00F66E00"/>
    <w:rsid w:val="00F6776D"/>
    <w:rsid w:val="00F70417"/>
    <w:rsid w:val="00F704C4"/>
    <w:rsid w:val="00F705CD"/>
    <w:rsid w:val="00F721C9"/>
    <w:rsid w:val="00F73CCA"/>
    <w:rsid w:val="00F741EA"/>
    <w:rsid w:val="00F80022"/>
    <w:rsid w:val="00F8013A"/>
    <w:rsid w:val="00F80E80"/>
    <w:rsid w:val="00F813AB"/>
    <w:rsid w:val="00F8148A"/>
    <w:rsid w:val="00F83CD4"/>
    <w:rsid w:val="00F8663F"/>
    <w:rsid w:val="00F86DF3"/>
    <w:rsid w:val="00F9056E"/>
    <w:rsid w:val="00F93725"/>
    <w:rsid w:val="00F95E58"/>
    <w:rsid w:val="00F97E8E"/>
    <w:rsid w:val="00FA0FEA"/>
    <w:rsid w:val="00FA4607"/>
    <w:rsid w:val="00FA519A"/>
    <w:rsid w:val="00FA5F82"/>
    <w:rsid w:val="00FB0D26"/>
    <w:rsid w:val="00FB1027"/>
    <w:rsid w:val="00FB10D2"/>
    <w:rsid w:val="00FB1726"/>
    <w:rsid w:val="00FB22F0"/>
    <w:rsid w:val="00FB3EC3"/>
    <w:rsid w:val="00FB5C59"/>
    <w:rsid w:val="00FC03AD"/>
    <w:rsid w:val="00FC112B"/>
    <w:rsid w:val="00FC2284"/>
    <w:rsid w:val="00FC6AB8"/>
    <w:rsid w:val="00FC7DD2"/>
    <w:rsid w:val="00FD0030"/>
    <w:rsid w:val="00FD143F"/>
    <w:rsid w:val="00FD3432"/>
    <w:rsid w:val="00FD34DF"/>
    <w:rsid w:val="00FD3C4E"/>
    <w:rsid w:val="00FD794F"/>
    <w:rsid w:val="00FD7A28"/>
    <w:rsid w:val="00FE25A1"/>
    <w:rsid w:val="00FE2C98"/>
    <w:rsid w:val="00FE3C39"/>
    <w:rsid w:val="00FE49AD"/>
    <w:rsid w:val="00FE511C"/>
    <w:rsid w:val="00FF3879"/>
    <w:rsid w:val="00FF4EB6"/>
    <w:rsid w:val="00FF75B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AA6FCAF9-A780-4374-9377-1123F03AF8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032D4"/>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032D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1032D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1032D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1032D4"/>
    <w:rPr>
      <w:rFonts w:ascii="Times New Roman" w:eastAsia="Calibri" w:hAnsi="Times New Roman" w:cs="Times New Roman"/>
      <w:sz w:val="24"/>
      <w:szCs w:val="24"/>
      <w:lang w:val="es-ES" w:eastAsia="es-ES"/>
    </w:rPr>
  </w:style>
  <w:style w:type="paragraph" w:styleId="Prrafodelista">
    <w:name w:val="List Paragraph"/>
    <w:basedOn w:val="Normal"/>
    <w:link w:val="PrrafodelistaCar"/>
    <w:uiPriority w:val="72"/>
    <w:qFormat/>
    <w:rsid w:val="001032D4"/>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link w:val="Prrafodelista"/>
    <w:uiPriority w:val="72"/>
    <w:locked/>
    <w:rsid w:val="001032D4"/>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1032D4"/>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1032D4"/>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032D4"/>
    <w:rPr>
      <w:sz w:val="20"/>
      <w:szCs w:val="20"/>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rsid w:val="001032D4"/>
    <w:rPr>
      <w:vertAlign w:val="superscript"/>
    </w:rPr>
  </w:style>
  <w:style w:type="character" w:styleId="Hipervnculo">
    <w:name w:val="Hyperlink"/>
    <w:basedOn w:val="Fuentedeprrafopredeter"/>
    <w:uiPriority w:val="99"/>
    <w:unhideWhenUsed/>
    <w:rsid w:val="001032D4"/>
    <w:rPr>
      <w:color w:val="0563C1" w:themeColor="hyperlink"/>
      <w:u w:val="single"/>
    </w:rPr>
  </w:style>
  <w:style w:type="paragraph" w:styleId="Textosinformato">
    <w:name w:val="Plain Text"/>
    <w:basedOn w:val="Normal"/>
    <w:link w:val="TextosinformatoCar"/>
    <w:rsid w:val="00416F83"/>
    <w:pPr>
      <w:spacing w:after="0"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416F83"/>
    <w:rPr>
      <w:rFonts w:ascii="Courier New" w:eastAsia="Times New Roman" w:hAnsi="Courier New" w:cs="Times New Roman"/>
      <w:sz w:val="20"/>
      <w:szCs w:val="20"/>
      <w:lang w:val="es-ES" w:eastAsia="es-ES"/>
    </w:rPr>
  </w:style>
  <w:style w:type="paragraph" w:customStyle="1" w:styleId="Default">
    <w:name w:val="Default"/>
    <w:rsid w:val="00526858"/>
    <w:pPr>
      <w:autoSpaceDE w:val="0"/>
      <w:autoSpaceDN w:val="0"/>
      <w:adjustRightInd w:val="0"/>
      <w:spacing w:after="0" w:line="240" w:lineRule="auto"/>
    </w:pPr>
    <w:rPr>
      <w:rFonts w:ascii="Arial" w:hAnsi="Arial" w:cs="Arial"/>
      <w:color w:val="000000"/>
      <w:sz w:val="24"/>
      <w:szCs w:val="24"/>
    </w:rPr>
  </w:style>
  <w:style w:type="paragraph" w:styleId="Sinespaciado">
    <w:name w:val="No Spacing"/>
    <w:aliases w:val="Francesa"/>
    <w:link w:val="SinespaciadoCar"/>
    <w:uiPriority w:val="1"/>
    <w:qFormat/>
    <w:rsid w:val="00F70417"/>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F70417"/>
    <w:rPr>
      <w:b/>
      <w:bCs/>
    </w:rPr>
  </w:style>
  <w:style w:type="character" w:customStyle="1" w:styleId="SinespaciadoCar">
    <w:name w:val="Sin espaciado Car"/>
    <w:aliases w:val="Francesa Car"/>
    <w:link w:val="Sinespaciado"/>
    <w:uiPriority w:val="1"/>
    <w:locked/>
    <w:rsid w:val="00F70417"/>
    <w:rPr>
      <w:rFonts w:ascii="Times New Roman" w:eastAsia="Times New Roman" w:hAnsi="Times New Roman" w:cs="Times New Roman"/>
      <w:sz w:val="24"/>
      <w:szCs w:val="24"/>
      <w:lang w:eastAsia="es-ES"/>
    </w:rPr>
  </w:style>
  <w:style w:type="paragraph" w:styleId="Textoindependiente">
    <w:name w:val="Body Text"/>
    <w:basedOn w:val="Normal"/>
    <w:link w:val="TextoindependienteCar"/>
    <w:uiPriority w:val="1"/>
    <w:qFormat/>
    <w:rsid w:val="00AA0EB7"/>
    <w:pPr>
      <w:widowControl w:val="0"/>
      <w:spacing w:after="0" w:line="240" w:lineRule="auto"/>
      <w:ind w:left="20"/>
    </w:pPr>
    <w:rPr>
      <w:rFonts w:ascii="Times New Roman" w:eastAsia="Times New Roman" w:hAnsi="Times New Roman"/>
      <w:sz w:val="25"/>
      <w:szCs w:val="25"/>
      <w:lang w:val="en-US"/>
    </w:rPr>
  </w:style>
  <w:style w:type="character" w:customStyle="1" w:styleId="TextoindependienteCar">
    <w:name w:val="Texto independiente Car"/>
    <w:basedOn w:val="Fuentedeprrafopredeter"/>
    <w:link w:val="Textoindependiente"/>
    <w:uiPriority w:val="1"/>
    <w:rsid w:val="00AA0EB7"/>
    <w:rPr>
      <w:rFonts w:ascii="Times New Roman" w:eastAsia="Times New Roman" w:hAnsi="Times New Roman"/>
      <w:sz w:val="25"/>
      <w:szCs w:val="25"/>
      <w:lang w:val="en-US"/>
    </w:rPr>
  </w:style>
  <w:style w:type="paragraph" w:styleId="Textodeglobo">
    <w:name w:val="Balloon Text"/>
    <w:basedOn w:val="Normal"/>
    <w:link w:val="TextodegloboCar"/>
    <w:uiPriority w:val="99"/>
    <w:semiHidden/>
    <w:unhideWhenUsed/>
    <w:rsid w:val="009543B9"/>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543B9"/>
    <w:rPr>
      <w:rFonts w:ascii="Segoe UI" w:hAnsi="Segoe UI" w:cs="Segoe UI"/>
      <w:sz w:val="18"/>
      <w:szCs w:val="18"/>
    </w:rPr>
  </w:style>
  <w:style w:type="character" w:customStyle="1" w:styleId="lbl-encabezado-negro">
    <w:name w:val="lbl-encabezado-negro"/>
    <w:basedOn w:val="Fuentedeprrafopredeter"/>
    <w:rsid w:val="007533A3"/>
  </w:style>
  <w:style w:type="character" w:customStyle="1" w:styleId="red">
    <w:name w:val="red"/>
    <w:basedOn w:val="Fuentedeprrafopredeter"/>
    <w:rsid w:val="007533A3"/>
  </w:style>
  <w:style w:type="paragraph" w:customStyle="1" w:styleId="francesa">
    <w:name w:val="francesa"/>
    <w:basedOn w:val="Normal"/>
    <w:rsid w:val="007533A3"/>
    <w:pPr>
      <w:spacing w:before="100" w:beforeAutospacing="1" w:after="100" w:afterAutospacing="1" w:line="240" w:lineRule="auto"/>
    </w:pPr>
    <w:rPr>
      <w:rFonts w:ascii="Times New Roman" w:eastAsia="Times New Roman" w:hAnsi="Times New Roman" w:cs="Times New Roman"/>
      <w:sz w:val="24"/>
      <w:szCs w:val="24"/>
      <w:lang w:eastAsia="es-MX"/>
    </w:rPr>
  </w:style>
  <w:style w:type="table" w:styleId="Tablaconcuadrcula">
    <w:name w:val="Table Grid"/>
    <w:basedOn w:val="Tablanormal"/>
    <w:uiPriority w:val="39"/>
    <w:rsid w:val="00CC03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0">
    <w:name w:val="Pa0"/>
    <w:basedOn w:val="Default"/>
    <w:next w:val="Default"/>
    <w:uiPriority w:val="99"/>
    <w:rsid w:val="0039322C"/>
    <w:pPr>
      <w:spacing w:line="221" w:lineRule="atLeast"/>
    </w:pPr>
    <w:rPr>
      <w:color w:val="auto"/>
    </w:rPr>
  </w:style>
  <w:style w:type="paragraph" w:customStyle="1" w:styleId="n2">
    <w:name w:val="n2"/>
    <w:basedOn w:val="Normal"/>
    <w:rsid w:val="0030088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nfasis">
    <w:name w:val="Emphasis"/>
    <w:basedOn w:val="Fuentedeprrafopredeter"/>
    <w:uiPriority w:val="20"/>
    <w:qFormat/>
    <w:rsid w:val="00300888"/>
    <w:rPr>
      <w:i/>
      <w:iCs/>
    </w:rPr>
  </w:style>
  <w:style w:type="paragraph" w:customStyle="1" w:styleId="j">
    <w:name w:val="j"/>
    <w:basedOn w:val="Normal"/>
    <w:rsid w:val="00300888"/>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j2">
    <w:name w:val="j2"/>
    <w:basedOn w:val="Normal"/>
    <w:rsid w:val="00300888"/>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o">
    <w:name w:val="o"/>
    <w:basedOn w:val="Normal"/>
    <w:rsid w:val="0030088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acep">
    <w:name w:val="n_acep"/>
    <w:basedOn w:val="Fuentedeprrafopredeter"/>
    <w:rsid w:val="00300888"/>
  </w:style>
  <w:style w:type="character" w:customStyle="1" w:styleId="h">
    <w:name w:val="h"/>
    <w:basedOn w:val="Fuentedeprrafopredeter"/>
    <w:rsid w:val="00300888"/>
  </w:style>
  <w:style w:type="character" w:customStyle="1" w:styleId="i1">
    <w:name w:val="i1"/>
    <w:basedOn w:val="Fuentedeprrafopredeter"/>
    <w:rsid w:val="0030088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682561">
      <w:bodyDiv w:val="1"/>
      <w:marLeft w:val="0"/>
      <w:marRight w:val="0"/>
      <w:marTop w:val="0"/>
      <w:marBottom w:val="0"/>
      <w:divBdr>
        <w:top w:val="none" w:sz="0" w:space="0" w:color="auto"/>
        <w:left w:val="none" w:sz="0" w:space="0" w:color="auto"/>
        <w:bottom w:val="none" w:sz="0" w:space="0" w:color="auto"/>
        <w:right w:val="none" w:sz="0" w:space="0" w:color="auto"/>
      </w:divBdr>
    </w:div>
    <w:div w:id="50153554">
      <w:bodyDiv w:val="1"/>
      <w:marLeft w:val="0"/>
      <w:marRight w:val="0"/>
      <w:marTop w:val="0"/>
      <w:marBottom w:val="0"/>
      <w:divBdr>
        <w:top w:val="none" w:sz="0" w:space="0" w:color="auto"/>
        <w:left w:val="none" w:sz="0" w:space="0" w:color="auto"/>
        <w:bottom w:val="none" w:sz="0" w:space="0" w:color="auto"/>
        <w:right w:val="none" w:sz="0" w:space="0" w:color="auto"/>
      </w:divBdr>
      <w:divsChild>
        <w:div w:id="631252796">
          <w:marLeft w:val="0"/>
          <w:marRight w:val="0"/>
          <w:marTop w:val="240"/>
          <w:marBottom w:val="0"/>
          <w:divBdr>
            <w:top w:val="none" w:sz="0" w:space="0" w:color="auto"/>
            <w:left w:val="none" w:sz="0" w:space="0" w:color="auto"/>
            <w:bottom w:val="none" w:sz="0" w:space="0" w:color="auto"/>
            <w:right w:val="none" w:sz="0" w:space="0" w:color="auto"/>
          </w:divBdr>
        </w:div>
        <w:div w:id="701590599">
          <w:marLeft w:val="0"/>
          <w:marRight w:val="0"/>
          <w:marTop w:val="240"/>
          <w:marBottom w:val="0"/>
          <w:divBdr>
            <w:top w:val="none" w:sz="0" w:space="0" w:color="auto"/>
            <w:left w:val="none" w:sz="0" w:space="0" w:color="auto"/>
            <w:bottom w:val="none" w:sz="0" w:space="0" w:color="auto"/>
            <w:right w:val="none" w:sz="0" w:space="0" w:color="auto"/>
          </w:divBdr>
        </w:div>
        <w:div w:id="2117165696">
          <w:marLeft w:val="0"/>
          <w:marRight w:val="0"/>
          <w:marTop w:val="240"/>
          <w:marBottom w:val="0"/>
          <w:divBdr>
            <w:top w:val="none" w:sz="0" w:space="0" w:color="auto"/>
            <w:left w:val="none" w:sz="0" w:space="0" w:color="auto"/>
            <w:bottom w:val="none" w:sz="0" w:space="0" w:color="auto"/>
            <w:right w:val="none" w:sz="0" w:space="0" w:color="auto"/>
          </w:divBdr>
        </w:div>
        <w:div w:id="1628975234">
          <w:marLeft w:val="0"/>
          <w:marRight w:val="0"/>
          <w:marTop w:val="115"/>
          <w:marBottom w:val="0"/>
          <w:divBdr>
            <w:top w:val="none" w:sz="0" w:space="0" w:color="auto"/>
            <w:left w:val="none" w:sz="0" w:space="0" w:color="auto"/>
            <w:bottom w:val="none" w:sz="0" w:space="0" w:color="auto"/>
            <w:right w:val="none" w:sz="0" w:space="0" w:color="auto"/>
          </w:divBdr>
        </w:div>
        <w:div w:id="1864244103">
          <w:marLeft w:val="0"/>
          <w:marRight w:val="0"/>
          <w:marTop w:val="115"/>
          <w:marBottom w:val="0"/>
          <w:divBdr>
            <w:top w:val="none" w:sz="0" w:space="0" w:color="auto"/>
            <w:left w:val="none" w:sz="0" w:space="0" w:color="auto"/>
            <w:bottom w:val="none" w:sz="0" w:space="0" w:color="auto"/>
            <w:right w:val="none" w:sz="0" w:space="0" w:color="auto"/>
          </w:divBdr>
        </w:div>
        <w:div w:id="425078787">
          <w:marLeft w:val="0"/>
          <w:marRight w:val="0"/>
          <w:marTop w:val="115"/>
          <w:marBottom w:val="0"/>
          <w:divBdr>
            <w:top w:val="none" w:sz="0" w:space="0" w:color="auto"/>
            <w:left w:val="none" w:sz="0" w:space="0" w:color="auto"/>
            <w:bottom w:val="none" w:sz="0" w:space="0" w:color="auto"/>
            <w:right w:val="none" w:sz="0" w:space="0" w:color="auto"/>
          </w:divBdr>
        </w:div>
        <w:div w:id="11760157">
          <w:marLeft w:val="0"/>
          <w:marRight w:val="0"/>
          <w:marTop w:val="115"/>
          <w:marBottom w:val="0"/>
          <w:divBdr>
            <w:top w:val="none" w:sz="0" w:space="0" w:color="auto"/>
            <w:left w:val="none" w:sz="0" w:space="0" w:color="auto"/>
            <w:bottom w:val="none" w:sz="0" w:space="0" w:color="auto"/>
            <w:right w:val="none" w:sz="0" w:space="0" w:color="auto"/>
          </w:divBdr>
        </w:div>
        <w:div w:id="1669404562">
          <w:marLeft w:val="0"/>
          <w:marRight w:val="0"/>
          <w:marTop w:val="115"/>
          <w:marBottom w:val="0"/>
          <w:divBdr>
            <w:top w:val="none" w:sz="0" w:space="0" w:color="auto"/>
            <w:left w:val="none" w:sz="0" w:space="0" w:color="auto"/>
            <w:bottom w:val="none" w:sz="0" w:space="0" w:color="auto"/>
            <w:right w:val="none" w:sz="0" w:space="0" w:color="auto"/>
          </w:divBdr>
        </w:div>
        <w:div w:id="1194877085">
          <w:marLeft w:val="0"/>
          <w:marRight w:val="0"/>
          <w:marTop w:val="115"/>
          <w:marBottom w:val="0"/>
          <w:divBdr>
            <w:top w:val="none" w:sz="0" w:space="0" w:color="auto"/>
            <w:left w:val="none" w:sz="0" w:space="0" w:color="auto"/>
            <w:bottom w:val="none" w:sz="0" w:space="0" w:color="auto"/>
            <w:right w:val="none" w:sz="0" w:space="0" w:color="auto"/>
          </w:divBdr>
        </w:div>
        <w:div w:id="168300139">
          <w:marLeft w:val="0"/>
          <w:marRight w:val="0"/>
          <w:marTop w:val="115"/>
          <w:marBottom w:val="0"/>
          <w:divBdr>
            <w:top w:val="none" w:sz="0" w:space="0" w:color="auto"/>
            <w:left w:val="none" w:sz="0" w:space="0" w:color="auto"/>
            <w:bottom w:val="none" w:sz="0" w:space="0" w:color="auto"/>
            <w:right w:val="none" w:sz="0" w:space="0" w:color="auto"/>
          </w:divBdr>
        </w:div>
        <w:div w:id="452403666">
          <w:marLeft w:val="0"/>
          <w:marRight w:val="0"/>
          <w:marTop w:val="115"/>
          <w:marBottom w:val="0"/>
          <w:divBdr>
            <w:top w:val="none" w:sz="0" w:space="0" w:color="auto"/>
            <w:left w:val="none" w:sz="0" w:space="0" w:color="auto"/>
            <w:bottom w:val="none" w:sz="0" w:space="0" w:color="auto"/>
            <w:right w:val="none" w:sz="0" w:space="0" w:color="auto"/>
          </w:divBdr>
        </w:div>
        <w:div w:id="103042062">
          <w:marLeft w:val="547"/>
          <w:marRight w:val="0"/>
          <w:marTop w:val="77"/>
          <w:marBottom w:val="0"/>
          <w:divBdr>
            <w:top w:val="none" w:sz="0" w:space="0" w:color="auto"/>
            <w:left w:val="none" w:sz="0" w:space="0" w:color="auto"/>
            <w:bottom w:val="none" w:sz="0" w:space="0" w:color="auto"/>
            <w:right w:val="none" w:sz="0" w:space="0" w:color="auto"/>
          </w:divBdr>
        </w:div>
        <w:div w:id="1322078893">
          <w:marLeft w:val="547"/>
          <w:marRight w:val="0"/>
          <w:marTop w:val="77"/>
          <w:marBottom w:val="0"/>
          <w:divBdr>
            <w:top w:val="none" w:sz="0" w:space="0" w:color="auto"/>
            <w:left w:val="none" w:sz="0" w:space="0" w:color="auto"/>
            <w:bottom w:val="none" w:sz="0" w:space="0" w:color="auto"/>
            <w:right w:val="none" w:sz="0" w:space="0" w:color="auto"/>
          </w:divBdr>
        </w:div>
        <w:div w:id="1326862061">
          <w:marLeft w:val="547"/>
          <w:marRight w:val="0"/>
          <w:marTop w:val="77"/>
          <w:marBottom w:val="0"/>
          <w:divBdr>
            <w:top w:val="none" w:sz="0" w:space="0" w:color="auto"/>
            <w:left w:val="none" w:sz="0" w:space="0" w:color="auto"/>
            <w:bottom w:val="none" w:sz="0" w:space="0" w:color="auto"/>
            <w:right w:val="none" w:sz="0" w:space="0" w:color="auto"/>
          </w:divBdr>
        </w:div>
        <w:div w:id="188109339">
          <w:marLeft w:val="547"/>
          <w:marRight w:val="0"/>
          <w:marTop w:val="77"/>
          <w:marBottom w:val="0"/>
          <w:divBdr>
            <w:top w:val="none" w:sz="0" w:space="0" w:color="auto"/>
            <w:left w:val="none" w:sz="0" w:space="0" w:color="auto"/>
            <w:bottom w:val="none" w:sz="0" w:space="0" w:color="auto"/>
            <w:right w:val="none" w:sz="0" w:space="0" w:color="auto"/>
          </w:divBdr>
        </w:div>
        <w:div w:id="1962223236">
          <w:marLeft w:val="0"/>
          <w:marRight w:val="0"/>
          <w:marTop w:val="115"/>
          <w:marBottom w:val="0"/>
          <w:divBdr>
            <w:top w:val="none" w:sz="0" w:space="0" w:color="auto"/>
            <w:left w:val="none" w:sz="0" w:space="0" w:color="auto"/>
            <w:bottom w:val="none" w:sz="0" w:space="0" w:color="auto"/>
            <w:right w:val="none" w:sz="0" w:space="0" w:color="auto"/>
          </w:divBdr>
        </w:div>
        <w:div w:id="814687863">
          <w:marLeft w:val="547"/>
          <w:marRight w:val="0"/>
          <w:marTop w:val="77"/>
          <w:marBottom w:val="0"/>
          <w:divBdr>
            <w:top w:val="none" w:sz="0" w:space="0" w:color="auto"/>
            <w:left w:val="none" w:sz="0" w:space="0" w:color="auto"/>
            <w:bottom w:val="none" w:sz="0" w:space="0" w:color="auto"/>
            <w:right w:val="none" w:sz="0" w:space="0" w:color="auto"/>
          </w:divBdr>
        </w:div>
        <w:div w:id="1096902457">
          <w:marLeft w:val="547"/>
          <w:marRight w:val="0"/>
          <w:marTop w:val="77"/>
          <w:marBottom w:val="0"/>
          <w:divBdr>
            <w:top w:val="none" w:sz="0" w:space="0" w:color="auto"/>
            <w:left w:val="none" w:sz="0" w:space="0" w:color="auto"/>
            <w:bottom w:val="none" w:sz="0" w:space="0" w:color="auto"/>
            <w:right w:val="none" w:sz="0" w:space="0" w:color="auto"/>
          </w:divBdr>
        </w:div>
        <w:div w:id="726412578">
          <w:marLeft w:val="547"/>
          <w:marRight w:val="0"/>
          <w:marTop w:val="77"/>
          <w:marBottom w:val="0"/>
          <w:divBdr>
            <w:top w:val="none" w:sz="0" w:space="0" w:color="auto"/>
            <w:left w:val="none" w:sz="0" w:space="0" w:color="auto"/>
            <w:bottom w:val="none" w:sz="0" w:space="0" w:color="auto"/>
            <w:right w:val="none" w:sz="0" w:space="0" w:color="auto"/>
          </w:divBdr>
        </w:div>
      </w:divsChild>
    </w:div>
    <w:div w:id="66923024">
      <w:bodyDiv w:val="1"/>
      <w:marLeft w:val="0"/>
      <w:marRight w:val="0"/>
      <w:marTop w:val="0"/>
      <w:marBottom w:val="0"/>
      <w:divBdr>
        <w:top w:val="none" w:sz="0" w:space="0" w:color="auto"/>
        <w:left w:val="none" w:sz="0" w:space="0" w:color="auto"/>
        <w:bottom w:val="none" w:sz="0" w:space="0" w:color="auto"/>
        <w:right w:val="none" w:sz="0" w:space="0" w:color="auto"/>
      </w:divBdr>
    </w:div>
    <w:div w:id="72431967">
      <w:bodyDiv w:val="1"/>
      <w:marLeft w:val="0"/>
      <w:marRight w:val="0"/>
      <w:marTop w:val="0"/>
      <w:marBottom w:val="0"/>
      <w:divBdr>
        <w:top w:val="none" w:sz="0" w:space="0" w:color="auto"/>
        <w:left w:val="none" w:sz="0" w:space="0" w:color="auto"/>
        <w:bottom w:val="none" w:sz="0" w:space="0" w:color="auto"/>
        <w:right w:val="none" w:sz="0" w:space="0" w:color="auto"/>
      </w:divBdr>
    </w:div>
    <w:div w:id="103312958">
      <w:bodyDiv w:val="1"/>
      <w:marLeft w:val="0"/>
      <w:marRight w:val="0"/>
      <w:marTop w:val="0"/>
      <w:marBottom w:val="0"/>
      <w:divBdr>
        <w:top w:val="none" w:sz="0" w:space="0" w:color="auto"/>
        <w:left w:val="none" w:sz="0" w:space="0" w:color="auto"/>
        <w:bottom w:val="none" w:sz="0" w:space="0" w:color="auto"/>
        <w:right w:val="none" w:sz="0" w:space="0" w:color="auto"/>
      </w:divBdr>
      <w:divsChild>
        <w:div w:id="520709501">
          <w:marLeft w:val="0"/>
          <w:marRight w:val="0"/>
          <w:marTop w:val="0"/>
          <w:marBottom w:val="240"/>
          <w:divBdr>
            <w:top w:val="none" w:sz="0" w:space="0" w:color="auto"/>
            <w:left w:val="none" w:sz="0" w:space="0" w:color="auto"/>
            <w:bottom w:val="none" w:sz="0" w:space="0" w:color="auto"/>
            <w:right w:val="none" w:sz="0" w:space="0" w:color="auto"/>
          </w:divBdr>
        </w:div>
      </w:divsChild>
    </w:div>
    <w:div w:id="160856346">
      <w:bodyDiv w:val="1"/>
      <w:marLeft w:val="0"/>
      <w:marRight w:val="0"/>
      <w:marTop w:val="0"/>
      <w:marBottom w:val="0"/>
      <w:divBdr>
        <w:top w:val="none" w:sz="0" w:space="0" w:color="auto"/>
        <w:left w:val="none" w:sz="0" w:space="0" w:color="auto"/>
        <w:bottom w:val="none" w:sz="0" w:space="0" w:color="auto"/>
        <w:right w:val="none" w:sz="0" w:space="0" w:color="auto"/>
      </w:divBdr>
    </w:div>
    <w:div w:id="211036852">
      <w:bodyDiv w:val="1"/>
      <w:marLeft w:val="0"/>
      <w:marRight w:val="0"/>
      <w:marTop w:val="0"/>
      <w:marBottom w:val="0"/>
      <w:divBdr>
        <w:top w:val="none" w:sz="0" w:space="0" w:color="auto"/>
        <w:left w:val="none" w:sz="0" w:space="0" w:color="auto"/>
        <w:bottom w:val="none" w:sz="0" w:space="0" w:color="auto"/>
        <w:right w:val="none" w:sz="0" w:space="0" w:color="auto"/>
      </w:divBdr>
    </w:div>
    <w:div w:id="261374687">
      <w:bodyDiv w:val="1"/>
      <w:marLeft w:val="0"/>
      <w:marRight w:val="0"/>
      <w:marTop w:val="0"/>
      <w:marBottom w:val="0"/>
      <w:divBdr>
        <w:top w:val="none" w:sz="0" w:space="0" w:color="auto"/>
        <w:left w:val="none" w:sz="0" w:space="0" w:color="auto"/>
        <w:bottom w:val="none" w:sz="0" w:space="0" w:color="auto"/>
        <w:right w:val="none" w:sz="0" w:space="0" w:color="auto"/>
      </w:divBdr>
    </w:div>
    <w:div w:id="296617551">
      <w:bodyDiv w:val="1"/>
      <w:marLeft w:val="0"/>
      <w:marRight w:val="0"/>
      <w:marTop w:val="0"/>
      <w:marBottom w:val="0"/>
      <w:divBdr>
        <w:top w:val="none" w:sz="0" w:space="0" w:color="auto"/>
        <w:left w:val="none" w:sz="0" w:space="0" w:color="auto"/>
        <w:bottom w:val="none" w:sz="0" w:space="0" w:color="auto"/>
        <w:right w:val="none" w:sz="0" w:space="0" w:color="auto"/>
      </w:divBdr>
    </w:div>
    <w:div w:id="430516321">
      <w:bodyDiv w:val="1"/>
      <w:marLeft w:val="0"/>
      <w:marRight w:val="0"/>
      <w:marTop w:val="0"/>
      <w:marBottom w:val="0"/>
      <w:divBdr>
        <w:top w:val="none" w:sz="0" w:space="0" w:color="auto"/>
        <w:left w:val="none" w:sz="0" w:space="0" w:color="auto"/>
        <w:bottom w:val="none" w:sz="0" w:space="0" w:color="auto"/>
        <w:right w:val="none" w:sz="0" w:space="0" w:color="auto"/>
      </w:divBdr>
    </w:div>
    <w:div w:id="436020342">
      <w:bodyDiv w:val="1"/>
      <w:marLeft w:val="0"/>
      <w:marRight w:val="0"/>
      <w:marTop w:val="0"/>
      <w:marBottom w:val="0"/>
      <w:divBdr>
        <w:top w:val="none" w:sz="0" w:space="0" w:color="auto"/>
        <w:left w:val="none" w:sz="0" w:space="0" w:color="auto"/>
        <w:bottom w:val="none" w:sz="0" w:space="0" w:color="auto"/>
        <w:right w:val="none" w:sz="0" w:space="0" w:color="auto"/>
      </w:divBdr>
    </w:div>
    <w:div w:id="437723487">
      <w:bodyDiv w:val="1"/>
      <w:marLeft w:val="0"/>
      <w:marRight w:val="0"/>
      <w:marTop w:val="0"/>
      <w:marBottom w:val="0"/>
      <w:divBdr>
        <w:top w:val="none" w:sz="0" w:space="0" w:color="auto"/>
        <w:left w:val="none" w:sz="0" w:space="0" w:color="auto"/>
        <w:bottom w:val="none" w:sz="0" w:space="0" w:color="auto"/>
        <w:right w:val="none" w:sz="0" w:space="0" w:color="auto"/>
      </w:divBdr>
    </w:div>
    <w:div w:id="474494057">
      <w:bodyDiv w:val="1"/>
      <w:marLeft w:val="0"/>
      <w:marRight w:val="0"/>
      <w:marTop w:val="0"/>
      <w:marBottom w:val="0"/>
      <w:divBdr>
        <w:top w:val="none" w:sz="0" w:space="0" w:color="auto"/>
        <w:left w:val="none" w:sz="0" w:space="0" w:color="auto"/>
        <w:bottom w:val="none" w:sz="0" w:space="0" w:color="auto"/>
        <w:right w:val="none" w:sz="0" w:space="0" w:color="auto"/>
      </w:divBdr>
    </w:div>
    <w:div w:id="486895901">
      <w:bodyDiv w:val="1"/>
      <w:marLeft w:val="0"/>
      <w:marRight w:val="0"/>
      <w:marTop w:val="0"/>
      <w:marBottom w:val="0"/>
      <w:divBdr>
        <w:top w:val="none" w:sz="0" w:space="0" w:color="auto"/>
        <w:left w:val="none" w:sz="0" w:space="0" w:color="auto"/>
        <w:bottom w:val="none" w:sz="0" w:space="0" w:color="auto"/>
        <w:right w:val="none" w:sz="0" w:space="0" w:color="auto"/>
      </w:divBdr>
    </w:div>
    <w:div w:id="563683145">
      <w:bodyDiv w:val="1"/>
      <w:marLeft w:val="0"/>
      <w:marRight w:val="0"/>
      <w:marTop w:val="0"/>
      <w:marBottom w:val="0"/>
      <w:divBdr>
        <w:top w:val="none" w:sz="0" w:space="0" w:color="auto"/>
        <w:left w:val="none" w:sz="0" w:space="0" w:color="auto"/>
        <w:bottom w:val="none" w:sz="0" w:space="0" w:color="auto"/>
        <w:right w:val="none" w:sz="0" w:space="0" w:color="auto"/>
      </w:divBdr>
      <w:divsChild>
        <w:div w:id="1789157307">
          <w:marLeft w:val="0"/>
          <w:marRight w:val="0"/>
          <w:marTop w:val="0"/>
          <w:marBottom w:val="240"/>
          <w:divBdr>
            <w:top w:val="none" w:sz="0" w:space="0" w:color="auto"/>
            <w:left w:val="none" w:sz="0" w:space="0" w:color="auto"/>
            <w:bottom w:val="none" w:sz="0" w:space="0" w:color="auto"/>
            <w:right w:val="none" w:sz="0" w:space="0" w:color="auto"/>
          </w:divBdr>
        </w:div>
      </w:divsChild>
    </w:div>
    <w:div w:id="789401811">
      <w:bodyDiv w:val="1"/>
      <w:marLeft w:val="0"/>
      <w:marRight w:val="0"/>
      <w:marTop w:val="0"/>
      <w:marBottom w:val="0"/>
      <w:divBdr>
        <w:top w:val="none" w:sz="0" w:space="0" w:color="auto"/>
        <w:left w:val="none" w:sz="0" w:space="0" w:color="auto"/>
        <w:bottom w:val="none" w:sz="0" w:space="0" w:color="auto"/>
        <w:right w:val="none" w:sz="0" w:space="0" w:color="auto"/>
      </w:divBdr>
    </w:div>
    <w:div w:id="797453020">
      <w:bodyDiv w:val="1"/>
      <w:marLeft w:val="0"/>
      <w:marRight w:val="0"/>
      <w:marTop w:val="0"/>
      <w:marBottom w:val="0"/>
      <w:divBdr>
        <w:top w:val="none" w:sz="0" w:space="0" w:color="auto"/>
        <w:left w:val="none" w:sz="0" w:space="0" w:color="auto"/>
        <w:bottom w:val="none" w:sz="0" w:space="0" w:color="auto"/>
        <w:right w:val="none" w:sz="0" w:space="0" w:color="auto"/>
      </w:divBdr>
    </w:div>
    <w:div w:id="812216912">
      <w:bodyDiv w:val="1"/>
      <w:marLeft w:val="0"/>
      <w:marRight w:val="0"/>
      <w:marTop w:val="0"/>
      <w:marBottom w:val="0"/>
      <w:divBdr>
        <w:top w:val="none" w:sz="0" w:space="0" w:color="auto"/>
        <w:left w:val="none" w:sz="0" w:space="0" w:color="auto"/>
        <w:bottom w:val="none" w:sz="0" w:space="0" w:color="auto"/>
        <w:right w:val="none" w:sz="0" w:space="0" w:color="auto"/>
      </w:divBdr>
    </w:div>
    <w:div w:id="821120022">
      <w:bodyDiv w:val="1"/>
      <w:marLeft w:val="0"/>
      <w:marRight w:val="0"/>
      <w:marTop w:val="0"/>
      <w:marBottom w:val="0"/>
      <w:divBdr>
        <w:top w:val="none" w:sz="0" w:space="0" w:color="auto"/>
        <w:left w:val="none" w:sz="0" w:space="0" w:color="auto"/>
        <w:bottom w:val="none" w:sz="0" w:space="0" w:color="auto"/>
        <w:right w:val="none" w:sz="0" w:space="0" w:color="auto"/>
      </w:divBdr>
      <w:divsChild>
        <w:div w:id="313484386">
          <w:marLeft w:val="0"/>
          <w:marRight w:val="0"/>
          <w:marTop w:val="0"/>
          <w:marBottom w:val="0"/>
          <w:divBdr>
            <w:top w:val="none" w:sz="0" w:space="0" w:color="auto"/>
            <w:left w:val="none" w:sz="0" w:space="0" w:color="auto"/>
            <w:bottom w:val="none" w:sz="0" w:space="0" w:color="auto"/>
            <w:right w:val="none" w:sz="0" w:space="0" w:color="auto"/>
          </w:divBdr>
          <w:divsChild>
            <w:div w:id="1580168804">
              <w:marLeft w:val="0"/>
              <w:marRight w:val="0"/>
              <w:marTop w:val="0"/>
              <w:marBottom w:val="0"/>
              <w:divBdr>
                <w:top w:val="none" w:sz="0" w:space="0" w:color="auto"/>
                <w:left w:val="none" w:sz="0" w:space="0" w:color="auto"/>
                <w:bottom w:val="none" w:sz="0" w:space="0" w:color="auto"/>
                <w:right w:val="none" w:sz="0" w:space="0" w:color="auto"/>
              </w:divBdr>
            </w:div>
          </w:divsChild>
        </w:div>
        <w:div w:id="443813383">
          <w:marLeft w:val="0"/>
          <w:marRight w:val="0"/>
          <w:marTop w:val="0"/>
          <w:marBottom w:val="0"/>
          <w:divBdr>
            <w:top w:val="none" w:sz="0" w:space="0" w:color="auto"/>
            <w:left w:val="none" w:sz="0" w:space="0" w:color="auto"/>
            <w:bottom w:val="none" w:sz="0" w:space="0" w:color="auto"/>
            <w:right w:val="none" w:sz="0" w:space="0" w:color="auto"/>
          </w:divBdr>
          <w:divsChild>
            <w:div w:id="634723027">
              <w:marLeft w:val="0"/>
              <w:marRight w:val="0"/>
              <w:marTop w:val="0"/>
              <w:marBottom w:val="0"/>
              <w:divBdr>
                <w:top w:val="none" w:sz="0" w:space="0" w:color="auto"/>
                <w:left w:val="none" w:sz="0" w:space="0" w:color="auto"/>
                <w:bottom w:val="none" w:sz="0" w:space="0" w:color="auto"/>
                <w:right w:val="none" w:sz="0" w:space="0" w:color="auto"/>
              </w:divBdr>
            </w:div>
            <w:div w:id="294457122">
              <w:marLeft w:val="0"/>
              <w:marRight w:val="0"/>
              <w:marTop w:val="0"/>
              <w:marBottom w:val="0"/>
              <w:divBdr>
                <w:top w:val="none" w:sz="0" w:space="0" w:color="auto"/>
                <w:left w:val="none" w:sz="0" w:space="0" w:color="auto"/>
                <w:bottom w:val="none" w:sz="0" w:space="0" w:color="auto"/>
                <w:right w:val="none" w:sz="0" w:space="0" w:color="auto"/>
              </w:divBdr>
              <w:divsChild>
                <w:div w:id="743529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9899675">
      <w:bodyDiv w:val="1"/>
      <w:marLeft w:val="0"/>
      <w:marRight w:val="0"/>
      <w:marTop w:val="0"/>
      <w:marBottom w:val="0"/>
      <w:divBdr>
        <w:top w:val="none" w:sz="0" w:space="0" w:color="auto"/>
        <w:left w:val="none" w:sz="0" w:space="0" w:color="auto"/>
        <w:bottom w:val="none" w:sz="0" w:space="0" w:color="auto"/>
        <w:right w:val="none" w:sz="0" w:space="0" w:color="auto"/>
      </w:divBdr>
    </w:div>
    <w:div w:id="1021474698">
      <w:bodyDiv w:val="1"/>
      <w:marLeft w:val="0"/>
      <w:marRight w:val="0"/>
      <w:marTop w:val="0"/>
      <w:marBottom w:val="0"/>
      <w:divBdr>
        <w:top w:val="none" w:sz="0" w:space="0" w:color="auto"/>
        <w:left w:val="none" w:sz="0" w:space="0" w:color="auto"/>
        <w:bottom w:val="none" w:sz="0" w:space="0" w:color="auto"/>
        <w:right w:val="none" w:sz="0" w:space="0" w:color="auto"/>
      </w:divBdr>
    </w:div>
    <w:div w:id="1125392966">
      <w:bodyDiv w:val="1"/>
      <w:marLeft w:val="0"/>
      <w:marRight w:val="0"/>
      <w:marTop w:val="0"/>
      <w:marBottom w:val="0"/>
      <w:divBdr>
        <w:top w:val="none" w:sz="0" w:space="0" w:color="auto"/>
        <w:left w:val="none" w:sz="0" w:space="0" w:color="auto"/>
        <w:bottom w:val="none" w:sz="0" w:space="0" w:color="auto"/>
        <w:right w:val="none" w:sz="0" w:space="0" w:color="auto"/>
      </w:divBdr>
    </w:div>
    <w:div w:id="1165823331">
      <w:bodyDiv w:val="1"/>
      <w:marLeft w:val="0"/>
      <w:marRight w:val="0"/>
      <w:marTop w:val="0"/>
      <w:marBottom w:val="0"/>
      <w:divBdr>
        <w:top w:val="none" w:sz="0" w:space="0" w:color="auto"/>
        <w:left w:val="none" w:sz="0" w:space="0" w:color="auto"/>
        <w:bottom w:val="none" w:sz="0" w:space="0" w:color="auto"/>
        <w:right w:val="none" w:sz="0" w:space="0" w:color="auto"/>
      </w:divBdr>
      <w:divsChild>
        <w:div w:id="200627955">
          <w:marLeft w:val="0"/>
          <w:marRight w:val="0"/>
          <w:marTop w:val="0"/>
          <w:marBottom w:val="0"/>
          <w:divBdr>
            <w:top w:val="none" w:sz="0" w:space="0" w:color="auto"/>
            <w:left w:val="none" w:sz="0" w:space="0" w:color="auto"/>
            <w:bottom w:val="none" w:sz="0" w:space="0" w:color="auto"/>
            <w:right w:val="none" w:sz="0" w:space="0" w:color="auto"/>
          </w:divBdr>
          <w:divsChild>
            <w:div w:id="2144808036">
              <w:marLeft w:val="0"/>
              <w:marRight w:val="0"/>
              <w:marTop w:val="0"/>
              <w:marBottom w:val="0"/>
              <w:divBdr>
                <w:top w:val="none" w:sz="0" w:space="0" w:color="auto"/>
                <w:left w:val="none" w:sz="0" w:space="0" w:color="auto"/>
                <w:bottom w:val="none" w:sz="0" w:space="0" w:color="auto"/>
                <w:right w:val="none" w:sz="0" w:space="0" w:color="auto"/>
              </w:divBdr>
            </w:div>
            <w:div w:id="220530290">
              <w:marLeft w:val="0"/>
              <w:marRight w:val="0"/>
              <w:marTop w:val="0"/>
              <w:marBottom w:val="0"/>
              <w:divBdr>
                <w:top w:val="none" w:sz="0" w:space="0" w:color="auto"/>
                <w:left w:val="none" w:sz="0" w:space="0" w:color="auto"/>
                <w:bottom w:val="none" w:sz="0" w:space="0" w:color="auto"/>
                <w:right w:val="none" w:sz="0" w:space="0" w:color="auto"/>
              </w:divBdr>
              <w:divsChild>
                <w:div w:id="1497304672">
                  <w:marLeft w:val="0"/>
                  <w:marRight w:val="0"/>
                  <w:marTop w:val="0"/>
                  <w:marBottom w:val="0"/>
                  <w:divBdr>
                    <w:top w:val="none" w:sz="0" w:space="0" w:color="auto"/>
                    <w:left w:val="none" w:sz="0" w:space="0" w:color="auto"/>
                    <w:bottom w:val="none" w:sz="0" w:space="0" w:color="auto"/>
                    <w:right w:val="none" w:sz="0" w:space="0" w:color="auto"/>
                  </w:divBdr>
                  <w:divsChild>
                    <w:div w:id="1767723186">
                      <w:marLeft w:val="0"/>
                      <w:marRight w:val="0"/>
                      <w:marTop w:val="0"/>
                      <w:marBottom w:val="0"/>
                      <w:divBdr>
                        <w:top w:val="none" w:sz="0" w:space="0" w:color="auto"/>
                        <w:left w:val="none" w:sz="0" w:space="0" w:color="auto"/>
                        <w:bottom w:val="none" w:sz="0" w:space="0" w:color="auto"/>
                        <w:right w:val="none" w:sz="0" w:space="0" w:color="auto"/>
                      </w:divBdr>
                    </w:div>
                    <w:div w:id="1219826832">
                      <w:marLeft w:val="300"/>
                      <w:marRight w:val="0"/>
                      <w:marTop w:val="0"/>
                      <w:marBottom w:val="0"/>
                      <w:divBdr>
                        <w:top w:val="none" w:sz="0" w:space="0" w:color="auto"/>
                        <w:left w:val="none" w:sz="0" w:space="0" w:color="auto"/>
                        <w:bottom w:val="none" w:sz="0" w:space="0" w:color="auto"/>
                        <w:right w:val="none" w:sz="0" w:space="0" w:color="auto"/>
                      </w:divBdr>
                      <w:divsChild>
                        <w:div w:id="1889221238">
                          <w:marLeft w:val="0"/>
                          <w:marRight w:val="0"/>
                          <w:marTop w:val="0"/>
                          <w:marBottom w:val="0"/>
                          <w:divBdr>
                            <w:top w:val="none" w:sz="0" w:space="0" w:color="auto"/>
                            <w:left w:val="none" w:sz="0" w:space="0" w:color="auto"/>
                            <w:bottom w:val="none" w:sz="0" w:space="0" w:color="auto"/>
                            <w:right w:val="none" w:sz="0" w:space="0" w:color="auto"/>
                          </w:divBdr>
                          <w:divsChild>
                            <w:div w:id="1577738871">
                              <w:marLeft w:val="0"/>
                              <w:marRight w:val="0"/>
                              <w:marTop w:val="0"/>
                              <w:marBottom w:val="0"/>
                              <w:divBdr>
                                <w:top w:val="none" w:sz="0" w:space="0" w:color="auto"/>
                                <w:left w:val="none" w:sz="0" w:space="0" w:color="auto"/>
                                <w:bottom w:val="none" w:sz="0" w:space="0" w:color="auto"/>
                                <w:right w:val="none" w:sz="0" w:space="0" w:color="auto"/>
                              </w:divBdr>
                            </w:div>
                            <w:div w:id="466318386">
                              <w:marLeft w:val="0"/>
                              <w:marRight w:val="0"/>
                              <w:marTop w:val="0"/>
                              <w:marBottom w:val="0"/>
                              <w:divBdr>
                                <w:top w:val="none" w:sz="0" w:space="0" w:color="auto"/>
                                <w:left w:val="none" w:sz="0" w:space="0" w:color="auto"/>
                                <w:bottom w:val="none" w:sz="0" w:space="0" w:color="auto"/>
                                <w:right w:val="none" w:sz="0" w:space="0" w:color="auto"/>
                              </w:divBdr>
                            </w:div>
                            <w:div w:id="1218936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2260629">
              <w:marLeft w:val="0"/>
              <w:marRight w:val="0"/>
              <w:marTop w:val="0"/>
              <w:marBottom w:val="0"/>
              <w:divBdr>
                <w:top w:val="none" w:sz="0" w:space="0" w:color="auto"/>
                <w:left w:val="none" w:sz="0" w:space="0" w:color="auto"/>
                <w:bottom w:val="none" w:sz="0" w:space="0" w:color="auto"/>
                <w:right w:val="none" w:sz="0" w:space="0" w:color="auto"/>
              </w:divBdr>
              <w:divsChild>
                <w:div w:id="27221856">
                  <w:marLeft w:val="0"/>
                  <w:marRight w:val="0"/>
                  <w:marTop w:val="0"/>
                  <w:marBottom w:val="0"/>
                  <w:divBdr>
                    <w:top w:val="none" w:sz="0" w:space="0" w:color="auto"/>
                    <w:left w:val="none" w:sz="0" w:space="0" w:color="auto"/>
                    <w:bottom w:val="none" w:sz="0" w:space="0" w:color="auto"/>
                    <w:right w:val="none" w:sz="0" w:space="0" w:color="auto"/>
                  </w:divBdr>
                  <w:divsChild>
                    <w:div w:id="1062409494">
                      <w:marLeft w:val="0"/>
                      <w:marRight w:val="0"/>
                      <w:marTop w:val="0"/>
                      <w:marBottom w:val="0"/>
                      <w:divBdr>
                        <w:top w:val="none" w:sz="0" w:space="0" w:color="auto"/>
                        <w:left w:val="none" w:sz="0" w:space="0" w:color="auto"/>
                        <w:bottom w:val="none" w:sz="0" w:space="0" w:color="auto"/>
                        <w:right w:val="none" w:sz="0" w:space="0" w:color="auto"/>
                      </w:divBdr>
                    </w:div>
                    <w:div w:id="1982879627">
                      <w:marLeft w:val="300"/>
                      <w:marRight w:val="0"/>
                      <w:marTop w:val="0"/>
                      <w:marBottom w:val="0"/>
                      <w:divBdr>
                        <w:top w:val="none" w:sz="0" w:space="0" w:color="auto"/>
                        <w:left w:val="none" w:sz="0" w:space="0" w:color="auto"/>
                        <w:bottom w:val="none" w:sz="0" w:space="0" w:color="auto"/>
                        <w:right w:val="none" w:sz="0" w:space="0" w:color="auto"/>
                      </w:divBdr>
                      <w:divsChild>
                        <w:div w:id="1236938581">
                          <w:marLeft w:val="0"/>
                          <w:marRight w:val="0"/>
                          <w:marTop w:val="0"/>
                          <w:marBottom w:val="0"/>
                          <w:divBdr>
                            <w:top w:val="none" w:sz="0" w:space="0" w:color="auto"/>
                            <w:left w:val="none" w:sz="0" w:space="0" w:color="auto"/>
                            <w:bottom w:val="none" w:sz="0" w:space="0" w:color="auto"/>
                            <w:right w:val="none" w:sz="0" w:space="0" w:color="auto"/>
                          </w:divBdr>
                          <w:divsChild>
                            <w:div w:id="1798529246">
                              <w:marLeft w:val="0"/>
                              <w:marRight w:val="0"/>
                              <w:marTop w:val="0"/>
                              <w:marBottom w:val="0"/>
                              <w:divBdr>
                                <w:top w:val="none" w:sz="0" w:space="0" w:color="auto"/>
                                <w:left w:val="none" w:sz="0" w:space="0" w:color="auto"/>
                                <w:bottom w:val="none" w:sz="0" w:space="0" w:color="auto"/>
                                <w:right w:val="none" w:sz="0" w:space="0" w:color="auto"/>
                              </w:divBdr>
                            </w:div>
                            <w:div w:id="991370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1090451">
      <w:bodyDiv w:val="1"/>
      <w:marLeft w:val="0"/>
      <w:marRight w:val="0"/>
      <w:marTop w:val="0"/>
      <w:marBottom w:val="0"/>
      <w:divBdr>
        <w:top w:val="none" w:sz="0" w:space="0" w:color="auto"/>
        <w:left w:val="none" w:sz="0" w:space="0" w:color="auto"/>
        <w:bottom w:val="none" w:sz="0" w:space="0" w:color="auto"/>
        <w:right w:val="none" w:sz="0" w:space="0" w:color="auto"/>
      </w:divBdr>
    </w:div>
    <w:div w:id="1294752531">
      <w:bodyDiv w:val="1"/>
      <w:marLeft w:val="0"/>
      <w:marRight w:val="0"/>
      <w:marTop w:val="0"/>
      <w:marBottom w:val="0"/>
      <w:divBdr>
        <w:top w:val="none" w:sz="0" w:space="0" w:color="auto"/>
        <w:left w:val="none" w:sz="0" w:space="0" w:color="auto"/>
        <w:bottom w:val="none" w:sz="0" w:space="0" w:color="auto"/>
        <w:right w:val="none" w:sz="0" w:space="0" w:color="auto"/>
      </w:divBdr>
    </w:div>
    <w:div w:id="1304391537">
      <w:bodyDiv w:val="1"/>
      <w:marLeft w:val="0"/>
      <w:marRight w:val="0"/>
      <w:marTop w:val="0"/>
      <w:marBottom w:val="0"/>
      <w:divBdr>
        <w:top w:val="none" w:sz="0" w:space="0" w:color="auto"/>
        <w:left w:val="none" w:sz="0" w:space="0" w:color="auto"/>
        <w:bottom w:val="none" w:sz="0" w:space="0" w:color="auto"/>
        <w:right w:val="none" w:sz="0" w:space="0" w:color="auto"/>
      </w:divBdr>
    </w:div>
    <w:div w:id="1311013157">
      <w:bodyDiv w:val="1"/>
      <w:marLeft w:val="0"/>
      <w:marRight w:val="0"/>
      <w:marTop w:val="0"/>
      <w:marBottom w:val="0"/>
      <w:divBdr>
        <w:top w:val="none" w:sz="0" w:space="0" w:color="auto"/>
        <w:left w:val="none" w:sz="0" w:space="0" w:color="auto"/>
        <w:bottom w:val="none" w:sz="0" w:space="0" w:color="auto"/>
        <w:right w:val="none" w:sz="0" w:space="0" w:color="auto"/>
      </w:divBdr>
    </w:div>
    <w:div w:id="1335258531">
      <w:bodyDiv w:val="1"/>
      <w:marLeft w:val="0"/>
      <w:marRight w:val="0"/>
      <w:marTop w:val="0"/>
      <w:marBottom w:val="0"/>
      <w:divBdr>
        <w:top w:val="none" w:sz="0" w:space="0" w:color="auto"/>
        <w:left w:val="none" w:sz="0" w:space="0" w:color="auto"/>
        <w:bottom w:val="none" w:sz="0" w:space="0" w:color="auto"/>
        <w:right w:val="none" w:sz="0" w:space="0" w:color="auto"/>
      </w:divBdr>
    </w:div>
    <w:div w:id="1365399982">
      <w:bodyDiv w:val="1"/>
      <w:marLeft w:val="0"/>
      <w:marRight w:val="0"/>
      <w:marTop w:val="0"/>
      <w:marBottom w:val="0"/>
      <w:divBdr>
        <w:top w:val="none" w:sz="0" w:space="0" w:color="auto"/>
        <w:left w:val="none" w:sz="0" w:space="0" w:color="auto"/>
        <w:bottom w:val="none" w:sz="0" w:space="0" w:color="auto"/>
        <w:right w:val="none" w:sz="0" w:space="0" w:color="auto"/>
      </w:divBdr>
    </w:div>
    <w:div w:id="1380058135">
      <w:bodyDiv w:val="1"/>
      <w:marLeft w:val="0"/>
      <w:marRight w:val="0"/>
      <w:marTop w:val="0"/>
      <w:marBottom w:val="0"/>
      <w:divBdr>
        <w:top w:val="none" w:sz="0" w:space="0" w:color="auto"/>
        <w:left w:val="none" w:sz="0" w:space="0" w:color="auto"/>
        <w:bottom w:val="none" w:sz="0" w:space="0" w:color="auto"/>
        <w:right w:val="none" w:sz="0" w:space="0" w:color="auto"/>
      </w:divBdr>
    </w:div>
    <w:div w:id="1428771688">
      <w:bodyDiv w:val="1"/>
      <w:marLeft w:val="0"/>
      <w:marRight w:val="0"/>
      <w:marTop w:val="0"/>
      <w:marBottom w:val="0"/>
      <w:divBdr>
        <w:top w:val="none" w:sz="0" w:space="0" w:color="auto"/>
        <w:left w:val="none" w:sz="0" w:space="0" w:color="auto"/>
        <w:bottom w:val="none" w:sz="0" w:space="0" w:color="auto"/>
        <w:right w:val="none" w:sz="0" w:space="0" w:color="auto"/>
      </w:divBdr>
    </w:div>
    <w:div w:id="1442528674">
      <w:bodyDiv w:val="1"/>
      <w:marLeft w:val="0"/>
      <w:marRight w:val="0"/>
      <w:marTop w:val="0"/>
      <w:marBottom w:val="0"/>
      <w:divBdr>
        <w:top w:val="none" w:sz="0" w:space="0" w:color="auto"/>
        <w:left w:val="none" w:sz="0" w:space="0" w:color="auto"/>
        <w:bottom w:val="none" w:sz="0" w:space="0" w:color="auto"/>
        <w:right w:val="none" w:sz="0" w:space="0" w:color="auto"/>
      </w:divBdr>
    </w:div>
    <w:div w:id="1460535344">
      <w:bodyDiv w:val="1"/>
      <w:marLeft w:val="0"/>
      <w:marRight w:val="0"/>
      <w:marTop w:val="0"/>
      <w:marBottom w:val="0"/>
      <w:divBdr>
        <w:top w:val="none" w:sz="0" w:space="0" w:color="auto"/>
        <w:left w:val="none" w:sz="0" w:space="0" w:color="auto"/>
        <w:bottom w:val="none" w:sz="0" w:space="0" w:color="auto"/>
        <w:right w:val="none" w:sz="0" w:space="0" w:color="auto"/>
      </w:divBdr>
    </w:div>
    <w:div w:id="1519200587">
      <w:bodyDiv w:val="1"/>
      <w:marLeft w:val="0"/>
      <w:marRight w:val="0"/>
      <w:marTop w:val="0"/>
      <w:marBottom w:val="0"/>
      <w:divBdr>
        <w:top w:val="none" w:sz="0" w:space="0" w:color="auto"/>
        <w:left w:val="none" w:sz="0" w:space="0" w:color="auto"/>
        <w:bottom w:val="none" w:sz="0" w:space="0" w:color="auto"/>
        <w:right w:val="none" w:sz="0" w:space="0" w:color="auto"/>
      </w:divBdr>
    </w:div>
    <w:div w:id="1678920815">
      <w:bodyDiv w:val="1"/>
      <w:marLeft w:val="0"/>
      <w:marRight w:val="0"/>
      <w:marTop w:val="0"/>
      <w:marBottom w:val="0"/>
      <w:divBdr>
        <w:top w:val="none" w:sz="0" w:space="0" w:color="auto"/>
        <w:left w:val="none" w:sz="0" w:space="0" w:color="auto"/>
        <w:bottom w:val="none" w:sz="0" w:space="0" w:color="auto"/>
        <w:right w:val="none" w:sz="0" w:space="0" w:color="auto"/>
      </w:divBdr>
    </w:div>
    <w:div w:id="1861427164">
      <w:bodyDiv w:val="1"/>
      <w:marLeft w:val="0"/>
      <w:marRight w:val="0"/>
      <w:marTop w:val="0"/>
      <w:marBottom w:val="0"/>
      <w:divBdr>
        <w:top w:val="none" w:sz="0" w:space="0" w:color="auto"/>
        <w:left w:val="none" w:sz="0" w:space="0" w:color="auto"/>
        <w:bottom w:val="none" w:sz="0" w:space="0" w:color="auto"/>
        <w:right w:val="none" w:sz="0" w:space="0" w:color="auto"/>
      </w:divBdr>
    </w:div>
    <w:div w:id="1946645882">
      <w:bodyDiv w:val="1"/>
      <w:marLeft w:val="0"/>
      <w:marRight w:val="0"/>
      <w:marTop w:val="0"/>
      <w:marBottom w:val="0"/>
      <w:divBdr>
        <w:top w:val="none" w:sz="0" w:space="0" w:color="auto"/>
        <w:left w:val="none" w:sz="0" w:space="0" w:color="auto"/>
        <w:bottom w:val="none" w:sz="0" w:space="0" w:color="auto"/>
        <w:right w:val="none" w:sz="0" w:space="0" w:color="auto"/>
      </w:divBdr>
      <w:divsChild>
        <w:div w:id="494415882">
          <w:marLeft w:val="0"/>
          <w:marRight w:val="0"/>
          <w:marTop w:val="0"/>
          <w:marBottom w:val="0"/>
          <w:divBdr>
            <w:top w:val="none" w:sz="0" w:space="0" w:color="auto"/>
            <w:left w:val="none" w:sz="0" w:space="0" w:color="auto"/>
            <w:bottom w:val="none" w:sz="0" w:space="0" w:color="auto"/>
            <w:right w:val="none" w:sz="0" w:space="0" w:color="auto"/>
          </w:divBdr>
          <w:divsChild>
            <w:div w:id="1701972840">
              <w:marLeft w:val="0"/>
              <w:marRight w:val="0"/>
              <w:marTop w:val="0"/>
              <w:marBottom w:val="0"/>
              <w:divBdr>
                <w:top w:val="none" w:sz="0" w:space="0" w:color="auto"/>
                <w:left w:val="none" w:sz="0" w:space="0" w:color="auto"/>
                <w:bottom w:val="none" w:sz="0" w:space="0" w:color="auto"/>
                <w:right w:val="none" w:sz="0" w:space="0" w:color="auto"/>
              </w:divBdr>
            </w:div>
          </w:divsChild>
        </w:div>
        <w:div w:id="661852711">
          <w:marLeft w:val="0"/>
          <w:marRight w:val="0"/>
          <w:marTop w:val="0"/>
          <w:marBottom w:val="0"/>
          <w:divBdr>
            <w:top w:val="none" w:sz="0" w:space="0" w:color="auto"/>
            <w:left w:val="none" w:sz="0" w:space="0" w:color="auto"/>
            <w:bottom w:val="none" w:sz="0" w:space="0" w:color="auto"/>
            <w:right w:val="none" w:sz="0" w:space="0" w:color="auto"/>
          </w:divBdr>
          <w:divsChild>
            <w:div w:id="1943297110">
              <w:marLeft w:val="0"/>
              <w:marRight w:val="0"/>
              <w:marTop w:val="0"/>
              <w:marBottom w:val="0"/>
              <w:divBdr>
                <w:top w:val="none" w:sz="0" w:space="0" w:color="auto"/>
                <w:left w:val="none" w:sz="0" w:space="0" w:color="auto"/>
                <w:bottom w:val="none" w:sz="0" w:space="0" w:color="auto"/>
                <w:right w:val="none" w:sz="0" w:space="0" w:color="auto"/>
              </w:divBdr>
            </w:div>
            <w:div w:id="1400636791">
              <w:marLeft w:val="0"/>
              <w:marRight w:val="0"/>
              <w:marTop w:val="0"/>
              <w:marBottom w:val="0"/>
              <w:divBdr>
                <w:top w:val="none" w:sz="0" w:space="0" w:color="auto"/>
                <w:left w:val="none" w:sz="0" w:space="0" w:color="auto"/>
                <w:bottom w:val="none" w:sz="0" w:space="0" w:color="auto"/>
                <w:right w:val="none" w:sz="0" w:space="0" w:color="auto"/>
              </w:divBdr>
              <w:divsChild>
                <w:div w:id="2034107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918658">
      <w:bodyDiv w:val="1"/>
      <w:marLeft w:val="0"/>
      <w:marRight w:val="0"/>
      <w:marTop w:val="0"/>
      <w:marBottom w:val="0"/>
      <w:divBdr>
        <w:top w:val="none" w:sz="0" w:space="0" w:color="auto"/>
        <w:left w:val="none" w:sz="0" w:space="0" w:color="auto"/>
        <w:bottom w:val="none" w:sz="0" w:space="0" w:color="auto"/>
        <w:right w:val="none" w:sz="0" w:space="0" w:color="auto"/>
      </w:divBdr>
    </w:div>
    <w:div w:id="2103142699">
      <w:bodyDiv w:val="1"/>
      <w:marLeft w:val="0"/>
      <w:marRight w:val="0"/>
      <w:marTop w:val="0"/>
      <w:marBottom w:val="0"/>
      <w:divBdr>
        <w:top w:val="none" w:sz="0" w:space="0" w:color="auto"/>
        <w:left w:val="none" w:sz="0" w:space="0" w:color="auto"/>
        <w:bottom w:val="none" w:sz="0" w:space="0" w:color="auto"/>
        <w:right w:val="none" w:sz="0" w:space="0" w:color="auto"/>
      </w:divBdr>
      <w:divsChild>
        <w:div w:id="914242848">
          <w:marLeft w:val="0"/>
          <w:marRight w:val="0"/>
          <w:marTop w:val="0"/>
          <w:marBottom w:val="0"/>
          <w:divBdr>
            <w:top w:val="none" w:sz="0" w:space="0" w:color="auto"/>
            <w:left w:val="none" w:sz="0" w:space="0" w:color="auto"/>
            <w:bottom w:val="none" w:sz="0" w:space="0" w:color="auto"/>
            <w:right w:val="none" w:sz="0" w:space="0" w:color="auto"/>
          </w:divBdr>
          <w:divsChild>
            <w:div w:id="992760964">
              <w:marLeft w:val="0"/>
              <w:marRight w:val="0"/>
              <w:marTop w:val="0"/>
              <w:marBottom w:val="0"/>
              <w:divBdr>
                <w:top w:val="none" w:sz="0" w:space="0" w:color="auto"/>
                <w:left w:val="none" w:sz="0" w:space="0" w:color="auto"/>
                <w:bottom w:val="none" w:sz="0" w:space="0" w:color="auto"/>
                <w:right w:val="none" w:sz="0" w:space="0" w:color="auto"/>
              </w:divBdr>
            </w:div>
            <w:div w:id="610286741">
              <w:marLeft w:val="0"/>
              <w:marRight w:val="0"/>
              <w:marTop w:val="0"/>
              <w:marBottom w:val="0"/>
              <w:divBdr>
                <w:top w:val="none" w:sz="0" w:space="0" w:color="auto"/>
                <w:left w:val="none" w:sz="0" w:space="0" w:color="auto"/>
                <w:bottom w:val="none" w:sz="0" w:space="0" w:color="auto"/>
                <w:right w:val="none" w:sz="0" w:space="0" w:color="auto"/>
              </w:divBdr>
              <w:divsChild>
                <w:div w:id="18897130">
                  <w:marLeft w:val="0"/>
                  <w:marRight w:val="0"/>
                  <w:marTop w:val="0"/>
                  <w:marBottom w:val="0"/>
                  <w:divBdr>
                    <w:top w:val="none" w:sz="0" w:space="0" w:color="auto"/>
                    <w:left w:val="none" w:sz="0" w:space="0" w:color="auto"/>
                    <w:bottom w:val="none" w:sz="0" w:space="0" w:color="auto"/>
                    <w:right w:val="none" w:sz="0" w:space="0" w:color="auto"/>
                  </w:divBdr>
                  <w:divsChild>
                    <w:div w:id="1167357284">
                      <w:marLeft w:val="0"/>
                      <w:marRight w:val="0"/>
                      <w:marTop w:val="0"/>
                      <w:marBottom w:val="0"/>
                      <w:divBdr>
                        <w:top w:val="none" w:sz="0" w:space="0" w:color="auto"/>
                        <w:left w:val="none" w:sz="0" w:space="0" w:color="auto"/>
                        <w:bottom w:val="none" w:sz="0" w:space="0" w:color="auto"/>
                        <w:right w:val="none" w:sz="0" w:space="0" w:color="auto"/>
                      </w:divBdr>
                    </w:div>
                    <w:div w:id="1506359276">
                      <w:marLeft w:val="300"/>
                      <w:marRight w:val="0"/>
                      <w:marTop w:val="0"/>
                      <w:marBottom w:val="0"/>
                      <w:divBdr>
                        <w:top w:val="none" w:sz="0" w:space="0" w:color="auto"/>
                        <w:left w:val="none" w:sz="0" w:space="0" w:color="auto"/>
                        <w:bottom w:val="none" w:sz="0" w:space="0" w:color="auto"/>
                        <w:right w:val="none" w:sz="0" w:space="0" w:color="auto"/>
                      </w:divBdr>
                      <w:divsChild>
                        <w:div w:id="1432703504">
                          <w:marLeft w:val="0"/>
                          <w:marRight w:val="0"/>
                          <w:marTop w:val="0"/>
                          <w:marBottom w:val="0"/>
                          <w:divBdr>
                            <w:top w:val="none" w:sz="0" w:space="0" w:color="auto"/>
                            <w:left w:val="none" w:sz="0" w:space="0" w:color="auto"/>
                            <w:bottom w:val="none" w:sz="0" w:space="0" w:color="auto"/>
                            <w:right w:val="none" w:sz="0" w:space="0" w:color="auto"/>
                          </w:divBdr>
                          <w:divsChild>
                            <w:div w:id="590546905">
                              <w:marLeft w:val="0"/>
                              <w:marRight w:val="0"/>
                              <w:marTop w:val="0"/>
                              <w:marBottom w:val="0"/>
                              <w:divBdr>
                                <w:top w:val="none" w:sz="0" w:space="0" w:color="auto"/>
                                <w:left w:val="none" w:sz="0" w:space="0" w:color="auto"/>
                                <w:bottom w:val="none" w:sz="0" w:space="0" w:color="auto"/>
                                <w:right w:val="none" w:sz="0" w:space="0" w:color="auto"/>
                              </w:divBdr>
                            </w:div>
                            <w:div w:id="126895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2142661">
              <w:marLeft w:val="0"/>
              <w:marRight w:val="0"/>
              <w:marTop w:val="0"/>
              <w:marBottom w:val="0"/>
              <w:divBdr>
                <w:top w:val="none" w:sz="0" w:space="0" w:color="auto"/>
                <w:left w:val="none" w:sz="0" w:space="0" w:color="auto"/>
                <w:bottom w:val="none" w:sz="0" w:space="0" w:color="auto"/>
                <w:right w:val="none" w:sz="0" w:space="0" w:color="auto"/>
              </w:divBdr>
              <w:divsChild>
                <w:div w:id="1357653729">
                  <w:marLeft w:val="0"/>
                  <w:marRight w:val="0"/>
                  <w:marTop w:val="0"/>
                  <w:marBottom w:val="0"/>
                  <w:divBdr>
                    <w:top w:val="none" w:sz="0" w:space="0" w:color="auto"/>
                    <w:left w:val="none" w:sz="0" w:space="0" w:color="auto"/>
                    <w:bottom w:val="none" w:sz="0" w:space="0" w:color="auto"/>
                    <w:right w:val="none" w:sz="0" w:space="0" w:color="auto"/>
                  </w:divBdr>
                  <w:divsChild>
                    <w:div w:id="1190988162">
                      <w:marLeft w:val="0"/>
                      <w:marRight w:val="0"/>
                      <w:marTop w:val="0"/>
                      <w:marBottom w:val="0"/>
                      <w:divBdr>
                        <w:top w:val="none" w:sz="0" w:space="0" w:color="auto"/>
                        <w:left w:val="none" w:sz="0" w:space="0" w:color="auto"/>
                        <w:bottom w:val="none" w:sz="0" w:space="0" w:color="auto"/>
                        <w:right w:val="none" w:sz="0" w:space="0" w:color="auto"/>
                      </w:divBdr>
                    </w:div>
                    <w:div w:id="428742393">
                      <w:marLeft w:val="300"/>
                      <w:marRight w:val="0"/>
                      <w:marTop w:val="0"/>
                      <w:marBottom w:val="0"/>
                      <w:divBdr>
                        <w:top w:val="none" w:sz="0" w:space="0" w:color="auto"/>
                        <w:left w:val="none" w:sz="0" w:space="0" w:color="auto"/>
                        <w:bottom w:val="none" w:sz="0" w:space="0" w:color="auto"/>
                        <w:right w:val="none" w:sz="0" w:space="0" w:color="auto"/>
                      </w:divBdr>
                      <w:divsChild>
                        <w:div w:id="1631127797">
                          <w:marLeft w:val="0"/>
                          <w:marRight w:val="0"/>
                          <w:marTop w:val="0"/>
                          <w:marBottom w:val="0"/>
                          <w:divBdr>
                            <w:top w:val="none" w:sz="0" w:space="0" w:color="auto"/>
                            <w:left w:val="none" w:sz="0" w:space="0" w:color="auto"/>
                            <w:bottom w:val="none" w:sz="0" w:space="0" w:color="auto"/>
                            <w:right w:val="none" w:sz="0" w:space="0" w:color="auto"/>
                          </w:divBdr>
                          <w:divsChild>
                            <w:div w:id="1154644308">
                              <w:marLeft w:val="0"/>
                              <w:marRight w:val="0"/>
                              <w:marTop w:val="0"/>
                              <w:marBottom w:val="0"/>
                              <w:divBdr>
                                <w:top w:val="none" w:sz="0" w:space="0" w:color="auto"/>
                                <w:left w:val="none" w:sz="0" w:space="0" w:color="auto"/>
                                <w:bottom w:val="none" w:sz="0" w:space="0" w:color="auto"/>
                                <w:right w:val="none" w:sz="0" w:space="0" w:color="auto"/>
                              </w:divBdr>
                            </w:div>
                            <w:div w:id="879249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35278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F6FEB6-74DC-4846-BC0D-1FA17394B9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36</Pages>
  <Words>8404</Words>
  <Characters>46224</Characters>
  <Application>Microsoft Office Word</Application>
  <DocSecurity>0</DocSecurity>
  <Lines>385</Lines>
  <Paragraphs>109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54519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Alexis Tapia</dc:creator>
  <cp:keywords/>
  <dc:description/>
  <cp:lastModifiedBy>USUARIO</cp:lastModifiedBy>
  <cp:revision>2</cp:revision>
  <cp:lastPrinted>2018-08-01T23:51:00Z</cp:lastPrinted>
  <dcterms:created xsi:type="dcterms:W3CDTF">2019-08-20T19:08:00Z</dcterms:created>
  <dcterms:modified xsi:type="dcterms:W3CDTF">2019-08-20T19:08:00Z</dcterms:modified>
</cp:coreProperties>
</file>