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4BC9" w:rsidRPr="007B5359" w:rsidRDefault="00554DF4" w:rsidP="00026729">
      <w:pPr>
        <w:spacing w:line="360" w:lineRule="auto"/>
        <w:jc w:val="center"/>
        <w:rPr>
          <w:rFonts w:ascii="Palatino Linotype" w:eastAsia="Times New Roman" w:hAnsi="Palatino Linotype" w:cs="Times New Roman"/>
          <w:b/>
        </w:rPr>
      </w:pPr>
      <w:r w:rsidRPr="007B5359">
        <w:rPr>
          <w:rFonts w:ascii="Palatino Linotype" w:eastAsia="Times New Roman" w:hAnsi="Palatino Linotype" w:cs="Times New Roman"/>
          <w:b/>
        </w:rPr>
        <w:t>LÍNEAS ARGUMENTATIVAS</w:t>
      </w:r>
    </w:p>
    <w:p w:rsidR="001A4BC9" w:rsidRPr="007B5359" w:rsidRDefault="001A4BC9" w:rsidP="00554DF4">
      <w:pPr>
        <w:spacing w:line="360" w:lineRule="auto"/>
        <w:rPr>
          <w:rFonts w:ascii="Palatino Linotype" w:eastAsia="Times New Roman" w:hAnsi="Palatino Linotype" w:cs="Times New Roman"/>
          <w:b/>
        </w:rPr>
      </w:pPr>
    </w:p>
    <w:p w:rsidR="00554DF4" w:rsidRPr="007B5359" w:rsidRDefault="00554DF4" w:rsidP="001A4BC9">
      <w:pPr>
        <w:spacing w:line="360" w:lineRule="auto"/>
        <w:rPr>
          <w:rFonts w:ascii="Palatino Linotype" w:eastAsia="MS Mincho" w:hAnsi="Palatino Linotype" w:cs="Times New Roman"/>
        </w:rPr>
      </w:pPr>
      <w:r w:rsidRPr="007B5359">
        <w:rPr>
          <w:rFonts w:ascii="Palatino Linotype" w:eastAsia="MS Mincho" w:hAnsi="Palatino Linotype" w:cs="Times New Roman"/>
          <w:b/>
        </w:rPr>
        <w:t xml:space="preserve">DERECHO DE ACCESO A LA INFORMACIÓN PÚBLICA. </w:t>
      </w:r>
      <w:r w:rsidRPr="007B5359">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7B5359">
        <w:rPr>
          <w:rFonts w:ascii="Palatino Linotype" w:eastAsia="MS Mincho" w:hAnsi="Palatino Linotype" w:cs="Times New Roman"/>
        </w:rPr>
        <w:t>.</w:t>
      </w:r>
    </w:p>
    <w:p w:rsidR="00774F4D" w:rsidRPr="007B5359" w:rsidRDefault="00894FE6" w:rsidP="00894FE6">
      <w:pPr>
        <w:spacing w:before="240" w:after="240" w:line="360" w:lineRule="auto"/>
        <w:jc w:val="both"/>
        <w:rPr>
          <w:rFonts w:ascii="Palatino Linotype" w:hAnsi="Palatino Linotype" w:cs="Arial"/>
        </w:rPr>
      </w:pPr>
      <w:r w:rsidRPr="007B5359">
        <w:rPr>
          <w:rFonts w:ascii="Palatino Linotype" w:eastAsia="Calibri" w:hAnsi="Palatino Linotype" w:cs="Arial"/>
          <w:b/>
          <w:szCs w:val="22"/>
          <w:lang w:val="es-ES" w:eastAsia="es-MX"/>
        </w:rPr>
        <w:t>DE LAS FORMALIDADES LEGALES DE LA CLASIFICACIÓN DE LA INFORMACIÓN.</w:t>
      </w:r>
      <w:r w:rsidRPr="007B5359">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7B5359">
        <w:rPr>
          <w:rFonts w:ascii="Palatino Linotype" w:eastAsia="Calibri" w:hAnsi="Palatino Linotype" w:cs="Arial"/>
          <w:bCs/>
          <w:lang w:val="es-MX" w:eastAsia="en-US"/>
        </w:rPr>
        <w:t xml:space="preserve"> VIII,</w:t>
      </w:r>
      <w:r w:rsidRPr="007B5359">
        <w:rPr>
          <w:rFonts w:ascii="Palatino Linotype" w:eastAsia="Calibri" w:hAnsi="Palatino Linotype" w:cs="Arial"/>
          <w:szCs w:val="22"/>
          <w:lang w:val="es-ES" w:eastAsia="es-MX"/>
        </w:rPr>
        <w:t xml:space="preserve"> 122, 135 </w:t>
      </w:r>
      <w:r w:rsidRPr="007B5359">
        <w:rPr>
          <w:rFonts w:ascii="Palatino Linotype" w:hAnsi="Palatino Linotype" w:cs="Arial"/>
        </w:rPr>
        <w:t>143 y 149, así como los establecido en los Lineamientos Generales en Materia de Clasificación</w:t>
      </w:r>
      <w:r w:rsidRPr="007B5359">
        <w:rPr>
          <w:rFonts w:ascii="Palatino Linotype" w:hAnsi="Palatino Linotype"/>
        </w:rPr>
        <w:t xml:space="preserve"> </w:t>
      </w:r>
      <w:r w:rsidRPr="007B5359">
        <w:rPr>
          <w:rFonts w:ascii="Palatino Linotype" w:hAnsi="Palatino Linotype" w:cs="Arial"/>
        </w:rPr>
        <w:t>y Desclasificación de la Información.</w:t>
      </w:r>
    </w:p>
    <w:p w:rsidR="00774F4D" w:rsidRPr="007B5359" w:rsidRDefault="00A04D7B">
      <w:pPr>
        <w:spacing w:after="160" w:line="259" w:lineRule="auto"/>
        <w:rPr>
          <w:rFonts w:ascii="Palatino Linotype" w:hAnsi="Palatino Linotype" w:cs="Arial"/>
        </w:rPr>
      </w:pPr>
      <w:r w:rsidRPr="007B5359">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52628</wp:posOffset>
                </wp:positionH>
                <wp:positionV relativeFrom="paragraph">
                  <wp:posOffset>60951</wp:posOffset>
                </wp:positionV>
                <wp:extent cx="5418161" cy="2688608"/>
                <wp:effectExtent l="0" t="0" r="30480" b="35560"/>
                <wp:wrapNone/>
                <wp:docPr id="4" name="Conector recto 4"/>
                <wp:cNvGraphicFramePr/>
                <a:graphic xmlns:a="http://schemas.openxmlformats.org/drawingml/2006/main">
                  <a:graphicData uri="http://schemas.microsoft.com/office/word/2010/wordprocessingShape">
                    <wps:wsp>
                      <wps:cNvCnPr/>
                      <wps:spPr>
                        <a:xfrm>
                          <a:off x="0" y="0"/>
                          <a:ext cx="5418161" cy="26886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D1BD6"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5pt,4.8pt" to="430.8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" strokecolor="#5b9bd5 [3204]" strokeweight=".5pt">
                <v:stroke joinstyle="miter"/>
              </v:line>
            </w:pict>
          </mc:Fallback>
        </mc:AlternateContent>
      </w:r>
      <w:r w:rsidR="00774F4D" w:rsidRPr="007B5359">
        <w:rPr>
          <w:rFonts w:ascii="Palatino Linotype" w:hAnsi="Palatino Linotype" w:cs="Arial"/>
        </w:rPr>
        <w:br w:type="page"/>
      </w:r>
    </w:p>
    <w:p w:rsidR="00554DF4" w:rsidRPr="007B5359" w:rsidRDefault="00554DF4" w:rsidP="00554DF4">
      <w:pPr>
        <w:spacing w:before="240" w:after="240" w:line="360" w:lineRule="auto"/>
        <w:jc w:val="center"/>
        <w:rPr>
          <w:rFonts w:ascii="Palatino Linotype" w:hAnsi="Palatino Linotype"/>
        </w:rPr>
      </w:pPr>
      <w:r w:rsidRPr="007B5359">
        <w:rPr>
          <w:rFonts w:ascii="Palatino Linotype" w:hAnsi="Palatino Linotype"/>
          <w:b/>
        </w:rPr>
        <w:lastRenderedPageBreak/>
        <w:t>Índice</w:t>
      </w:r>
      <w:r w:rsidRPr="007B5359">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7B5359" w:rsidRDefault="00554DF4" w:rsidP="00554DF4">
          <w:pPr>
            <w:pStyle w:val="TtuloTDC"/>
            <w:spacing w:line="480" w:lineRule="auto"/>
          </w:pPr>
        </w:p>
        <w:p w:rsidR="00A04D7B" w:rsidRPr="007B5359" w:rsidRDefault="00554DF4">
          <w:pPr>
            <w:pStyle w:val="TDC1"/>
            <w:tabs>
              <w:tab w:val="right" w:leader="dot" w:pos="8779"/>
            </w:tabs>
            <w:rPr>
              <w:rFonts w:ascii="Palatino Linotype" w:hAnsi="Palatino Linotype"/>
              <w:noProof/>
              <w:sz w:val="22"/>
              <w:szCs w:val="22"/>
              <w:lang w:val="es-MX" w:eastAsia="es-MX"/>
            </w:rPr>
          </w:pPr>
          <w:r w:rsidRPr="007B5359">
            <w:rPr>
              <w:rFonts w:ascii="Palatino Linotype" w:hAnsi="Palatino Linotype"/>
              <w:b/>
            </w:rPr>
            <w:fldChar w:fldCharType="begin"/>
          </w:r>
          <w:r w:rsidRPr="007B5359">
            <w:rPr>
              <w:rFonts w:ascii="Palatino Linotype" w:hAnsi="Palatino Linotype"/>
              <w:b/>
            </w:rPr>
            <w:instrText xml:space="preserve"> TOC \o "1-3" \h \z \u </w:instrText>
          </w:r>
          <w:r w:rsidRPr="007B5359">
            <w:rPr>
              <w:rFonts w:ascii="Palatino Linotype" w:hAnsi="Palatino Linotype"/>
              <w:b/>
            </w:rPr>
            <w:fldChar w:fldCharType="separate"/>
          </w:r>
          <w:hyperlink w:anchor="_Toc33189439" w:history="1">
            <w:r w:rsidR="00A04D7B" w:rsidRPr="007B5359">
              <w:rPr>
                <w:rStyle w:val="Hipervnculo"/>
                <w:rFonts w:ascii="Palatino Linotype" w:hAnsi="Palatino Linotype"/>
                <w:noProof/>
                <w:color w:val="auto"/>
              </w:rPr>
              <w:t>ANTECEDENTES</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_Toc33189439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3</w:t>
            </w:r>
            <w:r w:rsidR="00A04D7B" w:rsidRPr="007B5359">
              <w:rPr>
                <w:rFonts w:ascii="Palatino Linotype" w:hAnsi="Palatino Linotype"/>
                <w:noProof/>
                <w:webHidden/>
              </w:rPr>
              <w:fldChar w:fldCharType="end"/>
            </w:r>
          </w:hyperlink>
        </w:p>
        <w:p w:rsidR="00A04D7B" w:rsidRPr="007B5359" w:rsidRDefault="00F11A7E">
          <w:pPr>
            <w:pStyle w:val="TDC1"/>
            <w:tabs>
              <w:tab w:val="right" w:leader="dot" w:pos="8779"/>
            </w:tabs>
            <w:rPr>
              <w:rFonts w:ascii="Palatino Linotype" w:hAnsi="Palatino Linotype"/>
              <w:noProof/>
              <w:sz w:val="22"/>
              <w:szCs w:val="22"/>
              <w:lang w:val="es-MX" w:eastAsia="es-MX"/>
            </w:rPr>
          </w:pPr>
          <w:hyperlink w:anchor="_Toc33189440" w:history="1">
            <w:r w:rsidR="00A04D7B" w:rsidRPr="007B5359">
              <w:rPr>
                <w:rStyle w:val="Hipervnculo"/>
                <w:rFonts w:ascii="Palatino Linotype" w:hAnsi="Palatino Linotype"/>
                <w:noProof/>
                <w:color w:val="auto"/>
              </w:rPr>
              <w:t>CONSIDERANDO</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_Toc33189440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9</w:t>
            </w:r>
            <w:r w:rsidR="00A04D7B" w:rsidRPr="007B5359">
              <w:rPr>
                <w:rFonts w:ascii="Palatino Linotype" w:hAnsi="Palatino Linotype"/>
                <w:noProof/>
                <w:webHidden/>
              </w:rPr>
              <w:fldChar w:fldCharType="end"/>
            </w:r>
          </w:hyperlink>
        </w:p>
        <w:p w:rsidR="00A04D7B" w:rsidRPr="007B5359" w:rsidRDefault="00F11A7E" w:rsidP="00A04D7B">
          <w:pPr>
            <w:pStyle w:val="TDC2"/>
            <w:ind w:left="0"/>
            <w:rPr>
              <w:rFonts w:ascii="Palatino Linotype" w:hAnsi="Palatino Linotype"/>
              <w:noProof/>
              <w:sz w:val="22"/>
              <w:szCs w:val="22"/>
              <w:lang w:val="es-MX" w:eastAsia="es-MX"/>
            </w:rPr>
          </w:pPr>
          <w:hyperlink w:anchor="_Toc33189441" w:history="1">
            <w:r w:rsidR="00A04D7B" w:rsidRPr="007B5359">
              <w:rPr>
                <w:rStyle w:val="Hipervnculo"/>
                <w:rFonts w:ascii="Palatino Linotype" w:hAnsi="Palatino Linotype"/>
                <w:b/>
                <w:noProof/>
                <w:color w:val="auto"/>
              </w:rPr>
              <w:t>PRIMERO. De la competencia</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_Toc33189441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9</w:t>
            </w:r>
            <w:r w:rsidR="00A04D7B" w:rsidRPr="007B5359">
              <w:rPr>
                <w:rFonts w:ascii="Palatino Linotype" w:hAnsi="Palatino Linotype"/>
                <w:noProof/>
                <w:webHidden/>
              </w:rPr>
              <w:fldChar w:fldCharType="end"/>
            </w:r>
          </w:hyperlink>
        </w:p>
        <w:p w:rsidR="00A04D7B" w:rsidRPr="007B5359" w:rsidRDefault="00F11A7E" w:rsidP="00A04D7B">
          <w:pPr>
            <w:pStyle w:val="TDC2"/>
            <w:ind w:left="0"/>
            <w:rPr>
              <w:rFonts w:ascii="Palatino Linotype" w:hAnsi="Palatino Linotype"/>
              <w:noProof/>
              <w:sz w:val="22"/>
              <w:szCs w:val="22"/>
              <w:lang w:val="es-MX" w:eastAsia="es-MX"/>
            </w:rPr>
          </w:pPr>
          <w:hyperlink w:anchor="_Toc33189442" w:history="1">
            <w:r w:rsidR="00A04D7B" w:rsidRPr="007B5359">
              <w:rPr>
                <w:rStyle w:val="Hipervnculo"/>
                <w:rFonts w:ascii="Palatino Linotype" w:hAnsi="Palatino Linotype"/>
                <w:b/>
                <w:noProof/>
                <w:color w:val="auto"/>
              </w:rPr>
              <w:t>SEGUNDO. De la oportunidad y procedencia.</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_Toc33189442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10</w:t>
            </w:r>
            <w:r w:rsidR="00A04D7B" w:rsidRPr="007B5359">
              <w:rPr>
                <w:rFonts w:ascii="Palatino Linotype" w:hAnsi="Palatino Linotype"/>
                <w:noProof/>
                <w:webHidden/>
              </w:rPr>
              <w:fldChar w:fldCharType="end"/>
            </w:r>
          </w:hyperlink>
        </w:p>
        <w:p w:rsidR="00A04D7B" w:rsidRPr="007B5359" w:rsidRDefault="00F11A7E" w:rsidP="00A04D7B">
          <w:pPr>
            <w:pStyle w:val="TDC2"/>
            <w:ind w:left="0"/>
            <w:rPr>
              <w:rFonts w:ascii="Palatino Linotype" w:hAnsi="Palatino Linotype"/>
              <w:noProof/>
              <w:sz w:val="22"/>
              <w:szCs w:val="22"/>
              <w:lang w:val="es-MX" w:eastAsia="es-MX"/>
            </w:rPr>
          </w:pPr>
          <w:hyperlink w:anchor="_Toc33189443" w:history="1">
            <w:r w:rsidR="00A04D7B" w:rsidRPr="007B5359">
              <w:rPr>
                <w:rStyle w:val="Hipervnculo"/>
                <w:rFonts w:ascii="Palatino Linotype" w:hAnsi="Palatino Linotype"/>
                <w:b/>
                <w:noProof/>
                <w:color w:val="auto"/>
              </w:rPr>
              <w:t>TERCERO. Planteamiento de la Litis.</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_Toc33189443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14</w:t>
            </w:r>
            <w:r w:rsidR="00A04D7B" w:rsidRPr="007B5359">
              <w:rPr>
                <w:rFonts w:ascii="Palatino Linotype" w:hAnsi="Palatino Linotype"/>
                <w:noProof/>
                <w:webHidden/>
              </w:rPr>
              <w:fldChar w:fldCharType="end"/>
            </w:r>
          </w:hyperlink>
        </w:p>
        <w:p w:rsidR="00A04D7B" w:rsidRPr="007B5359" w:rsidRDefault="00F11A7E" w:rsidP="00A04D7B">
          <w:pPr>
            <w:pStyle w:val="TDC2"/>
            <w:ind w:left="0"/>
            <w:rPr>
              <w:rFonts w:ascii="Palatino Linotype" w:hAnsi="Palatino Linotype"/>
              <w:noProof/>
              <w:sz w:val="22"/>
              <w:szCs w:val="22"/>
              <w:lang w:val="es-MX" w:eastAsia="es-MX"/>
            </w:rPr>
          </w:pPr>
          <w:hyperlink w:anchor="_Toc33189444" w:history="1">
            <w:r w:rsidR="00A04D7B" w:rsidRPr="007B5359">
              <w:rPr>
                <w:rStyle w:val="Hipervnculo"/>
                <w:rFonts w:ascii="Palatino Linotype" w:hAnsi="Palatino Linotype"/>
                <w:b/>
                <w:noProof/>
                <w:color w:val="auto"/>
              </w:rPr>
              <w:t>CUARTO. Análisis y resolución del asunto.</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_Toc33189444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14</w:t>
            </w:r>
            <w:r w:rsidR="00A04D7B" w:rsidRPr="007B5359">
              <w:rPr>
                <w:rFonts w:ascii="Palatino Linotype" w:hAnsi="Palatino Linotype"/>
                <w:noProof/>
                <w:webHidden/>
              </w:rPr>
              <w:fldChar w:fldCharType="end"/>
            </w:r>
          </w:hyperlink>
        </w:p>
        <w:p w:rsidR="00A04D7B" w:rsidRPr="007B5359" w:rsidRDefault="00F11A7E" w:rsidP="00A04D7B">
          <w:pPr>
            <w:pStyle w:val="TDC2"/>
            <w:ind w:left="0"/>
            <w:rPr>
              <w:rFonts w:ascii="Palatino Linotype" w:hAnsi="Palatino Linotype"/>
              <w:noProof/>
              <w:sz w:val="22"/>
              <w:szCs w:val="22"/>
              <w:lang w:val="es-MX" w:eastAsia="es-MX"/>
            </w:rPr>
          </w:pPr>
          <w:hyperlink w:anchor="_Toc33189445" w:history="1">
            <w:r w:rsidR="00A04D7B" w:rsidRPr="007B5359">
              <w:rPr>
                <w:rStyle w:val="Hipervnculo"/>
                <w:rFonts w:ascii="Palatino Linotype" w:hAnsi="Palatino Linotype"/>
                <w:b/>
                <w:noProof/>
                <w:color w:val="auto"/>
              </w:rPr>
              <w:t>A.</w:t>
            </w:r>
            <w:r w:rsidR="00A04D7B" w:rsidRPr="007B5359">
              <w:rPr>
                <w:rFonts w:ascii="Palatino Linotype" w:hAnsi="Palatino Linotype"/>
                <w:noProof/>
                <w:sz w:val="22"/>
                <w:szCs w:val="22"/>
                <w:lang w:val="es-MX" w:eastAsia="es-MX"/>
              </w:rPr>
              <w:tab/>
            </w:r>
            <w:r w:rsidR="00A04D7B" w:rsidRPr="007B5359">
              <w:rPr>
                <w:rStyle w:val="Hipervnculo"/>
                <w:rFonts w:ascii="Palatino Linotype" w:hAnsi="Palatino Linotype"/>
                <w:b/>
                <w:noProof/>
                <w:color w:val="auto"/>
              </w:rPr>
              <w:t>El derecho de acceso a la información.</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_Toc33189445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14</w:t>
            </w:r>
            <w:r w:rsidR="00A04D7B" w:rsidRPr="007B5359">
              <w:rPr>
                <w:rFonts w:ascii="Palatino Linotype" w:hAnsi="Palatino Linotype"/>
                <w:noProof/>
                <w:webHidden/>
              </w:rPr>
              <w:fldChar w:fldCharType="end"/>
            </w:r>
          </w:hyperlink>
        </w:p>
        <w:p w:rsidR="00A04D7B" w:rsidRPr="007B5359" w:rsidRDefault="00F11A7E" w:rsidP="00A04D7B">
          <w:pPr>
            <w:pStyle w:val="TDC2"/>
            <w:ind w:left="0"/>
            <w:rPr>
              <w:rFonts w:ascii="Palatino Linotype" w:hAnsi="Palatino Linotype"/>
              <w:noProof/>
              <w:sz w:val="22"/>
              <w:szCs w:val="22"/>
              <w:lang w:val="es-MX" w:eastAsia="es-MX"/>
            </w:rPr>
          </w:pPr>
          <w:hyperlink w:anchor="_Toc33189446" w:history="1">
            <w:r w:rsidR="00A04D7B" w:rsidRPr="007B5359">
              <w:rPr>
                <w:rStyle w:val="Hipervnculo"/>
                <w:rFonts w:ascii="Palatino Linotype" w:hAnsi="Palatino Linotype"/>
                <w:b/>
                <w:noProof/>
                <w:color w:val="auto"/>
              </w:rPr>
              <w:t>B.</w:t>
            </w:r>
            <w:r w:rsidR="00A04D7B" w:rsidRPr="007B5359">
              <w:rPr>
                <w:rFonts w:ascii="Palatino Linotype" w:hAnsi="Palatino Linotype"/>
                <w:noProof/>
                <w:sz w:val="22"/>
                <w:szCs w:val="22"/>
                <w:lang w:val="es-MX" w:eastAsia="es-MX"/>
              </w:rPr>
              <w:tab/>
            </w:r>
            <w:r w:rsidR="00A04D7B" w:rsidRPr="007B5359">
              <w:rPr>
                <w:rStyle w:val="Hipervnculo"/>
                <w:rFonts w:ascii="Palatino Linotype" w:hAnsi="Palatino Linotype"/>
                <w:b/>
                <w:noProof/>
                <w:color w:val="auto"/>
              </w:rPr>
              <w:t>Fuente Obligacional.</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_Toc33189446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21</w:t>
            </w:r>
            <w:r w:rsidR="00A04D7B" w:rsidRPr="007B5359">
              <w:rPr>
                <w:rFonts w:ascii="Palatino Linotype" w:hAnsi="Palatino Linotype"/>
                <w:noProof/>
                <w:webHidden/>
              </w:rPr>
              <w:fldChar w:fldCharType="end"/>
            </w:r>
          </w:hyperlink>
        </w:p>
        <w:p w:rsidR="00A04D7B" w:rsidRPr="007B5359" w:rsidRDefault="00F11A7E">
          <w:pPr>
            <w:pStyle w:val="TDC3"/>
            <w:tabs>
              <w:tab w:val="left" w:pos="1418"/>
              <w:tab w:val="right" w:leader="dot" w:pos="8779"/>
            </w:tabs>
            <w:rPr>
              <w:rFonts w:ascii="Palatino Linotype" w:hAnsi="Palatino Linotype"/>
              <w:noProof/>
              <w:sz w:val="22"/>
              <w:szCs w:val="22"/>
              <w:lang w:val="es-MX" w:eastAsia="es-MX"/>
            </w:rPr>
          </w:pPr>
          <w:hyperlink w:anchor="_Toc33189447" w:history="1">
            <w:r w:rsidR="00A04D7B" w:rsidRPr="007B5359">
              <w:rPr>
                <w:rStyle w:val="Hipervnculo"/>
                <w:rFonts w:ascii="Palatino Linotype" w:hAnsi="Palatino Linotype"/>
                <w:b/>
                <w:noProof/>
                <w:color w:val="auto"/>
              </w:rPr>
              <w:t>I.</w:t>
            </w:r>
            <w:r w:rsidR="00A04D7B" w:rsidRPr="007B5359">
              <w:rPr>
                <w:rFonts w:ascii="Palatino Linotype" w:hAnsi="Palatino Linotype"/>
                <w:noProof/>
                <w:sz w:val="22"/>
                <w:szCs w:val="22"/>
                <w:lang w:val="es-MX" w:eastAsia="es-MX"/>
              </w:rPr>
              <w:tab/>
            </w:r>
            <w:r w:rsidR="00A04D7B" w:rsidRPr="007B5359">
              <w:rPr>
                <w:rStyle w:val="Hipervnculo"/>
                <w:rFonts w:ascii="Palatino Linotype" w:hAnsi="Palatino Linotype"/>
                <w:b/>
                <w:noProof/>
                <w:color w:val="auto"/>
              </w:rPr>
              <w:t>De la obligación de transparencia.</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_Toc33189447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21</w:t>
            </w:r>
            <w:r w:rsidR="00A04D7B" w:rsidRPr="007B5359">
              <w:rPr>
                <w:rFonts w:ascii="Palatino Linotype" w:hAnsi="Palatino Linotype"/>
                <w:noProof/>
                <w:webHidden/>
              </w:rPr>
              <w:fldChar w:fldCharType="end"/>
            </w:r>
          </w:hyperlink>
        </w:p>
        <w:p w:rsidR="00A04D7B" w:rsidRPr="007B5359" w:rsidRDefault="00F11A7E">
          <w:pPr>
            <w:pStyle w:val="TDC3"/>
            <w:tabs>
              <w:tab w:val="right" w:leader="dot" w:pos="8779"/>
            </w:tabs>
            <w:rPr>
              <w:rFonts w:ascii="Palatino Linotype" w:hAnsi="Palatino Linotype"/>
              <w:noProof/>
              <w:sz w:val="22"/>
              <w:szCs w:val="22"/>
              <w:lang w:val="es-MX" w:eastAsia="es-MX"/>
            </w:rPr>
          </w:pPr>
          <w:hyperlink w:anchor="_Toc33189448" w:history="1">
            <w:r w:rsidR="00A04D7B" w:rsidRPr="007B5359">
              <w:rPr>
                <w:rStyle w:val="Hipervnculo"/>
                <w:rFonts w:ascii="Palatino Linotype" w:hAnsi="Palatino Linotype"/>
                <w:b/>
                <w:noProof/>
                <w:color w:val="auto"/>
              </w:rPr>
              <w:t>II. Del expediente de compra de patrullas.</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_Toc33189448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27</w:t>
            </w:r>
            <w:r w:rsidR="00A04D7B" w:rsidRPr="007B5359">
              <w:rPr>
                <w:rFonts w:ascii="Palatino Linotype" w:hAnsi="Palatino Linotype"/>
                <w:noProof/>
                <w:webHidden/>
              </w:rPr>
              <w:fldChar w:fldCharType="end"/>
            </w:r>
          </w:hyperlink>
        </w:p>
        <w:p w:rsidR="00A04D7B" w:rsidRPr="007B5359" w:rsidRDefault="00F11A7E">
          <w:pPr>
            <w:pStyle w:val="TDC3"/>
            <w:tabs>
              <w:tab w:val="right" w:leader="dot" w:pos="8779"/>
            </w:tabs>
            <w:rPr>
              <w:rFonts w:ascii="Palatino Linotype" w:hAnsi="Palatino Linotype"/>
              <w:noProof/>
              <w:sz w:val="22"/>
              <w:szCs w:val="22"/>
              <w:lang w:val="es-MX" w:eastAsia="es-MX"/>
            </w:rPr>
          </w:pPr>
          <w:hyperlink w:anchor="_Toc33189449" w:history="1">
            <w:r w:rsidR="00A04D7B" w:rsidRPr="007B5359">
              <w:rPr>
                <w:rStyle w:val="Hipervnculo"/>
                <w:rFonts w:ascii="Palatino Linotype" w:hAnsi="Palatino Linotype"/>
                <w:b/>
                <w:noProof/>
                <w:color w:val="auto"/>
              </w:rPr>
              <w:t>III. De la Clasificación.</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_Toc33189449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43</w:t>
            </w:r>
            <w:r w:rsidR="00A04D7B" w:rsidRPr="007B5359">
              <w:rPr>
                <w:rFonts w:ascii="Palatino Linotype" w:hAnsi="Palatino Linotype"/>
                <w:noProof/>
                <w:webHidden/>
              </w:rPr>
              <w:fldChar w:fldCharType="end"/>
            </w:r>
          </w:hyperlink>
        </w:p>
        <w:p w:rsidR="00A04D7B" w:rsidRPr="007B5359" w:rsidRDefault="00F11A7E">
          <w:pPr>
            <w:pStyle w:val="TDC2"/>
            <w:rPr>
              <w:rFonts w:ascii="Palatino Linotype" w:hAnsi="Palatino Linotype"/>
              <w:noProof/>
              <w:sz w:val="22"/>
              <w:szCs w:val="22"/>
              <w:lang w:val="es-MX" w:eastAsia="es-MX"/>
            </w:rPr>
          </w:pPr>
          <w:hyperlink w:anchor="_Toc33189450" w:history="1">
            <w:r w:rsidR="00A04D7B" w:rsidRPr="007B5359">
              <w:rPr>
                <w:rStyle w:val="Hipervnculo"/>
                <w:rFonts w:ascii="Palatino Linotype" w:eastAsia="Times New Roman" w:hAnsi="Palatino Linotype"/>
                <w:b/>
                <w:noProof/>
                <w:color w:val="auto"/>
              </w:rPr>
              <w:t>a)</w:t>
            </w:r>
            <w:r w:rsidR="00A04D7B" w:rsidRPr="007B5359">
              <w:rPr>
                <w:rFonts w:ascii="Palatino Linotype" w:hAnsi="Palatino Linotype"/>
                <w:noProof/>
                <w:sz w:val="22"/>
                <w:szCs w:val="22"/>
                <w:lang w:val="es-MX" w:eastAsia="es-MX"/>
              </w:rPr>
              <w:tab/>
            </w:r>
            <w:r w:rsidR="00A04D7B" w:rsidRPr="007B5359">
              <w:rPr>
                <w:rStyle w:val="Hipervnculo"/>
                <w:rFonts w:ascii="Palatino Linotype" w:eastAsia="Times New Roman" w:hAnsi="Palatino Linotype"/>
                <w:b/>
                <w:noProof/>
                <w:color w:val="auto"/>
              </w:rPr>
              <w:t>Desarrollo de la Prueba de Daño.</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_Toc33189450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64</w:t>
            </w:r>
            <w:r w:rsidR="00A04D7B" w:rsidRPr="007B5359">
              <w:rPr>
                <w:rFonts w:ascii="Palatino Linotype" w:hAnsi="Palatino Linotype"/>
                <w:noProof/>
                <w:webHidden/>
              </w:rPr>
              <w:fldChar w:fldCharType="end"/>
            </w:r>
          </w:hyperlink>
        </w:p>
        <w:p w:rsidR="00A04D7B" w:rsidRPr="007B5359" w:rsidRDefault="00F11A7E">
          <w:pPr>
            <w:pStyle w:val="TDC1"/>
            <w:tabs>
              <w:tab w:val="right" w:leader="dot" w:pos="8779"/>
            </w:tabs>
            <w:rPr>
              <w:rFonts w:ascii="Palatino Linotype" w:hAnsi="Palatino Linotype"/>
              <w:noProof/>
              <w:sz w:val="22"/>
              <w:szCs w:val="22"/>
              <w:lang w:val="es-MX" w:eastAsia="es-MX"/>
            </w:rPr>
          </w:pPr>
          <w:hyperlink w:anchor="_Toc33189451" w:history="1">
            <w:r w:rsidR="00A04D7B" w:rsidRPr="007B5359">
              <w:rPr>
                <w:rStyle w:val="Hipervnculo"/>
                <w:rFonts w:ascii="Palatino Linotype" w:hAnsi="Palatino Linotype"/>
                <w:noProof/>
                <w:color w:val="auto"/>
              </w:rPr>
              <w:t>QUINTO. Vista a los órganos de control interno</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_Toc33189451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73</w:t>
            </w:r>
            <w:r w:rsidR="00A04D7B" w:rsidRPr="007B5359">
              <w:rPr>
                <w:rFonts w:ascii="Palatino Linotype" w:hAnsi="Palatino Linotype"/>
                <w:noProof/>
                <w:webHidden/>
              </w:rPr>
              <w:fldChar w:fldCharType="end"/>
            </w:r>
          </w:hyperlink>
        </w:p>
        <w:p w:rsidR="00A04D7B" w:rsidRPr="007B5359" w:rsidRDefault="00F11A7E">
          <w:pPr>
            <w:pStyle w:val="TDC1"/>
            <w:tabs>
              <w:tab w:val="right" w:leader="dot" w:pos="8779"/>
            </w:tabs>
            <w:rPr>
              <w:rFonts w:ascii="Palatino Linotype" w:hAnsi="Palatino Linotype"/>
              <w:noProof/>
              <w:sz w:val="22"/>
              <w:szCs w:val="22"/>
              <w:lang w:val="es-MX" w:eastAsia="es-MX"/>
            </w:rPr>
          </w:pPr>
          <w:hyperlink w:anchor="_Toc33189452" w:history="1">
            <w:r w:rsidR="00A04D7B" w:rsidRPr="007B5359">
              <w:rPr>
                <w:rStyle w:val="Hipervnculo"/>
                <w:rFonts w:ascii="Palatino Linotype" w:eastAsia="Times New Roman" w:hAnsi="Palatino Linotype" w:cstheme="majorBidi"/>
                <w:b/>
                <w:bCs/>
                <w:noProof/>
                <w:color w:val="auto"/>
              </w:rPr>
              <w:t>R E S O L U T I V O S</w:t>
            </w:r>
            <w:r w:rsidR="00A04D7B" w:rsidRPr="007B5359">
              <w:rPr>
                <w:rFonts w:ascii="Palatino Linotype" w:hAnsi="Palatino Linotype"/>
                <w:noProof/>
                <w:webHidden/>
              </w:rPr>
              <w:tab/>
            </w:r>
            <w:r w:rsidR="00A04D7B" w:rsidRPr="007B5359">
              <w:rPr>
                <w:rFonts w:ascii="Palatino Linotype" w:hAnsi="Palatino Linotype"/>
                <w:noProof/>
                <w:webHidden/>
              </w:rPr>
              <w:fldChar w:fldCharType="begin"/>
            </w:r>
            <w:r w:rsidR="00A04D7B" w:rsidRPr="007B5359">
              <w:rPr>
                <w:rFonts w:ascii="Palatino Linotype" w:hAnsi="Palatino Linotype"/>
                <w:noProof/>
                <w:webHidden/>
              </w:rPr>
              <w:instrText xml:space="preserve"> PAGEREF _Toc33189452 \h </w:instrText>
            </w:r>
            <w:r w:rsidR="00A04D7B" w:rsidRPr="007B5359">
              <w:rPr>
                <w:rFonts w:ascii="Palatino Linotype" w:hAnsi="Palatino Linotype"/>
                <w:noProof/>
                <w:webHidden/>
              </w:rPr>
            </w:r>
            <w:r w:rsidR="00A04D7B" w:rsidRPr="007B5359">
              <w:rPr>
                <w:rFonts w:ascii="Palatino Linotype" w:hAnsi="Palatino Linotype"/>
                <w:noProof/>
                <w:webHidden/>
              </w:rPr>
              <w:fldChar w:fldCharType="separate"/>
            </w:r>
            <w:r w:rsidR="00EA3860" w:rsidRPr="007B5359">
              <w:rPr>
                <w:rFonts w:ascii="Palatino Linotype" w:hAnsi="Palatino Linotype"/>
                <w:noProof/>
                <w:webHidden/>
              </w:rPr>
              <w:t>76</w:t>
            </w:r>
            <w:r w:rsidR="00A04D7B" w:rsidRPr="007B5359">
              <w:rPr>
                <w:rFonts w:ascii="Palatino Linotype" w:hAnsi="Palatino Linotype"/>
                <w:noProof/>
                <w:webHidden/>
              </w:rPr>
              <w:fldChar w:fldCharType="end"/>
            </w:r>
          </w:hyperlink>
        </w:p>
        <w:p w:rsidR="00554DF4" w:rsidRPr="007B5359" w:rsidRDefault="00554DF4" w:rsidP="00653E80">
          <w:pPr>
            <w:tabs>
              <w:tab w:val="left" w:pos="426"/>
            </w:tabs>
            <w:spacing w:line="480" w:lineRule="auto"/>
          </w:pPr>
          <w:r w:rsidRPr="007B5359">
            <w:rPr>
              <w:rFonts w:ascii="Palatino Linotype" w:hAnsi="Palatino Linotype"/>
              <w:b/>
              <w:bCs/>
              <w:lang w:val="es-ES"/>
            </w:rPr>
            <w:fldChar w:fldCharType="end"/>
          </w:r>
        </w:p>
      </w:sdtContent>
    </w:sdt>
    <w:p w:rsidR="00774F4D" w:rsidRPr="007B5359" w:rsidRDefault="00774F4D">
      <w:pPr>
        <w:spacing w:after="160" w:line="259" w:lineRule="auto"/>
        <w:rPr>
          <w:rFonts w:ascii="Palatino Linotype" w:hAnsi="Palatino Linotype"/>
        </w:rPr>
      </w:pPr>
      <w:r w:rsidRPr="007B5359">
        <w:rPr>
          <w:rFonts w:ascii="Palatino Linotype" w:hAnsi="Palatino Linotype"/>
        </w:rPr>
        <w:br w:type="page"/>
      </w:r>
    </w:p>
    <w:p w:rsidR="00554DF4" w:rsidRPr="007B5359" w:rsidRDefault="00554DF4" w:rsidP="00554DF4">
      <w:pPr>
        <w:spacing w:before="240" w:after="240" w:line="360" w:lineRule="auto"/>
        <w:jc w:val="both"/>
        <w:rPr>
          <w:rFonts w:ascii="Palatino Linotype" w:hAnsi="Palatino Linotype"/>
        </w:rPr>
      </w:pPr>
      <w:r w:rsidRPr="007B5359">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3E0F3A" w:rsidRPr="007B5359">
        <w:rPr>
          <w:rFonts w:ascii="Palatino Linotype" w:hAnsi="Palatino Linotype"/>
        </w:rPr>
        <w:t xml:space="preserve"> diecinueve </w:t>
      </w:r>
      <w:r w:rsidRPr="007B5359">
        <w:rPr>
          <w:rFonts w:ascii="Palatino Linotype" w:hAnsi="Palatino Linotype"/>
        </w:rPr>
        <w:t>(</w:t>
      </w:r>
      <w:r w:rsidR="003E0F3A" w:rsidRPr="007B5359">
        <w:rPr>
          <w:rFonts w:ascii="Palatino Linotype" w:hAnsi="Palatino Linotype"/>
        </w:rPr>
        <w:t>19</w:t>
      </w:r>
      <w:r w:rsidRPr="007B5359">
        <w:rPr>
          <w:rFonts w:ascii="Palatino Linotype" w:hAnsi="Palatino Linotype"/>
        </w:rPr>
        <w:t xml:space="preserve">) de </w:t>
      </w:r>
      <w:r w:rsidR="00774F4D" w:rsidRPr="007B5359">
        <w:rPr>
          <w:rFonts w:ascii="Palatino Linotype" w:hAnsi="Palatino Linotype"/>
        </w:rPr>
        <w:t>febrero</w:t>
      </w:r>
      <w:r w:rsidRPr="007B5359">
        <w:rPr>
          <w:rFonts w:ascii="Palatino Linotype" w:hAnsi="Palatino Linotype"/>
        </w:rPr>
        <w:t xml:space="preserve"> de dos mil </w:t>
      </w:r>
      <w:r w:rsidR="00F76C2F" w:rsidRPr="007B5359">
        <w:rPr>
          <w:rFonts w:ascii="Palatino Linotype" w:hAnsi="Palatino Linotype"/>
        </w:rPr>
        <w:t>veinte</w:t>
      </w:r>
      <w:r w:rsidRPr="007B5359">
        <w:rPr>
          <w:rFonts w:ascii="Palatino Linotype" w:hAnsi="Palatino Linotype"/>
        </w:rPr>
        <w:t>.</w:t>
      </w:r>
    </w:p>
    <w:p w:rsidR="00554DF4" w:rsidRPr="007B5359" w:rsidRDefault="00554DF4" w:rsidP="00554DF4">
      <w:pPr>
        <w:spacing w:before="240" w:after="360" w:line="360" w:lineRule="auto"/>
        <w:jc w:val="both"/>
        <w:rPr>
          <w:rFonts w:ascii="Palatino Linotype" w:hAnsi="Palatino Linotype"/>
        </w:rPr>
      </w:pPr>
      <w:r w:rsidRPr="007B5359">
        <w:rPr>
          <w:rFonts w:ascii="Palatino Linotype" w:hAnsi="Palatino Linotype"/>
          <w:b/>
        </w:rPr>
        <w:t>VISTO el</w:t>
      </w:r>
      <w:r w:rsidRPr="007B5359">
        <w:rPr>
          <w:rFonts w:ascii="Palatino Linotype" w:hAnsi="Palatino Linotype"/>
        </w:rPr>
        <w:t xml:space="preserve"> expediente electrónico formado con motivo del recurso de revisión </w:t>
      </w:r>
      <w:r w:rsidR="00774F4D" w:rsidRPr="007B5359">
        <w:rPr>
          <w:rFonts w:ascii="Palatino Linotype" w:hAnsi="Palatino Linotype" w:cs="Arial"/>
          <w:b/>
          <w:bCs/>
          <w:szCs w:val="22"/>
          <w:lang w:eastAsia="es-MX"/>
        </w:rPr>
        <w:t>08893/INFOEM/IP/RR/2019</w:t>
      </w:r>
      <w:r w:rsidRPr="007B5359">
        <w:rPr>
          <w:rFonts w:ascii="Palatino Linotype" w:hAnsi="Palatino Linotype" w:cs="Arial"/>
          <w:b/>
          <w:bCs/>
        </w:rPr>
        <w:t xml:space="preserve">, </w:t>
      </w:r>
      <w:r w:rsidRPr="007B5359">
        <w:rPr>
          <w:rFonts w:ascii="Palatino Linotype" w:hAnsi="Palatino Linotype"/>
        </w:rPr>
        <w:t xml:space="preserve">promovido por </w:t>
      </w:r>
      <w:r w:rsidR="007B5359" w:rsidRPr="007B5359">
        <w:rPr>
          <w:rFonts w:ascii="Palatino Linotype" w:hAnsi="Palatino Linotype"/>
          <w:b/>
          <w:sz w:val="22"/>
          <w:szCs w:val="22"/>
          <w:highlight w:val="black"/>
        </w:rPr>
        <w:t>----</w:t>
      </w:r>
      <w:r w:rsidR="00C11A40" w:rsidRPr="007B5359">
        <w:rPr>
          <w:rFonts w:ascii="Palatino Linotype" w:hAnsi="Palatino Linotype"/>
          <w:b/>
          <w:sz w:val="22"/>
          <w:szCs w:val="22"/>
          <w:highlight w:val="black"/>
        </w:rPr>
        <w:t xml:space="preserve"> </w:t>
      </w:r>
      <w:r w:rsidR="007B5359" w:rsidRPr="007B5359">
        <w:rPr>
          <w:rFonts w:ascii="Palatino Linotype" w:hAnsi="Palatino Linotype"/>
          <w:b/>
          <w:sz w:val="22"/>
          <w:szCs w:val="22"/>
          <w:highlight w:val="black"/>
        </w:rPr>
        <w:t>----</w:t>
      </w:r>
      <w:r w:rsidR="00C11A40" w:rsidRPr="007B5359">
        <w:rPr>
          <w:rFonts w:ascii="Palatino Linotype" w:hAnsi="Palatino Linotype"/>
          <w:b/>
          <w:sz w:val="22"/>
          <w:szCs w:val="22"/>
          <w:highlight w:val="black"/>
        </w:rPr>
        <w:t xml:space="preserve"> </w:t>
      </w:r>
      <w:r w:rsidR="007B5359" w:rsidRPr="007B5359">
        <w:rPr>
          <w:rFonts w:ascii="Palatino Linotype" w:hAnsi="Palatino Linotype"/>
          <w:b/>
          <w:sz w:val="22"/>
          <w:szCs w:val="22"/>
          <w:highlight w:val="black"/>
        </w:rPr>
        <w:t>----</w:t>
      </w:r>
      <w:r w:rsidR="006D6CCC" w:rsidRPr="007B5359">
        <w:rPr>
          <w:rFonts w:ascii="Palatino Linotype" w:hAnsi="Palatino Linotype"/>
        </w:rPr>
        <w:t xml:space="preserve"> </w:t>
      </w:r>
      <w:r w:rsidRPr="007B5359">
        <w:rPr>
          <w:rFonts w:ascii="Palatino Linotype" w:hAnsi="Palatino Linotype"/>
        </w:rPr>
        <w:t xml:space="preserve">en su calidad de </w:t>
      </w:r>
      <w:r w:rsidRPr="007B5359">
        <w:rPr>
          <w:rFonts w:ascii="Palatino Linotype" w:hAnsi="Palatino Linotype"/>
          <w:b/>
        </w:rPr>
        <w:t>RECURRENTE</w:t>
      </w:r>
      <w:r w:rsidRPr="007B5359">
        <w:rPr>
          <w:rFonts w:ascii="Palatino Linotype" w:hAnsi="Palatino Linotype" w:cs="Arial"/>
        </w:rPr>
        <w:t xml:space="preserve">, en contra de la respuesta del </w:t>
      </w:r>
      <w:r w:rsidRPr="007B5359">
        <w:rPr>
          <w:rFonts w:ascii="Palatino Linotype" w:hAnsi="Palatino Linotype"/>
          <w:b/>
          <w:bCs/>
          <w:szCs w:val="22"/>
        </w:rPr>
        <w:t xml:space="preserve">Ayuntamiento de </w:t>
      </w:r>
      <w:r w:rsidR="00774F4D" w:rsidRPr="007B5359">
        <w:rPr>
          <w:rFonts w:ascii="Palatino Linotype" w:hAnsi="Palatino Linotype"/>
          <w:b/>
          <w:bCs/>
          <w:szCs w:val="22"/>
        </w:rPr>
        <w:t>Cuautitlán Izcalli</w:t>
      </w:r>
      <w:r w:rsidRPr="007B5359">
        <w:rPr>
          <w:rFonts w:ascii="Palatino Linotype" w:hAnsi="Palatino Linotype" w:cs="Arial"/>
        </w:rPr>
        <w:t>,</w:t>
      </w:r>
      <w:r w:rsidRPr="007B5359">
        <w:rPr>
          <w:rFonts w:ascii="Palatino Linotype" w:hAnsi="Palatino Linotype"/>
          <w:b/>
        </w:rPr>
        <w:t xml:space="preserve"> </w:t>
      </w:r>
      <w:r w:rsidRPr="007B5359">
        <w:rPr>
          <w:rFonts w:ascii="Palatino Linotype" w:hAnsi="Palatino Linotype"/>
        </w:rPr>
        <w:t>en lo sucesivo el</w:t>
      </w:r>
      <w:r w:rsidRPr="007B5359">
        <w:rPr>
          <w:rFonts w:ascii="Palatino Linotype" w:hAnsi="Palatino Linotype"/>
          <w:b/>
        </w:rPr>
        <w:t xml:space="preserve"> SUJETO OBLIGADO, </w:t>
      </w:r>
      <w:r w:rsidRPr="007B5359">
        <w:rPr>
          <w:rFonts w:ascii="Palatino Linotype" w:hAnsi="Palatino Linotype"/>
        </w:rPr>
        <w:t xml:space="preserve">se procede a dictar la presente resolución, con base en los siguientes: </w:t>
      </w:r>
    </w:p>
    <w:p w:rsidR="00554DF4" w:rsidRPr="007B5359" w:rsidRDefault="00554DF4" w:rsidP="00554DF4">
      <w:pPr>
        <w:pStyle w:val="Ttulo1"/>
        <w:jc w:val="center"/>
      </w:pPr>
      <w:bookmarkStart w:id="0" w:name="_Toc33189439"/>
      <w:r w:rsidRPr="007B5359">
        <w:t>ANTECEDENTES</w:t>
      </w:r>
      <w:bookmarkEnd w:id="0"/>
    </w:p>
    <w:p w:rsidR="00554DF4" w:rsidRPr="007B5359" w:rsidRDefault="00554DF4" w:rsidP="00554DF4">
      <w:pPr>
        <w:rPr>
          <w:lang w:val="es-MX" w:eastAsia="en-US"/>
        </w:rPr>
      </w:pPr>
    </w:p>
    <w:p w:rsidR="00554DF4" w:rsidRPr="007B5359"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7B5359">
        <w:rPr>
          <w:rFonts w:ascii="Palatino Linotype" w:eastAsia="Calibri" w:hAnsi="Palatino Linotype" w:cs="Arial"/>
          <w:lang w:val="es-ES"/>
        </w:rPr>
        <w:t xml:space="preserve">El día </w:t>
      </w:r>
      <w:r w:rsidR="00C11A40" w:rsidRPr="007B5359">
        <w:rPr>
          <w:rFonts w:ascii="Palatino Linotype" w:eastAsia="Calibri" w:hAnsi="Palatino Linotype" w:cs="Arial"/>
          <w:lang w:val="es-ES"/>
        </w:rPr>
        <w:t>veintiuno</w:t>
      </w:r>
      <w:r w:rsidRPr="007B5359">
        <w:rPr>
          <w:rFonts w:ascii="Palatino Linotype" w:eastAsia="Calibri" w:hAnsi="Palatino Linotype" w:cs="Arial"/>
          <w:lang w:val="es-ES"/>
        </w:rPr>
        <w:t xml:space="preserve"> (</w:t>
      </w:r>
      <w:r w:rsidR="00C11A40" w:rsidRPr="007B5359">
        <w:rPr>
          <w:rFonts w:ascii="Palatino Linotype" w:eastAsia="Calibri" w:hAnsi="Palatino Linotype" w:cs="Arial"/>
          <w:lang w:val="es-ES"/>
        </w:rPr>
        <w:t>21</w:t>
      </w:r>
      <w:r w:rsidRPr="007B5359">
        <w:rPr>
          <w:rFonts w:ascii="Palatino Linotype" w:eastAsia="Calibri" w:hAnsi="Palatino Linotype" w:cs="Arial"/>
          <w:lang w:val="es-ES"/>
        </w:rPr>
        <w:t xml:space="preserve">) </w:t>
      </w:r>
      <w:r w:rsidRPr="007B5359">
        <w:rPr>
          <w:rFonts w:ascii="Palatino Linotype" w:eastAsia="Calibri" w:hAnsi="Palatino Linotype" w:cs="Times New Roman"/>
          <w:lang w:val="es-ES"/>
        </w:rPr>
        <w:t xml:space="preserve">de </w:t>
      </w:r>
      <w:r w:rsidR="00C11A40" w:rsidRPr="007B5359">
        <w:rPr>
          <w:rFonts w:ascii="Palatino Linotype" w:eastAsia="Calibri" w:hAnsi="Palatino Linotype" w:cs="Times New Roman"/>
          <w:lang w:val="es-ES"/>
        </w:rPr>
        <w:t>octubre</w:t>
      </w:r>
      <w:r w:rsidRPr="007B5359">
        <w:rPr>
          <w:rFonts w:ascii="Palatino Linotype" w:eastAsia="Calibri" w:hAnsi="Palatino Linotype" w:cs="Times New Roman"/>
          <w:lang w:val="es-ES"/>
        </w:rPr>
        <w:t xml:space="preserve"> de dos mil diecinueve</w:t>
      </w:r>
      <w:r w:rsidRPr="007B5359">
        <w:rPr>
          <w:rFonts w:ascii="Palatino Linotype" w:eastAsia="Calibri" w:hAnsi="Palatino Linotype" w:cs="Arial"/>
          <w:lang w:val="es-ES"/>
        </w:rPr>
        <w:t>,</w:t>
      </w:r>
      <w:r w:rsidRPr="007B5359">
        <w:rPr>
          <w:rFonts w:ascii="Palatino Linotype" w:eastAsia="Calibri" w:hAnsi="Palatino Linotype" w:cs="Times New Roman"/>
          <w:lang w:val="es-ES"/>
        </w:rPr>
        <w:t xml:space="preserve"> </w:t>
      </w:r>
      <w:r w:rsidRPr="007B5359">
        <w:rPr>
          <w:rFonts w:ascii="Palatino Linotype" w:eastAsia="Calibri" w:hAnsi="Palatino Linotype" w:cs="Times New Roman"/>
          <w:b/>
          <w:lang w:val="es-ES"/>
        </w:rPr>
        <w:t>EL RECURRENTE</w:t>
      </w:r>
      <w:r w:rsidRPr="007B5359">
        <w:rPr>
          <w:rFonts w:ascii="Palatino Linotype" w:hAnsi="Palatino Linotype"/>
          <w:b/>
        </w:rPr>
        <w:t>,</w:t>
      </w:r>
      <w:r w:rsidRPr="007B5359">
        <w:rPr>
          <w:rFonts w:ascii="Palatino Linotype" w:eastAsia="Calibri" w:hAnsi="Palatino Linotype" w:cs="Arial"/>
          <w:lang w:val="es-ES"/>
        </w:rPr>
        <w:t xml:space="preserve"> ante el </w:t>
      </w:r>
      <w:r w:rsidRPr="007B5359">
        <w:rPr>
          <w:rFonts w:ascii="Palatino Linotype" w:eastAsia="Calibri" w:hAnsi="Palatino Linotype" w:cs="Arial"/>
          <w:b/>
          <w:lang w:val="es-ES"/>
        </w:rPr>
        <w:t>SUJETO OBLIGADO</w:t>
      </w:r>
      <w:r w:rsidR="00774F4D" w:rsidRPr="007B5359">
        <w:rPr>
          <w:rFonts w:ascii="Palatino Linotype" w:eastAsia="Calibri" w:hAnsi="Palatino Linotype" w:cs="Arial"/>
        </w:rPr>
        <w:t xml:space="preserve"> vía Plataforma Nacional de Transparencia, vinculada al </w:t>
      </w:r>
      <w:r w:rsidRPr="007B5359">
        <w:rPr>
          <w:rFonts w:ascii="Palatino Linotype" w:eastAsia="Calibri" w:hAnsi="Palatino Linotype" w:cs="Arial"/>
          <w:lang w:val="es-ES"/>
        </w:rPr>
        <w:t>Sistema de Acceso a la Información Mexiquense (</w:t>
      </w:r>
      <w:r w:rsidRPr="007B5359">
        <w:rPr>
          <w:rFonts w:ascii="Palatino Linotype" w:eastAsia="Calibri" w:hAnsi="Palatino Linotype" w:cs="Arial"/>
          <w:b/>
          <w:lang w:val="es-ES"/>
        </w:rPr>
        <w:t>SAIMEX)</w:t>
      </w:r>
      <w:r w:rsidRPr="007B5359">
        <w:rPr>
          <w:rFonts w:ascii="Palatino Linotype" w:eastAsia="Calibri" w:hAnsi="Palatino Linotype" w:cs="Arial"/>
          <w:lang w:val="es-ES"/>
        </w:rPr>
        <w:t xml:space="preserve">, presentó la solicitud de información pública registrada con el número </w:t>
      </w:r>
      <w:r w:rsidR="00774F4D" w:rsidRPr="007B5359">
        <w:rPr>
          <w:rFonts w:ascii="Palatino Linotype" w:eastAsia="Calibri" w:hAnsi="Palatino Linotype" w:cs="Arial"/>
          <w:b/>
          <w:lang w:val="es-ES"/>
        </w:rPr>
        <w:t>01026/CUAUTIZC/IP/2019</w:t>
      </w:r>
      <w:r w:rsidRPr="007B5359">
        <w:rPr>
          <w:rFonts w:ascii="Palatino Linotype" w:hAnsi="Palatino Linotype"/>
          <w:b/>
        </w:rPr>
        <w:t xml:space="preserve">, </w:t>
      </w:r>
      <w:r w:rsidRPr="007B5359">
        <w:rPr>
          <w:rFonts w:ascii="Palatino Linotype" w:eastAsia="Calibri" w:hAnsi="Palatino Linotype" w:cs="Arial"/>
          <w:lang w:val="es-ES"/>
        </w:rPr>
        <w:t>mediante la cual solicitó lo siguiente:</w:t>
      </w:r>
    </w:p>
    <w:p w:rsidR="00554DF4" w:rsidRPr="007B5359" w:rsidRDefault="00554DF4" w:rsidP="00554DF4">
      <w:pPr>
        <w:pStyle w:val="Prrafodelista"/>
        <w:spacing w:line="360" w:lineRule="auto"/>
        <w:ind w:left="0"/>
        <w:jc w:val="both"/>
        <w:rPr>
          <w:rFonts w:ascii="Palatino Linotype" w:eastAsia="Times New Roman" w:hAnsi="Palatino Linotype" w:cs="Arial"/>
          <w:lang w:val="es-ES"/>
        </w:rPr>
      </w:pPr>
    </w:p>
    <w:p w:rsidR="00554DF4" w:rsidRPr="007B5359" w:rsidRDefault="00554DF4" w:rsidP="00C11A40">
      <w:pPr>
        <w:ind w:left="567" w:right="567"/>
        <w:jc w:val="both"/>
        <w:rPr>
          <w:rFonts w:ascii="Palatino Linotype" w:eastAsia="Calibri" w:hAnsi="Palatino Linotype" w:cs="Arial"/>
          <w:i/>
          <w:sz w:val="22"/>
          <w:lang w:val="es-ES"/>
        </w:rPr>
      </w:pPr>
      <w:r w:rsidRPr="007B5359">
        <w:rPr>
          <w:rFonts w:ascii="Palatino Linotype" w:eastAsia="Calibri" w:hAnsi="Palatino Linotype" w:cs="Arial"/>
          <w:i/>
          <w:sz w:val="22"/>
          <w:lang w:val="es-ES"/>
        </w:rPr>
        <w:t>“</w:t>
      </w:r>
      <w:r w:rsidR="00774F4D" w:rsidRPr="007B5359">
        <w:rPr>
          <w:rFonts w:ascii="Palatino Linotype" w:eastAsia="Times New Roman" w:hAnsi="Palatino Linotype" w:cs="Times New Roman"/>
          <w:i/>
          <w:sz w:val="22"/>
          <w:szCs w:val="14"/>
          <w:lang w:val="es-MX" w:eastAsia="es-MX"/>
        </w:rPr>
        <w:t>copia del expediente completo de compra de estas patrullas y revisión de los anexos técnicos por parte de la contraloría</w:t>
      </w:r>
      <w:r w:rsidRPr="007B5359">
        <w:rPr>
          <w:rFonts w:ascii="Palatino Linotype" w:eastAsia="Calibri" w:hAnsi="Palatino Linotype" w:cs="Arial"/>
          <w:i/>
          <w:sz w:val="22"/>
          <w:lang w:val="es-ES"/>
        </w:rPr>
        <w:t>” (Sic)</w:t>
      </w:r>
    </w:p>
    <w:p w:rsidR="00F76C2F" w:rsidRPr="007B5359" w:rsidRDefault="00F76C2F" w:rsidP="006D6CCC">
      <w:pPr>
        <w:jc w:val="both"/>
        <w:rPr>
          <w:rFonts w:ascii="Palatino Linotype" w:eastAsia="Calibri" w:hAnsi="Palatino Linotype" w:cs="Arial"/>
          <w:i/>
          <w:sz w:val="22"/>
          <w:lang w:val="es-ES"/>
        </w:rPr>
      </w:pPr>
    </w:p>
    <w:p w:rsidR="00774F4D" w:rsidRPr="007B5359" w:rsidRDefault="00774F4D"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7B5359">
        <w:rPr>
          <w:rFonts w:ascii="Palatino Linotype" w:eastAsia="Times New Roman" w:hAnsi="Palatino Linotype" w:cs="Arial"/>
          <w:lang w:val="es-ES"/>
        </w:rPr>
        <w:t>Adjunto a su solicitud, compartió el archivo electrónico que se describe a continuación:</w:t>
      </w:r>
    </w:p>
    <w:p w:rsidR="00774F4D" w:rsidRPr="007B5359" w:rsidRDefault="00774F4D" w:rsidP="00653E80">
      <w:pPr>
        <w:pStyle w:val="Prrafodelista"/>
        <w:numPr>
          <w:ilvl w:val="1"/>
          <w:numId w:val="1"/>
        </w:numPr>
        <w:tabs>
          <w:tab w:val="left" w:pos="993"/>
        </w:tabs>
        <w:spacing w:line="360" w:lineRule="auto"/>
        <w:ind w:left="567" w:firstLine="0"/>
        <w:jc w:val="both"/>
        <w:rPr>
          <w:rFonts w:ascii="Palatino Linotype" w:eastAsia="Times New Roman" w:hAnsi="Palatino Linotype" w:cs="Arial"/>
          <w:lang w:val="es-ES"/>
        </w:rPr>
      </w:pPr>
      <w:r w:rsidRPr="007B5359">
        <w:rPr>
          <w:rFonts w:ascii="Palatino Linotype" w:eastAsia="Times New Roman" w:hAnsi="Palatino Linotype" w:cs="Arial"/>
          <w:b/>
          <w:i/>
          <w:lang w:val="es-ES"/>
        </w:rPr>
        <w:t>“Archivo1571464548059.pdf”:</w:t>
      </w:r>
      <w:r w:rsidRPr="007B5359">
        <w:rPr>
          <w:rFonts w:ascii="Palatino Linotype" w:eastAsia="Times New Roman" w:hAnsi="Palatino Linotype" w:cs="Arial"/>
          <w:lang w:val="es-ES"/>
        </w:rPr>
        <w:t xml:space="preserve"> Documento constante de tres fojas que muestra la nota periodística del sitio “SDP Noticias”, de seis (06) de septiembre del dos mil diecinueve, titulada “Empresa que incumplió contrato de patrullas en Cuautitlán Izcalli quiere participar en licitación de Hacienda”.</w:t>
      </w:r>
    </w:p>
    <w:p w:rsidR="00774F4D" w:rsidRPr="007B5359" w:rsidRDefault="00774F4D" w:rsidP="00774F4D">
      <w:pPr>
        <w:pStyle w:val="Prrafodelista"/>
        <w:spacing w:line="360" w:lineRule="auto"/>
        <w:ind w:left="0"/>
        <w:jc w:val="both"/>
        <w:rPr>
          <w:rFonts w:ascii="Palatino Linotype" w:eastAsia="Times New Roman" w:hAnsi="Palatino Linotype" w:cs="Arial"/>
          <w:lang w:val="es-ES"/>
        </w:rPr>
      </w:pPr>
    </w:p>
    <w:p w:rsidR="00554DF4" w:rsidRPr="007B5359" w:rsidRDefault="00774F4D"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7B5359">
        <w:rPr>
          <w:rFonts w:ascii="Palatino Linotype" w:eastAsia="Times New Roman" w:hAnsi="Palatino Linotype" w:cs="Arial"/>
          <w:lang w:val="es-ES"/>
        </w:rPr>
        <w:t>S</w:t>
      </w:r>
      <w:r w:rsidR="00554DF4" w:rsidRPr="007B5359">
        <w:rPr>
          <w:rFonts w:ascii="Palatino Linotype" w:eastAsia="Times New Roman" w:hAnsi="Palatino Linotype" w:cs="Arial"/>
          <w:lang w:val="es-ES"/>
        </w:rPr>
        <w:t>eñaló como modalidad de entrega de la información</w:t>
      </w:r>
      <w:r w:rsidR="00554DF4" w:rsidRPr="007B5359">
        <w:rPr>
          <w:rFonts w:ascii="Palatino Linotype" w:eastAsia="Times New Roman" w:hAnsi="Palatino Linotype" w:cs="Arial"/>
          <w:b/>
          <w:lang w:val="es-ES"/>
        </w:rPr>
        <w:t>:</w:t>
      </w:r>
      <w:r w:rsidR="00554DF4" w:rsidRPr="007B5359">
        <w:rPr>
          <w:rFonts w:ascii="Palatino Linotype" w:eastAsia="Times New Roman" w:hAnsi="Palatino Linotype" w:cs="Arial"/>
          <w:lang w:val="es-ES"/>
        </w:rPr>
        <w:t xml:space="preserve"> a través del </w:t>
      </w:r>
      <w:r w:rsidR="00554DF4" w:rsidRPr="007B5359">
        <w:rPr>
          <w:rFonts w:ascii="Palatino Linotype" w:eastAsia="Times New Roman" w:hAnsi="Palatino Linotype" w:cs="Arial"/>
          <w:b/>
          <w:lang w:val="es-ES"/>
        </w:rPr>
        <w:t>SAIMEX</w:t>
      </w:r>
      <w:r w:rsidRPr="007B5359">
        <w:rPr>
          <w:rFonts w:ascii="Palatino Linotype" w:eastAsia="Times New Roman" w:hAnsi="Palatino Linotype" w:cs="Arial"/>
          <w:b/>
          <w:lang w:val="es-ES"/>
        </w:rPr>
        <w:t xml:space="preserve"> y correo electrónico</w:t>
      </w:r>
      <w:r w:rsidR="00554DF4" w:rsidRPr="007B5359">
        <w:rPr>
          <w:rFonts w:ascii="Palatino Linotype" w:eastAsia="Times New Roman" w:hAnsi="Palatino Linotype" w:cs="Arial"/>
          <w:b/>
          <w:lang w:val="es-ES"/>
        </w:rPr>
        <w:t>.</w:t>
      </w:r>
    </w:p>
    <w:p w:rsidR="00554DF4" w:rsidRPr="007B5359" w:rsidRDefault="00554DF4" w:rsidP="00554DF4">
      <w:pPr>
        <w:pStyle w:val="Prrafodelista"/>
        <w:spacing w:before="240" w:after="240" w:line="360" w:lineRule="auto"/>
        <w:ind w:left="0"/>
        <w:jc w:val="both"/>
        <w:rPr>
          <w:rFonts w:ascii="Palatino Linotype" w:hAnsi="Palatino Linotype"/>
        </w:rPr>
      </w:pPr>
    </w:p>
    <w:p w:rsidR="00774F4D" w:rsidRPr="007B5359" w:rsidRDefault="00554DF4" w:rsidP="00F87C90">
      <w:pPr>
        <w:pStyle w:val="Prrafodelista"/>
        <w:numPr>
          <w:ilvl w:val="0"/>
          <w:numId w:val="1"/>
        </w:numPr>
        <w:spacing w:before="240" w:after="240" w:line="360" w:lineRule="auto"/>
        <w:ind w:left="0" w:firstLine="0"/>
        <w:jc w:val="both"/>
        <w:rPr>
          <w:rFonts w:ascii="Palatino Linotype" w:eastAsia="Calibri" w:hAnsi="Palatino Linotype" w:cs="Times New Roman"/>
          <w:b/>
          <w:i/>
          <w:sz w:val="22"/>
          <w:lang w:val="es-ES"/>
        </w:rPr>
      </w:pPr>
      <w:r w:rsidRPr="007B5359">
        <w:rPr>
          <w:rFonts w:ascii="Palatino Linotype" w:eastAsia="Calibri" w:hAnsi="Palatino Linotype" w:cs="Times New Roman"/>
          <w:lang w:val="es-ES"/>
        </w:rPr>
        <w:t>E</w:t>
      </w:r>
      <w:r w:rsidR="00774F4D" w:rsidRPr="007B5359">
        <w:rPr>
          <w:rFonts w:ascii="Palatino Linotype" w:eastAsia="Calibri" w:hAnsi="Palatino Linotype" w:cs="Times New Roman"/>
          <w:lang w:val="es-ES"/>
        </w:rPr>
        <w:t xml:space="preserve">l once (11) de noviembre del dos mil diecinueve, el </w:t>
      </w:r>
      <w:r w:rsidR="00774F4D" w:rsidRPr="007B5359">
        <w:rPr>
          <w:rFonts w:ascii="Palatino Linotype" w:eastAsia="Calibri" w:hAnsi="Palatino Linotype" w:cs="Times New Roman"/>
          <w:b/>
          <w:lang w:val="es-ES"/>
        </w:rPr>
        <w:t>SUJETO OBLIGADO</w:t>
      </w:r>
      <w:r w:rsidR="00774F4D" w:rsidRPr="007B5359">
        <w:rPr>
          <w:rFonts w:ascii="Palatino Linotype" w:eastAsia="Calibri" w:hAnsi="Palatino Linotype" w:cs="Times New Roman"/>
          <w:lang w:val="es-ES"/>
        </w:rPr>
        <w:t xml:space="preserve"> notificó al particular la ampliación del plazo para emitir respuesta</w:t>
      </w:r>
      <w:r w:rsidR="0043798A" w:rsidRPr="007B5359">
        <w:rPr>
          <w:rFonts w:ascii="Palatino Linotype" w:eastAsia="Calibri" w:hAnsi="Palatino Linotype" w:cs="Times New Roman"/>
          <w:lang w:val="es-ES"/>
        </w:rPr>
        <w:t xml:space="preserve"> por siete (07) días hábiles, acompañando la notificación con el archivo </w:t>
      </w:r>
      <w:r w:rsidR="0043798A" w:rsidRPr="007B5359">
        <w:rPr>
          <w:rFonts w:ascii="Palatino Linotype" w:eastAsia="Calibri" w:hAnsi="Palatino Linotype" w:cs="Times New Roman"/>
          <w:b/>
          <w:i/>
          <w:lang w:val="es-ES"/>
        </w:rPr>
        <w:t>“ampliación de termino 13.pdf”</w:t>
      </w:r>
      <w:r w:rsidR="0043798A" w:rsidRPr="007B5359">
        <w:rPr>
          <w:rFonts w:ascii="Palatino Linotype" w:eastAsia="Calibri" w:hAnsi="Palatino Linotype" w:cs="Times New Roman"/>
          <w:lang w:val="es-ES"/>
        </w:rPr>
        <w:t>, el cual muestra el Acuerdo número 013/CUAUIZC/CT/UT/2019, emitido por el Comité de Transparencia del Ayuntamiento de Cuautitlán Izcalli, por el que avala la ampliación de plazo para otorgar respuesta de diversas solicitudes de información, incluida la 01026/CUAUTIZC/IP/2019.</w:t>
      </w:r>
    </w:p>
    <w:p w:rsidR="00774F4D" w:rsidRPr="007B5359" w:rsidRDefault="00774F4D" w:rsidP="00774F4D">
      <w:pPr>
        <w:pStyle w:val="Prrafodelista"/>
        <w:spacing w:before="240" w:after="240" w:line="360" w:lineRule="auto"/>
        <w:ind w:left="0"/>
        <w:jc w:val="both"/>
        <w:rPr>
          <w:rFonts w:ascii="Palatino Linotype" w:eastAsia="Calibri" w:hAnsi="Palatino Linotype" w:cs="Times New Roman"/>
          <w:b/>
          <w:i/>
          <w:sz w:val="22"/>
          <w:lang w:val="es-ES"/>
        </w:rPr>
      </w:pPr>
    </w:p>
    <w:p w:rsidR="00554DF4" w:rsidRPr="007B5359" w:rsidRDefault="00774F4D" w:rsidP="00F87C90">
      <w:pPr>
        <w:pStyle w:val="Prrafodelista"/>
        <w:numPr>
          <w:ilvl w:val="0"/>
          <w:numId w:val="1"/>
        </w:numPr>
        <w:spacing w:before="240" w:after="240" w:line="360" w:lineRule="auto"/>
        <w:ind w:left="0" w:firstLine="0"/>
        <w:jc w:val="both"/>
        <w:rPr>
          <w:rFonts w:ascii="Palatino Linotype" w:eastAsia="Calibri" w:hAnsi="Palatino Linotype" w:cs="Times New Roman"/>
          <w:b/>
          <w:i/>
          <w:sz w:val="22"/>
          <w:lang w:val="es-ES"/>
        </w:rPr>
      </w:pPr>
      <w:r w:rsidRPr="007B5359">
        <w:rPr>
          <w:rFonts w:ascii="Palatino Linotype" w:eastAsia="Calibri" w:hAnsi="Palatino Linotype" w:cs="Times New Roman"/>
          <w:lang w:val="es-ES"/>
        </w:rPr>
        <w:t>E</w:t>
      </w:r>
      <w:r w:rsidR="00554DF4" w:rsidRPr="007B5359">
        <w:rPr>
          <w:rFonts w:ascii="Palatino Linotype" w:eastAsia="Calibri" w:hAnsi="Palatino Linotype" w:cs="Times New Roman"/>
          <w:lang w:val="es-ES"/>
        </w:rPr>
        <w:t xml:space="preserve">l día </w:t>
      </w:r>
      <w:r w:rsidR="0043798A" w:rsidRPr="007B5359">
        <w:rPr>
          <w:rFonts w:ascii="Palatino Linotype" w:eastAsia="Calibri" w:hAnsi="Palatino Linotype" w:cs="Times New Roman"/>
          <w:lang w:val="es-ES"/>
        </w:rPr>
        <w:t>veintiuno</w:t>
      </w:r>
      <w:r w:rsidR="006D6CCC" w:rsidRPr="007B5359">
        <w:rPr>
          <w:rFonts w:ascii="Palatino Linotype" w:eastAsia="Calibri" w:hAnsi="Palatino Linotype" w:cs="Arial"/>
          <w:lang w:val="es-ES"/>
        </w:rPr>
        <w:t xml:space="preserve"> (</w:t>
      </w:r>
      <w:r w:rsidR="0043798A" w:rsidRPr="007B5359">
        <w:rPr>
          <w:rFonts w:ascii="Palatino Linotype" w:eastAsia="Calibri" w:hAnsi="Palatino Linotype" w:cs="Arial"/>
          <w:lang w:val="es-ES"/>
        </w:rPr>
        <w:t>21</w:t>
      </w:r>
      <w:r w:rsidR="006D6CCC" w:rsidRPr="007B5359">
        <w:rPr>
          <w:rFonts w:ascii="Palatino Linotype" w:eastAsia="Calibri" w:hAnsi="Palatino Linotype" w:cs="Arial"/>
          <w:lang w:val="es-ES"/>
        </w:rPr>
        <w:t xml:space="preserve"> </w:t>
      </w:r>
      <w:r w:rsidR="006D6CCC" w:rsidRPr="007B5359">
        <w:rPr>
          <w:rFonts w:ascii="Palatino Linotype" w:eastAsia="Calibri" w:hAnsi="Palatino Linotype" w:cs="Times New Roman"/>
          <w:lang w:val="es-ES"/>
        </w:rPr>
        <w:t xml:space="preserve">de </w:t>
      </w:r>
      <w:r w:rsidR="00C11A40" w:rsidRPr="007B5359">
        <w:rPr>
          <w:rFonts w:ascii="Palatino Linotype" w:eastAsia="Calibri" w:hAnsi="Palatino Linotype" w:cs="Times New Roman"/>
          <w:lang w:val="es-ES"/>
        </w:rPr>
        <w:t>noviembre</w:t>
      </w:r>
      <w:r w:rsidR="006D6CCC" w:rsidRPr="007B5359">
        <w:rPr>
          <w:rFonts w:ascii="Palatino Linotype" w:eastAsia="Calibri" w:hAnsi="Palatino Linotype" w:cs="Times New Roman"/>
          <w:lang w:val="es-ES"/>
        </w:rPr>
        <w:t xml:space="preserve"> </w:t>
      </w:r>
      <w:r w:rsidR="00554DF4" w:rsidRPr="007B5359">
        <w:rPr>
          <w:rFonts w:ascii="Palatino Linotype" w:eastAsia="Calibri" w:hAnsi="Palatino Linotype" w:cs="Times New Roman"/>
          <w:lang w:val="es-ES"/>
        </w:rPr>
        <w:t xml:space="preserve">de dos mil diecinueve, el </w:t>
      </w:r>
      <w:r w:rsidR="00554DF4" w:rsidRPr="007B5359">
        <w:rPr>
          <w:rFonts w:ascii="Palatino Linotype" w:eastAsia="Calibri" w:hAnsi="Palatino Linotype" w:cs="Arial"/>
          <w:b/>
          <w:lang w:val="es-AR"/>
        </w:rPr>
        <w:t>SUJETO OBLIGADO</w:t>
      </w:r>
      <w:r w:rsidR="00554DF4" w:rsidRPr="007B5359">
        <w:rPr>
          <w:rFonts w:ascii="Palatino Linotype" w:eastAsia="Calibri" w:hAnsi="Palatino Linotype" w:cs="Arial"/>
          <w:b/>
          <w:i/>
          <w:lang w:val="es-AR"/>
        </w:rPr>
        <w:t xml:space="preserve"> </w:t>
      </w:r>
      <w:r w:rsidR="00554DF4" w:rsidRPr="007B5359">
        <w:rPr>
          <w:rFonts w:ascii="Palatino Linotype" w:eastAsia="Times New Roman" w:hAnsi="Palatino Linotype" w:cs="Arial"/>
          <w:lang w:val="es-ES"/>
        </w:rPr>
        <w:t>dio respuesta a la solicitud de información,</w:t>
      </w:r>
      <w:r w:rsidR="00196809" w:rsidRPr="007B5359">
        <w:rPr>
          <w:rFonts w:ascii="Palatino Linotype" w:eastAsia="Times New Roman" w:hAnsi="Palatino Linotype" w:cs="Arial"/>
          <w:lang w:val="es-ES"/>
        </w:rPr>
        <w:t xml:space="preserve"> adjuntando </w:t>
      </w:r>
      <w:r w:rsidR="00F87C90" w:rsidRPr="007B5359">
        <w:rPr>
          <w:rFonts w:ascii="Palatino Linotype" w:eastAsia="Times New Roman" w:hAnsi="Palatino Linotype" w:cs="Arial"/>
          <w:lang w:val="es-ES"/>
        </w:rPr>
        <w:t>los documentos electrónicos denominados</w:t>
      </w:r>
      <w:r w:rsidR="0043798A" w:rsidRPr="007B5359">
        <w:rPr>
          <w:rFonts w:ascii="Palatino Linotype" w:eastAsia="Times New Roman" w:hAnsi="Palatino Linotype" w:cs="Arial"/>
          <w:lang w:val="es-ES"/>
        </w:rPr>
        <w:t xml:space="preserve"> </w:t>
      </w:r>
      <w:r w:rsidR="0043798A" w:rsidRPr="007B5359">
        <w:rPr>
          <w:rFonts w:ascii="Palatino Linotype" w:eastAsia="Times New Roman" w:hAnsi="Palatino Linotype" w:cs="Arial"/>
          <w:b/>
          <w:i/>
          <w:lang w:val="es-ES"/>
        </w:rPr>
        <w:t>“OF-2357-SIP-01026.pdf”</w:t>
      </w:r>
      <w:r w:rsidR="0043798A" w:rsidRPr="007B5359">
        <w:rPr>
          <w:rFonts w:ascii="Palatino Linotype" w:eastAsia="Times New Roman" w:hAnsi="Palatino Linotype" w:cs="Arial"/>
          <w:lang w:val="es-ES"/>
        </w:rPr>
        <w:t xml:space="preserve"> y </w:t>
      </w:r>
      <w:r w:rsidR="0043798A" w:rsidRPr="007B5359">
        <w:rPr>
          <w:rFonts w:ascii="Palatino Linotype" w:eastAsia="Times New Roman" w:hAnsi="Palatino Linotype" w:cs="Arial"/>
          <w:b/>
          <w:i/>
          <w:lang w:val="es-ES"/>
        </w:rPr>
        <w:t xml:space="preserve">“ANEXO </w:t>
      </w:r>
      <w:proofErr w:type="spellStart"/>
      <w:r w:rsidR="0043798A" w:rsidRPr="007B5359">
        <w:rPr>
          <w:rFonts w:ascii="Palatino Linotype" w:eastAsia="Times New Roman" w:hAnsi="Palatino Linotype" w:cs="Arial"/>
          <w:b/>
          <w:i/>
          <w:lang w:val="es-ES"/>
        </w:rPr>
        <w:t>cont</w:t>
      </w:r>
      <w:proofErr w:type="spellEnd"/>
      <w:r w:rsidR="0043798A" w:rsidRPr="007B5359">
        <w:rPr>
          <w:rFonts w:ascii="Palatino Linotype" w:eastAsia="Times New Roman" w:hAnsi="Palatino Linotype" w:cs="Arial"/>
          <w:b/>
          <w:i/>
          <w:lang w:val="es-ES"/>
        </w:rPr>
        <w:t xml:space="preserve"> patrullas.pdf”</w:t>
      </w:r>
      <w:r w:rsidR="00F87C90" w:rsidRPr="007B5359">
        <w:rPr>
          <w:rFonts w:ascii="Palatino Linotype" w:eastAsia="Calibri" w:hAnsi="Palatino Linotype" w:cs="Times New Roman"/>
          <w:b/>
          <w:i/>
          <w:sz w:val="22"/>
          <w:lang w:val="es-ES"/>
        </w:rPr>
        <w:t xml:space="preserve">, </w:t>
      </w:r>
      <w:r w:rsidR="00554DF4" w:rsidRPr="007B5359">
        <w:rPr>
          <w:rFonts w:ascii="Palatino Linotype" w:eastAsia="Times New Roman" w:hAnsi="Palatino Linotype" w:cs="Arial"/>
          <w:lang w:val="es-ES"/>
        </w:rPr>
        <w:t>en los siguientes términos:</w:t>
      </w:r>
    </w:p>
    <w:p w:rsidR="00554DF4" w:rsidRPr="007B5359" w:rsidRDefault="00554DF4" w:rsidP="00554DF4">
      <w:pPr>
        <w:pStyle w:val="Prrafodelista"/>
        <w:rPr>
          <w:rFonts w:ascii="Palatino Linotype" w:eastAsia="Times New Roman" w:hAnsi="Palatino Linotype" w:cs="Arial"/>
          <w:lang w:val="es-ES"/>
        </w:rPr>
      </w:pPr>
    </w:p>
    <w:p w:rsidR="0043798A" w:rsidRPr="007B5359" w:rsidRDefault="00554DF4" w:rsidP="0043798A">
      <w:pPr>
        <w:pStyle w:val="Prrafodelista"/>
        <w:spacing w:before="240" w:after="240" w:line="360" w:lineRule="auto"/>
        <w:ind w:left="567" w:right="567"/>
        <w:jc w:val="right"/>
        <w:rPr>
          <w:rFonts w:ascii="Palatino Linotype" w:hAnsi="Palatino Linotype"/>
          <w:i/>
          <w:sz w:val="22"/>
          <w:szCs w:val="22"/>
        </w:rPr>
      </w:pPr>
      <w:r w:rsidRPr="007B5359">
        <w:rPr>
          <w:rFonts w:ascii="Palatino Linotype" w:eastAsia="Calibri" w:hAnsi="Palatino Linotype" w:cs="Times New Roman"/>
          <w:i/>
          <w:sz w:val="22"/>
          <w:szCs w:val="22"/>
          <w:lang w:val="es-ES"/>
        </w:rPr>
        <w:t>“</w:t>
      </w:r>
      <w:r w:rsidR="0043798A" w:rsidRPr="007B5359">
        <w:rPr>
          <w:rFonts w:ascii="Palatino Linotype" w:hAnsi="Palatino Linotype"/>
          <w:i/>
          <w:sz w:val="22"/>
          <w:szCs w:val="22"/>
        </w:rPr>
        <w:t xml:space="preserve">Cuautitlán Izcalli, México a 21 de </w:t>
      </w:r>
      <w:proofErr w:type="gramStart"/>
      <w:r w:rsidR="0043798A" w:rsidRPr="007B5359">
        <w:rPr>
          <w:rFonts w:ascii="Palatino Linotype" w:hAnsi="Palatino Linotype"/>
          <w:i/>
          <w:sz w:val="22"/>
          <w:szCs w:val="22"/>
        </w:rPr>
        <w:t>Noviembre</w:t>
      </w:r>
      <w:proofErr w:type="gramEnd"/>
      <w:r w:rsidR="0043798A" w:rsidRPr="007B5359">
        <w:rPr>
          <w:rFonts w:ascii="Palatino Linotype" w:hAnsi="Palatino Linotype"/>
          <w:i/>
          <w:sz w:val="22"/>
          <w:szCs w:val="22"/>
        </w:rPr>
        <w:t xml:space="preserve"> de 2019</w:t>
      </w:r>
    </w:p>
    <w:p w:rsidR="0043798A" w:rsidRPr="007B5359" w:rsidRDefault="0043798A" w:rsidP="0043798A">
      <w:pPr>
        <w:pStyle w:val="Prrafodelista"/>
        <w:spacing w:before="240" w:after="240" w:line="360" w:lineRule="auto"/>
        <w:ind w:left="567" w:right="567"/>
        <w:jc w:val="right"/>
        <w:rPr>
          <w:rFonts w:ascii="Palatino Linotype" w:hAnsi="Palatino Linotype"/>
          <w:i/>
          <w:sz w:val="22"/>
          <w:szCs w:val="22"/>
        </w:rPr>
      </w:pPr>
      <w:r w:rsidRPr="007B5359">
        <w:rPr>
          <w:rFonts w:ascii="Palatino Linotype" w:hAnsi="Palatino Linotype"/>
          <w:i/>
          <w:sz w:val="22"/>
          <w:szCs w:val="22"/>
        </w:rPr>
        <w:t xml:space="preserve">Nombre del solicitante: </w:t>
      </w:r>
      <w:r w:rsidR="007B5359" w:rsidRPr="007B5359">
        <w:rPr>
          <w:rFonts w:ascii="Palatino Linotype" w:hAnsi="Palatino Linotype"/>
          <w:i/>
          <w:sz w:val="22"/>
          <w:szCs w:val="22"/>
          <w:highlight w:val="black"/>
        </w:rPr>
        <w:t>----</w:t>
      </w:r>
      <w:r w:rsidRPr="007B5359">
        <w:rPr>
          <w:rFonts w:ascii="Palatino Linotype" w:hAnsi="Palatino Linotype"/>
          <w:i/>
          <w:sz w:val="22"/>
          <w:szCs w:val="22"/>
          <w:highlight w:val="black"/>
        </w:rPr>
        <w:t xml:space="preserve"> </w:t>
      </w:r>
      <w:r w:rsidR="007B5359" w:rsidRPr="007B5359">
        <w:rPr>
          <w:rFonts w:ascii="Palatino Linotype" w:hAnsi="Palatino Linotype"/>
          <w:i/>
          <w:sz w:val="22"/>
          <w:szCs w:val="22"/>
          <w:highlight w:val="black"/>
        </w:rPr>
        <w:t>----</w:t>
      </w:r>
      <w:r w:rsidRPr="007B5359">
        <w:rPr>
          <w:rFonts w:ascii="Palatino Linotype" w:hAnsi="Palatino Linotype"/>
          <w:i/>
          <w:sz w:val="22"/>
          <w:szCs w:val="22"/>
          <w:highlight w:val="black"/>
        </w:rPr>
        <w:t xml:space="preserve"> </w:t>
      </w:r>
      <w:r w:rsidR="007B5359" w:rsidRPr="007B5359">
        <w:rPr>
          <w:rFonts w:ascii="Palatino Linotype" w:hAnsi="Palatino Linotype"/>
          <w:i/>
          <w:sz w:val="22"/>
          <w:szCs w:val="22"/>
          <w:highlight w:val="black"/>
        </w:rPr>
        <w:t>----</w:t>
      </w:r>
    </w:p>
    <w:p w:rsidR="0043798A" w:rsidRPr="007B5359" w:rsidRDefault="0043798A" w:rsidP="0043798A">
      <w:pPr>
        <w:pStyle w:val="Prrafodelista"/>
        <w:spacing w:before="240" w:after="240" w:line="360" w:lineRule="auto"/>
        <w:ind w:left="567" w:right="567"/>
        <w:jc w:val="right"/>
        <w:rPr>
          <w:rFonts w:ascii="Palatino Linotype" w:hAnsi="Palatino Linotype"/>
          <w:i/>
          <w:sz w:val="22"/>
          <w:szCs w:val="22"/>
        </w:rPr>
      </w:pPr>
      <w:r w:rsidRPr="007B5359">
        <w:rPr>
          <w:rFonts w:ascii="Palatino Linotype" w:hAnsi="Palatino Linotype"/>
          <w:i/>
          <w:sz w:val="22"/>
          <w:szCs w:val="22"/>
        </w:rPr>
        <w:t>Folio de la solicitud: 01026/CUAUTIZC/IP/2019</w:t>
      </w:r>
    </w:p>
    <w:p w:rsidR="0043798A" w:rsidRPr="007B5359" w:rsidRDefault="0043798A" w:rsidP="0043798A">
      <w:pPr>
        <w:pStyle w:val="Prrafodelista"/>
        <w:spacing w:before="240" w:after="240" w:line="360" w:lineRule="auto"/>
        <w:ind w:left="567" w:right="567"/>
        <w:jc w:val="both"/>
        <w:rPr>
          <w:rFonts w:ascii="Palatino Linotype" w:hAnsi="Palatino Linotype"/>
          <w:i/>
          <w:sz w:val="22"/>
          <w:szCs w:val="22"/>
        </w:rPr>
      </w:pPr>
    </w:p>
    <w:p w:rsidR="0043798A" w:rsidRPr="007B5359" w:rsidRDefault="0043798A" w:rsidP="0043798A">
      <w:pPr>
        <w:pStyle w:val="Prrafodelista"/>
        <w:spacing w:before="240" w:after="240" w:line="360" w:lineRule="auto"/>
        <w:ind w:left="567" w:right="567"/>
        <w:jc w:val="both"/>
        <w:rPr>
          <w:rFonts w:ascii="Palatino Linotype" w:hAnsi="Palatino Linotype"/>
          <w:i/>
          <w:sz w:val="22"/>
          <w:szCs w:val="22"/>
        </w:rPr>
      </w:pPr>
      <w:r w:rsidRPr="007B5359">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3798A" w:rsidRPr="007B5359" w:rsidRDefault="0043798A" w:rsidP="0043798A">
      <w:pPr>
        <w:pStyle w:val="Prrafodelista"/>
        <w:spacing w:before="240" w:after="240" w:line="360" w:lineRule="auto"/>
        <w:ind w:left="567" w:right="567"/>
        <w:jc w:val="both"/>
        <w:rPr>
          <w:rFonts w:ascii="Palatino Linotype" w:hAnsi="Palatino Linotype"/>
          <w:i/>
          <w:sz w:val="22"/>
          <w:szCs w:val="22"/>
        </w:rPr>
      </w:pPr>
      <w:r w:rsidRPr="007B5359">
        <w:rPr>
          <w:rFonts w:ascii="Palatino Linotype" w:hAnsi="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w:t>
      </w:r>
      <w:r w:rsidRPr="007B5359">
        <w:rPr>
          <w:rFonts w:ascii="Palatino Linotype" w:hAnsi="Palatino Linotype"/>
          <w:i/>
          <w:sz w:val="22"/>
          <w:szCs w:val="22"/>
        </w:rPr>
        <w:lastRenderedPageBreak/>
        <w:t>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(1)Dirección General de Administración. 1.</w:t>
      </w:r>
      <w:proofErr w:type="gramStart"/>
      <w:r w:rsidRPr="007B5359">
        <w:rPr>
          <w:rFonts w:ascii="Palatino Linotype" w:hAnsi="Palatino Linotype"/>
          <w:i/>
          <w:sz w:val="22"/>
          <w:szCs w:val="22"/>
        </w:rPr>
        <w:t>-“ En</w:t>
      </w:r>
      <w:proofErr w:type="gramEnd"/>
      <w:r w:rsidRPr="007B5359">
        <w:rPr>
          <w:rFonts w:ascii="Palatino Linotype" w:hAnsi="Palatino Linotype"/>
          <w:i/>
          <w:sz w:val="22"/>
          <w:szCs w:val="22"/>
        </w:rPr>
        <w:t xml:space="preserve"> atención a la Solicitud de Información Pública marcada con el número de folio 01026/CUAUTIZC/IP/2019 turnada a través del Sistema SAIMEX a esta Unidad Administrativa, en la cual solicita lo siguiente: DESCRIPCIÓN DE LA INFORMACIÓN SOLICITADA: “copia del expediente completo de compra de estas patrullas y revisión de los anexos técnicos por parte de la contraloría” (Sic). Al respecto, tengo a bien informarle que, de la información relacionada en la solicitud de referencia, la información que estamos en posibilidad de proporcionarle, por esta ser generada, administrada y/o resguardada por esta Dependencia y/o sus áreas subordinadas, es el denominado Contrato para la Adquisición del Parque Vehicular que requiere la Comisaría General de Seguridad Pública y Tránsito Municipal, en el que podrá observar información de utilidad para el ejercicio de su derecho de acceso a la información pública; ello según lo reportado por la Unidad de Contrataciones, área dependiente de esta Dirección General.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rsidR="0043798A" w:rsidRPr="007B5359" w:rsidRDefault="0043798A" w:rsidP="0043798A">
      <w:pPr>
        <w:pStyle w:val="Prrafodelista"/>
        <w:spacing w:before="240" w:after="240" w:line="360" w:lineRule="auto"/>
        <w:ind w:left="567" w:right="567"/>
        <w:jc w:val="both"/>
        <w:rPr>
          <w:rFonts w:ascii="Palatino Linotype" w:hAnsi="Palatino Linotype"/>
          <w:i/>
          <w:sz w:val="22"/>
          <w:szCs w:val="22"/>
        </w:rPr>
      </w:pPr>
    </w:p>
    <w:p w:rsidR="0043798A" w:rsidRPr="007B5359" w:rsidRDefault="0043798A" w:rsidP="0043798A">
      <w:pPr>
        <w:pStyle w:val="Prrafodelista"/>
        <w:spacing w:before="240" w:after="240" w:line="360" w:lineRule="auto"/>
        <w:ind w:left="567" w:right="567"/>
        <w:jc w:val="both"/>
        <w:rPr>
          <w:rFonts w:ascii="Palatino Linotype" w:hAnsi="Palatino Linotype"/>
          <w:i/>
          <w:sz w:val="22"/>
          <w:szCs w:val="22"/>
        </w:rPr>
      </w:pPr>
      <w:r w:rsidRPr="007B5359">
        <w:rPr>
          <w:rFonts w:ascii="Palatino Linotype" w:hAnsi="Palatino Linotype"/>
          <w:i/>
          <w:sz w:val="22"/>
          <w:szCs w:val="22"/>
        </w:rPr>
        <w:lastRenderedPageBreak/>
        <w:t>ATENTAMENTE</w:t>
      </w:r>
    </w:p>
    <w:p w:rsidR="00554DF4" w:rsidRPr="007B5359" w:rsidRDefault="0043798A" w:rsidP="0043798A">
      <w:pPr>
        <w:pStyle w:val="Prrafodelista"/>
        <w:spacing w:before="240" w:after="240" w:line="360" w:lineRule="auto"/>
        <w:ind w:left="567" w:right="567"/>
        <w:jc w:val="both"/>
        <w:rPr>
          <w:rFonts w:ascii="Palatino Linotype" w:hAnsi="Palatino Linotype"/>
          <w:i/>
          <w:sz w:val="22"/>
          <w:szCs w:val="22"/>
        </w:rPr>
      </w:pPr>
      <w:r w:rsidRPr="007B5359">
        <w:rPr>
          <w:rFonts w:ascii="Palatino Linotype" w:hAnsi="Palatino Linotype"/>
          <w:i/>
          <w:sz w:val="22"/>
          <w:szCs w:val="22"/>
        </w:rPr>
        <w:t>LIC. HUGO INFANTE LLERENAS</w:t>
      </w:r>
      <w:r w:rsidR="00554DF4" w:rsidRPr="007B5359">
        <w:rPr>
          <w:rFonts w:ascii="Palatino Linotype" w:hAnsi="Palatino Linotype"/>
          <w:i/>
          <w:sz w:val="22"/>
          <w:szCs w:val="22"/>
        </w:rPr>
        <w:t>” (sic)</w:t>
      </w:r>
    </w:p>
    <w:p w:rsidR="00196809" w:rsidRPr="007B5359" w:rsidRDefault="00196809" w:rsidP="00196809">
      <w:pPr>
        <w:pStyle w:val="Prrafodelista"/>
        <w:spacing w:before="240" w:after="240" w:line="360" w:lineRule="auto"/>
        <w:ind w:left="567" w:right="567"/>
        <w:jc w:val="both"/>
        <w:rPr>
          <w:rFonts w:ascii="Palatino Linotype" w:hAnsi="Palatino Linotype"/>
          <w:i/>
          <w:sz w:val="22"/>
          <w:szCs w:val="22"/>
        </w:rPr>
      </w:pPr>
    </w:p>
    <w:p w:rsidR="00F87C90" w:rsidRPr="007B5359" w:rsidRDefault="0043798A" w:rsidP="00F87C90">
      <w:pPr>
        <w:pStyle w:val="Prrafodelista"/>
        <w:numPr>
          <w:ilvl w:val="0"/>
          <w:numId w:val="35"/>
        </w:numPr>
        <w:spacing w:before="240" w:after="240" w:line="360" w:lineRule="auto"/>
        <w:ind w:right="567"/>
        <w:jc w:val="both"/>
        <w:rPr>
          <w:rFonts w:ascii="Palatino Linotype" w:eastAsia="Times New Roman" w:hAnsi="Palatino Linotype" w:cs="Arial"/>
          <w:b/>
          <w:lang w:val="es-ES"/>
        </w:rPr>
      </w:pPr>
      <w:r w:rsidRPr="007B5359">
        <w:rPr>
          <w:rFonts w:ascii="Palatino Linotype" w:eastAsia="Times New Roman" w:hAnsi="Palatino Linotype" w:cs="Arial"/>
          <w:b/>
          <w:i/>
          <w:lang w:val="es-ES"/>
        </w:rPr>
        <w:t>“OF-2357-SIP-01026.pdf”</w:t>
      </w:r>
      <w:r w:rsidR="00F87C90" w:rsidRPr="007B5359">
        <w:rPr>
          <w:rFonts w:ascii="Palatino Linotype" w:eastAsia="Times New Roman" w:hAnsi="Palatino Linotype" w:cs="Arial"/>
          <w:b/>
          <w:lang w:val="es-ES"/>
        </w:rPr>
        <w:t xml:space="preserve">: </w:t>
      </w:r>
      <w:r w:rsidRPr="007B5359">
        <w:rPr>
          <w:rFonts w:ascii="Palatino Linotype" w:eastAsia="Times New Roman" w:hAnsi="Palatino Linotype" w:cs="Arial"/>
          <w:lang w:val="es-ES"/>
        </w:rPr>
        <w:t>Documento integrado por una sola foja que muestra el oficio número DGA/2357/2019, emitido por el Director General de Administración del Ayuntamiento de Cuautitlán Izcalli, por el que ofrece el Contrato para la Adquisición del Parque Vehicular que Requiere la Comisaría General de Seguridad Pública y Tránsito.</w:t>
      </w:r>
    </w:p>
    <w:p w:rsidR="00F87C90" w:rsidRPr="007B5359" w:rsidRDefault="00F87C90" w:rsidP="00F87C90">
      <w:pPr>
        <w:pStyle w:val="Prrafodelista"/>
        <w:spacing w:before="240" w:after="240" w:line="360" w:lineRule="auto"/>
        <w:ind w:left="1287" w:right="567"/>
        <w:jc w:val="both"/>
        <w:rPr>
          <w:rFonts w:ascii="Palatino Linotype" w:eastAsia="Times New Roman" w:hAnsi="Palatino Linotype" w:cs="Arial"/>
          <w:b/>
          <w:lang w:val="es-ES"/>
        </w:rPr>
      </w:pPr>
    </w:p>
    <w:p w:rsidR="00F87C90" w:rsidRPr="007B5359" w:rsidRDefault="0043798A" w:rsidP="00F87C90">
      <w:pPr>
        <w:pStyle w:val="Prrafodelista"/>
        <w:numPr>
          <w:ilvl w:val="0"/>
          <w:numId w:val="35"/>
        </w:numPr>
        <w:spacing w:before="240" w:after="240" w:line="360" w:lineRule="auto"/>
        <w:ind w:right="567"/>
        <w:jc w:val="both"/>
        <w:rPr>
          <w:rFonts w:ascii="Palatino Linotype" w:eastAsia="Times New Roman" w:hAnsi="Palatino Linotype" w:cs="Arial"/>
          <w:b/>
          <w:lang w:val="es-ES"/>
        </w:rPr>
      </w:pPr>
      <w:r w:rsidRPr="007B5359">
        <w:rPr>
          <w:rFonts w:ascii="Palatino Linotype" w:eastAsia="Times New Roman" w:hAnsi="Palatino Linotype" w:cs="Arial"/>
          <w:b/>
          <w:i/>
          <w:lang w:val="es-ES"/>
        </w:rPr>
        <w:t xml:space="preserve">“ANEXO </w:t>
      </w:r>
      <w:proofErr w:type="spellStart"/>
      <w:r w:rsidRPr="007B5359">
        <w:rPr>
          <w:rFonts w:ascii="Palatino Linotype" w:eastAsia="Times New Roman" w:hAnsi="Palatino Linotype" w:cs="Arial"/>
          <w:b/>
          <w:i/>
          <w:lang w:val="es-ES"/>
        </w:rPr>
        <w:t>cont</w:t>
      </w:r>
      <w:proofErr w:type="spellEnd"/>
      <w:r w:rsidRPr="007B5359">
        <w:rPr>
          <w:rFonts w:ascii="Palatino Linotype" w:eastAsia="Times New Roman" w:hAnsi="Palatino Linotype" w:cs="Arial"/>
          <w:b/>
          <w:i/>
          <w:lang w:val="es-ES"/>
        </w:rPr>
        <w:t xml:space="preserve"> patrullas.pdf”</w:t>
      </w:r>
      <w:r w:rsidR="00F87C90" w:rsidRPr="007B5359">
        <w:rPr>
          <w:rFonts w:ascii="Palatino Linotype" w:eastAsia="Times New Roman" w:hAnsi="Palatino Linotype" w:cs="Arial"/>
          <w:b/>
          <w:lang w:val="es-ES"/>
        </w:rPr>
        <w:t>:</w:t>
      </w:r>
      <w:r w:rsidR="00F30094" w:rsidRPr="007B5359">
        <w:rPr>
          <w:rFonts w:ascii="Palatino Linotype" w:eastAsia="Times New Roman" w:hAnsi="Palatino Linotype" w:cs="Arial"/>
          <w:b/>
          <w:lang w:val="es-ES"/>
        </w:rPr>
        <w:t xml:space="preserve"> </w:t>
      </w:r>
      <w:r w:rsidR="00F30094" w:rsidRPr="007B5359">
        <w:rPr>
          <w:rFonts w:ascii="Palatino Linotype" w:eastAsia="Times New Roman" w:hAnsi="Palatino Linotype" w:cs="Arial"/>
          <w:lang w:val="es-ES"/>
        </w:rPr>
        <w:t xml:space="preserve">Documento integrado </w:t>
      </w:r>
      <w:r w:rsidRPr="007B5359">
        <w:rPr>
          <w:rFonts w:ascii="Palatino Linotype" w:eastAsia="Times New Roman" w:hAnsi="Palatino Linotype" w:cs="Arial"/>
          <w:lang w:val="es-ES"/>
        </w:rPr>
        <w:t xml:space="preserve">por 19 fojas que muestra el Contrato para la Adquisición del Parque Vehicular que Requiere la Comisaría General de Seguridad Pública y Tránsito Municipal, </w:t>
      </w:r>
      <w:r w:rsidR="00A7118E" w:rsidRPr="007B5359">
        <w:rPr>
          <w:rFonts w:ascii="Palatino Linotype" w:eastAsia="Times New Roman" w:hAnsi="Palatino Linotype" w:cs="Arial"/>
          <w:lang w:val="es-ES"/>
        </w:rPr>
        <w:t>celebrado</w:t>
      </w:r>
      <w:r w:rsidRPr="007B5359">
        <w:rPr>
          <w:rFonts w:ascii="Palatino Linotype" w:eastAsia="Times New Roman" w:hAnsi="Palatino Linotype" w:cs="Arial"/>
          <w:lang w:val="es-ES"/>
        </w:rPr>
        <w:t xml:space="preserve"> entre el Municipio de Cuautitlán Izcalli y </w:t>
      </w:r>
      <w:r w:rsidR="00A7118E" w:rsidRPr="007B5359">
        <w:rPr>
          <w:rFonts w:ascii="Palatino Linotype" w:eastAsia="Times New Roman" w:hAnsi="Palatino Linotype" w:cs="Arial"/>
          <w:lang w:val="es-ES"/>
        </w:rPr>
        <w:t xml:space="preserve">la empresa </w:t>
      </w:r>
      <w:proofErr w:type="spellStart"/>
      <w:r w:rsidR="00A7118E" w:rsidRPr="007B5359">
        <w:rPr>
          <w:rFonts w:ascii="Palatino Linotype" w:eastAsia="Times New Roman" w:hAnsi="Palatino Linotype" w:cs="Arial"/>
          <w:i/>
          <w:lang w:val="es-ES"/>
        </w:rPr>
        <w:t>Cebenssi</w:t>
      </w:r>
      <w:proofErr w:type="spellEnd"/>
      <w:r w:rsidR="00A7118E" w:rsidRPr="007B5359">
        <w:rPr>
          <w:rFonts w:ascii="Palatino Linotype" w:eastAsia="Times New Roman" w:hAnsi="Palatino Linotype" w:cs="Arial"/>
          <w:lang w:val="es-ES"/>
        </w:rPr>
        <w:t xml:space="preserve">, suscrito el doce (12) de abril del dos mil </w:t>
      </w:r>
      <w:r w:rsidR="00AF0359" w:rsidRPr="007B5359">
        <w:rPr>
          <w:rFonts w:ascii="Palatino Linotype" w:eastAsia="Times New Roman" w:hAnsi="Palatino Linotype" w:cs="Arial"/>
          <w:lang w:val="es-ES"/>
        </w:rPr>
        <w:t>diecinueve</w:t>
      </w:r>
      <w:r w:rsidR="00A7118E" w:rsidRPr="007B5359">
        <w:rPr>
          <w:rFonts w:ascii="Palatino Linotype" w:eastAsia="Times New Roman" w:hAnsi="Palatino Linotype" w:cs="Arial"/>
          <w:lang w:val="es-ES"/>
        </w:rPr>
        <w:t>.</w:t>
      </w:r>
    </w:p>
    <w:p w:rsidR="00F87C90" w:rsidRPr="007B5359" w:rsidRDefault="00F87C90" w:rsidP="00F87C90">
      <w:pPr>
        <w:pStyle w:val="Prrafodelista"/>
        <w:rPr>
          <w:rFonts w:ascii="Palatino Linotype" w:eastAsia="Times New Roman" w:hAnsi="Palatino Linotype" w:cs="Arial"/>
          <w:b/>
          <w:lang w:val="es-ES"/>
        </w:rPr>
      </w:pPr>
    </w:p>
    <w:p w:rsidR="00554DF4" w:rsidRPr="007B5359"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7B5359">
        <w:rPr>
          <w:rFonts w:ascii="Palatino Linotype" w:eastAsia="Calibri" w:hAnsi="Palatino Linotype" w:cs="Arial"/>
          <w:lang w:val="es-AR"/>
        </w:rPr>
        <w:t>El día</w:t>
      </w:r>
      <w:r w:rsidR="001A4BC9" w:rsidRPr="007B5359">
        <w:rPr>
          <w:rFonts w:ascii="Palatino Linotype" w:eastAsia="Calibri" w:hAnsi="Palatino Linotype" w:cs="Arial"/>
          <w:lang w:val="es-AR"/>
        </w:rPr>
        <w:t xml:space="preserve"> </w:t>
      </w:r>
      <w:r w:rsidR="00A7118E" w:rsidRPr="007B5359">
        <w:rPr>
          <w:rFonts w:ascii="Palatino Linotype" w:eastAsia="Calibri" w:hAnsi="Palatino Linotype" w:cs="Arial"/>
          <w:lang w:val="es-AR"/>
        </w:rPr>
        <w:t>veintiuno</w:t>
      </w:r>
      <w:r w:rsidRPr="007B5359">
        <w:rPr>
          <w:rFonts w:ascii="Palatino Linotype" w:eastAsia="Calibri" w:hAnsi="Palatino Linotype" w:cs="Arial"/>
          <w:lang w:val="es-AR"/>
        </w:rPr>
        <w:t xml:space="preserve"> (</w:t>
      </w:r>
      <w:r w:rsidR="00A7118E" w:rsidRPr="007B5359">
        <w:rPr>
          <w:rFonts w:ascii="Palatino Linotype" w:eastAsia="Calibri" w:hAnsi="Palatino Linotype" w:cs="Arial"/>
          <w:lang w:val="es-AR"/>
        </w:rPr>
        <w:t>21</w:t>
      </w:r>
      <w:r w:rsidRPr="007B5359">
        <w:rPr>
          <w:rFonts w:ascii="Palatino Linotype" w:eastAsia="Calibri" w:hAnsi="Palatino Linotype" w:cs="Arial"/>
          <w:lang w:val="es-AR"/>
        </w:rPr>
        <w:t xml:space="preserve">) de </w:t>
      </w:r>
      <w:r w:rsidR="001A4BC9" w:rsidRPr="007B5359">
        <w:rPr>
          <w:rFonts w:ascii="Palatino Linotype" w:eastAsia="Calibri" w:hAnsi="Palatino Linotype" w:cs="Arial"/>
          <w:lang w:val="es-AR"/>
        </w:rPr>
        <w:t>noviembre</w:t>
      </w:r>
      <w:r w:rsidRPr="007B5359">
        <w:rPr>
          <w:rFonts w:ascii="Palatino Linotype" w:eastAsia="Calibri" w:hAnsi="Palatino Linotype" w:cs="Arial"/>
          <w:lang w:val="es-AR"/>
        </w:rPr>
        <w:t xml:space="preserve"> de</w:t>
      </w:r>
      <w:r w:rsidRPr="007B5359">
        <w:rPr>
          <w:rFonts w:ascii="Palatino Linotype" w:eastAsia="Times New Roman" w:hAnsi="Palatino Linotype" w:cs="Arial"/>
          <w:lang w:val="es-ES"/>
        </w:rPr>
        <w:t xml:space="preserve"> dos mil diecinueve, </w:t>
      </w:r>
      <w:r w:rsidRPr="007B5359">
        <w:rPr>
          <w:rFonts w:ascii="Palatino Linotype" w:hAnsi="Palatino Linotype"/>
          <w:b/>
        </w:rPr>
        <w:t>EL RECURRENTE</w:t>
      </w:r>
      <w:r w:rsidRPr="007B5359">
        <w:rPr>
          <w:rFonts w:ascii="Palatino Linotype" w:eastAsia="Times New Roman" w:hAnsi="Palatino Linotype" w:cs="Arial"/>
          <w:lang w:val="es-ES"/>
        </w:rPr>
        <w:t xml:space="preserve"> interpuso el recurso de revis</w:t>
      </w:r>
      <w:r w:rsidR="000D799B" w:rsidRPr="007B5359">
        <w:rPr>
          <w:rFonts w:ascii="Palatino Linotype" w:eastAsia="Times New Roman" w:hAnsi="Palatino Linotype" w:cs="Arial"/>
          <w:lang w:val="es-ES"/>
        </w:rPr>
        <w:t xml:space="preserve">ión en contra de la respuesta </w:t>
      </w:r>
      <w:r w:rsidR="001C401F" w:rsidRPr="007B5359">
        <w:rPr>
          <w:rFonts w:ascii="Palatino Linotype" w:eastAsia="Times New Roman" w:hAnsi="Palatino Linotype" w:cs="Arial"/>
          <w:lang w:val="es-ES"/>
        </w:rPr>
        <w:t>y</w:t>
      </w:r>
      <w:r w:rsidR="001A4BC9" w:rsidRPr="007B5359">
        <w:rPr>
          <w:rFonts w:ascii="Palatino Linotype" w:eastAsia="Times New Roman" w:hAnsi="Palatino Linotype" w:cs="Arial"/>
          <w:lang w:val="es-ES"/>
        </w:rPr>
        <w:t>,</w:t>
      </w:r>
      <w:r w:rsidR="001C401F" w:rsidRPr="007B5359">
        <w:rPr>
          <w:rFonts w:ascii="Palatino Linotype" w:eastAsia="Times New Roman" w:hAnsi="Palatino Linotype" w:cs="Arial"/>
          <w:lang w:val="es-ES"/>
        </w:rPr>
        <w:t xml:space="preserve"> </w:t>
      </w:r>
      <w:r w:rsidRPr="007B5359">
        <w:rPr>
          <w:rFonts w:ascii="Palatino Linotype" w:eastAsia="Times New Roman" w:hAnsi="Palatino Linotype" w:cs="Arial"/>
          <w:lang w:val="es-ES"/>
        </w:rPr>
        <w:t>señal</w:t>
      </w:r>
      <w:r w:rsidR="001C401F" w:rsidRPr="007B5359">
        <w:rPr>
          <w:rFonts w:ascii="Palatino Linotype" w:eastAsia="Times New Roman" w:hAnsi="Palatino Linotype" w:cs="Arial"/>
          <w:lang w:val="es-ES"/>
        </w:rPr>
        <w:t>ó</w:t>
      </w:r>
      <w:r w:rsidRPr="007B5359">
        <w:rPr>
          <w:rFonts w:ascii="Palatino Linotype" w:eastAsia="Times New Roman" w:hAnsi="Palatino Linotype" w:cs="Arial"/>
          <w:lang w:val="es-ES"/>
        </w:rPr>
        <w:t xml:space="preserve"> como:</w:t>
      </w:r>
      <w:bookmarkStart w:id="1" w:name="_Toc472500652"/>
      <w:bookmarkStart w:id="2" w:name="_Toc472427085"/>
      <w:bookmarkStart w:id="3" w:name="_Toc462307683"/>
    </w:p>
    <w:p w:rsidR="000D799B" w:rsidRPr="007B5359" w:rsidRDefault="000D799B" w:rsidP="00554DF4">
      <w:pPr>
        <w:pStyle w:val="Prrafodelista"/>
        <w:spacing w:line="360" w:lineRule="auto"/>
        <w:jc w:val="both"/>
        <w:rPr>
          <w:rFonts w:ascii="Palatino Linotype" w:hAnsi="Palatino Linotype"/>
          <w:b/>
        </w:rPr>
      </w:pPr>
    </w:p>
    <w:p w:rsidR="00554DF4" w:rsidRPr="007B5359" w:rsidRDefault="00554DF4" w:rsidP="00554DF4">
      <w:pPr>
        <w:pStyle w:val="Prrafodelista"/>
        <w:spacing w:line="360" w:lineRule="auto"/>
        <w:jc w:val="both"/>
        <w:rPr>
          <w:rFonts w:ascii="Palatino Linotype" w:eastAsia="Calibri" w:hAnsi="Palatino Linotype" w:cs="Arial"/>
          <w:szCs w:val="22"/>
          <w:lang w:val="es-ES"/>
        </w:rPr>
      </w:pPr>
      <w:r w:rsidRPr="007B5359">
        <w:rPr>
          <w:rFonts w:ascii="Palatino Linotype" w:hAnsi="Palatino Linotype"/>
          <w:b/>
        </w:rPr>
        <w:t>Acto impugnado:</w:t>
      </w:r>
      <w:r w:rsidRPr="007B5359">
        <w:rPr>
          <w:rStyle w:val="Ttulo2Car"/>
          <w:rFonts w:ascii="Palatino Linotype" w:hAnsi="Palatino Linotype"/>
          <w:b/>
          <w:i/>
          <w:color w:val="auto"/>
          <w:lang w:val="es-ES"/>
        </w:rPr>
        <w:t xml:space="preserve"> </w:t>
      </w:r>
      <w:r w:rsidRPr="007B5359">
        <w:rPr>
          <w:rFonts w:ascii="Palatino Linotype" w:hAnsi="Palatino Linotype"/>
        </w:rPr>
        <w:t>“</w:t>
      </w:r>
      <w:r w:rsidR="00A7118E" w:rsidRPr="007B5359">
        <w:rPr>
          <w:rFonts w:ascii="Palatino Linotype" w:hAnsi="Palatino Linotype"/>
          <w:i/>
          <w:sz w:val="22"/>
        </w:rPr>
        <w:t>no entrego todos los documentos solicitados y el secretariado ejecutivo no impone direccionamiento a determinadas marcas de vehículo o equipo policial por lo que la documentación entregada es incompleta y su respuesta sin sustento</w:t>
      </w:r>
      <w:r w:rsidRPr="007B5359">
        <w:rPr>
          <w:rFonts w:ascii="Palatino Linotype" w:hAnsi="Palatino Linotype"/>
        </w:rPr>
        <w:t>"</w:t>
      </w:r>
      <w:r w:rsidRPr="007B5359">
        <w:rPr>
          <w:rFonts w:ascii="Palatino Linotype" w:eastAsia="Calibri" w:hAnsi="Palatino Linotype" w:cs="Arial"/>
          <w:sz w:val="20"/>
          <w:szCs w:val="22"/>
          <w:lang w:val="es-ES"/>
        </w:rPr>
        <w:t xml:space="preserve"> </w:t>
      </w:r>
      <w:r w:rsidRPr="007B5359">
        <w:rPr>
          <w:rFonts w:ascii="Palatino Linotype" w:eastAsia="Calibri" w:hAnsi="Palatino Linotype" w:cs="Arial"/>
          <w:szCs w:val="22"/>
          <w:lang w:val="es-ES"/>
        </w:rPr>
        <w:t>(Sic); Y</w:t>
      </w:r>
    </w:p>
    <w:p w:rsidR="00554DF4" w:rsidRPr="007B5359" w:rsidRDefault="00554DF4" w:rsidP="00554DF4">
      <w:pPr>
        <w:pStyle w:val="Prrafodelista"/>
        <w:spacing w:line="360" w:lineRule="auto"/>
        <w:jc w:val="both"/>
        <w:rPr>
          <w:rFonts w:ascii="Palatino Linotype" w:hAnsi="Palatino Linotype" w:cs="Arial"/>
          <w:sz w:val="22"/>
          <w:szCs w:val="22"/>
        </w:rPr>
      </w:pPr>
      <w:r w:rsidRPr="007B5359">
        <w:rPr>
          <w:rFonts w:ascii="Palatino Linotype" w:hAnsi="Palatino Linotype"/>
          <w:b/>
        </w:rPr>
        <w:t>Razones o Motivos de inconformidad:</w:t>
      </w:r>
      <w:r w:rsidRPr="007B5359">
        <w:rPr>
          <w:rStyle w:val="Ttulo2Car"/>
          <w:rFonts w:ascii="Palatino Linotype" w:hAnsi="Palatino Linotype"/>
          <w:b/>
          <w:color w:val="auto"/>
          <w:lang w:val="es-ES"/>
        </w:rPr>
        <w:t xml:space="preserve"> </w:t>
      </w:r>
      <w:r w:rsidRPr="007B5359">
        <w:rPr>
          <w:rFonts w:ascii="Palatino Linotype" w:hAnsi="Palatino Linotype"/>
          <w:i/>
          <w:szCs w:val="22"/>
        </w:rPr>
        <w:t>“</w:t>
      </w:r>
      <w:r w:rsidR="00A7118E" w:rsidRPr="007B5359">
        <w:rPr>
          <w:rFonts w:ascii="Palatino Linotype" w:hAnsi="Palatino Linotype"/>
          <w:i/>
          <w:sz w:val="22"/>
          <w:szCs w:val="14"/>
        </w:rPr>
        <w:t>incompleta y sin sustento en su respuesta</w:t>
      </w:r>
      <w:r w:rsidRPr="007B5359">
        <w:rPr>
          <w:rFonts w:ascii="Palatino Linotype" w:hAnsi="Palatino Linotype"/>
          <w:i/>
          <w:sz w:val="22"/>
          <w:szCs w:val="22"/>
        </w:rPr>
        <w:t xml:space="preserve">” </w:t>
      </w:r>
      <w:r w:rsidRPr="007B5359">
        <w:rPr>
          <w:rFonts w:ascii="Palatino Linotype" w:hAnsi="Palatino Linotype" w:cs="Arial"/>
          <w:i/>
          <w:sz w:val="22"/>
          <w:szCs w:val="22"/>
        </w:rPr>
        <w:t>(Sic)</w:t>
      </w:r>
      <w:r w:rsidRPr="007B5359">
        <w:rPr>
          <w:rFonts w:ascii="Palatino Linotype" w:hAnsi="Palatino Linotype" w:cs="Arial"/>
          <w:sz w:val="22"/>
          <w:szCs w:val="22"/>
        </w:rPr>
        <w:t xml:space="preserve"> </w:t>
      </w:r>
    </w:p>
    <w:p w:rsidR="00554DF4" w:rsidRPr="007B5359" w:rsidRDefault="00554DF4" w:rsidP="00554DF4">
      <w:pPr>
        <w:pStyle w:val="Prrafodelista"/>
        <w:spacing w:line="360" w:lineRule="auto"/>
        <w:jc w:val="both"/>
        <w:rPr>
          <w:rFonts w:ascii="Palatino Linotype" w:hAnsi="Palatino Linotype" w:cs="Arial"/>
          <w:sz w:val="22"/>
          <w:szCs w:val="22"/>
        </w:rPr>
      </w:pPr>
    </w:p>
    <w:bookmarkEnd w:id="1"/>
    <w:bookmarkEnd w:id="2"/>
    <w:bookmarkEnd w:id="3"/>
    <w:p w:rsidR="00554DF4" w:rsidRPr="007B5359"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7B5359">
        <w:rPr>
          <w:rFonts w:ascii="Palatino Linotype" w:eastAsia="Times New Roman" w:hAnsi="Palatino Linotype" w:cs="Arial"/>
          <w:lang w:val="es-ES"/>
        </w:rPr>
        <w:lastRenderedPageBreak/>
        <w:t xml:space="preserve">Se registró el recurso de revisión bajo el número de expediente </w:t>
      </w:r>
      <w:r w:rsidRPr="007B5359">
        <w:rPr>
          <w:rFonts w:ascii="Palatino Linotype" w:hAnsi="Palatino Linotype" w:cs="Arial"/>
          <w:bCs/>
        </w:rPr>
        <w:t xml:space="preserve">al rubro indicado, asimismo con fundamento en lo dispuesto por el </w:t>
      </w:r>
      <w:r w:rsidRPr="007B5359">
        <w:rPr>
          <w:rFonts w:ascii="Palatino Linotype" w:eastAsia="Calibri" w:hAnsi="Palatino Linotype" w:cs="Arial"/>
          <w:lang w:val="es-ES"/>
        </w:rPr>
        <w:t xml:space="preserve">artículo 185 fracción I de la </w:t>
      </w:r>
      <w:r w:rsidRPr="007B5359">
        <w:rPr>
          <w:rFonts w:ascii="Palatino Linotype" w:eastAsia="Calibri" w:hAnsi="Palatino Linotype" w:cs="Arial"/>
          <w:b/>
          <w:lang w:val="es-ES"/>
        </w:rPr>
        <w:t xml:space="preserve">Ley de Transparencia y Acceso a la Información Pública del Estado de México y Municipios </w:t>
      </w:r>
      <w:r w:rsidRPr="007B5359">
        <w:rPr>
          <w:rFonts w:ascii="Palatino Linotype" w:eastAsia="Times New Roman" w:hAnsi="Palatino Linotype" w:cs="Arial"/>
          <w:lang w:val="es-ES"/>
        </w:rPr>
        <w:t xml:space="preserve">se turnó al </w:t>
      </w:r>
      <w:r w:rsidRPr="007B5359">
        <w:rPr>
          <w:rFonts w:ascii="Palatino Linotype" w:eastAsia="Times New Roman" w:hAnsi="Palatino Linotype" w:cs="Arial"/>
          <w:b/>
          <w:lang w:val="es-ES"/>
        </w:rPr>
        <w:t xml:space="preserve">Comisionado José Guadalupe Luna Hernández, </w:t>
      </w:r>
      <w:r w:rsidRPr="007B5359">
        <w:rPr>
          <w:rFonts w:ascii="Palatino Linotype" w:eastAsia="Times New Roman" w:hAnsi="Palatino Linotype" w:cs="Arial"/>
          <w:lang w:val="es-ES"/>
        </w:rPr>
        <w:t xml:space="preserve">con el objeto de </w:t>
      </w:r>
      <w:r w:rsidRPr="007B5359">
        <w:rPr>
          <w:rFonts w:ascii="Palatino Linotype" w:eastAsia="Times New Roman" w:hAnsi="Palatino Linotype" w:cs="Arial"/>
          <w:lang w:val="es-MX"/>
        </w:rPr>
        <w:t xml:space="preserve">su análisis. </w:t>
      </w:r>
    </w:p>
    <w:p w:rsidR="00554DF4" w:rsidRPr="007B5359"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7B5359" w:rsidRDefault="00554DF4" w:rsidP="00587D80">
      <w:pPr>
        <w:pStyle w:val="Prrafodelista"/>
        <w:numPr>
          <w:ilvl w:val="0"/>
          <w:numId w:val="1"/>
        </w:numPr>
        <w:spacing w:before="240" w:after="240" w:line="360" w:lineRule="auto"/>
        <w:ind w:left="0" w:firstLine="0"/>
        <w:jc w:val="both"/>
        <w:rPr>
          <w:rFonts w:ascii="Palatino Linotype" w:hAnsi="Palatino Linotype"/>
          <w:i/>
          <w:sz w:val="22"/>
          <w:szCs w:val="22"/>
        </w:rPr>
      </w:pPr>
      <w:r w:rsidRPr="007B5359">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A7118E" w:rsidRPr="007B5359">
        <w:rPr>
          <w:rFonts w:ascii="Palatino Linotype" w:eastAsia="Calibri" w:hAnsi="Palatino Linotype" w:cs="Arial"/>
          <w:lang w:val="es-ES"/>
        </w:rPr>
        <w:t>veintisiete</w:t>
      </w:r>
      <w:r w:rsidRPr="007B5359">
        <w:rPr>
          <w:rFonts w:ascii="Palatino Linotype" w:eastAsia="Calibri" w:hAnsi="Palatino Linotype" w:cs="Arial"/>
          <w:lang w:val="es-ES"/>
        </w:rPr>
        <w:t xml:space="preserve"> (</w:t>
      </w:r>
      <w:r w:rsidR="00A7118E" w:rsidRPr="007B5359">
        <w:rPr>
          <w:rFonts w:ascii="Palatino Linotype" w:eastAsia="Calibri" w:hAnsi="Palatino Linotype" w:cs="Arial"/>
          <w:lang w:val="es-ES"/>
        </w:rPr>
        <w:t>27</w:t>
      </w:r>
      <w:r w:rsidRPr="007B5359">
        <w:rPr>
          <w:rFonts w:ascii="Palatino Linotype" w:eastAsia="Calibri" w:hAnsi="Palatino Linotype" w:cs="Arial"/>
          <w:lang w:val="es-ES"/>
        </w:rPr>
        <w:t xml:space="preserve">) de </w:t>
      </w:r>
      <w:r w:rsidR="00300AC1" w:rsidRPr="007B5359">
        <w:rPr>
          <w:rFonts w:ascii="Palatino Linotype" w:eastAsia="Calibri" w:hAnsi="Palatino Linotype" w:cs="Arial"/>
          <w:lang w:val="es-ES"/>
        </w:rPr>
        <w:t>noviembre</w:t>
      </w:r>
      <w:r w:rsidRPr="007B5359">
        <w:rPr>
          <w:rFonts w:ascii="Palatino Linotype" w:eastAsia="Calibri" w:hAnsi="Palatino Linotype" w:cs="Arial"/>
          <w:lang w:val="es-ES"/>
        </w:rPr>
        <w:t xml:space="preserve"> de dos mil diecinueve, puso a disposición de las partes el expediente electrónico </w:t>
      </w:r>
      <w:r w:rsidRPr="007B5359">
        <w:rPr>
          <w:rFonts w:ascii="Palatino Linotype" w:eastAsia="Calibri" w:hAnsi="Palatino Linotype" w:cs="Arial"/>
        </w:rPr>
        <w:t xml:space="preserve">vía </w:t>
      </w:r>
      <w:r w:rsidRPr="007B5359">
        <w:rPr>
          <w:rFonts w:ascii="Palatino Linotype" w:eastAsia="Calibri" w:hAnsi="Palatino Linotype" w:cs="Arial"/>
          <w:b/>
          <w:lang w:val="es-ES"/>
        </w:rPr>
        <w:t xml:space="preserve">SAIMEX </w:t>
      </w:r>
      <w:r w:rsidRPr="007B5359">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7B5359">
        <w:rPr>
          <w:rFonts w:ascii="Palatino Linotype" w:eastAsia="Calibri" w:hAnsi="Palatino Linotype" w:cs="Arial"/>
          <w:b/>
          <w:lang w:val="es-ES"/>
        </w:rPr>
        <w:t>SUJETO OBLIGADO</w:t>
      </w:r>
      <w:r w:rsidRPr="007B5359">
        <w:rPr>
          <w:rFonts w:ascii="Palatino Linotype" w:eastAsia="Calibri" w:hAnsi="Palatino Linotype" w:cs="Arial"/>
          <w:lang w:val="es-ES"/>
        </w:rPr>
        <w:t xml:space="preserve"> presentara el informe justificado procedente.</w:t>
      </w:r>
    </w:p>
    <w:p w:rsidR="00554DF4" w:rsidRPr="007B5359" w:rsidRDefault="00554DF4" w:rsidP="00554DF4">
      <w:pPr>
        <w:pStyle w:val="Prrafodelista"/>
        <w:rPr>
          <w:rFonts w:ascii="Palatino Linotype" w:hAnsi="Palatino Linotype"/>
          <w:i/>
          <w:sz w:val="22"/>
          <w:szCs w:val="22"/>
        </w:rPr>
      </w:pPr>
    </w:p>
    <w:p w:rsidR="000D799B" w:rsidRPr="007B5359" w:rsidRDefault="00A7118E" w:rsidP="006D6CCC">
      <w:pPr>
        <w:pStyle w:val="Prrafodelista"/>
        <w:numPr>
          <w:ilvl w:val="0"/>
          <w:numId w:val="1"/>
        </w:numPr>
        <w:spacing w:line="360" w:lineRule="auto"/>
        <w:ind w:left="0" w:firstLine="0"/>
        <w:jc w:val="both"/>
        <w:rPr>
          <w:rFonts w:ascii="Palatino Linotype" w:eastAsia="Calibri" w:hAnsi="Palatino Linotype" w:cs="Arial"/>
          <w:lang w:val="es-ES"/>
        </w:rPr>
      </w:pPr>
      <w:r w:rsidRPr="007B5359">
        <w:rPr>
          <w:rFonts w:ascii="Palatino Linotype" w:eastAsia="Calibri" w:hAnsi="Palatino Linotype" w:cs="Arial"/>
          <w:lang w:val="es-ES"/>
        </w:rPr>
        <w:t xml:space="preserve">De </w:t>
      </w:r>
      <w:r w:rsidRPr="007B5359">
        <w:rPr>
          <w:rFonts w:ascii="Palatino Linotype" w:eastAsia="Calibri" w:hAnsi="Palatino Linotype" w:cs="Arial"/>
        </w:rPr>
        <w:t xml:space="preserve">las constancias que obran en el expediente electrónico del </w:t>
      </w:r>
      <w:r w:rsidRPr="007B5359">
        <w:rPr>
          <w:rFonts w:ascii="Palatino Linotype" w:eastAsia="Calibri" w:hAnsi="Palatino Linotype" w:cs="Arial"/>
          <w:b/>
          <w:i/>
        </w:rPr>
        <w:t>SAIMEX</w:t>
      </w:r>
      <w:r w:rsidRPr="007B5359">
        <w:rPr>
          <w:rFonts w:ascii="Palatino Linotype" w:eastAsia="Calibri" w:hAnsi="Palatino Linotype" w:cs="Arial"/>
        </w:rPr>
        <w:t xml:space="preserve">, se aprecia que el cuatro (04) de diciembre de dos mil diecinueve, el </w:t>
      </w:r>
      <w:r w:rsidRPr="007B5359">
        <w:rPr>
          <w:rFonts w:ascii="Palatino Linotype" w:eastAsia="Calibri" w:hAnsi="Palatino Linotype" w:cs="Arial"/>
          <w:b/>
        </w:rPr>
        <w:t>SUJETO OBLIGADO</w:t>
      </w:r>
      <w:r w:rsidRPr="007B5359">
        <w:rPr>
          <w:rFonts w:ascii="Palatino Linotype" w:eastAsia="Calibri" w:hAnsi="Palatino Linotype" w:cs="Arial"/>
        </w:rPr>
        <w:t xml:space="preserve"> rindió su informe justificado por medio del archivo titulado </w:t>
      </w:r>
      <w:r w:rsidRPr="007B5359">
        <w:rPr>
          <w:rFonts w:ascii="Palatino Linotype" w:eastAsia="Calibri" w:hAnsi="Palatino Linotype" w:cs="Arial"/>
          <w:b/>
          <w:i/>
        </w:rPr>
        <w:t>“1026-8893.pdf”</w:t>
      </w:r>
      <w:r w:rsidRPr="007B5359">
        <w:rPr>
          <w:rFonts w:ascii="Palatino Linotype" w:eastAsia="Calibri" w:hAnsi="Palatino Linotype" w:cs="Arial"/>
        </w:rPr>
        <w:t>, el cual contiene la copia digitalizada del oficio DGA/2537/2019, de cuatro (04) de diciembre del dos mil diecinueve, signado por el Director General de Administración del Ayuntamiento de Cuautitlán Izcalli; por el que reiteró la respuesta otorgada inicialmente, como se muestra en la siguiente imagen:</w:t>
      </w:r>
    </w:p>
    <w:p w:rsidR="000D799B" w:rsidRPr="007B5359" w:rsidRDefault="000D799B" w:rsidP="000D799B">
      <w:pPr>
        <w:pStyle w:val="Prrafodelista"/>
        <w:rPr>
          <w:rFonts w:ascii="Palatino Linotype" w:eastAsia="Calibri" w:hAnsi="Palatino Linotype" w:cs="Arial"/>
          <w:lang w:val="es-ES"/>
        </w:rPr>
      </w:pPr>
    </w:p>
    <w:p w:rsidR="00A7118E" w:rsidRPr="007B5359" w:rsidRDefault="00A7118E" w:rsidP="00A7118E">
      <w:pPr>
        <w:pStyle w:val="Prrafodelista"/>
        <w:jc w:val="center"/>
        <w:rPr>
          <w:rFonts w:ascii="Palatino Linotype" w:eastAsia="Calibri" w:hAnsi="Palatino Linotype" w:cs="Arial"/>
          <w:lang w:val="es-ES"/>
        </w:rPr>
      </w:pPr>
      <w:r w:rsidRPr="007B5359">
        <w:rPr>
          <w:noProof/>
          <w:lang w:val="es-MX" w:eastAsia="es-MX"/>
        </w:rPr>
        <w:lastRenderedPageBreak/>
        <w:drawing>
          <wp:inline distT="0" distB="0" distL="0" distR="0" wp14:anchorId="67F26EE3" wp14:editId="6EC6579C">
            <wp:extent cx="5025845" cy="7496175"/>
            <wp:effectExtent l="57150" t="57150" r="118110" b="104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16" t="11529" r="34976" b="8373"/>
                    <a:stretch/>
                  </pic:blipFill>
                  <pic:spPr bwMode="auto">
                    <a:xfrm>
                      <a:off x="0" y="0"/>
                      <a:ext cx="5035959" cy="751126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7118E" w:rsidRPr="007B5359" w:rsidRDefault="00A7118E" w:rsidP="000D799B">
      <w:pPr>
        <w:pStyle w:val="Prrafodelista"/>
        <w:rPr>
          <w:rFonts w:ascii="Palatino Linotype" w:eastAsia="Calibri" w:hAnsi="Palatino Linotype" w:cs="Arial"/>
          <w:lang w:val="es-ES"/>
        </w:rPr>
      </w:pPr>
    </w:p>
    <w:p w:rsidR="00A7118E" w:rsidRPr="007B5359" w:rsidRDefault="00A7118E" w:rsidP="001A4BC9">
      <w:pPr>
        <w:pStyle w:val="Prrafodelista"/>
        <w:numPr>
          <w:ilvl w:val="0"/>
          <w:numId w:val="1"/>
        </w:numPr>
        <w:spacing w:line="360" w:lineRule="auto"/>
        <w:ind w:left="0" w:firstLine="0"/>
        <w:jc w:val="both"/>
        <w:rPr>
          <w:rFonts w:ascii="Palatino Linotype" w:eastAsia="Calibri" w:hAnsi="Palatino Linotype" w:cs="Arial"/>
          <w:lang w:val="es-ES"/>
        </w:rPr>
      </w:pPr>
      <w:r w:rsidRPr="007B5359">
        <w:rPr>
          <w:rFonts w:ascii="Palatino Linotype" w:eastAsia="Calibri" w:hAnsi="Palatino Linotype" w:cs="Arial"/>
          <w:lang w:val="es-ES"/>
        </w:rPr>
        <w:lastRenderedPageBreak/>
        <w:t xml:space="preserve">Del </w:t>
      </w:r>
      <w:r w:rsidRPr="007B5359">
        <w:rPr>
          <w:rFonts w:ascii="Palatino Linotype" w:hAnsi="Palatino Linotype"/>
        </w:rPr>
        <w:t xml:space="preserve">análisis realizado al contenido del informe justificado, la Ponencia </w:t>
      </w:r>
      <w:proofErr w:type="spellStart"/>
      <w:r w:rsidRPr="007B5359">
        <w:rPr>
          <w:rFonts w:ascii="Palatino Linotype" w:hAnsi="Palatino Linotype"/>
        </w:rPr>
        <w:t>Resolutora</w:t>
      </w:r>
      <w:proofErr w:type="spellEnd"/>
      <w:r w:rsidRPr="007B5359">
        <w:rPr>
          <w:rFonts w:ascii="Palatino Linotype" w:hAnsi="Palatino Linotype"/>
        </w:rPr>
        <w:t xml:space="preserve"> determinó no ponerlo a la vista del particular, toda vez que éste no abonaba información novedosa o de interés para el </w:t>
      </w:r>
      <w:r w:rsidRPr="007B5359">
        <w:rPr>
          <w:rFonts w:ascii="Palatino Linotype" w:hAnsi="Palatino Linotype"/>
          <w:b/>
        </w:rPr>
        <w:t>RECURRENTE</w:t>
      </w:r>
      <w:r w:rsidRPr="007B5359">
        <w:rPr>
          <w:rFonts w:ascii="Palatino Linotype" w:hAnsi="Palatino Linotype"/>
        </w:rPr>
        <w:t xml:space="preserve"> o la sustanciación de la controversia al contener meramente la ratificación de la respuesta primigenia del </w:t>
      </w:r>
      <w:r w:rsidRPr="007B5359">
        <w:rPr>
          <w:rFonts w:ascii="Palatino Linotype" w:hAnsi="Palatino Linotype"/>
          <w:b/>
        </w:rPr>
        <w:t>SUJETO OBLIGADO.</w:t>
      </w:r>
    </w:p>
    <w:p w:rsidR="00A7118E" w:rsidRPr="007B5359" w:rsidRDefault="00A7118E" w:rsidP="00A7118E">
      <w:pPr>
        <w:pStyle w:val="Prrafodelista"/>
        <w:spacing w:line="360" w:lineRule="auto"/>
        <w:ind w:left="0"/>
        <w:jc w:val="both"/>
        <w:rPr>
          <w:rFonts w:ascii="Palatino Linotype" w:eastAsia="Calibri" w:hAnsi="Palatino Linotype" w:cs="Arial"/>
          <w:lang w:val="es-ES"/>
        </w:rPr>
      </w:pPr>
    </w:p>
    <w:p w:rsidR="00554DF4" w:rsidRPr="007B5359" w:rsidRDefault="00A7118E" w:rsidP="001A4BC9">
      <w:pPr>
        <w:pStyle w:val="Prrafodelista"/>
        <w:numPr>
          <w:ilvl w:val="0"/>
          <w:numId w:val="1"/>
        </w:numPr>
        <w:spacing w:line="360" w:lineRule="auto"/>
        <w:ind w:left="0" w:firstLine="0"/>
        <w:jc w:val="both"/>
        <w:rPr>
          <w:rFonts w:ascii="Palatino Linotype" w:eastAsia="Calibri" w:hAnsi="Palatino Linotype" w:cs="Arial"/>
          <w:lang w:val="es-ES"/>
        </w:rPr>
      </w:pPr>
      <w:r w:rsidRPr="007B5359">
        <w:rPr>
          <w:rFonts w:ascii="Palatino Linotype" w:eastAsia="Calibri" w:hAnsi="Palatino Linotype" w:cs="Arial"/>
          <w:lang w:val="es-ES"/>
        </w:rPr>
        <w:t>E</w:t>
      </w:r>
      <w:r w:rsidR="006D6CCC" w:rsidRPr="007B5359">
        <w:rPr>
          <w:rFonts w:ascii="Palatino Linotype" w:eastAsia="Calibri" w:hAnsi="Palatino Linotype" w:cs="Arial"/>
          <w:lang w:val="es-ES"/>
        </w:rPr>
        <w:t xml:space="preserve">l día </w:t>
      </w:r>
      <w:r w:rsidRPr="007B5359">
        <w:rPr>
          <w:rFonts w:ascii="Palatino Linotype" w:eastAsia="Calibri" w:hAnsi="Palatino Linotype" w:cs="Arial"/>
          <w:lang w:val="es-ES"/>
        </w:rPr>
        <w:t>cinco</w:t>
      </w:r>
      <w:r w:rsidR="001A4BC9" w:rsidRPr="007B5359">
        <w:rPr>
          <w:rFonts w:ascii="Palatino Linotype" w:eastAsia="Calibri" w:hAnsi="Palatino Linotype" w:cs="Arial"/>
          <w:lang w:val="es-ES"/>
        </w:rPr>
        <w:t xml:space="preserve"> </w:t>
      </w:r>
      <w:r w:rsidRPr="007B5359">
        <w:rPr>
          <w:rFonts w:ascii="Palatino Linotype" w:eastAsia="Calibri" w:hAnsi="Palatino Linotype" w:cs="Arial"/>
          <w:lang w:val="es-ES"/>
        </w:rPr>
        <w:t>(05</w:t>
      </w:r>
      <w:r w:rsidR="00A56957" w:rsidRPr="007B5359">
        <w:rPr>
          <w:rFonts w:ascii="Palatino Linotype" w:eastAsia="Calibri" w:hAnsi="Palatino Linotype" w:cs="Arial"/>
          <w:lang w:val="es-ES"/>
        </w:rPr>
        <w:t xml:space="preserve">) de </w:t>
      </w:r>
      <w:r w:rsidRPr="007B5359">
        <w:rPr>
          <w:rFonts w:ascii="Palatino Linotype" w:eastAsia="Calibri" w:hAnsi="Palatino Linotype" w:cs="Arial"/>
          <w:lang w:val="es-ES"/>
        </w:rPr>
        <w:t>febrero</w:t>
      </w:r>
      <w:r w:rsidR="00A56957" w:rsidRPr="007B5359">
        <w:rPr>
          <w:rFonts w:ascii="Palatino Linotype" w:eastAsia="Calibri" w:hAnsi="Palatino Linotype" w:cs="Arial"/>
          <w:lang w:val="es-ES"/>
        </w:rPr>
        <w:t xml:space="preserve"> de dos mil veinte</w:t>
      </w:r>
      <w:r w:rsidR="006D6CCC" w:rsidRPr="007B5359">
        <w:rPr>
          <w:rFonts w:ascii="Palatino Linotype" w:eastAsia="Calibri" w:hAnsi="Palatino Linotype" w:cs="Arial"/>
          <w:lang w:val="es-ES"/>
        </w:rPr>
        <w:t xml:space="preserve"> se notificó el </w:t>
      </w:r>
      <w:r w:rsidRPr="007B5359">
        <w:rPr>
          <w:rFonts w:ascii="Palatino Linotype" w:eastAsia="Calibri" w:hAnsi="Palatino Linotype" w:cs="Arial"/>
          <w:lang w:val="es-ES"/>
        </w:rPr>
        <w:t xml:space="preserve">Acuerdo </w:t>
      </w:r>
      <w:r w:rsidR="006D6CCC" w:rsidRPr="007B5359">
        <w:rPr>
          <w:rFonts w:ascii="Palatino Linotype" w:eastAsia="Calibri" w:hAnsi="Palatino Linotype" w:cs="Arial"/>
          <w:lang w:val="es-ES"/>
        </w:rPr>
        <w:t>mediante el cual se amplió el plazo para resolver el recurso de revisión por un periodo de quince (15) días hábiles.</w:t>
      </w:r>
      <w:r w:rsidR="001A4BC9" w:rsidRPr="007B5359">
        <w:rPr>
          <w:rFonts w:ascii="Palatino Linotype" w:eastAsia="Calibri" w:hAnsi="Palatino Linotype" w:cs="Arial"/>
          <w:lang w:val="es-ES"/>
        </w:rPr>
        <w:t xml:space="preserve"> Asimismo, e</w:t>
      </w:r>
      <w:r w:rsidR="00554DF4" w:rsidRPr="007B5359">
        <w:rPr>
          <w:rFonts w:ascii="Palatino Linotype" w:hAnsi="Palatino Linotype"/>
        </w:rPr>
        <w:t>l Comisionado Ponente decretó el cierre de instrucción</w:t>
      </w:r>
      <w:r w:rsidR="001A4BC9" w:rsidRPr="007B5359">
        <w:rPr>
          <w:rFonts w:ascii="Palatino Linotype" w:hAnsi="Palatino Linotype" w:cs="Arial"/>
        </w:rPr>
        <w:t xml:space="preserve">, </w:t>
      </w:r>
      <w:r w:rsidR="00554DF4" w:rsidRPr="007B5359">
        <w:rPr>
          <w:rFonts w:ascii="Palatino Linotype" w:hAnsi="Palatino Linotype" w:cs="Arial"/>
        </w:rPr>
        <w:t xml:space="preserve">por lo que ordenó turnar el expediente para su resolución, misma que ahora se pronuncia; </w:t>
      </w:r>
      <w:proofErr w:type="gramStart"/>
      <w:r w:rsidR="00554DF4" w:rsidRPr="007B5359">
        <w:rPr>
          <w:rFonts w:ascii="Palatino Linotype" w:hAnsi="Palatino Linotype" w:cs="Arial"/>
        </w:rPr>
        <w:t>y  -</w:t>
      </w:r>
      <w:proofErr w:type="gramEnd"/>
      <w:r w:rsidR="00554DF4" w:rsidRPr="007B5359">
        <w:rPr>
          <w:rFonts w:ascii="Palatino Linotype" w:hAnsi="Palatino Linotype" w:cs="Arial"/>
        </w:rPr>
        <w:t xml:space="preserve"> - - - - - - - - - - - </w:t>
      </w:r>
      <w:r w:rsidR="00A56957" w:rsidRPr="007B5359">
        <w:rPr>
          <w:rFonts w:ascii="Palatino Linotype" w:hAnsi="Palatino Linotype" w:cs="Arial"/>
        </w:rPr>
        <w:t xml:space="preserve">- - </w:t>
      </w:r>
      <w:r w:rsidR="008E5DF5" w:rsidRPr="007B5359">
        <w:rPr>
          <w:rFonts w:ascii="Palatino Linotype" w:hAnsi="Palatino Linotype" w:cs="Arial"/>
        </w:rPr>
        <w:t xml:space="preserve">- - - - - - - - - - - - - - - - - - - - - - - </w:t>
      </w:r>
      <w:r w:rsidRPr="007B5359">
        <w:rPr>
          <w:rFonts w:ascii="Palatino Linotype" w:hAnsi="Palatino Linotype" w:cs="Arial"/>
        </w:rPr>
        <w:t xml:space="preserve">- - - - - - - - - </w:t>
      </w:r>
    </w:p>
    <w:p w:rsidR="00554DF4" w:rsidRPr="007B5359" w:rsidRDefault="00554DF4" w:rsidP="00554DF4">
      <w:pPr>
        <w:pStyle w:val="Ttulo1"/>
        <w:jc w:val="center"/>
        <w:rPr>
          <w:b w:val="0"/>
          <w:szCs w:val="24"/>
        </w:rPr>
      </w:pPr>
      <w:bookmarkStart w:id="4" w:name="_Toc33189440"/>
      <w:r w:rsidRPr="007B5359">
        <w:rPr>
          <w:szCs w:val="24"/>
        </w:rPr>
        <w:t>CONSIDERANDO</w:t>
      </w:r>
      <w:bookmarkEnd w:id="4"/>
      <w:r w:rsidRPr="007B5359">
        <w:rPr>
          <w:szCs w:val="24"/>
        </w:rPr>
        <w:t xml:space="preserve"> </w:t>
      </w:r>
    </w:p>
    <w:p w:rsidR="00554DF4" w:rsidRPr="007B5359" w:rsidRDefault="00554DF4" w:rsidP="00554DF4">
      <w:pPr>
        <w:rPr>
          <w:rFonts w:ascii="Palatino Linotype" w:hAnsi="Palatino Linotype"/>
          <w:lang w:val="es-MX" w:eastAsia="en-US"/>
        </w:rPr>
      </w:pPr>
    </w:p>
    <w:p w:rsidR="00554DF4" w:rsidRPr="007B5359" w:rsidRDefault="00554DF4" w:rsidP="00554DF4">
      <w:pPr>
        <w:pStyle w:val="Ttulo2"/>
        <w:rPr>
          <w:rFonts w:ascii="Palatino Linotype" w:hAnsi="Palatino Linotype"/>
          <w:b/>
          <w:bCs/>
          <w:color w:val="auto"/>
          <w:spacing w:val="60"/>
          <w:sz w:val="24"/>
        </w:rPr>
      </w:pPr>
      <w:bookmarkStart w:id="5" w:name="_Toc33189441"/>
      <w:r w:rsidRPr="007B5359">
        <w:rPr>
          <w:rFonts w:ascii="Palatino Linotype" w:hAnsi="Palatino Linotype"/>
          <w:b/>
          <w:color w:val="auto"/>
          <w:sz w:val="24"/>
        </w:rPr>
        <w:t>PRIMERO. De la competencia</w:t>
      </w:r>
      <w:bookmarkEnd w:id="5"/>
    </w:p>
    <w:p w:rsidR="00554DF4" w:rsidRPr="007B5359"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7B535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B5359">
        <w:rPr>
          <w:rFonts w:ascii="Palatino Linotype" w:eastAsia="Calibri" w:hAnsi="Palatino Linotype" w:cs="Times New Roman"/>
          <w:b/>
          <w:lang w:val="es-ES"/>
        </w:rPr>
        <w:t>Constitución Política de los Estados Unidos Mexicanos</w:t>
      </w:r>
      <w:r w:rsidRPr="007B5359">
        <w:rPr>
          <w:rFonts w:ascii="Palatino Linotype" w:eastAsia="Calibri" w:hAnsi="Palatino Linotype" w:cs="Times New Roman"/>
          <w:lang w:val="es-ES"/>
        </w:rPr>
        <w:t xml:space="preserve">; 5, párrafos </w:t>
      </w:r>
      <w:r w:rsidRPr="007B5359">
        <w:rPr>
          <w:rFonts w:ascii="Palatino Linotype" w:hAnsi="Palatino Linotype" w:cs="Arial"/>
          <w:bCs/>
          <w:lang w:val="es-ES"/>
        </w:rPr>
        <w:t>vigésimo</w:t>
      </w:r>
      <w:r w:rsidR="001827D9" w:rsidRPr="007B5359">
        <w:rPr>
          <w:rFonts w:ascii="Palatino Linotype" w:hAnsi="Palatino Linotype" w:cs="Arial"/>
          <w:bCs/>
          <w:lang w:val="es-ES"/>
        </w:rPr>
        <w:t xml:space="preserve"> segundo, vigésimo tercero y vigésimo cuarto,</w:t>
      </w:r>
      <w:r w:rsidRPr="007B5359">
        <w:rPr>
          <w:rFonts w:ascii="Palatino Linotype" w:hAnsi="Palatino Linotype" w:cs="Arial"/>
          <w:bCs/>
          <w:lang w:val="es-ES"/>
        </w:rPr>
        <w:t xml:space="preserve"> </w:t>
      </w:r>
      <w:r w:rsidRPr="007B5359">
        <w:rPr>
          <w:rFonts w:ascii="Palatino Linotype" w:eastAsia="Calibri" w:hAnsi="Palatino Linotype" w:cs="Times New Roman"/>
          <w:lang w:val="es-ES"/>
        </w:rPr>
        <w:t xml:space="preserve">fracciones IV y V de la </w:t>
      </w:r>
      <w:r w:rsidRPr="007B5359">
        <w:rPr>
          <w:rFonts w:ascii="Palatino Linotype" w:eastAsia="Calibri" w:hAnsi="Palatino Linotype" w:cs="Times New Roman"/>
          <w:b/>
          <w:lang w:val="es-ES"/>
        </w:rPr>
        <w:t>Constitución Política del Estado Libre y Soberano de México</w:t>
      </w:r>
      <w:r w:rsidRPr="007B5359">
        <w:rPr>
          <w:rFonts w:ascii="Palatino Linotype" w:eastAsia="Calibri" w:hAnsi="Palatino Linotype" w:cs="Times New Roman"/>
          <w:lang w:val="es-ES"/>
        </w:rPr>
        <w:t xml:space="preserve">; artículos 1, 2 fracción II, 13, 29, 36 fracciones I y II, 176, 178, 179, 181 párrafo tercero y 185 </w:t>
      </w:r>
      <w:r w:rsidRPr="007B5359">
        <w:rPr>
          <w:rFonts w:ascii="Palatino Linotype" w:eastAsia="Calibri" w:hAnsi="Palatino Linotype" w:cs="Arial"/>
          <w:lang w:val="es-ES"/>
        </w:rPr>
        <w:t xml:space="preserve">de la </w:t>
      </w:r>
      <w:r w:rsidRPr="007B5359">
        <w:rPr>
          <w:rFonts w:ascii="Palatino Linotype" w:eastAsia="Calibri" w:hAnsi="Palatino Linotype" w:cs="Arial"/>
          <w:b/>
          <w:lang w:val="es-ES"/>
        </w:rPr>
        <w:t>Ley de Transparencia y Acceso a la Información Pública del Estado de México y Municipios</w:t>
      </w:r>
      <w:r w:rsidRPr="007B5359">
        <w:rPr>
          <w:rFonts w:ascii="Palatino Linotype" w:eastAsia="Calibri" w:hAnsi="Palatino Linotype" w:cs="Arial"/>
          <w:lang w:val="es-ES"/>
        </w:rPr>
        <w:t xml:space="preserve">; y 7, 9 fracciones I y XXIV, y 11 del </w:t>
      </w:r>
      <w:r w:rsidRPr="007B5359">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B5359">
        <w:rPr>
          <w:rFonts w:ascii="Palatino Linotype" w:hAnsi="Palatino Linotype"/>
        </w:rPr>
        <w:t>.</w:t>
      </w:r>
    </w:p>
    <w:p w:rsidR="00554DF4" w:rsidRPr="007B5359" w:rsidRDefault="00554DF4" w:rsidP="00554DF4">
      <w:pPr>
        <w:pStyle w:val="Ttulo2"/>
        <w:rPr>
          <w:rFonts w:ascii="Palatino Linotype" w:hAnsi="Palatino Linotype"/>
          <w:b/>
          <w:color w:val="auto"/>
          <w:sz w:val="24"/>
        </w:rPr>
      </w:pPr>
      <w:bookmarkStart w:id="6" w:name="_Toc33189442"/>
      <w:r w:rsidRPr="007B5359">
        <w:rPr>
          <w:rFonts w:ascii="Palatino Linotype" w:hAnsi="Palatino Linotype"/>
          <w:b/>
          <w:color w:val="auto"/>
          <w:sz w:val="24"/>
        </w:rPr>
        <w:lastRenderedPageBreak/>
        <w:t>SEGUNDO. De la oportunidad y procedencia.</w:t>
      </w:r>
      <w:bookmarkEnd w:id="6"/>
    </w:p>
    <w:p w:rsidR="00554DF4" w:rsidRPr="007B5359"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eastAsia="Calibri" w:hAnsi="Palatino Linotype" w:cs="Arial"/>
        </w:rPr>
        <w:t xml:space="preserve">El medio de impugnación fue presentado a través del </w:t>
      </w:r>
      <w:r w:rsidRPr="007B5359">
        <w:rPr>
          <w:rFonts w:ascii="Palatino Linotype" w:eastAsia="Calibri" w:hAnsi="Palatino Linotype" w:cs="Arial"/>
          <w:b/>
        </w:rPr>
        <w:t>SAIMEX,</w:t>
      </w:r>
      <w:r w:rsidRPr="007B5359">
        <w:rPr>
          <w:rFonts w:ascii="Palatino Linotype" w:eastAsia="Calibri" w:hAnsi="Palatino Linotype" w:cs="Arial"/>
        </w:rPr>
        <w:t xml:space="preserve"> en el formato previamente aprobado para tal efecto y dentro del plazo legal de quince días hábiles otorgados; siendo así que el </w:t>
      </w:r>
      <w:r w:rsidRPr="007B5359">
        <w:rPr>
          <w:rFonts w:ascii="Palatino Linotype" w:eastAsia="Calibri" w:hAnsi="Palatino Linotype" w:cs="Arial"/>
          <w:b/>
        </w:rPr>
        <w:t>SUJETO OBLIGADO</w:t>
      </w:r>
      <w:r w:rsidRPr="007B5359">
        <w:rPr>
          <w:rFonts w:ascii="Palatino Linotype" w:eastAsia="Calibri" w:hAnsi="Palatino Linotype" w:cs="Arial"/>
        </w:rPr>
        <w:t xml:space="preserve"> entregó respuesta a la solicitud el día</w:t>
      </w:r>
      <w:r w:rsidR="001A4BC9" w:rsidRPr="007B5359">
        <w:rPr>
          <w:rFonts w:ascii="Palatino Linotype" w:eastAsia="Calibri" w:hAnsi="Palatino Linotype" w:cs="Arial"/>
        </w:rPr>
        <w:t xml:space="preserve"> </w:t>
      </w:r>
      <w:r w:rsidR="001827D9" w:rsidRPr="007B5359">
        <w:rPr>
          <w:rFonts w:ascii="Palatino Linotype" w:eastAsia="Calibri" w:hAnsi="Palatino Linotype" w:cs="Arial"/>
        </w:rPr>
        <w:t>veintiuno</w:t>
      </w:r>
      <w:r w:rsidRPr="007B5359">
        <w:rPr>
          <w:rFonts w:ascii="Palatino Linotype" w:eastAsia="Calibri" w:hAnsi="Palatino Linotype" w:cs="Arial"/>
        </w:rPr>
        <w:t xml:space="preserve"> (</w:t>
      </w:r>
      <w:r w:rsidR="001827D9" w:rsidRPr="007B5359">
        <w:rPr>
          <w:rFonts w:ascii="Palatino Linotype" w:eastAsia="Calibri" w:hAnsi="Palatino Linotype" w:cs="Arial"/>
        </w:rPr>
        <w:t>21</w:t>
      </w:r>
      <w:r w:rsidRPr="007B5359">
        <w:rPr>
          <w:rFonts w:ascii="Palatino Linotype" w:eastAsia="Calibri" w:hAnsi="Palatino Linotype" w:cs="Arial"/>
        </w:rPr>
        <w:t xml:space="preserve">) de </w:t>
      </w:r>
      <w:r w:rsidR="001A4BC9" w:rsidRPr="007B5359">
        <w:rPr>
          <w:rFonts w:ascii="Palatino Linotype" w:eastAsia="Calibri" w:hAnsi="Palatino Linotype" w:cs="Arial"/>
        </w:rPr>
        <w:t>noviembre</w:t>
      </w:r>
      <w:r w:rsidRPr="007B5359">
        <w:rPr>
          <w:rFonts w:ascii="Palatino Linotype" w:eastAsia="Calibri" w:hAnsi="Palatino Linotype" w:cs="Arial"/>
        </w:rPr>
        <w:t xml:space="preserve"> de dos mil diecinueve, </w:t>
      </w:r>
      <w:r w:rsidRPr="007B5359">
        <w:rPr>
          <w:rFonts w:ascii="Palatino Linotype" w:hAnsi="Palatino Linotype" w:cs="Arial"/>
        </w:rPr>
        <w:t xml:space="preserve">de tal forma que el plazo para interponer el recurso de revisión transcurrió del </w:t>
      </w:r>
      <w:r w:rsidR="001827D9" w:rsidRPr="007B5359">
        <w:rPr>
          <w:rFonts w:ascii="Palatino Linotype" w:hAnsi="Palatino Linotype" w:cs="Arial"/>
        </w:rPr>
        <w:t>veintidós</w:t>
      </w:r>
      <w:r w:rsidRPr="007B5359">
        <w:rPr>
          <w:rFonts w:ascii="Palatino Linotype" w:hAnsi="Palatino Linotype" w:cs="Arial"/>
        </w:rPr>
        <w:t xml:space="preserve"> (</w:t>
      </w:r>
      <w:r w:rsidR="001827D9" w:rsidRPr="007B5359">
        <w:rPr>
          <w:rFonts w:ascii="Palatino Linotype" w:hAnsi="Palatino Linotype" w:cs="Arial"/>
        </w:rPr>
        <w:t>22</w:t>
      </w:r>
      <w:r w:rsidRPr="007B5359">
        <w:rPr>
          <w:rFonts w:ascii="Palatino Linotype" w:hAnsi="Palatino Linotype" w:cs="Arial"/>
        </w:rPr>
        <w:t xml:space="preserve">) </w:t>
      </w:r>
      <w:r w:rsidR="008E5DF5" w:rsidRPr="007B5359">
        <w:rPr>
          <w:rFonts w:ascii="Palatino Linotype" w:hAnsi="Palatino Linotype" w:cs="Arial"/>
        </w:rPr>
        <w:t xml:space="preserve">de noviembre al </w:t>
      </w:r>
      <w:r w:rsidR="001827D9" w:rsidRPr="007B5359">
        <w:rPr>
          <w:rFonts w:ascii="Palatino Linotype" w:hAnsi="Palatino Linotype" w:cs="Arial"/>
        </w:rPr>
        <w:t>doce</w:t>
      </w:r>
      <w:r w:rsidR="008E5DF5" w:rsidRPr="007B5359">
        <w:rPr>
          <w:rFonts w:ascii="Palatino Linotype" w:hAnsi="Palatino Linotype" w:cs="Arial"/>
        </w:rPr>
        <w:t xml:space="preserve"> (</w:t>
      </w:r>
      <w:r w:rsidR="001827D9" w:rsidRPr="007B5359">
        <w:rPr>
          <w:rFonts w:ascii="Palatino Linotype" w:hAnsi="Palatino Linotype" w:cs="Arial"/>
        </w:rPr>
        <w:t>12</w:t>
      </w:r>
      <w:r w:rsidR="008E5DF5" w:rsidRPr="007B5359">
        <w:rPr>
          <w:rFonts w:ascii="Palatino Linotype" w:hAnsi="Palatino Linotype" w:cs="Arial"/>
        </w:rPr>
        <w:t>) de</w:t>
      </w:r>
      <w:r w:rsidR="006B009B" w:rsidRPr="007B5359">
        <w:rPr>
          <w:rFonts w:ascii="Palatino Linotype" w:hAnsi="Palatino Linotype" w:cs="Arial"/>
        </w:rPr>
        <w:t xml:space="preserve"> </w:t>
      </w:r>
      <w:r w:rsidR="008E5DF5" w:rsidRPr="007B5359">
        <w:rPr>
          <w:rFonts w:ascii="Palatino Linotype" w:hAnsi="Palatino Linotype" w:cs="Arial"/>
        </w:rPr>
        <w:t>diciembre</w:t>
      </w:r>
      <w:r w:rsidR="006B009B" w:rsidRPr="007B5359">
        <w:rPr>
          <w:rFonts w:ascii="Palatino Linotype" w:hAnsi="Palatino Linotype" w:cs="Arial"/>
        </w:rPr>
        <w:t xml:space="preserve"> </w:t>
      </w:r>
      <w:r w:rsidR="00A56957" w:rsidRPr="007B5359">
        <w:rPr>
          <w:rFonts w:ascii="Palatino Linotype" w:hAnsi="Palatino Linotype" w:cs="Arial"/>
        </w:rPr>
        <w:t xml:space="preserve">de dos </w:t>
      </w:r>
      <w:r w:rsidRPr="007B5359">
        <w:rPr>
          <w:rFonts w:ascii="Palatino Linotype" w:hAnsi="Palatino Linotype" w:cs="Arial"/>
        </w:rPr>
        <w:t>mil diecinueve</w:t>
      </w:r>
      <w:r w:rsidR="001827D9" w:rsidRPr="007B5359">
        <w:rPr>
          <w:rFonts w:ascii="Palatino Linotype" w:hAnsi="Palatino Linotype" w:cs="Arial"/>
        </w:rPr>
        <w:t>.</w:t>
      </w:r>
    </w:p>
    <w:p w:rsidR="001827D9" w:rsidRPr="007B5359" w:rsidRDefault="001827D9" w:rsidP="001827D9">
      <w:pPr>
        <w:pStyle w:val="Prrafodelista"/>
        <w:spacing w:before="240" w:after="240" w:line="360" w:lineRule="auto"/>
        <w:ind w:left="0" w:right="49"/>
        <w:jc w:val="both"/>
        <w:rPr>
          <w:rFonts w:ascii="Palatino Linotype" w:hAnsi="Palatino Linotype"/>
        </w:rPr>
      </w:pPr>
    </w:p>
    <w:p w:rsidR="001827D9" w:rsidRPr="007B5359" w:rsidRDefault="001827D9"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hAnsi="Palatino Linotype" w:cs="Arial"/>
        </w:rPr>
        <w:t xml:space="preserve">El hoy </w:t>
      </w:r>
      <w:r w:rsidRPr="007B5359">
        <w:rPr>
          <w:rFonts w:ascii="Palatino Linotype" w:hAnsi="Palatino Linotype" w:cs="Arial"/>
          <w:b/>
        </w:rPr>
        <w:t xml:space="preserve">RECURRENTE </w:t>
      </w:r>
      <w:r w:rsidRPr="007B5359">
        <w:rPr>
          <w:rFonts w:ascii="Palatino Linotype" w:hAnsi="Palatino Linotype" w:cs="Arial"/>
        </w:rPr>
        <w:t>presentó su inconformidad el veintiuno (21) de noviembre de dos mil diecinueve;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rsidR="001827D9" w:rsidRPr="007B5359" w:rsidRDefault="001827D9" w:rsidP="001827D9">
      <w:pPr>
        <w:pStyle w:val="Prrafodelista"/>
        <w:spacing w:before="240" w:after="240" w:line="360" w:lineRule="auto"/>
        <w:ind w:left="0" w:right="49"/>
        <w:jc w:val="both"/>
        <w:rPr>
          <w:rFonts w:ascii="Palatino Linotype" w:hAnsi="Palatino Linotype"/>
        </w:rPr>
      </w:pPr>
    </w:p>
    <w:p w:rsidR="001827D9" w:rsidRPr="007B5359" w:rsidRDefault="001827D9"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hAnsi="Palatino Linotype" w:cs="Arial"/>
        </w:rPr>
        <w:t xml:space="preserve">Cuando </w:t>
      </w:r>
      <w:r w:rsidRPr="007B5359">
        <w:rPr>
          <w:rFonts w:ascii="Palatino Linotype" w:eastAsia="Times New Roman" w:hAnsi="Palatino Linotype" w:cs="Arial"/>
          <w:lang w:val="es-MX" w:eastAsia="es-MX"/>
        </w:rPr>
        <w:t>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(15)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rsidR="001827D9" w:rsidRPr="007B5359" w:rsidRDefault="001827D9" w:rsidP="001827D9">
      <w:pPr>
        <w:pStyle w:val="Prrafodelista"/>
        <w:spacing w:before="240" w:after="240" w:line="360" w:lineRule="auto"/>
        <w:ind w:left="0" w:right="49"/>
        <w:jc w:val="both"/>
        <w:rPr>
          <w:rFonts w:ascii="Palatino Linotype" w:hAnsi="Palatino Linotype"/>
        </w:rPr>
      </w:pPr>
    </w:p>
    <w:p w:rsidR="001827D9" w:rsidRPr="007B5359" w:rsidRDefault="001827D9"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hAnsi="Palatino Linotype" w:cs="Arial"/>
        </w:rPr>
        <w:lastRenderedPageBreak/>
        <w:t xml:space="preserve">Discernimiento de </w:t>
      </w:r>
      <w:proofErr w:type="gramStart"/>
      <w:r w:rsidRPr="007B5359">
        <w:rPr>
          <w:rFonts w:ascii="Palatino Linotype" w:hAnsi="Palatino Linotype" w:cs="Arial"/>
        </w:rPr>
        <w:t>éste</w:t>
      </w:r>
      <w:proofErr w:type="gramEnd"/>
      <w:r w:rsidRPr="007B5359">
        <w:rPr>
          <w:rFonts w:ascii="Palatino Linotype" w:hAnsi="Palatino Linotype" w:cs="Arial"/>
        </w:rPr>
        <w:t xml:space="preserve"> Órgano Garante </w:t>
      </w:r>
      <w:r w:rsidRPr="007B5359">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rsidR="001827D9" w:rsidRPr="007B5359" w:rsidRDefault="001827D9" w:rsidP="001827D9">
      <w:pPr>
        <w:pStyle w:val="Prrafodelista"/>
        <w:spacing w:before="240" w:after="240" w:line="360" w:lineRule="auto"/>
        <w:ind w:left="0" w:right="49"/>
        <w:jc w:val="both"/>
        <w:rPr>
          <w:rFonts w:ascii="Palatino Linotype" w:hAnsi="Palatino Linotype"/>
        </w:rPr>
      </w:pPr>
    </w:p>
    <w:p w:rsidR="001827D9" w:rsidRPr="007B5359" w:rsidRDefault="001827D9" w:rsidP="001827D9">
      <w:pPr>
        <w:pStyle w:val="Sinespaciado"/>
        <w:ind w:left="567" w:right="567"/>
        <w:jc w:val="both"/>
        <w:rPr>
          <w:rFonts w:ascii="Palatino Linotype" w:eastAsia="Times New Roman" w:hAnsi="Palatino Linotype" w:cs="Arial"/>
          <w:bCs/>
          <w:i/>
          <w:sz w:val="22"/>
          <w:lang w:val="es-MX" w:eastAsia="es-MX"/>
        </w:rPr>
      </w:pPr>
      <w:r w:rsidRPr="007B5359">
        <w:rPr>
          <w:rFonts w:ascii="Palatino Linotype" w:hAnsi="Palatino Linotype"/>
          <w:b/>
          <w:i/>
          <w:sz w:val="22"/>
        </w:rPr>
        <w:t>RECURSO DE RECLAMACIÓN. SU INTERPOSICIÓN NO ES EXTEMPORÁNEA SI SE REALIZA ANTES DE QUE INICIE EL PLAZO PARA HACERLO.</w:t>
      </w:r>
      <w:r w:rsidRPr="007B5359">
        <w:rPr>
          <w:rFonts w:ascii="Palatino Linotype" w:hAnsi="Palatino Linotype"/>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7B5359">
        <w:rPr>
          <w:rFonts w:ascii="Palatino Linotype" w:hAnsi="Palatino Linotype"/>
          <w:i/>
          <w:sz w:val="22"/>
        </w:rPr>
        <w:t>que</w:t>
      </w:r>
      <w:proofErr w:type="gramEnd"/>
      <w:r w:rsidRPr="007B5359">
        <w:rPr>
          <w:rFonts w:ascii="Palatino Linotype" w:hAnsi="Palatino Linotype"/>
          <w:i/>
          <w:sz w:val="22"/>
        </w:rPr>
        <w:t xml:space="preserve"> si dicho recurso se interpone antes de que inicie el plazo para hacerlo, su presentación no es extemporánea.”</w:t>
      </w:r>
    </w:p>
    <w:p w:rsidR="001827D9" w:rsidRPr="007B5359" w:rsidRDefault="001827D9" w:rsidP="001827D9">
      <w:pPr>
        <w:pStyle w:val="Prrafodelista"/>
        <w:spacing w:before="240" w:after="240" w:line="360" w:lineRule="auto"/>
        <w:ind w:left="0" w:right="49"/>
        <w:jc w:val="both"/>
        <w:rPr>
          <w:rFonts w:ascii="Palatino Linotype" w:hAnsi="Palatino Linotype"/>
        </w:rPr>
      </w:pPr>
    </w:p>
    <w:p w:rsidR="001827D9" w:rsidRPr="007B5359" w:rsidRDefault="001827D9"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hAnsi="Palatino Linotype" w:cs="Arial"/>
        </w:rPr>
        <w:t xml:space="preserve">Esto </w:t>
      </w:r>
      <w:r w:rsidRPr="007B5359">
        <w:rPr>
          <w:rFonts w:ascii="Palatino Linotype" w:hAnsi="Palatino Linotype"/>
        </w:rPr>
        <w:t xml:space="preserve">es así porque en primer lugar es necesario que el </w:t>
      </w:r>
      <w:r w:rsidRPr="007B5359">
        <w:rPr>
          <w:rFonts w:ascii="Palatino Linotype" w:hAnsi="Palatino Linotype"/>
          <w:b/>
        </w:rPr>
        <w:t>RECURRENTE</w:t>
      </w:r>
      <w:r w:rsidRPr="007B5359">
        <w:rPr>
          <w:rFonts w:ascii="Palatino Linotype" w:hAnsi="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7B5359">
        <w:rPr>
          <w:rFonts w:ascii="Palatino Linotype" w:hAnsi="Palatino Linotype"/>
          <w:b/>
        </w:rPr>
        <w:t>RECURRENTE</w:t>
      </w:r>
      <w:r w:rsidRPr="007B5359">
        <w:rPr>
          <w:rFonts w:ascii="Palatino Linotype" w:hAnsi="Palatino Linotype"/>
        </w:rPr>
        <w:t xml:space="preserve"> actúe, ya que al contrario lo que demuestra es el interés </w:t>
      </w:r>
      <w:proofErr w:type="gramStart"/>
      <w:r w:rsidRPr="007B5359">
        <w:rPr>
          <w:rFonts w:ascii="Palatino Linotype" w:hAnsi="Palatino Linotype"/>
        </w:rPr>
        <w:t>del mismo</w:t>
      </w:r>
      <w:proofErr w:type="gramEnd"/>
      <w:r w:rsidRPr="007B5359">
        <w:rPr>
          <w:rFonts w:ascii="Palatino Linotype" w:hAnsi="Palatino Linotype"/>
        </w:rPr>
        <w:t xml:space="preserve"> para ejercer su derecho bajo el principio constitucional de justicia expedita.</w:t>
      </w:r>
    </w:p>
    <w:p w:rsidR="001827D9" w:rsidRPr="007B5359" w:rsidRDefault="001827D9" w:rsidP="001827D9">
      <w:pPr>
        <w:pStyle w:val="Prrafodelista"/>
        <w:spacing w:before="240" w:after="240" w:line="360" w:lineRule="auto"/>
        <w:ind w:left="0" w:right="49"/>
        <w:jc w:val="both"/>
        <w:rPr>
          <w:rFonts w:ascii="Palatino Linotype" w:hAnsi="Palatino Linotype"/>
        </w:rPr>
      </w:pPr>
    </w:p>
    <w:p w:rsidR="001827D9" w:rsidRPr="007B5359" w:rsidRDefault="001827D9"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hAnsi="Palatino Linotype" w:cs="Arial"/>
        </w:rPr>
        <w:t xml:space="preserve">Por </w:t>
      </w:r>
      <w:r w:rsidRPr="007B5359">
        <w:rPr>
          <w:rFonts w:ascii="Palatino Linotype" w:hAnsi="Palatino Linotype"/>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827D9" w:rsidRPr="007B5359" w:rsidRDefault="001827D9" w:rsidP="001827D9">
      <w:pPr>
        <w:pStyle w:val="Prrafodelista"/>
        <w:spacing w:before="240" w:after="240" w:line="360" w:lineRule="auto"/>
        <w:ind w:left="0" w:right="49"/>
        <w:jc w:val="both"/>
        <w:rPr>
          <w:rFonts w:ascii="Palatino Linotype" w:hAnsi="Palatino Linotype"/>
        </w:rPr>
      </w:pPr>
    </w:p>
    <w:p w:rsidR="001827D9" w:rsidRPr="007B5359" w:rsidRDefault="001827D9"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hAnsi="Palatino Linotype" w:cs="Arial"/>
        </w:rPr>
        <w:t>Así, la interposición del recurso de revisión antes de que inicie el plazo para su presentación no es determinante para declararlo extemporáneo</w:t>
      </w:r>
      <w:r w:rsidRPr="007B5359">
        <w:rPr>
          <w:rFonts w:ascii="Palatino Linotype" w:eastAsia="Times New Roman" w:hAnsi="Palatino Linotype" w:cs="Arial"/>
          <w:lang w:val="es-ES" w:eastAsia="es-MX"/>
        </w:rPr>
        <w:t xml:space="preserve">, siempre y cuando ello ocurra de manera posterior a que se haya notificado la respuesta del </w:t>
      </w:r>
      <w:r w:rsidRPr="007B5359">
        <w:rPr>
          <w:rFonts w:ascii="Palatino Linotype" w:eastAsia="Times New Roman" w:hAnsi="Palatino Linotype" w:cs="Arial"/>
          <w:b/>
          <w:lang w:val="es-ES" w:eastAsia="es-MX"/>
        </w:rPr>
        <w:t>SUJETO OBLIGADO.</w:t>
      </w:r>
    </w:p>
    <w:p w:rsidR="001A4BC9" w:rsidRPr="007B5359" w:rsidRDefault="001A4BC9" w:rsidP="001A4BC9">
      <w:pPr>
        <w:pStyle w:val="Prrafodelista"/>
        <w:spacing w:before="240" w:after="240" w:line="360" w:lineRule="auto"/>
        <w:ind w:left="0" w:right="49"/>
        <w:jc w:val="both"/>
        <w:rPr>
          <w:rFonts w:ascii="Palatino Linotype" w:hAnsi="Palatino Linotype" w:cs="Arial"/>
          <w:b/>
        </w:rPr>
      </w:pPr>
    </w:p>
    <w:p w:rsidR="001A4BC9" w:rsidRPr="007B5359" w:rsidRDefault="001A4BC9" w:rsidP="001A4BC9">
      <w:pPr>
        <w:pStyle w:val="Prrafodelista"/>
        <w:numPr>
          <w:ilvl w:val="0"/>
          <w:numId w:val="18"/>
        </w:numPr>
        <w:spacing w:before="240" w:after="240" w:line="360" w:lineRule="auto"/>
        <w:ind w:left="0" w:firstLine="0"/>
        <w:jc w:val="both"/>
        <w:rPr>
          <w:rFonts w:ascii="Palatino Linotype" w:hAnsi="Palatino Linotype"/>
        </w:rPr>
      </w:pPr>
      <w:r w:rsidRPr="007B5359">
        <w:rPr>
          <w:rFonts w:ascii="Palatino Linotype" w:eastAsia="Calibri" w:hAnsi="Palatino Linotype" w:cs="Times New Roman"/>
          <w:lang w:val="es-ES"/>
        </w:rPr>
        <w:t xml:space="preserve">Por otra parte, de la revisión al expediente electrónico del </w:t>
      </w:r>
      <w:r w:rsidRPr="007B5359">
        <w:rPr>
          <w:rFonts w:ascii="Palatino Linotype" w:eastAsia="Calibri" w:hAnsi="Palatino Linotype" w:cs="Times New Roman"/>
          <w:b/>
          <w:lang w:val="es-ES"/>
        </w:rPr>
        <w:t>SAIMEX</w:t>
      </w:r>
      <w:r w:rsidRPr="007B5359">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7B5359">
        <w:rPr>
          <w:rFonts w:ascii="Palatino Linotype" w:eastAsia="Calibri" w:hAnsi="Palatino Linotype" w:cs="Times New Roman"/>
          <w:b/>
          <w:lang w:val="es-ES"/>
        </w:rPr>
        <w:t xml:space="preserve">no proporciona su nombre completo para que sea </w:t>
      </w:r>
      <w:r w:rsidRPr="007B5359">
        <w:rPr>
          <w:rFonts w:ascii="Palatino Linotype" w:eastAsia="Calibri" w:hAnsi="Palatino Linotype" w:cs="Times New Roman"/>
          <w:b/>
          <w:u w:val="single"/>
          <w:lang w:val="es-ES"/>
        </w:rPr>
        <w:t>identificado</w:t>
      </w:r>
      <w:r w:rsidRPr="007B5359">
        <w:rPr>
          <w:rFonts w:ascii="Palatino Linotype" w:eastAsia="Calibri" w:hAnsi="Palatino Linotype" w:cs="Times New Roman"/>
          <w:b/>
          <w:lang w:val="es-ES"/>
        </w:rPr>
        <w:t>,</w:t>
      </w:r>
      <w:r w:rsidRPr="007B5359">
        <w:rPr>
          <w:rFonts w:ascii="Palatino Linotype" w:eastAsia="Calibri" w:hAnsi="Palatino Linotype" w:cs="Times New Roman"/>
          <w:lang w:val="es-ES"/>
        </w:rPr>
        <w:t xml:space="preserve"> ni se tiene la certeza sobre su identidad, sin embargo, es importante señalar también que </w:t>
      </w:r>
      <w:r w:rsidRPr="007B5359">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A4BC9" w:rsidRPr="007B5359" w:rsidRDefault="001A4BC9" w:rsidP="001A4BC9">
      <w:pPr>
        <w:pStyle w:val="Prrafodelista"/>
        <w:spacing w:before="240" w:after="240" w:line="360" w:lineRule="auto"/>
        <w:ind w:left="0"/>
        <w:jc w:val="both"/>
        <w:rPr>
          <w:rFonts w:ascii="Palatino Linotype" w:hAnsi="Palatino Linotype"/>
        </w:rPr>
      </w:pPr>
    </w:p>
    <w:p w:rsidR="001A4BC9" w:rsidRPr="007B5359" w:rsidRDefault="001A4BC9" w:rsidP="001A4BC9">
      <w:pPr>
        <w:pStyle w:val="Prrafodelista"/>
        <w:numPr>
          <w:ilvl w:val="0"/>
          <w:numId w:val="18"/>
        </w:numPr>
        <w:spacing w:before="240" w:after="240" w:line="360" w:lineRule="auto"/>
        <w:ind w:left="0" w:firstLine="0"/>
        <w:jc w:val="both"/>
        <w:rPr>
          <w:rFonts w:ascii="Palatino Linotype" w:hAnsi="Palatino Linotype"/>
        </w:rPr>
      </w:pPr>
      <w:r w:rsidRPr="007B5359">
        <w:rPr>
          <w:rFonts w:ascii="Palatino Linotype" w:eastAsia="Calibri" w:hAnsi="Palatino Linotype" w:cs="Times New Roman"/>
          <w:lang w:val="es-ES"/>
        </w:rPr>
        <w:t xml:space="preserve">Esto es así, ya que de conformidad con los artículos 6, apartado A, fracciones III y IV de la </w:t>
      </w:r>
      <w:r w:rsidRPr="007B5359">
        <w:rPr>
          <w:rFonts w:ascii="Palatino Linotype" w:eastAsia="Calibri" w:hAnsi="Palatino Linotype" w:cs="Times New Roman"/>
          <w:b/>
          <w:lang w:val="es-ES"/>
        </w:rPr>
        <w:t>Constitución Política de los Estados Unidos Mexicanos</w:t>
      </w:r>
      <w:r w:rsidRPr="007B5359">
        <w:rPr>
          <w:rFonts w:ascii="Palatino Linotype" w:eastAsia="Calibri" w:hAnsi="Palatino Linotype" w:cs="Times New Roman"/>
          <w:lang w:val="es-ES"/>
        </w:rPr>
        <w:t xml:space="preserve">; 5, párrafos vigésimo, vigésimo primero y vigésimo segundo fracciones III, IV y V de la </w:t>
      </w:r>
      <w:r w:rsidRPr="007B5359">
        <w:rPr>
          <w:rFonts w:ascii="Palatino Linotype" w:eastAsia="Calibri" w:hAnsi="Palatino Linotype" w:cs="Times New Roman"/>
          <w:b/>
          <w:lang w:val="es-ES"/>
        </w:rPr>
        <w:t>Constitución Política del Estado Libre y Soberano de México</w:t>
      </w:r>
      <w:r w:rsidRPr="007B5359">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A4BC9" w:rsidRPr="007B5359" w:rsidRDefault="001A4BC9" w:rsidP="001A4BC9">
      <w:pPr>
        <w:pStyle w:val="Prrafodelista"/>
        <w:spacing w:line="360" w:lineRule="auto"/>
        <w:ind w:left="0"/>
        <w:rPr>
          <w:rFonts w:ascii="Palatino Linotype" w:eastAsia="Calibri" w:hAnsi="Palatino Linotype" w:cs="Times New Roman"/>
          <w:lang w:val="es-ES"/>
        </w:rPr>
      </w:pPr>
    </w:p>
    <w:p w:rsidR="001A4BC9" w:rsidRPr="007B5359" w:rsidRDefault="001A4BC9" w:rsidP="001A4BC9">
      <w:pPr>
        <w:pStyle w:val="Prrafodelista"/>
        <w:numPr>
          <w:ilvl w:val="0"/>
          <w:numId w:val="18"/>
        </w:numPr>
        <w:spacing w:before="240" w:after="240" w:line="360" w:lineRule="auto"/>
        <w:ind w:left="0" w:firstLine="0"/>
        <w:jc w:val="both"/>
        <w:rPr>
          <w:rFonts w:ascii="Palatino Linotype" w:hAnsi="Palatino Linotype"/>
        </w:rPr>
      </w:pPr>
      <w:r w:rsidRPr="007B5359">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A4BC9" w:rsidRPr="007B5359" w:rsidRDefault="001A4BC9" w:rsidP="001A4BC9">
      <w:pPr>
        <w:pStyle w:val="Prrafodelista"/>
        <w:spacing w:line="360" w:lineRule="auto"/>
        <w:ind w:left="0"/>
        <w:rPr>
          <w:rFonts w:ascii="Palatino Linotype" w:hAnsi="Palatino Linotype"/>
        </w:rPr>
      </w:pPr>
    </w:p>
    <w:p w:rsidR="001A4BC9" w:rsidRPr="007B5359" w:rsidRDefault="001A4BC9" w:rsidP="001A4BC9">
      <w:pPr>
        <w:pStyle w:val="Prrafodelista"/>
        <w:numPr>
          <w:ilvl w:val="0"/>
          <w:numId w:val="18"/>
        </w:numPr>
        <w:spacing w:before="240" w:after="240" w:line="360" w:lineRule="auto"/>
        <w:ind w:left="0" w:firstLine="0"/>
        <w:jc w:val="both"/>
        <w:rPr>
          <w:rFonts w:ascii="Palatino Linotype" w:hAnsi="Palatino Linotype"/>
        </w:rPr>
      </w:pPr>
      <w:r w:rsidRPr="007B5359">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A4BC9" w:rsidRPr="007B5359" w:rsidRDefault="001A4BC9" w:rsidP="001A4BC9">
      <w:pPr>
        <w:pStyle w:val="Prrafodelista"/>
        <w:spacing w:line="360" w:lineRule="auto"/>
        <w:ind w:left="0"/>
        <w:rPr>
          <w:rFonts w:ascii="Palatino Linotype" w:hAnsi="Palatino Linotype"/>
        </w:rPr>
      </w:pPr>
    </w:p>
    <w:p w:rsidR="001A4BC9" w:rsidRPr="007B5359" w:rsidRDefault="001A4BC9" w:rsidP="001A4BC9">
      <w:pPr>
        <w:pStyle w:val="Prrafodelista"/>
        <w:numPr>
          <w:ilvl w:val="0"/>
          <w:numId w:val="18"/>
        </w:numPr>
        <w:spacing w:before="240" w:after="240" w:line="360" w:lineRule="auto"/>
        <w:ind w:left="0" w:firstLine="0"/>
        <w:jc w:val="both"/>
        <w:rPr>
          <w:rFonts w:ascii="Palatino Linotype" w:hAnsi="Palatino Linotype"/>
        </w:rPr>
      </w:pPr>
      <w:r w:rsidRPr="007B5359">
        <w:rPr>
          <w:rFonts w:ascii="Palatino Linotype" w:eastAsia="Calibri" w:hAnsi="Palatino Linotype" w:cs="Times New Roman"/>
          <w:lang w:val="es-ES"/>
        </w:rPr>
        <w:t>Por</w:t>
      </w:r>
      <w:r w:rsidRPr="007B5359">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7B5359">
        <w:rPr>
          <w:rFonts w:ascii="Palatino Linotype" w:eastAsia="Times New Roman" w:hAnsi="Palatino Linotype" w:cs="Arial"/>
          <w:lang w:val="es-ES"/>
        </w:rPr>
        <w:t>Resolutor</w:t>
      </w:r>
      <w:proofErr w:type="spellEnd"/>
      <w:r w:rsidRPr="007B5359">
        <w:rPr>
          <w:rFonts w:ascii="Palatino Linotype" w:eastAsia="Times New Roman" w:hAnsi="Palatino Linotype" w:cs="Arial"/>
          <w:lang w:val="es-ES"/>
        </w:rPr>
        <w:t>.</w:t>
      </w:r>
    </w:p>
    <w:p w:rsidR="001A4BC9" w:rsidRPr="007B5359" w:rsidRDefault="001A4BC9" w:rsidP="001A4BC9">
      <w:pPr>
        <w:pStyle w:val="Prrafodelista"/>
        <w:spacing w:before="240" w:after="240" w:line="360" w:lineRule="auto"/>
        <w:ind w:left="0" w:right="49"/>
        <w:jc w:val="both"/>
        <w:rPr>
          <w:rFonts w:ascii="Palatino Linotype" w:hAnsi="Palatino Linotype"/>
        </w:rPr>
      </w:pPr>
    </w:p>
    <w:p w:rsidR="00554DF4" w:rsidRPr="007B5359" w:rsidRDefault="001827D9" w:rsidP="00587D80">
      <w:pPr>
        <w:pStyle w:val="Prrafodelista"/>
        <w:numPr>
          <w:ilvl w:val="0"/>
          <w:numId w:val="1"/>
        </w:numPr>
        <w:spacing w:before="240" w:after="240" w:line="360" w:lineRule="auto"/>
        <w:ind w:left="0" w:right="49" w:firstLine="0"/>
        <w:jc w:val="both"/>
        <w:rPr>
          <w:rFonts w:ascii="Palatino Linotype" w:hAnsi="Palatino Linotype"/>
        </w:rPr>
      </w:pPr>
      <w:r w:rsidRPr="007B5359">
        <w:rPr>
          <w:rFonts w:ascii="Palatino Linotype" w:eastAsia="Calibri" w:hAnsi="Palatino Linotype" w:cs="Arial"/>
        </w:rPr>
        <w:t>En virtud de lo anterior</w:t>
      </w:r>
      <w:r w:rsidR="00554DF4" w:rsidRPr="007B5359">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Pr="007B5359" w:rsidRDefault="00554DF4" w:rsidP="00554DF4">
      <w:pPr>
        <w:pStyle w:val="Ttulo2"/>
        <w:rPr>
          <w:rFonts w:ascii="Palatino Linotype" w:hAnsi="Palatino Linotype"/>
          <w:b/>
          <w:color w:val="auto"/>
          <w:sz w:val="24"/>
        </w:rPr>
      </w:pPr>
      <w:bookmarkStart w:id="7" w:name="_Toc33189443"/>
      <w:bookmarkStart w:id="8" w:name="_Toc486525253"/>
      <w:r w:rsidRPr="007B5359">
        <w:rPr>
          <w:rFonts w:ascii="Palatino Linotype" w:hAnsi="Palatino Linotype"/>
          <w:b/>
          <w:color w:val="auto"/>
          <w:sz w:val="24"/>
        </w:rPr>
        <w:lastRenderedPageBreak/>
        <w:t>TERCERO. Planteamiento de la Litis.</w:t>
      </w:r>
      <w:bookmarkEnd w:id="7"/>
    </w:p>
    <w:p w:rsidR="00554DF4" w:rsidRPr="007B5359" w:rsidRDefault="00554DF4" w:rsidP="00554DF4">
      <w:pPr>
        <w:rPr>
          <w:lang w:val="es-MX" w:eastAsia="en-US"/>
        </w:rPr>
      </w:pPr>
    </w:p>
    <w:p w:rsidR="00FE0502" w:rsidRPr="007B5359" w:rsidRDefault="001827D9" w:rsidP="00274DA0">
      <w:pPr>
        <w:pStyle w:val="Prrafodelista"/>
        <w:numPr>
          <w:ilvl w:val="0"/>
          <w:numId w:val="1"/>
        </w:numPr>
        <w:spacing w:before="240" w:after="240" w:line="360" w:lineRule="auto"/>
        <w:ind w:left="0" w:firstLine="0"/>
        <w:jc w:val="both"/>
        <w:rPr>
          <w:rFonts w:ascii="Palatino Linotype" w:hAnsi="Palatino Linotype" w:cs="Arial"/>
        </w:rPr>
      </w:pPr>
      <w:r w:rsidRPr="007B5359">
        <w:rPr>
          <w:rFonts w:ascii="Palatino Linotype" w:hAnsi="Palatino Linotype" w:cs="Arial"/>
        </w:rPr>
        <w:t xml:space="preserve">Se solicitó la copia del expediente completo de la compra de vehículos policiales celebrado entre el Ayuntamiento de Cuautitlán Izcalli y la persona jurídico-colectiva </w:t>
      </w:r>
      <w:proofErr w:type="spellStart"/>
      <w:r w:rsidRPr="007B5359">
        <w:rPr>
          <w:rFonts w:ascii="Palatino Linotype" w:hAnsi="Palatino Linotype" w:cs="Arial"/>
          <w:i/>
        </w:rPr>
        <w:t>Sebenssi</w:t>
      </w:r>
      <w:proofErr w:type="spellEnd"/>
      <w:r w:rsidRPr="007B5359">
        <w:rPr>
          <w:rFonts w:ascii="Palatino Linotype" w:hAnsi="Palatino Linotype" w:cs="Arial"/>
          <w:i/>
        </w:rPr>
        <w:t xml:space="preserve"> S.A. de C.V.</w:t>
      </w:r>
    </w:p>
    <w:p w:rsidR="00FE0502" w:rsidRPr="007B5359" w:rsidRDefault="00FE0502" w:rsidP="00FE0502">
      <w:pPr>
        <w:pStyle w:val="Prrafodelista"/>
        <w:spacing w:before="240" w:after="240" w:line="360" w:lineRule="auto"/>
        <w:ind w:left="0"/>
        <w:jc w:val="both"/>
        <w:rPr>
          <w:rFonts w:ascii="Palatino Linotype" w:hAnsi="Palatino Linotype" w:cs="Arial"/>
        </w:rPr>
      </w:pPr>
    </w:p>
    <w:p w:rsidR="00FE0502" w:rsidRPr="007B5359" w:rsidRDefault="001C6B98" w:rsidP="002542CA">
      <w:pPr>
        <w:pStyle w:val="Prrafodelista"/>
        <w:numPr>
          <w:ilvl w:val="0"/>
          <w:numId w:val="1"/>
        </w:numPr>
        <w:spacing w:before="240" w:after="240" w:line="360" w:lineRule="auto"/>
        <w:ind w:left="0" w:firstLine="0"/>
        <w:jc w:val="both"/>
        <w:rPr>
          <w:rFonts w:ascii="Palatino Linotype" w:hAnsi="Palatino Linotype" w:cs="Arial"/>
        </w:rPr>
      </w:pPr>
      <w:r w:rsidRPr="007B5359">
        <w:rPr>
          <w:rFonts w:ascii="Palatino Linotype" w:hAnsi="Palatino Linotype" w:cs="Arial"/>
        </w:rPr>
        <w:t xml:space="preserve">El </w:t>
      </w:r>
      <w:r w:rsidR="00990088" w:rsidRPr="007B5359">
        <w:rPr>
          <w:rFonts w:ascii="Palatino Linotype" w:hAnsi="Palatino Linotype" w:cs="Arial"/>
          <w:b/>
        </w:rPr>
        <w:t>SUJETO OBLIGADO</w:t>
      </w:r>
      <w:r w:rsidR="00990088" w:rsidRPr="007B5359">
        <w:rPr>
          <w:rFonts w:ascii="Palatino Linotype" w:hAnsi="Palatino Linotype" w:cs="Arial"/>
        </w:rPr>
        <w:t xml:space="preserve"> </w:t>
      </w:r>
      <w:r w:rsidR="008E5DF5" w:rsidRPr="007B5359">
        <w:rPr>
          <w:rFonts w:ascii="Palatino Linotype" w:hAnsi="Palatino Linotype" w:cs="Arial"/>
        </w:rPr>
        <w:t>entregó</w:t>
      </w:r>
      <w:r w:rsidR="001827D9" w:rsidRPr="007B5359">
        <w:rPr>
          <w:rFonts w:ascii="Palatino Linotype" w:hAnsi="Palatino Linotype" w:cs="Arial"/>
        </w:rPr>
        <w:t xml:space="preserve"> la copia digitalizada del Contrato para la Adquisición del Parque Vehicular que Requiere la Comisaría General de Seguridad Pública y Tránsito Municipal, celebrado entre el </w:t>
      </w:r>
      <w:r w:rsidR="00990088" w:rsidRPr="007B5359">
        <w:rPr>
          <w:rFonts w:ascii="Palatino Linotype" w:hAnsi="Palatino Linotype" w:cs="Arial"/>
        </w:rPr>
        <w:t>Ayuntamiento</w:t>
      </w:r>
      <w:r w:rsidR="001827D9" w:rsidRPr="007B5359">
        <w:rPr>
          <w:rFonts w:ascii="Palatino Linotype" w:hAnsi="Palatino Linotype" w:cs="Arial"/>
        </w:rPr>
        <w:t xml:space="preserve"> y la empresa </w:t>
      </w:r>
      <w:proofErr w:type="spellStart"/>
      <w:r w:rsidR="001827D9" w:rsidRPr="007B5359">
        <w:rPr>
          <w:rFonts w:ascii="Palatino Linotype" w:hAnsi="Palatino Linotype" w:cs="Arial"/>
          <w:i/>
        </w:rPr>
        <w:t>Sebenssi</w:t>
      </w:r>
      <w:proofErr w:type="spellEnd"/>
      <w:r w:rsidR="001827D9" w:rsidRPr="007B5359">
        <w:rPr>
          <w:rFonts w:ascii="Palatino Linotype" w:hAnsi="Palatino Linotype" w:cs="Arial"/>
          <w:i/>
        </w:rPr>
        <w:t xml:space="preserve"> S.A. de C.V.</w:t>
      </w:r>
      <w:r w:rsidR="001827D9" w:rsidRPr="007B5359">
        <w:rPr>
          <w:rFonts w:ascii="Palatino Linotype" w:hAnsi="Palatino Linotype" w:cs="Arial"/>
        </w:rPr>
        <w:t>, suscrito el doce (12) de abril del dos mil diecinueve</w:t>
      </w:r>
      <w:r w:rsidR="00990088" w:rsidRPr="007B5359">
        <w:rPr>
          <w:rFonts w:ascii="Palatino Linotype" w:hAnsi="Palatino Linotype" w:cs="Arial"/>
        </w:rPr>
        <w:t>.</w:t>
      </w:r>
    </w:p>
    <w:p w:rsidR="008E5DF5" w:rsidRPr="007B5359" w:rsidRDefault="008E5DF5" w:rsidP="008E5DF5">
      <w:pPr>
        <w:pStyle w:val="Prrafodelista"/>
        <w:rPr>
          <w:rFonts w:ascii="Palatino Linotype" w:hAnsi="Palatino Linotype" w:cs="Arial"/>
        </w:rPr>
      </w:pPr>
    </w:p>
    <w:p w:rsidR="00FE0502" w:rsidRPr="007B5359" w:rsidRDefault="001C6B98" w:rsidP="00FE0502">
      <w:pPr>
        <w:pStyle w:val="Prrafodelista"/>
        <w:numPr>
          <w:ilvl w:val="0"/>
          <w:numId w:val="1"/>
        </w:numPr>
        <w:spacing w:before="240" w:after="240" w:line="360" w:lineRule="auto"/>
        <w:ind w:left="0" w:firstLine="0"/>
        <w:jc w:val="both"/>
        <w:rPr>
          <w:rFonts w:ascii="Palatino Linotype" w:hAnsi="Palatino Linotype" w:cs="Arial"/>
        </w:rPr>
      </w:pPr>
      <w:r w:rsidRPr="007B5359">
        <w:rPr>
          <w:rFonts w:ascii="Palatino Linotype" w:hAnsi="Palatino Linotype" w:cs="Arial"/>
        </w:rPr>
        <w:t xml:space="preserve">El </w:t>
      </w:r>
      <w:r w:rsidR="00990088" w:rsidRPr="007B5359">
        <w:rPr>
          <w:rFonts w:ascii="Palatino Linotype" w:hAnsi="Palatino Linotype" w:cs="Arial"/>
          <w:b/>
        </w:rPr>
        <w:t>RECURRENTE</w:t>
      </w:r>
      <w:r w:rsidR="00990088" w:rsidRPr="007B5359">
        <w:rPr>
          <w:rFonts w:ascii="Palatino Linotype" w:hAnsi="Palatino Linotype" w:cs="Arial"/>
        </w:rPr>
        <w:t xml:space="preserve"> </w:t>
      </w:r>
      <w:r w:rsidRPr="007B5359">
        <w:rPr>
          <w:rFonts w:ascii="Palatino Linotype" w:hAnsi="Palatino Linotype" w:cs="Arial"/>
        </w:rPr>
        <w:t xml:space="preserve">se inconformó </w:t>
      </w:r>
      <w:r w:rsidR="00990088" w:rsidRPr="007B5359">
        <w:rPr>
          <w:rFonts w:ascii="Palatino Linotype" w:hAnsi="Palatino Linotype" w:cs="Arial"/>
        </w:rPr>
        <w:t>señalando que la información estaba incompleta y sin sustento</w:t>
      </w:r>
      <w:r w:rsidR="00FE0502" w:rsidRPr="007B5359">
        <w:rPr>
          <w:rFonts w:ascii="Palatino Linotype" w:hAnsi="Palatino Linotype" w:cs="Arial"/>
        </w:rPr>
        <w:t>.</w:t>
      </w:r>
    </w:p>
    <w:p w:rsidR="001C6B98" w:rsidRPr="007B5359" w:rsidRDefault="00FE0502" w:rsidP="00FE0502">
      <w:pPr>
        <w:pStyle w:val="Prrafodelista"/>
        <w:spacing w:before="240" w:after="240" w:line="360" w:lineRule="auto"/>
        <w:ind w:left="0"/>
        <w:jc w:val="both"/>
        <w:rPr>
          <w:rFonts w:ascii="Palatino Linotype" w:hAnsi="Palatino Linotype" w:cs="Arial"/>
        </w:rPr>
      </w:pPr>
      <w:r w:rsidRPr="007B5359">
        <w:rPr>
          <w:rFonts w:ascii="Palatino Linotype" w:hAnsi="Palatino Linotype" w:cs="Arial"/>
        </w:rPr>
        <w:t xml:space="preserve"> </w:t>
      </w:r>
    </w:p>
    <w:p w:rsidR="00554DF4" w:rsidRPr="007B5359"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7B5359">
        <w:rPr>
          <w:rFonts w:ascii="Palatino Linotype" w:hAnsi="Palatino Linotype" w:cs="Arial"/>
        </w:rPr>
        <w:t xml:space="preserve"> </w:t>
      </w:r>
      <w:r w:rsidRPr="007B5359">
        <w:rPr>
          <w:rFonts w:ascii="Palatino Linotype" w:eastAsia="Times New Roman" w:hAnsi="Palatino Linotype" w:cs="Arial"/>
        </w:rPr>
        <w:t xml:space="preserve">En dichas condiciones, la </w:t>
      </w:r>
      <w:proofErr w:type="spellStart"/>
      <w:r w:rsidRPr="007B5359">
        <w:rPr>
          <w:rFonts w:ascii="Palatino Linotype" w:eastAsia="Times New Roman" w:hAnsi="Palatino Linotype" w:cs="Arial"/>
          <w:i/>
        </w:rPr>
        <w:t>litis</w:t>
      </w:r>
      <w:proofErr w:type="spellEnd"/>
      <w:r w:rsidRPr="007B5359">
        <w:rPr>
          <w:rFonts w:ascii="Palatino Linotype" w:eastAsia="Times New Roman" w:hAnsi="Palatino Linotype" w:cs="Arial"/>
        </w:rPr>
        <w:t xml:space="preserve"> a resolver en este recurso se circunscribe a determinar si </w:t>
      </w:r>
      <w:r w:rsidRPr="007B5359">
        <w:rPr>
          <w:rFonts w:ascii="Palatino Linotype" w:eastAsia="MS Mincho" w:hAnsi="Palatino Linotype" w:cs="Arial"/>
        </w:rPr>
        <w:t xml:space="preserve">se actualiza la causal de procedencia prevista en el artículo 179, fracciones </w:t>
      </w:r>
      <w:r w:rsidR="00A325A7" w:rsidRPr="007B5359">
        <w:rPr>
          <w:rFonts w:ascii="Palatino Linotype" w:eastAsia="MS Mincho" w:hAnsi="Palatino Linotype" w:cs="Arial"/>
          <w:b/>
        </w:rPr>
        <w:t>V</w:t>
      </w:r>
      <w:r w:rsidR="001C6B98" w:rsidRPr="007B5359">
        <w:rPr>
          <w:rFonts w:ascii="Palatino Linotype" w:eastAsia="MS Mincho" w:hAnsi="Palatino Linotype" w:cs="Arial"/>
        </w:rPr>
        <w:t xml:space="preserve"> </w:t>
      </w:r>
      <w:r w:rsidR="00990088" w:rsidRPr="007B5359">
        <w:rPr>
          <w:rFonts w:ascii="Palatino Linotype" w:eastAsia="MS Mincho" w:hAnsi="Palatino Linotype" w:cs="Arial"/>
        </w:rPr>
        <w:t xml:space="preserve">y </w:t>
      </w:r>
      <w:proofErr w:type="spellStart"/>
      <w:r w:rsidR="00990088" w:rsidRPr="007B5359">
        <w:rPr>
          <w:rFonts w:ascii="Palatino Linotype" w:eastAsia="MS Mincho" w:hAnsi="Palatino Linotype" w:cs="Arial"/>
          <w:b/>
        </w:rPr>
        <w:t>XIII</w:t>
      </w:r>
      <w:r w:rsidRPr="007B5359">
        <w:rPr>
          <w:rFonts w:ascii="Palatino Linotype" w:eastAsia="MS Mincho" w:hAnsi="Palatino Linotype" w:cs="Arial"/>
        </w:rPr>
        <w:t>de</w:t>
      </w:r>
      <w:proofErr w:type="spellEnd"/>
      <w:r w:rsidRPr="007B5359">
        <w:rPr>
          <w:rFonts w:ascii="Palatino Linotype" w:eastAsia="MS Mincho" w:hAnsi="Palatino Linotype" w:cs="Arial"/>
        </w:rPr>
        <w:t xml:space="preserve"> la Ley de Transparencia y Acceso a la Información Pública del Estado de México y Municipios.</w:t>
      </w:r>
    </w:p>
    <w:p w:rsidR="00554DF4" w:rsidRPr="007B5359" w:rsidRDefault="00554DF4" w:rsidP="00554DF4">
      <w:pPr>
        <w:rPr>
          <w:lang w:val="es-MX" w:eastAsia="en-US"/>
        </w:rPr>
      </w:pPr>
    </w:p>
    <w:p w:rsidR="00554DF4" w:rsidRPr="007B5359" w:rsidRDefault="00554DF4" w:rsidP="00554DF4">
      <w:pPr>
        <w:pStyle w:val="Ttulo2"/>
        <w:rPr>
          <w:rFonts w:ascii="Palatino Linotype" w:eastAsia="Times New Roman" w:hAnsi="Palatino Linotype" w:cs="Arial"/>
          <w:color w:val="auto"/>
        </w:rPr>
      </w:pPr>
      <w:bookmarkStart w:id="9" w:name="_Toc33189444"/>
      <w:r w:rsidRPr="007B5359">
        <w:rPr>
          <w:rFonts w:ascii="Palatino Linotype" w:hAnsi="Palatino Linotype"/>
          <w:b/>
          <w:color w:val="auto"/>
          <w:sz w:val="24"/>
        </w:rPr>
        <w:t xml:space="preserve">CUARTO. </w:t>
      </w:r>
      <w:bookmarkEnd w:id="8"/>
      <w:r w:rsidRPr="007B5359">
        <w:rPr>
          <w:rFonts w:ascii="Palatino Linotype" w:hAnsi="Palatino Linotype"/>
          <w:b/>
          <w:color w:val="auto"/>
          <w:sz w:val="24"/>
        </w:rPr>
        <w:t>Análisis y resolución del asunto.</w:t>
      </w:r>
      <w:bookmarkEnd w:id="9"/>
    </w:p>
    <w:p w:rsidR="00554DF4" w:rsidRPr="007B5359" w:rsidRDefault="00554DF4" w:rsidP="00554DF4">
      <w:pPr>
        <w:pStyle w:val="Prrafodelista"/>
        <w:rPr>
          <w:rFonts w:ascii="Palatino Linotype" w:hAnsi="Palatino Linotype" w:cs="Arial"/>
        </w:rPr>
      </w:pPr>
      <w:bookmarkStart w:id="10" w:name="_Toc476675991"/>
      <w:bookmarkStart w:id="11" w:name="_Toc454373811"/>
      <w:bookmarkStart w:id="12" w:name="_Toc452722829"/>
    </w:p>
    <w:p w:rsidR="00554DF4" w:rsidRPr="007B5359" w:rsidRDefault="00554DF4" w:rsidP="00587D80">
      <w:pPr>
        <w:pStyle w:val="Ttulo2"/>
        <w:numPr>
          <w:ilvl w:val="0"/>
          <w:numId w:val="4"/>
        </w:numPr>
        <w:spacing w:line="256" w:lineRule="auto"/>
        <w:rPr>
          <w:rFonts w:ascii="Palatino Linotype" w:hAnsi="Palatino Linotype"/>
          <w:b/>
          <w:color w:val="auto"/>
          <w:sz w:val="24"/>
        </w:rPr>
      </w:pPr>
      <w:bookmarkStart w:id="13" w:name="_Toc9525984"/>
      <w:bookmarkStart w:id="14" w:name="_Toc33189445"/>
      <w:r w:rsidRPr="007B5359">
        <w:rPr>
          <w:rFonts w:ascii="Palatino Linotype" w:hAnsi="Palatino Linotype"/>
          <w:b/>
          <w:color w:val="auto"/>
          <w:sz w:val="24"/>
        </w:rPr>
        <w:t>El derecho de acceso a la información.</w:t>
      </w:r>
      <w:bookmarkEnd w:id="13"/>
      <w:bookmarkEnd w:id="14"/>
    </w:p>
    <w:p w:rsidR="00554DF4" w:rsidRPr="007B5359" w:rsidRDefault="00554DF4" w:rsidP="00554DF4">
      <w:pPr>
        <w:rPr>
          <w:lang w:val="es-MX" w:eastAsia="en-US"/>
        </w:rPr>
      </w:pPr>
    </w:p>
    <w:p w:rsidR="00554DF4" w:rsidRPr="007B5359" w:rsidRDefault="00554DF4" w:rsidP="00587D80">
      <w:pPr>
        <w:pStyle w:val="Prrafodelista"/>
        <w:numPr>
          <w:ilvl w:val="0"/>
          <w:numId w:val="1"/>
        </w:numPr>
        <w:spacing w:line="360" w:lineRule="auto"/>
        <w:ind w:left="0" w:firstLine="0"/>
        <w:jc w:val="both"/>
        <w:rPr>
          <w:rFonts w:ascii="Palatino Linotype" w:hAnsi="Palatino Linotype"/>
          <w:sz w:val="22"/>
          <w:szCs w:val="22"/>
        </w:rPr>
      </w:pPr>
      <w:r w:rsidRPr="007B5359">
        <w:rPr>
          <w:rFonts w:ascii="Palatino Linotype" w:hAnsi="Palatino Linotype"/>
          <w:sz w:val="22"/>
          <w:szCs w:val="22"/>
        </w:rPr>
        <w:t xml:space="preserve">El Derecho que tutela este Órgano Garante es la </w:t>
      </w:r>
      <w:r w:rsidRPr="007B5359">
        <w:rPr>
          <w:rFonts w:ascii="Palatino Linotype" w:eastAsia="Times New Roman" w:hAnsi="Palatino Linotype" w:cs="Arial"/>
          <w:lang w:eastAsia="es-MX"/>
        </w:rPr>
        <w:t xml:space="preserve"> </w:t>
      </w:r>
      <w:r w:rsidRPr="007B5359">
        <w:rPr>
          <w:rFonts w:ascii="Palatino Linotype" w:eastAsia="MS Mincho" w:hAnsi="Palatino Linotype" w:cs="Times New Roman"/>
          <w:i/>
        </w:rPr>
        <w:t>igualdad de oportunidades para recibir, buscar e impartir información</w:t>
      </w:r>
      <w:r w:rsidRPr="007B5359">
        <w:rPr>
          <w:rStyle w:val="Refdenotaalpie"/>
          <w:rFonts w:ascii="Palatino Linotype" w:eastAsia="MS Mincho" w:hAnsi="Palatino Linotype" w:cs="Times New Roman"/>
          <w:i/>
        </w:rPr>
        <w:footnoteReference w:id="1"/>
      </w:r>
      <w:r w:rsidRPr="007B5359">
        <w:rPr>
          <w:rFonts w:ascii="Palatino Linotype" w:eastAsia="MS Mincho" w:hAnsi="Palatino Linotype" w:cs="Times New Roman"/>
          <w:i/>
        </w:rPr>
        <w:t xml:space="preserve"> en posesión de cualquier autoridad, entidad, órgano y organismo de los poderes Ejecutivo, Legislativo y Judicial, órganos autónomos, partidos </w:t>
      </w:r>
      <w:r w:rsidRPr="007B5359">
        <w:rPr>
          <w:rFonts w:ascii="Palatino Linotype" w:eastAsia="MS Mincho" w:hAnsi="Palatino Linotype" w:cs="Times New Roman"/>
          <w:i/>
        </w:rPr>
        <w:lastRenderedPageBreak/>
        <w:t>políticos, fideicomisos, y fondos públicos, así como de cualquier persona física, moral o sindicato que reciba y ejerza recursos públicos o realice actos de autoridad en el ámbito federal, estatal y municipal</w:t>
      </w:r>
      <w:r w:rsidRPr="007B5359">
        <w:rPr>
          <w:rStyle w:val="Refdenotaalpie"/>
          <w:rFonts w:ascii="Palatino Linotype" w:eastAsia="MS Mincho" w:hAnsi="Palatino Linotype" w:cs="Times New Roman"/>
        </w:rPr>
        <w:footnoteReference w:id="2"/>
      </w:r>
      <w:r w:rsidRPr="007B5359">
        <w:rPr>
          <w:rFonts w:ascii="Palatino Linotype" w:eastAsia="MS Mincho" w:hAnsi="Palatino Linotype" w:cs="Times New Roman"/>
          <w:i/>
        </w:rPr>
        <w:t xml:space="preserve"> </w:t>
      </w:r>
      <w:r w:rsidRPr="007B5359">
        <w:rPr>
          <w:rFonts w:ascii="Palatino Linotype" w:eastAsia="MS Mincho" w:hAnsi="Palatino Linotype" w:cs="Times New Roman"/>
        </w:rPr>
        <w:t xml:space="preserve">que se constituye como una herramienta fundamental para </w:t>
      </w:r>
      <w:r w:rsidRPr="007B5359">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7B5359">
        <w:rPr>
          <w:rStyle w:val="Refdenotaalpie"/>
          <w:rFonts w:ascii="Palatino Linotype" w:eastAsia="MS Mincho" w:hAnsi="Palatino Linotype" w:cs="Times New Roman"/>
          <w:i/>
        </w:rPr>
        <w:footnoteReference w:id="3"/>
      </w:r>
      <w:r w:rsidRPr="007B5359">
        <w:rPr>
          <w:rFonts w:ascii="Palatino Linotype" w:eastAsia="MS Mincho" w:hAnsi="Palatino Linotype" w:cs="Times New Roman"/>
        </w:rPr>
        <w:t>fomentando</w:t>
      </w:r>
      <w:r w:rsidRPr="007B5359">
        <w:rPr>
          <w:rFonts w:ascii="Palatino Linotype" w:eastAsia="MS Mincho" w:hAnsi="Palatino Linotype" w:cs="Times New Roman"/>
          <w:i/>
        </w:rPr>
        <w:t xml:space="preserve"> la transparencia de las actividades estatales y</w:t>
      </w:r>
      <w:r w:rsidRPr="007B5359">
        <w:rPr>
          <w:rFonts w:ascii="Palatino Linotype" w:eastAsia="MS Mincho" w:hAnsi="Palatino Linotype" w:cs="Times New Roman"/>
        </w:rPr>
        <w:t xml:space="preserve"> promoviendo</w:t>
      </w:r>
      <w:r w:rsidRPr="007B5359">
        <w:rPr>
          <w:rFonts w:ascii="Palatino Linotype" w:eastAsia="MS Mincho" w:hAnsi="Palatino Linotype" w:cs="Times New Roman"/>
          <w:i/>
        </w:rPr>
        <w:t xml:space="preserve"> la responsabilidad de los funcionarios sobre su gestión pública</w:t>
      </w:r>
      <w:r w:rsidRPr="007B5359">
        <w:rPr>
          <w:rStyle w:val="Refdenotaalpie"/>
          <w:rFonts w:ascii="Palatino Linotype" w:eastAsia="MS Mincho" w:hAnsi="Palatino Linotype" w:cs="Times New Roman"/>
          <w:i/>
        </w:rPr>
        <w:footnoteReference w:id="4"/>
      </w:r>
      <w:r w:rsidRPr="007B5359">
        <w:rPr>
          <w:rFonts w:ascii="Palatino Linotype" w:eastAsia="MS Mincho" w:hAnsi="Palatino Linotype" w:cs="Times New Roman"/>
          <w:i/>
        </w:rPr>
        <w:t xml:space="preserve"> </w:t>
      </w:r>
      <w:r w:rsidRPr="007B5359">
        <w:rPr>
          <w:rFonts w:ascii="Palatino Linotype" w:eastAsia="MS Mincho" w:hAnsi="Palatino Linotype" w:cs="Times New Roman"/>
        </w:rPr>
        <w:t>que permite</w:t>
      </w:r>
      <w:r w:rsidRPr="007B5359">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7B5359">
        <w:rPr>
          <w:rStyle w:val="Refdenotaalpie"/>
          <w:rFonts w:ascii="Palatino Linotype" w:eastAsia="MS Mincho" w:hAnsi="Palatino Linotype" w:cs="Times New Roman"/>
          <w:i/>
        </w:rPr>
        <w:footnoteReference w:id="5"/>
      </w:r>
      <w:r w:rsidRPr="007B5359">
        <w:rPr>
          <w:rFonts w:ascii="Palatino Linotype" w:eastAsia="MS Mincho" w:hAnsi="Palatino Linotype" w:cs="Times New Roman"/>
        </w:rPr>
        <w:t xml:space="preserve"> ” </w:t>
      </w:r>
    </w:p>
    <w:p w:rsidR="00554DF4" w:rsidRPr="007B5359" w:rsidRDefault="00554DF4" w:rsidP="00554DF4">
      <w:pPr>
        <w:pStyle w:val="Prrafodelista"/>
        <w:spacing w:line="360" w:lineRule="auto"/>
        <w:ind w:left="0"/>
        <w:jc w:val="both"/>
        <w:rPr>
          <w:rFonts w:ascii="Palatino Linotype" w:hAnsi="Palatino Linotype"/>
          <w:sz w:val="22"/>
          <w:szCs w:val="22"/>
        </w:rPr>
      </w:pPr>
    </w:p>
    <w:p w:rsidR="00554DF4" w:rsidRPr="007B5359" w:rsidRDefault="00554DF4" w:rsidP="00587D80">
      <w:pPr>
        <w:pStyle w:val="Prrafodelista"/>
        <w:numPr>
          <w:ilvl w:val="0"/>
          <w:numId w:val="1"/>
        </w:numPr>
        <w:spacing w:before="240" w:after="360" w:line="360" w:lineRule="auto"/>
        <w:ind w:left="0" w:firstLine="0"/>
        <w:jc w:val="both"/>
        <w:rPr>
          <w:rFonts w:ascii="Palatino Linotype" w:hAnsi="Palatino Linotype" w:cs="Arial"/>
          <w:i/>
        </w:rPr>
      </w:pPr>
      <w:r w:rsidRPr="007B5359">
        <w:rPr>
          <w:rFonts w:ascii="Palatino Linotype" w:hAnsi="Palatino Linotype" w:cs="Arial"/>
        </w:rPr>
        <w:t xml:space="preserve">Ahora </w:t>
      </w:r>
      <w:proofErr w:type="gramStart"/>
      <w:r w:rsidRPr="007B5359">
        <w:rPr>
          <w:rFonts w:ascii="Palatino Linotype" w:hAnsi="Palatino Linotype" w:cs="Arial"/>
        </w:rPr>
        <w:t>bien</w:t>
      </w:r>
      <w:proofErr w:type="gramEnd"/>
      <w:r w:rsidRPr="007B5359">
        <w:rPr>
          <w:rFonts w:ascii="Palatino Linotype" w:hAnsi="Palatino Linotype" w:cs="Arial"/>
        </w:rPr>
        <w:t xml:space="preserve"> para entender los alcances de la información pública se considera importante citar el criterio </w:t>
      </w:r>
      <w:r w:rsidRPr="007B535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B5359">
        <w:rPr>
          <w:rFonts w:ascii="Palatino Linotype" w:hAnsi="Palatino Linotype" w:cs="Arial"/>
        </w:rPr>
        <w:t>cuyo rubro y texto dispone:</w:t>
      </w:r>
    </w:p>
    <w:p w:rsidR="00554DF4" w:rsidRPr="007B5359"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Pr="007B5359"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7B5359">
        <w:rPr>
          <w:rFonts w:ascii="Palatino Linotype" w:hAnsi="Palatino Linotype" w:cs="Arial"/>
          <w:b/>
          <w:i/>
          <w:sz w:val="22"/>
          <w:szCs w:val="22"/>
          <w:lang w:val="es-MX" w:eastAsia="es-MX"/>
        </w:rPr>
        <w:t>“CRITERIO 0002-11</w:t>
      </w:r>
    </w:p>
    <w:p w:rsidR="00554DF4" w:rsidRPr="007B5359"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B5359">
        <w:rPr>
          <w:rFonts w:ascii="Palatino Linotype" w:hAnsi="Palatino Linotype" w:cs="Arial"/>
          <w:b/>
          <w:i/>
          <w:sz w:val="22"/>
          <w:szCs w:val="22"/>
          <w:lang w:val="es-MX" w:eastAsia="es-MX"/>
        </w:rPr>
        <w:t xml:space="preserve">INFORMACIÓN PÚBLICA, CONCEPTO DE, EN MATERIA DE TRANSPARENCIA. INTERPRETACIÓN TEMÁTICA DE LOS ARTÍCULOS 2, </w:t>
      </w:r>
      <w:r w:rsidRPr="007B5359">
        <w:rPr>
          <w:rFonts w:ascii="Palatino Linotype" w:hAnsi="Palatino Linotype" w:cs="Arial"/>
          <w:b/>
          <w:i/>
          <w:sz w:val="22"/>
          <w:szCs w:val="22"/>
          <w:lang w:val="es-MX" w:eastAsia="es-MX"/>
        </w:rPr>
        <w:lastRenderedPageBreak/>
        <w:t xml:space="preserve">FRACCIÓN </w:t>
      </w:r>
      <w:r w:rsidRPr="007B5359">
        <w:rPr>
          <w:rFonts w:ascii="Palatino Linotype" w:hAnsi="Palatino Linotype" w:cs="Arial"/>
          <w:b/>
          <w:bCs/>
          <w:i/>
          <w:sz w:val="22"/>
          <w:szCs w:val="22"/>
          <w:lang w:val="es-MX" w:eastAsia="es-MX"/>
        </w:rPr>
        <w:t xml:space="preserve">V, XV, Y XVI, </w:t>
      </w:r>
      <w:r w:rsidRPr="007B5359">
        <w:rPr>
          <w:rFonts w:ascii="Palatino Linotype" w:hAnsi="Palatino Linotype" w:cs="Arial"/>
          <w:b/>
          <w:i/>
          <w:sz w:val="22"/>
          <w:szCs w:val="22"/>
          <w:lang w:val="es-MX" w:eastAsia="es-MX"/>
        </w:rPr>
        <w:t>3, 4,11 Y 41.</w:t>
      </w:r>
      <w:r w:rsidRPr="007B5359">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7B5359"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B5359">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Pr="007B5359"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B5359">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7B5359"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7B5359">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7B5359" w:rsidRDefault="00554DF4" w:rsidP="00554DF4">
      <w:pPr>
        <w:spacing w:line="360" w:lineRule="auto"/>
        <w:ind w:left="567" w:right="567"/>
        <w:jc w:val="both"/>
        <w:rPr>
          <w:rFonts w:ascii="Palatino Linotype" w:hAnsi="Palatino Linotype" w:cs="Arial"/>
          <w:i/>
          <w:sz w:val="22"/>
          <w:szCs w:val="22"/>
        </w:rPr>
      </w:pPr>
      <w:r w:rsidRPr="007B5359">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7B5359"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7B5359"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7B5359">
        <w:rPr>
          <w:rFonts w:ascii="Palatino Linotype" w:hAnsi="Palatino Linotype"/>
          <w:lang w:val="es-ES"/>
        </w:rPr>
        <w:t xml:space="preserve">El derecho de acceso a la información encuentra su materia elemental en los documentos, y la Ley de Transparencia </w:t>
      </w:r>
      <w:proofErr w:type="gramStart"/>
      <w:r w:rsidRPr="007B5359">
        <w:rPr>
          <w:rFonts w:ascii="Palatino Linotype" w:hAnsi="Palatino Linotype"/>
          <w:lang w:val="es-ES"/>
        </w:rPr>
        <w:t>local  nos</w:t>
      </w:r>
      <w:proofErr w:type="gramEnd"/>
      <w:r w:rsidRPr="007B5359">
        <w:rPr>
          <w:rFonts w:ascii="Palatino Linotype" w:hAnsi="Palatino Linotype"/>
          <w:lang w:val="es-ES"/>
        </w:rPr>
        <w:t xml:space="preserve"> brinda el siguiente concepto, para darnos un mejor panorama:</w:t>
      </w:r>
    </w:p>
    <w:p w:rsidR="00554DF4" w:rsidRPr="007B5359"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7B5359">
        <w:rPr>
          <w:rFonts w:ascii="Palatino Linotype" w:eastAsiaTheme="minorHAnsi" w:hAnsi="Palatino Linotype" w:cs="Bookman Old Style,Bold"/>
          <w:b/>
          <w:bCs/>
          <w:i/>
          <w:sz w:val="22"/>
          <w:szCs w:val="20"/>
          <w:lang w:val="es-MX" w:eastAsia="en-US"/>
        </w:rPr>
        <w:t xml:space="preserve">XI. Documento: </w:t>
      </w:r>
      <w:r w:rsidRPr="007B5359">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7B5359">
        <w:rPr>
          <w:rFonts w:ascii="Palatino Linotype" w:eastAsiaTheme="minorHAnsi" w:hAnsi="Palatino Linotype" w:cs="Bookman Old Style"/>
          <w:b/>
          <w:i/>
          <w:sz w:val="22"/>
          <w:szCs w:val="20"/>
          <w:lang w:val="es-MX" w:eastAsia="en-US"/>
        </w:rPr>
        <w:t>cualquier otro registro</w:t>
      </w:r>
      <w:r w:rsidRPr="007B5359">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7B5359"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7B5359"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B5359">
        <w:rPr>
          <w:rFonts w:ascii="Palatino Linotype" w:hAnsi="Palatino Linotype"/>
          <w:lang w:val="es-ES"/>
        </w:rPr>
        <w:lastRenderedPageBreak/>
        <w:t xml:space="preserve">Es así </w:t>
      </w:r>
      <w:proofErr w:type="gramStart"/>
      <w:r w:rsidRPr="007B5359">
        <w:rPr>
          <w:rFonts w:ascii="Palatino Linotype" w:hAnsi="Palatino Linotype"/>
          <w:lang w:val="es-ES"/>
        </w:rPr>
        <w:t>que</w:t>
      </w:r>
      <w:proofErr w:type="gramEnd"/>
      <w:r w:rsidRPr="007B5359">
        <w:rPr>
          <w:rFonts w:ascii="Palatino Linotype" w:hAnsi="Palatino Linotype"/>
          <w:lang w:val="es-ES"/>
        </w:rPr>
        <w:t>,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Pr="007B5359" w:rsidRDefault="00554DF4" w:rsidP="00554DF4">
      <w:pPr>
        <w:pStyle w:val="Prrafodelista"/>
        <w:spacing w:line="360" w:lineRule="auto"/>
        <w:ind w:left="0"/>
        <w:jc w:val="both"/>
        <w:rPr>
          <w:rFonts w:ascii="Palatino Linotype" w:eastAsia="Calibri" w:hAnsi="Palatino Linotype" w:cs="Arial"/>
        </w:rPr>
      </w:pPr>
    </w:p>
    <w:p w:rsidR="00554DF4" w:rsidRPr="007B5359"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7B5359">
        <w:rPr>
          <w:rFonts w:ascii="Palatino Linotype" w:eastAsia="Calibri" w:hAnsi="Palatino Linotype" w:cs="Arial"/>
        </w:rPr>
        <w:t>E</w:t>
      </w:r>
      <w:r w:rsidRPr="007B5359">
        <w:rPr>
          <w:rFonts w:ascii="Palatino Linotype" w:eastAsia="MS Mincho" w:hAnsi="Palatino Linotype"/>
        </w:rPr>
        <w:t xml:space="preserve">l acceso a la información es un derecho humano constitucional y convencionalmente reconocido y para tal efecto </w:t>
      </w:r>
      <w:r w:rsidRPr="007B5359">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7B5359">
        <w:rPr>
          <w:rFonts w:ascii="Palatino Linotype" w:eastAsia="Calibri" w:hAnsi="Palatino Linotype"/>
          <w:i/>
          <w:lang w:val="es-ES"/>
        </w:rPr>
        <w:t xml:space="preserve">en el ámbito de sus atribuciones, de promover, respetar, proteger y </w:t>
      </w:r>
      <w:r w:rsidRPr="007B5359">
        <w:rPr>
          <w:rFonts w:ascii="Palatino Linotype" w:eastAsia="Calibri" w:hAnsi="Palatino Linotype"/>
          <w:b/>
          <w:i/>
          <w:lang w:val="es-ES"/>
        </w:rPr>
        <w:t>garantizar</w:t>
      </w:r>
      <w:r w:rsidRPr="007B5359">
        <w:rPr>
          <w:rFonts w:ascii="Palatino Linotype" w:eastAsia="Calibri" w:hAnsi="Palatino Linotype"/>
          <w:i/>
          <w:lang w:val="es-ES"/>
        </w:rPr>
        <w:t xml:space="preserve"> los derechos humanos. </w:t>
      </w:r>
      <w:r w:rsidRPr="007B5359">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7B5359">
        <w:rPr>
          <w:rFonts w:ascii="Palatino Linotype" w:eastAsia="Calibri" w:hAnsi="Palatino Linotype"/>
          <w:b/>
          <w:i/>
          <w:lang w:val="es-ES"/>
        </w:rPr>
        <w:t xml:space="preserve"> e</w:t>
      </w:r>
      <w:r w:rsidRPr="007B5359">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7B5359">
        <w:rPr>
          <w:rStyle w:val="Refdenotaalpie"/>
          <w:rFonts w:ascii="Palatino Linotype" w:hAnsi="Palatino Linotype"/>
          <w:i/>
        </w:rPr>
        <w:footnoteReference w:id="6"/>
      </w:r>
      <w:r w:rsidRPr="007B5359">
        <w:rPr>
          <w:rFonts w:ascii="Palatino Linotype" w:hAnsi="Palatino Linotype"/>
          <w:i/>
        </w:rPr>
        <w:t xml:space="preserve">, </w:t>
      </w:r>
      <w:r w:rsidRPr="007B5359">
        <w:rPr>
          <w:rFonts w:ascii="Palatino Linotype" w:hAnsi="Palatino Linotype"/>
        </w:rPr>
        <w:t>asimismo establece</w:t>
      </w:r>
      <w:r w:rsidRPr="007B5359">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7B5359" w:rsidRDefault="00554DF4" w:rsidP="00554DF4">
      <w:pPr>
        <w:pStyle w:val="Prrafodelista"/>
        <w:rPr>
          <w:rFonts w:ascii="Palatino Linotype" w:eastAsia="Calibri" w:hAnsi="Palatino Linotype" w:cs="Arial"/>
        </w:rPr>
      </w:pPr>
    </w:p>
    <w:p w:rsidR="00554DF4" w:rsidRPr="007B5359"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7B5359">
        <w:rPr>
          <w:rFonts w:ascii="Palatino Linotype" w:hAnsi="Palatino Linotype"/>
        </w:rPr>
        <w:t xml:space="preserve">Resulta necesario referir que, el </w:t>
      </w:r>
      <w:r w:rsidRPr="007B5359">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w:t>
      </w:r>
      <w:r w:rsidRPr="007B5359">
        <w:rPr>
          <w:rFonts w:ascii="Palatino Linotype" w:eastAsia="Calibri" w:hAnsi="Palatino Linotype" w:cs="Arial"/>
        </w:rPr>
        <w:lastRenderedPageBreak/>
        <w:t xml:space="preserve">concurren refiriendo que </w:t>
      </w:r>
      <w:r w:rsidRPr="007B5359">
        <w:rPr>
          <w:rFonts w:ascii="Palatino Linotype" w:eastAsia="Calibri" w:hAnsi="Palatino Linotype" w:cs="Arial"/>
          <w:b/>
        </w:rPr>
        <w:t>los Sujetos Obligados deberán documentar todo acto que se derive del ejercicio de sus facultades, competencias o funciones,</w:t>
      </w:r>
      <w:r w:rsidRPr="007B5359">
        <w:rPr>
          <w:rFonts w:ascii="Palatino Linotype" w:eastAsia="Calibri" w:hAnsi="Palatino Linotype" w:cs="Arial"/>
        </w:rPr>
        <w:t xml:space="preserve"> considerando desde su origen la eventual publicidad y reutilización de la información que generen, posean o administren.</w:t>
      </w:r>
    </w:p>
    <w:p w:rsidR="00554DF4" w:rsidRPr="007B5359" w:rsidRDefault="00554DF4" w:rsidP="00554DF4">
      <w:pPr>
        <w:pStyle w:val="Prrafodelista"/>
        <w:rPr>
          <w:rFonts w:ascii="Palatino Linotype" w:eastAsia="Calibri" w:hAnsi="Palatino Linotype" w:cs="Arial"/>
        </w:rPr>
      </w:pPr>
    </w:p>
    <w:p w:rsidR="00554DF4" w:rsidRPr="007B5359"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7B5359">
        <w:rPr>
          <w:rFonts w:ascii="Palatino Linotype" w:eastAsia="Times New Roman" w:hAnsi="Palatino Linotype" w:cs="Arial"/>
        </w:rPr>
        <w:t>Además, debemos tomar en cuenta los artículos 4 y 12, de la Ley de Transparencia y Acceso a la Información Pública del Estado de México y Municipios, los cuales establecen lo siguiente:</w:t>
      </w:r>
    </w:p>
    <w:p w:rsidR="00554DF4" w:rsidRPr="007B5359" w:rsidRDefault="00554DF4" w:rsidP="00554DF4">
      <w:pPr>
        <w:pStyle w:val="Prrafodelista"/>
        <w:spacing w:line="360" w:lineRule="auto"/>
        <w:rPr>
          <w:rFonts w:ascii="Palatino Linotype" w:eastAsia="Times New Roman" w:hAnsi="Palatino Linotype" w:cs="Arial"/>
        </w:rPr>
      </w:pP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B5359">
        <w:rPr>
          <w:rFonts w:ascii="Palatino Linotype" w:hAnsi="Palatino Linotype" w:cs="Bookman Old Style,Bold"/>
          <w:b/>
          <w:bCs/>
          <w:i/>
          <w:sz w:val="22"/>
          <w:szCs w:val="20"/>
          <w:lang w:val="es-MX"/>
        </w:rPr>
        <w:t xml:space="preserve">Artículo 4. </w:t>
      </w:r>
      <w:r w:rsidRPr="007B5359">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B5359">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B5359">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Pr="007B5359" w:rsidRDefault="00554DF4" w:rsidP="00554DF4">
      <w:pPr>
        <w:autoSpaceDE w:val="0"/>
        <w:autoSpaceDN w:val="0"/>
        <w:adjustRightInd w:val="0"/>
        <w:spacing w:line="360" w:lineRule="auto"/>
        <w:ind w:right="567"/>
        <w:jc w:val="both"/>
        <w:rPr>
          <w:rFonts w:ascii="Palatino Linotype" w:eastAsia="Times New Roman" w:hAnsi="Palatino Linotype" w:cs="Arial"/>
          <w:i/>
          <w:sz w:val="28"/>
        </w:rPr>
      </w:pP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7B5359">
        <w:rPr>
          <w:rFonts w:ascii="Palatino Linotype" w:hAnsi="Palatino Linotype" w:cs="Bookman Old Style,Bold"/>
          <w:b/>
          <w:bCs/>
          <w:i/>
          <w:sz w:val="22"/>
          <w:szCs w:val="20"/>
          <w:lang w:val="es-MX"/>
        </w:rPr>
        <w:lastRenderedPageBreak/>
        <w:t xml:space="preserve">Artículo 12. </w:t>
      </w:r>
      <w:r w:rsidRPr="007B5359">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7B5359">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7B5359">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554DF4" w:rsidRPr="007B5359"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7B5359"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B5359">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B5359">
        <w:rPr>
          <w:rStyle w:val="Refdenotaalpie"/>
          <w:rFonts w:ascii="Palatino Linotype" w:hAnsi="Palatino Linotype"/>
          <w:lang w:val="es-ES"/>
        </w:rPr>
        <w:footnoteReference w:id="7"/>
      </w:r>
      <w:r w:rsidRPr="007B5359">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7B5359"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7B5359"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B5359">
        <w:rPr>
          <w:rFonts w:ascii="Palatino Linotype" w:hAnsi="Palatino Linotype"/>
          <w:lang w:val="es-ES"/>
        </w:rPr>
        <w:t>Robustece lo anterior la Tesis aislada identificada con la clave I.</w:t>
      </w:r>
      <w:proofErr w:type="gramStart"/>
      <w:r w:rsidRPr="007B5359">
        <w:rPr>
          <w:rFonts w:ascii="Palatino Linotype" w:hAnsi="Palatino Linotype"/>
          <w:lang w:val="es-ES"/>
        </w:rPr>
        <w:t>4º.A.</w:t>
      </w:r>
      <w:proofErr w:type="gramEnd"/>
      <w:r w:rsidRPr="007B5359">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rsidR="00554DF4" w:rsidRPr="007B5359" w:rsidRDefault="00554DF4" w:rsidP="00554DF4">
      <w:pPr>
        <w:pStyle w:val="Prrafodelista"/>
        <w:spacing w:line="360" w:lineRule="auto"/>
        <w:rPr>
          <w:rFonts w:ascii="Palatino Linotype" w:hAnsi="Palatino Linotype"/>
          <w:lang w:val="es-ES"/>
        </w:rPr>
      </w:pPr>
    </w:p>
    <w:p w:rsidR="00554DF4" w:rsidRPr="007B5359" w:rsidRDefault="00554DF4" w:rsidP="00554DF4">
      <w:pPr>
        <w:pStyle w:val="Prrafodelista"/>
        <w:tabs>
          <w:tab w:val="left" w:pos="851"/>
        </w:tabs>
        <w:spacing w:line="360" w:lineRule="auto"/>
        <w:ind w:left="567" w:right="567"/>
        <w:jc w:val="both"/>
        <w:rPr>
          <w:rFonts w:ascii="Palatino Linotype" w:hAnsi="Palatino Linotype"/>
          <w:i/>
          <w:sz w:val="22"/>
        </w:rPr>
      </w:pPr>
      <w:r w:rsidRPr="007B5359">
        <w:rPr>
          <w:rFonts w:ascii="Palatino Linotype" w:hAnsi="Palatino Linotype"/>
          <w:b/>
          <w:i/>
          <w:sz w:val="22"/>
        </w:rPr>
        <w:lastRenderedPageBreak/>
        <w:t>ACCESO A LA INFORMACIÓN. IMPLICACIÓN DEL PRINCIPIO DE MÁXIMA PUBLICIDAD EN EL DERECHO FUNDAMENTAL RELATIVO.</w:t>
      </w:r>
      <w:r w:rsidRPr="007B5359">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w:t>
      </w:r>
      <w:proofErr w:type="gramStart"/>
      <w:r w:rsidRPr="007B5359">
        <w:rPr>
          <w:rFonts w:ascii="Palatino Linotype" w:hAnsi="Palatino Linotype"/>
          <w:i/>
          <w:sz w:val="22"/>
        </w:rPr>
        <w:t>constitucional,</w:t>
      </w:r>
      <w:proofErr w:type="gramEnd"/>
      <w:r w:rsidRPr="007B5359">
        <w:rPr>
          <w:rFonts w:ascii="Palatino Linotype" w:hAnsi="Palatino Linotype"/>
          <w:i/>
          <w:sz w:val="22"/>
        </w:rPr>
        <w:t xml:space="preserve">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7B5359"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7B5359" w:rsidRDefault="00554DF4" w:rsidP="00554DF4">
      <w:pPr>
        <w:pStyle w:val="Prrafodelista"/>
        <w:tabs>
          <w:tab w:val="left" w:pos="851"/>
        </w:tabs>
        <w:spacing w:line="360" w:lineRule="auto"/>
        <w:ind w:left="567" w:right="567"/>
        <w:jc w:val="both"/>
        <w:rPr>
          <w:rFonts w:ascii="Palatino Linotype" w:hAnsi="Palatino Linotype"/>
          <w:i/>
          <w:sz w:val="22"/>
        </w:rPr>
      </w:pPr>
      <w:r w:rsidRPr="007B5359">
        <w:rPr>
          <w:rFonts w:ascii="Palatino Linotype" w:hAnsi="Palatino Linotype"/>
          <w:i/>
          <w:sz w:val="22"/>
        </w:rPr>
        <w:t xml:space="preserve">CUARTO TRIBUNAL COLEGIADO EN MATERIA ADMINISTRATIVA DEL PRIMER CIRCUITO. </w:t>
      </w:r>
    </w:p>
    <w:p w:rsidR="00554DF4" w:rsidRPr="007B5359"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7B5359"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7B5359">
        <w:rPr>
          <w:rFonts w:ascii="Palatino Linotype" w:hAnsi="Palatino Linotype"/>
          <w:i/>
          <w:sz w:val="22"/>
        </w:rPr>
        <w:lastRenderedPageBreak/>
        <w:t xml:space="preserve">Amparo en revisión 257/2012. Ruth Corona Muñoz. 6 de diciembre de 2012. Unanimidad de votos. Ponente: Jean Claude </w:t>
      </w:r>
      <w:proofErr w:type="spellStart"/>
      <w:r w:rsidRPr="007B5359">
        <w:rPr>
          <w:rFonts w:ascii="Palatino Linotype" w:hAnsi="Palatino Linotype"/>
          <w:i/>
          <w:sz w:val="22"/>
        </w:rPr>
        <w:t>Tron</w:t>
      </w:r>
      <w:proofErr w:type="spellEnd"/>
      <w:r w:rsidRPr="007B5359">
        <w:rPr>
          <w:rFonts w:ascii="Palatino Linotype" w:hAnsi="Palatino Linotype"/>
          <w:i/>
          <w:sz w:val="22"/>
        </w:rPr>
        <w:t xml:space="preserve"> </w:t>
      </w:r>
      <w:proofErr w:type="spellStart"/>
      <w:r w:rsidRPr="007B5359">
        <w:rPr>
          <w:rFonts w:ascii="Palatino Linotype" w:hAnsi="Palatino Linotype"/>
          <w:i/>
          <w:sz w:val="22"/>
        </w:rPr>
        <w:t>Petit</w:t>
      </w:r>
      <w:proofErr w:type="spellEnd"/>
      <w:r w:rsidRPr="007B5359">
        <w:rPr>
          <w:rFonts w:ascii="Palatino Linotype" w:hAnsi="Palatino Linotype"/>
          <w:i/>
          <w:sz w:val="22"/>
        </w:rPr>
        <w:t>. Secretaria: Mayra Susana Martínez López.</w:t>
      </w:r>
    </w:p>
    <w:p w:rsidR="00554DF4" w:rsidRPr="007B5359" w:rsidRDefault="00554DF4" w:rsidP="00554DF4">
      <w:pPr>
        <w:pStyle w:val="Prrafodelista"/>
        <w:spacing w:line="360" w:lineRule="auto"/>
        <w:rPr>
          <w:rFonts w:ascii="Palatino Linotype" w:hAnsi="Palatino Linotype"/>
          <w:lang w:val="es-ES"/>
        </w:rPr>
      </w:pPr>
    </w:p>
    <w:p w:rsidR="00554DF4" w:rsidRPr="007B5359"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7B5359">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C67BCA" w:rsidRPr="007B5359" w:rsidRDefault="00C67BCA" w:rsidP="001C6B98">
      <w:pPr>
        <w:tabs>
          <w:tab w:val="left" w:pos="851"/>
        </w:tabs>
        <w:spacing w:line="360" w:lineRule="auto"/>
        <w:ind w:right="49"/>
        <w:jc w:val="both"/>
        <w:rPr>
          <w:rFonts w:ascii="Palatino Linotype" w:hAnsi="Palatino Linotype"/>
          <w:lang w:val="es-ES"/>
        </w:rPr>
      </w:pPr>
    </w:p>
    <w:p w:rsidR="001C6B98" w:rsidRPr="007B5359" w:rsidRDefault="001C6B98" w:rsidP="001C6B98">
      <w:pPr>
        <w:pStyle w:val="Ttulo2"/>
        <w:numPr>
          <w:ilvl w:val="0"/>
          <w:numId w:val="4"/>
        </w:numPr>
        <w:spacing w:line="360" w:lineRule="auto"/>
        <w:rPr>
          <w:rFonts w:ascii="Palatino Linotype" w:hAnsi="Palatino Linotype"/>
          <w:b/>
          <w:color w:val="auto"/>
          <w:sz w:val="24"/>
        </w:rPr>
      </w:pPr>
      <w:bookmarkStart w:id="15" w:name="_Toc23418068"/>
      <w:bookmarkStart w:id="16" w:name="_Toc25251825"/>
      <w:bookmarkStart w:id="17" w:name="_Toc29923834"/>
      <w:bookmarkStart w:id="18" w:name="_Toc33189446"/>
      <w:r w:rsidRPr="007B5359">
        <w:rPr>
          <w:rFonts w:ascii="Palatino Linotype" w:hAnsi="Palatino Linotype"/>
          <w:b/>
          <w:color w:val="auto"/>
          <w:sz w:val="24"/>
        </w:rPr>
        <w:t>Fuente Obligacional.</w:t>
      </w:r>
      <w:bookmarkEnd w:id="15"/>
      <w:bookmarkEnd w:id="16"/>
      <w:bookmarkEnd w:id="17"/>
      <w:bookmarkEnd w:id="18"/>
      <w:r w:rsidRPr="007B5359">
        <w:rPr>
          <w:rFonts w:ascii="Palatino Linotype" w:hAnsi="Palatino Linotype"/>
          <w:b/>
          <w:color w:val="auto"/>
          <w:sz w:val="24"/>
        </w:rPr>
        <w:t xml:space="preserve"> </w:t>
      </w:r>
    </w:p>
    <w:p w:rsidR="001C6B98" w:rsidRPr="007B5359" w:rsidRDefault="001C6B98" w:rsidP="001C6B98">
      <w:pPr>
        <w:rPr>
          <w:lang w:val="es-MX" w:eastAsia="en-US"/>
        </w:rPr>
      </w:pPr>
    </w:p>
    <w:p w:rsidR="001C6B98" w:rsidRPr="007B5359" w:rsidRDefault="001C6B98" w:rsidP="001C6B98">
      <w:pPr>
        <w:pStyle w:val="Ttulo3"/>
        <w:numPr>
          <w:ilvl w:val="1"/>
          <w:numId w:val="18"/>
        </w:numPr>
        <w:rPr>
          <w:rFonts w:ascii="Palatino Linotype" w:hAnsi="Palatino Linotype"/>
          <w:b/>
          <w:color w:val="auto"/>
        </w:rPr>
      </w:pPr>
      <w:bookmarkStart w:id="19" w:name="_Toc23418069"/>
      <w:bookmarkStart w:id="20" w:name="_Toc25251826"/>
      <w:bookmarkStart w:id="21" w:name="_Toc29923835"/>
      <w:bookmarkStart w:id="22" w:name="_Toc33189447"/>
      <w:r w:rsidRPr="007B5359">
        <w:rPr>
          <w:rFonts w:ascii="Palatino Linotype" w:hAnsi="Palatino Linotype"/>
          <w:b/>
          <w:color w:val="auto"/>
        </w:rPr>
        <w:t>De la obligación de transparencia.</w:t>
      </w:r>
      <w:bookmarkEnd w:id="19"/>
      <w:bookmarkEnd w:id="20"/>
      <w:bookmarkEnd w:id="21"/>
      <w:bookmarkEnd w:id="22"/>
    </w:p>
    <w:p w:rsidR="001C6B98" w:rsidRPr="007B5359" w:rsidRDefault="001C6B98" w:rsidP="001C6B98"/>
    <w:p w:rsidR="001C6B98" w:rsidRPr="007B5359" w:rsidRDefault="001C6B98" w:rsidP="001C6B98">
      <w:pPr>
        <w:pStyle w:val="Prrafodelista"/>
        <w:numPr>
          <w:ilvl w:val="0"/>
          <w:numId w:val="18"/>
        </w:numPr>
        <w:tabs>
          <w:tab w:val="left" w:pos="0"/>
        </w:tabs>
        <w:spacing w:line="360" w:lineRule="auto"/>
        <w:ind w:left="0" w:right="49" w:firstLine="0"/>
        <w:jc w:val="both"/>
        <w:rPr>
          <w:rFonts w:ascii="Palatino Linotype" w:hAnsi="Palatino Linotype" w:cs="Arial"/>
          <w:lang w:eastAsia="es-MX"/>
        </w:rPr>
      </w:pPr>
      <w:r w:rsidRPr="007B5359">
        <w:rPr>
          <w:rFonts w:ascii="Palatino Linotype" w:hAnsi="Palatino Linotype" w:cs="Arial"/>
        </w:rPr>
        <w:t xml:space="preserve">Es pertinente enfatizar lo </w:t>
      </w:r>
      <w:proofErr w:type="gramStart"/>
      <w:r w:rsidRPr="007B5359">
        <w:rPr>
          <w:rFonts w:ascii="Palatino Linotype" w:hAnsi="Palatino Linotype" w:cs="Arial"/>
        </w:rPr>
        <w:t>que</w:t>
      </w:r>
      <w:proofErr w:type="gramEnd"/>
      <w:r w:rsidRPr="007B5359">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rsidR="001C6B98" w:rsidRPr="007B5359" w:rsidRDefault="001C6B98" w:rsidP="001C6B98">
      <w:pPr>
        <w:spacing w:line="360" w:lineRule="auto"/>
        <w:jc w:val="both"/>
        <w:rPr>
          <w:rFonts w:ascii="Palatino Linotype" w:hAnsi="Palatino Linotype" w:cs="Arial"/>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b/>
          <w:i/>
          <w:sz w:val="22"/>
        </w:rPr>
        <w:t>“Artículo 6o.</w:t>
      </w:r>
      <w:r w:rsidRPr="007B5359">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B5359">
        <w:rPr>
          <w:rFonts w:ascii="Palatino Linotype" w:hAnsi="Palatino Linotype" w:cs="Arial"/>
          <w:b/>
          <w:i/>
          <w:sz w:val="22"/>
        </w:rPr>
        <w:t>El derecho a la información será garantizado por el Estado.</w:t>
      </w:r>
      <w:r w:rsidRPr="007B5359">
        <w:rPr>
          <w:rFonts w:ascii="Palatino Linotype" w:hAnsi="Palatino Linotype" w:cs="Arial"/>
          <w:i/>
          <w:sz w:val="22"/>
        </w:rPr>
        <w:t xml:space="preserve"> </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Para efectos de lo dispuesto en el presente artículo se observará lo siguiente:</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lastRenderedPageBreak/>
        <w:t>A. Para el ejercicio del derecho de acceso a la información, la Federación, los Estados y el Distrito Federal, en el ámbito de sus respectivas competencias, se regirán por los siguientes principios y bases:</w:t>
      </w:r>
    </w:p>
    <w:p w:rsidR="001C6B98" w:rsidRPr="007B5359" w:rsidRDefault="001C6B98" w:rsidP="001C6B98">
      <w:pPr>
        <w:spacing w:line="360" w:lineRule="auto"/>
        <w:ind w:left="567" w:right="567"/>
        <w:jc w:val="both"/>
        <w:rPr>
          <w:rFonts w:ascii="Palatino Linotype" w:hAnsi="Palatino Linotype" w:cs="Arial"/>
          <w:b/>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b/>
          <w:i/>
          <w:sz w:val="22"/>
        </w:rPr>
        <w:t>I. Toda la información en posesión de</w:t>
      </w:r>
      <w:r w:rsidRPr="007B5359">
        <w:rPr>
          <w:rFonts w:ascii="Palatino Linotype" w:hAnsi="Palatino Linotype" w:cs="Arial"/>
          <w:i/>
          <w:sz w:val="22"/>
        </w:rPr>
        <w:t xml:space="preserve"> </w:t>
      </w:r>
      <w:r w:rsidRPr="007B5359">
        <w:rPr>
          <w:rFonts w:ascii="Palatino Linotype" w:hAnsi="Palatino Linotype" w:cs="Arial"/>
          <w:b/>
          <w:i/>
          <w:sz w:val="22"/>
        </w:rPr>
        <w:t>cualquier autoridad</w:t>
      </w:r>
      <w:r w:rsidRPr="007B5359">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B5359">
        <w:rPr>
          <w:rFonts w:ascii="Palatino Linotype" w:hAnsi="Palatino Linotype" w:cs="Arial"/>
          <w:b/>
          <w:i/>
          <w:sz w:val="22"/>
        </w:rPr>
        <w:t>es pública</w:t>
      </w:r>
      <w:r w:rsidRPr="007B5359">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7B5359">
        <w:rPr>
          <w:rFonts w:ascii="Palatino Linotype" w:hAnsi="Palatino Linotype" w:cs="Arial"/>
          <w:b/>
          <w:i/>
          <w:sz w:val="22"/>
        </w:rPr>
        <w:t>Los sujetos obligados deberán documentar todo acto que derive del ejercicio de sus facultades, competencias o funciones</w:t>
      </w:r>
      <w:r w:rsidRPr="007B5359">
        <w:rPr>
          <w:rFonts w:ascii="Palatino Linotype" w:hAnsi="Palatino Linotype" w:cs="Arial"/>
          <w:i/>
          <w:sz w:val="22"/>
        </w:rPr>
        <w:t>, la ley determinará los supuestos específicos bajo los cuales procederá la declaración de inexistencia de la información.</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II. La información que se refiere a la vida privada y los datos personales será protegida en los términos y con las excepciones que fijen las leyes.</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1C6B98" w:rsidRPr="007B5359" w:rsidRDefault="001C6B98" w:rsidP="001C6B98">
      <w:pPr>
        <w:spacing w:line="360" w:lineRule="auto"/>
        <w:ind w:left="567" w:right="567"/>
        <w:jc w:val="both"/>
        <w:rPr>
          <w:rFonts w:ascii="Palatino Linotype" w:hAnsi="Palatino Linotype" w:cs="Arial"/>
          <w:b/>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b/>
          <w:i/>
          <w:sz w:val="22"/>
        </w:rPr>
        <w:t xml:space="preserve">V. Los sujetos obligados deberán preservar sus documentos en archivos administrativos actualizados y publicarán, a través de los medios electrónicos </w:t>
      </w:r>
      <w:r w:rsidRPr="007B5359">
        <w:rPr>
          <w:rFonts w:ascii="Palatino Linotype" w:hAnsi="Palatino Linotype" w:cs="Arial"/>
          <w:b/>
          <w:i/>
          <w:sz w:val="22"/>
        </w:rPr>
        <w:lastRenderedPageBreak/>
        <w:t>disponibles</w:t>
      </w:r>
      <w:r w:rsidRPr="007B5359">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VII. La inobservancia a las disposiciones en materia de acceso a la información pública será sancionada en los términos que dispongan las leyes.</w:t>
      </w:r>
    </w:p>
    <w:p w:rsidR="001C6B98" w:rsidRPr="007B5359" w:rsidRDefault="001C6B98" w:rsidP="001C6B98">
      <w:pPr>
        <w:spacing w:line="360" w:lineRule="auto"/>
        <w:ind w:left="567" w:right="567"/>
        <w:jc w:val="both"/>
        <w:rPr>
          <w:rFonts w:ascii="Palatino Linotype" w:hAnsi="Palatino Linotype" w:cs="Arial"/>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w:t>
      </w: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cs="Arial"/>
          <w:i/>
          <w:sz w:val="22"/>
        </w:rPr>
        <w:t>La ley establecerá aquella información que se considere reservada o confidencial.”</w:t>
      </w:r>
    </w:p>
    <w:p w:rsidR="001C6B98" w:rsidRPr="007B5359" w:rsidRDefault="001C6B98" w:rsidP="001C6B98">
      <w:pPr>
        <w:spacing w:line="360" w:lineRule="auto"/>
        <w:ind w:left="567" w:right="567"/>
        <w:jc w:val="both"/>
        <w:rPr>
          <w:rFonts w:ascii="Palatino Linotype" w:hAnsi="Palatino Linotype"/>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i/>
          <w:sz w:val="22"/>
        </w:rPr>
        <w:t>(Énfasis añadido)</w:t>
      </w:r>
    </w:p>
    <w:p w:rsidR="001C6B98" w:rsidRPr="007B5359" w:rsidRDefault="001C6B98" w:rsidP="001C6B98">
      <w:pPr>
        <w:spacing w:line="360" w:lineRule="auto"/>
        <w:ind w:left="709" w:right="757"/>
        <w:jc w:val="both"/>
        <w:rPr>
          <w:rFonts w:ascii="Palatino Linotype" w:hAnsi="Palatino Linotype"/>
        </w:rPr>
      </w:pPr>
    </w:p>
    <w:p w:rsidR="001C6B98" w:rsidRPr="007B5359" w:rsidRDefault="001C6B98"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Por su parte, la Constitución Política del Estado Libre y Soberano de México, en su artículo 5°, dispone en su parte conducente, lo siguiente:</w:t>
      </w:r>
    </w:p>
    <w:p w:rsidR="001C6B98" w:rsidRPr="007B5359" w:rsidRDefault="001C6B98" w:rsidP="001C6B98">
      <w:pPr>
        <w:spacing w:line="360" w:lineRule="auto"/>
        <w:ind w:left="709" w:right="757"/>
        <w:jc w:val="both"/>
        <w:rPr>
          <w:rFonts w:ascii="Palatino Linotype" w:hAnsi="Palatino Linotype" w:cs="Arial"/>
        </w:rPr>
      </w:pPr>
    </w:p>
    <w:p w:rsidR="001C6B98" w:rsidRPr="007B5359" w:rsidRDefault="001C6B98" w:rsidP="001C6B98">
      <w:pPr>
        <w:spacing w:line="360" w:lineRule="auto"/>
        <w:ind w:left="567" w:right="567"/>
        <w:jc w:val="both"/>
        <w:rPr>
          <w:rFonts w:ascii="Palatino Linotype" w:hAnsi="Palatino Linotype" w:cs="Arial"/>
          <w:b/>
          <w:i/>
          <w:sz w:val="22"/>
        </w:rPr>
      </w:pPr>
      <w:r w:rsidRPr="007B5359">
        <w:rPr>
          <w:rFonts w:ascii="Palatino Linotype" w:hAnsi="Palatino Linotype" w:cs="Arial"/>
          <w:b/>
          <w:i/>
          <w:sz w:val="22"/>
        </w:rPr>
        <w:t xml:space="preserve">“Artículo 5. … </w:t>
      </w: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b/>
          <w:i/>
          <w:sz w:val="22"/>
        </w:rPr>
        <w:t>El derecho a la información será garantizado por el Estado</w:t>
      </w:r>
      <w:r w:rsidRPr="007B5359">
        <w:rPr>
          <w:rFonts w:ascii="Palatino Linotype" w:hAnsi="Palatino Linotype"/>
          <w:i/>
          <w:sz w:val="22"/>
        </w:rPr>
        <w:t xml:space="preserve">. La ley establecerá las previsiones que permitan asegurar la protección, el respeto y la difusión de este derecho. </w:t>
      </w: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7B5359" w:rsidRDefault="001C6B98" w:rsidP="001C6B98">
      <w:pPr>
        <w:spacing w:line="360" w:lineRule="auto"/>
        <w:ind w:left="567" w:right="567"/>
        <w:jc w:val="both"/>
        <w:rPr>
          <w:rFonts w:ascii="Palatino Linotype" w:hAnsi="Palatino Linotype"/>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i/>
          <w:sz w:val="22"/>
        </w:rPr>
        <w:t>Este derecho se regirá por los principios y bases siguientes:</w:t>
      </w:r>
    </w:p>
    <w:p w:rsidR="001C6B98" w:rsidRPr="007B5359" w:rsidRDefault="001C6B98" w:rsidP="001C6B98">
      <w:pPr>
        <w:spacing w:line="360" w:lineRule="auto"/>
        <w:ind w:left="567" w:right="567"/>
        <w:jc w:val="both"/>
        <w:rPr>
          <w:rFonts w:ascii="Palatino Linotype" w:hAnsi="Palatino Linotype"/>
          <w:b/>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b/>
          <w:i/>
          <w:sz w:val="22"/>
        </w:rPr>
        <w:t xml:space="preserve">I. Toda la información en posesión </w:t>
      </w:r>
      <w:r w:rsidRPr="007B5359">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7B5359">
        <w:rPr>
          <w:rFonts w:ascii="Palatino Linotype" w:hAnsi="Palatino Linotype"/>
          <w:b/>
          <w:i/>
          <w:sz w:val="22"/>
        </w:rPr>
        <w:t>del gobierno y de la administración pública municipal y sus organismos descentralizados</w:t>
      </w:r>
      <w:r w:rsidRPr="007B5359">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7B5359">
        <w:rPr>
          <w:rFonts w:ascii="Palatino Linotype" w:hAnsi="Palatino Linotype"/>
          <w:b/>
          <w:i/>
          <w:sz w:val="22"/>
        </w:rPr>
        <w:t>es pública</w:t>
      </w:r>
      <w:r w:rsidRPr="007B5359">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7B5359" w:rsidRDefault="001C6B98" w:rsidP="001C6B98">
      <w:pPr>
        <w:spacing w:line="360" w:lineRule="auto"/>
        <w:ind w:left="567" w:right="567"/>
        <w:jc w:val="both"/>
        <w:rPr>
          <w:rFonts w:ascii="Palatino Linotype" w:hAnsi="Palatino Linotype"/>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7B5359" w:rsidRDefault="001C6B98" w:rsidP="001C6B98">
      <w:pPr>
        <w:spacing w:line="360" w:lineRule="auto"/>
        <w:ind w:left="567" w:right="567"/>
        <w:jc w:val="both"/>
        <w:rPr>
          <w:rFonts w:ascii="Palatino Linotype" w:hAnsi="Palatino Linotype"/>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C6B98" w:rsidRPr="007B5359" w:rsidRDefault="001C6B98" w:rsidP="001C6B98">
      <w:pPr>
        <w:spacing w:line="360" w:lineRule="auto"/>
        <w:ind w:left="567" w:right="567"/>
        <w:jc w:val="both"/>
        <w:rPr>
          <w:rFonts w:ascii="Palatino Linotype" w:hAnsi="Palatino Linotype"/>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7B5359" w:rsidRDefault="001C6B98" w:rsidP="001C6B98">
      <w:pPr>
        <w:spacing w:line="360" w:lineRule="auto"/>
        <w:ind w:left="567" w:right="567"/>
        <w:jc w:val="both"/>
        <w:rPr>
          <w:rFonts w:ascii="Palatino Linotype" w:hAnsi="Palatino Linotype"/>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7B5359" w:rsidRDefault="001C6B98" w:rsidP="001C6B98">
      <w:pPr>
        <w:spacing w:line="360" w:lineRule="auto"/>
        <w:ind w:left="567" w:right="567"/>
        <w:jc w:val="both"/>
        <w:rPr>
          <w:rFonts w:ascii="Palatino Linotype" w:hAnsi="Palatino Linotype"/>
          <w:b/>
          <w:i/>
          <w:sz w:val="22"/>
        </w:rPr>
      </w:pPr>
    </w:p>
    <w:p w:rsidR="001C6B98" w:rsidRPr="007B5359" w:rsidRDefault="001C6B98" w:rsidP="001C6B98">
      <w:pPr>
        <w:spacing w:line="360" w:lineRule="auto"/>
        <w:ind w:left="567" w:right="567"/>
        <w:jc w:val="both"/>
        <w:rPr>
          <w:rFonts w:ascii="Palatino Linotype" w:hAnsi="Palatino Linotype"/>
          <w:i/>
          <w:sz w:val="22"/>
        </w:rPr>
      </w:pPr>
      <w:r w:rsidRPr="007B5359">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7B5359">
        <w:rPr>
          <w:rFonts w:ascii="Palatino Linotype" w:hAnsi="Palatino Linotype"/>
          <w:i/>
          <w:sz w:val="22"/>
        </w:rPr>
        <w:t xml:space="preserve"> y los indicadores que permitan rendir cuenta del cumplimiento de sus objetivos y los resultados obtenidos.</w:t>
      </w:r>
    </w:p>
    <w:p w:rsidR="001C6B98" w:rsidRPr="007B5359" w:rsidRDefault="001C6B98" w:rsidP="001C6B98">
      <w:pPr>
        <w:spacing w:line="360" w:lineRule="auto"/>
        <w:ind w:left="567" w:right="567"/>
        <w:jc w:val="both"/>
        <w:rPr>
          <w:rFonts w:ascii="Palatino Linotype" w:hAnsi="Palatino Linotype"/>
          <w:i/>
          <w:sz w:val="22"/>
        </w:rPr>
      </w:pPr>
    </w:p>
    <w:p w:rsidR="001C6B98" w:rsidRPr="007B5359" w:rsidRDefault="001C6B98" w:rsidP="001C6B98">
      <w:pPr>
        <w:spacing w:line="360" w:lineRule="auto"/>
        <w:ind w:left="567" w:right="567"/>
        <w:jc w:val="both"/>
        <w:rPr>
          <w:rFonts w:ascii="Palatino Linotype" w:hAnsi="Palatino Linotype" w:cs="Arial"/>
          <w:i/>
          <w:sz w:val="22"/>
        </w:rPr>
      </w:pPr>
      <w:r w:rsidRPr="007B5359">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1C6B98" w:rsidRPr="007B5359" w:rsidRDefault="001C6B98" w:rsidP="001C6B98">
      <w:pPr>
        <w:spacing w:line="360" w:lineRule="auto"/>
        <w:ind w:left="567" w:right="567"/>
        <w:jc w:val="both"/>
        <w:rPr>
          <w:rFonts w:ascii="Palatino Linotype" w:hAnsi="Palatino Linotype"/>
          <w:sz w:val="22"/>
        </w:rPr>
      </w:pPr>
    </w:p>
    <w:p w:rsidR="001C6B98" w:rsidRPr="007B5359" w:rsidRDefault="001C6B98" w:rsidP="001C6B98">
      <w:pPr>
        <w:spacing w:line="360" w:lineRule="auto"/>
        <w:ind w:left="567" w:right="567"/>
        <w:jc w:val="both"/>
        <w:rPr>
          <w:rFonts w:ascii="Palatino Linotype" w:hAnsi="Palatino Linotype"/>
          <w:sz w:val="22"/>
        </w:rPr>
      </w:pPr>
      <w:r w:rsidRPr="007B5359">
        <w:rPr>
          <w:rFonts w:ascii="Palatino Linotype" w:hAnsi="Palatino Linotype"/>
          <w:sz w:val="22"/>
        </w:rPr>
        <w:t>(Énfasis añadido)</w:t>
      </w:r>
    </w:p>
    <w:p w:rsidR="001C6B98" w:rsidRPr="007B5359" w:rsidRDefault="001C6B98" w:rsidP="001C6B98">
      <w:pPr>
        <w:spacing w:line="360" w:lineRule="auto"/>
        <w:ind w:left="567" w:right="567"/>
        <w:jc w:val="both"/>
        <w:rPr>
          <w:rFonts w:ascii="Palatino Linotype" w:hAnsi="Palatino Linotype"/>
          <w:sz w:val="22"/>
        </w:rPr>
      </w:pPr>
    </w:p>
    <w:p w:rsidR="001C6B98" w:rsidRPr="007B5359" w:rsidRDefault="001C6B98"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Adicional, tenemos que la Ley de Transparencia y Acceso a la Información Pública del Estado de México y Municipios, prevé en su artículo 23 fracción IV, lo siguiente:</w:t>
      </w:r>
    </w:p>
    <w:p w:rsidR="001C6B98" w:rsidRPr="007B5359" w:rsidRDefault="001C6B98" w:rsidP="001C6B98">
      <w:pPr>
        <w:spacing w:line="360" w:lineRule="auto"/>
        <w:jc w:val="both"/>
        <w:rPr>
          <w:rFonts w:ascii="Palatino Linotype" w:hAnsi="Palatino Linotype" w:cs="Arial"/>
        </w:rPr>
      </w:pPr>
    </w:p>
    <w:p w:rsidR="001C6B98" w:rsidRPr="007B5359" w:rsidRDefault="001C6B98" w:rsidP="001C6B98">
      <w:pPr>
        <w:ind w:left="567" w:right="567"/>
        <w:jc w:val="both"/>
        <w:rPr>
          <w:rFonts w:ascii="Palatino Linotype" w:hAnsi="Palatino Linotype" w:cs="Arial"/>
          <w:i/>
          <w:sz w:val="22"/>
        </w:rPr>
      </w:pPr>
      <w:r w:rsidRPr="007B5359">
        <w:rPr>
          <w:rFonts w:ascii="Palatino Linotype" w:hAnsi="Palatino Linotype" w:cs="Arial"/>
          <w:b/>
          <w:i/>
          <w:sz w:val="22"/>
        </w:rPr>
        <w:lastRenderedPageBreak/>
        <w:t xml:space="preserve">“Artículo 23. Son sujetos obligados a transparentar y permitir el acceso a su información y </w:t>
      </w:r>
      <w:r w:rsidRPr="007B5359">
        <w:rPr>
          <w:rFonts w:ascii="Palatino Linotype" w:hAnsi="Palatino Linotype"/>
          <w:b/>
          <w:i/>
          <w:sz w:val="22"/>
        </w:rPr>
        <w:t>proteger</w:t>
      </w:r>
      <w:r w:rsidRPr="007B5359">
        <w:rPr>
          <w:rFonts w:ascii="Palatino Linotype" w:hAnsi="Palatino Linotype" w:cs="Arial"/>
          <w:b/>
          <w:i/>
          <w:sz w:val="22"/>
        </w:rPr>
        <w:t xml:space="preserve"> los datos personales que obren en su poder</w:t>
      </w:r>
      <w:r w:rsidRPr="007B5359">
        <w:rPr>
          <w:rFonts w:ascii="Palatino Linotype" w:hAnsi="Palatino Linotype" w:cs="Arial"/>
          <w:i/>
          <w:sz w:val="22"/>
        </w:rPr>
        <w:t>:</w:t>
      </w:r>
    </w:p>
    <w:p w:rsidR="001C6B98" w:rsidRPr="007B5359" w:rsidRDefault="001C6B98" w:rsidP="001C6B98">
      <w:pPr>
        <w:ind w:left="567" w:right="567"/>
        <w:jc w:val="both"/>
        <w:rPr>
          <w:rFonts w:ascii="Palatino Linotype" w:hAnsi="Palatino Linotype" w:cs="Arial"/>
          <w:i/>
          <w:sz w:val="22"/>
        </w:rPr>
      </w:pPr>
      <w:r w:rsidRPr="007B5359">
        <w:rPr>
          <w:rFonts w:ascii="Palatino Linotype" w:hAnsi="Palatino Linotype" w:cs="Arial"/>
          <w:i/>
          <w:sz w:val="22"/>
        </w:rPr>
        <w:t>…</w:t>
      </w:r>
    </w:p>
    <w:p w:rsidR="001C6B98" w:rsidRPr="007B5359" w:rsidRDefault="001C6B98" w:rsidP="001C6B98">
      <w:pPr>
        <w:ind w:left="567" w:right="567"/>
        <w:jc w:val="both"/>
        <w:rPr>
          <w:rFonts w:ascii="Palatino Linotype" w:hAnsi="Palatino Linotype" w:cs="Arial"/>
          <w:i/>
          <w:sz w:val="22"/>
        </w:rPr>
      </w:pPr>
    </w:p>
    <w:p w:rsidR="001C6B98" w:rsidRPr="007B5359" w:rsidRDefault="001C6B98" w:rsidP="001C6B98">
      <w:pPr>
        <w:ind w:left="567" w:right="567"/>
        <w:jc w:val="both"/>
        <w:rPr>
          <w:rFonts w:ascii="Palatino Linotype" w:hAnsi="Palatino Linotype" w:cs="Arial"/>
          <w:b/>
          <w:i/>
          <w:sz w:val="22"/>
          <w:szCs w:val="22"/>
        </w:rPr>
      </w:pPr>
      <w:r w:rsidRPr="007B5359">
        <w:rPr>
          <w:rFonts w:ascii="Palatino Linotype" w:hAnsi="Palatino Linotype" w:cs="Arial"/>
          <w:b/>
          <w:i/>
          <w:sz w:val="22"/>
          <w:szCs w:val="22"/>
        </w:rPr>
        <w:t xml:space="preserve">IV. </w:t>
      </w:r>
      <w:r w:rsidRPr="007B5359">
        <w:rPr>
          <w:rFonts w:ascii="Palatino Linotype" w:eastAsiaTheme="minorHAnsi" w:hAnsi="Palatino Linotype" w:cs="Bookman Old Style"/>
          <w:b/>
          <w:i/>
          <w:sz w:val="22"/>
          <w:szCs w:val="22"/>
          <w:lang w:val="es-MX" w:eastAsia="en-US"/>
        </w:rPr>
        <w:t>Los ayuntamientos</w:t>
      </w:r>
      <w:r w:rsidRPr="007B5359">
        <w:rPr>
          <w:rFonts w:ascii="Palatino Linotype" w:eastAsiaTheme="minorHAnsi" w:hAnsi="Palatino Linotype" w:cs="Bookman Old Style"/>
          <w:i/>
          <w:sz w:val="22"/>
          <w:szCs w:val="22"/>
          <w:lang w:val="es-MX" w:eastAsia="en-US"/>
        </w:rPr>
        <w:t xml:space="preserve"> y las dependencias, organismos, órganos y entidades de la administración municipal;</w:t>
      </w:r>
    </w:p>
    <w:p w:rsidR="001C6B98" w:rsidRPr="007B5359" w:rsidRDefault="001C6B98" w:rsidP="001C6B98">
      <w:pPr>
        <w:ind w:left="567" w:right="567"/>
        <w:jc w:val="both"/>
        <w:rPr>
          <w:rFonts w:ascii="Palatino Linotype" w:hAnsi="Palatino Linotype" w:cs="Arial"/>
          <w:i/>
          <w:sz w:val="22"/>
        </w:rPr>
      </w:pPr>
      <w:r w:rsidRPr="007B5359">
        <w:rPr>
          <w:rFonts w:ascii="Palatino Linotype" w:hAnsi="Palatino Linotype" w:cs="Arial"/>
          <w:i/>
          <w:sz w:val="22"/>
        </w:rPr>
        <w:t>…</w:t>
      </w:r>
    </w:p>
    <w:p w:rsidR="001C6B98" w:rsidRPr="007B5359" w:rsidRDefault="001C6B98" w:rsidP="001C6B98">
      <w:pPr>
        <w:ind w:left="567" w:right="567"/>
        <w:jc w:val="both"/>
        <w:rPr>
          <w:rFonts w:ascii="Palatino Linotype" w:hAnsi="Palatino Linotype"/>
          <w:i/>
          <w:sz w:val="22"/>
        </w:rPr>
      </w:pPr>
    </w:p>
    <w:p w:rsidR="001C6B98" w:rsidRPr="007B5359" w:rsidRDefault="001C6B98" w:rsidP="001C6B98">
      <w:pPr>
        <w:ind w:left="567" w:right="567"/>
        <w:jc w:val="both"/>
        <w:rPr>
          <w:rFonts w:ascii="Palatino Linotype" w:hAnsi="Palatino Linotype"/>
          <w:i/>
          <w:sz w:val="22"/>
        </w:rPr>
      </w:pPr>
      <w:r w:rsidRPr="007B5359">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7B5359" w:rsidRDefault="001C6B98" w:rsidP="001C6B98">
      <w:pPr>
        <w:ind w:left="567" w:right="567"/>
        <w:jc w:val="both"/>
        <w:rPr>
          <w:rFonts w:ascii="Palatino Linotype" w:hAnsi="Palatino Linotype" w:cs="Arial"/>
          <w:b/>
          <w:i/>
          <w:sz w:val="22"/>
        </w:rPr>
      </w:pPr>
    </w:p>
    <w:p w:rsidR="001C6B98" w:rsidRPr="007B5359" w:rsidRDefault="001C6B98" w:rsidP="001C6B98">
      <w:pPr>
        <w:ind w:left="567" w:right="567"/>
        <w:jc w:val="both"/>
        <w:rPr>
          <w:rFonts w:ascii="Palatino Linotype" w:hAnsi="Palatino Linotype" w:cs="Arial"/>
          <w:i/>
          <w:sz w:val="22"/>
        </w:rPr>
      </w:pPr>
      <w:r w:rsidRPr="007B5359">
        <w:rPr>
          <w:rFonts w:ascii="Palatino Linotype" w:hAnsi="Palatino Linotype" w:cs="Arial"/>
          <w:b/>
          <w:i/>
          <w:sz w:val="22"/>
        </w:rPr>
        <w:t xml:space="preserve">Los servidores públicos deberán transparentar sus </w:t>
      </w:r>
      <w:proofErr w:type="gramStart"/>
      <w:r w:rsidRPr="007B5359">
        <w:rPr>
          <w:rFonts w:ascii="Palatino Linotype" w:hAnsi="Palatino Linotype" w:cs="Arial"/>
          <w:b/>
          <w:i/>
          <w:sz w:val="22"/>
        </w:rPr>
        <w:t>acciones</w:t>
      </w:r>
      <w:proofErr w:type="gramEnd"/>
      <w:r w:rsidRPr="007B5359">
        <w:rPr>
          <w:rFonts w:ascii="Palatino Linotype" w:hAnsi="Palatino Linotype" w:cs="Arial"/>
          <w:b/>
          <w:i/>
          <w:sz w:val="22"/>
        </w:rPr>
        <w:t xml:space="preserve"> así como garantizar y respetar el derecho de acceso a la información pública.”</w:t>
      </w:r>
    </w:p>
    <w:p w:rsidR="001C6B98" w:rsidRPr="007B5359" w:rsidRDefault="001C6B98" w:rsidP="001C6B98">
      <w:pPr>
        <w:ind w:left="567" w:right="567"/>
        <w:jc w:val="both"/>
        <w:rPr>
          <w:rFonts w:ascii="Palatino Linotype" w:hAnsi="Palatino Linotype" w:cs="Arial"/>
          <w:sz w:val="22"/>
        </w:rPr>
      </w:pPr>
    </w:p>
    <w:p w:rsidR="001C6B98" w:rsidRPr="007B5359" w:rsidRDefault="001C6B98" w:rsidP="001C6B98">
      <w:pPr>
        <w:ind w:left="567" w:right="567"/>
        <w:jc w:val="both"/>
        <w:rPr>
          <w:rFonts w:ascii="Palatino Linotype" w:hAnsi="Palatino Linotype" w:cs="Arial"/>
          <w:sz w:val="22"/>
        </w:rPr>
      </w:pPr>
      <w:r w:rsidRPr="007B5359">
        <w:rPr>
          <w:rFonts w:ascii="Palatino Linotype" w:hAnsi="Palatino Linotype" w:cs="Arial"/>
          <w:sz w:val="22"/>
        </w:rPr>
        <w:t>(Énfasis añadido)</w:t>
      </w:r>
    </w:p>
    <w:p w:rsidR="001C6B98" w:rsidRPr="007B5359" w:rsidRDefault="001C6B98" w:rsidP="001C6B98">
      <w:pPr>
        <w:spacing w:line="360" w:lineRule="auto"/>
        <w:jc w:val="both"/>
        <w:rPr>
          <w:rFonts w:ascii="Palatino Linotype" w:hAnsi="Palatino Linotype" w:cs="Arial"/>
        </w:rPr>
      </w:pPr>
    </w:p>
    <w:p w:rsidR="001C6B98" w:rsidRPr="007B5359" w:rsidRDefault="001C6B98"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Es así </w:t>
      </w:r>
      <w:proofErr w:type="gramStart"/>
      <w:r w:rsidRPr="007B5359">
        <w:rPr>
          <w:rFonts w:ascii="Palatino Linotype" w:hAnsi="Palatino Linotype" w:cs="Arial"/>
        </w:rPr>
        <w:t>que</w:t>
      </w:r>
      <w:proofErr w:type="gramEnd"/>
      <w:r w:rsidRPr="007B5359">
        <w:rPr>
          <w:rFonts w:ascii="Palatino Linotype" w:hAnsi="Palatino Linotype" w:cs="Arial"/>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C6B98" w:rsidRPr="007B5359" w:rsidRDefault="001C6B98" w:rsidP="001C6B98">
      <w:pPr>
        <w:pStyle w:val="Prrafodelista"/>
        <w:spacing w:line="360" w:lineRule="auto"/>
        <w:ind w:left="0"/>
        <w:jc w:val="both"/>
        <w:rPr>
          <w:rFonts w:ascii="Palatino Linotype" w:hAnsi="Palatino Linotype" w:cs="Arial"/>
        </w:rPr>
      </w:pPr>
    </w:p>
    <w:p w:rsidR="001C6B98" w:rsidRPr="007B5359" w:rsidRDefault="001C6B98"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Por lo anterior, es de referir que,</w:t>
      </w:r>
      <w:r w:rsidRPr="007B5359">
        <w:rPr>
          <w:rFonts w:ascii="Palatino Linotype" w:hAnsi="Palatino Linotype" w:cs="Arial"/>
          <w:b/>
        </w:rPr>
        <w:t xml:space="preserve"> el Ayuntamiento de </w:t>
      </w:r>
      <w:r w:rsidR="00774F4D" w:rsidRPr="007B5359">
        <w:rPr>
          <w:rFonts w:ascii="Palatino Linotype" w:hAnsi="Palatino Linotype" w:cs="Arial"/>
          <w:b/>
        </w:rPr>
        <w:t>Cuautitlán Izcalli</w:t>
      </w:r>
      <w:r w:rsidRPr="007B5359">
        <w:rPr>
          <w:rFonts w:ascii="Palatino Linotype" w:hAnsi="Palatino Linotype" w:cs="Arial"/>
        </w:rPr>
        <w:t xml:space="preserve">, al ser un </w:t>
      </w:r>
      <w:r w:rsidR="00990088" w:rsidRPr="007B5359">
        <w:rPr>
          <w:rFonts w:ascii="Palatino Linotype" w:hAnsi="Palatino Linotype" w:cs="Arial"/>
          <w:b/>
        </w:rPr>
        <w:t>SUJETO OBLIGADO</w:t>
      </w:r>
      <w:r w:rsidR="00990088" w:rsidRPr="007B5359">
        <w:rPr>
          <w:rFonts w:ascii="Palatino Linotype" w:hAnsi="Palatino Linotype" w:cs="Arial"/>
        </w:rPr>
        <w:t xml:space="preserve"> </w:t>
      </w:r>
      <w:r w:rsidRPr="007B5359">
        <w:rPr>
          <w:rFonts w:ascii="Palatino Linotype" w:hAnsi="Palatino Linotype" w:cs="Arial"/>
        </w:rPr>
        <w:t>comprendido por la Legislación Local en materia de Transparencia, se encuentra obligado a hacer pública toda aquella información que genere, administre o posea.</w:t>
      </w:r>
    </w:p>
    <w:p w:rsidR="005C46E9" w:rsidRPr="007B5359" w:rsidRDefault="005C46E9" w:rsidP="005C46E9">
      <w:pPr>
        <w:pStyle w:val="Prrafodelista"/>
        <w:rPr>
          <w:rFonts w:ascii="Palatino Linotype" w:hAnsi="Palatino Linotype" w:cs="Arial"/>
        </w:rPr>
      </w:pPr>
    </w:p>
    <w:p w:rsidR="005C46E9" w:rsidRPr="007B5359" w:rsidRDefault="005C46E9"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El derecho de acceso a la información es un medio de control ciudadano hacia las instituciones públicas para conocer el uso y destino de los recursos públicos.</w:t>
      </w:r>
    </w:p>
    <w:p w:rsidR="005C46E9" w:rsidRPr="007B5359" w:rsidRDefault="005C46E9" w:rsidP="005C46E9">
      <w:pPr>
        <w:pStyle w:val="Prrafodelista"/>
        <w:rPr>
          <w:rFonts w:ascii="Palatino Linotype" w:hAnsi="Palatino Linotype" w:cs="Arial"/>
        </w:rPr>
      </w:pPr>
    </w:p>
    <w:p w:rsidR="005C46E9" w:rsidRPr="007B5359" w:rsidRDefault="005C46E9" w:rsidP="005C46E9">
      <w:pPr>
        <w:pStyle w:val="Ttulo3"/>
        <w:spacing w:line="360" w:lineRule="auto"/>
        <w:ind w:left="720"/>
        <w:rPr>
          <w:rFonts w:ascii="Palatino Linotype" w:hAnsi="Palatino Linotype"/>
          <w:b/>
          <w:color w:val="auto"/>
        </w:rPr>
      </w:pPr>
      <w:bookmarkStart w:id="23" w:name="_Toc20414295"/>
      <w:bookmarkStart w:id="24" w:name="_Toc33189448"/>
      <w:r w:rsidRPr="007B5359">
        <w:rPr>
          <w:rFonts w:ascii="Palatino Linotype" w:hAnsi="Palatino Linotype"/>
          <w:b/>
          <w:color w:val="auto"/>
        </w:rPr>
        <w:lastRenderedPageBreak/>
        <w:t xml:space="preserve">II. </w:t>
      </w:r>
      <w:r w:rsidR="00990088" w:rsidRPr="007B5359">
        <w:rPr>
          <w:rFonts w:ascii="Palatino Linotype" w:hAnsi="Palatino Linotype"/>
          <w:b/>
          <w:color w:val="auto"/>
        </w:rPr>
        <w:t>Del expediente de compra de patrullas</w:t>
      </w:r>
      <w:r w:rsidRPr="007B5359">
        <w:rPr>
          <w:rFonts w:ascii="Palatino Linotype" w:hAnsi="Palatino Linotype"/>
          <w:b/>
          <w:color w:val="auto"/>
        </w:rPr>
        <w:t>.</w:t>
      </w:r>
      <w:bookmarkEnd w:id="23"/>
      <w:bookmarkEnd w:id="24"/>
    </w:p>
    <w:p w:rsidR="005C46E9" w:rsidRPr="007B5359" w:rsidRDefault="005C46E9" w:rsidP="005C46E9">
      <w:pPr>
        <w:pStyle w:val="Prrafodelista"/>
        <w:spacing w:line="360" w:lineRule="auto"/>
        <w:ind w:left="0"/>
        <w:rPr>
          <w:rFonts w:ascii="Palatino Linotype" w:hAnsi="Palatino Linotype"/>
          <w:lang w:val="es-MX" w:eastAsia="en-US"/>
        </w:rPr>
      </w:pPr>
    </w:p>
    <w:p w:rsidR="005C46E9" w:rsidRPr="007B5359" w:rsidRDefault="00990088"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En </w:t>
      </w:r>
      <w:r w:rsidRPr="007B5359">
        <w:rPr>
          <w:rFonts w:ascii="Palatino Linotype" w:hAnsi="Palatino Linotype"/>
        </w:rPr>
        <w:t xml:space="preserve">primer término, es necesario reiterar que el particular, a través de la solicitud de información número </w:t>
      </w:r>
      <w:r w:rsidRPr="007B5359">
        <w:rPr>
          <w:rFonts w:ascii="Palatino Linotype" w:hAnsi="Palatino Linotype"/>
          <w:b/>
        </w:rPr>
        <w:t>01026/CUAUTIZC/IP/2019</w:t>
      </w:r>
      <w:r w:rsidRPr="007B5359">
        <w:rPr>
          <w:rFonts w:ascii="Palatino Linotype" w:hAnsi="Palatino Linotype"/>
        </w:rPr>
        <w:t xml:space="preserve">, requirió al </w:t>
      </w:r>
      <w:r w:rsidRPr="007B5359">
        <w:rPr>
          <w:rFonts w:ascii="Palatino Linotype" w:hAnsi="Palatino Linotype"/>
          <w:b/>
        </w:rPr>
        <w:t>SUJETO OBLIGADO</w:t>
      </w:r>
      <w:r w:rsidRPr="007B5359">
        <w:rPr>
          <w:rFonts w:ascii="Palatino Linotype" w:hAnsi="Palatino Linotype"/>
        </w:rPr>
        <w:t>, textualmente, lo siguiente:</w:t>
      </w:r>
    </w:p>
    <w:p w:rsidR="00990088" w:rsidRPr="007B5359" w:rsidRDefault="00990088" w:rsidP="00990088">
      <w:pPr>
        <w:pStyle w:val="Prrafodelista"/>
        <w:spacing w:line="360" w:lineRule="auto"/>
        <w:ind w:left="0"/>
        <w:jc w:val="both"/>
        <w:rPr>
          <w:rFonts w:ascii="Palatino Linotype" w:hAnsi="Palatino Linotype" w:cs="Arial"/>
        </w:rPr>
      </w:pPr>
    </w:p>
    <w:p w:rsidR="00990088" w:rsidRPr="007B5359" w:rsidRDefault="00990088" w:rsidP="00990088">
      <w:pPr>
        <w:pStyle w:val="Prrafodelista"/>
        <w:spacing w:line="360" w:lineRule="auto"/>
        <w:ind w:left="567" w:right="567"/>
        <w:jc w:val="both"/>
        <w:rPr>
          <w:rFonts w:ascii="Palatino Linotype" w:hAnsi="Palatino Linotype" w:cs="Arial"/>
          <w:i/>
        </w:rPr>
      </w:pPr>
      <w:r w:rsidRPr="007B5359">
        <w:rPr>
          <w:rFonts w:ascii="Palatino Linotype" w:hAnsi="Palatino Linotype" w:cs="Arial"/>
          <w:i/>
        </w:rPr>
        <w:t>“copia del expediente completo de compra de estas patrullas y revisión de los anexos técnicos por parte de la contraloría”</w:t>
      </w:r>
    </w:p>
    <w:p w:rsidR="00990088" w:rsidRPr="007B5359" w:rsidRDefault="00990088" w:rsidP="00990088">
      <w:pPr>
        <w:pStyle w:val="Prrafodelista"/>
        <w:spacing w:line="360" w:lineRule="auto"/>
        <w:ind w:left="0"/>
        <w:jc w:val="both"/>
        <w:rPr>
          <w:rFonts w:ascii="Palatino Linotype" w:hAnsi="Palatino Linotype" w:cs="Arial"/>
        </w:rPr>
      </w:pPr>
    </w:p>
    <w:p w:rsidR="00990088" w:rsidRPr="007B5359" w:rsidRDefault="00990088"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Con </w:t>
      </w:r>
      <w:r w:rsidRPr="007B5359">
        <w:rPr>
          <w:rFonts w:ascii="Palatino Linotype" w:eastAsia="MS Gothic" w:hAnsi="Palatino Linotype" w:cs="Times New Roman"/>
          <w:szCs w:val="26"/>
        </w:rPr>
        <w:t xml:space="preserve">la finalidad de robustecer los documentos solicitados, compartió el archivo en formato PDF titulado </w:t>
      </w:r>
      <w:r w:rsidRPr="007B5359">
        <w:rPr>
          <w:rFonts w:ascii="Palatino Linotype" w:eastAsia="MS Gothic" w:hAnsi="Palatino Linotype" w:cs="Times New Roman"/>
          <w:b/>
          <w:i/>
          <w:szCs w:val="26"/>
        </w:rPr>
        <w:t>“Archivo1571464548059.pdf”</w:t>
      </w:r>
      <w:r w:rsidRPr="007B5359">
        <w:rPr>
          <w:rFonts w:ascii="Palatino Linotype" w:eastAsia="MS Gothic" w:hAnsi="Palatino Linotype" w:cs="Times New Roman"/>
          <w:szCs w:val="26"/>
        </w:rPr>
        <w:t xml:space="preserve">, cuyo contenido </w:t>
      </w:r>
      <w:r w:rsidR="002527CA" w:rsidRPr="007B5359">
        <w:rPr>
          <w:rFonts w:ascii="Palatino Linotype" w:eastAsia="MS Gothic" w:hAnsi="Palatino Linotype" w:cs="Times New Roman"/>
          <w:szCs w:val="26"/>
        </w:rPr>
        <w:t>muestra la siguiente nota periodística</w:t>
      </w:r>
      <w:r w:rsidRPr="007B5359">
        <w:rPr>
          <w:rFonts w:ascii="Palatino Linotype" w:eastAsia="MS Gothic" w:hAnsi="Palatino Linotype" w:cs="Times New Roman"/>
          <w:szCs w:val="26"/>
        </w:rPr>
        <w:t>:</w:t>
      </w:r>
    </w:p>
    <w:p w:rsidR="002527CA" w:rsidRPr="007B5359" w:rsidRDefault="002527CA" w:rsidP="002527CA">
      <w:pPr>
        <w:pStyle w:val="Prrafodelista"/>
        <w:spacing w:line="360" w:lineRule="auto"/>
        <w:ind w:left="0"/>
        <w:jc w:val="center"/>
        <w:rPr>
          <w:rFonts w:ascii="Palatino Linotype" w:hAnsi="Palatino Linotype" w:cs="Arial"/>
        </w:rPr>
      </w:pPr>
      <w:r w:rsidRPr="007B5359">
        <w:rPr>
          <w:noProof/>
          <w:lang w:val="es-MX" w:eastAsia="es-MX"/>
        </w:rPr>
        <w:drawing>
          <wp:inline distT="0" distB="0" distL="0" distR="0" wp14:anchorId="2E302EE1" wp14:editId="1AA63BC3">
            <wp:extent cx="3304937" cy="3777071"/>
            <wp:effectExtent l="57150" t="57150" r="105410" b="1092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80" t="21541" r="34464" b="12925"/>
                    <a:stretch/>
                  </pic:blipFill>
                  <pic:spPr bwMode="auto">
                    <a:xfrm>
                      <a:off x="0" y="0"/>
                      <a:ext cx="3318016" cy="379201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527CA" w:rsidRPr="007B5359" w:rsidRDefault="002527CA" w:rsidP="002527CA">
      <w:pPr>
        <w:pStyle w:val="Prrafodelista"/>
        <w:spacing w:line="360" w:lineRule="auto"/>
        <w:ind w:left="0"/>
        <w:jc w:val="center"/>
        <w:rPr>
          <w:rFonts w:ascii="Palatino Linotype" w:hAnsi="Palatino Linotype" w:cs="Arial"/>
        </w:rPr>
      </w:pPr>
      <w:r w:rsidRPr="007B5359">
        <w:rPr>
          <w:noProof/>
          <w:lang w:val="es-MX" w:eastAsia="es-MX"/>
        </w:rPr>
        <w:lastRenderedPageBreak/>
        <w:drawing>
          <wp:inline distT="0" distB="0" distL="0" distR="0" wp14:anchorId="4C1A9A06" wp14:editId="3E48A5D9">
            <wp:extent cx="3314700" cy="4972050"/>
            <wp:effectExtent l="57150" t="57150" r="114300"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09" t="13956" r="46752" b="32342"/>
                    <a:stretch/>
                  </pic:blipFill>
                  <pic:spPr bwMode="auto">
                    <a:xfrm>
                      <a:off x="0" y="0"/>
                      <a:ext cx="3314917" cy="497237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527CA" w:rsidRPr="007B5359" w:rsidRDefault="002527CA" w:rsidP="00990088">
      <w:pPr>
        <w:pStyle w:val="Prrafodelista"/>
        <w:spacing w:line="360" w:lineRule="auto"/>
        <w:ind w:left="0"/>
        <w:jc w:val="both"/>
        <w:rPr>
          <w:rFonts w:ascii="Palatino Linotype" w:hAnsi="Palatino Linotype" w:cs="Arial"/>
        </w:rPr>
      </w:pPr>
    </w:p>
    <w:p w:rsidR="00990088" w:rsidRPr="007B5359" w:rsidRDefault="002527CA"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Así </w:t>
      </w:r>
      <w:r w:rsidRPr="007B5359">
        <w:rPr>
          <w:rFonts w:ascii="Palatino Linotype" w:eastAsia="MS Gothic" w:hAnsi="Palatino Linotype" w:cs="Times New Roman"/>
          <w:szCs w:val="26"/>
        </w:rPr>
        <w:t xml:space="preserve">las cosas, dentro del apartado denominado </w:t>
      </w:r>
      <w:r w:rsidRPr="007B5359">
        <w:rPr>
          <w:rFonts w:ascii="Palatino Linotype" w:eastAsia="MS Gothic" w:hAnsi="Palatino Linotype" w:cs="Times New Roman"/>
          <w:i/>
          <w:szCs w:val="26"/>
        </w:rPr>
        <w:t>Descripción clara y precisa de la información solicitada</w:t>
      </w:r>
      <w:r w:rsidRPr="007B5359">
        <w:rPr>
          <w:rFonts w:ascii="Palatino Linotype" w:eastAsia="MS Gothic" w:hAnsi="Palatino Linotype" w:cs="Times New Roman"/>
          <w:szCs w:val="26"/>
        </w:rPr>
        <w:t xml:space="preserve"> de la solicitud de información, el entonces </w:t>
      </w:r>
      <w:r w:rsidRPr="007B5359">
        <w:rPr>
          <w:rFonts w:ascii="Palatino Linotype" w:eastAsia="MS Gothic" w:hAnsi="Palatino Linotype" w:cs="Times New Roman"/>
          <w:b/>
          <w:szCs w:val="26"/>
        </w:rPr>
        <w:t>SOLICITANTE</w:t>
      </w:r>
      <w:r w:rsidRPr="007B5359">
        <w:rPr>
          <w:rFonts w:ascii="Palatino Linotype" w:eastAsia="MS Gothic" w:hAnsi="Palatino Linotype" w:cs="Times New Roman"/>
          <w:szCs w:val="26"/>
        </w:rPr>
        <w:t xml:space="preserve"> escribió, textualmente: </w:t>
      </w:r>
      <w:r w:rsidRPr="007B5359">
        <w:rPr>
          <w:rFonts w:ascii="Palatino Linotype" w:eastAsia="MS Gothic" w:hAnsi="Palatino Linotype" w:cs="Times New Roman"/>
          <w:i/>
          <w:szCs w:val="26"/>
        </w:rPr>
        <w:t>“copia del expediente y revisión de los anexos técnicos por parte de la contraloría”.</w:t>
      </w:r>
    </w:p>
    <w:p w:rsidR="00990088" w:rsidRPr="007B5359" w:rsidRDefault="00990088" w:rsidP="00990088">
      <w:pPr>
        <w:pStyle w:val="Prrafodelista"/>
        <w:spacing w:line="360" w:lineRule="auto"/>
        <w:ind w:left="0"/>
        <w:jc w:val="both"/>
        <w:rPr>
          <w:rFonts w:ascii="Palatino Linotype" w:hAnsi="Palatino Linotype" w:cs="Arial"/>
        </w:rPr>
      </w:pPr>
    </w:p>
    <w:p w:rsidR="00990088" w:rsidRPr="007B5359" w:rsidRDefault="002527CA"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Por </w:t>
      </w:r>
      <w:r w:rsidRPr="007B5359">
        <w:rPr>
          <w:rFonts w:ascii="Palatino Linotype" w:eastAsia="MS Gothic" w:hAnsi="Palatino Linotype" w:cs="Times New Roman"/>
          <w:szCs w:val="26"/>
        </w:rPr>
        <w:t xml:space="preserve">lo anterior, de la lectura realizada a la nota periodística en cuestión, es tiene entonces que el particular solicitó al Ayuntamiento de Cuautitlán Izcalli la </w:t>
      </w:r>
      <w:r w:rsidRPr="007B5359">
        <w:rPr>
          <w:rFonts w:ascii="Palatino Linotype" w:eastAsia="MS Gothic" w:hAnsi="Palatino Linotype" w:cs="Times New Roman"/>
          <w:b/>
          <w:szCs w:val="26"/>
        </w:rPr>
        <w:lastRenderedPageBreak/>
        <w:t xml:space="preserve">copia del expediente generado por la compra de patrullas a la empresa </w:t>
      </w:r>
      <w:proofErr w:type="spellStart"/>
      <w:r w:rsidRPr="007B5359">
        <w:rPr>
          <w:rFonts w:ascii="Palatino Linotype" w:eastAsia="MS Gothic" w:hAnsi="Palatino Linotype" w:cs="Times New Roman"/>
          <w:b/>
          <w:i/>
          <w:szCs w:val="26"/>
        </w:rPr>
        <w:t>Cebenssi</w:t>
      </w:r>
      <w:proofErr w:type="spellEnd"/>
      <w:r w:rsidRPr="007B5359">
        <w:rPr>
          <w:rFonts w:ascii="Palatino Linotype" w:eastAsia="MS Gothic" w:hAnsi="Palatino Linotype" w:cs="Times New Roman"/>
          <w:b/>
          <w:i/>
          <w:szCs w:val="26"/>
        </w:rPr>
        <w:t xml:space="preserve"> S.A. de C.V.</w:t>
      </w:r>
    </w:p>
    <w:p w:rsidR="00990088" w:rsidRPr="007B5359" w:rsidRDefault="00990088" w:rsidP="00990088">
      <w:pPr>
        <w:pStyle w:val="Prrafodelista"/>
        <w:spacing w:line="360" w:lineRule="auto"/>
        <w:ind w:left="0"/>
        <w:jc w:val="both"/>
        <w:rPr>
          <w:rFonts w:ascii="Palatino Linotype" w:hAnsi="Palatino Linotype" w:cs="Arial"/>
        </w:rPr>
      </w:pPr>
    </w:p>
    <w:p w:rsidR="00990088" w:rsidRPr="007B5359" w:rsidRDefault="002527CA"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Así las cosas, y como </w:t>
      </w:r>
      <w:r w:rsidRPr="007B5359">
        <w:rPr>
          <w:rFonts w:ascii="Palatino Linotype" w:eastAsia="MS Gothic" w:hAnsi="Palatino Linotype" w:cs="Times New Roman"/>
          <w:szCs w:val="26"/>
        </w:rPr>
        <w:t xml:space="preserve">fuera mencionado en el apartado de </w:t>
      </w:r>
      <w:r w:rsidRPr="007B5359">
        <w:rPr>
          <w:rFonts w:ascii="Palatino Linotype" w:eastAsia="MS Gothic" w:hAnsi="Palatino Linotype" w:cs="Times New Roman"/>
          <w:i/>
          <w:szCs w:val="26"/>
        </w:rPr>
        <w:t>Antecedentes</w:t>
      </w:r>
      <w:r w:rsidRPr="007B5359">
        <w:rPr>
          <w:rFonts w:ascii="Palatino Linotype" w:eastAsia="MS Gothic" w:hAnsi="Palatino Linotype" w:cs="Times New Roman"/>
          <w:szCs w:val="26"/>
        </w:rPr>
        <w:t xml:space="preserve"> de la presente resolución, el </w:t>
      </w:r>
      <w:r w:rsidRPr="007B5359">
        <w:rPr>
          <w:rFonts w:ascii="Palatino Linotype" w:eastAsia="MS Gothic" w:hAnsi="Palatino Linotype" w:cs="Times New Roman"/>
          <w:b/>
          <w:szCs w:val="26"/>
        </w:rPr>
        <w:t>SUJETO OBLIGADO</w:t>
      </w:r>
      <w:r w:rsidRPr="007B5359">
        <w:rPr>
          <w:rFonts w:ascii="Palatino Linotype" w:eastAsia="MS Gothic" w:hAnsi="Palatino Linotype" w:cs="Times New Roman"/>
          <w:szCs w:val="26"/>
        </w:rPr>
        <w:t xml:space="preserve"> dio respuesta a la solicitud de información el veintiuno (21) de noviembre del dos mil diecinueve, entregando el Contrato para la Adquisición del Parque Vehicular que Requiere la Comisaría General de Seguridad Pública y Tránsito Municipal, celebrado entre el Ayuntamiento de Cuautitlán Izcalli y la empresa </w:t>
      </w:r>
      <w:proofErr w:type="spellStart"/>
      <w:r w:rsidRPr="007B5359">
        <w:rPr>
          <w:rFonts w:ascii="Palatino Linotype" w:eastAsia="MS Gothic" w:hAnsi="Palatino Linotype" w:cs="Times New Roman"/>
          <w:i/>
          <w:szCs w:val="26"/>
        </w:rPr>
        <w:t>Cebenssi</w:t>
      </w:r>
      <w:proofErr w:type="spellEnd"/>
      <w:r w:rsidRPr="007B5359">
        <w:rPr>
          <w:rFonts w:ascii="Palatino Linotype" w:eastAsia="MS Gothic" w:hAnsi="Palatino Linotype" w:cs="Times New Roman"/>
          <w:i/>
          <w:szCs w:val="26"/>
        </w:rPr>
        <w:t xml:space="preserve"> S.A de C.V</w:t>
      </w:r>
      <w:r w:rsidRPr="007B5359">
        <w:rPr>
          <w:rFonts w:ascii="Palatino Linotype" w:eastAsia="MS Gothic" w:hAnsi="Palatino Linotype" w:cs="Times New Roman"/>
          <w:szCs w:val="26"/>
        </w:rPr>
        <w:t xml:space="preserve">, mismo del que se anexa su primera foja para efectos </w:t>
      </w:r>
      <w:proofErr w:type="spellStart"/>
      <w:r w:rsidRPr="007B5359">
        <w:rPr>
          <w:rFonts w:ascii="Palatino Linotype" w:eastAsia="MS Gothic" w:hAnsi="Palatino Linotype" w:cs="Times New Roman"/>
          <w:szCs w:val="26"/>
        </w:rPr>
        <w:t>referenciativos</w:t>
      </w:r>
      <w:proofErr w:type="spellEnd"/>
      <w:r w:rsidRPr="007B5359">
        <w:rPr>
          <w:rFonts w:ascii="Palatino Linotype" w:eastAsia="MS Gothic" w:hAnsi="Palatino Linotype" w:cs="Times New Roman"/>
          <w:szCs w:val="26"/>
        </w:rPr>
        <w:t>:</w:t>
      </w:r>
    </w:p>
    <w:p w:rsidR="002527CA" w:rsidRPr="007B5359" w:rsidRDefault="002527CA" w:rsidP="002527CA">
      <w:pPr>
        <w:pStyle w:val="Prrafodelista"/>
        <w:spacing w:line="360" w:lineRule="auto"/>
        <w:ind w:left="0"/>
        <w:jc w:val="center"/>
        <w:rPr>
          <w:rFonts w:ascii="Palatino Linotype" w:hAnsi="Palatino Linotype" w:cs="Arial"/>
        </w:rPr>
      </w:pPr>
      <w:r w:rsidRPr="007B5359">
        <w:rPr>
          <w:noProof/>
          <w:lang w:val="es-MX" w:eastAsia="es-MX"/>
        </w:rPr>
        <w:drawing>
          <wp:inline distT="0" distB="0" distL="0" distR="0" wp14:anchorId="3AD5DB96" wp14:editId="25D86126">
            <wp:extent cx="3180645" cy="4600575"/>
            <wp:effectExtent l="57150" t="57150" r="115570" b="1047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44" t="11226" r="39584" b="15048"/>
                    <a:stretch/>
                  </pic:blipFill>
                  <pic:spPr bwMode="auto">
                    <a:xfrm>
                      <a:off x="0" y="0"/>
                      <a:ext cx="3187610" cy="4610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527CA" w:rsidRPr="007B5359" w:rsidRDefault="002527CA" w:rsidP="00990088">
      <w:pPr>
        <w:pStyle w:val="Prrafodelista"/>
        <w:spacing w:line="360" w:lineRule="auto"/>
        <w:ind w:left="0"/>
        <w:jc w:val="both"/>
        <w:rPr>
          <w:rFonts w:ascii="Palatino Linotype" w:hAnsi="Palatino Linotype" w:cs="Arial"/>
        </w:rPr>
      </w:pPr>
    </w:p>
    <w:p w:rsidR="002527CA" w:rsidRPr="007B5359" w:rsidRDefault="002527CA"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Consecuencia de lo anterior, </w:t>
      </w:r>
      <w:r w:rsidRPr="007B5359">
        <w:rPr>
          <w:rFonts w:ascii="Palatino Linotype" w:eastAsia="MS Gothic" w:hAnsi="Palatino Linotype" w:cs="Times New Roman"/>
          <w:szCs w:val="26"/>
        </w:rPr>
        <w:t xml:space="preserve">toda vez que el </w:t>
      </w:r>
      <w:r w:rsidRPr="007B5359">
        <w:rPr>
          <w:rFonts w:ascii="Palatino Linotype" w:eastAsia="MS Gothic" w:hAnsi="Palatino Linotype" w:cs="Times New Roman"/>
          <w:b/>
          <w:szCs w:val="26"/>
        </w:rPr>
        <w:t>SUJETO OBLIGADO</w:t>
      </w:r>
      <w:r w:rsidRPr="007B5359">
        <w:rPr>
          <w:rFonts w:ascii="Palatino Linotype" w:eastAsia="MS Gothic" w:hAnsi="Palatino Linotype" w:cs="Times New Roman"/>
          <w:szCs w:val="26"/>
        </w:rPr>
        <w:t xml:space="preserve"> se pronunció respecto de la información solicitada, es conveniente obviar el análisis de competencia del </w:t>
      </w:r>
      <w:r w:rsidRPr="007B5359">
        <w:rPr>
          <w:rFonts w:ascii="Palatino Linotype" w:eastAsia="MS Gothic" w:hAnsi="Palatino Linotype" w:cs="Times New Roman"/>
          <w:b/>
          <w:szCs w:val="26"/>
        </w:rPr>
        <w:t>SUJETO OBLIGADO</w:t>
      </w:r>
      <w:r w:rsidRPr="007B5359">
        <w:rPr>
          <w:rFonts w:ascii="Palatino Linotype" w:eastAsia="MS Gothic" w:hAnsi="Palatino Linotype" w:cs="Times New Roman"/>
          <w:szCs w:val="26"/>
        </w:rPr>
        <w:t xml:space="preserve"> para generar, administrar o poseer la misma, dado que éste asumió la misma mediante su respuesta a la solicitud de información.</w:t>
      </w:r>
    </w:p>
    <w:p w:rsidR="002527CA" w:rsidRPr="007B5359" w:rsidRDefault="002527CA" w:rsidP="002527CA">
      <w:pPr>
        <w:pStyle w:val="Prrafodelista"/>
        <w:spacing w:line="360" w:lineRule="auto"/>
        <w:ind w:left="0"/>
        <w:jc w:val="both"/>
        <w:rPr>
          <w:rFonts w:ascii="Palatino Linotype" w:hAnsi="Palatino Linotype" w:cs="Arial"/>
        </w:rPr>
      </w:pPr>
    </w:p>
    <w:p w:rsidR="002527CA" w:rsidRPr="007B5359" w:rsidRDefault="002527CA"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Lo </w:t>
      </w:r>
      <w:r w:rsidRPr="007B5359">
        <w:rPr>
          <w:rFonts w:ascii="Palatino Linotype" w:hAnsi="Palatino Linotype" w:cs="Arial"/>
        </w:rPr>
        <w:t xml:space="preserve">anterior encuentra lógica toda vez que el estudio de la naturaleza jurídica de la información pública solicitada, tiene por objeto determinar si ésta la genera, posee o administra el </w:t>
      </w:r>
      <w:r w:rsidRPr="007B5359">
        <w:rPr>
          <w:rFonts w:ascii="Palatino Linotype" w:hAnsi="Palatino Linotype" w:cs="Arial"/>
          <w:b/>
        </w:rPr>
        <w:t>SUJETO OBLIGADO</w:t>
      </w:r>
      <w:r w:rsidRPr="007B5359">
        <w:rPr>
          <w:rFonts w:ascii="Palatino Linotype" w:hAnsi="Palatino Linotype" w:cs="Arial"/>
        </w:rPr>
        <w:t xml:space="preserve">; empero, en aquellos casos en que éste la asume, implica </w:t>
      </w:r>
      <w:r w:rsidRPr="007B5359">
        <w:rPr>
          <w:rFonts w:ascii="Palatino Linotype" w:hAnsi="Palatino Linotype" w:cs="Arial"/>
          <w:i/>
        </w:rPr>
        <w:t>de facto</w:t>
      </w:r>
      <w:r w:rsidRPr="007B5359">
        <w:rPr>
          <w:rFonts w:ascii="Palatino Linotype" w:hAnsi="Palatino Linotype" w:cs="Arial"/>
        </w:rPr>
        <w:t xml:space="preserve"> que la genera, posee y/o administra. Por consiguiente, a nada práctico nos conduciría su estudio, ya que, se insiste, la información pública solicitada ha sido asumida por el Ayuntamiento de Cuautitlán Izcalli.</w:t>
      </w:r>
    </w:p>
    <w:p w:rsidR="002527CA" w:rsidRPr="007B5359" w:rsidRDefault="002527CA" w:rsidP="002527CA">
      <w:pPr>
        <w:pStyle w:val="Prrafodelista"/>
        <w:spacing w:line="360" w:lineRule="auto"/>
        <w:ind w:left="0"/>
        <w:jc w:val="both"/>
        <w:rPr>
          <w:rFonts w:ascii="Palatino Linotype" w:hAnsi="Palatino Linotype" w:cs="Arial"/>
        </w:rPr>
      </w:pPr>
    </w:p>
    <w:p w:rsidR="002527CA" w:rsidRPr="007B5359" w:rsidRDefault="002527CA"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Por </w:t>
      </w:r>
      <w:r w:rsidRPr="007B5359">
        <w:rPr>
          <w:rFonts w:ascii="Palatino Linotype" w:eastAsia="MS Gothic" w:hAnsi="Palatino Linotype" w:cs="Times New Roman"/>
          <w:szCs w:val="26"/>
        </w:rPr>
        <w:t xml:space="preserve">ello, 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7B5359">
        <w:rPr>
          <w:rFonts w:ascii="Palatino Linotype" w:eastAsia="MS Gothic" w:hAnsi="Palatino Linotype" w:cs="Times New Roman"/>
          <w:b/>
          <w:szCs w:val="26"/>
        </w:rPr>
        <w:t>SUJETO OBLIGADO</w:t>
      </w:r>
      <w:r w:rsidRPr="007B5359">
        <w:rPr>
          <w:rFonts w:ascii="Palatino Linotype" w:eastAsia="MS Gothic" w:hAnsi="Palatino Linotype" w:cs="Times New Roman"/>
          <w:szCs w:val="26"/>
        </w:rPr>
        <w:t xml:space="preserve"> pone a disposición la información, la misma tiene el carácter de oficial, ergo, se presume veraz, tan es así que la misma queda registrada en el Sistema de Acceso a la Información Mexiquense (</w:t>
      </w:r>
      <w:r w:rsidRPr="007B5359">
        <w:rPr>
          <w:rFonts w:ascii="Palatino Linotype" w:eastAsia="MS Gothic" w:hAnsi="Palatino Linotype" w:cs="Times New Roman"/>
          <w:b/>
          <w:i/>
          <w:szCs w:val="26"/>
        </w:rPr>
        <w:t>SAIMEX</w:t>
      </w:r>
      <w:r w:rsidRPr="007B5359">
        <w:rPr>
          <w:rFonts w:ascii="Palatino Linotype" w:eastAsia="MS Gothic" w:hAnsi="Palatino Linotype" w:cs="Times New Roman"/>
          <w:szCs w:val="26"/>
        </w:rPr>
        <w:t>).</w:t>
      </w:r>
    </w:p>
    <w:p w:rsidR="002527CA" w:rsidRPr="007B5359" w:rsidRDefault="002527CA" w:rsidP="002527CA">
      <w:pPr>
        <w:pStyle w:val="Prrafodelista"/>
        <w:spacing w:line="360" w:lineRule="auto"/>
        <w:ind w:left="0"/>
        <w:jc w:val="both"/>
        <w:rPr>
          <w:rFonts w:ascii="Palatino Linotype" w:hAnsi="Palatino Linotype" w:cs="Arial"/>
        </w:rPr>
      </w:pPr>
    </w:p>
    <w:p w:rsidR="002527CA" w:rsidRPr="007B5359" w:rsidRDefault="002527CA"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 xml:space="preserve">Sirve </w:t>
      </w:r>
      <w:r w:rsidRPr="007B5359">
        <w:rPr>
          <w:rFonts w:ascii="Palatino Linotype" w:hAnsi="Palatino Linotype"/>
        </w:rPr>
        <w:t>de apoyo a lo anterior por analogía, el Criterio 31-10 emitido por el entonces Instituto Federal de Acceso a la Información y Protección de Datos, mismo que dice:</w:t>
      </w:r>
    </w:p>
    <w:p w:rsidR="002527CA" w:rsidRPr="007B5359" w:rsidRDefault="002527CA" w:rsidP="002527CA">
      <w:pPr>
        <w:pStyle w:val="Prrafodelista"/>
        <w:spacing w:line="360" w:lineRule="auto"/>
        <w:ind w:left="0"/>
        <w:jc w:val="both"/>
        <w:rPr>
          <w:rFonts w:ascii="Palatino Linotype" w:hAnsi="Palatino Linotype"/>
        </w:rPr>
      </w:pPr>
    </w:p>
    <w:p w:rsidR="002527CA" w:rsidRPr="007B5359" w:rsidRDefault="002527CA" w:rsidP="002527CA">
      <w:pPr>
        <w:pStyle w:val="Sinespaciado"/>
        <w:spacing w:line="276" w:lineRule="auto"/>
        <w:ind w:left="567" w:right="567"/>
        <w:jc w:val="both"/>
        <w:rPr>
          <w:rFonts w:ascii="Palatino Linotype" w:hAnsi="Palatino Linotype"/>
          <w:i/>
          <w:sz w:val="22"/>
          <w:lang w:val="es-ES"/>
        </w:rPr>
      </w:pPr>
      <w:r w:rsidRPr="007B5359">
        <w:rPr>
          <w:rFonts w:ascii="Palatino Linotype" w:hAnsi="Palatino Linotype"/>
          <w:i/>
          <w:sz w:val="22"/>
          <w:lang w:val="es-ES"/>
        </w:rPr>
        <w:lastRenderedPageBreak/>
        <w:t>“</w:t>
      </w:r>
      <w:r w:rsidRPr="007B5359">
        <w:rPr>
          <w:rFonts w:ascii="Palatino Linotype" w:hAnsi="Palatino Linotype"/>
          <w:b/>
          <w:i/>
          <w:sz w:val="22"/>
          <w:lang w:val="es-ES"/>
        </w:rPr>
        <w:t>El Instituto Federal de Acceso a la Información y Protección de Datos no cuenta con facultades para pronunciarse respecto de la veracidad de los documentos proporcionados por los sujetos obligados.</w:t>
      </w:r>
      <w:r w:rsidRPr="007B5359">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527CA" w:rsidRPr="007B5359" w:rsidRDefault="002527CA" w:rsidP="002527CA">
      <w:pPr>
        <w:pStyle w:val="Prrafodelista"/>
        <w:spacing w:line="360" w:lineRule="auto"/>
        <w:ind w:left="0"/>
        <w:jc w:val="both"/>
        <w:rPr>
          <w:rFonts w:ascii="Palatino Linotype" w:hAnsi="Palatino Linotype" w:cs="Arial"/>
        </w:rPr>
      </w:pPr>
    </w:p>
    <w:p w:rsidR="00670EBC" w:rsidRPr="007B5359" w:rsidRDefault="005928B6"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N</w:t>
      </w:r>
      <w:r w:rsidR="00670EBC" w:rsidRPr="007B5359">
        <w:rPr>
          <w:rFonts w:ascii="Palatino Linotype" w:hAnsi="Palatino Linotype"/>
          <w:lang w:val="es-MX" w:eastAsia="en-US"/>
        </w:rPr>
        <w:t xml:space="preserve">o obstante es necesario señalar que del análisis realizado al </w:t>
      </w:r>
      <w:r w:rsidR="00670EBC" w:rsidRPr="007B5359">
        <w:rPr>
          <w:rFonts w:ascii="Palatino Linotype" w:eastAsia="MS Gothic" w:hAnsi="Palatino Linotype" w:cs="Times New Roman"/>
          <w:szCs w:val="26"/>
        </w:rPr>
        <w:t xml:space="preserve">Contrato para la Adquisición del Parque Vehicular que Requiere la Comisaría General de Seguridad Pública y Tránsito Municipal, celebrado entre el Ayuntamiento de Cuautitlán Izcalli y la empresa </w:t>
      </w:r>
      <w:proofErr w:type="spellStart"/>
      <w:r w:rsidR="00670EBC" w:rsidRPr="007B5359">
        <w:rPr>
          <w:rFonts w:ascii="Palatino Linotype" w:eastAsia="MS Gothic" w:hAnsi="Palatino Linotype" w:cs="Times New Roman"/>
          <w:i/>
          <w:szCs w:val="26"/>
        </w:rPr>
        <w:t>Cebenssi</w:t>
      </w:r>
      <w:proofErr w:type="spellEnd"/>
      <w:r w:rsidR="00670EBC" w:rsidRPr="007B5359">
        <w:rPr>
          <w:rFonts w:ascii="Palatino Linotype" w:eastAsia="MS Gothic" w:hAnsi="Palatino Linotype" w:cs="Times New Roman"/>
          <w:i/>
          <w:szCs w:val="26"/>
        </w:rPr>
        <w:t xml:space="preserve"> S.A de C.V</w:t>
      </w:r>
      <w:r w:rsidR="008608D4" w:rsidRPr="007B5359">
        <w:rPr>
          <w:rFonts w:ascii="Palatino Linotype" w:eastAsia="MS Gothic" w:hAnsi="Palatino Linotype" w:cs="Times New Roman"/>
          <w:i/>
          <w:szCs w:val="26"/>
        </w:rPr>
        <w:t xml:space="preserve">, </w:t>
      </w:r>
      <w:r w:rsidR="008608D4" w:rsidRPr="007B5359">
        <w:rPr>
          <w:rFonts w:ascii="Palatino Linotype" w:eastAsia="MS Gothic" w:hAnsi="Palatino Linotype" w:cs="Times New Roman"/>
          <w:szCs w:val="26"/>
        </w:rPr>
        <w:t xml:space="preserve">de su contenido se aprecian las especificaciones técnicas y especiales con que cuentan los diversos automóviles adquiridos para ser usados como patrullas, por lo que el </w:t>
      </w:r>
      <w:r w:rsidR="008608D4" w:rsidRPr="007B5359">
        <w:rPr>
          <w:rFonts w:ascii="Palatino Linotype" w:eastAsia="MS Gothic" w:hAnsi="Palatino Linotype" w:cs="Times New Roman"/>
          <w:b/>
          <w:szCs w:val="26"/>
        </w:rPr>
        <w:t>SUJETO OBLIGADO</w:t>
      </w:r>
      <w:r w:rsidR="008608D4" w:rsidRPr="007B5359">
        <w:rPr>
          <w:rFonts w:ascii="Palatino Linotype" w:eastAsia="MS Gothic" w:hAnsi="Palatino Linotype" w:cs="Times New Roman"/>
          <w:szCs w:val="26"/>
        </w:rPr>
        <w:t xml:space="preserve"> debió entregar el instrumento en versión pública, testando estas especificaciones de los vehículos al constituir parte de su estado de fuerza.</w:t>
      </w:r>
    </w:p>
    <w:p w:rsidR="008608D4" w:rsidRPr="007B5359" w:rsidRDefault="008608D4" w:rsidP="008608D4">
      <w:pPr>
        <w:pStyle w:val="Prrafodelista"/>
        <w:spacing w:line="360" w:lineRule="auto"/>
        <w:ind w:left="0"/>
        <w:jc w:val="both"/>
        <w:rPr>
          <w:rFonts w:ascii="Palatino Linotype" w:hAnsi="Palatino Linotype" w:cs="Arial"/>
        </w:rPr>
      </w:pPr>
    </w:p>
    <w:p w:rsidR="008608D4" w:rsidRPr="007B5359" w:rsidRDefault="008608D4"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MS Gothic" w:hAnsi="Palatino Linotype" w:cs="Times New Roman"/>
          <w:szCs w:val="26"/>
        </w:rPr>
        <w:t xml:space="preserve">Por </w:t>
      </w:r>
      <w:r w:rsidRPr="007B5359">
        <w:rPr>
          <w:rFonts w:ascii="Palatino Linotype" w:eastAsia="MS Mincho" w:hAnsi="Palatino Linotype" w:cs="Times New Roman"/>
        </w:rPr>
        <w:t xml:space="preserve">lo anterior, esta Ponencia </w:t>
      </w:r>
      <w:proofErr w:type="spellStart"/>
      <w:r w:rsidRPr="007B5359">
        <w:rPr>
          <w:rFonts w:ascii="Palatino Linotype" w:eastAsia="MS Mincho" w:hAnsi="Palatino Linotype" w:cs="Times New Roman"/>
        </w:rPr>
        <w:t>Resolutora</w:t>
      </w:r>
      <w:proofErr w:type="spellEnd"/>
      <w:r w:rsidRPr="007B5359">
        <w:rPr>
          <w:rFonts w:ascii="Palatino Linotype" w:eastAsia="MS Mincho" w:hAnsi="Palatino Linotype" w:cs="Times New Roman"/>
        </w:rPr>
        <w:t xml:space="preserve"> advierte que el actuar del </w:t>
      </w:r>
      <w:r w:rsidRPr="007B5359">
        <w:rPr>
          <w:rFonts w:ascii="Palatino Linotype" w:eastAsia="MS Mincho" w:hAnsi="Palatino Linotype" w:cs="Times New Roman"/>
          <w:b/>
        </w:rPr>
        <w:t>SUJETO OBLIGADO</w:t>
      </w:r>
      <w:r w:rsidRPr="007B5359">
        <w:rPr>
          <w:rFonts w:ascii="Palatino Linotype" w:eastAsia="MS Mincho" w:hAnsi="Palatino Linotype" w:cs="Times New Roman"/>
        </w:rPr>
        <w:t xml:space="preserve"> durante la sustanciación de la respuesta la solicitud de información fue negligente y descuidada en demasía, actualizando las causales de responsabilidad administrativa contenidas en las fracciones IV y V de la Ley de Transparencia y Acceso a la Información del Estado de México y Municipios, cuyo contenido es el siguiente:</w:t>
      </w:r>
    </w:p>
    <w:p w:rsidR="008608D4" w:rsidRPr="007B5359" w:rsidRDefault="008608D4" w:rsidP="008608D4">
      <w:pPr>
        <w:pStyle w:val="Prrafodelista"/>
        <w:spacing w:line="360" w:lineRule="auto"/>
        <w:ind w:left="0"/>
        <w:jc w:val="both"/>
        <w:rPr>
          <w:rFonts w:ascii="Palatino Linotype" w:eastAsia="MS Mincho" w:hAnsi="Palatino Linotype" w:cs="Times New Roman"/>
        </w:rPr>
      </w:pPr>
    </w:p>
    <w:p w:rsidR="008608D4" w:rsidRPr="007B5359" w:rsidRDefault="008608D4" w:rsidP="008608D4">
      <w:pPr>
        <w:pStyle w:val="Sinespaciado"/>
        <w:ind w:left="567" w:right="567"/>
        <w:jc w:val="both"/>
        <w:rPr>
          <w:rFonts w:ascii="Palatino Linotype" w:eastAsia="MS Mincho" w:hAnsi="Palatino Linotype"/>
          <w:i/>
        </w:rPr>
      </w:pPr>
      <w:r w:rsidRPr="007B5359">
        <w:rPr>
          <w:rFonts w:ascii="Palatino Linotype" w:eastAsia="MS Mincho" w:hAnsi="Palatino Linotype"/>
          <w:i/>
        </w:rPr>
        <w:t>“</w:t>
      </w:r>
      <w:r w:rsidRPr="007B5359">
        <w:rPr>
          <w:rFonts w:ascii="Palatino Linotype" w:eastAsia="MS Mincho" w:hAnsi="Palatino Linotype"/>
          <w:b/>
          <w:i/>
        </w:rPr>
        <w:t>Artículo 222.</w:t>
      </w:r>
      <w:r w:rsidRPr="007B5359">
        <w:rPr>
          <w:rFonts w:ascii="Palatino Linotype" w:eastAsia="MS Mincho" w:hAnsi="Palatino Linotype"/>
          <w:i/>
        </w:rPr>
        <w:t xml:space="preserve"> Son causas de responsabilidad administrativa de los servidores públicos de los sujetos obligados, por incumplimiento de las obligaciones establecidas en la materia de la presente Ley, las siguientes:</w:t>
      </w:r>
    </w:p>
    <w:p w:rsidR="008608D4" w:rsidRPr="007B5359" w:rsidRDefault="008608D4" w:rsidP="008608D4">
      <w:pPr>
        <w:pStyle w:val="Sinespaciado"/>
        <w:ind w:left="567" w:right="567"/>
        <w:jc w:val="both"/>
        <w:rPr>
          <w:rFonts w:ascii="Palatino Linotype" w:eastAsia="MS Mincho" w:hAnsi="Palatino Linotype"/>
          <w:i/>
        </w:rPr>
      </w:pPr>
      <w:r w:rsidRPr="007B5359">
        <w:rPr>
          <w:rFonts w:ascii="Palatino Linotype" w:eastAsia="MS Mincho" w:hAnsi="Palatino Linotype"/>
          <w:i/>
        </w:rPr>
        <w:t>(…)</w:t>
      </w:r>
    </w:p>
    <w:p w:rsidR="008608D4" w:rsidRPr="007B5359" w:rsidRDefault="008608D4" w:rsidP="008608D4">
      <w:pPr>
        <w:pStyle w:val="Sinespaciado"/>
        <w:ind w:left="567" w:right="567"/>
        <w:jc w:val="both"/>
        <w:rPr>
          <w:rFonts w:ascii="Palatino Linotype" w:eastAsia="MS Mincho" w:hAnsi="Palatino Linotype"/>
          <w:i/>
        </w:rPr>
      </w:pPr>
      <w:r w:rsidRPr="007B5359">
        <w:rPr>
          <w:rFonts w:ascii="Palatino Linotype" w:eastAsia="MS Mincho" w:hAnsi="Palatino Linotype"/>
          <w:b/>
          <w:i/>
        </w:rPr>
        <w:t xml:space="preserve">IV. </w:t>
      </w:r>
      <w:r w:rsidRPr="007B5359">
        <w:rPr>
          <w:rFonts w:ascii="Palatino Linotype" w:eastAsia="MS Mincho" w:hAnsi="Palatino Linotype"/>
          <w:i/>
        </w:rPr>
        <w:t>Entregar información clasificada como reservada;</w:t>
      </w:r>
    </w:p>
    <w:p w:rsidR="008608D4" w:rsidRPr="007B5359" w:rsidRDefault="008608D4" w:rsidP="008608D4">
      <w:pPr>
        <w:pStyle w:val="Sinespaciado"/>
        <w:ind w:left="567" w:right="567"/>
        <w:jc w:val="both"/>
        <w:rPr>
          <w:rFonts w:ascii="Palatino Linotype" w:eastAsia="MS Mincho" w:hAnsi="Palatino Linotype"/>
          <w:i/>
        </w:rPr>
      </w:pPr>
      <w:r w:rsidRPr="007B5359">
        <w:rPr>
          <w:rFonts w:ascii="Palatino Linotype" w:eastAsia="MS Mincho" w:hAnsi="Palatino Linotype"/>
          <w:b/>
          <w:i/>
        </w:rPr>
        <w:t>V.</w:t>
      </w:r>
      <w:r w:rsidRPr="007B5359">
        <w:rPr>
          <w:rFonts w:ascii="Palatino Linotype" w:eastAsia="MS Mincho" w:hAnsi="Palatino Linotype"/>
          <w:i/>
        </w:rPr>
        <w:t xml:space="preserve"> Entregar información clasificada como confidencial fuera de los casos previstos por esta Ley;</w:t>
      </w:r>
    </w:p>
    <w:p w:rsidR="008608D4" w:rsidRPr="007B5359" w:rsidRDefault="008608D4" w:rsidP="008608D4">
      <w:pPr>
        <w:pStyle w:val="Sinespaciado"/>
        <w:ind w:left="567" w:right="567"/>
        <w:jc w:val="both"/>
        <w:rPr>
          <w:rFonts w:ascii="Palatino Linotype" w:eastAsia="MS Mincho" w:hAnsi="Palatino Linotype"/>
          <w:i/>
        </w:rPr>
      </w:pPr>
      <w:r w:rsidRPr="007B5359">
        <w:rPr>
          <w:rFonts w:ascii="Palatino Linotype" w:eastAsia="MS Mincho" w:hAnsi="Palatino Linotype"/>
          <w:i/>
        </w:rPr>
        <w:t>(…)</w:t>
      </w:r>
    </w:p>
    <w:p w:rsidR="008608D4" w:rsidRPr="007B5359" w:rsidRDefault="008608D4" w:rsidP="008608D4">
      <w:pPr>
        <w:pStyle w:val="Prrafodelista"/>
        <w:tabs>
          <w:tab w:val="left" w:pos="0"/>
          <w:tab w:val="left" w:pos="426"/>
        </w:tabs>
        <w:spacing w:line="276" w:lineRule="auto"/>
        <w:ind w:left="567" w:right="567"/>
        <w:jc w:val="both"/>
        <w:rPr>
          <w:rFonts w:ascii="Palatino Linotype" w:eastAsia="MS Mincho" w:hAnsi="Palatino Linotype" w:cs="Times New Roman"/>
        </w:rPr>
      </w:pPr>
      <w:r w:rsidRPr="007B5359">
        <w:rPr>
          <w:rFonts w:ascii="Palatino Linotype" w:hAnsi="Palatino Linotype"/>
        </w:rPr>
        <w:t>(Énfasis añadido)</w:t>
      </w:r>
    </w:p>
    <w:p w:rsidR="008608D4" w:rsidRPr="007B5359" w:rsidRDefault="008608D4" w:rsidP="008608D4">
      <w:pPr>
        <w:pStyle w:val="Prrafodelista"/>
        <w:spacing w:line="360" w:lineRule="auto"/>
        <w:ind w:left="0"/>
        <w:jc w:val="both"/>
        <w:rPr>
          <w:rFonts w:ascii="Palatino Linotype" w:hAnsi="Palatino Linotype" w:cs="Arial"/>
        </w:rPr>
      </w:pPr>
    </w:p>
    <w:p w:rsidR="008608D4" w:rsidRPr="007B5359" w:rsidRDefault="008608D4"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Por </w:t>
      </w:r>
      <w:r w:rsidRPr="007B5359">
        <w:rPr>
          <w:rFonts w:ascii="Palatino Linotype" w:eastAsia="MS Mincho" w:hAnsi="Palatino Linotype" w:cs="Times New Roman"/>
        </w:rPr>
        <w:t xml:space="preserve">otro lado, no se pierde de vista que la exposición de la </w:t>
      </w:r>
      <w:proofErr w:type="spellStart"/>
      <w:r w:rsidRPr="007B5359">
        <w:rPr>
          <w:rFonts w:ascii="Palatino Linotype" w:eastAsia="MS Mincho" w:hAnsi="Palatino Linotype" w:cs="Times New Roman"/>
        </w:rPr>
        <w:t>multireferida</w:t>
      </w:r>
      <w:proofErr w:type="spellEnd"/>
      <w:r w:rsidRPr="007B5359">
        <w:rPr>
          <w:rFonts w:ascii="Palatino Linotype" w:eastAsia="MS Mincho" w:hAnsi="Palatino Linotype" w:cs="Times New Roman"/>
        </w:rPr>
        <w:t xml:space="preserve"> información, trae como consecuencia al particular una serie de responsabilidades y obligaciones para salvaguardar la información relativa al estado de fuerza del Municipio de Cuautitlán Izcalli, que por mera negligencia le fue entregada.</w:t>
      </w:r>
    </w:p>
    <w:p w:rsidR="008608D4" w:rsidRPr="007B5359" w:rsidRDefault="008608D4" w:rsidP="008608D4">
      <w:pPr>
        <w:pStyle w:val="Prrafodelista"/>
        <w:spacing w:line="360" w:lineRule="auto"/>
        <w:ind w:left="0"/>
        <w:jc w:val="both"/>
        <w:rPr>
          <w:rFonts w:ascii="Palatino Linotype" w:hAnsi="Palatino Linotype" w:cs="Arial"/>
        </w:rPr>
      </w:pPr>
    </w:p>
    <w:p w:rsidR="008608D4" w:rsidRPr="007B5359" w:rsidRDefault="008608D4" w:rsidP="008608D4">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MS Gothic" w:hAnsi="Palatino Linotype" w:cs="Times New Roman"/>
          <w:szCs w:val="26"/>
        </w:rPr>
        <w:t xml:space="preserve">De </w:t>
      </w:r>
      <w:r w:rsidRPr="007B5359">
        <w:rPr>
          <w:rFonts w:ascii="Palatino Linotype" w:eastAsia="MS Mincho" w:hAnsi="Palatino Linotype" w:cs="Times New Roman"/>
        </w:rPr>
        <w:t xml:space="preserve">tal manera que esta Ponencia </w:t>
      </w:r>
      <w:proofErr w:type="spellStart"/>
      <w:r w:rsidRPr="007B5359">
        <w:rPr>
          <w:rFonts w:ascii="Palatino Linotype" w:eastAsia="MS Mincho" w:hAnsi="Palatino Linotype" w:cs="Times New Roman"/>
        </w:rPr>
        <w:t>Resolutora</w:t>
      </w:r>
      <w:proofErr w:type="spellEnd"/>
      <w:r w:rsidRPr="007B5359">
        <w:rPr>
          <w:rFonts w:ascii="Palatino Linotype" w:eastAsia="MS Mincho" w:hAnsi="Palatino Linotype" w:cs="Times New Roman"/>
        </w:rPr>
        <w:t xml:space="preserve"> hace del conocimiento del </w:t>
      </w:r>
      <w:r w:rsidRPr="007B5359">
        <w:rPr>
          <w:rFonts w:ascii="Palatino Linotype" w:eastAsia="MS Mincho" w:hAnsi="Palatino Linotype" w:cs="Times New Roman"/>
          <w:b/>
        </w:rPr>
        <w:t>RECURRENTE</w:t>
      </w:r>
      <w:r w:rsidRPr="007B5359">
        <w:rPr>
          <w:rFonts w:ascii="Palatino Linotype" w:eastAsia="MS Mincho" w:hAnsi="Palatino Linotype" w:cs="Times New Roman"/>
        </w:rPr>
        <w:t xml:space="preserve"> que ahora, por cuanto hace a la información relativa a las especificaciones técnicas y especiales de los vehículos policiales del Municipio de Cuautitlán Izcalli, deberá regir su actuar, uso y cuidado en estricta observancia de la </w:t>
      </w:r>
      <w:r w:rsidRPr="007B5359">
        <w:rPr>
          <w:rFonts w:ascii="Palatino Linotype" w:eastAsia="MS Mincho" w:hAnsi="Palatino Linotype" w:cs="Times New Roman"/>
          <w:b/>
        </w:rPr>
        <w:t>Ley de Transparencia y Acceso a la Información Pública del Estado de México y Municipios</w:t>
      </w:r>
      <w:r w:rsidRPr="007B5359">
        <w:rPr>
          <w:rFonts w:ascii="Palatino Linotype" w:eastAsia="MS Mincho" w:hAnsi="Palatino Linotype" w:cs="Times New Roman"/>
        </w:rPr>
        <w:t>, para su adecuado resguardo.</w:t>
      </w:r>
    </w:p>
    <w:p w:rsidR="00670EBC" w:rsidRPr="007B5359" w:rsidRDefault="00670EBC" w:rsidP="00670EBC">
      <w:pPr>
        <w:pStyle w:val="Prrafodelista"/>
        <w:spacing w:line="360" w:lineRule="auto"/>
        <w:ind w:left="0"/>
        <w:jc w:val="both"/>
        <w:rPr>
          <w:rFonts w:ascii="Palatino Linotype" w:hAnsi="Palatino Linotype" w:cs="Arial"/>
        </w:rPr>
      </w:pPr>
    </w:p>
    <w:p w:rsidR="00990088" w:rsidRPr="007B5359" w:rsidRDefault="00670EBC" w:rsidP="0099008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lang w:val="es-MX" w:eastAsia="en-US"/>
        </w:rPr>
        <w:t>Expuesto lo anterior,</w:t>
      </w:r>
      <w:r w:rsidR="005928B6" w:rsidRPr="007B5359">
        <w:rPr>
          <w:rFonts w:ascii="Palatino Linotype" w:eastAsia="MS Gothic" w:hAnsi="Palatino Linotype" w:cs="Times New Roman"/>
          <w:szCs w:val="26"/>
        </w:rPr>
        <w:t xml:space="preserve"> es imperativo reiterar que el particular solicitó el </w:t>
      </w:r>
      <w:r w:rsidR="002527CA" w:rsidRPr="007B5359">
        <w:rPr>
          <w:rFonts w:ascii="Palatino Linotype" w:hAnsi="Palatino Linotype"/>
          <w:b/>
          <w:lang w:val="es-MX" w:eastAsia="en-US"/>
        </w:rPr>
        <w:t>expediente completo del contrato</w:t>
      </w:r>
      <w:r w:rsidR="002527CA" w:rsidRPr="007B5359">
        <w:rPr>
          <w:rFonts w:ascii="Palatino Linotype" w:hAnsi="Palatino Linotype"/>
          <w:lang w:val="es-MX" w:eastAsia="en-US"/>
        </w:rPr>
        <w:t>, no solo el instrumento por el que el Ayuntamiento adquirió los vehículos; asimismo,</w:t>
      </w:r>
      <w:r w:rsidR="005928B6" w:rsidRPr="007B5359">
        <w:rPr>
          <w:rFonts w:ascii="Palatino Linotype" w:hAnsi="Palatino Linotype"/>
          <w:lang w:val="es-MX" w:eastAsia="en-US"/>
        </w:rPr>
        <w:t xml:space="preserve"> se advierte que el </w:t>
      </w:r>
      <w:r w:rsidR="005928B6" w:rsidRPr="007B5359">
        <w:rPr>
          <w:rFonts w:ascii="Palatino Linotype" w:hAnsi="Palatino Linotype"/>
          <w:b/>
          <w:lang w:val="es-MX" w:eastAsia="en-US"/>
        </w:rPr>
        <w:t>SUJETO OBLIGADO</w:t>
      </w:r>
      <w:r w:rsidR="002527CA" w:rsidRPr="007B5359">
        <w:rPr>
          <w:rFonts w:ascii="Palatino Linotype" w:hAnsi="Palatino Linotype"/>
          <w:lang w:val="es-MX" w:eastAsia="en-US"/>
        </w:rPr>
        <w:t xml:space="preserve"> </w:t>
      </w:r>
      <w:r w:rsidR="002527CA" w:rsidRPr="007B5359">
        <w:rPr>
          <w:rFonts w:ascii="Palatino Linotype" w:hAnsi="Palatino Linotype"/>
          <w:b/>
          <w:lang w:val="es-MX" w:eastAsia="en-US"/>
        </w:rPr>
        <w:t>no se pronunció sobre los anexos técnicos por parte de la Contraloría</w:t>
      </w:r>
      <w:r w:rsidR="002527CA" w:rsidRPr="007B5359">
        <w:rPr>
          <w:rFonts w:ascii="Palatino Linotype" w:hAnsi="Palatino Linotype"/>
          <w:lang w:val="es-MX" w:eastAsia="en-US"/>
        </w:rPr>
        <w:t>.</w:t>
      </w:r>
    </w:p>
    <w:p w:rsidR="00990088" w:rsidRPr="007B5359" w:rsidRDefault="00990088" w:rsidP="00990088">
      <w:pPr>
        <w:pStyle w:val="Prrafodelista"/>
        <w:spacing w:line="360" w:lineRule="auto"/>
        <w:ind w:left="0"/>
        <w:jc w:val="both"/>
        <w:rPr>
          <w:rFonts w:ascii="Palatino Linotype" w:hAnsi="Palatino Linotype" w:cs="Arial"/>
        </w:rPr>
      </w:pPr>
    </w:p>
    <w:p w:rsidR="00757201" w:rsidRPr="007B5359" w:rsidRDefault="002D3637" w:rsidP="00757201">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Calibri" w:hAnsi="Palatino Linotype" w:cs="Tahoma"/>
          <w:iCs/>
          <w:lang w:val="es-ES" w:eastAsia="es-ES_tradnl"/>
        </w:rPr>
        <w:t>Por ello, debemos señalar que l</w:t>
      </w:r>
      <w:r w:rsidR="00757201" w:rsidRPr="007B5359">
        <w:rPr>
          <w:rFonts w:ascii="Palatino Linotype" w:eastAsia="Calibri" w:hAnsi="Palatino Linotype" w:cs="Tahoma"/>
          <w:iCs/>
          <w:lang w:val="es-ES" w:eastAsia="es-ES_tradnl"/>
        </w:rPr>
        <w:t>a Ley de Contratación Pública del Estado de México y Municipios, aplicable para los municipios que integran al Estado de México,</w:t>
      </w:r>
      <w:r w:rsidR="00757201" w:rsidRPr="007B5359">
        <w:rPr>
          <w:rFonts w:ascii="Palatino Linotype" w:eastAsia="Calibri" w:hAnsi="Palatino Linotype" w:cs="Tahoma"/>
          <w:iCs/>
          <w:lang w:eastAsia="es-ES_tradnl"/>
        </w:rPr>
        <w:t xml:space="preserve"> tiene por objeto regular los actos relativos a la planeación, programación, </w:t>
      </w:r>
      <w:proofErr w:type="spellStart"/>
      <w:r w:rsidR="00757201" w:rsidRPr="007B5359">
        <w:rPr>
          <w:rFonts w:ascii="Palatino Linotype" w:eastAsia="Calibri" w:hAnsi="Palatino Linotype" w:cs="Tahoma"/>
          <w:iCs/>
          <w:lang w:eastAsia="es-ES_tradnl"/>
        </w:rPr>
        <w:t>presupuestación</w:t>
      </w:r>
      <w:proofErr w:type="spellEnd"/>
      <w:r w:rsidR="00757201" w:rsidRPr="007B5359">
        <w:rPr>
          <w:rFonts w:ascii="Palatino Linotype" w:eastAsia="Calibri" w:hAnsi="Palatino Linotype" w:cs="Tahoma"/>
          <w:iCs/>
          <w:lang w:eastAsia="es-ES_tradnl"/>
        </w:rPr>
        <w:t xml:space="preserve">, ejecución y control de la adquisición, enajenación y arrendamiento de bienes, y la </w:t>
      </w:r>
      <w:r w:rsidR="00757201" w:rsidRPr="007B5359">
        <w:rPr>
          <w:rFonts w:ascii="Palatino Linotype" w:eastAsia="Calibri" w:hAnsi="Palatino Linotype" w:cs="Tahoma"/>
          <w:b/>
          <w:iCs/>
          <w:lang w:eastAsia="es-ES_tradnl"/>
        </w:rPr>
        <w:t>contratación de servicios de cualquier naturaleza.</w:t>
      </w:r>
    </w:p>
    <w:p w:rsidR="00757201" w:rsidRPr="007B5359" w:rsidRDefault="00757201" w:rsidP="00757201">
      <w:pPr>
        <w:pStyle w:val="Prrafodelista"/>
        <w:spacing w:line="360" w:lineRule="auto"/>
        <w:ind w:left="0"/>
        <w:jc w:val="both"/>
        <w:rPr>
          <w:rFonts w:ascii="Palatino Linotype" w:hAnsi="Palatino Linotype" w:cs="Arial"/>
        </w:rPr>
      </w:pPr>
    </w:p>
    <w:p w:rsidR="00757201" w:rsidRPr="007B5359" w:rsidRDefault="00757201" w:rsidP="00757201">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Calibri" w:hAnsi="Palatino Linotype" w:cs="Tahoma"/>
          <w:iCs/>
          <w:lang w:eastAsia="es-ES_tradnl"/>
        </w:rPr>
        <w:t xml:space="preserve">El artículo 26 de la citada legislación, determina que las adquisiciones, arrendamientos y </w:t>
      </w:r>
      <w:r w:rsidRPr="007B5359">
        <w:rPr>
          <w:rFonts w:ascii="Palatino Linotype" w:eastAsia="Calibri" w:hAnsi="Palatino Linotype" w:cs="Tahoma"/>
          <w:b/>
          <w:iCs/>
          <w:lang w:eastAsia="es-ES_tradnl"/>
        </w:rPr>
        <w:t>servicios se adjudicarán a través de licitaciones públicas</w:t>
      </w:r>
      <w:r w:rsidRPr="007B5359">
        <w:rPr>
          <w:rFonts w:ascii="Palatino Linotype" w:eastAsia="Calibri" w:hAnsi="Palatino Linotype" w:cs="Tahoma"/>
          <w:iCs/>
          <w:lang w:eastAsia="es-ES_tradnl"/>
        </w:rPr>
        <w:t xml:space="preserve">, mediante convocatoria pública. Asimismo, en su artículo 43, prevé como excepciones a la licitación pública los procedimientos de </w:t>
      </w:r>
      <w:r w:rsidRPr="007B5359">
        <w:rPr>
          <w:rFonts w:ascii="Palatino Linotype" w:eastAsia="Calibri" w:hAnsi="Palatino Linotype" w:cs="Tahoma"/>
          <w:b/>
          <w:iCs/>
          <w:lang w:eastAsia="es-ES_tradnl"/>
        </w:rPr>
        <w:t>adquisición de</w:t>
      </w:r>
      <w:r w:rsidRPr="007B5359">
        <w:rPr>
          <w:rFonts w:ascii="Palatino Linotype" w:eastAsia="Calibri" w:hAnsi="Palatino Linotype" w:cs="Tahoma"/>
          <w:iCs/>
          <w:lang w:eastAsia="es-ES_tradnl"/>
        </w:rPr>
        <w:t xml:space="preserve"> bienes o </w:t>
      </w:r>
      <w:r w:rsidRPr="007B5359">
        <w:rPr>
          <w:rFonts w:ascii="Palatino Linotype" w:eastAsia="Calibri" w:hAnsi="Palatino Linotype" w:cs="Tahoma"/>
          <w:b/>
          <w:iCs/>
          <w:lang w:eastAsia="es-ES_tradnl"/>
        </w:rPr>
        <w:t>servicios</w:t>
      </w:r>
      <w:r w:rsidRPr="007B5359">
        <w:rPr>
          <w:rFonts w:ascii="Palatino Linotype" w:eastAsia="Calibri" w:hAnsi="Palatino Linotype" w:cs="Tahoma"/>
          <w:iCs/>
          <w:lang w:eastAsia="es-ES_tradnl"/>
        </w:rPr>
        <w:t xml:space="preserve"> a través de las modalidades de invitación restringida y </w:t>
      </w:r>
      <w:r w:rsidRPr="007B5359">
        <w:rPr>
          <w:rFonts w:ascii="Palatino Linotype" w:eastAsia="Calibri" w:hAnsi="Palatino Linotype" w:cs="Tahoma"/>
          <w:b/>
          <w:iCs/>
          <w:lang w:eastAsia="es-ES_tradnl"/>
        </w:rPr>
        <w:t>adjudicación directa</w:t>
      </w:r>
      <w:r w:rsidRPr="007B5359">
        <w:rPr>
          <w:rFonts w:ascii="Palatino Linotype" w:eastAsia="Calibri" w:hAnsi="Palatino Linotype" w:cs="Tahoma"/>
          <w:iCs/>
          <w:lang w:eastAsia="es-ES_tradnl"/>
        </w:rPr>
        <w:t>.</w:t>
      </w:r>
    </w:p>
    <w:p w:rsidR="00757201" w:rsidRPr="007B5359" w:rsidRDefault="00757201" w:rsidP="00757201">
      <w:pPr>
        <w:pStyle w:val="Prrafodelista"/>
        <w:rPr>
          <w:rFonts w:ascii="Palatino Linotype" w:hAnsi="Palatino Linotype" w:cs="Arial"/>
        </w:rPr>
      </w:pPr>
    </w:p>
    <w:p w:rsidR="00757201" w:rsidRPr="007B5359" w:rsidRDefault="00757201" w:rsidP="00757201">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Calibri" w:hAnsi="Palatino Linotype" w:cs="Tahoma"/>
          <w:iCs/>
          <w:lang w:eastAsia="es-ES_tradnl"/>
        </w:rPr>
        <w:t xml:space="preserve">Con relación a la modalidad de adjudicación directa, el artículo 48, fracción IV, de la Ley en cita, establece que </w:t>
      </w:r>
      <w:r w:rsidRPr="007B5359">
        <w:rPr>
          <w:rFonts w:ascii="Palatino Linotype" w:eastAsia="Calibri" w:hAnsi="Palatino Linotype" w:cs="Tahoma"/>
          <w:b/>
          <w:iCs/>
          <w:u w:val="single"/>
          <w:lang w:eastAsia="es-ES_tradnl"/>
        </w:rPr>
        <w:t>podrá realizarse cuando sea urgente la adquisición de</w:t>
      </w:r>
      <w:r w:rsidRPr="007B5359">
        <w:rPr>
          <w:rFonts w:ascii="Palatino Linotype" w:eastAsia="Calibri" w:hAnsi="Palatino Linotype" w:cs="Tahoma"/>
          <w:iCs/>
          <w:lang w:eastAsia="es-ES_tradnl"/>
        </w:rPr>
        <w:t xml:space="preserve"> bienes, arrendamientos o </w:t>
      </w:r>
      <w:r w:rsidRPr="007B5359">
        <w:rPr>
          <w:rFonts w:ascii="Palatino Linotype" w:eastAsia="Calibri" w:hAnsi="Palatino Linotype" w:cs="Tahoma"/>
          <w:b/>
          <w:iCs/>
          <w:u w:val="single"/>
          <w:lang w:eastAsia="es-ES_tradnl"/>
        </w:rPr>
        <w:t>servicios por estar en riesgo el orden social, la salubridad, la seguridad pública o el ambiente, de alguna zona o región del Estado</w:t>
      </w:r>
      <w:r w:rsidRPr="007B5359">
        <w:rPr>
          <w:rFonts w:ascii="Palatino Linotype" w:eastAsia="Calibri" w:hAnsi="Palatino Linotype" w:cs="Tahoma"/>
          <w:iCs/>
          <w:lang w:eastAsia="es-ES_tradnl"/>
        </w:rPr>
        <w:t xml:space="preserve">; </w:t>
      </w:r>
      <w:r w:rsidRPr="007B5359">
        <w:rPr>
          <w:rFonts w:ascii="Palatino Linotype" w:eastAsia="Calibri" w:hAnsi="Palatino Linotype" w:cs="Tahoma"/>
          <w:b/>
          <w:iCs/>
          <w:u w:val="single"/>
          <w:lang w:eastAsia="es-ES_tradnl"/>
        </w:rPr>
        <w:t>se paralicen los servicios públicos</w:t>
      </w:r>
      <w:r w:rsidRPr="007B5359">
        <w:rPr>
          <w:rFonts w:ascii="Palatino Linotype" w:eastAsia="Calibri" w:hAnsi="Palatino Linotype" w:cs="Tahoma"/>
          <w:iCs/>
          <w:lang w:eastAsia="es-ES_tradnl"/>
        </w:rPr>
        <w:t xml:space="preserve">; </w:t>
      </w:r>
      <w:r w:rsidRPr="007B5359">
        <w:rPr>
          <w:rFonts w:ascii="Palatino Linotype" w:eastAsia="Calibri" w:hAnsi="Palatino Linotype" w:cs="Tahoma"/>
          <w:b/>
          <w:iCs/>
          <w:u w:val="single"/>
          <w:lang w:eastAsia="es-ES_tradnl"/>
        </w:rPr>
        <w:t>se trate de programas o acciones</w:t>
      </w:r>
      <w:r w:rsidRPr="007B5359">
        <w:rPr>
          <w:rFonts w:ascii="Palatino Linotype" w:eastAsia="Calibri" w:hAnsi="Palatino Linotype" w:cs="Tahoma"/>
          <w:iCs/>
          <w:lang w:eastAsia="es-ES_tradnl"/>
        </w:rPr>
        <w:t xml:space="preserve"> de apoyo a la población </w:t>
      </w:r>
      <w:r w:rsidRPr="007B5359">
        <w:rPr>
          <w:rFonts w:ascii="Palatino Linotype" w:eastAsia="Calibri" w:hAnsi="Palatino Linotype" w:cs="Tahoma"/>
          <w:b/>
          <w:iCs/>
          <w:u w:val="single"/>
          <w:lang w:eastAsia="es-ES_tradnl"/>
        </w:rPr>
        <w:t>para atender necesidades apremiantes, o concurra alguna causa similar de interés público</w:t>
      </w:r>
      <w:r w:rsidRPr="007B5359">
        <w:rPr>
          <w:rFonts w:ascii="Palatino Linotype" w:eastAsia="Calibri" w:hAnsi="Palatino Linotype" w:cs="Tahoma"/>
          <w:iCs/>
          <w:lang w:eastAsia="es-ES_tradnl"/>
        </w:rPr>
        <w:t>.</w:t>
      </w:r>
    </w:p>
    <w:p w:rsidR="00757201" w:rsidRPr="007B5359" w:rsidRDefault="00757201" w:rsidP="00757201">
      <w:pPr>
        <w:pStyle w:val="Prrafodelista"/>
        <w:rPr>
          <w:rFonts w:ascii="Palatino Linotype" w:hAnsi="Palatino Linotype" w:cs="Arial"/>
        </w:rPr>
      </w:pPr>
    </w:p>
    <w:p w:rsidR="00757201" w:rsidRPr="007B5359" w:rsidRDefault="00757201" w:rsidP="00757201">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Calibri" w:hAnsi="Palatino Linotype" w:cs="Tahoma"/>
          <w:iCs/>
          <w:lang w:eastAsia="es-ES_tradnl"/>
        </w:rPr>
        <w:t xml:space="preserve">En este sentido, se advierte la existencia de obligación legal para realizar contrataciones por parte del </w:t>
      </w:r>
      <w:r w:rsidR="002D3637" w:rsidRPr="007B5359">
        <w:rPr>
          <w:rFonts w:ascii="Palatino Linotype" w:eastAsia="Calibri" w:hAnsi="Palatino Linotype" w:cs="Tahoma"/>
          <w:b/>
          <w:iCs/>
          <w:lang w:eastAsia="es-ES_tradnl"/>
        </w:rPr>
        <w:t>SUJETO OBLIGADO</w:t>
      </w:r>
      <w:r w:rsidRPr="007B5359">
        <w:rPr>
          <w:rFonts w:ascii="Palatino Linotype" w:eastAsia="Calibri" w:hAnsi="Palatino Linotype" w:cs="Tahoma"/>
          <w:iCs/>
          <w:lang w:eastAsia="es-ES_tradnl"/>
        </w:rPr>
        <w:t>, incluso la propia normatividad prevé supuestos de excepción al procedimiento adquisitivo cuando se trate de situaciones de emergencia que pongan en riesgo la prestación de servicios públicos.</w:t>
      </w:r>
    </w:p>
    <w:p w:rsidR="00757201" w:rsidRPr="007B5359" w:rsidRDefault="00757201" w:rsidP="00757201">
      <w:pPr>
        <w:pStyle w:val="Prrafodelista"/>
        <w:rPr>
          <w:rFonts w:ascii="Palatino Linotype" w:hAnsi="Palatino Linotype" w:cs="Arial"/>
        </w:rPr>
      </w:pPr>
    </w:p>
    <w:p w:rsidR="00757201" w:rsidRPr="007B5359" w:rsidRDefault="00757201" w:rsidP="00757201">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Calibri" w:hAnsi="Palatino Linotype" w:cs="Tahoma"/>
          <w:iCs/>
          <w:lang w:eastAsia="es-ES_tradnl"/>
        </w:rPr>
        <w:t xml:space="preserve">Asimismo, los artículos 65, 80 y 81 de la </w:t>
      </w:r>
      <w:r w:rsidRPr="007B5359">
        <w:rPr>
          <w:rFonts w:ascii="Palatino Linotype" w:eastAsia="Calibri" w:hAnsi="Palatino Linotype" w:cs="Tahoma"/>
          <w:iCs/>
          <w:lang w:val="es-ES" w:eastAsia="es-ES_tradnl"/>
        </w:rPr>
        <w:t>Ley de Contratación Pública del Estado de México y Municipios establecen lo siguiente:</w:t>
      </w:r>
    </w:p>
    <w:p w:rsidR="00757201" w:rsidRPr="007B5359" w:rsidRDefault="00757201" w:rsidP="00757201">
      <w:pPr>
        <w:tabs>
          <w:tab w:val="left" w:pos="4962"/>
        </w:tabs>
        <w:spacing w:line="360" w:lineRule="auto"/>
        <w:jc w:val="both"/>
        <w:rPr>
          <w:rFonts w:ascii="Palatino Linotype" w:eastAsia="Calibri" w:hAnsi="Palatino Linotype" w:cs="Tahoma"/>
          <w:iCs/>
          <w:lang w:val="es-ES" w:eastAsia="es-ES_tradnl"/>
        </w:rPr>
      </w:pPr>
    </w:p>
    <w:p w:rsidR="00757201" w:rsidRPr="007B5359" w:rsidRDefault="00757201" w:rsidP="00757201">
      <w:pPr>
        <w:tabs>
          <w:tab w:val="left" w:pos="4962"/>
        </w:tabs>
        <w:spacing w:line="360" w:lineRule="auto"/>
        <w:ind w:left="567" w:right="567"/>
        <w:jc w:val="both"/>
        <w:rPr>
          <w:rFonts w:ascii="Palatino Linotype" w:eastAsia="Calibri" w:hAnsi="Palatino Linotype" w:cs="Tahoma"/>
          <w:i/>
          <w:iCs/>
          <w:sz w:val="22"/>
          <w:lang w:eastAsia="es-ES_tradnl"/>
        </w:rPr>
      </w:pPr>
      <w:r w:rsidRPr="007B5359">
        <w:rPr>
          <w:rFonts w:ascii="Palatino Linotype" w:eastAsia="Calibri" w:hAnsi="Palatino Linotype" w:cs="Tahoma"/>
          <w:b/>
          <w:i/>
          <w:iCs/>
          <w:sz w:val="22"/>
          <w:lang w:eastAsia="es-ES_tradnl"/>
        </w:rPr>
        <w:t>Artículo 65.-</w:t>
      </w:r>
      <w:r w:rsidRPr="007B5359">
        <w:rPr>
          <w:rFonts w:ascii="Palatino Linotype" w:eastAsia="Calibri" w:hAnsi="Palatino Linotype" w:cs="Tahoma"/>
          <w:i/>
          <w:iCs/>
          <w:sz w:val="22"/>
          <w:lang w:eastAsia="es-ES_tradnl"/>
        </w:rPr>
        <w:t xml:space="preserve"> La adjudicación de los contratos derivados de los procedimientos de </w:t>
      </w:r>
      <w:r w:rsidRPr="007B5359">
        <w:rPr>
          <w:rFonts w:ascii="Palatino Linotype" w:eastAsia="Calibri" w:hAnsi="Palatino Linotype" w:cs="Tahoma"/>
          <w:b/>
          <w:i/>
          <w:iCs/>
          <w:sz w:val="22"/>
          <w:lang w:eastAsia="es-ES_tradnl"/>
        </w:rPr>
        <w:t xml:space="preserve">adquisiciones de </w:t>
      </w:r>
      <w:r w:rsidRPr="007B5359">
        <w:rPr>
          <w:rFonts w:ascii="Palatino Linotype" w:eastAsia="Calibri" w:hAnsi="Palatino Linotype" w:cs="Tahoma"/>
          <w:i/>
          <w:iCs/>
          <w:sz w:val="22"/>
          <w:lang w:eastAsia="es-ES_tradnl"/>
        </w:rPr>
        <w:t xml:space="preserve">bienes o </w:t>
      </w:r>
      <w:r w:rsidRPr="007B5359">
        <w:rPr>
          <w:rFonts w:ascii="Palatino Linotype" w:eastAsia="Calibri" w:hAnsi="Palatino Linotype" w:cs="Tahoma"/>
          <w:b/>
          <w:i/>
          <w:iCs/>
          <w:sz w:val="22"/>
          <w:lang w:eastAsia="es-ES_tradnl"/>
        </w:rPr>
        <w:t>servicios</w:t>
      </w:r>
      <w:r w:rsidRPr="007B5359">
        <w:rPr>
          <w:rFonts w:ascii="Palatino Linotype" w:eastAsia="Calibri" w:hAnsi="Palatino Linotype" w:cs="Tahoma"/>
          <w:i/>
          <w:iCs/>
          <w:sz w:val="22"/>
          <w:lang w:eastAsia="es-ES_tradnl"/>
        </w:rPr>
        <w:t xml:space="preserve">, obligará a la convocante y al licitante ganador a </w:t>
      </w:r>
      <w:r w:rsidRPr="007B5359">
        <w:rPr>
          <w:rFonts w:ascii="Palatino Linotype" w:eastAsia="Calibri" w:hAnsi="Palatino Linotype" w:cs="Tahoma"/>
          <w:b/>
          <w:i/>
          <w:iCs/>
          <w:sz w:val="22"/>
          <w:lang w:eastAsia="es-ES_tradnl"/>
        </w:rPr>
        <w:t>suscribir el contrato respectivo</w:t>
      </w:r>
      <w:r w:rsidRPr="007B5359">
        <w:rPr>
          <w:rFonts w:ascii="Palatino Linotype" w:eastAsia="Calibri" w:hAnsi="Palatino Linotype" w:cs="Tahoma"/>
          <w:i/>
          <w:iCs/>
          <w:sz w:val="22"/>
          <w:lang w:eastAsia="es-ES_tradnl"/>
        </w:rPr>
        <w:t>, dentro de los diez días hábiles siguientes al de la notificación del fallo. Los contratos podrán suscribirse mediante el uso de la firma electrónica, en apego a las disposiciones de la Ley de Medios Electrónicos y de su Reglamento.</w:t>
      </w:r>
    </w:p>
    <w:p w:rsidR="00757201" w:rsidRPr="007B5359" w:rsidRDefault="00757201" w:rsidP="00757201">
      <w:pPr>
        <w:tabs>
          <w:tab w:val="left" w:pos="4962"/>
        </w:tabs>
        <w:spacing w:line="360" w:lineRule="auto"/>
        <w:ind w:left="567" w:right="567"/>
        <w:jc w:val="both"/>
        <w:rPr>
          <w:rFonts w:ascii="Palatino Linotype" w:eastAsia="Calibri" w:hAnsi="Palatino Linotype" w:cs="Tahoma"/>
          <w:i/>
          <w:iCs/>
          <w:sz w:val="22"/>
          <w:lang w:eastAsia="es-ES_tradnl"/>
        </w:rPr>
      </w:pPr>
    </w:p>
    <w:p w:rsidR="00757201" w:rsidRPr="007B5359" w:rsidRDefault="00757201" w:rsidP="00757201">
      <w:pPr>
        <w:tabs>
          <w:tab w:val="left" w:pos="4962"/>
        </w:tabs>
        <w:spacing w:line="360" w:lineRule="auto"/>
        <w:ind w:left="567" w:right="567"/>
        <w:jc w:val="both"/>
        <w:rPr>
          <w:rFonts w:ascii="Palatino Linotype" w:eastAsia="Calibri" w:hAnsi="Palatino Linotype" w:cs="Tahoma"/>
          <w:i/>
          <w:iCs/>
          <w:sz w:val="22"/>
          <w:lang w:eastAsia="es-ES_tradnl"/>
        </w:rPr>
      </w:pPr>
      <w:r w:rsidRPr="007B5359">
        <w:rPr>
          <w:rFonts w:ascii="Palatino Linotype" w:eastAsia="Calibri" w:hAnsi="Palatino Linotype" w:cs="Tahoma"/>
          <w:b/>
          <w:i/>
          <w:iCs/>
          <w:sz w:val="22"/>
          <w:lang w:eastAsia="es-ES_tradnl"/>
        </w:rPr>
        <w:t>Artículo 80.-</w:t>
      </w:r>
      <w:r w:rsidRPr="007B5359">
        <w:rPr>
          <w:rFonts w:ascii="Palatino Linotype" w:eastAsia="Calibri" w:hAnsi="Palatino Linotype" w:cs="Tahoma"/>
          <w:i/>
          <w:iCs/>
          <w:sz w:val="22"/>
          <w:lang w:eastAsia="es-ES_tradnl"/>
        </w:rPr>
        <w:t xml:space="preserve"> Los </w:t>
      </w:r>
      <w:r w:rsidRPr="007B5359">
        <w:rPr>
          <w:rFonts w:ascii="Palatino Linotype" w:eastAsia="Calibri" w:hAnsi="Palatino Linotype" w:cs="Tahoma"/>
          <w:b/>
          <w:i/>
          <w:iCs/>
          <w:sz w:val="22"/>
          <w:lang w:eastAsia="es-ES_tradnl"/>
        </w:rPr>
        <w:t>contratos pedido</w:t>
      </w:r>
      <w:r w:rsidRPr="007B5359">
        <w:rPr>
          <w:rFonts w:ascii="Palatino Linotype" w:eastAsia="Calibri" w:hAnsi="Palatino Linotype" w:cs="Tahoma"/>
          <w:i/>
          <w:iCs/>
          <w:sz w:val="22"/>
          <w:lang w:eastAsia="es-ES_tradnl"/>
        </w:rPr>
        <w:t xml:space="preserve"> son aquellos instrumentos que permiten a las dependencias, a las entidades, a los tribunales administrativos y a los ayuntamientos adquirir bienes o contratar servicios por una cantidad que no exceda los montos establecidos para la adjudicación directa, de conformidad con lo previsto en la fracción XI del artículo 48 de la presente Ley. Las dependencias deberán celebrar contratos pedido para la contratación de bienes o de servicios, que realicen al amparo de dicha fracción. </w:t>
      </w:r>
    </w:p>
    <w:p w:rsidR="00757201" w:rsidRPr="007B5359" w:rsidRDefault="00757201" w:rsidP="00757201">
      <w:pPr>
        <w:tabs>
          <w:tab w:val="left" w:pos="4962"/>
        </w:tabs>
        <w:spacing w:line="360" w:lineRule="auto"/>
        <w:ind w:left="567" w:right="567"/>
        <w:jc w:val="both"/>
        <w:rPr>
          <w:rFonts w:ascii="Palatino Linotype" w:eastAsia="Calibri" w:hAnsi="Palatino Linotype" w:cs="Tahoma"/>
          <w:i/>
          <w:iCs/>
          <w:sz w:val="22"/>
          <w:lang w:eastAsia="es-ES_tradnl"/>
        </w:rPr>
      </w:pPr>
    </w:p>
    <w:p w:rsidR="00757201" w:rsidRPr="007B5359" w:rsidRDefault="00757201" w:rsidP="00757201">
      <w:pPr>
        <w:tabs>
          <w:tab w:val="left" w:pos="4962"/>
        </w:tabs>
        <w:spacing w:line="360" w:lineRule="auto"/>
        <w:ind w:left="567" w:right="567"/>
        <w:jc w:val="both"/>
        <w:rPr>
          <w:rFonts w:ascii="Palatino Linotype" w:eastAsia="Calibri" w:hAnsi="Palatino Linotype" w:cs="Tahoma"/>
          <w:i/>
          <w:iCs/>
          <w:sz w:val="22"/>
          <w:lang w:eastAsia="es-ES_tradnl"/>
        </w:rPr>
      </w:pPr>
      <w:r w:rsidRPr="007B5359">
        <w:rPr>
          <w:rFonts w:ascii="Palatino Linotype" w:eastAsia="Calibri" w:hAnsi="Palatino Linotype" w:cs="Tahoma"/>
          <w:b/>
          <w:i/>
          <w:iCs/>
          <w:sz w:val="22"/>
          <w:lang w:eastAsia="es-ES_tradnl"/>
        </w:rPr>
        <w:t>Artículo 81.-</w:t>
      </w:r>
      <w:r w:rsidRPr="007B5359">
        <w:rPr>
          <w:rFonts w:ascii="Palatino Linotype" w:eastAsia="Calibri" w:hAnsi="Palatino Linotype" w:cs="Tahoma"/>
          <w:i/>
          <w:iCs/>
          <w:sz w:val="22"/>
          <w:lang w:eastAsia="es-ES_tradnl"/>
        </w:rPr>
        <w:t xml:space="preserve"> Los </w:t>
      </w:r>
      <w:r w:rsidRPr="007B5359">
        <w:rPr>
          <w:rFonts w:ascii="Palatino Linotype" w:eastAsia="Calibri" w:hAnsi="Palatino Linotype" w:cs="Tahoma"/>
          <w:b/>
          <w:i/>
          <w:iCs/>
          <w:sz w:val="22"/>
          <w:lang w:eastAsia="es-ES_tradnl"/>
        </w:rPr>
        <w:t>contratos abiertos</w:t>
      </w:r>
      <w:r w:rsidRPr="007B5359">
        <w:rPr>
          <w:rFonts w:ascii="Palatino Linotype" w:eastAsia="Calibri" w:hAnsi="Palatino Linotype" w:cs="Tahoma"/>
          <w:i/>
          <w:iCs/>
          <w:sz w:val="22"/>
          <w:lang w:eastAsia="es-ES_tradnl"/>
        </w:rPr>
        <w:t xml:space="preserve"> son aquellos instrumentos que permiten a las dependencias, a las entidades, a los tribunales administrativos y a los ayuntamientos adquirir bienes o contratar servicios por una cantidad y plazo indeterminados, fijando mínimos y máximos, dentro de la asignación presupuestal correspondiente, y en el caso de los Ayuntamientos con sujeción a las disposiciones legales correspondientes.</w:t>
      </w:r>
    </w:p>
    <w:p w:rsidR="00757201" w:rsidRPr="007B5359" w:rsidRDefault="00757201" w:rsidP="00757201">
      <w:pPr>
        <w:pStyle w:val="Prrafodelista"/>
        <w:spacing w:line="360" w:lineRule="auto"/>
        <w:ind w:left="0"/>
        <w:jc w:val="both"/>
        <w:rPr>
          <w:rFonts w:ascii="Palatino Linotype" w:hAnsi="Palatino Linotype" w:cs="Arial"/>
        </w:rPr>
      </w:pPr>
    </w:p>
    <w:p w:rsidR="00757201" w:rsidRPr="007B5359" w:rsidRDefault="00757201"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Es así que, los municipios cuentan con la atribución legal para celebrar contratos para la ad</w:t>
      </w:r>
      <w:r w:rsidR="002D3637" w:rsidRPr="007B5359">
        <w:rPr>
          <w:rFonts w:ascii="Palatino Linotype" w:hAnsi="Palatino Linotype" w:cs="Arial"/>
        </w:rPr>
        <w:t xml:space="preserve">quisición de bienes o servicios, los cuales, </w:t>
      </w:r>
      <w:r w:rsidR="002D3637" w:rsidRPr="007B5359">
        <w:rPr>
          <w:rFonts w:ascii="Palatino Linotype" w:eastAsia="MS Gothic" w:hAnsi="Palatino Linotype" w:cs="Times New Roman"/>
          <w:szCs w:val="26"/>
        </w:rPr>
        <w:t xml:space="preserve">encuadran perfectamente como información pública de oficio que el </w:t>
      </w:r>
      <w:r w:rsidR="002D3637" w:rsidRPr="007B5359">
        <w:rPr>
          <w:rFonts w:ascii="Palatino Linotype" w:eastAsia="MS Gothic" w:hAnsi="Palatino Linotype" w:cs="Times New Roman"/>
          <w:b/>
          <w:szCs w:val="26"/>
        </w:rPr>
        <w:t>SUJETO OBLIGADO</w:t>
      </w:r>
      <w:r w:rsidR="002D3637" w:rsidRPr="007B5359">
        <w:rPr>
          <w:rFonts w:ascii="Palatino Linotype" w:eastAsia="MS Gothic" w:hAnsi="Palatino Linotype" w:cs="Times New Roman"/>
          <w:szCs w:val="26"/>
        </w:rPr>
        <w:t xml:space="preserve"> está </w:t>
      </w:r>
      <w:r w:rsidR="002D3637" w:rsidRPr="007B5359">
        <w:rPr>
          <w:rFonts w:ascii="Palatino Linotype" w:eastAsia="MS Gothic" w:hAnsi="Palatino Linotype" w:cs="Times New Roman"/>
          <w:szCs w:val="26"/>
        </w:rPr>
        <w:lastRenderedPageBreak/>
        <w:t>impuesto a poner a disposición de los particulares, de conformidad con la fracción XXXII del artículo 92 de la Ley de Transparencia y Acceso a la Información Pública del Estado de México y Municipios, así como la fracción XXVI</w:t>
      </w:r>
      <w:r w:rsidR="00E40651" w:rsidRPr="007B5359">
        <w:rPr>
          <w:rFonts w:ascii="Palatino Linotype" w:eastAsia="MS Gothic" w:hAnsi="Palatino Linotype" w:cs="Times New Roman"/>
          <w:szCs w:val="26"/>
        </w:rPr>
        <w:t>I</w:t>
      </w:r>
      <w:r w:rsidR="002D3637" w:rsidRPr="007B5359">
        <w:rPr>
          <w:rFonts w:ascii="Palatino Linotype" w:eastAsia="MS Gothic" w:hAnsi="Palatino Linotype" w:cs="Times New Roman"/>
          <w:szCs w:val="26"/>
        </w:rPr>
        <w:t>I del numeral 70 de su homóloga Ley General, las cuales refieren lo siguiente:</w:t>
      </w:r>
    </w:p>
    <w:p w:rsidR="008F61D4" w:rsidRPr="007B5359" w:rsidRDefault="008F61D4" w:rsidP="008F61D4">
      <w:pPr>
        <w:spacing w:line="360" w:lineRule="auto"/>
        <w:jc w:val="both"/>
        <w:rPr>
          <w:rFonts w:ascii="Palatino Linotype" w:hAnsi="Palatino Linotype" w:cs="Arial"/>
        </w:rPr>
      </w:pPr>
    </w:p>
    <w:p w:rsidR="00603E5E" w:rsidRPr="007B5359" w:rsidRDefault="00603E5E" w:rsidP="00603E5E">
      <w:pPr>
        <w:pStyle w:val="Prrafodelista"/>
        <w:tabs>
          <w:tab w:val="left" w:pos="142"/>
          <w:tab w:val="left" w:pos="284"/>
          <w:tab w:val="left" w:pos="426"/>
        </w:tabs>
        <w:spacing w:before="240" w:after="240" w:line="276" w:lineRule="auto"/>
        <w:ind w:left="567" w:right="567"/>
        <w:jc w:val="center"/>
        <w:rPr>
          <w:rFonts w:ascii="Palatino Linotype" w:eastAsia="MS Gothic" w:hAnsi="Palatino Linotype" w:cs="Times New Roman"/>
          <w:b/>
          <w:i/>
          <w:sz w:val="22"/>
          <w:szCs w:val="26"/>
        </w:rPr>
      </w:pPr>
      <w:r w:rsidRPr="007B5359">
        <w:rPr>
          <w:rFonts w:ascii="Palatino Linotype" w:hAnsi="Palatino Linotype"/>
          <w:b/>
          <w:i/>
          <w:sz w:val="22"/>
        </w:rPr>
        <w:t>LEY DE TRANSPARENCIA Y ACCESO A LA INFORMACIÓN PÚBLICA DEL ESTADO DE MÉXICO Y MUNICIPIOS</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w:t>
      </w:r>
      <w:r w:rsidRPr="007B5359">
        <w:rPr>
          <w:rFonts w:ascii="Palatino Linotype" w:hAnsi="Palatino Linotype"/>
          <w:b/>
          <w:i/>
          <w:sz w:val="22"/>
        </w:rPr>
        <w:t>Artículo 92.</w:t>
      </w:r>
      <w:r w:rsidRPr="007B5359">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b/>
          <w:i/>
          <w:sz w:val="22"/>
        </w:rPr>
        <w:t>XXIX.</w:t>
      </w:r>
      <w:r w:rsidRPr="007B5359">
        <w:rPr>
          <w:rFonts w:ascii="Palatino Linotype" w:hAnsi="Palatino Linotype"/>
          <w:i/>
          <w:sz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603E5E" w:rsidRPr="007B5359" w:rsidRDefault="00603E5E" w:rsidP="00603E5E">
      <w:pPr>
        <w:pStyle w:val="Prrafodelista"/>
        <w:tabs>
          <w:tab w:val="left" w:pos="142"/>
          <w:tab w:val="left" w:pos="284"/>
          <w:tab w:val="left" w:pos="851"/>
        </w:tabs>
        <w:spacing w:before="240" w:after="240" w:line="276" w:lineRule="auto"/>
        <w:ind w:left="709" w:right="567"/>
        <w:jc w:val="both"/>
        <w:rPr>
          <w:rFonts w:ascii="Palatino Linotype" w:hAnsi="Palatino Linotype"/>
          <w:b/>
          <w:i/>
          <w:sz w:val="22"/>
        </w:rPr>
      </w:pPr>
      <w:r w:rsidRPr="007B5359">
        <w:rPr>
          <w:rFonts w:ascii="Palatino Linotype" w:hAnsi="Palatino Linotype"/>
          <w:b/>
          <w:i/>
          <w:sz w:val="22"/>
        </w:rPr>
        <w:t>a) De licitaciones públicas o procedimientos de invitación restringida:</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 La convocatoria o invitación emitida, así como los fundamentos legales aplicados para llevarla a cabo;</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2) Los nombres de los participantes o invitados;</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3) El nombre del ganador y las razones que lo justifican;</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4) El área solicitante y la responsable de su ejecución;</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5) Las convocatorias e invitaciones emitidas;</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6) Los dictámenes y fallo de adjudicación;</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7) El contrato y, en su caso, sus anexos;</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8) Los mecanismos de vigilancia y supervisión, incluyendo en su caso, los estudios de impacto urbano y ambiental, según corresponda;</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9) La partida presupuestal, de conformidad con el clasificador por objeto del gasto, en el caso de ser aplicable;</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10) Origen de los recursos especificando si son federales, estatales o municipales, así como el tipo de fondo de participación o aportación respectiva;</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lastRenderedPageBreak/>
        <w:t>11) Los convenios modificatorios que, en su caso, sean firmados, precisando el objeto y la fecha de celebración;</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12) Los informes de avance físico y financiero sobre las obras o servicios contratados;</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13) El convenio de terminación; y</w:t>
      </w:r>
    </w:p>
    <w:p w:rsidR="00603E5E" w:rsidRPr="007B5359" w:rsidRDefault="00603E5E" w:rsidP="00603E5E">
      <w:pPr>
        <w:pStyle w:val="Prrafodelista"/>
        <w:tabs>
          <w:tab w:val="left" w:pos="142"/>
          <w:tab w:val="left" w:pos="284"/>
          <w:tab w:val="left" w:pos="709"/>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14) El finiquito.</w:t>
      </w:r>
      <w:r w:rsidRPr="007B5359">
        <w:rPr>
          <w:rFonts w:ascii="Palatino Linotype" w:hAnsi="Palatino Linotype"/>
          <w:i/>
          <w:sz w:val="22"/>
        </w:rPr>
        <w:cr/>
        <w:t>(…)”</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p>
    <w:p w:rsidR="00603E5E" w:rsidRPr="007B5359" w:rsidRDefault="00603E5E" w:rsidP="00603E5E">
      <w:pPr>
        <w:pStyle w:val="Prrafodelista"/>
        <w:tabs>
          <w:tab w:val="left" w:pos="142"/>
          <w:tab w:val="left" w:pos="284"/>
          <w:tab w:val="left" w:pos="426"/>
        </w:tabs>
        <w:spacing w:before="240" w:after="240" w:line="276" w:lineRule="auto"/>
        <w:ind w:left="567" w:right="567"/>
        <w:jc w:val="center"/>
        <w:rPr>
          <w:rFonts w:ascii="Palatino Linotype" w:hAnsi="Palatino Linotype"/>
          <w:b/>
          <w:i/>
          <w:sz w:val="22"/>
        </w:rPr>
      </w:pPr>
      <w:r w:rsidRPr="007B5359">
        <w:rPr>
          <w:rFonts w:ascii="Palatino Linotype" w:hAnsi="Palatino Linotype"/>
          <w:b/>
          <w:i/>
          <w:sz w:val="22"/>
        </w:rPr>
        <w:t>LEY GENERAL DE TRANSPARENCIA Y ACCESO A LA INFORMAICÓN PÚBLICA</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b/>
          <w:i/>
          <w:sz w:val="22"/>
        </w:rPr>
        <w:t>“Artículo 70.</w:t>
      </w:r>
      <w:r w:rsidRPr="007B5359">
        <w:rPr>
          <w:rFonts w:ascii="Palatino Linotype" w:hAnsi="Palatino Linotype"/>
          <w:i/>
          <w:sz w:val="22"/>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b/>
          <w:i/>
          <w:sz w:val="22"/>
        </w:rPr>
        <w:t>XXVIII.</w:t>
      </w:r>
      <w:r w:rsidRPr="007B5359">
        <w:rPr>
          <w:rFonts w:ascii="Palatino Linotype" w:hAnsi="Palatino Linotype"/>
          <w:i/>
          <w:sz w:val="22"/>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rsidR="00603E5E" w:rsidRPr="007B5359" w:rsidRDefault="00603E5E" w:rsidP="00603E5E">
      <w:pPr>
        <w:pStyle w:val="Prrafodelista"/>
        <w:tabs>
          <w:tab w:val="left" w:pos="142"/>
          <w:tab w:val="left" w:pos="284"/>
          <w:tab w:val="left" w:pos="993"/>
        </w:tabs>
        <w:spacing w:before="240" w:after="240" w:line="276" w:lineRule="auto"/>
        <w:ind w:left="709" w:right="567"/>
        <w:jc w:val="both"/>
        <w:rPr>
          <w:rFonts w:ascii="Palatino Linotype" w:hAnsi="Palatino Linotype"/>
          <w:b/>
          <w:i/>
          <w:sz w:val="22"/>
        </w:rPr>
      </w:pPr>
      <w:r w:rsidRPr="007B5359">
        <w:rPr>
          <w:rFonts w:ascii="Palatino Linotype" w:hAnsi="Palatino Linotype"/>
          <w:b/>
          <w:i/>
          <w:sz w:val="22"/>
        </w:rPr>
        <w:t>a) De licitaciones públicas o procedimientos de invitación restringida:</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 La convocatoria o invitación emitida, así como los fundamentos legales aplicados para llevarla a cabo;</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2. Los nombres de los participantes o invitados;</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3. El nombre del ganador y las razones que lo justifican;</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4. El Área solicitante y la responsable de su ejecución;</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5. Las convocatorias e invitaciones emitidas;</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6. Los dictámenes y fallo de adjudicación;</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7. El contrato y, en su caso, sus anexos;</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8. Los mecanismos de vigilancia y supervisión, incluyendo, en su caso, los estudios de impacto urbano y ambiental, según corresponda;</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9. La partida presupuestal, de conformidad con el clasificador por objeto del gasto, en el caso de ser aplicable;</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10. Origen de los recursos especificando si son federales, estatales o municipales, así como el tipo de fondo de participación o aportación respectiva;</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11. Los convenios modificatorios que, en su caso, sean firmados, precisando el objeto y la fecha de celebración;</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lastRenderedPageBreak/>
        <w:t>12. Los informes de avance físico y financiero sobre las obras o servicios contratados;</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13. El convenio de terminación, y</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14. El finiquito;</w:t>
      </w:r>
    </w:p>
    <w:p w:rsidR="00603E5E" w:rsidRPr="007B5359" w:rsidRDefault="00603E5E" w:rsidP="00603E5E">
      <w:pPr>
        <w:pStyle w:val="Prrafodelista"/>
        <w:tabs>
          <w:tab w:val="left" w:pos="142"/>
          <w:tab w:val="left" w:pos="284"/>
        </w:tabs>
        <w:spacing w:before="240" w:after="240" w:line="276" w:lineRule="auto"/>
        <w:ind w:left="851" w:right="567"/>
        <w:jc w:val="both"/>
        <w:rPr>
          <w:rFonts w:ascii="Palatino Linotype" w:hAnsi="Palatino Linotype"/>
          <w:i/>
          <w:sz w:val="22"/>
        </w:rPr>
      </w:pPr>
      <w:r w:rsidRPr="007B5359">
        <w:rPr>
          <w:rFonts w:ascii="Palatino Linotype" w:hAnsi="Palatino Linotype"/>
          <w:i/>
          <w:sz w:val="22"/>
        </w:rPr>
        <w:t>(…)”</w:t>
      </w:r>
    </w:p>
    <w:p w:rsidR="00603E5E" w:rsidRPr="007B5359" w:rsidRDefault="00603E5E" w:rsidP="008F61D4">
      <w:pPr>
        <w:spacing w:line="360" w:lineRule="auto"/>
        <w:jc w:val="both"/>
        <w:rPr>
          <w:rFonts w:ascii="Palatino Linotype" w:hAnsi="Palatino Linotype" w:cs="Arial"/>
        </w:rPr>
      </w:pPr>
    </w:p>
    <w:p w:rsidR="00757201" w:rsidRPr="007B5359" w:rsidRDefault="005D258B"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La normatividad en materia establece que los procesos de licitación </w:t>
      </w:r>
      <w:proofErr w:type="gramStart"/>
      <w:r w:rsidRPr="007B5359">
        <w:rPr>
          <w:rFonts w:ascii="Palatino Linotype" w:hAnsi="Palatino Linotype" w:cs="Arial"/>
        </w:rPr>
        <w:t>pública  y</w:t>
      </w:r>
      <w:proofErr w:type="gramEnd"/>
      <w:r w:rsidRPr="007B5359">
        <w:rPr>
          <w:rFonts w:ascii="Palatino Linotype" w:hAnsi="Palatino Linotype" w:cs="Arial"/>
        </w:rPr>
        <w:t xml:space="preserve"> adjudicación directa deberán ser públicos junto con toda la documentación que de ellos se derive, tal como el contrato y sus anexos por estar contemplados dentro de las obligaciones de transparencia común.</w:t>
      </w:r>
    </w:p>
    <w:p w:rsidR="00EA3F3C" w:rsidRPr="007B5359" w:rsidRDefault="00EA3F3C" w:rsidP="00EA3F3C">
      <w:pPr>
        <w:pStyle w:val="Prrafodelista"/>
        <w:spacing w:line="360" w:lineRule="auto"/>
        <w:ind w:left="0"/>
        <w:jc w:val="both"/>
        <w:rPr>
          <w:rFonts w:ascii="Palatino Linotype" w:hAnsi="Palatino Linotype" w:cs="Arial"/>
        </w:rPr>
      </w:pPr>
    </w:p>
    <w:p w:rsidR="00EA3F3C" w:rsidRPr="007B5359" w:rsidRDefault="00EA3F3C"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Ahora bien, </w:t>
      </w:r>
      <w:r w:rsidR="007307EA" w:rsidRPr="007B5359">
        <w:rPr>
          <w:rFonts w:ascii="Palatino Linotype" w:hAnsi="Palatino Linotype" w:cs="Arial"/>
        </w:rPr>
        <w:t>la obligación de transparencia se basa en entregar la información que obre en los archivos de</w:t>
      </w:r>
      <w:r w:rsidR="00603E5E" w:rsidRPr="007B5359">
        <w:rPr>
          <w:rFonts w:ascii="Palatino Linotype" w:hAnsi="Palatino Linotype" w:cs="Arial"/>
        </w:rPr>
        <w:t>l</w:t>
      </w:r>
      <w:r w:rsidR="007307EA" w:rsidRPr="007B5359">
        <w:rPr>
          <w:rFonts w:ascii="Palatino Linotype" w:hAnsi="Palatino Linotype" w:cs="Arial"/>
        </w:rPr>
        <w:t xml:space="preserve"> </w:t>
      </w:r>
      <w:r w:rsidR="00603E5E" w:rsidRPr="007B5359">
        <w:rPr>
          <w:rFonts w:ascii="Palatino Linotype" w:hAnsi="Palatino Linotype" w:cs="Arial"/>
          <w:b/>
        </w:rPr>
        <w:t>SUJETO OBLIGADO</w:t>
      </w:r>
      <w:r w:rsidR="00603E5E" w:rsidRPr="007B5359">
        <w:rPr>
          <w:rFonts w:ascii="Palatino Linotype" w:hAnsi="Palatino Linotype" w:cs="Arial"/>
        </w:rPr>
        <w:t xml:space="preserve"> </w:t>
      </w:r>
      <w:r w:rsidR="007307EA" w:rsidRPr="007B5359">
        <w:rPr>
          <w:rFonts w:ascii="Palatino Linotype" w:hAnsi="Palatino Linotype" w:cs="Arial"/>
        </w:rPr>
        <w:t>y, en el estado en que se encuentren. De una interpretación a este pilar del derecho de acceso a la información, se puede determinar que, los sujetos obligados deben entregar la información con la que se cuente al momento en que esta sea solicitada, es decir, sea parcial o total, siempre y cuando se apegue al principio de máxima publicidad.</w:t>
      </w:r>
      <w:r w:rsidR="005E22B0" w:rsidRPr="007B5359">
        <w:rPr>
          <w:rFonts w:ascii="Palatino Linotype" w:hAnsi="Palatino Linotype" w:cs="Arial"/>
        </w:rPr>
        <w:t xml:space="preserve"> </w:t>
      </w:r>
    </w:p>
    <w:p w:rsidR="00603E5E" w:rsidRPr="007B5359" w:rsidRDefault="00603E5E" w:rsidP="00603E5E">
      <w:pPr>
        <w:pStyle w:val="Prrafodelista"/>
        <w:spacing w:line="360" w:lineRule="auto"/>
        <w:ind w:left="0"/>
        <w:jc w:val="both"/>
        <w:rPr>
          <w:rFonts w:ascii="Palatino Linotype" w:hAnsi="Palatino Linotype" w:cs="Arial"/>
        </w:rPr>
      </w:pPr>
    </w:p>
    <w:p w:rsidR="00603E5E" w:rsidRPr="007B5359" w:rsidRDefault="00603E5E"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Dicho </w:t>
      </w:r>
      <w:r w:rsidRPr="007B5359">
        <w:rPr>
          <w:rFonts w:ascii="Palatino Linotype" w:eastAsia="MS Gothic" w:hAnsi="Palatino Linotype" w:cs="Times New Roman"/>
          <w:szCs w:val="26"/>
        </w:rPr>
        <w:t xml:space="preserve">lo anterior es necesario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son de observancia obligatoria para los Sujetos Obligados de todo el país, y tienen como propósito el definir los formatos que deberán utilizarse para publica la información en el Título Quinto de la Ley General de Transparencia y Acceso a la Información Pública y asegurar que ésta sea veraz, </w:t>
      </w:r>
      <w:r w:rsidRPr="007B5359">
        <w:rPr>
          <w:rFonts w:ascii="Palatino Linotype" w:eastAsia="MS Gothic" w:hAnsi="Palatino Linotype" w:cs="Times New Roman"/>
          <w:b/>
          <w:szCs w:val="26"/>
        </w:rPr>
        <w:lastRenderedPageBreak/>
        <w:t>confiable</w:t>
      </w:r>
      <w:r w:rsidRPr="007B5359">
        <w:rPr>
          <w:rFonts w:ascii="Palatino Linotype" w:eastAsia="MS Gothic" w:hAnsi="Palatino Linotype" w:cs="Times New Roman"/>
          <w:szCs w:val="26"/>
        </w:rPr>
        <w:t xml:space="preserve">, oportuna, congruente, </w:t>
      </w:r>
      <w:r w:rsidRPr="007B5359">
        <w:rPr>
          <w:rFonts w:ascii="Palatino Linotype" w:eastAsia="MS Gothic" w:hAnsi="Palatino Linotype" w:cs="Times New Roman"/>
          <w:b/>
          <w:szCs w:val="26"/>
        </w:rPr>
        <w:t>integral</w:t>
      </w:r>
      <w:r w:rsidRPr="007B5359">
        <w:rPr>
          <w:rFonts w:ascii="Palatino Linotype" w:eastAsia="MS Gothic" w:hAnsi="Palatino Linotype" w:cs="Times New Roman"/>
          <w:szCs w:val="26"/>
        </w:rPr>
        <w:t xml:space="preserve">, actualizada, accesible, </w:t>
      </w:r>
      <w:r w:rsidRPr="007B5359">
        <w:rPr>
          <w:rFonts w:ascii="Palatino Linotype" w:eastAsia="MS Gothic" w:hAnsi="Palatino Linotype" w:cs="Times New Roman"/>
          <w:b/>
          <w:szCs w:val="26"/>
        </w:rPr>
        <w:t>comprensible</w:t>
      </w:r>
      <w:r w:rsidRPr="007B5359">
        <w:rPr>
          <w:rFonts w:ascii="Palatino Linotype" w:eastAsia="MS Gothic" w:hAnsi="Palatino Linotype" w:cs="Times New Roman"/>
          <w:szCs w:val="26"/>
        </w:rPr>
        <w:t xml:space="preserve"> y verificable.</w:t>
      </w:r>
    </w:p>
    <w:p w:rsidR="00603E5E" w:rsidRPr="007B5359" w:rsidRDefault="00603E5E" w:rsidP="00603E5E">
      <w:pPr>
        <w:pStyle w:val="Prrafodelista"/>
        <w:spacing w:line="360" w:lineRule="auto"/>
        <w:ind w:left="0"/>
        <w:jc w:val="both"/>
        <w:rPr>
          <w:rFonts w:ascii="Palatino Linotype" w:hAnsi="Palatino Linotype" w:cs="Arial"/>
        </w:rPr>
      </w:pPr>
    </w:p>
    <w:p w:rsidR="00603E5E" w:rsidRPr="007B5359" w:rsidRDefault="00603E5E"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eastAsia="MS Gothic" w:hAnsi="Palatino Linotype" w:cs="Times New Roman"/>
          <w:szCs w:val="26"/>
        </w:rPr>
        <w:t>Luego entonces, por cuanto hace a la fracción XXVIII del artículo 70 de la Ley General,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refieren que la información deberá ponerse a disposición de la ciudadanía de la siguiente manera:</w:t>
      </w:r>
    </w:p>
    <w:p w:rsidR="005E22B0" w:rsidRPr="007B5359" w:rsidRDefault="005E22B0" w:rsidP="005E22B0">
      <w:pPr>
        <w:pStyle w:val="Prrafodelista"/>
        <w:rPr>
          <w:rFonts w:ascii="Palatino Linotype" w:hAnsi="Palatino Linotype" w:cs="Arial"/>
        </w:rPr>
      </w:pP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“En este apartado se </w:t>
      </w:r>
      <w:r w:rsidRPr="007B5359">
        <w:rPr>
          <w:rFonts w:ascii="Palatino Linotype" w:hAnsi="Palatino Linotype"/>
          <w:b/>
          <w:i/>
          <w:sz w:val="22"/>
        </w:rPr>
        <w:t>dispone cuáles son los contenidos y la forma en que los sujetos obligados deberán publicar y actualizar la información</w:t>
      </w:r>
      <w:r w:rsidRPr="007B5359">
        <w:rPr>
          <w:rFonts w:ascii="Palatino Linotype" w:hAnsi="Palatino Linotype"/>
          <w:i/>
          <w:sz w:val="22"/>
        </w:rPr>
        <w:t xml:space="preserve"> que generen, </w:t>
      </w:r>
      <w:r w:rsidRPr="007B5359">
        <w:rPr>
          <w:rFonts w:ascii="Palatino Linotype" w:hAnsi="Palatino Linotype"/>
          <w:b/>
          <w:i/>
          <w:sz w:val="22"/>
        </w:rPr>
        <w:t>relativa a los resultados de los procedimientos de licitación pública</w:t>
      </w:r>
      <w:r w:rsidRPr="007B5359">
        <w:rPr>
          <w:rFonts w:ascii="Palatino Linotype" w:hAnsi="Palatino Linotype"/>
          <w:i/>
          <w:sz w:val="22"/>
        </w:rPr>
        <w:t xml:space="preserve">,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La información sobre los actos, contratos y convenios celebrados se presentará en una base de datos en la que cada registro se hará por tipo de procedimiento: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b/>
          <w:i/>
          <w:sz w:val="22"/>
        </w:rPr>
      </w:pPr>
      <w:r w:rsidRPr="007B5359">
        <w:rPr>
          <w:rFonts w:ascii="Palatino Linotype" w:hAnsi="Palatino Linotype"/>
          <w:b/>
          <w:i/>
          <w:sz w:val="22"/>
        </w:rPr>
        <w:t xml:space="preserve">Licitación pública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Invitación a cuando menos tres personas (restringida)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Adjudicación directa</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Para cada tipo de procedimiento se deberá especificar la materia: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Obra pública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lastRenderedPageBreak/>
        <w:t xml:space="preserve">Servicios relacionados con obra pública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Arrendamiento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Adquisición o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Servicios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Y el carácter: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Nacional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Internacional (en cualquier modalidad específica)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b/>
          <w:i/>
          <w:sz w:val="22"/>
        </w:rPr>
        <w:t>Respecto de los documentos fuente</w:t>
      </w:r>
      <w:r w:rsidRPr="007B5359">
        <w:rPr>
          <w:rFonts w:ascii="Palatino Linotype" w:hAnsi="Palatino Linotype"/>
          <w:i/>
          <w:sz w:val="22"/>
        </w:rPr>
        <w:t xml:space="preserve"> solicitados en los criterios sustantivos que deban ser publicados, tales como </w:t>
      </w:r>
      <w:r w:rsidRPr="007B5359">
        <w:rPr>
          <w:rFonts w:ascii="Palatino Linotype" w:hAnsi="Palatino Linotype"/>
          <w:b/>
          <w:i/>
          <w:sz w:val="22"/>
        </w:rPr>
        <w:t>contratos, convenios</w:t>
      </w:r>
      <w:r w:rsidRPr="007B5359">
        <w:rPr>
          <w:rFonts w:ascii="Palatino Linotype" w:hAnsi="Palatino Linotype"/>
          <w:i/>
          <w:sz w:val="22"/>
        </w:rPr>
        <w:t xml:space="preserve">, actas, dictámenes, fallos, convenios modificatorios, informes, entre otros, incluyendo sus anexos correspondientes, exceptuando aquellos que sean demasiado extensos, </w:t>
      </w:r>
      <w:r w:rsidRPr="007B5359">
        <w:rPr>
          <w:rFonts w:ascii="Palatino Linotype" w:hAnsi="Palatino Linotype"/>
          <w:b/>
          <w:i/>
          <w:sz w:val="22"/>
        </w:rPr>
        <w:t>se deberá elaborar versión pública de los mismos</w:t>
      </w:r>
      <w:r w:rsidRPr="007B5359">
        <w:rPr>
          <w:rFonts w:ascii="Palatino Linotype" w:hAnsi="Palatino Linotype"/>
          <w:i/>
          <w:sz w:val="22"/>
        </w:rPr>
        <w:t xml:space="preserve">.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Los sujetos obligados deberán asegurarse de que la información publicada en esta sección mantenga correspondencia y coherencia, en su caso, con lo publicado en las fracciones fracción XXIII (comunicación social) y XXXII (padrón de proveedores y contratistas) del artículo 70 de la Ley General, así como con lo publicado en el sistema electrónico de información pública gubernamental sobre contrataciones, concursos, licitaciones, adquisiciones, arrendamientos y servicios, que en su caso cada entidad federativa desarrolle y administre.</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Periodo de actualización: trimestral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7B5359">
        <w:rPr>
          <w:rFonts w:ascii="Palatino Linotype" w:hAnsi="Palatino Linotype"/>
          <w:i/>
          <w:sz w:val="22"/>
        </w:rPr>
        <w:t xml:space="preserve">Conservar en el sitio de Internet: información vigente; la generada en el ejercicio en curso y la correspondiente a dos ejercicios anteriores </w:t>
      </w:r>
    </w:p>
    <w:p w:rsidR="00603E5E" w:rsidRPr="007B5359" w:rsidRDefault="00603E5E" w:rsidP="00603E5E">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i/>
          <w:sz w:val="22"/>
          <w:szCs w:val="26"/>
        </w:rPr>
      </w:pPr>
      <w:r w:rsidRPr="007B5359">
        <w:rPr>
          <w:rFonts w:ascii="Palatino Linotype" w:hAnsi="Palatino Linotype"/>
          <w:i/>
          <w:sz w:val="22"/>
        </w:rPr>
        <w:t>Aplica a: todos los sujetos obligados”</w:t>
      </w:r>
    </w:p>
    <w:p w:rsidR="00603E5E" w:rsidRPr="007B5359" w:rsidRDefault="00603E5E" w:rsidP="005E22B0">
      <w:pPr>
        <w:pStyle w:val="Prrafodelista"/>
        <w:rPr>
          <w:rFonts w:ascii="Palatino Linotype" w:hAnsi="Palatino Linotype" w:cs="Arial"/>
        </w:rPr>
      </w:pPr>
    </w:p>
    <w:p w:rsidR="00603E5E" w:rsidRPr="007B5359" w:rsidRDefault="009C73F0"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Así las cosas, dentro del expediente relativo al contrato para la Adquisición del Parque Vehicular que Requiere la Comisaría General de Seguridad Pública y Tránsito Municipal, celebrado entre el </w:t>
      </w:r>
      <w:r w:rsidRPr="007B5359">
        <w:rPr>
          <w:rFonts w:ascii="Palatino Linotype" w:hAnsi="Palatino Linotype" w:cs="Arial"/>
          <w:b/>
        </w:rPr>
        <w:t>SUJETO OBLIGADO</w:t>
      </w:r>
      <w:r w:rsidRPr="007B5359">
        <w:rPr>
          <w:rFonts w:ascii="Palatino Linotype" w:hAnsi="Palatino Linotype" w:cs="Arial"/>
        </w:rPr>
        <w:t xml:space="preserve"> y la empresa </w:t>
      </w:r>
      <w:proofErr w:type="spellStart"/>
      <w:r w:rsidR="00EA388A" w:rsidRPr="007B5359">
        <w:rPr>
          <w:rFonts w:ascii="Palatino Linotype" w:hAnsi="Palatino Linotype" w:cs="Arial"/>
          <w:i/>
        </w:rPr>
        <w:t>Cebenssi</w:t>
      </w:r>
      <w:proofErr w:type="spellEnd"/>
      <w:r w:rsidR="00EA388A" w:rsidRPr="007B5359">
        <w:rPr>
          <w:rFonts w:ascii="Palatino Linotype" w:hAnsi="Palatino Linotype" w:cs="Arial"/>
          <w:i/>
        </w:rPr>
        <w:t xml:space="preserve"> S.A. de C.V</w:t>
      </w:r>
      <w:r w:rsidR="00EA388A" w:rsidRPr="007B5359">
        <w:rPr>
          <w:rFonts w:ascii="Palatino Linotype" w:hAnsi="Palatino Linotype" w:cs="Arial"/>
        </w:rPr>
        <w:t>, deben hallarse igualmente los anexos derivados del instrumento.</w:t>
      </w:r>
    </w:p>
    <w:p w:rsidR="009C73F0" w:rsidRPr="007B5359" w:rsidRDefault="009C73F0" w:rsidP="009C73F0">
      <w:pPr>
        <w:pStyle w:val="Prrafodelista"/>
        <w:spacing w:line="360" w:lineRule="auto"/>
        <w:ind w:left="0"/>
        <w:jc w:val="both"/>
        <w:rPr>
          <w:rFonts w:ascii="Palatino Linotype" w:hAnsi="Palatino Linotype" w:cs="Arial"/>
        </w:rPr>
      </w:pPr>
    </w:p>
    <w:p w:rsidR="00603E5E" w:rsidRPr="007B5359" w:rsidRDefault="00EA388A"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Ahora bien, por cuanto hace a los documentos donde conste la revisión de los anexos técnicos del contrato por parte de la Contraloría, debemos traer a estudio </w:t>
      </w:r>
      <w:r w:rsidRPr="007B5359">
        <w:rPr>
          <w:rFonts w:ascii="Palatino Linotype" w:hAnsi="Palatino Linotype" w:cs="Arial"/>
        </w:rPr>
        <w:lastRenderedPageBreak/>
        <w:t>el contenido del numeral 112 y de la Ley Orgánica Municipal del Estado de México, el cual versa en el tenor siguiente:</w:t>
      </w:r>
    </w:p>
    <w:p w:rsidR="009C73F0" w:rsidRPr="007B5359" w:rsidRDefault="009C73F0" w:rsidP="009C73F0">
      <w:pPr>
        <w:pStyle w:val="Prrafodelista"/>
        <w:spacing w:line="360" w:lineRule="auto"/>
        <w:ind w:left="0"/>
        <w:jc w:val="both"/>
        <w:rPr>
          <w:rFonts w:ascii="Palatino Linotype" w:hAnsi="Palatino Linotype" w:cs="Arial"/>
        </w:rPr>
      </w:pP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Artículo 112. El órgano interno de control </w:t>
      </w:r>
      <w:proofErr w:type="gramStart"/>
      <w:r w:rsidRPr="007B5359">
        <w:rPr>
          <w:rFonts w:ascii="Palatino Linotype" w:hAnsi="Palatino Linotype"/>
          <w:i/>
          <w:sz w:val="22"/>
        </w:rPr>
        <w:t>municipal,</w:t>
      </w:r>
      <w:proofErr w:type="gramEnd"/>
      <w:r w:rsidRPr="007B5359">
        <w:rPr>
          <w:rFonts w:ascii="Palatino Linotype" w:hAnsi="Palatino Linotype"/>
          <w:i/>
          <w:sz w:val="22"/>
        </w:rPr>
        <w:t xml:space="preserve"> tendrá a su cargo las funciones siguientes: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I. Planear, programar, organizar y coordinar el sistema de control y evaluación municipal;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II. Fiscalizar el ingreso y ejercicio del gasto público municipal y su congruencia con el presupuesto de egresos; </w:t>
      </w:r>
    </w:p>
    <w:p w:rsidR="00EA388A" w:rsidRPr="007B5359" w:rsidRDefault="00EA388A" w:rsidP="00EA388A">
      <w:pPr>
        <w:pStyle w:val="Prrafodelista"/>
        <w:spacing w:line="360" w:lineRule="auto"/>
        <w:ind w:left="567" w:right="567"/>
        <w:jc w:val="both"/>
        <w:rPr>
          <w:rFonts w:ascii="Palatino Linotype" w:hAnsi="Palatino Linotype"/>
          <w:b/>
          <w:i/>
          <w:sz w:val="22"/>
        </w:rPr>
      </w:pPr>
      <w:r w:rsidRPr="007B5359">
        <w:rPr>
          <w:rFonts w:ascii="Palatino Linotype" w:hAnsi="Palatino Linotype"/>
          <w:b/>
          <w:i/>
          <w:sz w:val="22"/>
        </w:rPr>
        <w:t xml:space="preserve">III. Aplicar las normas y criterios en materia de control y evaluación;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IV. Asesorar a los órganos de control interno de los organismos auxiliares y fideicomisos de la administración pública municipal; </w:t>
      </w:r>
    </w:p>
    <w:p w:rsidR="00EA388A" w:rsidRPr="007B5359" w:rsidRDefault="00EA388A" w:rsidP="00EA388A">
      <w:pPr>
        <w:pStyle w:val="Prrafodelista"/>
        <w:spacing w:line="360" w:lineRule="auto"/>
        <w:ind w:left="567" w:right="567"/>
        <w:jc w:val="both"/>
        <w:rPr>
          <w:rFonts w:ascii="Palatino Linotype" w:hAnsi="Palatino Linotype"/>
          <w:b/>
          <w:i/>
          <w:sz w:val="22"/>
        </w:rPr>
      </w:pPr>
      <w:r w:rsidRPr="007B5359">
        <w:rPr>
          <w:rFonts w:ascii="Palatino Linotype" w:hAnsi="Palatino Linotype"/>
          <w:b/>
          <w:i/>
          <w:sz w:val="22"/>
        </w:rPr>
        <w:t xml:space="preserve">V. Establecer las bases generales para la realización de auditorías e inspecciones; </w:t>
      </w:r>
    </w:p>
    <w:p w:rsidR="00EA388A" w:rsidRPr="007B5359" w:rsidRDefault="00EA388A" w:rsidP="00EA388A">
      <w:pPr>
        <w:pStyle w:val="Prrafodelista"/>
        <w:spacing w:line="360" w:lineRule="auto"/>
        <w:ind w:left="567" w:right="567"/>
        <w:jc w:val="both"/>
        <w:rPr>
          <w:rFonts w:ascii="Palatino Linotype" w:hAnsi="Palatino Linotype"/>
          <w:b/>
          <w:i/>
          <w:sz w:val="22"/>
        </w:rPr>
      </w:pPr>
      <w:r w:rsidRPr="007B5359">
        <w:rPr>
          <w:rFonts w:ascii="Palatino Linotype" w:hAnsi="Palatino Linotype"/>
          <w:b/>
          <w:i/>
          <w:sz w:val="22"/>
        </w:rPr>
        <w:t xml:space="preserve">VI. Vigilar que los recursos federales y estatales asignados a los ayuntamientos se apliquen en los términos estipulados en las leyes, los reglamentos y los convenios respectivos; </w:t>
      </w:r>
    </w:p>
    <w:p w:rsidR="00EA388A" w:rsidRPr="007B5359" w:rsidRDefault="00EA388A" w:rsidP="00EA388A">
      <w:pPr>
        <w:pStyle w:val="Prrafodelista"/>
        <w:spacing w:line="360" w:lineRule="auto"/>
        <w:ind w:left="567" w:right="567"/>
        <w:jc w:val="both"/>
        <w:rPr>
          <w:rFonts w:ascii="Palatino Linotype" w:hAnsi="Palatino Linotype"/>
          <w:b/>
          <w:i/>
          <w:sz w:val="22"/>
        </w:rPr>
      </w:pPr>
      <w:r w:rsidRPr="007B5359">
        <w:rPr>
          <w:rFonts w:ascii="Palatino Linotype" w:hAnsi="Palatino Linotype"/>
          <w:b/>
          <w:i/>
          <w:sz w:val="22"/>
        </w:rPr>
        <w:t xml:space="preserve">VII. Vigilar el cumplimiento de las obligaciones de proveedores y contratistas de la administración pública municipal;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VIII. Coordinarse con el Órgano Superior de Fiscalización del Estado de México y la Contraloría del Poder Legislativo y con la Secretaría de la Contraloría del Estado para el cumplimiento de sus funciones;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IX. Designar a los auditores externos y proponer al ayuntamiento, en su caso, a los Comisarios de los Organismos Auxiliares;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 Establecer y operar un sistema de atención de quejas, denuncias y sugerencias; </w:t>
      </w:r>
    </w:p>
    <w:p w:rsidR="00EA388A" w:rsidRPr="007B5359" w:rsidRDefault="00EA388A" w:rsidP="00EA388A">
      <w:pPr>
        <w:pStyle w:val="Prrafodelista"/>
        <w:spacing w:line="360" w:lineRule="auto"/>
        <w:ind w:left="567" w:right="567"/>
        <w:jc w:val="both"/>
        <w:rPr>
          <w:rFonts w:ascii="Palatino Linotype" w:hAnsi="Palatino Linotype"/>
          <w:b/>
          <w:i/>
          <w:sz w:val="22"/>
        </w:rPr>
      </w:pPr>
      <w:r w:rsidRPr="007B5359">
        <w:rPr>
          <w:rFonts w:ascii="Palatino Linotype" w:hAnsi="Palatino Linotype"/>
          <w:b/>
          <w:i/>
          <w:sz w:val="22"/>
        </w:rPr>
        <w:t xml:space="preserve">XI. Realizar auditorías y evaluaciones e informar del resultado de </w:t>
      </w:r>
      <w:proofErr w:type="gramStart"/>
      <w:r w:rsidRPr="007B5359">
        <w:rPr>
          <w:rFonts w:ascii="Palatino Linotype" w:hAnsi="Palatino Linotype"/>
          <w:b/>
          <w:i/>
          <w:sz w:val="22"/>
        </w:rPr>
        <w:t>las mismas</w:t>
      </w:r>
      <w:proofErr w:type="gramEnd"/>
      <w:r w:rsidRPr="007B5359">
        <w:rPr>
          <w:rFonts w:ascii="Palatino Linotype" w:hAnsi="Palatino Linotype"/>
          <w:b/>
          <w:i/>
          <w:sz w:val="22"/>
        </w:rPr>
        <w:t xml:space="preserve"> al ayuntamiento;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lastRenderedPageBreak/>
        <w:t xml:space="preserve">XII. Participar en la entrega-recepción de las unidades administrativas de las dependencias, organismos auxiliares y fideicomisos del municipio;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XIII. Dictaminar los estados financieros de la tesorería municipal y verificar que se remitan los informes correspondientes al Órgano Superior de Fiscalización del Estado de México; </w:t>
      </w:r>
    </w:p>
    <w:p w:rsidR="00D84C56"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XIV. Vigilar que los ingresos municipales se enteren a la tesorería municipal conforme a los procedimientos contables y disposiciones legales aplicables; </w:t>
      </w:r>
    </w:p>
    <w:p w:rsidR="00D84C56"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XV. Participar en la elaboración y actualización del inventario general de los bienes muebles e inmuebles propiedad del municipio, que expresará las características de identificación y destino de </w:t>
      </w:r>
      <w:proofErr w:type="gramStart"/>
      <w:r w:rsidRPr="007B5359">
        <w:rPr>
          <w:rFonts w:ascii="Palatino Linotype" w:hAnsi="Palatino Linotype"/>
          <w:i/>
          <w:sz w:val="22"/>
        </w:rPr>
        <w:t>los mismos</w:t>
      </w:r>
      <w:proofErr w:type="gramEnd"/>
      <w:r w:rsidRPr="007B5359">
        <w:rPr>
          <w:rFonts w:ascii="Palatino Linotype" w:hAnsi="Palatino Linotype"/>
          <w:i/>
          <w:sz w:val="22"/>
        </w:rPr>
        <w:t xml:space="preserve">; </w:t>
      </w:r>
    </w:p>
    <w:p w:rsidR="00D84C56"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XVI. Verificar que los servidores públicos municipales cumplan con la obligación de presentar oportunamente la manifestación de bienes, en términos de la Ley de Responsabilidades de los Servidores Públicos del Estado y Municipios; </w:t>
      </w:r>
    </w:p>
    <w:p w:rsidR="00D84C56"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XVII. Hacer del conocimiento del Órgano Superior de Fiscalización del Estado de México, de las responsabilidades administrativas resarcitorias de los servidores públicos municipales, dentro de los tres días hábiles siguientes a la interposición de </w:t>
      </w:r>
      <w:proofErr w:type="gramStart"/>
      <w:r w:rsidRPr="007B5359">
        <w:rPr>
          <w:rFonts w:ascii="Palatino Linotype" w:hAnsi="Palatino Linotype"/>
          <w:i/>
          <w:sz w:val="22"/>
        </w:rPr>
        <w:t>las mismas</w:t>
      </w:r>
      <w:proofErr w:type="gramEnd"/>
      <w:r w:rsidRPr="007B5359">
        <w:rPr>
          <w:rFonts w:ascii="Palatino Linotype" w:hAnsi="Palatino Linotype"/>
          <w:i/>
          <w:sz w:val="22"/>
        </w:rPr>
        <w:t xml:space="preserve">; y remitir los procedimientos resarcitorios, cuando así sea solicitado por el Órgano Superior, en los plazos y términos que le sean indicados por éste; </w:t>
      </w:r>
    </w:p>
    <w:p w:rsidR="00D84C56"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XVIII. Supervisar el cumplimiento de los acuerdos tomados por el Consejo Municipal de Seguridad Pública; </w:t>
      </w:r>
    </w:p>
    <w:p w:rsidR="00D84C56"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 xml:space="preserve">XIX. Vigilar el cumplimiento de los programas y acciones para la prevención, atención y en su caso, el pago de las responsabilidades económicas de los Ayuntamientos por los conflictos laborales; y </w:t>
      </w:r>
    </w:p>
    <w:p w:rsidR="00EA388A" w:rsidRPr="007B5359" w:rsidRDefault="00EA388A" w:rsidP="00EA388A">
      <w:pPr>
        <w:pStyle w:val="Prrafodelista"/>
        <w:spacing w:line="360" w:lineRule="auto"/>
        <w:ind w:left="567" w:right="567"/>
        <w:jc w:val="both"/>
        <w:rPr>
          <w:rFonts w:ascii="Palatino Linotype" w:hAnsi="Palatino Linotype"/>
          <w:i/>
          <w:sz w:val="22"/>
        </w:rPr>
      </w:pPr>
      <w:r w:rsidRPr="007B5359">
        <w:rPr>
          <w:rFonts w:ascii="Palatino Linotype" w:hAnsi="Palatino Linotype"/>
          <w:i/>
          <w:sz w:val="22"/>
        </w:rPr>
        <w:t>XX. Las demás que le señalen las disposiciones relativas</w:t>
      </w:r>
      <w:r w:rsidR="00D84C56" w:rsidRPr="007B5359">
        <w:rPr>
          <w:rFonts w:ascii="Palatino Linotype" w:hAnsi="Palatino Linotype"/>
          <w:i/>
          <w:sz w:val="22"/>
        </w:rPr>
        <w:t>”</w:t>
      </w:r>
    </w:p>
    <w:p w:rsidR="00D84C56" w:rsidRPr="007B5359" w:rsidRDefault="00D84C56" w:rsidP="00EA388A">
      <w:pPr>
        <w:pStyle w:val="Prrafodelista"/>
        <w:spacing w:line="360" w:lineRule="auto"/>
        <w:ind w:left="567" w:right="567"/>
        <w:jc w:val="both"/>
        <w:rPr>
          <w:rFonts w:ascii="Palatino Linotype" w:hAnsi="Palatino Linotype" w:cs="Arial"/>
          <w:sz w:val="22"/>
        </w:rPr>
      </w:pPr>
      <w:r w:rsidRPr="007B5359">
        <w:rPr>
          <w:rFonts w:ascii="Palatino Linotype" w:hAnsi="Palatino Linotype"/>
          <w:sz w:val="22"/>
        </w:rPr>
        <w:t>(Énfasis añadido)</w:t>
      </w:r>
    </w:p>
    <w:p w:rsidR="00EA388A" w:rsidRPr="007B5359" w:rsidRDefault="00EA388A" w:rsidP="009C73F0">
      <w:pPr>
        <w:pStyle w:val="Prrafodelista"/>
        <w:spacing w:line="360" w:lineRule="auto"/>
        <w:ind w:left="0"/>
        <w:jc w:val="both"/>
        <w:rPr>
          <w:rFonts w:ascii="Palatino Linotype" w:hAnsi="Palatino Linotype" w:cs="Arial"/>
        </w:rPr>
      </w:pPr>
    </w:p>
    <w:p w:rsidR="001F3C72" w:rsidRPr="007B5359" w:rsidRDefault="00D84C56"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De lo anterior se aprecia que la Contraloría Municipal, como órgano revisor y supervisor en materia de control, evaluación y cumplimiento de la administración </w:t>
      </w:r>
      <w:r w:rsidRPr="007B5359">
        <w:rPr>
          <w:rFonts w:ascii="Palatino Linotype" w:hAnsi="Palatino Linotype" w:cs="Arial"/>
        </w:rPr>
        <w:lastRenderedPageBreak/>
        <w:t>pública municipal, puede requerir los expedientes de licitación o adjudicación directa de los que emanen contratos de compraventa o adquisición de bienes y servicios para asegurar su legalidad o composición, y así emitir, en su caso, un visto bueno o dictamen en relaci</w:t>
      </w:r>
      <w:r w:rsidR="001F3C72" w:rsidRPr="007B5359">
        <w:rPr>
          <w:rFonts w:ascii="Palatino Linotype" w:hAnsi="Palatino Linotype" w:cs="Arial"/>
        </w:rPr>
        <w:t xml:space="preserve">ón con los instrumentos, más aún en el presente asunto, toda vez que de la lectura realizada a la nota periodística que el particular compartió en su solicitud de información, se aprecia que el contrato para la Adquisición del Parque Vehicular que Requiere la Comisaría General de Seguridad Pública y Tránsito Municipal, celebrado entre el </w:t>
      </w:r>
      <w:r w:rsidR="001F3C72" w:rsidRPr="007B5359">
        <w:rPr>
          <w:rFonts w:ascii="Palatino Linotype" w:hAnsi="Palatino Linotype" w:cs="Arial"/>
          <w:b/>
        </w:rPr>
        <w:t>SUJETO OBLIGADO</w:t>
      </w:r>
      <w:r w:rsidR="001F3C72" w:rsidRPr="007B5359">
        <w:rPr>
          <w:rFonts w:ascii="Palatino Linotype" w:hAnsi="Palatino Linotype" w:cs="Arial"/>
        </w:rPr>
        <w:t xml:space="preserve"> y la empresa </w:t>
      </w:r>
      <w:proofErr w:type="spellStart"/>
      <w:r w:rsidR="001F3C72" w:rsidRPr="007B5359">
        <w:rPr>
          <w:rFonts w:ascii="Palatino Linotype" w:hAnsi="Palatino Linotype" w:cs="Arial"/>
          <w:i/>
        </w:rPr>
        <w:t>Cebenssi</w:t>
      </w:r>
      <w:proofErr w:type="spellEnd"/>
      <w:r w:rsidR="001F3C72" w:rsidRPr="007B5359">
        <w:rPr>
          <w:rFonts w:ascii="Palatino Linotype" w:hAnsi="Palatino Linotype" w:cs="Arial"/>
          <w:i/>
        </w:rPr>
        <w:t xml:space="preserve"> S.A. de C.V.,</w:t>
      </w:r>
      <w:r w:rsidR="001F3C72" w:rsidRPr="007B5359">
        <w:rPr>
          <w:rFonts w:ascii="Palatino Linotype" w:hAnsi="Palatino Linotype" w:cs="Arial"/>
        </w:rPr>
        <w:t xml:space="preserve"> ha presentado inconsistencias en su cumplimiento.</w:t>
      </w:r>
    </w:p>
    <w:p w:rsidR="001F3C72" w:rsidRPr="007B5359" w:rsidRDefault="001F3C72" w:rsidP="001F3C72">
      <w:pPr>
        <w:pStyle w:val="Prrafodelista"/>
        <w:spacing w:line="360" w:lineRule="auto"/>
        <w:ind w:left="0"/>
        <w:jc w:val="both"/>
        <w:rPr>
          <w:rFonts w:ascii="Palatino Linotype" w:hAnsi="Palatino Linotype" w:cs="Arial"/>
        </w:rPr>
      </w:pPr>
    </w:p>
    <w:p w:rsidR="00603E5E" w:rsidRPr="007B5359" w:rsidRDefault="00D84C56"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Por lo que el </w:t>
      </w:r>
      <w:r w:rsidRPr="007B5359">
        <w:rPr>
          <w:rFonts w:ascii="Palatino Linotype" w:hAnsi="Palatino Linotype" w:cs="Arial"/>
          <w:b/>
        </w:rPr>
        <w:t>SUJETO OBLIGADO</w:t>
      </w:r>
      <w:r w:rsidRPr="007B5359">
        <w:rPr>
          <w:rFonts w:ascii="Palatino Linotype" w:hAnsi="Palatino Linotype" w:cs="Arial"/>
        </w:rPr>
        <w:t xml:space="preserve"> deberá entregar al particular el </w:t>
      </w:r>
      <w:r w:rsidR="001F3C72" w:rsidRPr="007B5359">
        <w:rPr>
          <w:rFonts w:ascii="Palatino Linotype" w:hAnsi="Palatino Linotype" w:cs="Arial"/>
        </w:rPr>
        <w:t xml:space="preserve">o los </w:t>
      </w:r>
      <w:r w:rsidRPr="007B5359">
        <w:rPr>
          <w:rFonts w:ascii="Palatino Linotype" w:hAnsi="Palatino Linotype" w:cs="Arial"/>
        </w:rPr>
        <w:t>documento</w:t>
      </w:r>
      <w:r w:rsidR="001F3C72" w:rsidRPr="007B5359">
        <w:rPr>
          <w:rFonts w:ascii="Palatino Linotype" w:hAnsi="Palatino Linotype" w:cs="Arial"/>
        </w:rPr>
        <w:t>s</w:t>
      </w:r>
      <w:r w:rsidRPr="007B5359">
        <w:rPr>
          <w:rFonts w:ascii="Palatino Linotype" w:hAnsi="Palatino Linotype" w:cs="Arial"/>
        </w:rPr>
        <w:t xml:space="preserve"> donde conste la revisión de los anexos del contrato para la Adquisición del Parque Vehicular que Requiere la Comisaría General de Seguridad Pública y Tránsito Municipal, celebrado entre el </w:t>
      </w:r>
      <w:r w:rsidRPr="007B5359">
        <w:rPr>
          <w:rFonts w:ascii="Palatino Linotype" w:hAnsi="Palatino Linotype" w:cs="Arial"/>
          <w:b/>
        </w:rPr>
        <w:t>SUJETO OBLIGADO</w:t>
      </w:r>
      <w:r w:rsidRPr="007B5359">
        <w:rPr>
          <w:rFonts w:ascii="Palatino Linotype" w:hAnsi="Palatino Linotype" w:cs="Arial"/>
        </w:rPr>
        <w:t xml:space="preserve"> y la empresa </w:t>
      </w:r>
      <w:proofErr w:type="spellStart"/>
      <w:r w:rsidRPr="007B5359">
        <w:rPr>
          <w:rFonts w:ascii="Palatino Linotype" w:hAnsi="Palatino Linotype" w:cs="Arial"/>
          <w:i/>
        </w:rPr>
        <w:t>Cebenssi</w:t>
      </w:r>
      <w:proofErr w:type="spellEnd"/>
      <w:r w:rsidRPr="007B5359">
        <w:rPr>
          <w:rFonts w:ascii="Palatino Linotype" w:hAnsi="Palatino Linotype" w:cs="Arial"/>
          <w:i/>
        </w:rPr>
        <w:t xml:space="preserve"> S.A. de C.V.</w:t>
      </w:r>
      <w:r w:rsidR="001F3C72" w:rsidRPr="007B5359">
        <w:rPr>
          <w:rFonts w:ascii="Palatino Linotype" w:hAnsi="Palatino Linotype" w:cs="Arial"/>
          <w:i/>
        </w:rPr>
        <w:t xml:space="preserve">, </w:t>
      </w:r>
      <w:r w:rsidR="001F3C72" w:rsidRPr="007B5359">
        <w:rPr>
          <w:rFonts w:ascii="Palatino Linotype" w:hAnsi="Palatino Linotype" w:cs="Arial"/>
        </w:rPr>
        <w:t>por parte de la Contraloría Municipal.</w:t>
      </w:r>
    </w:p>
    <w:p w:rsidR="00D84C56" w:rsidRPr="007B5359" w:rsidRDefault="00D84C56" w:rsidP="00D84C56">
      <w:pPr>
        <w:pStyle w:val="Prrafodelista"/>
        <w:spacing w:line="360" w:lineRule="auto"/>
        <w:ind w:left="0"/>
        <w:jc w:val="both"/>
        <w:rPr>
          <w:rFonts w:ascii="Palatino Linotype" w:hAnsi="Palatino Linotype" w:cs="Arial"/>
        </w:rPr>
      </w:pPr>
    </w:p>
    <w:p w:rsidR="00603E5E" w:rsidRPr="007B5359" w:rsidRDefault="00D84C56"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 xml:space="preserve">Por otro lado, </w:t>
      </w:r>
      <w:r w:rsidR="001F3C72" w:rsidRPr="007B5359">
        <w:rPr>
          <w:rFonts w:ascii="Palatino Linotype" w:eastAsia="MS Mincho" w:hAnsi="Palatino Linotype" w:cs="Times New Roman"/>
        </w:rPr>
        <w:t xml:space="preserve">en el caso de que el </w:t>
      </w:r>
      <w:r w:rsidR="001F3C72" w:rsidRPr="007B5359">
        <w:rPr>
          <w:rFonts w:ascii="Palatino Linotype" w:eastAsia="MS Mincho" w:hAnsi="Palatino Linotype" w:cs="Times New Roman"/>
          <w:b/>
        </w:rPr>
        <w:t>SUJETO OBLIGADO</w:t>
      </w:r>
      <w:r w:rsidR="001F3C72" w:rsidRPr="007B5359">
        <w:rPr>
          <w:rFonts w:ascii="Palatino Linotype" w:eastAsia="MS Mincho" w:hAnsi="Palatino Linotype" w:cs="Times New Roman"/>
        </w:rPr>
        <w:t xml:space="preserve"> no hubiera generado, poseído o administrado la información relativa a los documentos donde conste la revisión de los anexos técnicos del contrato por parte de su Órgano de Control Interno, deberá hacerlo del conocimiento del particular de manera clara y precisa.</w:t>
      </w:r>
    </w:p>
    <w:p w:rsidR="00603E5E" w:rsidRPr="007B5359" w:rsidRDefault="00603E5E" w:rsidP="00D84C56">
      <w:pPr>
        <w:pStyle w:val="Prrafodelista"/>
        <w:spacing w:line="360" w:lineRule="auto"/>
        <w:ind w:left="0"/>
        <w:jc w:val="both"/>
        <w:rPr>
          <w:rFonts w:ascii="Palatino Linotype" w:hAnsi="Palatino Linotype" w:cs="Arial"/>
        </w:rPr>
      </w:pPr>
    </w:p>
    <w:p w:rsidR="008C36C6" w:rsidRPr="007B5359" w:rsidRDefault="00603E5E" w:rsidP="001C6B98">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cs="Arial"/>
        </w:rPr>
        <w:t>E</w:t>
      </w:r>
      <w:r w:rsidR="008C36C6" w:rsidRPr="007B5359">
        <w:rPr>
          <w:rFonts w:ascii="Palatino Linotype" w:hAnsi="Palatino Linotype" w:cs="Arial"/>
        </w:rPr>
        <w:t xml:space="preserve">ntonces, una vez analizada la naturaleza de la información solicitada y habiendo determinado que son documentos de acceso público, es necesario enfatizar que el derecho de los particulares para acceder a la información en </w:t>
      </w:r>
      <w:r w:rsidR="008C36C6" w:rsidRPr="007B5359">
        <w:rPr>
          <w:rFonts w:ascii="Palatino Linotype" w:hAnsi="Palatino Linotype" w:cs="Arial"/>
        </w:rPr>
        <w:lastRenderedPageBreak/>
        <w:t xml:space="preserve">posesión de los Sujetos </w:t>
      </w:r>
      <w:proofErr w:type="gramStart"/>
      <w:r w:rsidR="008C36C6" w:rsidRPr="007B5359">
        <w:rPr>
          <w:rFonts w:ascii="Palatino Linotype" w:hAnsi="Palatino Linotype" w:cs="Arial"/>
        </w:rPr>
        <w:t>Obligados,</w:t>
      </w:r>
      <w:proofErr w:type="gramEnd"/>
      <w:r w:rsidR="008C36C6" w:rsidRPr="007B5359">
        <w:rPr>
          <w:rFonts w:ascii="Palatino Linotype" w:hAnsi="Palatino Linotype" w:cs="Arial"/>
        </w:rPr>
        <w:t xml:space="preserve"> tiene excepciones; la clasificación como informa</w:t>
      </w:r>
      <w:r w:rsidR="002D3637" w:rsidRPr="007B5359">
        <w:rPr>
          <w:rFonts w:ascii="Palatino Linotype" w:hAnsi="Palatino Linotype" w:cs="Arial"/>
        </w:rPr>
        <w:t xml:space="preserve">ción confidencial o reservada. </w:t>
      </w:r>
    </w:p>
    <w:p w:rsidR="008C36C6" w:rsidRPr="007B5359" w:rsidRDefault="008C36C6" w:rsidP="008C36C6">
      <w:pPr>
        <w:pStyle w:val="Prrafodelista"/>
        <w:spacing w:line="360" w:lineRule="auto"/>
        <w:ind w:left="0"/>
        <w:jc w:val="both"/>
        <w:rPr>
          <w:rFonts w:ascii="Palatino Linotype" w:hAnsi="Palatino Linotype" w:cs="Arial"/>
        </w:rPr>
      </w:pPr>
    </w:p>
    <w:p w:rsidR="008C36C6" w:rsidRPr="007B5359" w:rsidRDefault="00653E80" w:rsidP="008C36C6">
      <w:pPr>
        <w:pStyle w:val="Ttulo3"/>
        <w:rPr>
          <w:rFonts w:ascii="Palatino Linotype" w:hAnsi="Palatino Linotype"/>
          <w:b/>
          <w:color w:val="auto"/>
        </w:rPr>
      </w:pPr>
      <w:bookmarkStart w:id="25" w:name="_Toc33189449"/>
      <w:r w:rsidRPr="007B5359">
        <w:rPr>
          <w:rFonts w:ascii="Palatino Linotype" w:hAnsi="Palatino Linotype"/>
          <w:b/>
          <w:color w:val="auto"/>
        </w:rPr>
        <w:t>III</w:t>
      </w:r>
      <w:r w:rsidR="008C36C6" w:rsidRPr="007B5359">
        <w:rPr>
          <w:rFonts w:ascii="Palatino Linotype" w:hAnsi="Palatino Linotype"/>
          <w:b/>
          <w:color w:val="auto"/>
        </w:rPr>
        <w:t>. De la Clasificación.</w:t>
      </w:r>
      <w:bookmarkEnd w:id="25"/>
    </w:p>
    <w:p w:rsidR="008C36C6" w:rsidRPr="007B5359" w:rsidRDefault="008C36C6" w:rsidP="008C36C6"/>
    <w:p w:rsidR="008C36C6" w:rsidRPr="007B5359" w:rsidRDefault="008C36C6" w:rsidP="008C36C6">
      <w:pPr>
        <w:pStyle w:val="Prrafodelista"/>
        <w:rPr>
          <w:rFonts w:ascii="Palatino Linotype" w:hAnsi="Palatino Linotype" w:cs="Arial"/>
          <w:b/>
        </w:rPr>
      </w:pPr>
    </w:p>
    <w:p w:rsidR="005E22B0" w:rsidRPr="007B5359" w:rsidRDefault="005E22B0" w:rsidP="005E22B0">
      <w:pPr>
        <w:pStyle w:val="Prrafodelista"/>
        <w:numPr>
          <w:ilvl w:val="0"/>
          <w:numId w:val="18"/>
        </w:numPr>
        <w:spacing w:after="160" w:line="360" w:lineRule="auto"/>
        <w:ind w:left="0" w:hanging="11"/>
        <w:jc w:val="both"/>
        <w:rPr>
          <w:rFonts w:ascii="Palatino Linotype" w:hAnsi="Palatino Linotype"/>
        </w:rPr>
      </w:pPr>
      <w:r w:rsidRPr="007B5359">
        <w:rPr>
          <w:rFonts w:ascii="Palatino Linotype" w:hAnsi="Palatino Linotype"/>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B5359">
        <w:rPr>
          <w:rFonts w:ascii="Palatino Linotype" w:hAnsi="Palatino Linotype"/>
          <w:vertAlign w:val="superscript"/>
        </w:rPr>
        <w:footnoteReference w:id="8"/>
      </w:r>
      <w:r w:rsidRPr="007B5359">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B5359">
        <w:rPr>
          <w:rFonts w:ascii="Palatino Linotype" w:hAnsi="Palatino Linotype"/>
          <w:vertAlign w:val="superscript"/>
        </w:rPr>
        <w:footnoteReference w:id="9"/>
      </w:r>
      <w:r w:rsidRPr="007B5359">
        <w:rPr>
          <w:rFonts w:ascii="Palatino Linotype" w:hAnsi="Palatino Linotype"/>
        </w:rPr>
        <w:t xml:space="preserve"> En este caso, la clasificación total o parcial de la información es </w:t>
      </w:r>
      <w:r w:rsidRPr="007B5359">
        <w:rPr>
          <w:rFonts w:ascii="Palatino Linotype" w:hAnsi="Palatino Linotype"/>
        </w:rPr>
        <w:lastRenderedPageBreak/>
        <w:t>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5E22B0" w:rsidRPr="007B5359" w:rsidRDefault="005E22B0" w:rsidP="005E22B0">
      <w:pPr>
        <w:pStyle w:val="Prrafodelista"/>
        <w:spacing w:after="160" w:line="360" w:lineRule="auto"/>
        <w:ind w:left="0"/>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Por esa razón, es que en esta ocasión se presenta un apretado resumen de las formalidades, elementos y procedimientos que debe considerar el sujeto obligado para emitir este tipo de acuerdos y que el Órgano Garante debe verificar que se cumplan.</w:t>
      </w:r>
    </w:p>
    <w:p w:rsidR="005E22B0" w:rsidRPr="007B5359" w:rsidRDefault="005E22B0" w:rsidP="005E22B0">
      <w:pPr>
        <w:pStyle w:val="Prrafodelista"/>
        <w:keepNext/>
        <w:keepLines/>
        <w:numPr>
          <w:ilvl w:val="0"/>
          <w:numId w:val="32"/>
        </w:numPr>
        <w:pBdr>
          <w:top w:val="nil"/>
          <w:left w:val="nil"/>
          <w:bottom w:val="nil"/>
          <w:right w:val="nil"/>
          <w:between w:val="nil"/>
          <w:bar w:val="nil"/>
        </w:pBdr>
        <w:spacing w:before="240"/>
        <w:ind w:left="0" w:firstLine="0"/>
        <w:rPr>
          <w:rFonts w:ascii="Palatino Linotype" w:eastAsiaTheme="majorEastAsia" w:hAnsi="Palatino Linotype" w:cstheme="majorBidi"/>
          <w:b/>
        </w:rPr>
      </w:pPr>
      <w:bookmarkStart w:id="26" w:name="_Toc485631700"/>
      <w:bookmarkStart w:id="27" w:name="_Toc500756710"/>
      <w:bookmarkStart w:id="28" w:name="_Toc536691778"/>
      <w:bookmarkStart w:id="29" w:name="_Toc2267541"/>
      <w:bookmarkStart w:id="30" w:name="_Toc2856714"/>
      <w:r w:rsidRPr="007B5359">
        <w:rPr>
          <w:rFonts w:ascii="Palatino Linotype" w:eastAsiaTheme="majorEastAsia" w:hAnsi="Palatino Linotype" w:cstheme="majorBidi"/>
          <w:b/>
        </w:rPr>
        <w:t>Requisitos previos.</w:t>
      </w:r>
      <w:bookmarkEnd w:id="26"/>
      <w:bookmarkEnd w:id="27"/>
      <w:bookmarkEnd w:id="28"/>
      <w:bookmarkEnd w:id="29"/>
      <w:bookmarkEnd w:id="30"/>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lastRenderedPageBreak/>
        <w:t xml:space="preserve">Los </w:t>
      </w:r>
      <w:r w:rsidRPr="007B5359">
        <w:rPr>
          <w:rFonts w:ascii="Palatino Linotype" w:hAnsi="Palatino Linotype"/>
        </w:rPr>
        <w:t>artículos</w:t>
      </w:r>
      <w:r w:rsidRPr="007B5359">
        <w:rPr>
          <w:rFonts w:ascii="Palatino Linotype" w:hAnsi="Palatino Linotype" w:cs="Aria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5E22B0" w:rsidRPr="007B5359" w:rsidRDefault="005E22B0" w:rsidP="005E22B0">
      <w:pPr>
        <w:pStyle w:val="Prrafodelista"/>
        <w:keepNext/>
        <w:keepLines/>
        <w:numPr>
          <w:ilvl w:val="0"/>
          <w:numId w:val="32"/>
        </w:numPr>
        <w:pBdr>
          <w:top w:val="nil"/>
          <w:left w:val="nil"/>
          <w:bottom w:val="nil"/>
          <w:right w:val="nil"/>
          <w:between w:val="nil"/>
          <w:bar w:val="nil"/>
        </w:pBdr>
        <w:spacing w:before="240"/>
        <w:ind w:left="0" w:firstLine="0"/>
        <w:rPr>
          <w:rFonts w:ascii="Palatino Linotype" w:eastAsiaTheme="majorEastAsia" w:hAnsi="Palatino Linotype" w:cstheme="majorBidi"/>
          <w:b/>
        </w:rPr>
      </w:pPr>
      <w:bookmarkStart w:id="31" w:name="_Toc485631701"/>
      <w:bookmarkStart w:id="32" w:name="_Toc500756711"/>
      <w:bookmarkStart w:id="33" w:name="_Toc536691779"/>
      <w:bookmarkStart w:id="34" w:name="_Toc2267542"/>
      <w:bookmarkStart w:id="35" w:name="_Toc2856715"/>
      <w:r w:rsidRPr="007B5359">
        <w:rPr>
          <w:rFonts w:ascii="Palatino Linotype" w:eastAsiaTheme="majorEastAsia" w:hAnsi="Palatino Linotype" w:cstheme="majorBidi"/>
          <w:b/>
        </w:rPr>
        <w:t>Supuestos de clasificación.</w:t>
      </w:r>
      <w:bookmarkEnd w:id="31"/>
      <w:bookmarkEnd w:id="32"/>
      <w:bookmarkEnd w:id="33"/>
      <w:bookmarkEnd w:id="34"/>
      <w:bookmarkEnd w:id="35"/>
    </w:p>
    <w:p w:rsidR="005E22B0" w:rsidRPr="007B5359" w:rsidRDefault="005E22B0" w:rsidP="005E22B0">
      <w:pPr>
        <w:spacing w:line="360" w:lineRule="auto"/>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lastRenderedPageBreak/>
        <w:t>Las disposiciones constitucionales y legales en la materia establecen los dos supuestos generales para clasificar la información: por reserva y por confidencialidad.</w:t>
      </w:r>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Los artículos 140 y 113 de la Ley Estatal y de la Ley General, respectivamente, señalan los supuestos para que una información pueda considerarse como reservada, que son los siguientes:</w:t>
      </w:r>
    </w:p>
    <w:p w:rsidR="005E22B0" w:rsidRPr="007B5359" w:rsidRDefault="005E22B0" w:rsidP="005E22B0">
      <w:pPr>
        <w:spacing w:line="360" w:lineRule="auto"/>
        <w:contextualSpacing/>
        <w:jc w:val="both"/>
        <w:rPr>
          <w:rFonts w:ascii="Palatino Linotype" w:hAnsi="Palatino Linotype" w:cs="Arial"/>
        </w:rPr>
      </w:pPr>
    </w:p>
    <w:tbl>
      <w:tblPr>
        <w:tblStyle w:val="Tablanormal11"/>
        <w:tblW w:w="8647" w:type="dxa"/>
        <w:tblInd w:w="-5" w:type="dxa"/>
        <w:tblLook w:val="04A0" w:firstRow="1" w:lastRow="0" w:firstColumn="1" w:lastColumn="0" w:noHBand="0" w:noVBand="1"/>
      </w:tblPr>
      <w:tblGrid>
        <w:gridCol w:w="4536"/>
        <w:gridCol w:w="4111"/>
      </w:tblGrid>
      <w:tr w:rsidR="00A04D7B" w:rsidRPr="007B5359" w:rsidTr="00F30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center"/>
              <w:rPr>
                <w:rFonts w:ascii="Palatino Linotype" w:hAnsi="Palatino Linotype"/>
                <w:sz w:val="16"/>
                <w:szCs w:val="16"/>
              </w:rPr>
            </w:pPr>
            <w:r w:rsidRPr="007B5359">
              <w:rPr>
                <w:rFonts w:ascii="Palatino Linotype" w:hAnsi="Palatino Linotype" w:cs="Gill Sans,Bold"/>
                <w:sz w:val="16"/>
                <w:szCs w:val="16"/>
              </w:rPr>
              <w:t>LEY ESTATAL</w:t>
            </w:r>
          </w:p>
        </w:tc>
        <w:tc>
          <w:tcPr>
            <w:tcW w:w="4111" w:type="dxa"/>
          </w:tcPr>
          <w:p w:rsidR="005E22B0" w:rsidRPr="007B5359" w:rsidRDefault="005E22B0" w:rsidP="00F3009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rPr>
            </w:pPr>
            <w:r w:rsidRPr="007B5359">
              <w:rPr>
                <w:rFonts w:ascii="Palatino Linotype" w:hAnsi="Palatino Linotype"/>
                <w:sz w:val="16"/>
                <w:szCs w:val="16"/>
              </w:rPr>
              <w:t>LEY GENERAL</w:t>
            </w:r>
          </w:p>
        </w:tc>
      </w:tr>
      <w:tr w:rsidR="00A04D7B" w:rsidRPr="007B5359" w:rsidTr="00F3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I. Comprometa la seguridad pública y cuente con un propósito genuino y un efecto demostrable;</w:t>
            </w:r>
          </w:p>
          <w:p w:rsidR="005E22B0" w:rsidRPr="007B5359" w:rsidRDefault="005E22B0" w:rsidP="00F30094">
            <w:pPr>
              <w:jc w:val="both"/>
              <w:rPr>
                <w:rFonts w:ascii="Palatino Linotype" w:hAnsi="Palatino Linotype"/>
                <w:sz w:val="16"/>
                <w:szCs w:val="16"/>
              </w:rPr>
            </w:pPr>
          </w:p>
        </w:tc>
        <w:tc>
          <w:tcPr>
            <w:tcW w:w="4111" w:type="dxa"/>
          </w:tcPr>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I.</w:t>
            </w:r>
            <w:r w:rsidRPr="007B5359">
              <w:rPr>
                <w:rFonts w:ascii="Palatino Linotype" w:hAnsi="Palatino Linotype"/>
                <w:sz w:val="16"/>
                <w:szCs w:val="16"/>
                <w:lang w:val="es-ES"/>
              </w:rPr>
              <w:tab/>
              <w:t>Comprometa la seguridad nacional, la seguridad pública o la defensa nacional y cuente con un propósito genuino y un efecto demostrable;</w:t>
            </w:r>
          </w:p>
        </w:tc>
      </w:tr>
      <w:tr w:rsidR="00A04D7B" w:rsidRPr="007B5359" w:rsidTr="00F30094">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II. Pueda menoscabar la conducción de las negociaciones y relaciones internacionales;</w:t>
            </w:r>
          </w:p>
        </w:tc>
        <w:tc>
          <w:tcPr>
            <w:tcW w:w="4111" w:type="dxa"/>
          </w:tcPr>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II.</w:t>
            </w:r>
            <w:r w:rsidRPr="007B5359">
              <w:rPr>
                <w:rFonts w:ascii="Palatino Linotype" w:hAnsi="Palatino Linotype"/>
                <w:sz w:val="16"/>
                <w:szCs w:val="16"/>
                <w:lang w:val="es-ES"/>
              </w:rPr>
              <w:tab/>
              <w:t>Pueda menoscabar la conducción de las negociaciones y relaciones internacionales;</w:t>
            </w:r>
          </w:p>
        </w:tc>
      </w:tr>
      <w:tr w:rsidR="00A04D7B" w:rsidRPr="007B5359" w:rsidTr="00F3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111" w:type="dxa"/>
          </w:tcPr>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III.</w:t>
            </w:r>
            <w:r w:rsidRPr="007B5359">
              <w:rPr>
                <w:rFonts w:ascii="Palatino Linotype" w:hAnsi="Palatino Linotype"/>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A04D7B" w:rsidRPr="007B5359" w:rsidTr="00F30094">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p>
        </w:tc>
        <w:tc>
          <w:tcPr>
            <w:tcW w:w="4111" w:type="dxa"/>
          </w:tcPr>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IV.</w:t>
            </w:r>
            <w:r w:rsidRPr="007B5359">
              <w:rPr>
                <w:rFonts w:ascii="Palatino Linotype" w:hAnsi="Palatino Linotype"/>
                <w:sz w:val="16"/>
                <w:szCs w:val="16"/>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A04D7B" w:rsidRPr="007B5359" w:rsidTr="00F3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IV. Ponga en riesgo la vida, la seguridad o la salud de una persona física;</w:t>
            </w:r>
          </w:p>
        </w:tc>
        <w:tc>
          <w:tcPr>
            <w:tcW w:w="4111" w:type="dxa"/>
          </w:tcPr>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V.</w:t>
            </w:r>
            <w:r w:rsidRPr="007B5359">
              <w:rPr>
                <w:rFonts w:ascii="Palatino Linotype" w:hAnsi="Palatino Linotype"/>
                <w:sz w:val="16"/>
                <w:szCs w:val="16"/>
                <w:lang w:val="es-ES"/>
              </w:rPr>
              <w:tab/>
              <w:t>Pueda poner en riesgo la vida, seguridad o salud de una persona física;</w:t>
            </w:r>
          </w:p>
        </w:tc>
      </w:tr>
      <w:tr w:rsidR="00A04D7B" w:rsidRPr="007B5359" w:rsidTr="00F30094">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V. Aquella cuya divulgación obstruya o pueda causar un serio perjuicio a:</w:t>
            </w:r>
          </w:p>
          <w:p w:rsidR="005E22B0" w:rsidRPr="007B5359" w:rsidRDefault="005E22B0" w:rsidP="00F30094">
            <w:pPr>
              <w:autoSpaceDE w:val="0"/>
              <w:autoSpaceDN w:val="0"/>
              <w:adjustRightInd w:val="0"/>
              <w:jc w:val="both"/>
              <w:rPr>
                <w:rFonts w:ascii="Palatino Linotype" w:hAnsi="Palatino Linotype" w:cs="Arial"/>
                <w:sz w:val="16"/>
                <w:szCs w:val="16"/>
              </w:rPr>
            </w:pPr>
          </w:p>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1. Las actividades de fiscalización, verificación, inspección, comprobación y auditoría sobre el cumplimiento de las Leyes; o</w:t>
            </w:r>
          </w:p>
          <w:p w:rsidR="005E22B0" w:rsidRPr="007B5359" w:rsidRDefault="005E22B0" w:rsidP="00F30094">
            <w:pPr>
              <w:autoSpaceDE w:val="0"/>
              <w:autoSpaceDN w:val="0"/>
              <w:adjustRightInd w:val="0"/>
              <w:jc w:val="both"/>
              <w:rPr>
                <w:rFonts w:ascii="Palatino Linotype" w:hAnsi="Palatino Linotype" w:cs="Arial"/>
                <w:sz w:val="16"/>
                <w:szCs w:val="16"/>
              </w:rPr>
            </w:pPr>
          </w:p>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2. La recaudación de las contribuciones.</w:t>
            </w:r>
          </w:p>
        </w:tc>
        <w:tc>
          <w:tcPr>
            <w:tcW w:w="4111" w:type="dxa"/>
          </w:tcPr>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VI.</w:t>
            </w:r>
            <w:r w:rsidRPr="007B5359">
              <w:rPr>
                <w:rFonts w:ascii="Palatino Linotype" w:hAnsi="Palatino Linotype"/>
                <w:sz w:val="16"/>
                <w:szCs w:val="16"/>
                <w:lang w:val="es-ES"/>
              </w:rPr>
              <w:tab/>
              <w:t>Obstruya las actividades de verificación, inspección y auditoría relativas al cumplimiento de las leyes o afecte la recaudación de contribuciones;</w:t>
            </w:r>
          </w:p>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p>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rPr>
            </w:pPr>
          </w:p>
        </w:tc>
      </w:tr>
      <w:tr w:rsidR="00A04D7B" w:rsidRPr="007B5359" w:rsidTr="00F3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w:t>
            </w:r>
            <w:r w:rsidRPr="007B5359">
              <w:rPr>
                <w:rFonts w:ascii="Palatino Linotype" w:hAnsi="Palatino Linotype" w:cs="Arial"/>
                <w:sz w:val="16"/>
                <w:szCs w:val="16"/>
              </w:rPr>
              <w:lastRenderedPageBreak/>
              <w:t>firmes o afecte la administración de justicia o la seguridad de un denunciante, querellante o testigo, así como sus familias, en los términos de las disposiciones jurídicas aplicables;</w:t>
            </w:r>
          </w:p>
        </w:tc>
        <w:tc>
          <w:tcPr>
            <w:tcW w:w="4111" w:type="dxa"/>
          </w:tcPr>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lastRenderedPageBreak/>
              <w:t>VII.</w:t>
            </w:r>
            <w:r w:rsidRPr="007B5359">
              <w:rPr>
                <w:rFonts w:ascii="Palatino Linotype" w:hAnsi="Palatino Linotype"/>
                <w:sz w:val="16"/>
                <w:szCs w:val="16"/>
                <w:lang w:val="es-ES"/>
              </w:rPr>
              <w:tab/>
              <w:t>Obstruya la prevención o persecución de los delitos;</w:t>
            </w:r>
          </w:p>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s-ES"/>
              </w:rPr>
            </w:pPr>
          </w:p>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r>
      <w:tr w:rsidR="00A04D7B" w:rsidRPr="007B5359" w:rsidTr="00F30094">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VIII.</w:t>
            </w:r>
            <w:r w:rsidRPr="007B5359">
              <w:rPr>
                <w:rFonts w:ascii="Palatino Linotype" w:hAnsi="Palatino Linotype"/>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A04D7B" w:rsidRPr="007B5359" w:rsidTr="00F3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p>
        </w:tc>
        <w:tc>
          <w:tcPr>
            <w:tcW w:w="4111" w:type="dxa"/>
          </w:tcPr>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IX.</w:t>
            </w:r>
            <w:r w:rsidRPr="007B5359">
              <w:rPr>
                <w:rFonts w:ascii="Palatino Linotype" w:hAnsi="Palatino Linotype"/>
                <w:sz w:val="16"/>
                <w:szCs w:val="16"/>
                <w:lang w:val="es-ES"/>
              </w:rPr>
              <w:tab/>
              <w:t>Obstruya los procedimientos para fincar responsabilidad a los Servidores Públicos, en tanto no se haya dictado la resolución administrativa;</w:t>
            </w:r>
          </w:p>
        </w:tc>
      </w:tr>
      <w:tr w:rsidR="00A04D7B" w:rsidRPr="007B5359" w:rsidTr="00F30094">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p>
        </w:tc>
        <w:tc>
          <w:tcPr>
            <w:tcW w:w="4111" w:type="dxa"/>
          </w:tcPr>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X.</w:t>
            </w:r>
            <w:r w:rsidRPr="007B5359">
              <w:rPr>
                <w:rFonts w:ascii="Palatino Linotype" w:hAnsi="Palatino Linotype"/>
                <w:sz w:val="16"/>
                <w:szCs w:val="16"/>
                <w:lang w:val="es-ES"/>
              </w:rPr>
              <w:tab/>
              <w:t>Afecte los derechos del debido proceso;</w:t>
            </w:r>
          </w:p>
        </w:tc>
      </w:tr>
      <w:tr w:rsidR="00A04D7B" w:rsidRPr="007B5359" w:rsidTr="00F3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VIII. Vulnere la conducción de los expedientes judiciales o de los procedimientos administrativos seguidos en forma de juicio, en tanto no hayan quedado firmes;</w:t>
            </w:r>
          </w:p>
        </w:tc>
        <w:tc>
          <w:tcPr>
            <w:tcW w:w="4111" w:type="dxa"/>
          </w:tcPr>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XI.</w:t>
            </w:r>
            <w:r w:rsidRPr="007B5359">
              <w:rPr>
                <w:rFonts w:ascii="Palatino Linotype" w:hAnsi="Palatino Linotype"/>
                <w:sz w:val="16"/>
                <w:szCs w:val="16"/>
                <w:lang w:val="es-ES"/>
              </w:rPr>
              <w:tab/>
              <w:t>Vulnere la conducción de los Expedientes judiciales o de los procedimientos administrativos seguidos en forma de juicio, en tanto no hayan causado estado;</w:t>
            </w:r>
          </w:p>
        </w:tc>
      </w:tr>
      <w:tr w:rsidR="00A04D7B" w:rsidRPr="007B5359" w:rsidTr="00F30094">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IX. Se encuentre contenida dentro de las investigaciones de hechos que la Ley señale como delitos y se tramiten ante el Ministerio Público;</w:t>
            </w:r>
          </w:p>
        </w:tc>
        <w:tc>
          <w:tcPr>
            <w:tcW w:w="4111" w:type="dxa"/>
          </w:tcPr>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XII.</w:t>
            </w:r>
            <w:r w:rsidRPr="007B5359">
              <w:rPr>
                <w:rFonts w:ascii="Palatino Linotype" w:hAnsi="Palatino Linotype"/>
                <w:sz w:val="16"/>
                <w:szCs w:val="16"/>
                <w:lang w:val="es-ES"/>
              </w:rPr>
              <w:tab/>
              <w:t>Se encuentre contenida dentro de las investigaciones de hechos que la ley señale como delitos y se tramiten ante el Ministerio Público, y</w:t>
            </w:r>
          </w:p>
        </w:tc>
      </w:tr>
      <w:tr w:rsidR="00A04D7B" w:rsidRPr="007B5359" w:rsidTr="00F300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autoSpaceDE w:val="0"/>
              <w:autoSpaceDN w:val="0"/>
              <w:adjustRightInd w:val="0"/>
              <w:ind w:left="-108"/>
              <w:jc w:val="both"/>
              <w:rPr>
                <w:rFonts w:ascii="Palatino Linotype" w:hAnsi="Palatino Linotype" w:cs="Arial"/>
                <w:sz w:val="16"/>
                <w:szCs w:val="16"/>
              </w:rPr>
            </w:pPr>
            <w:r w:rsidRPr="007B5359">
              <w:rPr>
                <w:rFonts w:ascii="Palatino Linotype" w:hAnsi="Palatino Linotype" w:cs="Arial"/>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E22B0" w:rsidRPr="007B5359" w:rsidRDefault="005E22B0" w:rsidP="00F30094">
            <w:pPr>
              <w:autoSpaceDE w:val="0"/>
              <w:autoSpaceDN w:val="0"/>
              <w:adjustRightInd w:val="0"/>
              <w:jc w:val="both"/>
              <w:rPr>
                <w:rFonts w:ascii="Palatino Linotype" w:hAnsi="Palatino Linotype" w:cs="Arial"/>
                <w:sz w:val="16"/>
                <w:szCs w:val="16"/>
              </w:rPr>
            </w:pPr>
            <w:r w:rsidRPr="007B5359">
              <w:rPr>
                <w:rFonts w:ascii="Palatino Linotype" w:hAnsi="Palatino Linotype" w:cs="Arial"/>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rsidR="005E22B0" w:rsidRPr="007B5359" w:rsidRDefault="005E22B0" w:rsidP="00F3009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rPr>
            </w:pPr>
          </w:p>
        </w:tc>
      </w:tr>
      <w:tr w:rsidR="00A04D7B" w:rsidRPr="007B5359" w:rsidTr="00F30094">
        <w:tc>
          <w:tcPr>
            <w:cnfStyle w:val="001000000000" w:firstRow="0" w:lastRow="0" w:firstColumn="1" w:lastColumn="0" w:oddVBand="0" w:evenVBand="0" w:oddHBand="0" w:evenHBand="0" w:firstRowFirstColumn="0" w:firstRowLastColumn="0" w:lastRowFirstColumn="0" w:lastRowLastColumn="0"/>
            <w:tcW w:w="4536" w:type="dxa"/>
          </w:tcPr>
          <w:p w:rsidR="005E22B0" w:rsidRPr="007B5359" w:rsidRDefault="005E22B0" w:rsidP="00F30094">
            <w:pPr>
              <w:jc w:val="both"/>
              <w:rPr>
                <w:rFonts w:ascii="Palatino Linotype" w:hAnsi="Palatino Linotype"/>
                <w:sz w:val="16"/>
                <w:szCs w:val="16"/>
              </w:rPr>
            </w:pPr>
            <w:r w:rsidRPr="007B5359">
              <w:rPr>
                <w:rFonts w:ascii="Palatino Linotype" w:hAnsi="Palatino Linotype" w:cs="Arial"/>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rsidR="005E22B0" w:rsidRPr="007B5359" w:rsidRDefault="005E22B0" w:rsidP="00F3009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s-ES"/>
              </w:rPr>
            </w:pPr>
            <w:r w:rsidRPr="007B5359">
              <w:rPr>
                <w:rFonts w:ascii="Palatino Linotype" w:hAnsi="Palatino Linotype"/>
                <w:sz w:val="16"/>
                <w:szCs w:val="16"/>
                <w:lang w:val="es-ES"/>
              </w:rPr>
              <w:t>XIII.</w:t>
            </w:r>
            <w:r w:rsidRPr="007B5359">
              <w:rPr>
                <w:rFonts w:ascii="Palatino Linotype" w:hAnsi="Palatino Linotype"/>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rsidR="005E22B0" w:rsidRPr="007B5359" w:rsidRDefault="005E22B0" w:rsidP="005E22B0">
      <w:pPr>
        <w:spacing w:line="360" w:lineRule="auto"/>
        <w:jc w:val="both"/>
        <w:rPr>
          <w:rFonts w:ascii="Palatino Linotype" w:hAnsi="Palatino Linotype" w:cs="Arial"/>
        </w:rPr>
      </w:pPr>
    </w:p>
    <w:p w:rsidR="005E22B0" w:rsidRPr="007B5359" w:rsidRDefault="005E22B0" w:rsidP="005E22B0">
      <w:pPr>
        <w:numPr>
          <w:ilvl w:val="0"/>
          <w:numId w:val="18"/>
        </w:numPr>
        <w:spacing w:line="360" w:lineRule="auto"/>
        <w:ind w:left="0" w:firstLine="0"/>
        <w:contextualSpacing/>
        <w:jc w:val="both"/>
        <w:rPr>
          <w:rFonts w:ascii="Palatino Linotype" w:hAnsi="Palatino Linotype" w:cs="Arial"/>
        </w:rPr>
      </w:pPr>
      <w:r w:rsidRPr="007B5359">
        <w:rPr>
          <w:rFonts w:ascii="Palatino Linotype" w:hAnsi="Palatino Linotype" w:cs="Arial"/>
        </w:rPr>
        <w:t>Mientras que los artículos 143 y 116 de la Ley Estatal y de la Ley General, respectivamente, señalan los supuestos para que la información pueda ser clasificada como confidencial:</w:t>
      </w:r>
    </w:p>
    <w:p w:rsidR="005E22B0" w:rsidRPr="007B5359" w:rsidRDefault="005E22B0" w:rsidP="005E22B0">
      <w:pPr>
        <w:spacing w:line="360" w:lineRule="auto"/>
        <w:jc w:val="both"/>
        <w:rPr>
          <w:rFonts w:ascii="Palatino Linotype" w:hAnsi="Palatino Linotype" w:cs="Arial"/>
        </w:rPr>
      </w:pP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rPr>
      </w:pPr>
      <w:r w:rsidRPr="007B5359">
        <w:rPr>
          <w:rFonts w:ascii="Palatino Linotype" w:hAnsi="Palatino Linotype" w:cs="Bookman Old Style"/>
          <w:bCs/>
        </w:rPr>
        <w:t xml:space="preserve">I. </w:t>
      </w:r>
      <w:r w:rsidRPr="007B5359">
        <w:rPr>
          <w:rFonts w:ascii="Palatino Linotype" w:hAnsi="Palatino Linotype" w:cs="Bookman Old Style"/>
        </w:rPr>
        <w:t xml:space="preserve">Se refiera a la información privada y los datos personales concernientes a una persona física o jurídico colectiva identificada o identificable; </w:t>
      </w: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rPr>
      </w:pPr>
      <w:r w:rsidRPr="007B5359">
        <w:rPr>
          <w:rFonts w:ascii="Palatino Linotype" w:hAnsi="Palatino Linotype" w:cs="Bookman Old Style"/>
          <w:bCs/>
        </w:rPr>
        <w:t xml:space="preserve">II. </w:t>
      </w:r>
      <w:r w:rsidRPr="007B5359">
        <w:rPr>
          <w:rFonts w:ascii="Palatino Linotype" w:hAnsi="Palatino Linotype" w:cs="Bookman Old Style"/>
        </w:rPr>
        <w:t xml:space="preserve">Los secretos bancario, fiduciario, industrial, comercial, fiscal, bursátil y postal, cuya titularidad corresponda a particulares, sujetos de derecho </w:t>
      </w:r>
      <w:r w:rsidRPr="007B5359">
        <w:rPr>
          <w:rFonts w:ascii="Palatino Linotype" w:hAnsi="Palatino Linotype" w:cs="Bookman Old Style"/>
        </w:rPr>
        <w:lastRenderedPageBreak/>
        <w:t xml:space="preserve">internacional o a sujetos obligados cuando no involucren el ejercicio de recursos públicos; y </w:t>
      </w: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rPr>
      </w:pPr>
      <w:r w:rsidRPr="007B5359">
        <w:rPr>
          <w:rFonts w:ascii="Palatino Linotype" w:hAnsi="Palatino Linotype" w:cs="Bookman Old Style"/>
          <w:bCs/>
        </w:rPr>
        <w:t xml:space="preserve">III. </w:t>
      </w:r>
      <w:r w:rsidRPr="007B5359">
        <w:rPr>
          <w:rFonts w:ascii="Palatino Linotype" w:hAnsi="Palatino Linotype" w:cs="Bookman Old Style"/>
        </w:rPr>
        <w:t xml:space="preserve">La que presenten los particulares a los sujetos obligados, de conformidad con lo dispuesto por las leyes o los tratados internacionales. </w:t>
      </w: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rPr>
      </w:pPr>
      <w:r w:rsidRPr="007B5359">
        <w:rPr>
          <w:rFonts w:ascii="Palatino Linotype" w:hAnsi="Palatino Linotype" w:cs="Bookman Old Style"/>
        </w:rPr>
        <w:t xml:space="preserve">La información confidencial no estará sujeta a temporalidad alguna y sólo podrán tener acceso a ella los titulares de </w:t>
      </w:r>
      <w:proofErr w:type="gramStart"/>
      <w:r w:rsidRPr="007B5359">
        <w:rPr>
          <w:rFonts w:ascii="Palatino Linotype" w:hAnsi="Palatino Linotype" w:cs="Bookman Old Style"/>
        </w:rPr>
        <w:t>la misma</w:t>
      </w:r>
      <w:proofErr w:type="gramEnd"/>
      <w:r w:rsidRPr="007B5359">
        <w:rPr>
          <w:rFonts w:ascii="Palatino Linotype" w:hAnsi="Palatino Linotype" w:cs="Bookman Old Style"/>
        </w:rPr>
        <w:t xml:space="preserve">, sus representantes y los servidores públicos facultados para ello. </w:t>
      </w: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rPr>
      </w:pPr>
      <w:r w:rsidRPr="007B5359">
        <w:rPr>
          <w:rFonts w:ascii="Palatino Linotype" w:hAnsi="Palatino Linotype" w:cs="Bookman Old Style"/>
        </w:rPr>
        <w:t xml:space="preserve">No se considerará confidencial la información que se encuentre en los registros públicos o en fuentes de acceso público, ni tampoco la que sea considerada por la presente ley como información pública. </w:t>
      </w:r>
    </w:p>
    <w:p w:rsidR="005E22B0" w:rsidRPr="007B5359" w:rsidRDefault="005E22B0" w:rsidP="005E22B0">
      <w:pPr>
        <w:spacing w:line="360" w:lineRule="auto"/>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 xml:space="preserve">Como consecuencia de lo anterior, el </w:t>
      </w:r>
      <w:r w:rsidR="001F3C72" w:rsidRPr="007B5359">
        <w:rPr>
          <w:rFonts w:ascii="Palatino Linotype" w:hAnsi="Palatino Linotype" w:cs="Arial"/>
          <w:b/>
        </w:rPr>
        <w:t>SUJETO OBLIGADO</w:t>
      </w:r>
      <w:r w:rsidR="001F3C72" w:rsidRPr="007B5359">
        <w:rPr>
          <w:rFonts w:ascii="Palatino Linotype" w:hAnsi="Palatino Linotype" w:cs="Arial"/>
        </w:rPr>
        <w:t xml:space="preserve"> </w:t>
      </w:r>
      <w:r w:rsidRPr="007B5359">
        <w:rPr>
          <w:rFonts w:ascii="Palatino Linotype" w:hAnsi="Palatino Linotype" w:cs="Arial"/>
        </w:rPr>
        <w:t>debe identificar claramente el tipo de información y hacer un juicio de subsunción o encaje</w:t>
      </w:r>
      <w:r w:rsidRPr="007B5359">
        <w:rPr>
          <w:rFonts w:ascii="Palatino Linotype" w:hAnsi="Palatino Linotype" w:cs="Arial"/>
          <w:vertAlign w:val="superscript"/>
        </w:rPr>
        <w:footnoteReference w:id="10"/>
      </w:r>
      <w:r w:rsidRPr="007B5359">
        <w:rPr>
          <w:rFonts w:ascii="Palatino Linotype" w:hAnsi="Palatino Linotype" w:cs="Arial"/>
        </w:rPr>
        <w:t xml:space="preserve"> para </w:t>
      </w:r>
      <w:r w:rsidRPr="007B5359">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5E22B0" w:rsidRPr="007B5359" w:rsidRDefault="005E22B0" w:rsidP="005E22B0">
      <w:pPr>
        <w:pStyle w:val="Prrafodelista"/>
        <w:keepNext/>
        <w:keepLines/>
        <w:numPr>
          <w:ilvl w:val="0"/>
          <w:numId w:val="32"/>
        </w:numPr>
        <w:pBdr>
          <w:top w:val="nil"/>
          <w:left w:val="nil"/>
          <w:bottom w:val="nil"/>
          <w:right w:val="nil"/>
          <w:between w:val="nil"/>
          <w:bar w:val="nil"/>
        </w:pBdr>
        <w:spacing w:before="240"/>
        <w:ind w:left="0" w:firstLine="0"/>
        <w:jc w:val="both"/>
        <w:rPr>
          <w:rFonts w:ascii="Palatino Linotype" w:eastAsiaTheme="majorEastAsia" w:hAnsi="Palatino Linotype" w:cstheme="majorBidi"/>
          <w:b/>
        </w:rPr>
      </w:pPr>
      <w:bookmarkStart w:id="36" w:name="_Toc485631702"/>
      <w:bookmarkStart w:id="37" w:name="_Toc500756712"/>
      <w:bookmarkStart w:id="38" w:name="_Toc536691780"/>
      <w:bookmarkStart w:id="39" w:name="_Toc2267543"/>
      <w:bookmarkStart w:id="40" w:name="_Toc2856716"/>
      <w:r w:rsidRPr="007B5359">
        <w:rPr>
          <w:rFonts w:ascii="Palatino Linotype" w:eastAsiaTheme="majorEastAsia" w:hAnsi="Palatino Linotype" w:cstheme="majorBidi"/>
          <w:b/>
        </w:rPr>
        <w:t>Excepciones a los supuestos de clasificación de la información como reservada.</w:t>
      </w:r>
      <w:bookmarkEnd w:id="36"/>
      <w:bookmarkEnd w:id="37"/>
      <w:bookmarkEnd w:id="38"/>
      <w:bookmarkEnd w:id="39"/>
      <w:bookmarkEnd w:id="40"/>
    </w:p>
    <w:p w:rsidR="005E22B0" w:rsidRPr="007B5359" w:rsidRDefault="005E22B0" w:rsidP="005E22B0">
      <w:pPr>
        <w:rPr>
          <w:rFonts w:ascii="Palatino Linotype" w:hAnsi="Palatino Linotype"/>
        </w:rPr>
      </w:pPr>
    </w:p>
    <w:p w:rsidR="005E22B0" w:rsidRPr="007B5359" w:rsidRDefault="005E22B0" w:rsidP="005E22B0">
      <w:pPr>
        <w:numPr>
          <w:ilvl w:val="0"/>
          <w:numId w:val="18"/>
        </w:numPr>
        <w:spacing w:before="100" w:beforeAutospacing="1" w:after="100" w:afterAutospacing="1" w:line="360" w:lineRule="auto"/>
        <w:ind w:left="0" w:firstLine="0"/>
        <w:jc w:val="both"/>
        <w:rPr>
          <w:rFonts w:ascii="Palatino Linotype" w:eastAsia="Times New Roman" w:hAnsi="Palatino Linotype" w:cs="Times New Roman"/>
          <w:lang w:val="es-ES"/>
        </w:rPr>
      </w:pPr>
      <w:r w:rsidRPr="007B5359">
        <w:rPr>
          <w:rFonts w:ascii="Palatino Linotype" w:eastAsia="Times New Roman" w:hAnsi="Palatino Linotype" w:cs="Times New Roman"/>
          <w:lang w:val="es-ES"/>
        </w:rPr>
        <w:t xml:space="preserve">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w:t>
      </w:r>
      <w:r w:rsidRPr="007B5359">
        <w:rPr>
          <w:rFonts w:ascii="Palatino Linotype" w:eastAsia="Times New Roman" w:hAnsi="Palatino Linotype" w:cs="Times New Roman"/>
          <w:lang w:val="es-ES"/>
        </w:rPr>
        <w:lastRenderedPageBreak/>
        <w:t>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rsidR="005E22B0" w:rsidRPr="007B5359" w:rsidRDefault="005E22B0" w:rsidP="005E22B0">
      <w:pPr>
        <w:rPr>
          <w:rFonts w:ascii="Palatino Linotype" w:eastAsiaTheme="majorEastAsia" w:hAnsi="Palatino Linotype" w:cstheme="majorBidi"/>
          <w:b/>
        </w:rPr>
      </w:pPr>
      <w:bookmarkStart w:id="41" w:name="_Toc485631703"/>
      <w:bookmarkStart w:id="42" w:name="_Toc500756713"/>
      <w:bookmarkStart w:id="43" w:name="_Toc536691781"/>
      <w:bookmarkStart w:id="44" w:name="_Toc2267544"/>
      <w:bookmarkStart w:id="45" w:name="_Toc2856717"/>
      <w:r w:rsidRPr="007B5359">
        <w:rPr>
          <w:rFonts w:ascii="Palatino Linotype" w:eastAsiaTheme="majorEastAsia" w:hAnsi="Palatino Linotype" w:cstheme="majorBidi"/>
          <w:b/>
        </w:rPr>
        <w:t>II. La intervención del Comité de Transparencia.</w:t>
      </w:r>
      <w:bookmarkEnd w:id="41"/>
      <w:bookmarkEnd w:id="42"/>
      <w:bookmarkEnd w:id="43"/>
      <w:bookmarkEnd w:id="44"/>
      <w:bookmarkEnd w:id="45"/>
    </w:p>
    <w:p w:rsidR="005E22B0" w:rsidRPr="007B5359" w:rsidRDefault="005E22B0" w:rsidP="005E22B0">
      <w:pPr>
        <w:rPr>
          <w:rFonts w:ascii="Palatino Linotype" w:eastAsiaTheme="majorEastAsia" w:hAnsi="Palatino Linotype" w:cstheme="majorBidi"/>
          <w:b/>
        </w:rPr>
      </w:pPr>
    </w:p>
    <w:p w:rsidR="005E22B0" w:rsidRPr="007B5359" w:rsidRDefault="005E22B0" w:rsidP="005E22B0">
      <w:pPr>
        <w:pStyle w:val="Prrafodelista"/>
        <w:keepNext/>
        <w:keepLines/>
        <w:numPr>
          <w:ilvl w:val="0"/>
          <w:numId w:val="33"/>
        </w:numPr>
        <w:pBdr>
          <w:top w:val="nil"/>
          <w:left w:val="nil"/>
          <w:bottom w:val="nil"/>
          <w:right w:val="nil"/>
          <w:between w:val="nil"/>
          <w:bar w:val="nil"/>
        </w:pBdr>
        <w:spacing w:before="40"/>
        <w:ind w:left="0" w:firstLine="0"/>
        <w:rPr>
          <w:rFonts w:ascii="Palatino Linotype" w:eastAsiaTheme="majorEastAsia" w:hAnsi="Palatino Linotype" w:cstheme="majorBidi"/>
          <w:b/>
        </w:rPr>
      </w:pPr>
      <w:bookmarkStart w:id="46" w:name="_Toc485631704"/>
      <w:bookmarkStart w:id="47" w:name="_Toc500756714"/>
      <w:bookmarkStart w:id="48" w:name="_Toc536691782"/>
      <w:bookmarkStart w:id="49" w:name="_Toc2267545"/>
      <w:bookmarkStart w:id="50" w:name="_Toc2856718"/>
      <w:r w:rsidRPr="007B5359">
        <w:rPr>
          <w:rFonts w:ascii="Palatino Linotype" w:eastAsiaTheme="majorEastAsia" w:hAnsi="Palatino Linotype" w:cstheme="majorBidi"/>
          <w:b/>
        </w:rPr>
        <w:t>Formalidades para emitir el acuerdo de clasificación.</w:t>
      </w:r>
      <w:bookmarkEnd w:id="46"/>
      <w:bookmarkEnd w:id="47"/>
      <w:bookmarkEnd w:id="48"/>
      <w:bookmarkEnd w:id="49"/>
      <w:bookmarkEnd w:id="50"/>
    </w:p>
    <w:p w:rsidR="005E22B0" w:rsidRPr="007B5359" w:rsidRDefault="005E22B0" w:rsidP="005E22B0">
      <w:pPr>
        <w:tabs>
          <w:tab w:val="left" w:pos="7770"/>
        </w:tabs>
        <w:spacing w:line="360" w:lineRule="auto"/>
        <w:contextualSpacing/>
        <w:jc w:val="both"/>
        <w:rPr>
          <w:rFonts w:ascii="Palatino Linotype" w:hAnsi="Palatino Linotype" w:cs="Arial"/>
        </w:rPr>
      </w:pPr>
      <w:r w:rsidRPr="007B5359">
        <w:rPr>
          <w:rFonts w:ascii="Palatino Linotype" w:hAnsi="Palatino Linotype" w:cs="Arial"/>
        </w:rPr>
        <w:tab/>
      </w:r>
    </w:p>
    <w:p w:rsidR="005E22B0" w:rsidRPr="007B5359" w:rsidRDefault="005E22B0" w:rsidP="005E22B0">
      <w:pPr>
        <w:numPr>
          <w:ilvl w:val="0"/>
          <w:numId w:val="18"/>
        </w:numPr>
        <w:spacing w:after="160" w:line="360" w:lineRule="auto"/>
        <w:ind w:left="0" w:firstLine="0"/>
        <w:contextualSpacing/>
        <w:jc w:val="both"/>
        <w:rPr>
          <w:rFonts w:ascii="Palatino Linotype" w:eastAsia="Times New Roman" w:hAnsi="Palatino Linotype"/>
          <w:lang w:eastAsia="es-ES_tradnl"/>
        </w:rPr>
      </w:pPr>
      <w:r w:rsidRPr="007B5359">
        <w:rPr>
          <w:rFonts w:ascii="Palatino Linotype" w:hAnsi="Palatino Linotype" w:cs="Arial"/>
        </w:rPr>
        <w:t xml:space="preserve">El Comité de Transparencia, según lo dispuesto en los artículos 128 y 103 de la Ley Estatal y de la Ley General, respectivamente, y </w:t>
      </w:r>
      <w:r w:rsidRPr="007B5359">
        <w:rPr>
          <w:rFonts w:ascii="Palatino Linotype" w:hAnsi="Palatino Linotype"/>
        </w:rPr>
        <w:t xml:space="preserve">la fracción III del numeral Segundo de los </w:t>
      </w:r>
      <w:r w:rsidRPr="007B5359">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7B5359">
        <w:rPr>
          <w:rFonts w:ascii="Palatino Linotype" w:hAnsi="Palatino Linotype"/>
        </w:rPr>
        <w:t xml:space="preserve"> </w:t>
      </w:r>
      <w:r w:rsidRPr="007B5359">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sidRPr="007B5359">
        <w:rPr>
          <w:rFonts w:ascii="Palatino Linotype" w:hAnsi="Palatino Linotype" w:cs="Aria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5E22B0" w:rsidRPr="007B5359" w:rsidRDefault="005E22B0" w:rsidP="005E22B0">
      <w:pPr>
        <w:spacing w:line="360" w:lineRule="auto"/>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E22B0" w:rsidRPr="007B5359" w:rsidRDefault="005E22B0" w:rsidP="005E22B0">
      <w:pPr>
        <w:pStyle w:val="Prrafodelista"/>
        <w:keepNext/>
        <w:keepLines/>
        <w:numPr>
          <w:ilvl w:val="0"/>
          <w:numId w:val="33"/>
        </w:numPr>
        <w:pBdr>
          <w:top w:val="nil"/>
          <w:left w:val="nil"/>
          <w:bottom w:val="nil"/>
          <w:right w:val="nil"/>
          <w:between w:val="nil"/>
          <w:bar w:val="nil"/>
        </w:pBdr>
        <w:spacing w:before="40"/>
        <w:ind w:left="0" w:firstLine="0"/>
        <w:rPr>
          <w:rFonts w:ascii="Palatino Linotype" w:eastAsiaTheme="majorEastAsia" w:hAnsi="Palatino Linotype" w:cstheme="majorBidi"/>
          <w:b/>
        </w:rPr>
      </w:pPr>
      <w:bookmarkStart w:id="51" w:name="_Toc485631705"/>
      <w:bookmarkStart w:id="52" w:name="_Toc500756715"/>
      <w:bookmarkStart w:id="53" w:name="_Toc536691783"/>
      <w:bookmarkStart w:id="54" w:name="_Toc2267546"/>
      <w:bookmarkStart w:id="55" w:name="_Toc2856719"/>
      <w:r w:rsidRPr="007B5359">
        <w:rPr>
          <w:rFonts w:ascii="Palatino Linotype" w:eastAsiaTheme="majorEastAsia" w:hAnsi="Palatino Linotype" w:cstheme="majorBidi"/>
          <w:b/>
        </w:rPr>
        <w:t>Requisitos de fondo del acuerdo de clasificación.</w:t>
      </w:r>
      <w:bookmarkEnd w:id="51"/>
      <w:bookmarkEnd w:id="52"/>
      <w:bookmarkEnd w:id="53"/>
      <w:bookmarkEnd w:id="54"/>
      <w:bookmarkEnd w:id="55"/>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7B5359">
        <w:rPr>
          <w:rFonts w:ascii="Palatino Linotype" w:hAnsi="Palatino Linotype" w:cs="Arial"/>
        </w:rPr>
        <w:t>Generales,  al</w:t>
      </w:r>
      <w:proofErr w:type="gramEnd"/>
      <w:r w:rsidRPr="007B5359">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lastRenderedPageBreak/>
        <w:t xml:space="preserve">De lo anterior, se desprende </w:t>
      </w:r>
      <w:proofErr w:type="gramStart"/>
      <w:r w:rsidRPr="007B5359">
        <w:rPr>
          <w:rFonts w:ascii="Palatino Linotype" w:hAnsi="Palatino Linotype"/>
        </w:rPr>
        <w:t>que</w:t>
      </w:r>
      <w:proofErr w:type="gramEnd"/>
      <w:r w:rsidRPr="007B5359">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E22B0" w:rsidRPr="007B5359" w:rsidRDefault="005E22B0" w:rsidP="005E22B0">
      <w:pPr>
        <w:shd w:val="clear" w:color="auto" w:fill="FFFFFF"/>
        <w:spacing w:line="360" w:lineRule="auto"/>
        <w:contextualSpacing/>
        <w:jc w:val="both"/>
        <w:rPr>
          <w:rFonts w:ascii="Palatino Linotype" w:eastAsia="Times New Roman" w:hAnsi="Palatino Linotype" w:cs="Arial"/>
          <w:lang w:eastAsia="es-MX"/>
        </w:rPr>
      </w:pPr>
    </w:p>
    <w:p w:rsidR="005E22B0" w:rsidRPr="007B5359" w:rsidRDefault="005E22B0" w:rsidP="005E22B0">
      <w:pPr>
        <w:numPr>
          <w:ilvl w:val="0"/>
          <w:numId w:val="18"/>
        </w:numPr>
        <w:shd w:val="clear" w:color="auto" w:fill="FFFFFF"/>
        <w:spacing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7B5359">
        <w:rPr>
          <w:rFonts w:ascii="Palatino Linotype" w:eastAsia="Times New Roman" w:hAnsi="Palatino Linotype" w:cs="Arial"/>
          <w:lang w:eastAsia="es-MX"/>
        </w:rPr>
        <w:t>hecho....</w:t>
      </w:r>
      <w:proofErr w:type="gramEnd"/>
      <w:r w:rsidRPr="007B5359">
        <w:rPr>
          <w:rFonts w:ascii="Palatino Linotype" w:eastAsia="Times New Roman" w:hAnsi="Palatino Linotype" w:cs="Arial"/>
          <w:lang w:eastAsia="es-MX"/>
        </w:rPr>
        <w:t>”.</w:t>
      </w:r>
      <w:r w:rsidRPr="007B5359">
        <w:rPr>
          <w:rFonts w:ascii="Palatino Linotype" w:eastAsia="Times New Roman" w:hAnsi="Palatino Linotype" w:cs="Arial"/>
          <w:vertAlign w:val="superscript"/>
          <w:lang w:eastAsia="es-MX"/>
        </w:rPr>
        <w:footnoteReference w:id="11"/>
      </w:r>
    </w:p>
    <w:p w:rsidR="005E22B0" w:rsidRPr="007B5359" w:rsidRDefault="005E22B0" w:rsidP="005E22B0">
      <w:pPr>
        <w:shd w:val="clear" w:color="auto" w:fill="FFFFFF"/>
        <w:spacing w:line="360" w:lineRule="auto"/>
        <w:contextualSpacing/>
        <w:jc w:val="both"/>
        <w:rPr>
          <w:rFonts w:ascii="Palatino Linotype" w:eastAsia="Times New Roman" w:hAnsi="Palatino Linotype" w:cs="Arial"/>
          <w:lang w:eastAsia="es-MX"/>
        </w:rPr>
      </w:pPr>
    </w:p>
    <w:p w:rsidR="005E22B0" w:rsidRPr="007B5359" w:rsidRDefault="005E22B0" w:rsidP="005E22B0">
      <w:pPr>
        <w:numPr>
          <w:ilvl w:val="0"/>
          <w:numId w:val="18"/>
        </w:numPr>
        <w:shd w:val="clear" w:color="auto" w:fill="FFFFFF"/>
        <w:spacing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5E22B0" w:rsidRPr="007B5359" w:rsidRDefault="005E22B0" w:rsidP="005E22B0">
      <w:pPr>
        <w:spacing w:line="360" w:lineRule="auto"/>
        <w:ind w:right="618"/>
        <w:contextualSpacing/>
        <w:jc w:val="both"/>
        <w:rPr>
          <w:rFonts w:ascii="Palatino Linotype" w:hAnsi="Palatino Linotype" w:cs="Arial"/>
        </w:rPr>
      </w:pPr>
    </w:p>
    <w:p w:rsidR="005E22B0" w:rsidRPr="007B5359" w:rsidRDefault="005E22B0" w:rsidP="005E22B0">
      <w:pPr>
        <w:spacing w:line="360" w:lineRule="auto"/>
        <w:ind w:left="567" w:right="618"/>
        <w:contextualSpacing/>
        <w:jc w:val="both"/>
        <w:rPr>
          <w:rFonts w:ascii="Palatino Linotype" w:hAnsi="Palatino Linotype" w:cs="Arial"/>
          <w:i/>
        </w:rPr>
      </w:pPr>
      <w:r w:rsidRPr="007B5359">
        <w:rPr>
          <w:rFonts w:ascii="Palatino Linotype" w:hAnsi="Palatino Linotype" w:cs="Arial"/>
          <w:b/>
          <w:i/>
        </w:rPr>
        <w:lastRenderedPageBreak/>
        <w:t>FUNDAMENTACIÓN Y MOTIVACIÓN.</w:t>
      </w:r>
      <w:r w:rsidRPr="007B5359">
        <w:rPr>
          <w:rFonts w:ascii="Palatino Linotype" w:hAnsi="Palatino Linotype" w:cs="Arial"/>
          <w:i/>
        </w:rPr>
        <w:t xml:space="preserve"> La </w:t>
      </w:r>
      <w:r w:rsidRPr="007B5359">
        <w:rPr>
          <w:rFonts w:ascii="Palatino Linotype" w:hAnsi="Palatino Linotype" w:cs="Arial"/>
          <w:i/>
          <w:u w:val="single"/>
        </w:rPr>
        <w:t xml:space="preserve">debida fundamentación y motivación </w:t>
      </w:r>
      <w:proofErr w:type="gramStart"/>
      <w:r w:rsidRPr="007B5359">
        <w:rPr>
          <w:rFonts w:ascii="Palatino Linotype" w:hAnsi="Palatino Linotype" w:cs="Arial"/>
          <w:i/>
          <w:u w:val="single"/>
        </w:rPr>
        <w:t>legal,</w:t>
      </w:r>
      <w:proofErr w:type="gramEnd"/>
      <w:r w:rsidRPr="007B5359">
        <w:rPr>
          <w:rFonts w:ascii="Palatino Linotype" w:hAnsi="Palatino Linotype" w:cs="Arial"/>
          <w:i/>
          <w:u w:val="single"/>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B5359">
        <w:rPr>
          <w:rFonts w:ascii="Palatino Linotype" w:hAnsi="Palatino Linotype" w:cs="Arial"/>
          <w:i/>
        </w:rPr>
        <w:t>.</w:t>
      </w:r>
    </w:p>
    <w:p w:rsidR="005E22B0" w:rsidRPr="007B5359" w:rsidRDefault="005E22B0" w:rsidP="005E22B0">
      <w:pPr>
        <w:spacing w:line="360" w:lineRule="auto"/>
        <w:ind w:left="567" w:right="618"/>
        <w:contextualSpacing/>
        <w:jc w:val="both"/>
        <w:rPr>
          <w:rFonts w:ascii="Palatino Linotype" w:hAnsi="Palatino Linotype" w:cs="Arial"/>
          <w:i/>
        </w:rPr>
      </w:pPr>
      <w:r w:rsidRPr="007B5359">
        <w:rPr>
          <w:rFonts w:ascii="Palatino Linotype" w:hAnsi="Palatino Linotype" w:cs="Arial"/>
          <w:i/>
        </w:rPr>
        <w:t>SEGUNDO TRIBUNAL COLEGIADO DEL SEXTO CIRCUITO.</w:t>
      </w:r>
    </w:p>
    <w:p w:rsidR="005E22B0" w:rsidRPr="007B5359" w:rsidRDefault="005E22B0" w:rsidP="005E22B0">
      <w:pPr>
        <w:spacing w:line="360" w:lineRule="auto"/>
        <w:ind w:left="567" w:right="618"/>
        <w:contextualSpacing/>
        <w:jc w:val="both"/>
        <w:rPr>
          <w:rFonts w:ascii="Palatino Linotype" w:hAnsi="Palatino Linotype" w:cs="Arial"/>
          <w:i/>
        </w:rPr>
      </w:pPr>
      <w:r w:rsidRPr="007B5359">
        <w:rPr>
          <w:rFonts w:ascii="Palatino Linotype" w:hAnsi="Palatino Linotype" w:cs="Arial"/>
          <w:i/>
        </w:rPr>
        <w:t>Amparo directo 194/88. Bufete Industrial Construcciones, S.A. de C.V. 28 de junio de 1988. Unanimidad de votos. Ponente: Gustavo Calvillo Rangel. Secretario: Jorge Alberto González Álvarez.</w:t>
      </w:r>
    </w:p>
    <w:p w:rsidR="005E22B0" w:rsidRPr="007B5359" w:rsidRDefault="005E22B0" w:rsidP="005E22B0">
      <w:pPr>
        <w:spacing w:line="360" w:lineRule="auto"/>
        <w:ind w:left="567" w:right="618"/>
        <w:contextualSpacing/>
        <w:jc w:val="both"/>
        <w:rPr>
          <w:rFonts w:ascii="Palatino Linotype" w:hAnsi="Palatino Linotype" w:cs="Arial"/>
          <w:i/>
        </w:rPr>
      </w:pPr>
      <w:r w:rsidRPr="007B5359">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7B5359">
        <w:rPr>
          <w:rFonts w:ascii="Palatino Linotype" w:hAnsi="Palatino Linotype" w:cs="Arial"/>
          <w:i/>
        </w:rPr>
        <w:t>Esponda</w:t>
      </w:r>
      <w:proofErr w:type="spellEnd"/>
      <w:r w:rsidRPr="007B5359">
        <w:rPr>
          <w:rFonts w:ascii="Palatino Linotype" w:hAnsi="Palatino Linotype" w:cs="Arial"/>
          <w:i/>
        </w:rPr>
        <w:t xml:space="preserve"> Rincón.</w:t>
      </w:r>
    </w:p>
    <w:p w:rsidR="005E22B0" w:rsidRPr="007B5359" w:rsidRDefault="005E22B0" w:rsidP="005E22B0">
      <w:pPr>
        <w:spacing w:line="360" w:lineRule="auto"/>
        <w:ind w:left="567" w:right="618"/>
        <w:contextualSpacing/>
        <w:jc w:val="both"/>
        <w:rPr>
          <w:rFonts w:ascii="Palatino Linotype" w:hAnsi="Palatino Linotype" w:cs="Arial"/>
          <w:i/>
        </w:rPr>
      </w:pPr>
      <w:r w:rsidRPr="007B5359">
        <w:rPr>
          <w:rFonts w:ascii="Palatino Linotype" w:hAnsi="Palatino Linotype" w:cs="Arial"/>
          <w:i/>
        </w:rPr>
        <w:t xml:space="preserve">Amparo en revisión 333/88. </w:t>
      </w:r>
      <w:proofErr w:type="spellStart"/>
      <w:r w:rsidRPr="007B5359">
        <w:rPr>
          <w:rFonts w:ascii="Palatino Linotype" w:hAnsi="Palatino Linotype" w:cs="Arial"/>
          <w:i/>
        </w:rPr>
        <w:t>Adilia</w:t>
      </w:r>
      <w:proofErr w:type="spellEnd"/>
      <w:r w:rsidRPr="007B5359">
        <w:rPr>
          <w:rFonts w:ascii="Palatino Linotype" w:hAnsi="Palatino Linotype" w:cs="Arial"/>
          <w:i/>
        </w:rPr>
        <w:t xml:space="preserve"> Romero. 26 de octubre de 1988. Unanimidad de votos. Ponente: Arnoldo Nájera Virgen. Secretario: Enrique Crispín Campos Ramírez.</w:t>
      </w:r>
    </w:p>
    <w:p w:rsidR="005E22B0" w:rsidRPr="007B5359" w:rsidRDefault="005E22B0" w:rsidP="005E22B0">
      <w:pPr>
        <w:spacing w:line="360" w:lineRule="auto"/>
        <w:ind w:left="567" w:right="618"/>
        <w:contextualSpacing/>
        <w:jc w:val="both"/>
        <w:rPr>
          <w:rFonts w:ascii="Palatino Linotype" w:hAnsi="Palatino Linotype" w:cs="Arial"/>
          <w:i/>
        </w:rPr>
      </w:pPr>
      <w:r w:rsidRPr="007B5359">
        <w:rPr>
          <w:rFonts w:ascii="Palatino Linotype" w:hAnsi="Palatino Linotype" w:cs="Arial"/>
          <w:i/>
        </w:rPr>
        <w:t xml:space="preserve">Amparo en revisión 597/95. Emilio Maurer Bretón. 15 de noviembre de 1995. Unanimidad de votos. Ponente: Clementina Ramírez Moguel </w:t>
      </w:r>
      <w:proofErr w:type="spellStart"/>
      <w:r w:rsidRPr="007B5359">
        <w:rPr>
          <w:rFonts w:ascii="Palatino Linotype" w:hAnsi="Palatino Linotype" w:cs="Arial"/>
          <w:i/>
        </w:rPr>
        <w:t>Goyzueta</w:t>
      </w:r>
      <w:proofErr w:type="spellEnd"/>
      <w:r w:rsidRPr="007B5359">
        <w:rPr>
          <w:rFonts w:ascii="Palatino Linotype" w:hAnsi="Palatino Linotype" w:cs="Arial"/>
          <w:i/>
        </w:rPr>
        <w:t>. Secretario: Gonzalo Carrera Molina.</w:t>
      </w:r>
    </w:p>
    <w:p w:rsidR="005E22B0" w:rsidRPr="007B5359" w:rsidRDefault="005E22B0" w:rsidP="005E22B0">
      <w:pPr>
        <w:spacing w:line="360" w:lineRule="auto"/>
        <w:ind w:left="567" w:right="618"/>
        <w:contextualSpacing/>
        <w:jc w:val="both"/>
        <w:rPr>
          <w:rFonts w:ascii="Palatino Linotype" w:hAnsi="Palatino Linotype" w:cs="Arial"/>
          <w:i/>
        </w:rPr>
      </w:pPr>
      <w:r w:rsidRPr="007B5359">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7B5359">
        <w:rPr>
          <w:rFonts w:ascii="Palatino Linotype" w:hAnsi="Palatino Linotype" w:cs="Arial"/>
          <w:i/>
        </w:rPr>
        <w:t>Baigts</w:t>
      </w:r>
      <w:proofErr w:type="spellEnd"/>
      <w:r w:rsidRPr="007B5359">
        <w:rPr>
          <w:rFonts w:ascii="Palatino Linotype" w:hAnsi="Palatino Linotype" w:cs="Arial"/>
          <w:i/>
        </w:rPr>
        <w:t xml:space="preserve"> Muñoz.</w:t>
      </w:r>
      <w:r w:rsidRPr="007B5359">
        <w:rPr>
          <w:rFonts w:ascii="Palatino Linotype" w:hAnsi="Palatino Linotype" w:cs="Arial"/>
          <w:i/>
          <w:vertAlign w:val="superscript"/>
        </w:rPr>
        <w:footnoteReference w:id="12"/>
      </w:r>
    </w:p>
    <w:p w:rsidR="005E22B0" w:rsidRPr="007B5359" w:rsidRDefault="005E22B0" w:rsidP="005E22B0">
      <w:pPr>
        <w:spacing w:line="360" w:lineRule="auto"/>
        <w:ind w:left="567"/>
        <w:contextualSpacing/>
        <w:jc w:val="both"/>
        <w:rPr>
          <w:rFonts w:ascii="Palatino Linotype" w:hAnsi="Palatino Linotype" w:cs="Arial"/>
          <w:lang w:val="es-ES"/>
        </w:rPr>
      </w:pPr>
    </w:p>
    <w:p w:rsidR="005E22B0" w:rsidRPr="007B5359" w:rsidRDefault="005E22B0" w:rsidP="005E22B0">
      <w:pPr>
        <w:numPr>
          <w:ilvl w:val="0"/>
          <w:numId w:val="18"/>
        </w:numPr>
        <w:shd w:val="clear" w:color="auto" w:fill="FFFFFF"/>
        <w:spacing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E22B0" w:rsidRPr="007B5359" w:rsidRDefault="005E22B0" w:rsidP="005E22B0">
      <w:pPr>
        <w:shd w:val="clear" w:color="auto" w:fill="FFFFFF"/>
        <w:spacing w:line="360" w:lineRule="auto"/>
        <w:contextualSpacing/>
        <w:jc w:val="both"/>
        <w:rPr>
          <w:rFonts w:ascii="Palatino Linotype" w:eastAsia="Times New Roman" w:hAnsi="Palatino Linotype" w:cs="Arial"/>
          <w:lang w:eastAsia="es-MX"/>
        </w:rPr>
      </w:pPr>
    </w:p>
    <w:p w:rsidR="005E22B0" w:rsidRPr="007B5359" w:rsidRDefault="005E22B0" w:rsidP="005E22B0">
      <w:pPr>
        <w:numPr>
          <w:ilvl w:val="0"/>
          <w:numId w:val="18"/>
        </w:numPr>
        <w:shd w:val="clear" w:color="auto" w:fill="FFFFFF"/>
        <w:spacing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5E22B0" w:rsidRPr="007B5359" w:rsidRDefault="005E22B0" w:rsidP="005E22B0">
      <w:pPr>
        <w:shd w:val="clear" w:color="auto" w:fill="FFFFFF"/>
        <w:spacing w:line="360" w:lineRule="auto"/>
        <w:contextualSpacing/>
        <w:jc w:val="both"/>
        <w:rPr>
          <w:rFonts w:ascii="Palatino Linotype" w:eastAsia="Times New Roman" w:hAnsi="Palatino Linotype" w:cs="Arial"/>
          <w:lang w:eastAsia="es-MX"/>
        </w:rPr>
      </w:pPr>
    </w:p>
    <w:p w:rsidR="005E22B0" w:rsidRPr="007B5359" w:rsidRDefault="005E22B0" w:rsidP="005E22B0">
      <w:pPr>
        <w:numPr>
          <w:ilvl w:val="0"/>
          <w:numId w:val="18"/>
        </w:numPr>
        <w:shd w:val="clear" w:color="auto" w:fill="FFFFFF"/>
        <w:spacing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5E22B0" w:rsidRPr="007B5359" w:rsidRDefault="005E22B0" w:rsidP="005E22B0">
      <w:pPr>
        <w:shd w:val="clear" w:color="auto" w:fill="FFFFFF"/>
        <w:spacing w:after="200" w:line="360" w:lineRule="auto"/>
        <w:contextualSpacing/>
        <w:jc w:val="both"/>
        <w:rPr>
          <w:rFonts w:ascii="Palatino Linotype" w:eastAsia="Times New Roman" w:hAnsi="Palatino Linotype" w:cs="Arial"/>
          <w:lang w:eastAsia="es-MX"/>
        </w:rPr>
      </w:pPr>
    </w:p>
    <w:p w:rsidR="005E22B0" w:rsidRPr="007B5359" w:rsidRDefault="005E22B0" w:rsidP="005E22B0">
      <w:pPr>
        <w:numPr>
          <w:ilvl w:val="0"/>
          <w:numId w:val="18"/>
        </w:numPr>
        <w:shd w:val="clear" w:color="auto" w:fill="FFFFFF"/>
        <w:spacing w:after="200"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B5359">
        <w:rPr>
          <w:rFonts w:ascii="Palatino Linotype" w:hAnsi="Palatino Linotype"/>
        </w:rPr>
        <w:t xml:space="preserve"> </w:t>
      </w:r>
      <w:r w:rsidRPr="007B5359">
        <w:rPr>
          <w:rFonts w:ascii="Palatino Linotype" w:eastAsia="Times New Roman" w:hAnsi="Palatino Linotype" w:cs="Arial"/>
          <w:lang w:eastAsia="es-MX"/>
        </w:rPr>
        <w:t>datos personales</w:t>
      </w:r>
      <w:r w:rsidRPr="007B5359">
        <w:rPr>
          <w:rFonts w:ascii="Palatino Linotype" w:eastAsia="Times New Roman" w:hAnsi="Palatino Linotype" w:cs="Arial"/>
          <w:vertAlign w:val="superscript"/>
          <w:lang w:eastAsia="es-MX"/>
        </w:rPr>
        <w:footnoteReference w:id="13"/>
      </w:r>
      <w:r w:rsidRPr="007B5359">
        <w:rPr>
          <w:rFonts w:ascii="Palatino Linotype" w:eastAsia="Times New Roman" w:hAnsi="Palatino Linotype" w:cs="Arial"/>
          <w:lang w:eastAsia="es-MX"/>
        </w:rPr>
        <w:t xml:space="preserve"> del servidor público que no tienen ninguna injerencia en el tema de la transparencia y la rendición de cuentas,  </w:t>
      </w:r>
      <w:r w:rsidRPr="007B5359">
        <w:rPr>
          <w:rFonts w:ascii="Palatino Linotype" w:eastAsia="Times New Roman" w:hAnsi="Palatino Linotype" w:cs="Arial"/>
          <w:b/>
          <w:lang w:eastAsia="es-MX"/>
        </w:rPr>
        <w:t>por ejemplo</w:t>
      </w:r>
      <w:r w:rsidRPr="007B5359">
        <w:rPr>
          <w:rFonts w:ascii="Palatino Linotype" w:eastAsia="Times New Roman" w:hAnsi="Palatino Linotype" w:cs="Arial"/>
          <w:lang w:eastAsia="es-MX"/>
        </w:rPr>
        <w:t xml:space="preserve">, </w:t>
      </w:r>
      <w:r w:rsidRPr="007B5359">
        <w:rPr>
          <w:rFonts w:ascii="Palatino Linotype" w:eastAsia="Calibri" w:hAnsi="Palatino Linotype" w:cs="Arial"/>
          <w:lang w:val="es-ES" w:eastAsia="es-MX"/>
        </w:rPr>
        <w:t xml:space="preserve">Clave Única de Registro de Población (CURP), Registro Federal de Contribuyentes (R.F.C. solo tratándose de aquellas </w:t>
      </w:r>
      <w:r w:rsidRPr="007B5359">
        <w:rPr>
          <w:rFonts w:ascii="Palatino Linotype" w:eastAsia="Calibri" w:hAnsi="Palatino Linotype" w:cs="Arial"/>
          <w:lang w:val="es-ES" w:eastAsia="es-MX"/>
        </w:rPr>
        <w:lastRenderedPageBreak/>
        <w:t xml:space="preserve">personas físicas que no reciben recursos públicos), clave de ISSEMYM, número de cuenta (solo de personas físicas), estos son datos susceptibles de clasificarse como confidenciales mediante una versión pública que deje a la vista los datos que ofrezcan la información requerida.  </w:t>
      </w:r>
    </w:p>
    <w:p w:rsidR="005E22B0" w:rsidRPr="007B5359" w:rsidRDefault="005E22B0" w:rsidP="005E22B0">
      <w:pPr>
        <w:shd w:val="clear" w:color="auto" w:fill="FFFFFF"/>
        <w:spacing w:after="200" w:line="360" w:lineRule="auto"/>
        <w:contextualSpacing/>
        <w:jc w:val="both"/>
        <w:rPr>
          <w:rFonts w:ascii="Palatino Linotype" w:eastAsia="Calibri" w:hAnsi="Palatino Linotype" w:cs="Arial"/>
          <w:lang w:val="es-ES" w:eastAsia="es-MX"/>
        </w:rPr>
      </w:pPr>
    </w:p>
    <w:p w:rsidR="005E22B0" w:rsidRPr="007B5359" w:rsidRDefault="005E22B0" w:rsidP="005E22B0">
      <w:pPr>
        <w:numPr>
          <w:ilvl w:val="0"/>
          <w:numId w:val="18"/>
        </w:numPr>
        <w:shd w:val="clear" w:color="auto" w:fill="FFFFFF"/>
        <w:spacing w:after="200" w:line="360" w:lineRule="auto"/>
        <w:ind w:left="0" w:firstLine="0"/>
        <w:contextualSpacing/>
        <w:jc w:val="both"/>
        <w:rPr>
          <w:rFonts w:ascii="Palatino Linotype" w:eastAsia="Calibri" w:hAnsi="Palatino Linotype" w:cs="Arial"/>
          <w:lang w:val="es-ES" w:eastAsia="es-MX"/>
        </w:rPr>
      </w:pPr>
      <w:r w:rsidRPr="007B5359">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5E22B0" w:rsidRPr="007B5359" w:rsidRDefault="005E22B0" w:rsidP="005E22B0">
      <w:pPr>
        <w:spacing w:line="360" w:lineRule="auto"/>
        <w:contextualSpacing/>
        <w:jc w:val="both"/>
        <w:rPr>
          <w:rFonts w:ascii="Palatino Linotype" w:hAnsi="Palatino Linotype" w:cs="Arial"/>
        </w:rPr>
      </w:pPr>
    </w:p>
    <w:p w:rsidR="005E22B0" w:rsidRPr="007B5359" w:rsidRDefault="005E22B0" w:rsidP="005E22B0">
      <w:pPr>
        <w:rPr>
          <w:rFonts w:ascii="Palatino Linotype" w:eastAsiaTheme="majorEastAsia" w:hAnsi="Palatino Linotype" w:cstheme="majorBidi"/>
          <w:b/>
        </w:rPr>
      </w:pPr>
      <w:bookmarkStart w:id="56" w:name="_Toc485631706"/>
      <w:bookmarkStart w:id="57" w:name="_Toc500756716"/>
      <w:bookmarkStart w:id="58" w:name="_Toc536691784"/>
      <w:bookmarkStart w:id="59" w:name="_Toc2267547"/>
      <w:bookmarkStart w:id="60" w:name="_Toc2856720"/>
      <w:r w:rsidRPr="007B5359">
        <w:rPr>
          <w:rFonts w:ascii="Palatino Linotype" w:eastAsiaTheme="majorEastAsia" w:hAnsi="Palatino Linotype" w:cstheme="majorBidi"/>
          <w:b/>
        </w:rPr>
        <w:t>III. Condiciones especiales de la clasificación de la información como reservada</w:t>
      </w:r>
      <w:bookmarkEnd w:id="56"/>
      <w:bookmarkEnd w:id="57"/>
      <w:bookmarkEnd w:id="58"/>
      <w:bookmarkEnd w:id="59"/>
      <w:bookmarkEnd w:id="60"/>
      <w:r w:rsidRPr="007B5359">
        <w:rPr>
          <w:rFonts w:ascii="Palatino Linotype" w:eastAsiaTheme="majorEastAsia" w:hAnsi="Palatino Linotype" w:cstheme="majorBidi"/>
          <w:b/>
        </w:rPr>
        <w:t xml:space="preserve"> </w:t>
      </w:r>
    </w:p>
    <w:p w:rsidR="005E22B0" w:rsidRPr="007B5359" w:rsidRDefault="005E22B0" w:rsidP="005E22B0">
      <w:pPr>
        <w:spacing w:line="360" w:lineRule="auto"/>
        <w:contextualSpacing/>
        <w:jc w:val="both"/>
        <w:rPr>
          <w:rFonts w:ascii="Palatino Linotype" w:hAnsi="Palatino Linotype" w:cs="Arial"/>
          <w:b/>
        </w:rPr>
      </w:pPr>
    </w:p>
    <w:p w:rsidR="005E22B0" w:rsidRPr="007B5359" w:rsidRDefault="005E22B0" w:rsidP="005E22B0">
      <w:pPr>
        <w:rPr>
          <w:rFonts w:ascii="Palatino Linotype" w:eastAsiaTheme="majorEastAsia" w:hAnsi="Palatino Linotype" w:cstheme="majorBidi"/>
          <w:b/>
        </w:rPr>
      </w:pPr>
      <w:bookmarkStart w:id="61" w:name="_Toc485631707"/>
      <w:bookmarkStart w:id="62" w:name="_Toc500756717"/>
      <w:bookmarkStart w:id="63" w:name="_Toc536691785"/>
      <w:bookmarkStart w:id="64" w:name="_Toc2267548"/>
      <w:bookmarkStart w:id="65" w:name="_Toc2856721"/>
      <w:r w:rsidRPr="007B5359">
        <w:rPr>
          <w:rFonts w:ascii="Palatino Linotype" w:eastAsiaTheme="majorEastAsia" w:hAnsi="Palatino Linotype" w:cstheme="majorBidi"/>
          <w:b/>
        </w:rPr>
        <w:t>La fundamentación específica.</w:t>
      </w:r>
      <w:bookmarkEnd w:id="61"/>
      <w:bookmarkEnd w:id="62"/>
      <w:bookmarkEnd w:id="63"/>
      <w:bookmarkEnd w:id="64"/>
      <w:bookmarkEnd w:id="65"/>
    </w:p>
    <w:p w:rsidR="00451F9B" w:rsidRPr="007B5359" w:rsidRDefault="00451F9B" w:rsidP="005E22B0">
      <w:pPr>
        <w:rPr>
          <w:rFonts w:ascii="Palatino Linotype" w:eastAsiaTheme="majorEastAsia" w:hAnsi="Palatino Linotype" w:cstheme="majorBidi"/>
          <w:b/>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cs="Arial"/>
        </w:rPr>
      </w:pPr>
      <w:r w:rsidRPr="007B5359">
        <w:rPr>
          <w:rFonts w:ascii="Palatino Linotype" w:hAnsi="Palatino Linotype" w:cs="Arial"/>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7B5359">
        <w:rPr>
          <w:rFonts w:ascii="Palatino Linotype" w:hAnsi="Palatino Linotype" w:cs="Arial"/>
        </w:rPr>
        <w:t>autoreferencial</w:t>
      </w:r>
      <w:proofErr w:type="spellEnd"/>
      <w:r w:rsidRPr="007B5359">
        <w:rPr>
          <w:rFonts w:ascii="Palatino Linotype" w:hAnsi="Palatino Linotype" w:cs="Arial"/>
        </w:rPr>
        <w:t xml:space="preserve"> en el que primero se dice algo, después se dice lo mismo y al final exactamente lo mismo, cambiando sólo el orden de las palabras.</w:t>
      </w:r>
    </w:p>
    <w:p w:rsidR="005E22B0" w:rsidRPr="007B5359" w:rsidRDefault="005E22B0" w:rsidP="005E22B0">
      <w:pPr>
        <w:spacing w:line="360" w:lineRule="auto"/>
        <w:contextualSpacing/>
        <w:jc w:val="both"/>
        <w:rPr>
          <w:rFonts w:ascii="Palatino Linotype" w:hAnsi="Palatino Linotype" w:cs="Arial"/>
          <w:b/>
        </w:rPr>
      </w:pPr>
    </w:p>
    <w:p w:rsidR="005E22B0" w:rsidRPr="007B5359" w:rsidRDefault="005E22B0" w:rsidP="003D5BEA">
      <w:pPr>
        <w:pStyle w:val="Prrafodelista"/>
        <w:numPr>
          <w:ilvl w:val="3"/>
          <w:numId w:val="18"/>
        </w:numPr>
        <w:ind w:left="851"/>
        <w:rPr>
          <w:rFonts w:ascii="Palatino Linotype" w:eastAsiaTheme="majorEastAsia" w:hAnsi="Palatino Linotype" w:cstheme="majorBidi"/>
          <w:b/>
        </w:rPr>
      </w:pPr>
      <w:bookmarkStart w:id="66" w:name="_Toc485631708"/>
      <w:bookmarkStart w:id="67" w:name="_Toc500756718"/>
      <w:bookmarkStart w:id="68" w:name="_Toc536691786"/>
      <w:bookmarkStart w:id="69" w:name="_Toc2267549"/>
      <w:bookmarkStart w:id="70" w:name="_Toc2856722"/>
      <w:r w:rsidRPr="007B5359">
        <w:rPr>
          <w:rFonts w:ascii="Palatino Linotype" w:eastAsiaTheme="majorEastAsia" w:hAnsi="Palatino Linotype" w:cstheme="majorBidi"/>
          <w:b/>
        </w:rPr>
        <w:lastRenderedPageBreak/>
        <w:t>La prueba de daño.</w:t>
      </w:r>
      <w:bookmarkEnd w:id="66"/>
      <w:bookmarkEnd w:id="67"/>
      <w:bookmarkEnd w:id="68"/>
      <w:bookmarkEnd w:id="69"/>
      <w:bookmarkEnd w:id="70"/>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 xml:space="preserve">Para aplicar la prueba de daño, se deberán de precisar </w:t>
      </w:r>
      <w:proofErr w:type="gramStart"/>
      <w:r w:rsidRPr="007B5359">
        <w:rPr>
          <w:rFonts w:ascii="Palatino Linotype" w:hAnsi="Palatino Linotype"/>
        </w:rPr>
        <w:t>la razones objetivas</w:t>
      </w:r>
      <w:proofErr w:type="gramEnd"/>
      <w:r w:rsidRPr="007B5359">
        <w:rPr>
          <w:rFonts w:ascii="Palatino Linotype" w:hAnsi="Palatino Linotype"/>
        </w:rPr>
        <w:t xml:space="preserve"> por las que la apertura genera una afectación, acreditando que:</w:t>
      </w:r>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i/>
        </w:rPr>
      </w:pPr>
      <w:r w:rsidRPr="007B5359">
        <w:rPr>
          <w:rFonts w:ascii="Palatino Linotype" w:hAnsi="Palatino Linotype" w:cs="Bookman Old Style"/>
          <w:bCs/>
          <w:i/>
        </w:rPr>
        <w:t xml:space="preserve">I. </w:t>
      </w:r>
      <w:r w:rsidRPr="007B5359">
        <w:rPr>
          <w:rFonts w:ascii="Palatino Linotype" w:hAnsi="Palatino Linotype" w:cs="Bookman Old Style"/>
          <w:i/>
        </w:rPr>
        <w:t xml:space="preserve">La divulgación de la información representa un riesgo real, demostrable e identificable del perjuicio significativo al interés público o a la seguridad pública; </w:t>
      </w: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i/>
        </w:rPr>
      </w:pPr>
      <w:r w:rsidRPr="007B5359">
        <w:rPr>
          <w:rFonts w:ascii="Palatino Linotype" w:hAnsi="Palatino Linotype" w:cs="Bookman Old Style"/>
          <w:bCs/>
          <w:i/>
        </w:rPr>
        <w:t xml:space="preserve">II. </w:t>
      </w:r>
      <w:r w:rsidRPr="007B5359">
        <w:rPr>
          <w:rFonts w:ascii="Palatino Linotype" w:hAnsi="Palatino Linotype" w:cs="Bookman Old Style"/>
          <w:i/>
        </w:rPr>
        <w:t xml:space="preserve">El riesgo de perjuicio que supondría la divulgación supera el interés público general de que se difunda; y </w:t>
      </w:r>
    </w:p>
    <w:p w:rsidR="005E22B0" w:rsidRPr="007B5359" w:rsidRDefault="005E22B0" w:rsidP="005E22B0">
      <w:pPr>
        <w:widowControl w:val="0"/>
        <w:autoSpaceDE w:val="0"/>
        <w:autoSpaceDN w:val="0"/>
        <w:adjustRightInd w:val="0"/>
        <w:spacing w:after="240" w:line="360" w:lineRule="auto"/>
        <w:ind w:left="567" w:right="616"/>
        <w:jc w:val="both"/>
        <w:rPr>
          <w:rFonts w:ascii="Palatino Linotype" w:hAnsi="Palatino Linotype" w:cs="Times"/>
          <w:i/>
        </w:rPr>
      </w:pPr>
      <w:r w:rsidRPr="007B5359">
        <w:rPr>
          <w:rFonts w:ascii="Palatino Linotype" w:hAnsi="Palatino Linotype" w:cs="Bookman Old Style"/>
          <w:bCs/>
          <w:i/>
        </w:rPr>
        <w:t xml:space="preserve">III. </w:t>
      </w:r>
      <w:r w:rsidRPr="007B5359">
        <w:rPr>
          <w:rFonts w:ascii="Palatino Linotype" w:hAnsi="Palatino Linotype" w:cs="Bookman Old Style"/>
          <w:i/>
        </w:rPr>
        <w:t xml:space="preserve">La limitación se adecua al principio de proporcionalidad y representa el medio menos restrictivo disponible para evitar el perjuicio. </w:t>
      </w:r>
    </w:p>
    <w:p w:rsidR="003D5BEA" w:rsidRPr="007B5359" w:rsidRDefault="005E22B0" w:rsidP="003D5BEA">
      <w:pPr>
        <w:numPr>
          <w:ilvl w:val="0"/>
          <w:numId w:val="18"/>
        </w:numPr>
        <w:shd w:val="clear" w:color="auto" w:fill="FFFFFF"/>
        <w:suppressAutoHyphens/>
        <w:spacing w:before="100" w:beforeAutospacing="1" w:after="100" w:afterAutospacing="1" w:line="360" w:lineRule="auto"/>
        <w:ind w:left="0" w:firstLine="0"/>
        <w:jc w:val="both"/>
        <w:textAlignment w:val="baseline"/>
        <w:rPr>
          <w:rFonts w:ascii="Palatino Linotype" w:hAnsi="Palatino Linotype" w:cs="Times New Roman"/>
          <w:lang w:eastAsia="es-ES_tradnl"/>
        </w:rPr>
      </w:pPr>
      <w:r w:rsidRPr="007B5359">
        <w:rPr>
          <w:rFonts w:ascii="Palatino Linotype" w:hAnsi="Palatino Linotype" w:cs="Times New Roman"/>
          <w:lang w:eastAsia="es-ES_tradnl"/>
        </w:rPr>
        <w:lastRenderedPageBreak/>
        <w:t>Sobre el primer supuesto consideremos que según el diccionario del español jurídico, por riesgo podemos entender “la contingencia o proximidad de un daño”,</w:t>
      </w:r>
      <w:r w:rsidRPr="007B5359">
        <w:rPr>
          <w:rFonts w:ascii="Palatino Linotype" w:hAnsi="Palatino Linotype" w:cs="Times New Roman"/>
          <w:vertAlign w:val="superscript"/>
          <w:lang w:eastAsia="es-ES_tradnl"/>
        </w:rPr>
        <w:footnoteReference w:id="14"/>
      </w:r>
      <w:r w:rsidRPr="007B5359">
        <w:rPr>
          <w:rFonts w:ascii="Palatino Linotype" w:hAnsi="Palatino Linotype" w:cs="Times New Roman"/>
          <w:lang w:eastAsia="es-ES_tradnl"/>
        </w:rPr>
        <w:t xml:space="preserve"> mientras que el daño es considerado como un “perjuicio o lesión”</w:t>
      </w:r>
      <w:r w:rsidRPr="007B5359">
        <w:rPr>
          <w:rFonts w:ascii="Palatino Linotype" w:hAnsi="Palatino Linotype" w:cs="Times New Roman"/>
          <w:vertAlign w:val="superscript"/>
          <w:lang w:eastAsia="es-ES_tradnl"/>
        </w:rPr>
        <w:footnoteReference w:id="15"/>
      </w:r>
      <w:r w:rsidRPr="007B5359">
        <w:rPr>
          <w:rFonts w:ascii="Palatino Linotype" w:hAnsi="Palatino Linotype" w:cs="Times New Roman"/>
          <w:lang w:eastAsia="es-ES_tradnl"/>
        </w:rPr>
        <w:t>, mientras que según el Diccionario de la Lengua Española, lo real es</w:t>
      </w:r>
      <w:r w:rsidRPr="007B5359">
        <w:rPr>
          <w:rFonts w:ascii="Palatino Linotype" w:eastAsia="Arial Unicode MS" w:hAnsi="Palatino Linotype" w:cs="Arial Unicode MS"/>
          <w:spacing w:val="4"/>
          <w:shd w:val="clear" w:color="auto" w:fill="FFFFFF"/>
          <w:lang w:eastAsia="es-ES_tradnl"/>
        </w:rPr>
        <w:t xml:space="preserve"> lo “</w:t>
      </w:r>
      <w:r w:rsidRPr="007B5359">
        <w:rPr>
          <w:rFonts w:ascii="Palatino Linotype" w:eastAsia="Times New Roman" w:hAnsi="Palatino Linotype" w:cs="Times New Roman"/>
          <w:lang w:eastAsia="es-ES_tradnl"/>
        </w:rPr>
        <w:t>(que</w:t>
      </w:r>
      <w:r w:rsidRPr="007B5359">
        <w:rPr>
          <w:rFonts w:ascii="Palatino Linotype" w:eastAsia="Arial Unicode MS" w:hAnsi="Palatino Linotype" w:cs="Arial Unicode MS"/>
          <w:spacing w:val="4"/>
          <w:shd w:val="clear" w:color="auto" w:fill="FFFFFF"/>
          <w:lang w:eastAsia="es-ES_tradnl"/>
        </w:rPr>
        <w:t xml:space="preserve"> </w:t>
      </w:r>
      <w:r w:rsidRPr="007B5359">
        <w:rPr>
          <w:rFonts w:ascii="Palatino Linotype" w:eastAsia="Times New Roman" w:hAnsi="Palatino Linotype" w:cs="Times New Roman"/>
          <w:lang w:eastAsia="es-ES_tradnl"/>
        </w:rPr>
        <w:t>tiene</w:t>
      </w:r>
      <w:r w:rsidRPr="007B5359">
        <w:rPr>
          <w:rFonts w:ascii="Palatino Linotype" w:eastAsia="Arial Unicode MS" w:hAnsi="Palatino Linotype" w:cs="Arial Unicode MS"/>
          <w:spacing w:val="4"/>
          <w:shd w:val="clear" w:color="auto" w:fill="FFFFFF"/>
          <w:lang w:eastAsia="es-ES_tradnl"/>
        </w:rPr>
        <w:t xml:space="preserve"> </w:t>
      </w:r>
      <w:r w:rsidRPr="007B5359">
        <w:rPr>
          <w:rFonts w:ascii="Palatino Linotype" w:eastAsia="Times New Roman" w:hAnsi="Palatino Linotype" w:cs="Times New Roman"/>
          <w:lang w:eastAsia="es-ES_tradnl"/>
        </w:rPr>
        <w:t>existencia</w:t>
      </w:r>
      <w:r w:rsidRPr="007B5359">
        <w:rPr>
          <w:rFonts w:ascii="Palatino Linotype" w:eastAsia="Arial Unicode MS" w:hAnsi="Palatino Linotype" w:cs="Arial Unicode MS"/>
          <w:spacing w:val="4"/>
          <w:shd w:val="clear" w:color="auto" w:fill="FFFFFF"/>
          <w:lang w:eastAsia="es-ES_tradnl"/>
        </w:rPr>
        <w:t xml:space="preserve"> </w:t>
      </w:r>
      <w:r w:rsidRPr="007B5359">
        <w:rPr>
          <w:rFonts w:ascii="Palatino Linotype" w:eastAsia="Times New Roman" w:hAnsi="Palatino Linotype" w:cs="Times New Roman"/>
          <w:lang w:eastAsia="es-ES_tradnl"/>
        </w:rPr>
        <w:t>objetiva”,</w:t>
      </w:r>
      <w:r w:rsidRPr="007B5359">
        <w:rPr>
          <w:rFonts w:ascii="Palatino Linotype" w:eastAsia="Times New Roman" w:hAnsi="Palatino Linotype" w:cs="Times New Roman"/>
          <w:vertAlign w:val="superscript"/>
          <w:lang w:eastAsia="es-ES_tradnl"/>
        </w:rPr>
        <w:footnoteReference w:id="16"/>
      </w:r>
      <w:r w:rsidRPr="007B5359">
        <w:rPr>
          <w:rFonts w:ascii="Palatino Linotype" w:eastAsia="Times New Roman" w:hAnsi="Palatino Linotype" w:cs="Times New Roman"/>
          <w:lang w:eastAsia="es-ES_tradnl"/>
        </w:rPr>
        <w:t xml:space="preserve"> </w:t>
      </w:r>
      <w:r w:rsidRPr="007B5359">
        <w:rPr>
          <w:rFonts w:ascii="Palatino Linotype" w:eastAsia="Arial Unicode MS" w:hAnsi="Palatino Linotype" w:cs="Arial Unicode MS"/>
          <w:spacing w:val="4"/>
          <w:shd w:val="clear" w:color="auto" w:fill="FFFFFF"/>
          <w:lang w:eastAsia="es-ES_tradnl"/>
        </w:rPr>
        <w:t>mientras que lo demostrables es, según la misma fuente, aquello que se puede demostrar,</w:t>
      </w:r>
      <w:r w:rsidRPr="007B5359">
        <w:rPr>
          <w:rFonts w:ascii="Palatino Linotype" w:eastAsia="Arial Unicode MS" w:hAnsi="Palatino Linotype" w:cs="Arial Unicode MS"/>
          <w:spacing w:val="4"/>
          <w:shd w:val="clear" w:color="auto" w:fill="FFFFFF"/>
          <w:vertAlign w:val="superscript"/>
          <w:lang w:eastAsia="es-ES_tradnl"/>
        </w:rPr>
        <w:footnoteReference w:id="17"/>
      </w:r>
      <w:r w:rsidRPr="007B5359">
        <w:rPr>
          <w:rFonts w:ascii="Palatino Linotype" w:eastAsia="Arial Unicode MS" w:hAnsi="Palatino Linotype" w:cs="Arial Unicode MS"/>
          <w:spacing w:val="4"/>
          <w:shd w:val="clear" w:color="auto" w:fill="FFFFFF"/>
          <w:lang w:eastAsia="es-ES_tradnl"/>
        </w:rPr>
        <w:t xml:space="preserve"> es decir, </w:t>
      </w:r>
      <w:r w:rsidRPr="007B5359">
        <w:rPr>
          <w:rFonts w:ascii="Palatino Linotype" w:hAnsi="Palatino Linotype"/>
        </w:rPr>
        <w:t xml:space="preserve">“(manifestar, declarar. Probar, sirviéndose de cualquier género de demostración, </w:t>
      </w:r>
      <w:hyperlink r:id="rId12" w:anchor="6nAyKjE" w:history="1">
        <w:r w:rsidRPr="007B5359">
          <w:rPr>
            <w:rFonts w:ascii="Palatino Linotype" w:hAnsi="Palatino Linotype"/>
          </w:rPr>
          <w:t>enseñar</w:t>
        </w:r>
      </w:hyperlink>
      <w:r w:rsidRPr="007B5359">
        <w:rPr>
          <w:rFonts w:ascii="Palatino Linotype" w:hAnsi="Palatino Linotype"/>
        </w:rPr>
        <w:t xml:space="preserve"> mostrar o exponer algo)”.</w:t>
      </w:r>
      <w:r w:rsidRPr="007B5359">
        <w:rPr>
          <w:rFonts w:ascii="Palatino Linotype" w:hAnsi="Palatino Linotype"/>
          <w:vertAlign w:val="superscript"/>
        </w:rPr>
        <w:footnoteReference w:id="18"/>
      </w:r>
      <w:r w:rsidRPr="007B5359">
        <w:rPr>
          <w:rFonts w:ascii="Palatino Linotype" w:hAnsi="Palatino Linotype"/>
        </w:rPr>
        <w:t xml:space="preserve"> Mientras que lo identificable es lo que puede ser identificado,</w:t>
      </w:r>
      <w:r w:rsidRPr="007B5359">
        <w:rPr>
          <w:rFonts w:ascii="Palatino Linotype" w:hAnsi="Palatino Linotype"/>
          <w:vertAlign w:val="superscript"/>
        </w:rPr>
        <w:footnoteReference w:id="19"/>
      </w:r>
      <w:r w:rsidRPr="007B5359">
        <w:rPr>
          <w:rFonts w:ascii="Palatino Linotype" w:hAnsi="Palatino Linotype"/>
        </w:rPr>
        <w:t xml:space="preserve"> esto es,</w:t>
      </w:r>
      <w:r w:rsidRPr="007B5359">
        <w:rPr>
          <w:rFonts w:ascii="Palatino Linotype" w:hAnsi="Palatino Linotype"/>
          <w:lang w:eastAsia="es-ES_tradnl"/>
        </w:rPr>
        <w:t xml:space="preserve"> “(dar los datos necesarios para ser reconocido”.</w:t>
      </w:r>
      <w:r w:rsidRPr="007B5359">
        <w:rPr>
          <w:rFonts w:ascii="Palatino Linotype" w:hAnsi="Palatino Linotype"/>
          <w:vertAlign w:val="superscript"/>
          <w:lang w:eastAsia="es-ES_tradnl"/>
        </w:rPr>
        <w:footnoteReference w:id="20"/>
      </w:r>
    </w:p>
    <w:p w:rsidR="003D5BEA" w:rsidRPr="007B5359" w:rsidRDefault="003D5BEA" w:rsidP="003D5BEA">
      <w:pPr>
        <w:shd w:val="clear" w:color="auto" w:fill="FFFFFF"/>
        <w:suppressAutoHyphens/>
        <w:spacing w:before="100" w:beforeAutospacing="1" w:after="100" w:afterAutospacing="1" w:line="360" w:lineRule="auto"/>
        <w:jc w:val="both"/>
        <w:textAlignment w:val="baseline"/>
        <w:rPr>
          <w:rFonts w:ascii="Palatino Linotype" w:hAnsi="Palatino Linotype" w:cs="Times New Roman"/>
          <w:lang w:eastAsia="es-ES_tradnl"/>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 xml:space="preserve">Identificado ese riesgo, se debe demostrar que el mismo supera el interés público general porque se difunda dicha información. </w:t>
      </w:r>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lastRenderedPageBreak/>
        <w:t>Y, por último,  que la limitación es acorde con el principio de proporcionalidad, para ello, se sugiere emplear los tres juicios propuestos por la Corte Constitucional Colombiana</w:t>
      </w:r>
      <w:r w:rsidRPr="007B5359">
        <w:rPr>
          <w:rFonts w:ascii="Palatino Linotype" w:hAnsi="Palatino Linotype"/>
          <w:vertAlign w:val="superscript"/>
        </w:rPr>
        <w:footnoteReference w:id="21"/>
      </w:r>
      <w:r w:rsidRPr="007B5359">
        <w:rPr>
          <w:rFonts w:ascii="Palatino Linotype" w:hAnsi="Palatino Linotype"/>
        </w:rPr>
        <w:t>, siguiendo el principio de ponderación propuesto por el Tribunal Constitucional Alemán,</w:t>
      </w:r>
      <w:r w:rsidRPr="007B5359">
        <w:rPr>
          <w:rFonts w:ascii="Palatino Linotype" w:hAnsi="Palatino Linotype"/>
          <w:vertAlign w:val="superscript"/>
        </w:rPr>
        <w:footnoteReference w:id="22"/>
      </w:r>
      <w:r w:rsidRPr="007B5359">
        <w:rPr>
          <w:rFonts w:ascii="Palatino Linotype" w:hAnsi="Palatino Linotype"/>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5E22B0" w:rsidRPr="007B5359" w:rsidRDefault="005E22B0" w:rsidP="005E22B0">
      <w:pPr>
        <w:contextualSpacing/>
        <w:rPr>
          <w:rFonts w:ascii="Palatino Linotype" w:hAnsi="Palatino Linotype"/>
        </w:rPr>
      </w:pPr>
    </w:p>
    <w:p w:rsidR="005E22B0" w:rsidRPr="007B5359" w:rsidRDefault="005E22B0" w:rsidP="005E22B0">
      <w:pPr>
        <w:pStyle w:val="Prrafodelista"/>
        <w:keepNext/>
        <w:keepLines/>
        <w:numPr>
          <w:ilvl w:val="0"/>
          <w:numId w:val="28"/>
        </w:numPr>
        <w:pBdr>
          <w:top w:val="nil"/>
          <w:left w:val="nil"/>
          <w:bottom w:val="nil"/>
          <w:right w:val="nil"/>
          <w:between w:val="nil"/>
          <w:bar w:val="nil"/>
        </w:pBdr>
        <w:spacing w:before="240"/>
        <w:ind w:left="0" w:firstLine="0"/>
        <w:rPr>
          <w:rFonts w:ascii="Palatino Linotype" w:eastAsiaTheme="majorEastAsia" w:hAnsi="Palatino Linotype" w:cstheme="majorBidi"/>
          <w:b/>
        </w:rPr>
      </w:pPr>
      <w:bookmarkStart w:id="71" w:name="_Toc485631709"/>
      <w:bookmarkStart w:id="72" w:name="_Toc500756719"/>
      <w:bookmarkStart w:id="73" w:name="_Toc536691787"/>
      <w:bookmarkStart w:id="74" w:name="_Toc2267550"/>
      <w:bookmarkStart w:id="75" w:name="_Toc2856723"/>
      <w:r w:rsidRPr="007B5359">
        <w:rPr>
          <w:rFonts w:ascii="Palatino Linotype" w:eastAsiaTheme="majorEastAsia" w:hAnsi="Palatino Linotype" w:cstheme="majorBidi"/>
          <w:b/>
        </w:rPr>
        <w:t>La clasificación de la información reservada debe ser de manera temporal.</w:t>
      </w:r>
      <w:bookmarkEnd w:id="71"/>
      <w:bookmarkEnd w:id="72"/>
      <w:bookmarkEnd w:id="73"/>
      <w:bookmarkEnd w:id="74"/>
      <w:bookmarkEnd w:id="75"/>
    </w:p>
    <w:p w:rsidR="005E22B0" w:rsidRPr="007B5359" w:rsidRDefault="005E22B0" w:rsidP="005E22B0">
      <w:pPr>
        <w:spacing w:line="360" w:lineRule="auto"/>
        <w:jc w:val="both"/>
        <w:rPr>
          <w:rFonts w:ascii="Palatino Linotype" w:hAnsi="Palatino Linotype"/>
          <w:b/>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 xml:space="preserve">La información que ha sido clasificada como reservada, tiene la cualidad de que esta debe ser de carácter temporal, es decir, no debe perpetuarse o petrificarse </w:t>
      </w:r>
      <w:r w:rsidRPr="007B5359">
        <w:rPr>
          <w:rFonts w:ascii="Palatino Linotype" w:hAnsi="Palatino Linotype"/>
        </w:rPr>
        <w:lastRenderedPageBreak/>
        <w:t>su clasificación y que esto traiga como consecuencia el no acceso a la misma y por tanto pierda en definitiva su calidad de pública.</w:t>
      </w:r>
    </w:p>
    <w:p w:rsidR="005E22B0" w:rsidRPr="007B5359" w:rsidRDefault="005E22B0" w:rsidP="005E22B0">
      <w:pPr>
        <w:spacing w:line="360" w:lineRule="auto"/>
        <w:contextualSpacing/>
        <w:jc w:val="both"/>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5E22B0" w:rsidRPr="007B5359" w:rsidRDefault="005E22B0" w:rsidP="005E22B0">
      <w:pPr>
        <w:contextualSpacing/>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5E22B0" w:rsidRPr="007B5359" w:rsidRDefault="005E22B0" w:rsidP="005E22B0">
      <w:pPr>
        <w:contextualSpacing/>
        <w:rPr>
          <w:rFonts w:ascii="Palatino Linotype" w:hAnsi="Palatino Linotype"/>
          <w:b/>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De</w:t>
      </w:r>
      <w:r w:rsidRPr="007B5359">
        <w:rPr>
          <w:rFonts w:ascii="Palatino Linotype" w:hAnsi="Palatino Linotype"/>
          <w:b/>
        </w:rPr>
        <w:t xml:space="preserve"> </w:t>
      </w:r>
      <w:r w:rsidRPr="007B5359">
        <w:rPr>
          <w:rFonts w:ascii="Palatino Linotype" w:hAnsi="Palatino Linotype"/>
        </w:rPr>
        <w:t xml:space="preserve">manera excepcional los sujetos obligados con la aprobación de su Comité de </w:t>
      </w:r>
      <w:proofErr w:type="gramStart"/>
      <w:r w:rsidRPr="007B5359">
        <w:rPr>
          <w:rFonts w:ascii="Palatino Linotype" w:hAnsi="Palatino Linotype"/>
        </w:rPr>
        <w:t>Transparencia,</w:t>
      </w:r>
      <w:proofErr w:type="gramEnd"/>
      <w:r w:rsidRPr="007B5359">
        <w:rPr>
          <w:rFonts w:ascii="Palatino Linotype" w:hAnsi="Palatino Linotype"/>
        </w:rPr>
        <w:t xml:space="preserve"> podrán ampliar el periodo de reserva hasta por un plazo de cinco años adicionales y por una sola vez, siempre y cuando justifiquen que subsisten las causas que dieron origen a su clasificación, mediante la aplicación de una prueba de daño. </w:t>
      </w:r>
    </w:p>
    <w:p w:rsidR="005E22B0" w:rsidRPr="007B5359" w:rsidRDefault="005E22B0" w:rsidP="005E22B0">
      <w:pPr>
        <w:contextualSpacing/>
        <w:rPr>
          <w:rFonts w:ascii="Palatino Linotype" w:hAnsi="Palatino Linotype"/>
        </w:rPr>
      </w:pPr>
    </w:p>
    <w:p w:rsidR="005E22B0" w:rsidRPr="007B5359" w:rsidRDefault="005E22B0" w:rsidP="005E22B0">
      <w:pPr>
        <w:numPr>
          <w:ilvl w:val="0"/>
          <w:numId w:val="18"/>
        </w:numPr>
        <w:spacing w:after="160" w:line="360" w:lineRule="auto"/>
        <w:ind w:left="0" w:firstLine="0"/>
        <w:contextualSpacing/>
        <w:jc w:val="both"/>
        <w:rPr>
          <w:rFonts w:ascii="Palatino Linotype" w:hAnsi="Palatino Linotype"/>
        </w:rPr>
      </w:pPr>
      <w:r w:rsidRPr="007B5359">
        <w:rPr>
          <w:rFonts w:ascii="Palatino Linotype" w:hAnsi="Palatino Linotype"/>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w:t>
      </w:r>
      <w:r w:rsidRPr="007B5359">
        <w:rPr>
          <w:rFonts w:ascii="Palatino Linotype" w:hAnsi="Palatino Linotype"/>
        </w:rPr>
        <w:lastRenderedPageBreak/>
        <w:t>correspondiente al Instituto, debidamente fundada y motivada, aplicando la prueba de daño y señalando el plazo de reserva, por lo menos con tres meses de anticipación al vencimiento del periodo.</w:t>
      </w:r>
    </w:p>
    <w:p w:rsidR="005E22B0" w:rsidRPr="007B5359" w:rsidRDefault="005E22B0" w:rsidP="005E22B0">
      <w:pPr>
        <w:pStyle w:val="Prrafodelista"/>
        <w:keepNext/>
        <w:keepLines/>
        <w:numPr>
          <w:ilvl w:val="0"/>
          <w:numId w:val="34"/>
        </w:numPr>
        <w:pBdr>
          <w:top w:val="nil"/>
          <w:left w:val="nil"/>
          <w:bottom w:val="nil"/>
          <w:right w:val="nil"/>
          <w:between w:val="nil"/>
          <w:bar w:val="nil"/>
        </w:pBdr>
        <w:spacing w:before="40"/>
        <w:ind w:left="0" w:firstLine="0"/>
        <w:jc w:val="both"/>
        <w:rPr>
          <w:rFonts w:ascii="Palatino Linotype" w:eastAsiaTheme="majorEastAsia" w:hAnsi="Palatino Linotype" w:cstheme="majorBidi"/>
          <w:b/>
        </w:rPr>
      </w:pPr>
      <w:bookmarkStart w:id="76" w:name="_Toc485631710"/>
      <w:bookmarkStart w:id="77" w:name="_Toc500756720"/>
      <w:bookmarkStart w:id="78" w:name="_Toc536691788"/>
      <w:bookmarkStart w:id="79" w:name="_Toc2267551"/>
      <w:bookmarkStart w:id="80" w:name="_Toc2856724"/>
      <w:r w:rsidRPr="007B5359">
        <w:rPr>
          <w:rFonts w:ascii="Palatino Linotype" w:eastAsiaTheme="majorEastAsia" w:hAnsi="Palatino Linotype" w:cstheme="majorBidi"/>
          <w:b/>
        </w:rPr>
        <w:t>Condiciones especiales de la clasificación de la información como confidencial.</w:t>
      </w:r>
      <w:bookmarkEnd w:id="76"/>
      <w:bookmarkEnd w:id="77"/>
      <w:bookmarkEnd w:id="78"/>
      <w:bookmarkEnd w:id="79"/>
      <w:bookmarkEnd w:id="80"/>
    </w:p>
    <w:p w:rsidR="005E22B0" w:rsidRPr="007B5359" w:rsidRDefault="005E22B0" w:rsidP="005E22B0">
      <w:pPr>
        <w:numPr>
          <w:ilvl w:val="0"/>
          <w:numId w:val="18"/>
        </w:numPr>
        <w:shd w:val="clear" w:color="auto" w:fill="FFFFFF"/>
        <w:spacing w:beforeAutospacing="1" w:afterAutospacing="1" w:line="360" w:lineRule="auto"/>
        <w:ind w:left="0" w:firstLine="0"/>
        <w:jc w:val="both"/>
        <w:textAlignment w:val="baseline"/>
        <w:rPr>
          <w:rFonts w:ascii="Palatino Linotype" w:hAnsi="Palatino Linotype"/>
        </w:rPr>
      </w:pPr>
      <w:r w:rsidRPr="007B5359">
        <w:rPr>
          <w:rFonts w:ascii="Palatino Linotype" w:hAnsi="Palatino Linotype"/>
        </w:rPr>
        <w:t xml:space="preserve">Los artículos 148 y 120 de la Ley Estatal y de la Ley General, respectivamente, establecen </w:t>
      </w:r>
      <w:proofErr w:type="gramStart"/>
      <w:r w:rsidRPr="007B5359">
        <w:rPr>
          <w:rFonts w:ascii="Palatino Linotype" w:hAnsi="Palatino Linotype"/>
        </w:rPr>
        <w:t>que</w:t>
      </w:r>
      <w:proofErr w:type="gramEnd"/>
      <w:r w:rsidRPr="007B5359">
        <w:rPr>
          <w:rFonts w:ascii="Palatino Linotype" w:hAnsi="Palatino Linotype"/>
        </w:rPr>
        <w:t xml:space="preserve"> aun tratándose de datos personales, se podrán proporcionar, incluso sin solicitar el consentimiento de su titular, cuando dichos datos correspondan a los siguientes supuestos: </w:t>
      </w:r>
    </w:p>
    <w:p w:rsidR="005E22B0" w:rsidRPr="007B5359" w:rsidRDefault="005E22B0" w:rsidP="005E22B0">
      <w:pPr>
        <w:spacing w:before="100" w:beforeAutospacing="1" w:after="100" w:afterAutospacing="1" w:line="360" w:lineRule="auto"/>
        <w:ind w:left="567" w:right="616"/>
        <w:jc w:val="both"/>
        <w:rPr>
          <w:rFonts w:ascii="Palatino Linotype" w:eastAsia="Times New Roman" w:hAnsi="Palatino Linotype" w:cs="Times New Roman"/>
          <w:bCs/>
          <w:lang w:val="es-ES"/>
        </w:rPr>
      </w:pPr>
      <w:r w:rsidRPr="007B5359">
        <w:rPr>
          <w:rFonts w:ascii="Palatino Linotype" w:eastAsia="Times New Roman" w:hAnsi="Palatino Linotype" w:cs="Times New Roman"/>
          <w:bCs/>
          <w:lang w:val="es-ES"/>
        </w:rPr>
        <w:t>I.</w:t>
      </w:r>
      <w:r w:rsidRPr="007B5359">
        <w:rPr>
          <w:rFonts w:ascii="Palatino Linotype" w:eastAsia="Times New Roman" w:hAnsi="Palatino Linotype" w:cs="Times New Roman"/>
          <w:lang w:val="es-ES"/>
        </w:rPr>
        <w:t xml:space="preserve"> La información se encuentre en registros públicos o fuentes de acceso público;</w:t>
      </w:r>
    </w:p>
    <w:p w:rsidR="005E22B0" w:rsidRPr="007B5359" w:rsidRDefault="005E22B0" w:rsidP="005E22B0">
      <w:pPr>
        <w:spacing w:before="100" w:beforeAutospacing="1" w:after="100" w:afterAutospacing="1" w:line="360" w:lineRule="auto"/>
        <w:ind w:left="567" w:right="616"/>
        <w:jc w:val="both"/>
        <w:rPr>
          <w:rFonts w:ascii="Palatino Linotype" w:eastAsia="Times New Roman" w:hAnsi="Palatino Linotype" w:cs="Times New Roman"/>
          <w:bCs/>
          <w:lang w:val="es-ES"/>
        </w:rPr>
      </w:pPr>
      <w:r w:rsidRPr="007B5359">
        <w:rPr>
          <w:rFonts w:ascii="Palatino Linotype" w:eastAsia="Times New Roman" w:hAnsi="Palatino Linotype" w:cs="Times New Roman"/>
          <w:bCs/>
          <w:lang w:val="es-ES"/>
        </w:rPr>
        <w:t xml:space="preserve">II. </w:t>
      </w:r>
      <w:r w:rsidRPr="007B5359">
        <w:rPr>
          <w:rFonts w:ascii="Palatino Linotype" w:eastAsia="Times New Roman" w:hAnsi="Palatino Linotype" w:cs="Times New Roman"/>
          <w:lang w:val="es-ES"/>
        </w:rPr>
        <w:t>Por Ley tenga el carácter de pública;</w:t>
      </w:r>
    </w:p>
    <w:p w:rsidR="005E22B0" w:rsidRPr="007B5359" w:rsidRDefault="005E22B0" w:rsidP="005E22B0">
      <w:pPr>
        <w:spacing w:before="100" w:beforeAutospacing="1" w:after="100" w:afterAutospacing="1" w:line="360" w:lineRule="auto"/>
        <w:ind w:left="567" w:right="616"/>
        <w:jc w:val="both"/>
        <w:rPr>
          <w:rFonts w:ascii="Palatino Linotype" w:eastAsia="Times New Roman" w:hAnsi="Palatino Linotype" w:cs="Times New Roman"/>
          <w:lang w:val="es-ES"/>
        </w:rPr>
      </w:pPr>
      <w:r w:rsidRPr="007B5359">
        <w:rPr>
          <w:rFonts w:ascii="Palatino Linotype" w:eastAsia="Times New Roman" w:hAnsi="Palatino Linotype" w:cs="Times New Roman"/>
          <w:bCs/>
          <w:lang w:val="es-ES"/>
        </w:rPr>
        <w:t xml:space="preserve">III. </w:t>
      </w:r>
      <w:r w:rsidRPr="007B5359">
        <w:rPr>
          <w:rFonts w:ascii="Palatino Linotype" w:eastAsia="Times New Roman" w:hAnsi="Palatino Linotype" w:cs="Times New Roman"/>
          <w:lang w:val="es-ES"/>
        </w:rPr>
        <w:t xml:space="preserve">Exista una orden judicial; </w:t>
      </w:r>
    </w:p>
    <w:p w:rsidR="005E22B0" w:rsidRPr="007B5359" w:rsidRDefault="005E22B0" w:rsidP="005E22B0">
      <w:pPr>
        <w:spacing w:before="100" w:beforeAutospacing="1" w:after="100" w:afterAutospacing="1" w:line="360" w:lineRule="auto"/>
        <w:ind w:left="567" w:right="616"/>
        <w:jc w:val="both"/>
        <w:rPr>
          <w:rFonts w:ascii="Palatino Linotype" w:eastAsia="Times New Roman" w:hAnsi="Palatino Linotype" w:cs="Times New Roman"/>
          <w:lang w:val="es-ES"/>
        </w:rPr>
      </w:pPr>
      <w:r w:rsidRPr="007B5359">
        <w:rPr>
          <w:rFonts w:ascii="Palatino Linotype" w:eastAsia="Times New Roman" w:hAnsi="Palatino Linotype" w:cs="Times New Roman"/>
          <w:bCs/>
          <w:lang w:val="es-ES"/>
        </w:rPr>
        <w:t xml:space="preserve">IV. </w:t>
      </w:r>
      <w:r w:rsidRPr="007B5359">
        <w:rPr>
          <w:rFonts w:ascii="Palatino Linotype" w:eastAsia="Times New Roman" w:hAnsi="Palatino Linotype" w:cs="Times New Roman"/>
          <w:lang w:val="es-ES"/>
        </w:rPr>
        <w:t xml:space="preserve">Por razones de seguridad pública, o para proteger los derechos de terceros, se requiera su publicación; o </w:t>
      </w:r>
    </w:p>
    <w:p w:rsidR="005E22B0" w:rsidRPr="007B5359" w:rsidRDefault="005E22B0" w:rsidP="005E22B0">
      <w:pPr>
        <w:spacing w:before="100" w:beforeAutospacing="1" w:after="100" w:afterAutospacing="1" w:line="360" w:lineRule="auto"/>
        <w:ind w:left="567" w:right="616"/>
        <w:jc w:val="both"/>
        <w:rPr>
          <w:rFonts w:ascii="Palatino Linotype" w:eastAsia="Times New Roman" w:hAnsi="Palatino Linotype" w:cs="Times New Roman"/>
          <w:lang w:val="es-ES"/>
        </w:rPr>
      </w:pPr>
      <w:r w:rsidRPr="007B5359">
        <w:rPr>
          <w:rFonts w:ascii="Palatino Linotype" w:eastAsia="Times New Roman" w:hAnsi="Palatino Linotype" w:cs="Times New Roman"/>
          <w:bCs/>
          <w:lang w:val="es-ES"/>
        </w:rPr>
        <w:t xml:space="preserve">V. </w:t>
      </w:r>
      <w:r w:rsidRPr="007B5359">
        <w:rPr>
          <w:rFonts w:ascii="Palatino Linotype" w:eastAsia="Times New Roman" w:hAnsi="Palatino Linotype" w:cs="Times New Roman"/>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5E22B0" w:rsidRPr="007B5359" w:rsidRDefault="005E22B0" w:rsidP="005E22B0">
      <w:pPr>
        <w:numPr>
          <w:ilvl w:val="0"/>
          <w:numId w:val="18"/>
        </w:numPr>
        <w:shd w:val="clear" w:color="auto" w:fill="FFFFFF"/>
        <w:spacing w:beforeAutospacing="1" w:line="360" w:lineRule="auto"/>
        <w:ind w:left="0" w:firstLine="0"/>
        <w:jc w:val="both"/>
        <w:textAlignment w:val="baseline"/>
        <w:rPr>
          <w:rFonts w:ascii="Palatino Linotype" w:hAnsi="Palatino Linotype" w:cs="Times New Roman"/>
          <w:lang w:eastAsia="es-ES_tradnl"/>
        </w:rPr>
      </w:pPr>
      <w:r w:rsidRPr="007B5359">
        <w:rPr>
          <w:rFonts w:ascii="Palatino Linotype" w:hAnsi="Palatino Linotype"/>
        </w:rPr>
        <w:t>En</w:t>
      </w:r>
      <w:r w:rsidRPr="007B5359">
        <w:rPr>
          <w:rFonts w:ascii="Palatino Linotype" w:hAnsi="Palatino Linotype" w:cs="Times New Roman"/>
          <w:lang w:eastAsia="es-ES_tradnl"/>
        </w:rPr>
        <w:t xml:space="preserve"> el caso de lo señalado en la fracción IV, será el Instituto quien deba aplicar la prueba de interés público, considerando también que como recientemente ha </w:t>
      </w:r>
      <w:r w:rsidRPr="007B5359">
        <w:rPr>
          <w:rFonts w:ascii="Palatino Linotype" w:hAnsi="Palatino Linotype" w:cs="Times New Roman"/>
          <w:lang w:eastAsia="es-ES_tradnl"/>
        </w:rPr>
        <w:lastRenderedPageBreak/>
        <w:t xml:space="preserve">discutido la Suprema Corte de Justicia de la Nación, los servidores públicos nos encontramos sujetos a un régimen menor de protección. </w:t>
      </w:r>
    </w:p>
    <w:p w:rsidR="005E22B0" w:rsidRPr="007B5359" w:rsidRDefault="005E22B0" w:rsidP="005E22B0">
      <w:pPr>
        <w:shd w:val="clear" w:color="auto" w:fill="FFFFFF"/>
        <w:spacing w:beforeAutospacing="1" w:line="360" w:lineRule="auto"/>
        <w:jc w:val="both"/>
        <w:textAlignment w:val="baseline"/>
        <w:rPr>
          <w:rFonts w:ascii="Palatino Linotype" w:hAnsi="Palatino Linotype" w:cs="Times New Roman"/>
          <w:lang w:eastAsia="es-ES_tradnl"/>
        </w:rPr>
      </w:pPr>
    </w:p>
    <w:p w:rsidR="005E22B0" w:rsidRPr="007B5359" w:rsidRDefault="005E22B0" w:rsidP="005E22B0">
      <w:pPr>
        <w:numPr>
          <w:ilvl w:val="0"/>
          <w:numId w:val="18"/>
        </w:numPr>
        <w:shd w:val="clear" w:color="auto" w:fill="FFFFFF"/>
        <w:spacing w:before="240" w:line="360" w:lineRule="auto"/>
        <w:ind w:left="0" w:firstLine="0"/>
        <w:contextualSpacing/>
        <w:jc w:val="both"/>
        <w:textAlignment w:val="baseline"/>
        <w:rPr>
          <w:rFonts w:ascii="Palatino Linotype" w:hAnsi="Palatino Linotype"/>
        </w:rPr>
      </w:pPr>
      <w:r w:rsidRPr="007B5359">
        <w:rPr>
          <w:rFonts w:ascii="Palatino Linotype" w:hAnsi="Palatino Linotype"/>
        </w:rPr>
        <w:t>Pero</w:t>
      </w:r>
      <w:r w:rsidRPr="007B5359">
        <w:rPr>
          <w:rFonts w:ascii="Palatino Linotype" w:hAnsi="Palatino Linotype" w:cs="Times New Roman"/>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7B5359">
        <w:rPr>
          <w:rFonts w:ascii="Palatino Linotype" w:hAnsi="Palatino Linotype" w:cs="Times New Roman"/>
          <w:lang w:eastAsia="es-ES_tradnl"/>
        </w:rPr>
        <w:t>consulta,</w:t>
      </w:r>
      <w:proofErr w:type="gramEnd"/>
      <w:r w:rsidRPr="007B5359">
        <w:rPr>
          <w:rFonts w:ascii="Palatino Linotype" w:hAnsi="Palatino Linotype" w:cs="Times New Roman"/>
          <w:lang w:eastAsia="es-ES_tradnl"/>
        </w:rPr>
        <w:t xml:space="preserve"> procede, fundando y motivando, la clasificación.</w:t>
      </w:r>
    </w:p>
    <w:p w:rsidR="005E22B0" w:rsidRPr="007B5359" w:rsidRDefault="005E22B0" w:rsidP="005E22B0">
      <w:pPr>
        <w:shd w:val="clear" w:color="auto" w:fill="FFFFFF"/>
        <w:spacing w:before="240" w:afterAutospacing="1" w:line="360" w:lineRule="auto"/>
        <w:contextualSpacing/>
        <w:jc w:val="both"/>
        <w:textAlignment w:val="baseline"/>
        <w:rPr>
          <w:rFonts w:ascii="Palatino Linotype" w:hAnsi="Palatino Linotype"/>
        </w:rPr>
      </w:pPr>
    </w:p>
    <w:p w:rsidR="005E22B0" w:rsidRPr="007B5359" w:rsidRDefault="005E22B0" w:rsidP="005E22B0">
      <w:pPr>
        <w:numPr>
          <w:ilvl w:val="0"/>
          <w:numId w:val="18"/>
        </w:numPr>
        <w:shd w:val="clear" w:color="auto" w:fill="FFFFFF"/>
        <w:spacing w:before="240" w:after="160" w:afterAutospacing="1" w:line="360" w:lineRule="auto"/>
        <w:ind w:left="0" w:firstLine="0"/>
        <w:contextualSpacing/>
        <w:jc w:val="both"/>
        <w:textAlignment w:val="baseline"/>
        <w:rPr>
          <w:rFonts w:ascii="Palatino Linotype" w:hAnsi="Palatino Linotype"/>
        </w:rPr>
      </w:pPr>
      <w:r w:rsidRPr="007B5359">
        <w:rPr>
          <w:rFonts w:ascii="Palatino Linotype" w:hAnsi="Palatino Linotype"/>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5E22B0" w:rsidRPr="007B5359" w:rsidRDefault="005E22B0" w:rsidP="005E22B0">
      <w:pPr>
        <w:rPr>
          <w:rFonts w:ascii="Palatino Linotype" w:hAnsi="Palatino Linotype"/>
        </w:rPr>
      </w:pPr>
    </w:p>
    <w:tbl>
      <w:tblPr>
        <w:tblStyle w:val="Tablaconcuadrcula2"/>
        <w:tblW w:w="8807" w:type="dxa"/>
        <w:tblLook w:val="04A0" w:firstRow="1" w:lastRow="0" w:firstColumn="1" w:lastColumn="0" w:noHBand="0" w:noVBand="1"/>
      </w:tblPr>
      <w:tblGrid>
        <w:gridCol w:w="2142"/>
        <w:gridCol w:w="2106"/>
        <w:gridCol w:w="2305"/>
        <w:gridCol w:w="2254"/>
      </w:tblGrid>
      <w:tr w:rsidR="00A04D7B" w:rsidRPr="007B5359" w:rsidTr="00F30094">
        <w:tc>
          <w:tcPr>
            <w:tcW w:w="2142" w:type="dxa"/>
            <w:vMerge w:val="restart"/>
            <w:shd w:val="clear" w:color="auto" w:fill="D5DCE4" w:themeFill="text2" w:themeFillTint="33"/>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Requisitos previos</w:t>
            </w: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Los sujetos obligados determinan que la información actualiza alguno de los supuestos de clasificación:</w:t>
            </w:r>
          </w:p>
        </w:tc>
        <w:tc>
          <w:tcPr>
            <w:tcW w:w="2305" w:type="dxa"/>
          </w:tcPr>
          <w:p w:rsidR="005E22B0" w:rsidRPr="007B5359" w:rsidRDefault="005E22B0" w:rsidP="00F30094">
            <w:pPr>
              <w:jc w:val="both"/>
              <w:rPr>
                <w:rFonts w:ascii="Palatino Linotype" w:hAnsi="Palatino Linotype"/>
                <w:sz w:val="18"/>
                <w:szCs w:val="18"/>
              </w:rPr>
            </w:pPr>
          </w:p>
          <w:p w:rsidR="005E22B0" w:rsidRPr="007B5359" w:rsidRDefault="005E22B0" w:rsidP="00F30094">
            <w:pPr>
              <w:jc w:val="both"/>
              <w:rPr>
                <w:rFonts w:ascii="Palatino Linotype" w:hAnsi="Palatino Linotype"/>
                <w:sz w:val="18"/>
                <w:szCs w:val="18"/>
              </w:rPr>
            </w:pPr>
          </w:p>
          <w:p w:rsidR="005E22B0" w:rsidRPr="007B5359" w:rsidRDefault="005E22B0" w:rsidP="00F30094">
            <w:pPr>
              <w:jc w:val="both"/>
              <w:rPr>
                <w:rFonts w:ascii="Palatino Linotype" w:hAnsi="Palatino Linotype"/>
                <w:sz w:val="18"/>
                <w:szCs w:val="18"/>
              </w:rPr>
            </w:pPr>
          </w:p>
          <w:p w:rsidR="005E22B0" w:rsidRPr="007B5359" w:rsidRDefault="005E22B0" w:rsidP="005E22B0">
            <w:pPr>
              <w:numPr>
                <w:ilvl w:val="0"/>
                <w:numId w:val="30"/>
              </w:numPr>
              <w:ind w:left="0" w:firstLine="0"/>
              <w:contextualSpacing/>
              <w:jc w:val="both"/>
              <w:rPr>
                <w:rFonts w:ascii="Palatino Linotype" w:hAnsi="Palatino Linotype"/>
                <w:sz w:val="18"/>
                <w:szCs w:val="18"/>
              </w:rPr>
            </w:pPr>
            <w:r w:rsidRPr="007B5359">
              <w:rPr>
                <w:rFonts w:ascii="Palatino Linotype" w:hAnsi="Palatino Linotype"/>
                <w:sz w:val="18"/>
                <w:szCs w:val="18"/>
              </w:rPr>
              <w:t xml:space="preserve">Confidencialidad </w:t>
            </w:r>
          </w:p>
          <w:p w:rsidR="005E22B0" w:rsidRPr="007B5359" w:rsidRDefault="005E22B0" w:rsidP="005E22B0">
            <w:pPr>
              <w:numPr>
                <w:ilvl w:val="0"/>
                <w:numId w:val="30"/>
              </w:numPr>
              <w:ind w:left="0" w:firstLine="0"/>
              <w:contextualSpacing/>
              <w:jc w:val="both"/>
              <w:rPr>
                <w:rFonts w:ascii="Palatino Linotype" w:hAnsi="Palatino Linotype"/>
                <w:sz w:val="18"/>
                <w:szCs w:val="18"/>
              </w:rPr>
            </w:pPr>
            <w:r w:rsidRPr="007B5359">
              <w:rPr>
                <w:rFonts w:ascii="Palatino Linotype" w:hAnsi="Palatino Linotype"/>
                <w:sz w:val="18"/>
                <w:szCs w:val="18"/>
              </w:rPr>
              <w:t>Reserva</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 xml:space="preserve">Los titulares de las áreas que administran la información son los que aprueban la clasificación </w:t>
            </w:r>
          </w:p>
        </w:tc>
        <w:tc>
          <w:tcPr>
            <w:tcW w:w="2305" w:type="dxa"/>
          </w:tcPr>
          <w:p w:rsidR="005E22B0" w:rsidRPr="007B5359" w:rsidRDefault="005E22B0" w:rsidP="00F30094">
            <w:pPr>
              <w:jc w:val="both"/>
              <w:rPr>
                <w:rFonts w:ascii="Palatino Linotype" w:hAnsi="Palatino Linotype"/>
                <w:sz w:val="18"/>
                <w:szCs w:val="18"/>
              </w:rPr>
            </w:pP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La clasificación de la información se realiza al momento de:</w:t>
            </w:r>
          </w:p>
        </w:tc>
        <w:tc>
          <w:tcPr>
            <w:tcW w:w="2305" w:type="dxa"/>
          </w:tcPr>
          <w:p w:rsidR="005E22B0" w:rsidRPr="007B5359" w:rsidRDefault="005E22B0" w:rsidP="005E22B0">
            <w:pPr>
              <w:numPr>
                <w:ilvl w:val="0"/>
                <w:numId w:val="29"/>
              </w:numPr>
              <w:ind w:left="0" w:firstLine="0"/>
              <w:contextualSpacing/>
              <w:jc w:val="both"/>
              <w:rPr>
                <w:rFonts w:ascii="Palatino Linotype" w:hAnsi="Palatino Linotype"/>
                <w:sz w:val="18"/>
                <w:szCs w:val="18"/>
              </w:rPr>
            </w:pPr>
            <w:r w:rsidRPr="007B5359">
              <w:rPr>
                <w:rFonts w:ascii="Palatino Linotype" w:hAnsi="Palatino Linotype"/>
                <w:sz w:val="18"/>
                <w:szCs w:val="18"/>
              </w:rPr>
              <w:t>Atender una solicitud</w:t>
            </w:r>
          </w:p>
          <w:p w:rsidR="005E22B0" w:rsidRPr="007B5359" w:rsidRDefault="005E22B0" w:rsidP="005E22B0">
            <w:pPr>
              <w:numPr>
                <w:ilvl w:val="0"/>
                <w:numId w:val="29"/>
              </w:numPr>
              <w:ind w:left="0" w:firstLine="0"/>
              <w:contextualSpacing/>
              <w:jc w:val="both"/>
              <w:rPr>
                <w:rFonts w:ascii="Palatino Linotype" w:hAnsi="Palatino Linotype"/>
                <w:sz w:val="18"/>
                <w:szCs w:val="18"/>
              </w:rPr>
            </w:pPr>
            <w:r w:rsidRPr="007B5359">
              <w:rPr>
                <w:rFonts w:ascii="Palatino Linotype" w:hAnsi="Palatino Linotype"/>
                <w:sz w:val="18"/>
                <w:szCs w:val="18"/>
              </w:rPr>
              <w:t>Por mandato de una autoridad competente</w:t>
            </w:r>
          </w:p>
          <w:p w:rsidR="005E22B0" w:rsidRPr="007B5359" w:rsidRDefault="005E22B0" w:rsidP="005E22B0">
            <w:pPr>
              <w:numPr>
                <w:ilvl w:val="0"/>
                <w:numId w:val="29"/>
              </w:numPr>
              <w:ind w:left="0" w:firstLine="0"/>
              <w:contextualSpacing/>
              <w:jc w:val="both"/>
              <w:rPr>
                <w:rFonts w:ascii="Palatino Linotype" w:hAnsi="Palatino Linotype"/>
                <w:sz w:val="18"/>
                <w:szCs w:val="18"/>
              </w:rPr>
            </w:pPr>
            <w:r w:rsidRPr="007B5359">
              <w:rPr>
                <w:rFonts w:ascii="Palatino Linotype" w:hAnsi="Palatino Linotype"/>
                <w:sz w:val="18"/>
                <w:szCs w:val="18"/>
              </w:rPr>
              <w:lastRenderedPageBreak/>
              <w:t>Para elaborar una versión pública y cumplir una obligación de transparencia</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No se pueden emitir acuerdos de carácter general ni particular</w:t>
            </w: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 xml:space="preserve">El sujeto obligado debe emitir un acuerdo describiendo y analizando cada documento de un expediente y todos los datos incluidos en un documento </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val="restart"/>
            <w:shd w:val="clear" w:color="auto" w:fill="D5DCE4" w:themeFill="text2" w:themeFillTint="33"/>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Supuestos de clasificación</w:t>
            </w: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Para clasificar la información como reservada hay</w:t>
            </w:r>
          </w:p>
        </w:tc>
        <w:tc>
          <w:tcPr>
            <w:tcW w:w="2305" w:type="dxa"/>
          </w:tcPr>
          <w:p w:rsidR="005E22B0" w:rsidRPr="007B5359" w:rsidRDefault="005E22B0" w:rsidP="005E22B0">
            <w:pPr>
              <w:numPr>
                <w:ilvl w:val="0"/>
                <w:numId w:val="31"/>
              </w:numPr>
              <w:ind w:left="0" w:firstLine="0"/>
              <w:contextualSpacing/>
              <w:jc w:val="both"/>
              <w:rPr>
                <w:rFonts w:ascii="Palatino Linotype" w:hAnsi="Palatino Linotype"/>
                <w:sz w:val="18"/>
                <w:szCs w:val="18"/>
              </w:rPr>
            </w:pPr>
            <w:r w:rsidRPr="007B5359">
              <w:rPr>
                <w:rFonts w:ascii="Palatino Linotype" w:hAnsi="Palatino Linotype"/>
                <w:sz w:val="18"/>
                <w:szCs w:val="18"/>
              </w:rPr>
              <w:t>11 supuestos en la Ley Estatal</w:t>
            </w:r>
          </w:p>
          <w:p w:rsidR="005E22B0" w:rsidRPr="007B5359" w:rsidRDefault="005E22B0" w:rsidP="005E22B0">
            <w:pPr>
              <w:numPr>
                <w:ilvl w:val="0"/>
                <w:numId w:val="31"/>
              </w:numPr>
              <w:ind w:left="0" w:firstLine="0"/>
              <w:contextualSpacing/>
              <w:jc w:val="both"/>
              <w:rPr>
                <w:rFonts w:ascii="Palatino Linotype" w:hAnsi="Palatino Linotype"/>
                <w:sz w:val="18"/>
                <w:szCs w:val="18"/>
              </w:rPr>
            </w:pPr>
            <w:r w:rsidRPr="007B5359">
              <w:rPr>
                <w:rFonts w:ascii="Palatino Linotype" w:hAnsi="Palatino Linotype"/>
                <w:sz w:val="18"/>
                <w:szCs w:val="18"/>
              </w:rPr>
              <w:t>13 supuestos en la Ley General</w:t>
            </w:r>
          </w:p>
        </w:tc>
        <w:tc>
          <w:tcPr>
            <w:tcW w:w="2254"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El sujeto obligado debe identificar claramente la información que se pretende clasificar y realizar un juicio de subsunción o encaje</w:t>
            </w: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Para clasificar la información como confidencial hay</w:t>
            </w: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que considerar la definición de dato personal</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Estos supuestos se aplican de manera restrictiva y estricta, no pueden ampliarse</w:t>
            </w:r>
          </w:p>
        </w:tc>
        <w:tc>
          <w:tcPr>
            <w:tcW w:w="2305" w:type="dxa"/>
          </w:tcPr>
          <w:p w:rsidR="005E22B0" w:rsidRPr="007B5359" w:rsidRDefault="005E22B0" w:rsidP="00F30094">
            <w:pPr>
              <w:jc w:val="both"/>
              <w:rPr>
                <w:rFonts w:ascii="Palatino Linotype" w:hAnsi="Palatino Linotype"/>
                <w:sz w:val="18"/>
                <w:szCs w:val="18"/>
              </w:rPr>
            </w:pP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val="restart"/>
            <w:shd w:val="clear" w:color="auto" w:fill="D5DCE4" w:themeFill="text2" w:themeFillTint="33"/>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Excepciones a la clasificación de reserva</w:t>
            </w:r>
          </w:p>
        </w:tc>
        <w:tc>
          <w:tcPr>
            <w:tcW w:w="2106" w:type="dxa"/>
            <w:vMerge w:val="restart"/>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No puede clasificarse como información reservada la concerniente a:</w:t>
            </w: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Actos (probados o en investigación) graves de violaciones a derechos humanos</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vMerge/>
          </w:tcPr>
          <w:p w:rsidR="005E22B0" w:rsidRPr="007B5359" w:rsidRDefault="005E22B0" w:rsidP="00F30094">
            <w:pPr>
              <w:jc w:val="both"/>
              <w:rPr>
                <w:rFonts w:ascii="Palatino Linotype" w:hAnsi="Palatino Linotype"/>
                <w:sz w:val="18"/>
                <w:szCs w:val="18"/>
              </w:rPr>
            </w:pP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 xml:space="preserve">Delitos de </w:t>
            </w:r>
            <w:proofErr w:type="spellStart"/>
            <w:r w:rsidRPr="007B5359">
              <w:rPr>
                <w:rFonts w:ascii="Palatino Linotype" w:hAnsi="Palatino Linotype"/>
                <w:sz w:val="18"/>
                <w:szCs w:val="18"/>
              </w:rPr>
              <w:t>lessa</w:t>
            </w:r>
            <w:proofErr w:type="spellEnd"/>
            <w:r w:rsidRPr="007B5359">
              <w:rPr>
                <w:rFonts w:ascii="Palatino Linotype" w:hAnsi="Palatino Linotype"/>
                <w:sz w:val="18"/>
                <w:szCs w:val="18"/>
              </w:rPr>
              <w:t xml:space="preserve"> humanidad</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vMerge/>
          </w:tcPr>
          <w:p w:rsidR="005E22B0" w:rsidRPr="007B5359" w:rsidRDefault="005E22B0" w:rsidP="00F30094">
            <w:pPr>
              <w:jc w:val="both"/>
              <w:rPr>
                <w:rFonts w:ascii="Palatino Linotype" w:hAnsi="Palatino Linotype"/>
                <w:sz w:val="18"/>
                <w:szCs w:val="18"/>
              </w:rPr>
            </w:pP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Actos de Corrupción</w:t>
            </w:r>
          </w:p>
        </w:tc>
        <w:tc>
          <w:tcPr>
            <w:tcW w:w="2254"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Los comprendidos en el Título Sexto del Código Penal del Estado</w:t>
            </w:r>
          </w:p>
        </w:tc>
      </w:tr>
      <w:tr w:rsidR="00A04D7B" w:rsidRPr="007B5359" w:rsidTr="00F30094">
        <w:tc>
          <w:tcPr>
            <w:tcW w:w="2142" w:type="dxa"/>
            <w:vMerge w:val="restart"/>
            <w:shd w:val="clear" w:color="auto" w:fill="D5DCE4" w:themeFill="text2" w:themeFillTint="33"/>
          </w:tcPr>
          <w:p w:rsidR="005E22B0" w:rsidRPr="007B5359" w:rsidRDefault="001F3C72" w:rsidP="00F30094">
            <w:pPr>
              <w:rPr>
                <w:rFonts w:ascii="Palatino Linotype" w:hAnsi="Palatino Linotype"/>
                <w:sz w:val="18"/>
                <w:szCs w:val="18"/>
              </w:rPr>
            </w:pPr>
            <w:r w:rsidRPr="007B5359">
              <w:rPr>
                <w:rFonts w:ascii="Palatino Linotype" w:hAnsi="Palatino Linotype"/>
                <w:sz w:val="18"/>
                <w:szCs w:val="18"/>
              </w:rPr>
              <w:t>Participación del Comité de Transparencia</w:t>
            </w:r>
          </w:p>
          <w:p w:rsidR="005E22B0" w:rsidRPr="007B5359" w:rsidRDefault="005E22B0" w:rsidP="00F30094">
            <w:pPr>
              <w:jc w:val="center"/>
              <w:rPr>
                <w:rFonts w:ascii="Palatino Linotype" w:hAnsi="Palatino Linotype"/>
                <w:sz w:val="18"/>
                <w:szCs w:val="18"/>
              </w:rPr>
            </w:pPr>
          </w:p>
        </w:tc>
        <w:tc>
          <w:tcPr>
            <w:tcW w:w="2106" w:type="dxa"/>
            <w:vMerge w:val="restart"/>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Formalidades</w:t>
            </w: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El Comité debe de estar debidamente integrado</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vMerge/>
          </w:tcPr>
          <w:p w:rsidR="005E22B0" w:rsidRPr="007B5359" w:rsidRDefault="005E22B0" w:rsidP="00F30094">
            <w:pPr>
              <w:jc w:val="both"/>
              <w:rPr>
                <w:rFonts w:ascii="Palatino Linotype" w:hAnsi="Palatino Linotype"/>
                <w:sz w:val="18"/>
                <w:szCs w:val="18"/>
              </w:rPr>
            </w:pP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 xml:space="preserve">El Comité no aprueba la clasificación, sólo: confirma, modifica o revoca la decisión de las áreas </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shd w:val="clear" w:color="auto" w:fill="D5DCE4" w:themeFill="text2" w:themeFillTint="33"/>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Fondo del acuerdo de clasificación</w:t>
            </w: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La carga de la prueba para justificar la restricción corresponde al sujeto obligado</w:t>
            </w: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Deber de fundar y motivar</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rPr>
          <w:trHeight w:val="486"/>
        </w:trPr>
        <w:tc>
          <w:tcPr>
            <w:tcW w:w="2142" w:type="dxa"/>
            <w:vMerge w:val="restart"/>
            <w:shd w:val="clear" w:color="auto" w:fill="D5DCE4" w:themeFill="text2" w:themeFillTint="33"/>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Condiciones especiales de la reserva</w:t>
            </w:r>
          </w:p>
        </w:tc>
        <w:tc>
          <w:tcPr>
            <w:tcW w:w="2106" w:type="dxa"/>
            <w:vMerge w:val="restart"/>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Motivar implica</w:t>
            </w:r>
          </w:p>
          <w:p w:rsidR="005E22B0" w:rsidRPr="007B5359" w:rsidRDefault="005E22B0" w:rsidP="00F30094">
            <w:pPr>
              <w:jc w:val="both"/>
              <w:rPr>
                <w:rFonts w:ascii="Palatino Linotype" w:hAnsi="Palatino Linotype"/>
                <w:sz w:val="18"/>
                <w:szCs w:val="18"/>
              </w:rPr>
            </w:pPr>
            <w:proofErr w:type="gramStart"/>
            <w:r w:rsidRPr="007B5359">
              <w:rPr>
                <w:rFonts w:ascii="Palatino Linotype" w:hAnsi="Palatino Linotype"/>
                <w:sz w:val="18"/>
                <w:szCs w:val="18"/>
              </w:rPr>
              <w:t>Además</w:t>
            </w:r>
            <w:proofErr w:type="gramEnd"/>
            <w:r w:rsidRPr="007B5359">
              <w:rPr>
                <w:rFonts w:ascii="Palatino Linotype" w:hAnsi="Palatino Linotype"/>
                <w:sz w:val="18"/>
                <w:szCs w:val="18"/>
              </w:rPr>
              <w:t xml:space="preserve"> se debe aplicar, caso por caso, una prueba de daño.</w:t>
            </w:r>
          </w:p>
        </w:tc>
        <w:tc>
          <w:tcPr>
            <w:tcW w:w="2305" w:type="dxa"/>
            <w:vMerge w:val="restart"/>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Señalar las razones, motivos o circunstancias.</w:t>
            </w:r>
          </w:p>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Se deben señalar las razones objetivas y acreditar.</w:t>
            </w:r>
          </w:p>
          <w:p w:rsidR="005E22B0" w:rsidRPr="007B5359" w:rsidRDefault="005E22B0" w:rsidP="00F30094">
            <w:pPr>
              <w:jc w:val="both"/>
              <w:rPr>
                <w:rFonts w:ascii="Palatino Linotype" w:hAnsi="Palatino Linotype"/>
                <w:sz w:val="18"/>
                <w:szCs w:val="18"/>
              </w:rPr>
            </w:pPr>
          </w:p>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lastRenderedPageBreak/>
              <w:t>*Adquiere la condición especial de ser temporal por un periodo de 5 años con la posibilidad de ampliarse por un periodo igual.</w:t>
            </w:r>
          </w:p>
        </w:tc>
        <w:tc>
          <w:tcPr>
            <w:tcW w:w="2254" w:type="dxa"/>
            <w:vMerge w:val="restart"/>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lastRenderedPageBreak/>
              <w:t>Que entregar la información provoca un riesgo real, demostrable e identificable al interés público o a la seguridad pública</w:t>
            </w:r>
          </w:p>
        </w:tc>
      </w:tr>
      <w:tr w:rsidR="00A04D7B" w:rsidRPr="007B5359" w:rsidTr="00F30094">
        <w:trPr>
          <w:trHeight w:val="486"/>
        </w:trPr>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vMerge/>
          </w:tcPr>
          <w:p w:rsidR="005E22B0" w:rsidRPr="007B5359" w:rsidRDefault="005E22B0" w:rsidP="00F30094">
            <w:pPr>
              <w:jc w:val="both"/>
              <w:rPr>
                <w:rFonts w:ascii="Palatino Linotype" w:hAnsi="Palatino Linotype"/>
                <w:sz w:val="18"/>
                <w:szCs w:val="18"/>
              </w:rPr>
            </w:pPr>
          </w:p>
        </w:tc>
        <w:tc>
          <w:tcPr>
            <w:tcW w:w="2305" w:type="dxa"/>
            <w:vMerge/>
          </w:tcPr>
          <w:p w:rsidR="005E22B0" w:rsidRPr="007B5359" w:rsidRDefault="005E22B0" w:rsidP="00F30094">
            <w:pPr>
              <w:jc w:val="both"/>
              <w:rPr>
                <w:rFonts w:ascii="Palatino Linotype" w:hAnsi="Palatino Linotype"/>
                <w:sz w:val="18"/>
                <w:szCs w:val="18"/>
              </w:rPr>
            </w:pPr>
          </w:p>
        </w:tc>
        <w:tc>
          <w:tcPr>
            <w:tcW w:w="2254" w:type="dxa"/>
            <w:vMerge/>
          </w:tcPr>
          <w:p w:rsidR="005E22B0" w:rsidRPr="007B5359" w:rsidRDefault="005E22B0" w:rsidP="00F30094">
            <w:pPr>
              <w:jc w:val="both"/>
              <w:rPr>
                <w:rFonts w:ascii="Palatino Linotype" w:hAnsi="Palatino Linotype"/>
                <w:sz w:val="18"/>
                <w:szCs w:val="18"/>
              </w:rPr>
            </w:pPr>
          </w:p>
        </w:tc>
      </w:tr>
      <w:tr w:rsidR="00A04D7B" w:rsidRPr="007B5359" w:rsidTr="00F30094">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vMerge/>
          </w:tcPr>
          <w:p w:rsidR="005E22B0" w:rsidRPr="007B5359" w:rsidRDefault="005E22B0" w:rsidP="00F30094">
            <w:pPr>
              <w:jc w:val="both"/>
              <w:rPr>
                <w:rFonts w:ascii="Palatino Linotype" w:hAnsi="Palatino Linotype"/>
                <w:sz w:val="18"/>
                <w:szCs w:val="18"/>
              </w:rPr>
            </w:pPr>
          </w:p>
        </w:tc>
        <w:tc>
          <w:tcPr>
            <w:tcW w:w="2305" w:type="dxa"/>
            <w:vMerge/>
          </w:tcPr>
          <w:p w:rsidR="005E22B0" w:rsidRPr="007B5359" w:rsidRDefault="005E22B0" w:rsidP="00F30094">
            <w:pPr>
              <w:jc w:val="both"/>
              <w:rPr>
                <w:rFonts w:ascii="Palatino Linotype" w:hAnsi="Palatino Linotype"/>
                <w:sz w:val="18"/>
                <w:szCs w:val="18"/>
              </w:rPr>
            </w:pPr>
          </w:p>
        </w:tc>
        <w:tc>
          <w:tcPr>
            <w:tcW w:w="2254"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 xml:space="preserve">El riesgo por divulgar es mayor que el interés público de que se difunda  </w:t>
            </w:r>
          </w:p>
        </w:tc>
      </w:tr>
      <w:tr w:rsidR="00A04D7B" w:rsidRPr="007B5359" w:rsidTr="00F30094">
        <w:trPr>
          <w:trHeight w:val="1454"/>
        </w:trPr>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vMerge/>
          </w:tcPr>
          <w:p w:rsidR="005E22B0" w:rsidRPr="007B5359" w:rsidRDefault="005E22B0" w:rsidP="00F30094">
            <w:pPr>
              <w:jc w:val="both"/>
              <w:rPr>
                <w:rFonts w:ascii="Palatino Linotype" w:hAnsi="Palatino Linotype"/>
                <w:sz w:val="18"/>
                <w:szCs w:val="18"/>
              </w:rPr>
            </w:pPr>
          </w:p>
        </w:tc>
        <w:tc>
          <w:tcPr>
            <w:tcW w:w="2305" w:type="dxa"/>
            <w:vMerge/>
          </w:tcPr>
          <w:p w:rsidR="005E22B0" w:rsidRPr="007B5359" w:rsidRDefault="005E22B0" w:rsidP="00F30094">
            <w:pPr>
              <w:jc w:val="both"/>
              <w:rPr>
                <w:rFonts w:ascii="Palatino Linotype" w:hAnsi="Palatino Linotype"/>
                <w:sz w:val="18"/>
                <w:szCs w:val="18"/>
              </w:rPr>
            </w:pPr>
          </w:p>
        </w:tc>
        <w:tc>
          <w:tcPr>
            <w:tcW w:w="2254"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El principio de proporcionalidad</w:t>
            </w:r>
          </w:p>
        </w:tc>
      </w:tr>
      <w:tr w:rsidR="00A04D7B" w:rsidRPr="007B5359" w:rsidTr="00F30094">
        <w:tc>
          <w:tcPr>
            <w:tcW w:w="2142" w:type="dxa"/>
            <w:vMerge w:val="restart"/>
            <w:shd w:val="clear" w:color="auto" w:fill="D5DCE4" w:themeFill="text2" w:themeFillTint="33"/>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Condiciones especiales de la confidencialidad</w:t>
            </w: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 xml:space="preserve">Para clasificar se debe verificar que no se encuentre en los supuestos del artículo 148 de la ley Estatal </w:t>
            </w:r>
          </w:p>
        </w:tc>
        <w:tc>
          <w:tcPr>
            <w:tcW w:w="2305"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 xml:space="preserve">Si se encuentra en los supuestos de dicho artículo se entrega aún sin consentimiento del titular del dato personal </w:t>
            </w:r>
          </w:p>
        </w:tc>
        <w:tc>
          <w:tcPr>
            <w:tcW w:w="2254" w:type="dxa"/>
          </w:tcPr>
          <w:p w:rsidR="005E22B0" w:rsidRPr="007B5359" w:rsidRDefault="005E22B0" w:rsidP="00F30094">
            <w:pPr>
              <w:jc w:val="both"/>
              <w:rPr>
                <w:rFonts w:ascii="Palatino Linotype" w:hAnsi="Palatino Linotype"/>
                <w:sz w:val="18"/>
                <w:szCs w:val="18"/>
              </w:rPr>
            </w:pPr>
          </w:p>
        </w:tc>
      </w:tr>
      <w:tr w:rsidR="00A04D7B" w:rsidRPr="007B5359" w:rsidTr="00F30094">
        <w:trPr>
          <w:trHeight w:val="3404"/>
        </w:trPr>
        <w:tc>
          <w:tcPr>
            <w:tcW w:w="2142" w:type="dxa"/>
            <w:vMerge/>
            <w:shd w:val="clear" w:color="auto" w:fill="D5DCE4" w:themeFill="text2" w:themeFillTint="33"/>
          </w:tcPr>
          <w:p w:rsidR="005E22B0" w:rsidRPr="007B5359" w:rsidRDefault="005E22B0" w:rsidP="00F30094">
            <w:pPr>
              <w:jc w:val="both"/>
              <w:rPr>
                <w:rFonts w:ascii="Palatino Linotype" w:hAnsi="Palatino Linotype"/>
                <w:sz w:val="18"/>
                <w:szCs w:val="18"/>
              </w:rPr>
            </w:pPr>
          </w:p>
        </w:tc>
        <w:tc>
          <w:tcPr>
            <w:tcW w:w="2106" w:type="dxa"/>
          </w:tcPr>
          <w:p w:rsidR="005E22B0" w:rsidRPr="007B5359" w:rsidRDefault="005E22B0" w:rsidP="00F30094">
            <w:pPr>
              <w:jc w:val="both"/>
              <w:rPr>
                <w:rFonts w:ascii="Palatino Linotype" w:hAnsi="Palatino Linotype"/>
                <w:sz w:val="18"/>
                <w:szCs w:val="18"/>
              </w:rPr>
            </w:pPr>
            <w:r w:rsidRPr="007B5359">
              <w:rPr>
                <w:rFonts w:ascii="Palatino Linotype" w:hAnsi="Palatino Linotype"/>
                <w:sz w:val="18"/>
                <w:szCs w:val="18"/>
              </w:rPr>
              <w:t>Si es posible, se debe consultar al titular de los datos para requerir su autorización para entregarlo</w:t>
            </w:r>
          </w:p>
        </w:tc>
        <w:tc>
          <w:tcPr>
            <w:tcW w:w="2305" w:type="dxa"/>
          </w:tcPr>
          <w:p w:rsidR="005E22B0" w:rsidRPr="007B5359" w:rsidRDefault="005E22B0" w:rsidP="00F30094">
            <w:pPr>
              <w:jc w:val="both"/>
              <w:rPr>
                <w:rFonts w:ascii="Palatino Linotype" w:hAnsi="Palatino Linotype"/>
                <w:sz w:val="18"/>
                <w:szCs w:val="18"/>
              </w:rPr>
            </w:pPr>
          </w:p>
        </w:tc>
        <w:tc>
          <w:tcPr>
            <w:tcW w:w="2254" w:type="dxa"/>
          </w:tcPr>
          <w:p w:rsidR="005E22B0" w:rsidRPr="007B5359" w:rsidRDefault="005E22B0" w:rsidP="00F30094">
            <w:pPr>
              <w:jc w:val="both"/>
              <w:rPr>
                <w:rFonts w:ascii="Palatino Linotype" w:hAnsi="Palatino Linotype"/>
                <w:sz w:val="18"/>
                <w:szCs w:val="18"/>
              </w:rPr>
            </w:pPr>
          </w:p>
        </w:tc>
      </w:tr>
    </w:tbl>
    <w:p w:rsidR="005E22B0" w:rsidRPr="007B5359" w:rsidRDefault="005E22B0" w:rsidP="005E22B0">
      <w:pPr>
        <w:numPr>
          <w:ilvl w:val="0"/>
          <w:numId w:val="18"/>
        </w:numPr>
        <w:shd w:val="clear" w:color="auto" w:fill="FFFFFF"/>
        <w:spacing w:beforeAutospacing="1" w:after="240" w:line="360" w:lineRule="auto"/>
        <w:ind w:left="0" w:firstLine="0"/>
        <w:jc w:val="both"/>
        <w:textAlignment w:val="baseline"/>
        <w:rPr>
          <w:rFonts w:ascii="Palatino Linotype" w:hAnsi="Palatino Linotype" w:cs="Times New Roman"/>
          <w:lang w:eastAsia="es-ES_tradnl"/>
        </w:rPr>
      </w:pPr>
      <w:r w:rsidRPr="007B5359">
        <w:rPr>
          <w:rFonts w:ascii="Palatino Linotype" w:hAnsi="Palatino Linotype"/>
        </w:rPr>
        <w:t>Pero</w:t>
      </w:r>
      <w:r w:rsidRPr="007B5359">
        <w:rPr>
          <w:rFonts w:ascii="Palatino Linotype" w:hAnsi="Palatino Linotype" w:cs="Times New Roman"/>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7B5359">
        <w:rPr>
          <w:rFonts w:ascii="Palatino Linotype" w:hAnsi="Palatino Linotype" w:cs="Times New Roman"/>
          <w:lang w:eastAsia="es-ES_tradnl"/>
        </w:rPr>
        <w:t>consulta,</w:t>
      </w:r>
      <w:proofErr w:type="gramEnd"/>
      <w:r w:rsidRPr="007B5359">
        <w:rPr>
          <w:rFonts w:ascii="Palatino Linotype" w:hAnsi="Palatino Linotype" w:cs="Times New Roman"/>
          <w:lang w:eastAsia="es-ES_tradnl"/>
        </w:rPr>
        <w:t xml:space="preserve"> procede, fundando y motivando, la clasificación.</w:t>
      </w:r>
    </w:p>
    <w:p w:rsidR="005E22B0" w:rsidRPr="007B5359" w:rsidRDefault="005E22B0" w:rsidP="005E22B0">
      <w:pPr>
        <w:numPr>
          <w:ilvl w:val="0"/>
          <w:numId w:val="18"/>
        </w:numPr>
        <w:shd w:val="clear" w:color="auto" w:fill="FFFFFF"/>
        <w:spacing w:before="240" w:line="360" w:lineRule="auto"/>
        <w:ind w:left="0" w:firstLine="0"/>
        <w:contextualSpacing/>
        <w:jc w:val="both"/>
        <w:rPr>
          <w:rFonts w:ascii="Palatino Linotype" w:eastAsia="Times New Roman" w:hAnsi="Palatino Linotype" w:cs="Arial"/>
          <w:lang w:eastAsia="es-MX"/>
        </w:rPr>
      </w:pPr>
      <w:r w:rsidRPr="007B5359">
        <w:rPr>
          <w:rFonts w:ascii="Palatino Linotype" w:hAnsi="Palatino Linotype"/>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w:t>
      </w:r>
      <w:r w:rsidRPr="007B5359">
        <w:rPr>
          <w:rFonts w:ascii="Palatino Linotype" w:hAnsi="Palatino Linotype"/>
        </w:rPr>
        <w:lastRenderedPageBreak/>
        <w:t>públicas, de manera previa a su entrega al solicitante, de lo contrario los servidores públicos involucrados incurrirán en responsabilidad.</w:t>
      </w:r>
    </w:p>
    <w:p w:rsidR="00451F9B" w:rsidRPr="007B5359" w:rsidRDefault="00451F9B" w:rsidP="00451F9B">
      <w:pPr>
        <w:shd w:val="clear" w:color="auto" w:fill="FFFFFF"/>
        <w:spacing w:before="240" w:line="360" w:lineRule="auto"/>
        <w:contextualSpacing/>
        <w:jc w:val="both"/>
        <w:rPr>
          <w:rFonts w:ascii="Palatino Linotype" w:eastAsia="Times New Roman" w:hAnsi="Palatino Linotype" w:cs="Arial"/>
          <w:lang w:eastAsia="es-MX"/>
        </w:rPr>
      </w:pPr>
    </w:p>
    <w:p w:rsidR="00990D77" w:rsidRPr="007B5359" w:rsidRDefault="005E22B0" w:rsidP="00990D77">
      <w:pPr>
        <w:numPr>
          <w:ilvl w:val="0"/>
          <w:numId w:val="18"/>
        </w:numPr>
        <w:shd w:val="clear" w:color="auto" w:fill="FFFFFF"/>
        <w:spacing w:before="240" w:line="360" w:lineRule="auto"/>
        <w:ind w:left="0" w:firstLine="0"/>
        <w:contextualSpacing/>
        <w:jc w:val="both"/>
        <w:rPr>
          <w:rFonts w:ascii="Palatino Linotype" w:eastAsia="Times New Roman" w:hAnsi="Palatino Linotype" w:cs="Arial"/>
          <w:lang w:eastAsia="es-MX"/>
        </w:rPr>
      </w:pPr>
      <w:r w:rsidRPr="007B5359">
        <w:rPr>
          <w:rFonts w:ascii="Palatino Linotype" w:eastAsia="Calibri" w:hAnsi="Palatino Linotype" w:cs="Arial"/>
          <w:bCs/>
        </w:rPr>
        <w:t>Si el servidor público incumple con estas formalidades y entrega la información sin proteger datos personales o información reversada incumple con lo que estipula las disposiciones legales establecidas, asimismo que si entrega un documento testado sin el debido acuerdo de clasificación.</w:t>
      </w:r>
    </w:p>
    <w:p w:rsidR="00990D77" w:rsidRPr="007B5359" w:rsidRDefault="00990D77" w:rsidP="00990D77">
      <w:pPr>
        <w:pStyle w:val="Prrafodelista"/>
        <w:rPr>
          <w:rFonts w:ascii="Palatino Linotype" w:eastAsia="Times New Roman" w:hAnsi="Palatino Linotype" w:cs="Arial"/>
          <w:lang w:eastAsia="es-MX"/>
        </w:rPr>
      </w:pPr>
    </w:p>
    <w:p w:rsidR="00990D77" w:rsidRPr="007B5359" w:rsidRDefault="00990D77" w:rsidP="00990D77">
      <w:pPr>
        <w:numPr>
          <w:ilvl w:val="0"/>
          <w:numId w:val="18"/>
        </w:numPr>
        <w:shd w:val="clear" w:color="auto" w:fill="FFFFFF"/>
        <w:spacing w:before="240"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Derivado de la naturaleza de la información que contienen los documentos solicitados, es necesario acotar el siguiente apartado.</w:t>
      </w:r>
    </w:p>
    <w:p w:rsidR="00990D77" w:rsidRPr="007B5359" w:rsidRDefault="00990D77" w:rsidP="00990D77">
      <w:pPr>
        <w:pStyle w:val="Prrafodelista"/>
        <w:rPr>
          <w:rFonts w:ascii="Palatino Linotype" w:eastAsia="Times New Roman" w:hAnsi="Palatino Linotype" w:cs="Arial"/>
          <w:lang w:eastAsia="es-MX"/>
        </w:rPr>
      </w:pPr>
    </w:p>
    <w:p w:rsidR="00990D77" w:rsidRPr="007B5359" w:rsidRDefault="00990D77" w:rsidP="00990D77">
      <w:pPr>
        <w:pStyle w:val="Ttulo2"/>
        <w:numPr>
          <w:ilvl w:val="3"/>
          <w:numId w:val="18"/>
        </w:numPr>
        <w:ind w:left="567"/>
        <w:rPr>
          <w:rFonts w:ascii="Palatino Linotype" w:eastAsia="Times New Roman" w:hAnsi="Palatino Linotype"/>
          <w:b/>
          <w:color w:val="auto"/>
          <w:sz w:val="24"/>
        </w:rPr>
      </w:pPr>
      <w:bookmarkStart w:id="81" w:name="_Toc33189450"/>
      <w:r w:rsidRPr="007B5359">
        <w:rPr>
          <w:rFonts w:ascii="Palatino Linotype" w:eastAsia="Times New Roman" w:hAnsi="Palatino Linotype"/>
          <w:b/>
          <w:color w:val="auto"/>
          <w:sz w:val="24"/>
        </w:rPr>
        <w:t>Desarrollo de la Prueba de Daño.</w:t>
      </w:r>
      <w:bookmarkEnd w:id="81"/>
    </w:p>
    <w:p w:rsidR="00451F9B" w:rsidRPr="007B5359" w:rsidRDefault="00451F9B" w:rsidP="00451F9B">
      <w:pPr>
        <w:pStyle w:val="Prrafodelista"/>
        <w:rPr>
          <w:rFonts w:ascii="Palatino Linotype" w:eastAsia="Times New Roman" w:hAnsi="Palatino Linotype" w:cs="Arial"/>
          <w:lang w:eastAsia="es-MX"/>
        </w:rPr>
      </w:pPr>
    </w:p>
    <w:p w:rsidR="00802887" w:rsidRPr="007B5359" w:rsidRDefault="001F3C72" w:rsidP="00A21AB9">
      <w:pPr>
        <w:numPr>
          <w:ilvl w:val="0"/>
          <w:numId w:val="18"/>
        </w:numPr>
        <w:shd w:val="clear" w:color="auto" w:fill="FFFFFF"/>
        <w:spacing w:before="240"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Dentro de la respuesta a la solicitud de información</w:t>
      </w:r>
      <w:r w:rsidR="00A21AB9" w:rsidRPr="007B5359">
        <w:rPr>
          <w:rFonts w:ascii="Palatino Linotype" w:eastAsia="Times New Roman" w:hAnsi="Palatino Linotype" w:cs="Arial"/>
          <w:lang w:eastAsia="es-MX"/>
        </w:rPr>
        <w:t xml:space="preserve">, se </w:t>
      </w:r>
      <w:r w:rsidRPr="007B5359">
        <w:rPr>
          <w:rFonts w:ascii="Palatino Linotype" w:eastAsia="Times New Roman" w:hAnsi="Palatino Linotype" w:cs="Arial"/>
          <w:lang w:eastAsia="es-MX"/>
        </w:rPr>
        <w:t xml:space="preserve">remitió el Contrato para la Adquisición del Parque Vehicular que Requiere la Comisaría General de Seguridad Pública y Tránsito Municipal, celebrado entre el Ayuntamiento de Cuautitlán Izcalli y la empresa </w:t>
      </w:r>
      <w:proofErr w:type="spellStart"/>
      <w:r w:rsidRPr="007B5359">
        <w:rPr>
          <w:rFonts w:ascii="Palatino Linotype" w:eastAsia="Times New Roman" w:hAnsi="Palatino Linotype" w:cs="Arial"/>
          <w:i/>
          <w:lang w:eastAsia="es-MX"/>
        </w:rPr>
        <w:t>Cebenssi</w:t>
      </w:r>
      <w:proofErr w:type="spellEnd"/>
      <w:r w:rsidRPr="007B5359">
        <w:rPr>
          <w:rFonts w:ascii="Palatino Linotype" w:eastAsia="Times New Roman" w:hAnsi="Palatino Linotype" w:cs="Arial"/>
          <w:i/>
          <w:lang w:eastAsia="es-MX"/>
        </w:rPr>
        <w:t xml:space="preserve"> S.A. de C.V.</w:t>
      </w:r>
      <w:r w:rsidR="00A21AB9" w:rsidRPr="007B5359">
        <w:rPr>
          <w:rFonts w:ascii="Palatino Linotype" w:eastAsia="Times New Roman" w:hAnsi="Palatino Linotype" w:cs="Arial"/>
          <w:lang w:eastAsia="es-MX"/>
        </w:rPr>
        <w:t xml:space="preserve"> en </w:t>
      </w:r>
      <w:r w:rsidRPr="007B5359">
        <w:rPr>
          <w:rFonts w:ascii="Palatino Linotype" w:eastAsia="Times New Roman" w:hAnsi="Palatino Linotype" w:cs="Arial"/>
          <w:lang w:eastAsia="es-MX"/>
        </w:rPr>
        <w:t>el</w:t>
      </w:r>
      <w:r w:rsidR="00A21AB9" w:rsidRPr="007B5359">
        <w:rPr>
          <w:rFonts w:ascii="Palatino Linotype" w:eastAsia="Times New Roman" w:hAnsi="Palatino Linotype" w:cs="Arial"/>
          <w:lang w:eastAsia="es-MX"/>
        </w:rPr>
        <w:t xml:space="preserve"> cual se aprecia información que se relaciona con el estado de fuerza del </w:t>
      </w:r>
      <w:r w:rsidR="008E2BFA" w:rsidRPr="007B5359">
        <w:rPr>
          <w:rFonts w:ascii="Palatino Linotype" w:eastAsia="Times New Roman" w:hAnsi="Palatino Linotype" w:cs="Arial"/>
          <w:b/>
          <w:lang w:eastAsia="es-MX"/>
        </w:rPr>
        <w:t>SUJETO OBLIGADO</w:t>
      </w:r>
      <w:r w:rsidR="00A21AB9" w:rsidRPr="007B5359">
        <w:rPr>
          <w:rFonts w:ascii="Palatino Linotype" w:eastAsia="Times New Roman" w:hAnsi="Palatino Linotype" w:cs="Arial"/>
          <w:lang w:eastAsia="es-MX"/>
        </w:rPr>
        <w:t xml:space="preserve">, tal y como lo es el equipamiento de las patrullas adquiridas. </w:t>
      </w:r>
    </w:p>
    <w:p w:rsidR="00802887" w:rsidRPr="007B5359" w:rsidRDefault="00802887" w:rsidP="00802887">
      <w:pPr>
        <w:shd w:val="clear" w:color="auto" w:fill="FFFFFF"/>
        <w:spacing w:before="240" w:line="360" w:lineRule="auto"/>
        <w:contextualSpacing/>
        <w:jc w:val="both"/>
        <w:rPr>
          <w:rFonts w:ascii="Palatino Linotype" w:eastAsia="Times New Roman" w:hAnsi="Palatino Linotype" w:cs="Arial"/>
          <w:lang w:eastAsia="es-MX"/>
        </w:rPr>
      </w:pPr>
    </w:p>
    <w:p w:rsidR="00A21AB9" w:rsidRPr="007B5359" w:rsidRDefault="00A21AB9" w:rsidP="00A21AB9">
      <w:pPr>
        <w:numPr>
          <w:ilvl w:val="0"/>
          <w:numId w:val="18"/>
        </w:numPr>
        <w:shd w:val="clear" w:color="auto" w:fill="FFFFFF"/>
        <w:spacing w:before="240"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Divulgar la información donde se contengan estas especificaciones compromete la seguridad del Municipio, así como también pone en riesgo la vida e integridad de los elementos de policías. Toda vez que su divulgación pudiera dar lugar a que grupos criminales obtengan armamento y vehículos con mejores características para superar la capacidad de reacc</w:t>
      </w:r>
      <w:r w:rsidR="008E2BFA" w:rsidRPr="007B5359">
        <w:rPr>
          <w:rFonts w:ascii="Palatino Linotype" w:eastAsia="Times New Roman" w:hAnsi="Palatino Linotype" w:cs="Arial"/>
          <w:lang w:eastAsia="es-MX"/>
        </w:rPr>
        <w:t xml:space="preserve">ión de los elementos de policía, o </w:t>
      </w:r>
      <w:r w:rsidR="008E2BFA" w:rsidRPr="007B5359">
        <w:rPr>
          <w:rFonts w:ascii="Palatino Linotype" w:eastAsia="Times New Roman" w:hAnsi="Palatino Linotype" w:cs="Arial"/>
          <w:lang w:eastAsia="es-MX"/>
        </w:rPr>
        <w:lastRenderedPageBreak/>
        <w:t>bien, con las especificaciones técnicas señaladas en el contrato, es posible manufacturar vehículos policiales falsos idénticos a los reales.</w:t>
      </w:r>
    </w:p>
    <w:p w:rsidR="00A21AB9" w:rsidRPr="007B5359" w:rsidRDefault="00A21AB9" w:rsidP="00A21AB9">
      <w:pPr>
        <w:pStyle w:val="Prrafodelista"/>
        <w:rPr>
          <w:rFonts w:ascii="Palatino Linotype" w:eastAsia="Times New Roman" w:hAnsi="Palatino Linotype" w:cs="Arial"/>
          <w:lang w:eastAsia="es-MX"/>
        </w:rPr>
      </w:pPr>
    </w:p>
    <w:p w:rsidR="00A21AB9" w:rsidRPr="007B5359" w:rsidRDefault="00A21AB9" w:rsidP="00A21AB9">
      <w:pPr>
        <w:numPr>
          <w:ilvl w:val="0"/>
          <w:numId w:val="18"/>
        </w:numPr>
        <w:shd w:val="clear" w:color="auto" w:fill="FFFFFF"/>
        <w:spacing w:before="240"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 xml:space="preserve">Es por ello que, la información relacionada con las características técnicas del equipamiento </w:t>
      </w:r>
      <w:r w:rsidR="008E2BFA" w:rsidRPr="007B5359">
        <w:rPr>
          <w:rFonts w:ascii="Palatino Linotype" w:eastAsia="Times New Roman" w:hAnsi="Palatino Linotype" w:cs="Arial"/>
          <w:lang w:eastAsia="es-MX"/>
        </w:rPr>
        <w:t xml:space="preserve">de las </w:t>
      </w:r>
      <w:proofErr w:type="gramStart"/>
      <w:r w:rsidR="008E2BFA" w:rsidRPr="007B5359">
        <w:rPr>
          <w:rFonts w:ascii="Palatino Linotype" w:eastAsia="Times New Roman" w:hAnsi="Palatino Linotype" w:cs="Arial"/>
          <w:lang w:eastAsia="es-MX"/>
        </w:rPr>
        <w:t>patrullas</w:t>
      </w:r>
      <w:r w:rsidRPr="007B5359">
        <w:rPr>
          <w:rFonts w:ascii="Palatino Linotype" w:eastAsia="Times New Roman" w:hAnsi="Palatino Linotype" w:cs="Arial"/>
          <w:lang w:eastAsia="es-MX"/>
        </w:rPr>
        <w:t>,</w:t>
      </w:r>
      <w:proofErr w:type="gramEnd"/>
      <w:r w:rsidRPr="007B5359">
        <w:rPr>
          <w:rFonts w:ascii="Palatino Linotype" w:eastAsia="Times New Roman" w:hAnsi="Palatino Linotype" w:cs="Arial"/>
          <w:lang w:eastAsia="es-MX"/>
        </w:rPr>
        <w:t xml:space="preserve"> debe ser considerada como información reservada</w:t>
      </w:r>
      <w:r w:rsidR="00802887" w:rsidRPr="007B5359">
        <w:rPr>
          <w:rFonts w:ascii="Palatino Linotype" w:eastAsia="Times New Roman" w:hAnsi="Palatino Linotype" w:cs="Arial"/>
          <w:lang w:eastAsia="es-MX"/>
        </w:rPr>
        <w:t>.</w:t>
      </w:r>
    </w:p>
    <w:p w:rsidR="00A21AB9" w:rsidRPr="007B5359" w:rsidRDefault="00A21AB9" w:rsidP="00A21AB9">
      <w:pPr>
        <w:pStyle w:val="Prrafodelista"/>
        <w:rPr>
          <w:rFonts w:ascii="Palatino Linotype" w:eastAsia="Times New Roman" w:hAnsi="Palatino Linotype" w:cs="Arial"/>
          <w:lang w:eastAsia="es-MX"/>
        </w:rPr>
      </w:pPr>
    </w:p>
    <w:p w:rsidR="00A21AB9" w:rsidRPr="007B5359" w:rsidRDefault="00A21AB9" w:rsidP="00A21AB9">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rPr>
        <w:t xml:space="preserve">Los artículos 129 y 134 último párrafo de la Ley Estatal y 104 y 108 último párrafo de la Ley General, respectivamente, determinan que </w:t>
      </w:r>
      <w:r w:rsidRPr="007B5359">
        <w:rPr>
          <w:rFonts w:ascii="Palatino Linotype" w:hAnsi="Palatino Linotype"/>
          <w:b/>
        </w:rPr>
        <w:t>se debe realizar un análisis caso por caso</w:t>
      </w:r>
      <w:r w:rsidRPr="007B5359">
        <w:rPr>
          <w:rFonts w:ascii="Palatino Linotype" w:hAnsi="Palatino Linotype"/>
        </w:rPr>
        <w:t xml:space="preserve">,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misma que, se insiste, debe aplicarse caso por caso, esto es, </w:t>
      </w:r>
      <w:r w:rsidRPr="007B5359">
        <w:rPr>
          <w:rFonts w:ascii="Palatino Linotype" w:hAnsi="Palatino Linotype"/>
          <w:b/>
        </w:rPr>
        <w:t>no se puede hacer una prueba de daño de un expediente completo,</w:t>
      </w:r>
      <w:r w:rsidRPr="007B5359">
        <w:rPr>
          <w:rFonts w:ascii="Palatino Linotype" w:hAnsi="Palatino Linotype"/>
        </w:rPr>
        <w:t xml:space="preserve"> </w:t>
      </w:r>
      <w:r w:rsidRPr="007B5359">
        <w:rPr>
          <w:rFonts w:ascii="Palatino Linotype" w:hAnsi="Palatino Linotype"/>
          <w:b/>
          <w:u w:val="single"/>
        </w:rPr>
        <w:t>sino de cada uno de los documentos que lo integran</w:t>
      </w:r>
      <w:r w:rsidRPr="007B5359">
        <w:rPr>
          <w:rFonts w:ascii="Palatino Linotype" w:hAnsi="Palatino Linotype"/>
        </w:rPr>
        <w:t>.</w:t>
      </w:r>
    </w:p>
    <w:p w:rsidR="00A21AB9" w:rsidRPr="007B5359" w:rsidRDefault="00A21AB9" w:rsidP="00A21AB9">
      <w:pPr>
        <w:pStyle w:val="Prrafodelista"/>
        <w:rPr>
          <w:rFonts w:ascii="Palatino Linotype" w:hAnsi="Palatino Linotype" w:cs="Arial"/>
        </w:rPr>
      </w:pPr>
    </w:p>
    <w:p w:rsidR="00A21AB9" w:rsidRPr="007B5359" w:rsidRDefault="00A21AB9" w:rsidP="00A21AB9">
      <w:pPr>
        <w:pStyle w:val="Prrafodelista"/>
        <w:numPr>
          <w:ilvl w:val="0"/>
          <w:numId w:val="18"/>
        </w:numPr>
        <w:spacing w:line="360" w:lineRule="auto"/>
        <w:ind w:left="0" w:firstLine="0"/>
        <w:jc w:val="both"/>
        <w:rPr>
          <w:rFonts w:ascii="Palatino Linotype" w:hAnsi="Palatino Linotype" w:cs="Arial"/>
        </w:rPr>
      </w:pPr>
      <w:proofErr w:type="gramStart"/>
      <w:r w:rsidRPr="007B5359">
        <w:rPr>
          <w:rFonts w:ascii="Palatino Linotype" w:hAnsi="Palatino Linotype" w:cs="Arial"/>
        </w:rPr>
        <w:t>Primeramente</w:t>
      </w:r>
      <w:proofErr w:type="gramEnd"/>
      <w:r w:rsidRPr="007B5359">
        <w:rPr>
          <w:rFonts w:ascii="Palatino Linotype" w:hAnsi="Palatino Linotype" w:cs="Arial"/>
        </w:rPr>
        <w:t xml:space="preserve"> debemos referir que la información que se contiene en las especificaciones técnicas de los bienes adquiridos, actualiza la causal de reserva de la información contenida en la fracción I y IV del artículo 140 de la Ley de Transparencia Local y fracciones I y V de la Ley General de Transparencia, se inserta su contenido:</w:t>
      </w:r>
    </w:p>
    <w:p w:rsidR="00A21AB9" w:rsidRPr="007B5359" w:rsidRDefault="00A21AB9" w:rsidP="00A21AB9">
      <w:pPr>
        <w:pStyle w:val="Prrafodelista"/>
        <w:rPr>
          <w:rFonts w:ascii="Palatino Linotype" w:hAnsi="Palatino Linotype" w:cs="Arial"/>
        </w:rPr>
      </w:pPr>
    </w:p>
    <w:p w:rsidR="00A21AB9" w:rsidRPr="007B5359" w:rsidRDefault="00A21AB9" w:rsidP="00A21AB9">
      <w:pPr>
        <w:autoSpaceDE w:val="0"/>
        <w:autoSpaceDN w:val="0"/>
        <w:adjustRightInd w:val="0"/>
        <w:ind w:left="567" w:right="567"/>
        <w:jc w:val="both"/>
        <w:rPr>
          <w:rFonts w:ascii="Palatino Linotype" w:eastAsiaTheme="minorHAnsi" w:hAnsi="Palatino Linotype" w:cs="Bookman Old Style"/>
          <w:i/>
          <w:sz w:val="22"/>
          <w:szCs w:val="22"/>
          <w:lang w:val="es-MX" w:eastAsia="en-US"/>
        </w:rPr>
      </w:pPr>
      <w:r w:rsidRPr="007B5359">
        <w:rPr>
          <w:rFonts w:ascii="Palatino Linotype" w:eastAsiaTheme="minorHAnsi" w:hAnsi="Palatino Linotype" w:cs="Bookman Old Style,Bold"/>
          <w:b/>
          <w:bCs/>
          <w:i/>
          <w:sz w:val="22"/>
          <w:szCs w:val="22"/>
          <w:lang w:val="es-MX" w:eastAsia="en-US"/>
        </w:rPr>
        <w:t xml:space="preserve">Artículo 140. </w:t>
      </w:r>
      <w:r w:rsidRPr="007B5359">
        <w:rPr>
          <w:rFonts w:ascii="Palatino Linotype" w:eastAsiaTheme="minorHAnsi" w:hAnsi="Palatino Linotype" w:cs="Bookman Old Style"/>
          <w:i/>
          <w:sz w:val="22"/>
          <w:szCs w:val="22"/>
          <w:lang w:val="es-MX" w:eastAsia="en-US"/>
        </w:rPr>
        <w:t>El acceso a la información pública será restringido excepcionalmente, cuando por razones de interés público, ésta sea clasificada como reservada, conforme a los criterios siguientes:</w:t>
      </w:r>
    </w:p>
    <w:p w:rsidR="00A21AB9" w:rsidRPr="007B5359" w:rsidRDefault="00A21AB9" w:rsidP="00A21AB9">
      <w:pPr>
        <w:autoSpaceDE w:val="0"/>
        <w:autoSpaceDN w:val="0"/>
        <w:adjustRightInd w:val="0"/>
        <w:ind w:left="567" w:right="567"/>
        <w:jc w:val="both"/>
        <w:rPr>
          <w:rFonts w:ascii="Palatino Linotype" w:eastAsiaTheme="minorHAnsi" w:hAnsi="Palatino Linotype" w:cs="Bookman Old Style"/>
          <w:i/>
          <w:sz w:val="22"/>
          <w:szCs w:val="22"/>
          <w:lang w:val="es-MX" w:eastAsia="en-US"/>
        </w:rPr>
      </w:pPr>
    </w:p>
    <w:p w:rsidR="00A21AB9" w:rsidRPr="007B5359" w:rsidRDefault="00A21AB9" w:rsidP="00A21AB9">
      <w:pPr>
        <w:pStyle w:val="Prrafodelista"/>
        <w:spacing w:line="360" w:lineRule="auto"/>
        <w:ind w:left="567" w:right="567"/>
        <w:jc w:val="both"/>
        <w:rPr>
          <w:rFonts w:ascii="Palatino Linotype" w:eastAsiaTheme="minorHAnsi" w:hAnsi="Palatino Linotype" w:cs="Bookman Old Style"/>
          <w:i/>
          <w:sz w:val="22"/>
          <w:szCs w:val="22"/>
          <w:lang w:val="es-MX" w:eastAsia="en-US"/>
        </w:rPr>
      </w:pPr>
      <w:r w:rsidRPr="007B5359">
        <w:rPr>
          <w:rFonts w:ascii="Palatino Linotype" w:eastAsiaTheme="minorHAnsi" w:hAnsi="Palatino Linotype" w:cs="Bookman Old Style,Bold"/>
          <w:b/>
          <w:bCs/>
          <w:i/>
          <w:sz w:val="22"/>
          <w:szCs w:val="22"/>
          <w:lang w:val="es-MX" w:eastAsia="en-US"/>
        </w:rPr>
        <w:t xml:space="preserve">I. </w:t>
      </w:r>
      <w:r w:rsidRPr="007B5359">
        <w:rPr>
          <w:rFonts w:ascii="Palatino Linotype" w:eastAsiaTheme="minorHAnsi" w:hAnsi="Palatino Linotype" w:cs="Bookman Old Style"/>
          <w:i/>
          <w:sz w:val="22"/>
          <w:szCs w:val="22"/>
          <w:lang w:val="es-MX" w:eastAsia="en-US"/>
        </w:rPr>
        <w:t>Comprometa la seguridad pública y cuente con un propósito genuino y un efecto demostrable;</w:t>
      </w:r>
    </w:p>
    <w:p w:rsidR="00A21AB9" w:rsidRPr="007B5359" w:rsidRDefault="00A21AB9" w:rsidP="00A21AB9">
      <w:pPr>
        <w:pStyle w:val="Prrafodelista"/>
        <w:spacing w:line="360" w:lineRule="auto"/>
        <w:ind w:left="567" w:right="567"/>
        <w:jc w:val="both"/>
        <w:rPr>
          <w:rFonts w:ascii="Palatino Linotype" w:hAnsi="Palatino Linotype" w:cs="Arial"/>
          <w:i/>
          <w:sz w:val="22"/>
          <w:szCs w:val="22"/>
        </w:rPr>
      </w:pPr>
      <w:r w:rsidRPr="007B5359">
        <w:rPr>
          <w:rFonts w:ascii="Palatino Linotype" w:hAnsi="Palatino Linotype" w:cs="Arial"/>
          <w:i/>
          <w:sz w:val="22"/>
          <w:szCs w:val="22"/>
        </w:rPr>
        <w:t>…</w:t>
      </w:r>
    </w:p>
    <w:p w:rsidR="00A21AB9" w:rsidRPr="007B5359" w:rsidRDefault="00A21AB9" w:rsidP="00A21AB9">
      <w:pPr>
        <w:pStyle w:val="Prrafodelista"/>
        <w:spacing w:line="360" w:lineRule="auto"/>
        <w:ind w:left="567" w:right="567"/>
        <w:jc w:val="both"/>
        <w:rPr>
          <w:rFonts w:ascii="Palatino Linotype" w:hAnsi="Palatino Linotype" w:cs="Arial"/>
          <w:i/>
          <w:sz w:val="22"/>
          <w:szCs w:val="22"/>
        </w:rPr>
      </w:pPr>
      <w:r w:rsidRPr="007B5359">
        <w:rPr>
          <w:rFonts w:ascii="Palatino Linotype" w:eastAsiaTheme="minorHAnsi" w:hAnsi="Palatino Linotype" w:cs="Bookman Old Style,Bold"/>
          <w:b/>
          <w:bCs/>
          <w:i/>
          <w:sz w:val="22"/>
          <w:szCs w:val="22"/>
          <w:lang w:val="es-MX" w:eastAsia="en-US"/>
        </w:rPr>
        <w:lastRenderedPageBreak/>
        <w:t xml:space="preserve">IV. </w:t>
      </w:r>
      <w:r w:rsidRPr="007B5359">
        <w:rPr>
          <w:rFonts w:ascii="Palatino Linotype" w:eastAsiaTheme="minorHAnsi" w:hAnsi="Palatino Linotype" w:cs="Bookman Old Style"/>
          <w:i/>
          <w:sz w:val="22"/>
          <w:szCs w:val="22"/>
          <w:lang w:val="es-MX" w:eastAsia="en-US"/>
        </w:rPr>
        <w:t>Ponga en riesgo la vida, la seguridad o la salud de una persona física;</w:t>
      </w:r>
    </w:p>
    <w:p w:rsidR="00A21AB9" w:rsidRPr="007B5359" w:rsidRDefault="00A21AB9" w:rsidP="00A21AB9">
      <w:pPr>
        <w:pStyle w:val="Prrafodelista"/>
        <w:spacing w:line="360" w:lineRule="auto"/>
        <w:ind w:left="567" w:right="567"/>
        <w:jc w:val="both"/>
        <w:rPr>
          <w:rFonts w:ascii="Palatino Linotype" w:hAnsi="Palatino Linotype" w:cs="Arial"/>
          <w:i/>
          <w:sz w:val="22"/>
          <w:szCs w:val="22"/>
        </w:rPr>
      </w:pPr>
    </w:p>
    <w:p w:rsidR="00A21AB9" w:rsidRPr="007B5359" w:rsidRDefault="00A21AB9" w:rsidP="00A21AB9">
      <w:pPr>
        <w:pStyle w:val="Prrafodelista"/>
        <w:spacing w:line="360" w:lineRule="auto"/>
        <w:ind w:left="567" w:right="567"/>
        <w:jc w:val="both"/>
        <w:rPr>
          <w:rFonts w:ascii="Palatino Linotype" w:hAnsi="Palatino Linotype" w:cs="Arial"/>
          <w:i/>
          <w:sz w:val="22"/>
          <w:szCs w:val="22"/>
        </w:rPr>
      </w:pPr>
    </w:p>
    <w:p w:rsidR="00A21AB9" w:rsidRPr="007B5359" w:rsidRDefault="00A21AB9" w:rsidP="00A21AB9">
      <w:pPr>
        <w:autoSpaceDE w:val="0"/>
        <w:autoSpaceDN w:val="0"/>
        <w:adjustRightInd w:val="0"/>
        <w:ind w:left="567" w:right="567"/>
        <w:jc w:val="both"/>
        <w:rPr>
          <w:rFonts w:ascii="Palatino Linotype" w:eastAsiaTheme="minorHAnsi" w:hAnsi="Palatino Linotype" w:cs="Arial"/>
          <w:i/>
          <w:sz w:val="22"/>
          <w:szCs w:val="22"/>
          <w:lang w:val="es-MX" w:eastAsia="en-US"/>
        </w:rPr>
      </w:pPr>
      <w:r w:rsidRPr="007B5359">
        <w:rPr>
          <w:rFonts w:ascii="Palatino Linotype" w:eastAsiaTheme="minorHAnsi" w:hAnsi="Palatino Linotype" w:cs="Arial"/>
          <w:b/>
          <w:bCs/>
          <w:i/>
          <w:sz w:val="22"/>
          <w:szCs w:val="22"/>
          <w:lang w:val="es-MX" w:eastAsia="en-US"/>
        </w:rPr>
        <w:t xml:space="preserve">Artículo 113. </w:t>
      </w:r>
      <w:r w:rsidRPr="007B5359">
        <w:rPr>
          <w:rFonts w:ascii="Palatino Linotype" w:eastAsiaTheme="minorHAnsi" w:hAnsi="Palatino Linotype" w:cs="Arial"/>
          <w:i/>
          <w:sz w:val="22"/>
          <w:szCs w:val="22"/>
          <w:lang w:val="es-MX" w:eastAsia="en-US"/>
        </w:rPr>
        <w:t xml:space="preserve">Como información reservada podrá clasificarse aquella cuya publicación: </w:t>
      </w:r>
    </w:p>
    <w:p w:rsidR="00A21AB9" w:rsidRPr="007B5359" w:rsidRDefault="00A21AB9" w:rsidP="00A21AB9">
      <w:pPr>
        <w:autoSpaceDE w:val="0"/>
        <w:autoSpaceDN w:val="0"/>
        <w:adjustRightInd w:val="0"/>
        <w:ind w:left="567" w:right="567"/>
        <w:jc w:val="both"/>
        <w:rPr>
          <w:rFonts w:ascii="Palatino Linotype" w:eastAsiaTheme="minorHAnsi" w:hAnsi="Palatino Linotype" w:cs="Arial"/>
          <w:i/>
          <w:sz w:val="22"/>
          <w:szCs w:val="22"/>
          <w:lang w:val="es-MX" w:eastAsia="en-US"/>
        </w:rPr>
      </w:pPr>
    </w:p>
    <w:p w:rsidR="00A21AB9" w:rsidRPr="007B5359" w:rsidRDefault="00A21AB9" w:rsidP="00A21AB9">
      <w:pPr>
        <w:pStyle w:val="Prrafodelista"/>
        <w:spacing w:line="360" w:lineRule="auto"/>
        <w:ind w:left="567" w:right="567"/>
        <w:jc w:val="both"/>
        <w:rPr>
          <w:rFonts w:ascii="Palatino Linotype" w:hAnsi="Palatino Linotype" w:cs="Arial"/>
          <w:i/>
          <w:sz w:val="22"/>
          <w:szCs w:val="22"/>
        </w:rPr>
      </w:pPr>
      <w:r w:rsidRPr="007B5359">
        <w:rPr>
          <w:rFonts w:ascii="Palatino Linotype" w:eastAsiaTheme="minorHAnsi" w:hAnsi="Palatino Linotype" w:cs="Arial"/>
          <w:i/>
          <w:sz w:val="22"/>
          <w:szCs w:val="22"/>
          <w:lang w:val="es-MX" w:eastAsia="en-US"/>
        </w:rPr>
        <w:t>I. Comprometa la seguridad nacional, la seguridad pública o la defensa nacional y cuente con un propósito genuino y un efecto demostrable;</w:t>
      </w:r>
    </w:p>
    <w:p w:rsidR="00A21AB9" w:rsidRPr="007B5359" w:rsidRDefault="00A21AB9" w:rsidP="00A21AB9">
      <w:pPr>
        <w:ind w:left="567" w:right="567"/>
        <w:jc w:val="both"/>
        <w:rPr>
          <w:rFonts w:ascii="Palatino Linotype" w:hAnsi="Palatino Linotype" w:cs="Arial"/>
          <w:i/>
          <w:sz w:val="22"/>
          <w:szCs w:val="22"/>
        </w:rPr>
      </w:pPr>
      <w:r w:rsidRPr="007B5359">
        <w:rPr>
          <w:rFonts w:ascii="Palatino Linotype" w:hAnsi="Palatino Linotype" w:cs="Arial"/>
          <w:i/>
          <w:sz w:val="22"/>
          <w:szCs w:val="22"/>
        </w:rPr>
        <w:t>…</w:t>
      </w:r>
    </w:p>
    <w:p w:rsidR="00A21AB9" w:rsidRPr="007B5359" w:rsidRDefault="00A21AB9" w:rsidP="00A21AB9">
      <w:pPr>
        <w:ind w:left="567" w:right="567"/>
        <w:jc w:val="both"/>
        <w:rPr>
          <w:rFonts w:ascii="Palatino Linotype" w:hAnsi="Palatino Linotype"/>
          <w:i/>
          <w:sz w:val="22"/>
          <w:szCs w:val="22"/>
        </w:rPr>
      </w:pPr>
      <w:r w:rsidRPr="007B5359">
        <w:rPr>
          <w:rFonts w:ascii="Palatino Linotype" w:hAnsi="Palatino Linotype"/>
          <w:i/>
          <w:sz w:val="22"/>
          <w:szCs w:val="22"/>
        </w:rPr>
        <w:t>V. Pueda poner en riesgo la vida, seguridad o salud de una persona física;</w:t>
      </w:r>
    </w:p>
    <w:p w:rsidR="00A21AB9" w:rsidRPr="007B5359" w:rsidRDefault="00A21AB9" w:rsidP="00A21AB9">
      <w:pPr>
        <w:rPr>
          <w:rFonts w:ascii="Palatino Linotype" w:hAnsi="Palatino Linotype" w:cs="Arial"/>
        </w:rPr>
      </w:pPr>
    </w:p>
    <w:p w:rsidR="00A21AB9" w:rsidRPr="007B5359" w:rsidRDefault="00A21AB9" w:rsidP="00A21AB9">
      <w:pPr>
        <w:pStyle w:val="Prrafodelista"/>
        <w:rPr>
          <w:rFonts w:ascii="Palatino Linotype" w:hAnsi="Palatino Linotype" w:cs="Arial"/>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 xml:space="preserve">Los </w:t>
      </w:r>
      <w:r w:rsidRPr="007B5359">
        <w:rPr>
          <w:rFonts w:ascii="Palatino Linotype" w:hAnsi="Palatino Linotype"/>
          <w:b/>
        </w:rPr>
        <w:t>Lineamientos generales en materia de clasificación y desclasificación de la información, así como para la elaboración de versiones públicas,</w:t>
      </w:r>
      <w:r w:rsidRPr="007B5359">
        <w:rPr>
          <w:rStyle w:val="Refdenotaalpie"/>
          <w:rFonts w:ascii="Palatino Linotype" w:hAnsi="Palatino Linotype"/>
        </w:rPr>
        <w:footnoteReference w:id="23"/>
      </w:r>
      <w:r w:rsidRPr="007B5359">
        <w:rPr>
          <w:rFonts w:ascii="Palatino Linotype" w:hAnsi="Palatino Linotype"/>
          <w:b/>
        </w:rPr>
        <w:t xml:space="preserve"> </w:t>
      </w:r>
      <w:r w:rsidRPr="007B5359">
        <w:rPr>
          <w:rFonts w:ascii="Palatino Linotype" w:hAnsi="Palatino Linotype"/>
        </w:rPr>
        <w:t>al respecto refieren lo siguiente:</w:t>
      </w:r>
    </w:p>
    <w:p w:rsidR="00A21AB9" w:rsidRPr="007B5359" w:rsidRDefault="00A21AB9" w:rsidP="00A21AB9">
      <w:pPr>
        <w:shd w:val="clear" w:color="auto" w:fill="FFFFFF"/>
        <w:spacing w:line="360" w:lineRule="auto"/>
        <w:ind w:left="567" w:right="567"/>
        <w:jc w:val="both"/>
        <w:rPr>
          <w:rFonts w:ascii="Palatino Linotype" w:eastAsia="Times New Roman" w:hAnsi="Palatino Linotype" w:cs="Arial"/>
          <w:i/>
          <w:sz w:val="22"/>
          <w:szCs w:val="18"/>
          <w:lang w:val="es-MX" w:eastAsia="es-MX"/>
        </w:rPr>
      </w:pPr>
      <w:r w:rsidRPr="007B5359">
        <w:rPr>
          <w:rFonts w:ascii="Palatino Linotype" w:eastAsia="Times New Roman" w:hAnsi="Palatino Linotype" w:cs="Arial"/>
          <w:b/>
          <w:bCs/>
          <w:i/>
          <w:sz w:val="22"/>
          <w:szCs w:val="18"/>
          <w:lang w:val="es-MX" w:eastAsia="es-MX"/>
        </w:rPr>
        <w:t>Décimo octavo. </w:t>
      </w:r>
      <w:r w:rsidRPr="007B5359">
        <w:rPr>
          <w:rFonts w:ascii="Palatino Linotype" w:eastAsia="Times New Roman" w:hAnsi="Palatino Linotype" w:cs="Arial"/>
          <w:i/>
          <w:sz w:val="22"/>
          <w:szCs w:val="18"/>
          <w:lang w:val="es-MX" w:eastAsia="es-MX"/>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A21AB9" w:rsidRPr="007B5359" w:rsidRDefault="00A21AB9" w:rsidP="00A21AB9">
      <w:pPr>
        <w:shd w:val="clear" w:color="auto" w:fill="FFFFFF"/>
        <w:spacing w:line="360" w:lineRule="auto"/>
        <w:ind w:left="567" w:right="567"/>
        <w:jc w:val="both"/>
        <w:rPr>
          <w:rFonts w:ascii="Palatino Linotype" w:eastAsia="Times New Roman" w:hAnsi="Palatino Linotype" w:cs="Arial"/>
          <w:i/>
          <w:sz w:val="22"/>
          <w:szCs w:val="18"/>
          <w:lang w:val="es-MX" w:eastAsia="es-MX"/>
        </w:rPr>
      </w:pPr>
    </w:p>
    <w:p w:rsidR="00A21AB9" w:rsidRPr="007B5359" w:rsidRDefault="00A21AB9" w:rsidP="00A21AB9">
      <w:pPr>
        <w:shd w:val="clear" w:color="auto" w:fill="FFFFFF"/>
        <w:spacing w:line="360" w:lineRule="auto"/>
        <w:ind w:left="567" w:right="567"/>
        <w:jc w:val="both"/>
        <w:rPr>
          <w:rFonts w:ascii="Palatino Linotype" w:eastAsia="Times New Roman" w:hAnsi="Palatino Linotype" w:cs="Arial"/>
          <w:i/>
          <w:sz w:val="22"/>
          <w:szCs w:val="18"/>
          <w:lang w:val="es-MX" w:eastAsia="es-MX"/>
        </w:rPr>
      </w:pPr>
      <w:r w:rsidRPr="007B5359">
        <w:rPr>
          <w:rFonts w:ascii="Palatino Linotype" w:eastAsia="Times New Roman" w:hAnsi="Palatino Linotype" w:cs="Arial"/>
          <w:i/>
          <w:sz w:val="22"/>
          <w:szCs w:val="18"/>
          <w:lang w:val="es-MX" w:eastAsia="es-MX"/>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rsidR="00A21AB9" w:rsidRPr="007B5359" w:rsidRDefault="00A21AB9" w:rsidP="00A21AB9">
      <w:pPr>
        <w:shd w:val="clear" w:color="auto" w:fill="FFFFFF"/>
        <w:spacing w:line="360" w:lineRule="auto"/>
        <w:ind w:left="567" w:right="567"/>
        <w:jc w:val="both"/>
        <w:rPr>
          <w:rFonts w:ascii="Palatino Linotype" w:eastAsia="Times New Roman" w:hAnsi="Palatino Linotype" w:cs="Arial"/>
          <w:i/>
          <w:sz w:val="22"/>
          <w:szCs w:val="18"/>
          <w:lang w:val="es-MX" w:eastAsia="es-MX"/>
        </w:rPr>
      </w:pPr>
      <w:r w:rsidRPr="007B5359">
        <w:rPr>
          <w:rFonts w:ascii="Palatino Linotype" w:eastAsia="Times New Roman" w:hAnsi="Palatino Linotype" w:cs="Arial"/>
          <w:i/>
          <w:sz w:val="22"/>
          <w:szCs w:val="18"/>
          <w:lang w:val="es-MX" w:eastAsia="es-MX"/>
        </w:rPr>
        <w:lastRenderedPageBreak/>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00A21AB9" w:rsidRPr="007B5359" w:rsidRDefault="00A21AB9" w:rsidP="00A21AB9">
      <w:pPr>
        <w:shd w:val="clear" w:color="auto" w:fill="FFFFFF"/>
        <w:spacing w:line="360" w:lineRule="auto"/>
        <w:ind w:left="567" w:right="567"/>
        <w:jc w:val="both"/>
        <w:rPr>
          <w:rFonts w:ascii="Palatino Linotype" w:eastAsia="Times New Roman" w:hAnsi="Palatino Linotype" w:cs="Arial"/>
          <w:i/>
          <w:sz w:val="22"/>
          <w:szCs w:val="18"/>
          <w:lang w:val="es-MX" w:eastAsia="es-MX"/>
        </w:rPr>
      </w:pPr>
      <w:r w:rsidRPr="007B5359">
        <w:rPr>
          <w:rFonts w:ascii="Palatino Linotype" w:eastAsia="Times New Roman" w:hAnsi="Palatino Linotype" w:cs="Arial"/>
          <w:i/>
          <w:sz w:val="22"/>
          <w:szCs w:val="18"/>
          <w:lang w:val="es-MX" w:eastAsia="es-MX"/>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A21AB9" w:rsidRPr="007B5359" w:rsidRDefault="00A21AB9" w:rsidP="00A21AB9">
      <w:pPr>
        <w:shd w:val="clear" w:color="auto" w:fill="FFFFFF"/>
        <w:spacing w:line="360" w:lineRule="auto"/>
        <w:ind w:left="567" w:right="567"/>
        <w:jc w:val="both"/>
        <w:rPr>
          <w:rFonts w:ascii="Palatino Linotype" w:eastAsia="Times New Roman" w:hAnsi="Palatino Linotype" w:cs="Arial"/>
          <w:i/>
          <w:sz w:val="22"/>
          <w:szCs w:val="22"/>
          <w:lang w:val="es-MX" w:eastAsia="es-MX"/>
        </w:rPr>
      </w:pPr>
      <w:r w:rsidRPr="007B5359">
        <w:rPr>
          <w:rFonts w:ascii="Palatino Linotype" w:eastAsia="Times New Roman" w:hAnsi="Palatino Linotype" w:cs="Arial"/>
          <w:i/>
          <w:sz w:val="22"/>
          <w:szCs w:val="22"/>
          <w:lang w:val="es-MX" w:eastAsia="es-MX"/>
        </w:rPr>
        <w:t xml:space="preserve">… </w:t>
      </w:r>
    </w:p>
    <w:p w:rsidR="00A21AB9" w:rsidRPr="007B5359" w:rsidRDefault="00A21AB9" w:rsidP="00A21AB9">
      <w:pPr>
        <w:shd w:val="clear" w:color="auto" w:fill="FFFFFF"/>
        <w:spacing w:line="360" w:lineRule="auto"/>
        <w:ind w:left="567" w:right="567"/>
        <w:jc w:val="both"/>
        <w:rPr>
          <w:rFonts w:ascii="Palatino Linotype" w:eastAsia="Times New Roman" w:hAnsi="Palatino Linotype" w:cs="Arial"/>
          <w:i/>
          <w:sz w:val="22"/>
          <w:szCs w:val="22"/>
          <w:lang w:val="es-MX" w:eastAsia="es-MX"/>
        </w:rPr>
      </w:pPr>
      <w:r w:rsidRPr="007B5359">
        <w:rPr>
          <w:rFonts w:ascii="Palatino Linotype" w:hAnsi="Palatino Linotype" w:cs="Helvetica"/>
          <w:b/>
          <w:bCs/>
          <w:i/>
          <w:sz w:val="22"/>
          <w:szCs w:val="22"/>
          <w:shd w:val="clear" w:color="auto" w:fill="FFFFFF"/>
        </w:rPr>
        <w:t>Vigésimo tercero.</w:t>
      </w:r>
      <w:r w:rsidRPr="007B5359">
        <w:rPr>
          <w:rFonts w:ascii="Palatino Linotype" w:hAnsi="Palatino Linotype" w:cs="Helvetica"/>
          <w:i/>
          <w:sz w:val="22"/>
          <w:szCs w:val="22"/>
          <w:shd w:val="clear" w:color="auto" w:fill="FFFFFF"/>
        </w:rPr>
        <w:t> Para clasificar la información como reservada, de conformidad con el artículo 113, fracción V de la Ley General, será necesario acreditar un vínculo, entre la persona física y la información que pueda poner en riesgo su vida, seguridad o salud.</w:t>
      </w:r>
    </w:p>
    <w:p w:rsidR="00A21AB9" w:rsidRPr="007B5359" w:rsidRDefault="00A21AB9" w:rsidP="00A21AB9">
      <w:pPr>
        <w:shd w:val="clear" w:color="auto" w:fill="FFFFFF"/>
        <w:spacing w:line="360" w:lineRule="auto"/>
        <w:jc w:val="both"/>
        <w:rPr>
          <w:rFonts w:ascii="Palatino Linotype" w:eastAsia="Times New Roman" w:hAnsi="Palatino Linotype" w:cs="Arial"/>
          <w:i/>
          <w:sz w:val="22"/>
          <w:szCs w:val="18"/>
          <w:lang w:val="es-MX" w:eastAsia="es-MX"/>
        </w:rPr>
      </w:pPr>
    </w:p>
    <w:p w:rsidR="00A21AB9" w:rsidRPr="007B5359" w:rsidRDefault="00A21AB9" w:rsidP="00A21AB9">
      <w:pPr>
        <w:pStyle w:val="Prrafodelista"/>
        <w:numPr>
          <w:ilvl w:val="0"/>
          <w:numId w:val="18"/>
        </w:numPr>
        <w:spacing w:line="360" w:lineRule="auto"/>
        <w:ind w:left="0" w:firstLine="0"/>
        <w:jc w:val="both"/>
        <w:rPr>
          <w:rFonts w:ascii="Palatino Linotype" w:hAnsi="Palatino Linotype" w:cs="Arial"/>
        </w:rPr>
      </w:pPr>
      <w:r w:rsidRPr="007B5359">
        <w:rPr>
          <w:rFonts w:ascii="Palatino Linotype" w:hAnsi="Palatino Linotype"/>
        </w:rPr>
        <w:t>Para aplicar la prueba de daño, se deberán de precisar las razones objetivas por las que la apertura de la información genera una afectación, acreditando que:</w:t>
      </w:r>
    </w:p>
    <w:p w:rsidR="00802887" w:rsidRPr="007B5359" w:rsidRDefault="00802887" w:rsidP="00802887">
      <w:pPr>
        <w:pStyle w:val="Prrafodelista"/>
        <w:spacing w:line="360" w:lineRule="auto"/>
        <w:ind w:left="0"/>
        <w:jc w:val="both"/>
        <w:rPr>
          <w:rFonts w:ascii="Palatino Linotype" w:hAnsi="Palatino Linotype" w:cs="Arial"/>
        </w:rPr>
      </w:pPr>
    </w:p>
    <w:p w:rsidR="00A21AB9" w:rsidRPr="007B5359" w:rsidRDefault="00A21AB9" w:rsidP="00A21AB9">
      <w:pPr>
        <w:widowControl w:val="0"/>
        <w:autoSpaceDE w:val="0"/>
        <w:autoSpaceDN w:val="0"/>
        <w:adjustRightInd w:val="0"/>
        <w:spacing w:after="240" w:line="360" w:lineRule="auto"/>
        <w:ind w:left="851" w:right="333"/>
        <w:jc w:val="both"/>
        <w:rPr>
          <w:rFonts w:ascii="Palatino Linotype" w:hAnsi="Palatino Linotype" w:cs="Times"/>
        </w:rPr>
      </w:pPr>
      <w:r w:rsidRPr="007B5359">
        <w:rPr>
          <w:rFonts w:ascii="Palatino Linotype" w:hAnsi="Palatino Linotype" w:cs="Bookman Old Style"/>
          <w:bCs/>
        </w:rPr>
        <w:t xml:space="preserve">I. </w:t>
      </w:r>
      <w:r w:rsidRPr="007B5359">
        <w:rPr>
          <w:rFonts w:ascii="Palatino Linotype" w:hAnsi="Palatino Linotype" w:cs="Bookman Old Style"/>
        </w:rPr>
        <w:t xml:space="preserve">La divulgación de la información representa un riesgo real, demostrable e identificable del perjuicio significativo al interés público o a la seguridad pública; </w:t>
      </w:r>
    </w:p>
    <w:p w:rsidR="00A21AB9" w:rsidRPr="007B5359" w:rsidRDefault="00A21AB9" w:rsidP="00A21AB9">
      <w:pPr>
        <w:widowControl w:val="0"/>
        <w:autoSpaceDE w:val="0"/>
        <w:autoSpaceDN w:val="0"/>
        <w:adjustRightInd w:val="0"/>
        <w:spacing w:after="240" w:line="360" w:lineRule="auto"/>
        <w:ind w:left="851" w:right="333"/>
        <w:jc w:val="both"/>
        <w:rPr>
          <w:rFonts w:ascii="Palatino Linotype" w:hAnsi="Palatino Linotype" w:cs="Times"/>
        </w:rPr>
      </w:pPr>
      <w:r w:rsidRPr="007B5359">
        <w:rPr>
          <w:rFonts w:ascii="Palatino Linotype" w:hAnsi="Palatino Linotype" w:cs="Bookman Old Style"/>
          <w:bCs/>
        </w:rPr>
        <w:t xml:space="preserve">II. </w:t>
      </w:r>
      <w:r w:rsidRPr="007B5359">
        <w:rPr>
          <w:rFonts w:ascii="Palatino Linotype" w:hAnsi="Palatino Linotype" w:cs="Bookman Old Style"/>
        </w:rPr>
        <w:t xml:space="preserve">El riesgo de perjuicio que supondría la divulgación supera el interés público general de que se difunda; y </w:t>
      </w:r>
    </w:p>
    <w:p w:rsidR="00A21AB9" w:rsidRPr="007B5359" w:rsidRDefault="00A21AB9" w:rsidP="00A21AB9">
      <w:pPr>
        <w:widowControl w:val="0"/>
        <w:autoSpaceDE w:val="0"/>
        <w:autoSpaceDN w:val="0"/>
        <w:adjustRightInd w:val="0"/>
        <w:spacing w:after="240" w:line="360" w:lineRule="auto"/>
        <w:ind w:left="851" w:right="333"/>
        <w:jc w:val="both"/>
        <w:rPr>
          <w:rFonts w:ascii="Palatino Linotype" w:hAnsi="Palatino Linotype" w:cs="Times"/>
        </w:rPr>
      </w:pPr>
      <w:r w:rsidRPr="007B5359">
        <w:rPr>
          <w:rFonts w:ascii="Palatino Linotype" w:hAnsi="Palatino Linotype" w:cs="Bookman Old Style"/>
          <w:bCs/>
        </w:rPr>
        <w:t xml:space="preserve">III. </w:t>
      </w:r>
      <w:r w:rsidRPr="007B5359">
        <w:rPr>
          <w:rFonts w:ascii="Palatino Linotype" w:hAnsi="Palatino Linotype" w:cs="Bookman Old Style"/>
        </w:rPr>
        <w:t xml:space="preserve">La limitación se adecua al principio de proporcionalidad y representa el medio menos restrictivo disponible para evitar el perjuicio. </w:t>
      </w: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lastRenderedPageBreak/>
        <w:t>Sobre el primer supuesto consideremos que según el diccionario del español jurídico, por riesgo podemos entender “la contingencia o proximidad de un daño”,</w:t>
      </w:r>
      <w:r w:rsidRPr="007B5359">
        <w:rPr>
          <w:rStyle w:val="Refdenotaalpie"/>
          <w:rFonts w:ascii="Palatino Linotype" w:hAnsi="Palatino Linotype"/>
        </w:rPr>
        <w:footnoteReference w:id="24"/>
      </w:r>
      <w:r w:rsidRPr="007B5359">
        <w:rPr>
          <w:rFonts w:ascii="Palatino Linotype" w:hAnsi="Palatino Linotype"/>
        </w:rPr>
        <w:t xml:space="preserve"> mientras que el daño es considerado como un “perjuicio o lesión”</w:t>
      </w:r>
      <w:r w:rsidRPr="007B5359">
        <w:rPr>
          <w:rStyle w:val="Refdenotaalpie"/>
          <w:rFonts w:ascii="Palatino Linotype" w:hAnsi="Palatino Linotype"/>
        </w:rPr>
        <w:footnoteReference w:id="25"/>
      </w:r>
      <w:r w:rsidRPr="007B5359">
        <w:rPr>
          <w:rFonts w:ascii="Palatino Linotype" w:hAnsi="Palatino Linotype"/>
        </w:rPr>
        <w:t>; por su parte, según el Diccionario de la Lengua Española, lo real es</w:t>
      </w:r>
      <w:r w:rsidRPr="007B5359">
        <w:rPr>
          <w:rFonts w:ascii="Palatino Linotype" w:eastAsia="Arial Unicode MS" w:hAnsi="Palatino Linotype" w:cs="Arial Unicode MS"/>
          <w:spacing w:val="4"/>
          <w:shd w:val="clear" w:color="auto" w:fill="FFFFFF"/>
        </w:rPr>
        <w:t> lo “</w:t>
      </w:r>
      <w:r w:rsidRPr="007B5359">
        <w:rPr>
          <w:rFonts w:ascii="Palatino Linotype" w:eastAsia="Times New Roman" w:hAnsi="Palatino Linotype"/>
        </w:rPr>
        <w:t>(q)</w:t>
      </w:r>
      <w:proofErr w:type="spellStart"/>
      <w:r w:rsidRPr="007B5359">
        <w:rPr>
          <w:rFonts w:ascii="Palatino Linotype" w:eastAsia="Times New Roman" w:hAnsi="Palatino Linotype"/>
        </w:rPr>
        <w:t>ue</w:t>
      </w:r>
      <w:proofErr w:type="spellEnd"/>
      <w:r w:rsidRPr="007B5359">
        <w:rPr>
          <w:rFonts w:ascii="Palatino Linotype" w:eastAsia="Arial Unicode MS" w:hAnsi="Palatino Linotype" w:cs="Arial Unicode MS"/>
          <w:spacing w:val="4"/>
          <w:shd w:val="clear" w:color="auto" w:fill="FFFFFF"/>
        </w:rPr>
        <w:t> </w:t>
      </w:r>
      <w:r w:rsidRPr="007B5359">
        <w:rPr>
          <w:rFonts w:ascii="Palatino Linotype" w:eastAsia="Times New Roman" w:hAnsi="Palatino Linotype"/>
        </w:rPr>
        <w:t>tiene</w:t>
      </w:r>
      <w:r w:rsidRPr="007B5359">
        <w:rPr>
          <w:rFonts w:ascii="Palatino Linotype" w:eastAsia="Arial Unicode MS" w:hAnsi="Palatino Linotype" w:cs="Arial Unicode MS"/>
          <w:spacing w:val="4"/>
          <w:shd w:val="clear" w:color="auto" w:fill="FFFFFF"/>
        </w:rPr>
        <w:t> </w:t>
      </w:r>
      <w:r w:rsidRPr="007B5359">
        <w:rPr>
          <w:rFonts w:ascii="Palatino Linotype" w:eastAsia="Times New Roman" w:hAnsi="Palatino Linotype"/>
        </w:rPr>
        <w:t>existencia</w:t>
      </w:r>
      <w:r w:rsidRPr="007B5359">
        <w:rPr>
          <w:rFonts w:ascii="Palatino Linotype" w:eastAsia="Arial Unicode MS" w:hAnsi="Palatino Linotype" w:cs="Arial Unicode MS"/>
          <w:spacing w:val="4"/>
          <w:shd w:val="clear" w:color="auto" w:fill="FFFFFF"/>
        </w:rPr>
        <w:t> </w:t>
      </w:r>
      <w:r w:rsidRPr="007B5359">
        <w:rPr>
          <w:rFonts w:ascii="Palatino Linotype" w:eastAsia="Times New Roman" w:hAnsi="Palatino Linotype"/>
        </w:rPr>
        <w:t>objetiva”,</w:t>
      </w:r>
      <w:r w:rsidRPr="007B5359">
        <w:rPr>
          <w:rStyle w:val="Refdenotaalpie"/>
          <w:rFonts w:ascii="Palatino Linotype" w:eastAsia="Times New Roman" w:hAnsi="Palatino Linotype"/>
        </w:rPr>
        <w:footnoteReference w:id="26"/>
      </w:r>
      <w:r w:rsidRPr="007B5359">
        <w:rPr>
          <w:rFonts w:ascii="Palatino Linotype" w:eastAsia="Times New Roman" w:hAnsi="Palatino Linotype"/>
        </w:rPr>
        <w:t xml:space="preserve"> </w:t>
      </w:r>
      <w:r w:rsidRPr="007B5359">
        <w:rPr>
          <w:rFonts w:ascii="Palatino Linotype" w:eastAsia="Arial Unicode MS" w:hAnsi="Palatino Linotype" w:cs="Arial Unicode MS"/>
          <w:spacing w:val="4"/>
          <w:shd w:val="clear" w:color="auto" w:fill="FFFFFF"/>
        </w:rPr>
        <w:t>mientras que lo demostrables es, según la misma fuente, aquello que se puede demostrar,</w:t>
      </w:r>
      <w:r w:rsidRPr="007B5359">
        <w:rPr>
          <w:rStyle w:val="Refdenotaalpie"/>
          <w:rFonts w:ascii="Palatino Linotype" w:eastAsia="Arial Unicode MS" w:hAnsi="Palatino Linotype" w:cs="Arial Unicode MS"/>
          <w:spacing w:val="4"/>
          <w:shd w:val="clear" w:color="auto" w:fill="FFFFFF"/>
        </w:rPr>
        <w:footnoteReference w:id="27"/>
      </w:r>
      <w:r w:rsidRPr="007B5359">
        <w:rPr>
          <w:rFonts w:ascii="Palatino Linotype" w:eastAsia="Arial Unicode MS" w:hAnsi="Palatino Linotype" w:cs="Arial Unicode MS"/>
          <w:spacing w:val="4"/>
          <w:shd w:val="clear" w:color="auto" w:fill="FFFFFF"/>
        </w:rPr>
        <w:t xml:space="preserve"> es decir, </w:t>
      </w:r>
      <w:r w:rsidRPr="007B5359">
        <w:rPr>
          <w:rFonts w:ascii="Palatino Linotype" w:hAnsi="Palatino Linotype" w:cstheme="minorBidi"/>
          <w:lang w:val="es-MX" w:eastAsia="en-US"/>
        </w:rPr>
        <w:t>“(m)anifestar, declarar. Probar, sirviéndose de cualquier género de demostración, </w:t>
      </w:r>
      <w:r w:rsidR="00F11A7E" w:rsidRPr="007B5359">
        <w:fldChar w:fldCharType="begin"/>
      </w:r>
      <w:r w:rsidR="00F11A7E" w:rsidRPr="007B5359">
        <w:instrText xml:space="preserve"> HYPERLINK "http://dle.rae.es/?id=FdI00Or" \l "6nAyKjE" </w:instrText>
      </w:r>
      <w:r w:rsidR="00F11A7E" w:rsidRPr="007B5359">
        <w:fldChar w:fldCharType="separate"/>
      </w:r>
      <w:r w:rsidRPr="007B5359">
        <w:rPr>
          <w:rFonts w:ascii="Palatino Linotype" w:hAnsi="Palatino Linotype" w:cstheme="minorBidi"/>
          <w:lang w:val="es-MX" w:eastAsia="en-US"/>
        </w:rPr>
        <w:t>enseñar</w:t>
      </w:r>
      <w:r w:rsidR="00F11A7E" w:rsidRPr="007B5359">
        <w:rPr>
          <w:rFonts w:ascii="Palatino Linotype" w:hAnsi="Palatino Linotype" w:cstheme="minorBidi"/>
          <w:lang w:val="es-MX" w:eastAsia="en-US"/>
        </w:rPr>
        <w:fldChar w:fldCharType="end"/>
      </w:r>
      <w:r w:rsidRPr="007B5359">
        <w:rPr>
          <w:rFonts w:ascii="Palatino Linotype" w:hAnsi="Palatino Linotype" w:cstheme="minorBidi"/>
          <w:lang w:val="es-MX" w:eastAsia="en-US"/>
        </w:rPr>
        <w:t> mostrar o exponer algo)”.</w:t>
      </w:r>
      <w:r w:rsidRPr="007B5359">
        <w:rPr>
          <w:rStyle w:val="Refdenotaalpie"/>
          <w:rFonts w:ascii="Palatino Linotype" w:hAnsi="Palatino Linotype" w:cstheme="minorBidi"/>
          <w:lang w:val="es-MX" w:eastAsia="en-US"/>
        </w:rPr>
        <w:footnoteReference w:id="28"/>
      </w:r>
      <w:r w:rsidRPr="007B5359">
        <w:rPr>
          <w:rFonts w:ascii="Palatino Linotype" w:hAnsi="Palatino Linotype" w:cstheme="minorBidi"/>
          <w:lang w:val="es-MX" w:eastAsia="en-US"/>
        </w:rPr>
        <w:t xml:space="preserve"> Lo identificable es lo que puede ser identificado,</w:t>
      </w:r>
      <w:r w:rsidRPr="007B5359">
        <w:rPr>
          <w:rStyle w:val="Refdenotaalpie"/>
          <w:rFonts w:ascii="Palatino Linotype" w:hAnsi="Palatino Linotype" w:cstheme="minorBidi"/>
          <w:lang w:val="es-MX" w:eastAsia="en-US"/>
        </w:rPr>
        <w:footnoteReference w:id="29"/>
      </w:r>
      <w:r w:rsidRPr="007B5359">
        <w:rPr>
          <w:rFonts w:ascii="Palatino Linotype" w:hAnsi="Palatino Linotype" w:cstheme="minorBidi"/>
          <w:lang w:val="es-MX" w:eastAsia="en-US"/>
        </w:rPr>
        <w:t xml:space="preserve"> esto es,</w:t>
      </w:r>
      <w:r w:rsidRPr="007B5359">
        <w:rPr>
          <w:rFonts w:ascii="Palatino Linotype" w:hAnsi="Palatino Linotype" w:cstheme="minorBidi"/>
        </w:rPr>
        <w:t>  “(d)</w:t>
      </w:r>
      <w:proofErr w:type="spellStart"/>
      <w:r w:rsidRPr="007B5359">
        <w:rPr>
          <w:rFonts w:ascii="Palatino Linotype" w:hAnsi="Palatino Linotype" w:cstheme="minorBidi"/>
        </w:rPr>
        <w:t>ar</w:t>
      </w:r>
      <w:proofErr w:type="spellEnd"/>
      <w:r w:rsidRPr="007B5359">
        <w:rPr>
          <w:rFonts w:ascii="Palatino Linotype" w:hAnsi="Palatino Linotype" w:cstheme="minorBidi"/>
        </w:rPr>
        <w:t> los datos necesarios para ser reconocido”.</w:t>
      </w:r>
      <w:r w:rsidRPr="007B5359">
        <w:rPr>
          <w:rStyle w:val="Refdenotaalpie"/>
          <w:rFonts w:ascii="Palatino Linotype" w:hAnsi="Palatino Linotype" w:cstheme="minorBidi"/>
        </w:rPr>
        <w:footnoteReference w:id="30"/>
      </w:r>
    </w:p>
    <w:p w:rsidR="00B92A94" w:rsidRPr="007B5359" w:rsidRDefault="00B92A94" w:rsidP="00B92A94">
      <w:pPr>
        <w:pStyle w:val="j"/>
        <w:shd w:val="clear" w:color="auto" w:fill="FFFFFF"/>
        <w:suppressAutoHyphens/>
        <w:spacing w:line="360" w:lineRule="auto"/>
        <w:jc w:val="both"/>
        <w:textAlignment w:val="baseline"/>
        <w:rPr>
          <w:rFonts w:ascii="Palatino Linotype" w:hAnsi="Palatino Linotype"/>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que compromete la seguridad pública y/o ponga en riesgo la vida, la seguridad o la salud de una persona física.</w:t>
      </w:r>
    </w:p>
    <w:p w:rsidR="00A21AB9" w:rsidRPr="007B5359" w:rsidRDefault="00A21AB9" w:rsidP="00A21AB9">
      <w:pPr>
        <w:pStyle w:val="Prrafodelista"/>
        <w:rPr>
          <w:rFonts w:ascii="Palatino Linotype" w:hAnsi="Palatino Linotype"/>
        </w:rPr>
      </w:pPr>
    </w:p>
    <w:p w:rsidR="00A21AB9" w:rsidRPr="007B5359" w:rsidRDefault="00A21AB9" w:rsidP="00A21AB9">
      <w:pPr>
        <w:pStyle w:val="Prrafodelista"/>
        <w:numPr>
          <w:ilvl w:val="1"/>
          <w:numId w:val="18"/>
        </w:numPr>
        <w:spacing w:line="360" w:lineRule="auto"/>
        <w:ind w:left="284" w:hanging="425"/>
        <w:jc w:val="both"/>
        <w:rPr>
          <w:rFonts w:ascii="Palatino Linotype" w:hAnsi="Palatino Linotype"/>
          <w:b/>
        </w:rPr>
      </w:pPr>
      <w:r w:rsidRPr="007B5359">
        <w:rPr>
          <w:rFonts w:ascii="Palatino Linotype" w:hAnsi="Palatino Linotype"/>
          <w:b/>
        </w:rPr>
        <w:lastRenderedPageBreak/>
        <w:t>La divulgación de la información representa un riesgo real, demostrable e identificable del perjuicio significativo al interés público o a la seguridad pública.</w:t>
      </w:r>
    </w:p>
    <w:p w:rsidR="00A21AB9" w:rsidRPr="007B5359" w:rsidRDefault="00A21AB9" w:rsidP="00A21AB9">
      <w:pPr>
        <w:pStyle w:val="Prrafodelista"/>
        <w:ind w:left="4330"/>
        <w:rPr>
          <w:rFonts w:ascii="Palatino Linotype" w:hAnsi="Palatino Linotype"/>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Atento a lo anterior tenemos que:</w:t>
      </w:r>
    </w:p>
    <w:p w:rsidR="00A21AB9" w:rsidRPr="007B5359" w:rsidRDefault="00A21AB9" w:rsidP="00A21AB9">
      <w:pPr>
        <w:pStyle w:val="Prrafodelista"/>
        <w:spacing w:line="360" w:lineRule="auto"/>
        <w:jc w:val="both"/>
        <w:rPr>
          <w:rFonts w:ascii="Palatino Linotype" w:hAnsi="Palatino Linotype"/>
        </w:rPr>
      </w:pPr>
      <w:r w:rsidRPr="007B5359">
        <w:rPr>
          <w:rFonts w:ascii="Palatino Linotype" w:hAnsi="Palatino Linotype"/>
          <w:b/>
        </w:rPr>
        <w:t>Riesgo real:</w:t>
      </w:r>
      <w:r w:rsidRPr="007B5359">
        <w:rPr>
          <w:rFonts w:ascii="Palatino Linotype" w:hAnsi="Palatino Linotype"/>
        </w:rPr>
        <w:t xml:space="preserve"> La función de los elementos de policía se enlaza directamente con los hechos constitutivos de delito, además, realizan trabajo de localización, </w:t>
      </w:r>
      <w:proofErr w:type="gramStart"/>
      <w:r w:rsidRPr="007B5359">
        <w:rPr>
          <w:rFonts w:ascii="Palatino Linotype" w:hAnsi="Palatino Linotype"/>
        </w:rPr>
        <w:t>persecución,  y</w:t>
      </w:r>
      <w:proofErr w:type="gramEnd"/>
      <w:r w:rsidRPr="007B5359">
        <w:rPr>
          <w:rFonts w:ascii="Palatino Linotype" w:hAnsi="Palatino Linotype"/>
        </w:rPr>
        <w:t xml:space="preserve"> salva guardan la integridad de la ciudadanía. Por lo que deben contar con </w:t>
      </w:r>
      <w:r w:rsidR="008E2BFA" w:rsidRPr="007B5359">
        <w:rPr>
          <w:rFonts w:ascii="Palatino Linotype" w:hAnsi="Palatino Linotype"/>
        </w:rPr>
        <w:t>vehículos que aseguren su integridad y comunicación</w:t>
      </w:r>
      <w:r w:rsidRPr="007B5359">
        <w:rPr>
          <w:rFonts w:ascii="Palatino Linotype" w:hAnsi="Palatino Linotype"/>
        </w:rPr>
        <w:t xml:space="preserve"> para combatir el crimen. El equipo con el que cuentan los </w:t>
      </w:r>
      <w:r w:rsidR="008E2BFA" w:rsidRPr="007B5359">
        <w:rPr>
          <w:rFonts w:ascii="Palatino Linotype" w:hAnsi="Palatino Linotype"/>
        </w:rPr>
        <w:t>vehículos policiales</w:t>
      </w:r>
      <w:r w:rsidRPr="007B5359">
        <w:rPr>
          <w:rFonts w:ascii="Palatino Linotype" w:hAnsi="Palatino Linotype"/>
        </w:rPr>
        <w:t xml:space="preserve">, </w:t>
      </w:r>
      <w:r w:rsidR="00B92A94" w:rsidRPr="007B5359">
        <w:rPr>
          <w:rFonts w:ascii="Palatino Linotype" w:hAnsi="Palatino Linotype"/>
        </w:rPr>
        <w:t xml:space="preserve">en estricto sentido </w:t>
      </w:r>
      <w:r w:rsidRPr="007B5359">
        <w:rPr>
          <w:rFonts w:ascii="Palatino Linotype" w:hAnsi="Palatino Linotype"/>
        </w:rPr>
        <w:t xml:space="preserve">debe superar cualquier </w:t>
      </w:r>
      <w:r w:rsidR="008E2BFA" w:rsidRPr="007B5359">
        <w:rPr>
          <w:rFonts w:ascii="Palatino Linotype" w:hAnsi="Palatino Linotype"/>
        </w:rPr>
        <w:t>equipo técnico o de comunicación</w:t>
      </w:r>
      <w:r w:rsidRPr="007B5359">
        <w:rPr>
          <w:rFonts w:ascii="Palatino Linotype" w:hAnsi="Palatino Linotype"/>
        </w:rPr>
        <w:t xml:space="preserve"> que sea adquirido por grupos criminales. En México, la situación es muy diferente, pues es un hecho notorio que los grupos criminales cuentan con mejor armamento, mejores vehículos y mejor equipo de seguridad que los propios elementos policiacos, lo cual en principio de cuentas ya representa un riesgo real.</w:t>
      </w:r>
    </w:p>
    <w:p w:rsidR="00A21AB9" w:rsidRPr="007B5359" w:rsidRDefault="00A21AB9" w:rsidP="00A21AB9">
      <w:pPr>
        <w:pStyle w:val="Prrafodelista"/>
        <w:spacing w:line="360" w:lineRule="auto"/>
        <w:jc w:val="both"/>
        <w:rPr>
          <w:rFonts w:ascii="Palatino Linotype" w:hAnsi="Palatino Linotype"/>
        </w:rPr>
      </w:pPr>
    </w:p>
    <w:p w:rsidR="00A21AB9" w:rsidRPr="007B5359" w:rsidRDefault="00A21AB9" w:rsidP="00A21AB9">
      <w:pPr>
        <w:pStyle w:val="Prrafodelista"/>
        <w:spacing w:line="360" w:lineRule="auto"/>
        <w:jc w:val="both"/>
        <w:rPr>
          <w:rFonts w:ascii="Palatino Linotype" w:hAnsi="Palatino Linotype"/>
        </w:rPr>
      </w:pPr>
      <w:r w:rsidRPr="007B5359">
        <w:rPr>
          <w:rFonts w:ascii="Palatino Linotype" w:hAnsi="Palatino Linotype"/>
          <w:b/>
        </w:rPr>
        <w:t>Riesgo demostrable</w:t>
      </w:r>
      <w:r w:rsidR="00B92A94" w:rsidRPr="007B5359">
        <w:rPr>
          <w:rFonts w:ascii="Palatino Linotype" w:hAnsi="Palatino Linotype"/>
        </w:rPr>
        <w:t>: D</w:t>
      </w:r>
      <w:r w:rsidRPr="007B5359">
        <w:rPr>
          <w:rFonts w:ascii="Palatino Linotype" w:hAnsi="Palatino Linotype"/>
        </w:rPr>
        <w:t>ar a conocer la información referente a las características técnicas de los vehículos equipados para patrullas, permite que las organizaciones delictivas conozcan y puedan adquirir</w:t>
      </w:r>
      <w:r w:rsidR="00B92A94" w:rsidRPr="007B5359">
        <w:rPr>
          <w:rFonts w:ascii="Palatino Linotype" w:hAnsi="Palatino Linotype"/>
        </w:rPr>
        <w:t>,</w:t>
      </w:r>
      <w:r w:rsidRPr="007B5359">
        <w:rPr>
          <w:rFonts w:ascii="Palatino Linotype" w:hAnsi="Palatino Linotype"/>
        </w:rPr>
        <w:t xml:space="preserve"> </w:t>
      </w:r>
      <w:r w:rsidR="00B92A94" w:rsidRPr="007B5359">
        <w:rPr>
          <w:rFonts w:ascii="Palatino Linotype" w:hAnsi="Palatino Linotype"/>
        </w:rPr>
        <w:t>plenamente y con toda certeza, mejor equipamiento</w:t>
      </w:r>
      <w:r w:rsidRPr="007B5359">
        <w:rPr>
          <w:rFonts w:ascii="Palatino Linotype" w:hAnsi="Palatino Linotype"/>
        </w:rPr>
        <w:t xml:space="preserve"> que </w:t>
      </w:r>
      <w:r w:rsidR="00B92A94" w:rsidRPr="007B5359">
        <w:rPr>
          <w:rFonts w:ascii="Palatino Linotype" w:hAnsi="Palatino Linotype"/>
        </w:rPr>
        <w:t>impidan la eficacia en el desarrollo de sus funciones inherentes al cargo.</w:t>
      </w:r>
      <w:r w:rsidRPr="007B5359">
        <w:rPr>
          <w:rFonts w:ascii="Palatino Linotype" w:hAnsi="Palatino Linotype"/>
        </w:rPr>
        <w:t xml:space="preserve"> Teniendo como consecuencia el aumento de la inseguridad.</w:t>
      </w:r>
    </w:p>
    <w:p w:rsidR="00A21AB9" w:rsidRPr="007B5359" w:rsidRDefault="00A21AB9" w:rsidP="00A21AB9">
      <w:pPr>
        <w:pStyle w:val="Prrafodelista"/>
        <w:spacing w:line="360" w:lineRule="auto"/>
        <w:jc w:val="both"/>
        <w:rPr>
          <w:rFonts w:ascii="Palatino Linotype" w:hAnsi="Palatino Linotype"/>
        </w:rPr>
      </w:pPr>
    </w:p>
    <w:p w:rsidR="00A21AB9" w:rsidRPr="007B5359" w:rsidRDefault="00A21AB9" w:rsidP="008E2BFA">
      <w:pPr>
        <w:pStyle w:val="Prrafodelista"/>
        <w:spacing w:line="360" w:lineRule="auto"/>
        <w:jc w:val="both"/>
        <w:rPr>
          <w:rFonts w:ascii="Palatino Linotype" w:hAnsi="Palatino Linotype"/>
        </w:rPr>
      </w:pPr>
      <w:r w:rsidRPr="007B5359">
        <w:rPr>
          <w:rFonts w:ascii="Palatino Linotype" w:hAnsi="Palatino Linotype"/>
          <w:b/>
        </w:rPr>
        <w:lastRenderedPageBreak/>
        <w:t>Riesgo identificable</w:t>
      </w:r>
      <w:r w:rsidRPr="007B5359">
        <w:rPr>
          <w:rFonts w:ascii="Palatino Linotype" w:hAnsi="Palatino Linotype"/>
        </w:rPr>
        <w:t>, La publicidad de este tipo de información, comprometería la capacidad de reacción de los elementos de policía, en consecuencia, incrementaría la inseguridad del Municipio. Al estar en desventaja con los grupos criminales.</w:t>
      </w:r>
      <w:r w:rsidR="00802887" w:rsidRPr="007B5359">
        <w:rPr>
          <w:rFonts w:ascii="Palatino Linotype" w:hAnsi="Palatino Linotype"/>
        </w:rPr>
        <w:t xml:space="preserve"> Asimismo, conocer</w:t>
      </w:r>
      <w:r w:rsidR="008E2BFA" w:rsidRPr="007B5359">
        <w:rPr>
          <w:rFonts w:ascii="Palatino Linotype" w:hAnsi="Palatino Linotype"/>
        </w:rPr>
        <w:t xml:space="preserve"> las especificaciones técnicas especiales de los vehículos policiales, como lo son las torretas, sirenas, ganchos, equipos de radiocomunicación y balizamiento </w:t>
      </w:r>
      <w:r w:rsidR="00802887" w:rsidRPr="007B5359">
        <w:rPr>
          <w:rFonts w:ascii="Palatino Linotype" w:hAnsi="Palatino Linotype"/>
        </w:rPr>
        <w:t xml:space="preserve">sin duda pone en total riesgo </w:t>
      </w:r>
      <w:r w:rsidR="00B92A94" w:rsidRPr="007B5359">
        <w:rPr>
          <w:rFonts w:ascii="Palatino Linotype" w:hAnsi="Palatino Linotype"/>
        </w:rPr>
        <w:t>la vida e integridad de los elementos</w:t>
      </w:r>
      <w:r w:rsidR="008E2BFA" w:rsidRPr="007B5359">
        <w:rPr>
          <w:rFonts w:ascii="Palatino Linotype" w:hAnsi="Palatino Linotype"/>
        </w:rPr>
        <w:t xml:space="preserve"> de la policía y de los habitantes del municipio en general</w:t>
      </w:r>
      <w:r w:rsidR="00B92A94" w:rsidRPr="007B5359">
        <w:rPr>
          <w:rFonts w:ascii="Palatino Linotype" w:hAnsi="Palatino Linotype"/>
        </w:rPr>
        <w:t>, pues se brinda ventaja de</w:t>
      </w:r>
      <w:r w:rsidR="008E2BFA" w:rsidRPr="007B5359">
        <w:rPr>
          <w:rFonts w:ascii="Palatino Linotype" w:hAnsi="Palatino Linotype"/>
        </w:rPr>
        <w:t xml:space="preserve"> manufacturar vehículos idénticos a los oficiales para cometer delitos</w:t>
      </w:r>
      <w:r w:rsidR="00802887" w:rsidRPr="007B5359">
        <w:rPr>
          <w:rFonts w:ascii="Palatino Linotype" w:hAnsi="Palatino Linotype"/>
        </w:rPr>
        <w:t>.</w:t>
      </w:r>
    </w:p>
    <w:p w:rsidR="00A21AB9" w:rsidRPr="007B5359" w:rsidRDefault="00A21AB9" w:rsidP="00A21AB9">
      <w:pPr>
        <w:pStyle w:val="j"/>
        <w:shd w:val="clear" w:color="auto" w:fill="FFFFFF"/>
        <w:suppressAutoHyphens/>
        <w:spacing w:line="360" w:lineRule="auto"/>
        <w:jc w:val="both"/>
        <w:textAlignment w:val="baseline"/>
        <w:rPr>
          <w:rFonts w:ascii="Palatino Linotype" w:hAnsi="Palatino Linotype"/>
          <w:b/>
        </w:rPr>
      </w:pPr>
      <w:r w:rsidRPr="007B5359">
        <w:rPr>
          <w:rFonts w:ascii="Palatino Linotype" w:hAnsi="Palatino Linotype"/>
          <w:b/>
        </w:rPr>
        <w:t>II. El riesgo de perjuicio que supondría la divulgación supera el interés público general de que se difunda:</w:t>
      </w: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Identificado el riesgo, se debe demostrar que el mismo supera el interés público general porque se difunda dicha información.</w:t>
      </w:r>
    </w:p>
    <w:p w:rsidR="00A21AB9" w:rsidRPr="007B5359" w:rsidRDefault="00A21AB9" w:rsidP="00A21AB9">
      <w:pPr>
        <w:pStyle w:val="j"/>
        <w:shd w:val="clear" w:color="auto" w:fill="FFFFFF"/>
        <w:suppressAutoHyphens/>
        <w:spacing w:line="360" w:lineRule="auto"/>
        <w:jc w:val="both"/>
        <w:textAlignment w:val="baseline"/>
        <w:rPr>
          <w:rFonts w:ascii="Palatino Linotype" w:hAnsi="Palatino Linotype"/>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El derecho de acceso a la información encuentra su excepción en la clasificación de la información, cuando se actualice una hipótesis jurídica ya sea por confidencialidad o reserva. Los recurrentes ejercen su derecho de acceder a la información en posesión de los Sujetos Obligados para promover la transparencia y rendición de cuentas; no obstante, en cada caso es necesario verificar si la información puede ser proporcionada.</w:t>
      </w:r>
    </w:p>
    <w:p w:rsidR="00A21AB9" w:rsidRPr="007B5359" w:rsidRDefault="00A21AB9" w:rsidP="00A21AB9">
      <w:pPr>
        <w:pStyle w:val="j"/>
        <w:shd w:val="clear" w:color="auto" w:fill="FFFFFF"/>
        <w:suppressAutoHyphens/>
        <w:spacing w:line="360" w:lineRule="auto"/>
        <w:jc w:val="both"/>
        <w:textAlignment w:val="baseline"/>
        <w:rPr>
          <w:rFonts w:ascii="Palatino Linotype" w:hAnsi="Palatino Linotype"/>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lastRenderedPageBreak/>
        <w:t xml:space="preserve">En este caso en particular, el derecho del recurrente se basa primordialmente en conocer el </w:t>
      </w:r>
      <w:r w:rsidR="008E2BFA" w:rsidRPr="007B5359">
        <w:rPr>
          <w:rFonts w:ascii="Palatino Linotype" w:hAnsi="Palatino Linotype"/>
        </w:rPr>
        <w:t>expediente del contrato de adquisición del parque vehicular que requirió la Comisaría General de Seguridad</w:t>
      </w:r>
      <w:r w:rsidRPr="007B5359">
        <w:rPr>
          <w:rFonts w:ascii="Palatino Linotype" w:hAnsi="Palatino Linotype"/>
        </w:rPr>
        <w:t>, es decir, conocer los bienes adquiridos, mediante la compra o renta, con recursos federales y locales y conocer a las personas, ya sea físicas o morales a las que</w:t>
      </w:r>
      <w:r w:rsidR="00531DFA" w:rsidRPr="007B5359">
        <w:rPr>
          <w:rFonts w:ascii="Palatino Linotype" w:hAnsi="Palatino Linotype"/>
        </w:rPr>
        <w:t xml:space="preserve"> se les entregaron los recursos, así como la modalidad en que se concretó la relación del municipio con el prestador de servicios, si fue por licitación pública o adjudicación directa.</w:t>
      </w:r>
    </w:p>
    <w:p w:rsidR="00A21AB9" w:rsidRPr="007B5359" w:rsidRDefault="00A21AB9" w:rsidP="00A21AB9">
      <w:pPr>
        <w:pStyle w:val="Prrafodelista"/>
        <w:rPr>
          <w:rFonts w:ascii="Palatino Linotype" w:hAnsi="Palatino Linotype"/>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Entonces, la información que es susceptible de proporcionarse, son los conceptos y cantidades de los bienes adquiridos; personas físicas o morales adjudicadas;  contratos, fechas de contratación, fechas de entrega de bienes, cuentas y claves, entre otra información, toda vez que esta información permite dilucidar a la perfección los actos de autoridad ejercidos por los Sujetos Obligados para la adquisición de bienes, así como para determinar los recursos que fueron asignados y ejercidos, así como también, permite conocer las personas físicas y/o morales que recibieron los recursos. Esto, en su conjunto, da cuenta de la transparencia y rendición de cuentas a la que están sujetos todos los sujetos obligados.</w:t>
      </w:r>
    </w:p>
    <w:p w:rsidR="00A21AB9" w:rsidRPr="007B5359" w:rsidRDefault="00A21AB9" w:rsidP="00A21AB9">
      <w:pPr>
        <w:pStyle w:val="Prrafodelista"/>
        <w:rPr>
          <w:rFonts w:ascii="Palatino Linotype" w:hAnsi="Palatino Linotype"/>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 xml:space="preserve">No obstante, entre los documentos que se proporcionaron, existe información que cuenta con características que superan el interés público de conocerse; tales como las características técnicas y especiales </w:t>
      </w:r>
      <w:r w:rsidR="00531DFA" w:rsidRPr="007B5359">
        <w:rPr>
          <w:rFonts w:ascii="Palatino Linotype" w:hAnsi="Palatino Linotype"/>
        </w:rPr>
        <w:t>de cada uno de los vehículos policiales adquiridos</w:t>
      </w:r>
      <w:r w:rsidR="00802887" w:rsidRPr="007B5359">
        <w:rPr>
          <w:rFonts w:ascii="Palatino Linotype" w:hAnsi="Palatino Linotype"/>
        </w:rPr>
        <w:t xml:space="preserve">, </w:t>
      </w:r>
      <w:r w:rsidR="00531DFA" w:rsidRPr="007B5359">
        <w:rPr>
          <w:rFonts w:ascii="Palatino Linotype" w:hAnsi="Palatino Linotype"/>
        </w:rPr>
        <w:t>lo cual constituye información que</w:t>
      </w:r>
      <w:r w:rsidRPr="007B5359">
        <w:rPr>
          <w:rFonts w:ascii="Palatino Linotype" w:hAnsi="Palatino Linotype"/>
        </w:rPr>
        <w:t xml:space="preserve"> da cuenta de la capacidad de </w:t>
      </w:r>
      <w:r w:rsidR="00802887" w:rsidRPr="007B5359">
        <w:rPr>
          <w:rFonts w:ascii="Palatino Linotype" w:hAnsi="Palatino Linotype"/>
        </w:rPr>
        <w:t>reacción del área de seguridad y la protección de los policías.</w:t>
      </w:r>
    </w:p>
    <w:p w:rsidR="00A21AB9" w:rsidRPr="007B5359" w:rsidRDefault="00A21AB9" w:rsidP="00A21AB9">
      <w:pPr>
        <w:pStyle w:val="Prrafodelista"/>
        <w:rPr>
          <w:rFonts w:ascii="Palatino Linotype" w:hAnsi="Palatino Linotype"/>
        </w:rPr>
      </w:pPr>
    </w:p>
    <w:p w:rsidR="00A21AB9" w:rsidRPr="007B5359" w:rsidRDefault="00A21AB9" w:rsidP="00A21AB9">
      <w:pPr>
        <w:pStyle w:val="Ttulo4"/>
        <w:spacing w:line="360" w:lineRule="auto"/>
        <w:jc w:val="both"/>
        <w:rPr>
          <w:rFonts w:ascii="Palatino Linotype" w:hAnsi="Palatino Linotype" w:cs="Times"/>
          <w:b/>
          <w:i w:val="0"/>
          <w:color w:val="auto"/>
        </w:rPr>
      </w:pPr>
      <w:r w:rsidRPr="007B5359">
        <w:rPr>
          <w:rFonts w:ascii="Palatino Linotype" w:hAnsi="Palatino Linotype" w:cs="Bookman Old Style"/>
          <w:b/>
          <w:i w:val="0"/>
          <w:color w:val="auto"/>
        </w:rPr>
        <w:t xml:space="preserve">III. La limitación se adecua al principio de proporcionalidad y representa el medio menos restrictivo disponible para evitar el perjuicio. </w:t>
      </w:r>
    </w:p>
    <w:p w:rsidR="00A21AB9" w:rsidRPr="007B5359" w:rsidRDefault="00A21AB9" w:rsidP="00A21AB9">
      <w:pPr>
        <w:rPr>
          <w:rFonts w:ascii="Palatino Linotype" w:hAnsi="Palatino Linotype"/>
        </w:rPr>
      </w:pPr>
    </w:p>
    <w:p w:rsidR="00A21AB9"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La limitación que se propone se adecua al principio de proporcionalidad, en tanto que la restricción ejercida al derecho del recurrente no es total ni excedente, toda vez que, como se ha dicho, el interés principal del derecho de acceso a la información se basa en conocer el uso y destino de los recursos públicos y los actos de autoridad que se realizan.</w:t>
      </w:r>
    </w:p>
    <w:p w:rsidR="00A21AB9" w:rsidRPr="007B5359" w:rsidRDefault="00A21AB9" w:rsidP="00A21AB9">
      <w:pPr>
        <w:pStyle w:val="j"/>
        <w:shd w:val="clear" w:color="auto" w:fill="FFFFFF"/>
        <w:suppressAutoHyphens/>
        <w:spacing w:line="360" w:lineRule="auto"/>
        <w:jc w:val="both"/>
        <w:textAlignment w:val="baseline"/>
        <w:rPr>
          <w:rFonts w:ascii="Palatino Linotype" w:hAnsi="Palatino Linotype"/>
        </w:rPr>
      </w:pPr>
    </w:p>
    <w:p w:rsidR="00802887" w:rsidRPr="007B5359" w:rsidRDefault="00A21AB9"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La propuesta que se plantea es una versión pública, puesto que se adecua al principio de proporcionalidad y representa el medio menos restrictivo, pues deja a la vista la información de interés a la ciudadanía y no representa ningún riesgo a la seguridad pública, ni pone en riesgo la vida o integridad de los elementos de policía, sino por el contrario, beneficia a la transpare</w:t>
      </w:r>
      <w:r w:rsidR="00802887" w:rsidRPr="007B5359">
        <w:rPr>
          <w:rFonts w:ascii="Palatino Linotype" w:hAnsi="Palatino Linotype"/>
        </w:rPr>
        <w:t>ncia y la rendición de cuentas.</w:t>
      </w:r>
    </w:p>
    <w:p w:rsidR="00B92A94" w:rsidRPr="007B5359" w:rsidRDefault="00B92A94" w:rsidP="00B92A94">
      <w:pPr>
        <w:pStyle w:val="Prrafodelista"/>
        <w:rPr>
          <w:rFonts w:ascii="Palatino Linotype" w:hAnsi="Palatino Linotype"/>
        </w:rPr>
      </w:pPr>
    </w:p>
    <w:p w:rsidR="00B92A94" w:rsidRPr="007B5359" w:rsidRDefault="00802887" w:rsidP="00B92A94">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Con la versión pública se</w:t>
      </w:r>
      <w:r w:rsidR="00A21AB9" w:rsidRPr="007B5359">
        <w:rPr>
          <w:rFonts w:ascii="Palatino Linotype" w:hAnsi="Palatino Linotype"/>
        </w:rPr>
        <w:t xml:space="preserve"> protege</w:t>
      </w:r>
      <w:r w:rsidRPr="007B5359">
        <w:rPr>
          <w:rFonts w:ascii="Palatino Linotype" w:hAnsi="Palatino Linotype"/>
        </w:rPr>
        <w:t>n</w:t>
      </w:r>
      <w:r w:rsidR="00A21AB9" w:rsidRPr="007B5359">
        <w:rPr>
          <w:rFonts w:ascii="Palatino Linotype" w:hAnsi="Palatino Linotype"/>
        </w:rPr>
        <w:t xml:space="preserve"> dos bienes jurídicos, que son la seguridad pública y la vida e integridad de los policías.</w:t>
      </w:r>
      <w:r w:rsidRPr="007B5359">
        <w:rPr>
          <w:rFonts w:ascii="Palatino Linotype" w:hAnsi="Palatino Linotype"/>
        </w:rPr>
        <w:t xml:space="preserve"> Además, la restricción encuentra su justificación en la tutela de dos bienes jurídicos que resultan relevantes y superan el interés de su publicidad.</w:t>
      </w:r>
    </w:p>
    <w:p w:rsidR="00B92A94" w:rsidRPr="007B5359" w:rsidRDefault="00B92A94" w:rsidP="00B92A94">
      <w:pPr>
        <w:pStyle w:val="Prrafodelista"/>
        <w:rPr>
          <w:rFonts w:ascii="Palatino Linotype" w:hAnsi="Palatino Linotype"/>
        </w:rPr>
      </w:pPr>
    </w:p>
    <w:p w:rsidR="00802887" w:rsidRPr="007B5359" w:rsidRDefault="00802887" w:rsidP="00A21AB9">
      <w:pPr>
        <w:pStyle w:val="j"/>
        <w:numPr>
          <w:ilvl w:val="0"/>
          <w:numId w:val="18"/>
        </w:numPr>
        <w:shd w:val="clear" w:color="auto" w:fill="FFFFFF"/>
        <w:suppressAutoHyphens/>
        <w:spacing w:line="360" w:lineRule="auto"/>
        <w:ind w:left="0" w:firstLine="0"/>
        <w:jc w:val="both"/>
        <w:textAlignment w:val="baseline"/>
        <w:rPr>
          <w:rFonts w:ascii="Palatino Linotype" w:hAnsi="Palatino Linotype"/>
        </w:rPr>
      </w:pPr>
      <w:r w:rsidRPr="007B5359">
        <w:rPr>
          <w:rFonts w:ascii="Palatino Linotype" w:hAnsi="Palatino Linotype"/>
        </w:rPr>
        <w:t xml:space="preserve">Entonces, una vez analizado lo anterior, el </w:t>
      </w:r>
      <w:r w:rsidR="00531DFA" w:rsidRPr="007B5359">
        <w:rPr>
          <w:rFonts w:ascii="Palatino Linotype" w:hAnsi="Palatino Linotype"/>
          <w:b/>
        </w:rPr>
        <w:t>SUJETO OBLIGADO</w:t>
      </w:r>
      <w:r w:rsidR="00531DFA" w:rsidRPr="007B5359">
        <w:rPr>
          <w:rFonts w:ascii="Palatino Linotype" w:hAnsi="Palatino Linotype"/>
        </w:rPr>
        <w:t xml:space="preserve"> </w:t>
      </w:r>
      <w:r w:rsidRPr="007B5359">
        <w:rPr>
          <w:rFonts w:ascii="Palatino Linotype" w:hAnsi="Palatino Linotype"/>
        </w:rPr>
        <w:t xml:space="preserve">deberá realizar las versiones públicas correspondientes, clasificando como reservada la </w:t>
      </w:r>
      <w:r w:rsidRPr="007B5359">
        <w:rPr>
          <w:rFonts w:ascii="Palatino Linotype" w:hAnsi="Palatino Linotype"/>
        </w:rPr>
        <w:lastRenderedPageBreak/>
        <w:t>información relativa a las especificaciones técnicas de los bienes, dejando a la vista la demás información que es de interés al particular.</w:t>
      </w:r>
    </w:p>
    <w:p w:rsidR="00A21AB9" w:rsidRPr="007B5359" w:rsidRDefault="00A21AB9" w:rsidP="00A21AB9">
      <w:pPr>
        <w:pStyle w:val="Prrafodelista"/>
        <w:rPr>
          <w:rFonts w:ascii="Palatino Linotype" w:hAnsi="Palatino Linotype"/>
        </w:rPr>
      </w:pPr>
    </w:p>
    <w:p w:rsidR="009B6248" w:rsidRPr="007B5359" w:rsidRDefault="009B6248" w:rsidP="005E22B0">
      <w:pPr>
        <w:numPr>
          <w:ilvl w:val="0"/>
          <w:numId w:val="18"/>
        </w:numPr>
        <w:shd w:val="clear" w:color="auto" w:fill="FFFFFF"/>
        <w:spacing w:before="240" w:line="360" w:lineRule="auto"/>
        <w:ind w:left="0" w:firstLine="0"/>
        <w:contextualSpacing/>
        <w:jc w:val="both"/>
        <w:rPr>
          <w:rFonts w:ascii="Palatino Linotype" w:eastAsia="Times New Roman" w:hAnsi="Palatino Linotype" w:cs="Arial"/>
          <w:lang w:eastAsia="es-MX"/>
        </w:rPr>
      </w:pPr>
      <w:r w:rsidRPr="007B5359">
        <w:rPr>
          <w:rFonts w:ascii="Palatino Linotype" w:eastAsia="Times New Roman" w:hAnsi="Palatino Linotype" w:cs="Arial"/>
          <w:lang w:eastAsia="es-MX"/>
        </w:rPr>
        <w:t xml:space="preserve">En consecuencia, se ordena al </w:t>
      </w:r>
      <w:r w:rsidR="00531DFA" w:rsidRPr="007B5359">
        <w:rPr>
          <w:rFonts w:ascii="Palatino Linotype" w:eastAsia="Times New Roman" w:hAnsi="Palatino Linotype" w:cs="Arial"/>
          <w:b/>
          <w:lang w:eastAsia="es-MX"/>
        </w:rPr>
        <w:t>SUJETO OBLIGADO</w:t>
      </w:r>
      <w:r w:rsidR="00531DFA" w:rsidRPr="007B5359">
        <w:rPr>
          <w:rFonts w:ascii="Palatino Linotype" w:eastAsia="Times New Roman" w:hAnsi="Palatino Linotype" w:cs="Arial"/>
          <w:lang w:eastAsia="es-MX"/>
        </w:rPr>
        <w:t xml:space="preserve"> entregar el expediente del Contrato para la Adquisición del Parque Vehicular que Requiere la Comisaría General de Seguridad Pública y Tránsito Municipal, celebrado entre el Ayuntamiento de Cuautitlán Izcalli y la persona moral </w:t>
      </w:r>
      <w:proofErr w:type="spellStart"/>
      <w:r w:rsidR="00531DFA" w:rsidRPr="007B5359">
        <w:rPr>
          <w:rFonts w:ascii="Palatino Linotype" w:eastAsia="Times New Roman" w:hAnsi="Palatino Linotype" w:cs="Arial"/>
          <w:i/>
          <w:lang w:eastAsia="es-MX"/>
        </w:rPr>
        <w:t>Cebenssi</w:t>
      </w:r>
      <w:proofErr w:type="spellEnd"/>
      <w:r w:rsidR="00531DFA" w:rsidRPr="007B5359">
        <w:rPr>
          <w:rFonts w:ascii="Palatino Linotype" w:eastAsia="Times New Roman" w:hAnsi="Palatino Linotype" w:cs="Arial"/>
          <w:i/>
          <w:lang w:eastAsia="es-MX"/>
        </w:rPr>
        <w:t xml:space="preserve"> S.A. de C.V., </w:t>
      </w:r>
      <w:r w:rsidR="00962EB6" w:rsidRPr="007B5359">
        <w:rPr>
          <w:rFonts w:ascii="Palatino Linotype" w:eastAsia="Times New Roman" w:hAnsi="Palatino Linotype" w:cs="Arial"/>
          <w:lang w:eastAsia="es-MX"/>
        </w:rPr>
        <w:t>suscrito el doce (</w:t>
      </w:r>
      <w:proofErr w:type="gramStart"/>
      <w:r w:rsidR="00962EB6" w:rsidRPr="007B5359">
        <w:rPr>
          <w:rFonts w:ascii="Palatino Linotype" w:eastAsia="Times New Roman" w:hAnsi="Palatino Linotype" w:cs="Arial"/>
          <w:lang w:eastAsia="es-MX"/>
        </w:rPr>
        <w:t>12)de</w:t>
      </w:r>
      <w:proofErr w:type="gramEnd"/>
      <w:r w:rsidR="00962EB6" w:rsidRPr="007B5359">
        <w:rPr>
          <w:rFonts w:ascii="Palatino Linotype" w:eastAsia="Times New Roman" w:hAnsi="Palatino Linotype" w:cs="Arial"/>
          <w:lang w:eastAsia="es-MX"/>
        </w:rPr>
        <w:t xml:space="preserve"> abril del dos mil diecinueve.</w:t>
      </w:r>
    </w:p>
    <w:p w:rsidR="00451F9B" w:rsidRPr="007B5359" w:rsidRDefault="00451F9B" w:rsidP="005E22B0">
      <w:pPr>
        <w:spacing w:line="360" w:lineRule="auto"/>
        <w:jc w:val="both"/>
        <w:rPr>
          <w:rFonts w:ascii="Palatino Linotype" w:eastAsia="Calibri" w:hAnsi="Palatino Linotype" w:cs="Arial"/>
          <w:bCs/>
        </w:rPr>
      </w:pPr>
    </w:p>
    <w:p w:rsidR="005E22B0" w:rsidRPr="007B5359" w:rsidRDefault="00F22276" w:rsidP="005E22B0">
      <w:pPr>
        <w:pStyle w:val="Ttulo1"/>
        <w:rPr>
          <w:b w:val="0"/>
          <w:szCs w:val="24"/>
        </w:rPr>
      </w:pPr>
      <w:bookmarkStart w:id="82" w:name="_Toc486525259"/>
      <w:bookmarkStart w:id="83" w:name="_Toc520970063"/>
      <w:bookmarkStart w:id="84" w:name="_Toc29923841"/>
      <w:bookmarkStart w:id="85" w:name="_Toc33189451"/>
      <w:r w:rsidRPr="007B5359">
        <w:rPr>
          <w:szCs w:val="24"/>
        </w:rPr>
        <w:t>QUINTO</w:t>
      </w:r>
      <w:r w:rsidR="005E22B0" w:rsidRPr="007B5359">
        <w:rPr>
          <w:szCs w:val="24"/>
        </w:rPr>
        <w:t>. Vista a los órganos de control interno</w:t>
      </w:r>
      <w:bookmarkEnd w:id="82"/>
      <w:bookmarkEnd w:id="83"/>
      <w:bookmarkEnd w:id="84"/>
      <w:bookmarkEnd w:id="85"/>
    </w:p>
    <w:p w:rsidR="005E22B0" w:rsidRPr="007B5359" w:rsidRDefault="005E22B0" w:rsidP="005E22B0">
      <w:pPr>
        <w:spacing w:line="360" w:lineRule="auto"/>
        <w:jc w:val="both"/>
        <w:rPr>
          <w:rFonts w:ascii="Palatino Linotype" w:hAnsi="Palatino Linotype" w:cs="Arial"/>
        </w:rPr>
      </w:pPr>
    </w:p>
    <w:p w:rsidR="005E22B0" w:rsidRPr="007B5359" w:rsidRDefault="005E22B0" w:rsidP="005E22B0">
      <w:pPr>
        <w:pStyle w:val="Prrafodelista"/>
        <w:numPr>
          <w:ilvl w:val="0"/>
          <w:numId w:val="18"/>
        </w:numPr>
        <w:spacing w:before="240" w:after="240" w:line="360" w:lineRule="auto"/>
        <w:ind w:left="0" w:firstLine="0"/>
        <w:jc w:val="both"/>
        <w:rPr>
          <w:rFonts w:ascii="Palatino Linotype" w:hAnsi="Palatino Linotype"/>
        </w:rPr>
      </w:pPr>
      <w:r w:rsidRPr="007B5359">
        <w:rPr>
          <w:rFonts w:ascii="Palatino Linotype" w:hAnsi="Palatino Linotype"/>
        </w:rPr>
        <w:t xml:space="preserve">Es </w:t>
      </w:r>
      <w:r w:rsidR="008608D4" w:rsidRPr="007B5359">
        <w:rPr>
          <w:rFonts w:ascii="Palatino Linotype" w:eastAsia="MS Mincho" w:hAnsi="Palatino Linotype" w:cs="Arial"/>
        </w:rPr>
        <w:t xml:space="preserve">necesario resaltar que el recurso de revisión previsto en la Ley de la materia no es el medio para investigar y, en su caso, sancionar a servidores públicos por la omisión de la entrega de información pública o en la atención a solicitudes de información; sin embargo, derivado de que el </w:t>
      </w:r>
      <w:r w:rsidR="008608D4" w:rsidRPr="007B5359">
        <w:rPr>
          <w:rFonts w:ascii="Palatino Linotype" w:eastAsia="MS Mincho" w:hAnsi="Palatino Linotype" w:cs="Arial"/>
          <w:b/>
        </w:rPr>
        <w:t>SUJETO OBLIGADO</w:t>
      </w:r>
      <w:r w:rsidR="008608D4" w:rsidRPr="007B5359">
        <w:rPr>
          <w:rFonts w:ascii="Palatino Linotype" w:eastAsia="MS Mincho" w:hAnsi="Palatino Linotype" w:cs="Arial"/>
        </w:rPr>
        <w:t xml:space="preserve"> entregó como respuesta documentos de los que se aprecia parte del estado de fuerza del Municipio de Cuautitlán Izcalli, como lo son las especificaciones técnicas y especiales de sus vehículos policiales; por lo que se dará vista al área competente para que en ejercicio de sus atribuciones realice las investigaciones pertinentes por las omisiones detectadas atribuibles al </w:t>
      </w:r>
      <w:r w:rsidR="008608D4" w:rsidRPr="007B5359">
        <w:rPr>
          <w:rFonts w:ascii="Palatino Linotype" w:eastAsia="MS Mincho" w:hAnsi="Palatino Linotype" w:cs="Arial"/>
          <w:b/>
        </w:rPr>
        <w:t>SUJETO OBLIGADO</w:t>
      </w:r>
      <w:r w:rsidR="008608D4" w:rsidRPr="007B5359">
        <w:rPr>
          <w:rFonts w:ascii="Palatino Linotype" w:eastAsia="MS Mincho" w:hAnsi="Palatino Linotype" w:cs="Arial"/>
        </w:rPr>
        <w:t>.</w:t>
      </w:r>
    </w:p>
    <w:p w:rsidR="005E22B0" w:rsidRPr="007B5359" w:rsidRDefault="005E22B0" w:rsidP="005E22B0">
      <w:pPr>
        <w:pStyle w:val="Prrafodelista"/>
        <w:spacing w:line="360" w:lineRule="auto"/>
        <w:ind w:left="0"/>
        <w:rPr>
          <w:rFonts w:ascii="Palatino Linotype" w:hAnsi="Palatino Linotype"/>
        </w:rPr>
      </w:pPr>
    </w:p>
    <w:p w:rsidR="005E22B0" w:rsidRPr="007B5359" w:rsidRDefault="005E22B0" w:rsidP="005E22B0">
      <w:pPr>
        <w:pStyle w:val="Prrafodelista"/>
        <w:numPr>
          <w:ilvl w:val="0"/>
          <w:numId w:val="18"/>
        </w:numPr>
        <w:spacing w:before="240" w:after="240" w:line="360" w:lineRule="auto"/>
        <w:ind w:left="0" w:firstLine="0"/>
        <w:jc w:val="both"/>
        <w:rPr>
          <w:rFonts w:ascii="Palatino Linotype" w:hAnsi="Palatino Linotype"/>
        </w:rPr>
      </w:pPr>
      <w:r w:rsidRPr="007B5359">
        <w:rPr>
          <w:rFonts w:ascii="Palatino Linotype" w:hAnsi="Palatino Linotype"/>
        </w:rPr>
        <w:t>Por ello, es conveniente señalar la fracción X, del artículo 36, de la Ley de Transparencia y Acceso a la Información Pública del Estado de México y Municipios, que establece:</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lastRenderedPageBreak/>
        <w:t>Artículo 36. El Instituto tendrá, en el ámbito de su competencia, las siguientes atribuciones:</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 xml:space="preserve">X. Hacer del conocimiento del órgano de control interno o equivalente de cada Sujeto Obligado las infracciones a esta Ley; </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w:t>
      </w:r>
    </w:p>
    <w:p w:rsidR="005E22B0" w:rsidRPr="007B5359" w:rsidRDefault="005E22B0" w:rsidP="005E22B0">
      <w:pPr>
        <w:pStyle w:val="Prrafodelista"/>
        <w:numPr>
          <w:ilvl w:val="0"/>
          <w:numId w:val="18"/>
        </w:numPr>
        <w:spacing w:before="240" w:after="240" w:line="360" w:lineRule="auto"/>
        <w:ind w:left="0" w:firstLine="0"/>
        <w:jc w:val="both"/>
        <w:rPr>
          <w:rFonts w:ascii="Palatino Linotype" w:eastAsia="MS Mincho" w:hAnsi="Palatino Linotype" w:cs="Arial"/>
        </w:rPr>
      </w:pPr>
      <w:r w:rsidRPr="007B5359">
        <w:rPr>
          <w:rFonts w:ascii="Palatino Linotype" w:hAnsi="Palatino Linotype"/>
        </w:rPr>
        <w:t xml:space="preserve">Asimismo, este Pleno hará del conocimiento del órgano de control de este Instituto de las infracciones en que el </w:t>
      </w:r>
      <w:r w:rsidRPr="007B5359">
        <w:rPr>
          <w:rFonts w:ascii="Palatino Linotype" w:hAnsi="Palatino Linotype"/>
          <w:b/>
        </w:rPr>
        <w:t>SUJETO OBLIGADO</w:t>
      </w:r>
      <w:r w:rsidRPr="007B535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7B5359">
        <w:rPr>
          <w:rFonts w:ascii="Palatino Linotype" w:eastAsia="MS Mincho" w:hAnsi="Palatino Linotype" w:cs="Arial"/>
        </w:rPr>
        <w:t>en la Ley de Transparencia Acceso a la Información Pública del Estado de México y Municipios específicamente en sus artículos 222 y 223 que señalan lo siguiente:</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I. Cualquier acto u omisión que provoque la suspensión o deficiencia en la atención de las solicitudes de información;</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II. La falta de respuesta a las solicitudes de información en los plazos señalados en la normatividad aplicable;</w:t>
      </w: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t>…</w:t>
      </w:r>
    </w:p>
    <w:p w:rsidR="005E22B0" w:rsidRPr="007B5359" w:rsidRDefault="005E22B0" w:rsidP="005E22B0">
      <w:pPr>
        <w:autoSpaceDE w:val="0"/>
        <w:autoSpaceDN w:val="0"/>
        <w:adjustRightInd w:val="0"/>
        <w:ind w:left="567" w:right="567"/>
        <w:jc w:val="both"/>
        <w:rPr>
          <w:rFonts w:ascii="Palatino Linotype" w:hAnsi="Palatino Linotype" w:cs="Bookman Old Style"/>
          <w:i/>
          <w:lang w:val="es-MX"/>
        </w:rPr>
      </w:pPr>
      <w:r w:rsidRPr="007B5359">
        <w:rPr>
          <w:rFonts w:ascii="Palatino Linotype" w:hAnsi="Palatino Linotype" w:cs="Bookman Old Style,Bold"/>
          <w:bCs/>
          <w:i/>
          <w:lang w:val="es-MX"/>
        </w:rPr>
        <w:t>XI.</w:t>
      </w:r>
      <w:r w:rsidRPr="007B5359">
        <w:rPr>
          <w:rFonts w:ascii="Palatino Linotype" w:hAnsi="Palatino Linotype" w:cs="Bookman Old Style,Bold"/>
          <w:b/>
          <w:bCs/>
          <w:i/>
          <w:lang w:val="es-MX"/>
        </w:rPr>
        <w:t xml:space="preserve"> </w:t>
      </w:r>
      <w:r w:rsidRPr="007B5359">
        <w:rPr>
          <w:rFonts w:ascii="Palatino Linotype" w:hAnsi="Palatino Linotype" w:cs="Bookman Old Style"/>
          <w:i/>
          <w:lang w:val="es-MX"/>
        </w:rPr>
        <w:t>No actualizar la información correspondiente a las obligaciones de transparencia en los plazos previstos en la presente Ley;</w:t>
      </w:r>
    </w:p>
    <w:p w:rsidR="005E22B0" w:rsidRPr="007B5359" w:rsidRDefault="005E22B0" w:rsidP="005E22B0">
      <w:pPr>
        <w:autoSpaceDE w:val="0"/>
        <w:autoSpaceDN w:val="0"/>
        <w:adjustRightInd w:val="0"/>
        <w:ind w:left="567" w:right="567"/>
        <w:jc w:val="both"/>
        <w:rPr>
          <w:rFonts w:ascii="Palatino Linotype" w:hAnsi="Palatino Linotype" w:cs="Bookman Old Style"/>
          <w:i/>
          <w:lang w:val="es-MX"/>
        </w:rPr>
      </w:pPr>
      <w:r w:rsidRPr="007B5359">
        <w:rPr>
          <w:rFonts w:ascii="Palatino Linotype" w:hAnsi="Palatino Linotype" w:cs="Bookman Old Style,Bold"/>
          <w:bCs/>
          <w:i/>
          <w:lang w:val="es-MX"/>
        </w:rPr>
        <w:t>…</w:t>
      </w:r>
    </w:p>
    <w:p w:rsidR="005E22B0" w:rsidRPr="007B5359" w:rsidRDefault="005E22B0" w:rsidP="005E22B0">
      <w:pPr>
        <w:autoSpaceDE w:val="0"/>
        <w:autoSpaceDN w:val="0"/>
        <w:adjustRightInd w:val="0"/>
        <w:ind w:left="567" w:right="567"/>
        <w:rPr>
          <w:rFonts w:ascii="Palatino Linotype" w:hAnsi="Palatino Linotype"/>
          <w:i/>
        </w:rPr>
      </w:pPr>
    </w:p>
    <w:p w:rsidR="005E22B0" w:rsidRPr="007B5359" w:rsidRDefault="005E22B0" w:rsidP="005E22B0">
      <w:pPr>
        <w:spacing w:line="360" w:lineRule="auto"/>
        <w:ind w:left="567" w:right="567"/>
        <w:contextualSpacing/>
        <w:jc w:val="both"/>
        <w:rPr>
          <w:rFonts w:ascii="Palatino Linotype" w:hAnsi="Palatino Linotype"/>
          <w:i/>
        </w:rPr>
      </w:pPr>
      <w:r w:rsidRPr="007B5359">
        <w:rPr>
          <w:rFonts w:ascii="Palatino Linotype" w:hAnsi="Palatino Linotype"/>
          <w:i/>
        </w:rPr>
        <w:lastRenderedPageBreak/>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5E22B0" w:rsidRPr="007B5359" w:rsidRDefault="005E22B0" w:rsidP="005E22B0">
      <w:pPr>
        <w:spacing w:line="360" w:lineRule="auto"/>
        <w:jc w:val="both"/>
        <w:rPr>
          <w:rFonts w:ascii="Palatino Linotype" w:hAnsi="Palatino Linotype" w:cs="Arial"/>
        </w:rPr>
      </w:pPr>
    </w:p>
    <w:p w:rsidR="008608D4" w:rsidRPr="007B5359" w:rsidRDefault="008608D4" w:rsidP="00587D80">
      <w:pPr>
        <w:pStyle w:val="Prrafodelista"/>
        <w:numPr>
          <w:ilvl w:val="0"/>
          <w:numId w:val="1"/>
        </w:numPr>
        <w:spacing w:before="240" w:after="240" w:line="360" w:lineRule="auto"/>
        <w:ind w:left="0" w:firstLine="0"/>
        <w:jc w:val="both"/>
        <w:rPr>
          <w:rFonts w:ascii="Palatino Linotype" w:hAnsi="Palatino Linotype" w:cs="Arial"/>
        </w:rPr>
      </w:pPr>
      <w:r w:rsidRPr="007B5359">
        <w:rPr>
          <w:rFonts w:ascii="Palatino Linotype" w:hAnsi="Palatino Linotype" w:cs="Arial"/>
        </w:rPr>
        <w:t xml:space="preserve">Por </w:t>
      </w:r>
      <w:r w:rsidRPr="007B5359">
        <w:rPr>
          <w:rFonts w:ascii="Palatino Linotype" w:eastAsia="MS Mincho" w:hAnsi="Palatino Linotype" w:cs="Arial"/>
          <w:lang w:val="es-ES"/>
        </w:rPr>
        <w:t>lo que es menester en este asunto dar vista al Órgano de Control Interno de este Instituto para que en ejercicio de sus atribuciones, atienda las directivas marcadas en la propia Ley de la materia, con fundamento en el artículo 190 de la ley de mérito, el cual señala que, cuando este Órgano Garante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608D4" w:rsidRPr="007B5359" w:rsidRDefault="008608D4" w:rsidP="008608D4">
      <w:pPr>
        <w:pStyle w:val="Prrafodelista"/>
        <w:spacing w:before="240" w:after="240" w:line="360" w:lineRule="auto"/>
        <w:ind w:left="0"/>
        <w:jc w:val="both"/>
        <w:rPr>
          <w:rFonts w:ascii="Palatino Linotype" w:hAnsi="Palatino Linotype" w:cs="Arial"/>
        </w:rPr>
      </w:pPr>
    </w:p>
    <w:p w:rsidR="00653E80" w:rsidRPr="007B5359" w:rsidRDefault="00653E80" w:rsidP="00587D80">
      <w:pPr>
        <w:pStyle w:val="Prrafodelista"/>
        <w:numPr>
          <w:ilvl w:val="0"/>
          <w:numId w:val="1"/>
        </w:numPr>
        <w:spacing w:before="240" w:after="240" w:line="360" w:lineRule="auto"/>
        <w:ind w:left="0" w:firstLine="0"/>
        <w:jc w:val="both"/>
        <w:rPr>
          <w:rFonts w:ascii="Palatino Linotype" w:hAnsi="Palatino Linotype" w:cs="Arial"/>
        </w:rPr>
      </w:pPr>
      <w:r w:rsidRPr="007B5359">
        <w:rPr>
          <w:rFonts w:ascii="Palatino Linotype" w:hAnsi="Palatino Linotype"/>
          <w:lang w:val="es-ES" w:eastAsia="es-MX"/>
        </w:rPr>
        <w:t xml:space="preserve">En </w:t>
      </w:r>
      <w:r w:rsidRPr="007B5359">
        <w:rPr>
          <w:rFonts w:ascii="Palatino Linotype" w:eastAsia="Times New Roman" w:hAnsi="Palatino Linotype" w:cs="Arial"/>
          <w:lang w:val="es-ES"/>
        </w:rPr>
        <w:t xml:space="preserve">conclusión, resultan parcialmente fundadas las razones o motivos de </w:t>
      </w:r>
      <w:r w:rsidRPr="007B5359">
        <w:rPr>
          <w:rFonts w:ascii="Palatino Linotype" w:hAnsi="Palatino Linotype" w:cs="Arial"/>
          <w:szCs w:val="23"/>
        </w:rPr>
        <w:t xml:space="preserve">inconformidad hechos valer por el </w:t>
      </w:r>
      <w:r w:rsidRPr="007B5359">
        <w:rPr>
          <w:rFonts w:ascii="Palatino Linotype" w:hAnsi="Palatino Linotype" w:cs="Arial"/>
          <w:b/>
          <w:szCs w:val="23"/>
        </w:rPr>
        <w:t>RECURRENTE</w:t>
      </w:r>
      <w:r w:rsidRPr="007B5359">
        <w:rPr>
          <w:rFonts w:ascii="Palatino Linotype" w:hAnsi="Palatino Linotype" w:cs="Arial"/>
          <w:szCs w:val="23"/>
        </w:rPr>
        <w:t>, toda vez que</w:t>
      </w:r>
      <w:r w:rsidRPr="007B5359">
        <w:rPr>
          <w:rFonts w:ascii="Palatino Linotype" w:eastAsia="Times New Roman" w:hAnsi="Palatino Linotype" w:cs="Times New Roman"/>
        </w:rPr>
        <w:t xml:space="preserve"> se actualiza la hipótesis de procedencia</w:t>
      </w:r>
      <w:r w:rsidRPr="007B5359">
        <w:rPr>
          <w:rFonts w:ascii="Palatino Linotype" w:eastAsia="Times New Roman" w:hAnsi="Palatino Linotype" w:cs="Times New Roman"/>
          <w:b/>
        </w:rPr>
        <w:t xml:space="preserve"> </w:t>
      </w:r>
      <w:r w:rsidRPr="007B5359">
        <w:rPr>
          <w:rFonts w:ascii="Palatino Linotype" w:eastAsia="Times New Roman" w:hAnsi="Palatino Linotype" w:cs="Arial"/>
          <w:lang w:eastAsia="es-MX"/>
        </w:rPr>
        <w:t xml:space="preserve">contenida en </w:t>
      </w:r>
      <w:r w:rsidRPr="007B5359">
        <w:rPr>
          <w:rFonts w:ascii="Palatino Linotype" w:eastAsia="Times New Roman" w:hAnsi="Palatino Linotype" w:cs="Arial"/>
          <w:lang w:val="es-ES" w:eastAsia="es-MX"/>
        </w:rPr>
        <w:t xml:space="preserve">el artículo 179, fracción V de la </w:t>
      </w:r>
      <w:r w:rsidRPr="007B5359">
        <w:rPr>
          <w:rFonts w:ascii="Palatino Linotype" w:eastAsia="Calibri" w:hAnsi="Palatino Linotype" w:cs="Arial"/>
          <w:b/>
          <w:lang w:val="es-ES"/>
        </w:rPr>
        <w:t>Ley de Transparencia y Acceso a la Información Pública del Estado de México y Municipios</w:t>
      </w:r>
      <w:r w:rsidRPr="007B5359">
        <w:rPr>
          <w:rFonts w:ascii="Palatino Linotype" w:eastAsia="Times New Roman" w:hAnsi="Palatino Linotype" w:cs="Arial"/>
          <w:lang w:val="es-ES" w:eastAsia="es-MX"/>
        </w:rPr>
        <w:t>.</w:t>
      </w:r>
    </w:p>
    <w:p w:rsidR="00653E80" w:rsidRPr="007B5359" w:rsidRDefault="00653E80" w:rsidP="00653E80">
      <w:pPr>
        <w:pStyle w:val="Prrafodelista"/>
        <w:spacing w:before="240" w:after="240" w:line="360" w:lineRule="auto"/>
        <w:ind w:left="0"/>
        <w:jc w:val="both"/>
        <w:rPr>
          <w:rFonts w:ascii="Palatino Linotype" w:hAnsi="Palatino Linotype" w:cs="Arial"/>
        </w:rPr>
      </w:pPr>
    </w:p>
    <w:p w:rsidR="00554DF4" w:rsidRPr="007B5359" w:rsidRDefault="00653E80" w:rsidP="00587D80">
      <w:pPr>
        <w:pStyle w:val="Prrafodelista"/>
        <w:numPr>
          <w:ilvl w:val="0"/>
          <w:numId w:val="1"/>
        </w:numPr>
        <w:spacing w:before="240" w:after="240" w:line="360" w:lineRule="auto"/>
        <w:ind w:left="0" w:firstLine="0"/>
        <w:jc w:val="both"/>
        <w:rPr>
          <w:rFonts w:ascii="Palatino Linotype" w:hAnsi="Palatino Linotype" w:cs="Arial"/>
        </w:rPr>
      </w:pPr>
      <w:r w:rsidRPr="007B5359">
        <w:rPr>
          <w:rFonts w:ascii="Palatino Linotype" w:hAnsi="Palatino Linotype"/>
          <w:lang w:val="es-ES" w:eastAsia="es-MX"/>
        </w:rPr>
        <w:t>P</w:t>
      </w:r>
      <w:r w:rsidR="00554DF4" w:rsidRPr="007B5359">
        <w:rPr>
          <w:rFonts w:ascii="Palatino Linotype" w:hAnsi="Palatino Linotype"/>
          <w:lang w:val="es-ES" w:eastAsia="es-MX"/>
        </w:rPr>
        <w:t xml:space="preserve">or lo anteriormente expuesto y fundado, este </w:t>
      </w:r>
      <w:r w:rsidR="00554DF4" w:rsidRPr="007B5359">
        <w:rPr>
          <w:rFonts w:ascii="Palatino Linotype" w:hAnsi="Palatino Linotype"/>
          <w:b/>
          <w:bCs/>
          <w:lang w:val="es-ES" w:eastAsia="es-MX"/>
        </w:rPr>
        <w:t>ÓRGANO GARANTE</w:t>
      </w:r>
      <w:r w:rsidR="00554DF4" w:rsidRPr="007B5359">
        <w:rPr>
          <w:rFonts w:ascii="Palatino Linotype" w:hAnsi="Palatino Linotype"/>
          <w:lang w:val="es-ES" w:eastAsia="es-MX"/>
        </w:rPr>
        <w:t xml:space="preserve"> emite los siguientes:</w:t>
      </w:r>
      <w:r w:rsidR="00237C4D" w:rsidRPr="007B5359">
        <w:rPr>
          <w:rFonts w:ascii="Palatino Linotype" w:hAnsi="Palatino Linotype"/>
          <w:lang w:val="es-ES" w:eastAsia="es-MX"/>
        </w:rPr>
        <w:t xml:space="preserve"> </w:t>
      </w:r>
    </w:p>
    <w:p w:rsidR="00554DF4" w:rsidRPr="007B5359" w:rsidRDefault="00554DF4" w:rsidP="00554DF4">
      <w:pPr>
        <w:keepNext/>
        <w:keepLines/>
        <w:spacing w:line="360" w:lineRule="auto"/>
        <w:jc w:val="center"/>
        <w:outlineLvl w:val="0"/>
        <w:rPr>
          <w:rFonts w:ascii="Palatino Linotype" w:eastAsia="Times New Roman" w:hAnsi="Palatino Linotype" w:cstheme="majorBidi"/>
          <w:b/>
          <w:bCs/>
        </w:rPr>
      </w:pPr>
      <w:bookmarkStart w:id="86" w:name="_Toc486525261"/>
      <w:bookmarkStart w:id="87" w:name="_Toc445745148"/>
      <w:bookmarkStart w:id="88" w:name="_Toc447699324"/>
      <w:bookmarkStart w:id="89" w:name="_Toc33189452"/>
      <w:r w:rsidRPr="007B5359">
        <w:rPr>
          <w:rFonts w:ascii="Palatino Linotype" w:eastAsia="Times New Roman" w:hAnsi="Palatino Linotype" w:cstheme="majorBidi"/>
          <w:b/>
          <w:bCs/>
        </w:rPr>
        <w:lastRenderedPageBreak/>
        <w:t>R E S O L U T I V O S</w:t>
      </w:r>
      <w:bookmarkEnd w:id="86"/>
      <w:bookmarkEnd w:id="87"/>
      <w:bookmarkEnd w:id="88"/>
      <w:bookmarkEnd w:id="89"/>
      <w:r w:rsidR="00361785" w:rsidRPr="007B5359">
        <w:rPr>
          <w:rFonts w:ascii="Palatino Linotype" w:eastAsia="Times New Roman" w:hAnsi="Palatino Linotype" w:cstheme="majorBidi"/>
          <w:b/>
          <w:bCs/>
        </w:rPr>
        <w:t xml:space="preserve"> </w:t>
      </w:r>
    </w:p>
    <w:p w:rsidR="00554DF4" w:rsidRPr="007B5359" w:rsidRDefault="00554DF4" w:rsidP="00554DF4">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90" w:name="_Toc460947011"/>
      <w:bookmarkStart w:id="91" w:name="_Toc450120669"/>
      <w:bookmarkEnd w:id="10"/>
      <w:bookmarkEnd w:id="11"/>
      <w:bookmarkEnd w:id="12"/>
      <w:r w:rsidRPr="007B5359">
        <w:rPr>
          <w:rFonts w:ascii="Palatino Linotype" w:eastAsia="Times New Roman" w:hAnsi="Palatino Linotype" w:cs="Arial"/>
          <w:b/>
        </w:rPr>
        <w:t xml:space="preserve">PRIMERO. </w:t>
      </w:r>
      <w:r w:rsidRPr="007B5359">
        <w:rPr>
          <w:rFonts w:ascii="Palatino Linotype" w:hAnsi="Palatino Linotype"/>
        </w:rPr>
        <w:t>Resultan</w:t>
      </w:r>
      <w:r w:rsidR="006E7D43" w:rsidRPr="007B5359">
        <w:rPr>
          <w:rFonts w:ascii="Palatino Linotype" w:hAnsi="Palatino Linotype"/>
        </w:rPr>
        <w:t xml:space="preserve"> </w:t>
      </w:r>
      <w:r w:rsidRPr="007B5359">
        <w:rPr>
          <w:rFonts w:ascii="Palatino Linotype" w:hAnsi="Palatino Linotype"/>
        </w:rPr>
        <w:t xml:space="preserve">fundadas las razones y motivos de inconformidad hechos valer en el recurso de revisión </w:t>
      </w:r>
      <w:r w:rsidR="00774F4D" w:rsidRPr="007B5359">
        <w:rPr>
          <w:rFonts w:ascii="Palatino Linotype" w:hAnsi="Palatino Linotype"/>
          <w:b/>
        </w:rPr>
        <w:t>08893/INFOEM/IP/RR/2019</w:t>
      </w:r>
      <w:r w:rsidRPr="007B5359">
        <w:rPr>
          <w:rFonts w:ascii="Palatino Linotype" w:hAnsi="Palatino Linotype"/>
          <w:b/>
        </w:rPr>
        <w:t xml:space="preserve"> </w:t>
      </w:r>
      <w:r w:rsidRPr="007B5359">
        <w:rPr>
          <w:rFonts w:ascii="Palatino Linotype" w:hAnsi="Palatino Linotype"/>
        </w:rPr>
        <w:t>en términos del considerando</w:t>
      </w:r>
      <w:r w:rsidRPr="007B5359">
        <w:rPr>
          <w:rFonts w:ascii="Palatino Linotype" w:hAnsi="Palatino Linotype"/>
          <w:b/>
        </w:rPr>
        <w:t xml:space="preserve"> CUARTO</w:t>
      </w:r>
      <w:r w:rsidR="009A4FA1" w:rsidRPr="007B5359">
        <w:rPr>
          <w:rFonts w:ascii="Palatino Linotype" w:hAnsi="Palatino Linotype"/>
          <w:b/>
        </w:rPr>
        <w:t xml:space="preserve"> </w:t>
      </w:r>
      <w:r w:rsidRPr="007B5359">
        <w:rPr>
          <w:rFonts w:ascii="Palatino Linotype" w:hAnsi="Palatino Linotype"/>
        </w:rPr>
        <w:t>de la presente resolución.</w:t>
      </w:r>
    </w:p>
    <w:p w:rsidR="00554DF4" w:rsidRPr="007B5359" w:rsidRDefault="00554DF4" w:rsidP="00554DF4">
      <w:pPr>
        <w:spacing w:before="240" w:after="360" w:line="360" w:lineRule="auto"/>
        <w:jc w:val="both"/>
        <w:rPr>
          <w:rStyle w:val="Ttulo2Car"/>
          <w:rFonts w:ascii="Palatino Linotype" w:hAnsi="Palatino Linotype"/>
          <w:color w:val="auto"/>
          <w:sz w:val="24"/>
          <w:szCs w:val="24"/>
        </w:rPr>
      </w:pPr>
      <w:bookmarkStart w:id="92" w:name="_Toc504377974"/>
      <w:bookmarkStart w:id="93" w:name="_Toc499757020"/>
      <w:bookmarkStart w:id="94" w:name="_Toc499756977"/>
      <w:bookmarkStart w:id="95" w:name="_Toc496100166"/>
      <w:bookmarkStart w:id="96" w:name="_Toc496099789"/>
      <w:bookmarkStart w:id="97" w:name="_Toc462228129"/>
      <w:bookmarkStart w:id="98" w:name="_Toc462228049"/>
      <w:bookmarkStart w:id="99" w:name="_Toc461648682"/>
      <w:bookmarkStart w:id="100" w:name="_Toc461648590"/>
      <w:r w:rsidRPr="007B5359">
        <w:rPr>
          <w:rFonts w:ascii="Palatino Linotype" w:eastAsia="Times New Roman" w:hAnsi="Palatino Linotype" w:cs="Arial"/>
          <w:b/>
        </w:rPr>
        <w:t>SEGUNDO.</w:t>
      </w:r>
      <w:bookmarkEnd w:id="92"/>
      <w:bookmarkEnd w:id="93"/>
      <w:bookmarkEnd w:id="94"/>
      <w:bookmarkEnd w:id="95"/>
      <w:bookmarkEnd w:id="96"/>
      <w:bookmarkEnd w:id="97"/>
      <w:bookmarkEnd w:id="98"/>
      <w:bookmarkEnd w:id="99"/>
      <w:bookmarkEnd w:id="100"/>
      <w:r w:rsidRPr="007B5359">
        <w:rPr>
          <w:rStyle w:val="Ttulo2Car"/>
          <w:rFonts w:ascii="Palatino Linotype" w:hAnsi="Palatino Linotype"/>
          <w:b/>
          <w:color w:val="auto"/>
          <w:sz w:val="24"/>
          <w:szCs w:val="24"/>
        </w:rPr>
        <w:t xml:space="preserve"> </w:t>
      </w:r>
      <w:r w:rsidRPr="007B5359">
        <w:rPr>
          <w:rStyle w:val="Ttulo2Car"/>
          <w:rFonts w:ascii="Palatino Linotype" w:hAnsi="Palatino Linotype"/>
          <w:color w:val="auto"/>
          <w:sz w:val="24"/>
          <w:szCs w:val="24"/>
        </w:rPr>
        <w:t>Se</w:t>
      </w:r>
      <w:r w:rsidRPr="007B5359">
        <w:rPr>
          <w:rStyle w:val="Ttulo2Car"/>
          <w:rFonts w:ascii="Palatino Linotype" w:hAnsi="Palatino Linotype"/>
          <w:b/>
          <w:color w:val="auto"/>
          <w:sz w:val="24"/>
          <w:szCs w:val="24"/>
        </w:rPr>
        <w:t xml:space="preserve"> </w:t>
      </w:r>
      <w:r w:rsidR="00F87C90" w:rsidRPr="007B5359">
        <w:rPr>
          <w:rStyle w:val="Ttulo2Car"/>
          <w:rFonts w:ascii="Palatino Linotype" w:hAnsi="Palatino Linotype"/>
          <w:b/>
          <w:color w:val="auto"/>
          <w:sz w:val="24"/>
          <w:szCs w:val="24"/>
        </w:rPr>
        <w:t>MODIFICA</w:t>
      </w:r>
      <w:r w:rsidRPr="007B5359">
        <w:rPr>
          <w:rStyle w:val="Ttulo2Car"/>
          <w:rFonts w:ascii="Palatino Linotype" w:hAnsi="Palatino Linotype"/>
          <w:b/>
          <w:color w:val="auto"/>
          <w:sz w:val="24"/>
          <w:szCs w:val="24"/>
        </w:rPr>
        <w:t xml:space="preserve"> </w:t>
      </w:r>
      <w:r w:rsidRPr="007B5359">
        <w:rPr>
          <w:rStyle w:val="Ttulo2Car"/>
          <w:rFonts w:ascii="Palatino Linotype" w:hAnsi="Palatino Linotype"/>
          <w:color w:val="auto"/>
          <w:sz w:val="24"/>
          <w:szCs w:val="24"/>
        </w:rPr>
        <w:t>la respuesta emitida por el</w:t>
      </w:r>
      <w:r w:rsidRPr="007B5359">
        <w:rPr>
          <w:rStyle w:val="Ttulo2Car"/>
          <w:rFonts w:ascii="Palatino Linotype" w:hAnsi="Palatino Linotype"/>
          <w:b/>
          <w:color w:val="auto"/>
          <w:sz w:val="24"/>
          <w:szCs w:val="24"/>
        </w:rPr>
        <w:t xml:space="preserve"> </w:t>
      </w:r>
      <w:r w:rsidR="00F76C2F" w:rsidRPr="007B5359">
        <w:rPr>
          <w:rFonts w:ascii="Palatino Linotype" w:hAnsi="Palatino Linotype"/>
          <w:b/>
          <w:bCs/>
        </w:rPr>
        <w:t xml:space="preserve">Ayuntamiento de </w:t>
      </w:r>
      <w:r w:rsidR="00774F4D" w:rsidRPr="007B5359">
        <w:rPr>
          <w:rFonts w:ascii="Palatino Linotype" w:hAnsi="Palatino Linotype"/>
          <w:b/>
          <w:bCs/>
        </w:rPr>
        <w:t>Cuautitlán Izcalli</w:t>
      </w:r>
      <w:r w:rsidRPr="007B5359">
        <w:rPr>
          <w:rStyle w:val="Ttulo2Car"/>
          <w:rFonts w:ascii="Palatino Linotype" w:hAnsi="Palatino Linotype"/>
          <w:b/>
          <w:color w:val="auto"/>
          <w:sz w:val="24"/>
          <w:szCs w:val="24"/>
        </w:rPr>
        <w:t xml:space="preserve"> </w:t>
      </w:r>
      <w:r w:rsidRPr="007B5359">
        <w:rPr>
          <w:rStyle w:val="Ttulo2Car"/>
          <w:rFonts w:ascii="Palatino Linotype" w:hAnsi="Palatino Linotype"/>
          <w:color w:val="auto"/>
          <w:sz w:val="24"/>
          <w:szCs w:val="24"/>
        </w:rPr>
        <w:t>y se</w:t>
      </w:r>
      <w:r w:rsidRPr="007B5359">
        <w:rPr>
          <w:rStyle w:val="Ttulo2Car"/>
          <w:rFonts w:ascii="Palatino Linotype" w:hAnsi="Palatino Linotype"/>
          <w:b/>
          <w:color w:val="auto"/>
          <w:sz w:val="24"/>
          <w:szCs w:val="24"/>
        </w:rPr>
        <w:t xml:space="preserve"> ORDENA </w:t>
      </w:r>
      <w:r w:rsidR="00827373" w:rsidRPr="007B5359">
        <w:rPr>
          <w:rStyle w:val="Ttulo2Car"/>
          <w:rFonts w:ascii="Palatino Linotype" w:hAnsi="Palatino Linotype"/>
          <w:color w:val="auto"/>
          <w:sz w:val="24"/>
          <w:szCs w:val="24"/>
        </w:rPr>
        <w:t xml:space="preserve">entregar </w:t>
      </w:r>
      <w:r w:rsidR="00ED430A" w:rsidRPr="007B5359">
        <w:rPr>
          <w:rStyle w:val="Ttulo2Car"/>
          <w:rFonts w:ascii="Palatino Linotype" w:hAnsi="Palatino Linotype"/>
          <w:color w:val="auto"/>
          <w:sz w:val="24"/>
          <w:szCs w:val="24"/>
        </w:rPr>
        <w:t>vía Sistema de Acceso a la Información Mexiquense (</w:t>
      </w:r>
      <w:r w:rsidR="00ED430A" w:rsidRPr="007B5359">
        <w:rPr>
          <w:rStyle w:val="Ttulo2Car"/>
          <w:rFonts w:ascii="Palatino Linotype" w:hAnsi="Palatino Linotype"/>
          <w:i/>
          <w:color w:val="auto"/>
          <w:sz w:val="24"/>
          <w:szCs w:val="24"/>
        </w:rPr>
        <w:t>SAIMEX</w:t>
      </w:r>
      <w:r w:rsidR="00ED430A" w:rsidRPr="007B5359">
        <w:rPr>
          <w:rStyle w:val="Ttulo2Car"/>
          <w:rFonts w:ascii="Palatino Linotype" w:hAnsi="Palatino Linotype"/>
          <w:color w:val="auto"/>
          <w:sz w:val="24"/>
          <w:szCs w:val="24"/>
        </w:rPr>
        <w:t xml:space="preserve">) y correo electrónico, de ser </w:t>
      </w:r>
      <w:r w:rsidR="006E7D43" w:rsidRPr="007B5359">
        <w:rPr>
          <w:rStyle w:val="Ttulo2Car"/>
          <w:rFonts w:ascii="Palatino Linotype" w:hAnsi="Palatino Linotype"/>
          <w:color w:val="auto"/>
          <w:sz w:val="24"/>
          <w:szCs w:val="24"/>
        </w:rPr>
        <w:t>procedente</w:t>
      </w:r>
      <w:r w:rsidR="00ED430A" w:rsidRPr="007B5359">
        <w:rPr>
          <w:rStyle w:val="Ttulo2Car"/>
          <w:rFonts w:ascii="Palatino Linotype" w:hAnsi="Palatino Linotype"/>
          <w:color w:val="auto"/>
          <w:sz w:val="24"/>
          <w:szCs w:val="24"/>
        </w:rPr>
        <w:t xml:space="preserve"> en versión pública,</w:t>
      </w:r>
      <w:r w:rsidR="00827373" w:rsidRPr="007B5359">
        <w:rPr>
          <w:rStyle w:val="Ttulo2Car"/>
          <w:rFonts w:ascii="Palatino Linotype" w:hAnsi="Palatino Linotype"/>
          <w:b/>
          <w:color w:val="auto"/>
          <w:sz w:val="24"/>
          <w:szCs w:val="24"/>
        </w:rPr>
        <w:t xml:space="preserve"> </w:t>
      </w:r>
      <w:r w:rsidRPr="007B5359">
        <w:rPr>
          <w:rStyle w:val="Ttulo2Car"/>
          <w:rFonts w:ascii="Palatino Linotype" w:hAnsi="Palatino Linotype"/>
          <w:color w:val="auto"/>
          <w:sz w:val="24"/>
          <w:szCs w:val="24"/>
        </w:rPr>
        <w:t>lo siguiente:</w:t>
      </w:r>
    </w:p>
    <w:p w:rsidR="00ED430A" w:rsidRPr="007B5359" w:rsidRDefault="006E7D43" w:rsidP="00ED430A">
      <w:pPr>
        <w:pStyle w:val="Prrafodelista"/>
        <w:numPr>
          <w:ilvl w:val="0"/>
          <w:numId w:val="7"/>
        </w:numPr>
        <w:spacing w:before="240" w:after="360" w:line="360" w:lineRule="auto"/>
        <w:jc w:val="both"/>
        <w:rPr>
          <w:b/>
          <w:szCs w:val="22"/>
        </w:rPr>
      </w:pPr>
      <w:bookmarkStart w:id="101" w:name="_Toc29491355"/>
      <w:r w:rsidRPr="007B5359">
        <w:rPr>
          <w:rFonts w:ascii="Palatino Linotype" w:hAnsi="Palatino Linotype" w:cs="Arial"/>
          <w:b/>
        </w:rPr>
        <w:t xml:space="preserve">Expediente </w:t>
      </w:r>
      <w:r w:rsidR="00E80D9A" w:rsidRPr="007B5359">
        <w:rPr>
          <w:rFonts w:ascii="Palatino Linotype" w:hAnsi="Palatino Linotype" w:cs="Arial"/>
          <w:b/>
        </w:rPr>
        <w:t>integrado</w:t>
      </w:r>
      <w:r w:rsidR="00C0488F" w:rsidRPr="007B5359">
        <w:rPr>
          <w:rFonts w:ascii="Palatino Linotype" w:hAnsi="Palatino Linotype" w:cs="Arial"/>
          <w:b/>
        </w:rPr>
        <w:t xml:space="preserve"> por </w:t>
      </w:r>
      <w:r w:rsidRPr="007B5359">
        <w:rPr>
          <w:rFonts w:ascii="Palatino Linotype" w:hAnsi="Palatino Linotype" w:cs="Arial"/>
          <w:b/>
        </w:rPr>
        <w:t>l</w:t>
      </w:r>
      <w:r w:rsidR="00C0488F" w:rsidRPr="007B5359">
        <w:rPr>
          <w:rFonts w:ascii="Palatino Linotype" w:hAnsi="Palatino Linotype" w:cs="Arial"/>
          <w:b/>
        </w:rPr>
        <w:t>a</w:t>
      </w:r>
      <w:r w:rsidRPr="007B5359">
        <w:rPr>
          <w:rFonts w:ascii="Palatino Linotype" w:hAnsi="Palatino Linotype" w:cs="Arial"/>
          <w:b/>
        </w:rPr>
        <w:t xml:space="preserve"> </w:t>
      </w:r>
      <w:r w:rsidR="00C0488F" w:rsidRPr="007B5359">
        <w:rPr>
          <w:rFonts w:ascii="Palatino Linotype" w:eastAsia="Times New Roman" w:hAnsi="Palatino Linotype" w:cs="Arial"/>
          <w:b/>
          <w:lang w:eastAsia="es-MX"/>
        </w:rPr>
        <w:t xml:space="preserve">adquisición del parque vehicular que requirió </w:t>
      </w:r>
      <w:r w:rsidR="00670EBC" w:rsidRPr="007B5359">
        <w:rPr>
          <w:rFonts w:ascii="Palatino Linotype" w:eastAsia="Times New Roman" w:hAnsi="Palatino Linotype" w:cs="Arial"/>
          <w:b/>
          <w:lang w:eastAsia="es-MX"/>
        </w:rPr>
        <w:t>la</w:t>
      </w:r>
      <w:r w:rsidRPr="007B5359">
        <w:rPr>
          <w:rFonts w:ascii="Palatino Linotype" w:eastAsia="Times New Roman" w:hAnsi="Palatino Linotype" w:cs="Arial"/>
          <w:b/>
          <w:lang w:eastAsia="es-MX"/>
        </w:rPr>
        <w:t xml:space="preserve"> Comisaría General de Seguridad Pública y Tránsito Municipal, </w:t>
      </w:r>
      <w:r w:rsidR="00C0488F" w:rsidRPr="007B5359">
        <w:rPr>
          <w:rFonts w:ascii="Palatino Linotype" w:eastAsia="Times New Roman" w:hAnsi="Palatino Linotype" w:cs="Arial"/>
          <w:b/>
          <w:lang w:eastAsia="es-MX"/>
        </w:rPr>
        <w:t>mediante contrato celebrado con</w:t>
      </w:r>
      <w:r w:rsidRPr="007B5359">
        <w:rPr>
          <w:rFonts w:ascii="Palatino Linotype" w:eastAsia="Times New Roman" w:hAnsi="Palatino Linotype" w:cs="Arial"/>
          <w:b/>
          <w:lang w:eastAsia="es-MX"/>
        </w:rPr>
        <w:t xml:space="preserve"> la persona </w:t>
      </w:r>
      <w:r w:rsidR="00E40651" w:rsidRPr="007B5359">
        <w:rPr>
          <w:rFonts w:ascii="Palatino Linotype" w:eastAsia="Times New Roman" w:hAnsi="Palatino Linotype" w:cs="Arial"/>
          <w:b/>
          <w:lang w:eastAsia="es-MX"/>
        </w:rPr>
        <w:t>jurídico-colectiva</w:t>
      </w:r>
      <w:r w:rsidR="00E40651" w:rsidRPr="007B5359">
        <w:rPr>
          <w:rFonts w:ascii="Palatino Linotype" w:eastAsia="Times New Roman" w:hAnsi="Palatino Linotype" w:cs="Arial"/>
          <w:b/>
          <w:i/>
          <w:lang w:eastAsia="es-MX"/>
        </w:rPr>
        <w:t xml:space="preserve"> </w:t>
      </w:r>
      <w:proofErr w:type="spellStart"/>
      <w:r w:rsidRPr="007B5359">
        <w:rPr>
          <w:rFonts w:ascii="Palatino Linotype" w:eastAsia="Times New Roman" w:hAnsi="Palatino Linotype" w:cs="Arial"/>
          <w:b/>
          <w:i/>
          <w:lang w:eastAsia="es-MX"/>
        </w:rPr>
        <w:t>Cebenssi</w:t>
      </w:r>
      <w:proofErr w:type="spellEnd"/>
      <w:r w:rsidRPr="007B5359">
        <w:rPr>
          <w:rFonts w:ascii="Palatino Linotype" w:eastAsia="Times New Roman" w:hAnsi="Palatino Linotype" w:cs="Arial"/>
          <w:b/>
          <w:i/>
          <w:lang w:eastAsia="es-MX"/>
        </w:rPr>
        <w:t xml:space="preserve"> S.A. de C.V., </w:t>
      </w:r>
      <w:r w:rsidRPr="007B5359">
        <w:rPr>
          <w:rFonts w:ascii="Palatino Linotype" w:eastAsia="Times New Roman" w:hAnsi="Palatino Linotype" w:cs="Arial"/>
          <w:b/>
          <w:lang w:eastAsia="es-MX"/>
        </w:rPr>
        <w:t>suscrito el doce (12)</w:t>
      </w:r>
      <w:r w:rsidR="00E40651" w:rsidRPr="007B5359">
        <w:rPr>
          <w:rFonts w:ascii="Palatino Linotype" w:eastAsia="Times New Roman" w:hAnsi="Palatino Linotype" w:cs="Arial"/>
          <w:b/>
          <w:lang w:eastAsia="es-MX"/>
        </w:rPr>
        <w:t xml:space="preserve"> </w:t>
      </w:r>
      <w:r w:rsidRPr="007B5359">
        <w:rPr>
          <w:rFonts w:ascii="Palatino Linotype" w:eastAsia="Times New Roman" w:hAnsi="Palatino Linotype" w:cs="Arial"/>
          <w:b/>
          <w:lang w:eastAsia="es-MX"/>
        </w:rPr>
        <w:t>de abril del dos mil diecinueve.</w:t>
      </w:r>
    </w:p>
    <w:p w:rsidR="00670EBC" w:rsidRPr="007B5359" w:rsidRDefault="00670EBC" w:rsidP="00670EBC">
      <w:pPr>
        <w:pStyle w:val="Prrafodelista"/>
        <w:spacing w:before="240" w:after="360" w:line="360" w:lineRule="auto"/>
        <w:jc w:val="both"/>
        <w:rPr>
          <w:b/>
          <w:szCs w:val="22"/>
        </w:rPr>
      </w:pPr>
    </w:p>
    <w:p w:rsidR="00670EBC" w:rsidRPr="007B5359" w:rsidRDefault="00670EBC" w:rsidP="00ED430A">
      <w:pPr>
        <w:pStyle w:val="Prrafodelista"/>
        <w:numPr>
          <w:ilvl w:val="0"/>
          <w:numId w:val="7"/>
        </w:numPr>
        <w:spacing w:before="240" w:after="360" w:line="360" w:lineRule="auto"/>
        <w:jc w:val="both"/>
        <w:rPr>
          <w:rStyle w:val="Ttulo2Car"/>
          <w:rFonts w:asciiTheme="minorHAnsi" w:eastAsiaTheme="minorEastAsia" w:hAnsiTheme="minorHAnsi" w:cstheme="minorBidi"/>
          <w:b/>
          <w:color w:val="auto"/>
          <w:sz w:val="24"/>
          <w:szCs w:val="22"/>
        </w:rPr>
      </w:pPr>
      <w:r w:rsidRPr="007B5359">
        <w:rPr>
          <w:rFonts w:ascii="Palatino Linotype" w:eastAsia="Times New Roman" w:hAnsi="Palatino Linotype" w:cs="Arial"/>
          <w:b/>
          <w:lang w:eastAsia="es-MX"/>
        </w:rPr>
        <w:t>Documentos donde conste la revisión</w:t>
      </w:r>
      <w:r w:rsidR="00C0488F" w:rsidRPr="007B5359">
        <w:rPr>
          <w:rFonts w:ascii="Palatino Linotype" w:eastAsia="Times New Roman" w:hAnsi="Palatino Linotype" w:cs="Arial"/>
          <w:b/>
          <w:lang w:eastAsia="es-MX"/>
        </w:rPr>
        <w:t>,</w:t>
      </w:r>
      <w:r w:rsidRPr="007B5359">
        <w:rPr>
          <w:rFonts w:ascii="Palatino Linotype" w:eastAsia="Times New Roman" w:hAnsi="Palatino Linotype" w:cs="Arial"/>
          <w:b/>
          <w:lang w:eastAsia="es-MX"/>
        </w:rPr>
        <w:t xml:space="preserve"> </w:t>
      </w:r>
      <w:r w:rsidR="00C0488F" w:rsidRPr="007B5359">
        <w:rPr>
          <w:rFonts w:ascii="Palatino Linotype" w:eastAsia="Times New Roman" w:hAnsi="Palatino Linotype" w:cs="Arial"/>
          <w:b/>
          <w:lang w:eastAsia="es-MX"/>
        </w:rPr>
        <w:t xml:space="preserve">por parte de la Contraloría Municipal, </w:t>
      </w:r>
      <w:r w:rsidRPr="007B5359">
        <w:rPr>
          <w:rFonts w:ascii="Palatino Linotype" w:eastAsia="Times New Roman" w:hAnsi="Palatino Linotype" w:cs="Arial"/>
          <w:b/>
          <w:lang w:eastAsia="es-MX"/>
        </w:rPr>
        <w:t xml:space="preserve">de los anexos técnicos </w:t>
      </w:r>
      <w:r w:rsidR="00C0488F" w:rsidRPr="007B5359">
        <w:rPr>
          <w:rFonts w:ascii="Palatino Linotype" w:eastAsia="Times New Roman" w:hAnsi="Palatino Linotype" w:cs="Arial"/>
          <w:b/>
          <w:lang w:eastAsia="es-MX"/>
        </w:rPr>
        <w:t xml:space="preserve">derivados </w:t>
      </w:r>
      <w:r w:rsidRPr="007B5359">
        <w:rPr>
          <w:rFonts w:ascii="Palatino Linotype" w:eastAsia="Times New Roman" w:hAnsi="Palatino Linotype" w:cs="Arial"/>
          <w:b/>
          <w:lang w:eastAsia="es-MX"/>
        </w:rPr>
        <w:t>de</w:t>
      </w:r>
      <w:r w:rsidR="00C0488F" w:rsidRPr="007B5359">
        <w:rPr>
          <w:rFonts w:ascii="Palatino Linotype" w:eastAsia="Times New Roman" w:hAnsi="Palatino Linotype" w:cs="Arial"/>
          <w:b/>
          <w:lang w:eastAsia="es-MX"/>
        </w:rPr>
        <w:t xml:space="preserve"> </w:t>
      </w:r>
      <w:r w:rsidRPr="007B5359">
        <w:rPr>
          <w:rFonts w:ascii="Palatino Linotype" w:eastAsia="Times New Roman" w:hAnsi="Palatino Linotype" w:cs="Arial"/>
          <w:b/>
          <w:lang w:eastAsia="es-MX"/>
        </w:rPr>
        <w:t>l</w:t>
      </w:r>
      <w:r w:rsidR="00C0488F" w:rsidRPr="007B5359">
        <w:rPr>
          <w:rFonts w:ascii="Palatino Linotype" w:eastAsia="Times New Roman" w:hAnsi="Palatino Linotype" w:cs="Arial"/>
          <w:b/>
          <w:lang w:eastAsia="es-MX"/>
        </w:rPr>
        <w:t>a</w:t>
      </w:r>
      <w:r w:rsidRPr="007B5359">
        <w:rPr>
          <w:rFonts w:ascii="Palatino Linotype" w:eastAsia="Times New Roman" w:hAnsi="Palatino Linotype" w:cs="Arial"/>
          <w:b/>
          <w:lang w:eastAsia="es-MX"/>
        </w:rPr>
        <w:t xml:space="preserve"> </w:t>
      </w:r>
      <w:r w:rsidR="00C0488F" w:rsidRPr="007B5359">
        <w:rPr>
          <w:rFonts w:ascii="Palatino Linotype" w:eastAsia="Times New Roman" w:hAnsi="Palatino Linotype" w:cs="Arial"/>
          <w:b/>
          <w:lang w:eastAsia="es-MX"/>
        </w:rPr>
        <w:t>adquisición del parque vehicular que requirió la</w:t>
      </w:r>
      <w:r w:rsidRPr="007B5359">
        <w:rPr>
          <w:rFonts w:ascii="Palatino Linotype" w:eastAsia="Times New Roman" w:hAnsi="Palatino Linotype" w:cs="Arial"/>
          <w:b/>
          <w:lang w:eastAsia="es-MX"/>
        </w:rPr>
        <w:t xml:space="preserve"> Comisaría General de Seguridad Pública y Tránsito Municipal, </w:t>
      </w:r>
      <w:r w:rsidR="00C0488F" w:rsidRPr="007B5359">
        <w:rPr>
          <w:rFonts w:ascii="Palatino Linotype" w:eastAsia="Times New Roman" w:hAnsi="Palatino Linotype" w:cs="Arial"/>
          <w:b/>
          <w:lang w:eastAsia="es-MX"/>
        </w:rPr>
        <w:t>mediante contrato celebrado con la persona jurídico-colectiva</w:t>
      </w:r>
      <w:r w:rsidR="00C0488F" w:rsidRPr="007B5359">
        <w:rPr>
          <w:rFonts w:ascii="Palatino Linotype" w:eastAsia="Times New Roman" w:hAnsi="Palatino Linotype" w:cs="Arial"/>
          <w:b/>
          <w:i/>
          <w:lang w:eastAsia="es-MX"/>
        </w:rPr>
        <w:t xml:space="preserve"> </w:t>
      </w:r>
      <w:proofErr w:type="spellStart"/>
      <w:r w:rsidR="00C0488F" w:rsidRPr="007B5359">
        <w:rPr>
          <w:rFonts w:ascii="Palatino Linotype" w:eastAsia="Times New Roman" w:hAnsi="Palatino Linotype" w:cs="Arial"/>
          <w:b/>
          <w:i/>
          <w:lang w:eastAsia="es-MX"/>
        </w:rPr>
        <w:t>Cebenssi</w:t>
      </w:r>
      <w:proofErr w:type="spellEnd"/>
      <w:r w:rsidR="00C0488F" w:rsidRPr="007B5359">
        <w:rPr>
          <w:rFonts w:ascii="Palatino Linotype" w:eastAsia="Times New Roman" w:hAnsi="Palatino Linotype" w:cs="Arial"/>
          <w:b/>
          <w:i/>
          <w:lang w:eastAsia="es-MX"/>
        </w:rPr>
        <w:t xml:space="preserve"> S.A. de C.V</w:t>
      </w:r>
      <w:r w:rsidRPr="007B5359">
        <w:rPr>
          <w:rFonts w:ascii="Palatino Linotype" w:eastAsia="Times New Roman" w:hAnsi="Palatino Linotype" w:cs="Arial"/>
          <w:b/>
          <w:lang w:eastAsia="es-MX"/>
        </w:rPr>
        <w:t>.</w:t>
      </w:r>
    </w:p>
    <w:bookmarkEnd w:id="101"/>
    <w:p w:rsidR="00C11FEA" w:rsidRPr="007B5359" w:rsidRDefault="00C11FEA" w:rsidP="00C11FEA">
      <w:pPr>
        <w:spacing w:line="360" w:lineRule="auto"/>
        <w:jc w:val="both"/>
        <w:rPr>
          <w:rFonts w:ascii="Palatino Linotype" w:eastAsia="Calibri" w:hAnsi="Palatino Linotype" w:cs="Arial"/>
        </w:rPr>
      </w:pPr>
      <w:r w:rsidRPr="007B535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7B5359">
        <w:rPr>
          <w:rFonts w:ascii="Palatino Linotype" w:eastAsia="Calibri" w:hAnsi="Palatino Linotype" w:cs="Arial"/>
        </w:rPr>
        <w:lastRenderedPageBreak/>
        <w:t>eliminen dentro del soporte documental respectivo objeto de las ver</w:t>
      </w:r>
      <w:r w:rsidR="00055C51" w:rsidRPr="007B5359">
        <w:rPr>
          <w:rFonts w:ascii="Palatino Linotype" w:eastAsia="Calibri" w:hAnsi="Palatino Linotype" w:cs="Arial"/>
        </w:rPr>
        <w:t>siones públicas que se formulen.</w:t>
      </w:r>
    </w:p>
    <w:p w:rsidR="00670EBC" w:rsidRPr="007B5359" w:rsidRDefault="00670EBC" w:rsidP="00C11FEA">
      <w:pPr>
        <w:spacing w:line="360" w:lineRule="auto"/>
        <w:jc w:val="both"/>
        <w:rPr>
          <w:rFonts w:ascii="Palatino Linotype" w:eastAsia="Calibri" w:hAnsi="Palatino Linotype" w:cs="Arial"/>
        </w:rPr>
      </w:pPr>
    </w:p>
    <w:p w:rsidR="00670EBC" w:rsidRPr="007B5359" w:rsidRDefault="00670EBC" w:rsidP="00670EBC">
      <w:pPr>
        <w:spacing w:line="360" w:lineRule="auto"/>
        <w:jc w:val="both"/>
        <w:rPr>
          <w:rFonts w:ascii="Palatino Linotype" w:eastAsia="MS Mincho" w:hAnsi="Palatino Linotype" w:cs="Times New Roman"/>
        </w:rPr>
      </w:pPr>
      <w:r w:rsidRPr="007B5359">
        <w:rPr>
          <w:rFonts w:ascii="Palatino Linotype" w:eastAsia="MS Mincho" w:hAnsi="Palatino Linotype" w:cs="Times New Roman"/>
        </w:rPr>
        <w:t xml:space="preserve">Para el caso de que la información que se ordena entregar en el </w:t>
      </w:r>
      <w:r w:rsidRPr="007B5359">
        <w:rPr>
          <w:rFonts w:ascii="Palatino Linotype" w:eastAsia="MS Mincho" w:hAnsi="Palatino Linotype" w:cs="Times New Roman"/>
          <w:b/>
          <w:i/>
        </w:rPr>
        <w:t>inciso b)</w:t>
      </w:r>
      <w:r w:rsidRPr="007B5359">
        <w:rPr>
          <w:rFonts w:ascii="Palatino Linotype" w:eastAsia="MS Mincho" w:hAnsi="Palatino Linotype" w:cs="Times New Roman"/>
        </w:rPr>
        <w:t xml:space="preserve"> no haya sido generada, poseída o administrada, el </w:t>
      </w:r>
      <w:r w:rsidRPr="007B5359">
        <w:rPr>
          <w:rFonts w:ascii="Palatino Linotype" w:eastAsia="MS Mincho" w:hAnsi="Palatino Linotype" w:cs="Times New Roman"/>
          <w:b/>
        </w:rPr>
        <w:t>SUJETO OBLIGADO</w:t>
      </w:r>
      <w:r w:rsidRPr="007B5359">
        <w:rPr>
          <w:rFonts w:ascii="Palatino Linotype" w:eastAsia="MS Mincho" w:hAnsi="Palatino Linotype" w:cs="Times New Roman"/>
        </w:rPr>
        <w:t xml:space="preserve"> deberá manifestar de manera clara y precisa las razones que expliquen las causas por las cuales no se cuente con la información.</w:t>
      </w:r>
    </w:p>
    <w:p w:rsidR="00C11FEA" w:rsidRPr="007B5359" w:rsidRDefault="00C11FEA" w:rsidP="00827373">
      <w:pPr>
        <w:spacing w:line="360" w:lineRule="auto"/>
        <w:jc w:val="both"/>
        <w:rPr>
          <w:rFonts w:ascii="Palatino Linotype" w:hAnsi="Palatino Linotype"/>
          <w:shd w:val="clear" w:color="auto" w:fill="FFFFFF"/>
        </w:rPr>
      </w:pPr>
    </w:p>
    <w:p w:rsidR="00554DF4" w:rsidRPr="007B5359" w:rsidRDefault="00554DF4" w:rsidP="00554DF4">
      <w:pPr>
        <w:tabs>
          <w:tab w:val="left" w:pos="8080"/>
        </w:tabs>
        <w:spacing w:line="360" w:lineRule="auto"/>
        <w:ind w:right="49"/>
        <w:contextualSpacing/>
        <w:jc w:val="both"/>
        <w:rPr>
          <w:rFonts w:ascii="Palatino Linotype" w:hAnsi="Palatino Linotype"/>
          <w:sz w:val="22"/>
          <w:szCs w:val="22"/>
          <w:shd w:val="clear" w:color="auto" w:fill="FFFFFF"/>
        </w:rPr>
      </w:pPr>
      <w:r w:rsidRPr="007B5359">
        <w:rPr>
          <w:rFonts w:ascii="Palatino Linotype" w:eastAsia="Palatino Linotype" w:hAnsi="Palatino Linotype" w:cs="Palatino Linotype"/>
          <w:b/>
          <w:sz w:val="22"/>
          <w:szCs w:val="22"/>
        </w:rPr>
        <w:t xml:space="preserve">TERCERO. Notifíquese </w:t>
      </w:r>
      <w:r w:rsidRPr="007B5359">
        <w:rPr>
          <w:rFonts w:ascii="Palatino Linotype" w:eastAsia="Palatino Linotype" w:hAnsi="Palatino Linotype" w:cs="Palatino Linotype"/>
          <w:sz w:val="22"/>
          <w:szCs w:val="22"/>
        </w:rPr>
        <w:t xml:space="preserve">al Titular de la Unidad de Transparencia del </w:t>
      </w:r>
      <w:r w:rsidRPr="007B5359">
        <w:rPr>
          <w:rFonts w:ascii="Palatino Linotype" w:eastAsia="Palatino Linotype" w:hAnsi="Palatino Linotype" w:cs="Palatino Linotype"/>
          <w:b/>
          <w:sz w:val="22"/>
          <w:szCs w:val="22"/>
        </w:rPr>
        <w:t>SUJETO OBLIGADO</w:t>
      </w:r>
      <w:r w:rsidRPr="007B5359">
        <w:rPr>
          <w:rFonts w:ascii="Palatino Linotype" w:eastAsia="Palatino Linotype" w:hAnsi="Palatino Linotype" w:cs="Palatino Linotype"/>
          <w:sz w:val="22"/>
          <w:szCs w:val="22"/>
        </w:rPr>
        <w:t xml:space="preserve">, para que conforme a los artículos 186 último párrafo, 189 párrafo segundo y 199 de la Ley de Transparencia y Acceso a la Información Pública del Estado de México y Municipios, </w:t>
      </w:r>
      <w:r w:rsidRPr="007B5359">
        <w:rPr>
          <w:rFonts w:ascii="Palatino Linotype" w:hAnsi="Palatino Linotype"/>
          <w:sz w:val="22"/>
          <w:szCs w:val="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Pr="007B5359" w:rsidRDefault="00554DF4" w:rsidP="00554DF4">
      <w:pPr>
        <w:tabs>
          <w:tab w:val="left" w:pos="8080"/>
        </w:tabs>
        <w:spacing w:line="360" w:lineRule="auto"/>
        <w:ind w:right="49"/>
        <w:contextualSpacing/>
        <w:jc w:val="both"/>
        <w:rPr>
          <w:rFonts w:ascii="Palatino Linotype" w:eastAsia="Palatino Linotype" w:hAnsi="Palatino Linotype" w:cs="Palatino Linotype"/>
          <w:b/>
          <w:sz w:val="22"/>
          <w:szCs w:val="22"/>
        </w:rPr>
      </w:pPr>
    </w:p>
    <w:p w:rsidR="0050359B" w:rsidRPr="007B5359" w:rsidRDefault="00554DF4" w:rsidP="00554DF4">
      <w:pPr>
        <w:spacing w:line="360" w:lineRule="auto"/>
        <w:jc w:val="both"/>
        <w:rPr>
          <w:rFonts w:ascii="Palatino Linotype" w:hAnsi="Palatino Linotype"/>
          <w:sz w:val="22"/>
          <w:szCs w:val="22"/>
        </w:rPr>
      </w:pPr>
      <w:bookmarkStart w:id="102" w:name="_Toc460947013"/>
      <w:bookmarkEnd w:id="90"/>
      <w:bookmarkEnd w:id="91"/>
      <w:r w:rsidRPr="007B5359">
        <w:rPr>
          <w:rFonts w:ascii="Palatino Linotype" w:eastAsia="Times New Roman" w:hAnsi="Palatino Linotype" w:cs="Arial"/>
          <w:b/>
          <w:sz w:val="22"/>
          <w:szCs w:val="22"/>
        </w:rPr>
        <w:t xml:space="preserve">CUARTO. </w:t>
      </w:r>
      <w:r w:rsidRPr="007B5359">
        <w:rPr>
          <w:rFonts w:ascii="Palatino Linotype" w:eastAsia="Times New Roman" w:hAnsi="Palatino Linotype" w:cs="Times New Roman"/>
          <w:b/>
          <w:bCs/>
          <w:sz w:val="22"/>
          <w:szCs w:val="22"/>
          <w:lang w:val="es-ES"/>
        </w:rPr>
        <w:t xml:space="preserve">Notifíquese a </w:t>
      </w:r>
      <w:r w:rsidR="007B5359" w:rsidRPr="007B5359">
        <w:rPr>
          <w:rFonts w:ascii="Palatino Linotype" w:hAnsi="Palatino Linotype"/>
          <w:b/>
          <w:sz w:val="22"/>
          <w:szCs w:val="22"/>
          <w:highlight w:val="black"/>
        </w:rPr>
        <w:t>----</w:t>
      </w:r>
      <w:r w:rsidR="00C11FEA" w:rsidRPr="007B5359">
        <w:rPr>
          <w:rFonts w:ascii="Palatino Linotype" w:hAnsi="Palatino Linotype"/>
          <w:b/>
          <w:sz w:val="22"/>
          <w:szCs w:val="22"/>
          <w:highlight w:val="black"/>
        </w:rPr>
        <w:t xml:space="preserve"> </w:t>
      </w:r>
      <w:r w:rsidR="007B5359" w:rsidRPr="007B5359">
        <w:rPr>
          <w:rFonts w:ascii="Palatino Linotype" w:hAnsi="Palatino Linotype"/>
          <w:b/>
          <w:sz w:val="22"/>
          <w:szCs w:val="22"/>
          <w:highlight w:val="black"/>
        </w:rPr>
        <w:t>----</w:t>
      </w:r>
      <w:r w:rsidR="00C11FEA" w:rsidRPr="007B5359">
        <w:rPr>
          <w:rFonts w:ascii="Palatino Linotype" w:hAnsi="Palatino Linotype"/>
          <w:b/>
          <w:sz w:val="22"/>
          <w:szCs w:val="22"/>
          <w:highlight w:val="black"/>
        </w:rPr>
        <w:t xml:space="preserve"> </w:t>
      </w:r>
      <w:r w:rsidR="007B5359" w:rsidRPr="007B5359">
        <w:rPr>
          <w:rFonts w:ascii="Palatino Linotype" w:hAnsi="Palatino Linotype"/>
          <w:b/>
          <w:sz w:val="22"/>
          <w:szCs w:val="22"/>
          <w:highlight w:val="black"/>
        </w:rPr>
        <w:t>----</w:t>
      </w:r>
      <w:r w:rsidR="00F76C2F" w:rsidRPr="007B5359">
        <w:rPr>
          <w:rFonts w:ascii="Palatino Linotype" w:hAnsi="Palatino Linotype"/>
          <w:sz w:val="22"/>
          <w:szCs w:val="22"/>
        </w:rPr>
        <w:t xml:space="preserve"> </w:t>
      </w:r>
      <w:r w:rsidRPr="007B5359">
        <w:rPr>
          <w:rFonts w:ascii="Palatino Linotype" w:hAnsi="Palatino Linotype"/>
          <w:sz w:val="22"/>
          <w:szCs w:val="22"/>
        </w:rPr>
        <w:t>la presente resolución</w:t>
      </w:r>
      <w:r w:rsidR="00670EBC" w:rsidRPr="007B5359">
        <w:rPr>
          <w:rFonts w:ascii="Palatino Linotype" w:hAnsi="Palatino Linotype"/>
          <w:sz w:val="22"/>
          <w:szCs w:val="22"/>
        </w:rPr>
        <w:t>.</w:t>
      </w:r>
    </w:p>
    <w:p w:rsidR="00554DF4" w:rsidRPr="007B5359" w:rsidRDefault="00554DF4" w:rsidP="00554DF4">
      <w:pPr>
        <w:spacing w:line="360" w:lineRule="auto"/>
        <w:jc w:val="both"/>
        <w:rPr>
          <w:rFonts w:ascii="Palatino Linotype" w:hAnsi="Palatino Linotype"/>
        </w:rPr>
      </w:pPr>
    </w:p>
    <w:bookmarkEnd w:id="102"/>
    <w:p w:rsidR="00055C51" w:rsidRPr="007B5359" w:rsidRDefault="00554DF4" w:rsidP="00055C51">
      <w:pPr>
        <w:spacing w:line="360" w:lineRule="auto"/>
        <w:ind w:right="-93"/>
        <w:jc w:val="both"/>
        <w:rPr>
          <w:rFonts w:ascii="Palatino Linotype" w:hAnsi="Palatino Linotype" w:cs="Tahoma"/>
          <w:sz w:val="22"/>
          <w:szCs w:val="22"/>
        </w:rPr>
      </w:pPr>
      <w:r w:rsidRPr="007B5359">
        <w:rPr>
          <w:rFonts w:ascii="Palatino Linotype" w:eastAsia="MS Mincho" w:hAnsi="Palatino Linotype" w:cs="Times New Roman"/>
          <w:b/>
          <w:sz w:val="22"/>
          <w:szCs w:val="22"/>
          <w:lang w:val="es-MX"/>
        </w:rPr>
        <w:t>QUINTO.</w:t>
      </w:r>
      <w:r w:rsidRPr="007B5359">
        <w:rPr>
          <w:rFonts w:ascii="Palatino Linotype" w:eastAsia="MS Mincho" w:hAnsi="Palatino Linotype" w:cs="Times New Roman"/>
          <w:sz w:val="22"/>
          <w:szCs w:val="22"/>
          <w:lang w:val="es-MX"/>
        </w:rPr>
        <w:t xml:space="preserve"> </w:t>
      </w:r>
      <w:r w:rsidRPr="007B5359">
        <w:rPr>
          <w:rFonts w:ascii="Palatino Linotype" w:eastAsia="MS Mincho" w:hAnsi="Palatino Linotype" w:cs="Times New Roman"/>
          <w:sz w:val="22"/>
          <w:szCs w:val="22"/>
          <w:lang w:val="es-ES"/>
        </w:rPr>
        <w:t xml:space="preserve">Se hace del conocimiento de </w:t>
      </w:r>
      <w:r w:rsidR="007B5359" w:rsidRPr="007B5359">
        <w:rPr>
          <w:rFonts w:ascii="Palatino Linotype" w:hAnsi="Palatino Linotype"/>
          <w:b/>
          <w:sz w:val="22"/>
          <w:szCs w:val="22"/>
          <w:highlight w:val="black"/>
        </w:rPr>
        <w:t>----</w:t>
      </w:r>
      <w:r w:rsidR="00C11FEA" w:rsidRPr="007B5359">
        <w:rPr>
          <w:rFonts w:ascii="Palatino Linotype" w:hAnsi="Palatino Linotype"/>
          <w:b/>
          <w:sz w:val="22"/>
          <w:szCs w:val="22"/>
          <w:highlight w:val="black"/>
        </w:rPr>
        <w:t xml:space="preserve"> </w:t>
      </w:r>
      <w:r w:rsidR="007B5359" w:rsidRPr="007B5359">
        <w:rPr>
          <w:rFonts w:ascii="Palatino Linotype" w:hAnsi="Palatino Linotype"/>
          <w:b/>
          <w:sz w:val="22"/>
          <w:szCs w:val="22"/>
          <w:highlight w:val="black"/>
        </w:rPr>
        <w:t>----</w:t>
      </w:r>
      <w:r w:rsidR="00C11FEA" w:rsidRPr="007B5359">
        <w:rPr>
          <w:rFonts w:ascii="Palatino Linotype" w:hAnsi="Palatino Linotype"/>
          <w:b/>
          <w:sz w:val="22"/>
          <w:szCs w:val="22"/>
          <w:highlight w:val="black"/>
        </w:rPr>
        <w:t xml:space="preserve"> </w:t>
      </w:r>
      <w:r w:rsidR="007B5359" w:rsidRPr="007B5359">
        <w:rPr>
          <w:rFonts w:ascii="Palatino Linotype" w:hAnsi="Palatino Linotype"/>
          <w:b/>
          <w:sz w:val="22"/>
          <w:szCs w:val="22"/>
          <w:highlight w:val="black"/>
        </w:rPr>
        <w:t>----</w:t>
      </w:r>
      <w:r w:rsidR="00C11FEA" w:rsidRPr="007B5359">
        <w:rPr>
          <w:rFonts w:ascii="Palatino Linotype" w:eastAsia="MS Mincho" w:hAnsi="Palatino Linotype" w:cs="Times New Roman"/>
          <w:sz w:val="22"/>
          <w:szCs w:val="22"/>
          <w:lang w:val="es-ES"/>
        </w:rPr>
        <w:t xml:space="preserve"> </w:t>
      </w:r>
      <w:r w:rsidRPr="007B5359">
        <w:rPr>
          <w:rFonts w:ascii="Palatino Linotype" w:eastAsia="MS Mincho" w:hAnsi="Palatino Linotype" w:cs="Times New Roman"/>
          <w:sz w:val="22"/>
          <w:szCs w:val="22"/>
          <w:lang w:val="es-ES"/>
        </w:rPr>
        <w:t>que, de conformidad con lo establecido en el artículo 196 de la Ley de Transparencia y Acceso a la Información Pública del Estado de México y Municipios, en caso de que considere que la resolución le cause algún perjuicio podrá impugnarla</w:t>
      </w:r>
      <w:r w:rsidR="00E40651" w:rsidRPr="007B5359">
        <w:rPr>
          <w:rFonts w:ascii="Palatino Linotype" w:eastAsia="MS Mincho" w:hAnsi="Palatino Linotype" w:cs="Times New Roman"/>
          <w:sz w:val="22"/>
          <w:szCs w:val="22"/>
          <w:lang w:val="es-ES"/>
        </w:rPr>
        <w:t xml:space="preserve"> </w:t>
      </w:r>
      <w:r w:rsidRPr="007B5359">
        <w:rPr>
          <w:rFonts w:ascii="Palatino Linotype" w:eastAsia="MS Mincho" w:hAnsi="Palatino Linotype" w:cs="Times New Roman"/>
          <w:bCs/>
          <w:sz w:val="22"/>
          <w:szCs w:val="22"/>
          <w:lang w:val="es-ES"/>
        </w:rPr>
        <w:t>vía juicio de amparo</w:t>
      </w:r>
      <w:r w:rsidR="00E40651" w:rsidRPr="007B5359">
        <w:rPr>
          <w:rFonts w:ascii="Palatino Linotype" w:eastAsia="MS Mincho" w:hAnsi="Palatino Linotype" w:cs="Times New Roman"/>
          <w:sz w:val="22"/>
          <w:szCs w:val="22"/>
          <w:lang w:val="es-ES"/>
        </w:rPr>
        <w:t xml:space="preserve"> </w:t>
      </w:r>
      <w:r w:rsidRPr="007B5359">
        <w:rPr>
          <w:rFonts w:ascii="Palatino Linotype" w:eastAsia="MS Mincho" w:hAnsi="Palatino Linotype" w:cs="Times New Roman"/>
          <w:sz w:val="22"/>
          <w:szCs w:val="22"/>
          <w:lang w:val="es-ES"/>
        </w:rPr>
        <w:t>en los t</w:t>
      </w:r>
      <w:r w:rsidR="00055C51" w:rsidRPr="007B5359">
        <w:rPr>
          <w:rFonts w:ascii="Palatino Linotype" w:eastAsia="MS Mincho" w:hAnsi="Palatino Linotype" w:cs="Times New Roman"/>
          <w:sz w:val="22"/>
          <w:szCs w:val="22"/>
          <w:lang w:val="es-ES"/>
        </w:rPr>
        <w:t xml:space="preserve">érminos de las </w:t>
      </w:r>
      <w:r w:rsidR="00E40651" w:rsidRPr="007B5359">
        <w:rPr>
          <w:rFonts w:ascii="Palatino Linotype" w:eastAsia="MS Mincho" w:hAnsi="Palatino Linotype" w:cs="Times New Roman"/>
          <w:sz w:val="22"/>
          <w:szCs w:val="22"/>
          <w:lang w:val="es-ES"/>
        </w:rPr>
        <w:t xml:space="preserve">Leyes </w:t>
      </w:r>
      <w:r w:rsidR="00055C51" w:rsidRPr="007B5359">
        <w:rPr>
          <w:rFonts w:ascii="Palatino Linotype" w:eastAsia="MS Mincho" w:hAnsi="Palatino Linotype" w:cs="Times New Roman"/>
          <w:sz w:val="22"/>
          <w:szCs w:val="22"/>
          <w:lang w:val="es-ES"/>
        </w:rPr>
        <w:t>aplicables</w:t>
      </w:r>
      <w:r w:rsidR="004B597B" w:rsidRPr="007B5359">
        <w:rPr>
          <w:rFonts w:ascii="Palatino Linotype" w:hAnsi="Palatino Linotype" w:cs="Tahoma"/>
          <w:sz w:val="22"/>
          <w:szCs w:val="22"/>
        </w:rPr>
        <w:t>.</w:t>
      </w:r>
    </w:p>
    <w:p w:rsidR="00C11FEA" w:rsidRPr="007B5359" w:rsidRDefault="00C11FEA" w:rsidP="00554DF4">
      <w:pPr>
        <w:spacing w:line="360" w:lineRule="auto"/>
        <w:jc w:val="both"/>
        <w:rPr>
          <w:rFonts w:ascii="Palatino Linotype" w:eastAsia="MS Mincho" w:hAnsi="Palatino Linotype" w:cs="Times New Roman"/>
          <w:sz w:val="22"/>
          <w:szCs w:val="22"/>
          <w:lang w:val="es-ES"/>
        </w:rPr>
      </w:pPr>
    </w:p>
    <w:p w:rsidR="00C11FEA" w:rsidRPr="007B5359" w:rsidRDefault="00C11FEA" w:rsidP="00C11FEA">
      <w:pPr>
        <w:shd w:val="clear" w:color="auto" w:fill="FFFFFF"/>
        <w:spacing w:line="360" w:lineRule="auto"/>
        <w:jc w:val="both"/>
        <w:rPr>
          <w:rFonts w:ascii="Palatino Linotype" w:eastAsia="Times New Roman" w:hAnsi="Palatino Linotype" w:cs="Times New Roman"/>
          <w:sz w:val="22"/>
          <w:szCs w:val="22"/>
          <w:lang w:val="es-ES" w:eastAsia="es-MX"/>
        </w:rPr>
      </w:pPr>
      <w:r w:rsidRPr="007B5359">
        <w:rPr>
          <w:rFonts w:ascii="Palatino Linotype" w:eastAsia="MS Mincho" w:hAnsi="Palatino Linotype" w:cs="Times New Roman"/>
          <w:b/>
          <w:sz w:val="22"/>
          <w:szCs w:val="22"/>
        </w:rPr>
        <w:t xml:space="preserve">SEXTO. </w:t>
      </w:r>
      <w:r w:rsidRPr="007B5359">
        <w:rPr>
          <w:rFonts w:ascii="Palatino Linotype" w:eastAsia="MS Mincho" w:hAnsi="Palatino Linotype" w:cs="Times New Roman"/>
          <w:sz w:val="22"/>
          <w:szCs w:val="22"/>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009A4FA1" w:rsidRPr="007B5359">
        <w:rPr>
          <w:rFonts w:ascii="Palatino Linotype" w:eastAsia="MS Mincho" w:hAnsi="Palatino Linotype" w:cs="Times New Roman"/>
          <w:b/>
          <w:sz w:val="22"/>
          <w:szCs w:val="22"/>
        </w:rPr>
        <w:t xml:space="preserve"> QUINTO</w:t>
      </w:r>
      <w:r w:rsidRPr="007B5359">
        <w:rPr>
          <w:rFonts w:ascii="Palatino Linotype" w:eastAsia="MS Mincho" w:hAnsi="Palatino Linotype" w:cs="Times New Roman"/>
          <w:sz w:val="22"/>
          <w:szCs w:val="22"/>
        </w:rPr>
        <w:t>.</w:t>
      </w:r>
    </w:p>
    <w:p w:rsidR="00670EBC" w:rsidRPr="007B5359" w:rsidRDefault="00A04D7B" w:rsidP="00A04D7B">
      <w:pPr>
        <w:spacing w:before="100" w:beforeAutospacing="1" w:after="100" w:afterAutospacing="1" w:line="360" w:lineRule="auto"/>
        <w:ind w:right="51"/>
        <w:jc w:val="both"/>
        <w:rPr>
          <w:rFonts w:ascii="Palatino Linotype" w:hAnsi="Palatino Linotype" w:cs="Arial"/>
        </w:rPr>
      </w:pPr>
      <w:r w:rsidRPr="007B5359">
        <w:rPr>
          <w:rFonts w:ascii="Palatino Linotype" w:hAnsi="Palatino Linotype" w:cs="Arial"/>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93571</wp:posOffset>
                </wp:positionH>
                <wp:positionV relativeFrom="paragraph">
                  <wp:posOffset>2903372</wp:posOffset>
                </wp:positionV>
                <wp:extent cx="5363571" cy="4899546"/>
                <wp:effectExtent l="0" t="0" r="27940" b="34925"/>
                <wp:wrapNone/>
                <wp:docPr id="6" name="Conector recto 6"/>
                <wp:cNvGraphicFramePr/>
                <a:graphic xmlns:a="http://schemas.openxmlformats.org/drawingml/2006/main">
                  <a:graphicData uri="http://schemas.microsoft.com/office/word/2010/wordprocessingShape">
                    <wps:wsp>
                      <wps:cNvCnPr/>
                      <wps:spPr>
                        <a:xfrm>
                          <a:off x="0" y="0"/>
                          <a:ext cx="5363571" cy="48995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0BED6"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35pt,228.6pt" to="429.7pt,6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" strokecolor="#5b9bd5 [3204]" strokeweight=".5pt">
                <v:stroke joinstyle="miter"/>
              </v:line>
            </w:pict>
          </mc:Fallback>
        </mc:AlternateContent>
      </w:r>
      <w:r w:rsidR="00554DF4" w:rsidRPr="007B5359">
        <w:rPr>
          <w:rFonts w:ascii="Palatino Linotype" w:hAnsi="Palatino Linotype" w:cs="Arial"/>
        </w:rPr>
        <w:t>ASÍ LO RESUELVE, POR UNANIMIDAD DE VOTOS, EL PLENO DEL</w:t>
      </w:r>
      <w:r w:rsidR="00554DF4" w:rsidRPr="007B5359">
        <w:rPr>
          <w:rFonts w:ascii="Palatino Linotype" w:eastAsia="Arial Unicode MS" w:hAnsi="Palatino Linotype" w:cs="Arial"/>
        </w:rPr>
        <w:t xml:space="preserve"> INSTITUTO DE TRANSPARENCIA, ACCESO A LA INFORMACIÓN PÚBLICA Y PROTECCIÓN DE DATOS PERSONALES DEL ESTADO DE MÉXICO Y MUNICIPIOS</w:t>
      </w:r>
      <w:r w:rsidR="00554DF4" w:rsidRPr="007B5359">
        <w:rPr>
          <w:rFonts w:ascii="Palatino Linotype" w:hAnsi="Palatino Linotype" w:cs="Arial"/>
        </w:rPr>
        <w:t xml:space="preserve">, CONFORMADO POR LOS COMISIONADOS ZULEMA MARTÍNEZ SÁNCHEZ; </w:t>
      </w:r>
      <w:r w:rsidR="00EA3860" w:rsidRPr="007B5359">
        <w:rPr>
          <w:rFonts w:ascii="Palatino Linotype" w:hAnsi="Palatino Linotype" w:cs="Arial"/>
        </w:rPr>
        <w:t>EVA ABAID YAPUR CON AUSENCIA JUSTIFICADA</w:t>
      </w:r>
      <w:r w:rsidR="00554DF4" w:rsidRPr="007B5359">
        <w:rPr>
          <w:rFonts w:ascii="Palatino Linotype" w:hAnsi="Palatino Linotype" w:cs="Arial"/>
        </w:rPr>
        <w:t xml:space="preserve">; JOSÉ GUADALUPE LUNA HERNÁNDEZ; JAVIER MARTÍNEZ CRUZ Y LUIS GUSTAVO PARRA NORIEGA; EN LA </w:t>
      </w:r>
      <w:r w:rsidRPr="007B5359">
        <w:rPr>
          <w:rFonts w:ascii="Palatino Linotype" w:hAnsi="Palatino Linotype" w:cs="Arial"/>
        </w:rPr>
        <w:t xml:space="preserve">SEXTA </w:t>
      </w:r>
      <w:r w:rsidR="00D95FF9" w:rsidRPr="007B5359">
        <w:rPr>
          <w:rFonts w:ascii="Palatino Linotype" w:hAnsi="Palatino Linotype" w:cs="Arial"/>
        </w:rPr>
        <w:t xml:space="preserve"> </w:t>
      </w:r>
      <w:r w:rsidR="00554DF4" w:rsidRPr="007B5359">
        <w:rPr>
          <w:rFonts w:ascii="Palatino Linotype" w:hAnsi="Palatino Linotype" w:cs="Arial"/>
        </w:rPr>
        <w:t xml:space="preserve">SESIÓN ORDINARIA CELEBRADA EL </w:t>
      </w:r>
      <w:r w:rsidRPr="007B5359">
        <w:rPr>
          <w:rFonts w:ascii="Palatino Linotype" w:hAnsi="Palatino Linotype" w:cs="Arial"/>
        </w:rPr>
        <w:t>DIECINUEVE</w:t>
      </w:r>
      <w:r w:rsidR="00D95FF9" w:rsidRPr="007B5359">
        <w:rPr>
          <w:rFonts w:ascii="Palatino Linotype" w:hAnsi="Palatino Linotype" w:cs="Arial"/>
        </w:rPr>
        <w:t xml:space="preserve"> </w:t>
      </w:r>
      <w:r w:rsidR="00554DF4" w:rsidRPr="007B5359">
        <w:rPr>
          <w:rFonts w:ascii="Palatino Linotype" w:hAnsi="Palatino Linotype" w:cs="Arial"/>
        </w:rPr>
        <w:t>(</w:t>
      </w:r>
      <w:r w:rsidRPr="007B5359">
        <w:rPr>
          <w:rFonts w:ascii="Palatino Linotype" w:hAnsi="Palatino Linotype" w:cs="Arial"/>
        </w:rPr>
        <w:t>19</w:t>
      </w:r>
      <w:r w:rsidR="00554DF4" w:rsidRPr="007B5359">
        <w:rPr>
          <w:rFonts w:ascii="Palatino Linotype" w:hAnsi="Palatino Linotype" w:cs="Arial"/>
        </w:rPr>
        <w:t xml:space="preserve">) DE </w:t>
      </w:r>
      <w:r w:rsidR="00670EBC" w:rsidRPr="007B5359">
        <w:rPr>
          <w:rFonts w:ascii="Palatino Linotype" w:hAnsi="Palatino Linotype" w:cs="Arial"/>
        </w:rPr>
        <w:t>FEBRERO</w:t>
      </w:r>
      <w:r w:rsidR="00554DF4" w:rsidRPr="007B5359">
        <w:rPr>
          <w:rFonts w:ascii="Palatino Linotype" w:hAnsi="Palatino Linotype" w:cs="Arial"/>
        </w:rPr>
        <w:t xml:space="preserve"> DE DOS MIL </w:t>
      </w:r>
      <w:r w:rsidR="00670EBC" w:rsidRPr="007B5359">
        <w:rPr>
          <w:rFonts w:ascii="Palatino Linotype" w:hAnsi="Palatino Linotype" w:cs="Arial"/>
        </w:rPr>
        <w:t>VEINTE</w:t>
      </w:r>
      <w:r w:rsidR="00554DF4" w:rsidRPr="007B5359">
        <w:rPr>
          <w:rFonts w:ascii="Palatino Linotype" w:hAnsi="Palatino Linotype" w:cs="Arial"/>
        </w:rPr>
        <w:t xml:space="preserve">, ANTE EL SECRETARIO TÉCNICO DEL PLENO, </w:t>
      </w:r>
      <w:r w:rsidR="00554DF4" w:rsidRPr="007B5359">
        <w:rPr>
          <w:rFonts w:ascii="Palatino Linotype" w:hAnsi="Palatino Linotype"/>
        </w:rPr>
        <w:t>ALEXIS TAPIA RAMÍREZ</w:t>
      </w:r>
      <w:r w:rsidR="00554DF4" w:rsidRPr="007B5359">
        <w:rPr>
          <w:rFonts w:ascii="Palatino Linotype" w:hAnsi="Palatino Linotype" w:cs="Arial"/>
        </w:rPr>
        <w:t>.</w:t>
      </w:r>
      <w:r w:rsidR="00670EBC" w:rsidRPr="007B5359">
        <w:rPr>
          <w:rFonts w:ascii="Palatino Linotype" w:hAnsi="Palatino Linotype" w:cs="Arial"/>
        </w:rPr>
        <w:br w:type="page"/>
      </w:r>
    </w:p>
    <w:tbl>
      <w:tblPr>
        <w:tblW w:w="10365" w:type="dxa"/>
        <w:jc w:val="center"/>
        <w:tblLayout w:type="fixed"/>
        <w:tblLook w:val="04A0" w:firstRow="1" w:lastRow="0" w:firstColumn="1" w:lastColumn="0" w:noHBand="0" w:noVBand="1"/>
      </w:tblPr>
      <w:tblGrid>
        <w:gridCol w:w="5183"/>
        <w:gridCol w:w="5182"/>
      </w:tblGrid>
      <w:tr w:rsidR="00A04D7B" w:rsidRPr="007B5359" w:rsidTr="00A04D7B">
        <w:trPr>
          <w:jc w:val="center"/>
        </w:trPr>
        <w:tc>
          <w:tcPr>
            <w:tcW w:w="10365" w:type="dxa"/>
            <w:gridSpan w:val="2"/>
          </w:tcPr>
          <w:p w:rsidR="00670EBC" w:rsidRPr="007B5359" w:rsidRDefault="00670EBC" w:rsidP="00A04D7B">
            <w:pPr>
              <w:rPr>
                <w:rFonts w:ascii="Palatino Linotype" w:hAnsi="Palatino Linotype" w:cs="Arial"/>
                <w:b/>
              </w:rPr>
            </w:pPr>
          </w:p>
          <w:p w:rsidR="00670EBC" w:rsidRPr="007B5359" w:rsidRDefault="00670EBC" w:rsidP="00A04D7B">
            <w:pPr>
              <w:jc w:val="center"/>
              <w:rPr>
                <w:rFonts w:ascii="Palatino Linotype" w:hAnsi="Palatino Linotype" w:cs="Arial"/>
                <w:b/>
              </w:rPr>
            </w:pPr>
          </w:p>
          <w:p w:rsidR="00A04D7B" w:rsidRPr="007B5359" w:rsidRDefault="00A04D7B"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Zulema Martínez Sánchez</w:t>
            </w:r>
          </w:p>
          <w:p w:rsidR="00554DF4" w:rsidRPr="007B5359" w:rsidRDefault="00554DF4" w:rsidP="00A04D7B">
            <w:pPr>
              <w:jc w:val="center"/>
              <w:rPr>
                <w:rFonts w:ascii="Palatino Linotype" w:hAnsi="Palatino Linotype" w:cs="Arial"/>
                <w:b/>
              </w:rPr>
            </w:pPr>
            <w:r w:rsidRPr="007B5359">
              <w:rPr>
                <w:rFonts w:ascii="Palatino Linotype" w:hAnsi="Palatino Linotype" w:cs="Arial"/>
              </w:rPr>
              <w:t xml:space="preserve">Comisionada </w:t>
            </w:r>
            <w:proofErr w:type="gramStart"/>
            <w:r w:rsidRPr="007B5359">
              <w:rPr>
                <w:rFonts w:ascii="Palatino Linotype" w:hAnsi="Palatino Linotype" w:cs="Arial"/>
              </w:rPr>
              <w:t>Presidenta</w:t>
            </w:r>
            <w:proofErr w:type="gramEnd"/>
          </w:p>
          <w:p w:rsidR="00554DF4" w:rsidRPr="007B5359" w:rsidRDefault="00554DF4" w:rsidP="00A04D7B">
            <w:pPr>
              <w:jc w:val="center"/>
              <w:rPr>
                <w:rFonts w:ascii="Palatino Linotype" w:hAnsi="Palatino Linotype" w:cs="Arial"/>
                <w:b/>
              </w:rPr>
            </w:pPr>
            <w:r w:rsidRPr="007B5359">
              <w:rPr>
                <w:rFonts w:ascii="Palatino Linotype" w:hAnsi="Palatino Linotype" w:cs="Arial"/>
                <w:b/>
              </w:rPr>
              <w:t xml:space="preserve">(RÚBRICA) </w:t>
            </w: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670EBC" w:rsidRPr="007B5359" w:rsidRDefault="00670EBC"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tc>
      </w:tr>
      <w:tr w:rsidR="00A04D7B" w:rsidRPr="007B5359" w:rsidTr="00A04D7B">
        <w:trPr>
          <w:jc w:val="center"/>
        </w:trPr>
        <w:tc>
          <w:tcPr>
            <w:tcW w:w="5183" w:type="dxa"/>
            <w:hideMark/>
          </w:tcPr>
          <w:p w:rsidR="00554DF4" w:rsidRPr="007B5359" w:rsidRDefault="00554DF4" w:rsidP="00A04D7B">
            <w:pPr>
              <w:jc w:val="center"/>
              <w:rPr>
                <w:rFonts w:ascii="Palatino Linotype" w:hAnsi="Palatino Linotype" w:cs="Arial"/>
                <w:b/>
              </w:rPr>
            </w:pPr>
            <w:r w:rsidRPr="007B5359">
              <w:rPr>
                <w:rFonts w:ascii="Palatino Linotype" w:hAnsi="Palatino Linotype" w:cs="Arial"/>
                <w:b/>
              </w:rPr>
              <w:t xml:space="preserve">Eva </w:t>
            </w:r>
            <w:proofErr w:type="spellStart"/>
            <w:r w:rsidRPr="007B5359">
              <w:rPr>
                <w:rFonts w:ascii="Palatino Linotype" w:hAnsi="Palatino Linotype" w:cs="Arial"/>
                <w:b/>
              </w:rPr>
              <w:t>Abaid</w:t>
            </w:r>
            <w:proofErr w:type="spellEnd"/>
            <w:r w:rsidRPr="007B5359">
              <w:rPr>
                <w:rFonts w:ascii="Palatino Linotype" w:hAnsi="Palatino Linotype" w:cs="Arial"/>
                <w:b/>
              </w:rPr>
              <w:t xml:space="preserve"> </w:t>
            </w:r>
            <w:proofErr w:type="spellStart"/>
            <w:r w:rsidRPr="007B5359">
              <w:rPr>
                <w:rFonts w:ascii="Palatino Linotype" w:hAnsi="Palatino Linotype" w:cs="Arial"/>
                <w:b/>
              </w:rPr>
              <w:t>Yapur</w:t>
            </w:r>
            <w:proofErr w:type="spellEnd"/>
          </w:p>
          <w:p w:rsidR="00554DF4" w:rsidRPr="007B5359" w:rsidRDefault="00554DF4" w:rsidP="00A04D7B">
            <w:pPr>
              <w:jc w:val="center"/>
              <w:rPr>
                <w:rFonts w:ascii="Palatino Linotype" w:hAnsi="Palatino Linotype" w:cs="Arial"/>
              </w:rPr>
            </w:pPr>
            <w:r w:rsidRPr="007B5359">
              <w:rPr>
                <w:rFonts w:ascii="Palatino Linotype" w:hAnsi="Palatino Linotype" w:cs="Arial"/>
              </w:rPr>
              <w:t>Comisionada</w:t>
            </w:r>
          </w:p>
          <w:p w:rsidR="00554DF4" w:rsidRPr="007B5359" w:rsidRDefault="00554DF4" w:rsidP="00EA3860">
            <w:pPr>
              <w:jc w:val="center"/>
              <w:rPr>
                <w:rFonts w:ascii="Palatino Linotype" w:hAnsi="Palatino Linotype" w:cs="Arial"/>
                <w:b/>
              </w:rPr>
            </w:pPr>
            <w:r w:rsidRPr="007B5359">
              <w:rPr>
                <w:rFonts w:ascii="Palatino Linotype" w:hAnsi="Palatino Linotype" w:cs="Arial"/>
                <w:b/>
              </w:rPr>
              <w:t>(</w:t>
            </w:r>
            <w:r w:rsidR="00EA3860" w:rsidRPr="007B5359">
              <w:rPr>
                <w:rFonts w:ascii="Palatino Linotype" w:hAnsi="Palatino Linotype" w:cs="Arial"/>
                <w:b/>
              </w:rPr>
              <w:t>AUSENCIA JUSTIFICADA</w:t>
            </w:r>
            <w:r w:rsidRPr="007B5359">
              <w:rPr>
                <w:rFonts w:ascii="Palatino Linotype" w:hAnsi="Palatino Linotype" w:cs="Arial"/>
                <w:b/>
              </w:rPr>
              <w:t>)</w:t>
            </w:r>
          </w:p>
        </w:tc>
        <w:tc>
          <w:tcPr>
            <w:tcW w:w="5182" w:type="dxa"/>
          </w:tcPr>
          <w:p w:rsidR="00554DF4" w:rsidRPr="007B5359" w:rsidRDefault="00554DF4" w:rsidP="00A04D7B">
            <w:pPr>
              <w:jc w:val="center"/>
              <w:rPr>
                <w:rFonts w:ascii="Palatino Linotype" w:hAnsi="Palatino Linotype" w:cs="Arial"/>
                <w:b/>
              </w:rPr>
            </w:pPr>
            <w:r w:rsidRPr="007B5359">
              <w:rPr>
                <w:rFonts w:ascii="Palatino Linotype" w:hAnsi="Palatino Linotype" w:cs="Arial"/>
                <w:b/>
              </w:rPr>
              <w:t>José Guadalupe Luna Hernández</w:t>
            </w:r>
          </w:p>
          <w:p w:rsidR="00554DF4" w:rsidRPr="007B5359" w:rsidRDefault="00554DF4" w:rsidP="00A04D7B">
            <w:pPr>
              <w:jc w:val="center"/>
              <w:rPr>
                <w:rFonts w:ascii="Palatino Linotype" w:hAnsi="Palatino Linotype" w:cs="Arial"/>
              </w:rPr>
            </w:pPr>
            <w:r w:rsidRPr="007B5359">
              <w:rPr>
                <w:rFonts w:ascii="Palatino Linotype" w:hAnsi="Palatino Linotype" w:cs="Arial"/>
              </w:rPr>
              <w:t>Comisionado</w:t>
            </w: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(RÚBRICA)</w:t>
            </w:r>
          </w:p>
          <w:p w:rsidR="00554DF4" w:rsidRPr="007B5359" w:rsidRDefault="00554DF4" w:rsidP="00A04D7B">
            <w:pPr>
              <w:jc w:val="center"/>
              <w:rPr>
                <w:rFonts w:ascii="Palatino Linotype" w:hAnsi="Palatino Linotype" w:cs="Arial"/>
                <w:b/>
              </w:rPr>
            </w:pPr>
          </w:p>
        </w:tc>
      </w:tr>
      <w:tr w:rsidR="00A04D7B" w:rsidRPr="007B5359" w:rsidTr="00A04D7B">
        <w:trPr>
          <w:jc w:val="center"/>
        </w:trPr>
        <w:tc>
          <w:tcPr>
            <w:tcW w:w="5183" w:type="dxa"/>
          </w:tcPr>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Javier Martínez Cruz</w:t>
            </w:r>
          </w:p>
          <w:p w:rsidR="00554DF4" w:rsidRPr="007B5359" w:rsidRDefault="00554DF4" w:rsidP="00A04D7B">
            <w:pPr>
              <w:jc w:val="center"/>
              <w:rPr>
                <w:rFonts w:ascii="Palatino Linotype" w:hAnsi="Palatino Linotype" w:cs="Arial"/>
              </w:rPr>
            </w:pPr>
            <w:r w:rsidRPr="007B5359">
              <w:rPr>
                <w:rFonts w:ascii="Palatino Linotype" w:hAnsi="Palatino Linotype" w:cs="Arial"/>
              </w:rPr>
              <w:t>Comisionado</w:t>
            </w: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(RÚBRICA)</w:t>
            </w:r>
          </w:p>
        </w:tc>
        <w:tc>
          <w:tcPr>
            <w:tcW w:w="5182" w:type="dxa"/>
          </w:tcPr>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Luis Gustavo Parra Noriega</w:t>
            </w:r>
          </w:p>
          <w:p w:rsidR="00554DF4" w:rsidRPr="007B5359" w:rsidRDefault="00554DF4" w:rsidP="00A04D7B">
            <w:pPr>
              <w:jc w:val="center"/>
              <w:rPr>
                <w:rFonts w:ascii="Palatino Linotype" w:hAnsi="Palatino Linotype" w:cs="Arial"/>
              </w:rPr>
            </w:pPr>
            <w:r w:rsidRPr="007B5359">
              <w:rPr>
                <w:rFonts w:ascii="Palatino Linotype" w:hAnsi="Palatino Linotype" w:cs="Arial"/>
              </w:rPr>
              <w:t>Comisionado</w:t>
            </w: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(RÚBRICA)</w:t>
            </w:r>
          </w:p>
        </w:tc>
      </w:tr>
      <w:tr w:rsidR="00A04D7B" w:rsidRPr="007B5359" w:rsidTr="00A04D7B">
        <w:trPr>
          <w:jc w:val="center"/>
        </w:trPr>
        <w:tc>
          <w:tcPr>
            <w:tcW w:w="10365" w:type="dxa"/>
            <w:gridSpan w:val="2"/>
          </w:tcPr>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Alexis Tapia Ramírez</w:t>
            </w:r>
          </w:p>
          <w:p w:rsidR="00554DF4" w:rsidRPr="007B5359" w:rsidRDefault="00554DF4" w:rsidP="00A04D7B">
            <w:pPr>
              <w:jc w:val="center"/>
              <w:rPr>
                <w:rFonts w:ascii="Palatino Linotype" w:hAnsi="Palatino Linotype" w:cs="Arial"/>
              </w:rPr>
            </w:pPr>
            <w:r w:rsidRPr="007B5359">
              <w:rPr>
                <w:rFonts w:ascii="Palatino Linotype" w:hAnsi="Palatino Linotype" w:cs="Arial"/>
              </w:rPr>
              <w:t>Secretario Técnico del Pleno</w:t>
            </w:r>
          </w:p>
          <w:p w:rsidR="00554DF4" w:rsidRPr="007B5359" w:rsidRDefault="00554DF4" w:rsidP="00A04D7B">
            <w:pPr>
              <w:jc w:val="center"/>
              <w:rPr>
                <w:rFonts w:ascii="Palatino Linotype" w:hAnsi="Palatino Linotype" w:cs="Arial"/>
                <w:b/>
              </w:rPr>
            </w:pPr>
            <w:r w:rsidRPr="007B5359">
              <w:rPr>
                <w:rFonts w:ascii="Palatino Linotype" w:hAnsi="Palatino Linotype" w:cs="Arial"/>
                <w:b/>
              </w:rPr>
              <w:t>(RÚBRICA)</w:t>
            </w:r>
          </w:p>
          <w:p w:rsidR="00554DF4" w:rsidRPr="007B5359" w:rsidRDefault="00554DF4" w:rsidP="00A04D7B">
            <w:pPr>
              <w:jc w:val="center"/>
              <w:rPr>
                <w:rFonts w:ascii="Palatino Linotype" w:hAnsi="Palatino Linotype" w:cs="Arial"/>
                <w:b/>
              </w:rPr>
            </w:pPr>
          </w:p>
          <w:p w:rsidR="00554DF4" w:rsidRPr="007B5359" w:rsidRDefault="00554DF4" w:rsidP="00A04D7B">
            <w:pPr>
              <w:rPr>
                <w:rFonts w:ascii="Palatino Linotype" w:hAnsi="Palatino Linotype" w:cs="Arial"/>
              </w:rPr>
            </w:pPr>
          </w:p>
        </w:tc>
      </w:tr>
    </w:tbl>
    <w:p w:rsidR="00670EBC" w:rsidRPr="007B5359" w:rsidRDefault="00670EBC" w:rsidP="00A04D7B">
      <w:pPr>
        <w:jc w:val="both"/>
        <w:rPr>
          <w:rFonts w:ascii="Palatino Linotype" w:hAnsi="Palatino Linotype" w:cs="Arial"/>
          <w:szCs w:val="18"/>
        </w:rPr>
      </w:pPr>
    </w:p>
    <w:p w:rsidR="002248D3" w:rsidRPr="007B5359" w:rsidRDefault="00554DF4" w:rsidP="00A04D7B">
      <w:pPr>
        <w:jc w:val="both"/>
      </w:pPr>
      <w:r w:rsidRPr="007B5359">
        <w:rPr>
          <w:rFonts w:ascii="Palatino Linotype" w:hAnsi="Palatino Linotype" w:cs="Arial"/>
          <w:szCs w:val="18"/>
        </w:rPr>
        <w:t xml:space="preserve">Esta hoja corresponde a la resolución de fecha </w:t>
      </w:r>
      <w:r w:rsidR="00A04D7B" w:rsidRPr="007B5359">
        <w:rPr>
          <w:rFonts w:ascii="Palatino Linotype" w:hAnsi="Palatino Linotype" w:cs="Arial"/>
          <w:szCs w:val="18"/>
        </w:rPr>
        <w:t>diecinueve</w:t>
      </w:r>
      <w:r w:rsidRPr="007B5359">
        <w:rPr>
          <w:rFonts w:ascii="Palatino Linotype" w:hAnsi="Palatino Linotype" w:cs="Arial"/>
          <w:szCs w:val="18"/>
        </w:rPr>
        <w:t xml:space="preserve"> (</w:t>
      </w:r>
      <w:r w:rsidR="00A04D7B" w:rsidRPr="007B5359">
        <w:rPr>
          <w:rFonts w:ascii="Palatino Linotype" w:hAnsi="Palatino Linotype" w:cs="Arial"/>
          <w:szCs w:val="18"/>
        </w:rPr>
        <w:t>19</w:t>
      </w:r>
      <w:r w:rsidRPr="007B5359">
        <w:rPr>
          <w:rFonts w:ascii="Palatino Linotype" w:hAnsi="Palatino Linotype" w:cs="Arial"/>
          <w:szCs w:val="18"/>
        </w:rPr>
        <w:t xml:space="preserve">) de </w:t>
      </w:r>
      <w:r w:rsidR="00670EBC" w:rsidRPr="007B5359">
        <w:rPr>
          <w:rFonts w:ascii="Palatino Linotype" w:hAnsi="Palatino Linotype" w:cs="Arial"/>
          <w:szCs w:val="18"/>
        </w:rPr>
        <w:t>febrero</w:t>
      </w:r>
      <w:r w:rsidRPr="007B5359">
        <w:rPr>
          <w:rFonts w:ascii="Palatino Linotype" w:hAnsi="Palatino Linotype" w:cs="Arial"/>
          <w:szCs w:val="18"/>
        </w:rPr>
        <w:t xml:space="preserve"> de dos mil </w:t>
      </w:r>
      <w:r w:rsidR="00D95FF9" w:rsidRPr="007B5359">
        <w:rPr>
          <w:rFonts w:ascii="Palatino Linotype" w:hAnsi="Palatino Linotype" w:cs="Arial"/>
          <w:szCs w:val="18"/>
        </w:rPr>
        <w:t>veinte</w:t>
      </w:r>
      <w:r w:rsidRPr="007B5359">
        <w:rPr>
          <w:rFonts w:ascii="Palatino Linotype" w:hAnsi="Palatino Linotype" w:cs="Arial"/>
          <w:szCs w:val="18"/>
        </w:rPr>
        <w:t xml:space="preserve">, emitida en el recurso de revisión </w:t>
      </w:r>
      <w:r w:rsidR="00670EBC" w:rsidRPr="007B5359">
        <w:rPr>
          <w:rFonts w:ascii="Palatino Linotype" w:hAnsi="Palatino Linotype" w:cs="Arial"/>
          <w:b/>
          <w:bCs/>
          <w:szCs w:val="22"/>
          <w:lang w:eastAsia="es-MX"/>
        </w:rPr>
        <w:t>08893</w:t>
      </w:r>
      <w:r w:rsidRPr="007B5359">
        <w:rPr>
          <w:rFonts w:ascii="Palatino Linotype" w:hAnsi="Palatino Linotype" w:cs="Arial"/>
          <w:b/>
          <w:bCs/>
          <w:szCs w:val="18"/>
        </w:rPr>
        <w:t>/INFOEM/IP/RR/2019.</w:t>
      </w:r>
      <w:r w:rsidRPr="007B5359">
        <w:rPr>
          <w:rFonts w:ascii="Palatino Linotype" w:hAnsi="Palatino Linotype" w:cs="Arial"/>
          <w:bCs/>
          <w:szCs w:val="18"/>
        </w:rPr>
        <w:t xml:space="preserve"> </w:t>
      </w:r>
    </w:p>
    <w:sectPr w:rsidR="002248D3" w:rsidRPr="007B5359" w:rsidSect="00141DF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11A7E" w:rsidRDefault="00F11A7E" w:rsidP="008B6F5F">
      <w:r>
        <w:separator/>
      </w:r>
    </w:p>
  </w:endnote>
  <w:endnote w:type="continuationSeparator" w:id="0">
    <w:p w:rsidR="00F11A7E" w:rsidRDefault="00F11A7E"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Bold">
    <w:panose1 w:val="020B0604020202020204"/>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ill Sans,Bold">
    <w:panose1 w:val="020B0604020202020204"/>
    <w:charset w:val="00"/>
    <w:family w:val="swiss"/>
    <w:notTrueType/>
    <w:pitch w:val="default"/>
    <w:sig w:usb0="00000003" w:usb1="00000000" w:usb2="00000000" w:usb3="00000000" w:csb0="00000001" w:csb1="00000000"/>
  </w:font>
  <w:font w:name="Times">
    <w:panose1 w:val="0000050000000002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8608D4" w:rsidRPr="000A2541" w:rsidRDefault="008608D4">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A3860">
              <w:rPr>
                <w:rFonts w:ascii="Palatino Linotype" w:hAnsi="Palatino Linotype"/>
                <w:b/>
                <w:bCs/>
                <w:noProof/>
              </w:rPr>
              <w:t>76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A3860">
              <w:rPr>
                <w:rFonts w:ascii="Palatino Linotype" w:hAnsi="Palatino Linotype"/>
                <w:b/>
                <w:bCs/>
                <w:noProof/>
              </w:rPr>
              <w:t>79</w:t>
            </w:r>
            <w:r w:rsidRPr="000A2541">
              <w:rPr>
                <w:rFonts w:ascii="Palatino Linotype" w:hAnsi="Palatino Linotype"/>
                <w:b/>
                <w:bCs/>
              </w:rPr>
              <w:fldChar w:fldCharType="end"/>
            </w:r>
          </w:p>
        </w:sdtContent>
      </w:sdt>
    </w:sdtContent>
  </w:sdt>
  <w:p w:rsidR="008608D4" w:rsidRDefault="008608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608D4" w:rsidRPr="00883450" w:rsidRDefault="008608D4"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A3860" w:rsidRPr="00EA386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A3860" w:rsidRPr="00EA3860">
      <w:rPr>
        <w:rFonts w:ascii="Palatino Linotype" w:hAnsi="Palatino Linotype"/>
        <w:noProof/>
        <w:sz w:val="22"/>
        <w:szCs w:val="22"/>
        <w:lang w:val="es-ES"/>
      </w:rPr>
      <w:t>79</w:t>
    </w:r>
    <w:r w:rsidRPr="00883450">
      <w:rPr>
        <w:rFonts w:ascii="Palatino Linotype" w:hAnsi="Palatino Linotype"/>
        <w:sz w:val="22"/>
        <w:szCs w:val="22"/>
      </w:rPr>
      <w:fldChar w:fldCharType="end"/>
    </w:r>
  </w:p>
  <w:p w:rsidR="008608D4" w:rsidRPr="00883450" w:rsidRDefault="008608D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11A7E" w:rsidRDefault="00F11A7E" w:rsidP="008B6F5F">
      <w:r>
        <w:separator/>
      </w:r>
    </w:p>
  </w:footnote>
  <w:footnote w:type="continuationSeparator" w:id="0">
    <w:p w:rsidR="00F11A7E" w:rsidRDefault="00F11A7E" w:rsidP="008B6F5F">
      <w:r>
        <w:continuationSeparator/>
      </w:r>
    </w:p>
  </w:footnote>
  <w:footnote w:id="1">
    <w:p w:rsidR="008608D4" w:rsidRDefault="008608D4" w:rsidP="00554DF4">
      <w:pPr>
        <w:pStyle w:val="Textonotapie"/>
      </w:pPr>
      <w:r>
        <w:rPr>
          <w:rStyle w:val="Refdenotaalpie"/>
        </w:rPr>
        <w:footnoteRef/>
      </w:r>
      <w:r>
        <w:t xml:space="preserve"> Convención Americana sobre Derechos Humanos. Artículo 13.</w:t>
      </w:r>
    </w:p>
  </w:footnote>
  <w:footnote w:id="2">
    <w:p w:rsidR="008608D4" w:rsidRDefault="008608D4" w:rsidP="00554DF4">
      <w:pPr>
        <w:pStyle w:val="Textonotapie"/>
      </w:pPr>
      <w:r>
        <w:rPr>
          <w:rStyle w:val="Refdenotaalpie"/>
        </w:rPr>
        <w:footnoteRef/>
      </w:r>
      <w:r>
        <w:t xml:space="preserve"> Constitución Política de los Estados Unidos Mexicanos. Artículo sexto, sección A, Fracción I.</w:t>
      </w:r>
    </w:p>
  </w:footnote>
  <w:footnote w:id="3">
    <w:p w:rsidR="008608D4" w:rsidRDefault="008608D4"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8608D4" w:rsidRDefault="008608D4" w:rsidP="00554DF4">
      <w:pPr>
        <w:pStyle w:val="Textonotapie"/>
      </w:pPr>
      <w:r>
        <w:rPr>
          <w:rStyle w:val="Refdenotaalpie"/>
        </w:rPr>
        <w:footnoteRef/>
      </w:r>
      <w:r>
        <w:t xml:space="preserve"> Ibídem. Párr. 87.</w:t>
      </w:r>
    </w:p>
  </w:footnote>
  <w:footnote w:id="5">
    <w:p w:rsidR="008608D4" w:rsidRDefault="008608D4"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8608D4" w:rsidRDefault="008608D4" w:rsidP="00554DF4">
      <w:pPr>
        <w:pStyle w:val="Textonotapie"/>
      </w:pPr>
      <w:r>
        <w:rPr>
          <w:rStyle w:val="Refdenotaalpie"/>
        </w:rPr>
        <w:footnoteRef/>
      </w:r>
      <w:r>
        <w:t xml:space="preserve"> Artículo 150. Ley de Transparencia y Acceso a la Información Pública del Estado de México y Municipios.</w:t>
      </w:r>
    </w:p>
    <w:p w:rsidR="008608D4" w:rsidRDefault="008608D4" w:rsidP="00554DF4">
      <w:pPr>
        <w:pStyle w:val="Textonotapie"/>
      </w:pPr>
      <w:r>
        <w:t>Artículo 151. Ibídem.</w:t>
      </w:r>
    </w:p>
  </w:footnote>
  <w:footnote w:id="7">
    <w:p w:rsidR="008608D4" w:rsidRDefault="008608D4" w:rsidP="00554DF4">
      <w:pPr>
        <w:pStyle w:val="Textonotapie"/>
      </w:pPr>
      <w:r>
        <w:rPr>
          <w:rStyle w:val="Refdenotaalpie"/>
        </w:rPr>
        <w:footnoteRef/>
      </w:r>
      <w:r>
        <w:t xml:space="preserve"> Ley de Transparencia y Acceso a la Información Pública del Estado de México y Municipios. Artículo 9. …</w:t>
      </w:r>
    </w:p>
    <w:p w:rsidR="008608D4" w:rsidRDefault="008608D4" w:rsidP="00554DF4">
      <w:pPr>
        <w:pStyle w:val="Textonotapie"/>
      </w:pPr>
      <w:r>
        <w:t>II. Eficacia: Obligación del Instituto para tutelar, de manera efectiva, el derecho de acceso a la información;</w:t>
      </w:r>
    </w:p>
    <w:p w:rsidR="008608D4" w:rsidRDefault="008608D4" w:rsidP="00554DF4">
      <w:pPr>
        <w:pStyle w:val="Textonotapie"/>
      </w:pPr>
      <w:r>
        <w:t xml:space="preserve">… </w:t>
      </w:r>
    </w:p>
  </w:footnote>
  <w:footnote w:id="8">
    <w:p w:rsidR="008608D4" w:rsidRPr="003047EC" w:rsidRDefault="008608D4" w:rsidP="005E22B0">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RESTRICCIONES A LOS DERECHOS FUNDAMENTALES. ELEMENTOS QUE EL JUEZ CONSTITUCIONAL DEBE TOMAR EN CUENTA PARA CONSIDERARLAS VÁLIDAS.</w:t>
      </w:r>
      <w:r w:rsidRPr="003047EC">
        <w:rPr>
          <w:rFonts w:ascii="Palatino Linotype" w:hAnsi="Palatino Linotype"/>
          <w:sz w:val="16"/>
          <w:szCs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8608D4" w:rsidRPr="003047EC" w:rsidRDefault="008608D4" w:rsidP="005E22B0">
      <w:pPr>
        <w:pStyle w:val="Textonotapie"/>
        <w:jc w:val="both"/>
        <w:rPr>
          <w:rFonts w:ascii="Palatino Linotype" w:hAnsi="Palatino Linotype"/>
          <w:sz w:val="16"/>
          <w:szCs w:val="16"/>
        </w:rPr>
      </w:pPr>
      <w:r w:rsidRPr="003047EC">
        <w:rPr>
          <w:rFonts w:ascii="Palatino Linotype" w:hAnsi="Palatino Linotype"/>
          <w:sz w:val="16"/>
          <w:szCs w:val="16"/>
        </w:rPr>
        <w:t xml:space="preserve">1a./J. 2/2012 (9a.). Primera Sala. Décima Época. Semanario Judicial de la Federación y su Gaceta. Libro V, Febrero de 2012, Pág. 533.  </w:t>
      </w:r>
    </w:p>
  </w:footnote>
  <w:footnote w:id="9">
    <w:p w:rsidR="008608D4" w:rsidRPr="00A870EF" w:rsidRDefault="008608D4" w:rsidP="005E22B0">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10">
    <w:p w:rsidR="008608D4" w:rsidRDefault="008608D4" w:rsidP="005E22B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8608D4" w:rsidRDefault="008608D4" w:rsidP="005E22B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8608D4" w:rsidRPr="001E1F95" w:rsidRDefault="008608D4" w:rsidP="005E22B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8608D4" w:rsidRPr="007F43A5" w:rsidRDefault="008608D4" w:rsidP="005E22B0">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rsidR="008608D4" w:rsidRPr="0037004E" w:rsidRDefault="008608D4" w:rsidP="005E22B0">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8608D4" w:rsidRDefault="008608D4" w:rsidP="005E22B0">
      <w:pPr>
        <w:pStyle w:val="Textonotapie"/>
      </w:pPr>
    </w:p>
  </w:footnote>
  <w:footnote w:id="13">
    <w:p w:rsidR="008608D4" w:rsidRDefault="008608D4" w:rsidP="005E22B0">
      <w:pPr>
        <w:pStyle w:val="Textonotapie"/>
        <w:jc w:val="both"/>
      </w:pPr>
      <w:r>
        <w:rPr>
          <w:rStyle w:val="Refdenotaalpie"/>
        </w:rPr>
        <w:footnoteRef/>
      </w:r>
      <w:r>
        <w:t xml:space="preserve"> Artículo 3. Para los efectos de la presente Ley se entenderá por:</w:t>
      </w:r>
    </w:p>
    <w:p w:rsidR="008608D4" w:rsidRDefault="008608D4" w:rsidP="005E22B0">
      <w:pPr>
        <w:pStyle w:val="Textonotapie"/>
        <w:jc w:val="both"/>
      </w:pPr>
      <w:r>
        <w:t xml:space="preserve"> (…)</w:t>
      </w:r>
    </w:p>
    <w:p w:rsidR="008608D4" w:rsidRDefault="008608D4" w:rsidP="005E22B0">
      <w:pPr>
        <w:pStyle w:val="Textonotapie"/>
        <w:jc w:val="both"/>
      </w:pPr>
      <w:r>
        <w:t>IX. Datos personales: La información concerniente a una persona, identificada o identificable según lo dispuesto por la Ley de Protección de Datos Personales del Estado de México;</w:t>
      </w:r>
    </w:p>
  </w:footnote>
  <w:footnote w:id="14">
    <w:p w:rsidR="008608D4" w:rsidRPr="00ED2A04" w:rsidRDefault="008608D4" w:rsidP="005E22B0">
      <w:pPr>
        <w:pStyle w:val="Textonotapie"/>
        <w:jc w:val="both"/>
        <w:rPr>
          <w:lang w:val="es-ES"/>
        </w:rPr>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5">
    <w:p w:rsidR="008608D4" w:rsidRPr="00ED2A04" w:rsidRDefault="008608D4" w:rsidP="005E22B0">
      <w:pPr>
        <w:pStyle w:val="Textonotapie"/>
        <w:jc w:val="both"/>
        <w:rPr>
          <w:lang w:val="es-ES"/>
        </w:rPr>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6">
    <w:p w:rsidR="008608D4" w:rsidRPr="000406A4" w:rsidRDefault="008608D4" w:rsidP="005E22B0">
      <w:pPr>
        <w:pStyle w:val="Textonotapie"/>
        <w:jc w:val="both"/>
        <w:rPr>
          <w:lang w:val="es-ES"/>
        </w:rPr>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7">
    <w:p w:rsidR="008608D4" w:rsidRPr="000406A4" w:rsidRDefault="008608D4" w:rsidP="005E22B0">
      <w:pPr>
        <w:pStyle w:val="Textonotapie"/>
        <w:jc w:val="both"/>
        <w:rPr>
          <w:lang w:val="es-ES"/>
        </w:rPr>
      </w:pPr>
      <w:r>
        <w:rPr>
          <w:rStyle w:val="Refdenotaalpie"/>
        </w:rPr>
        <w:footnoteRef/>
      </w:r>
      <w:r>
        <w:t xml:space="preserve"> </w:t>
      </w:r>
      <w:hyperlink r:id="rId5" w:history="1">
        <w:r w:rsidRPr="00AA2458">
          <w:rPr>
            <w:rStyle w:val="Hipervnculo"/>
          </w:rPr>
          <w:t>http://dle.rae.es/?id=CAjNzMR</w:t>
        </w:r>
      </w:hyperlink>
      <w:r>
        <w:t xml:space="preserve"> </w:t>
      </w:r>
    </w:p>
  </w:footnote>
  <w:footnote w:id="18">
    <w:p w:rsidR="008608D4" w:rsidRPr="000406A4" w:rsidRDefault="008608D4" w:rsidP="005E22B0">
      <w:pPr>
        <w:pStyle w:val="Textonotapie"/>
        <w:jc w:val="both"/>
        <w:rPr>
          <w:lang w:val="es-ES"/>
        </w:rPr>
      </w:pPr>
      <w:r>
        <w:rPr>
          <w:rStyle w:val="Refdenotaalpie"/>
        </w:rPr>
        <w:footnoteRef/>
      </w:r>
      <w:r>
        <w:t xml:space="preserve"> </w:t>
      </w:r>
      <w:hyperlink r:id="rId6" w:history="1">
        <w:r w:rsidRPr="00AA2458">
          <w:rPr>
            <w:rStyle w:val="Hipervnculo"/>
          </w:rPr>
          <w:t>http://dle.rae.es/?id=CAqWkEB</w:t>
        </w:r>
      </w:hyperlink>
      <w:r>
        <w:t xml:space="preserve"> </w:t>
      </w:r>
    </w:p>
  </w:footnote>
  <w:footnote w:id="19">
    <w:p w:rsidR="008608D4" w:rsidRPr="000406A4" w:rsidRDefault="008608D4" w:rsidP="005E22B0">
      <w:pPr>
        <w:pStyle w:val="Textonotapie"/>
        <w:jc w:val="both"/>
        <w:rPr>
          <w:lang w:val="es-ES"/>
        </w:rPr>
      </w:pPr>
      <w:r>
        <w:rPr>
          <w:rStyle w:val="Refdenotaalpie"/>
        </w:rPr>
        <w:footnoteRef/>
      </w:r>
      <w:r>
        <w:t xml:space="preserve"> </w:t>
      </w:r>
      <w:hyperlink r:id="rId7" w:history="1">
        <w:r w:rsidRPr="00AA2458">
          <w:rPr>
            <w:rStyle w:val="Hipervnculo"/>
          </w:rPr>
          <w:t>http://dle.rae.es/?id=KtnHLLd</w:t>
        </w:r>
      </w:hyperlink>
      <w:r>
        <w:t xml:space="preserve"> </w:t>
      </w:r>
    </w:p>
  </w:footnote>
  <w:footnote w:id="20">
    <w:p w:rsidR="008608D4" w:rsidRPr="000406A4" w:rsidRDefault="008608D4" w:rsidP="005E22B0">
      <w:pPr>
        <w:pStyle w:val="Textonotapie"/>
        <w:jc w:val="both"/>
        <w:rPr>
          <w:lang w:val="es-ES"/>
        </w:rPr>
      </w:pPr>
      <w:r>
        <w:rPr>
          <w:rStyle w:val="Refdenotaalpie"/>
        </w:rPr>
        <w:footnoteRef/>
      </w:r>
      <w:r>
        <w:t xml:space="preserve"> </w:t>
      </w:r>
      <w:hyperlink r:id="rId8" w:history="1">
        <w:r w:rsidRPr="00AA2458">
          <w:rPr>
            <w:rStyle w:val="Hipervnculo"/>
          </w:rPr>
          <w:t>http://dle.rae.es/?id=KtpfgjV</w:t>
        </w:r>
      </w:hyperlink>
      <w:r>
        <w:t xml:space="preserve"> </w:t>
      </w:r>
    </w:p>
  </w:footnote>
  <w:footnote w:id="21">
    <w:p w:rsidR="008608D4" w:rsidRPr="00042E67" w:rsidRDefault="008608D4" w:rsidP="005E22B0">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Lluy y otros contra Ecuador. Excepciones preliminares, fondo, reparaciones y costas. Sentencia del 01 de septiembre de 2015. Párr. 256. </w:t>
      </w:r>
    </w:p>
  </w:footnote>
  <w:footnote w:id="22">
    <w:p w:rsidR="008608D4" w:rsidRPr="00A4142C" w:rsidRDefault="008608D4" w:rsidP="005E22B0">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23">
    <w:p w:rsidR="008608D4" w:rsidRPr="00022D7E" w:rsidRDefault="008608D4" w:rsidP="00A21AB9">
      <w:pPr>
        <w:pStyle w:val="Textonotapie"/>
        <w:rPr>
          <w:lang w:val="es-MX"/>
        </w:rPr>
      </w:pPr>
      <w:r>
        <w:rPr>
          <w:rStyle w:val="Refdenotaalpie"/>
        </w:rPr>
        <w:footnoteRef/>
      </w:r>
      <w:r>
        <w:t xml:space="preserve">Disponible para su consulta en  </w:t>
      </w:r>
      <w:hyperlink r:id="rId9" w:history="1">
        <w:r>
          <w:rPr>
            <w:rStyle w:val="Hipervnculo"/>
          </w:rPr>
          <w:t>http://www.dof.gob.mx/nota_detalle.php?codigo=5433280&amp;fecha=15/04/2016</w:t>
        </w:r>
      </w:hyperlink>
    </w:p>
  </w:footnote>
  <w:footnote w:id="24">
    <w:p w:rsidR="008608D4" w:rsidRPr="000553F9" w:rsidRDefault="008608D4" w:rsidP="00A21AB9">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0"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25">
    <w:p w:rsidR="008608D4" w:rsidRPr="000553F9" w:rsidRDefault="008608D4" w:rsidP="00A21AB9">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1"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26">
    <w:p w:rsidR="008608D4" w:rsidRPr="000553F9" w:rsidRDefault="008608D4" w:rsidP="00A21AB9">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2" w:history="1">
        <w:r w:rsidRPr="000553F9">
          <w:rPr>
            <w:rStyle w:val="Hipervnculo"/>
            <w:color w:val="000000" w:themeColor="text1"/>
          </w:rPr>
          <w:t>http://dle.rae.es/?id=VGqyuLj|VGtxgAo|VGuc9Wg</w:t>
        </w:r>
      </w:hyperlink>
      <w:r w:rsidRPr="000553F9">
        <w:rPr>
          <w:color w:val="000000" w:themeColor="text1"/>
        </w:rPr>
        <w:t xml:space="preserve"> </w:t>
      </w:r>
    </w:p>
  </w:footnote>
  <w:footnote w:id="27">
    <w:p w:rsidR="008608D4" w:rsidRPr="000553F9" w:rsidRDefault="008608D4" w:rsidP="00A21AB9">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3" w:history="1">
        <w:r w:rsidRPr="000553F9">
          <w:rPr>
            <w:rStyle w:val="Hipervnculo"/>
            <w:color w:val="000000" w:themeColor="text1"/>
          </w:rPr>
          <w:t>http://dle.rae.es/?id=CAjNzMR</w:t>
        </w:r>
      </w:hyperlink>
      <w:r w:rsidRPr="000553F9">
        <w:rPr>
          <w:color w:val="000000" w:themeColor="text1"/>
        </w:rPr>
        <w:t xml:space="preserve"> </w:t>
      </w:r>
    </w:p>
  </w:footnote>
  <w:footnote w:id="28">
    <w:p w:rsidR="008608D4" w:rsidRPr="000553F9" w:rsidRDefault="008608D4" w:rsidP="00A21AB9">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4" w:history="1">
        <w:r w:rsidRPr="000553F9">
          <w:rPr>
            <w:rStyle w:val="Hipervnculo"/>
            <w:color w:val="000000" w:themeColor="text1"/>
          </w:rPr>
          <w:t>http://dle.rae.es/?id=CAqWkEB</w:t>
        </w:r>
      </w:hyperlink>
      <w:r w:rsidRPr="000553F9">
        <w:rPr>
          <w:color w:val="000000" w:themeColor="text1"/>
        </w:rPr>
        <w:t xml:space="preserve"> </w:t>
      </w:r>
    </w:p>
  </w:footnote>
  <w:footnote w:id="29">
    <w:p w:rsidR="008608D4" w:rsidRPr="000553F9" w:rsidRDefault="008608D4" w:rsidP="00A21AB9">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5" w:history="1">
        <w:r w:rsidRPr="000553F9">
          <w:rPr>
            <w:rStyle w:val="Hipervnculo"/>
            <w:color w:val="000000" w:themeColor="text1"/>
          </w:rPr>
          <w:t>http://dle.rae.es/?id=KtnHLLd</w:t>
        </w:r>
      </w:hyperlink>
      <w:r w:rsidRPr="000553F9">
        <w:rPr>
          <w:color w:val="000000" w:themeColor="text1"/>
        </w:rPr>
        <w:t xml:space="preserve"> </w:t>
      </w:r>
    </w:p>
  </w:footnote>
  <w:footnote w:id="30">
    <w:p w:rsidR="008608D4" w:rsidRPr="000406A4" w:rsidRDefault="008608D4" w:rsidP="00A21AB9">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16" w:history="1">
        <w:r w:rsidRPr="000553F9">
          <w:rPr>
            <w:rStyle w:val="Hipervnculo"/>
            <w:color w:val="000000" w:themeColor="text1"/>
          </w:rPr>
          <w:t>http://dle.rae.es/?id=KtpfgjV</w:t>
        </w:r>
      </w:hyperlink>
      <w:r w:rsidRPr="000553F9">
        <w:rPr>
          <w:color w:val="000000" w:themeColor="text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608D4" w:rsidRPr="00EF13C1" w:rsidTr="00646380">
      <w:trPr>
        <w:trHeight w:val="138"/>
        <w:jc w:val="right"/>
      </w:trPr>
      <w:tc>
        <w:tcPr>
          <w:tcW w:w="2552" w:type="dxa"/>
          <w:vAlign w:val="center"/>
        </w:tcPr>
        <w:p w:rsidR="008608D4" w:rsidRPr="00EF13C1" w:rsidRDefault="008608D4"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608D4" w:rsidRPr="00EF13C1" w:rsidRDefault="008608D4" w:rsidP="00F87C90">
          <w:pPr>
            <w:pStyle w:val="Encabezado"/>
            <w:jc w:val="right"/>
            <w:rPr>
              <w:rFonts w:ascii="Palatino Linotype" w:hAnsi="Palatino Linotype"/>
              <w:b/>
              <w:sz w:val="22"/>
              <w:szCs w:val="22"/>
            </w:rPr>
          </w:pPr>
          <w:r>
            <w:rPr>
              <w:rFonts w:ascii="Palatino Linotype" w:hAnsi="Palatino Linotype" w:cs="Arial"/>
              <w:b/>
              <w:bCs/>
              <w:sz w:val="22"/>
              <w:szCs w:val="22"/>
              <w:lang w:eastAsia="es-MX"/>
            </w:rPr>
            <w:t>08893/INFOEM/IP/RR/2019</w:t>
          </w:r>
        </w:p>
      </w:tc>
    </w:tr>
    <w:tr w:rsidR="008608D4" w:rsidRPr="00EF13C1" w:rsidTr="00646380">
      <w:trPr>
        <w:trHeight w:val="321"/>
        <w:jc w:val="right"/>
      </w:trPr>
      <w:tc>
        <w:tcPr>
          <w:tcW w:w="2552" w:type="dxa"/>
          <w:vAlign w:val="center"/>
        </w:tcPr>
        <w:p w:rsidR="008608D4" w:rsidRPr="00EF13C1" w:rsidRDefault="008608D4"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608D4" w:rsidRPr="00EF13C1" w:rsidRDefault="008608D4" w:rsidP="00774F4D">
          <w:pPr>
            <w:pStyle w:val="Encabezado"/>
            <w:jc w:val="right"/>
            <w:rPr>
              <w:rFonts w:ascii="Palatino Linotype" w:hAnsi="Palatino Linotype"/>
              <w:b/>
              <w:sz w:val="22"/>
              <w:szCs w:val="22"/>
            </w:rPr>
          </w:pPr>
          <w:r>
            <w:rPr>
              <w:rFonts w:ascii="Palatino Linotype" w:hAnsi="Palatino Linotype"/>
              <w:b/>
              <w:bCs/>
              <w:sz w:val="22"/>
              <w:szCs w:val="22"/>
            </w:rPr>
            <w:t>Ayuntamiento de Cuautitlán Izcalli</w:t>
          </w:r>
        </w:p>
      </w:tc>
    </w:tr>
    <w:tr w:rsidR="008608D4" w:rsidRPr="00EF13C1" w:rsidTr="00646380">
      <w:trPr>
        <w:trHeight w:val="321"/>
        <w:jc w:val="right"/>
      </w:trPr>
      <w:tc>
        <w:tcPr>
          <w:tcW w:w="2552" w:type="dxa"/>
          <w:vAlign w:val="center"/>
        </w:tcPr>
        <w:p w:rsidR="008608D4" w:rsidRPr="00EF13C1" w:rsidRDefault="008608D4"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608D4" w:rsidRPr="00EF13C1" w:rsidRDefault="008608D4"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8608D4" w:rsidRDefault="008608D4" w:rsidP="006463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8608D4" w:rsidRPr="00182113" w:rsidTr="00141DF6">
      <w:trPr>
        <w:trHeight w:val="138"/>
      </w:trPr>
      <w:tc>
        <w:tcPr>
          <w:tcW w:w="2532" w:type="dxa"/>
          <w:vAlign w:val="center"/>
        </w:tcPr>
        <w:p w:rsidR="008608D4" w:rsidRPr="00EF13C1" w:rsidRDefault="008608D4"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8608D4" w:rsidRPr="00EF13C1" w:rsidRDefault="008608D4" w:rsidP="00F87C90">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08893/INFOEM/IP/RR/2019 </w:t>
          </w:r>
        </w:p>
      </w:tc>
      <w:tc>
        <w:tcPr>
          <w:tcW w:w="2532" w:type="dxa"/>
          <w:vAlign w:val="center"/>
        </w:tcPr>
        <w:p w:rsidR="008608D4" w:rsidRPr="00182113" w:rsidRDefault="008608D4" w:rsidP="00141DF6">
          <w:pPr>
            <w:rPr>
              <w:rFonts w:ascii="Palatino Linotype" w:hAnsi="Palatino Linotype"/>
              <w:b/>
              <w:sz w:val="22"/>
              <w:szCs w:val="22"/>
            </w:rPr>
          </w:pPr>
        </w:p>
      </w:tc>
      <w:tc>
        <w:tcPr>
          <w:tcW w:w="236" w:type="dxa"/>
          <w:vAlign w:val="center"/>
        </w:tcPr>
        <w:p w:rsidR="008608D4" w:rsidRPr="00182113" w:rsidRDefault="008608D4" w:rsidP="00141DF6">
          <w:pPr>
            <w:pStyle w:val="Encabezado"/>
            <w:jc w:val="center"/>
            <w:rPr>
              <w:rFonts w:ascii="Palatino Linotype" w:hAnsi="Palatino Linotype"/>
              <w:b/>
              <w:sz w:val="22"/>
              <w:szCs w:val="22"/>
            </w:rPr>
          </w:pPr>
        </w:p>
      </w:tc>
      <w:tc>
        <w:tcPr>
          <w:tcW w:w="3261" w:type="dxa"/>
          <w:vAlign w:val="center"/>
        </w:tcPr>
        <w:p w:rsidR="008608D4" w:rsidRPr="00182113" w:rsidRDefault="008608D4" w:rsidP="00141DF6">
          <w:pPr>
            <w:pStyle w:val="Encabezado"/>
            <w:rPr>
              <w:rFonts w:ascii="Palatino Linotype" w:hAnsi="Palatino Linotype"/>
              <w:b/>
              <w:sz w:val="22"/>
              <w:szCs w:val="22"/>
            </w:rPr>
          </w:pPr>
        </w:p>
      </w:tc>
    </w:tr>
    <w:tr w:rsidR="008608D4" w:rsidRPr="00182113" w:rsidTr="00141DF6">
      <w:trPr>
        <w:trHeight w:val="227"/>
      </w:trPr>
      <w:tc>
        <w:tcPr>
          <w:tcW w:w="2532" w:type="dxa"/>
          <w:vAlign w:val="center"/>
        </w:tcPr>
        <w:p w:rsidR="008608D4" w:rsidRPr="00EF13C1" w:rsidRDefault="008608D4"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8608D4" w:rsidRPr="00EF13C1" w:rsidRDefault="007B5359" w:rsidP="00141DF6">
          <w:pPr>
            <w:pStyle w:val="Encabezado"/>
            <w:jc w:val="right"/>
            <w:rPr>
              <w:rFonts w:ascii="Palatino Linotype" w:hAnsi="Palatino Linotype"/>
              <w:b/>
              <w:sz w:val="22"/>
              <w:szCs w:val="22"/>
            </w:rPr>
          </w:pPr>
          <w:r w:rsidRPr="007B5359">
            <w:rPr>
              <w:rFonts w:ascii="Palatino Linotype" w:hAnsi="Palatino Linotype"/>
              <w:b/>
              <w:sz w:val="22"/>
              <w:szCs w:val="22"/>
              <w:highlight w:val="black"/>
            </w:rPr>
            <w:t>----</w:t>
          </w:r>
          <w:r w:rsidR="008608D4" w:rsidRPr="007B5359">
            <w:rPr>
              <w:rFonts w:ascii="Palatino Linotype" w:hAnsi="Palatino Linotype"/>
              <w:b/>
              <w:sz w:val="22"/>
              <w:szCs w:val="22"/>
              <w:highlight w:val="black"/>
            </w:rPr>
            <w:t xml:space="preserve"> </w:t>
          </w:r>
          <w:r w:rsidRPr="007B5359">
            <w:rPr>
              <w:rFonts w:ascii="Palatino Linotype" w:hAnsi="Palatino Linotype"/>
              <w:b/>
              <w:sz w:val="22"/>
              <w:szCs w:val="22"/>
              <w:highlight w:val="black"/>
            </w:rPr>
            <w:t>----</w:t>
          </w:r>
          <w:r w:rsidR="008608D4" w:rsidRPr="007B5359">
            <w:rPr>
              <w:rFonts w:ascii="Palatino Linotype" w:hAnsi="Palatino Linotype"/>
              <w:b/>
              <w:sz w:val="22"/>
              <w:szCs w:val="22"/>
              <w:highlight w:val="black"/>
            </w:rPr>
            <w:t xml:space="preserve"> </w:t>
          </w:r>
          <w:r w:rsidRPr="007B5359">
            <w:rPr>
              <w:rFonts w:ascii="Palatino Linotype" w:hAnsi="Palatino Linotype"/>
              <w:b/>
              <w:sz w:val="22"/>
              <w:szCs w:val="22"/>
              <w:highlight w:val="black"/>
            </w:rPr>
            <w:t>----</w:t>
          </w:r>
        </w:p>
      </w:tc>
      <w:tc>
        <w:tcPr>
          <w:tcW w:w="2532" w:type="dxa"/>
          <w:vAlign w:val="center"/>
        </w:tcPr>
        <w:p w:rsidR="008608D4" w:rsidRPr="00182113" w:rsidRDefault="008608D4" w:rsidP="00141DF6">
          <w:pPr>
            <w:rPr>
              <w:rFonts w:ascii="Palatino Linotype" w:hAnsi="Palatino Linotype"/>
              <w:b/>
              <w:sz w:val="22"/>
              <w:szCs w:val="22"/>
            </w:rPr>
          </w:pPr>
        </w:p>
      </w:tc>
      <w:tc>
        <w:tcPr>
          <w:tcW w:w="236" w:type="dxa"/>
          <w:vAlign w:val="center"/>
        </w:tcPr>
        <w:p w:rsidR="008608D4" w:rsidRPr="00182113" w:rsidRDefault="008608D4" w:rsidP="00141DF6">
          <w:pPr>
            <w:pStyle w:val="Encabezado"/>
            <w:jc w:val="center"/>
            <w:rPr>
              <w:rFonts w:ascii="Palatino Linotype" w:hAnsi="Palatino Linotype"/>
              <w:b/>
              <w:sz w:val="22"/>
              <w:szCs w:val="22"/>
            </w:rPr>
          </w:pPr>
        </w:p>
      </w:tc>
      <w:tc>
        <w:tcPr>
          <w:tcW w:w="3261" w:type="dxa"/>
          <w:vAlign w:val="center"/>
        </w:tcPr>
        <w:p w:rsidR="008608D4" w:rsidRPr="00182113" w:rsidRDefault="008608D4" w:rsidP="00141DF6">
          <w:pPr>
            <w:pStyle w:val="Encabezado"/>
            <w:rPr>
              <w:rFonts w:ascii="Palatino Linotype" w:hAnsi="Palatino Linotype"/>
              <w:b/>
              <w:sz w:val="22"/>
              <w:szCs w:val="22"/>
            </w:rPr>
          </w:pPr>
        </w:p>
      </w:tc>
    </w:tr>
    <w:tr w:rsidR="008608D4" w:rsidRPr="00182113" w:rsidTr="00141DF6">
      <w:trPr>
        <w:trHeight w:val="232"/>
      </w:trPr>
      <w:tc>
        <w:tcPr>
          <w:tcW w:w="2532" w:type="dxa"/>
          <w:vAlign w:val="center"/>
        </w:tcPr>
        <w:p w:rsidR="008608D4" w:rsidRPr="00EF13C1" w:rsidRDefault="008608D4"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8608D4" w:rsidRPr="00EF13C1" w:rsidRDefault="008608D4" w:rsidP="00774F4D">
          <w:pPr>
            <w:pStyle w:val="Encabezado"/>
            <w:jc w:val="right"/>
            <w:rPr>
              <w:rFonts w:ascii="Palatino Linotype" w:hAnsi="Palatino Linotype"/>
              <w:b/>
              <w:sz w:val="22"/>
              <w:szCs w:val="22"/>
            </w:rPr>
          </w:pPr>
          <w:r>
            <w:rPr>
              <w:rFonts w:ascii="Palatino Linotype" w:hAnsi="Palatino Linotype"/>
              <w:b/>
              <w:bCs/>
              <w:sz w:val="22"/>
              <w:szCs w:val="22"/>
            </w:rPr>
            <w:t>Ayuntamiento de Cuautitlán Izcalli</w:t>
          </w:r>
        </w:p>
      </w:tc>
      <w:tc>
        <w:tcPr>
          <w:tcW w:w="2532" w:type="dxa"/>
          <w:vAlign w:val="center"/>
        </w:tcPr>
        <w:p w:rsidR="008608D4" w:rsidRPr="00182113" w:rsidRDefault="008608D4" w:rsidP="00141DF6">
          <w:pPr>
            <w:rPr>
              <w:rFonts w:ascii="Palatino Linotype" w:hAnsi="Palatino Linotype"/>
              <w:b/>
              <w:sz w:val="22"/>
              <w:szCs w:val="22"/>
            </w:rPr>
          </w:pPr>
        </w:p>
      </w:tc>
      <w:tc>
        <w:tcPr>
          <w:tcW w:w="236" w:type="dxa"/>
          <w:vAlign w:val="center"/>
        </w:tcPr>
        <w:p w:rsidR="008608D4" w:rsidRPr="00182113" w:rsidRDefault="008608D4" w:rsidP="00141DF6">
          <w:pPr>
            <w:pStyle w:val="Encabezado"/>
            <w:jc w:val="center"/>
            <w:rPr>
              <w:rFonts w:ascii="Palatino Linotype" w:hAnsi="Palatino Linotype"/>
              <w:b/>
              <w:sz w:val="22"/>
              <w:szCs w:val="22"/>
            </w:rPr>
          </w:pPr>
        </w:p>
      </w:tc>
      <w:tc>
        <w:tcPr>
          <w:tcW w:w="3261" w:type="dxa"/>
          <w:vAlign w:val="center"/>
        </w:tcPr>
        <w:p w:rsidR="008608D4" w:rsidRPr="00182113" w:rsidRDefault="008608D4" w:rsidP="00141DF6">
          <w:pPr>
            <w:pStyle w:val="Encabezado"/>
            <w:rPr>
              <w:rFonts w:ascii="Palatino Linotype" w:hAnsi="Palatino Linotype"/>
              <w:b/>
              <w:sz w:val="22"/>
              <w:szCs w:val="22"/>
            </w:rPr>
          </w:pPr>
        </w:p>
      </w:tc>
    </w:tr>
    <w:tr w:rsidR="008608D4" w:rsidRPr="00182113" w:rsidTr="00141DF6">
      <w:trPr>
        <w:trHeight w:val="320"/>
      </w:trPr>
      <w:tc>
        <w:tcPr>
          <w:tcW w:w="2532" w:type="dxa"/>
          <w:vAlign w:val="center"/>
        </w:tcPr>
        <w:p w:rsidR="008608D4" w:rsidRPr="00EF13C1" w:rsidRDefault="008608D4"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8608D4" w:rsidRPr="00EF13C1" w:rsidRDefault="008608D4"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8608D4" w:rsidRPr="00182113" w:rsidRDefault="008608D4" w:rsidP="00141DF6">
          <w:pPr>
            <w:rPr>
              <w:rFonts w:ascii="Palatino Linotype" w:hAnsi="Palatino Linotype"/>
              <w:b/>
              <w:sz w:val="22"/>
              <w:szCs w:val="22"/>
            </w:rPr>
          </w:pPr>
        </w:p>
      </w:tc>
      <w:tc>
        <w:tcPr>
          <w:tcW w:w="236" w:type="dxa"/>
          <w:vAlign w:val="center"/>
        </w:tcPr>
        <w:p w:rsidR="008608D4" w:rsidRPr="00182113" w:rsidRDefault="008608D4" w:rsidP="00141DF6">
          <w:pPr>
            <w:pStyle w:val="Encabezado"/>
            <w:jc w:val="center"/>
            <w:rPr>
              <w:rFonts w:ascii="Palatino Linotype" w:hAnsi="Palatino Linotype"/>
              <w:b/>
              <w:sz w:val="22"/>
              <w:szCs w:val="22"/>
            </w:rPr>
          </w:pPr>
        </w:p>
      </w:tc>
      <w:tc>
        <w:tcPr>
          <w:tcW w:w="3261" w:type="dxa"/>
          <w:vAlign w:val="center"/>
        </w:tcPr>
        <w:p w:rsidR="008608D4" w:rsidRPr="00182113" w:rsidRDefault="008608D4" w:rsidP="00141DF6">
          <w:pPr>
            <w:pStyle w:val="Encabezado"/>
            <w:rPr>
              <w:rFonts w:ascii="Palatino Linotype" w:hAnsi="Palatino Linotype"/>
              <w:b/>
              <w:sz w:val="22"/>
              <w:szCs w:val="22"/>
            </w:rPr>
          </w:pPr>
        </w:p>
      </w:tc>
    </w:tr>
  </w:tbl>
  <w:p w:rsidR="008608D4" w:rsidRDefault="008608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94B05"/>
    <w:multiLevelType w:val="hybridMultilevel"/>
    <w:tmpl w:val="7758E91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6EC4106"/>
    <w:multiLevelType w:val="hybridMultilevel"/>
    <w:tmpl w:val="AD089DA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10ECA"/>
    <w:multiLevelType w:val="hybridMultilevel"/>
    <w:tmpl w:val="2CFAF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E6D5C"/>
    <w:multiLevelType w:val="hybridMultilevel"/>
    <w:tmpl w:val="3DE6F8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1593793"/>
    <w:multiLevelType w:val="hybridMultilevel"/>
    <w:tmpl w:val="E5603064"/>
    <w:lvl w:ilvl="0" w:tplc="4B88350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604C84"/>
    <w:multiLevelType w:val="hybridMultilevel"/>
    <w:tmpl w:val="667AD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9D2063"/>
    <w:multiLevelType w:val="hybridMultilevel"/>
    <w:tmpl w:val="8404088A"/>
    <w:lvl w:ilvl="0" w:tplc="F9BADC72">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8727C02"/>
    <w:multiLevelType w:val="hybridMultilevel"/>
    <w:tmpl w:val="7D5002EA"/>
    <w:lvl w:ilvl="0" w:tplc="0C0A0003">
      <w:start w:val="1"/>
      <w:numFmt w:val="bullet"/>
      <w:lvlText w:val="o"/>
      <w:lvlJc w:val="left"/>
      <w:pPr>
        <w:ind w:left="2844" w:hanging="360"/>
      </w:pPr>
      <w:rPr>
        <w:rFonts w:ascii="Courier New" w:hAnsi="Courier New" w:cs="Courier New"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13" w15:restartNumberingAfterBreak="0">
    <w:nsid w:val="213E08E7"/>
    <w:multiLevelType w:val="hybridMultilevel"/>
    <w:tmpl w:val="705C050A"/>
    <w:lvl w:ilvl="0" w:tplc="AE92A14A">
      <w:start w:val="1"/>
      <w:numFmt w:val="lowerLetter"/>
      <w:lvlText w:val="%1)"/>
      <w:lvlJc w:val="left"/>
      <w:pPr>
        <w:ind w:left="720" w:hanging="360"/>
      </w:pPr>
      <w:rPr>
        <w:rFonts w:ascii="Palatino Linotype" w:hAnsi="Palatino Linotype"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4C95EB1"/>
    <w:multiLevelType w:val="hybridMultilevel"/>
    <w:tmpl w:val="5C58364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274600"/>
    <w:multiLevelType w:val="hybridMultilevel"/>
    <w:tmpl w:val="EFFC1F1C"/>
    <w:lvl w:ilvl="0" w:tplc="DB6AEC9E">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18" w15:restartNumberingAfterBreak="0">
    <w:nsid w:val="3185013F"/>
    <w:multiLevelType w:val="hybridMultilevel"/>
    <w:tmpl w:val="898E7DEA"/>
    <w:lvl w:ilvl="0" w:tplc="E6BAEF84">
      <w:start w:val="55"/>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9F7DBA"/>
    <w:multiLevelType w:val="hybridMultilevel"/>
    <w:tmpl w:val="35847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8054379"/>
    <w:multiLevelType w:val="hybridMultilevel"/>
    <w:tmpl w:val="95E265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ADB2D6A"/>
    <w:multiLevelType w:val="hybridMultilevel"/>
    <w:tmpl w:val="0396F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572B59"/>
    <w:multiLevelType w:val="hybridMultilevel"/>
    <w:tmpl w:val="62689DFC"/>
    <w:lvl w:ilvl="0" w:tplc="613E096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135925"/>
    <w:multiLevelType w:val="hybridMultilevel"/>
    <w:tmpl w:val="CC28D7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44FDA"/>
    <w:multiLevelType w:val="hybridMultilevel"/>
    <w:tmpl w:val="EC32FF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3"/>
  </w:num>
  <w:num w:numId="9">
    <w:abstractNumId w:val="13"/>
  </w:num>
  <w:num w:numId="10">
    <w:abstractNumId w:val="30"/>
  </w:num>
  <w:num w:numId="11">
    <w:abstractNumId w:val="4"/>
  </w:num>
  <w:num w:numId="12">
    <w:abstractNumId w:val="28"/>
  </w:num>
  <w:num w:numId="13">
    <w:abstractNumId w:val="14"/>
  </w:num>
  <w:num w:numId="14">
    <w:abstractNumId w:val="1"/>
  </w:num>
  <w:num w:numId="15">
    <w:abstractNumId w:val="26"/>
  </w:num>
  <w:num w:numId="16">
    <w:abstractNumId w:val="12"/>
  </w:num>
  <w:num w:numId="17">
    <w:abstractNumId w:val="2"/>
  </w:num>
  <w:num w:numId="18">
    <w:abstractNumId w:val="19"/>
  </w:num>
  <w:num w:numId="19">
    <w:abstractNumId w:val="5"/>
  </w:num>
  <w:num w:numId="20">
    <w:abstractNumId w:val="31"/>
  </w:num>
  <w:num w:numId="21">
    <w:abstractNumId w:val="18"/>
  </w:num>
  <w:num w:numId="22">
    <w:abstractNumId w:val="24"/>
  </w:num>
  <w:num w:numId="23">
    <w:abstractNumId w:val="27"/>
  </w:num>
  <w:num w:numId="24">
    <w:abstractNumId w:val="9"/>
  </w:num>
  <w:num w:numId="25">
    <w:abstractNumId w:val="6"/>
  </w:num>
  <w:num w:numId="26">
    <w:abstractNumId w:val="29"/>
  </w:num>
  <w:num w:numId="27">
    <w:abstractNumId w:val="20"/>
  </w:num>
  <w:num w:numId="28">
    <w:abstractNumId w:val="21"/>
  </w:num>
  <w:num w:numId="29">
    <w:abstractNumId w:val="25"/>
  </w:num>
  <w:num w:numId="30">
    <w:abstractNumId w:val="22"/>
  </w:num>
  <w:num w:numId="31">
    <w:abstractNumId w:val="8"/>
  </w:num>
  <w:num w:numId="32">
    <w:abstractNumId w:val="23"/>
  </w:num>
  <w:num w:numId="33">
    <w:abstractNumId w:val="10"/>
  </w:num>
  <w:num w:numId="34">
    <w:abstractNumId w:val="7"/>
  </w:num>
  <w:num w:numId="35">
    <w:abstractNumId w:val="0"/>
  </w:num>
  <w:num w:numId="36">
    <w:abstractNumId w:val="11"/>
  </w:num>
  <w:num w:numId="3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BA4"/>
    <w:rsid w:val="00000029"/>
    <w:rsid w:val="000003C4"/>
    <w:rsid w:val="000004DF"/>
    <w:rsid w:val="0000141B"/>
    <w:rsid w:val="0000281F"/>
    <w:rsid w:val="0000765F"/>
    <w:rsid w:val="0001045F"/>
    <w:rsid w:val="00011298"/>
    <w:rsid w:val="000129FA"/>
    <w:rsid w:val="00013B7E"/>
    <w:rsid w:val="000205C3"/>
    <w:rsid w:val="00020A79"/>
    <w:rsid w:val="000218CD"/>
    <w:rsid w:val="00021CFC"/>
    <w:rsid w:val="00021EFC"/>
    <w:rsid w:val="00022D7E"/>
    <w:rsid w:val="00026729"/>
    <w:rsid w:val="000274EF"/>
    <w:rsid w:val="00031362"/>
    <w:rsid w:val="00032ED4"/>
    <w:rsid w:val="00033195"/>
    <w:rsid w:val="000343D4"/>
    <w:rsid w:val="0003577B"/>
    <w:rsid w:val="00036E69"/>
    <w:rsid w:val="000404FD"/>
    <w:rsid w:val="0004269C"/>
    <w:rsid w:val="00045D8E"/>
    <w:rsid w:val="000463AC"/>
    <w:rsid w:val="000471A3"/>
    <w:rsid w:val="000550E9"/>
    <w:rsid w:val="00055C0B"/>
    <w:rsid w:val="00055C51"/>
    <w:rsid w:val="00057046"/>
    <w:rsid w:val="00061B8C"/>
    <w:rsid w:val="00066351"/>
    <w:rsid w:val="000663DD"/>
    <w:rsid w:val="0007491E"/>
    <w:rsid w:val="00075A4C"/>
    <w:rsid w:val="00087B86"/>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D799B"/>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4456"/>
    <w:rsid w:val="0014528A"/>
    <w:rsid w:val="00145959"/>
    <w:rsid w:val="00150242"/>
    <w:rsid w:val="0015151E"/>
    <w:rsid w:val="001515F1"/>
    <w:rsid w:val="001520C4"/>
    <w:rsid w:val="0015267F"/>
    <w:rsid w:val="0015525D"/>
    <w:rsid w:val="00156A90"/>
    <w:rsid w:val="00162483"/>
    <w:rsid w:val="001624FE"/>
    <w:rsid w:val="00163F26"/>
    <w:rsid w:val="00166171"/>
    <w:rsid w:val="00167218"/>
    <w:rsid w:val="001672EA"/>
    <w:rsid w:val="00170DEE"/>
    <w:rsid w:val="001715AF"/>
    <w:rsid w:val="001720F9"/>
    <w:rsid w:val="00173525"/>
    <w:rsid w:val="00176D62"/>
    <w:rsid w:val="00182731"/>
    <w:rsid w:val="001827D9"/>
    <w:rsid w:val="001846A4"/>
    <w:rsid w:val="001864B6"/>
    <w:rsid w:val="00187676"/>
    <w:rsid w:val="00192EC4"/>
    <w:rsid w:val="00196809"/>
    <w:rsid w:val="0019703D"/>
    <w:rsid w:val="001A160C"/>
    <w:rsid w:val="001A4BC9"/>
    <w:rsid w:val="001A556A"/>
    <w:rsid w:val="001A7D74"/>
    <w:rsid w:val="001B0E38"/>
    <w:rsid w:val="001B2A18"/>
    <w:rsid w:val="001B3D20"/>
    <w:rsid w:val="001B48A5"/>
    <w:rsid w:val="001B60B8"/>
    <w:rsid w:val="001C0763"/>
    <w:rsid w:val="001C0F74"/>
    <w:rsid w:val="001C1F82"/>
    <w:rsid w:val="001C32D4"/>
    <w:rsid w:val="001C401F"/>
    <w:rsid w:val="001C6037"/>
    <w:rsid w:val="001C6B98"/>
    <w:rsid w:val="001C7C47"/>
    <w:rsid w:val="001D5999"/>
    <w:rsid w:val="001D5D25"/>
    <w:rsid w:val="001D5F4A"/>
    <w:rsid w:val="001D6496"/>
    <w:rsid w:val="001E673C"/>
    <w:rsid w:val="001E69EF"/>
    <w:rsid w:val="001F1A61"/>
    <w:rsid w:val="001F27F5"/>
    <w:rsid w:val="001F2B1D"/>
    <w:rsid w:val="001F3C72"/>
    <w:rsid w:val="001F6878"/>
    <w:rsid w:val="001F7B21"/>
    <w:rsid w:val="00201C80"/>
    <w:rsid w:val="00203DB6"/>
    <w:rsid w:val="002065EF"/>
    <w:rsid w:val="0021062B"/>
    <w:rsid w:val="0021398B"/>
    <w:rsid w:val="002146B1"/>
    <w:rsid w:val="00216C93"/>
    <w:rsid w:val="0021749F"/>
    <w:rsid w:val="0022089E"/>
    <w:rsid w:val="00220C8D"/>
    <w:rsid w:val="0022251B"/>
    <w:rsid w:val="00222845"/>
    <w:rsid w:val="002229DA"/>
    <w:rsid w:val="002248D3"/>
    <w:rsid w:val="00225AEA"/>
    <w:rsid w:val="00230ED8"/>
    <w:rsid w:val="00231687"/>
    <w:rsid w:val="00231FF4"/>
    <w:rsid w:val="00237C4D"/>
    <w:rsid w:val="00237EAE"/>
    <w:rsid w:val="00241128"/>
    <w:rsid w:val="0024503C"/>
    <w:rsid w:val="00245255"/>
    <w:rsid w:val="002456EB"/>
    <w:rsid w:val="002459BD"/>
    <w:rsid w:val="002513BD"/>
    <w:rsid w:val="002527CA"/>
    <w:rsid w:val="002542CA"/>
    <w:rsid w:val="0025652B"/>
    <w:rsid w:val="00256D0A"/>
    <w:rsid w:val="00260E8C"/>
    <w:rsid w:val="00262949"/>
    <w:rsid w:val="002644B7"/>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168"/>
    <w:rsid w:val="002D3637"/>
    <w:rsid w:val="002D3F81"/>
    <w:rsid w:val="002D7BFD"/>
    <w:rsid w:val="002E01F3"/>
    <w:rsid w:val="002E2041"/>
    <w:rsid w:val="002E4801"/>
    <w:rsid w:val="002F1198"/>
    <w:rsid w:val="002F37F6"/>
    <w:rsid w:val="002F41D4"/>
    <w:rsid w:val="002F42C6"/>
    <w:rsid w:val="002F4E9B"/>
    <w:rsid w:val="002F74E6"/>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218"/>
    <w:rsid w:val="00360C39"/>
    <w:rsid w:val="00361785"/>
    <w:rsid w:val="0036237D"/>
    <w:rsid w:val="00366760"/>
    <w:rsid w:val="0036737F"/>
    <w:rsid w:val="0036741F"/>
    <w:rsid w:val="00373F0F"/>
    <w:rsid w:val="0038111F"/>
    <w:rsid w:val="00382C85"/>
    <w:rsid w:val="00385622"/>
    <w:rsid w:val="00390081"/>
    <w:rsid w:val="00392960"/>
    <w:rsid w:val="003950A7"/>
    <w:rsid w:val="003977F2"/>
    <w:rsid w:val="003A1075"/>
    <w:rsid w:val="003A3A45"/>
    <w:rsid w:val="003A75A4"/>
    <w:rsid w:val="003A7F47"/>
    <w:rsid w:val="003B0404"/>
    <w:rsid w:val="003B1C04"/>
    <w:rsid w:val="003B26E6"/>
    <w:rsid w:val="003B31C0"/>
    <w:rsid w:val="003B3BE1"/>
    <w:rsid w:val="003C2170"/>
    <w:rsid w:val="003C233B"/>
    <w:rsid w:val="003C2EEA"/>
    <w:rsid w:val="003C4438"/>
    <w:rsid w:val="003C53A5"/>
    <w:rsid w:val="003C76B3"/>
    <w:rsid w:val="003C7AB3"/>
    <w:rsid w:val="003D0613"/>
    <w:rsid w:val="003D59AE"/>
    <w:rsid w:val="003D5BEA"/>
    <w:rsid w:val="003D6FEA"/>
    <w:rsid w:val="003E000F"/>
    <w:rsid w:val="003E0F3A"/>
    <w:rsid w:val="003E1028"/>
    <w:rsid w:val="003E1ACD"/>
    <w:rsid w:val="003E3B9F"/>
    <w:rsid w:val="003F369B"/>
    <w:rsid w:val="003F4747"/>
    <w:rsid w:val="003F688E"/>
    <w:rsid w:val="003F7AE2"/>
    <w:rsid w:val="003F7E47"/>
    <w:rsid w:val="00400CBE"/>
    <w:rsid w:val="00405905"/>
    <w:rsid w:val="00405F39"/>
    <w:rsid w:val="00413FE7"/>
    <w:rsid w:val="0041566F"/>
    <w:rsid w:val="00415864"/>
    <w:rsid w:val="004201B9"/>
    <w:rsid w:val="00420A1F"/>
    <w:rsid w:val="004246CF"/>
    <w:rsid w:val="0042724E"/>
    <w:rsid w:val="004311BF"/>
    <w:rsid w:val="00432963"/>
    <w:rsid w:val="00433978"/>
    <w:rsid w:val="0043492B"/>
    <w:rsid w:val="0043798A"/>
    <w:rsid w:val="00443C87"/>
    <w:rsid w:val="0044467F"/>
    <w:rsid w:val="00446859"/>
    <w:rsid w:val="00450462"/>
    <w:rsid w:val="00450C1E"/>
    <w:rsid w:val="00451F9B"/>
    <w:rsid w:val="0045387B"/>
    <w:rsid w:val="00456B4C"/>
    <w:rsid w:val="00457FE4"/>
    <w:rsid w:val="004638E4"/>
    <w:rsid w:val="00465214"/>
    <w:rsid w:val="0046559A"/>
    <w:rsid w:val="00471770"/>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40AF"/>
    <w:rsid w:val="004B597B"/>
    <w:rsid w:val="004B5E61"/>
    <w:rsid w:val="004B73DE"/>
    <w:rsid w:val="004C6DD1"/>
    <w:rsid w:val="004C775C"/>
    <w:rsid w:val="004D60FB"/>
    <w:rsid w:val="004D6254"/>
    <w:rsid w:val="004D6310"/>
    <w:rsid w:val="004D65D4"/>
    <w:rsid w:val="004E1E1B"/>
    <w:rsid w:val="004E2942"/>
    <w:rsid w:val="004E30FA"/>
    <w:rsid w:val="004E46DE"/>
    <w:rsid w:val="004E747E"/>
    <w:rsid w:val="004F2039"/>
    <w:rsid w:val="004F2755"/>
    <w:rsid w:val="004F6C8A"/>
    <w:rsid w:val="004F7B23"/>
    <w:rsid w:val="004F7EE3"/>
    <w:rsid w:val="00500359"/>
    <w:rsid w:val="00500675"/>
    <w:rsid w:val="00500D9A"/>
    <w:rsid w:val="0050359B"/>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1DFA"/>
    <w:rsid w:val="0053423A"/>
    <w:rsid w:val="00534605"/>
    <w:rsid w:val="00541AC9"/>
    <w:rsid w:val="00543B5B"/>
    <w:rsid w:val="00546D26"/>
    <w:rsid w:val="005472AB"/>
    <w:rsid w:val="00547A63"/>
    <w:rsid w:val="00550CB1"/>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28B6"/>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29FC"/>
    <w:rsid w:val="005D31E4"/>
    <w:rsid w:val="005D4B68"/>
    <w:rsid w:val="005E06DC"/>
    <w:rsid w:val="005E10C3"/>
    <w:rsid w:val="005E1D42"/>
    <w:rsid w:val="005E22B0"/>
    <w:rsid w:val="005E2E2B"/>
    <w:rsid w:val="005E3616"/>
    <w:rsid w:val="005E6C51"/>
    <w:rsid w:val="005E6EC8"/>
    <w:rsid w:val="005F53F8"/>
    <w:rsid w:val="005F6D7D"/>
    <w:rsid w:val="00602483"/>
    <w:rsid w:val="006027FD"/>
    <w:rsid w:val="00602D64"/>
    <w:rsid w:val="00603611"/>
    <w:rsid w:val="00603E5E"/>
    <w:rsid w:val="00604915"/>
    <w:rsid w:val="00605332"/>
    <w:rsid w:val="0060769D"/>
    <w:rsid w:val="0061346B"/>
    <w:rsid w:val="00616EC9"/>
    <w:rsid w:val="00617E6C"/>
    <w:rsid w:val="00617EB5"/>
    <w:rsid w:val="00621D34"/>
    <w:rsid w:val="00622BFB"/>
    <w:rsid w:val="0062799B"/>
    <w:rsid w:val="00630DD2"/>
    <w:rsid w:val="006339F3"/>
    <w:rsid w:val="00640FFB"/>
    <w:rsid w:val="006414BE"/>
    <w:rsid w:val="00644191"/>
    <w:rsid w:val="00644FEC"/>
    <w:rsid w:val="006456DF"/>
    <w:rsid w:val="00646380"/>
    <w:rsid w:val="00651373"/>
    <w:rsid w:val="006514CA"/>
    <w:rsid w:val="00653E80"/>
    <w:rsid w:val="00654CE8"/>
    <w:rsid w:val="0065568B"/>
    <w:rsid w:val="00655865"/>
    <w:rsid w:val="006566D0"/>
    <w:rsid w:val="00660D0F"/>
    <w:rsid w:val="006650CC"/>
    <w:rsid w:val="00666351"/>
    <w:rsid w:val="00666ECD"/>
    <w:rsid w:val="00670EBC"/>
    <w:rsid w:val="00671EE2"/>
    <w:rsid w:val="006740AD"/>
    <w:rsid w:val="006758D9"/>
    <w:rsid w:val="00684855"/>
    <w:rsid w:val="00685022"/>
    <w:rsid w:val="00685C1F"/>
    <w:rsid w:val="00686CB3"/>
    <w:rsid w:val="00693768"/>
    <w:rsid w:val="00695DD2"/>
    <w:rsid w:val="006A2124"/>
    <w:rsid w:val="006A4E52"/>
    <w:rsid w:val="006A5CB3"/>
    <w:rsid w:val="006A6CC5"/>
    <w:rsid w:val="006B009B"/>
    <w:rsid w:val="006B1786"/>
    <w:rsid w:val="006B1CCF"/>
    <w:rsid w:val="006B22CF"/>
    <w:rsid w:val="006B3D8E"/>
    <w:rsid w:val="006B4C4D"/>
    <w:rsid w:val="006C084A"/>
    <w:rsid w:val="006C1A67"/>
    <w:rsid w:val="006C293F"/>
    <w:rsid w:val="006C37D6"/>
    <w:rsid w:val="006C3D1D"/>
    <w:rsid w:val="006C43CD"/>
    <w:rsid w:val="006D114B"/>
    <w:rsid w:val="006D21E4"/>
    <w:rsid w:val="006D6CCC"/>
    <w:rsid w:val="006E1918"/>
    <w:rsid w:val="006E3AC2"/>
    <w:rsid w:val="006E4CE1"/>
    <w:rsid w:val="006E5B19"/>
    <w:rsid w:val="006E74A1"/>
    <w:rsid w:val="006E78E6"/>
    <w:rsid w:val="006E7D30"/>
    <w:rsid w:val="006E7D43"/>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5072"/>
    <w:rsid w:val="00746CAC"/>
    <w:rsid w:val="007473A6"/>
    <w:rsid w:val="00747BD2"/>
    <w:rsid w:val="00755CC3"/>
    <w:rsid w:val="00756E1A"/>
    <w:rsid w:val="00757201"/>
    <w:rsid w:val="00757EFE"/>
    <w:rsid w:val="0076044B"/>
    <w:rsid w:val="007604AA"/>
    <w:rsid w:val="00766EB6"/>
    <w:rsid w:val="007740EB"/>
    <w:rsid w:val="00774F4D"/>
    <w:rsid w:val="0078539D"/>
    <w:rsid w:val="00785B79"/>
    <w:rsid w:val="00794037"/>
    <w:rsid w:val="00795D3A"/>
    <w:rsid w:val="00795EA1"/>
    <w:rsid w:val="00796727"/>
    <w:rsid w:val="00796D7E"/>
    <w:rsid w:val="007B40B0"/>
    <w:rsid w:val="007B5359"/>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2887"/>
    <w:rsid w:val="00805C58"/>
    <w:rsid w:val="008078B6"/>
    <w:rsid w:val="00807FD2"/>
    <w:rsid w:val="0081044D"/>
    <w:rsid w:val="00811F2A"/>
    <w:rsid w:val="00812C54"/>
    <w:rsid w:val="00816BA0"/>
    <w:rsid w:val="00820DBC"/>
    <w:rsid w:val="00821599"/>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8D4"/>
    <w:rsid w:val="00860BA4"/>
    <w:rsid w:val="00863F69"/>
    <w:rsid w:val="00865B1E"/>
    <w:rsid w:val="008706E3"/>
    <w:rsid w:val="00872FF9"/>
    <w:rsid w:val="00873B93"/>
    <w:rsid w:val="00881FAD"/>
    <w:rsid w:val="00885AF2"/>
    <w:rsid w:val="00886B78"/>
    <w:rsid w:val="00887BE5"/>
    <w:rsid w:val="00891001"/>
    <w:rsid w:val="00892DFF"/>
    <w:rsid w:val="00894649"/>
    <w:rsid w:val="00894FE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36C6"/>
    <w:rsid w:val="008C40D3"/>
    <w:rsid w:val="008D11BC"/>
    <w:rsid w:val="008D42C3"/>
    <w:rsid w:val="008D59C7"/>
    <w:rsid w:val="008D5FE3"/>
    <w:rsid w:val="008D6200"/>
    <w:rsid w:val="008D75F0"/>
    <w:rsid w:val="008E2BFA"/>
    <w:rsid w:val="008E4F53"/>
    <w:rsid w:val="008E5C56"/>
    <w:rsid w:val="008E5DF5"/>
    <w:rsid w:val="008E6106"/>
    <w:rsid w:val="008E78E7"/>
    <w:rsid w:val="008E7F99"/>
    <w:rsid w:val="008F284F"/>
    <w:rsid w:val="008F6153"/>
    <w:rsid w:val="008F61D4"/>
    <w:rsid w:val="008F7333"/>
    <w:rsid w:val="008F7F5F"/>
    <w:rsid w:val="0090334F"/>
    <w:rsid w:val="00906E8B"/>
    <w:rsid w:val="00916C74"/>
    <w:rsid w:val="00923DF9"/>
    <w:rsid w:val="00924B1A"/>
    <w:rsid w:val="0092505E"/>
    <w:rsid w:val="0092772E"/>
    <w:rsid w:val="00933B2F"/>
    <w:rsid w:val="00936B23"/>
    <w:rsid w:val="009400E4"/>
    <w:rsid w:val="00941210"/>
    <w:rsid w:val="00941CA4"/>
    <w:rsid w:val="00941F93"/>
    <w:rsid w:val="00943DBF"/>
    <w:rsid w:val="0094493D"/>
    <w:rsid w:val="009472D4"/>
    <w:rsid w:val="00950645"/>
    <w:rsid w:val="009510E0"/>
    <w:rsid w:val="009541F4"/>
    <w:rsid w:val="0095457D"/>
    <w:rsid w:val="00954B5F"/>
    <w:rsid w:val="00954B82"/>
    <w:rsid w:val="00954FB9"/>
    <w:rsid w:val="009603EC"/>
    <w:rsid w:val="00962CAE"/>
    <w:rsid w:val="00962EB6"/>
    <w:rsid w:val="009660E6"/>
    <w:rsid w:val="00970964"/>
    <w:rsid w:val="00970F94"/>
    <w:rsid w:val="00971105"/>
    <w:rsid w:val="00973F4A"/>
    <w:rsid w:val="00976E5F"/>
    <w:rsid w:val="0097749D"/>
    <w:rsid w:val="00980652"/>
    <w:rsid w:val="00983C9E"/>
    <w:rsid w:val="009848D4"/>
    <w:rsid w:val="00990088"/>
    <w:rsid w:val="00990D77"/>
    <w:rsid w:val="009947E6"/>
    <w:rsid w:val="00996A7E"/>
    <w:rsid w:val="009A30B5"/>
    <w:rsid w:val="009A3F44"/>
    <w:rsid w:val="009A4FA1"/>
    <w:rsid w:val="009A66DF"/>
    <w:rsid w:val="009A6EC9"/>
    <w:rsid w:val="009B16BF"/>
    <w:rsid w:val="009B240E"/>
    <w:rsid w:val="009B441E"/>
    <w:rsid w:val="009B4DA9"/>
    <w:rsid w:val="009B6248"/>
    <w:rsid w:val="009C06E9"/>
    <w:rsid w:val="009C234C"/>
    <w:rsid w:val="009C3642"/>
    <w:rsid w:val="009C5BE9"/>
    <w:rsid w:val="009C73F0"/>
    <w:rsid w:val="009D11CC"/>
    <w:rsid w:val="009D3239"/>
    <w:rsid w:val="009D3989"/>
    <w:rsid w:val="009D4B58"/>
    <w:rsid w:val="009D4D36"/>
    <w:rsid w:val="009E0CF4"/>
    <w:rsid w:val="009E1568"/>
    <w:rsid w:val="009E5696"/>
    <w:rsid w:val="009F144C"/>
    <w:rsid w:val="009F1491"/>
    <w:rsid w:val="009F5288"/>
    <w:rsid w:val="00A02087"/>
    <w:rsid w:val="00A02A36"/>
    <w:rsid w:val="00A04D7B"/>
    <w:rsid w:val="00A11F7D"/>
    <w:rsid w:val="00A124C6"/>
    <w:rsid w:val="00A1302E"/>
    <w:rsid w:val="00A1731C"/>
    <w:rsid w:val="00A21AB9"/>
    <w:rsid w:val="00A21FB0"/>
    <w:rsid w:val="00A22BE6"/>
    <w:rsid w:val="00A232AB"/>
    <w:rsid w:val="00A25F73"/>
    <w:rsid w:val="00A30000"/>
    <w:rsid w:val="00A325A7"/>
    <w:rsid w:val="00A3464C"/>
    <w:rsid w:val="00A349F8"/>
    <w:rsid w:val="00A359E8"/>
    <w:rsid w:val="00A40493"/>
    <w:rsid w:val="00A41C80"/>
    <w:rsid w:val="00A42F27"/>
    <w:rsid w:val="00A4679C"/>
    <w:rsid w:val="00A46922"/>
    <w:rsid w:val="00A470A3"/>
    <w:rsid w:val="00A47A67"/>
    <w:rsid w:val="00A500EA"/>
    <w:rsid w:val="00A516EA"/>
    <w:rsid w:val="00A51F07"/>
    <w:rsid w:val="00A52205"/>
    <w:rsid w:val="00A53B90"/>
    <w:rsid w:val="00A55663"/>
    <w:rsid w:val="00A56957"/>
    <w:rsid w:val="00A576C5"/>
    <w:rsid w:val="00A57B38"/>
    <w:rsid w:val="00A70D12"/>
    <w:rsid w:val="00A7118E"/>
    <w:rsid w:val="00A720E7"/>
    <w:rsid w:val="00A82194"/>
    <w:rsid w:val="00A828E4"/>
    <w:rsid w:val="00A848FC"/>
    <w:rsid w:val="00A86541"/>
    <w:rsid w:val="00A8727A"/>
    <w:rsid w:val="00A9281A"/>
    <w:rsid w:val="00A9421A"/>
    <w:rsid w:val="00A9637C"/>
    <w:rsid w:val="00AA311C"/>
    <w:rsid w:val="00AB0497"/>
    <w:rsid w:val="00AB21D6"/>
    <w:rsid w:val="00AB2713"/>
    <w:rsid w:val="00AB3D5A"/>
    <w:rsid w:val="00AB3E67"/>
    <w:rsid w:val="00AB43B1"/>
    <w:rsid w:val="00AB679F"/>
    <w:rsid w:val="00AB6C1E"/>
    <w:rsid w:val="00AC3C31"/>
    <w:rsid w:val="00AC6FC5"/>
    <w:rsid w:val="00AC7D50"/>
    <w:rsid w:val="00AC7DFC"/>
    <w:rsid w:val="00AD184C"/>
    <w:rsid w:val="00AD2AF6"/>
    <w:rsid w:val="00AE094B"/>
    <w:rsid w:val="00AE1DD5"/>
    <w:rsid w:val="00AE5ED3"/>
    <w:rsid w:val="00AE6A0C"/>
    <w:rsid w:val="00AF0359"/>
    <w:rsid w:val="00AF064C"/>
    <w:rsid w:val="00AF0D0E"/>
    <w:rsid w:val="00B01F10"/>
    <w:rsid w:val="00B024CD"/>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6CBB"/>
    <w:rsid w:val="00B37C23"/>
    <w:rsid w:val="00B40212"/>
    <w:rsid w:val="00B40B5C"/>
    <w:rsid w:val="00B50B83"/>
    <w:rsid w:val="00B5361E"/>
    <w:rsid w:val="00B55EEC"/>
    <w:rsid w:val="00B61ED9"/>
    <w:rsid w:val="00B62D3A"/>
    <w:rsid w:val="00B62DE1"/>
    <w:rsid w:val="00B65F93"/>
    <w:rsid w:val="00B723EB"/>
    <w:rsid w:val="00B74A03"/>
    <w:rsid w:val="00B82B69"/>
    <w:rsid w:val="00B91C15"/>
    <w:rsid w:val="00B91D5C"/>
    <w:rsid w:val="00B92A94"/>
    <w:rsid w:val="00B9311E"/>
    <w:rsid w:val="00B95C98"/>
    <w:rsid w:val="00B962E1"/>
    <w:rsid w:val="00BA0749"/>
    <w:rsid w:val="00BA1118"/>
    <w:rsid w:val="00BA16B2"/>
    <w:rsid w:val="00BA2730"/>
    <w:rsid w:val="00BA76D6"/>
    <w:rsid w:val="00BB3360"/>
    <w:rsid w:val="00BB3486"/>
    <w:rsid w:val="00BB383B"/>
    <w:rsid w:val="00BB4217"/>
    <w:rsid w:val="00BB5E45"/>
    <w:rsid w:val="00BB7073"/>
    <w:rsid w:val="00BB7618"/>
    <w:rsid w:val="00BC0ABE"/>
    <w:rsid w:val="00BC1428"/>
    <w:rsid w:val="00BC259E"/>
    <w:rsid w:val="00BD13E9"/>
    <w:rsid w:val="00BD337C"/>
    <w:rsid w:val="00BD4F16"/>
    <w:rsid w:val="00BE0B34"/>
    <w:rsid w:val="00BE1F56"/>
    <w:rsid w:val="00BE32A9"/>
    <w:rsid w:val="00BE3B9E"/>
    <w:rsid w:val="00BE7859"/>
    <w:rsid w:val="00BF2E59"/>
    <w:rsid w:val="00BF5406"/>
    <w:rsid w:val="00BF7759"/>
    <w:rsid w:val="00C00901"/>
    <w:rsid w:val="00C0488F"/>
    <w:rsid w:val="00C11558"/>
    <w:rsid w:val="00C11A40"/>
    <w:rsid w:val="00C11D32"/>
    <w:rsid w:val="00C11FEA"/>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5590"/>
    <w:rsid w:val="00C47BC7"/>
    <w:rsid w:val="00C509A4"/>
    <w:rsid w:val="00C56D7E"/>
    <w:rsid w:val="00C57119"/>
    <w:rsid w:val="00C572EF"/>
    <w:rsid w:val="00C602D0"/>
    <w:rsid w:val="00C61C2B"/>
    <w:rsid w:val="00C63AA8"/>
    <w:rsid w:val="00C66E83"/>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0A6"/>
    <w:rsid w:val="00CD24A7"/>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D6E"/>
    <w:rsid w:val="00D60131"/>
    <w:rsid w:val="00D6467C"/>
    <w:rsid w:val="00D70F0F"/>
    <w:rsid w:val="00D75159"/>
    <w:rsid w:val="00D7583A"/>
    <w:rsid w:val="00D76546"/>
    <w:rsid w:val="00D765E3"/>
    <w:rsid w:val="00D76CEA"/>
    <w:rsid w:val="00D777C0"/>
    <w:rsid w:val="00D81D71"/>
    <w:rsid w:val="00D84C56"/>
    <w:rsid w:val="00D87A72"/>
    <w:rsid w:val="00D87AF3"/>
    <w:rsid w:val="00D95FF9"/>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8BA"/>
    <w:rsid w:val="00DC6BB8"/>
    <w:rsid w:val="00DD0BF3"/>
    <w:rsid w:val="00DD2B67"/>
    <w:rsid w:val="00DD670C"/>
    <w:rsid w:val="00DD764A"/>
    <w:rsid w:val="00DE11CF"/>
    <w:rsid w:val="00DE38E9"/>
    <w:rsid w:val="00DE422B"/>
    <w:rsid w:val="00DF7895"/>
    <w:rsid w:val="00DF7CC5"/>
    <w:rsid w:val="00E00CCE"/>
    <w:rsid w:val="00E02044"/>
    <w:rsid w:val="00E12C58"/>
    <w:rsid w:val="00E1317C"/>
    <w:rsid w:val="00E1743B"/>
    <w:rsid w:val="00E174E5"/>
    <w:rsid w:val="00E17F9A"/>
    <w:rsid w:val="00E22A84"/>
    <w:rsid w:val="00E26459"/>
    <w:rsid w:val="00E30414"/>
    <w:rsid w:val="00E32F9B"/>
    <w:rsid w:val="00E345A7"/>
    <w:rsid w:val="00E37012"/>
    <w:rsid w:val="00E40062"/>
    <w:rsid w:val="00E40651"/>
    <w:rsid w:val="00E40EC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80D9A"/>
    <w:rsid w:val="00E81879"/>
    <w:rsid w:val="00E83578"/>
    <w:rsid w:val="00E876CA"/>
    <w:rsid w:val="00E91E3F"/>
    <w:rsid w:val="00E95C7C"/>
    <w:rsid w:val="00EA2044"/>
    <w:rsid w:val="00EA3860"/>
    <w:rsid w:val="00EA388A"/>
    <w:rsid w:val="00EA3F3C"/>
    <w:rsid w:val="00EA4970"/>
    <w:rsid w:val="00EA5687"/>
    <w:rsid w:val="00EA59B6"/>
    <w:rsid w:val="00EA606F"/>
    <w:rsid w:val="00EB1032"/>
    <w:rsid w:val="00EB2644"/>
    <w:rsid w:val="00EB2A7E"/>
    <w:rsid w:val="00EC033D"/>
    <w:rsid w:val="00EC1FDB"/>
    <w:rsid w:val="00EC220C"/>
    <w:rsid w:val="00EC5155"/>
    <w:rsid w:val="00ED0266"/>
    <w:rsid w:val="00ED2E65"/>
    <w:rsid w:val="00ED430A"/>
    <w:rsid w:val="00ED6F3B"/>
    <w:rsid w:val="00ED6F71"/>
    <w:rsid w:val="00ED70A8"/>
    <w:rsid w:val="00EE1693"/>
    <w:rsid w:val="00EE177E"/>
    <w:rsid w:val="00EE7803"/>
    <w:rsid w:val="00EF0D0E"/>
    <w:rsid w:val="00EF0E1A"/>
    <w:rsid w:val="00EF1ECC"/>
    <w:rsid w:val="00EF292B"/>
    <w:rsid w:val="00EF2BB2"/>
    <w:rsid w:val="00EF2C7E"/>
    <w:rsid w:val="00EF54D1"/>
    <w:rsid w:val="00EF5CFD"/>
    <w:rsid w:val="00F01334"/>
    <w:rsid w:val="00F04E2A"/>
    <w:rsid w:val="00F06B7E"/>
    <w:rsid w:val="00F11A7E"/>
    <w:rsid w:val="00F1459F"/>
    <w:rsid w:val="00F151C9"/>
    <w:rsid w:val="00F15D54"/>
    <w:rsid w:val="00F21C23"/>
    <w:rsid w:val="00F22076"/>
    <w:rsid w:val="00F22276"/>
    <w:rsid w:val="00F30094"/>
    <w:rsid w:val="00F31162"/>
    <w:rsid w:val="00F34E81"/>
    <w:rsid w:val="00F4162D"/>
    <w:rsid w:val="00F416A5"/>
    <w:rsid w:val="00F4517B"/>
    <w:rsid w:val="00F50C51"/>
    <w:rsid w:val="00F51FCD"/>
    <w:rsid w:val="00F55213"/>
    <w:rsid w:val="00F55EBA"/>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87C90"/>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FCBF5"/>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653E80"/>
    <w:pPr>
      <w:tabs>
        <w:tab w:val="left" w:pos="1276"/>
        <w:tab w:val="left" w:pos="1418"/>
        <w:tab w:val="left" w:pos="1701"/>
        <w:tab w:val="right" w:leader="dot" w:pos="8779"/>
      </w:tabs>
      <w:spacing w:after="100"/>
      <w:ind w:left="1418"/>
      <w:jc w:val="both"/>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90D77"/>
    <w:pPr>
      <w:spacing w:before="100" w:beforeAutospacing="1" w:after="100" w:afterAutospacing="1"/>
    </w:pPr>
    <w:rPr>
      <w:rFonts w:ascii="Times New Roman" w:eastAsiaTheme="minorHAnsi"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45919343">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91187230">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6106038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17484267">
      <w:bodyDiv w:val="1"/>
      <w:marLeft w:val="0"/>
      <w:marRight w:val="0"/>
      <w:marTop w:val="0"/>
      <w:marBottom w:val="0"/>
      <w:divBdr>
        <w:top w:val="none" w:sz="0" w:space="0" w:color="auto"/>
        <w:left w:val="none" w:sz="0" w:space="0" w:color="auto"/>
        <w:bottom w:val="none" w:sz="0" w:space="0" w:color="auto"/>
        <w:right w:val="none" w:sz="0" w:space="0" w:color="auto"/>
      </w:divBdr>
      <w:divsChild>
        <w:div w:id="925377998">
          <w:marLeft w:val="0"/>
          <w:marRight w:val="0"/>
          <w:marTop w:val="0"/>
          <w:marBottom w:val="82"/>
          <w:divBdr>
            <w:top w:val="none" w:sz="0" w:space="0" w:color="auto"/>
            <w:left w:val="none" w:sz="0" w:space="0" w:color="auto"/>
            <w:bottom w:val="none" w:sz="0" w:space="0" w:color="auto"/>
            <w:right w:val="none" w:sz="0" w:space="0" w:color="auto"/>
          </w:divBdr>
        </w:div>
        <w:div w:id="1563102457">
          <w:marLeft w:val="864"/>
          <w:marRight w:val="0"/>
          <w:marTop w:val="0"/>
          <w:marBottom w:val="82"/>
          <w:divBdr>
            <w:top w:val="none" w:sz="0" w:space="0" w:color="auto"/>
            <w:left w:val="none" w:sz="0" w:space="0" w:color="auto"/>
            <w:bottom w:val="none" w:sz="0" w:space="0" w:color="auto"/>
            <w:right w:val="none" w:sz="0" w:space="0" w:color="auto"/>
          </w:divBdr>
        </w:div>
        <w:div w:id="1244954520">
          <w:marLeft w:val="864"/>
          <w:marRight w:val="0"/>
          <w:marTop w:val="0"/>
          <w:marBottom w:val="82"/>
          <w:divBdr>
            <w:top w:val="none" w:sz="0" w:space="0" w:color="auto"/>
            <w:left w:val="none" w:sz="0" w:space="0" w:color="auto"/>
            <w:bottom w:val="none" w:sz="0" w:space="0" w:color="auto"/>
            <w:right w:val="none" w:sz="0" w:space="0" w:color="auto"/>
          </w:divBdr>
        </w:div>
        <w:div w:id="199247287">
          <w:marLeft w:val="864"/>
          <w:marRight w:val="0"/>
          <w:marTop w:val="0"/>
          <w:marBottom w:val="82"/>
          <w:divBdr>
            <w:top w:val="none" w:sz="0" w:space="0" w:color="auto"/>
            <w:left w:val="none" w:sz="0" w:space="0" w:color="auto"/>
            <w:bottom w:val="none" w:sz="0" w:space="0" w:color="auto"/>
            <w:right w:val="none" w:sz="0" w:space="0" w:color="auto"/>
          </w:divBdr>
        </w:div>
        <w:div w:id="747655738">
          <w:marLeft w:val="864"/>
          <w:marRight w:val="0"/>
          <w:marTop w:val="0"/>
          <w:marBottom w:val="82"/>
          <w:divBdr>
            <w:top w:val="none" w:sz="0" w:space="0" w:color="auto"/>
            <w:left w:val="none" w:sz="0" w:space="0" w:color="auto"/>
            <w:bottom w:val="none" w:sz="0" w:space="0" w:color="auto"/>
            <w:right w:val="none" w:sz="0" w:space="0" w:color="auto"/>
          </w:divBdr>
        </w:div>
        <w:div w:id="265163285">
          <w:marLeft w:val="864"/>
          <w:marRight w:val="0"/>
          <w:marTop w:val="0"/>
          <w:marBottom w:val="82"/>
          <w:divBdr>
            <w:top w:val="none" w:sz="0" w:space="0" w:color="auto"/>
            <w:left w:val="none" w:sz="0" w:space="0" w:color="auto"/>
            <w:bottom w:val="none" w:sz="0" w:space="0" w:color="auto"/>
            <w:right w:val="none" w:sz="0" w:space="0" w:color="auto"/>
          </w:divBdr>
        </w:div>
        <w:div w:id="930359827">
          <w:marLeft w:val="864"/>
          <w:marRight w:val="0"/>
          <w:marTop w:val="0"/>
          <w:marBottom w:val="82"/>
          <w:divBdr>
            <w:top w:val="none" w:sz="0" w:space="0" w:color="auto"/>
            <w:left w:val="none" w:sz="0" w:space="0" w:color="auto"/>
            <w:bottom w:val="none" w:sz="0" w:space="0" w:color="auto"/>
            <w:right w:val="none" w:sz="0" w:space="0" w:color="auto"/>
          </w:divBdr>
        </w:div>
        <w:div w:id="964699301">
          <w:marLeft w:val="864"/>
          <w:marRight w:val="0"/>
          <w:marTop w:val="0"/>
          <w:marBottom w:val="82"/>
          <w:divBdr>
            <w:top w:val="none" w:sz="0" w:space="0" w:color="auto"/>
            <w:left w:val="none" w:sz="0" w:space="0" w:color="auto"/>
            <w:bottom w:val="none" w:sz="0" w:space="0" w:color="auto"/>
            <w:right w:val="none" w:sz="0" w:space="0" w:color="auto"/>
          </w:divBdr>
        </w:div>
        <w:div w:id="1645772381">
          <w:marLeft w:val="864"/>
          <w:marRight w:val="0"/>
          <w:marTop w:val="0"/>
          <w:marBottom w:val="82"/>
          <w:divBdr>
            <w:top w:val="none" w:sz="0" w:space="0" w:color="auto"/>
            <w:left w:val="none" w:sz="0" w:space="0" w:color="auto"/>
            <w:bottom w:val="none" w:sz="0" w:space="0" w:color="auto"/>
            <w:right w:val="none" w:sz="0" w:space="0" w:color="auto"/>
          </w:divBdr>
        </w:div>
        <w:div w:id="1619531508">
          <w:marLeft w:val="864"/>
          <w:marRight w:val="0"/>
          <w:marTop w:val="0"/>
          <w:marBottom w:val="82"/>
          <w:divBdr>
            <w:top w:val="none" w:sz="0" w:space="0" w:color="auto"/>
            <w:left w:val="none" w:sz="0" w:space="0" w:color="auto"/>
            <w:bottom w:val="none" w:sz="0" w:space="0" w:color="auto"/>
            <w:right w:val="none" w:sz="0" w:space="0" w:color="auto"/>
          </w:divBdr>
        </w:div>
        <w:div w:id="414673306">
          <w:marLeft w:val="864"/>
          <w:marRight w:val="0"/>
          <w:marTop w:val="0"/>
          <w:marBottom w:val="82"/>
          <w:divBdr>
            <w:top w:val="none" w:sz="0" w:space="0" w:color="auto"/>
            <w:left w:val="none" w:sz="0" w:space="0" w:color="auto"/>
            <w:bottom w:val="none" w:sz="0" w:space="0" w:color="auto"/>
            <w:right w:val="none" w:sz="0" w:space="0" w:color="auto"/>
          </w:divBdr>
        </w:div>
        <w:div w:id="1422525781">
          <w:marLeft w:val="864"/>
          <w:marRight w:val="0"/>
          <w:marTop w:val="0"/>
          <w:marBottom w:val="82"/>
          <w:divBdr>
            <w:top w:val="none" w:sz="0" w:space="0" w:color="auto"/>
            <w:left w:val="none" w:sz="0" w:space="0" w:color="auto"/>
            <w:bottom w:val="none" w:sz="0" w:space="0" w:color="auto"/>
            <w:right w:val="none" w:sz="0" w:space="0" w:color="auto"/>
          </w:divBdr>
        </w:div>
        <w:div w:id="449014040">
          <w:marLeft w:val="0"/>
          <w:marRight w:val="0"/>
          <w:marTop w:val="0"/>
          <w:marBottom w:val="82"/>
          <w:divBdr>
            <w:top w:val="none" w:sz="0" w:space="0" w:color="auto"/>
            <w:left w:val="none" w:sz="0" w:space="0" w:color="auto"/>
            <w:bottom w:val="none" w:sz="0" w:space="0" w:color="auto"/>
            <w:right w:val="none" w:sz="0" w:space="0" w:color="auto"/>
          </w:divBdr>
        </w:div>
        <w:div w:id="1385714051">
          <w:marLeft w:val="0"/>
          <w:marRight w:val="0"/>
          <w:marTop w:val="0"/>
          <w:marBottom w:val="82"/>
          <w:divBdr>
            <w:top w:val="none" w:sz="0" w:space="0" w:color="auto"/>
            <w:left w:val="none" w:sz="0" w:space="0" w:color="auto"/>
            <w:bottom w:val="none" w:sz="0" w:space="0" w:color="auto"/>
            <w:right w:val="none" w:sz="0" w:space="0" w:color="auto"/>
          </w:divBdr>
        </w:div>
        <w:div w:id="769937425">
          <w:marLeft w:val="0"/>
          <w:marRight w:val="0"/>
          <w:marTop w:val="0"/>
          <w:marBottom w:val="82"/>
          <w:divBdr>
            <w:top w:val="none" w:sz="0" w:space="0" w:color="auto"/>
            <w:left w:val="none" w:sz="0" w:space="0" w:color="auto"/>
            <w:bottom w:val="none" w:sz="0" w:space="0" w:color="auto"/>
            <w:right w:val="none" w:sz="0" w:space="0" w:color="auto"/>
          </w:divBdr>
        </w:div>
        <w:div w:id="696155777">
          <w:marLeft w:val="0"/>
          <w:marRight w:val="0"/>
          <w:marTop w:val="0"/>
          <w:marBottom w:val="82"/>
          <w:divBdr>
            <w:top w:val="none" w:sz="0" w:space="0" w:color="auto"/>
            <w:left w:val="none" w:sz="0" w:space="0" w:color="auto"/>
            <w:bottom w:val="none" w:sz="0" w:space="0" w:color="auto"/>
            <w:right w:val="none" w:sz="0" w:space="0" w:color="auto"/>
          </w:divBdr>
        </w:div>
        <w:div w:id="1417435567">
          <w:marLeft w:val="0"/>
          <w:marRight w:val="0"/>
          <w:marTop w:val="0"/>
          <w:marBottom w:val="82"/>
          <w:divBdr>
            <w:top w:val="none" w:sz="0" w:space="0" w:color="auto"/>
            <w:left w:val="none" w:sz="0" w:space="0" w:color="auto"/>
            <w:bottom w:val="none" w:sz="0" w:space="0" w:color="auto"/>
            <w:right w:val="none" w:sz="0" w:space="0" w:color="auto"/>
          </w:divBdr>
        </w:div>
        <w:div w:id="639190194">
          <w:marLeft w:val="0"/>
          <w:marRight w:val="0"/>
          <w:marTop w:val="0"/>
          <w:marBottom w:val="82"/>
          <w:divBdr>
            <w:top w:val="none" w:sz="0" w:space="0" w:color="auto"/>
            <w:left w:val="none" w:sz="0" w:space="0" w:color="auto"/>
            <w:bottom w:val="none" w:sz="0" w:space="0" w:color="auto"/>
            <w:right w:val="none" w:sz="0" w:space="0" w:color="auto"/>
          </w:divBdr>
        </w:div>
        <w:div w:id="2092654684">
          <w:marLeft w:val="0"/>
          <w:marRight w:val="0"/>
          <w:marTop w:val="0"/>
          <w:marBottom w:val="101"/>
          <w:divBdr>
            <w:top w:val="none" w:sz="0" w:space="0" w:color="auto"/>
            <w:left w:val="none" w:sz="0" w:space="0" w:color="auto"/>
            <w:bottom w:val="none" w:sz="0" w:space="0" w:color="auto"/>
            <w:right w:val="none" w:sz="0" w:space="0" w:color="auto"/>
          </w:divBdr>
        </w:div>
      </w:divsChild>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9466335">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6050476">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71581084">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le.rae.es/?id=FdI00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13" Type="http://schemas.openxmlformats.org/officeDocument/2006/relationships/hyperlink" Target="http://dle.rae.es/?id=CAjNzMR"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12" Type="http://schemas.openxmlformats.org/officeDocument/2006/relationships/hyperlink" Target="http://dle.rae.es/?id=VGqyuLj|VGtxgAo|VGuc9Wg" TargetMode="External"/><Relationship Id="rId2" Type="http://schemas.openxmlformats.org/officeDocument/2006/relationships/hyperlink" Target="http://dej.rae.es/" TargetMode="External"/><Relationship Id="rId16" Type="http://schemas.openxmlformats.org/officeDocument/2006/relationships/hyperlink" Target="http://dle.rae.es/?id=KtpfgjV" TargetMode="External"/><Relationship Id="rId1" Type="http://schemas.openxmlformats.org/officeDocument/2006/relationships/hyperlink" Target="http://www.oas.org/es/cidh/expresion/documentos_basicos/declaraciones.asp" TargetMode="External"/><Relationship Id="rId6" Type="http://schemas.openxmlformats.org/officeDocument/2006/relationships/hyperlink" Target="http://dle.rae.es/?id=CAqWkEB" TargetMode="External"/><Relationship Id="rId11" Type="http://schemas.openxmlformats.org/officeDocument/2006/relationships/hyperlink" Target="http://dej.rae.es/" TargetMode="External"/><Relationship Id="rId5" Type="http://schemas.openxmlformats.org/officeDocument/2006/relationships/hyperlink" Target="http://dle.rae.es/?id=CAjNzMR" TargetMode="External"/><Relationship Id="rId15" Type="http://schemas.openxmlformats.org/officeDocument/2006/relationships/hyperlink" Target="http://dle.rae.es/?id=KtnHLLd" TargetMode="External"/><Relationship Id="rId10" Type="http://schemas.openxmlformats.org/officeDocument/2006/relationships/hyperlink" Target="http://dej.rae.es/" TargetMode="External"/><Relationship Id="rId4" Type="http://schemas.openxmlformats.org/officeDocument/2006/relationships/hyperlink" Target="http://dle.rae.es/?id=VGqyuLj|VGtxgAo|VGuc9Wg" TargetMode="External"/><Relationship Id="rId9" Type="http://schemas.openxmlformats.org/officeDocument/2006/relationships/hyperlink" Target="http://www.dof.gob.mx/nota_detalle.php?codigo=5433280&amp;fecha=15/04/2016" TargetMode="External"/><Relationship Id="rId14" Type="http://schemas.openxmlformats.org/officeDocument/2006/relationships/hyperlink" Target="http://dle.rae.es/?id=CAqWk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34DA9-46FD-4AA8-ACD7-C2DB23BC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79</Pages>
  <Words>17897</Words>
  <Characters>98436</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BRENDA NIETO</cp:lastModifiedBy>
  <cp:revision>6</cp:revision>
  <cp:lastPrinted>2020-02-24T19:06:00Z</cp:lastPrinted>
  <dcterms:created xsi:type="dcterms:W3CDTF">2020-02-13T20:52:00Z</dcterms:created>
  <dcterms:modified xsi:type="dcterms:W3CDTF">2020-05-05T00:23:00Z</dcterms:modified>
</cp:coreProperties>
</file>