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49B" w:rsidRPr="00B948FE" w:rsidRDefault="00FF349B" w:rsidP="00FF349B">
      <w:pPr>
        <w:widowControl w:val="0"/>
        <w:spacing w:before="100" w:beforeAutospacing="1" w:after="100" w:afterAutospacing="1" w:line="360" w:lineRule="auto"/>
        <w:ind w:right="49"/>
        <w:jc w:val="both"/>
        <w:rPr>
          <w:rFonts w:ascii="Palatino Linotype" w:eastAsia="Calibri" w:hAnsi="Palatino Linotype" w:cs="Arial"/>
          <w:b/>
          <w:color w:val="000000"/>
        </w:rPr>
      </w:pPr>
      <w:r w:rsidRPr="00D93A88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  <w:b/>
        </w:rPr>
        <w:t xml:space="preserve"> </w:t>
      </w:r>
      <w:r w:rsidRPr="00D93A88">
        <w:rPr>
          <w:rFonts w:ascii="Palatino Linotype" w:hAnsi="Palatino Linotype" w:cs="Arial"/>
          <w:b/>
        </w:rPr>
        <w:t xml:space="preserve">QUE FORMULA </w:t>
      </w:r>
      <w:r w:rsidRPr="00637892">
        <w:rPr>
          <w:rFonts w:ascii="Palatino Linotype" w:hAnsi="Palatino Linotype" w:cs="Arial"/>
          <w:b/>
          <w:szCs w:val="22"/>
        </w:rPr>
        <w:t>LA COMISIONADA EVA ABAID YAPUR</w:t>
      </w:r>
      <w:r w:rsidRPr="00D93A88">
        <w:rPr>
          <w:rFonts w:ascii="Palatino Linotype" w:hAnsi="Palatino Linotype" w:cs="Arial"/>
          <w:b/>
        </w:rPr>
        <w:t xml:space="preserve">, EN RELACIÓN CON LA RESOLUCIÓN DICTADA POR EL PLENO DEL INSTITUTO DE TRANSPARENCIA, ACCESO A LA INFORMACIÓN PÚBLICA Y PROTECCIÓN DE </w:t>
      </w:r>
      <w:r w:rsidRPr="00E42755">
        <w:rPr>
          <w:rFonts w:ascii="Palatino Linotype" w:hAnsi="Palatino Linotype" w:cs="Arial"/>
          <w:b/>
        </w:rPr>
        <w:t xml:space="preserve">DATOS PERSONALES DEL ESTADO DE MÉXICO Y MUNICIPIOS, EN LA </w:t>
      </w:r>
      <w:r>
        <w:rPr>
          <w:rFonts w:ascii="Palatino Linotype" w:hAnsi="Palatino Linotype" w:cs="Arial"/>
          <w:b/>
        </w:rPr>
        <w:t xml:space="preserve">DÉCIMA NOVENA </w:t>
      </w:r>
      <w:r w:rsidRPr="00E42755">
        <w:rPr>
          <w:rFonts w:ascii="Palatino Linotype" w:hAnsi="Palatino Linotype" w:cs="Arial"/>
          <w:b/>
        </w:rPr>
        <w:t xml:space="preserve">SESIÓN ORDINARIA DE </w:t>
      </w:r>
      <w:r>
        <w:rPr>
          <w:rFonts w:ascii="Palatino Linotype" w:hAnsi="Palatino Linotype" w:cs="Arial"/>
          <w:b/>
        </w:rPr>
        <w:t xml:space="preserve">VEINTIDOS DE MAYO DE </w:t>
      </w:r>
      <w:r w:rsidRPr="00E42755">
        <w:rPr>
          <w:rFonts w:ascii="Palatino Linotype" w:hAnsi="Palatino Linotype" w:cs="Arial"/>
          <w:b/>
        </w:rPr>
        <w:t>DOS MIL D</w:t>
      </w:r>
      <w:r>
        <w:rPr>
          <w:rFonts w:ascii="Palatino Linotype" w:hAnsi="Palatino Linotype" w:cs="Arial"/>
          <w:b/>
        </w:rPr>
        <w:t xml:space="preserve">IECINUEVE, EN EL </w:t>
      </w:r>
      <w:r w:rsidRPr="00E42755">
        <w:rPr>
          <w:rFonts w:ascii="Palatino Linotype" w:hAnsi="Palatino Linotype" w:cs="Arial"/>
          <w:b/>
        </w:rPr>
        <w:t xml:space="preserve">RECURSO DE REVISIÓN </w:t>
      </w:r>
      <w:r>
        <w:rPr>
          <w:rFonts w:ascii="Palatino Linotype" w:eastAsia="Calibri" w:hAnsi="Palatino Linotype" w:cs="Arial"/>
          <w:b/>
          <w:color w:val="000000"/>
        </w:rPr>
        <w:t>01425</w:t>
      </w:r>
      <w:r w:rsidRPr="00B948FE">
        <w:rPr>
          <w:rFonts w:ascii="Palatino Linotype" w:eastAsia="Calibri" w:hAnsi="Palatino Linotype" w:cs="Arial"/>
          <w:b/>
          <w:color w:val="000000"/>
        </w:rPr>
        <w:t>/INFOEM/IP/RR/201</w:t>
      </w:r>
      <w:r>
        <w:rPr>
          <w:rFonts w:ascii="Palatino Linotype" w:eastAsia="Calibri" w:hAnsi="Palatino Linotype" w:cs="Arial"/>
          <w:b/>
          <w:color w:val="000000"/>
        </w:rPr>
        <w:t>9.</w:t>
      </w:r>
    </w:p>
    <w:p w:rsidR="00FF349B" w:rsidRDefault="00FF349B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</w:t>
      </w:r>
      <w:r w:rsidRPr="00E42755">
        <w:rPr>
          <w:rFonts w:ascii="Palatino Linotype" w:hAnsi="Palatino Linotype" w:cs="Arial"/>
        </w:rPr>
        <w:t xml:space="preserve"> la</w:t>
      </w:r>
      <w:r>
        <w:rPr>
          <w:rFonts w:ascii="Palatino Linotype" w:hAnsi="Palatino Linotype" w:cs="Arial"/>
        </w:rPr>
        <w:t xml:space="preserve">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>EVA ABAID YAPUR</w:t>
      </w:r>
      <w:r>
        <w:rPr>
          <w:rFonts w:ascii="Palatino Linotype" w:hAnsi="Palatino Linotype" w:cs="Arial"/>
          <w:b/>
        </w:rPr>
        <w:t>,</w:t>
      </w:r>
      <w:r w:rsidRPr="00E42755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>emite</w:t>
      </w:r>
      <w:r w:rsidRPr="00E42755">
        <w:rPr>
          <w:rFonts w:ascii="Palatino Linotype" w:hAnsi="Palatino Linotype" w:cs="Aria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>respect</w:t>
      </w:r>
      <w:r>
        <w:rPr>
          <w:rFonts w:ascii="Palatino Linotype" w:hAnsi="Palatino Linotype" w:cs="Arial"/>
        </w:rPr>
        <w:t xml:space="preserve">o de la resolución dictada en el </w:t>
      </w:r>
      <w:r w:rsidRPr="00E42755">
        <w:rPr>
          <w:rFonts w:ascii="Palatino Linotype" w:hAnsi="Palatino Linotype" w:cs="Arial"/>
        </w:rPr>
        <w:t xml:space="preserve">recurso de revisión </w:t>
      </w:r>
      <w:r w:rsidRPr="00B948FE">
        <w:rPr>
          <w:rFonts w:ascii="Palatino Linotype" w:eastAsia="Calibri" w:hAnsi="Palatino Linotype" w:cs="Arial"/>
          <w:b/>
          <w:color w:val="000000"/>
        </w:rPr>
        <w:t>0</w:t>
      </w:r>
      <w:r>
        <w:rPr>
          <w:rFonts w:ascii="Palatino Linotype" w:eastAsia="Calibri" w:hAnsi="Palatino Linotype" w:cs="Arial"/>
          <w:b/>
          <w:color w:val="000000"/>
        </w:rPr>
        <w:t>1425</w:t>
      </w:r>
      <w:r w:rsidRPr="00B948FE">
        <w:rPr>
          <w:rFonts w:ascii="Palatino Linotype" w:eastAsia="Calibri" w:hAnsi="Palatino Linotype" w:cs="Arial"/>
          <w:b/>
          <w:color w:val="000000"/>
        </w:rPr>
        <w:t>/INFOEM/IP/RR/201</w:t>
      </w:r>
      <w:r w:rsidR="00A15B40">
        <w:rPr>
          <w:rFonts w:ascii="Palatino Linotype" w:eastAsia="Calibri" w:hAnsi="Palatino Linotype" w:cs="Arial"/>
          <w:b/>
          <w:color w:val="000000"/>
        </w:rPr>
        <w:t>9</w:t>
      </w:r>
      <w:r w:rsidRPr="00E42755">
        <w:rPr>
          <w:rFonts w:ascii="Palatino Linotype" w:hAnsi="Palatino Linotype" w:cs="Arial"/>
        </w:rPr>
        <w:t xml:space="preserve">, pronunciada por el Pleno de este Instituto ante el </w:t>
      </w:r>
      <w:r>
        <w:rPr>
          <w:rFonts w:ascii="Palatino Linotype" w:hAnsi="Palatino Linotype" w:cs="Arial"/>
        </w:rPr>
        <w:t>proyecto presentado por la Comisionada Presidenta</w:t>
      </w:r>
      <w:r w:rsidRPr="00E42755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 xml:space="preserve">ZULEMA MARTÍNEZ SÁNCHEZ, </w:t>
      </w:r>
      <w:r>
        <w:rPr>
          <w:rFonts w:ascii="Palatino Linotype" w:hAnsi="Palatino Linotype" w:cs="Arial"/>
        </w:rPr>
        <w:t>que es del tenor siguiente.</w:t>
      </w:r>
    </w:p>
    <w:p w:rsidR="00FF349B" w:rsidRDefault="00FF349B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E42755">
        <w:rPr>
          <w:rFonts w:ascii="Palatino Linotype" w:hAnsi="Palatino Linotype"/>
        </w:rPr>
        <w:t xml:space="preserve">Es de </w:t>
      </w:r>
      <w:r>
        <w:rPr>
          <w:rFonts w:ascii="Palatino Linotype" w:hAnsi="Palatino Linotype"/>
        </w:rPr>
        <w:t>destacar, que la suscrita comparte</w:t>
      </w:r>
      <w:r w:rsidRPr="00E42755">
        <w:rPr>
          <w:rFonts w:ascii="Palatino Linotype" w:hAnsi="Palatino Linotype"/>
        </w:rPr>
        <w:t xml:space="preserve"> las razones que </w:t>
      </w:r>
      <w:r>
        <w:rPr>
          <w:rFonts w:ascii="Palatino Linotype" w:hAnsi="Palatino Linotype"/>
        </w:rPr>
        <w:t xml:space="preserve">dieron origen al </w:t>
      </w:r>
      <w:r w:rsidRPr="00E42755">
        <w:rPr>
          <w:rFonts w:ascii="Palatino Linotype" w:hAnsi="Palatino Linotype"/>
        </w:rPr>
        <w:t xml:space="preserve">recurso de revisión en comento; </w:t>
      </w:r>
      <w:r>
        <w:rPr>
          <w:rFonts w:ascii="Palatino Linotype" w:hAnsi="Palatino Linotype"/>
        </w:rPr>
        <w:t>sin embargo, estimo</w:t>
      </w:r>
      <w:r w:rsidRPr="00E42755">
        <w:rPr>
          <w:rFonts w:ascii="Palatino Linotype" w:hAnsi="Palatino Linotype"/>
        </w:rPr>
        <w:t xml:space="preserve"> necesario precisar algunas consideraciones de hecho y de derecho, respecto del sentido de la resolución correspondiente.</w:t>
      </w:r>
    </w:p>
    <w:p w:rsidR="00FF349B" w:rsidRDefault="00FF349B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Tal</w:t>
      </w:r>
      <w:r w:rsidRPr="009F71D8">
        <w:rPr>
          <w:rFonts w:ascii="Palatino Linotype" w:hAnsi="Palatino Linotype"/>
        </w:rPr>
        <w:t xml:space="preserve"> y como quedó debidamente asentado en la resoluc</w:t>
      </w:r>
      <w:r>
        <w:rPr>
          <w:rFonts w:ascii="Palatino Linotype" w:hAnsi="Palatino Linotype"/>
        </w:rPr>
        <w:t>ión materia del presente voto, el</w:t>
      </w:r>
      <w:r w:rsidRPr="009F71D8">
        <w:rPr>
          <w:rFonts w:ascii="Palatino Linotype" w:hAnsi="Palatino Linotype"/>
        </w:rPr>
        <w:t xml:space="preserve"> particular requirió de</w:t>
      </w:r>
      <w:r>
        <w:rPr>
          <w:rFonts w:ascii="Palatino Linotype" w:hAnsi="Palatino Linotype"/>
        </w:rPr>
        <w:t xml:space="preserve"> la </w:t>
      </w:r>
      <w:r w:rsidRPr="0021627F">
        <w:rPr>
          <w:rFonts w:ascii="Palatino Linotype" w:hAnsi="Palatino Linotype" w:cs="Arial"/>
          <w:b/>
        </w:rPr>
        <w:t>Secretaría de Educación</w:t>
      </w:r>
      <w:r>
        <w:rPr>
          <w:rFonts w:ascii="Palatino Linotype" w:hAnsi="Palatino Linotype"/>
        </w:rPr>
        <w:t>, en lo sucesivo</w:t>
      </w:r>
      <w:r w:rsidRPr="009F71D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EL S</w:t>
      </w:r>
      <w:r w:rsidRPr="009F71D8">
        <w:rPr>
          <w:rFonts w:ascii="Palatino Linotype" w:hAnsi="Palatino Linotype"/>
          <w:b/>
        </w:rPr>
        <w:t>UJETO OBLIGADO,</w:t>
      </w:r>
      <w:r w:rsidRPr="009F71D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la información que a continuación se desagrega:</w:t>
      </w:r>
    </w:p>
    <w:p w:rsidR="00FF349B" w:rsidRDefault="00FF349B" w:rsidP="00FF349B">
      <w:pPr>
        <w:pStyle w:val="Prrafodelista"/>
        <w:numPr>
          <w:ilvl w:val="0"/>
          <w:numId w:val="3"/>
        </w:numPr>
        <w:tabs>
          <w:tab w:val="left" w:pos="709"/>
        </w:tabs>
        <w:spacing w:line="360" w:lineRule="auto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Monto presupuestal para la contratación del despacho externo que asesora la oficina del Secretario de Educación;</w:t>
      </w:r>
    </w:p>
    <w:p w:rsidR="00FF349B" w:rsidRDefault="00FF349B" w:rsidP="00FF349B">
      <w:pPr>
        <w:pStyle w:val="Prrafodelista"/>
        <w:numPr>
          <w:ilvl w:val="0"/>
          <w:numId w:val="3"/>
        </w:numPr>
        <w:tabs>
          <w:tab w:val="left" w:pos="709"/>
        </w:tabs>
        <w:spacing w:line="360" w:lineRule="auto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Contrato suscrito que contenga el monto destinado para pago de dicho asesor y/o consultor; y </w:t>
      </w:r>
    </w:p>
    <w:p w:rsidR="00FF349B" w:rsidRPr="0000780E" w:rsidRDefault="00FF349B" w:rsidP="00FF349B">
      <w:pPr>
        <w:pStyle w:val="Prrafodelista"/>
        <w:numPr>
          <w:ilvl w:val="0"/>
          <w:numId w:val="3"/>
        </w:numPr>
        <w:tabs>
          <w:tab w:val="left" w:pos="709"/>
        </w:tabs>
        <w:spacing w:line="360" w:lineRule="auto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Contratos suscritos en materia de adquisición de material de oficina, equipo de cómputo, telefonía celular de los años 2018 y 2019.</w:t>
      </w:r>
    </w:p>
    <w:p w:rsidR="00FF349B" w:rsidRPr="00FF349B" w:rsidRDefault="00FF349B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8162B0">
        <w:rPr>
          <w:rFonts w:ascii="Palatino Linotype" w:hAnsi="Palatino Linotype" w:cs="Arial"/>
        </w:rPr>
        <w:t>En</w:t>
      </w:r>
      <w:r>
        <w:rPr>
          <w:rFonts w:ascii="Palatino Linotype" w:hAnsi="Palatino Linotype" w:cs="Arial"/>
        </w:rPr>
        <w:t xml:space="preserve"> lo conducente de su</w:t>
      </w:r>
      <w:r w:rsidRPr="008162B0">
        <w:rPr>
          <w:rFonts w:ascii="Palatino Linotype" w:hAnsi="Palatino Linotype" w:cs="Arial"/>
        </w:rPr>
        <w:t xml:space="preserve"> </w:t>
      </w:r>
      <w:r w:rsidRPr="002C2F04">
        <w:rPr>
          <w:rFonts w:ascii="Palatino Linotype" w:hAnsi="Palatino Linotype"/>
        </w:rPr>
        <w:t>respuesta</w:t>
      </w:r>
      <w:r w:rsidRPr="008162B0">
        <w:rPr>
          <w:rFonts w:ascii="Palatino Linotype" w:hAnsi="Palatino Linotype" w:cs="Arial"/>
        </w:rPr>
        <w:t xml:space="preserve">, </w:t>
      </w:r>
      <w:r w:rsidRPr="008162B0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adjuntó </w:t>
      </w:r>
      <w:r>
        <w:rPr>
          <w:rFonts w:ascii="Palatino Linotype" w:hAnsi="Palatino Linotype"/>
        </w:rPr>
        <w:t xml:space="preserve">los archivos electrónicos que a su decir contenían la información solicitada, debiendo destacar entre ellos el </w:t>
      </w:r>
      <w:r w:rsidRPr="003F43A8">
        <w:rPr>
          <w:rFonts w:ascii="Palatino Linotype" w:hAnsi="Palatino Linotype" w:cs="Arial"/>
          <w:b/>
        </w:rPr>
        <w:t>Contrato-pedido SE-AEB-038-2018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>mismo que fue remitido en supuesta versión pública.</w:t>
      </w:r>
    </w:p>
    <w:p w:rsidR="00FF349B" w:rsidRDefault="00FF349B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Derivado de la respuesta otorgada, </w:t>
      </w:r>
      <w:r>
        <w:rPr>
          <w:rFonts w:ascii="Palatino Linotype" w:hAnsi="Palatino Linotype" w:cs="Arial"/>
          <w:b/>
        </w:rPr>
        <w:t xml:space="preserve">EL RECURRENTE </w:t>
      </w:r>
      <w:r>
        <w:rPr>
          <w:rFonts w:ascii="Palatino Linotype" w:hAnsi="Palatino Linotype" w:cs="Arial"/>
        </w:rPr>
        <w:t xml:space="preserve">interpuso el recurso de revisión de mérito, doliéndose medularmente de que </w:t>
      </w:r>
      <w:r>
        <w:rPr>
          <w:rFonts w:ascii="Palatino Linotype" w:hAnsi="Palatino Linotype" w:cs="Arial"/>
          <w:b/>
        </w:rPr>
        <w:t xml:space="preserve">EL SUJETO OBLIGADO </w:t>
      </w:r>
      <w:r>
        <w:rPr>
          <w:rFonts w:ascii="Palatino Linotype" w:hAnsi="Palatino Linotype" w:cs="Arial"/>
        </w:rPr>
        <w:t xml:space="preserve">no le proporcionó la información </w:t>
      </w:r>
      <w:r w:rsidR="00097062">
        <w:rPr>
          <w:rFonts w:ascii="Palatino Linotype" w:hAnsi="Palatino Linotype" w:cs="Arial"/>
        </w:rPr>
        <w:t>solicitada.</w:t>
      </w:r>
    </w:p>
    <w:p w:rsidR="00097062" w:rsidRPr="00097062" w:rsidRDefault="00097062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Bajo ese tenor, </w:t>
      </w:r>
      <w:r>
        <w:rPr>
          <w:rFonts w:ascii="Palatino Linotype" w:hAnsi="Palatino Linotype" w:cs="Arial"/>
          <w:b/>
        </w:rPr>
        <w:t xml:space="preserve">EL SUJETO OBLIGADO </w:t>
      </w:r>
      <w:r>
        <w:rPr>
          <w:rFonts w:ascii="Palatino Linotype" w:hAnsi="Palatino Linotype" w:cs="Arial"/>
        </w:rPr>
        <w:t>mediante Informe Justificado, esencialmente ratificó su respuesta y de manera posterior, hizo llegar mediante correo institucional el Acta de la Sexta Sesión Extraordinaria del Comité de Transparencia en la que se aprobó la versión pública del referido contrato.</w:t>
      </w:r>
    </w:p>
    <w:p w:rsidR="00097062" w:rsidRDefault="00FF349B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Así, del análisis al expediente que obre en el SAIMEX,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, determinó </w:t>
      </w:r>
      <w:r w:rsidR="00097062">
        <w:rPr>
          <w:rFonts w:ascii="Palatino Linotype" w:hAnsi="Palatino Linotype" w:cs="Arial"/>
          <w:b/>
        </w:rPr>
        <w:t xml:space="preserve">Sobreseer </w:t>
      </w:r>
      <w:r w:rsidR="00097062">
        <w:rPr>
          <w:rFonts w:ascii="Palatino Linotype" w:hAnsi="Palatino Linotype" w:cs="Arial"/>
        </w:rPr>
        <w:t>el recurso de revisión con fundamento en el artículo 192, fracción III de la Ley de Transparencia y Acceso a la Información Pública del Estado de México y Municipios.</w:t>
      </w:r>
    </w:p>
    <w:p w:rsidR="00097062" w:rsidRDefault="00FF349B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En ese sentido,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>
        <w:rPr>
          <w:rFonts w:ascii="Palatino Linotype" w:hAnsi="Palatino Linotype"/>
        </w:rPr>
        <w:t xml:space="preserve">, si bien coincide con las causas que dieron origen al recurso de revisión en comento, difiero </w:t>
      </w:r>
      <w:r w:rsidRPr="00D93A88">
        <w:rPr>
          <w:rFonts w:ascii="Palatino Linotype" w:hAnsi="Palatino Linotype"/>
        </w:rPr>
        <w:t>respecto a</w:t>
      </w:r>
      <w:r>
        <w:rPr>
          <w:rFonts w:ascii="Palatino Linotype" w:hAnsi="Palatino Linotype"/>
        </w:rPr>
        <w:t xml:space="preserve">l hecho de </w:t>
      </w:r>
      <w:r w:rsidRPr="00D93A88">
        <w:rPr>
          <w:rFonts w:ascii="Palatino Linotype" w:hAnsi="Palatino Linotype"/>
        </w:rPr>
        <w:t xml:space="preserve">que </w:t>
      </w:r>
      <w:r>
        <w:rPr>
          <w:rFonts w:ascii="Palatino Linotype" w:hAnsi="Palatino Linotype"/>
        </w:rPr>
        <w:t xml:space="preserve">lo procedente sea </w:t>
      </w:r>
      <w:r w:rsidR="00097062">
        <w:rPr>
          <w:rFonts w:ascii="Palatino Linotype" w:hAnsi="Palatino Linotype" w:cs="Arial"/>
          <w:b/>
        </w:rPr>
        <w:t xml:space="preserve">Sobreseer </w:t>
      </w:r>
      <w:r w:rsidR="00097062">
        <w:rPr>
          <w:rFonts w:ascii="Palatino Linotype" w:hAnsi="Palatino Linotype" w:cs="Arial"/>
        </w:rPr>
        <w:t xml:space="preserve">el recurso de revisión en comento. </w:t>
      </w:r>
    </w:p>
    <w:p w:rsidR="00FF349B" w:rsidRPr="00097062" w:rsidRDefault="00FF349B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 xml:space="preserve">o anterior es así, de acuerdo con lo siguiente: De conformidad con el artículo 186 de la </w:t>
      </w:r>
      <w:r w:rsidRPr="00B918F9">
        <w:rPr>
          <w:rFonts w:ascii="Palatino Linotype" w:hAnsi="Palatino Linotype" w:cs="Arial"/>
        </w:rPr>
        <w:t>Ley de Transparencia y Acceso a la Información Pública del Estado de México y Municipios</w:t>
      </w:r>
      <w:r>
        <w:rPr>
          <w:rFonts w:ascii="Palatino Linotype" w:hAnsi="Palatino Linotype" w:cs="Arial"/>
        </w:rPr>
        <w:t>,</w:t>
      </w:r>
      <w:r>
        <w:rPr>
          <w:rFonts w:ascii="Palatino Linotype" w:hAnsi="Palatino Linotype"/>
        </w:rPr>
        <w:t xml:space="preserve"> las Resoluciones emitidas por este Órgano Garante podrán:</w:t>
      </w:r>
    </w:p>
    <w:p w:rsidR="00FF349B" w:rsidRPr="00274EF7" w:rsidRDefault="00FF349B" w:rsidP="00FF349B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 xml:space="preserve">Desechar o </w:t>
      </w:r>
      <w:r w:rsidRPr="00097062">
        <w:rPr>
          <w:rFonts w:ascii="Palatino Linotype" w:hAnsi="Palatino Linotype"/>
          <w:b/>
        </w:rPr>
        <w:t>sobreseer el recurso;</w:t>
      </w:r>
      <w:r w:rsidRPr="00274EF7">
        <w:rPr>
          <w:rFonts w:ascii="Palatino Linotype" w:hAnsi="Palatino Linotype"/>
        </w:rPr>
        <w:t xml:space="preserve"> </w:t>
      </w:r>
    </w:p>
    <w:p w:rsidR="00FF349B" w:rsidRPr="00274EF7" w:rsidRDefault="00FF349B" w:rsidP="00FF349B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 xml:space="preserve">Confirmar la respuesta del sujeto obligado; </w:t>
      </w:r>
    </w:p>
    <w:p w:rsidR="00FF349B" w:rsidRPr="003911A8" w:rsidRDefault="00FF349B" w:rsidP="00FF349B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097062">
        <w:rPr>
          <w:rFonts w:ascii="Palatino Linotype" w:hAnsi="Palatino Linotype"/>
        </w:rPr>
        <w:t>Revocar o</w:t>
      </w:r>
      <w:r w:rsidRPr="003911A8">
        <w:rPr>
          <w:rFonts w:ascii="Palatino Linotype" w:hAnsi="Palatino Linotype"/>
          <w:b/>
        </w:rPr>
        <w:t xml:space="preserve"> modificar la respuesta del sujeto obligado</w:t>
      </w:r>
      <w:r w:rsidRPr="003911A8">
        <w:rPr>
          <w:rFonts w:ascii="Palatino Linotype" w:hAnsi="Palatino Linotype"/>
        </w:rPr>
        <w:t xml:space="preserve">; y </w:t>
      </w:r>
    </w:p>
    <w:p w:rsidR="00FF349B" w:rsidRDefault="00FF349B" w:rsidP="00FF349B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>Ordenar la entrega de la información.</w:t>
      </w:r>
    </w:p>
    <w:p w:rsidR="00FF349B" w:rsidRDefault="00FF349B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En el caso particular de la fracción I</w:t>
      </w:r>
      <w:r w:rsidR="00097062">
        <w:rPr>
          <w:rFonts w:ascii="Palatino Linotype" w:hAnsi="Palatino Linotype"/>
        </w:rPr>
        <w:t xml:space="preserve"> y III con </w:t>
      </w:r>
      <w:r>
        <w:rPr>
          <w:rFonts w:ascii="Palatino Linotype" w:hAnsi="Palatino Linotype"/>
        </w:rPr>
        <w:t xml:space="preserve">relación a dichos sentidos, se debe entender que se procede a </w:t>
      </w:r>
      <w:r w:rsidR="00097062">
        <w:rPr>
          <w:rFonts w:ascii="Palatino Linotype" w:hAnsi="Palatino Linotype"/>
          <w:b/>
        </w:rPr>
        <w:t>SOBRESEE</w:t>
      </w:r>
      <w:r w:rsidR="00097062">
        <w:rPr>
          <w:rFonts w:ascii="Palatino Linotype" w:hAnsi="Palatino Linotype"/>
        </w:rPr>
        <w:t xml:space="preserve"> el recurso de revisión cuando una vez admitido se actualice alguno de los supuestos previstos en el numeral 192 de la Ley de la materia</w:t>
      </w:r>
      <w:r>
        <w:rPr>
          <w:rFonts w:ascii="Palatino Linotype" w:hAnsi="Palatino Linotype"/>
        </w:rPr>
        <w:t xml:space="preserve">; mientras que, se </w:t>
      </w:r>
      <w:r w:rsidRPr="00630280">
        <w:rPr>
          <w:rFonts w:ascii="Palatino Linotype" w:hAnsi="Palatino Linotype"/>
          <w:b/>
        </w:rPr>
        <w:t>MODIFICA</w:t>
      </w:r>
      <w:r>
        <w:rPr>
          <w:rFonts w:ascii="Palatino Linotype" w:hAnsi="Palatino Linotype"/>
          <w:b/>
        </w:rPr>
        <w:t xml:space="preserve"> </w:t>
      </w:r>
      <w:r w:rsidR="00097062">
        <w:rPr>
          <w:rFonts w:ascii="Palatino Linotype" w:hAnsi="Palatino Linotype"/>
        </w:rPr>
        <w:t>la r</w:t>
      </w:r>
      <w:r>
        <w:rPr>
          <w:rFonts w:ascii="Palatino Linotype" w:hAnsi="Palatino Linotype"/>
        </w:rPr>
        <w:t xml:space="preserve">espuesta, en los casos en que se atienda de manera </w:t>
      </w:r>
      <w:r w:rsidRPr="003911A8">
        <w:rPr>
          <w:rFonts w:ascii="Palatino Linotype" w:hAnsi="Palatino Linotype"/>
          <w:b/>
        </w:rPr>
        <w:t>parcial</w:t>
      </w:r>
      <w:r w:rsidRPr="003911A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la solicitud de información pública, por mínima que pudiera resultar la aportación de los Sujetos Obligados para dar respuesta.</w:t>
      </w:r>
    </w:p>
    <w:p w:rsidR="00EC29AF" w:rsidRDefault="00FF349B" w:rsidP="00FF349B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Así, del estudio realizado por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, se precisa que </w:t>
      </w:r>
      <w:r w:rsidRPr="00630280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>,</w:t>
      </w:r>
      <w:r>
        <w:rPr>
          <w:rFonts w:ascii="Palatino Linotype" w:hAnsi="Palatino Linotype"/>
        </w:rPr>
        <w:t xml:space="preserve"> en respuesta adjuntó diversos archivos electrónicos que contienen parte d</w:t>
      </w:r>
      <w:r w:rsidR="00097062">
        <w:rPr>
          <w:rFonts w:ascii="Palatino Linotype" w:hAnsi="Palatino Linotype"/>
        </w:rPr>
        <w:t xml:space="preserve">e la información solicitada; sin embargo, a consideración tanto del particular como de la Ponencia </w:t>
      </w:r>
      <w:proofErr w:type="spellStart"/>
      <w:r w:rsidR="00097062">
        <w:rPr>
          <w:rFonts w:ascii="Palatino Linotype" w:hAnsi="Palatino Linotype"/>
        </w:rPr>
        <w:t>Resolutora</w:t>
      </w:r>
      <w:proofErr w:type="spellEnd"/>
      <w:r w:rsidR="00097062">
        <w:rPr>
          <w:rFonts w:ascii="Palatino Linotype" w:hAnsi="Palatino Linotype"/>
        </w:rPr>
        <w:t xml:space="preserve">, </w:t>
      </w:r>
      <w:r w:rsidR="00EC29AF">
        <w:rPr>
          <w:rFonts w:ascii="Palatino Linotype" w:hAnsi="Palatino Linotype"/>
        </w:rPr>
        <w:t>hizo falta la entrega del Acuerdo que sustentara la versión pública del contrato de adquisición de bi</w:t>
      </w:r>
      <w:r w:rsidR="00A15B40">
        <w:rPr>
          <w:rFonts w:ascii="Palatino Linotype" w:hAnsi="Palatino Linotype"/>
        </w:rPr>
        <w:t>e</w:t>
      </w:r>
      <w:r w:rsidR="00EC29AF">
        <w:rPr>
          <w:rFonts w:ascii="Palatino Linotype" w:hAnsi="Palatino Linotype"/>
        </w:rPr>
        <w:t xml:space="preserve">nes remitido; por lo que, al hacer entrega de dicho Acuerdo mediante alcance al Informe Justificado, la Ponencia </w:t>
      </w:r>
      <w:proofErr w:type="spellStart"/>
      <w:r w:rsidR="00EC29AF">
        <w:rPr>
          <w:rFonts w:ascii="Palatino Linotype" w:hAnsi="Palatino Linotype"/>
        </w:rPr>
        <w:t>Resolutora</w:t>
      </w:r>
      <w:proofErr w:type="spellEnd"/>
      <w:r w:rsidR="00EC29AF">
        <w:rPr>
          <w:rFonts w:ascii="Palatino Linotype" w:hAnsi="Palatino Linotype"/>
        </w:rPr>
        <w:t xml:space="preserve"> estimo </w:t>
      </w:r>
      <w:r w:rsidR="00EC29AF">
        <w:rPr>
          <w:rFonts w:ascii="Palatino Linotype" w:hAnsi="Palatino Linotype"/>
        </w:rPr>
        <w:lastRenderedPageBreak/>
        <w:t>que la causal de sobreseimiento que se actualizaba era la III del 192 de la Ley de la materia.</w:t>
      </w:r>
    </w:p>
    <w:p w:rsidR="00EC29AF" w:rsidRDefault="00EC29AF" w:rsidP="00FF349B">
      <w:pPr>
        <w:spacing w:line="360" w:lineRule="auto"/>
        <w:jc w:val="both"/>
        <w:rPr>
          <w:rFonts w:ascii="Palatino Linotype" w:hAnsi="Palatino Linotype"/>
        </w:rPr>
      </w:pPr>
    </w:p>
    <w:p w:rsidR="00EC29AF" w:rsidRDefault="00EC29AF" w:rsidP="00FF349B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Razón por la cual, considero pertinente señalar que del análisis a las constancias que obran en el expediente electrónico del SAIMEX, en el contrato de adquisición de bi</w:t>
      </w:r>
      <w:r w:rsidR="00A15B40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 xml:space="preserve">nes remitido por </w:t>
      </w:r>
      <w:r>
        <w:rPr>
          <w:rFonts w:ascii="Palatino Linotype" w:hAnsi="Palatino Linotype"/>
          <w:b/>
        </w:rPr>
        <w:t xml:space="preserve">EL SUJETO OBLIGADO </w:t>
      </w:r>
      <w:r>
        <w:rPr>
          <w:rFonts w:ascii="Palatino Linotype" w:hAnsi="Palatino Linotype"/>
        </w:rPr>
        <w:t>se testaron el nombre y la firma del proveedor; tal y como, se aprecia enseguida:</w:t>
      </w:r>
    </w:p>
    <w:p w:rsidR="00097062" w:rsidRPr="00EC29AF" w:rsidRDefault="00EC29AF" w:rsidP="00EC29AF">
      <w:pPr>
        <w:spacing w:line="360" w:lineRule="auto"/>
        <w:jc w:val="center"/>
        <w:rPr>
          <w:rFonts w:ascii="Palatino Linotype" w:hAnsi="Palatino Linotype"/>
        </w:rPr>
      </w:pPr>
      <w:r>
        <w:rPr>
          <w:noProof/>
          <w:lang w:eastAsia="es-MX"/>
        </w:rPr>
        <w:drawing>
          <wp:inline distT="0" distB="0" distL="0" distR="0" wp14:anchorId="566E27A4" wp14:editId="45AEB6B0">
            <wp:extent cx="5407117" cy="1962976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9530" t="32284" r="10840" b="22781"/>
                    <a:stretch/>
                  </pic:blipFill>
                  <pic:spPr bwMode="auto">
                    <a:xfrm>
                      <a:off x="0" y="0"/>
                      <a:ext cx="5441847" cy="1975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7147" w:rsidRPr="00C86CE3" w:rsidRDefault="00A27147" w:rsidP="00A27147">
      <w:pPr>
        <w:spacing w:before="240" w:after="240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ese tenor, conviene traer a contexto el </w:t>
      </w:r>
      <w:r w:rsidRPr="00C86CE3">
        <w:rPr>
          <w:rFonts w:ascii="Palatino Linotype" w:hAnsi="Palatino Linotype" w:cs="Arial"/>
        </w:rPr>
        <w:t xml:space="preserve">artículo 92 de la de la Ley de Transparencia y Acceso a la Información Pública del Estado de México y Municipios, en su fracción XXIX, </w:t>
      </w:r>
      <w:r>
        <w:rPr>
          <w:rFonts w:ascii="Palatino Linotype" w:hAnsi="Palatino Linotype" w:cs="Arial"/>
        </w:rPr>
        <w:t xml:space="preserve">inciso b) que </w:t>
      </w:r>
      <w:r w:rsidRPr="00C86CE3">
        <w:rPr>
          <w:rFonts w:ascii="Palatino Linotype" w:hAnsi="Palatino Linotype" w:cs="Arial"/>
        </w:rPr>
        <w:t>dispone lo siguiente:</w:t>
      </w:r>
    </w:p>
    <w:p w:rsidR="00A27147" w:rsidRPr="00C86CE3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Arial" w:hAnsi="Arial" w:cs="Arial"/>
          <w:sz w:val="22"/>
          <w:szCs w:val="22"/>
          <w:lang w:eastAsia="es-MX"/>
        </w:rPr>
      </w:pPr>
      <w:r w:rsidRPr="00C86CE3">
        <w:rPr>
          <w:rFonts w:ascii="Palatino Linotype" w:hAnsi="Palatino Linotype" w:cs="Arial"/>
          <w:b/>
          <w:bCs/>
          <w:i/>
          <w:iCs/>
          <w:sz w:val="22"/>
          <w:szCs w:val="22"/>
          <w:lang w:eastAsia="es-MX"/>
        </w:rPr>
        <w:t>“Artículo 92. </w:t>
      </w:r>
      <w:r w:rsidRPr="00C86CE3">
        <w:rPr>
          <w:rFonts w:ascii="Palatino Linotype" w:hAnsi="Palatino Linotype" w:cs="Arial"/>
          <w:i/>
          <w:iCs/>
          <w:sz w:val="22"/>
          <w:szCs w:val="22"/>
          <w:lang w:eastAsia="es-MX"/>
        </w:rPr>
        <w:t>Los sujetos obligados deberán poner a disposición del público de manera permanente y actualizada de forma sencilla, precisa y entendible, en los respectivos medios electrónicos, de acuerdo con sus facultades, atribuciones, funciones u objeto social, según corresponda, la información, por lo menos, de los temas, documentos y políticas que a continuación se señalan:</w:t>
      </w:r>
    </w:p>
    <w:p w:rsidR="00A27147" w:rsidRPr="00C86CE3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Arial" w:hAnsi="Arial" w:cs="Arial"/>
          <w:sz w:val="22"/>
          <w:szCs w:val="22"/>
          <w:lang w:eastAsia="es-MX"/>
        </w:rPr>
      </w:pPr>
      <w:r w:rsidRPr="00C86CE3">
        <w:rPr>
          <w:rFonts w:ascii="Palatino Linotype" w:hAnsi="Palatino Linotype" w:cs="Arial"/>
          <w:i/>
          <w:iCs/>
          <w:sz w:val="22"/>
          <w:szCs w:val="22"/>
          <w:lang w:eastAsia="es-MX"/>
        </w:rPr>
        <w:t>(…)</w:t>
      </w:r>
    </w:p>
    <w:p w:rsidR="00A27147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Palatino Linotype" w:hAnsi="Palatino Linotype" w:cs="Arial"/>
          <w:i/>
          <w:iCs/>
          <w:sz w:val="22"/>
          <w:szCs w:val="22"/>
          <w:lang w:eastAsia="es-MX"/>
        </w:rPr>
      </w:pPr>
      <w:r w:rsidRPr="00C86CE3">
        <w:rPr>
          <w:rFonts w:ascii="Palatino Linotype" w:hAnsi="Palatino Linotype" w:cs="Arial"/>
          <w:b/>
          <w:bCs/>
          <w:i/>
          <w:iCs/>
          <w:sz w:val="22"/>
          <w:szCs w:val="22"/>
          <w:lang w:eastAsia="es-MX"/>
        </w:rPr>
        <w:t>XXIX. </w:t>
      </w:r>
      <w:r w:rsidRPr="00A27147">
        <w:rPr>
          <w:rFonts w:ascii="Palatino Linotype" w:hAnsi="Palatino Linotype" w:cs="Arial"/>
          <w:b/>
          <w:i/>
          <w:iCs/>
          <w:sz w:val="22"/>
          <w:szCs w:val="22"/>
          <w:lang w:eastAsia="es-MX"/>
        </w:rPr>
        <w:t>La información sobre los procesos y resultados sobre procedimientos de adjudicación directa</w:t>
      </w:r>
      <w:r w:rsidRPr="00C86CE3">
        <w:rPr>
          <w:rFonts w:ascii="Palatino Linotype" w:hAnsi="Palatino Linotype" w:cs="Arial"/>
          <w:i/>
          <w:iCs/>
          <w:sz w:val="22"/>
          <w:szCs w:val="22"/>
          <w:lang w:eastAsia="es-MX"/>
        </w:rPr>
        <w:t xml:space="preserve">, invitación restringida y licitación de cualquier </w:t>
      </w:r>
      <w:r w:rsidRPr="00C86CE3">
        <w:rPr>
          <w:rFonts w:ascii="Palatino Linotype" w:hAnsi="Palatino Linotype" w:cs="Arial"/>
          <w:i/>
          <w:iCs/>
          <w:sz w:val="22"/>
          <w:szCs w:val="22"/>
          <w:lang w:eastAsia="es-MX"/>
        </w:rPr>
        <w:lastRenderedPageBreak/>
        <w:t>naturaleza, </w:t>
      </w:r>
      <w:r w:rsidRPr="00C86CE3">
        <w:rPr>
          <w:rFonts w:ascii="Palatino Linotype" w:hAnsi="Palatino Linotype" w:cs="Arial"/>
          <w:b/>
          <w:bCs/>
          <w:i/>
          <w:iCs/>
          <w:sz w:val="22"/>
          <w:szCs w:val="22"/>
          <w:lang w:eastAsia="es-MX"/>
        </w:rPr>
        <w:t>incluyendo la versión pública del expediente respectivo y de los contratos</w:t>
      </w:r>
      <w:r w:rsidRPr="00C86CE3">
        <w:rPr>
          <w:rFonts w:ascii="Palatino Linotype" w:hAnsi="Palatino Linotype" w:cs="Arial"/>
          <w:i/>
          <w:iCs/>
          <w:sz w:val="22"/>
          <w:szCs w:val="22"/>
          <w:lang w:eastAsia="es-MX"/>
        </w:rPr>
        <w:t> celebrados, que deberán contener, por los menos, lo siguiente:</w:t>
      </w:r>
    </w:p>
    <w:p w:rsidR="00A27147" w:rsidRPr="00C86CE3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Arial" w:hAnsi="Arial" w:cs="Arial"/>
          <w:sz w:val="22"/>
          <w:szCs w:val="22"/>
          <w:lang w:eastAsia="es-MX"/>
        </w:rPr>
      </w:pPr>
      <w:r>
        <w:rPr>
          <w:rFonts w:ascii="Palatino Linotype" w:hAnsi="Palatino Linotype" w:cs="Arial"/>
          <w:i/>
          <w:iCs/>
          <w:sz w:val="22"/>
          <w:szCs w:val="22"/>
          <w:lang w:eastAsia="es-MX"/>
        </w:rPr>
        <w:t>…</w:t>
      </w:r>
    </w:p>
    <w:p w:rsidR="00A27147" w:rsidRPr="00C86CE3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C86CE3">
        <w:rPr>
          <w:rFonts w:ascii="Palatino Linotype" w:hAnsi="Palatino Linotype" w:cs="Arial"/>
          <w:b/>
          <w:bCs/>
          <w:i/>
          <w:iCs/>
          <w:sz w:val="22"/>
          <w:szCs w:val="22"/>
          <w:lang w:eastAsia="es-MX"/>
        </w:rPr>
        <w:t>b) </w:t>
      </w:r>
      <w:r w:rsidRPr="00C86CE3">
        <w:rPr>
          <w:rFonts w:ascii="Palatino Linotype" w:hAnsi="Palatino Linotype" w:cs="Arial"/>
          <w:b/>
          <w:i/>
          <w:iCs/>
          <w:sz w:val="22"/>
          <w:szCs w:val="22"/>
          <w:lang w:eastAsia="es-MX"/>
        </w:rPr>
        <w:t>De las adjudicaciones directas:</w:t>
      </w:r>
    </w:p>
    <w:p w:rsidR="00A27147" w:rsidRPr="00C86CE3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Arial" w:hAnsi="Arial" w:cs="Arial"/>
          <w:sz w:val="22"/>
          <w:szCs w:val="22"/>
          <w:lang w:eastAsia="es-MX"/>
        </w:rPr>
      </w:pPr>
      <w:r w:rsidRPr="00C86CE3">
        <w:rPr>
          <w:rFonts w:ascii="Palatino Linotype" w:hAnsi="Palatino Linotype" w:cs="Arial"/>
          <w:b/>
          <w:bCs/>
          <w:i/>
          <w:iCs/>
          <w:sz w:val="22"/>
          <w:szCs w:val="22"/>
          <w:lang w:eastAsia="es-MX"/>
        </w:rPr>
        <w:t>1) </w:t>
      </w:r>
      <w:r w:rsidRPr="00C86CE3">
        <w:rPr>
          <w:rFonts w:ascii="Palatino Linotype" w:hAnsi="Palatino Linotype" w:cs="Arial"/>
          <w:i/>
          <w:iCs/>
          <w:sz w:val="22"/>
          <w:szCs w:val="22"/>
          <w:lang w:eastAsia="es-MX"/>
        </w:rPr>
        <w:t>La propuesta enviada por el participante;</w:t>
      </w:r>
    </w:p>
    <w:p w:rsidR="00A27147" w:rsidRPr="00C86CE3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Arial" w:hAnsi="Arial" w:cs="Arial"/>
          <w:sz w:val="22"/>
          <w:szCs w:val="22"/>
          <w:lang w:eastAsia="es-MX"/>
        </w:rPr>
      </w:pPr>
      <w:r w:rsidRPr="00C86CE3">
        <w:rPr>
          <w:rFonts w:ascii="Palatino Linotype" w:hAnsi="Palatino Linotype" w:cs="Arial"/>
          <w:b/>
          <w:bCs/>
          <w:i/>
          <w:iCs/>
          <w:sz w:val="22"/>
          <w:szCs w:val="22"/>
          <w:lang w:eastAsia="es-MX"/>
        </w:rPr>
        <w:t>2) </w:t>
      </w:r>
      <w:r w:rsidRPr="00C86CE3">
        <w:rPr>
          <w:rFonts w:ascii="Palatino Linotype" w:hAnsi="Palatino Linotype" w:cs="Arial"/>
          <w:i/>
          <w:iCs/>
          <w:sz w:val="22"/>
          <w:szCs w:val="22"/>
          <w:lang w:eastAsia="es-MX"/>
        </w:rPr>
        <w:t>Los motivos y fundamentos legales aplicados para llevarla a cabo;</w:t>
      </w:r>
    </w:p>
    <w:p w:rsidR="00A27147" w:rsidRPr="00C86CE3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Arial" w:hAnsi="Arial" w:cs="Arial"/>
          <w:sz w:val="22"/>
          <w:szCs w:val="22"/>
          <w:lang w:eastAsia="es-MX"/>
        </w:rPr>
      </w:pPr>
      <w:r w:rsidRPr="00C86CE3">
        <w:rPr>
          <w:rFonts w:ascii="Palatino Linotype" w:hAnsi="Palatino Linotype" w:cs="Arial"/>
          <w:b/>
          <w:bCs/>
          <w:i/>
          <w:iCs/>
          <w:sz w:val="22"/>
          <w:szCs w:val="22"/>
          <w:lang w:eastAsia="es-MX"/>
        </w:rPr>
        <w:t>3) </w:t>
      </w:r>
      <w:r w:rsidRPr="00C86CE3">
        <w:rPr>
          <w:rFonts w:ascii="Palatino Linotype" w:hAnsi="Palatino Linotype" w:cs="Arial"/>
          <w:i/>
          <w:iCs/>
          <w:sz w:val="22"/>
          <w:szCs w:val="22"/>
          <w:lang w:eastAsia="es-MX"/>
        </w:rPr>
        <w:t>La autorización del ejercicio de la opción;</w:t>
      </w:r>
    </w:p>
    <w:p w:rsidR="00A27147" w:rsidRPr="00A27147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C86CE3">
        <w:rPr>
          <w:rFonts w:ascii="Palatino Linotype" w:hAnsi="Palatino Linotype" w:cs="Arial"/>
          <w:b/>
          <w:bCs/>
          <w:i/>
          <w:iCs/>
          <w:sz w:val="22"/>
          <w:szCs w:val="22"/>
          <w:lang w:eastAsia="es-MX"/>
        </w:rPr>
        <w:t>4) </w:t>
      </w:r>
      <w:r w:rsidRPr="00A27147">
        <w:rPr>
          <w:rFonts w:ascii="Palatino Linotype" w:hAnsi="Palatino Linotype" w:cs="Arial"/>
          <w:i/>
          <w:iCs/>
          <w:sz w:val="22"/>
          <w:szCs w:val="22"/>
          <w:lang w:eastAsia="es-MX"/>
        </w:rPr>
        <w:t>En su caso, las cotizaciones consideradas, especificando</w:t>
      </w:r>
      <w:r w:rsidRPr="00A27147">
        <w:rPr>
          <w:rFonts w:ascii="Palatino Linotype" w:hAnsi="Palatino Linotype" w:cs="Arial"/>
          <w:b/>
          <w:i/>
          <w:iCs/>
          <w:sz w:val="22"/>
          <w:szCs w:val="22"/>
          <w:lang w:eastAsia="es-MX"/>
        </w:rPr>
        <w:t xml:space="preserve"> los nombres de los proveedores y sus montos;</w:t>
      </w:r>
    </w:p>
    <w:p w:rsidR="00A27147" w:rsidRPr="00C86CE3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Arial" w:hAnsi="Arial" w:cs="Arial"/>
          <w:sz w:val="22"/>
          <w:szCs w:val="22"/>
          <w:lang w:eastAsia="es-MX"/>
        </w:rPr>
      </w:pPr>
      <w:r w:rsidRPr="00C86CE3">
        <w:rPr>
          <w:rFonts w:ascii="Palatino Linotype" w:hAnsi="Palatino Linotype" w:cs="Arial"/>
          <w:b/>
          <w:bCs/>
          <w:i/>
          <w:iCs/>
          <w:sz w:val="22"/>
          <w:szCs w:val="22"/>
          <w:lang w:eastAsia="es-MX"/>
        </w:rPr>
        <w:t>5) </w:t>
      </w:r>
      <w:r w:rsidRPr="00C86CE3">
        <w:rPr>
          <w:rFonts w:ascii="Palatino Linotype" w:hAnsi="Palatino Linotype" w:cs="Arial"/>
          <w:i/>
          <w:iCs/>
          <w:sz w:val="22"/>
          <w:szCs w:val="22"/>
          <w:lang w:eastAsia="es-MX"/>
        </w:rPr>
        <w:t>El nombre de la persona física o jurídica colectiva adjudicada;</w:t>
      </w:r>
    </w:p>
    <w:p w:rsidR="00A27147" w:rsidRPr="00C86CE3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Arial" w:hAnsi="Arial" w:cs="Arial"/>
          <w:sz w:val="22"/>
          <w:szCs w:val="22"/>
          <w:lang w:eastAsia="es-MX"/>
        </w:rPr>
      </w:pPr>
      <w:r w:rsidRPr="00C86CE3">
        <w:rPr>
          <w:rFonts w:ascii="Palatino Linotype" w:hAnsi="Palatino Linotype" w:cs="Arial"/>
          <w:b/>
          <w:bCs/>
          <w:i/>
          <w:iCs/>
          <w:sz w:val="22"/>
          <w:szCs w:val="22"/>
          <w:lang w:eastAsia="es-MX"/>
        </w:rPr>
        <w:t>6) </w:t>
      </w:r>
      <w:r w:rsidRPr="00C86CE3">
        <w:rPr>
          <w:rFonts w:ascii="Palatino Linotype" w:hAnsi="Palatino Linotype" w:cs="Arial"/>
          <w:i/>
          <w:iCs/>
          <w:sz w:val="22"/>
          <w:szCs w:val="22"/>
          <w:lang w:eastAsia="es-MX"/>
        </w:rPr>
        <w:t>La unidad administrativa solicitante y la responsable de su ejecución;</w:t>
      </w:r>
    </w:p>
    <w:p w:rsidR="00A27147" w:rsidRPr="00C86CE3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Arial" w:hAnsi="Arial" w:cs="Arial"/>
          <w:sz w:val="22"/>
          <w:szCs w:val="22"/>
          <w:lang w:eastAsia="es-MX"/>
        </w:rPr>
      </w:pPr>
      <w:r w:rsidRPr="00C86CE3">
        <w:rPr>
          <w:rFonts w:ascii="Palatino Linotype" w:hAnsi="Palatino Linotype" w:cs="Arial"/>
          <w:b/>
          <w:bCs/>
          <w:i/>
          <w:iCs/>
          <w:sz w:val="22"/>
          <w:szCs w:val="22"/>
          <w:lang w:eastAsia="es-MX"/>
        </w:rPr>
        <w:t>7)</w:t>
      </w:r>
      <w:r w:rsidRPr="00C86CE3">
        <w:rPr>
          <w:rFonts w:ascii="Palatino Linotype" w:hAnsi="Palatino Linotype" w:cs="Arial"/>
          <w:bCs/>
          <w:i/>
          <w:iCs/>
          <w:sz w:val="22"/>
          <w:szCs w:val="22"/>
          <w:lang w:eastAsia="es-MX"/>
        </w:rPr>
        <w:t> El número, fecha, el monto del contrato y el plazo de entrega o de ejecución de los servicios u obra;</w:t>
      </w:r>
    </w:p>
    <w:p w:rsidR="00A27147" w:rsidRPr="00C86CE3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Arial" w:hAnsi="Arial" w:cs="Arial"/>
          <w:sz w:val="22"/>
          <w:szCs w:val="22"/>
          <w:lang w:eastAsia="es-MX"/>
        </w:rPr>
      </w:pPr>
      <w:r w:rsidRPr="00C86CE3">
        <w:rPr>
          <w:rFonts w:ascii="Palatino Linotype" w:hAnsi="Palatino Linotype" w:cs="Arial"/>
          <w:b/>
          <w:bCs/>
          <w:i/>
          <w:iCs/>
          <w:sz w:val="22"/>
          <w:szCs w:val="22"/>
          <w:lang w:eastAsia="es-MX"/>
        </w:rPr>
        <w:t>8) </w:t>
      </w:r>
      <w:r w:rsidRPr="00C86CE3">
        <w:rPr>
          <w:rFonts w:ascii="Palatino Linotype" w:hAnsi="Palatino Linotype" w:cs="Arial"/>
          <w:i/>
          <w:iCs/>
          <w:sz w:val="22"/>
          <w:szCs w:val="22"/>
          <w:lang w:eastAsia="es-MX"/>
        </w:rPr>
        <w:t>Los mecanismos de vigilancia y supervisión, incluyendo, en su caso, los estudios de impacto urbano y ambiental, según corresponda;</w:t>
      </w:r>
    </w:p>
    <w:p w:rsidR="00A27147" w:rsidRPr="00C86CE3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Arial" w:hAnsi="Arial" w:cs="Arial"/>
          <w:sz w:val="22"/>
          <w:szCs w:val="22"/>
          <w:lang w:eastAsia="es-MX"/>
        </w:rPr>
      </w:pPr>
      <w:r w:rsidRPr="00C86CE3">
        <w:rPr>
          <w:rFonts w:ascii="Palatino Linotype" w:hAnsi="Palatino Linotype" w:cs="Arial"/>
          <w:b/>
          <w:bCs/>
          <w:i/>
          <w:iCs/>
          <w:sz w:val="22"/>
          <w:szCs w:val="22"/>
          <w:lang w:eastAsia="es-MX"/>
        </w:rPr>
        <w:t>9) </w:t>
      </w:r>
      <w:r w:rsidRPr="00C86CE3">
        <w:rPr>
          <w:rFonts w:ascii="Palatino Linotype" w:hAnsi="Palatino Linotype" w:cs="Arial"/>
          <w:i/>
          <w:iCs/>
          <w:sz w:val="22"/>
          <w:szCs w:val="22"/>
          <w:lang w:eastAsia="es-MX"/>
        </w:rPr>
        <w:t>Los informes de avance sobre las obras o servicios contratados;</w:t>
      </w:r>
    </w:p>
    <w:p w:rsidR="00A27147" w:rsidRPr="00C86CE3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Arial" w:hAnsi="Arial" w:cs="Arial"/>
          <w:sz w:val="22"/>
          <w:szCs w:val="22"/>
          <w:lang w:eastAsia="es-MX"/>
        </w:rPr>
      </w:pPr>
      <w:r w:rsidRPr="00C86CE3">
        <w:rPr>
          <w:rFonts w:ascii="Palatino Linotype" w:hAnsi="Palatino Linotype" w:cs="Arial"/>
          <w:b/>
          <w:bCs/>
          <w:i/>
          <w:iCs/>
          <w:sz w:val="22"/>
          <w:szCs w:val="22"/>
          <w:lang w:eastAsia="es-MX"/>
        </w:rPr>
        <w:t>10) </w:t>
      </w:r>
      <w:r w:rsidRPr="00C86CE3">
        <w:rPr>
          <w:rFonts w:ascii="Palatino Linotype" w:hAnsi="Palatino Linotype" w:cs="Arial"/>
          <w:i/>
          <w:iCs/>
          <w:sz w:val="22"/>
          <w:szCs w:val="22"/>
          <w:lang w:eastAsia="es-MX"/>
        </w:rPr>
        <w:t>El convenio de terminación; y</w:t>
      </w:r>
    </w:p>
    <w:p w:rsidR="00A27147" w:rsidRPr="00C86CE3" w:rsidRDefault="00A27147" w:rsidP="00A27147">
      <w:pPr>
        <w:shd w:val="clear" w:color="auto" w:fill="FFFFFF"/>
        <w:spacing w:before="240" w:after="240"/>
        <w:ind w:left="851" w:right="850"/>
        <w:jc w:val="both"/>
        <w:rPr>
          <w:rFonts w:ascii="Arial" w:hAnsi="Arial" w:cs="Arial"/>
          <w:sz w:val="22"/>
          <w:szCs w:val="22"/>
          <w:lang w:eastAsia="es-MX"/>
        </w:rPr>
      </w:pPr>
      <w:r w:rsidRPr="00C86CE3">
        <w:rPr>
          <w:rFonts w:ascii="Palatino Linotype" w:hAnsi="Palatino Linotype" w:cs="Arial"/>
          <w:b/>
          <w:bCs/>
          <w:i/>
          <w:iCs/>
          <w:sz w:val="22"/>
          <w:szCs w:val="22"/>
          <w:lang w:eastAsia="es-MX"/>
        </w:rPr>
        <w:t>11) </w:t>
      </w:r>
      <w:r w:rsidRPr="00C86CE3">
        <w:rPr>
          <w:rFonts w:ascii="Palatino Linotype" w:hAnsi="Palatino Linotype" w:cs="Arial"/>
          <w:i/>
          <w:iCs/>
          <w:sz w:val="22"/>
          <w:szCs w:val="22"/>
          <w:lang w:eastAsia="es-MX"/>
        </w:rPr>
        <w:t>El finiquito.</w:t>
      </w:r>
      <w:r w:rsidRPr="00C86CE3">
        <w:rPr>
          <w:rFonts w:ascii="Palatino Linotype" w:hAnsi="Palatino Linotype" w:cs="Arial"/>
          <w:b/>
          <w:i/>
          <w:iCs/>
          <w:sz w:val="22"/>
          <w:szCs w:val="22"/>
          <w:lang w:eastAsia="es-MX"/>
        </w:rPr>
        <w:t>”</w:t>
      </w:r>
    </w:p>
    <w:p w:rsidR="00EC29AF" w:rsidRPr="00EC29AF" w:rsidRDefault="00EC29AF" w:rsidP="00FF349B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Así, es evidente que el contrato en comento debió ser entregado en la correcta versión pública y en consecuencia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analizar el documento a detalle a fin de garantizar tanto el derecho de acceso a la información como el de </w:t>
      </w:r>
      <w:r w:rsidR="00A15B40">
        <w:rPr>
          <w:rFonts w:ascii="Palatino Linotype" w:hAnsi="Palatino Linotype"/>
        </w:rPr>
        <w:t>la protección</w:t>
      </w:r>
      <w:r>
        <w:rPr>
          <w:rFonts w:ascii="Palatino Linotype" w:hAnsi="Palatino Linotype"/>
        </w:rPr>
        <w:t xml:space="preserve"> de datos personales; debiendo entonces modificar la respuesta del </w:t>
      </w:r>
      <w:r>
        <w:rPr>
          <w:rFonts w:ascii="Palatino Linotype" w:hAnsi="Palatino Linotype"/>
          <w:b/>
        </w:rPr>
        <w:t xml:space="preserve">SUEJTO OBLIGADO </w:t>
      </w:r>
      <w:r>
        <w:rPr>
          <w:rFonts w:ascii="Palatino Linotype" w:hAnsi="Palatino Linotype"/>
        </w:rPr>
        <w:t>y ordenar la correcta versión pública de dicho contrato de adquisición de bi</w:t>
      </w:r>
      <w:r w:rsidR="00A15B40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 xml:space="preserve">nes </w:t>
      </w:r>
      <w:r>
        <w:rPr>
          <w:rFonts w:ascii="Palatino Linotype" w:hAnsi="Palatino Linotype"/>
        </w:rPr>
        <w:lastRenderedPageBreak/>
        <w:t xml:space="preserve">acompañado del Acuerdo de Clasificación </w:t>
      </w:r>
      <w:r w:rsidR="00F7567B">
        <w:rPr>
          <w:rFonts w:ascii="Palatino Linotype" w:hAnsi="Palatino Linotype"/>
        </w:rPr>
        <w:t xml:space="preserve">debidamente fundado y motivado </w:t>
      </w:r>
      <w:r>
        <w:rPr>
          <w:rFonts w:ascii="Palatino Linotype" w:hAnsi="Palatino Linotype"/>
        </w:rPr>
        <w:t>que sustente la misma.</w:t>
      </w:r>
    </w:p>
    <w:p w:rsidR="00FF349B" w:rsidRDefault="00FF349B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ese contexto, la que suscribe emite </w:t>
      </w:r>
      <w:r w:rsidRPr="00C94710">
        <w:rPr>
          <w:rFonts w:ascii="Palatino Linotype" w:hAnsi="Palatino Linotype"/>
          <w:b/>
        </w:rPr>
        <w:t>VOTO PARTICULAR</w:t>
      </w:r>
      <w:r>
        <w:rPr>
          <w:rFonts w:ascii="Palatino Linotype" w:hAnsi="Palatino Linotype"/>
        </w:rPr>
        <w:t xml:space="preserve"> ya que de lo hasta aquí expuesto se </w:t>
      </w:r>
      <w:r w:rsidR="00F7567B">
        <w:rPr>
          <w:rFonts w:ascii="Palatino Linotype" w:hAnsi="Palatino Linotype"/>
        </w:rPr>
        <w:t xml:space="preserve">advierte que lo procedente era que la Ponencia </w:t>
      </w:r>
      <w:proofErr w:type="spellStart"/>
      <w:r w:rsidR="00F7567B">
        <w:rPr>
          <w:rFonts w:ascii="Palatino Linotype" w:hAnsi="Palatino Linotype"/>
        </w:rPr>
        <w:t>Resolutora</w:t>
      </w:r>
      <w:proofErr w:type="spellEnd"/>
      <w:r w:rsidR="00F7567B">
        <w:rPr>
          <w:rFonts w:ascii="Palatino Linotype" w:hAnsi="Palatino Linotype"/>
        </w:rPr>
        <w:t xml:space="preserve"> modificara la respuesta del </w:t>
      </w:r>
      <w:r w:rsidR="00F7567B">
        <w:rPr>
          <w:rFonts w:ascii="Palatino Linotype" w:hAnsi="Palatino Linotype"/>
          <w:b/>
        </w:rPr>
        <w:t xml:space="preserve">SUJETO OBLIGADO </w:t>
      </w:r>
      <w:r w:rsidR="00F7567B">
        <w:rPr>
          <w:rFonts w:ascii="Palatino Linotype" w:hAnsi="Palatino Linotype"/>
        </w:rPr>
        <w:t>y determinara ordenar la entrega del contrato de adquisición de bienes en versión pública; así como, del Acuerdo de clasificación de la información que la sustentara; a fin de garantizar el principio de máxima publicidad que prevé la Ley de la materia.</w:t>
      </w:r>
    </w:p>
    <w:p w:rsidR="00FF349B" w:rsidRDefault="00FF349B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</w:p>
    <w:p w:rsidR="00FF349B" w:rsidRDefault="00FF349B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</w:p>
    <w:p w:rsidR="00FF349B" w:rsidRDefault="00FF349B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</w:p>
    <w:p w:rsidR="004276A5" w:rsidRDefault="004276A5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</w:p>
    <w:p w:rsidR="004276A5" w:rsidRPr="00EC300A" w:rsidRDefault="004276A5" w:rsidP="00FF349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FF349B" w:rsidRPr="001B6F4B" w:rsidTr="002876B3">
        <w:trPr>
          <w:trHeight w:val="913"/>
          <w:jc w:val="center"/>
        </w:trPr>
        <w:tc>
          <w:tcPr>
            <w:tcW w:w="2896" w:type="dxa"/>
            <w:vAlign w:val="center"/>
          </w:tcPr>
          <w:p w:rsidR="00FF349B" w:rsidRPr="0087279D" w:rsidRDefault="00FF349B" w:rsidP="002876B3">
            <w:pPr>
              <w:jc w:val="center"/>
              <w:rPr>
                <w:rFonts w:ascii="Palatino Linotype" w:hAnsi="Palatino Linotype" w:cs="Arial"/>
                <w:b/>
              </w:rPr>
            </w:pPr>
            <w:r w:rsidRPr="0087279D">
              <w:rPr>
                <w:rFonts w:ascii="Palatino Linotype" w:hAnsi="Palatino Linotype" w:cs="Arial"/>
                <w:b/>
              </w:rPr>
              <w:t>EVA ABAID YAPUR</w:t>
            </w:r>
          </w:p>
          <w:p w:rsidR="00FF349B" w:rsidRDefault="00FF349B" w:rsidP="004276A5">
            <w:pPr>
              <w:jc w:val="center"/>
              <w:rPr>
                <w:rFonts w:ascii="Palatino Linotype" w:hAnsi="Palatino Linotype" w:cs="Arial"/>
                <w:b/>
              </w:rPr>
            </w:pPr>
            <w:r w:rsidRPr="0087279D">
              <w:rPr>
                <w:rFonts w:ascii="Palatino Linotype" w:hAnsi="Palatino Linotype" w:cs="Arial"/>
                <w:b/>
              </w:rPr>
              <w:t>COMISIONADA</w:t>
            </w:r>
          </w:p>
          <w:p w:rsidR="009F74FF" w:rsidRPr="0087279D" w:rsidRDefault="009F74FF" w:rsidP="004276A5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FF349B" w:rsidRDefault="00FF349B" w:rsidP="00FF349B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1"/>
          <w:szCs w:val="21"/>
        </w:rPr>
      </w:pPr>
    </w:p>
    <w:p w:rsidR="00FF349B" w:rsidRDefault="00FF349B" w:rsidP="004276A5">
      <w:pPr>
        <w:pStyle w:val="Encabezado"/>
        <w:tabs>
          <w:tab w:val="clear" w:pos="4252"/>
          <w:tab w:val="clear" w:pos="8504"/>
          <w:tab w:val="left" w:pos="2326"/>
        </w:tabs>
        <w:ind w:left="34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4276A5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al voto particular emitido en la resolución del recurso de revisión </w:t>
      </w:r>
      <w:r w:rsidR="00F7567B" w:rsidRPr="004276A5">
        <w:rPr>
          <w:rFonts w:ascii="Palatino Linotype" w:hAnsi="Palatino Linotype" w:cs="Arial"/>
          <w:sz w:val="20"/>
          <w:szCs w:val="20"/>
        </w:rPr>
        <w:t>01425</w:t>
      </w:r>
      <w:r w:rsidRPr="004276A5">
        <w:rPr>
          <w:rFonts w:ascii="Palatino Linotype" w:hAnsi="Palatino Linotype" w:cs="Arial"/>
          <w:sz w:val="20"/>
          <w:szCs w:val="20"/>
        </w:rPr>
        <w:t>/INFOEM/IP/RR/201</w:t>
      </w:r>
      <w:r w:rsidR="00F7567B" w:rsidRPr="004276A5">
        <w:rPr>
          <w:rFonts w:ascii="Palatino Linotype" w:hAnsi="Palatino Linotype" w:cs="Arial"/>
          <w:sz w:val="20"/>
          <w:szCs w:val="20"/>
        </w:rPr>
        <w:t>9</w:t>
      </w:r>
      <w:r w:rsidRPr="004276A5">
        <w:rPr>
          <w:rFonts w:ascii="Palatino Linotype" w:hAnsi="Palatino Linotype" w:cs="Arial"/>
          <w:sz w:val="20"/>
          <w:szCs w:val="20"/>
        </w:rPr>
        <w:t xml:space="preserve">, </w:t>
      </w:r>
      <w:r w:rsidRPr="004276A5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aprobado el </w:t>
      </w:r>
      <w:r w:rsidR="00F7567B" w:rsidRPr="004276A5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veintidós de mayo </w:t>
      </w:r>
      <w:r w:rsidR="004276A5">
        <w:rPr>
          <w:rFonts w:ascii="Palatino Linotype" w:eastAsia="Calibri" w:hAnsi="Palatino Linotype" w:cs="Arial"/>
          <w:color w:val="000000" w:themeColor="text1"/>
          <w:sz w:val="20"/>
          <w:szCs w:val="20"/>
        </w:rPr>
        <w:t>d</w:t>
      </w:r>
      <w:r w:rsidRPr="004276A5">
        <w:rPr>
          <w:rFonts w:ascii="Palatino Linotype" w:eastAsia="Calibri" w:hAnsi="Palatino Linotype" w:cs="Arial"/>
          <w:color w:val="000000" w:themeColor="text1"/>
          <w:sz w:val="20"/>
          <w:szCs w:val="20"/>
        </w:rPr>
        <w:t>e dos mil dieci</w:t>
      </w:r>
      <w:r w:rsidR="00F7567B" w:rsidRPr="004276A5">
        <w:rPr>
          <w:rFonts w:ascii="Palatino Linotype" w:eastAsia="Calibri" w:hAnsi="Palatino Linotype" w:cs="Arial"/>
          <w:color w:val="000000" w:themeColor="text1"/>
          <w:sz w:val="20"/>
          <w:szCs w:val="20"/>
        </w:rPr>
        <w:t>nueve</w:t>
      </w:r>
      <w:r w:rsidRPr="004276A5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</w:p>
    <w:p w:rsidR="004276A5" w:rsidRPr="004276A5" w:rsidRDefault="004276A5" w:rsidP="004276A5">
      <w:pPr>
        <w:pStyle w:val="Encabezado"/>
        <w:tabs>
          <w:tab w:val="clear" w:pos="4252"/>
          <w:tab w:val="clear" w:pos="8504"/>
          <w:tab w:val="left" w:pos="2326"/>
        </w:tabs>
        <w:ind w:left="34"/>
        <w:jc w:val="both"/>
        <w:rPr>
          <w:rFonts w:ascii="Palatino Linotype" w:hAnsi="Palatino Linotype" w:cs="Arial"/>
          <w:sz w:val="8"/>
          <w:szCs w:val="8"/>
        </w:rPr>
      </w:pPr>
    </w:p>
    <w:p w:rsidR="00C23B43" w:rsidRPr="004276A5" w:rsidRDefault="00F7567B" w:rsidP="004276A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4276A5">
        <w:rPr>
          <w:rFonts w:ascii="Palatino Linotype" w:eastAsia="Calibri" w:hAnsi="Palatino Linotype" w:cs="Arial"/>
          <w:color w:val="000000" w:themeColor="text1"/>
          <w:sz w:val="20"/>
          <w:szCs w:val="20"/>
        </w:rPr>
        <w:t>ATU</w:t>
      </w:r>
      <w:r w:rsidR="00FF349B" w:rsidRPr="004276A5">
        <w:rPr>
          <w:rFonts w:ascii="Palatino Linotype" w:eastAsia="Calibri" w:hAnsi="Palatino Linotype" w:cs="Arial"/>
          <w:color w:val="000000" w:themeColor="text1"/>
          <w:sz w:val="20"/>
          <w:szCs w:val="20"/>
        </w:rPr>
        <w:t>/AMV</w:t>
      </w:r>
    </w:p>
    <w:sectPr w:rsidR="00C23B43" w:rsidRPr="004276A5" w:rsidSect="009334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F66" w:rsidRDefault="00947F66" w:rsidP="00FF349B">
      <w:r>
        <w:separator/>
      </w:r>
    </w:p>
  </w:endnote>
  <w:endnote w:type="continuationSeparator" w:id="0">
    <w:p w:rsidR="00947F66" w:rsidRDefault="00947F66" w:rsidP="00FF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9F74FF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9F74FF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9F74FF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9F74FF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2C41D5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9F74FF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9F74FF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9F74FF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F66" w:rsidRDefault="00947F66" w:rsidP="00FF349B">
      <w:r>
        <w:separator/>
      </w:r>
    </w:p>
  </w:footnote>
  <w:footnote w:type="continuationSeparator" w:id="0">
    <w:p w:rsidR="00947F66" w:rsidRDefault="00947F66" w:rsidP="00FF3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9F74F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48B" w:rsidRDefault="002C41D5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AE943B6" wp14:editId="71D78B1C">
          <wp:simplePos x="0" y="0"/>
          <wp:positionH relativeFrom="column">
            <wp:posOffset>-714655</wp:posOffset>
          </wp:positionH>
          <wp:positionV relativeFrom="paragraph">
            <wp:posOffset>-440830</wp:posOffset>
          </wp:positionV>
          <wp:extent cx="7706515" cy="10036810"/>
          <wp:effectExtent l="0" t="0" r="8890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6515" cy="100368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09A" w:rsidRDefault="009F74FF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tbl>
    <w:tblPr>
      <w:tblW w:w="5103" w:type="dxa"/>
      <w:tblInd w:w="4253" w:type="dxa"/>
      <w:tblLayout w:type="fixed"/>
      <w:tblLook w:val="04A0" w:firstRow="1" w:lastRow="0" w:firstColumn="1" w:lastColumn="0" w:noHBand="0" w:noVBand="1"/>
    </w:tblPr>
    <w:tblGrid>
      <w:gridCol w:w="5103"/>
    </w:tblGrid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2C41D5" w:rsidP="0093348B">
          <w:pPr>
            <w:pStyle w:val="Encabezado"/>
            <w:tabs>
              <w:tab w:val="clear" w:pos="4252"/>
              <w:tab w:val="clear" w:pos="8504"/>
              <w:tab w:val="left" w:pos="2326"/>
            </w:tabs>
            <w:ind w:right="34"/>
            <w:jc w:val="center"/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                                                   VOTO PARTICULAR</w:t>
          </w:r>
        </w:p>
      </w:tc>
    </w:tr>
  </w:tbl>
  <w:p w:rsidR="00823EC7" w:rsidRDefault="002C41D5" w:rsidP="0093348B">
    <w:pPr>
      <w:pStyle w:val="Encabezado"/>
      <w:tabs>
        <w:tab w:val="clear" w:pos="4252"/>
        <w:tab w:val="clear" w:pos="8504"/>
        <w:tab w:val="left" w:pos="2326"/>
      </w:tabs>
      <w:ind w:left="34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 xml:space="preserve">RECURSO DE REVISIÓN </w:t>
    </w:r>
    <w:r w:rsidR="00FF349B">
      <w:rPr>
        <w:rFonts w:ascii="Palatino Linotype" w:hAnsi="Palatino Linotype" w:cs="Arial"/>
        <w:sz w:val="20"/>
        <w:szCs w:val="20"/>
      </w:rPr>
      <w:t>01425</w:t>
    </w:r>
    <w:r>
      <w:rPr>
        <w:rFonts w:ascii="Palatino Linotype" w:hAnsi="Palatino Linotype" w:cs="Arial"/>
        <w:sz w:val="20"/>
        <w:szCs w:val="20"/>
      </w:rPr>
      <w:t>/INFOEM/IP/RR/201</w:t>
    </w:r>
    <w:r w:rsidR="00FF349B">
      <w:rPr>
        <w:rFonts w:ascii="Palatino Linotype" w:hAnsi="Palatino Linotype" w:cs="Arial"/>
        <w:sz w:val="20"/>
        <w:szCs w:val="20"/>
      </w:rPr>
      <w:t>9</w:t>
    </w:r>
  </w:p>
  <w:p w:rsidR="00066B13" w:rsidRDefault="009F74FF" w:rsidP="00823EC7">
    <w:pPr>
      <w:pStyle w:val="Encabezado"/>
      <w:tabs>
        <w:tab w:val="clear" w:pos="4252"/>
        <w:tab w:val="clear" w:pos="8504"/>
        <w:tab w:val="left" w:pos="2326"/>
      </w:tabs>
      <w:ind w:left="34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0;margin-top:0;width:673.3pt;height:97.2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9F74F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73666"/>
    <w:multiLevelType w:val="hybridMultilevel"/>
    <w:tmpl w:val="07A81E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021FF"/>
    <w:multiLevelType w:val="hybridMultilevel"/>
    <w:tmpl w:val="E27437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322F7"/>
    <w:multiLevelType w:val="hybridMultilevel"/>
    <w:tmpl w:val="5E9CFD4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9B"/>
    <w:rsid w:val="00097062"/>
    <w:rsid w:val="001F1A4D"/>
    <w:rsid w:val="002C41D5"/>
    <w:rsid w:val="004276A5"/>
    <w:rsid w:val="00947F66"/>
    <w:rsid w:val="009F74FF"/>
    <w:rsid w:val="00A15B40"/>
    <w:rsid w:val="00A27147"/>
    <w:rsid w:val="00C23B43"/>
    <w:rsid w:val="00C9714C"/>
    <w:rsid w:val="00EC29AF"/>
    <w:rsid w:val="00F7567B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C10942F-9087-438F-B528-DE818835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349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F349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F349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349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FF349B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FF349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F349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6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67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1166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2019-05-27T18:57:00Z</cp:lastPrinted>
  <dcterms:created xsi:type="dcterms:W3CDTF">2019-05-24T17:26:00Z</dcterms:created>
  <dcterms:modified xsi:type="dcterms:W3CDTF">2019-07-08T16:27:00Z</dcterms:modified>
</cp:coreProperties>
</file>