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DB6E30">
        <w:rPr>
          <w:rFonts w:ascii="Palatino Linotype" w:hAnsi="Palatino Linotype"/>
          <w:sz w:val="24"/>
          <w:szCs w:val="24"/>
          <w:lang w:eastAsia="es-MX"/>
        </w:rPr>
        <w:t>dieciocho de junio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02C53">
        <w:rPr>
          <w:rFonts w:ascii="Palatino Linotype" w:hAnsi="Palatino Linotype"/>
          <w:b/>
          <w:bCs/>
          <w:sz w:val="24"/>
          <w:szCs w:val="24"/>
          <w:lang w:eastAsia="es-MX"/>
        </w:rPr>
        <w:t>02440</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AD5120">
        <w:rPr>
          <w:rFonts w:ascii="Palatino Linotype" w:hAnsi="Palatino Linotype"/>
          <w:b/>
          <w:sz w:val="24"/>
          <w:szCs w:val="24"/>
        </w:rPr>
        <w:t>XXXXXX XXXXXX XXXXXX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902C53" w:rsidRPr="00902C53">
        <w:rPr>
          <w:rFonts w:ascii="Palatino Linotype" w:hAnsi="Palatino Linotype" w:cs="Arial"/>
          <w:b/>
          <w:sz w:val="24"/>
          <w:szCs w:val="24"/>
        </w:rPr>
        <w:t>Ayuntamiento de Polotitlán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724FE">
        <w:rPr>
          <w:rFonts w:ascii="Palatino Linotype" w:hAnsi="Palatino Linotype"/>
          <w:sz w:val="24"/>
          <w:szCs w:val="24"/>
        </w:rPr>
        <w:t>veintisiete</w:t>
      </w:r>
      <w:r w:rsidR="005F0909">
        <w:rPr>
          <w:rFonts w:ascii="Palatino Linotype" w:hAnsi="Palatino Linotype"/>
          <w:sz w:val="24"/>
          <w:szCs w:val="24"/>
        </w:rPr>
        <w:t xml:space="preserve"> </w:t>
      </w:r>
      <w:r w:rsidR="009976F4">
        <w:rPr>
          <w:rFonts w:ascii="Palatino Linotype" w:hAnsi="Palatino Linotype"/>
          <w:sz w:val="24"/>
          <w:szCs w:val="24"/>
        </w:rPr>
        <w:t xml:space="preserve">de </w:t>
      </w:r>
      <w:r w:rsidR="00F724FE">
        <w:rPr>
          <w:rFonts w:ascii="Palatino Linotype" w:hAnsi="Palatino Linotype"/>
          <w:sz w:val="24"/>
          <w:szCs w:val="24"/>
        </w:rPr>
        <w:t>febrero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F724FE" w:rsidRPr="00F724FE">
        <w:rPr>
          <w:rFonts w:ascii="Palatino Linotype" w:hAnsi="Palatino Linotype"/>
          <w:b/>
          <w:sz w:val="24"/>
          <w:szCs w:val="24"/>
        </w:rPr>
        <w:t>00024/POLOTI/IP/2019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0232F8" w:rsidRDefault="007E2E80" w:rsidP="0014447C">
      <w:pPr>
        <w:pStyle w:val="Sinespaciado"/>
        <w:ind w:left="567" w:right="567"/>
        <w:jc w:val="both"/>
        <w:rPr>
          <w:rFonts w:ascii="Palatino Linotype" w:eastAsia="Times New Roman" w:hAnsi="Palatino Linotype" w:cs="Times New Roman"/>
          <w:i/>
          <w:sz w:val="28"/>
          <w:szCs w:val="24"/>
          <w:lang w:val="es-ES_tradnl" w:eastAsia="es-ES"/>
        </w:rPr>
      </w:pPr>
      <w:r w:rsidRPr="000232F8">
        <w:rPr>
          <w:rFonts w:ascii="Palatino Linotype" w:eastAsia="Times New Roman" w:hAnsi="Palatino Linotype" w:cs="Times New Roman"/>
          <w:i/>
          <w:sz w:val="28"/>
          <w:szCs w:val="24"/>
          <w:lang w:val="es-ES_tradnl" w:eastAsia="es-ES"/>
        </w:rPr>
        <w:t>“</w:t>
      </w:r>
      <w:r w:rsidR="00F724FE" w:rsidRPr="00F724FE">
        <w:rPr>
          <w:rFonts w:ascii="Palatino Linotype" w:eastAsia="Times New Roman" w:hAnsi="Palatino Linotype" w:cs="Times New Roman"/>
          <w:i/>
          <w:sz w:val="20"/>
          <w:lang w:eastAsia="es-ES"/>
        </w:rPr>
        <w:t xml:space="preserve">PIDO LAS COPIAS DE LAS FACTURAS DE LA COMPRA DE LOS 4 VEHICULOS ANUNCIADOS POR EL PRESIDENTE MUNICIPAL DE LA ADMINISTRACIÓN 2019-2021 ASÍ MISMO LA COPIA DE LA PÓLIZA DEL CHEQUE CON EL CUAL FUERON COMPRADOS. SOLICITAMOS COPIA DEL EXPEDIENTE TECNICO DE LAS OBRAS DENOMINADAS "PAVIMENTACION CON CONCRETO HIDRAULICO CALLE CUITLAHUAC"," PAVIMENTACION CON CONCRETO HIDRAULICO EN CALLE MINA" PRIMERA Y SEGUNDA ETAPA, EN CUMPLIMIENTO A LOS TERMINOS DEL CODIGO ADMINISTRATIVO DEL ESTADO DE MEXICO Y EL REGLAMENTO DEL LIBRO DECIMO SEGUNDO, TITULO TERCERO, TITULO CUARTO, TITULO QUINTO Y </w:t>
      </w:r>
      <w:r w:rsidR="00F724FE" w:rsidRPr="00F724FE">
        <w:rPr>
          <w:rFonts w:ascii="Palatino Linotype" w:eastAsia="Times New Roman" w:hAnsi="Palatino Linotype" w:cs="Times New Roman"/>
          <w:i/>
          <w:sz w:val="20"/>
          <w:lang w:eastAsia="es-ES"/>
        </w:rPr>
        <w:lastRenderedPageBreak/>
        <w:t>TITULO SEXTO Y TODOS SUS ARTICULOS DESDE EL ARTICULO 4 HASTA EL 259 Y TODOS SUS NUMERALES. EL ESTADO DE RESULTADOS Y EL BALANCE GENERAL DE LA CUENTA PUBLICA MUNICIPAL EN EL PERIODO DEL 1 DE ENERO DE 2019 AL 27 DE FEBRERO DEL 219 INCLUYENDO LOS GASTOS GENERADOS DE CADA UNO DE LOS TITULARES DE LAS AREAS ADMINISTRATIVAS</w:t>
      </w:r>
      <w:r w:rsidR="005F0909" w:rsidRPr="005F0909">
        <w:rPr>
          <w:rFonts w:ascii="Palatino Linotype" w:eastAsia="Times New Roman" w:hAnsi="Palatino Linotype" w:cs="Times New Roman"/>
          <w:i/>
          <w:sz w:val="24"/>
          <w:lang w:eastAsia="es-ES"/>
        </w:rPr>
        <w:t>.</w:t>
      </w:r>
      <w:r w:rsidRPr="000232F8">
        <w:rPr>
          <w:rFonts w:ascii="Palatino Linotype" w:eastAsia="Times New Roman" w:hAnsi="Palatino Linotype" w:cs="Times New Roman"/>
          <w:i/>
          <w:sz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E532A1">
        <w:rPr>
          <w:rFonts w:ascii="Palatino Linotype" w:hAnsi="Palatino Linotype"/>
          <w:sz w:val="24"/>
        </w:rPr>
        <w:t>veintiuno de marzo</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695F63" w:rsidRDefault="00F724FE" w:rsidP="00695F63">
      <w:pPr>
        <w:pStyle w:val="Sinespaciado"/>
        <w:spacing w:line="360" w:lineRule="auto"/>
        <w:jc w:val="right"/>
        <w:rPr>
          <w:rFonts w:ascii="Verdana" w:hAnsi="Verdana"/>
          <w:sz w:val="18"/>
          <w:szCs w:val="18"/>
        </w:rPr>
      </w:pPr>
      <w:r>
        <w:rPr>
          <w:rFonts w:ascii="Verdana" w:hAnsi="Verdana"/>
          <w:sz w:val="18"/>
          <w:szCs w:val="18"/>
        </w:rPr>
        <w:t>Polotitlán, México a 21 de Marzo de 2019</w:t>
      </w:r>
    </w:p>
    <w:p w:rsidR="00695F63" w:rsidRDefault="00F724FE" w:rsidP="00695F63">
      <w:pPr>
        <w:pStyle w:val="Sinespaciado"/>
        <w:spacing w:line="360" w:lineRule="auto"/>
        <w:jc w:val="right"/>
        <w:rPr>
          <w:rFonts w:ascii="Verdana" w:hAnsi="Verdana"/>
          <w:sz w:val="18"/>
          <w:szCs w:val="18"/>
        </w:rPr>
      </w:pPr>
      <w:r>
        <w:rPr>
          <w:rFonts w:ascii="Verdana" w:hAnsi="Verdana"/>
          <w:sz w:val="18"/>
          <w:szCs w:val="18"/>
        </w:rPr>
        <w:t>Nombre del s</w:t>
      </w:r>
      <w:r w:rsidR="00AD5120">
        <w:rPr>
          <w:rFonts w:ascii="Verdana" w:hAnsi="Verdana"/>
          <w:sz w:val="18"/>
          <w:szCs w:val="18"/>
        </w:rPr>
        <w:t xml:space="preserve">olicitante: </w:t>
      </w:r>
      <w:bookmarkStart w:id="0" w:name="_GoBack"/>
      <w:r w:rsidR="00AD5120">
        <w:rPr>
          <w:rFonts w:ascii="Verdana" w:hAnsi="Verdana"/>
          <w:sz w:val="18"/>
          <w:szCs w:val="18"/>
        </w:rPr>
        <w:t>XXXXXX</w:t>
      </w:r>
      <w:bookmarkEnd w:id="0"/>
      <w:r w:rsidR="00AD5120">
        <w:rPr>
          <w:rFonts w:ascii="Verdana" w:hAnsi="Verdana"/>
          <w:sz w:val="18"/>
          <w:szCs w:val="18"/>
        </w:rPr>
        <w:t xml:space="preserve"> XXXXXX XXXXXX</w:t>
      </w:r>
    </w:p>
    <w:p w:rsidR="00695F63" w:rsidRDefault="00F724FE" w:rsidP="00695F63">
      <w:pPr>
        <w:pStyle w:val="Sinespaciado"/>
        <w:spacing w:line="360" w:lineRule="auto"/>
        <w:jc w:val="right"/>
        <w:rPr>
          <w:rFonts w:ascii="Verdana" w:hAnsi="Verdana"/>
          <w:sz w:val="18"/>
          <w:szCs w:val="18"/>
        </w:rPr>
      </w:pPr>
      <w:r>
        <w:rPr>
          <w:rFonts w:ascii="Verdana" w:hAnsi="Verdana"/>
          <w:sz w:val="18"/>
          <w:szCs w:val="18"/>
        </w:rPr>
        <w:t>Folio de la solicitud: 00024/POLOTI/IP/2019</w:t>
      </w:r>
    </w:p>
    <w:p w:rsidR="00695F63" w:rsidRDefault="00695F63"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95F63" w:rsidRDefault="00695F63"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BUEN DÍA POR MEDIO DE PRESENTE LE ENVIÓ LA INFORMACIÓN REQUERIDA, INFORMÁNDOLE QUE EN DICHO DOCUMENTO SE ENCUENTRA TODA LA INFORMACIÓN QUE USTED SOLICITA. SIN MÁS POR EL MOMENTO QUEDO DE USTED.</w:t>
      </w:r>
    </w:p>
    <w:p w:rsidR="00695F63" w:rsidRDefault="00695F63"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ATENTAMENTE</w:t>
      </w:r>
    </w:p>
    <w:p w:rsidR="00695F63" w:rsidRDefault="00695F63" w:rsidP="0014447C">
      <w:pPr>
        <w:pStyle w:val="Sinespaciado"/>
        <w:spacing w:line="360" w:lineRule="auto"/>
        <w:jc w:val="both"/>
        <w:rPr>
          <w:rFonts w:ascii="Verdana" w:hAnsi="Verdana"/>
          <w:sz w:val="18"/>
          <w:szCs w:val="18"/>
        </w:rPr>
      </w:pPr>
    </w:p>
    <w:p w:rsidR="008C0E72" w:rsidRDefault="00F724FE" w:rsidP="0014447C">
      <w:pPr>
        <w:pStyle w:val="Sinespaciado"/>
        <w:spacing w:line="360" w:lineRule="auto"/>
        <w:jc w:val="both"/>
        <w:rPr>
          <w:rFonts w:ascii="Palatino Linotype" w:hAnsi="Palatino Linotype"/>
          <w:sz w:val="24"/>
        </w:rPr>
      </w:pPr>
      <w:r>
        <w:rPr>
          <w:rFonts w:ascii="Verdana" w:hAnsi="Verdana"/>
          <w:sz w:val="18"/>
          <w:szCs w:val="18"/>
        </w:rPr>
        <w:t>ING. SAMANTA VARGAS SANCHEZ</w:t>
      </w: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rsidTr="00837C42">
        <w:trPr>
          <w:trHeight w:val="150"/>
          <w:tblCellSpacing w:w="0" w:type="dxa"/>
          <w:jc w:val="center"/>
        </w:trPr>
        <w:tc>
          <w:tcPr>
            <w:tcW w:w="9933" w:type="dxa"/>
            <w:vAlign w:val="center"/>
            <w:hideMark/>
          </w:tcPr>
          <w:p w:rsidR="00F724FE" w:rsidRDefault="00F724FE"/>
          <w:p w:rsidR="00F724FE" w:rsidRDefault="00F724FE"/>
          <w:p w:rsidR="00837C42" w:rsidRPr="00837C42" w:rsidRDefault="00837C42" w:rsidP="00837C42">
            <w:pPr>
              <w:pStyle w:val="Sinespaciado"/>
              <w:spacing w:line="360" w:lineRule="auto"/>
              <w:jc w:val="both"/>
              <w:rPr>
                <w:rFonts w:ascii="Palatino Linotype" w:hAnsi="Palatino Linotype"/>
                <w:sz w:val="24"/>
              </w:rPr>
            </w:pPr>
          </w:p>
        </w:tc>
      </w:tr>
    </w:tbl>
    <w:p w:rsidR="005F0909" w:rsidRDefault="005F0909" w:rsidP="0068260A">
      <w:pPr>
        <w:pStyle w:val="Sinespaciado"/>
        <w:spacing w:line="360" w:lineRule="auto"/>
        <w:jc w:val="both"/>
        <w:rPr>
          <w:rFonts w:ascii="Palatino Linotype" w:hAnsi="Palatino Linotype"/>
          <w:sz w:val="24"/>
          <w:szCs w:val="24"/>
        </w:rPr>
      </w:pPr>
    </w:p>
    <w:p w:rsidR="007E2E80" w:rsidRPr="0062140D" w:rsidRDefault="00837C42" w:rsidP="0068260A">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 su respuesta anexó </w:t>
      </w:r>
      <w:r w:rsidR="005F0909">
        <w:rPr>
          <w:rFonts w:ascii="Palatino Linotype" w:hAnsi="Palatino Linotype"/>
          <w:sz w:val="24"/>
          <w:szCs w:val="24"/>
        </w:rPr>
        <w:t>un archivo electrónico</w:t>
      </w:r>
      <w:r>
        <w:rPr>
          <w:rFonts w:ascii="Palatino Linotype" w:hAnsi="Palatino Linotype"/>
          <w:sz w:val="24"/>
          <w:szCs w:val="24"/>
        </w:rPr>
        <w:t xml:space="preserve"> en formato </w:t>
      </w:r>
      <w:r w:rsidRPr="00837C42">
        <w:rPr>
          <w:rFonts w:ascii="Palatino Linotype" w:hAnsi="Palatino Linotype"/>
          <w:i/>
          <w:sz w:val="24"/>
          <w:szCs w:val="24"/>
        </w:rPr>
        <w:t>pdf</w:t>
      </w:r>
      <w:r w:rsidR="0075676A">
        <w:rPr>
          <w:rFonts w:ascii="Palatino Linotype" w:hAnsi="Palatino Linotype"/>
          <w:sz w:val="24"/>
          <w:szCs w:val="24"/>
        </w:rPr>
        <w:t xml:space="preserve"> denominado </w:t>
      </w:r>
      <w:r>
        <w:rPr>
          <w:rFonts w:ascii="Palatino Linotype" w:hAnsi="Palatino Linotype"/>
          <w:sz w:val="24"/>
          <w:szCs w:val="24"/>
        </w:rPr>
        <w:t>“</w:t>
      </w:r>
      <w:r w:rsidR="00927B06" w:rsidRPr="00927B06">
        <w:rPr>
          <w:rFonts w:ascii="Palatino Linotype" w:hAnsi="Palatino Linotype"/>
          <w:sz w:val="24"/>
          <w:szCs w:val="24"/>
        </w:rPr>
        <w:t>BRN3C2AF45B565E_009427.pdf</w:t>
      </w:r>
      <w:r>
        <w:rPr>
          <w:rFonts w:ascii="Palatino Linotype" w:hAnsi="Palatino Linotype"/>
          <w:sz w:val="24"/>
          <w:szCs w:val="24"/>
        </w:rPr>
        <w:t>”</w:t>
      </w:r>
      <w:r w:rsidR="0068260A" w:rsidRPr="0062140D">
        <w:rPr>
          <w:rFonts w:ascii="Palatino Linotype" w:hAnsi="Palatino Linotype"/>
          <w:b/>
          <w:sz w:val="24"/>
          <w:szCs w:val="24"/>
        </w:rPr>
        <w:t xml:space="preserve"> </w:t>
      </w:r>
      <w:r w:rsidRPr="00837C42">
        <w:rPr>
          <w:rFonts w:ascii="Palatino Linotype" w:hAnsi="Palatino Linotype"/>
          <w:sz w:val="24"/>
          <w:szCs w:val="24"/>
        </w:rPr>
        <w:t>e</w:t>
      </w:r>
      <w:r>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27B06">
        <w:rPr>
          <w:rFonts w:ascii="Palatino Linotype" w:hAnsi="Palatino Linotype"/>
          <w:sz w:val="24"/>
          <w:szCs w:val="24"/>
        </w:rPr>
        <w:t>ocho de abril</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6D0DD5">
        <w:rPr>
          <w:rFonts w:ascii="Palatino Linotype" w:hAnsi="Palatino Linotype"/>
          <w:b/>
          <w:bCs/>
          <w:sz w:val="24"/>
          <w:szCs w:val="24"/>
          <w:lang w:eastAsia="es-MX"/>
        </w:rPr>
        <w:t>0244</w:t>
      </w:r>
      <w:r w:rsidR="00927B06">
        <w:rPr>
          <w:rFonts w:ascii="Palatino Linotype" w:hAnsi="Palatino Linotype"/>
          <w:b/>
          <w:bCs/>
          <w:sz w:val="24"/>
          <w:szCs w:val="24"/>
          <w:lang w:eastAsia="es-MX"/>
        </w:rPr>
        <w:t>0</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927B06" w:rsidRPr="00927B06">
        <w:rPr>
          <w:rFonts w:ascii="Palatino Linotype" w:hAnsi="Palatino Linotype" w:cs="Arial"/>
          <w:i/>
          <w:sz w:val="24"/>
        </w:rPr>
        <w:t xml:space="preserve">COPIA DE LAS FACTURAS DE LOS VEHICULOS ADQUIRIDOS EN ESTE AÑO FISCAL </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5C6027" w:rsidRPr="005C6027">
        <w:rPr>
          <w:rFonts w:ascii="Palatino Linotype" w:hAnsi="Palatino Linotype" w:cs="Arial"/>
          <w:i/>
          <w:sz w:val="24"/>
        </w:rPr>
        <w:t>SOLO SE ME ANEXA UNA COTIZACIÓN FALTANDO LAS COPIAS DE LASFACTURAS Y LA COMPROBACIÓN DEL PAGO DE ESTOS VEHICULOS.</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5C6027">
        <w:rPr>
          <w:rFonts w:ascii="Palatino Linotype" w:hAnsi="Palatino Linotype"/>
          <w:sz w:val="24"/>
          <w:szCs w:val="24"/>
        </w:rPr>
        <w:t xml:space="preserve">doce de abril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QUINTO. De la etapa de instrucción.</w:t>
      </w:r>
    </w:p>
    <w:p w:rsidR="00ED0209" w:rsidRDefault="00775590" w:rsidP="0077559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081888">
        <w:rPr>
          <w:rFonts w:ascii="Palatino Linotype" w:hAnsi="Palatino Linotype"/>
          <w:sz w:val="24"/>
          <w:szCs w:val="24"/>
        </w:rPr>
        <w:t>veintinueve de abril</w:t>
      </w:r>
      <w:r>
        <w:rPr>
          <w:rFonts w:ascii="Palatino Linotype" w:hAnsi="Palatino Linotype"/>
          <w:sz w:val="24"/>
          <w:szCs w:val="24"/>
        </w:rPr>
        <w:t xml:space="preserve"> de dos mil diecinueve </w:t>
      </w:r>
      <w:r w:rsidRPr="0014447C">
        <w:rPr>
          <w:rFonts w:ascii="Palatino Linotype" w:hAnsi="Palatino Linotype"/>
          <w:sz w:val="24"/>
          <w:szCs w:val="24"/>
        </w:rPr>
        <w:t xml:space="preserve">remitió </w:t>
      </w:r>
      <w:r>
        <w:rPr>
          <w:rFonts w:ascii="Palatino Linotype" w:hAnsi="Palatino Linotype"/>
          <w:sz w:val="24"/>
          <w:szCs w:val="24"/>
        </w:rPr>
        <w:t>un</w:t>
      </w:r>
      <w:r w:rsidR="00081888">
        <w:rPr>
          <w:rFonts w:ascii="Palatino Linotype" w:hAnsi="Palatino Linotype"/>
          <w:sz w:val="24"/>
          <w:szCs w:val="24"/>
        </w:rPr>
        <w:t xml:space="preserve"> archivo electrónico</w:t>
      </w:r>
      <w:r>
        <w:rPr>
          <w:rFonts w:ascii="Palatino Linotype" w:hAnsi="Palatino Linotype"/>
          <w:b/>
          <w:sz w:val="24"/>
          <w:szCs w:val="24"/>
        </w:rPr>
        <w:t>,</w:t>
      </w:r>
      <w:r>
        <w:rPr>
          <w:rFonts w:ascii="Palatino Linotype" w:hAnsi="Palatino Linotype"/>
          <w:sz w:val="24"/>
          <w:szCs w:val="24"/>
        </w:rPr>
        <w:t xml:space="preserve"> el cual </w:t>
      </w:r>
      <w:r w:rsidR="005C6027">
        <w:rPr>
          <w:rFonts w:ascii="Palatino Linotype" w:hAnsi="Palatino Linotype"/>
          <w:sz w:val="24"/>
          <w:szCs w:val="24"/>
        </w:rPr>
        <w:t xml:space="preserve">no </w:t>
      </w:r>
      <w:r>
        <w:rPr>
          <w:rFonts w:ascii="Palatino Linotype" w:hAnsi="Palatino Linotype"/>
          <w:sz w:val="24"/>
          <w:szCs w:val="24"/>
        </w:rPr>
        <w:t>se puso a la vista de El Recurrente</w:t>
      </w:r>
      <w:r w:rsidR="00081888">
        <w:rPr>
          <w:rFonts w:ascii="Palatino Linotype" w:hAnsi="Palatino Linotype"/>
          <w:sz w:val="24"/>
          <w:szCs w:val="24"/>
        </w:rPr>
        <w:t xml:space="preserve"> por contener datos susceptibles de ser clasificados</w:t>
      </w:r>
      <w:r>
        <w:rPr>
          <w:rFonts w:ascii="Palatino Linotype" w:hAnsi="Palatino Linotype"/>
          <w:sz w:val="24"/>
          <w:szCs w:val="24"/>
        </w:rPr>
        <w:t>.</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EF0410">
        <w:rPr>
          <w:rFonts w:ascii="Palatino Linotype" w:hAnsi="Palatino Linotype"/>
          <w:sz w:val="24"/>
          <w:szCs w:val="24"/>
        </w:rPr>
        <w:t>catorce</w:t>
      </w:r>
      <w:r w:rsidR="00081888">
        <w:rPr>
          <w:rFonts w:ascii="Palatino Linotype" w:hAnsi="Palatino Linotype"/>
          <w:sz w:val="24"/>
          <w:szCs w:val="24"/>
        </w:rPr>
        <w:t xml:space="preserve"> de mayo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F00889">
        <w:rPr>
          <w:rFonts w:ascii="Palatino Linotype" w:hAnsi="Palatino Linotype" w:cs="Arial"/>
          <w:sz w:val="24"/>
          <w:szCs w:val="24"/>
        </w:rPr>
        <w:t xml:space="preserve">cuatro </w:t>
      </w:r>
      <w:r w:rsidR="00890DBD" w:rsidRPr="00CA5653">
        <w:rPr>
          <w:rFonts w:ascii="Palatino Linotype" w:hAnsi="Palatino Linotype" w:cs="Arial"/>
          <w:sz w:val="24"/>
          <w:szCs w:val="24"/>
        </w:rPr>
        <w:t xml:space="preserve">de </w:t>
      </w:r>
      <w:r w:rsidR="00F00889">
        <w:rPr>
          <w:rFonts w:ascii="Palatino Linotype" w:hAnsi="Palatino Linotype" w:cs="Arial"/>
          <w:sz w:val="24"/>
          <w:szCs w:val="24"/>
        </w:rPr>
        <w:t>junio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05D84" w:rsidRDefault="00005D84" w:rsidP="0014447C">
      <w:pPr>
        <w:pStyle w:val="Sinespaciado"/>
        <w:spacing w:line="360" w:lineRule="auto"/>
        <w:jc w:val="both"/>
        <w:rPr>
          <w:rFonts w:ascii="Palatino Linotype" w:hAnsi="Palatino Linotype"/>
          <w:sz w:val="24"/>
          <w:szCs w:val="24"/>
        </w:rPr>
      </w:pPr>
    </w:p>
    <w:p w:rsidR="00005D84" w:rsidRDefault="00005D84" w:rsidP="00005D84">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005D84" w:rsidRPr="004F59FF" w:rsidRDefault="00005D84" w:rsidP="00005D84">
      <w:pPr>
        <w:pStyle w:val="Sinespaciado"/>
        <w:jc w:val="both"/>
        <w:rPr>
          <w:rFonts w:ascii="Palatino Linotype" w:hAnsi="Palatino Linotype"/>
          <w:b/>
          <w:sz w:val="14"/>
          <w:szCs w:val="26"/>
          <w:lang w:val="es-ES"/>
        </w:rPr>
      </w:pPr>
    </w:p>
    <w:p w:rsidR="00005D84" w:rsidRPr="00890DBD" w:rsidRDefault="00005D84" w:rsidP="00005D84">
      <w:pPr>
        <w:pStyle w:val="Sinespaciado"/>
        <w:spacing w:line="360" w:lineRule="auto"/>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005D84" w:rsidRPr="00890DBD" w:rsidRDefault="00005D84" w:rsidP="00005D84">
      <w:pPr>
        <w:pStyle w:val="Sinespaciado"/>
        <w:rPr>
          <w:rFonts w:ascii="Palatino Linotype" w:hAnsi="Palatino Linotype"/>
          <w:sz w:val="24"/>
          <w:szCs w:val="24"/>
        </w:rPr>
      </w:pP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lastRenderedPageBreak/>
        <w:t xml:space="preserve">“Artículo 180. </w:t>
      </w:r>
      <w:r w:rsidRPr="00890DBD">
        <w:rPr>
          <w:rFonts w:ascii="Palatino Linotype" w:hAnsi="Palatino Linotype"/>
          <w:i/>
          <w:sz w:val="24"/>
          <w:szCs w:val="24"/>
          <w:lang w:val="es-ES"/>
        </w:rPr>
        <w:t>El recurso de revisión contendrá:</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005D84" w:rsidRPr="00311EE6" w:rsidRDefault="00005D84" w:rsidP="00005D84">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005D84" w:rsidRDefault="00005D84" w:rsidP="00005D84">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w:t>
      </w:r>
      <w:r w:rsidRPr="00890DBD">
        <w:rPr>
          <w:rFonts w:ascii="Palatino Linotype" w:hAnsi="Palatino Linotype"/>
          <w:sz w:val="24"/>
          <w:szCs w:val="24"/>
        </w:rPr>
        <w:lastRenderedPageBreak/>
        <w:t>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sidR="00311EE6">
        <w:rPr>
          <w:rFonts w:ascii="Palatino Linotype" w:hAnsi="Palatino Linotype"/>
          <w:sz w:val="24"/>
          <w:szCs w:val="24"/>
        </w:rPr>
        <w:t>.</w:t>
      </w:r>
    </w:p>
    <w:p w:rsidR="00330A59" w:rsidRDefault="00330A59" w:rsidP="0014447C">
      <w:pPr>
        <w:pStyle w:val="Sinespaciado"/>
        <w:spacing w:line="360" w:lineRule="auto"/>
        <w:jc w:val="both"/>
        <w:rPr>
          <w:rFonts w:ascii="Palatino Linotype" w:hAnsi="Palatino Linotype"/>
          <w:sz w:val="24"/>
          <w:szCs w:val="24"/>
        </w:rPr>
      </w:pPr>
    </w:p>
    <w:p w:rsidR="00705D1C" w:rsidRPr="0014447C" w:rsidRDefault="00005D84"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EC01EB" w:rsidRDefault="00EC01EB" w:rsidP="00705D1C">
      <w:pPr>
        <w:pStyle w:val="Sinespaciado"/>
        <w:spacing w:line="360" w:lineRule="auto"/>
        <w:jc w:val="both"/>
        <w:rPr>
          <w:rFonts w:ascii="Palatino Linotype" w:hAnsi="Palatino Linotype"/>
          <w:sz w:val="24"/>
          <w:szCs w:val="24"/>
        </w:rPr>
      </w:pPr>
    </w:p>
    <w:p w:rsidR="00EC01EB" w:rsidRDefault="00EC01EB" w:rsidP="00705D1C">
      <w:pPr>
        <w:pStyle w:val="Sinespaciado"/>
        <w:spacing w:line="360" w:lineRule="auto"/>
        <w:jc w:val="both"/>
        <w:rPr>
          <w:rFonts w:ascii="Palatino Linotype" w:hAnsi="Palatino Linotype"/>
          <w:sz w:val="24"/>
          <w:szCs w:val="24"/>
        </w:rPr>
      </w:pPr>
    </w:p>
    <w:p w:rsidR="007E2E80" w:rsidRPr="0014447C" w:rsidRDefault="00005D8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lastRenderedPageBreak/>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60464" w:rsidRPr="00E60464" w:rsidRDefault="00E60464" w:rsidP="0014447C">
      <w:pPr>
        <w:pStyle w:val="Sinespaciado"/>
        <w:spacing w:line="360" w:lineRule="auto"/>
        <w:jc w:val="both"/>
        <w:rPr>
          <w:rFonts w:ascii="Palatino Linotype" w:hAnsi="Palatino Linotype" w:cs="Arial"/>
          <w:sz w:val="10"/>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E60464" w:rsidRPr="00E60464" w:rsidRDefault="00E60464" w:rsidP="0014447C">
      <w:pPr>
        <w:pStyle w:val="Sinespaciado"/>
        <w:spacing w:line="360" w:lineRule="auto"/>
        <w:jc w:val="both"/>
        <w:rPr>
          <w:rFonts w:ascii="Palatino Linotype" w:hAnsi="Palatino Linotype"/>
          <w:sz w:val="14"/>
          <w:szCs w:val="24"/>
        </w:rPr>
      </w:pPr>
    </w:p>
    <w:p w:rsidR="00D942F6" w:rsidRDefault="00D942F6" w:rsidP="003C621F">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Copia de facturas de 4 vehículos comprados en la administración 2019-2021</w:t>
      </w:r>
      <w:r w:rsidR="002A1F8A">
        <w:rPr>
          <w:rFonts w:ascii="Palatino Linotype" w:hAnsi="Palatino Linotype"/>
          <w:sz w:val="24"/>
          <w:szCs w:val="24"/>
        </w:rPr>
        <w:t>.</w:t>
      </w:r>
    </w:p>
    <w:p w:rsidR="00D942F6" w:rsidRDefault="00D942F6" w:rsidP="003C621F">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 xml:space="preserve">Copia de la póliza del cheque por la compra de los 4 </w:t>
      </w:r>
      <w:r w:rsidR="00311EE6">
        <w:rPr>
          <w:rFonts w:ascii="Palatino Linotype" w:hAnsi="Palatino Linotype"/>
          <w:sz w:val="24"/>
          <w:szCs w:val="24"/>
        </w:rPr>
        <w:t>vehículos</w:t>
      </w:r>
      <w:r>
        <w:rPr>
          <w:rFonts w:ascii="Palatino Linotype" w:hAnsi="Palatino Linotype"/>
          <w:sz w:val="24"/>
          <w:szCs w:val="24"/>
        </w:rPr>
        <w:t>.</w:t>
      </w:r>
    </w:p>
    <w:p w:rsidR="00AB6FE4" w:rsidRDefault="00D942F6" w:rsidP="003C621F">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 xml:space="preserve">Copia del expediente técnico </w:t>
      </w:r>
      <w:r w:rsidR="00F3773C">
        <w:rPr>
          <w:rFonts w:ascii="Palatino Linotype" w:hAnsi="Palatino Linotype"/>
          <w:sz w:val="24"/>
          <w:szCs w:val="24"/>
        </w:rPr>
        <w:t xml:space="preserve">de la obra denominada “pavimentación con concreto hidráulico calle Cuitláhuac” y “pavimentación con concreto hidráulico calle mina”, primera y segunda etapa. </w:t>
      </w:r>
    </w:p>
    <w:p w:rsidR="00F3773C" w:rsidRDefault="000824AF" w:rsidP="003C621F">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 xml:space="preserve">Estado de resultados, </w:t>
      </w:r>
      <w:r w:rsidR="00F3773C">
        <w:rPr>
          <w:rFonts w:ascii="Palatino Linotype" w:hAnsi="Palatino Linotype"/>
          <w:sz w:val="24"/>
          <w:szCs w:val="24"/>
        </w:rPr>
        <w:t xml:space="preserve">balance general de la cuenta pública municipal </w:t>
      </w:r>
      <w:r>
        <w:rPr>
          <w:rFonts w:ascii="Palatino Linotype" w:hAnsi="Palatino Linotype"/>
          <w:sz w:val="24"/>
          <w:szCs w:val="24"/>
        </w:rPr>
        <w:t>y gastos generados por los titulares de las áreas administrativas, por el periodo comprendido del uno de enero al veintisiete de febrero del año en curso.</w:t>
      </w:r>
    </w:p>
    <w:p w:rsidR="00812590"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pues, de lo peticionado por El Recurrente</w:t>
      </w:r>
      <w:r w:rsidR="009E76F1">
        <w:rPr>
          <w:rFonts w:ascii="Palatino Linotype" w:hAnsi="Palatino Linotype"/>
          <w:sz w:val="24"/>
          <w:szCs w:val="24"/>
        </w:rPr>
        <w:t>, el Suj</w:t>
      </w:r>
      <w:r w:rsidR="003C621F">
        <w:rPr>
          <w:rFonts w:ascii="Palatino Linotype" w:hAnsi="Palatino Linotype"/>
          <w:sz w:val="24"/>
          <w:szCs w:val="24"/>
        </w:rPr>
        <w:t>eto Obligado remitió un</w:t>
      </w:r>
      <w:r w:rsidR="009E76F1">
        <w:rPr>
          <w:rFonts w:ascii="Palatino Linotype" w:hAnsi="Palatino Linotype"/>
          <w:sz w:val="24"/>
          <w:szCs w:val="24"/>
        </w:rPr>
        <w:t xml:space="preserve"> arc</w:t>
      </w:r>
      <w:r w:rsidR="003C621F">
        <w:rPr>
          <w:rFonts w:ascii="Palatino Linotype" w:hAnsi="Palatino Linotype"/>
          <w:sz w:val="24"/>
          <w:szCs w:val="24"/>
        </w:rPr>
        <w:t>hivo electrónico</w:t>
      </w:r>
      <w:r w:rsidR="000824AF">
        <w:rPr>
          <w:rFonts w:ascii="Palatino Linotype" w:hAnsi="Palatino Linotype"/>
          <w:sz w:val="24"/>
          <w:szCs w:val="24"/>
        </w:rPr>
        <w:t xml:space="preserve"> denominado “</w:t>
      </w:r>
      <w:r w:rsidR="000824AF" w:rsidRPr="000824AF">
        <w:rPr>
          <w:rFonts w:ascii="Palatino Linotype" w:hAnsi="Palatino Linotype"/>
          <w:sz w:val="24"/>
          <w:szCs w:val="24"/>
        </w:rPr>
        <w:t>BRN3C2AF45B565E_009427.pdf</w:t>
      </w:r>
      <w:r w:rsidR="000824AF">
        <w:rPr>
          <w:rFonts w:ascii="Palatino Linotype" w:hAnsi="Palatino Linotype"/>
          <w:sz w:val="24"/>
          <w:szCs w:val="24"/>
        </w:rPr>
        <w:t>”</w:t>
      </w:r>
      <w:r w:rsidR="00322F4D">
        <w:rPr>
          <w:rFonts w:ascii="Palatino Linotype" w:hAnsi="Palatino Linotype"/>
          <w:sz w:val="24"/>
          <w:szCs w:val="24"/>
        </w:rPr>
        <w:t>,</w:t>
      </w:r>
      <w:r w:rsidR="008A4673">
        <w:rPr>
          <w:rFonts w:ascii="Palatino Linotype" w:hAnsi="Palatino Linotype"/>
          <w:sz w:val="24"/>
          <w:szCs w:val="24"/>
        </w:rPr>
        <w:t xml:space="preserve"> el</w:t>
      </w:r>
      <w:r w:rsidR="002A1F8A">
        <w:rPr>
          <w:rFonts w:ascii="Palatino Linotype" w:hAnsi="Palatino Linotype"/>
          <w:sz w:val="24"/>
          <w:szCs w:val="24"/>
        </w:rPr>
        <w:t xml:space="preserve"> cual</w:t>
      </w:r>
      <w:r w:rsidR="008A4673">
        <w:rPr>
          <w:rFonts w:ascii="Palatino Linotype" w:hAnsi="Palatino Linotype"/>
          <w:sz w:val="24"/>
          <w:szCs w:val="24"/>
        </w:rPr>
        <w:t xml:space="preserve"> contiene</w:t>
      </w:r>
      <w:r w:rsidR="003C621F">
        <w:rPr>
          <w:rFonts w:ascii="Palatino Linotype" w:hAnsi="Palatino Linotype"/>
          <w:sz w:val="24"/>
          <w:szCs w:val="24"/>
        </w:rPr>
        <w:t xml:space="preserve"> </w:t>
      </w:r>
      <w:r w:rsidR="00322F4D">
        <w:rPr>
          <w:rFonts w:ascii="Palatino Linotype" w:hAnsi="Palatino Linotype"/>
          <w:sz w:val="24"/>
          <w:szCs w:val="24"/>
        </w:rPr>
        <w:t>el oficio número TMP/092/2019</w:t>
      </w:r>
      <w:r w:rsidR="005325C5">
        <w:rPr>
          <w:rFonts w:ascii="Palatino Linotype" w:hAnsi="Palatino Linotype"/>
          <w:sz w:val="24"/>
          <w:szCs w:val="24"/>
        </w:rPr>
        <w:t xml:space="preserve"> signado por la Tesorera Municipal </w:t>
      </w:r>
      <w:r w:rsidR="0079780D">
        <w:rPr>
          <w:rFonts w:ascii="Palatino Linotype" w:hAnsi="Palatino Linotype"/>
          <w:sz w:val="24"/>
          <w:szCs w:val="24"/>
        </w:rPr>
        <w:t>en el cual hace del conocimiento al recurrente que los datos solicitados (facturas de los vehículos</w:t>
      </w:r>
      <w:r w:rsidR="00166C5F">
        <w:rPr>
          <w:rFonts w:ascii="Palatino Linotype" w:hAnsi="Palatino Linotype"/>
          <w:sz w:val="24"/>
          <w:szCs w:val="24"/>
        </w:rPr>
        <w:t xml:space="preserve"> y Estado de resultados y balance general de la cuenta pública municipal incluyendo los gastos generados por cada titular de las áreas administrativas)</w:t>
      </w:r>
      <w:r w:rsidR="0079780D">
        <w:rPr>
          <w:rFonts w:ascii="Palatino Linotype" w:hAnsi="Palatino Linotype"/>
          <w:sz w:val="24"/>
          <w:szCs w:val="24"/>
        </w:rPr>
        <w:t xml:space="preserve"> aún no se encuentran procesados en un documento público, ya que la fecha límite para la entrega de la información al Órgano Superior de Fiscalización del Estado de México (OSFEM) para el mes de enero la fecha de entrega sería el tres </w:t>
      </w:r>
      <w:r w:rsidR="00E85A03">
        <w:rPr>
          <w:rFonts w:ascii="Palatino Linotype" w:hAnsi="Palatino Linotype"/>
          <w:sz w:val="24"/>
          <w:szCs w:val="24"/>
        </w:rPr>
        <w:t xml:space="preserve">de abril y </w:t>
      </w:r>
      <w:r w:rsidR="006A388C">
        <w:rPr>
          <w:rFonts w:ascii="Palatino Linotype" w:hAnsi="Palatino Linotype"/>
          <w:sz w:val="24"/>
          <w:szCs w:val="24"/>
        </w:rPr>
        <w:t>para el mes de febrero lo correspondiente seria al</w:t>
      </w:r>
      <w:r w:rsidR="00E85A03">
        <w:rPr>
          <w:rFonts w:ascii="Palatino Linotype" w:hAnsi="Palatino Linotype"/>
          <w:sz w:val="24"/>
          <w:szCs w:val="24"/>
        </w:rPr>
        <w:t xml:space="preserve"> 23 de abril, </w:t>
      </w:r>
      <w:r w:rsidR="006A388C">
        <w:rPr>
          <w:rFonts w:ascii="Palatino Linotype" w:hAnsi="Palatino Linotype"/>
          <w:sz w:val="24"/>
          <w:szCs w:val="24"/>
        </w:rPr>
        <w:t>anexa</w:t>
      </w:r>
      <w:r w:rsidR="00166C5F">
        <w:rPr>
          <w:rFonts w:ascii="Palatino Linotype" w:hAnsi="Palatino Linotype"/>
          <w:sz w:val="24"/>
          <w:szCs w:val="24"/>
        </w:rPr>
        <w:t>ndo</w:t>
      </w:r>
      <w:r w:rsidR="006A388C">
        <w:rPr>
          <w:rFonts w:ascii="Palatino Linotype" w:hAnsi="Palatino Linotype"/>
          <w:sz w:val="24"/>
          <w:szCs w:val="24"/>
        </w:rPr>
        <w:t xml:space="preserve"> la carátula del Periódico Oficial Gaceta del Gobierno del Estado Libre y Soberano de México</w:t>
      </w:r>
      <w:r w:rsidR="00B30308">
        <w:rPr>
          <w:rFonts w:ascii="Palatino Linotype" w:hAnsi="Palatino Linotype"/>
          <w:sz w:val="24"/>
          <w:szCs w:val="24"/>
        </w:rPr>
        <w:t xml:space="preserve"> de la cual del sumario se desprende la publicación del acuerdo por el que se autoriza la ampliación de plazos para que las entidades fiscalizables presenten ante el OSFEM los informes mensuales de enero y febrero del ejercicio dos mil diecinueve.</w:t>
      </w:r>
    </w:p>
    <w:p w:rsidR="002A1F8A" w:rsidRDefault="002A1F8A" w:rsidP="0014447C">
      <w:pPr>
        <w:pStyle w:val="Sinespaciado"/>
        <w:spacing w:line="360" w:lineRule="auto"/>
        <w:jc w:val="both"/>
        <w:rPr>
          <w:rFonts w:ascii="Palatino Linotype" w:hAnsi="Palatino Linotype"/>
          <w:sz w:val="24"/>
          <w:szCs w:val="24"/>
        </w:rPr>
      </w:pPr>
    </w:p>
    <w:p w:rsidR="004F59FF" w:rsidRDefault="00C25E33"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igual manera, en el archivo electrónico en mérito remitido como respuesta por parte del Sujeto Obligado </w:t>
      </w:r>
      <w:r w:rsidR="005A18AF">
        <w:rPr>
          <w:rFonts w:ascii="Palatino Linotype" w:hAnsi="Palatino Linotype" w:cs="Arial"/>
        </w:rPr>
        <w:t>se observan 25 fojas, en las cuales se hace constar el expediente técnico y dictámenes de factibilidad correspondientes a las obras “</w:t>
      </w:r>
      <w:r w:rsidR="005A18AF">
        <w:rPr>
          <w:rFonts w:ascii="Palatino Linotype" w:hAnsi="Palatino Linotype"/>
        </w:rPr>
        <w:t>pavimentación con concreto hidráulico calle Cuitláhuac” y “pavimentación con concreto hidráulico calle mina”</w:t>
      </w:r>
      <w:r w:rsidR="00BD705D">
        <w:rPr>
          <w:rFonts w:ascii="Palatino Linotype" w:hAnsi="Palatino Linotype"/>
        </w:rPr>
        <w:t xml:space="preserve"> rubricadas por el presidente municipal, el Director de Obras Públicas y Desarrollo Urbano y el Secretario del Ayuntamiento </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D72DF5"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lastRenderedPageBreak/>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da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 xml:space="preserve">olla en los siguientes párrafos. </w:t>
      </w:r>
    </w:p>
    <w:p w:rsidR="00D72DF5" w:rsidRDefault="00D72DF5" w:rsidP="00D72DF5">
      <w:pPr>
        <w:autoSpaceDE w:val="0"/>
        <w:autoSpaceDN w:val="0"/>
        <w:adjustRightInd w:val="0"/>
        <w:spacing w:after="0" w:line="360" w:lineRule="auto"/>
        <w:jc w:val="both"/>
        <w:rPr>
          <w:rFonts w:ascii="Palatino Linotype" w:hAnsi="Palatino Linotype"/>
          <w:sz w:val="24"/>
        </w:rPr>
      </w:pPr>
    </w:p>
    <w:p w:rsidR="00D72DF5" w:rsidRDefault="00D72DF5" w:rsidP="00D72DF5">
      <w:pPr>
        <w:autoSpaceDE w:val="0"/>
        <w:autoSpaceDN w:val="0"/>
        <w:adjustRightInd w:val="0"/>
        <w:spacing w:after="0" w:line="360" w:lineRule="auto"/>
        <w:jc w:val="both"/>
        <w:rPr>
          <w:rFonts w:ascii="Palatino Linotype" w:hAnsi="Palatino Linotype"/>
          <w:color w:val="000000"/>
          <w:sz w:val="24"/>
          <w:szCs w:val="24"/>
        </w:rPr>
      </w:pPr>
      <w:r w:rsidRPr="001861BC">
        <w:rPr>
          <w:rFonts w:ascii="Palatino Linotype" w:hAnsi="Palatino Linotype"/>
          <w:sz w:val="24"/>
          <w:szCs w:val="24"/>
          <w:lang w:val="es-ES"/>
        </w:rPr>
        <w:t xml:space="preserve">Y se dice que este órgano Garante considera que se colma </w:t>
      </w:r>
      <w:r>
        <w:rPr>
          <w:rFonts w:ascii="Palatino Linotype" w:hAnsi="Palatino Linotype"/>
          <w:sz w:val="24"/>
          <w:szCs w:val="24"/>
          <w:lang w:val="es-ES"/>
        </w:rPr>
        <w:t>lo correspondiente al punto 3 referido con antelación</w:t>
      </w:r>
      <w:r w:rsidRPr="00BB7679">
        <w:rPr>
          <w:rFonts w:ascii="Palatino Linotype" w:hAnsi="Palatino Linotype"/>
          <w:sz w:val="24"/>
          <w:szCs w:val="24"/>
          <w:lang w:val="es-ES"/>
        </w:rPr>
        <w:t xml:space="preserve">, toda vez que éste solicitó </w:t>
      </w:r>
      <w:r w:rsidR="00C77B28">
        <w:rPr>
          <w:rFonts w:ascii="Palatino Linotype" w:hAnsi="Palatino Linotype"/>
          <w:sz w:val="24"/>
          <w:szCs w:val="24"/>
        </w:rPr>
        <w:t>Copia del expediente técnico de la obra denominada “pavimentación con concreto hidráulico calle Cuitláhuac” y “pavimentación con concreto hidráulico calle mina”, es por eso que</w:t>
      </w:r>
      <w:r w:rsidRPr="001861BC">
        <w:rPr>
          <w:rFonts w:ascii="Palatino Linotype" w:hAnsi="Palatino Linotype"/>
          <w:color w:val="000000"/>
          <w:sz w:val="24"/>
          <w:szCs w:val="24"/>
        </w:rPr>
        <w:t xml:space="preserve"> al haber existido pronunciamiento al respecto por parte del </w:t>
      </w:r>
      <w:r w:rsidRPr="001861BC">
        <w:rPr>
          <w:rFonts w:ascii="Palatino Linotype" w:hAnsi="Palatino Linotype"/>
          <w:b/>
          <w:color w:val="000000"/>
          <w:sz w:val="24"/>
          <w:szCs w:val="24"/>
        </w:rPr>
        <w:t>Sujeto Obligado</w:t>
      </w:r>
      <w:r w:rsidRPr="001861BC">
        <w:rPr>
          <w:rFonts w:ascii="Palatino Linotype" w:hAnsi="Palatino Linotype"/>
          <w:color w:val="000000"/>
          <w:sz w:val="24"/>
          <w:szCs w:val="24"/>
        </w:rPr>
        <w:t xml:space="preserve"> en</w:t>
      </w:r>
      <w:r w:rsidR="00C77B28">
        <w:rPr>
          <w:rFonts w:ascii="Palatino Linotype" w:hAnsi="Palatino Linotype"/>
          <w:color w:val="000000"/>
          <w:sz w:val="24"/>
          <w:szCs w:val="24"/>
        </w:rPr>
        <w:t xml:space="preserve"> su respuesta primigenia, en donde advierten los expedientes técnicos de las obras referidas en la solicitud de acceso a la información</w:t>
      </w:r>
      <w:r w:rsidRPr="001861BC">
        <w:rPr>
          <w:rFonts w:ascii="Palatino Linotype" w:hAnsi="Palatino Linotype" w:cs="Arial"/>
          <w:sz w:val="24"/>
          <w:szCs w:val="24"/>
        </w:rPr>
        <w:t xml:space="preserve">, la respuesta emitida por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C77B28" w:rsidRDefault="00C77B28" w:rsidP="00D72DF5">
      <w:pPr>
        <w:spacing w:after="0" w:line="360" w:lineRule="auto"/>
        <w:jc w:val="both"/>
        <w:rPr>
          <w:rFonts w:ascii="Palatino Linotype" w:eastAsia="Calibri" w:hAnsi="Palatino Linotype" w:cs="Arial"/>
          <w:sz w:val="24"/>
          <w:szCs w:val="24"/>
        </w:rPr>
      </w:pPr>
    </w:p>
    <w:p w:rsidR="00D72DF5" w:rsidRPr="00691FC7" w:rsidRDefault="00D72DF5" w:rsidP="00D72DF5">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D72DF5" w:rsidRPr="00691FC7" w:rsidRDefault="00D72DF5" w:rsidP="00D72DF5">
      <w:pPr>
        <w:spacing w:after="0" w:line="360" w:lineRule="auto"/>
        <w:jc w:val="both"/>
        <w:rPr>
          <w:rFonts w:ascii="Palatino Linotype" w:eastAsia="Calibri" w:hAnsi="Palatino Linotype" w:cs="Arial"/>
          <w:bCs/>
          <w:sz w:val="24"/>
          <w:szCs w:val="24"/>
        </w:rPr>
      </w:pP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p>
    <w:p w:rsidR="00D72DF5" w:rsidRPr="00691FC7" w:rsidRDefault="00D72DF5" w:rsidP="00D72DF5">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Aunado a lo anterior éste Órgano Garante considera que una vez existido pronunciamiento por parte del Sujeto obligado, al</w:t>
      </w:r>
      <w:r w:rsidR="002A1F8A">
        <w:rPr>
          <w:rFonts w:ascii="Palatino Linotype" w:hAnsi="Palatino Linotype"/>
        </w:rPr>
        <w:t xml:space="preserve"> momento de dar respuesta a la referida solicitud</w:t>
      </w:r>
      <w:r>
        <w:rPr>
          <w:rFonts w:ascii="Palatino Linotype" w:hAnsi="Palatino Linotype"/>
        </w:rPr>
        <w:t xml:space="preserve"> de información</w:t>
      </w:r>
      <w:r w:rsidR="002A1F8A">
        <w:rPr>
          <w:rFonts w:ascii="Palatino Linotype" w:hAnsi="Palatino Linotype"/>
        </w:rPr>
        <w:t>,</w:t>
      </w:r>
      <w:r>
        <w:rPr>
          <w:rFonts w:ascii="Palatino Linotype" w:hAnsi="Palatino Linotype"/>
        </w:rPr>
        <w:t xml:space="preserve"> se advierte que es competente para generar, administrar o poseer </w:t>
      </w:r>
      <w:r w:rsidRPr="00D61167">
        <w:rPr>
          <w:rFonts w:ascii="Palatino Linotype" w:hAnsi="Palatino Linotype" w:cs="Arial"/>
        </w:rPr>
        <w:t>la información solicitada, dado que éste ha asumido la misma, en razón de que da respuesta a la solicitu</w:t>
      </w:r>
      <w:r w:rsidR="007265DE">
        <w:rPr>
          <w:rFonts w:ascii="Palatino Linotype" w:hAnsi="Palatino Linotype" w:cs="Arial"/>
        </w:rPr>
        <w:t>d de información</w:t>
      </w:r>
      <w:r w:rsidR="00C77B28">
        <w:rPr>
          <w:rFonts w:ascii="Palatino Linotype" w:hAnsi="Palatino Linotype" w:cs="Arial"/>
        </w:rPr>
        <w:t xml:space="preserve"> por medio del oficio</w:t>
      </w:r>
      <w:r w:rsidR="00847400">
        <w:rPr>
          <w:rFonts w:ascii="Palatino Linotype" w:hAnsi="Palatino Linotype" w:cs="Arial"/>
        </w:rPr>
        <w:t xml:space="preserve"> </w:t>
      </w:r>
      <w:r w:rsidR="00C77B28">
        <w:rPr>
          <w:rFonts w:ascii="Palatino Linotype" w:hAnsi="Palatino Linotype" w:cs="Arial"/>
        </w:rPr>
        <w:t>TMP/092/2019</w:t>
      </w:r>
      <w:r w:rsidR="00847400">
        <w:rPr>
          <w:rFonts w:ascii="Palatino Linotype" w:hAnsi="Palatino Linotype" w:cs="Arial"/>
        </w:rPr>
        <w:t xml:space="preserve"> donde se le informa al particular que los documentos solicitados (facturas de compra y estado de resultados y balance general de la cuenta pública) aún no se encuentran procesados ni entregados al OSFEM</w:t>
      </w:r>
      <w:r w:rsidRPr="00D61167">
        <w:rPr>
          <w:rFonts w:ascii="Palatino Linotype" w:hAnsi="Palatino Linotype" w:cs="Arial"/>
        </w:rPr>
        <w:t>,</w:t>
      </w:r>
      <w:r w:rsidR="00847400">
        <w:rPr>
          <w:rFonts w:ascii="Palatino Linotype" w:hAnsi="Palatino Linotype" w:cs="Arial"/>
        </w:rPr>
        <w:t xml:space="preserve"> ya que aún no se cumple con la fecha límite para la presentación de dichos documentos, por lo que</w:t>
      </w:r>
      <w:r w:rsidRPr="00D61167">
        <w:rPr>
          <w:rFonts w:ascii="Palatino Linotype" w:hAnsi="Palatino Linotype" w:cs="Arial"/>
        </w:rPr>
        <w:t xml:space="preserve"> el hecho de </w:t>
      </w:r>
      <w:r>
        <w:rPr>
          <w:rFonts w:ascii="Palatino Linotype" w:hAnsi="Palatino Linotype" w:cs="Arial"/>
        </w:rPr>
        <w:t>que el sujeto o</w:t>
      </w:r>
      <w:r w:rsidRPr="00D61167">
        <w:rPr>
          <w:rFonts w:ascii="Palatino Linotype" w:hAnsi="Palatino Linotype" w:cs="Arial"/>
        </w:rPr>
        <w:t>bligado haya inte</w:t>
      </w:r>
      <w:r w:rsidR="004D4CFC">
        <w:rPr>
          <w:rFonts w:ascii="Palatino Linotype" w:hAnsi="Palatino Linotype" w:cs="Arial"/>
        </w:rPr>
        <w:t>ntado otorgar lo solicitado a El</w:t>
      </w:r>
      <w:r>
        <w:rPr>
          <w:rFonts w:ascii="Palatino Linotype" w:hAnsi="Palatino Linotype" w:cs="Arial"/>
        </w:rPr>
        <w:t xml:space="preserve"> </w:t>
      </w:r>
      <w:r w:rsidR="004D4CFC">
        <w:rPr>
          <w:rFonts w:ascii="Palatino Linotype" w:hAnsi="Palatino Linotype" w:cs="Arial"/>
        </w:rPr>
        <w:t>R</w:t>
      </w:r>
      <w:r w:rsidRPr="00D61167">
        <w:rPr>
          <w:rFonts w:ascii="Palatino Linotype" w:hAnsi="Palatino Linotype" w:cs="Arial"/>
        </w:rPr>
        <w:t xml:space="preserve">ecurrente, comprueba fehacientemente que dicha autoridad acepta que la genera, posee y/o administra, en ejercicio de sus funciones de derecho público, es decir, no niega la existencia de la información solicitada, por el contrario, se pronuncia respecto de la información </w:t>
      </w:r>
      <w:r w:rsidRPr="00D61167">
        <w:rPr>
          <w:rFonts w:ascii="Palatino Linotype" w:hAnsi="Palatino Linotype" w:cs="Arial"/>
        </w:rPr>
        <w:lastRenderedPageBreak/>
        <w:t>requerida</w:t>
      </w:r>
      <w:r w:rsidR="004D4CFC">
        <w:rPr>
          <w:rFonts w:ascii="Palatino Linotype" w:hAnsi="Palatino Linotype" w:cs="Arial"/>
        </w:rPr>
        <w:t xml:space="preserve"> puntualizando que después de esas fechas (límite para remitir al OSFEM) s estará en posibilidad de ser entregada la información. </w:t>
      </w: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p>
    <w:p w:rsidR="00101AEA" w:rsidRPr="00835647"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 motivos de inconformidad lo siguiente: “</w:t>
      </w:r>
      <w:r w:rsidR="004D4CFC" w:rsidRPr="004D4CFC">
        <w:rPr>
          <w:rFonts w:ascii="Palatino Linotype" w:hAnsi="Palatino Linotype" w:cs="Arial"/>
          <w:i/>
        </w:rPr>
        <w:t>SOLO SE ME ANEXA UNA COTIZACIÓN FALTANDO LAS COPIAS DE LASFACTURAS Y LA COMPROBACIÓN DEL PAGO DE ESTOS VEHICULOS.</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101AEA" w:rsidRPr="00835647" w:rsidRDefault="00101AEA" w:rsidP="00101AEA">
      <w:pPr>
        <w:pStyle w:val="Prrafodelista"/>
        <w:autoSpaceDE w:val="0"/>
        <w:autoSpaceDN w:val="0"/>
        <w:adjustRightInd w:val="0"/>
        <w:spacing w:line="360" w:lineRule="auto"/>
        <w:ind w:left="0"/>
        <w:jc w:val="both"/>
        <w:rPr>
          <w:rFonts w:ascii="Palatino Linotype" w:hAnsi="Palatino Linotype" w:cs="Arial"/>
        </w:rPr>
      </w:pPr>
    </w:p>
    <w:p w:rsidR="00380DA0" w:rsidRDefault="00101AEA" w:rsidP="009956C4">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sidR="00DB15BB">
        <w:rPr>
          <w:rFonts w:ascii="Palatino Linotype" w:hAnsi="Palatino Linotype" w:cs="Arial"/>
          <w:sz w:val="24"/>
          <w:szCs w:val="24"/>
        </w:rPr>
        <w:t xml:space="preserve">el Ayuntamiento de </w:t>
      </w:r>
      <w:r w:rsidR="004644F0">
        <w:rPr>
          <w:rFonts w:ascii="Palatino Linotype" w:hAnsi="Palatino Linotype" w:cs="Arial"/>
          <w:sz w:val="24"/>
          <w:szCs w:val="24"/>
        </w:rPr>
        <w:t>Polotitlan</w:t>
      </w:r>
      <w:r w:rsidR="00DA140B">
        <w:rPr>
          <w:rFonts w:ascii="Palatino Linotype" w:hAnsi="Palatino Linotype" w:cs="Arial"/>
          <w:sz w:val="24"/>
          <w:szCs w:val="24"/>
        </w:rPr>
        <w:t xml:space="preserve"> una vez abierta la etapa de manifestaciones</w:t>
      </w:r>
      <w:r w:rsidR="00DB15BB">
        <w:rPr>
          <w:rFonts w:ascii="Palatino Linotype" w:hAnsi="Palatino Linotype" w:cs="Arial"/>
          <w:sz w:val="24"/>
          <w:szCs w:val="24"/>
        </w:rPr>
        <w:t xml:space="preserve"> remitió</w:t>
      </w:r>
      <w:r w:rsidR="00DA140B">
        <w:rPr>
          <w:rFonts w:ascii="Palatino Linotype" w:hAnsi="Palatino Linotype" w:cs="Arial"/>
          <w:sz w:val="24"/>
          <w:szCs w:val="24"/>
        </w:rPr>
        <w:t xml:space="preserve"> un archivo electrónico, el cual contiene la cuarta sesión ordinaria del Comité de Transparencia del municipio de Polotitlán en la cual se aprueba la clasificación de la informaci</w:t>
      </w:r>
      <w:r w:rsidR="00453099">
        <w:rPr>
          <w:rFonts w:ascii="Palatino Linotype" w:hAnsi="Palatino Linotype" w:cs="Arial"/>
          <w:sz w:val="24"/>
          <w:szCs w:val="24"/>
        </w:rPr>
        <w:t>ón para hacer entrega al particular de las facturas así como del comprobante de la transferencia de los pagos efectuados</w:t>
      </w:r>
      <w:r w:rsidR="000E2E36">
        <w:rPr>
          <w:rFonts w:ascii="Palatino Linotype" w:hAnsi="Palatino Linotype" w:cs="Arial"/>
          <w:sz w:val="24"/>
          <w:szCs w:val="24"/>
        </w:rPr>
        <w:t xml:space="preserve">, enfatizando que se adeuda una factura de número NTVSALLCI19986. </w:t>
      </w:r>
    </w:p>
    <w:p w:rsidR="009956C4" w:rsidRPr="009956C4" w:rsidRDefault="009956C4" w:rsidP="009956C4">
      <w:pPr>
        <w:pStyle w:val="Sinespaciado"/>
      </w:pPr>
    </w:p>
    <w:p w:rsidR="000E2E36" w:rsidRDefault="00380DA0" w:rsidP="00E476BB">
      <w:pPr>
        <w:spacing w:line="360" w:lineRule="auto"/>
        <w:jc w:val="both"/>
        <w:rPr>
          <w:rFonts w:ascii="Palatino Linotype" w:hAnsi="Palatino Linotype" w:cs="Arial"/>
          <w:sz w:val="24"/>
          <w:szCs w:val="24"/>
        </w:rPr>
      </w:pPr>
      <w:r>
        <w:rPr>
          <w:rFonts w:ascii="Palatino Linotype" w:hAnsi="Palatino Linotype"/>
          <w:sz w:val="24"/>
          <w:szCs w:val="24"/>
        </w:rPr>
        <w:t xml:space="preserve">No pasa desapercibido </w:t>
      </w:r>
      <w:r w:rsidR="00376934" w:rsidRPr="008C430C">
        <w:rPr>
          <w:rFonts w:ascii="Palatino Linotype" w:hAnsi="Palatino Linotype"/>
          <w:sz w:val="24"/>
          <w:szCs w:val="24"/>
        </w:rPr>
        <w:t>que</w:t>
      </w:r>
      <w:r w:rsidR="000E2E36">
        <w:rPr>
          <w:rFonts w:ascii="Palatino Linotype" w:hAnsi="Palatino Linotype"/>
          <w:sz w:val="24"/>
          <w:szCs w:val="24"/>
        </w:rPr>
        <w:t xml:space="preserve"> dicho archivo no fue puesto a la vista del Recurrente toda vez que se dejó visible el número de motor y el número de serie de los vehículos adquiridos por el Ayuntamiento.</w:t>
      </w:r>
      <w:r w:rsidR="007523B1">
        <w:rPr>
          <w:rFonts w:ascii="Palatino Linotype" w:hAnsi="Palatino Linotype" w:cs="Arial"/>
          <w:sz w:val="24"/>
          <w:szCs w:val="24"/>
        </w:rPr>
        <w:t xml:space="preserve"> </w:t>
      </w:r>
    </w:p>
    <w:p w:rsidR="009956C4" w:rsidRDefault="009956C4" w:rsidP="009956C4">
      <w:pPr>
        <w:pStyle w:val="Sinespaciado"/>
      </w:pPr>
    </w:p>
    <w:p w:rsidR="00F336DD" w:rsidRDefault="00967EF9" w:rsidP="00E476BB">
      <w:pPr>
        <w:spacing w:line="360" w:lineRule="auto"/>
        <w:jc w:val="both"/>
        <w:rPr>
          <w:rFonts w:ascii="Palatino Linotype" w:hAnsi="Palatino Linotype" w:cs="Arial"/>
          <w:sz w:val="24"/>
          <w:szCs w:val="24"/>
        </w:rPr>
      </w:pPr>
      <w:r>
        <w:rPr>
          <w:rFonts w:ascii="Palatino Linotype" w:hAnsi="Palatino Linotype" w:cs="Arial"/>
          <w:sz w:val="24"/>
          <w:szCs w:val="24"/>
        </w:rPr>
        <w:t>En concreto respecto de los datos que forman parte del padrón de vehículos como lo es el número de motor y número de seri</w:t>
      </w:r>
      <w:r w:rsidR="007C5405">
        <w:rPr>
          <w:rFonts w:ascii="Palatino Linotype" w:hAnsi="Palatino Linotype" w:cs="Arial"/>
          <w:sz w:val="24"/>
          <w:szCs w:val="24"/>
        </w:rPr>
        <w:t>e</w:t>
      </w:r>
      <w:r>
        <w:rPr>
          <w:rFonts w:ascii="Palatino Linotype" w:hAnsi="Palatino Linotype" w:cs="Arial"/>
          <w:sz w:val="24"/>
          <w:szCs w:val="24"/>
        </w:rPr>
        <w:t xml:space="preserve">, </w:t>
      </w:r>
      <w:r w:rsidR="00F336DD">
        <w:rPr>
          <w:rFonts w:ascii="Palatino Linotype" w:hAnsi="Palatino Linotype" w:cs="Arial"/>
          <w:sz w:val="24"/>
          <w:szCs w:val="24"/>
        </w:rPr>
        <w:t xml:space="preserve">estos son una secuencia única de identificación alfanumérica la cual permite a las autoridades validar el estatus legal </w:t>
      </w:r>
      <w:r w:rsidR="00F336DD">
        <w:rPr>
          <w:rFonts w:ascii="Palatino Linotype" w:hAnsi="Palatino Linotype" w:cs="Arial"/>
          <w:sz w:val="24"/>
          <w:szCs w:val="24"/>
        </w:rPr>
        <w:lastRenderedPageBreak/>
        <w:t>del vehículo</w:t>
      </w:r>
      <w:r w:rsidR="00AC39E8">
        <w:rPr>
          <w:rFonts w:ascii="Palatino Linotype" w:hAnsi="Palatino Linotype" w:cs="Arial"/>
          <w:sz w:val="24"/>
          <w:szCs w:val="24"/>
        </w:rPr>
        <w:t xml:space="preserve"> y el motor, mismo que debe grabarse directamente sobre una pieza estructural del vehículo inamovible o difícil de remplazar de la carrocería.   </w:t>
      </w:r>
    </w:p>
    <w:p w:rsidR="00191C1E" w:rsidRDefault="00191C1E" w:rsidP="00191C1E">
      <w:pPr>
        <w:pStyle w:val="Sinespaciado"/>
      </w:pPr>
    </w:p>
    <w:p w:rsidR="000E2E36" w:rsidRDefault="00F336DD" w:rsidP="00E476BB">
      <w:pPr>
        <w:spacing w:line="360" w:lineRule="auto"/>
        <w:jc w:val="both"/>
        <w:rPr>
          <w:rFonts w:ascii="Palatino Linotype" w:hAnsi="Palatino Linotype" w:cs="Arial"/>
          <w:sz w:val="24"/>
          <w:szCs w:val="24"/>
        </w:rPr>
      </w:pPr>
      <w:r w:rsidRPr="00AA7A42">
        <w:rPr>
          <w:rFonts w:ascii="Palatino Linotype" w:hAnsi="Palatino Linotype" w:cs="Arial"/>
          <w:sz w:val="24"/>
          <w:szCs w:val="24"/>
        </w:rPr>
        <w:t>Consecuentemente</w:t>
      </w:r>
      <w:r w:rsidR="00967EF9" w:rsidRPr="00AA7A42">
        <w:rPr>
          <w:rFonts w:ascii="Palatino Linotype" w:hAnsi="Palatino Linotype" w:cs="Arial"/>
          <w:sz w:val="24"/>
          <w:szCs w:val="24"/>
        </w:rPr>
        <w:t xml:space="preserve"> </w:t>
      </w:r>
      <w:r w:rsidR="007C5405" w:rsidRPr="00AA7A42">
        <w:rPr>
          <w:rFonts w:ascii="Palatino Linotype" w:hAnsi="Palatino Linotype" w:cs="Arial"/>
          <w:sz w:val="24"/>
          <w:szCs w:val="24"/>
        </w:rPr>
        <w:t>divulgarse</w:t>
      </w:r>
      <w:r w:rsidR="00967EF9" w:rsidRPr="00AA7A42">
        <w:rPr>
          <w:rFonts w:ascii="Palatino Linotype" w:hAnsi="Palatino Linotype" w:cs="Arial"/>
          <w:sz w:val="24"/>
          <w:szCs w:val="24"/>
        </w:rPr>
        <w:t xml:space="preserve"> esos datos pondr</w:t>
      </w:r>
      <w:r w:rsidR="007C5405" w:rsidRPr="00AA7A42">
        <w:rPr>
          <w:rFonts w:ascii="Palatino Linotype" w:hAnsi="Palatino Linotype" w:cs="Arial"/>
          <w:sz w:val="24"/>
          <w:szCs w:val="24"/>
        </w:rPr>
        <w:t xml:space="preserve">ía en riesgo </w:t>
      </w:r>
      <w:r w:rsidR="00AC39E8" w:rsidRPr="00AA7A42">
        <w:rPr>
          <w:rFonts w:ascii="Palatino Linotype" w:hAnsi="Palatino Linotype" w:cs="Arial"/>
          <w:sz w:val="24"/>
          <w:szCs w:val="24"/>
        </w:rPr>
        <w:t>la</w:t>
      </w:r>
      <w:r w:rsidRPr="00AA7A42">
        <w:rPr>
          <w:rFonts w:ascii="Palatino Linotype" w:hAnsi="Palatino Linotype" w:cs="Arial"/>
          <w:sz w:val="24"/>
          <w:szCs w:val="24"/>
        </w:rPr>
        <w:t xml:space="preserve"> seguridad </w:t>
      </w:r>
      <w:r w:rsidR="00276C2C">
        <w:rPr>
          <w:rFonts w:ascii="Palatino Linotype" w:hAnsi="Palatino Linotype" w:cs="Arial"/>
          <w:sz w:val="24"/>
          <w:szCs w:val="24"/>
        </w:rPr>
        <w:t>de</w:t>
      </w:r>
      <w:r w:rsidR="00337DE4">
        <w:rPr>
          <w:rFonts w:ascii="Palatino Linotype" w:hAnsi="Palatino Linotype" w:cs="Arial"/>
          <w:sz w:val="24"/>
          <w:szCs w:val="24"/>
        </w:rPr>
        <w:t>l vehículo</w:t>
      </w:r>
      <w:r w:rsidR="00AC39E8" w:rsidRPr="00AA7A42">
        <w:rPr>
          <w:rFonts w:ascii="Palatino Linotype" w:hAnsi="Palatino Linotype" w:cs="Arial"/>
          <w:sz w:val="24"/>
          <w:szCs w:val="24"/>
        </w:rPr>
        <w:t xml:space="preserve">, pues no es ignorado que nos números de serie pueden ser duplicados por </w:t>
      </w:r>
      <w:r w:rsidR="00EE17E6" w:rsidRPr="00AA7A42">
        <w:rPr>
          <w:rFonts w:ascii="Palatino Linotype" w:hAnsi="Palatino Linotype" w:cs="Arial"/>
          <w:sz w:val="24"/>
          <w:szCs w:val="24"/>
        </w:rPr>
        <w:t>personas para ser reasentados en otros veh</w:t>
      </w:r>
      <w:r w:rsidR="00EE17E6">
        <w:rPr>
          <w:rFonts w:ascii="Palatino Linotype" w:hAnsi="Palatino Linotype" w:cs="Arial"/>
          <w:sz w:val="24"/>
          <w:szCs w:val="24"/>
        </w:rPr>
        <w:t xml:space="preserve">ículos cometiendo así actos ilícitos, lo cierto es que si bien, no se pueden hacer identificables a sus propietarios, lo cierto es que proporcionan todos los datos para hacer identificable al </w:t>
      </w:r>
      <w:r w:rsidR="00AA7A42">
        <w:rPr>
          <w:rFonts w:ascii="Palatino Linotype" w:hAnsi="Palatino Linotype" w:cs="Arial"/>
          <w:sz w:val="24"/>
          <w:szCs w:val="24"/>
        </w:rPr>
        <w:t>vehículo</w:t>
      </w:r>
      <w:r w:rsidR="00EE17E6">
        <w:rPr>
          <w:rFonts w:ascii="Palatino Linotype" w:hAnsi="Palatino Linotype" w:cs="Arial"/>
          <w:sz w:val="24"/>
          <w:szCs w:val="24"/>
        </w:rPr>
        <w:t xml:space="preserve">, por lo que las mencionadas características podrían ser utilizadas para la reproducción o identificación de vehículos con similares características </w:t>
      </w:r>
      <w:r w:rsidR="00AA7A42">
        <w:rPr>
          <w:rFonts w:ascii="Palatino Linotype" w:hAnsi="Palatino Linotype" w:cs="Arial"/>
          <w:sz w:val="24"/>
          <w:szCs w:val="24"/>
        </w:rPr>
        <w:t>provenientes de actos constitutivos d</w:t>
      </w:r>
      <w:r w:rsidR="00EE17E6">
        <w:rPr>
          <w:rFonts w:ascii="Palatino Linotype" w:hAnsi="Palatino Linotype" w:cs="Arial"/>
          <w:sz w:val="24"/>
          <w:szCs w:val="24"/>
        </w:rPr>
        <w:t xml:space="preserve">e delitos, </w:t>
      </w:r>
      <w:r w:rsidR="00AA7A42">
        <w:rPr>
          <w:rFonts w:ascii="Palatino Linotype" w:hAnsi="Palatino Linotype" w:cs="Arial"/>
          <w:sz w:val="24"/>
          <w:szCs w:val="24"/>
        </w:rPr>
        <w:t>ocasionando</w:t>
      </w:r>
      <w:r w:rsidR="00EE17E6">
        <w:rPr>
          <w:rFonts w:ascii="Palatino Linotype" w:hAnsi="Palatino Linotype" w:cs="Arial"/>
          <w:sz w:val="24"/>
          <w:szCs w:val="24"/>
        </w:rPr>
        <w:t xml:space="preserve"> así la </w:t>
      </w:r>
      <w:r w:rsidR="00AA7A42">
        <w:rPr>
          <w:rFonts w:ascii="Palatino Linotype" w:hAnsi="Palatino Linotype" w:cs="Arial"/>
          <w:sz w:val="24"/>
          <w:szCs w:val="24"/>
        </w:rPr>
        <w:t xml:space="preserve">duplicidad de número de serie y ello con el fin de obtener un beneficio fundado en un hecho ilícito </w:t>
      </w:r>
    </w:p>
    <w:p w:rsidR="001B16FD" w:rsidRDefault="00AA7A42" w:rsidP="001B16FD">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ese sentido, la publicidad de tales datos debe ser valorada, no por tratarse de datos </w:t>
      </w:r>
      <w:r w:rsidR="001A6811">
        <w:rPr>
          <w:rFonts w:ascii="Palatino Linotype" w:hAnsi="Palatino Linotype" w:cs="Arial"/>
          <w:sz w:val="24"/>
          <w:szCs w:val="24"/>
        </w:rPr>
        <w:t>susceptibles</w:t>
      </w:r>
      <w:r>
        <w:rPr>
          <w:rFonts w:ascii="Palatino Linotype" w:hAnsi="Palatino Linotype" w:cs="Arial"/>
          <w:sz w:val="24"/>
          <w:szCs w:val="24"/>
        </w:rPr>
        <w:t xml:space="preserve"> de ser enmarcados como personales, </w:t>
      </w:r>
      <w:r w:rsidR="001B16FD">
        <w:rPr>
          <w:rFonts w:ascii="Palatino Linotype" w:hAnsi="Palatino Linotype" w:cs="Arial"/>
          <w:sz w:val="24"/>
          <w:szCs w:val="24"/>
        </w:rPr>
        <w:t>sino</w:t>
      </w:r>
      <w:r>
        <w:rPr>
          <w:rFonts w:ascii="Palatino Linotype" w:hAnsi="Palatino Linotype" w:cs="Arial"/>
          <w:sz w:val="24"/>
          <w:szCs w:val="24"/>
        </w:rPr>
        <w:t xml:space="preserve"> </w:t>
      </w:r>
      <w:r w:rsidR="001B16FD">
        <w:rPr>
          <w:rFonts w:ascii="Palatino Linotype" w:hAnsi="Palatino Linotype" w:cs="Arial"/>
          <w:sz w:val="24"/>
          <w:szCs w:val="24"/>
        </w:rPr>
        <w:t>porque</w:t>
      </w:r>
      <w:r>
        <w:rPr>
          <w:rFonts w:ascii="Palatino Linotype" w:hAnsi="Palatino Linotype" w:cs="Arial"/>
          <w:sz w:val="24"/>
          <w:szCs w:val="24"/>
        </w:rPr>
        <w:t xml:space="preserve"> el mal uso que pudiera hacerse de la misma en manos de personas </w:t>
      </w:r>
      <w:r w:rsidR="001B16FD">
        <w:rPr>
          <w:rFonts w:ascii="Palatino Linotype" w:hAnsi="Palatino Linotype" w:cs="Arial"/>
          <w:sz w:val="24"/>
          <w:szCs w:val="24"/>
        </w:rPr>
        <w:t>incorrectas</w:t>
      </w:r>
      <w:r>
        <w:rPr>
          <w:rFonts w:ascii="Palatino Linotype" w:hAnsi="Palatino Linotype" w:cs="Arial"/>
          <w:sz w:val="24"/>
          <w:szCs w:val="24"/>
        </w:rPr>
        <w:t xml:space="preserve"> facilitaría la comisión de delitos vulnerando así </w:t>
      </w:r>
      <w:r w:rsidR="001A6811">
        <w:rPr>
          <w:rFonts w:ascii="Palatino Linotype" w:hAnsi="Palatino Linotype" w:cs="Arial"/>
          <w:sz w:val="24"/>
          <w:szCs w:val="24"/>
        </w:rPr>
        <w:t xml:space="preserve">la </w:t>
      </w:r>
      <w:r w:rsidR="001A6811" w:rsidRPr="004B656C">
        <w:rPr>
          <w:rFonts w:ascii="Palatino Linotype" w:hAnsi="Palatino Linotype" w:cs="Arial"/>
          <w:sz w:val="24"/>
          <w:szCs w:val="24"/>
        </w:rPr>
        <w:t>seguridad tanto del ayuntamiento así como la de terceros que pudieran verse inmersos en las consecuencias de tales actos.</w:t>
      </w:r>
      <w:r w:rsidR="001A6811">
        <w:rPr>
          <w:rFonts w:ascii="Palatino Linotype" w:hAnsi="Palatino Linotype" w:cs="Arial"/>
          <w:sz w:val="24"/>
          <w:szCs w:val="24"/>
        </w:rPr>
        <w:t xml:space="preserve"> </w:t>
      </w:r>
    </w:p>
    <w:p w:rsidR="001A6811" w:rsidRDefault="001A6811" w:rsidP="001F0F78">
      <w:pPr>
        <w:pStyle w:val="Sinespaciado"/>
      </w:pPr>
    </w:p>
    <w:p w:rsidR="00E64C1E" w:rsidRDefault="00E64C1E" w:rsidP="00E476BB">
      <w:pPr>
        <w:spacing w:line="360" w:lineRule="auto"/>
        <w:jc w:val="both"/>
        <w:rPr>
          <w:rFonts w:ascii="Palatino Linotype" w:hAnsi="Palatino Linotype" w:cs="Arial"/>
          <w:sz w:val="24"/>
          <w:szCs w:val="24"/>
        </w:rPr>
      </w:pPr>
      <w:r>
        <w:rPr>
          <w:rFonts w:ascii="Palatino Linotype" w:hAnsi="Palatino Linotype" w:cs="Arial"/>
          <w:sz w:val="24"/>
          <w:szCs w:val="24"/>
        </w:rPr>
        <w:t>Es por las consideraciones precisadas en párrafos anteriores, que se acredita que el Sujeto Obligado tiene en sus archivos la información peticionada, consecuentemente resulta dable ordenar la entrega en versión p</w:t>
      </w:r>
      <w:r w:rsidR="001F0F78">
        <w:rPr>
          <w:rFonts w:ascii="Palatino Linotype" w:hAnsi="Palatino Linotype" w:cs="Arial"/>
          <w:sz w:val="24"/>
          <w:szCs w:val="24"/>
        </w:rPr>
        <w:t>ública de las facturas y pólizas de pagos</w:t>
      </w:r>
      <w:r>
        <w:rPr>
          <w:rFonts w:ascii="Palatino Linotype" w:hAnsi="Palatino Linotype" w:cs="Arial"/>
          <w:sz w:val="24"/>
          <w:szCs w:val="24"/>
        </w:rPr>
        <w:t xml:space="preserve"> </w:t>
      </w:r>
      <w:r w:rsidR="001F0F78">
        <w:rPr>
          <w:rFonts w:ascii="Palatino Linotype" w:hAnsi="Palatino Linotype" w:cs="Arial"/>
          <w:sz w:val="24"/>
          <w:szCs w:val="24"/>
        </w:rPr>
        <w:t xml:space="preserve">de los vehículos referidos en la etapa de manifestaciones. </w:t>
      </w:r>
    </w:p>
    <w:p w:rsidR="001B16FD" w:rsidRDefault="001B16FD" w:rsidP="001F0F78">
      <w:pPr>
        <w:pStyle w:val="Sinespaciado"/>
      </w:pPr>
    </w:p>
    <w:p w:rsidR="00461687" w:rsidRDefault="00461687" w:rsidP="00E476BB">
      <w:pPr>
        <w:spacing w:line="360" w:lineRule="auto"/>
        <w:jc w:val="both"/>
        <w:rPr>
          <w:rFonts w:ascii="Palatino Linotype" w:hAnsi="Palatino Linotype" w:cs="Arial"/>
          <w:sz w:val="24"/>
          <w:szCs w:val="24"/>
        </w:rPr>
      </w:pPr>
    </w:p>
    <w:p w:rsidR="00AC231E" w:rsidRDefault="001F0F78" w:rsidP="00E476BB">
      <w:pPr>
        <w:spacing w:line="360" w:lineRule="auto"/>
        <w:jc w:val="both"/>
        <w:rPr>
          <w:rFonts w:ascii="Palatino Linotype" w:hAnsi="Palatino Linotype"/>
          <w:sz w:val="24"/>
          <w:szCs w:val="24"/>
        </w:rPr>
      </w:pPr>
      <w:r w:rsidRPr="00DB3989">
        <w:rPr>
          <w:rFonts w:ascii="Palatino Linotype" w:hAnsi="Palatino Linotype" w:cs="Arial"/>
          <w:sz w:val="24"/>
          <w:szCs w:val="24"/>
        </w:rPr>
        <w:lastRenderedPageBreak/>
        <w:t>Ahora bien respecto</w:t>
      </w:r>
      <w:r>
        <w:rPr>
          <w:rFonts w:ascii="Palatino Linotype" w:hAnsi="Palatino Linotype" w:cs="Arial"/>
          <w:sz w:val="24"/>
          <w:szCs w:val="24"/>
        </w:rPr>
        <w:t xml:space="preserve"> a la información relativa al estado</w:t>
      </w:r>
      <w:r>
        <w:rPr>
          <w:rFonts w:ascii="Palatino Linotype" w:hAnsi="Palatino Linotype"/>
          <w:sz w:val="24"/>
          <w:szCs w:val="24"/>
        </w:rPr>
        <w:t xml:space="preserve"> de resultados, balance general de la cuenta pública municipal y gastos generados por los titulares de las áreas administrativas, por el periodo comprendido del uno de enero al veintisiete de febrero del año en curso</w:t>
      </w:r>
      <w:r>
        <w:rPr>
          <w:rFonts w:ascii="Palatino Linotype" w:hAnsi="Palatino Linotype" w:cs="Arial"/>
          <w:sz w:val="24"/>
          <w:szCs w:val="24"/>
        </w:rPr>
        <w:t xml:space="preserve">, resulta necesario precisar que </w:t>
      </w:r>
      <w:r w:rsidR="00521CC2">
        <w:rPr>
          <w:rFonts w:ascii="Palatino Linotype" w:hAnsi="Palatino Linotype" w:cs="Arial"/>
          <w:sz w:val="24"/>
          <w:szCs w:val="24"/>
        </w:rPr>
        <w:t xml:space="preserve">el Sujeto Obligado no niega la entrega de la información, por lo contrario le informa al particular que la información aún no ha sido remitida al Órgano Superior de Fiscalización del Estado de México (OSFEM) pues de acuerdo a las fechas publicadas en </w:t>
      </w:r>
      <w:r w:rsidR="004D6F40">
        <w:rPr>
          <w:rFonts w:ascii="Palatino Linotype" w:hAnsi="Palatino Linotype" w:cs="Arial"/>
          <w:sz w:val="24"/>
          <w:szCs w:val="24"/>
        </w:rPr>
        <w:t xml:space="preserve">el sumario de la Gaceta del Gobierno del Estado de México, para presentar sus informes mensuales son; para el mes de enero la fecha límite es el tres de abril y para el mes de febrero el día veintitrés de abril de los corrientes, por lo que de acuerdo al cómputo de los días, la fecha de presentación de la solicitud fue </w:t>
      </w:r>
      <w:r w:rsidR="00C1217D">
        <w:rPr>
          <w:rFonts w:ascii="Palatino Linotype" w:hAnsi="Palatino Linotype" w:cs="Arial"/>
          <w:sz w:val="24"/>
          <w:szCs w:val="24"/>
        </w:rPr>
        <w:t xml:space="preserve">el día veintisiete de febrero, la respuesta a la solicitud de información ocurrió en fecha veintiuno de marzo, por lo que el Ayuntamiento de Polotitlán efectivamente aun contaba con tiempo para poder remitir al OSFEM los documentos peticionados </w:t>
      </w:r>
      <w:r w:rsidR="00C1217D" w:rsidRPr="00005D84">
        <w:rPr>
          <w:rFonts w:ascii="Palatino Linotype" w:hAnsi="Palatino Linotype" w:cs="Arial"/>
          <w:sz w:val="24"/>
          <w:szCs w:val="24"/>
        </w:rPr>
        <w:t>(e</w:t>
      </w:r>
      <w:r w:rsidR="00C1217D" w:rsidRPr="00005D84">
        <w:rPr>
          <w:rFonts w:ascii="Palatino Linotype" w:hAnsi="Palatino Linotype"/>
          <w:sz w:val="24"/>
          <w:szCs w:val="24"/>
        </w:rPr>
        <w:t>stado de resultados, balance general de la cuenta pública municipal y gastos generados por los titulares de las áreas administrativas</w:t>
      </w:r>
      <w:r w:rsidR="00AC231E" w:rsidRPr="00005D84">
        <w:rPr>
          <w:rFonts w:ascii="Palatino Linotype" w:hAnsi="Palatino Linotype"/>
          <w:sz w:val="24"/>
          <w:szCs w:val="24"/>
        </w:rPr>
        <w:t>)</w:t>
      </w:r>
    </w:p>
    <w:p w:rsidR="00DB3989" w:rsidRDefault="00DB3989" w:rsidP="00DB3989">
      <w:pPr>
        <w:pStyle w:val="Sinespaciado"/>
      </w:pPr>
    </w:p>
    <w:p w:rsidR="008C296A" w:rsidRPr="008C296A" w:rsidRDefault="008C296A" w:rsidP="008C296A">
      <w:pPr>
        <w:spacing w:line="360" w:lineRule="auto"/>
        <w:jc w:val="both"/>
        <w:rPr>
          <w:rFonts w:ascii="Palatino Linotype" w:hAnsi="Palatino Linotype" w:cs="Arial"/>
          <w:sz w:val="24"/>
        </w:rPr>
      </w:pPr>
      <w:r w:rsidRPr="008C296A">
        <w:rPr>
          <w:rFonts w:ascii="Palatino Linotype" w:hAnsi="Palatino Linotype" w:cs="Arial"/>
          <w:sz w:val="24"/>
        </w:rPr>
        <w:t xml:space="preserve">En conclusión, el derecho de acceso a la información pública, consiste en que la información solicitada conste en un documento en cualquiera de sus formas, a saber: expedientes, </w:t>
      </w:r>
      <w:r w:rsidRPr="008C296A">
        <w:rPr>
          <w:rFonts w:ascii="Palatino Linotype" w:hAnsi="Palatino Linotype" w:cs="Arial"/>
          <w:b/>
          <w:sz w:val="24"/>
        </w:rPr>
        <w:t>reportes</w:t>
      </w:r>
      <w:r w:rsidRPr="008C296A">
        <w:rPr>
          <w:rFonts w:ascii="Palatino Linotype" w:hAnsi="Palatino Linotype" w:cs="Arial"/>
          <w:sz w:val="24"/>
        </w:rPr>
        <w:t xml:space="preserve">,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w:t>
      </w:r>
      <w:r w:rsidRPr="008C296A">
        <w:rPr>
          <w:rFonts w:ascii="Palatino Linotype" w:hAnsi="Palatino Linotype" w:cs="Arial"/>
          <w:sz w:val="24"/>
        </w:rPr>
        <w:lastRenderedPageBreak/>
        <w:t xml:space="preserve">u holográfico de conformidad con el artículo 3, fracción XI de la Ley de la materia, el cual señala lo siguiente: </w:t>
      </w:r>
    </w:p>
    <w:p w:rsidR="008C296A" w:rsidRPr="004975CB" w:rsidRDefault="008C296A" w:rsidP="008C296A">
      <w:pPr>
        <w:ind w:left="851" w:right="899"/>
        <w:jc w:val="both"/>
        <w:rPr>
          <w:rFonts w:ascii="Palatino Linotype" w:hAnsi="Palatino Linotype" w:cs="Arial"/>
          <w:i/>
        </w:rPr>
      </w:pPr>
    </w:p>
    <w:p w:rsidR="008C296A" w:rsidRPr="004975CB" w:rsidRDefault="008C296A" w:rsidP="008C296A">
      <w:pPr>
        <w:ind w:left="851" w:right="899"/>
        <w:jc w:val="both"/>
        <w:rPr>
          <w:rFonts w:ascii="Palatino Linotype" w:hAnsi="Palatino Linotype" w:cs="Arial"/>
          <w:i/>
        </w:rPr>
      </w:pPr>
      <w:r w:rsidRPr="004975CB">
        <w:rPr>
          <w:rFonts w:ascii="Palatino Linotype" w:hAnsi="Palatino Linotype" w:cs="Arial"/>
          <w:i/>
        </w:rPr>
        <w:t>“</w:t>
      </w:r>
      <w:r w:rsidRPr="004975CB">
        <w:rPr>
          <w:rFonts w:ascii="Palatino Linotype" w:hAnsi="Palatino Linotype" w:cs="Arial"/>
          <w:b/>
          <w:i/>
        </w:rPr>
        <w:t xml:space="preserve">Artículo 3. </w:t>
      </w:r>
      <w:r w:rsidRPr="004975CB">
        <w:rPr>
          <w:rFonts w:ascii="Palatino Linotype" w:hAnsi="Palatino Linotype" w:cs="Arial"/>
          <w:i/>
        </w:rPr>
        <w:t>Para los efectos de la presente Ley se entenderá por:</w:t>
      </w:r>
    </w:p>
    <w:p w:rsidR="008C296A" w:rsidRPr="004975CB" w:rsidRDefault="008C296A" w:rsidP="008C296A">
      <w:pPr>
        <w:ind w:left="851" w:right="899"/>
        <w:jc w:val="both"/>
        <w:rPr>
          <w:rFonts w:ascii="Palatino Linotype" w:hAnsi="Palatino Linotype" w:cs="Arial"/>
          <w:i/>
        </w:rPr>
      </w:pPr>
      <w:r w:rsidRPr="004975CB">
        <w:rPr>
          <w:rFonts w:ascii="Palatino Linotype" w:hAnsi="Palatino Linotype" w:cs="Arial"/>
          <w:i/>
        </w:rPr>
        <w:t>…</w:t>
      </w:r>
    </w:p>
    <w:p w:rsidR="008C296A" w:rsidRPr="009E12B6" w:rsidRDefault="008C296A" w:rsidP="008C296A">
      <w:pPr>
        <w:ind w:left="851" w:right="899"/>
        <w:jc w:val="both"/>
        <w:rPr>
          <w:rFonts w:ascii="Palatino Linotype" w:hAnsi="Palatino Linotype" w:cs="Arial"/>
          <w:i/>
          <w:color w:val="000000"/>
        </w:rPr>
      </w:pPr>
      <w:r w:rsidRPr="009E12B6">
        <w:rPr>
          <w:rFonts w:ascii="Palatino Linotype" w:hAnsi="Palatino Linotype" w:cs="Arial"/>
          <w:b/>
          <w:i/>
          <w:color w:val="000000"/>
        </w:rPr>
        <w:t>XI. Documento:</w:t>
      </w:r>
      <w:r w:rsidRPr="009E12B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C296A" w:rsidRPr="009E12B6" w:rsidRDefault="008C296A" w:rsidP="008C296A">
      <w:pPr>
        <w:ind w:left="851" w:right="899"/>
        <w:jc w:val="both"/>
        <w:rPr>
          <w:rFonts w:ascii="Palatino Linotype" w:hAnsi="Palatino Linotype" w:cs="Arial"/>
          <w:i/>
          <w:color w:val="000000"/>
        </w:rPr>
      </w:pPr>
      <w:r w:rsidRPr="009E12B6">
        <w:rPr>
          <w:rFonts w:ascii="Palatino Linotype" w:hAnsi="Palatino Linotype" w:cs="Arial"/>
          <w:b/>
          <w:i/>
          <w:color w:val="000000"/>
        </w:rPr>
        <w:t>…</w:t>
      </w:r>
      <w:r w:rsidRPr="009E12B6">
        <w:rPr>
          <w:rFonts w:ascii="Palatino Linotype" w:hAnsi="Palatino Linotype" w:cs="Arial"/>
          <w:i/>
          <w:color w:val="000000"/>
        </w:rPr>
        <w:t>”</w:t>
      </w:r>
    </w:p>
    <w:p w:rsidR="008C296A" w:rsidRPr="008C296A" w:rsidRDefault="008C296A" w:rsidP="008C296A">
      <w:pPr>
        <w:autoSpaceDE w:val="0"/>
        <w:autoSpaceDN w:val="0"/>
        <w:adjustRightInd w:val="0"/>
        <w:spacing w:line="360" w:lineRule="auto"/>
        <w:jc w:val="both"/>
        <w:rPr>
          <w:rFonts w:ascii="Palatino Linotype" w:hAnsi="Palatino Linotype" w:cs="Arial"/>
          <w:sz w:val="24"/>
        </w:rPr>
      </w:pPr>
      <w:r w:rsidRPr="008C296A">
        <w:rPr>
          <w:rFonts w:ascii="Palatino Linotype" w:hAnsi="Palatino Linotype" w:cs="Arial"/>
          <w:sz w:val="24"/>
        </w:rPr>
        <w:t xml:space="preserve">Siendo aplicable, el Criterio </w:t>
      </w:r>
      <w:r w:rsidRPr="008C296A">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C296A">
        <w:rPr>
          <w:rFonts w:ascii="Palatino Linotype" w:hAnsi="Palatino Linotype" w:cs="Arial"/>
          <w:sz w:val="24"/>
        </w:rPr>
        <w:t>cuyo rubro y texto refieren lo siguiente:</w:t>
      </w:r>
    </w:p>
    <w:p w:rsidR="008C296A" w:rsidRPr="004B675A" w:rsidRDefault="008C296A" w:rsidP="008C296A">
      <w:pPr>
        <w:ind w:left="851" w:right="899"/>
        <w:jc w:val="both"/>
        <w:rPr>
          <w:rFonts w:ascii="Palatino Linotype" w:hAnsi="Palatino Linotype" w:cs="Arial"/>
          <w:b/>
          <w:i/>
          <w:lang w:eastAsia="es-MX"/>
        </w:rPr>
      </w:pPr>
      <w:r w:rsidRPr="009E12B6">
        <w:rPr>
          <w:rFonts w:ascii="Palatino Linotype" w:hAnsi="Palatino Linotype" w:cs="Arial"/>
          <w:b/>
          <w:lang w:eastAsia="es-MX"/>
        </w:rPr>
        <w:t>“</w:t>
      </w:r>
      <w:r w:rsidRPr="004B675A">
        <w:rPr>
          <w:rFonts w:ascii="Palatino Linotype" w:hAnsi="Palatino Linotype" w:cs="Arial"/>
          <w:b/>
          <w:i/>
          <w:lang w:eastAsia="es-MX"/>
        </w:rPr>
        <w:t>CRITERIO 0002-11</w:t>
      </w:r>
    </w:p>
    <w:p w:rsidR="008C296A" w:rsidRPr="009E12B6" w:rsidRDefault="008C296A" w:rsidP="008C296A">
      <w:pPr>
        <w:ind w:left="851" w:right="899"/>
        <w:jc w:val="both"/>
        <w:rPr>
          <w:rFonts w:ascii="Palatino Linotype" w:hAnsi="Palatino Linotype" w:cs="Arial"/>
          <w:i/>
          <w:lang w:eastAsia="es-MX"/>
        </w:rPr>
      </w:pPr>
      <w:r w:rsidRPr="004B675A">
        <w:rPr>
          <w:rFonts w:ascii="Palatino Linotype" w:hAnsi="Palatino Linotype" w:cs="Arial"/>
          <w:b/>
          <w:i/>
          <w:lang w:eastAsia="es-MX"/>
        </w:rPr>
        <w:t xml:space="preserve">INFORMACIÓN PÚBLICA, CONCEPTO DE, EN MATERIA DE TRANSPARENCIA. INTERPRETACIÓN SISTEMÁTICA DE LOS ARTÍCULOS 2°, FRACCIÓN </w:t>
      </w:r>
      <w:r w:rsidRPr="004B675A">
        <w:rPr>
          <w:rFonts w:ascii="Palatino Linotype" w:hAnsi="Palatino Linotype" w:cs="Arial"/>
          <w:b/>
          <w:bCs/>
          <w:i/>
          <w:lang w:eastAsia="es-MX"/>
        </w:rPr>
        <w:t xml:space="preserve">V, XV, Y XVI, </w:t>
      </w:r>
      <w:r w:rsidRPr="004B675A">
        <w:rPr>
          <w:rFonts w:ascii="Palatino Linotype" w:hAnsi="Palatino Linotype" w:cs="Arial"/>
          <w:b/>
          <w:i/>
          <w:lang w:eastAsia="es-MX"/>
        </w:rPr>
        <w:t>3°, 4°, 11 Y 41.</w:t>
      </w:r>
      <w:r w:rsidRPr="004B675A">
        <w:rPr>
          <w:rFonts w:ascii="Palatino Linotype" w:hAnsi="Palatino Linotype" w:cs="Arial"/>
          <w:i/>
          <w:lang w:eastAsia="es-MX"/>
        </w:rPr>
        <w:t xml:space="preserve"> De conformidad con los artículos antes referidos, el derecho de acceso a la información pública</w:t>
      </w:r>
      <w:r w:rsidRPr="009E12B6">
        <w:rPr>
          <w:rFonts w:ascii="Palatino Linotype" w:hAnsi="Palatino Linotype" w:cs="Arial"/>
          <w:i/>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lastRenderedPageBreak/>
        <w:t>En consecuencia el acceso a la información se refiere a que se cumplan cualquiera de los siguientes tres supuestos:</w:t>
      </w:r>
    </w:p>
    <w:p w:rsidR="008C296A" w:rsidRPr="009E12B6" w:rsidRDefault="008C296A" w:rsidP="008C296A">
      <w:pPr>
        <w:ind w:left="851" w:right="899"/>
        <w:jc w:val="both"/>
        <w:rPr>
          <w:rFonts w:ascii="Palatino Linotype" w:hAnsi="Palatino Linotype" w:cs="Arial"/>
          <w:b/>
          <w:i/>
          <w:lang w:eastAsia="es-MX"/>
        </w:rPr>
      </w:pPr>
      <w:r w:rsidRPr="009E12B6">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3) Que se trate de información registrada en cualquier soporte documental, que en ejercicio de las atribuciones conferidas, se encuentre en pose</w:t>
      </w:r>
      <w:r>
        <w:rPr>
          <w:rFonts w:ascii="Palatino Linotype" w:hAnsi="Palatino Linotype" w:cs="Arial"/>
          <w:i/>
          <w:lang w:eastAsia="es-MX"/>
        </w:rPr>
        <w:t>sión de los Sujetos Obligados.”</w:t>
      </w:r>
    </w:p>
    <w:p w:rsidR="008C296A" w:rsidRDefault="008C296A" w:rsidP="008C296A">
      <w:pPr>
        <w:spacing w:before="240" w:after="240" w:line="360" w:lineRule="auto"/>
        <w:ind w:right="49"/>
        <w:contextualSpacing/>
        <w:jc w:val="both"/>
        <w:rPr>
          <w:rFonts w:ascii="Palatino Linotype" w:hAnsi="Palatino Linotype" w:cs="Arial"/>
        </w:rPr>
      </w:pPr>
    </w:p>
    <w:p w:rsidR="008C296A" w:rsidRPr="008C296A" w:rsidRDefault="008C296A" w:rsidP="008C296A">
      <w:pPr>
        <w:spacing w:before="240" w:after="240" w:line="360" w:lineRule="auto"/>
        <w:ind w:right="49"/>
        <w:contextualSpacing/>
        <w:jc w:val="both"/>
        <w:rPr>
          <w:rFonts w:ascii="Palatino Linotype" w:eastAsia="Calibri" w:hAnsi="Palatino Linotype" w:cs="Arial"/>
          <w:sz w:val="24"/>
        </w:rPr>
      </w:pPr>
      <w:r w:rsidRPr="008C296A">
        <w:rPr>
          <w:rFonts w:ascii="Palatino Linotype" w:eastAsia="Calibri" w:hAnsi="Palatino Linotype" w:cs="Arial"/>
          <w:sz w:val="24"/>
        </w:rPr>
        <w:t>En otro orden de ideas y atención a que la materia de la solicitud son los informes mensuales que realiza el Sujeto Obligado al Organismo Superior de Fiscalización del Estado de México, en primer lugar, es necesario a traer lo establecido por la Ley de Fiscalización Superior del Estado de México, ya que en su artículo 2 fracción XI, entiende al informe mensual como:</w:t>
      </w:r>
    </w:p>
    <w:p w:rsidR="00FF6EB3" w:rsidRDefault="00FF6EB3" w:rsidP="008C296A">
      <w:pPr>
        <w:spacing w:before="240" w:after="240"/>
        <w:ind w:left="567" w:right="616"/>
        <w:contextualSpacing/>
        <w:jc w:val="both"/>
        <w:rPr>
          <w:rFonts w:ascii="Palatino Linotype" w:eastAsia="Calibri" w:hAnsi="Palatino Linotype" w:cs="Arial"/>
          <w:i/>
        </w:rPr>
      </w:pPr>
    </w:p>
    <w:p w:rsidR="008C296A" w:rsidRDefault="008C296A" w:rsidP="008C296A">
      <w:pPr>
        <w:spacing w:before="240" w:after="240"/>
        <w:ind w:left="567" w:right="616"/>
        <w:contextualSpacing/>
        <w:jc w:val="both"/>
        <w:rPr>
          <w:rFonts w:ascii="Palatino Linotype" w:eastAsia="Calibri" w:hAnsi="Palatino Linotype" w:cs="Arial"/>
          <w:i/>
        </w:rPr>
      </w:pPr>
      <w:r>
        <w:rPr>
          <w:rFonts w:ascii="Palatino Linotype" w:eastAsia="Calibri" w:hAnsi="Palatino Linotype" w:cs="Arial"/>
          <w:i/>
        </w:rPr>
        <w:t>“Artículo 2…</w:t>
      </w:r>
    </w:p>
    <w:p w:rsidR="008C296A" w:rsidRDefault="008C296A" w:rsidP="008C296A">
      <w:pPr>
        <w:spacing w:before="240" w:after="240"/>
        <w:ind w:left="567" w:right="616"/>
        <w:contextualSpacing/>
        <w:jc w:val="both"/>
        <w:rPr>
          <w:rFonts w:ascii="Palatino Linotype" w:eastAsia="Calibri" w:hAnsi="Palatino Linotype" w:cs="Arial"/>
          <w:i/>
        </w:rPr>
      </w:pPr>
      <w:r w:rsidRPr="00387A16">
        <w:rPr>
          <w:rFonts w:ascii="Palatino Linotype" w:eastAsia="Calibri" w:hAnsi="Palatino Linotype" w:cs="Arial"/>
          <w:i/>
        </w:rPr>
        <w:t>XI. Informe Mensual: Al documento que mensualmente envían para su análisis al Órgano Superior de Fiscalización de la Legislatura, las Tesorerías Municipa</w:t>
      </w:r>
      <w:r>
        <w:rPr>
          <w:rFonts w:ascii="Palatino Linotype" w:eastAsia="Calibri" w:hAnsi="Palatino Linotype" w:cs="Arial"/>
          <w:i/>
        </w:rPr>
        <w:t>les y la Secretaría de Finanzas…”(Sic)</w:t>
      </w:r>
    </w:p>
    <w:p w:rsidR="008C296A" w:rsidRDefault="008C296A" w:rsidP="008C296A">
      <w:pPr>
        <w:spacing w:before="240" w:after="240" w:line="360" w:lineRule="auto"/>
        <w:ind w:right="49"/>
        <w:contextualSpacing/>
        <w:jc w:val="both"/>
        <w:rPr>
          <w:rFonts w:ascii="Palatino Linotype" w:eastAsia="Calibri" w:hAnsi="Palatino Linotype" w:cs="Arial"/>
        </w:rPr>
      </w:pPr>
    </w:p>
    <w:p w:rsidR="008C296A" w:rsidRPr="008C296A" w:rsidRDefault="008C296A" w:rsidP="008C296A">
      <w:pPr>
        <w:spacing w:before="240" w:after="240" w:line="360" w:lineRule="auto"/>
        <w:ind w:right="49"/>
        <w:contextualSpacing/>
        <w:jc w:val="both"/>
        <w:rPr>
          <w:rFonts w:ascii="Palatino Linotype" w:eastAsia="Calibri" w:hAnsi="Palatino Linotype" w:cs="Arial"/>
          <w:sz w:val="24"/>
        </w:rPr>
      </w:pPr>
      <w:r w:rsidRPr="008C296A">
        <w:rPr>
          <w:rFonts w:ascii="Palatino Linotype" w:eastAsia="Calibri" w:hAnsi="Palatino Linotype" w:cs="Arial"/>
          <w:sz w:val="24"/>
        </w:rPr>
        <w:t>Es decir, el informe mensual, es el documento por medio del cual la Tesorería del Sujeto Obligado, describe las características y realidades de un asunto o tema en particular, el cual deberá enviar al Órgano Superior de Fiscalización para su estudio de manera mensual.</w:t>
      </w:r>
    </w:p>
    <w:p w:rsidR="008C296A" w:rsidRPr="008C296A" w:rsidRDefault="008C296A" w:rsidP="008C296A">
      <w:pPr>
        <w:spacing w:before="240" w:after="240" w:line="360" w:lineRule="auto"/>
        <w:ind w:right="49"/>
        <w:contextualSpacing/>
        <w:jc w:val="both"/>
        <w:rPr>
          <w:rFonts w:ascii="Palatino Linotype" w:eastAsia="Calibri" w:hAnsi="Palatino Linotype" w:cs="Arial"/>
          <w:sz w:val="24"/>
        </w:rPr>
      </w:pPr>
      <w:r w:rsidRPr="008C296A">
        <w:rPr>
          <w:rFonts w:ascii="Palatino Linotype" w:eastAsia="Calibri" w:hAnsi="Palatino Linotype" w:cs="Arial"/>
          <w:sz w:val="24"/>
        </w:rPr>
        <w:lastRenderedPageBreak/>
        <w:t>Del concepto citado en el párrafo anterior, se desprende entonces que la Tesorería Municipal del Sujeto Obligado es la encargada de presentar al Órgano Superior de Fiscalización de la entidad, los informes mensuales correspondientes a los temas de su competencia, lo que se robustece por lo establecido por el artículo 95 fracción IV y XIV, XVII y XXIV de la Ley Orgánica Municipal del Estado de México, que a la letra dicen:</w:t>
      </w:r>
    </w:p>
    <w:p w:rsidR="008C296A" w:rsidRDefault="008C296A" w:rsidP="008C296A">
      <w:pPr>
        <w:spacing w:before="240" w:after="240" w:line="360" w:lineRule="auto"/>
        <w:ind w:right="49"/>
        <w:contextualSpacing/>
        <w:jc w:val="both"/>
        <w:rPr>
          <w:rFonts w:ascii="Palatino Linotype" w:eastAsia="Calibri" w:hAnsi="Palatino Linotype" w:cs="Arial"/>
        </w:rPr>
      </w:pPr>
    </w:p>
    <w:p w:rsidR="008C296A" w:rsidRDefault="008C296A" w:rsidP="008C296A">
      <w:pPr>
        <w:spacing w:before="240" w:after="240"/>
        <w:ind w:left="567" w:right="616"/>
        <w:contextualSpacing/>
        <w:jc w:val="both"/>
        <w:rPr>
          <w:rFonts w:ascii="Palatino Linotype" w:hAnsi="Palatino Linotype"/>
          <w:i/>
        </w:rPr>
      </w:pPr>
      <w:r>
        <w:rPr>
          <w:rFonts w:ascii="Palatino Linotype" w:hAnsi="Palatino Linotype"/>
          <w:i/>
        </w:rPr>
        <w:t>“</w:t>
      </w:r>
      <w:r w:rsidRPr="00A20300">
        <w:rPr>
          <w:rFonts w:ascii="Palatino Linotype" w:hAnsi="Palatino Linotype"/>
          <w:i/>
        </w:rPr>
        <w:t>Artículo 95.- Son atribuciones del tesorero municipal:</w:t>
      </w:r>
    </w:p>
    <w:p w:rsidR="008C296A" w:rsidRPr="00A20300" w:rsidRDefault="008C296A" w:rsidP="008C296A">
      <w:pPr>
        <w:spacing w:before="240" w:after="240"/>
        <w:ind w:left="567" w:right="616"/>
        <w:contextualSpacing/>
        <w:jc w:val="both"/>
        <w:rPr>
          <w:rFonts w:ascii="Palatino Linotype" w:hAnsi="Palatino Linotype"/>
          <w:i/>
        </w:rPr>
      </w:pPr>
      <w:r>
        <w:rPr>
          <w:rFonts w:ascii="Palatino Linotype" w:hAnsi="Palatino Linotype"/>
          <w:i/>
        </w:rPr>
        <w:t>…</w:t>
      </w:r>
    </w:p>
    <w:p w:rsidR="008C296A" w:rsidRPr="00A20300" w:rsidRDefault="008C296A" w:rsidP="008C296A">
      <w:pPr>
        <w:spacing w:before="240" w:after="240"/>
        <w:ind w:left="567" w:right="616"/>
        <w:contextualSpacing/>
        <w:jc w:val="both"/>
        <w:rPr>
          <w:rFonts w:ascii="Palatino Linotype" w:hAnsi="Palatino Linotype"/>
          <w:i/>
        </w:rPr>
      </w:pPr>
      <w:r w:rsidRPr="00A20300">
        <w:rPr>
          <w:rFonts w:ascii="Palatino Linotype" w:hAnsi="Palatino Linotype"/>
          <w:i/>
        </w:rPr>
        <w:t>IV. Llevar los registros contables, financieros y administrativos de los ingresos, egresos, e inventarios;</w:t>
      </w:r>
    </w:p>
    <w:p w:rsidR="008C296A" w:rsidRDefault="008C296A" w:rsidP="008C296A">
      <w:pPr>
        <w:spacing w:before="240" w:after="240"/>
        <w:ind w:left="567" w:right="616"/>
        <w:contextualSpacing/>
        <w:jc w:val="both"/>
        <w:rPr>
          <w:rFonts w:ascii="Palatino Linotype" w:hAnsi="Palatino Linotype"/>
          <w:i/>
        </w:rPr>
      </w:pPr>
      <w:r>
        <w:rPr>
          <w:rFonts w:ascii="Palatino Linotype" w:hAnsi="Palatino Linotype"/>
          <w:i/>
        </w:rPr>
        <w:t>…</w:t>
      </w:r>
    </w:p>
    <w:p w:rsidR="008C296A" w:rsidRDefault="008C296A" w:rsidP="008C296A">
      <w:pPr>
        <w:spacing w:before="240" w:after="240"/>
        <w:ind w:left="567" w:right="616"/>
        <w:contextualSpacing/>
        <w:jc w:val="both"/>
        <w:rPr>
          <w:rFonts w:ascii="Palatino Linotype" w:hAnsi="Palatino Linotype"/>
          <w:i/>
        </w:rPr>
      </w:pPr>
      <w:r w:rsidRPr="00A20300">
        <w:rPr>
          <w:rFonts w:ascii="Palatino Linotype" w:hAnsi="Palatino Linotype"/>
          <w:i/>
        </w:rPr>
        <w:t>XIV. Ministrar a su inmediato antecesor todos los datos oficiales que le solicitare, para contestar los pliegos de observaciones y alcances que formule y deduzca el Órgano Superior de Fiscalización del Estado de México;</w:t>
      </w:r>
    </w:p>
    <w:p w:rsidR="008C296A" w:rsidRPr="00A20300" w:rsidRDefault="008C296A" w:rsidP="008C296A">
      <w:pPr>
        <w:spacing w:before="240" w:after="240"/>
        <w:ind w:left="567" w:right="616"/>
        <w:contextualSpacing/>
        <w:jc w:val="both"/>
        <w:rPr>
          <w:rFonts w:ascii="Palatino Linotype" w:hAnsi="Palatino Linotype"/>
          <w:i/>
        </w:rPr>
      </w:pPr>
      <w:r>
        <w:rPr>
          <w:rFonts w:ascii="Palatino Linotype" w:hAnsi="Palatino Linotype"/>
          <w:i/>
        </w:rPr>
        <w:t>…</w:t>
      </w:r>
    </w:p>
    <w:p w:rsidR="008C296A" w:rsidRDefault="008C296A" w:rsidP="008C296A">
      <w:pPr>
        <w:spacing w:before="240" w:after="240"/>
        <w:ind w:left="567" w:right="616"/>
        <w:contextualSpacing/>
        <w:jc w:val="both"/>
        <w:rPr>
          <w:rFonts w:ascii="Palatino Linotype" w:hAnsi="Palatino Linotype"/>
          <w:i/>
        </w:rPr>
      </w:pPr>
      <w:r w:rsidRPr="00A20300">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8C296A" w:rsidRPr="00A20300" w:rsidRDefault="008C296A" w:rsidP="008C296A">
      <w:pPr>
        <w:spacing w:before="240" w:after="240"/>
        <w:ind w:left="567" w:right="616"/>
        <w:contextualSpacing/>
        <w:jc w:val="both"/>
        <w:rPr>
          <w:rFonts w:ascii="Palatino Linotype" w:hAnsi="Palatino Linotype"/>
          <w:i/>
        </w:rPr>
      </w:pPr>
      <w:r>
        <w:rPr>
          <w:rFonts w:ascii="Palatino Linotype" w:hAnsi="Palatino Linotype"/>
          <w:i/>
        </w:rPr>
        <w:t>…</w:t>
      </w:r>
    </w:p>
    <w:p w:rsidR="008C296A" w:rsidRPr="00A20300" w:rsidRDefault="008C296A" w:rsidP="008C296A">
      <w:pPr>
        <w:spacing w:before="240" w:after="240"/>
        <w:ind w:left="567" w:right="616"/>
        <w:contextualSpacing/>
        <w:jc w:val="both"/>
        <w:rPr>
          <w:rFonts w:ascii="Palatino Linotype" w:hAnsi="Palatino Linotype"/>
          <w:i/>
        </w:rPr>
      </w:pPr>
      <w:r w:rsidRPr="00A20300">
        <w:rPr>
          <w:rFonts w:ascii="Palatino Linotype" w:hAnsi="Palatino Linotype"/>
          <w:i/>
        </w:rPr>
        <w:t>XXIV. Integrar y autorizar con su firma, la documentación que en materia de obra pública, deba presentarse al Órgano Superior de Fiscalización del Estado de México;</w:t>
      </w:r>
      <w:r>
        <w:rPr>
          <w:rFonts w:ascii="Palatino Linotype" w:hAnsi="Palatino Linotype"/>
          <w:i/>
        </w:rPr>
        <w:t>…(Sic)</w:t>
      </w:r>
    </w:p>
    <w:p w:rsidR="008C296A" w:rsidRDefault="008C296A" w:rsidP="008C296A">
      <w:pPr>
        <w:spacing w:before="240" w:after="240" w:line="360" w:lineRule="auto"/>
        <w:ind w:right="49"/>
        <w:contextualSpacing/>
        <w:jc w:val="both"/>
        <w:rPr>
          <w:rFonts w:ascii="Palatino Linotype" w:eastAsia="Calibri" w:hAnsi="Palatino Linotype" w:cs="Arial"/>
        </w:rPr>
      </w:pPr>
    </w:p>
    <w:p w:rsidR="008C296A" w:rsidRPr="008C296A" w:rsidRDefault="008C296A" w:rsidP="008C296A">
      <w:pPr>
        <w:spacing w:before="240" w:after="240" w:line="360" w:lineRule="auto"/>
        <w:ind w:right="49"/>
        <w:contextualSpacing/>
        <w:jc w:val="both"/>
        <w:rPr>
          <w:rFonts w:ascii="Palatino Linotype" w:eastAsia="Calibri" w:hAnsi="Palatino Linotype" w:cs="Arial"/>
          <w:sz w:val="24"/>
        </w:rPr>
      </w:pPr>
      <w:r w:rsidRPr="008C296A">
        <w:rPr>
          <w:rFonts w:ascii="Palatino Linotype" w:eastAsia="Calibri" w:hAnsi="Palatino Linotype" w:cs="Arial"/>
          <w:sz w:val="24"/>
        </w:rPr>
        <w:t>Ahora bien, de las citas anteriores se puede observar que el Tesorero del Municipio tiene la obligación de informar mensualmente al Órgano Superior de Fiscalización del Estado de México, respecto de los temas financieros, contables, administrativos presupuestales de los ingresos, egresos e inventarios; en cambio el Código Financiero del Estado de México y Municipios, en específico en su artículo 350, señala los temas que debe informa, los cuales son:</w:t>
      </w:r>
    </w:p>
    <w:p w:rsidR="008C296A" w:rsidRDefault="008C296A" w:rsidP="008C296A">
      <w:pPr>
        <w:spacing w:before="240" w:after="240" w:line="360" w:lineRule="auto"/>
        <w:ind w:right="49"/>
        <w:contextualSpacing/>
        <w:jc w:val="both"/>
        <w:rPr>
          <w:rFonts w:ascii="Palatino Linotype" w:eastAsia="Calibri" w:hAnsi="Palatino Linotype" w:cs="Arial"/>
        </w:rPr>
      </w:pPr>
    </w:p>
    <w:p w:rsidR="008C296A" w:rsidRPr="00932365" w:rsidRDefault="008C296A" w:rsidP="008C296A">
      <w:pPr>
        <w:spacing w:before="240" w:after="240"/>
        <w:ind w:left="567" w:right="616"/>
        <w:contextualSpacing/>
        <w:jc w:val="both"/>
        <w:rPr>
          <w:rFonts w:ascii="Palatino Linotype" w:eastAsia="Calibri" w:hAnsi="Palatino Linotype" w:cs="Arial"/>
          <w:i/>
        </w:rPr>
      </w:pPr>
      <w:r>
        <w:rPr>
          <w:rFonts w:ascii="Palatino Linotype" w:eastAsia="Calibri" w:hAnsi="Palatino Linotype" w:cs="Arial"/>
          <w:i/>
        </w:rPr>
        <w:lastRenderedPageBreak/>
        <w:t>“</w:t>
      </w:r>
      <w:r w:rsidRPr="00932365">
        <w:rPr>
          <w:rFonts w:ascii="Palatino Linotype" w:eastAsia="Calibri" w:hAnsi="Palatino Linotype" w:cs="Arial"/>
          <w:i/>
        </w:rPr>
        <w:t xml:space="preserve">Artículo 350.- </w:t>
      </w:r>
      <w:r w:rsidRPr="00932365">
        <w:rPr>
          <w:rFonts w:ascii="Palatino Linotype" w:eastAsia="Calibri" w:hAnsi="Palatino Linotype" w:cs="Arial"/>
          <w:b/>
          <w:i/>
        </w:rPr>
        <w:t>Mensualmente dentro de los primeros veinte días hábiles</w:t>
      </w:r>
      <w:r w:rsidRPr="00932365">
        <w:rPr>
          <w:rFonts w:ascii="Palatino Linotype" w:eastAsia="Calibri" w:hAnsi="Palatino Linotype" w:cs="Arial"/>
          <w:i/>
        </w:rPr>
        <w:t xml:space="preserve">, la Secretaría y </w:t>
      </w:r>
      <w:r w:rsidRPr="00932365">
        <w:rPr>
          <w:rFonts w:ascii="Palatino Linotype" w:eastAsia="Calibri" w:hAnsi="Palatino Linotype" w:cs="Arial"/>
          <w:b/>
          <w:i/>
        </w:rPr>
        <w:t>las Tesorerías</w:t>
      </w:r>
      <w:r w:rsidRPr="00932365">
        <w:rPr>
          <w:rFonts w:ascii="Palatino Linotype" w:eastAsia="Calibri" w:hAnsi="Palatino Linotype" w:cs="Arial"/>
          <w:i/>
        </w:rPr>
        <w:t xml:space="preserve">, </w:t>
      </w:r>
      <w:r w:rsidRPr="00932365">
        <w:rPr>
          <w:rFonts w:ascii="Palatino Linotype" w:eastAsia="Calibri" w:hAnsi="Palatino Linotype" w:cs="Arial"/>
          <w:b/>
          <w:i/>
        </w:rPr>
        <w:t>enviarán para su análisis y evaluación al Órgano Superior de Fiscalización del Estado de México</w:t>
      </w:r>
      <w:r w:rsidRPr="00932365">
        <w:rPr>
          <w:rFonts w:ascii="Palatino Linotype" w:eastAsia="Calibri" w:hAnsi="Palatino Linotype" w:cs="Arial"/>
          <w:i/>
        </w:rPr>
        <w:t>, la siguiente información:</w:t>
      </w:r>
    </w:p>
    <w:p w:rsidR="008C296A" w:rsidRDefault="008C296A" w:rsidP="008C296A">
      <w:pPr>
        <w:spacing w:before="240" w:after="240"/>
        <w:ind w:left="567" w:right="616"/>
        <w:contextualSpacing/>
        <w:jc w:val="both"/>
        <w:rPr>
          <w:rFonts w:ascii="Palatino Linotype" w:eastAsia="Calibri" w:hAnsi="Palatino Linotype" w:cs="Arial"/>
          <w:i/>
        </w:rPr>
      </w:pPr>
      <w:r w:rsidRPr="008C296A">
        <w:rPr>
          <w:rFonts w:ascii="Palatino Linotype" w:eastAsia="Calibri" w:hAnsi="Palatino Linotype" w:cs="Arial"/>
          <w:i/>
        </w:rPr>
        <w:t>I</w:t>
      </w:r>
      <w:r w:rsidRPr="00932365">
        <w:rPr>
          <w:rFonts w:ascii="Palatino Linotype" w:eastAsia="Calibri" w:hAnsi="Palatino Linotype" w:cs="Arial"/>
          <w:b/>
          <w:i/>
        </w:rPr>
        <w:t xml:space="preserve">. </w:t>
      </w:r>
      <w:r w:rsidRPr="008C296A">
        <w:rPr>
          <w:rFonts w:ascii="Palatino Linotype" w:eastAsia="Calibri" w:hAnsi="Palatino Linotype" w:cs="Arial"/>
          <w:i/>
        </w:rPr>
        <w:t>Información patrimonial</w:t>
      </w:r>
      <w:r>
        <w:rPr>
          <w:rFonts w:ascii="Palatino Linotype" w:eastAsia="Calibri" w:hAnsi="Palatino Linotype" w:cs="Arial"/>
          <w:i/>
        </w:rPr>
        <w:t>.</w:t>
      </w:r>
    </w:p>
    <w:p w:rsidR="008C296A" w:rsidRDefault="008C296A" w:rsidP="008C296A">
      <w:pPr>
        <w:spacing w:before="240" w:after="240"/>
        <w:ind w:left="567" w:right="616"/>
        <w:contextualSpacing/>
        <w:jc w:val="both"/>
        <w:rPr>
          <w:rFonts w:ascii="Palatino Linotype" w:eastAsia="Calibri" w:hAnsi="Palatino Linotype" w:cs="Arial"/>
          <w:i/>
        </w:rPr>
      </w:pPr>
      <w:r w:rsidRPr="00932365">
        <w:rPr>
          <w:rFonts w:ascii="Palatino Linotype" w:eastAsia="Calibri" w:hAnsi="Palatino Linotype" w:cs="Arial"/>
          <w:b/>
          <w:i/>
        </w:rPr>
        <w:t>II. Información presupuestal</w:t>
      </w:r>
      <w:r>
        <w:rPr>
          <w:rFonts w:ascii="Palatino Linotype" w:eastAsia="Calibri" w:hAnsi="Palatino Linotype" w:cs="Arial"/>
          <w:i/>
        </w:rPr>
        <w:t>.</w:t>
      </w:r>
    </w:p>
    <w:p w:rsidR="008C296A" w:rsidRPr="008C296A" w:rsidRDefault="008C296A" w:rsidP="008C296A">
      <w:pPr>
        <w:spacing w:before="240" w:after="240"/>
        <w:ind w:left="567" w:right="616"/>
        <w:contextualSpacing/>
        <w:jc w:val="both"/>
        <w:rPr>
          <w:rFonts w:ascii="Palatino Linotype" w:eastAsia="Calibri" w:hAnsi="Palatino Linotype" w:cs="Arial"/>
          <w:i/>
        </w:rPr>
      </w:pPr>
      <w:r w:rsidRPr="008C296A">
        <w:rPr>
          <w:rFonts w:ascii="Palatino Linotype" w:eastAsia="Calibri" w:hAnsi="Palatino Linotype" w:cs="Arial"/>
          <w:i/>
        </w:rPr>
        <w:t>III. Información de la obra pública.</w:t>
      </w:r>
    </w:p>
    <w:p w:rsidR="008C296A" w:rsidRPr="00932365" w:rsidRDefault="008C296A" w:rsidP="008C296A">
      <w:pPr>
        <w:spacing w:before="240" w:after="240"/>
        <w:ind w:left="567" w:right="616"/>
        <w:contextualSpacing/>
        <w:jc w:val="both"/>
        <w:rPr>
          <w:rFonts w:ascii="Palatino Linotype" w:eastAsia="Calibri" w:hAnsi="Palatino Linotype" w:cs="Arial"/>
          <w:i/>
        </w:rPr>
      </w:pPr>
      <w:r w:rsidRPr="008C296A">
        <w:rPr>
          <w:rFonts w:ascii="Palatino Linotype" w:eastAsia="Calibri" w:hAnsi="Palatino Linotype" w:cs="Arial"/>
          <w:i/>
        </w:rPr>
        <w:t>IV. Información de nómina</w:t>
      </w:r>
      <w:r w:rsidRPr="00932365">
        <w:rPr>
          <w:rFonts w:ascii="Palatino Linotype" w:eastAsia="Calibri" w:hAnsi="Palatino Linotype" w:cs="Arial"/>
          <w:i/>
        </w:rPr>
        <w:t>.</w:t>
      </w:r>
      <w:r>
        <w:rPr>
          <w:rFonts w:ascii="Palatino Linotype" w:eastAsia="Calibri" w:hAnsi="Palatino Linotype" w:cs="Arial"/>
          <w:i/>
        </w:rPr>
        <w:t>”(Sic)</w:t>
      </w:r>
    </w:p>
    <w:p w:rsidR="008C296A" w:rsidRDefault="008C296A" w:rsidP="008C296A">
      <w:pPr>
        <w:spacing w:before="240" w:after="240" w:line="360" w:lineRule="auto"/>
        <w:ind w:right="49"/>
        <w:contextualSpacing/>
        <w:jc w:val="both"/>
        <w:rPr>
          <w:rFonts w:ascii="Palatino Linotype" w:eastAsia="Calibri" w:hAnsi="Palatino Linotype" w:cs="Arial"/>
        </w:rPr>
      </w:pPr>
    </w:p>
    <w:p w:rsidR="008C296A" w:rsidRPr="008C296A" w:rsidRDefault="008C296A" w:rsidP="008C296A">
      <w:pPr>
        <w:spacing w:before="240" w:after="240" w:line="360" w:lineRule="auto"/>
        <w:ind w:right="49"/>
        <w:contextualSpacing/>
        <w:jc w:val="both"/>
        <w:rPr>
          <w:rFonts w:ascii="Palatino Linotype" w:eastAsia="Calibri" w:hAnsi="Palatino Linotype" w:cs="Arial"/>
          <w:sz w:val="24"/>
        </w:rPr>
      </w:pPr>
      <w:r w:rsidRPr="008C296A">
        <w:rPr>
          <w:rFonts w:ascii="Palatino Linotype" w:eastAsia="Calibri" w:hAnsi="Palatino Linotype" w:cs="Arial"/>
          <w:sz w:val="24"/>
        </w:rPr>
        <w:t xml:space="preserve">En ese contexto, se resalta que la Tesorería Municipal del Municipio de </w:t>
      </w:r>
      <w:r w:rsidR="004644F0">
        <w:rPr>
          <w:rFonts w:ascii="Palatino Linotype" w:eastAsia="Calibri" w:hAnsi="Palatino Linotype" w:cs="Arial"/>
          <w:sz w:val="24"/>
        </w:rPr>
        <w:t>Polotitlan</w:t>
      </w:r>
      <w:r w:rsidRPr="008C296A">
        <w:rPr>
          <w:rFonts w:ascii="Palatino Linotype" w:eastAsia="Calibri" w:hAnsi="Palatino Linotype" w:cs="Arial"/>
          <w:sz w:val="24"/>
        </w:rPr>
        <w:t xml:space="preserve"> debe informar mensualmente respecto de los temas señalados en lo</w:t>
      </w:r>
      <w:r w:rsidR="008F1E1F">
        <w:rPr>
          <w:rFonts w:ascii="Palatino Linotype" w:eastAsia="Calibri" w:hAnsi="Palatino Linotype" w:cs="Arial"/>
          <w:sz w:val="24"/>
        </w:rPr>
        <w:t xml:space="preserve">s preceptos legales antedichos </w:t>
      </w:r>
      <w:r w:rsidRPr="008C296A">
        <w:rPr>
          <w:rFonts w:ascii="Palatino Linotype" w:eastAsia="Calibri" w:hAnsi="Palatino Linotype" w:cs="Arial"/>
          <w:sz w:val="24"/>
        </w:rPr>
        <w:t xml:space="preserve">cada mes al OSFEM. </w:t>
      </w:r>
    </w:p>
    <w:p w:rsidR="008C296A" w:rsidRPr="008C296A" w:rsidRDefault="008C296A" w:rsidP="008C296A">
      <w:pPr>
        <w:spacing w:before="240" w:after="240" w:line="360" w:lineRule="auto"/>
        <w:ind w:right="49"/>
        <w:contextualSpacing/>
        <w:jc w:val="both"/>
        <w:rPr>
          <w:rFonts w:ascii="Palatino Linotype" w:eastAsia="Calibri" w:hAnsi="Palatino Linotype" w:cs="Arial"/>
          <w:sz w:val="24"/>
        </w:rPr>
      </w:pPr>
    </w:p>
    <w:p w:rsidR="008C296A" w:rsidRPr="008C296A" w:rsidRDefault="008C296A" w:rsidP="008C296A">
      <w:pPr>
        <w:spacing w:before="240" w:after="240" w:line="360" w:lineRule="auto"/>
        <w:ind w:right="49"/>
        <w:contextualSpacing/>
        <w:jc w:val="both"/>
        <w:rPr>
          <w:rFonts w:ascii="Palatino Linotype" w:eastAsia="Calibri" w:hAnsi="Palatino Linotype" w:cs="Arial"/>
          <w:sz w:val="24"/>
        </w:rPr>
      </w:pPr>
      <w:r w:rsidRPr="008C296A">
        <w:rPr>
          <w:rFonts w:ascii="Palatino Linotype" w:eastAsia="Calibri" w:hAnsi="Palatino Linotype" w:cs="Arial"/>
          <w:sz w:val="24"/>
        </w:rPr>
        <w:t>En segundo lugar y como se ha señalado en éste considerando, los informes que deba remitir mensualmente el Tesorero del Sujeto Obligado al OSFEM, deben contener todo lo relacionado al tema a examinar y toda vez que el OSFEM es el órgano encargado de fiscalizar al Sujeto Obligado</w:t>
      </w:r>
      <w:r w:rsidRPr="008C296A">
        <w:rPr>
          <w:rStyle w:val="Refdenotaalpie"/>
          <w:rFonts w:ascii="Palatino Linotype" w:eastAsia="Calibri" w:hAnsi="Palatino Linotype" w:cs="Arial"/>
          <w:sz w:val="24"/>
        </w:rPr>
        <w:footnoteReference w:id="2"/>
      </w:r>
      <w:r w:rsidRPr="008C296A">
        <w:rPr>
          <w:rFonts w:ascii="Palatino Linotype" w:eastAsia="Calibri" w:hAnsi="Palatino Linotype" w:cs="Arial"/>
          <w:sz w:val="24"/>
        </w:rPr>
        <w:t>; éste de acuerdo a la Ley de Fiscalización Superior del Estado de México lo faculta para crear los lineamientos, criterios, procedimientos, métodos y sistemas para las acciones de control y evaluación que se deben de seguir para los informes mensuales; como así lo establece el artículo 8, que a la letra dice:</w:t>
      </w:r>
    </w:p>
    <w:p w:rsidR="008C296A" w:rsidRDefault="008C296A" w:rsidP="008C296A">
      <w:pPr>
        <w:spacing w:before="240" w:after="240" w:line="360" w:lineRule="auto"/>
        <w:ind w:right="49"/>
        <w:contextualSpacing/>
        <w:jc w:val="both"/>
        <w:rPr>
          <w:rFonts w:ascii="Palatino Linotype" w:eastAsia="Calibri" w:hAnsi="Palatino Linotype" w:cs="Arial"/>
        </w:rPr>
      </w:pPr>
    </w:p>
    <w:p w:rsidR="008C296A" w:rsidRPr="006E228D" w:rsidRDefault="008C296A" w:rsidP="008C296A">
      <w:pPr>
        <w:spacing w:before="240" w:after="240"/>
        <w:ind w:left="567" w:right="618"/>
        <w:contextualSpacing/>
        <w:jc w:val="both"/>
        <w:rPr>
          <w:rFonts w:ascii="Palatino Linotype" w:eastAsia="Calibri" w:hAnsi="Palatino Linotype" w:cs="Arial"/>
          <w:i/>
        </w:rPr>
      </w:pPr>
      <w:r>
        <w:rPr>
          <w:rFonts w:ascii="Palatino Linotype" w:eastAsia="Calibri" w:hAnsi="Palatino Linotype" w:cs="Arial"/>
          <w:i/>
        </w:rPr>
        <w:t>“</w:t>
      </w:r>
      <w:r w:rsidRPr="006E228D">
        <w:rPr>
          <w:rFonts w:ascii="Palatino Linotype" w:eastAsia="Calibri" w:hAnsi="Palatino Linotype" w:cs="Arial"/>
          <w:i/>
        </w:rPr>
        <w:t>Artículo 8.- El Órgano Superior tendrá las siguientes atribuciones:</w:t>
      </w:r>
    </w:p>
    <w:p w:rsidR="008C296A" w:rsidRPr="006E228D" w:rsidRDefault="008C296A" w:rsidP="008C296A">
      <w:pPr>
        <w:spacing w:before="240" w:after="240"/>
        <w:ind w:left="567" w:right="618"/>
        <w:contextualSpacing/>
        <w:jc w:val="both"/>
        <w:rPr>
          <w:rFonts w:ascii="Palatino Linotype" w:eastAsia="Calibri" w:hAnsi="Palatino Linotype" w:cs="Arial"/>
          <w:i/>
        </w:rPr>
      </w:pPr>
      <w:r w:rsidRPr="006E228D">
        <w:rPr>
          <w:rFonts w:ascii="Palatino Linotype" w:eastAsia="Calibri" w:hAnsi="Palatino Linotype" w:cs="Arial"/>
          <w:i/>
        </w:rPr>
        <w:t>XI. Establecer los lineamientos, criterios, procedimientos, métodos y sistemas para las acciones de control y evaluación, necesarios para la fiscalización de las cuentas públicas y los informes mensuales.</w:t>
      </w:r>
      <w:r>
        <w:rPr>
          <w:rFonts w:ascii="Palatino Linotype" w:eastAsia="Calibri" w:hAnsi="Palatino Linotype" w:cs="Arial"/>
          <w:i/>
        </w:rPr>
        <w:t>”(Sic)</w:t>
      </w:r>
    </w:p>
    <w:p w:rsidR="008C296A" w:rsidRDefault="008C296A" w:rsidP="008C296A">
      <w:pPr>
        <w:spacing w:before="240" w:after="240" w:line="360" w:lineRule="auto"/>
        <w:ind w:right="49"/>
        <w:contextualSpacing/>
        <w:jc w:val="both"/>
        <w:rPr>
          <w:rFonts w:ascii="Palatino Linotype" w:eastAsia="Calibri" w:hAnsi="Palatino Linotype" w:cs="Arial"/>
        </w:rPr>
      </w:pPr>
    </w:p>
    <w:p w:rsidR="002669A8" w:rsidRDefault="008C296A" w:rsidP="00DF74F3">
      <w:pPr>
        <w:spacing w:line="360" w:lineRule="auto"/>
        <w:jc w:val="both"/>
        <w:rPr>
          <w:rFonts w:ascii="Palatino Linotype" w:eastAsia="Calibri" w:hAnsi="Palatino Linotype" w:cs="Arial"/>
          <w:sz w:val="24"/>
        </w:rPr>
      </w:pPr>
      <w:r w:rsidRPr="008C296A">
        <w:rPr>
          <w:rFonts w:ascii="Palatino Linotype" w:eastAsia="Calibri" w:hAnsi="Palatino Linotype" w:cs="Arial"/>
          <w:sz w:val="24"/>
        </w:rPr>
        <w:lastRenderedPageBreak/>
        <w:t>En ese orden de ideas, en dichos lineamientos se especifican los temas que por separado deban incluir los informes mensuales y en atención a que la solicitud de acceso a la información del recurrente</w:t>
      </w:r>
      <w:r w:rsidR="007C72C0">
        <w:rPr>
          <w:rFonts w:ascii="Palatino Linotype" w:eastAsia="Calibri" w:hAnsi="Palatino Linotype" w:cs="Arial"/>
          <w:sz w:val="24"/>
        </w:rPr>
        <w:t xml:space="preserve"> inmersa en los </w:t>
      </w:r>
      <w:r w:rsidR="006933E1">
        <w:rPr>
          <w:rFonts w:ascii="Palatino Linotype" w:eastAsia="Calibri" w:hAnsi="Palatino Linotype" w:cs="Arial"/>
          <w:sz w:val="24"/>
        </w:rPr>
        <w:t>lineamientos</w:t>
      </w:r>
      <w:r w:rsidR="002669A8">
        <w:rPr>
          <w:rFonts w:ascii="Palatino Linotype" w:eastAsia="Calibri" w:hAnsi="Palatino Linotype" w:cs="Arial"/>
          <w:sz w:val="24"/>
        </w:rPr>
        <w:t xml:space="preserve"> para la entrega del Presupuesto de Egresos Municipal 2019.</w:t>
      </w:r>
    </w:p>
    <w:p w:rsidR="004B656C" w:rsidRDefault="002669A8" w:rsidP="00D23750">
      <w:pPr>
        <w:spacing w:line="360" w:lineRule="auto"/>
        <w:jc w:val="both"/>
        <w:rPr>
          <w:rFonts w:ascii="Palatino Linotype" w:hAnsi="Palatino Linotype" w:cs="Arial"/>
          <w:sz w:val="24"/>
          <w:szCs w:val="24"/>
        </w:rPr>
      </w:pPr>
      <w:r>
        <w:rPr>
          <w:rFonts w:ascii="Palatino Linotype" w:eastAsia="Calibri" w:hAnsi="Palatino Linotype" w:cs="Arial"/>
          <w:sz w:val="24"/>
        </w:rPr>
        <w:t>Para lo cual los formatos del “Paquete Presupuestal Municipal 2019”</w:t>
      </w:r>
      <w:r w:rsidR="007C72C0">
        <w:rPr>
          <w:rFonts w:ascii="Palatino Linotype" w:eastAsia="Calibri" w:hAnsi="Palatino Linotype" w:cs="Arial"/>
          <w:sz w:val="24"/>
        </w:rPr>
        <w:t xml:space="preserve"> </w:t>
      </w:r>
      <w:r w:rsidR="004130BD">
        <w:rPr>
          <w:rFonts w:ascii="Palatino Linotype" w:eastAsia="Calibri" w:hAnsi="Palatino Linotype" w:cs="Arial"/>
          <w:sz w:val="24"/>
        </w:rPr>
        <w:t xml:space="preserve">contiene el </w:t>
      </w:r>
      <w:r w:rsidR="007C72C0" w:rsidRPr="007C72C0">
        <w:rPr>
          <w:rFonts w:ascii="Palatino Linotype" w:hAnsi="Palatino Linotype" w:cs="Arial"/>
          <w:sz w:val="24"/>
          <w:szCs w:val="24"/>
        </w:rPr>
        <w:t>Programa Anual de Metas de Activida</w:t>
      </w:r>
      <w:r w:rsidR="004130BD">
        <w:rPr>
          <w:rFonts w:ascii="Palatino Linotype" w:hAnsi="Palatino Linotype" w:cs="Arial"/>
          <w:sz w:val="24"/>
          <w:szCs w:val="24"/>
        </w:rPr>
        <w:t xml:space="preserve">d por Proyecto Formato PbRM-01c que de manera enunciativa mas no limitativa podría colmar lo peticionado por el recurrente. </w:t>
      </w:r>
    </w:p>
    <w:p w:rsidR="00D23750" w:rsidRDefault="00D23750" w:rsidP="00D23750">
      <w:pPr>
        <w:spacing w:line="360" w:lineRule="auto"/>
        <w:jc w:val="both"/>
        <w:rPr>
          <w:rFonts w:ascii="Palatino Linotype" w:hAnsi="Palatino Linotype" w:cs="Arial"/>
          <w:sz w:val="24"/>
          <w:szCs w:val="24"/>
        </w:rPr>
      </w:pPr>
      <w:r>
        <w:rPr>
          <w:rFonts w:ascii="Palatino Linotype" w:hAnsi="Palatino Linotype" w:cs="Arial"/>
          <w:sz w:val="24"/>
          <w:szCs w:val="24"/>
        </w:rPr>
        <w:t xml:space="preserve">De igual forma lo </w:t>
      </w:r>
      <w:r w:rsidR="009B5A90">
        <w:rPr>
          <w:rFonts w:ascii="Palatino Linotype" w:hAnsi="Palatino Linotype" w:cs="Arial"/>
          <w:sz w:val="24"/>
          <w:szCs w:val="24"/>
        </w:rPr>
        <w:t>inmerso</w:t>
      </w:r>
      <w:r>
        <w:rPr>
          <w:rFonts w:ascii="Palatino Linotype" w:hAnsi="Palatino Linotype" w:cs="Arial"/>
          <w:sz w:val="24"/>
          <w:szCs w:val="24"/>
        </w:rPr>
        <w:t xml:space="preserve"> en el disco 1 remitido al OSFEM, que contiene la información patrimonial (contable y administrativa), misma que se deberá sujetar a criterios de utilidad, confiabilidad, relevancia, comprensibilidad objetividad, etc. Con el fin de alcanzar la armonización que la l</w:t>
      </w:r>
      <w:r w:rsidR="009B5A90">
        <w:rPr>
          <w:rFonts w:ascii="Palatino Linotype" w:hAnsi="Palatino Linotype" w:cs="Arial"/>
          <w:sz w:val="24"/>
          <w:szCs w:val="24"/>
        </w:rPr>
        <w:t xml:space="preserve">ey determina, como se muestra en la siguiente imagen; </w:t>
      </w:r>
      <w:r w:rsidR="00FF6EB3">
        <w:rPr>
          <w:noProof/>
          <w:lang w:eastAsia="es-MX"/>
        </w:rPr>
        <w:drawing>
          <wp:inline distT="0" distB="0" distL="0" distR="0" wp14:anchorId="1F6E4B5A" wp14:editId="654D83ED">
            <wp:extent cx="5548847" cy="36019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8396" cy="3608139"/>
                    </a:xfrm>
                    <a:prstGeom prst="rect">
                      <a:avLst/>
                    </a:prstGeom>
                  </pic:spPr>
                </pic:pic>
              </a:graphicData>
            </a:graphic>
          </wp:inline>
        </w:drawing>
      </w:r>
    </w:p>
    <w:p w:rsidR="00C93C65" w:rsidRDefault="00C93C65" w:rsidP="00C93C6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Ahora bien, de acuerdo al Instituto Nacional para el Federalismo y el Desarrollo Municipal,  e</w:t>
      </w:r>
      <w:r w:rsidR="009B5A90" w:rsidRPr="009B5A90">
        <w:rPr>
          <w:rFonts w:ascii="Palatino Linotype" w:hAnsi="Palatino Linotype" w:cs="Arial"/>
          <w:sz w:val="24"/>
          <w:szCs w:val="24"/>
        </w:rPr>
        <w:t>l balance general es la descripción de la situación financ</w:t>
      </w:r>
      <w:r w:rsidR="009B5A90">
        <w:rPr>
          <w:rFonts w:ascii="Palatino Linotype" w:hAnsi="Palatino Linotype" w:cs="Arial"/>
          <w:sz w:val="24"/>
          <w:szCs w:val="24"/>
        </w:rPr>
        <w:t xml:space="preserve">iera del municipio en una fecha </w:t>
      </w:r>
      <w:r w:rsidR="009B5A90" w:rsidRPr="009B5A90">
        <w:rPr>
          <w:rFonts w:ascii="Palatino Linotype" w:hAnsi="Palatino Linotype" w:cs="Arial"/>
          <w:sz w:val="24"/>
          <w:szCs w:val="24"/>
        </w:rPr>
        <w:t>determinada. Muestra clara y detalladamente los saldos deudores y acr</w:t>
      </w:r>
      <w:r>
        <w:rPr>
          <w:rFonts w:ascii="Palatino Linotype" w:hAnsi="Palatino Linotype" w:cs="Arial"/>
          <w:sz w:val="24"/>
          <w:szCs w:val="24"/>
        </w:rPr>
        <w:t>eedores del municipio y el</w:t>
      </w:r>
      <w:r w:rsidRPr="00C93C65">
        <w:rPr>
          <w:rFonts w:ascii="Palatino Linotype" w:hAnsi="Palatino Linotype" w:cs="Arial"/>
          <w:sz w:val="24"/>
          <w:szCs w:val="24"/>
        </w:rPr>
        <w:t xml:space="preserve"> estado de resultado es un informe que muestra los ingresos d</w:t>
      </w:r>
      <w:r>
        <w:rPr>
          <w:rFonts w:ascii="Palatino Linotype" w:hAnsi="Palatino Linotype" w:cs="Arial"/>
          <w:sz w:val="24"/>
          <w:szCs w:val="24"/>
        </w:rPr>
        <w:t xml:space="preserve">el municipio durante un período </w:t>
      </w:r>
      <w:r w:rsidRPr="00C93C65">
        <w:rPr>
          <w:rFonts w:ascii="Palatino Linotype" w:hAnsi="Palatino Linotype" w:cs="Arial"/>
          <w:sz w:val="24"/>
          <w:szCs w:val="24"/>
        </w:rPr>
        <w:t>determinado, en él se señala la fuente principal de ingreso, se deduce</w:t>
      </w:r>
      <w:r>
        <w:rPr>
          <w:rFonts w:ascii="Palatino Linotype" w:hAnsi="Palatino Linotype" w:cs="Arial"/>
          <w:sz w:val="24"/>
          <w:szCs w:val="24"/>
        </w:rPr>
        <w:t xml:space="preserve">n gastos y se marca la utilidad </w:t>
      </w:r>
      <w:r w:rsidRPr="00C93C65">
        <w:rPr>
          <w:rFonts w:ascii="Palatino Linotype" w:hAnsi="Palatino Linotype" w:cs="Arial"/>
          <w:sz w:val="24"/>
          <w:szCs w:val="24"/>
        </w:rPr>
        <w:t>neta</w:t>
      </w:r>
      <w:r w:rsidR="00E60464">
        <w:rPr>
          <w:rFonts w:ascii="Palatino Linotype" w:hAnsi="Palatino Linotype" w:cs="Arial"/>
          <w:sz w:val="24"/>
          <w:szCs w:val="24"/>
        </w:rPr>
        <w:t>.</w:t>
      </w:r>
    </w:p>
    <w:p w:rsidR="00E60464" w:rsidRDefault="00E60464" w:rsidP="004B656C">
      <w:pPr>
        <w:spacing w:after="0" w:line="360" w:lineRule="auto"/>
        <w:jc w:val="both"/>
        <w:rPr>
          <w:rFonts w:ascii="Palatino Linotype" w:hAnsi="Palatino Linotype" w:cs="Arial"/>
          <w:sz w:val="24"/>
          <w:szCs w:val="24"/>
        </w:rPr>
      </w:pPr>
    </w:p>
    <w:p w:rsidR="004B656C" w:rsidRDefault="00C93C65" w:rsidP="004B656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 bien de un análisis comparativo de la información remitida al OSFEM, no se encuentran establecidos los rubros solicitados a la literalidad por el particular, también </w:t>
      </w:r>
      <w:r w:rsidR="00AC0E61">
        <w:rPr>
          <w:rFonts w:ascii="Palatino Linotype" w:hAnsi="Palatino Linotype" w:cs="Arial"/>
          <w:sz w:val="24"/>
          <w:szCs w:val="24"/>
        </w:rPr>
        <w:t>lo es que en la matriz de clasificación de información contenida en el disco 1, se establece el archivo denominado “Estado de Situación Financiera”</w:t>
      </w:r>
      <w:r w:rsidR="00CE4A42">
        <w:rPr>
          <w:rFonts w:ascii="Palatino Linotype" w:hAnsi="Palatino Linotype" w:cs="Arial"/>
          <w:sz w:val="24"/>
          <w:szCs w:val="24"/>
        </w:rPr>
        <w:t xml:space="preserve"> la cual su finalidad</w:t>
      </w:r>
      <w:r w:rsidR="000632CD">
        <w:rPr>
          <w:rStyle w:val="Refdenotaalpie"/>
          <w:rFonts w:ascii="Palatino Linotype" w:hAnsi="Palatino Linotype" w:cs="Arial"/>
          <w:sz w:val="24"/>
          <w:szCs w:val="24"/>
        </w:rPr>
        <w:footnoteReference w:id="3"/>
      </w:r>
      <w:r w:rsidR="00CE4A42">
        <w:rPr>
          <w:rFonts w:ascii="Palatino Linotype" w:hAnsi="Palatino Linotype" w:cs="Arial"/>
          <w:sz w:val="24"/>
          <w:szCs w:val="24"/>
        </w:rPr>
        <w:t xml:space="preserve"> es mostrar información relativa a los recursos y obligaciones de un ente público, a una fecha determinada. Se estructura en Activos, Pasivos y Hacienda Pública/Patrimonio. </w:t>
      </w:r>
      <w:r w:rsidR="000632CD">
        <w:rPr>
          <w:rFonts w:ascii="Palatino Linotype" w:hAnsi="Palatino Linotype" w:cs="Arial"/>
          <w:sz w:val="24"/>
          <w:szCs w:val="24"/>
        </w:rPr>
        <w:t xml:space="preserve">Las cuales se muestran en los formatos mediante rubros contables, balance periodo actual y periodo anterior. </w:t>
      </w:r>
    </w:p>
    <w:p w:rsidR="004B656C" w:rsidRDefault="004B656C" w:rsidP="004B656C">
      <w:pPr>
        <w:spacing w:after="0" w:line="360" w:lineRule="auto"/>
        <w:jc w:val="both"/>
        <w:rPr>
          <w:rFonts w:ascii="Palatino Linotype" w:hAnsi="Palatino Linotype" w:cs="Arial"/>
          <w:sz w:val="24"/>
          <w:szCs w:val="24"/>
        </w:rPr>
      </w:pPr>
    </w:p>
    <w:p w:rsidR="00C86FCF" w:rsidRDefault="00C86FCF" w:rsidP="00C86FCF">
      <w:pPr>
        <w:pStyle w:val="Prrafodelista"/>
        <w:autoSpaceDE w:val="0"/>
        <w:autoSpaceDN w:val="0"/>
        <w:adjustRightInd w:val="0"/>
        <w:spacing w:line="360" w:lineRule="auto"/>
        <w:ind w:left="0"/>
        <w:jc w:val="both"/>
        <w:rPr>
          <w:rFonts w:ascii="Palatino Linotype" w:eastAsia="MS Mincho" w:hAnsi="Palatino Linotype" w:cs="Arial"/>
        </w:rPr>
      </w:pPr>
      <w:r w:rsidRPr="00C86FCF">
        <w:rPr>
          <w:rFonts w:ascii="Palatino Linotype" w:hAnsi="Palatino Linotype" w:cs="Arial"/>
        </w:rPr>
        <w:t xml:space="preserve">No pasa desapercibido por este Órgano Resolutor no niega la entrega de la información, por el contrario </w:t>
      </w:r>
      <w:r w:rsidRPr="00C86FCF">
        <w:rPr>
          <w:rFonts w:ascii="Palatino Linotype" w:hAnsi="Palatino Linotype" w:cs="Arial"/>
          <w:b/>
        </w:rPr>
        <w:t>El Sujeto Obligado</w:t>
      </w:r>
      <w:r w:rsidRPr="00C86FCF">
        <w:rPr>
          <w:rFonts w:ascii="Palatino Linotype" w:hAnsi="Palatino Linotype" w:cs="Arial"/>
        </w:rPr>
        <w:t xml:space="preserve"> acepta la existencia de la información solicitada</w:t>
      </w:r>
      <w:r>
        <w:rPr>
          <w:rFonts w:ascii="Palatino Linotype" w:hAnsi="Palatino Linotype" w:cs="Arial"/>
        </w:rPr>
        <w:t xml:space="preserve">, lo cual actualiza el supuesto jurídico previsto en el artículo 12 </w:t>
      </w:r>
      <w:r w:rsidRPr="00B8565A">
        <w:rPr>
          <w:rFonts w:ascii="Palatino Linotype" w:eastAsia="MS Mincho" w:hAnsi="Palatino Linotype" w:cs="Arial"/>
        </w:rPr>
        <w:t>de la Ley de Transparencia, Acceso a la Información Pública del Estado de México y Municipios.</w:t>
      </w:r>
    </w:p>
    <w:p w:rsidR="004B656C" w:rsidRDefault="004B656C" w:rsidP="004B656C">
      <w:pPr>
        <w:spacing w:after="0" w:line="360" w:lineRule="auto"/>
        <w:jc w:val="both"/>
        <w:rPr>
          <w:rFonts w:ascii="Palatino Linotype" w:hAnsi="Palatino Linotype" w:cs="Arial"/>
          <w:sz w:val="24"/>
          <w:szCs w:val="24"/>
        </w:rPr>
      </w:pPr>
    </w:p>
    <w:p w:rsidR="004B656C" w:rsidRDefault="00C86FCF" w:rsidP="004B656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Lo conducente en el caso en mérito es ordenar la información faltante </w:t>
      </w:r>
      <w:r w:rsidRPr="00C86FCF">
        <w:rPr>
          <w:rFonts w:ascii="Palatino Linotype" w:hAnsi="Palatino Linotype" w:cs="Arial"/>
          <w:sz w:val="24"/>
          <w:szCs w:val="24"/>
        </w:rPr>
        <w:t>para colmar el derecho al acces</w:t>
      </w:r>
      <w:r>
        <w:rPr>
          <w:rFonts w:ascii="Palatino Linotype" w:hAnsi="Palatino Linotype" w:cs="Arial"/>
          <w:sz w:val="24"/>
          <w:szCs w:val="24"/>
        </w:rPr>
        <w:t>o a la información pública del</w:t>
      </w:r>
      <w:r w:rsidRPr="00C86FCF">
        <w:rPr>
          <w:rFonts w:ascii="Palatino Linotype" w:hAnsi="Palatino Linotype" w:cs="Arial"/>
          <w:sz w:val="24"/>
          <w:szCs w:val="24"/>
        </w:rPr>
        <w:t xml:space="preserve"> particular</w:t>
      </w:r>
      <w:r>
        <w:rPr>
          <w:rFonts w:ascii="Palatino Linotype" w:hAnsi="Palatino Linotype" w:cs="Arial"/>
          <w:sz w:val="24"/>
          <w:szCs w:val="24"/>
        </w:rPr>
        <w:t xml:space="preserve">, como se advirtió en párrafos anteriores de manera enunciativa </w:t>
      </w:r>
      <w:r w:rsidR="00F90DDA">
        <w:rPr>
          <w:rFonts w:ascii="Palatino Linotype" w:hAnsi="Palatino Linotype" w:cs="Arial"/>
          <w:sz w:val="24"/>
          <w:szCs w:val="24"/>
        </w:rPr>
        <w:t>más</w:t>
      </w:r>
      <w:r>
        <w:rPr>
          <w:rFonts w:ascii="Palatino Linotype" w:hAnsi="Palatino Linotype" w:cs="Arial"/>
          <w:sz w:val="24"/>
          <w:szCs w:val="24"/>
        </w:rPr>
        <w:t xml:space="preserve"> no limitativa la informaci</w:t>
      </w:r>
      <w:r w:rsidR="00F90DDA">
        <w:rPr>
          <w:rFonts w:ascii="Palatino Linotype" w:hAnsi="Palatino Linotype" w:cs="Arial"/>
          <w:sz w:val="24"/>
          <w:szCs w:val="24"/>
        </w:rPr>
        <w:t>ón que requirió el particular se podría colmar con la entrega del estado de situación financiera contenida en el disco</w:t>
      </w:r>
      <w:r w:rsidR="00DA19D8">
        <w:rPr>
          <w:rFonts w:ascii="Palatino Linotype" w:hAnsi="Palatino Linotype" w:cs="Arial"/>
          <w:sz w:val="24"/>
          <w:szCs w:val="24"/>
        </w:rPr>
        <w:t xml:space="preserve"> 1 (Información Patrimonial, Contable y Administrativa)</w:t>
      </w:r>
      <w:r w:rsidR="00F90DDA">
        <w:rPr>
          <w:rFonts w:ascii="Palatino Linotype" w:hAnsi="Palatino Linotype" w:cs="Arial"/>
          <w:sz w:val="24"/>
          <w:szCs w:val="24"/>
        </w:rPr>
        <w:t xml:space="preserve"> remitido al OSFEM, así como </w:t>
      </w:r>
      <w:r w:rsidR="00DA19D8">
        <w:rPr>
          <w:rFonts w:ascii="Palatino Linotype" w:hAnsi="Palatino Linotype" w:cs="Arial"/>
          <w:sz w:val="24"/>
          <w:szCs w:val="24"/>
        </w:rPr>
        <w:t>el</w:t>
      </w:r>
      <w:r w:rsidR="00DA19D8" w:rsidRPr="00DA19D8">
        <w:rPr>
          <w:rFonts w:ascii="Palatino Linotype" w:hAnsi="Palatino Linotype" w:cs="Arial"/>
          <w:sz w:val="24"/>
          <w:szCs w:val="24"/>
        </w:rPr>
        <w:t xml:space="preserve"> Programa Anual de Metas de Actividad por Proyecto </w:t>
      </w:r>
      <w:r w:rsidR="00DA19D8">
        <w:rPr>
          <w:rFonts w:ascii="Palatino Linotype" w:hAnsi="Palatino Linotype" w:cs="Arial"/>
          <w:sz w:val="24"/>
          <w:szCs w:val="24"/>
        </w:rPr>
        <w:t>(Formato PbRM-01c) inmerso en los Lineamientos para la Entrega del Presupuesto de Egresos Municipal 2019.</w:t>
      </w:r>
    </w:p>
    <w:p w:rsidR="007C09EB" w:rsidRDefault="007C09EB" w:rsidP="00523FAA">
      <w:pPr>
        <w:pStyle w:val="Sinespaciado"/>
      </w:pPr>
    </w:p>
    <w:p w:rsidR="007C09EB" w:rsidRDefault="007C09EB" w:rsidP="004B656C">
      <w:pPr>
        <w:spacing w:after="0" w:line="360" w:lineRule="auto"/>
        <w:jc w:val="both"/>
        <w:rPr>
          <w:rFonts w:ascii="Palatino Linotype" w:hAnsi="Palatino Linotype" w:cs="Arial"/>
          <w:sz w:val="24"/>
          <w:szCs w:val="24"/>
        </w:rPr>
      </w:pPr>
      <w:r>
        <w:rPr>
          <w:rFonts w:ascii="Palatino Linotype" w:hAnsi="Palatino Linotype" w:cs="Arial"/>
          <w:sz w:val="24"/>
          <w:szCs w:val="24"/>
        </w:rPr>
        <w:t>No pasa desapercibido para este Órgano Garante que</w:t>
      </w:r>
      <w:r w:rsidR="00FF6EB3">
        <w:rPr>
          <w:rFonts w:ascii="Palatino Linotype" w:hAnsi="Palatino Linotype" w:cs="Arial"/>
          <w:sz w:val="24"/>
          <w:szCs w:val="24"/>
        </w:rPr>
        <w:t>,</w:t>
      </w:r>
      <w:r>
        <w:rPr>
          <w:rFonts w:ascii="Palatino Linotype" w:hAnsi="Palatino Linotype" w:cs="Arial"/>
          <w:sz w:val="24"/>
          <w:szCs w:val="24"/>
        </w:rPr>
        <w:t xml:space="preserve"> se deberá dar vista </w:t>
      </w:r>
      <w:r w:rsidRPr="00D22D43">
        <w:rPr>
          <w:rFonts w:ascii="Palatino Linotype" w:hAnsi="Palatino Linotype"/>
          <w:sz w:val="24"/>
        </w:rPr>
        <w:t>al Titular de la Contraloría Interna y Órgano de Control y Vigilancia de este Instituto, de conformidad con el artículo 190 de la Ley de Transparencia y Acceso a la Información Pública del Estado de México y Municipios a fin d</w:t>
      </w:r>
      <w:r>
        <w:rPr>
          <w:rFonts w:ascii="Palatino Linotype" w:hAnsi="Palatino Linotype"/>
          <w:sz w:val="24"/>
        </w:rPr>
        <w:t>e que determine lo conducente, por la vulneración de los datos</w:t>
      </w:r>
      <w:r w:rsidR="00FF6EB3">
        <w:rPr>
          <w:rFonts w:ascii="Palatino Linotype" w:hAnsi="Palatino Linotype"/>
          <w:sz w:val="24"/>
        </w:rPr>
        <w:t xml:space="preserve"> susceptibles de clasificar,</w:t>
      </w:r>
      <w:r>
        <w:rPr>
          <w:rFonts w:ascii="Palatino Linotype" w:hAnsi="Palatino Linotype"/>
          <w:sz w:val="24"/>
        </w:rPr>
        <w:t xml:space="preserve"> vertidos en el informe justificado</w:t>
      </w:r>
      <w:r w:rsidR="00FF6EB3">
        <w:rPr>
          <w:rFonts w:ascii="Palatino Linotype" w:hAnsi="Palatino Linotype"/>
          <w:sz w:val="24"/>
        </w:rPr>
        <w:t xml:space="preserve"> remitidos por El Sujeto Obligado. </w:t>
      </w:r>
      <w:r>
        <w:rPr>
          <w:rFonts w:ascii="Palatino Linotype" w:hAnsi="Palatino Linotype"/>
          <w:sz w:val="24"/>
        </w:rPr>
        <w:t xml:space="preserve"> </w:t>
      </w:r>
    </w:p>
    <w:p w:rsidR="00612309" w:rsidRDefault="00612309" w:rsidP="00612309">
      <w:pPr>
        <w:tabs>
          <w:tab w:val="left" w:pos="8931"/>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otro lado es necesario precisar que </w:t>
      </w:r>
      <w:r w:rsidRPr="00944EFA">
        <w:rPr>
          <w:rFonts w:ascii="Palatino Linotype" w:eastAsia="Times New Roman" w:hAnsi="Palatino Linotype" w:cs="Times New Roman"/>
          <w:sz w:val="24"/>
          <w:szCs w:val="24"/>
          <w:lang w:eastAsia="es-ES"/>
        </w:rPr>
        <w:t>de la información solicitada</w:t>
      </w:r>
      <w:r>
        <w:rPr>
          <w:rFonts w:ascii="Palatino Linotype" w:eastAsia="Times New Roman" w:hAnsi="Palatino Linotype" w:cs="Times New Roman"/>
          <w:sz w:val="24"/>
          <w:szCs w:val="24"/>
          <w:lang w:eastAsia="es-ES"/>
        </w:rPr>
        <w:t>, podría contener datos susceptibles de clasificar, por lo que el sujeto obligado deberá hacer entrega de esta en versión pública de ser procedente conforme a las siguientes argumentaciones.</w:t>
      </w:r>
    </w:p>
    <w:p w:rsidR="00CA3ACB" w:rsidRPr="00CA3ACB" w:rsidRDefault="00CA3ACB" w:rsidP="00CA3ACB">
      <w:pPr>
        <w:shd w:val="clear" w:color="auto" w:fill="FFFFFF"/>
        <w:spacing w:before="240" w:after="240" w:line="360" w:lineRule="auto"/>
        <w:ind w:right="51"/>
        <w:jc w:val="both"/>
        <w:rPr>
          <w:rFonts w:ascii="Palatino Linotype" w:hAnsi="Palatino Linotype"/>
          <w:sz w:val="24"/>
          <w:lang w:eastAsia="es-MX"/>
        </w:rPr>
      </w:pPr>
      <w:r w:rsidRPr="00CA3ACB">
        <w:rPr>
          <w:rFonts w:ascii="Palatino Linotype" w:hAnsi="Palatino Linotype"/>
          <w:b/>
          <w:sz w:val="24"/>
          <w:lang w:eastAsia="es-MX"/>
        </w:rPr>
        <w:t xml:space="preserve">Versión Pública. </w:t>
      </w:r>
      <w:r w:rsidRPr="00CA3ACB">
        <w:rPr>
          <w:rFonts w:ascii="Palatino Linotype" w:hAnsi="Palatino Linotype"/>
          <w:sz w:val="24"/>
          <w:lang w:eastAsia="es-MX"/>
        </w:rPr>
        <w:t xml:space="preserve">Como fue debidamente apuntado, el </w:t>
      </w:r>
      <w:r w:rsidRPr="00CA3ACB">
        <w:rPr>
          <w:rFonts w:ascii="Palatino Linotype" w:hAnsi="Palatino Linotype"/>
          <w:bCs/>
          <w:sz w:val="24"/>
          <w:lang w:eastAsia="es-MX"/>
        </w:rPr>
        <w:t>Sujeto Obligado</w:t>
      </w:r>
      <w:r w:rsidRPr="00CA3ACB">
        <w:rPr>
          <w:rFonts w:ascii="Palatino Linotype" w:hAnsi="Palatino Linotype"/>
          <w:sz w:val="24"/>
          <w:lang w:eastAsia="es-MX"/>
        </w:rPr>
        <w:t xml:space="preserve"> debe satisfacer la solicitud de acceso a la información; sin embargo, dada la naturaleza </w:t>
      </w:r>
      <w:r w:rsidRPr="00CA3ACB">
        <w:rPr>
          <w:rFonts w:ascii="Palatino Linotype" w:hAnsi="Palatino Linotype" w:cs="Arial"/>
          <w:sz w:val="24"/>
        </w:rPr>
        <w:t>de la información de la cual se ordena su entrega</w:t>
      </w:r>
      <w:r w:rsidRPr="00CA3ACB">
        <w:rPr>
          <w:rFonts w:ascii="Palatino Linotype" w:hAnsi="Palatino Linotype" w:cs="Arial"/>
          <w:sz w:val="24"/>
          <w:lang w:eastAsia="es-MX"/>
        </w:rPr>
        <w:t xml:space="preserve">, </w:t>
      </w:r>
      <w:r w:rsidRPr="00CA3ACB">
        <w:rPr>
          <w:rFonts w:ascii="Palatino Linotype" w:hAnsi="Palatino Linotype"/>
          <w:sz w:val="24"/>
          <w:lang w:eastAsia="es-MX"/>
        </w:rPr>
        <w:t xml:space="preserve">deberá hacerse en versión pública, esto es, omitirá, eliminará o suprimirá la información personal de servidores públicos, policías, persona física, jurídico colectiva que no reciba y ejerza recursos públicos, toda vez que en dichos documentos existe la posibilidad de que obren datos que son </w:t>
      </w:r>
      <w:r w:rsidRPr="00CA3ACB">
        <w:rPr>
          <w:rFonts w:ascii="Palatino Linotype" w:hAnsi="Palatino Linotype"/>
          <w:sz w:val="24"/>
          <w:lang w:eastAsia="es-MX"/>
        </w:rPr>
        <w:lastRenderedPageBreak/>
        <w:t>considerados confidenciales, cuyo acceso debe ser restringido, los cuales deben testarse al momento de la versión pública, atento a lo siguiente:</w:t>
      </w:r>
    </w:p>
    <w:p w:rsidR="00CA3ACB" w:rsidRPr="00CA3ACB" w:rsidRDefault="00CA3ACB" w:rsidP="00CA3ACB">
      <w:pPr>
        <w:shd w:val="clear" w:color="auto" w:fill="FFFFFF"/>
        <w:spacing w:before="240" w:after="240" w:line="360" w:lineRule="auto"/>
        <w:ind w:right="51"/>
        <w:jc w:val="both"/>
        <w:rPr>
          <w:rFonts w:ascii="Palatino Linotype" w:hAnsi="Palatino Linotype"/>
          <w:sz w:val="24"/>
          <w:lang w:eastAsia="es-MX"/>
        </w:rPr>
      </w:pPr>
      <w:r w:rsidRPr="00CA3ACB">
        <w:rPr>
          <w:rFonts w:ascii="Palatino Linotype" w:hAnsi="Palatino Linotype"/>
          <w:sz w:val="24"/>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CA3ACB" w:rsidRPr="00CA3ACB" w:rsidRDefault="00CA3ACB" w:rsidP="00CA3ACB">
      <w:pPr>
        <w:shd w:val="clear" w:color="auto" w:fill="FFFFFF"/>
        <w:spacing w:before="240" w:after="240" w:line="360" w:lineRule="auto"/>
        <w:ind w:right="51"/>
        <w:jc w:val="both"/>
        <w:rPr>
          <w:rFonts w:ascii="Palatino Linotype" w:hAnsi="Palatino Linotype"/>
          <w:sz w:val="24"/>
          <w:lang w:eastAsia="es-MX"/>
        </w:rPr>
      </w:pPr>
      <w:r w:rsidRPr="00CA3ACB">
        <w:rPr>
          <w:rFonts w:ascii="Palatino Linotype" w:hAnsi="Palatino Linotype"/>
          <w:sz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A3ACB" w:rsidRPr="00CA3ACB" w:rsidRDefault="00CA3ACB" w:rsidP="00CA3ACB">
      <w:pPr>
        <w:shd w:val="clear" w:color="auto" w:fill="FFFFFF"/>
        <w:spacing w:before="240" w:after="240" w:line="360" w:lineRule="auto"/>
        <w:ind w:right="51"/>
        <w:jc w:val="both"/>
        <w:rPr>
          <w:rFonts w:ascii="Palatino Linotype" w:hAnsi="Palatino Linotype"/>
          <w:sz w:val="24"/>
          <w:lang w:eastAsia="es-MX"/>
        </w:rPr>
      </w:pPr>
      <w:r w:rsidRPr="00CA3ACB">
        <w:rPr>
          <w:rFonts w:ascii="Palatino Linotype" w:hAnsi="Palatino Linotype"/>
          <w:sz w:val="24"/>
          <w:lang w:eastAsia="es-MX"/>
        </w:rPr>
        <w:t>Al respecto, los artículos 3, fracciones IX, XX, XXI, XXXII, XLV; 6, 49 fracción VIII, 91, 137, 143 fracción I, de la Ley de Transparencia y Acceso a la Información Pública del Estado de México y Municipios vigente establecen:</w:t>
      </w:r>
    </w:p>
    <w:p w:rsidR="00CA3ACB" w:rsidRPr="000818BF" w:rsidRDefault="00CA3ACB" w:rsidP="00CA3ACB">
      <w:pPr>
        <w:shd w:val="clear" w:color="auto" w:fill="FFFFFF"/>
        <w:spacing w:before="240" w:after="240"/>
        <w:ind w:left="851" w:right="900"/>
        <w:jc w:val="both"/>
        <w:rPr>
          <w:rFonts w:ascii="Palatino Linotype" w:hAnsi="Palatino Linotype"/>
          <w:b/>
          <w:bCs/>
          <w:i/>
          <w:iCs/>
          <w:lang w:eastAsia="es-MX"/>
        </w:rPr>
      </w:pPr>
      <w:r w:rsidRPr="000818BF">
        <w:rPr>
          <w:rFonts w:ascii="Palatino Linotype" w:hAnsi="Palatino Linotype"/>
          <w:b/>
          <w:bCs/>
          <w:i/>
          <w:iCs/>
          <w:lang w:eastAsia="es-MX"/>
        </w:rPr>
        <w:t>“Artículo 3. Para los efectos de la presente Ley se entenderá por:</w:t>
      </w:r>
    </w:p>
    <w:p w:rsidR="00CA3ACB" w:rsidRPr="000818BF" w:rsidRDefault="00CA3ACB" w:rsidP="00CA3ACB">
      <w:pPr>
        <w:shd w:val="clear" w:color="auto" w:fill="FFFFFF"/>
        <w:spacing w:before="240" w:after="240"/>
        <w:ind w:left="851" w:right="902"/>
        <w:jc w:val="both"/>
        <w:rPr>
          <w:rFonts w:ascii="Palatino Linotype" w:hAnsi="Palatino Linotype"/>
          <w:bCs/>
          <w:i/>
          <w:iCs/>
          <w:lang w:eastAsia="es-MX"/>
        </w:rPr>
      </w:pPr>
      <w:r w:rsidRPr="000818BF">
        <w:rPr>
          <w:rFonts w:ascii="Palatino Linotype" w:hAnsi="Palatino Linotype"/>
          <w:bCs/>
          <w:i/>
          <w:iCs/>
          <w:lang w:eastAsia="es-MX"/>
        </w:rPr>
        <w:t>(…)</w:t>
      </w:r>
    </w:p>
    <w:p w:rsidR="00CA3ACB" w:rsidRPr="000818BF" w:rsidRDefault="00CA3ACB" w:rsidP="00CA3ACB">
      <w:pPr>
        <w:shd w:val="clear" w:color="auto" w:fill="FFFFFF"/>
        <w:spacing w:before="240" w:after="240"/>
        <w:ind w:left="851" w:right="902"/>
        <w:jc w:val="both"/>
        <w:rPr>
          <w:rFonts w:ascii="Palatino Linotype" w:hAnsi="Palatino Linotype"/>
          <w:i/>
          <w:iCs/>
          <w:lang w:eastAsia="es-MX"/>
        </w:rPr>
      </w:pPr>
      <w:r w:rsidRPr="000818BF">
        <w:rPr>
          <w:rFonts w:ascii="Palatino Linotype" w:hAnsi="Palatino Linotype"/>
          <w:b/>
          <w:bCs/>
          <w:i/>
          <w:iCs/>
          <w:lang w:eastAsia="es-MX"/>
        </w:rPr>
        <w:t>IX. Datos personales:</w:t>
      </w:r>
      <w:r w:rsidRPr="000818BF">
        <w:rPr>
          <w:rFonts w:ascii="Palatino Linotype" w:hAnsi="Palatino Linotype"/>
          <w:i/>
          <w:iCs/>
          <w:lang w:eastAsia="es-MX"/>
        </w:rPr>
        <w:t> La información concerniente a una persona, identificada o identificable según lo dispuesto por la Ley de Protección de Datos Personales del Estado de México;</w:t>
      </w:r>
    </w:p>
    <w:p w:rsidR="00CA3ACB" w:rsidRPr="000818BF" w:rsidRDefault="00CA3ACB" w:rsidP="00CA3ACB">
      <w:pPr>
        <w:shd w:val="clear" w:color="auto" w:fill="FFFFFF"/>
        <w:spacing w:before="240" w:after="240"/>
        <w:ind w:left="851" w:right="902"/>
        <w:jc w:val="both"/>
        <w:rPr>
          <w:rFonts w:ascii="Palatino Linotype" w:hAnsi="Palatino Linotype"/>
          <w:bCs/>
          <w:i/>
          <w:iCs/>
          <w:lang w:eastAsia="es-MX"/>
        </w:rPr>
      </w:pPr>
      <w:r w:rsidRPr="000818BF">
        <w:rPr>
          <w:rFonts w:ascii="Palatino Linotype" w:hAnsi="Palatino Linotype"/>
          <w:bCs/>
          <w:i/>
          <w:iCs/>
          <w:lang w:eastAsia="es-MX"/>
        </w:rPr>
        <w:t>(…)</w:t>
      </w:r>
    </w:p>
    <w:p w:rsidR="00CA3ACB" w:rsidRPr="000818BF" w:rsidRDefault="00CA3ACB" w:rsidP="00CA3ACB">
      <w:pPr>
        <w:shd w:val="clear" w:color="auto" w:fill="FFFFFF"/>
        <w:spacing w:before="240" w:after="240"/>
        <w:ind w:left="851" w:right="902"/>
        <w:jc w:val="both"/>
        <w:rPr>
          <w:rFonts w:ascii="Palatino Linotype" w:hAnsi="Palatino Linotype"/>
          <w:i/>
          <w:iCs/>
          <w:lang w:eastAsia="es-MX"/>
        </w:rPr>
      </w:pPr>
      <w:r w:rsidRPr="000818BF">
        <w:rPr>
          <w:rFonts w:ascii="Palatino Linotype" w:hAnsi="Palatino Linotype"/>
          <w:b/>
          <w:bCs/>
          <w:i/>
          <w:iCs/>
          <w:lang w:eastAsia="es-MX"/>
        </w:rPr>
        <w:t>XX. Información clasificada:</w:t>
      </w:r>
      <w:r w:rsidRPr="000818BF">
        <w:rPr>
          <w:rFonts w:ascii="Palatino Linotype" w:hAnsi="Palatino Linotype"/>
          <w:i/>
          <w:iCs/>
          <w:lang w:eastAsia="es-MX"/>
        </w:rPr>
        <w:t> Aquella considerada por la presente Ley como reservada o confidencial;</w:t>
      </w:r>
    </w:p>
    <w:p w:rsidR="00CA3ACB" w:rsidRDefault="00CA3ACB" w:rsidP="00CA3ACB">
      <w:pPr>
        <w:shd w:val="clear" w:color="auto" w:fill="FFFFFF"/>
        <w:spacing w:before="240" w:after="240"/>
        <w:ind w:left="851" w:right="902"/>
        <w:jc w:val="both"/>
        <w:rPr>
          <w:rFonts w:ascii="Palatino Linotype" w:hAnsi="Palatino Linotype"/>
          <w:i/>
          <w:iCs/>
          <w:lang w:eastAsia="es-MX"/>
        </w:rPr>
      </w:pPr>
      <w:r w:rsidRPr="000818BF">
        <w:rPr>
          <w:rFonts w:ascii="Palatino Linotype" w:hAnsi="Palatino Linotype"/>
          <w:b/>
          <w:bCs/>
          <w:i/>
          <w:iCs/>
          <w:lang w:eastAsia="es-MX"/>
        </w:rPr>
        <w:lastRenderedPageBreak/>
        <w:t>XXI. Información confidencial:</w:t>
      </w:r>
      <w:r w:rsidRPr="000818BF">
        <w:rPr>
          <w:rFonts w:ascii="Palatino Linotype" w:hAnsi="Palatino Linotype"/>
          <w:i/>
          <w:iCs/>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A3ACB" w:rsidRPr="000818BF" w:rsidRDefault="00CA3ACB" w:rsidP="00CA3ACB">
      <w:pPr>
        <w:shd w:val="clear" w:color="auto" w:fill="FFFFFF"/>
        <w:spacing w:before="240" w:after="240"/>
        <w:ind w:left="851" w:right="902"/>
        <w:jc w:val="both"/>
        <w:rPr>
          <w:rFonts w:ascii="Palatino Linotype" w:hAnsi="Palatino Linotype"/>
          <w:i/>
          <w:iCs/>
          <w:lang w:eastAsia="es-MX"/>
        </w:rPr>
      </w:pPr>
      <w:r w:rsidRPr="00895525">
        <w:rPr>
          <w:rFonts w:ascii="Palatino Linotype" w:hAnsi="Palatino Linotype"/>
          <w:i/>
          <w:iCs/>
          <w:lang w:eastAsia="es-MX"/>
        </w:rPr>
        <w:t xml:space="preserve">XXIV. </w:t>
      </w:r>
      <w:r w:rsidRPr="00895525">
        <w:rPr>
          <w:rFonts w:ascii="Palatino Linotype" w:hAnsi="Palatino Linotype"/>
          <w:b/>
          <w:i/>
          <w:iCs/>
          <w:lang w:eastAsia="es-MX"/>
        </w:rPr>
        <w:t>Información reservada</w:t>
      </w:r>
      <w:r w:rsidRPr="00895525">
        <w:rPr>
          <w:rFonts w:ascii="Palatino Linotype" w:hAnsi="Palatino Linotype"/>
          <w:i/>
          <w:iCs/>
          <w:lang w:eastAsia="es-MX"/>
        </w:rPr>
        <w:t>: La clasificada con este carácter de manera temporal por las disposiciones de esta Ley, cuya divulgación puede causar daño en términos de lo establecido por esta Ley;</w:t>
      </w:r>
    </w:p>
    <w:p w:rsidR="00CA3ACB" w:rsidRPr="000818BF" w:rsidRDefault="00CA3ACB" w:rsidP="00CA3ACB">
      <w:pPr>
        <w:shd w:val="clear" w:color="auto" w:fill="FFFFFF"/>
        <w:spacing w:before="240" w:after="240"/>
        <w:ind w:left="851" w:right="902"/>
        <w:jc w:val="both"/>
        <w:rPr>
          <w:rFonts w:ascii="Palatino Linotype" w:hAnsi="Palatino Linotype"/>
          <w:bCs/>
          <w:i/>
          <w:iCs/>
          <w:lang w:eastAsia="es-MX"/>
        </w:rPr>
      </w:pPr>
      <w:r w:rsidRPr="000818BF">
        <w:rPr>
          <w:rFonts w:ascii="Palatino Linotype" w:hAnsi="Palatino Linotype"/>
          <w:bCs/>
          <w:i/>
          <w:iCs/>
          <w:lang w:eastAsia="es-MX"/>
        </w:rPr>
        <w:t>(…)</w:t>
      </w:r>
    </w:p>
    <w:p w:rsidR="00CA3ACB" w:rsidRPr="000818BF" w:rsidRDefault="00CA3ACB" w:rsidP="00CA3ACB">
      <w:pPr>
        <w:shd w:val="clear" w:color="auto" w:fill="FFFFFF"/>
        <w:spacing w:before="240" w:after="240"/>
        <w:ind w:left="851" w:right="902"/>
        <w:jc w:val="both"/>
        <w:rPr>
          <w:rFonts w:ascii="Palatino Linotype" w:hAnsi="Palatino Linotype"/>
          <w:i/>
          <w:iCs/>
          <w:lang w:eastAsia="es-MX"/>
        </w:rPr>
      </w:pPr>
      <w:r w:rsidRPr="000818BF">
        <w:rPr>
          <w:rFonts w:ascii="Palatino Linotype" w:hAnsi="Palatino Linotype"/>
          <w:b/>
          <w:bCs/>
          <w:i/>
          <w:iCs/>
          <w:lang w:eastAsia="es-MX"/>
        </w:rPr>
        <w:t>XXXII. Protección de Datos Personales:</w:t>
      </w:r>
      <w:r w:rsidRPr="000818BF">
        <w:rPr>
          <w:rFonts w:ascii="Palatino Linotype" w:hAnsi="Palatino Linotype"/>
          <w:i/>
          <w:iCs/>
          <w:lang w:eastAsia="es-MX"/>
        </w:rPr>
        <w:t> Derecho humano que tutela la privacidad de datos personales en poder de los sujetos obligados y sujetos particulares;</w:t>
      </w:r>
    </w:p>
    <w:p w:rsidR="00CA3ACB" w:rsidRPr="000818BF" w:rsidRDefault="00CA3ACB" w:rsidP="00CA3ACB">
      <w:pPr>
        <w:shd w:val="clear" w:color="auto" w:fill="FFFFFF"/>
        <w:spacing w:before="240" w:after="240"/>
        <w:ind w:left="851" w:right="902"/>
        <w:jc w:val="both"/>
        <w:rPr>
          <w:rFonts w:ascii="Palatino Linotype" w:hAnsi="Palatino Linotype"/>
          <w:i/>
          <w:iCs/>
          <w:lang w:eastAsia="es-MX"/>
        </w:rPr>
      </w:pPr>
      <w:r w:rsidRPr="000818BF">
        <w:rPr>
          <w:rFonts w:ascii="Palatino Linotype" w:hAnsi="Palatino Linotype"/>
          <w:i/>
          <w:iCs/>
          <w:lang w:eastAsia="es-MX"/>
        </w:rPr>
        <w:t>(…)</w:t>
      </w:r>
    </w:p>
    <w:p w:rsidR="00CA3ACB" w:rsidRPr="000818BF" w:rsidRDefault="00CA3ACB" w:rsidP="00CA3ACB">
      <w:pPr>
        <w:shd w:val="clear" w:color="auto" w:fill="FFFFFF"/>
        <w:spacing w:before="240" w:after="240"/>
        <w:ind w:left="851" w:right="902"/>
        <w:jc w:val="both"/>
        <w:rPr>
          <w:rFonts w:ascii="Palatino Linotype" w:hAnsi="Palatino Linotype"/>
          <w:lang w:eastAsia="es-MX"/>
        </w:rPr>
      </w:pPr>
      <w:r w:rsidRPr="000818BF">
        <w:rPr>
          <w:rFonts w:ascii="Palatino Linotype" w:hAnsi="Palatino Linotype"/>
          <w:b/>
          <w:bCs/>
          <w:i/>
          <w:iCs/>
          <w:lang w:eastAsia="es-MX"/>
        </w:rPr>
        <w:t>XLV. Versión pública</w:t>
      </w:r>
      <w:r w:rsidRPr="000818BF">
        <w:rPr>
          <w:rFonts w:ascii="Palatino Linotype" w:hAnsi="Palatino Linotype"/>
          <w:i/>
          <w:iCs/>
          <w:lang w:eastAsia="es-MX"/>
        </w:rPr>
        <w:t>: Documento en el que se elimine, suprime o borra la información clasificada como reservada o confidencial para permitir su acceso.</w:t>
      </w:r>
    </w:p>
    <w:p w:rsidR="00CA3ACB" w:rsidRPr="000818BF" w:rsidRDefault="00CA3ACB" w:rsidP="00CA3ACB">
      <w:pPr>
        <w:shd w:val="clear" w:color="auto" w:fill="FFFFFF"/>
        <w:spacing w:before="240" w:after="240"/>
        <w:ind w:left="851" w:right="902"/>
        <w:jc w:val="both"/>
        <w:rPr>
          <w:rFonts w:ascii="Palatino Linotype" w:hAnsi="Palatino Linotype"/>
          <w:lang w:eastAsia="es-MX"/>
        </w:rPr>
      </w:pPr>
      <w:r w:rsidRPr="000818BF">
        <w:rPr>
          <w:rFonts w:ascii="Palatino Linotype" w:hAnsi="Palatino Linotype"/>
          <w:b/>
          <w:bCs/>
          <w:i/>
          <w:iCs/>
          <w:lang w:eastAsia="es-MX"/>
        </w:rPr>
        <w:t> Artículo 6.</w:t>
      </w:r>
      <w:r>
        <w:rPr>
          <w:rFonts w:ascii="Palatino Linotype" w:hAnsi="Palatino Linotype"/>
          <w:i/>
          <w:iCs/>
          <w:lang w:eastAsia="es-MX"/>
        </w:rPr>
        <w:t xml:space="preserve"> </w:t>
      </w:r>
      <w:r w:rsidRPr="000818BF">
        <w:rPr>
          <w:rFonts w:ascii="Palatino Linotype" w:hAnsi="Palatino Linotype"/>
          <w:i/>
          <w:iCs/>
          <w:lang w:eastAsia="es-MX"/>
        </w:rPr>
        <w:t>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CA3ACB" w:rsidRPr="000818BF" w:rsidRDefault="00CA3ACB" w:rsidP="00CA3ACB">
      <w:pPr>
        <w:shd w:val="clear" w:color="auto" w:fill="FFFFFF"/>
        <w:spacing w:before="240" w:after="240"/>
        <w:ind w:left="851" w:right="902"/>
        <w:jc w:val="both"/>
        <w:rPr>
          <w:rFonts w:ascii="Palatino Linotype" w:hAnsi="Palatino Linotype"/>
          <w:i/>
          <w:iCs/>
          <w:lang w:eastAsia="es-MX"/>
        </w:rPr>
      </w:pPr>
      <w:r w:rsidRPr="000818BF">
        <w:rPr>
          <w:rFonts w:ascii="Palatino Linotype" w:hAnsi="Palatino Linotype"/>
          <w:i/>
          <w:iCs/>
          <w:lang w:eastAsia="es-MX"/>
        </w:rPr>
        <w:t> </w:t>
      </w:r>
      <w:r w:rsidRPr="000818BF">
        <w:rPr>
          <w:rFonts w:ascii="Palatino Linotype" w:hAnsi="Palatino Linotype"/>
          <w:b/>
          <w:bCs/>
          <w:i/>
          <w:iCs/>
          <w:lang w:eastAsia="es-MX"/>
        </w:rPr>
        <w:t>Artículo 49.</w:t>
      </w:r>
      <w:r>
        <w:rPr>
          <w:rFonts w:ascii="Palatino Linotype" w:hAnsi="Palatino Linotype"/>
          <w:i/>
          <w:iCs/>
          <w:lang w:eastAsia="es-MX"/>
        </w:rPr>
        <w:t xml:space="preserve"> </w:t>
      </w:r>
      <w:r w:rsidRPr="000818BF">
        <w:rPr>
          <w:rFonts w:ascii="Palatino Linotype" w:hAnsi="Palatino Linotype"/>
          <w:i/>
          <w:iCs/>
          <w:lang w:eastAsia="es-MX"/>
        </w:rPr>
        <w:t>Los Comités de Transparencia tendrán las siguientes atribuciones:</w:t>
      </w:r>
    </w:p>
    <w:p w:rsidR="00CA3ACB" w:rsidRPr="000818BF" w:rsidRDefault="00CA3ACB" w:rsidP="00CA3ACB">
      <w:pPr>
        <w:shd w:val="clear" w:color="auto" w:fill="FFFFFF"/>
        <w:spacing w:before="240" w:after="240"/>
        <w:ind w:left="851" w:right="902"/>
        <w:jc w:val="both"/>
        <w:rPr>
          <w:rFonts w:ascii="Palatino Linotype" w:hAnsi="Palatino Linotype"/>
          <w:i/>
          <w:iCs/>
          <w:lang w:eastAsia="es-MX"/>
        </w:rPr>
      </w:pPr>
      <w:r w:rsidRPr="000818BF">
        <w:rPr>
          <w:rFonts w:ascii="Palatino Linotype" w:hAnsi="Palatino Linotype"/>
          <w:i/>
          <w:iCs/>
          <w:lang w:eastAsia="es-MX"/>
        </w:rPr>
        <w:t>(…)</w:t>
      </w:r>
    </w:p>
    <w:p w:rsidR="00CA3ACB" w:rsidRPr="000818BF" w:rsidRDefault="00CA3ACB" w:rsidP="00CA3ACB">
      <w:pPr>
        <w:shd w:val="clear" w:color="auto" w:fill="FFFFFF"/>
        <w:spacing w:before="240" w:after="240"/>
        <w:ind w:left="851" w:right="902"/>
        <w:jc w:val="both"/>
        <w:rPr>
          <w:rFonts w:ascii="Palatino Linotype" w:hAnsi="Palatino Linotype"/>
          <w:i/>
          <w:iCs/>
          <w:lang w:eastAsia="es-MX"/>
        </w:rPr>
      </w:pPr>
      <w:r w:rsidRPr="000818BF">
        <w:rPr>
          <w:rFonts w:ascii="Palatino Linotype" w:hAnsi="Palatino Linotype"/>
          <w:b/>
          <w:bCs/>
          <w:i/>
          <w:iCs/>
          <w:lang w:eastAsia="es-MX"/>
        </w:rPr>
        <w:t>VIII</w:t>
      </w:r>
      <w:r w:rsidRPr="000818BF">
        <w:rPr>
          <w:rFonts w:ascii="Palatino Linotype" w:hAnsi="Palatino Linotype"/>
          <w:i/>
          <w:iCs/>
          <w:lang w:eastAsia="es-MX"/>
        </w:rPr>
        <w:t>. Aprobar, modificar o revocar la clasificación de la información;</w:t>
      </w:r>
    </w:p>
    <w:p w:rsidR="00CA3ACB" w:rsidRPr="000818BF" w:rsidRDefault="00CA3ACB" w:rsidP="00CA3ACB">
      <w:pPr>
        <w:shd w:val="clear" w:color="auto" w:fill="FFFFFF"/>
        <w:spacing w:before="240" w:after="240"/>
        <w:ind w:left="851" w:right="902"/>
        <w:jc w:val="both"/>
        <w:rPr>
          <w:rFonts w:ascii="Palatino Linotype" w:hAnsi="Palatino Linotype"/>
          <w:i/>
          <w:iCs/>
          <w:lang w:eastAsia="es-MX"/>
        </w:rPr>
      </w:pPr>
      <w:r w:rsidRPr="000818BF">
        <w:rPr>
          <w:rFonts w:ascii="Palatino Linotype" w:hAnsi="Palatino Linotype"/>
          <w:i/>
          <w:iCs/>
          <w:lang w:eastAsia="es-MX"/>
        </w:rPr>
        <w:t>(…)</w:t>
      </w:r>
    </w:p>
    <w:p w:rsidR="00CA3ACB" w:rsidRPr="000818BF" w:rsidRDefault="00CA3ACB" w:rsidP="00CA3ACB">
      <w:pPr>
        <w:shd w:val="clear" w:color="auto" w:fill="FFFFFF"/>
        <w:spacing w:before="240" w:after="240"/>
        <w:ind w:left="851" w:right="902"/>
        <w:jc w:val="both"/>
        <w:rPr>
          <w:rFonts w:ascii="Palatino Linotype" w:hAnsi="Palatino Linotype" w:cs="Arial"/>
          <w:bCs/>
          <w:i/>
          <w:noProof/>
        </w:rPr>
      </w:pPr>
      <w:r w:rsidRPr="000818BF">
        <w:rPr>
          <w:rFonts w:ascii="Palatino Linotype" w:hAnsi="Palatino Linotype" w:cs="Arial"/>
          <w:b/>
          <w:bCs/>
          <w:i/>
          <w:noProof/>
        </w:rPr>
        <w:t xml:space="preserve">Artículo 91. </w:t>
      </w:r>
      <w:r w:rsidRPr="000818BF">
        <w:rPr>
          <w:rFonts w:ascii="Palatino Linotype" w:hAnsi="Palatino Linotype" w:cs="Arial"/>
          <w:bCs/>
          <w:i/>
          <w:noProof/>
        </w:rPr>
        <w:t>El acceso a la información pública será restringido excepcionalmente, cuando ésta sea clasificada como reservada o confidencial.</w:t>
      </w:r>
      <w:r w:rsidRPr="000818BF">
        <w:rPr>
          <w:rFonts w:ascii="Palatino Linotype" w:hAnsi="Palatino Linotype" w:cs="Arial"/>
          <w:bCs/>
          <w:i/>
          <w:noProof/>
        </w:rPr>
        <w:cr/>
        <w:t>(…)</w:t>
      </w:r>
    </w:p>
    <w:p w:rsidR="00CA3ACB" w:rsidRPr="000818BF" w:rsidRDefault="00CA3ACB" w:rsidP="00CA3ACB">
      <w:pPr>
        <w:shd w:val="clear" w:color="auto" w:fill="FFFFFF"/>
        <w:spacing w:before="240" w:after="240"/>
        <w:ind w:left="851" w:right="902"/>
        <w:jc w:val="both"/>
        <w:rPr>
          <w:rFonts w:ascii="Palatino Linotype" w:hAnsi="Palatino Linotype"/>
          <w:lang w:eastAsia="es-MX"/>
        </w:rPr>
      </w:pPr>
      <w:r w:rsidRPr="000818BF">
        <w:rPr>
          <w:rFonts w:ascii="Palatino Linotype" w:hAnsi="Palatino Linotype"/>
          <w:b/>
          <w:bCs/>
          <w:i/>
          <w:iCs/>
          <w:lang w:eastAsia="es-MX"/>
        </w:rPr>
        <w:lastRenderedPageBreak/>
        <w:t>Artículo 137</w:t>
      </w:r>
      <w:r w:rsidRPr="000818BF">
        <w:rPr>
          <w:rFonts w:ascii="Palatino Linotype" w:hAnsi="Palatino Linotype"/>
          <w:i/>
          <w:iCs/>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A3ACB" w:rsidRPr="000818BF" w:rsidRDefault="00CA3ACB" w:rsidP="00CA3ACB">
      <w:pPr>
        <w:shd w:val="clear" w:color="auto" w:fill="FFFFFF"/>
        <w:spacing w:before="240" w:after="240"/>
        <w:ind w:left="851" w:right="902"/>
        <w:jc w:val="both"/>
        <w:rPr>
          <w:rFonts w:ascii="Palatino Linotype" w:hAnsi="Palatino Linotype"/>
          <w:lang w:eastAsia="es-MX"/>
        </w:rPr>
      </w:pPr>
      <w:r w:rsidRPr="000818BF">
        <w:rPr>
          <w:rFonts w:ascii="Palatino Linotype" w:hAnsi="Palatino Linotype"/>
          <w:b/>
          <w:bCs/>
          <w:i/>
          <w:iCs/>
          <w:lang w:eastAsia="es-MX"/>
        </w:rPr>
        <w:t> Artículo 143</w:t>
      </w:r>
      <w:r w:rsidRPr="000818BF">
        <w:rPr>
          <w:rFonts w:ascii="Palatino Linotype" w:hAnsi="Palatino Linotype"/>
          <w:i/>
          <w:iCs/>
          <w:lang w:eastAsia="es-MX"/>
        </w:rPr>
        <w:t>. Para los efectos de esta Ley se considera información confidencial, la clasificada como tal, de manera permanente, por su naturaleza, cuando:</w:t>
      </w:r>
    </w:p>
    <w:p w:rsidR="00CA3ACB" w:rsidRPr="000818BF" w:rsidRDefault="00CA3ACB" w:rsidP="00CA3ACB">
      <w:pPr>
        <w:shd w:val="clear" w:color="auto" w:fill="FFFFFF"/>
        <w:spacing w:before="240" w:after="240"/>
        <w:ind w:left="851" w:right="902"/>
        <w:jc w:val="both"/>
        <w:rPr>
          <w:rFonts w:ascii="Palatino Linotype" w:hAnsi="Palatino Linotype"/>
          <w:lang w:eastAsia="es-MX"/>
        </w:rPr>
      </w:pPr>
      <w:r w:rsidRPr="000818BF">
        <w:rPr>
          <w:rFonts w:ascii="Palatino Linotype" w:hAnsi="Palatino Linotype"/>
          <w:i/>
          <w:iCs/>
          <w:lang w:eastAsia="es-MX"/>
        </w:rPr>
        <w:t>I. Se refiera a la información privada y los datos personales concernientes a una persona física o jurídico colectiva identificada o identificable..</w:t>
      </w:r>
      <w:r w:rsidRPr="000818BF">
        <w:rPr>
          <w:rFonts w:ascii="Palatino Linotype" w:eastAsia="Calibri" w:hAnsi="Palatino Linotype" w:cs="Arial"/>
          <w:bCs/>
          <w:i/>
          <w:noProof/>
        </w:rPr>
        <w:t>.”</w:t>
      </w:r>
    </w:p>
    <w:p w:rsidR="00311EE6" w:rsidRDefault="00311EE6" w:rsidP="00311EE6">
      <w:pPr>
        <w:pStyle w:val="Sinespaciado"/>
      </w:pPr>
    </w:p>
    <w:p w:rsidR="00CA3ACB" w:rsidRPr="00CA3ACB" w:rsidRDefault="00CA3ACB" w:rsidP="00CA3ACB">
      <w:pPr>
        <w:autoSpaceDE w:val="0"/>
        <w:autoSpaceDN w:val="0"/>
        <w:adjustRightInd w:val="0"/>
        <w:spacing w:before="240" w:after="240" w:line="360" w:lineRule="auto"/>
        <w:ind w:right="50"/>
        <w:jc w:val="both"/>
        <w:rPr>
          <w:rFonts w:ascii="Palatino Linotype" w:hAnsi="Palatino Linotype" w:cs="Arial"/>
          <w:sz w:val="24"/>
        </w:rPr>
      </w:pPr>
      <w:r w:rsidRPr="00CA3ACB">
        <w:rPr>
          <w:rFonts w:ascii="Palatino Linotype" w:hAnsi="Palatino Linotype" w:cs="Arial"/>
          <w:sz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CA3ACB" w:rsidRPr="00CA3ACB" w:rsidRDefault="00CA3ACB" w:rsidP="00CA3ACB">
      <w:pPr>
        <w:autoSpaceDE w:val="0"/>
        <w:autoSpaceDN w:val="0"/>
        <w:adjustRightInd w:val="0"/>
        <w:spacing w:before="240" w:after="240" w:line="360" w:lineRule="auto"/>
        <w:ind w:right="50"/>
        <w:jc w:val="both"/>
        <w:rPr>
          <w:rFonts w:ascii="Palatino Linotype" w:hAnsi="Palatino Linotype" w:cs="Arial"/>
          <w:sz w:val="24"/>
        </w:rPr>
      </w:pPr>
      <w:r w:rsidRPr="00CA3ACB">
        <w:rPr>
          <w:rFonts w:ascii="Palatino Linotype" w:hAnsi="Palatino Linotype" w:cs="Arial"/>
          <w:sz w:val="24"/>
        </w:rPr>
        <w:t xml:space="preserve">Datos que deberá clasificar como confidenciales por tratarse precisamente de información privada, puesto que los datos personales son irrenunciables, </w:t>
      </w:r>
      <w:r w:rsidRPr="00CA3ACB">
        <w:rPr>
          <w:rFonts w:ascii="Palatino Linotype" w:hAnsi="Palatino Linotype" w:cs="Arial"/>
          <w:sz w:val="24"/>
        </w:rPr>
        <w:lastRenderedPageBreak/>
        <w:t>intransferibles e indelegables y los Sujetos Obligados no deberán hacer entrega de los mismos a personas ajenas a su titular.</w:t>
      </w:r>
    </w:p>
    <w:p w:rsidR="00CA3ACB" w:rsidRPr="00CA3ACB" w:rsidRDefault="00CA3ACB" w:rsidP="00CA3ACB">
      <w:pPr>
        <w:autoSpaceDE w:val="0"/>
        <w:autoSpaceDN w:val="0"/>
        <w:adjustRightInd w:val="0"/>
        <w:spacing w:before="240" w:after="240" w:line="360" w:lineRule="auto"/>
        <w:ind w:right="50"/>
        <w:jc w:val="both"/>
        <w:rPr>
          <w:rFonts w:ascii="Palatino Linotype" w:hAnsi="Palatino Linotype" w:cs="Arial"/>
          <w:sz w:val="24"/>
        </w:rPr>
      </w:pPr>
      <w:r w:rsidRPr="00CA3ACB">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CA3ACB" w:rsidRPr="000818BF" w:rsidRDefault="00CA3ACB" w:rsidP="00CA3ACB">
      <w:pPr>
        <w:spacing w:before="240" w:after="240"/>
        <w:ind w:left="992" w:right="1043"/>
        <w:contextualSpacing/>
        <w:jc w:val="both"/>
        <w:rPr>
          <w:rFonts w:ascii="Palatino Linotype" w:hAnsi="Palatino Linotype"/>
          <w:i/>
        </w:rPr>
      </w:pPr>
      <w:r w:rsidRPr="000818BF">
        <w:rPr>
          <w:rFonts w:ascii="Palatino Linotype" w:hAnsi="Palatino Linotype"/>
          <w:b/>
          <w:i/>
        </w:rPr>
        <w:t>“Artículo 49.</w:t>
      </w:r>
      <w:r w:rsidRPr="000818BF">
        <w:rPr>
          <w:rFonts w:ascii="Palatino Linotype" w:hAnsi="Palatino Linotype"/>
          <w:i/>
        </w:rPr>
        <w:t xml:space="preserve"> </w:t>
      </w:r>
      <w:r w:rsidRPr="000818BF">
        <w:rPr>
          <w:rFonts w:ascii="Palatino Linotype" w:hAnsi="Palatino Linotype"/>
          <w:b/>
          <w:i/>
        </w:rPr>
        <w:t>Los Comités de Transparencia</w:t>
      </w:r>
      <w:r w:rsidRPr="000818BF">
        <w:rPr>
          <w:rFonts w:ascii="Palatino Linotype" w:hAnsi="Palatino Linotype"/>
          <w:i/>
        </w:rPr>
        <w:t xml:space="preserve"> tendrán las siguientes atribuciones:</w:t>
      </w:r>
    </w:p>
    <w:p w:rsidR="00CA3ACB" w:rsidRPr="000818BF" w:rsidRDefault="00CA3ACB" w:rsidP="00CA3ACB">
      <w:pPr>
        <w:spacing w:before="240" w:after="240"/>
        <w:ind w:left="992" w:right="1043"/>
        <w:contextualSpacing/>
        <w:jc w:val="both"/>
        <w:rPr>
          <w:rFonts w:ascii="Palatino Linotype" w:hAnsi="Palatino Linotype"/>
          <w:i/>
        </w:rPr>
      </w:pPr>
    </w:p>
    <w:p w:rsidR="00CA3ACB" w:rsidRPr="000818BF" w:rsidRDefault="00CA3ACB" w:rsidP="00CA3ACB">
      <w:pPr>
        <w:spacing w:before="240" w:after="240"/>
        <w:ind w:left="992" w:right="1043"/>
        <w:contextualSpacing/>
        <w:jc w:val="both"/>
        <w:rPr>
          <w:rFonts w:ascii="Palatino Linotype" w:hAnsi="Palatino Linotype"/>
          <w:i/>
        </w:rPr>
      </w:pPr>
      <w:r w:rsidRPr="000818BF">
        <w:rPr>
          <w:rFonts w:ascii="Palatino Linotype" w:hAnsi="Palatino Linotype"/>
          <w:b/>
          <w:i/>
        </w:rPr>
        <w:t>VIII. Aprobar, modificar o revocar la clasificación de la información</w:t>
      </w:r>
      <w:r w:rsidRPr="000818BF">
        <w:rPr>
          <w:rFonts w:ascii="Palatino Linotype" w:hAnsi="Palatino Linotype"/>
          <w:i/>
        </w:rPr>
        <w:t>…”</w:t>
      </w:r>
    </w:p>
    <w:p w:rsidR="00CA3ACB" w:rsidRPr="000818BF" w:rsidRDefault="00CA3ACB" w:rsidP="00CA3ACB">
      <w:pPr>
        <w:spacing w:before="240" w:after="240"/>
        <w:ind w:left="992" w:right="1043"/>
        <w:contextualSpacing/>
        <w:jc w:val="both"/>
        <w:rPr>
          <w:rFonts w:ascii="Palatino Linotype" w:hAnsi="Palatino Linotype"/>
          <w:i/>
        </w:rPr>
      </w:pPr>
      <w:r w:rsidRPr="000818BF">
        <w:rPr>
          <w:rFonts w:ascii="Palatino Linotype" w:hAnsi="Palatino Linotype"/>
          <w:i/>
        </w:rPr>
        <w:t>“</w:t>
      </w:r>
      <w:r w:rsidRPr="000818BF">
        <w:rPr>
          <w:rFonts w:ascii="Palatino Linotype" w:hAnsi="Palatino Linotype"/>
          <w:b/>
          <w:i/>
        </w:rPr>
        <w:t>Artículo 53.</w:t>
      </w:r>
      <w:r w:rsidRPr="000818BF">
        <w:rPr>
          <w:rFonts w:ascii="Palatino Linotype" w:hAnsi="Palatino Linotype"/>
          <w:i/>
        </w:rPr>
        <w:t xml:space="preserve"> Las </w:t>
      </w:r>
      <w:r w:rsidRPr="000818BF">
        <w:rPr>
          <w:rFonts w:ascii="Palatino Linotype" w:hAnsi="Palatino Linotype"/>
          <w:b/>
          <w:i/>
        </w:rPr>
        <w:t>Unidades de Transparencia</w:t>
      </w:r>
      <w:r w:rsidRPr="000818BF">
        <w:rPr>
          <w:rFonts w:ascii="Palatino Linotype" w:hAnsi="Palatino Linotype"/>
          <w:i/>
        </w:rPr>
        <w:t xml:space="preserve"> tendrán las siguientes </w:t>
      </w:r>
      <w:r w:rsidRPr="000818BF">
        <w:rPr>
          <w:rFonts w:ascii="Palatino Linotype" w:hAnsi="Palatino Linotype"/>
          <w:b/>
          <w:i/>
        </w:rPr>
        <w:t>funciones</w:t>
      </w:r>
      <w:r w:rsidRPr="000818BF">
        <w:rPr>
          <w:rFonts w:ascii="Palatino Linotype" w:hAnsi="Palatino Linotype"/>
          <w:i/>
        </w:rPr>
        <w:t>:</w:t>
      </w:r>
    </w:p>
    <w:p w:rsidR="00CA3ACB" w:rsidRPr="000818BF" w:rsidRDefault="00CA3ACB" w:rsidP="00CA3ACB">
      <w:pPr>
        <w:spacing w:before="240" w:after="240"/>
        <w:ind w:left="992" w:right="1043"/>
        <w:contextualSpacing/>
        <w:jc w:val="both"/>
        <w:rPr>
          <w:rFonts w:ascii="Palatino Linotype" w:hAnsi="Palatino Linotype"/>
          <w:i/>
        </w:rPr>
      </w:pPr>
      <w:r w:rsidRPr="000818BF">
        <w:rPr>
          <w:rFonts w:ascii="Palatino Linotype" w:hAnsi="Palatino Linotype"/>
          <w:b/>
          <w:i/>
        </w:rPr>
        <w:t>X. Presentar ante el Comité, el proyecto de clasificación de información</w:t>
      </w:r>
      <w:r w:rsidRPr="000818BF">
        <w:rPr>
          <w:rFonts w:ascii="Palatino Linotype" w:hAnsi="Palatino Linotype"/>
          <w:i/>
        </w:rPr>
        <w:t xml:space="preserve">…” </w:t>
      </w:r>
    </w:p>
    <w:p w:rsidR="00CA3ACB" w:rsidRPr="000818BF" w:rsidRDefault="00CA3ACB" w:rsidP="00CA3ACB">
      <w:pPr>
        <w:spacing w:before="240" w:after="240"/>
        <w:ind w:left="992" w:right="1043"/>
        <w:contextualSpacing/>
        <w:jc w:val="both"/>
        <w:rPr>
          <w:rFonts w:ascii="Palatino Linotype" w:hAnsi="Palatino Linotype"/>
          <w:i/>
        </w:rPr>
      </w:pPr>
    </w:p>
    <w:p w:rsidR="00CA3ACB" w:rsidRPr="000818BF" w:rsidRDefault="00CA3ACB" w:rsidP="00CA3ACB">
      <w:pPr>
        <w:spacing w:before="240" w:after="240"/>
        <w:ind w:left="992" w:right="1043"/>
        <w:contextualSpacing/>
        <w:jc w:val="both"/>
        <w:rPr>
          <w:rFonts w:ascii="Palatino Linotype" w:hAnsi="Palatino Linotype"/>
          <w:i/>
        </w:rPr>
      </w:pPr>
      <w:r w:rsidRPr="000818BF">
        <w:rPr>
          <w:rFonts w:ascii="Palatino Linotype" w:hAnsi="Palatino Linotype"/>
          <w:b/>
          <w:i/>
        </w:rPr>
        <w:t>“Artículo 59.</w:t>
      </w:r>
      <w:r w:rsidRPr="000818BF">
        <w:rPr>
          <w:rFonts w:ascii="Palatino Linotype" w:hAnsi="Palatino Linotype"/>
          <w:i/>
        </w:rPr>
        <w:t xml:space="preserve"> Los </w:t>
      </w:r>
      <w:r w:rsidRPr="000818BF">
        <w:rPr>
          <w:rFonts w:ascii="Palatino Linotype" w:hAnsi="Palatino Linotype"/>
          <w:b/>
          <w:i/>
        </w:rPr>
        <w:t>servidores públicos habilitados</w:t>
      </w:r>
      <w:r w:rsidRPr="000818BF">
        <w:rPr>
          <w:rFonts w:ascii="Palatino Linotype" w:hAnsi="Palatino Linotype"/>
          <w:i/>
        </w:rPr>
        <w:t xml:space="preserve"> tendrán las </w:t>
      </w:r>
      <w:r w:rsidRPr="000818BF">
        <w:rPr>
          <w:rFonts w:ascii="Palatino Linotype" w:hAnsi="Palatino Linotype"/>
          <w:b/>
          <w:i/>
        </w:rPr>
        <w:t>funciones</w:t>
      </w:r>
      <w:r w:rsidRPr="000818BF">
        <w:rPr>
          <w:rFonts w:ascii="Palatino Linotype" w:hAnsi="Palatino Linotype"/>
          <w:i/>
        </w:rPr>
        <w:t xml:space="preserve"> siguientes:</w:t>
      </w:r>
    </w:p>
    <w:p w:rsidR="00CA3ACB" w:rsidRPr="000818BF" w:rsidRDefault="00CA3ACB" w:rsidP="00CA3ACB">
      <w:pPr>
        <w:spacing w:before="240" w:after="240"/>
        <w:ind w:left="992" w:right="1043"/>
        <w:contextualSpacing/>
        <w:jc w:val="both"/>
        <w:rPr>
          <w:rFonts w:ascii="Palatino Linotype" w:hAnsi="Palatino Linotype"/>
          <w:b/>
          <w:i/>
        </w:rPr>
      </w:pPr>
    </w:p>
    <w:p w:rsidR="00CA3ACB" w:rsidRPr="000818BF" w:rsidRDefault="00CA3ACB" w:rsidP="00CA3ACB">
      <w:pPr>
        <w:spacing w:before="240" w:after="240"/>
        <w:ind w:left="992" w:right="1043"/>
        <w:contextualSpacing/>
        <w:jc w:val="both"/>
        <w:rPr>
          <w:rFonts w:ascii="Palatino Linotype" w:hAnsi="Palatino Linotype"/>
          <w:i/>
        </w:rPr>
      </w:pPr>
      <w:r w:rsidRPr="000818BF">
        <w:rPr>
          <w:rFonts w:ascii="Palatino Linotype" w:hAnsi="Palatino Linotype"/>
          <w:b/>
          <w:i/>
        </w:rPr>
        <w:t>V. Integrar y presentar al responsable de la Unidad de Transparencia la propuesta de clasificación de información</w:t>
      </w:r>
      <w:r w:rsidRPr="000818BF">
        <w:rPr>
          <w:rFonts w:ascii="Palatino Linotype" w:hAnsi="Palatino Linotype"/>
          <w:i/>
        </w:rPr>
        <w:t>, la cual tendrá los fundamentos y argumentos en que se basa dicha propuesta…”</w:t>
      </w:r>
    </w:p>
    <w:p w:rsidR="00CA3ACB" w:rsidRPr="000818BF" w:rsidRDefault="00CA3ACB" w:rsidP="00CA3ACB">
      <w:pPr>
        <w:spacing w:before="240" w:after="240"/>
        <w:ind w:left="992" w:right="1043"/>
        <w:contextualSpacing/>
        <w:jc w:val="both"/>
        <w:rPr>
          <w:rFonts w:ascii="Palatino Linotype" w:hAnsi="Palatino Linotype"/>
          <w:i/>
        </w:rPr>
      </w:pPr>
    </w:p>
    <w:p w:rsidR="00CA3ACB" w:rsidRPr="00CA3ACB" w:rsidRDefault="00CA3ACB" w:rsidP="00CA3ACB">
      <w:pPr>
        <w:spacing w:before="240" w:after="240" w:line="360" w:lineRule="auto"/>
        <w:jc w:val="both"/>
        <w:rPr>
          <w:rFonts w:ascii="Palatino Linotype" w:hAnsi="Palatino Linotype" w:cs="Arial"/>
          <w:sz w:val="24"/>
        </w:rPr>
      </w:pPr>
      <w:r w:rsidRPr="00CA3ACB">
        <w:rPr>
          <w:rFonts w:ascii="Palatino Linotype" w:hAnsi="Palatino Linotype" w:cs="Arial"/>
          <w:sz w:val="24"/>
        </w:rPr>
        <w:t xml:space="preserve">Denotándose de dichos elementos normativos que al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w:t>
      </w:r>
      <w:r w:rsidRPr="00CA3ACB">
        <w:rPr>
          <w:rFonts w:ascii="Palatino Linotype" w:hAnsi="Palatino Linotype" w:cs="Arial"/>
          <w:sz w:val="24"/>
        </w:rPr>
        <w:lastRenderedPageBreak/>
        <w:t>Comité de Transparencia de así resultar procedente el proyecto de clasificación de la información y finalmente sea éste último quien apruebe, modifique o revoque la clasificación de la información solicitada.</w:t>
      </w:r>
    </w:p>
    <w:p w:rsidR="00CA3ACB" w:rsidRPr="00CA3ACB" w:rsidRDefault="00CA3ACB" w:rsidP="00CA3ACB">
      <w:pPr>
        <w:spacing w:before="240" w:after="240" w:line="360" w:lineRule="auto"/>
        <w:jc w:val="both"/>
        <w:rPr>
          <w:rFonts w:ascii="Palatino Linotype" w:hAnsi="Palatino Linotype"/>
          <w:sz w:val="24"/>
        </w:rPr>
      </w:pPr>
      <w:r w:rsidRPr="00CA3ACB">
        <w:rPr>
          <w:rFonts w:ascii="Palatino Linotype" w:hAnsi="Palatino Linotype" w:cs="Arial"/>
          <w:sz w:val="24"/>
        </w:rPr>
        <w:t>Para lo cual a su vez en el caso de información de carácter confidencial se debe atender a lo que señala el artículo 149 de la Ley de Transparencia Local vigente, cuyo contenido es de la literalidad siguiente:</w:t>
      </w:r>
    </w:p>
    <w:p w:rsidR="00CA3ACB" w:rsidRDefault="00CA3ACB" w:rsidP="00CA3ACB">
      <w:pPr>
        <w:spacing w:before="240" w:after="240"/>
        <w:ind w:left="993" w:right="1041"/>
        <w:jc w:val="both"/>
        <w:rPr>
          <w:rFonts w:ascii="Palatino Linotype" w:hAnsi="Palatino Linotype"/>
          <w:i/>
        </w:rPr>
      </w:pPr>
      <w:r w:rsidRPr="000818BF">
        <w:rPr>
          <w:rFonts w:ascii="Palatino Linotype" w:hAnsi="Palatino Linotype"/>
          <w:i/>
        </w:rPr>
        <w:t>“</w:t>
      </w:r>
      <w:r w:rsidRPr="000818BF">
        <w:rPr>
          <w:rFonts w:ascii="Palatino Linotype" w:hAnsi="Palatino Linotype"/>
          <w:b/>
          <w:i/>
        </w:rPr>
        <w:t>Artículo 149.</w:t>
      </w:r>
      <w:r w:rsidRPr="000818BF">
        <w:rPr>
          <w:rFonts w:ascii="Palatino Linotype" w:hAnsi="Palatino Linotype"/>
          <w:i/>
        </w:rPr>
        <w:t xml:space="preserve"> El </w:t>
      </w:r>
      <w:r w:rsidRPr="000818BF">
        <w:rPr>
          <w:rFonts w:ascii="Palatino Linotype" w:hAnsi="Palatino Linotype"/>
          <w:b/>
          <w:i/>
        </w:rPr>
        <w:t>acuerdo que clasifique la información como confidencial</w:t>
      </w:r>
      <w:r w:rsidRPr="000818BF">
        <w:rPr>
          <w:rFonts w:ascii="Palatino Linotype" w:hAnsi="Palatino Linotype"/>
          <w:i/>
        </w:rPr>
        <w:t xml:space="preserve"> deberá contener un razonamiento lógico en el que demuestre que la información se encuentra en alguna o algunas de las hipótesis previstas en la presente Ley.”</w:t>
      </w:r>
    </w:p>
    <w:p w:rsidR="00CA3ACB" w:rsidRDefault="00CA3ACB" w:rsidP="00CA3ACB">
      <w:pPr>
        <w:pStyle w:val="Sinespaciado"/>
        <w:rPr>
          <w:lang w:eastAsia="es-CO"/>
        </w:rPr>
      </w:pPr>
    </w:p>
    <w:p w:rsidR="00CA3ACB" w:rsidRPr="00CA3ACB" w:rsidRDefault="00CA3ACB" w:rsidP="00CA3ACB">
      <w:pPr>
        <w:spacing w:before="240" w:after="240" w:line="360" w:lineRule="auto"/>
        <w:ind w:right="49"/>
        <w:jc w:val="both"/>
        <w:rPr>
          <w:rFonts w:ascii="Palatino Linotype" w:hAnsi="Palatino Linotype" w:cs="Arial"/>
          <w:sz w:val="24"/>
          <w:lang w:eastAsia="es-CO"/>
        </w:rPr>
      </w:pPr>
      <w:r w:rsidRPr="00CA3ACB">
        <w:rPr>
          <w:rFonts w:ascii="Palatino Linotype" w:hAnsi="Palatino Linotype" w:cs="Arial"/>
          <w:sz w:val="24"/>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CA3ACB" w:rsidRPr="00CA3ACB" w:rsidRDefault="00CA3ACB" w:rsidP="00CA3ACB">
      <w:pPr>
        <w:spacing w:before="240" w:after="240" w:line="360" w:lineRule="auto"/>
        <w:jc w:val="both"/>
        <w:rPr>
          <w:rFonts w:ascii="Palatino Linotype" w:hAnsi="Palatino Linotype" w:cs="Arial"/>
          <w:sz w:val="24"/>
        </w:rPr>
      </w:pPr>
      <w:r w:rsidRPr="00CA3ACB">
        <w:rPr>
          <w:rFonts w:ascii="Palatino Linotype" w:hAnsi="Palatino Linotype" w:cs="Arial"/>
          <w:sz w:val="24"/>
        </w:rPr>
        <w:t xml:space="preserve">En el caso específico, los informes mensuales que remite el Sujeto Obligado al OSFEM, si bien tienen el carácter </w:t>
      </w:r>
      <w:r w:rsidRPr="00CA3ACB">
        <w:rPr>
          <w:rFonts w:ascii="Palatino Linotype" w:hAnsi="Palatino Linotype"/>
          <w:sz w:val="24"/>
        </w:rPr>
        <w:t xml:space="preserve">información pública en razón de que se trata de documentos que se encuentran en posesión del Sujeto Obligado, derivado del ejercicio de sus atribuciones, </w:t>
      </w:r>
      <w:r w:rsidRPr="00CA3ACB">
        <w:rPr>
          <w:rFonts w:ascii="Palatino Linotype" w:hAnsi="Palatino Linotype" w:cs="Arial"/>
          <w:sz w:val="24"/>
        </w:rPr>
        <w:t xml:space="preserve">tal como quedó acotado en el cuerpo de la presente Resolución, también </w:t>
      </w:r>
      <w:r w:rsidRPr="00CA3ACB">
        <w:rPr>
          <w:rFonts w:ascii="Palatino Linotype" w:hAnsi="Palatino Linotype" w:cs="Arial"/>
          <w:sz w:val="24"/>
        </w:rPr>
        <w:lastRenderedPageBreak/>
        <w:t xml:space="preserve">contienen los datos personales de los Servidores Públicos encargados de la Seguridad Pública,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CA3ACB">
        <w:rPr>
          <w:rFonts w:ascii="Palatino Linotype" w:hAnsi="Palatino Linotype" w:cs="Arial"/>
          <w:b/>
          <w:sz w:val="24"/>
        </w:rPr>
        <w:t>Registro Federal de Contribuyentes</w:t>
      </w:r>
      <w:r w:rsidRPr="00CA3ACB">
        <w:rPr>
          <w:rFonts w:ascii="Palatino Linotype" w:hAnsi="Palatino Linotype" w:cs="Arial"/>
          <w:sz w:val="24"/>
        </w:rPr>
        <w:t xml:space="preserve"> (RFC), la </w:t>
      </w:r>
      <w:r w:rsidRPr="00CA3ACB">
        <w:rPr>
          <w:rFonts w:ascii="Palatino Linotype" w:hAnsi="Palatino Linotype" w:cs="Arial"/>
          <w:b/>
          <w:sz w:val="24"/>
        </w:rPr>
        <w:t>Clave Única de Registro de Población</w:t>
      </w:r>
      <w:r w:rsidRPr="00CA3ACB">
        <w:rPr>
          <w:rFonts w:ascii="Palatino Linotype" w:hAnsi="Palatino Linotype" w:cs="Arial"/>
          <w:sz w:val="24"/>
        </w:rPr>
        <w:t xml:space="preserve"> (CURP), la </w:t>
      </w:r>
      <w:r w:rsidRPr="00CA3ACB">
        <w:rPr>
          <w:rFonts w:ascii="Palatino Linotype" w:hAnsi="Palatino Linotype" w:cs="Arial"/>
          <w:b/>
          <w:sz w:val="24"/>
        </w:rPr>
        <w:t>Clave de cualquier tipo de seguridad social</w:t>
      </w:r>
      <w:r w:rsidRPr="00CA3ACB">
        <w:rPr>
          <w:rFonts w:ascii="Palatino Linotype" w:hAnsi="Palatino Linotype" w:cs="Arial"/>
          <w:sz w:val="24"/>
        </w:rPr>
        <w:t xml:space="preserve"> (ISSEMYM, u otros), así como las </w:t>
      </w:r>
      <w:r w:rsidRPr="00CA3ACB">
        <w:rPr>
          <w:rFonts w:ascii="Palatino Linotype" w:hAnsi="Palatino Linotype" w:cs="Arial"/>
          <w:b/>
          <w:sz w:val="24"/>
        </w:rPr>
        <w:t xml:space="preserve">firmas </w:t>
      </w:r>
      <w:r w:rsidRPr="00CA3ACB">
        <w:rPr>
          <w:rFonts w:ascii="Palatino Linotype" w:hAnsi="Palatino Linotype" w:cs="Arial"/>
          <w:sz w:val="24"/>
        </w:rPr>
        <w:t xml:space="preserve"> de los interesados como </w:t>
      </w:r>
      <w:r w:rsidRPr="00CA3ACB">
        <w:rPr>
          <w:rFonts w:ascii="Palatino Linotype" w:hAnsi="Palatino Linotype"/>
          <w:sz w:val="24"/>
          <w:lang w:eastAsia="es-MX"/>
        </w:rPr>
        <w:t xml:space="preserve">el número de </w:t>
      </w:r>
      <w:r w:rsidRPr="00CA3ACB">
        <w:rPr>
          <w:rFonts w:ascii="Palatino Linotype" w:hAnsi="Palatino Linotype"/>
          <w:b/>
          <w:sz w:val="24"/>
          <w:lang w:eastAsia="es-MX"/>
        </w:rPr>
        <w:t>cuenta bancaria</w:t>
      </w:r>
      <w:r w:rsidRPr="00CA3ACB">
        <w:rPr>
          <w:rFonts w:ascii="Palatino Linotype" w:eastAsia="Calibri" w:hAnsi="Palatino Linotype" w:cs="Arial"/>
          <w:color w:val="000000" w:themeColor="text1"/>
          <w:sz w:val="24"/>
          <w:lang w:eastAsia="es-MX"/>
        </w:rPr>
        <w:t xml:space="preserve">, </w:t>
      </w:r>
      <w:r w:rsidRPr="00CA3ACB">
        <w:rPr>
          <w:rFonts w:ascii="Palatino Linotype" w:eastAsia="Calibri" w:hAnsi="Palatino Linotype" w:cs="Arial"/>
          <w:b/>
          <w:color w:val="000000" w:themeColor="text1"/>
          <w:sz w:val="24"/>
          <w:lang w:eastAsia="es-MX"/>
        </w:rPr>
        <w:t>Cadenas Originales del Sellos Digitales</w:t>
      </w:r>
      <w:r w:rsidRPr="00CA3ACB">
        <w:rPr>
          <w:rFonts w:ascii="Palatino Linotype" w:eastAsia="Calibri" w:hAnsi="Palatino Linotype" w:cs="Arial"/>
          <w:color w:val="000000" w:themeColor="text1"/>
          <w:sz w:val="24"/>
          <w:lang w:eastAsia="es-MX"/>
        </w:rPr>
        <w:t xml:space="preserve"> y los </w:t>
      </w:r>
      <w:r w:rsidRPr="00CA3ACB">
        <w:rPr>
          <w:rFonts w:ascii="Palatino Linotype" w:eastAsia="Calibri" w:hAnsi="Palatino Linotype" w:cs="Arial"/>
          <w:b/>
          <w:color w:val="000000" w:themeColor="text1"/>
          <w:sz w:val="24"/>
          <w:lang w:eastAsia="es-MX"/>
        </w:rPr>
        <w:t>Códigos Bidimensionales</w:t>
      </w:r>
      <w:r w:rsidRPr="00CA3ACB">
        <w:rPr>
          <w:rFonts w:ascii="Palatino Linotype" w:eastAsia="Calibri" w:hAnsi="Palatino Linotype" w:cs="Arial"/>
          <w:color w:val="000000" w:themeColor="text1"/>
          <w:sz w:val="24"/>
          <w:lang w:eastAsia="es-MX"/>
        </w:rPr>
        <w:t xml:space="preserve">, también denominados </w:t>
      </w:r>
      <w:r w:rsidRPr="00CA3ACB">
        <w:rPr>
          <w:rFonts w:ascii="Palatino Linotype" w:eastAsia="Calibri" w:hAnsi="Palatino Linotype" w:cs="Arial"/>
          <w:b/>
          <w:color w:val="000000" w:themeColor="text1"/>
          <w:sz w:val="24"/>
          <w:lang w:eastAsia="es-MX"/>
        </w:rPr>
        <w:t>Códigos QR</w:t>
      </w:r>
      <w:r w:rsidRPr="00CA3ACB">
        <w:rPr>
          <w:rFonts w:ascii="Palatino Linotype" w:eastAsia="Calibri" w:hAnsi="Palatino Linotype" w:cs="Arial"/>
          <w:color w:val="000000" w:themeColor="text1"/>
          <w:sz w:val="24"/>
          <w:lang w:eastAsia="es-MX"/>
        </w:rPr>
        <w:t xml:space="preserve">, estos son datos susceptibles de clasificarse como confidenciales mediante una versión pública que deje a la vista los datos que ofrezcan la información requerida </w:t>
      </w:r>
      <w:r w:rsidRPr="00CA3ACB">
        <w:rPr>
          <w:rFonts w:ascii="Palatino Linotype" w:hAnsi="Palatino Linotype" w:cs="Arial"/>
          <w:sz w:val="24"/>
        </w:rPr>
        <w:t xml:space="preserve">y </w:t>
      </w:r>
      <w:r w:rsidRPr="00CA3ACB">
        <w:rPr>
          <w:rFonts w:ascii="Palatino Linotype" w:eastAsia="Calibri" w:hAnsi="Palatino Linotype" w:cs="Arial"/>
          <w:sz w:val="24"/>
          <w:lang w:eastAsia="es-MX"/>
        </w:rPr>
        <w:t xml:space="preserve">aquellos </w:t>
      </w:r>
      <w:r w:rsidRPr="00CA3ACB">
        <w:rPr>
          <w:rFonts w:ascii="Palatino Linotype" w:eastAsia="Calibri" w:hAnsi="Palatino Linotype" w:cs="Arial"/>
          <w:b/>
          <w:sz w:val="24"/>
          <w:lang w:eastAsia="es-MX"/>
        </w:rPr>
        <w:t>datos personales concernientes a la vida privada de las personas</w:t>
      </w:r>
      <w:r w:rsidRPr="00CA3ACB">
        <w:rPr>
          <w:rFonts w:ascii="Palatino Linotype" w:eastAsia="Calibri" w:hAnsi="Palatino Linotype" w:cs="Arial"/>
          <w:sz w:val="24"/>
          <w:lang w:eastAsia="es-MX"/>
        </w:rPr>
        <w:t xml:space="preserve"> </w:t>
      </w:r>
      <w:r w:rsidRPr="00CA3ACB">
        <w:rPr>
          <w:rFonts w:ascii="Palatino Linotype" w:hAnsi="Palatino Linotype" w:cs="Arial"/>
          <w:sz w:val="24"/>
        </w:rPr>
        <w:t>que pudieran contener los citados documentos.</w:t>
      </w:r>
    </w:p>
    <w:p w:rsidR="00CA3ACB" w:rsidRPr="00CA3ACB" w:rsidRDefault="00CA3ACB" w:rsidP="00CA3ACB">
      <w:pPr>
        <w:spacing w:before="240" w:after="240" w:line="360" w:lineRule="auto"/>
        <w:jc w:val="both"/>
        <w:rPr>
          <w:rFonts w:ascii="Palatino Linotype" w:hAnsi="Palatino Linotype" w:cs="Arial"/>
          <w:sz w:val="24"/>
        </w:rPr>
      </w:pPr>
      <w:r w:rsidRPr="00CA3ACB">
        <w:rPr>
          <w:rFonts w:ascii="Palatino Linotype" w:hAnsi="Palatino Linotype" w:cs="Arial"/>
          <w:sz w:val="24"/>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CA3ACB" w:rsidRPr="00CA3ACB" w:rsidRDefault="00CA3ACB" w:rsidP="00CA3ACB">
      <w:pPr>
        <w:spacing w:before="240" w:after="240" w:line="360" w:lineRule="auto"/>
        <w:jc w:val="both"/>
        <w:rPr>
          <w:rFonts w:ascii="Palatino Linotype" w:hAnsi="Palatino Linotype" w:cs="Arial"/>
          <w:sz w:val="24"/>
          <w:lang w:eastAsia="es-MX"/>
        </w:rPr>
      </w:pPr>
      <w:r w:rsidRPr="00CA3ACB">
        <w:rPr>
          <w:rFonts w:ascii="Palatino Linotype" w:hAnsi="Palatino Linotype" w:cs="Arial"/>
          <w:sz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A3ACB" w:rsidRPr="00CA3ACB" w:rsidRDefault="00CA3ACB" w:rsidP="00CA3ACB">
      <w:pPr>
        <w:spacing w:before="240" w:after="240" w:line="360" w:lineRule="auto"/>
        <w:jc w:val="both"/>
        <w:rPr>
          <w:rFonts w:ascii="Palatino Linotype" w:hAnsi="Palatino Linotype" w:cs="Arial"/>
          <w:sz w:val="24"/>
          <w:lang w:eastAsia="es-MX"/>
        </w:rPr>
      </w:pPr>
      <w:r w:rsidRPr="00CA3ACB">
        <w:rPr>
          <w:rFonts w:ascii="Palatino Linotype" w:hAnsi="Palatino Linotype" w:cs="Arial"/>
          <w:sz w:val="24"/>
          <w:lang w:eastAsia="es-MX"/>
        </w:rPr>
        <w:lastRenderedPageBreak/>
        <w:t xml:space="preserve">Lo anterior es compartido por el Instituto </w:t>
      </w:r>
      <w:r w:rsidRPr="00CA3ACB">
        <w:rPr>
          <w:rFonts w:ascii="Palatino Linotype" w:hAnsi="Palatino Linotype" w:cs="Arial"/>
          <w:bCs/>
          <w:sz w:val="24"/>
          <w:shd w:val="clear" w:color="auto" w:fill="FFFFFF"/>
        </w:rPr>
        <w:t xml:space="preserve">Nacional de Transparencia, Acceso a la Información y Protección de Datos Personales, INAI, a través del Criterio 19/17, </w:t>
      </w:r>
      <w:r w:rsidRPr="00CA3ACB">
        <w:rPr>
          <w:rFonts w:ascii="Palatino Linotype" w:hAnsi="Palatino Linotype" w:cs="Arial"/>
          <w:sz w:val="24"/>
          <w:lang w:eastAsia="es-MX"/>
        </w:rPr>
        <w:t>el cual es del tenor literal siguiente:</w:t>
      </w:r>
    </w:p>
    <w:p w:rsidR="00E60464" w:rsidRPr="00E60464" w:rsidRDefault="00CA3ACB" w:rsidP="00E60464">
      <w:pPr>
        <w:autoSpaceDE w:val="0"/>
        <w:autoSpaceDN w:val="0"/>
        <w:adjustRightInd w:val="0"/>
        <w:ind w:left="851" w:right="900"/>
        <w:jc w:val="both"/>
        <w:rPr>
          <w:rFonts w:ascii="Palatino Linotype" w:hAnsi="Palatino Linotype" w:cs="Arial"/>
          <w:bCs/>
          <w:i/>
        </w:rPr>
      </w:pPr>
      <w:r w:rsidRPr="000818BF">
        <w:rPr>
          <w:rFonts w:ascii="Palatino Linotype" w:hAnsi="Palatino Linotype" w:cs="Arial"/>
          <w:b/>
          <w:bCs/>
          <w:i/>
        </w:rPr>
        <w:t>“Registro Federal de Contribuyentes (RFC) de personas físicas</w:t>
      </w:r>
      <w:r w:rsidRPr="000818BF">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CA3ACB" w:rsidRPr="00CA3ACB" w:rsidRDefault="00CA3ACB" w:rsidP="00CA3ACB">
      <w:pPr>
        <w:pStyle w:val="Sinespaciado"/>
        <w:spacing w:before="240" w:after="240" w:line="360" w:lineRule="auto"/>
        <w:jc w:val="both"/>
        <w:rPr>
          <w:rFonts w:ascii="Palatino Linotype" w:hAnsi="Palatino Linotype" w:cs="Arial"/>
          <w:sz w:val="24"/>
          <w:lang w:eastAsia="es-MX"/>
        </w:rPr>
      </w:pPr>
      <w:r w:rsidRPr="00CA3ACB">
        <w:rPr>
          <w:rFonts w:ascii="Palatino Linotype" w:hAnsi="Palatino Linotype" w:cs="Arial"/>
          <w:sz w:val="24"/>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CA3ACB" w:rsidRPr="00CA3ACB" w:rsidRDefault="00CA3ACB" w:rsidP="00CA3ACB">
      <w:pPr>
        <w:pStyle w:val="Sinespaciado"/>
        <w:spacing w:before="240" w:after="240" w:line="360" w:lineRule="auto"/>
        <w:jc w:val="both"/>
        <w:rPr>
          <w:rFonts w:ascii="Palatino Linotype" w:eastAsia="Calibri" w:hAnsi="Palatino Linotype" w:cs="Arial"/>
          <w:sz w:val="24"/>
          <w:lang w:eastAsia="es-MX"/>
        </w:rPr>
      </w:pPr>
      <w:r w:rsidRPr="00CA3ACB">
        <w:rPr>
          <w:rFonts w:ascii="Palatino Linotype" w:hAnsi="Palatino Linotype" w:cs="Arial"/>
          <w:sz w:val="24"/>
          <w:lang w:eastAsia="es-MX"/>
        </w:rPr>
        <w:t xml:space="preserve">De igual manera la Clave Única de Registro de Población, </w:t>
      </w:r>
      <w:r w:rsidRPr="00CA3ACB">
        <w:rPr>
          <w:rFonts w:ascii="Palatino Linotype" w:hAnsi="Palatino Linotype" w:cs="Arial"/>
          <w:sz w:val="24"/>
        </w:rPr>
        <w:t xml:space="preserve">CURP, constituye un dato personal, ya que tiene como finalidad registrar a cada una de las personas que integran la población del país, con datos que permitan certificar y acreditar fehacientemente su identidad, en virtud de que se </w:t>
      </w:r>
      <w:r w:rsidRPr="00CA3ACB">
        <w:rPr>
          <w:rFonts w:ascii="Palatino Linotype" w:eastAsia="Calibri" w:hAnsi="Palatino Linotype" w:cs="Arial"/>
          <w:sz w:val="24"/>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CA3ACB" w:rsidRPr="00CA3ACB" w:rsidRDefault="00CA3ACB" w:rsidP="00CA3ACB">
      <w:pPr>
        <w:spacing w:before="240" w:after="240" w:line="360" w:lineRule="auto"/>
        <w:jc w:val="both"/>
        <w:rPr>
          <w:rFonts w:ascii="Palatino Linotype" w:hAnsi="Palatino Linotype" w:cs="Arial"/>
          <w:sz w:val="24"/>
        </w:rPr>
      </w:pPr>
      <w:r w:rsidRPr="00CA3ACB">
        <w:rPr>
          <w:rFonts w:ascii="Palatino Linotype" w:hAnsi="Palatino Linotype" w:cs="Arial"/>
          <w:sz w:val="24"/>
        </w:rPr>
        <w:lastRenderedPageBreak/>
        <w:t xml:space="preserve">Argumento que es compartido por el </w:t>
      </w:r>
      <w:r w:rsidRPr="00CA3ACB">
        <w:rPr>
          <w:rFonts w:ascii="Palatino Linotype" w:hAnsi="Palatino Linotype" w:cs="Arial"/>
          <w:sz w:val="24"/>
          <w:lang w:eastAsia="es-MX"/>
        </w:rPr>
        <w:t xml:space="preserve">Instituto </w:t>
      </w:r>
      <w:r w:rsidRPr="00CA3ACB">
        <w:rPr>
          <w:rFonts w:ascii="Palatino Linotype" w:hAnsi="Palatino Linotype" w:cs="Arial"/>
          <w:bCs/>
          <w:sz w:val="24"/>
          <w:shd w:val="clear" w:color="auto" w:fill="FFFFFF"/>
        </w:rPr>
        <w:t>Nacional de Transparencia, Acceso a la Información y Protección de Datos Personales, INAI</w:t>
      </w:r>
      <w:r w:rsidRPr="00CA3ACB">
        <w:rPr>
          <w:rStyle w:val="Textoennegrita"/>
          <w:rFonts w:ascii="Palatino Linotype" w:hAnsi="Palatino Linotype" w:cs="Arial"/>
          <w:sz w:val="24"/>
        </w:rPr>
        <w:t xml:space="preserve">, conforme al </w:t>
      </w:r>
      <w:r w:rsidRPr="00CA3ACB">
        <w:rPr>
          <w:rFonts w:ascii="Palatino Linotype" w:hAnsi="Palatino Linotype" w:cs="Arial"/>
          <w:sz w:val="24"/>
        </w:rPr>
        <w:t xml:space="preserve">criterio 18/17, el cual refiere: </w:t>
      </w:r>
    </w:p>
    <w:p w:rsidR="00CA3ACB" w:rsidRDefault="00CA3ACB" w:rsidP="00CA3ACB">
      <w:pPr>
        <w:autoSpaceDE w:val="0"/>
        <w:autoSpaceDN w:val="0"/>
        <w:adjustRightInd w:val="0"/>
        <w:ind w:left="851" w:right="851"/>
        <w:jc w:val="both"/>
        <w:rPr>
          <w:rFonts w:ascii="Palatino Linotype" w:hAnsi="Palatino Linotype" w:cs="Arial"/>
          <w:bCs/>
          <w:i/>
          <w:lang w:eastAsia="es-MX"/>
        </w:rPr>
      </w:pPr>
      <w:r w:rsidRPr="000818BF">
        <w:rPr>
          <w:rFonts w:ascii="Palatino Linotype" w:hAnsi="Palatino Linotype" w:cs="Arial"/>
          <w:b/>
          <w:bCs/>
          <w:i/>
          <w:lang w:eastAsia="es-MX"/>
        </w:rPr>
        <w:t xml:space="preserve">“Clave Única de Registro de Población (CURP). </w:t>
      </w:r>
      <w:r w:rsidRPr="000818BF">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A3ACB" w:rsidRPr="000818BF" w:rsidRDefault="00CA3ACB" w:rsidP="00CA3ACB">
      <w:pPr>
        <w:autoSpaceDE w:val="0"/>
        <w:autoSpaceDN w:val="0"/>
        <w:adjustRightInd w:val="0"/>
        <w:ind w:left="851" w:right="851"/>
        <w:jc w:val="both"/>
        <w:rPr>
          <w:rFonts w:ascii="Palatino Linotype" w:hAnsi="Palatino Linotype" w:cs="Arial"/>
          <w:i/>
          <w:lang w:eastAsia="es-MX"/>
        </w:rPr>
      </w:pPr>
    </w:p>
    <w:p w:rsidR="00CA3ACB" w:rsidRPr="00CA3ACB" w:rsidRDefault="00CA3ACB" w:rsidP="00CA3ACB">
      <w:pPr>
        <w:autoSpaceDE w:val="0"/>
        <w:autoSpaceDN w:val="0"/>
        <w:adjustRightInd w:val="0"/>
        <w:spacing w:before="240" w:after="240" w:line="360" w:lineRule="auto"/>
        <w:jc w:val="both"/>
        <w:rPr>
          <w:rFonts w:ascii="Palatino Linotype" w:hAnsi="Palatino Linotype" w:cs="Arial"/>
          <w:sz w:val="24"/>
        </w:rPr>
      </w:pPr>
      <w:r w:rsidRPr="00CA3ACB">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A3ACB" w:rsidRPr="00CA3ACB" w:rsidRDefault="00CA3ACB" w:rsidP="00CA3ACB">
      <w:pPr>
        <w:shd w:val="clear" w:color="auto" w:fill="FFFFFF"/>
        <w:spacing w:before="240" w:after="240" w:line="360" w:lineRule="auto"/>
        <w:jc w:val="both"/>
        <w:rPr>
          <w:sz w:val="24"/>
          <w:lang w:eastAsia="es-MX"/>
        </w:rPr>
      </w:pPr>
      <w:r w:rsidRPr="00CA3ACB">
        <w:rPr>
          <w:rFonts w:ascii="Palatino Linotype" w:hAnsi="Palatino Linotype"/>
          <w:sz w:val="24"/>
          <w:lang w:eastAsia="es-MX"/>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CA3ACB" w:rsidRPr="00CA3ACB" w:rsidRDefault="00CA3ACB" w:rsidP="00CA3ACB">
      <w:pPr>
        <w:shd w:val="clear" w:color="auto" w:fill="FFFFFF"/>
        <w:spacing w:before="240" w:after="240" w:line="360" w:lineRule="auto"/>
        <w:jc w:val="both"/>
        <w:rPr>
          <w:sz w:val="24"/>
          <w:lang w:eastAsia="es-MX"/>
        </w:rPr>
      </w:pPr>
      <w:r w:rsidRPr="00CA3ACB">
        <w:rPr>
          <w:rFonts w:ascii="Palatino Linotype" w:hAnsi="Palatino Linotype"/>
          <w:sz w:val="24"/>
          <w:lang w:eastAsia="es-MX"/>
        </w:rPr>
        <w:t>Por lo anterior, el número de cuenta bancaria debe ser clasificado como confidencial con fundamento en la fracciones I y II del artículo 143 de la Ley de la Materia vigente en la Entidad; en razón de que con su difusión se estaría poniendo en riesgo la seguridad de su titular.</w:t>
      </w:r>
    </w:p>
    <w:p w:rsidR="00CA3ACB" w:rsidRPr="00CA3ACB" w:rsidRDefault="00CA3ACB" w:rsidP="00CA3ACB">
      <w:pPr>
        <w:shd w:val="clear" w:color="auto" w:fill="FFFFFF"/>
        <w:spacing w:before="240" w:after="240" w:line="360" w:lineRule="auto"/>
        <w:ind w:right="51"/>
        <w:jc w:val="both"/>
        <w:rPr>
          <w:sz w:val="24"/>
          <w:lang w:eastAsia="es-MX"/>
        </w:rPr>
      </w:pPr>
      <w:r w:rsidRPr="00CA3ACB">
        <w:rPr>
          <w:rFonts w:ascii="Palatino Linotype" w:hAnsi="Palatino Linotype"/>
          <w:sz w:val="24"/>
          <w:lang w:eastAsia="es-MX"/>
        </w:rPr>
        <w:lastRenderedPageBreak/>
        <w:t>No es así tratándose de las cuentas bancarias o claves interbancarias de los Sujetos Obligados ya que su publicidad cede a la rendición de cuentas al transparentar la forma en que son transparentados los recursos públicos. Lo argumentado encuentra sustento en los criterios 11/17 y 10/17 emitidos por el Instituto Nacional de Transparencia, Acceso a la Información y Protección de Datos Personales que llevan por rubro y texto los siguientes:</w:t>
      </w:r>
    </w:p>
    <w:p w:rsidR="00CA3ACB" w:rsidRPr="00177943" w:rsidRDefault="00CA3ACB" w:rsidP="00CA3ACB">
      <w:pPr>
        <w:shd w:val="clear" w:color="auto" w:fill="FFFFFF"/>
        <w:spacing w:before="240" w:after="240"/>
        <w:ind w:left="851" w:right="900"/>
        <w:jc w:val="both"/>
        <w:rPr>
          <w:lang w:eastAsia="es-MX"/>
        </w:rPr>
      </w:pPr>
      <w:r w:rsidRPr="00177943">
        <w:rPr>
          <w:rFonts w:ascii="Palatino Linotype" w:hAnsi="Palatino Linotype"/>
          <w:b/>
          <w:bCs/>
          <w:i/>
          <w:iCs/>
          <w:lang w:eastAsia="es-MX"/>
        </w:rPr>
        <w:t>Cuentas bancarias y/o CLABE interbancaria de sujetos obligados que reciben y/o transfieren recursos públicos, son información pública</w:t>
      </w:r>
      <w:r w:rsidRPr="00177943">
        <w:rPr>
          <w:rFonts w:ascii="Palatino Linotype" w:hAnsi="Palatino Linotype"/>
          <w:i/>
          <w:iCs/>
          <w:lang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CA3ACB" w:rsidRPr="00177943" w:rsidRDefault="00CA3ACB" w:rsidP="00CA3ACB">
      <w:pPr>
        <w:shd w:val="clear" w:color="auto" w:fill="FFFFFF"/>
        <w:spacing w:before="240" w:after="240"/>
        <w:ind w:left="851" w:right="900"/>
        <w:jc w:val="both"/>
        <w:rPr>
          <w:lang w:eastAsia="es-MX"/>
        </w:rPr>
      </w:pPr>
      <w:r w:rsidRPr="00177943">
        <w:rPr>
          <w:rFonts w:ascii="Palatino Linotype" w:hAnsi="Palatino Linotype"/>
          <w:b/>
          <w:bCs/>
          <w:i/>
          <w:iCs/>
          <w:lang w:eastAsia="es-MX"/>
        </w:rPr>
        <w:t>Cuentas bancarias y/o CLABE interbancaria de personas físicas y morales privadas.</w:t>
      </w:r>
      <w:r w:rsidRPr="00177943">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CA3ACB" w:rsidRDefault="00CA3ACB" w:rsidP="00CA3ACB">
      <w:pPr>
        <w:spacing w:before="240" w:after="240" w:line="360" w:lineRule="auto"/>
        <w:contextualSpacing/>
        <w:jc w:val="both"/>
        <w:rPr>
          <w:rFonts w:ascii="Palatino Linotype" w:hAnsi="Palatino Linotype" w:cs="Arial"/>
        </w:rPr>
      </w:pPr>
    </w:p>
    <w:p w:rsidR="00CA3ACB" w:rsidRPr="00CA3ACB" w:rsidRDefault="00CA3ACB" w:rsidP="00CA3ACB">
      <w:pPr>
        <w:spacing w:before="240" w:after="240" w:line="360" w:lineRule="auto"/>
        <w:contextualSpacing/>
        <w:jc w:val="both"/>
        <w:rPr>
          <w:rFonts w:ascii="Palatino Linotype" w:hAnsi="Palatino Linotype" w:cs="Arial"/>
          <w:sz w:val="24"/>
        </w:rPr>
      </w:pPr>
      <w:r w:rsidRPr="00CA3ACB">
        <w:rPr>
          <w:rFonts w:ascii="Palatino Linotype" w:hAnsi="Palatino Linotype" w:cs="Arial"/>
          <w:sz w:val="24"/>
        </w:rPr>
        <w:t xml:space="preserve">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w:t>
      </w:r>
      <w:r w:rsidRPr="00CA3ACB">
        <w:rPr>
          <w:rFonts w:ascii="Palatino Linotype" w:hAnsi="Palatino Linotype" w:cs="Arial"/>
          <w:sz w:val="24"/>
        </w:rPr>
        <w:lastRenderedPageBreak/>
        <w:t>dichos certificados tienen como finalidad o propósito específico firmar digitalmente las facturas electrónicas para acreditar la autoría de los comprobantes fiscales.</w:t>
      </w:r>
      <w:r w:rsidRPr="00CA3ACB">
        <w:rPr>
          <w:rStyle w:val="Refdenotaalpie"/>
          <w:rFonts w:ascii="Palatino Linotype" w:hAnsi="Palatino Linotype" w:cs="Arial"/>
          <w:sz w:val="24"/>
        </w:rPr>
        <w:footnoteReference w:id="4"/>
      </w:r>
    </w:p>
    <w:p w:rsidR="00CA3ACB" w:rsidRPr="00E7083D" w:rsidRDefault="00CA3ACB" w:rsidP="00CA3ACB">
      <w:pPr>
        <w:spacing w:before="240" w:after="240" w:line="360" w:lineRule="auto"/>
        <w:contextualSpacing/>
        <w:jc w:val="both"/>
        <w:rPr>
          <w:rFonts w:ascii="Palatino Linotype" w:hAnsi="Palatino Linotype" w:cs="Arial"/>
        </w:rPr>
      </w:pPr>
    </w:p>
    <w:p w:rsidR="00CA3ACB" w:rsidRPr="00CA3ACB" w:rsidRDefault="00CA3ACB" w:rsidP="00CA3ACB">
      <w:pPr>
        <w:spacing w:before="240" w:after="240" w:line="360" w:lineRule="auto"/>
        <w:contextualSpacing/>
        <w:jc w:val="both"/>
        <w:rPr>
          <w:rFonts w:ascii="Palatino Linotype" w:hAnsi="Palatino Linotype" w:cs="Arial"/>
          <w:sz w:val="24"/>
        </w:rPr>
      </w:pPr>
      <w:r w:rsidRPr="00CA3ACB">
        <w:rPr>
          <w:rFonts w:ascii="Palatino Linotype" w:hAnsi="Palatino Linotype" w:cs="Arial"/>
          <w:sz w:val="24"/>
        </w:rPr>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CA3ACB" w:rsidRDefault="00CA3ACB" w:rsidP="00CA3ACB">
      <w:pPr>
        <w:spacing w:before="240" w:after="240" w:line="360" w:lineRule="auto"/>
        <w:contextualSpacing/>
        <w:jc w:val="both"/>
        <w:rPr>
          <w:rFonts w:ascii="Palatino Linotype" w:hAnsi="Palatino Linotype" w:cs="Arial"/>
        </w:rPr>
      </w:pPr>
    </w:p>
    <w:p w:rsidR="00CA3ACB" w:rsidRDefault="00CA3ACB" w:rsidP="00CA3ACB">
      <w:pPr>
        <w:autoSpaceDE w:val="0"/>
        <w:autoSpaceDN w:val="0"/>
        <w:adjustRightInd w:val="0"/>
        <w:spacing w:line="360" w:lineRule="auto"/>
        <w:ind w:right="49"/>
        <w:jc w:val="both"/>
        <w:rPr>
          <w:rFonts w:ascii="Palatino Linotype" w:hAnsi="Palatino Linotype" w:cs="Arial"/>
          <w:sz w:val="24"/>
          <w:lang w:val="es-ES_tradnl"/>
        </w:rPr>
      </w:pPr>
      <w:r w:rsidRPr="00CA3ACB">
        <w:rPr>
          <w:rFonts w:ascii="Palatino Linotype" w:hAnsi="Palatino Linotype" w:cs="Arial"/>
          <w:sz w:val="24"/>
          <w:lang w:val="es-ES_tradnl"/>
        </w:rPr>
        <w:t xml:space="preserve">Aunado a ello, no pasa desapercibido para este Órgano de Legalidad que de acuerdo al artículo 91 de la Ley de la Materia, dispone que el acceso a la información pública será restringido excepcionalmente, cuando ésta sea clasificada como reservada o confidencial. Respecto de ello se destaca que a criterio de este Instituto la información </w:t>
      </w:r>
      <w:r w:rsidRPr="00CA3ACB">
        <w:rPr>
          <w:rFonts w:ascii="Palatino Linotype" w:hAnsi="Palatino Linotype" w:cs="Arial"/>
          <w:sz w:val="24"/>
          <w:lang w:val="es-ES_tradnl"/>
        </w:rPr>
        <w:lastRenderedPageBreak/>
        <w:t>relativa al nombre de los servidores públicos que ocupan un cargo en las dependencias de gobierno encargadas de la seguridad pública, debe ser objeto de un proceso de disociación, para no hacer identificable al titular de tal dato personal.</w:t>
      </w:r>
    </w:p>
    <w:p w:rsidR="00CA3ACB" w:rsidRPr="00CA3ACB" w:rsidRDefault="00CA3ACB" w:rsidP="00CA3ACB">
      <w:pPr>
        <w:pStyle w:val="Sinespaciado"/>
        <w:rPr>
          <w:lang w:val="es-ES_tradnl"/>
        </w:rPr>
      </w:pPr>
    </w:p>
    <w:p w:rsidR="00CA3ACB" w:rsidRPr="00CA3ACB" w:rsidRDefault="00CA3ACB" w:rsidP="00CA3ACB">
      <w:pPr>
        <w:autoSpaceDE w:val="0"/>
        <w:autoSpaceDN w:val="0"/>
        <w:adjustRightInd w:val="0"/>
        <w:spacing w:line="360" w:lineRule="auto"/>
        <w:ind w:right="49"/>
        <w:jc w:val="both"/>
        <w:rPr>
          <w:rFonts w:ascii="Palatino Linotype" w:hAnsi="Palatino Linotype" w:cs="Arial"/>
          <w:sz w:val="24"/>
          <w:lang w:val="es-ES_tradnl"/>
        </w:rPr>
      </w:pPr>
      <w:r w:rsidRPr="00CA3ACB">
        <w:rPr>
          <w:rFonts w:ascii="Palatino Linotype" w:hAnsi="Palatino Linotype" w:cs="Arial"/>
          <w:sz w:val="24"/>
          <w:lang w:val="es-ES_tradnl"/>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rsidR="00CA3ACB" w:rsidRPr="008F31CE" w:rsidRDefault="00CA3ACB" w:rsidP="00CA3ACB">
      <w:pPr>
        <w:shd w:val="clear" w:color="auto" w:fill="FFFFFF"/>
        <w:spacing w:before="240" w:after="360"/>
        <w:ind w:left="993" w:right="1041"/>
        <w:jc w:val="both"/>
        <w:rPr>
          <w:lang w:eastAsia="es-MX"/>
        </w:rPr>
      </w:pPr>
      <w:r w:rsidRPr="008F31CE">
        <w:rPr>
          <w:rFonts w:ascii="Palatino Linotype" w:hAnsi="Palatino Linotype"/>
          <w:i/>
          <w:iCs/>
          <w:lang w:eastAsia="es-MX"/>
        </w:rPr>
        <w:t>“Disociación: Procedimiento mediante el cual los datos personales no pueden asociarse al titular, ni permitir por su estructura, contenido o grado de desagregación, la identificación individual del mismo;”</w:t>
      </w:r>
    </w:p>
    <w:p w:rsidR="00CA3ACB" w:rsidRPr="00CA3ACB" w:rsidRDefault="00CA3ACB" w:rsidP="00CA3ACB">
      <w:pPr>
        <w:spacing w:before="240" w:after="240" w:line="360" w:lineRule="auto"/>
        <w:contextualSpacing/>
        <w:jc w:val="both"/>
        <w:rPr>
          <w:rFonts w:ascii="Palatino Linotype" w:hAnsi="Palatino Linotype" w:cs="Arial"/>
          <w:sz w:val="24"/>
        </w:rPr>
      </w:pPr>
      <w:r w:rsidRPr="00CA3ACB">
        <w:rPr>
          <w:rFonts w:ascii="Palatino Linotype" w:hAnsi="Palatino Linotype" w:cs="Arial"/>
          <w:sz w:val="24"/>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CA3ACB" w:rsidRPr="00CA3ACB" w:rsidRDefault="00CA3ACB" w:rsidP="00CA3ACB">
      <w:pPr>
        <w:autoSpaceDE w:val="0"/>
        <w:autoSpaceDN w:val="0"/>
        <w:adjustRightInd w:val="0"/>
        <w:spacing w:before="240" w:after="240" w:line="360" w:lineRule="auto"/>
        <w:contextualSpacing/>
        <w:jc w:val="both"/>
        <w:rPr>
          <w:rFonts w:ascii="Palatino Linotype" w:hAnsi="Palatino Linotype" w:cs="Arial"/>
          <w:sz w:val="24"/>
          <w:shd w:val="clear" w:color="auto" w:fill="FFFFFF"/>
        </w:rPr>
      </w:pPr>
      <w:r w:rsidRPr="00CA3ACB">
        <w:rPr>
          <w:rFonts w:ascii="Palatino Linotype" w:hAnsi="Palatino Linotype" w:cs="Arial"/>
          <w:sz w:val="24"/>
        </w:rPr>
        <w:t xml:space="preserve">Al respecto, se destaca que la versión pública que elabore el Sujeto Obligado debe cumplir con las formalidades exigidas en la Ley, por lo que </w:t>
      </w:r>
      <w:r w:rsidRPr="00CA3ACB">
        <w:rPr>
          <w:rFonts w:ascii="Palatino Linotype" w:hAnsi="Palatino Linotype" w:cs="Arial"/>
          <w:sz w:val="24"/>
          <w:lang w:val="es-ES_tradnl"/>
        </w:rPr>
        <w:t xml:space="preserve">para tal efecto emitirá el </w:t>
      </w:r>
      <w:r w:rsidRPr="00CA3ACB">
        <w:rPr>
          <w:rFonts w:ascii="Palatino Linotype" w:hAnsi="Palatino Linotype" w:cs="Arial"/>
          <w:sz w:val="24"/>
          <w:lang w:eastAsia="es-MX"/>
        </w:rPr>
        <w:t xml:space="preserve">Acuerdo del Comité de Transparencia en términos de la </w:t>
      </w:r>
      <w:r w:rsidRPr="00CA3ACB">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CA3ACB">
        <w:rPr>
          <w:rFonts w:ascii="Palatino Linotype" w:hAnsi="Palatino Linotype" w:cs="Arial"/>
          <w:sz w:val="24"/>
          <w:shd w:val="clear" w:color="auto" w:fill="FFFFFF"/>
        </w:rPr>
        <w:t>.</w:t>
      </w:r>
    </w:p>
    <w:p w:rsidR="00CA3ACB" w:rsidRPr="00CA3ACB" w:rsidRDefault="00CA3ACB" w:rsidP="00CA3ACB">
      <w:pPr>
        <w:autoSpaceDE w:val="0"/>
        <w:autoSpaceDN w:val="0"/>
        <w:adjustRightInd w:val="0"/>
        <w:spacing w:before="240" w:after="240" w:line="360" w:lineRule="auto"/>
        <w:contextualSpacing/>
        <w:jc w:val="both"/>
        <w:rPr>
          <w:rFonts w:ascii="Palatino Linotype" w:hAnsi="Palatino Linotype" w:cs="Arial"/>
          <w:sz w:val="24"/>
          <w:shd w:val="clear" w:color="auto" w:fill="FFFFFF"/>
        </w:rPr>
      </w:pPr>
    </w:p>
    <w:p w:rsidR="00CA3ACB" w:rsidRPr="00CA3ACB" w:rsidRDefault="00CA3ACB" w:rsidP="00CA3ACB">
      <w:pPr>
        <w:autoSpaceDE w:val="0"/>
        <w:autoSpaceDN w:val="0"/>
        <w:adjustRightInd w:val="0"/>
        <w:spacing w:before="240" w:after="240" w:line="360" w:lineRule="auto"/>
        <w:jc w:val="both"/>
        <w:rPr>
          <w:rFonts w:ascii="Palatino Linotype" w:hAnsi="Palatino Linotype" w:cs="Arial"/>
          <w:sz w:val="24"/>
        </w:rPr>
      </w:pPr>
      <w:r w:rsidRPr="00CA3ACB">
        <w:rPr>
          <w:rFonts w:ascii="Palatino Linotype" w:hAnsi="Palatino Linotype" w:cs="Arial"/>
          <w:sz w:val="24"/>
        </w:rPr>
        <w:lastRenderedPageBreak/>
        <w:t>Efectivamente, cuando se clasifica información como confidencial o reservada es importante someterlo al Comité de Transparencia, quien debe confirmar, modificar o revocar la clasificación.</w:t>
      </w:r>
    </w:p>
    <w:p w:rsidR="00CA3ACB" w:rsidRPr="00CA3ACB" w:rsidRDefault="00CA3ACB" w:rsidP="00CA3ACB">
      <w:pPr>
        <w:shd w:val="clear" w:color="auto" w:fill="FFFFFF"/>
        <w:spacing w:before="240" w:after="240" w:line="360" w:lineRule="auto"/>
        <w:ind w:right="51"/>
        <w:jc w:val="both"/>
        <w:rPr>
          <w:rFonts w:ascii="Palatino Linotype" w:hAnsi="Palatino Linotype"/>
          <w:sz w:val="24"/>
          <w:lang w:eastAsia="es-MX"/>
        </w:rPr>
      </w:pPr>
      <w:r w:rsidRPr="00CA3ACB">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CA3ACB">
        <w:rPr>
          <w:rFonts w:ascii="Palatino Linotype" w:hAnsi="Palatino Linotype"/>
          <w:bCs/>
          <w:sz w:val="24"/>
          <w:lang w:eastAsia="es-MX"/>
        </w:rPr>
        <w:t>Sujeto Obligado</w:t>
      </w:r>
      <w:r w:rsidRPr="00CA3ACB">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CA3ACB">
        <w:rPr>
          <w:rFonts w:ascii="Palatino Linotype" w:hAnsi="Palatino Linotype"/>
          <w:bCs/>
          <w:sz w:val="24"/>
          <w:lang w:eastAsia="es-MX"/>
        </w:rPr>
        <w:t>Recurrente</w:t>
      </w:r>
      <w:r w:rsidRPr="00CA3ACB">
        <w:rPr>
          <w:rFonts w:ascii="Palatino Linotype" w:hAnsi="Palatino Linotype"/>
          <w:sz w:val="24"/>
          <w:lang w:eastAsia="es-MX"/>
        </w:rPr>
        <w:t>.</w:t>
      </w:r>
    </w:p>
    <w:p w:rsidR="00CA3ACB" w:rsidRPr="00CA3ACB" w:rsidRDefault="00CA3ACB" w:rsidP="00CA3ACB">
      <w:pPr>
        <w:spacing w:before="240" w:after="240" w:line="360" w:lineRule="auto"/>
        <w:jc w:val="both"/>
        <w:rPr>
          <w:rFonts w:ascii="Palatino Linotype" w:hAnsi="Palatino Linotype" w:cs="Arial"/>
          <w:sz w:val="24"/>
        </w:rPr>
      </w:pPr>
      <w:r w:rsidRPr="00CA3ACB">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CA3ACB" w:rsidRPr="00CA3ACB" w:rsidRDefault="00CA3ACB" w:rsidP="00CA3ACB">
      <w:pPr>
        <w:spacing w:line="360" w:lineRule="auto"/>
        <w:ind w:right="49"/>
        <w:jc w:val="both"/>
        <w:rPr>
          <w:rFonts w:ascii="Palatino Linotype" w:eastAsia="Calibri" w:hAnsi="Palatino Linotype" w:cs="Arial"/>
          <w:sz w:val="24"/>
        </w:rPr>
      </w:pPr>
      <w:r w:rsidRPr="00CA3ACB">
        <w:rPr>
          <w:rFonts w:ascii="Palatino Linotype" w:eastAsia="Calibri" w:hAnsi="Palatino Linotype" w:cs="Arial"/>
          <w:sz w:val="24"/>
        </w:rPr>
        <w:t>Así las cosas, con fundamento en lo prescrito en los artículos 5 párrafos vigésimo,</w:t>
      </w:r>
      <w:r w:rsidRPr="00CA3ACB">
        <w:rPr>
          <w:rFonts w:ascii="Palatino Linotype" w:hAnsi="Palatino Linotype" w:cs="Arial"/>
          <w:sz w:val="24"/>
        </w:rPr>
        <w:t xml:space="preserve"> vigésimo primero y vigésimo segundo de la Constitución Política del Estado Libre y Soberano de México; 2, fracción II; 29, 36 fracciones I y II; 176, 178, 179, 181 y 185 de </w:t>
      </w:r>
      <w:r w:rsidRPr="00CA3ACB">
        <w:rPr>
          <w:rFonts w:ascii="Palatino Linotype" w:eastAsia="Calibri" w:hAnsi="Palatino Linotype" w:cs="Arial"/>
          <w:sz w:val="24"/>
        </w:rPr>
        <w:t xml:space="preserve">la </w:t>
      </w:r>
      <w:r w:rsidRPr="00CA3ACB">
        <w:rPr>
          <w:rFonts w:ascii="Palatino Linotype" w:eastAsia="Calibri" w:hAnsi="Palatino Linotype" w:cs="Arial"/>
          <w:sz w:val="24"/>
        </w:rPr>
        <w:lastRenderedPageBreak/>
        <w:t xml:space="preserve">Ley de Transparencia y Acceso a la Información Pública del Estado de México y Municipios, este Pleno: </w:t>
      </w: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00311BCD">
        <w:rPr>
          <w:rFonts w:ascii="Palatino Linotype" w:hAnsi="Palatino Linotype"/>
          <w:noProof/>
          <w:sz w:val="24"/>
          <w:szCs w:val="24"/>
          <w:lang w:eastAsia="es-MX"/>
        </w:rPr>
        <w:t xml:space="preserve">resultan </w:t>
      </w:r>
      <w:r w:rsidR="00CF784A">
        <w:rPr>
          <w:rFonts w:ascii="Palatino Linotype" w:hAnsi="Palatino Linotype"/>
          <w:noProof/>
          <w:sz w:val="24"/>
          <w:szCs w:val="24"/>
          <w:lang w:eastAsia="es-MX"/>
        </w:rPr>
        <w:t>fundadas</w:t>
      </w:r>
      <w:r w:rsidRPr="0014447C">
        <w:rPr>
          <w:rFonts w:ascii="Palatino Linotype" w:hAnsi="Palatino Linotype"/>
          <w:noProof/>
          <w:sz w:val="24"/>
          <w:szCs w:val="24"/>
          <w:lang w:eastAsia="es-MX"/>
        </w:rPr>
        <w:t xml:space="preserve"> las razones o motivo</w:t>
      </w:r>
      <w:r w:rsidR="002E2D4C">
        <w:rPr>
          <w:rFonts w:ascii="Palatino Linotype" w:hAnsi="Palatino Linotype"/>
          <w:noProof/>
          <w:sz w:val="24"/>
          <w:szCs w:val="24"/>
          <w:lang w:eastAsia="es-MX"/>
        </w:rPr>
        <w:t>s de inconf</w:t>
      </w:r>
      <w:r w:rsidR="00E755E5">
        <w:rPr>
          <w:rFonts w:ascii="Palatino Linotype" w:hAnsi="Palatino Linotype"/>
          <w:noProof/>
          <w:sz w:val="24"/>
          <w:szCs w:val="24"/>
          <w:lang w:eastAsia="es-MX"/>
        </w:rPr>
        <w:t>ormidad que arguye E</w:t>
      </w:r>
      <w:r w:rsidR="00EE03F5">
        <w:rPr>
          <w:rFonts w:ascii="Palatino Linotype" w:hAnsi="Palatino Linotype"/>
          <w:noProof/>
          <w:sz w:val="24"/>
          <w:szCs w:val="24"/>
          <w:lang w:eastAsia="es-MX"/>
        </w:rPr>
        <w:t>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por ello, con fundamento en el artículo 186 fracción II</w:t>
      </w:r>
      <w:r w:rsidR="00CF784A">
        <w:rPr>
          <w:rFonts w:ascii="Palatino Linotype" w:hAnsi="Palatino Linotype"/>
          <w:sz w:val="24"/>
          <w:szCs w:val="24"/>
        </w:rPr>
        <w:t>I</w:t>
      </w:r>
      <w:r w:rsidRPr="0014447C">
        <w:rPr>
          <w:rFonts w:ascii="Palatino Linotype" w:hAnsi="Palatino Linotype"/>
          <w:sz w:val="24"/>
          <w:szCs w:val="24"/>
        </w:rPr>
        <w:t xml:space="preserve"> de la Ley de Transparencia y Acceso a la Información Pública del Estado de México y Municipios, se </w:t>
      </w:r>
      <w:r w:rsidR="00F20846">
        <w:rPr>
          <w:rFonts w:ascii="Palatino Linotype" w:hAnsi="Palatino Linotype"/>
          <w:b/>
          <w:sz w:val="24"/>
          <w:szCs w:val="24"/>
        </w:rPr>
        <w:t>MODIFICA</w:t>
      </w:r>
      <w:r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4644F0">
        <w:rPr>
          <w:rFonts w:ascii="Palatino Linotype" w:hAnsi="Palatino Linotype"/>
          <w:b/>
          <w:bCs/>
          <w:sz w:val="24"/>
          <w:szCs w:val="24"/>
        </w:rPr>
        <w:t>00024</w:t>
      </w:r>
      <w:r w:rsidR="00B863A5" w:rsidRPr="00B863A5">
        <w:rPr>
          <w:rFonts w:ascii="Palatino Linotype" w:hAnsi="Palatino Linotype"/>
          <w:b/>
          <w:bCs/>
          <w:sz w:val="24"/>
          <w:szCs w:val="24"/>
        </w:rPr>
        <w:t>/</w:t>
      </w:r>
      <w:r w:rsidR="004644F0" w:rsidRPr="004644F0">
        <w:t xml:space="preserve"> </w:t>
      </w:r>
      <w:r w:rsidR="004644F0" w:rsidRPr="004644F0">
        <w:rPr>
          <w:rFonts w:ascii="Palatino Linotype" w:hAnsi="Palatino Linotype"/>
          <w:b/>
          <w:bCs/>
          <w:sz w:val="24"/>
          <w:szCs w:val="24"/>
        </w:rPr>
        <w:t>POLOTI</w:t>
      </w:r>
      <w:r w:rsidR="00B863A5" w:rsidRPr="00B863A5">
        <w:rPr>
          <w:rFonts w:ascii="Palatino Linotype" w:hAnsi="Palatino Linotype"/>
          <w:b/>
          <w:bCs/>
          <w:sz w:val="24"/>
          <w:szCs w:val="24"/>
        </w:rPr>
        <w:t>/IP/2019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9D6234" w:rsidRDefault="009D6234" w:rsidP="0014447C">
      <w:pPr>
        <w:pStyle w:val="Sinespaciado"/>
        <w:spacing w:line="360" w:lineRule="auto"/>
        <w:jc w:val="both"/>
        <w:rPr>
          <w:rFonts w:ascii="Palatino Linotype" w:hAnsi="Palatino Linotype"/>
          <w:sz w:val="24"/>
          <w:szCs w:val="24"/>
        </w:rPr>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523FAA" w:rsidRDefault="00523FAA" w:rsidP="00523FAA">
      <w:pPr>
        <w:pStyle w:val="Sinespaciado"/>
        <w:rPr>
          <w:lang w:val="es-ES_tradnl"/>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Pr>
          <w:rFonts w:ascii="Palatino Linotype" w:hAnsi="Palatino Linotype" w:cs="Arial"/>
          <w:sz w:val="24"/>
          <w:szCs w:val="24"/>
        </w:rPr>
        <w:t xml:space="preserv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005D84" w:rsidRPr="00005D84">
        <w:rPr>
          <w:rFonts w:ascii="Palatino Linotype" w:hAnsi="Palatino Linotype" w:cs="Arial"/>
          <w:b/>
          <w:bCs/>
          <w:sz w:val="24"/>
        </w:rPr>
        <w:t>00024/POLOTI/IP/2019</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005D84">
        <w:rPr>
          <w:rFonts w:ascii="Palatino Linotype" w:hAnsi="Palatino Linotype" w:cs="Arial"/>
          <w:b/>
          <w:bCs/>
          <w:sz w:val="24"/>
          <w:szCs w:val="24"/>
        </w:rPr>
        <w:t>02440</w:t>
      </w:r>
      <w:r w:rsidR="00311BCD"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005D84">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4D5BAF" w:rsidRDefault="004D5BAF" w:rsidP="004D5BAF">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Pr>
          <w:rFonts w:ascii="Palatino Linotype" w:hAnsi="Palatino Linotype" w:cs="Arial"/>
          <w:sz w:val="24"/>
          <w:szCs w:val="24"/>
        </w:rPr>
        <w:t>, previa búsqueda exhaustiva y razonable,</w:t>
      </w:r>
      <w:r w:rsidR="00625F7E">
        <w:rPr>
          <w:rFonts w:ascii="Palatino Linotype" w:hAnsi="Palatino Linotype" w:cs="Arial"/>
          <w:sz w:val="24"/>
          <w:szCs w:val="24"/>
        </w:rPr>
        <w:t xml:space="preserve"> en versión pública,</w:t>
      </w:r>
      <w:r>
        <w:rPr>
          <w:rFonts w:ascii="Palatino Linotype" w:hAnsi="Palatino Linotype" w:cs="Arial"/>
          <w:sz w:val="24"/>
          <w:szCs w:val="24"/>
        </w:rPr>
        <w:t xml:space="preserve"> </w:t>
      </w:r>
      <w:r w:rsidR="00FC43C9">
        <w:rPr>
          <w:rFonts w:ascii="Palatino Linotype" w:hAnsi="Palatino Linotype" w:cs="Arial"/>
          <w:sz w:val="24"/>
          <w:szCs w:val="24"/>
        </w:rPr>
        <w:t xml:space="preserve">a través del SAIMEX, </w:t>
      </w:r>
      <w:r w:rsidRPr="00FD7DA6">
        <w:rPr>
          <w:rFonts w:ascii="Palatino Linotype" w:hAnsi="Palatino Linotype" w:cs="Arial"/>
          <w:sz w:val="24"/>
          <w:szCs w:val="24"/>
        </w:rPr>
        <w:t>de</w:t>
      </w:r>
      <w:r>
        <w:rPr>
          <w:rFonts w:ascii="Palatino Linotype" w:hAnsi="Palatino Linotype" w:cs="Arial"/>
          <w:sz w:val="24"/>
          <w:szCs w:val="24"/>
        </w:rPr>
        <w:t>l o de los documentos donde conste o de los cuales se pueda advertir</w:t>
      </w:r>
      <w:r w:rsidRPr="00FD7DA6">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sz w:val="2"/>
          <w:szCs w:val="24"/>
        </w:rPr>
      </w:pPr>
    </w:p>
    <w:p w:rsidR="004812BD" w:rsidRPr="00EB2549" w:rsidRDefault="00625F7E" w:rsidP="00EB2549">
      <w:pPr>
        <w:pStyle w:val="Prrafodelista"/>
        <w:numPr>
          <w:ilvl w:val="0"/>
          <w:numId w:val="20"/>
        </w:numPr>
        <w:autoSpaceDE w:val="0"/>
        <w:autoSpaceDN w:val="0"/>
        <w:adjustRightInd w:val="0"/>
        <w:spacing w:before="240" w:line="360" w:lineRule="auto"/>
        <w:ind w:right="49"/>
        <w:jc w:val="both"/>
        <w:rPr>
          <w:rFonts w:ascii="Palatino Linotype" w:hAnsi="Palatino Linotype"/>
        </w:rPr>
      </w:pPr>
      <w:r>
        <w:rPr>
          <w:rFonts w:ascii="Palatino Linotype" w:hAnsi="Palatino Linotype"/>
        </w:rPr>
        <w:lastRenderedPageBreak/>
        <w:t xml:space="preserve">Las facturas </w:t>
      </w:r>
      <w:r w:rsidR="00174164">
        <w:rPr>
          <w:rFonts w:ascii="Palatino Linotype" w:hAnsi="Palatino Linotype"/>
        </w:rPr>
        <w:t>r</w:t>
      </w:r>
      <w:r>
        <w:rPr>
          <w:rFonts w:ascii="Palatino Linotype" w:hAnsi="Palatino Linotype"/>
        </w:rPr>
        <w:t>emitidas en informe justificado, referentes a los 4 vehículos comprados en la</w:t>
      </w:r>
      <w:r w:rsidR="00EC01EB">
        <w:rPr>
          <w:rFonts w:ascii="Palatino Linotype" w:hAnsi="Palatino Linotype"/>
        </w:rPr>
        <w:t xml:space="preserve"> actual </w:t>
      </w:r>
      <w:r>
        <w:rPr>
          <w:rFonts w:ascii="Palatino Linotype" w:hAnsi="Palatino Linotype"/>
        </w:rPr>
        <w:t>administración.</w:t>
      </w:r>
    </w:p>
    <w:p w:rsidR="00625F7E" w:rsidRDefault="00625F7E" w:rsidP="00625F7E">
      <w:pPr>
        <w:pStyle w:val="Prrafodelista"/>
        <w:numPr>
          <w:ilvl w:val="0"/>
          <w:numId w:val="20"/>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Copias de las pólizas de pago remitidas en informe justificado</w:t>
      </w:r>
      <w:r w:rsidR="00D37E5F">
        <w:rPr>
          <w:rFonts w:ascii="Palatino Linotype" w:hAnsi="Palatino Linotype" w:cs="Arial"/>
        </w:rPr>
        <w:t xml:space="preserve"> referentes al punto anterior.</w:t>
      </w:r>
    </w:p>
    <w:p w:rsidR="00625F7E" w:rsidRPr="00625F7E" w:rsidRDefault="00625F7E" w:rsidP="00625F7E">
      <w:pPr>
        <w:pStyle w:val="Sinespaciado"/>
      </w:pPr>
    </w:p>
    <w:p w:rsidR="00625F7E" w:rsidRDefault="00625F7E" w:rsidP="00625F7E">
      <w:pPr>
        <w:pStyle w:val="Sinespaciado"/>
        <w:numPr>
          <w:ilvl w:val="0"/>
          <w:numId w:val="20"/>
        </w:numPr>
        <w:spacing w:line="360" w:lineRule="auto"/>
        <w:jc w:val="both"/>
        <w:rPr>
          <w:rFonts w:ascii="Palatino Linotype" w:hAnsi="Palatino Linotype"/>
          <w:sz w:val="24"/>
          <w:szCs w:val="24"/>
        </w:rPr>
      </w:pPr>
      <w:r>
        <w:rPr>
          <w:rFonts w:ascii="Palatino Linotype" w:hAnsi="Palatino Linotype"/>
          <w:sz w:val="24"/>
          <w:szCs w:val="24"/>
        </w:rPr>
        <w:t>Estado de resultados, balance general de la cuenta pública municipal y gastos generados por los titulares de las áreas administrativas, por el periodo comprendido del uno de enero al veintisiete de febrero del año en curso.</w:t>
      </w:r>
    </w:p>
    <w:p w:rsidR="00D37E5F" w:rsidRDefault="00D37E5F" w:rsidP="00D37E5F">
      <w:pPr>
        <w:pStyle w:val="Sinespaciado"/>
      </w:pPr>
    </w:p>
    <w:p w:rsidR="00174164" w:rsidRDefault="00174164" w:rsidP="00174164">
      <w:pPr>
        <w:pStyle w:val="Sinespaciado"/>
      </w:pPr>
    </w:p>
    <w:p w:rsidR="00FF6EB3" w:rsidRPr="00FF6EB3" w:rsidRDefault="00174164" w:rsidP="00FF6EB3">
      <w:pPr>
        <w:pStyle w:val="Sinespaciado"/>
        <w:spacing w:line="360" w:lineRule="auto"/>
        <w:jc w:val="both"/>
        <w:rPr>
          <w:rFonts w:ascii="Palatino Linotype" w:hAnsi="Palatino Linotype" w:cs="Arial"/>
          <w:sz w:val="24"/>
          <w:szCs w:val="24"/>
        </w:rPr>
      </w:pPr>
      <w:r w:rsidRPr="002016FC">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F6EB3" w:rsidRP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 xml:space="preserve">ecurrente la presente resolución, así mismo de conformidad con lo establecido en el artículo 196 de la Ley de Transparencia y Acceso </w:t>
      </w:r>
      <w:r w:rsidRPr="00FD7DA6">
        <w:rPr>
          <w:rFonts w:ascii="Palatino Linotype" w:hAnsi="Palatino Linotype" w:cs="Arial"/>
          <w:sz w:val="24"/>
          <w:szCs w:val="24"/>
        </w:rPr>
        <w:lastRenderedPageBreak/>
        <w:t>a la Información Pública del Estado de México y Municipios podrá promover Juicio de Amparo en los términos de las leyes aplicables.</w:t>
      </w:r>
    </w:p>
    <w:p w:rsidR="00323A22" w:rsidRPr="00D22D43" w:rsidRDefault="00323A22" w:rsidP="00323A22">
      <w:pPr>
        <w:pStyle w:val="Sinespaciado"/>
        <w:spacing w:line="360" w:lineRule="auto"/>
        <w:jc w:val="both"/>
        <w:rPr>
          <w:rFonts w:ascii="Palatino Linotype" w:hAnsi="Palatino Linotype"/>
          <w:sz w:val="24"/>
        </w:rPr>
      </w:pPr>
      <w:r w:rsidRPr="00323A22">
        <w:rPr>
          <w:rFonts w:ascii="Palatino Linotype" w:hAnsi="Palatino Linotype"/>
          <w:b/>
          <w:sz w:val="28"/>
        </w:rPr>
        <w:t>QUINTO</w:t>
      </w:r>
      <w:r w:rsidRPr="00D22D43">
        <w:rPr>
          <w:rFonts w:ascii="Palatino Linotype" w:hAnsi="Palatino Linotype"/>
          <w:b/>
          <w:sz w:val="24"/>
        </w:rPr>
        <w:t>.</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007C09EB">
        <w:rPr>
          <w:rFonts w:ascii="Palatino Linotype" w:hAnsi="Palatino Linotype"/>
          <w:b/>
          <w:sz w:val="24"/>
        </w:rPr>
        <w:t>Considerando QUINTO</w:t>
      </w:r>
      <w:r w:rsidRPr="00D22D43">
        <w:rPr>
          <w:rFonts w:ascii="Palatino Linotype" w:hAnsi="Palatino Linotype"/>
          <w:sz w:val="24"/>
        </w:rPr>
        <w:t xml:space="preserve"> de la presente resolución.</w:t>
      </w:r>
    </w:p>
    <w:p w:rsidR="00323A22" w:rsidRDefault="00323A22" w:rsidP="00B34950">
      <w:pPr>
        <w:pStyle w:val="Sinespaciado"/>
        <w:spacing w:line="360" w:lineRule="auto"/>
        <w:jc w:val="both"/>
        <w:rPr>
          <w:rFonts w:ascii="Palatino Linotype" w:hAnsi="Palatino Linotype"/>
          <w:szCs w:val="24"/>
        </w:rPr>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 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xml:space="preserve">, JAVIER MARTÍNEZ CRUZ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DB3989">
        <w:rPr>
          <w:rFonts w:ascii="Palatino Linotype" w:hAnsi="Palatino Linotype"/>
          <w:sz w:val="24"/>
          <w:szCs w:val="24"/>
        </w:rPr>
        <w:t xml:space="preserve"> EMITIENDO VOTO PARTICULAR</w:t>
      </w:r>
      <w:r w:rsidR="006D0DD5">
        <w:rPr>
          <w:rFonts w:ascii="Palatino Linotype" w:hAnsi="Palatino Linotype"/>
          <w:sz w:val="24"/>
          <w:szCs w:val="24"/>
        </w:rPr>
        <w:t>, EN LA VIGÉSIMA TERCERA</w:t>
      </w:r>
      <w:r w:rsidR="00216B8D" w:rsidRPr="00523FAA">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IÓN ORDINARIA CELEBRADA EL DIECIOCHO</w:t>
      </w:r>
      <w:r w:rsidR="00E755E5" w:rsidRPr="00523FAA">
        <w:rPr>
          <w:rFonts w:ascii="Palatino Linotype" w:hAnsi="Palatino Linotype"/>
          <w:sz w:val="24"/>
          <w:szCs w:val="24"/>
        </w:rPr>
        <w:t xml:space="preserve"> DE </w:t>
      </w:r>
      <w:r w:rsidR="00DB6E30" w:rsidRPr="00523FAA">
        <w:rPr>
          <w:rFonts w:ascii="Palatino Linotype" w:hAnsi="Palatino Linotype"/>
          <w:sz w:val="24"/>
          <w:szCs w:val="24"/>
        </w:rPr>
        <w:t>JUNIO</w:t>
      </w:r>
      <w:r w:rsidR="001552E9" w:rsidRPr="00523FAA">
        <w:rPr>
          <w:rFonts w:ascii="Palatino Linotype" w:hAnsi="Palatino Linotype"/>
          <w:sz w:val="24"/>
          <w:szCs w:val="24"/>
        </w:rPr>
        <w:t xml:space="preserve"> DE </w:t>
      </w:r>
      <w:r w:rsidR="00984AA7" w:rsidRPr="00523FAA">
        <w:rPr>
          <w:rFonts w:ascii="Palatino Linotype" w:hAnsi="Palatino Linotype"/>
          <w:sz w:val="24"/>
          <w:szCs w:val="24"/>
        </w:rPr>
        <w:t>DOS MIL DIECINUEVE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523FAA">
        <w:rPr>
          <w:rFonts w:ascii="Palatino Linotype" w:hAnsi="Palatino Linotype"/>
          <w:sz w:val="24"/>
          <w:szCs w:val="24"/>
        </w:rPr>
        <w:t>--------------------------------------------------------------------------------------------------------------------------------------------------------------------------------------------------------------------------------------------------------------------------------------------------------------------------------------------------------------------------------------------------------------------------------------------------------------------------------------------------------------------------------------------------------------------------------------------------------------------------------------------------------------------------------------------------------------------------------</w:t>
      </w:r>
      <w:r w:rsidR="00E60464">
        <w:rPr>
          <w:rFonts w:ascii="Palatino Linotype" w:hAnsi="Palatino Linotype"/>
          <w:sz w:val="24"/>
          <w:szCs w:val="24"/>
        </w:rPr>
        <w:t>---------------------------------------------</w:t>
      </w:r>
      <w:r w:rsidR="00523FAA">
        <w:rPr>
          <w:rFonts w:ascii="Palatino Linotype" w:hAnsi="Palatino Linotype"/>
          <w:sz w:val="24"/>
          <w:szCs w:val="24"/>
        </w:rPr>
        <w:t>---------------------------------------------------</w:t>
      </w:r>
      <w:r w:rsidR="006D0DD5">
        <w:rPr>
          <w:rFonts w:ascii="Palatino Linotype" w:hAnsi="Palatino Linotype"/>
          <w:sz w:val="24"/>
          <w:szCs w:val="24"/>
        </w:rPr>
        <w:t>---------------------------------</w:t>
      </w:r>
      <w:r w:rsidR="00523FAA">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DB6E30" w:rsidRDefault="00DB6E30" w:rsidP="00984AA7">
            <w:pPr>
              <w:rPr>
                <w:rFonts w:ascii="Palatino Linotype" w:hAnsi="Palatino Linotype"/>
                <w:b/>
                <w:sz w:val="24"/>
                <w:szCs w:val="24"/>
              </w:rPr>
            </w:pPr>
          </w:p>
          <w:p w:rsidR="00DB6E30" w:rsidRDefault="00DB6E30" w:rsidP="00984AA7">
            <w:pPr>
              <w:rPr>
                <w:rFonts w:ascii="Palatino Linotype" w:hAnsi="Palatino Linotype"/>
                <w:b/>
                <w:sz w:val="24"/>
                <w:szCs w:val="24"/>
              </w:rPr>
            </w:pPr>
          </w:p>
          <w:p w:rsidR="006D0DD5" w:rsidRPr="0089501E" w:rsidRDefault="006D0DD5"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(RÚBRICA)</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(RÚBRICA)</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(RÚBRICA)</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DB6E30" w:rsidRDefault="00DB6E30" w:rsidP="00B73E6C">
      <w:pPr>
        <w:spacing w:after="0" w:line="240" w:lineRule="auto"/>
        <w:jc w:val="both"/>
        <w:rPr>
          <w:rFonts w:ascii="Palatino Linotype" w:hAnsi="Palatino Linotype" w:cs="Arial"/>
          <w:sz w:val="1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DB6E30">
        <w:rPr>
          <w:rFonts w:ascii="Palatino Linotype" w:hAnsi="Palatino Linotype" w:cs="Arial"/>
          <w:sz w:val="18"/>
          <w:szCs w:val="16"/>
        </w:rPr>
        <w:t>dieciocho</w:t>
      </w:r>
      <w:r w:rsidR="00E755E5">
        <w:rPr>
          <w:rFonts w:ascii="Palatino Linotype" w:hAnsi="Palatino Linotype" w:cs="Arial"/>
          <w:sz w:val="18"/>
          <w:szCs w:val="16"/>
        </w:rPr>
        <w:t xml:space="preserve"> de </w:t>
      </w:r>
      <w:r w:rsidR="00DB6E30">
        <w:rPr>
          <w:rFonts w:ascii="Palatino Linotype" w:hAnsi="Palatino Linotype" w:cs="Arial"/>
          <w:sz w:val="18"/>
          <w:szCs w:val="16"/>
        </w:rPr>
        <w:t>junio</w:t>
      </w:r>
      <w:r w:rsidRPr="00B73E6C">
        <w:rPr>
          <w:rFonts w:ascii="Palatino Linotype" w:hAnsi="Palatino Linotype" w:cs="Arial"/>
          <w:sz w:val="18"/>
          <w:szCs w:val="16"/>
        </w:rPr>
        <w:t xml:space="preserve"> de d</w:t>
      </w:r>
      <w:r w:rsidR="00454829">
        <w:rPr>
          <w:rFonts w:ascii="Palatino Linotype" w:hAnsi="Palatino Linotype" w:cs="Arial"/>
          <w:sz w:val="18"/>
          <w:szCs w:val="16"/>
        </w:rPr>
        <w:t>os mil diecinueve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D37E5F">
        <w:rPr>
          <w:rFonts w:ascii="Palatino Linotype" w:hAnsi="Palatino Linotype" w:cs="Arial"/>
          <w:bCs/>
          <w:sz w:val="18"/>
          <w:szCs w:val="16"/>
          <w:lang w:eastAsia="es-MX"/>
        </w:rPr>
        <w:t>02440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0B3" w:rsidRDefault="00E700B3" w:rsidP="007E2E80">
      <w:pPr>
        <w:spacing w:after="0" w:line="240" w:lineRule="auto"/>
      </w:pPr>
      <w:r>
        <w:separator/>
      </w:r>
    </w:p>
  </w:endnote>
  <w:endnote w:type="continuationSeparator" w:id="0">
    <w:p w:rsidR="00E700B3" w:rsidRDefault="00E700B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79" w:rsidRPr="000B69FA" w:rsidRDefault="00C84B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5120">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5120">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79" w:rsidRPr="000B69FA" w:rsidRDefault="00C84B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51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5120">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0B3" w:rsidRDefault="00E700B3" w:rsidP="007E2E80">
      <w:pPr>
        <w:spacing w:after="0" w:line="240" w:lineRule="auto"/>
      </w:pPr>
      <w:r>
        <w:separator/>
      </w:r>
    </w:p>
  </w:footnote>
  <w:footnote w:type="continuationSeparator" w:id="0">
    <w:p w:rsidR="00E700B3" w:rsidRDefault="00E700B3" w:rsidP="007E2E80">
      <w:pPr>
        <w:spacing w:after="0" w:line="240" w:lineRule="auto"/>
      </w:pPr>
      <w:r>
        <w:continuationSeparator/>
      </w:r>
    </w:p>
  </w:footnote>
  <w:footnote w:id="1">
    <w:p w:rsidR="00C84B79" w:rsidRPr="00615B4B" w:rsidRDefault="00C84B7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C84B79" w:rsidRPr="00615B4B" w:rsidRDefault="00C84B7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C296A" w:rsidRDefault="008C296A" w:rsidP="008C296A">
      <w:pPr>
        <w:spacing w:before="240" w:after="240"/>
        <w:ind w:right="51"/>
        <w:contextualSpacing/>
        <w:jc w:val="both"/>
        <w:rPr>
          <w:rFonts w:ascii="Palatino Linotype" w:eastAsia="Calibri" w:hAnsi="Palatino Linotype" w:cs="Arial"/>
          <w:sz w:val="16"/>
          <w:szCs w:val="16"/>
        </w:rPr>
      </w:pPr>
      <w:r w:rsidRPr="000B60FF">
        <w:rPr>
          <w:rFonts w:ascii="Palatino Linotype" w:eastAsia="Calibri" w:hAnsi="Palatino Linotype" w:cs="Arial"/>
          <w:sz w:val="16"/>
          <w:szCs w:val="16"/>
        </w:rPr>
        <w:footnoteRef/>
      </w:r>
      <w:r w:rsidRPr="000B60FF">
        <w:rPr>
          <w:rFonts w:ascii="Palatino Linotype" w:eastAsia="Calibri" w:hAnsi="Palatino Linotype" w:cs="Arial"/>
          <w:sz w:val="16"/>
          <w:szCs w:val="16"/>
        </w:rPr>
        <w:t xml:space="preserve"> </w:t>
      </w:r>
      <w:r>
        <w:rPr>
          <w:rFonts w:ascii="Palatino Linotype" w:eastAsia="Calibri" w:hAnsi="Palatino Linotype" w:cs="Arial"/>
          <w:sz w:val="16"/>
          <w:szCs w:val="16"/>
        </w:rPr>
        <w:t>“</w:t>
      </w:r>
      <w:r w:rsidRPr="009B48B1">
        <w:rPr>
          <w:rFonts w:ascii="Palatino Linotype" w:eastAsia="Calibri" w:hAnsi="Palatino Linotype" w:cs="Arial"/>
          <w:sz w:val="16"/>
          <w:szCs w:val="16"/>
        </w:rPr>
        <w:t>LEY DE FISCALIZACIÓN SUPERIOR DEL ESTADO DE MÉXICO</w:t>
      </w:r>
      <w:r>
        <w:rPr>
          <w:rFonts w:ascii="Palatino Linotype" w:eastAsia="Calibri" w:hAnsi="Palatino Linotype" w:cs="Arial"/>
          <w:sz w:val="16"/>
          <w:szCs w:val="16"/>
        </w:rPr>
        <w:t>:</w:t>
      </w:r>
    </w:p>
    <w:p w:rsidR="008C296A" w:rsidRPr="000B60FF" w:rsidRDefault="008C296A" w:rsidP="008C296A">
      <w:pPr>
        <w:spacing w:before="240" w:after="240"/>
        <w:ind w:right="51"/>
        <w:contextualSpacing/>
        <w:jc w:val="both"/>
        <w:rPr>
          <w:rFonts w:ascii="Palatino Linotype" w:eastAsia="Calibri" w:hAnsi="Palatino Linotype" w:cs="Arial"/>
          <w:sz w:val="16"/>
          <w:szCs w:val="16"/>
        </w:rPr>
      </w:pPr>
      <w:r w:rsidRPr="000B60FF">
        <w:rPr>
          <w:rFonts w:ascii="Palatino Linotype" w:eastAsia="Calibri" w:hAnsi="Palatino Linotype" w:cs="Arial"/>
          <w:sz w:val="16"/>
          <w:szCs w:val="16"/>
        </w:rPr>
        <w:t>Artículo 4.- Son sujetos de fiscalización:</w:t>
      </w:r>
    </w:p>
    <w:p w:rsidR="008C296A" w:rsidRPr="000B60FF" w:rsidRDefault="008C296A" w:rsidP="008C296A">
      <w:pPr>
        <w:spacing w:before="240" w:after="240"/>
        <w:ind w:right="51"/>
        <w:contextualSpacing/>
        <w:jc w:val="both"/>
        <w:rPr>
          <w:rFonts w:ascii="Palatino Linotype" w:eastAsia="Calibri" w:hAnsi="Palatino Linotype" w:cs="Arial"/>
          <w:sz w:val="16"/>
          <w:szCs w:val="16"/>
        </w:rPr>
      </w:pPr>
      <w:r w:rsidRPr="000B60FF">
        <w:rPr>
          <w:rFonts w:ascii="Palatino Linotype" w:eastAsia="Calibri" w:hAnsi="Palatino Linotype" w:cs="Arial"/>
          <w:sz w:val="16"/>
          <w:szCs w:val="16"/>
        </w:rPr>
        <w:t>…</w:t>
      </w:r>
    </w:p>
    <w:p w:rsidR="008C296A" w:rsidRPr="000B60FF" w:rsidRDefault="008C296A" w:rsidP="008C296A">
      <w:pPr>
        <w:spacing w:before="240" w:after="240"/>
        <w:ind w:right="51"/>
        <w:contextualSpacing/>
        <w:jc w:val="both"/>
        <w:rPr>
          <w:rFonts w:ascii="Palatino Linotype" w:eastAsia="Calibri" w:hAnsi="Palatino Linotype" w:cs="Arial"/>
          <w:sz w:val="16"/>
          <w:szCs w:val="16"/>
        </w:rPr>
      </w:pPr>
      <w:r w:rsidRPr="000B60FF">
        <w:rPr>
          <w:rFonts w:ascii="Palatino Linotype" w:eastAsia="Calibri" w:hAnsi="Palatino Linotype" w:cs="Arial"/>
          <w:sz w:val="16"/>
          <w:szCs w:val="16"/>
        </w:rPr>
        <w:t>II. Los municipios del Estado de México;</w:t>
      </w:r>
      <w:r>
        <w:rPr>
          <w:rFonts w:ascii="Palatino Linotype" w:eastAsia="Calibri" w:hAnsi="Palatino Linotype" w:cs="Arial"/>
          <w:sz w:val="16"/>
          <w:szCs w:val="16"/>
        </w:rPr>
        <w:t>” (Sic)</w:t>
      </w:r>
    </w:p>
  </w:footnote>
  <w:footnote w:id="3">
    <w:p w:rsidR="000632CD" w:rsidRDefault="000632CD">
      <w:pPr>
        <w:pStyle w:val="Textonotapie"/>
      </w:pPr>
      <w:r>
        <w:rPr>
          <w:rStyle w:val="Refdenotaalpie"/>
        </w:rPr>
        <w:footnoteRef/>
      </w:r>
      <w:r>
        <w:t xml:space="preserve"> Fuente: Manual Único de Contabilidad Gubernamental para las Dependencias y Entidades Públicas del Gobierno y Municipios del Estado de México vigente.</w:t>
      </w:r>
    </w:p>
  </w:footnote>
  <w:footnote w:id="4">
    <w:p w:rsidR="00CA3ACB" w:rsidRPr="00E7083D" w:rsidRDefault="00CA3ACB" w:rsidP="00CA3ACB">
      <w:pPr>
        <w:spacing w:before="240" w:after="240"/>
        <w:contextualSpacing/>
        <w:jc w:val="both"/>
        <w:rPr>
          <w:rFonts w:ascii="Palatino Linotype" w:hAnsi="Palatino Linotype" w:cs="Arial"/>
          <w:sz w:val="16"/>
          <w:szCs w:val="16"/>
        </w:rPr>
      </w:pPr>
      <w:r>
        <w:rPr>
          <w:rStyle w:val="Refdenotaalpie"/>
        </w:rPr>
        <w:footnoteRef/>
      </w:r>
      <w:r>
        <w:t xml:space="preserve"> </w:t>
      </w:r>
      <w:r w:rsidRPr="00E7083D">
        <w:rPr>
          <w:rFonts w:ascii="Palatino Linotype" w:hAnsi="Palatino Linotype" w:cs="Arial"/>
          <w:sz w:val="16"/>
          <w:szCs w:val="16"/>
        </w:rPr>
        <w:t>Artículo 17-G.- Los certificados que emita el Servicio de Administración Tributaria para ser considerados válidos deberán contener los datos siguientes:</w:t>
      </w:r>
    </w:p>
    <w:p w:rsidR="00CA3ACB" w:rsidRPr="00E7083D" w:rsidRDefault="00CA3ACB" w:rsidP="00CA3ACB">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I. La mención de que se expiden como tales. Tratándose de certificados de sellos digitales, se deberán especificar las limitantes que tengan para su uso.</w:t>
      </w:r>
    </w:p>
    <w:p w:rsidR="00CA3ACB" w:rsidRPr="00E7083D" w:rsidRDefault="00CA3ACB" w:rsidP="00CA3ACB">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CA3ACB" w:rsidRPr="00E7083D" w:rsidRDefault="00CA3ACB" w:rsidP="00CA3ACB">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a que se refiere el párrafo anterior deberán cumplir con las obligaciones siguientes:</w:t>
      </w:r>
    </w:p>
    <w:p w:rsidR="00CA3ACB" w:rsidRPr="00E7083D" w:rsidRDefault="00CA3ACB" w:rsidP="00CA3ACB">
      <w:pPr>
        <w:spacing w:before="240" w:after="240"/>
        <w:contextualSpacing/>
        <w:jc w:val="both"/>
        <w:rPr>
          <w:rFonts w:ascii="Palatino Linotype" w:hAnsi="Palatino Linotype" w:cs="Arial"/>
          <w:sz w:val="16"/>
          <w:szCs w:val="16"/>
        </w:rPr>
      </w:pPr>
      <w:r>
        <w:rPr>
          <w:rFonts w:ascii="Palatino Linotype" w:hAnsi="Palatino Linotype" w:cs="Arial"/>
          <w:sz w:val="16"/>
          <w:szCs w:val="16"/>
        </w:rPr>
        <w:t>I.</w:t>
      </w:r>
      <w:r w:rsidRPr="00E7083D">
        <w:rPr>
          <w:rFonts w:ascii="Palatino Linotype" w:hAnsi="Palatino Linotype" w:cs="Arial"/>
          <w:sz w:val="16"/>
          <w:szCs w:val="16"/>
        </w:rPr>
        <w:t>…</w:t>
      </w:r>
    </w:p>
    <w:p w:rsidR="00CA3ACB" w:rsidRPr="00E7083D" w:rsidRDefault="00CA3ACB" w:rsidP="00CA3ACB">
      <w:pPr>
        <w:spacing w:before="240" w:after="240"/>
        <w:contextualSpacing/>
        <w:jc w:val="both"/>
        <w:rPr>
          <w:rFonts w:ascii="Palatino Linotype" w:hAnsi="Palatino Linotype" w:cs="Arial"/>
          <w:sz w:val="16"/>
          <w:szCs w:val="16"/>
        </w:rPr>
      </w:pPr>
      <w:r>
        <w:rPr>
          <w:rFonts w:ascii="Palatino Linotype" w:hAnsi="Palatino Linotype" w:cs="Arial"/>
          <w:sz w:val="16"/>
          <w:szCs w:val="16"/>
        </w:rPr>
        <w:t xml:space="preserve">II. </w:t>
      </w:r>
      <w:r w:rsidRPr="00E7083D">
        <w:rPr>
          <w:rFonts w:ascii="Palatino Linotype" w:hAnsi="Palatino Linotype" w:cs="Arial"/>
          <w:sz w:val="16"/>
          <w:szCs w:val="16"/>
        </w:rPr>
        <w:t>Tramitar ante el Servicio de Administración Tributaria el certificado para el uso de los sellos digitales.</w:t>
      </w:r>
    </w:p>
    <w:p w:rsidR="00CA3ACB" w:rsidRPr="00E7083D" w:rsidRDefault="00CA3ACB" w:rsidP="00CA3ACB">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CA3ACB" w:rsidRDefault="00CA3ACB" w:rsidP="00CA3AC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79" w:rsidRDefault="00C84B7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C84B79" w:rsidTr="00182616">
      <w:trPr>
        <w:trHeight w:val="227"/>
      </w:trPr>
      <w:tc>
        <w:tcPr>
          <w:tcW w:w="5949" w:type="dxa"/>
          <w:hideMark/>
        </w:tcPr>
        <w:p w:rsidR="00C84B79" w:rsidRDefault="00C84B7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C84B79" w:rsidRDefault="00B07CEE"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02440</w:t>
          </w:r>
          <w:r w:rsidR="00C84B79">
            <w:rPr>
              <w:rFonts w:ascii="Palatino Linotype" w:hAnsi="Palatino Linotype" w:cs="Arial"/>
              <w:bCs/>
              <w:sz w:val="24"/>
              <w:lang w:eastAsia="es-MX"/>
            </w:rPr>
            <w:t>/INFOEM/IP/RR/2019</w:t>
          </w:r>
        </w:p>
      </w:tc>
    </w:tr>
    <w:tr w:rsidR="00C84B79" w:rsidTr="00182616">
      <w:trPr>
        <w:trHeight w:val="242"/>
      </w:trPr>
      <w:tc>
        <w:tcPr>
          <w:tcW w:w="5949" w:type="dxa"/>
          <w:hideMark/>
        </w:tcPr>
        <w:p w:rsidR="00C84B79" w:rsidRDefault="00C84B7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C84B79" w:rsidRDefault="00EC01EB" w:rsidP="005E3F88">
          <w:pPr>
            <w:spacing w:after="120" w:line="256" w:lineRule="auto"/>
            <w:ind w:left="72" w:right="214"/>
            <w:jc w:val="right"/>
            <w:rPr>
              <w:rFonts w:ascii="Palatino Linotype" w:hAnsi="Palatino Linotype" w:cs="Arial"/>
              <w:szCs w:val="20"/>
            </w:rPr>
          </w:pPr>
          <w:r w:rsidRPr="005F0909">
            <w:rPr>
              <w:rFonts w:ascii="Palatino Linotype" w:hAnsi="Palatino Linotype" w:cs="Arial"/>
              <w:szCs w:val="20"/>
            </w:rPr>
            <w:t xml:space="preserve">Ayuntamiento de </w:t>
          </w:r>
          <w:r>
            <w:rPr>
              <w:rFonts w:ascii="Palatino Linotype" w:hAnsi="Palatino Linotype" w:cs="Arial"/>
              <w:szCs w:val="20"/>
            </w:rPr>
            <w:t>Polotitlán</w:t>
          </w:r>
        </w:p>
      </w:tc>
    </w:tr>
    <w:tr w:rsidR="00C84B79" w:rsidTr="00182616">
      <w:trPr>
        <w:trHeight w:val="342"/>
      </w:trPr>
      <w:tc>
        <w:tcPr>
          <w:tcW w:w="5949" w:type="dxa"/>
          <w:hideMark/>
        </w:tcPr>
        <w:p w:rsidR="00C84B79" w:rsidRDefault="00C84B7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C84B79" w:rsidRDefault="00C84B7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84B79" w:rsidRDefault="00C84B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C84B79" w:rsidTr="00182616">
      <w:trPr>
        <w:trHeight w:val="227"/>
      </w:trPr>
      <w:tc>
        <w:tcPr>
          <w:tcW w:w="5103" w:type="dxa"/>
          <w:hideMark/>
        </w:tcPr>
        <w:p w:rsidR="00C84B79" w:rsidRDefault="00C84B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C84B79" w:rsidRPr="00B4142F" w:rsidRDefault="00B07CEE"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02440</w:t>
          </w:r>
          <w:r w:rsidR="00C84B79">
            <w:rPr>
              <w:rFonts w:ascii="Palatino Linotype" w:hAnsi="Palatino Linotype" w:cs="Arial"/>
              <w:bCs/>
              <w:sz w:val="24"/>
              <w:lang w:eastAsia="es-MX"/>
            </w:rPr>
            <w:t>/INFOEM/IP/RR/2019</w:t>
          </w:r>
        </w:p>
      </w:tc>
    </w:tr>
    <w:tr w:rsidR="00C84B79" w:rsidTr="00182616">
      <w:trPr>
        <w:trHeight w:val="196"/>
      </w:trPr>
      <w:tc>
        <w:tcPr>
          <w:tcW w:w="5103" w:type="dxa"/>
          <w:hideMark/>
        </w:tcPr>
        <w:p w:rsidR="00C84B79" w:rsidRDefault="00C84B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C84B79" w:rsidRPr="00F06FED" w:rsidRDefault="00AD5120" w:rsidP="00F672EE">
          <w:pPr>
            <w:spacing w:after="120" w:line="256" w:lineRule="auto"/>
            <w:ind w:left="208" w:right="214"/>
            <w:jc w:val="right"/>
            <w:rPr>
              <w:rFonts w:ascii="Palatino Linotype" w:hAnsi="Palatino Linotype" w:cs="Arial"/>
            </w:rPr>
          </w:pPr>
          <w:r>
            <w:rPr>
              <w:rFonts w:ascii="Palatino Linotype" w:hAnsi="Palatino Linotype" w:cs="Arial"/>
            </w:rPr>
            <w:t>XXXXXX</w:t>
          </w:r>
          <w:r w:rsidR="00B07CEE">
            <w:rPr>
              <w:rFonts w:ascii="Palatino Linotype" w:hAnsi="Palatino Linotype" w:cs="Arial"/>
            </w:rPr>
            <w:t xml:space="preserve"> </w:t>
          </w:r>
          <w:r>
            <w:rPr>
              <w:rFonts w:ascii="Palatino Linotype" w:hAnsi="Palatino Linotype" w:cs="Arial"/>
            </w:rPr>
            <w:t>XXXXXXX</w:t>
          </w:r>
          <w:r w:rsidR="00B07CEE">
            <w:rPr>
              <w:rFonts w:ascii="Palatino Linotype" w:hAnsi="Palatino Linotype" w:cs="Arial"/>
            </w:rPr>
            <w:t xml:space="preserve"> </w:t>
          </w:r>
          <w:r>
            <w:rPr>
              <w:rFonts w:ascii="Palatino Linotype" w:hAnsi="Palatino Linotype" w:cs="Arial"/>
            </w:rPr>
            <w:t>XXXXXX</w:t>
          </w:r>
        </w:p>
      </w:tc>
    </w:tr>
    <w:tr w:rsidR="00C84B79" w:rsidTr="00182616">
      <w:trPr>
        <w:trHeight w:val="242"/>
      </w:trPr>
      <w:tc>
        <w:tcPr>
          <w:tcW w:w="5103" w:type="dxa"/>
          <w:hideMark/>
        </w:tcPr>
        <w:p w:rsidR="00C84B79" w:rsidRDefault="00C84B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C84B79" w:rsidRDefault="00C84B79" w:rsidP="00B07CEE">
          <w:pPr>
            <w:spacing w:after="120" w:line="256" w:lineRule="auto"/>
            <w:ind w:left="208" w:right="214"/>
            <w:jc w:val="right"/>
            <w:rPr>
              <w:rFonts w:ascii="Palatino Linotype" w:hAnsi="Palatino Linotype" w:cs="Arial"/>
              <w:szCs w:val="20"/>
            </w:rPr>
          </w:pPr>
          <w:r w:rsidRPr="005F0909">
            <w:rPr>
              <w:rFonts w:ascii="Palatino Linotype" w:hAnsi="Palatino Linotype" w:cs="Arial"/>
              <w:szCs w:val="20"/>
            </w:rPr>
            <w:t xml:space="preserve">Ayuntamiento de </w:t>
          </w:r>
          <w:r w:rsidR="00B07CEE">
            <w:rPr>
              <w:rFonts w:ascii="Palatino Linotype" w:hAnsi="Palatino Linotype" w:cs="Arial"/>
              <w:szCs w:val="20"/>
            </w:rPr>
            <w:t>Polotitlán</w:t>
          </w:r>
        </w:p>
      </w:tc>
    </w:tr>
    <w:tr w:rsidR="00C84B79" w:rsidTr="00182616">
      <w:trPr>
        <w:trHeight w:val="342"/>
      </w:trPr>
      <w:tc>
        <w:tcPr>
          <w:tcW w:w="5103" w:type="dxa"/>
          <w:hideMark/>
        </w:tcPr>
        <w:p w:rsidR="00C84B79" w:rsidRDefault="00C84B7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C84B79" w:rsidRDefault="00C84B7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84B79" w:rsidRDefault="00C84B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0"/>
  </w:num>
  <w:num w:numId="5">
    <w:abstractNumId w:val="4"/>
  </w:num>
  <w:num w:numId="6">
    <w:abstractNumId w:val="3"/>
  </w:num>
  <w:num w:numId="7">
    <w:abstractNumId w:val="13"/>
  </w:num>
  <w:num w:numId="8">
    <w:abstractNumId w:val="12"/>
  </w:num>
  <w:num w:numId="9">
    <w:abstractNumId w:val="17"/>
  </w:num>
  <w:num w:numId="10">
    <w:abstractNumId w:val="5"/>
  </w:num>
  <w:num w:numId="11">
    <w:abstractNumId w:val="18"/>
  </w:num>
  <w:num w:numId="12">
    <w:abstractNumId w:val="15"/>
  </w:num>
  <w:num w:numId="13">
    <w:abstractNumId w:val="14"/>
  </w:num>
  <w:num w:numId="14">
    <w:abstractNumId w:val="9"/>
  </w:num>
  <w:num w:numId="15">
    <w:abstractNumId w:val="2"/>
  </w:num>
  <w:num w:numId="16">
    <w:abstractNumId w:val="10"/>
  </w:num>
  <w:num w:numId="17">
    <w:abstractNumId w:val="19"/>
  </w:num>
  <w:num w:numId="18">
    <w:abstractNumId w:val="11"/>
  </w:num>
  <w:num w:numId="19">
    <w:abstractNumId w:val="16"/>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44B4"/>
    <w:rsid w:val="00005D84"/>
    <w:rsid w:val="00011DF7"/>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402BD"/>
    <w:rsid w:val="00041557"/>
    <w:rsid w:val="00043018"/>
    <w:rsid w:val="000475BC"/>
    <w:rsid w:val="00050126"/>
    <w:rsid w:val="00050A9C"/>
    <w:rsid w:val="00051311"/>
    <w:rsid w:val="00053C9B"/>
    <w:rsid w:val="00055FDB"/>
    <w:rsid w:val="00057570"/>
    <w:rsid w:val="00061CDD"/>
    <w:rsid w:val="00061CE1"/>
    <w:rsid w:val="00062331"/>
    <w:rsid w:val="00062E1A"/>
    <w:rsid w:val="000632CD"/>
    <w:rsid w:val="000674FE"/>
    <w:rsid w:val="00070473"/>
    <w:rsid w:val="0007328F"/>
    <w:rsid w:val="000738E9"/>
    <w:rsid w:val="0008042E"/>
    <w:rsid w:val="00081888"/>
    <w:rsid w:val="000824AF"/>
    <w:rsid w:val="00083F7E"/>
    <w:rsid w:val="0008795C"/>
    <w:rsid w:val="00087B62"/>
    <w:rsid w:val="00090705"/>
    <w:rsid w:val="0009220B"/>
    <w:rsid w:val="00092805"/>
    <w:rsid w:val="0009497C"/>
    <w:rsid w:val="00095218"/>
    <w:rsid w:val="00096DEA"/>
    <w:rsid w:val="00097AF9"/>
    <w:rsid w:val="000A1166"/>
    <w:rsid w:val="000A27C1"/>
    <w:rsid w:val="000A3303"/>
    <w:rsid w:val="000A6723"/>
    <w:rsid w:val="000A75BE"/>
    <w:rsid w:val="000B0E94"/>
    <w:rsid w:val="000B36FD"/>
    <w:rsid w:val="000B37DE"/>
    <w:rsid w:val="000B45D8"/>
    <w:rsid w:val="000B4C07"/>
    <w:rsid w:val="000C3D1A"/>
    <w:rsid w:val="000C7BD4"/>
    <w:rsid w:val="000D47AB"/>
    <w:rsid w:val="000D6982"/>
    <w:rsid w:val="000D756B"/>
    <w:rsid w:val="000E2E36"/>
    <w:rsid w:val="000E58D0"/>
    <w:rsid w:val="000E631B"/>
    <w:rsid w:val="000E7C0A"/>
    <w:rsid w:val="000F199E"/>
    <w:rsid w:val="000F3722"/>
    <w:rsid w:val="00101AEA"/>
    <w:rsid w:val="00107AFD"/>
    <w:rsid w:val="00114C3C"/>
    <w:rsid w:val="00115F6D"/>
    <w:rsid w:val="00121C19"/>
    <w:rsid w:val="00122CD0"/>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52E9"/>
    <w:rsid w:val="00162176"/>
    <w:rsid w:val="00165929"/>
    <w:rsid w:val="00166046"/>
    <w:rsid w:val="00166623"/>
    <w:rsid w:val="00166C5F"/>
    <w:rsid w:val="00166FB7"/>
    <w:rsid w:val="00167049"/>
    <w:rsid w:val="00172644"/>
    <w:rsid w:val="00174164"/>
    <w:rsid w:val="0018048C"/>
    <w:rsid w:val="00180F6B"/>
    <w:rsid w:val="00182616"/>
    <w:rsid w:val="00186CFB"/>
    <w:rsid w:val="00191C1E"/>
    <w:rsid w:val="00195ADE"/>
    <w:rsid w:val="00196888"/>
    <w:rsid w:val="001A17B9"/>
    <w:rsid w:val="001A4700"/>
    <w:rsid w:val="001A6811"/>
    <w:rsid w:val="001A7955"/>
    <w:rsid w:val="001B16FD"/>
    <w:rsid w:val="001B5DCE"/>
    <w:rsid w:val="001B743F"/>
    <w:rsid w:val="001C0CE9"/>
    <w:rsid w:val="001C2DBA"/>
    <w:rsid w:val="001C69FC"/>
    <w:rsid w:val="001D0755"/>
    <w:rsid w:val="001D39A1"/>
    <w:rsid w:val="001D6114"/>
    <w:rsid w:val="001D61D0"/>
    <w:rsid w:val="001E07AC"/>
    <w:rsid w:val="001E2E5E"/>
    <w:rsid w:val="001E477F"/>
    <w:rsid w:val="001E4D4B"/>
    <w:rsid w:val="001E60B7"/>
    <w:rsid w:val="001F021C"/>
    <w:rsid w:val="001F0F78"/>
    <w:rsid w:val="001F1904"/>
    <w:rsid w:val="001F2BFA"/>
    <w:rsid w:val="001F5577"/>
    <w:rsid w:val="00201358"/>
    <w:rsid w:val="00203FA5"/>
    <w:rsid w:val="00205BF1"/>
    <w:rsid w:val="00207DA3"/>
    <w:rsid w:val="002108D8"/>
    <w:rsid w:val="00211473"/>
    <w:rsid w:val="002120C3"/>
    <w:rsid w:val="00212498"/>
    <w:rsid w:val="0021396E"/>
    <w:rsid w:val="0021442E"/>
    <w:rsid w:val="00216B8D"/>
    <w:rsid w:val="00221F0B"/>
    <w:rsid w:val="002252AD"/>
    <w:rsid w:val="00230FFA"/>
    <w:rsid w:val="00235186"/>
    <w:rsid w:val="00235C45"/>
    <w:rsid w:val="002450D9"/>
    <w:rsid w:val="00247E1F"/>
    <w:rsid w:val="00252745"/>
    <w:rsid w:val="00254523"/>
    <w:rsid w:val="002572CF"/>
    <w:rsid w:val="0026191D"/>
    <w:rsid w:val="00262857"/>
    <w:rsid w:val="002669A8"/>
    <w:rsid w:val="00271762"/>
    <w:rsid w:val="002718DB"/>
    <w:rsid w:val="00271C39"/>
    <w:rsid w:val="002765BB"/>
    <w:rsid w:val="00276C2C"/>
    <w:rsid w:val="00276E33"/>
    <w:rsid w:val="00276FFD"/>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1F8A"/>
    <w:rsid w:val="002A26E0"/>
    <w:rsid w:val="002B5B14"/>
    <w:rsid w:val="002B70F8"/>
    <w:rsid w:val="002C0C6A"/>
    <w:rsid w:val="002C10B1"/>
    <w:rsid w:val="002C2A2E"/>
    <w:rsid w:val="002C2D19"/>
    <w:rsid w:val="002C45D8"/>
    <w:rsid w:val="002C47F3"/>
    <w:rsid w:val="002C529C"/>
    <w:rsid w:val="002D086B"/>
    <w:rsid w:val="002D477F"/>
    <w:rsid w:val="002D4991"/>
    <w:rsid w:val="002D6110"/>
    <w:rsid w:val="002D6CF8"/>
    <w:rsid w:val="002E22D8"/>
    <w:rsid w:val="002E2D4C"/>
    <w:rsid w:val="002E6036"/>
    <w:rsid w:val="002F044A"/>
    <w:rsid w:val="002F160B"/>
    <w:rsid w:val="002F17FB"/>
    <w:rsid w:val="00301A01"/>
    <w:rsid w:val="00301D32"/>
    <w:rsid w:val="003021C1"/>
    <w:rsid w:val="00303FAF"/>
    <w:rsid w:val="00304C91"/>
    <w:rsid w:val="00305B06"/>
    <w:rsid w:val="00307784"/>
    <w:rsid w:val="00310760"/>
    <w:rsid w:val="00311191"/>
    <w:rsid w:val="00311BCD"/>
    <w:rsid w:val="00311EE6"/>
    <w:rsid w:val="00312E7E"/>
    <w:rsid w:val="00315192"/>
    <w:rsid w:val="003153A1"/>
    <w:rsid w:val="0031621C"/>
    <w:rsid w:val="00322F4D"/>
    <w:rsid w:val="003230BE"/>
    <w:rsid w:val="00323A22"/>
    <w:rsid w:val="00323B11"/>
    <w:rsid w:val="00327932"/>
    <w:rsid w:val="00330A59"/>
    <w:rsid w:val="00336EDF"/>
    <w:rsid w:val="00337DE4"/>
    <w:rsid w:val="00345A90"/>
    <w:rsid w:val="00346C7E"/>
    <w:rsid w:val="00360599"/>
    <w:rsid w:val="00363308"/>
    <w:rsid w:val="003653BC"/>
    <w:rsid w:val="00365441"/>
    <w:rsid w:val="00365ADF"/>
    <w:rsid w:val="00374450"/>
    <w:rsid w:val="00375FF5"/>
    <w:rsid w:val="00376934"/>
    <w:rsid w:val="00380DA0"/>
    <w:rsid w:val="0038385D"/>
    <w:rsid w:val="0038396D"/>
    <w:rsid w:val="00386799"/>
    <w:rsid w:val="003908F4"/>
    <w:rsid w:val="003919AC"/>
    <w:rsid w:val="003A13D2"/>
    <w:rsid w:val="003A3096"/>
    <w:rsid w:val="003B1044"/>
    <w:rsid w:val="003B2500"/>
    <w:rsid w:val="003B4AE6"/>
    <w:rsid w:val="003B7C36"/>
    <w:rsid w:val="003B7CED"/>
    <w:rsid w:val="003C3124"/>
    <w:rsid w:val="003C621F"/>
    <w:rsid w:val="003C74AF"/>
    <w:rsid w:val="003D2672"/>
    <w:rsid w:val="003D3420"/>
    <w:rsid w:val="003D4B31"/>
    <w:rsid w:val="003E08B9"/>
    <w:rsid w:val="003F5460"/>
    <w:rsid w:val="00400852"/>
    <w:rsid w:val="00404F9D"/>
    <w:rsid w:val="00405FAF"/>
    <w:rsid w:val="00406B61"/>
    <w:rsid w:val="00407282"/>
    <w:rsid w:val="00410A41"/>
    <w:rsid w:val="004130BD"/>
    <w:rsid w:val="004132B8"/>
    <w:rsid w:val="00417EBD"/>
    <w:rsid w:val="00423281"/>
    <w:rsid w:val="00423C27"/>
    <w:rsid w:val="00425199"/>
    <w:rsid w:val="00425534"/>
    <w:rsid w:val="004307FD"/>
    <w:rsid w:val="0043616A"/>
    <w:rsid w:val="00443826"/>
    <w:rsid w:val="0044723A"/>
    <w:rsid w:val="0045258F"/>
    <w:rsid w:val="0045270C"/>
    <w:rsid w:val="00452ABA"/>
    <w:rsid w:val="00453099"/>
    <w:rsid w:val="0045396C"/>
    <w:rsid w:val="00453E58"/>
    <w:rsid w:val="00454829"/>
    <w:rsid w:val="004572BE"/>
    <w:rsid w:val="00461687"/>
    <w:rsid w:val="004617C7"/>
    <w:rsid w:val="004644F0"/>
    <w:rsid w:val="004657BE"/>
    <w:rsid w:val="004724CC"/>
    <w:rsid w:val="0047461E"/>
    <w:rsid w:val="004807F7"/>
    <w:rsid w:val="004812BD"/>
    <w:rsid w:val="00481558"/>
    <w:rsid w:val="00481A59"/>
    <w:rsid w:val="00482D37"/>
    <w:rsid w:val="004830B5"/>
    <w:rsid w:val="00484E47"/>
    <w:rsid w:val="00487B8B"/>
    <w:rsid w:val="00497B93"/>
    <w:rsid w:val="004A51FF"/>
    <w:rsid w:val="004B2C63"/>
    <w:rsid w:val="004B4721"/>
    <w:rsid w:val="004B5492"/>
    <w:rsid w:val="004B656C"/>
    <w:rsid w:val="004C7E18"/>
    <w:rsid w:val="004D4CFC"/>
    <w:rsid w:val="004D5BAF"/>
    <w:rsid w:val="004D5D52"/>
    <w:rsid w:val="004D6F40"/>
    <w:rsid w:val="004E26A1"/>
    <w:rsid w:val="004F483E"/>
    <w:rsid w:val="004F59FF"/>
    <w:rsid w:val="004F71B4"/>
    <w:rsid w:val="0050104C"/>
    <w:rsid w:val="005023F4"/>
    <w:rsid w:val="005033CC"/>
    <w:rsid w:val="005115A5"/>
    <w:rsid w:val="00512CDD"/>
    <w:rsid w:val="00514C3B"/>
    <w:rsid w:val="00515EBB"/>
    <w:rsid w:val="00521CC2"/>
    <w:rsid w:val="00521F65"/>
    <w:rsid w:val="00522379"/>
    <w:rsid w:val="0052393E"/>
    <w:rsid w:val="00523FAA"/>
    <w:rsid w:val="00524986"/>
    <w:rsid w:val="005325C5"/>
    <w:rsid w:val="005328FB"/>
    <w:rsid w:val="00537419"/>
    <w:rsid w:val="00537D90"/>
    <w:rsid w:val="005419F8"/>
    <w:rsid w:val="005421C7"/>
    <w:rsid w:val="005448FA"/>
    <w:rsid w:val="00544BFD"/>
    <w:rsid w:val="00566699"/>
    <w:rsid w:val="00567676"/>
    <w:rsid w:val="0057288B"/>
    <w:rsid w:val="00572D86"/>
    <w:rsid w:val="005733EB"/>
    <w:rsid w:val="0057534D"/>
    <w:rsid w:val="00577231"/>
    <w:rsid w:val="00583DD0"/>
    <w:rsid w:val="005840A1"/>
    <w:rsid w:val="005848CE"/>
    <w:rsid w:val="00586730"/>
    <w:rsid w:val="00586933"/>
    <w:rsid w:val="00590126"/>
    <w:rsid w:val="00591988"/>
    <w:rsid w:val="00592F63"/>
    <w:rsid w:val="00594C38"/>
    <w:rsid w:val="00596856"/>
    <w:rsid w:val="005A18AF"/>
    <w:rsid w:val="005A35E2"/>
    <w:rsid w:val="005A6F55"/>
    <w:rsid w:val="005B2A31"/>
    <w:rsid w:val="005B4E0C"/>
    <w:rsid w:val="005B7E58"/>
    <w:rsid w:val="005C057C"/>
    <w:rsid w:val="005C6027"/>
    <w:rsid w:val="005C76D5"/>
    <w:rsid w:val="005D02A8"/>
    <w:rsid w:val="005D50D2"/>
    <w:rsid w:val="005D5EEB"/>
    <w:rsid w:val="005E2C13"/>
    <w:rsid w:val="005E3F88"/>
    <w:rsid w:val="005F0909"/>
    <w:rsid w:val="005F1019"/>
    <w:rsid w:val="005F198B"/>
    <w:rsid w:val="005F5985"/>
    <w:rsid w:val="00600D67"/>
    <w:rsid w:val="006056D6"/>
    <w:rsid w:val="0060633A"/>
    <w:rsid w:val="00612309"/>
    <w:rsid w:val="006149F1"/>
    <w:rsid w:val="00620FA6"/>
    <w:rsid w:val="00621130"/>
    <w:rsid w:val="0062140D"/>
    <w:rsid w:val="006246A5"/>
    <w:rsid w:val="0062522A"/>
    <w:rsid w:val="00625F7E"/>
    <w:rsid w:val="00627F9C"/>
    <w:rsid w:val="00631F1B"/>
    <w:rsid w:val="00631FF9"/>
    <w:rsid w:val="00633C3F"/>
    <w:rsid w:val="00637FF6"/>
    <w:rsid w:val="00640D07"/>
    <w:rsid w:val="00642541"/>
    <w:rsid w:val="00644363"/>
    <w:rsid w:val="006446F7"/>
    <w:rsid w:val="00647B4C"/>
    <w:rsid w:val="0065315B"/>
    <w:rsid w:val="006547E8"/>
    <w:rsid w:val="00655F80"/>
    <w:rsid w:val="00661204"/>
    <w:rsid w:val="0066610F"/>
    <w:rsid w:val="00670A00"/>
    <w:rsid w:val="006718D3"/>
    <w:rsid w:val="00672FB1"/>
    <w:rsid w:val="00673D7C"/>
    <w:rsid w:val="006749FD"/>
    <w:rsid w:val="00676C32"/>
    <w:rsid w:val="00680D39"/>
    <w:rsid w:val="0068260A"/>
    <w:rsid w:val="006831F9"/>
    <w:rsid w:val="00686046"/>
    <w:rsid w:val="006875A3"/>
    <w:rsid w:val="00687A21"/>
    <w:rsid w:val="006933E1"/>
    <w:rsid w:val="0069391A"/>
    <w:rsid w:val="006956C7"/>
    <w:rsid w:val="00695F63"/>
    <w:rsid w:val="0069776E"/>
    <w:rsid w:val="006A0ADE"/>
    <w:rsid w:val="006A29C5"/>
    <w:rsid w:val="006A388C"/>
    <w:rsid w:val="006A3A54"/>
    <w:rsid w:val="006A561E"/>
    <w:rsid w:val="006B122F"/>
    <w:rsid w:val="006B2EEE"/>
    <w:rsid w:val="006C17FB"/>
    <w:rsid w:val="006C1F26"/>
    <w:rsid w:val="006C6176"/>
    <w:rsid w:val="006D01DC"/>
    <w:rsid w:val="006D0DD5"/>
    <w:rsid w:val="006D1136"/>
    <w:rsid w:val="006D254A"/>
    <w:rsid w:val="006D4AD4"/>
    <w:rsid w:val="006D5419"/>
    <w:rsid w:val="006D780C"/>
    <w:rsid w:val="006E0601"/>
    <w:rsid w:val="006E2D42"/>
    <w:rsid w:val="006E6394"/>
    <w:rsid w:val="006E6C81"/>
    <w:rsid w:val="006F18FD"/>
    <w:rsid w:val="006F4A35"/>
    <w:rsid w:val="006F536C"/>
    <w:rsid w:val="006F657A"/>
    <w:rsid w:val="006F6EAA"/>
    <w:rsid w:val="00702DB6"/>
    <w:rsid w:val="00705D1C"/>
    <w:rsid w:val="007078D3"/>
    <w:rsid w:val="00711E37"/>
    <w:rsid w:val="0071210D"/>
    <w:rsid w:val="00715558"/>
    <w:rsid w:val="00715B40"/>
    <w:rsid w:val="00720C22"/>
    <w:rsid w:val="007218F2"/>
    <w:rsid w:val="00723B96"/>
    <w:rsid w:val="007256EA"/>
    <w:rsid w:val="007265DE"/>
    <w:rsid w:val="00727C51"/>
    <w:rsid w:val="00730DE0"/>
    <w:rsid w:val="00734ABD"/>
    <w:rsid w:val="0074093D"/>
    <w:rsid w:val="00745032"/>
    <w:rsid w:val="007523B1"/>
    <w:rsid w:val="00754BDC"/>
    <w:rsid w:val="0075676A"/>
    <w:rsid w:val="00757E32"/>
    <w:rsid w:val="00763D73"/>
    <w:rsid w:val="007640C8"/>
    <w:rsid w:val="007660A1"/>
    <w:rsid w:val="00766A8A"/>
    <w:rsid w:val="00767422"/>
    <w:rsid w:val="007676AF"/>
    <w:rsid w:val="0077188E"/>
    <w:rsid w:val="00773727"/>
    <w:rsid w:val="00773E9D"/>
    <w:rsid w:val="00775590"/>
    <w:rsid w:val="00775826"/>
    <w:rsid w:val="00776087"/>
    <w:rsid w:val="00785145"/>
    <w:rsid w:val="00786497"/>
    <w:rsid w:val="00790289"/>
    <w:rsid w:val="0079323B"/>
    <w:rsid w:val="0079780D"/>
    <w:rsid w:val="00797BE3"/>
    <w:rsid w:val="007A0571"/>
    <w:rsid w:val="007A223B"/>
    <w:rsid w:val="007A4AC3"/>
    <w:rsid w:val="007A4E13"/>
    <w:rsid w:val="007A620E"/>
    <w:rsid w:val="007B0292"/>
    <w:rsid w:val="007B0E30"/>
    <w:rsid w:val="007C09EB"/>
    <w:rsid w:val="007C23A2"/>
    <w:rsid w:val="007C2757"/>
    <w:rsid w:val="007C2FC9"/>
    <w:rsid w:val="007C5405"/>
    <w:rsid w:val="007C5FBD"/>
    <w:rsid w:val="007C72C0"/>
    <w:rsid w:val="007D0CFF"/>
    <w:rsid w:val="007D536D"/>
    <w:rsid w:val="007D6A85"/>
    <w:rsid w:val="007E2E80"/>
    <w:rsid w:val="007E644E"/>
    <w:rsid w:val="007F0FDD"/>
    <w:rsid w:val="007F282E"/>
    <w:rsid w:val="007F336B"/>
    <w:rsid w:val="007F5267"/>
    <w:rsid w:val="007F6BFF"/>
    <w:rsid w:val="007F7846"/>
    <w:rsid w:val="008041A7"/>
    <w:rsid w:val="0080536C"/>
    <w:rsid w:val="008103B2"/>
    <w:rsid w:val="00812590"/>
    <w:rsid w:val="0081299A"/>
    <w:rsid w:val="008132B7"/>
    <w:rsid w:val="00821898"/>
    <w:rsid w:val="00823454"/>
    <w:rsid w:val="00824894"/>
    <w:rsid w:val="008307E5"/>
    <w:rsid w:val="00831499"/>
    <w:rsid w:val="00835BAA"/>
    <w:rsid w:val="00837C42"/>
    <w:rsid w:val="008455DC"/>
    <w:rsid w:val="00845873"/>
    <w:rsid w:val="00847400"/>
    <w:rsid w:val="00852DE6"/>
    <w:rsid w:val="00853CC3"/>
    <w:rsid w:val="00856768"/>
    <w:rsid w:val="0085776C"/>
    <w:rsid w:val="00867D56"/>
    <w:rsid w:val="00870064"/>
    <w:rsid w:val="008725EE"/>
    <w:rsid w:val="008731D1"/>
    <w:rsid w:val="0087503D"/>
    <w:rsid w:val="00877BB7"/>
    <w:rsid w:val="00890DBD"/>
    <w:rsid w:val="00892543"/>
    <w:rsid w:val="0089781F"/>
    <w:rsid w:val="008A1C19"/>
    <w:rsid w:val="008A4673"/>
    <w:rsid w:val="008B2F46"/>
    <w:rsid w:val="008C0E72"/>
    <w:rsid w:val="008C0F70"/>
    <w:rsid w:val="008C296A"/>
    <w:rsid w:val="008C351E"/>
    <w:rsid w:val="008C651F"/>
    <w:rsid w:val="008C7CEB"/>
    <w:rsid w:val="008D17A8"/>
    <w:rsid w:val="008D523F"/>
    <w:rsid w:val="008D5661"/>
    <w:rsid w:val="008E572E"/>
    <w:rsid w:val="008E63C2"/>
    <w:rsid w:val="008E7F8E"/>
    <w:rsid w:val="008F0C26"/>
    <w:rsid w:val="008F1E1F"/>
    <w:rsid w:val="008F5C2F"/>
    <w:rsid w:val="008F7F12"/>
    <w:rsid w:val="00902C53"/>
    <w:rsid w:val="00903599"/>
    <w:rsid w:val="00905CE1"/>
    <w:rsid w:val="009133DF"/>
    <w:rsid w:val="009151CF"/>
    <w:rsid w:val="00915450"/>
    <w:rsid w:val="00916463"/>
    <w:rsid w:val="009272C6"/>
    <w:rsid w:val="00927B06"/>
    <w:rsid w:val="00930F68"/>
    <w:rsid w:val="009339EC"/>
    <w:rsid w:val="0093743A"/>
    <w:rsid w:val="00937BFA"/>
    <w:rsid w:val="00942349"/>
    <w:rsid w:val="00943B37"/>
    <w:rsid w:val="00954D0A"/>
    <w:rsid w:val="00954DC1"/>
    <w:rsid w:val="00960D8F"/>
    <w:rsid w:val="0096284F"/>
    <w:rsid w:val="0096359D"/>
    <w:rsid w:val="00966583"/>
    <w:rsid w:val="00967270"/>
    <w:rsid w:val="00967EF9"/>
    <w:rsid w:val="00973F82"/>
    <w:rsid w:val="0097416D"/>
    <w:rsid w:val="009759F9"/>
    <w:rsid w:val="00975D05"/>
    <w:rsid w:val="00984436"/>
    <w:rsid w:val="00984AA7"/>
    <w:rsid w:val="00984CA8"/>
    <w:rsid w:val="009859B8"/>
    <w:rsid w:val="00987D8A"/>
    <w:rsid w:val="009930C2"/>
    <w:rsid w:val="00993DE1"/>
    <w:rsid w:val="00994FE7"/>
    <w:rsid w:val="009956C4"/>
    <w:rsid w:val="009976F4"/>
    <w:rsid w:val="0099770C"/>
    <w:rsid w:val="009A1573"/>
    <w:rsid w:val="009B205B"/>
    <w:rsid w:val="009B3592"/>
    <w:rsid w:val="009B5A90"/>
    <w:rsid w:val="009B70C3"/>
    <w:rsid w:val="009C1EA2"/>
    <w:rsid w:val="009C3FC7"/>
    <w:rsid w:val="009C4F59"/>
    <w:rsid w:val="009C5D31"/>
    <w:rsid w:val="009D3547"/>
    <w:rsid w:val="009D4CD4"/>
    <w:rsid w:val="009D56AA"/>
    <w:rsid w:val="009D6234"/>
    <w:rsid w:val="009E0089"/>
    <w:rsid w:val="009E396D"/>
    <w:rsid w:val="009E3FBD"/>
    <w:rsid w:val="009E76F1"/>
    <w:rsid w:val="009F7B22"/>
    <w:rsid w:val="00A00BD5"/>
    <w:rsid w:val="00A01F59"/>
    <w:rsid w:val="00A06551"/>
    <w:rsid w:val="00A10000"/>
    <w:rsid w:val="00A10775"/>
    <w:rsid w:val="00A112EB"/>
    <w:rsid w:val="00A11406"/>
    <w:rsid w:val="00A11DDF"/>
    <w:rsid w:val="00A14AF7"/>
    <w:rsid w:val="00A20A70"/>
    <w:rsid w:val="00A2127A"/>
    <w:rsid w:val="00A2199B"/>
    <w:rsid w:val="00A21DB0"/>
    <w:rsid w:val="00A22469"/>
    <w:rsid w:val="00A23C6C"/>
    <w:rsid w:val="00A2645E"/>
    <w:rsid w:val="00A26AC5"/>
    <w:rsid w:val="00A3134D"/>
    <w:rsid w:val="00A33B3A"/>
    <w:rsid w:val="00A35B31"/>
    <w:rsid w:val="00A4214D"/>
    <w:rsid w:val="00A54A1C"/>
    <w:rsid w:val="00A56706"/>
    <w:rsid w:val="00A62727"/>
    <w:rsid w:val="00A64034"/>
    <w:rsid w:val="00A6567E"/>
    <w:rsid w:val="00A65C29"/>
    <w:rsid w:val="00A65D02"/>
    <w:rsid w:val="00A666CE"/>
    <w:rsid w:val="00A73E40"/>
    <w:rsid w:val="00A74209"/>
    <w:rsid w:val="00A77930"/>
    <w:rsid w:val="00A8643B"/>
    <w:rsid w:val="00A871F0"/>
    <w:rsid w:val="00A9172E"/>
    <w:rsid w:val="00A94BF6"/>
    <w:rsid w:val="00AA05A0"/>
    <w:rsid w:val="00AA0676"/>
    <w:rsid w:val="00AA3840"/>
    <w:rsid w:val="00AA4F9A"/>
    <w:rsid w:val="00AA5A0A"/>
    <w:rsid w:val="00AA7A42"/>
    <w:rsid w:val="00AB1AF3"/>
    <w:rsid w:val="00AB481C"/>
    <w:rsid w:val="00AB6FE4"/>
    <w:rsid w:val="00AC0E61"/>
    <w:rsid w:val="00AC231E"/>
    <w:rsid w:val="00AC39E8"/>
    <w:rsid w:val="00AC44F1"/>
    <w:rsid w:val="00AD0168"/>
    <w:rsid w:val="00AD1C0A"/>
    <w:rsid w:val="00AD3C94"/>
    <w:rsid w:val="00AD4FDB"/>
    <w:rsid w:val="00AD5120"/>
    <w:rsid w:val="00AD5294"/>
    <w:rsid w:val="00AE658B"/>
    <w:rsid w:val="00AF1F1C"/>
    <w:rsid w:val="00AF5920"/>
    <w:rsid w:val="00B00A36"/>
    <w:rsid w:val="00B070F5"/>
    <w:rsid w:val="00B07CEE"/>
    <w:rsid w:val="00B07D40"/>
    <w:rsid w:val="00B10DAE"/>
    <w:rsid w:val="00B12CBA"/>
    <w:rsid w:val="00B138D5"/>
    <w:rsid w:val="00B16CAC"/>
    <w:rsid w:val="00B20661"/>
    <w:rsid w:val="00B24972"/>
    <w:rsid w:val="00B30308"/>
    <w:rsid w:val="00B31ACE"/>
    <w:rsid w:val="00B34950"/>
    <w:rsid w:val="00B352EF"/>
    <w:rsid w:val="00B3792A"/>
    <w:rsid w:val="00B37950"/>
    <w:rsid w:val="00B43514"/>
    <w:rsid w:val="00B43BFD"/>
    <w:rsid w:val="00B45D16"/>
    <w:rsid w:val="00B501B2"/>
    <w:rsid w:val="00B525C1"/>
    <w:rsid w:val="00B5318A"/>
    <w:rsid w:val="00B549E1"/>
    <w:rsid w:val="00B56587"/>
    <w:rsid w:val="00B575B8"/>
    <w:rsid w:val="00B6242B"/>
    <w:rsid w:val="00B65E1E"/>
    <w:rsid w:val="00B73E6C"/>
    <w:rsid w:val="00B75842"/>
    <w:rsid w:val="00B77270"/>
    <w:rsid w:val="00B863A5"/>
    <w:rsid w:val="00B93C5C"/>
    <w:rsid w:val="00B96B2B"/>
    <w:rsid w:val="00B976F5"/>
    <w:rsid w:val="00B97CAC"/>
    <w:rsid w:val="00BA69A0"/>
    <w:rsid w:val="00BB2359"/>
    <w:rsid w:val="00BB2580"/>
    <w:rsid w:val="00BB5394"/>
    <w:rsid w:val="00BC3F29"/>
    <w:rsid w:val="00BC64D4"/>
    <w:rsid w:val="00BD0B96"/>
    <w:rsid w:val="00BD1DE7"/>
    <w:rsid w:val="00BD20DA"/>
    <w:rsid w:val="00BD705D"/>
    <w:rsid w:val="00BE100C"/>
    <w:rsid w:val="00BE48F3"/>
    <w:rsid w:val="00BE4DBC"/>
    <w:rsid w:val="00BE6D77"/>
    <w:rsid w:val="00BF0AEC"/>
    <w:rsid w:val="00BF123B"/>
    <w:rsid w:val="00BF123D"/>
    <w:rsid w:val="00BF3765"/>
    <w:rsid w:val="00BF3950"/>
    <w:rsid w:val="00BF5EE2"/>
    <w:rsid w:val="00BF69B1"/>
    <w:rsid w:val="00C0025C"/>
    <w:rsid w:val="00C03ABF"/>
    <w:rsid w:val="00C06E74"/>
    <w:rsid w:val="00C109FA"/>
    <w:rsid w:val="00C10AAE"/>
    <w:rsid w:val="00C115F4"/>
    <w:rsid w:val="00C1217D"/>
    <w:rsid w:val="00C16DBD"/>
    <w:rsid w:val="00C17644"/>
    <w:rsid w:val="00C2107B"/>
    <w:rsid w:val="00C23100"/>
    <w:rsid w:val="00C25822"/>
    <w:rsid w:val="00C25B89"/>
    <w:rsid w:val="00C25E33"/>
    <w:rsid w:val="00C277F4"/>
    <w:rsid w:val="00C31B8E"/>
    <w:rsid w:val="00C34B47"/>
    <w:rsid w:val="00C35F18"/>
    <w:rsid w:val="00C36CFB"/>
    <w:rsid w:val="00C40345"/>
    <w:rsid w:val="00C40B89"/>
    <w:rsid w:val="00C4424D"/>
    <w:rsid w:val="00C51021"/>
    <w:rsid w:val="00C614A7"/>
    <w:rsid w:val="00C61CBD"/>
    <w:rsid w:val="00C6454B"/>
    <w:rsid w:val="00C645FA"/>
    <w:rsid w:val="00C6603E"/>
    <w:rsid w:val="00C66B27"/>
    <w:rsid w:val="00C66C58"/>
    <w:rsid w:val="00C6743B"/>
    <w:rsid w:val="00C674E5"/>
    <w:rsid w:val="00C67A59"/>
    <w:rsid w:val="00C71887"/>
    <w:rsid w:val="00C74A73"/>
    <w:rsid w:val="00C77B28"/>
    <w:rsid w:val="00C84B79"/>
    <w:rsid w:val="00C8573E"/>
    <w:rsid w:val="00C858B7"/>
    <w:rsid w:val="00C86FCF"/>
    <w:rsid w:val="00C90CE9"/>
    <w:rsid w:val="00C911DE"/>
    <w:rsid w:val="00C921D5"/>
    <w:rsid w:val="00C93C65"/>
    <w:rsid w:val="00C95F13"/>
    <w:rsid w:val="00C9613E"/>
    <w:rsid w:val="00CA2ED9"/>
    <w:rsid w:val="00CA2F0F"/>
    <w:rsid w:val="00CA3ACB"/>
    <w:rsid w:val="00CA3DD3"/>
    <w:rsid w:val="00CA5653"/>
    <w:rsid w:val="00CA5EC1"/>
    <w:rsid w:val="00CA6D10"/>
    <w:rsid w:val="00CC3873"/>
    <w:rsid w:val="00CD5D9E"/>
    <w:rsid w:val="00CE15C8"/>
    <w:rsid w:val="00CE4A42"/>
    <w:rsid w:val="00CE56AE"/>
    <w:rsid w:val="00CF27C6"/>
    <w:rsid w:val="00CF41EE"/>
    <w:rsid w:val="00CF4FA8"/>
    <w:rsid w:val="00CF61B3"/>
    <w:rsid w:val="00CF784A"/>
    <w:rsid w:val="00CF7E3D"/>
    <w:rsid w:val="00D01B24"/>
    <w:rsid w:val="00D020E2"/>
    <w:rsid w:val="00D04234"/>
    <w:rsid w:val="00D0540D"/>
    <w:rsid w:val="00D13B83"/>
    <w:rsid w:val="00D14D51"/>
    <w:rsid w:val="00D14E3B"/>
    <w:rsid w:val="00D20DEA"/>
    <w:rsid w:val="00D23750"/>
    <w:rsid w:val="00D23F11"/>
    <w:rsid w:val="00D32449"/>
    <w:rsid w:val="00D32E6F"/>
    <w:rsid w:val="00D34DEA"/>
    <w:rsid w:val="00D37E5F"/>
    <w:rsid w:val="00D46905"/>
    <w:rsid w:val="00D5329C"/>
    <w:rsid w:val="00D54889"/>
    <w:rsid w:val="00D55F40"/>
    <w:rsid w:val="00D5656D"/>
    <w:rsid w:val="00D57072"/>
    <w:rsid w:val="00D57A8D"/>
    <w:rsid w:val="00D61A59"/>
    <w:rsid w:val="00D62B87"/>
    <w:rsid w:val="00D633B6"/>
    <w:rsid w:val="00D64F6D"/>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7FE3"/>
    <w:rsid w:val="00DB0E86"/>
    <w:rsid w:val="00DB15BB"/>
    <w:rsid w:val="00DB3989"/>
    <w:rsid w:val="00DB4592"/>
    <w:rsid w:val="00DB5FF7"/>
    <w:rsid w:val="00DB6E30"/>
    <w:rsid w:val="00DC0CB0"/>
    <w:rsid w:val="00DC23FE"/>
    <w:rsid w:val="00DC4E35"/>
    <w:rsid w:val="00DD0417"/>
    <w:rsid w:val="00DD13E2"/>
    <w:rsid w:val="00DD2781"/>
    <w:rsid w:val="00DD2D53"/>
    <w:rsid w:val="00DD5971"/>
    <w:rsid w:val="00DD5DC9"/>
    <w:rsid w:val="00DE0587"/>
    <w:rsid w:val="00DE16E2"/>
    <w:rsid w:val="00DF0AF9"/>
    <w:rsid w:val="00DF1527"/>
    <w:rsid w:val="00DF1972"/>
    <w:rsid w:val="00DF2F2C"/>
    <w:rsid w:val="00DF3485"/>
    <w:rsid w:val="00DF35CC"/>
    <w:rsid w:val="00DF51C8"/>
    <w:rsid w:val="00DF574D"/>
    <w:rsid w:val="00DF74F3"/>
    <w:rsid w:val="00E014FE"/>
    <w:rsid w:val="00E01664"/>
    <w:rsid w:val="00E1520C"/>
    <w:rsid w:val="00E23E06"/>
    <w:rsid w:val="00E25492"/>
    <w:rsid w:val="00E2784F"/>
    <w:rsid w:val="00E31685"/>
    <w:rsid w:val="00E325CC"/>
    <w:rsid w:val="00E37AA1"/>
    <w:rsid w:val="00E40AF4"/>
    <w:rsid w:val="00E426C9"/>
    <w:rsid w:val="00E476BB"/>
    <w:rsid w:val="00E47C9E"/>
    <w:rsid w:val="00E50EFF"/>
    <w:rsid w:val="00E50F4B"/>
    <w:rsid w:val="00E51947"/>
    <w:rsid w:val="00E5215A"/>
    <w:rsid w:val="00E53096"/>
    <w:rsid w:val="00E532A1"/>
    <w:rsid w:val="00E56111"/>
    <w:rsid w:val="00E60464"/>
    <w:rsid w:val="00E60476"/>
    <w:rsid w:val="00E6064B"/>
    <w:rsid w:val="00E61468"/>
    <w:rsid w:val="00E64C1E"/>
    <w:rsid w:val="00E65AE8"/>
    <w:rsid w:val="00E660AB"/>
    <w:rsid w:val="00E6713D"/>
    <w:rsid w:val="00E700B3"/>
    <w:rsid w:val="00E70CAE"/>
    <w:rsid w:val="00E726BA"/>
    <w:rsid w:val="00E7413A"/>
    <w:rsid w:val="00E755E5"/>
    <w:rsid w:val="00E81795"/>
    <w:rsid w:val="00E83DA0"/>
    <w:rsid w:val="00E8432B"/>
    <w:rsid w:val="00E85324"/>
    <w:rsid w:val="00E85A03"/>
    <w:rsid w:val="00E93579"/>
    <w:rsid w:val="00EA0886"/>
    <w:rsid w:val="00EA2AAB"/>
    <w:rsid w:val="00EA33F9"/>
    <w:rsid w:val="00EB2068"/>
    <w:rsid w:val="00EB2549"/>
    <w:rsid w:val="00EB5002"/>
    <w:rsid w:val="00EC01EB"/>
    <w:rsid w:val="00EC1776"/>
    <w:rsid w:val="00EC3F2F"/>
    <w:rsid w:val="00EC4B6A"/>
    <w:rsid w:val="00EC5573"/>
    <w:rsid w:val="00ED0209"/>
    <w:rsid w:val="00ED4829"/>
    <w:rsid w:val="00ED60C2"/>
    <w:rsid w:val="00ED78F3"/>
    <w:rsid w:val="00ED7AA0"/>
    <w:rsid w:val="00EE03F5"/>
    <w:rsid w:val="00EE12D8"/>
    <w:rsid w:val="00EE17E6"/>
    <w:rsid w:val="00EE40D8"/>
    <w:rsid w:val="00EE44C4"/>
    <w:rsid w:val="00EE5906"/>
    <w:rsid w:val="00EF0410"/>
    <w:rsid w:val="00EF045F"/>
    <w:rsid w:val="00EF4D17"/>
    <w:rsid w:val="00EF536F"/>
    <w:rsid w:val="00EF6B28"/>
    <w:rsid w:val="00F00889"/>
    <w:rsid w:val="00F07DC2"/>
    <w:rsid w:val="00F10958"/>
    <w:rsid w:val="00F11368"/>
    <w:rsid w:val="00F12705"/>
    <w:rsid w:val="00F1657E"/>
    <w:rsid w:val="00F1770B"/>
    <w:rsid w:val="00F20846"/>
    <w:rsid w:val="00F2178A"/>
    <w:rsid w:val="00F2343A"/>
    <w:rsid w:val="00F25FE1"/>
    <w:rsid w:val="00F26605"/>
    <w:rsid w:val="00F2718C"/>
    <w:rsid w:val="00F31260"/>
    <w:rsid w:val="00F336DD"/>
    <w:rsid w:val="00F3773C"/>
    <w:rsid w:val="00F409ED"/>
    <w:rsid w:val="00F420D8"/>
    <w:rsid w:val="00F44637"/>
    <w:rsid w:val="00F45389"/>
    <w:rsid w:val="00F46398"/>
    <w:rsid w:val="00F4708B"/>
    <w:rsid w:val="00F53B53"/>
    <w:rsid w:val="00F56ECE"/>
    <w:rsid w:val="00F66A72"/>
    <w:rsid w:val="00F672EE"/>
    <w:rsid w:val="00F724FE"/>
    <w:rsid w:val="00F753BF"/>
    <w:rsid w:val="00F75846"/>
    <w:rsid w:val="00F7667E"/>
    <w:rsid w:val="00F82DE8"/>
    <w:rsid w:val="00F83F9F"/>
    <w:rsid w:val="00F8521C"/>
    <w:rsid w:val="00F86466"/>
    <w:rsid w:val="00F8666D"/>
    <w:rsid w:val="00F90DDA"/>
    <w:rsid w:val="00F91340"/>
    <w:rsid w:val="00F92D09"/>
    <w:rsid w:val="00F9346E"/>
    <w:rsid w:val="00FA1E70"/>
    <w:rsid w:val="00FA396A"/>
    <w:rsid w:val="00FA47E2"/>
    <w:rsid w:val="00FA6C7F"/>
    <w:rsid w:val="00FB2F77"/>
    <w:rsid w:val="00FB4B56"/>
    <w:rsid w:val="00FB55E9"/>
    <w:rsid w:val="00FB681D"/>
    <w:rsid w:val="00FB7F64"/>
    <w:rsid w:val="00FC067E"/>
    <w:rsid w:val="00FC43C9"/>
    <w:rsid w:val="00FC7D8B"/>
    <w:rsid w:val="00FD1E3D"/>
    <w:rsid w:val="00FD3A3C"/>
    <w:rsid w:val="00FD4EB1"/>
    <w:rsid w:val="00FD7EE2"/>
    <w:rsid w:val="00FE6B22"/>
    <w:rsid w:val="00FE7A66"/>
    <w:rsid w:val="00FF0836"/>
    <w:rsid w:val="00FF15F9"/>
    <w:rsid w:val="00FF6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BA99B-8A45-44B7-A89F-FF6747BE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9609</Words>
  <Characters>52850</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2019-06-21T15:02:00Z</cp:lastPrinted>
  <dcterms:created xsi:type="dcterms:W3CDTF">2019-08-02T20:19:00Z</dcterms:created>
  <dcterms:modified xsi:type="dcterms:W3CDTF">2019-08-02T20:19:00Z</dcterms:modified>
</cp:coreProperties>
</file>