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C95803" w:rsidRDefault="002A5BA4" w:rsidP="00C95803">
      <w:pPr>
        <w:spacing w:line="360" w:lineRule="auto"/>
        <w:ind w:left="708" w:hanging="708"/>
        <w:jc w:val="center"/>
        <w:rPr>
          <w:rFonts w:ascii="Palatino Linotype" w:eastAsia="Times New Roman" w:hAnsi="Palatino Linotype" w:cs="Times New Roman"/>
          <w:b/>
        </w:rPr>
      </w:pPr>
      <w:r w:rsidRPr="00C95803">
        <w:rPr>
          <w:rFonts w:ascii="Palatino Linotype" w:eastAsia="Times New Roman" w:hAnsi="Palatino Linotype" w:cs="Times New Roman"/>
          <w:b/>
        </w:rPr>
        <w:t>LÍNEAS ARGUMENTATIVAS</w:t>
      </w:r>
    </w:p>
    <w:p w:rsidR="00A83C24" w:rsidRPr="00C95803" w:rsidRDefault="00A83C24" w:rsidP="00C95803">
      <w:pPr>
        <w:spacing w:line="360" w:lineRule="auto"/>
        <w:ind w:left="708" w:hanging="708"/>
        <w:rPr>
          <w:rFonts w:ascii="Palatino Linotype" w:eastAsia="Times New Roman" w:hAnsi="Palatino Linotype" w:cs="Times New Roman"/>
          <w:b/>
        </w:rPr>
      </w:pPr>
    </w:p>
    <w:p w:rsidR="00EF4469" w:rsidRPr="00C95803" w:rsidRDefault="00EF4469" w:rsidP="00C95803">
      <w:pPr>
        <w:spacing w:before="240" w:after="240" w:line="360" w:lineRule="auto"/>
        <w:jc w:val="both"/>
        <w:rPr>
          <w:rFonts w:ascii="Palatino Linotype" w:eastAsia="Times New Roman" w:hAnsi="Palatino Linotype" w:cs="Arial"/>
          <w:color w:val="000000" w:themeColor="text1"/>
          <w:lang w:val="es-ES" w:eastAsia="es-MX"/>
        </w:rPr>
      </w:pPr>
      <w:r w:rsidRPr="00C95803">
        <w:rPr>
          <w:rFonts w:ascii="Palatino Linotype" w:hAnsi="Palatino Linotype"/>
          <w:b/>
        </w:rPr>
        <w:t>NEGATIVA FICTA, NO EXISTE PLAZO PERENTORIO PARA INTERPONER EL RECURSO.</w:t>
      </w:r>
      <w:r w:rsidRPr="00C95803">
        <w:rPr>
          <w:rFonts w:ascii="Palatino Linotype" w:hAnsi="Palatino Linotype"/>
        </w:rPr>
        <w:t xml:space="preserve"> </w:t>
      </w:r>
      <w:r w:rsidRPr="00C95803">
        <w:rPr>
          <w:rFonts w:ascii="Palatino Linotype" w:eastAsia="Times New Roman" w:hAnsi="Palatino Linotype" w:cs="Arial"/>
          <w:color w:val="000000" w:themeColor="text1"/>
          <w:lang w:val="es-ES" w:eastAsia="es-MX"/>
        </w:rPr>
        <w:t xml:space="preserve">Tratándose de negativa ficta no existe plazo para la interposición del recurso de revisión por tratarse de una afectación continua al Derecho de Acceso a la Información Pública. </w:t>
      </w:r>
    </w:p>
    <w:p w:rsidR="00EF4469" w:rsidRPr="00C95803" w:rsidRDefault="00EF4469" w:rsidP="00C95803">
      <w:pPr>
        <w:spacing w:line="360" w:lineRule="auto"/>
        <w:jc w:val="both"/>
        <w:rPr>
          <w:rFonts w:ascii="Palatino Linotype" w:hAnsi="Palatino Linotype"/>
        </w:rPr>
      </w:pPr>
      <w:r w:rsidRPr="00C95803">
        <w:rPr>
          <w:rFonts w:ascii="Palatino Linotype" w:hAnsi="Palatino Linotype"/>
          <w:b/>
        </w:rPr>
        <w:t xml:space="preserve">DE LA SUPLENCIA DE LA QUEJA. </w:t>
      </w:r>
      <w:r w:rsidRPr="00C95803">
        <w:rPr>
          <w:rFonts w:ascii="Palatino Linotype" w:hAnsi="Palatino Linotype"/>
        </w:rPr>
        <w:t xml:space="preserve">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w:t>
      </w:r>
      <w:proofErr w:type="spellStart"/>
      <w:proofErr w:type="gramStart"/>
      <w:r w:rsidRPr="00C95803">
        <w:rPr>
          <w:rFonts w:ascii="Palatino Linotype" w:hAnsi="Palatino Linotype"/>
        </w:rPr>
        <w:t>promovente</w:t>
      </w:r>
      <w:proofErr w:type="spellEnd"/>
      <w:proofErr w:type="gramEnd"/>
      <w:r w:rsidRPr="00C95803">
        <w:rPr>
          <w:rFonts w:ascii="Palatino Linotype" w:hAnsi="Palatino Linotype"/>
        </w:rPr>
        <w:t xml:space="preserve"> al momento de formular su solicitud de información, ya que se presume que los particulares pueden no ser expertos en la materia, es por ello, que debe tenerse siempre presente esta figura procedimental, bajo el principio </w:t>
      </w:r>
      <w:proofErr w:type="spellStart"/>
      <w:r w:rsidRPr="00C95803">
        <w:rPr>
          <w:rFonts w:ascii="Palatino Linotype" w:hAnsi="Palatino Linotype"/>
        </w:rPr>
        <w:t>pro</w:t>
      </w:r>
      <w:proofErr w:type="spellEnd"/>
      <w:r w:rsidRPr="00C95803">
        <w:rPr>
          <w:rFonts w:ascii="Palatino Linotype" w:hAnsi="Palatino Linotype"/>
        </w:rPr>
        <w:t xml:space="preserve"> persona.</w:t>
      </w:r>
    </w:p>
    <w:p w:rsidR="001F61BF" w:rsidRPr="00C95803" w:rsidRDefault="001F61BF" w:rsidP="00C95803">
      <w:pPr>
        <w:spacing w:line="360" w:lineRule="auto"/>
        <w:jc w:val="both"/>
        <w:rPr>
          <w:rFonts w:ascii="Palatino Linotype" w:hAnsi="Palatino Linotype"/>
        </w:rPr>
      </w:pPr>
    </w:p>
    <w:p w:rsidR="001F61BF" w:rsidRPr="00C95803" w:rsidRDefault="001F61BF" w:rsidP="00C95803">
      <w:pPr>
        <w:spacing w:line="360" w:lineRule="auto"/>
        <w:jc w:val="both"/>
        <w:rPr>
          <w:rFonts w:ascii="Palatino Linotype" w:eastAsia="MS Mincho" w:hAnsi="Palatino Linotype" w:cs="Times New Roman"/>
        </w:rPr>
      </w:pPr>
      <w:r w:rsidRPr="00C95803">
        <w:rPr>
          <w:rFonts w:ascii="Palatino Linotype" w:hAnsi="Palatino Linotype"/>
          <w:b/>
        </w:rPr>
        <w:t>DEBER DE EXPLICAR LA INEXISTENCIA DE INFORMACIÓN</w:t>
      </w:r>
      <w:r w:rsidRPr="00C95803">
        <w:rPr>
          <w:rFonts w:ascii="Palatino Linotype" w:hAnsi="Palatino Linotype"/>
        </w:rPr>
        <w:t>.</w:t>
      </w:r>
      <w:r w:rsidRPr="00C95803">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rsidR="001F61BF" w:rsidRPr="00C95803" w:rsidRDefault="001F61BF" w:rsidP="00C95803">
      <w:pPr>
        <w:spacing w:line="360" w:lineRule="auto"/>
        <w:jc w:val="both"/>
        <w:rPr>
          <w:rFonts w:ascii="Palatino Linotype" w:hAnsi="Palatino Linotype"/>
        </w:rPr>
      </w:pPr>
    </w:p>
    <w:p w:rsidR="001025FA" w:rsidRPr="00C95803" w:rsidRDefault="00C95803" w:rsidP="00C95803">
      <w:pPr>
        <w:spacing w:before="240" w:after="240" w:line="360" w:lineRule="auto"/>
        <w:jc w:val="both"/>
        <w:rPr>
          <w:rFonts w:ascii="Palatino Linotype" w:hAnsi="Palatino Linotype" w:cs="Arial"/>
        </w:rPr>
      </w:pPr>
      <w:r>
        <w:rPr>
          <w:rFonts w:ascii="Palatino Linotype" w:eastAsia="Calibri" w:hAnsi="Palatino Linotype" w:cs="Arial"/>
          <w:b/>
          <w:noProof/>
          <w:lang w:val="es-MX"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52926</wp:posOffset>
                </wp:positionH>
                <wp:positionV relativeFrom="paragraph">
                  <wp:posOffset>2822271</wp:posOffset>
                </wp:positionV>
                <wp:extent cx="5486400" cy="4760844"/>
                <wp:effectExtent l="19050" t="19050" r="19050" b="20955"/>
                <wp:wrapNone/>
                <wp:docPr id="1" name="Conector recto 1"/>
                <wp:cNvGraphicFramePr/>
                <a:graphic xmlns:a="http://schemas.openxmlformats.org/drawingml/2006/main">
                  <a:graphicData uri="http://schemas.microsoft.com/office/word/2010/wordprocessingShape">
                    <wps:wsp>
                      <wps:cNvCnPr/>
                      <wps:spPr>
                        <a:xfrm flipH="1" flipV="1">
                          <a:off x="0" y="0"/>
                          <a:ext cx="5486400" cy="476084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EF197E"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4.15pt,222.25pt" to="436.15pt,5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" strokecolor="#5b9bd5 [3204]" strokeweight="3pt">
                <v:stroke joinstyle="miter"/>
              </v:line>
            </w:pict>
          </mc:Fallback>
        </mc:AlternateContent>
      </w:r>
      <w:r w:rsidR="00F77E6F" w:rsidRPr="00C95803">
        <w:rPr>
          <w:rFonts w:ascii="Palatino Linotype" w:eastAsia="Calibri" w:hAnsi="Palatino Linotype" w:cs="Arial"/>
          <w:b/>
          <w:lang w:val="es-ES" w:eastAsia="es-MX"/>
        </w:rPr>
        <w:t>DE LAS FORMALIDADES LEGALES DE LA CLASIFICACIÓN DE LA INFORMACIÓN.</w:t>
      </w:r>
      <w:r w:rsidR="00F77E6F" w:rsidRPr="00C95803">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00F77E6F" w:rsidRPr="00C95803">
        <w:rPr>
          <w:rFonts w:ascii="Palatino Linotype" w:eastAsia="Calibri" w:hAnsi="Palatino Linotype" w:cs="Arial"/>
          <w:bCs/>
          <w:lang w:val="es-MX" w:eastAsia="en-US"/>
        </w:rPr>
        <w:t xml:space="preserve"> VIII,</w:t>
      </w:r>
      <w:r w:rsidR="00F77E6F" w:rsidRPr="00C95803">
        <w:rPr>
          <w:rFonts w:ascii="Palatino Linotype" w:eastAsia="Calibri" w:hAnsi="Palatino Linotype" w:cs="Arial"/>
          <w:lang w:val="es-ES" w:eastAsia="es-MX"/>
        </w:rPr>
        <w:t xml:space="preserve"> 122, 135 </w:t>
      </w:r>
      <w:r w:rsidR="00F77E6F" w:rsidRPr="00C95803">
        <w:rPr>
          <w:rFonts w:ascii="Palatino Linotype" w:hAnsi="Palatino Linotype" w:cs="Arial"/>
        </w:rPr>
        <w:t>143 y 149, así como los establecido en los Lineamientos Generales en Materia de Clasificación</w:t>
      </w:r>
      <w:r w:rsidR="00F77E6F" w:rsidRPr="00C95803">
        <w:rPr>
          <w:rFonts w:ascii="Palatino Linotype" w:hAnsi="Palatino Linotype"/>
        </w:rPr>
        <w:t xml:space="preserve"> </w:t>
      </w:r>
      <w:r w:rsidR="00F77E6F" w:rsidRPr="00C95803">
        <w:rPr>
          <w:rFonts w:ascii="Palatino Linotype" w:hAnsi="Palatino Linotype" w:cs="Arial"/>
        </w:rPr>
        <w:t>y Desclasificación de la Información.</w:t>
      </w:r>
    </w:p>
    <w:p w:rsidR="00EA4970" w:rsidRPr="00C95803" w:rsidRDefault="00EA4970" w:rsidP="00C95803">
      <w:pPr>
        <w:spacing w:before="240" w:after="240" w:line="360" w:lineRule="auto"/>
        <w:jc w:val="both"/>
        <w:rPr>
          <w:rFonts w:ascii="Palatino Linotype" w:hAnsi="Palatino Linotype" w:cs="Arial"/>
        </w:rPr>
      </w:pPr>
    </w:p>
    <w:p w:rsidR="00EF4469" w:rsidRPr="00C95803" w:rsidRDefault="00EF4469" w:rsidP="00C95803">
      <w:pPr>
        <w:spacing w:before="240" w:after="240" w:line="360" w:lineRule="auto"/>
        <w:jc w:val="both"/>
        <w:rPr>
          <w:rFonts w:ascii="Palatino Linotype" w:hAnsi="Palatino Linotype" w:cs="Arial"/>
        </w:rPr>
      </w:pPr>
    </w:p>
    <w:p w:rsidR="00EF4469" w:rsidRPr="00C95803" w:rsidRDefault="00EF4469" w:rsidP="00C95803">
      <w:pPr>
        <w:spacing w:before="240" w:after="240" w:line="360" w:lineRule="auto"/>
        <w:jc w:val="both"/>
        <w:rPr>
          <w:rFonts w:ascii="Palatino Linotype" w:hAnsi="Palatino Linotype" w:cs="Arial"/>
        </w:rPr>
      </w:pPr>
    </w:p>
    <w:p w:rsidR="00E843FA" w:rsidRPr="00C95803" w:rsidRDefault="00E843FA" w:rsidP="00C95803">
      <w:pPr>
        <w:spacing w:before="240" w:after="240" w:line="360" w:lineRule="auto"/>
        <w:jc w:val="both"/>
        <w:rPr>
          <w:rFonts w:ascii="Palatino Linotype" w:hAnsi="Palatino Linotype" w:cs="Arial"/>
        </w:rPr>
      </w:pPr>
    </w:p>
    <w:p w:rsidR="00716862" w:rsidRPr="00C95803" w:rsidRDefault="00716862" w:rsidP="00C95803">
      <w:pPr>
        <w:spacing w:before="240" w:after="240" w:line="360" w:lineRule="auto"/>
        <w:jc w:val="both"/>
        <w:rPr>
          <w:rFonts w:ascii="Palatino Linotype" w:hAnsi="Palatino Linotype" w:cs="Arial"/>
        </w:rPr>
      </w:pPr>
    </w:p>
    <w:p w:rsidR="00A25CDE" w:rsidRPr="00C95803" w:rsidRDefault="00A25CDE" w:rsidP="00C95803">
      <w:pPr>
        <w:spacing w:before="240" w:after="240" w:line="360" w:lineRule="auto"/>
        <w:jc w:val="both"/>
        <w:rPr>
          <w:rFonts w:ascii="Palatino Linotype" w:hAnsi="Palatino Linotype" w:cs="Arial"/>
        </w:rPr>
      </w:pPr>
    </w:p>
    <w:p w:rsidR="00A25CDE" w:rsidRPr="00C95803" w:rsidRDefault="00A25CDE" w:rsidP="00C95803">
      <w:pPr>
        <w:spacing w:before="240" w:after="240" w:line="360" w:lineRule="auto"/>
        <w:jc w:val="both"/>
        <w:rPr>
          <w:rFonts w:ascii="Palatino Linotype" w:hAnsi="Palatino Linotype" w:cs="Arial"/>
        </w:rPr>
      </w:pPr>
    </w:p>
    <w:p w:rsidR="00E843FA" w:rsidRPr="00C95803" w:rsidRDefault="00E843FA" w:rsidP="00C95803">
      <w:pPr>
        <w:spacing w:before="240" w:after="240" w:line="360" w:lineRule="auto"/>
        <w:jc w:val="both"/>
        <w:rPr>
          <w:rFonts w:ascii="Palatino Linotype" w:hAnsi="Palatino Linotype" w:cs="Arial"/>
        </w:rPr>
      </w:pPr>
    </w:p>
    <w:p w:rsidR="002A5BA4" w:rsidRPr="00C95803" w:rsidRDefault="002A5BA4" w:rsidP="00C95803">
      <w:pPr>
        <w:spacing w:before="240" w:after="240" w:line="360" w:lineRule="auto"/>
        <w:jc w:val="center"/>
        <w:rPr>
          <w:rFonts w:ascii="Palatino Linotype" w:hAnsi="Palatino Linotype"/>
        </w:rPr>
      </w:pPr>
      <w:r w:rsidRPr="00C95803">
        <w:rPr>
          <w:rFonts w:ascii="Palatino Linotype" w:hAnsi="Palatino Linotype"/>
          <w:b/>
        </w:rPr>
        <w:lastRenderedPageBreak/>
        <w:t>Índice</w:t>
      </w:r>
      <w:r w:rsidRPr="00C95803">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C95803" w:rsidRDefault="002A5BA4" w:rsidP="00C95803">
          <w:pPr>
            <w:pStyle w:val="TtulodeTDC"/>
            <w:spacing w:line="360" w:lineRule="auto"/>
            <w:rPr>
              <w:sz w:val="22"/>
              <w:szCs w:val="24"/>
            </w:rPr>
          </w:pPr>
        </w:p>
        <w:p w:rsidR="00A25CDE" w:rsidRPr="00C95803" w:rsidRDefault="002A5BA4" w:rsidP="00C95803">
          <w:pPr>
            <w:pStyle w:val="TDC1"/>
            <w:tabs>
              <w:tab w:val="right" w:leader="dot" w:pos="8779"/>
            </w:tabs>
            <w:spacing w:line="360" w:lineRule="auto"/>
            <w:rPr>
              <w:rFonts w:ascii="Palatino Linotype" w:hAnsi="Palatino Linotype"/>
              <w:noProof/>
              <w:sz w:val="22"/>
              <w:lang w:val="es-MX" w:eastAsia="es-MX"/>
            </w:rPr>
          </w:pPr>
          <w:r w:rsidRPr="00C95803">
            <w:rPr>
              <w:rFonts w:ascii="Palatino Linotype" w:hAnsi="Palatino Linotype"/>
              <w:b/>
              <w:sz w:val="22"/>
            </w:rPr>
            <w:fldChar w:fldCharType="begin"/>
          </w:r>
          <w:r w:rsidRPr="00C95803">
            <w:rPr>
              <w:rFonts w:ascii="Palatino Linotype" w:hAnsi="Palatino Linotype"/>
              <w:b/>
              <w:sz w:val="22"/>
            </w:rPr>
            <w:instrText xml:space="preserve"> TOC \o "1-3" \h \z \u </w:instrText>
          </w:r>
          <w:r w:rsidRPr="00C95803">
            <w:rPr>
              <w:rFonts w:ascii="Palatino Linotype" w:hAnsi="Palatino Linotype"/>
              <w:b/>
              <w:sz w:val="22"/>
            </w:rPr>
            <w:fldChar w:fldCharType="separate"/>
          </w:r>
          <w:hyperlink w:anchor="_Toc23418061" w:history="1">
            <w:r w:rsidR="00A25CDE" w:rsidRPr="00C95803">
              <w:rPr>
                <w:rStyle w:val="Hipervnculo"/>
                <w:rFonts w:ascii="Palatino Linotype" w:hAnsi="Palatino Linotype"/>
                <w:noProof/>
                <w:sz w:val="22"/>
              </w:rPr>
              <w:t>ANTECEDENTES</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_Toc23418061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4</w:t>
            </w:r>
            <w:r w:rsidR="00A25CDE" w:rsidRPr="00C95803">
              <w:rPr>
                <w:rFonts w:ascii="Palatino Linotype" w:hAnsi="Palatino Linotype"/>
                <w:noProof/>
                <w:webHidden/>
                <w:sz w:val="22"/>
              </w:rPr>
              <w:fldChar w:fldCharType="end"/>
            </w:r>
          </w:hyperlink>
        </w:p>
        <w:p w:rsidR="00A25CDE" w:rsidRPr="00C95803" w:rsidRDefault="00EC5602" w:rsidP="00C95803">
          <w:pPr>
            <w:pStyle w:val="TDC1"/>
            <w:tabs>
              <w:tab w:val="right" w:leader="dot" w:pos="8779"/>
            </w:tabs>
            <w:spacing w:line="360" w:lineRule="auto"/>
            <w:rPr>
              <w:rFonts w:ascii="Palatino Linotype" w:hAnsi="Palatino Linotype"/>
              <w:noProof/>
              <w:sz w:val="22"/>
              <w:lang w:val="es-MX" w:eastAsia="es-MX"/>
            </w:rPr>
          </w:pPr>
          <w:hyperlink w:anchor="_Toc23418062" w:history="1">
            <w:r w:rsidR="00A25CDE" w:rsidRPr="00C95803">
              <w:rPr>
                <w:rStyle w:val="Hipervnculo"/>
                <w:rFonts w:ascii="Palatino Linotype" w:hAnsi="Palatino Linotype"/>
                <w:noProof/>
                <w:sz w:val="22"/>
              </w:rPr>
              <w:t>CONSIDERANDO</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_Toc23418062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7</w:t>
            </w:r>
            <w:r w:rsidR="00A25CDE" w:rsidRPr="00C95803">
              <w:rPr>
                <w:rFonts w:ascii="Palatino Linotype" w:hAnsi="Palatino Linotype"/>
                <w:noProof/>
                <w:webHidden/>
                <w:sz w:val="22"/>
              </w:rPr>
              <w:fldChar w:fldCharType="end"/>
            </w:r>
          </w:hyperlink>
        </w:p>
        <w:p w:rsidR="00A25CDE" w:rsidRPr="00C95803" w:rsidRDefault="00EC5602" w:rsidP="00C95803">
          <w:pPr>
            <w:pStyle w:val="TDC2"/>
            <w:spacing w:line="360" w:lineRule="auto"/>
            <w:ind w:left="0"/>
            <w:rPr>
              <w:rFonts w:ascii="Palatino Linotype" w:hAnsi="Palatino Linotype"/>
              <w:noProof/>
              <w:sz w:val="22"/>
              <w:lang w:val="es-MX" w:eastAsia="es-MX"/>
            </w:rPr>
          </w:pPr>
          <w:hyperlink w:anchor="_Toc23418063" w:history="1">
            <w:r w:rsidR="00A25CDE" w:rsidRPr="00C95803">
              <w:rPr>
                <w:rStyle w:val="Hipervnculo"/>
                <w:rFonts w:ascii="Palatino Linotype" w:hAnsi="Palatino Linotype"/>
                <w:b/>
                <w:noProof/>
                <w:sz w:val="22"/>
              </w:rPr>
              <w:t>PRIMERO. De la competencia</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_Toc23418063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7</w:t>
            </w:r>
            <w:r w:rsidR="00A25CDE" w:rsidRPr="00C95803">
              <w:rPr>
                <w:rFonts w:ascii="Palatino Linotype" w:hAnsi="Palatino Linotype"/>
                <w:noProof/>
                <w:webHidden/>
                <w:sz w:val="22"/>
              </w:rPr>
              <w:fldChar w:fldCharType="end"/>
            </w:r>
          </w:hyperlink>
        </w:p>
        <w:p w:rsidR="00A25CDE" w:rsidRPr="00C95803" w:rsidRDefault="00EC5602" w:rsidP="00C95803">
          <w:pPr>
            <w:pStyle w:val="TDC2"/>
            <w:spacing w:line="360" w:lineRule="auto"/>
            <w:ind w:left="0"/>
            <w:rPr>
              <w:rFonts w:ascii="Palatino Linotype" w:hAnsi="Palatino Linotype"/>
              <w:noProof/>
              <w:sz w:val="22"/>
              <w:lang w:val="es-MX" w:eastAsia="es-MX"/>
            </w:rPr>
          </w:pPr>
          <w:hyperlink w:anchor="_Toc23418064" w:history="1">
            <w:r w:rsidR="00A25CDE" w:rsidRPr="00C95803">
              <w:rPr>
                <w:rStyle w:val="Hipervnculo"/>
                <w:rFonts w:ascii="Palatino Linotype" w:hAnsi="Palatino Linotype"/>
                <w:b/>
                <w:noProof/>
                <w:sz w:val="22"/>
              </w:rPr>
              <w:t>SEGUNDO. De la oportunidad y procedencia.</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_Toc23418064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7</w:t>
            </w:r>
            <w:r w:rsidR="00A25CDE" w:rsidRPr="00C95803">
              <w:rPr>
                <w:rFonts w:ascii="Palatino Linotype" w:hAnsi="Palatino Linotype"/>
                <w:noProof/>
                <w:webHidden/>
                <w:sz w:val="22"/>
              </w:rPr>
              <w:fldChar w:fldCharType="end"/>
            </w:r>
          </w:hyperlink>
        </w:p>
        <w:p w:rsidR="00A25CDE" w:rsidRPr="00C95803" w:rsidRDefault="00EC5602" w:rsidP="00C95803">
          <w:pPr>
            <w:pStyle w:val="TDC1"/>
            <w:tabs>
              <w:tab w:val="right" w:leader="dot" w:pos="8779"/>
            </w:tabs>
            <w:spacing w:line="360" w:lineRule="auto"/>
            <w:rPr>
              <w:rFonts w:ascii="Palatino Linotype" w:hAnsi="Palatino Linotype"/>
              <w:noProof/>
              <w:sz w:val="22"/>
              <w:lang w:val="es-MX" w:eastAsia="es-MX"/>
            </w:rPr>
          </w:pPr>
          <w:hyperlink w:anchor="_Toc23418065" w:history="1">
            <w:r w:rsidR="00A25CDE" w:rsidRPr="00C95803">
              <w:rPr>
                <w:rStyle w:val="Hipervnculo"/>
                <w:rFonts w:ascii="Palatino Linotype" w:hAnsi="Palatino Linotype"/>
                <w:noProof/>
                <w:sz w:val="22"/>
                <w:lang w:eastAsia="es-MX"/>
              </w:rPr>
              <w:t>TERCERO. Planteamiento de la Litis</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_Toc23418065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11</w:t>
            </w:r>
            <w:r w:rsidR="00A25CDE" w:rsidRPr="00C95803">
              <w:rPr>
                <w:rFonts w:ascii="Palatino Linotype" w:hAnsi="Palatino Linotype"/>
                <w:noProof/>
                <w:webHidden/>
                <w:sz w:val="22"/>
              </w:rPr>
              <w:fldChar w:fldCharType="end"/>
            </w:r>
          </w:hyperlink>
        </w:p>
        <w:p w:rsidR="00A25CDE" w:rsidRPr="00C95803" w:rsidRDefault="00EC5602" w:rsidP="00C95803">
          <w:pPr>
            <w:pStyle w:val="TDC1"/>
            <w:tabs>
              <w:tab w:val="right" w:leader="dot" w:pos="8779"/>
            </w:tabs>
            <w:spacing w:line="360" w:lineRule="auto"/>
            <w:rPr>
              <w:rFonts w:ascii="Palatino Linotype" w:hAnsi="Palatino Linotype"/>
              <w:noProof/>
              <w:sz w:val="22"/>
              <w:lang w:val="es-MX" w:eastAsia="es-MX"/>
            </w:rPr>
          </w:pPr>
          <w:hyperlink w:anchor="_Toc23418066" w:history="1">
            <w:r w:rsidR="00A25CDE" w:rsidRPr="00C95803">
              <w:rPr>
                <w:rStyle w:val="Hipervnculo"/>
                <w:rFonts w:ascii="Palatino Linotype" w:hAnsi="Palatino Linotype"/>
                <w:noProof/>
                <w:sz w:val="22"/>
              </w:rPr>
              <w:t>CUARTO. Análisis y resolución del asunto</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_Toc23418066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12</w:t>
            </w:r>
            <w:r w:rsidR="00A25CDE" w:rsidRPr="00C95803">
              <w:rPr>
                <w:rFonts w:ascii="Palatino Linotype" w:hAnsi="Palatino Linotype"/>
                <w:noProof/>
                <w:webHidden/>
                <w:sz w:val="22"/>
              </w:rPr>
              <w:fldChar w:fldCharType="end"/>
            </w:r>
          </w:hyperlink>
        </w:p>
        <w:p w:rsidR="00A25CDE" w:rsidRPr="00C95803" w:rsidRDefault="00EC5602" w:rsidP="00C95803">
          <w:pPr>
            <w:pStyle w:val="TDC2"/>
            <w:spacing w:line="360" w:lineRule="auto"/>
            <w:ind w:left="0"/>
            <w:rPr>
              <w:rFonts w:ascii="Palatino Linotype" w:hAnsi="Palatino Linotype"/>
              <w:noProof/>
              <w:sz w:val="22"/>
              <w:lang w:val="es-MX" w:eastAsia="es-MX"/>
            </w:rPr>
          </w:pPr>
          <w:hyperlink w:anchor="_Toc23418067" w:history="1">
            <w:r w:rsidR="00A25CDE" w:rsidRPr="00C95803">
              <w:rPr>
                <w:rStyle w:val="Hipervnculo"/>
                <w:rFonts w:ascii="Palatino Linotype" w:hAnsi="Palatino Linotype"/>
                <w:b/>
                <w:noProof/>
                <w:sz w:val="22"/>
              </w:rPr>
              <w:t>A)</w:t>
            </w:r>
            <w:r w:rsidR="00A25CDE" w:rsidRPr="00C95803">
              <w:rPr>
                <w:rFonts w:ascii="Palatino Linotype" w:hAnsi="Palatino Linotype"/>
                <w:noProof/>
                <w:sz w:val="22"/>
                <w:lang w:val="es-MX" w:eastAsia="es-MX"/>
              </w:rPr>
              <w:tab/>
            </w:r>
            <w:r w:rsidR="00A25CDE" w:rsidRPr="00C95803">
              <w:rPr>
                <w:rStyle w:val="Hipervnculo"/>
                <w:rFonts w:ascii="Palatino Linotype" w:hAnsi="Palatino Linotype"/>
                <w:b/>
                <w:noProof/>
                <w:sz w:val="22"/>
              </w:rPr>
              <w:t>La omisión de atender una solicitud de acceso a la información.</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_Toc23418067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12</w:t>
            </w:r>
            <w:r w:rsidR="00A25CDE" w:rsidRPr="00C95803">
              <w:rPr>
                <w:rFonts w:ascii="Palatino Linotype" w:hAnsi="Palatino Linotype"/>
                <w:noProof/>
                <w:webHidden/>
                <w:sz w:val="22"/>
              </w:rPr>
              <w:fldChar w:fldCharType="end"/>
            </w:r>
          </w:hyperlink>
        </w:p>
        <w:p w:rsidR="00A25CDE" w:rsidRPr="00C95803" w:rsidRDefault="00EC5602" w:rsidP="00C95803">
          <w:pPr>
            <w:pStyle w:val="TDC2"/>
            <w:spacing w:line="360" w:lineRule="auto"/>
            <w:ind w:left="0"/>
            <w:rPr>
              <w:rFonts w:ascii="Palatino Linotype" w:hAnsi="Palatino Linotype"/>
              <w:noProof/>
              <w:sz w:val="22"/>
              <w:lang w:val="es-MX" w:eastAsia="es-MX"/>
            </w:rPr>
          </w:pPr>
          <w:hyperlink w:anchor="_Toc23418068" w:history="1">
            <w:r w:rsidR="00A25CDE" w:rsidRPr="00C95803">
              <w:rPr>
                <w:rStyle w:val="Hipervnculo"/>
                <w:rFonts w:ascii="Palatino Linotype" w:hAnsi="Palatino Linotype"/>
                <w:b/>
                <w:noProof/>
                <w:sz w:val="22"/>
              </w:rPr>
              <w:t>B)</w:t>
            </w:r>
            <w:r w:rsidR="00A25CDE" w:rsidRPr="00C95803">
              <w:rPr>
                <w:rFonts w:ascii="Palatino Linotype" w:hAnsi="Palatino Linotype"/>
                <w:noProof/>
                <w:sz w:val="22"/>
                <w:lang w:val="es-MX" w:eastAsia="es-MX"/>
              </w:rPr>
              <w:tab/>
            </w:r>
            <w:r w:rsidR="00A25CDE" w:rsidRPr="00C95803">
              <w:rPr>
                <w:rStyle w:val="Hipervnculo"/>
                <w:rFonts w:ascii="Palatino Linotype" w:hAnsi="Palatino Linotype"/>
                <w:b/>
                <w:noProof/>
                <w:sz w:val="22"/>
              </w:rPr>
              <w:t>Fuente Obligacional.</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_Toc23418068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17</w:t>
            </w:r>
            <w:r w:rsidR="00A25CDE" w:rsidRPr="00C95803">
              <w:rPr>
                <w:rFonts w:ascii="Palatino Linotype" w:hAnsi="Palatino Linotype"/>
                <w:noProof/>
                <w:webHidden/>
                <w:sz w:val="22"/>
              </w:rPr>
              <w:fldChar w:fldCharType="end"/>
            </w:r>
          </w:hyperlink>
        </w:p>
        <w:p w:rsidR="00A25CDE" w:rsidRPr="00C95803" w:rsidRDefault="00EC5602" w:rsidP="00C95803">
          <w:pPr>
            <w:pStyle w:val="TDC3"/>
            <w:tabs>
              <w:tab w:val="left" w:pos="880"/>
              <w:tab w:val="right" w:leader="dot" w:pos="8779"/>
            </w:tabs>
            <w:spacing w:line="360" w:lineRule="auto"/>
            <w:ind w:left="0"/>
            <w:rPr>
              <w:rFonts w:ascii="Palatino Linotype" w:hAnsi="Palatino Linotype"/>
              <w:noProof/>
              <w:sz w:val="22"/>
              <w:lang w:val="es-MX" w:eastAsia="es-MX"/>
            </w:rPr>
          </w:pPr>
          <w:hyperlink w:anchor="_Toc23418069" w:history="1">
            <w:r w:rsidR="00A25CDE" w:rsidRPr="00C95803">
              <w:rPr>
                <w:rStyle w:val="Hipervnculo"/>
                <w:rFonts w:ascii="Palatino Linotype" w:hAnsi="Palatino Linotype"/>
                <w:b/>
                <w:noProof/>
                <w:sz w:val="22"/>
              </w:rPr>
              <w:t>I.</w:t>
            </w:r>
            <w:r w:rsidR="00A25CDE" w:rsidRPr="00C95803">
              <w:rPr>
                <w:rFonts w:ascii="Palatino Linotype" w:hAnsi="Palatino Linotype"/>
                <w:noProof/>
                <w:sz w:val="22"/>
                <w:lang w:val="es-MX" w:eastAsia="es-MX"/>
              </w:rPr>
              <w:tab/>
            </w:r>
            <w:r w:rsidR="00A25CDE" w:rsidRPr="00C95803">
              <w:rPr>
                <w:rStyle w:val="Hipervnculo"/>
                <w:rFonts w:ascii="Palatino Linotype" w:hAnsi="Palatino Linotype"/>
                <w:b/>
                <w:noProof/>
                <w:sz w:val="22"/>
              </w:rPr>
              <w:t>De la obligación de transparencia.</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_Toc23418069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17</w:t>
            </w:r>
            <w:r w:rsidR="00A25CDE" w:rsidRPr="00C95803">
              <w:rPr>
                <w:rFonts w:ascii="Palatino Linotype" w:hAnsi="Palatino Linotype"/>
                <w:noProof/>
                <w:webHidden/>
                <w:sz w:val="22"/>
              </w:rPr>
              <w:fldChar w:fldCharType="end"/>
            </w:r>
          </w:hyperlink>
        </w:p>
        <w:p w:rsidR="00A25CDE" w:rsidRPr="00C95803" w:rsidRDefault="00EC5602" w:rsidP="00C95803">
          <w:pPr>
            <w:pStyle w:val="TDC3"/>
            <w:tabs>
              <w:tab w:val="right" w:leader="dot" w:pos="8779"/>
            </w:tabs>
            <w:spacing w:line="360" w:lineRule="auto"/>
            <w:ind w:left="0"/>
            <w:rPr>
              <w:rFonts w:ascii="Palatino Linotype" w:hAnsi="Palatino Linotype"/>
              <w:noProof/>
              <w:sz w:val="22"/>
              <w:lang w:val="es-MX" w:eastAsia="es-MX"/>
            </w:rPr>
          </w:pPr>
          <w:hyperlink w:anchor="_Toc23418070" w:history="1">
            <w:r w:rsidR="00A25CDE" w:rsidRPr="00C95803">
              <w:rPr>
                <w:rStyle w:val="Hipervnculo"/>
                <w:rFonts w:ascii="Palatino Linotype" w:hAnsi="Palatino Linotype"/>
                <w:b/>
                <w:noProof/>
                <w:sz w:val="22"/>
              </w:rPr>
              <w:t>II. De la suplencia a la deficiencia de la queja</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_Toc23418070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23</w:t>
            </w:r>
            <w:r w:rsidR="00A25CDE" w:rsidRPr="00C95803">
              <w:rPr>
                <w:rFonts w:ascii="Palatino Linotype" w:hAnsi="Palatino Linotype"/>
                <w:noProof/>
                <w:webHidden/>
                <w:sz w:val="22"/>
              </w:rPr>
              <w:fldChar w:fldCharType="end"/>
            </w:r>
          </w:hyperlink>
        </w:p>
        <w:p w:rsidR="00A25CDE" w:rsidRPr="00C95803" w:rsidRDefault="00EC5602" w:rsidP="00C95803">
          <w:pPr>
            <w:pStyle w:val="TDC3"/>
            <w:tabs>
              <w:tab w:val="right" w:leader="dot" w:pos="8779"/>
            </w:tabs>
            <w:spacing w:line="360" w:lineRule="auto"/>
            <w:ind w:left="0"/>
            <w:rPr>
              <w:rFonts w:ascii="Palatino Linotype" w:hAnsi="Palatino Linotype"/>
              <w:noProof/>
              <w:sz w:val="22"/>
              <w:lang w:val="es-MX" w:eastAsia="es-MX"/>
            </w:rPr>
          </w:pPr>
          <w:hyperlink w:anchor="_Toc23418071" w:history="1">
            <w:r w:rsidR="00A25CDE" w:rsidRPr="00C95803">
              <w:rPr>
                <w:rStyle w:val="Hipervnculo"/>
                <w:rFonts w:ascii="Palatino Linotype" w:hAnsi="Palatino Linotype"/>
                <w:b/>
                <w:noProof/>
                <w:sz w:val="22"/>
              </w:rPr>
              <w:t>III.  De los Programas de Seguridad Pública.</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_Toc23418071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25</w:t>
            </w:r>
            <w:r w:rsidR="00A25CDE" w:rsidRPr="00C95803">
              <w:rPr>
                <w:rFonts w:ascii="Palatino Linotype" w:hAnsi="Palatino Linotype"/>
                <w:noProof/>
                <w:webHidden/>
                <w:sz w:val="22"/>
              </w:rPr>
              <w:fldChar w:fldCharType="end"/>
            </w:r>
          </w:hyperlink>
        </w:p>
        <w:p w:rsidR="00A25CDE" w:rsidRPr="00C95803" w:rsidRDefault="00EC5602" w:rsidP="00C95803">
          <w:pPr>
            <w:pStyle w:val="TDC1"/>
            <w:tabs>
              <w:tab w:val="right" w:leader="dot" w:pos="8779"/>
            </w:tabs>
            <w:spacing w:line="360" w:lineRule="auto"/>
            <w:rPr>
              <w:rFonts w:ascii="Palatino Linotype" w:hAnsi="Palatino Linotype"/>
              <w:noProof/>
              <w:sz w:val="22"/>
              <w:lang w:val="es-MX" w:eastAsia="es-MX"/>
            </w:rPr>
          </w:pPr>
          <w:hyperlink w:anchor="_Toc23418072" w:history="1">
            <w:r w:rsidR="00A25CDE" w:rsidRPr="00C95803">
              <w:rPr>
                <w:rStyle w:val="Hipervnculo"/>
                <w:rFonts w:ascii="Palatino Linotype" w:hAnsi="Palatino Linotype"/>
                <w:noProof/>
                <w:sz w:val="22"/>
              </w:rPr>
              <w:t>QUINTO. De la Versión Pública</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_Toc23418072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43</w:t>
            </w:r>
            <w:r w:rsidR="00A25CDE" w:rsidRPr="00C95803">
              <w:rPr>
                <w:rFonts w:ascii="Palatino Linotype" w:hAnsi="Palatino Linotype"/>
                <w:noProof/>
                <w:webHidden/>
                <w:sz w:val="22"/>
              </w:rPr>
              <w:fldChar w:fldCharType="end"/>
            </w:r>
          </w:hyperlink>
        </w:p>
        <w:p w:rsidR="00A25CDE" w:rsidRPr="00C95803" w:rsidRDefault="00EC5602" w:rsidP="00C95803">
          <w:pPr>
            <w:pStyle w:val="TDC3"/>
            <w:tabs>
              <w:tab w:val="left" w:pos="1100"/>
              <w:tab w:val="right" w:leader="dot" w:pos="8779"/>
            </w:tabs>
            <w:spacing w:line="360" w:lineRule="auto"/>
            <w:ind w:left="0"/>
            <w:rPr>
              <w:rFonts w:ascii="Palatino Linotype" w:hAnsi="Palatino Linotype"/>
              <w:noProof/>
              <w:sz w:val="22"/>
              <w:lang w:val="es-MX" w:eastAsia="es-MX"/>
            </w:rPr>
          </w:pPr>
          <w:hyperlink w:anchor="_Toc23418073" w:history="1">
            <w:r w:rsidR="00A25CDE" w:rsidRPr="00C95803">
              <w:rPr>
                <w:rStyle w:val="Hipervnculo"/>
                <w:rFonts w:ascii="Palatino Linotype" w:hAnsi="Palatino Linotype"/>
                <w:b/>
                <w:noProof/>
                <w:sz w:val="22"/>
              </w:rPr>
              <w:t>a.</w:t>
            </w:r>
            <w:r w:rsidR="00A25CDE" w:rsidRPr="00C95803">
              <w:rPr>
                <w:rFonts w:ascii="Palatino Linotype" w:hAnsi="Palatino Linotype"/>
                <w:noProof/>
                <w:sz w:val="22"/>
                <w:lang w:val="es-MX" w:eastAsia="es-MX"/>
              </w:rPr>
              <w:tab/>
            </w:r>
            <w:r w:rsidR="00A25CDE" w:rsidRPr="00C95803">
              <w:rPr>
                <w:rStyle w:val="Hipervnculo"/>
                <w:rFonts w:ascii="Palatino Linotype" w:hAnsi="Palatino Linotype"/>
                <w:b/>
                <w:noProof/>
                <w:sz w:val="22"/>
              </w:rPr>
              <w:t>Requisitos previos.</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_Toc23418073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43</w:t>
            </w:r>
            <w:r w:rsidR="00A25CDE" w:rsidRPr="00C95803">
              <w:rPr>
                <w:rFonts w:ascii="Palatino Linotype" w:hAnsi="Palatino Linotype"/>
                <w:noProof/>
                <w:webHidden/>
                <w:sz w:val="22"/>
              </w:rPr>
              <w:fldChar w:fldCharType="end"/>
            </w:r>
          </w:hyperlink>
        </w:p>
        <w:p w:rsidR="00A25CDE" w:rsidRPr="00C95803" w:rsidRDefault="00EC5602" w:rsidP="00C95803">
          <w:pPr>
            <w:pStyle w:val="TDC3"/>
            <w:tabs>
              <w:tab w:val="left" w:pos="1100"/>
              <w:tab w:val="right" w:leader="dot" w:pos="8779"/>
            </w:tabs>
            <w:spacing w:line="360" w:lineRule="auto"/>
            <w:ind w:left="0"/>
            <w:rPr>
              <w:rFonts w:ascii="Palatino Linotype" w:hAnsi="Palatino Linotype"/>
              <w:noProof/>
              <w:sz w:val="22"/>
              <w:lang w:val="es-MX" w:eastAsia="es-MX"/>
            </w:rPr>
          </w:pPr>
          <w:hyperlink w:anchor="_Toc23418074" w:history="1">
            <w:r w:rsidR="00A25CDE" w:rsidRPr="00C95803">
              <w:rPr>
                <w:rStyle w:val="Hipervnculo"/>
                <w:rFonts w:ascii="Palatino Linotype" w:hAnsi="Palatino Linotype"/>
                <w:b/>
                <w:noProof/>
                <w:sz w:val="22"/>
              </w:rPr>
              <w:t>b.</w:t>
            </w:r>
            <w:r w:rsidR="00A25CDE" w:rsidRPr="00C95803">
              <w:rPr>
                <w:rFonts w:ascii="Palatino Linotype" w:hAnsi="Palatino Linotype"/>
                <w:noProof/>
                <w:sz w:val="22"/>
                <w:lang w:val="es-MX" w:eastAsia="es-MX"/>
              </w:rPr>
              <w:tab/>
            </w:r>
            <w:r w:rsidR="00A25CDE" w:rsidRPr="00C95803">
              <w:rPr>
                <w:rStyle w:val="Hipervnculo"/>
                <w:rFonts w:ascii="Palatino Linotype" w:hAnsi="Palatino Linotype"/>
                <w:b/>
                <w:noProof/>
                <w:sz w:val="22"/>
              </w:rPr>
              <w:t>Supuesto de clasificación.</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_Toc23418074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44</w:t>
            </w:r>
            <w:r w:rsidR="00A25CDE" w:rsidRPr="00C95803">
              <w:rPr>
                <w:rFonts w:ascii="Palatino Linotype" w:hAnsi="Palatino Linotype"/>
                <w:noProof/>
                <w:webHidden/>
                <w:sz w:val="22"/>
              </w:rPr>
              <w:fldChar w:fldCharType="end"/>
            </w:r>
          </w:hyperlink>
        </w:p>
        <w:p w:rsidR="00A25CDE" w:rsidRPr="00C95803" w:rsidRDefault="00EC5602" w:rsidP="00C95803">
          <w:pPr>
            <w:pStyle w:val="TDC3"/>
            <w:tabs>
              <w:tab w:val="left" w:pos="880"/>
              <w:tab w:val="right" w:leader="dot" w:pos="8779"/>
            </w:tabs>
            <w:spacing w:line="360" w:lineRule="auto"/>
            <w:ind w:left="0"/>
            <w:rPr>
              <w:rFonts w:ascii="Palatino Linotype" w:hAnsi="Palatino Linotype"/>
              <w:noProof/>
              <w:sz w:val="22"/>
              <w:lang w:val="es-MX" w:eastAsia="es-MX"/>
            </w:rPr>
          </w:pPr>
          <w:hyperlink w:anchor="_Toc23418075" w:history="1">
            <w:r w:rsidR="00A25CDE" w:rsidRPr="00C95803">
              <w:rPr>
                <w:rStyle w:val="Hipervnculo"/>
                <w:rFonts w:ascii="Palatino Linotype" w:hAnsi="Palatino Linotype"/>
                <w:b/>
                <w:noProof/>
                <w:sz w:val="22"/>
              </w:rPr>
              <w:t>c.</w:t>
            </w:r>
            <w:r w:rsidR="00A25CDE" w:rsidRPr="00C95803">
              <w:rPr>
                <w:rFonts w:ascii="Palatino Linotype" w:hAnsi="Palatino Linotype"/>
                <w:noProof/>
                <w:sz w:val="22"/>
                <w:lang w:val="es-MX" w:eastAsia="es-MX"/>
              </w:rPr>
              <w:tab/>
            </w:r>
            <w:r w:rsidR="00A25CDE" w:rsidRPr="00C95803">
              <w:rPr>
                <w:rStyle w:val="Hipervnculo"/>
                <w:rFonts w:ascii="Palatino Linotype" w:hAnsi="Palatino Linotype"/>
                <w:b/>
                <w:noProof/>
                <w:sz w:val="22"/>
              </w:rPr>
              <w:t>La intervención del Comité de Transparencia.</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_Toc23418075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47</w:t>
            </w:r>
            <w:r w:rsidR="00A25CDE" w:rsidRPr="00C95803">
              <w:rPr>
                <w:rFonts w:ascii="Palatino Linotype" w:hAnsi="Palatino Linotype"/>
                <w:noProof/>
                <w:webHidden/>
                <w:sz w:val="22"/>
              </w:rPr>
              <w:fldChar w:fldCharType="end"/>
            </w:r>
          </w:hyperlink>
        </w:p>
        <w:p w:rsidR="00A25CDE" w:rsidRPr="00C95803" w:rsidRDefault="00EC5602" w:rsidP="00C95803">
          <w:pPr>
            <w:pStyle w:val="TDC1"/>
            <w:tabs>
              <w:tab w:val="right" w:leader="dot" w:pos="8779"/>
            </w:tabs>
            <w:spacing w:line="360" w:lineRule="auto"/>
            <w:rPr>
              <w:rFonts w:ascii="Palatino Linotype" w:hAnsi="Palatino Linotype"/>
              <w:noProof/>
              <w:sz w:val="22"/>
              <w:lang w:val="es-MX" w:eastAsia="es-MX"/>
            </w:rPr>
          </w:pPr>
          <w:hyperlink w:anchor="_Toc23418076" w:history="1">
            <w:r w:rsidR="00A25CDE" w:rsidRPr="00C95803">
              <w:rPr>
                <w:rStyle w:val="Hipervnculo"/>
                <w:rFonts w:ascii="Palatino Linotype" w:hAnsi="Palatino Linotype"/>
                <w:noProof/>
                <w:sz w:val="22"/>
              </w:rPr>
              <w:t>SEXTO. Vista a los órganos de control interno</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_Toc23418076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53</w:t>
            </w:r>
            <w:r w:rsidR="00A25CDE" w:rsidRPr="00C95803">
              <w:rPr>
                <w:rFonts w:ascii="Palatino Linotype" w:hAnsi="Palatino Linotype"/>
                <w:noProof/>
                <w:webHidden/>
                <w:sz w:val="22"/>
              </w:rPr>
              <w:fldChar w:fldCharType="end"/>
            </w:r>
          </w:hyperlink>
        </w:p>
        <w:p w:rsidR="00A25CDE" w:rsidRPr="00C95803" w:rsidRDefault="00EC5602" w:rsidP="00C95803">
          <w:pPr>
            <w:pStyle w:val="TDC1"/>
            <w:tabs>
              <w:tab w:val="right" w:leader="dot" w:pos="8779"/>
            </w:tabs>
            <w:spacing w:line="360" w:lineRule="auto"/>
            <w:rPr>
              <w:rFonts w:ascii="Palatino Linotype" w:hAnsi="Palatino Linotype"/>
              <w:noProof/>
              <w:sz w:val="22"/>
              <w:lang w:val="es-MX" w:eastAsia="es-MX"/>
            </w:rPr>
          </w:pPr>
          <w:hyperlink w:anchor="_Toc23418077" w:history="1">
            <w:r w:rsidR="00A25CDE" w:rsidRPr="00C95803">
              <w:rPr>
                <w:rStyle w:val="Hipervnculo"/>
                <w:rFonts w:ascii="Palatino Linotype" w:eastAsia="Times New Roman" w:hAnsi="Palatino Linotype" w:cstheme="majorBidi"/>
                <w:b/>
                <w:bCs/>
                <w:noProof/>
                <w:sz w:val="22"/>
              </w:rPr>
              <w:t>R E S O L U T I V O S</w:t>
            </w:r>
            <w:r w:rsidR="00A25CDE" w:rsidRPr="00C95803">
              <w:rPr>
                <w:rFonts w:ascii="Palatino Linotype" w:hAnsi="Palatino Linotype"/>
                <w:noProof/>
                <w:webHidden/>
                <w:sz w:val="22"/>
              </w:rPr>
              <w:tab/>
            </w:r>
            <w:r w:rsidR="00A25CDE" w:rsidRPr="00C95803">
              <w:rPr>
                <w:rFonts w:ascii="Palatino Linotype" w:hAnsi="Palatino Linotype"/>
                <w:noProof/>
                <w:webHidden/>
                <w:sz w:val="22"/>
              </w:rPr>
              <w:fldChar w:fldCharType="begin"/>
            </w:r>
            <w:r w:rsidR="00A25CDE" w:rsidRPr="00C95803">
              <w:rPr>
                <w:rFonts w:ascii="Palatino Linotype" w:hAnsi="Palatino Linotype"/>
                <w:noProof/>
                <w:webHidden/>
                <w:sz w:val="22"/>
              </w:rPr>
              <w:instrText xml:space="preserve"> PAGEREF _Toc23418077 \h </w:instrText>
            </w:r>
            <w:r w:rsidR="00A25CDE" w:rsidRPr="00C95803">
              <w:rPr>
                <w:rFonts w:ascii="Palatino Linotype" w:hAnsi="Palatino Linotype"/>
                <w:noProof/>
                <w:webHidden/>
                <w:sz w:val="22"/>
              </w:rPr>
            </w:r>
            <w:r w:rsidR="00A25CDE" w:rsidRPr="00C95803">
              <w:rPr>
                <w:rFonts w:ascii="Palatino Linotype" w:hAnsi="Palatino Linotype"/>
                <w:noProof/>
                <w:webHidden/>
                <w:sz w:val="22"/>
              </w:rPr>
              <w:fldChar w:fldCharType="separate"/>
            </w:r>
            <w:r w:rsidR="00A25CDE" w:rsidRPr="00C95803">
              <w:rPr>
                <w:rFonts w:ascii="Palatino Linotype" w:hAnsi="Palatino Linotype"/>
                <w:noProof/>
                <w:webHidden/>
                <w:sz w:val="22"/>
              </w:rPr>
              <w:t>55</w:t>
            </w:r>
            <w:r w:rsidR="00A25CDE" w:rsidRPr="00C95803">
              <w:rPr>
                <w:rFonts w:ascii="Palatino Linotype" w:hAnsi="Palatino Linotype"/>
                <w:noProof/>
                <w:webHidden/>
                <w:sz w:val="22"/>
              </w:rPr>
              <w:fldChar w:fldCharType="end"/>
            </w:r>
          </w:hyperlink>
        </w:p>
        <w:p w:rsidR="00C95803" w:rsidRDefault="002A5BA4" w:rsidP="00C95803">
          <w:pPr>
            <w:spacing w:line="360" w:lineRule="auto"/>
            <w:rPr>
              <w:rFonts w:ascii="Palatino Linotype" w:hAnsi="Palatino Linotype"/>
              <w:bCs/>
              <w:lang w:val="es-ES"/>
            </w:rPr>
          </w:pPr>
          <w:r w:rsidRPr="00C95803">
            <w:rPr>
              <w:rFonts w:ascii="Palatino Linotype" w:hAnsi="Palatino Linotype"/>
              <w:b/>
              <w:bCs/>
              <w:sz w:val="22"/>
              <w:lang w:val="es-ES"/>
            </w:rPr>
            <w:lastRenderedPageBreak/>
            <w:fldChar w:fldCharType="end"/>
          </w:r>
        </w:p>
      </w:sdtContent>
    </w:sdt>
    <w:p w:rsidR="002A5BA4" w:rsidRPr="00C95803" w:rsidRDefault="002A5BA4" w:rsidP="00C95803">
      <w:pPr>
        <w:spacing w:line="360" w:lineRule="auto"/>
        <w:jc w:val="both"/>
        <w:rPr>
          <w:rFonts w:ascii="Palatino Linotype" w:hAnsi="Palatino Linotype"/>
        </w:rPr>
      </w:pPr>
      <w:r w:rsidRPr="00C95803">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FA5A1C" w:rsidRPr="00C95803">
        <w:rPr>
          <w:rFonts w:ascii="Palatino Linotype" w:hAnsi="Palatino Linotype"/>
        </w:rPr>
        <w:t xml:space="preserve"> </w:t>
      </w:r>
      <w:r w:rsidR="00716862" w:rsidRPr="00C95803">
        <w:rPr>
          <w:rFonts w:ascii="Palatino Linotype" w:hAnsi="Palatino Linotype"/>
        </w:rPr>
        <w:t>seis</w:t>
      </w:r>
      <w:r w:rsidRPr="00C95803">
        <w:rPr>
          <w:rFonts w:ascii="Palatino Linotype" w:hAnsi="Palatino Linotype"/>
        </w:rPr>
        <w:t xml:space="preserve"> </w:t>
      </w:r>
      <w:r w:rsidR="00B024CD" w:rsidRPr="00C95803">
        <w:rPr>
          <w:rFonts w:ascii="Palatino Linotype" w:hAnsi="Palatino Linotype"/>
        </w:rPr>
        <w:t>(</w:t>
      </w:r>
      <w:r w:rsidR="00C95803">
        <w:rPr>
          <w:rFonts w:ascii="Palatino Linotype" w:hAnsi="Palatino Linotype"/>
        </w:rPr>
        <w:t>0</w:t>
      </w:r>
      <w:r w:rsidR="00716862" w:rsidRPr="00C95803">
        <w:rPr>
          <w:rFonts w:ascii="Palatino Linotype" w:hAnsi="Palatino Linotype"/>
        </w:rPr>
        <w:t>6</w:t>
      </w:r>
      <w:r w:rsidR="009F1491" w:rsidRPr="00C95803">
        <w:rPr>
          <w:rFonts w:ascii="Palatino Linotype" w:hAnsi="Palatino Linotype"/>
        </w:rPr>
        <w:t>)</w:t>
      </w:r>
      <w:r w:rsidRPr="00C95803">
        <w:rPr>
          <w:rFonts w:ascii="Palatino Linotype" w:hAnsi="Palatino Linotype"/>
        </w:rPr>
        <w:t xml:space="preserve"> de </w:t>
      </w:r>
      <w:r w:rsidR="00716862" w:rsidRPr="00C95803">
        <w:rPr>
          <w:rFonts w:ascii="Palatino Linotype" w:hAnsi="Palatino Linotype"/>
        </w:rPr>
        <w:t>noviembre</w:t>
      </w:r>
      <w:r w:rsidRPr="00C95803">
        <w:rPr>
          <w:rFonts w:ascii="Palatino Linotype" w:hAnsi="Palatino Linotype"/>
        </w:rPr>
        <w:t xml:space="preserve"> de dos mil </w:t>
      </w:r>
      <w:r w:rsidR="00BA76D6" w:rsidRPr="00C95803">
        <w:rPr>
          <w:rFonts w:ascii="Palatino Linotype" w:eastAsia="Calibri" w:hAnsi="Palatino Linotype" w:cs="Arial"/>
          <w:lang w:val="es-ES"/>
        </w:rPr>
        <w:t>diecinueve</w:t>
      </w:r>
      <w:r w:rsidR="000404FD" w:rsidRPr="00C95803">
        <w:rPr>
          <w:rFonts w:ascii="Palatino Linotype" w:hAnsi="Palatino Linotype"/>
        </w:rPr>
        <w:t>.</w:t>
      </w:r>
    </w:p>
    <w:p w:rsidR="002A5BA4" w:rsidRPr="00C95803" w:rsidRDefault="002A5BA4" w:rsidP="00C95803">
      <w:pPr>
        <w:spacing w:before="240" w:after="360" w:line="360" w:lineRule="auto"/>
        <w:jc w:val="both"/>
        <w:rPr>
          <w:rFonts w:ascii="Palatino Linotype" w:hAnsi="Palatino Linotype"/>
        </w:rPr>
      </w:pPr>
      <w:r w:rsidRPr="00C95803">
        <w:rPr>
          <w:rFonts w:ascii="Palatino Linotype" w:hAnsi="Palatino Linotype"/>
          <w:b/>
        </w:rPr>
        <w:t>VISTO</w:t>
      </w:r>
      <w:r w:rsidRPr="00C95803">
        <w:rPr>
          <w:rFonts w:ascii="Palatino Linotype" w:hAnsi="Palatino Linotype"/>
        </w:rPr>
        <w:t xml:space="preserve"> </w:t>
      </w:r>
      <w:r w:rsidR="00DA3B9E" w:rsidRPr="00C95803">
        <w:rPr>
          <w:rFonts w:ascii="Palatino Linotype" w:hAnsi="Palatino Linotype"/>
        </w:rPr>
        <w:t>el</w:t>
      </w:r>
      <w:r w:rsidRPr="00C95803">
        <w:rPr>
          <w:rFonts w:ascii="Palatino Linotype" w:hAnsi="Palatino Linotype"/>
        </w:rPr>
        <w:t xml:space="preserve"> expediente electrónico formado con motivo del recurso de revisión </w:t>
      </w:r>
      <w:r w:rsidR="004A1F40" w:rsidRPr="00C95803">
        <w:rPr>
          <w:rFonts w:ascii="Palatino Linotype" w:hAnsi="Palatino Linotype" w:cs="Arial"/>
          <w:b/>
          <w:bCs/>
        </w:rPr>
        <w:t>069</w:t>
      </w:r>
      <w:r w:rsidR="00084D8C" w:rsidRPr="00C95803">
        <w:rPr>
          <w:rFonts w:ascii="Palatino Linotype" w:hAnsi="Palatino Linotype" w:cs="Arial"/>
          <w:b/>
          <w:bCs/>
        </w:rPr>
        <w:t>83</w:t>
      </w:r>
      <w:r w:rsidR="000404FD" w:rsidRPr="00C95803">
        <w:rPr>
          <w:rFonts w:ascii="Palatino Linotype" w:hAnsi="Palatino Linotype" w:cs="Arial"/>
          <w:b/>
          <w:bCs/>
        </w:rPr>
        <w:t>/INFOEM/IP/RR/201</w:t>
      </w:r>
      <w:r w:rsidR="00092CD4" w:rsidRPr="00C95803">
        <w:rPr>
          <w:rFonts w:ascii="Palatino Linotype" w:hAnsi="Palatino Linotype" w:cs="Arial"/>
          <w:b/>
          <w:bCs/>
        </w:rPr>
        <w:t>9</w:t>
      </w:r>
      <w:r w:rsidR="00170DEE" w:rsidRPr="00C95803">
        <w:rPr>
          <w:rFonts w:ascii="Palatino Linotype" w:hAnsi="Palatino Linotype" w:cs="Arial"/>
          <w:b/>
          <w:bCs/>
        </w:rPr>
        <w:t xml:space="preserve"> </w:t>
      </w:r>
      <w:r w:rsidR="00A1302E" w:rsidRPr="00C95803">
        <w:rPr>
          <w:rFonts w:ascii="Palatino Linotype" w:hAnsi="Palatino Linotype"/>
        </w:rPr>
        <w:t xml:space="preserve">promovido </w:t>
      </w:r>
      <w:r w:rsidR="00E843FA" w:rsidRPr="00C95803">
        <w:rPr>
          <w:rFonts w:ascii="Palatino Linotype" w:hAnsi="Palatino Linotype"/>
        </w:rPr>
        <w:t xml:space="preserve">por </w:t>
      </w:r>
      <w:r w:rsidR="000C49D0" w:rsidRPr="000C49D0">
        <w:rPr>
          <w:rFonts w:ascii="Palatino Linotype" w:hAnsi="Palatino Linotype"/>
          <w:b/>
          <w:highlight w:val="black"/>
        </w:rPr>
        <w:t>------------------------</w:t>
      </w:r>
      <w:r w:rsidR="00E843FA" w:rsidRPr="00C95803">
        <w:rPr>
          <w:rFonts w:ascii="Palatino Linotype" w:hAnsi="Palatino Linotype"/>
          <w:b/>
        </w:rPr>
        <w:t xml:space="preserve"> </w:t>
      </w:r>
      <w:r w:rsidR="00A1302E" w:rsidRPr="00C95803">
        <w:rPr>
          <w:rFonts w:ascii="Palatino Linotype" w:hAnsi="Palatino Linotype"/>
        </w:rPr>
        <w:t xml:space="preserve">en su calidad de </w:t>
      </w:r>
      <w:r w:rsidR="00A1302E" w:rsidRPr="00C95803">
        <w:rPr>
          <w:rFonts w:ascii="Palatino Linotype" w:hAnsi="Palatino Linotype"/>
          <w:b/>
        </w:rPr>
        <w:t>RECURRENTE</w:t>
      </w:r>
      <w:r w:rsidR="00A1302E" w:rsidRPr="00C95803">
        <w:rPr>
          <w:rFonts w:ascii="Palatino Linotype" w:hAnsi="Palatino Linotype"/>
        </w:rPr>
        <w:t xml:space="preserve">, </w:t>
      </w:r>
      <w:r w:rsidRPr="00C95803">
        <w:rPr>
          <w:rFonts w:ascii="Palatino Linotype" w:hAnsi="Palatino Linotype" w:cs="Arial"/>
        </w:rPr>
        <w:t>en contra de la</w:t>
      </w:r>
      <w:r w:rsidR="0014171F" w:rsidRPr="00C95803">
        <w:rPr>
          <w:rFonts w:ascii="Palatino Linotype" w:hAnsi="Palatino Linotype" w:cs="Arial"/>
        </w:rPr>
        <w:t xml:space="preserve"> falta de</w:t>
      </w:r>
      <w:r w:rsidRPr="00C95803">
        <w:rPr>
          <w:rFonts w:ascii="Palatino Linotype" w:hAnsi="Palatino Linotype" w:cs="Arial"/>
        </w:rPr>
        <w:t xml:space="preserve"> respuesta del </w:t>
      </w:r>
      <w:r w:rsidR="00716862" w:rsidRPr="00C95803">
        <w:rPr>
          <w:rFonts w:ascii="Palatino Linotype" w:hAnsi="Palatino Linotype"/>
          <w:b/>
          <w:bCs/>
        </w:rPr>
        <w:t xml:space="preserve">Ayuntamiento de </w:t>
      </w:r>
      <w:r w:rsidR="0014171F" w:rsidRPr="00C95803">
        <w:rPr>
          <w:rFonts w:ascii="Palatino Linotype" w:hAnsi="Palatino Linotype"/>
          <w:b/>
          <w:bCs/>
        </w:rPr>
        <w:t>Atizapán</w:t>
      </w:r>
      <w:r w:rsidRPr="00C95803">
        <w:rPr>
          <w:rFonts w:ascii="Palatino Linotype" w:hAnsi="Palatino Linotype" w:cs="Arial"/>
        </w:rPr>
        <w:t>,</w:t>
      </w:r>
      <w:r w:rsidRPr="00C95803">
        <w:rPr>
          <w:rFonts w:ascii="Palatino Linotype" w:hAnsi="Palatino Linotype"/>
          <w:b/>
        </w:rPr>
        <w:t xml:space="preserve"> </w:t>
      </w:r>
      <w:r w:rsidRPr="00C95803">
        <w:rPr>
          <w:rFonts w:ascii="Palatino Linotype" w:hAnsi="Palatino Linotype"/>
        </w:rPr>
        <w:t>en lo sucesivo el</w:t>
      </w:r>
      <w:r w:rsidRPr="00C95803">
        <w:rPr>
          <w:rFonts w:ascii="Palatino Linotype" w:hAnsi="Palatino Linotype"/>
          <w:b/>
        </w:rPr>
        <w:t xml:space="preserve"> SUJETO OBLIGADO, </w:t>
      </w:r>
      <w:r w:rsidRPr="00C95803">
        <w:rPr>
          <w:rFonts w:ascii="Palatino Linotype" w:hAnsi="Palatino Linotype"/>
        </w:rPr>
        <w:t xml:space="preserve">se procede a dictar la presente resolución, con base en los siguientes: </w:t>
      </w:r>
    </w:p>
    <w:p w:rsidR="002A5BA4" w:rsidRPr="00C95803" w:rsidRDefault="002A5BA4" w:rsidP="00C95803">
      <w:pPr>
        <w:pStyle w:val="Ttulo1"/>
        <w:spacing w:line="360" w:lineRule="auto"/>
        <w:jc w:val="center"/>
        <w:rPr>
          <w:szCs w:val="24"/>
        </w:rPr>
      </w:pPr>
      <w:bookmarkStart w:id="0" w:name="_Toc23418061"/>
      <w:r w:rsidRPr="00C95803">
        <w:rPr>
          <w:szCs w:val="24"/>
        </w:rPr>
        <w:t>ANTECEDENTES</w:t>
      </w:r>
      <w:bookmarkEnd w:id="0"/>
    </w:p>
    <w:p w:rsidR="00E26459" w:rsidRPr="00C95803" w:rsidRDefault="00E26459" w:rsidP="00C95803">
      <w:pPr>
        <w:spacing w:line="360" w:lineRule="auto"/>
        <w:rPr>
          <w:rFonts w:ascii="Palatino Linotype" w:hAnsi="Palatino Linotype"/>
          <w:lang w:val="es-MX" w:eastAsia="en-US"/>
        </w:rPr>
      </w:pPr>
    </w:p>
    <w:p w:rsidR="00E26459" w:rsidRPr="00C95803" w:rsidRDefault="00E26459" w:rsidP="00C95803">
      <w:pPr>
        <w:pStyle w:val="Prrafodelista"/>
        <w:numPr>
          <w:ilvl w:val="0"/>
          <w:numId w:val="1"/>
        </w:numPr>
        <w:spacing w:line="360" w:lineRule="auto"/>
        <w:ind w:left="0" w:firstLine="0"/>
        <w:jc w:val="both"/>
        <w:rPr>
          <w:rFonts w:ascii="Palatino Linotype" w:eastAsia="Times New Roman" w:hAnsi="Palatino Linotype" w:cs="Arial"/>
          <w:lang w:val="es-ES"/>
        </w:rPr>
      </w:pPr>
      <w:r w:rsidRPr="00C95803">
        <w:rPr>
          <w:rFonts w:ascii="Palatino Linotype" w:eastAsia="Calibri" w:hAnsi="Palatino Linotype" w:cs="Arial"/>
          <w:lang w:val="es-ES"/>
        </w:rPr>
        <w:t xml:space="preserve">El día </w:t>
      </w:r>
      <w:r w:rsidR="000C7237" w:rsidRPr="00C95803">
        <w:rPr>
          <w:rFonts w:ascii="Palatino Linotype" w:eastAsia="Calibri" w:hAnsi="Palatino Linotype" w:cs="Arial"/>
          <w:lang w:val="es-ES"/>
        </w:rPr>
        <w:t>veintinueve</w:t>
      </w:r>
      <w:r w:rsidRPr="00C95803">
        <w:rPr>
          <w:rFonts w:ascii="Palatino Linotype" w:eastAsia="Calibri" w:hAnsi="Palatino Linotype" w:cs="Times New Roman"/>
          <w:lang w:val="es-ES"/>
        </w:rPr>
        <w:t xml:space="preserve"> (</w:t>
      </w:r>
      <w:r w:rsidR="000C7237" w:rsidRPr="00C95803">
        <w:rPr>
          <w:rFonts w:ascii="Palatino Linotype" w:eastAsia="Calibri" w:hAnsi="Palatino Linotype" w:cs="Times New Roman"/>
          <w:lang w:val="es-ES"/>
        </w:rPr>
        <w:t>29</w:t>
      </w:r>
      <w:r w:rsidRPr="00C95803">
        <w:rPr>
          <w:rFonts w:ascii="Palatino Linotype" w:eastAsia="Calibri" w:hAnsi="Palatino Linotype" w:cs="Times New Roman"/>
          <w:lang w:val="es-ES"/>
        </w:rPr>
        <w:t xml:space="preserve">) de </w:t>
      </w:r>
      <w:r w:rsidR="000C7237" w:rsidRPr="00C95803">
        <w:rPr>
          <w:rFonts w:ascii="Palatino Linotype" w:eastAsia="Calibri" w:hAnsi="Palatino Linotype" w:cs="Times New Roman"/>
          <w:lang w:val="es-ES"/>
        </w:rPr>
        <w:t>julio</w:t>
      </w:r>
      <w:r w:rsidR="00231687" w:rsidRPr="00C95803">
        <w:rPr>
          <w:rFonts w:ascii="Palatino Linotype" w:eastAsia="Calibri" w:hAnsi="Palatino Linotype" w:cs="Times New Roman"/>
          <w:lang w:val="es-ES"/>
        </w:rPr>
        <w:t xml:space="preserve"> </w:t>
      </w:r>
      <w:r w:rsidRPr="00C95803">
        <w:rPr>
          <w:rFonts w:ascii="Palatino Linotype" w:eastAsia="Calibri" w:hAnsi="Palatino Linotype" w:cs="Times New Roman"/>
          <w:lang w:val="es-ES"/>
        </w:rPr>
        <w:t>de dos mil dieci</w:t>
      </w:r>
      <w:r w:rsidR="00231687" w:rsidRPr="00C95803">
        <w:rPr>
          <w:rFonts w:ascii="Palatino Linotype" w:eastAsia="Calibri" w:hAnsi="Palatino Linotype" w:cs="Times New Roman"/>
          <w:lang w:val="es-ES"/>
        </w:rPr>
        <w:t>nueve</w:t>
      </w:r>
      <w:r w:rsidRPr="00C95803">
        <w:rPr>
          <w:rFonts w:ascii="Palatino Linotype" w:eastAsia="Calibri" w:hAnsi="Palatino Linotype" w:cs="Arial"/>
          <w:lang w:val="es-ES"/>
        </w:rPr>
        <w:t>,</w:t>
      </w:r>
      <w:r w:rsidRPr="00C95803">
        <w:rPr>
          <w:rFonts w:ascii="Palatino Linotype" w:eastAsia="Calibri" w:hAnsi="Palatino Linotype" w:cs="Times New Roman"/>
          <w:lang w:val="es-ES"/>
        </w:rPr>
        <w:t xml:space="preserve"> </w:t>
      </w:r>
      <w:r w:rsidR="00E60440" w:rsidRPr="00C95803">
        <w:rPr>
          <w:rFonts w:ascii="Palatino Linotype" w:eastAsia="Calibri" w:hAnsi="Palatino Linotype" w:cs="Times New Roman"/>
          <w:b/>
          <w:lang w:val="es-ES"/>
        </w:rPr>
        <w:t>EL RECURRENTE</w:t>
      </w:r>
      <w:r w:rsidR="00A8727A" w:rsidRPr="00C95803">
        <w:rPr>
          <w:rFonts w:ascii="Palatino Linotype" w:hAnsi="Palatino Linotype"/>
          <w:b/>
        </w:rPr>
        <w:t>,</w:t>
      </w:r>
      <w:r w:rsidR="00E40EC3" w:rsidRPr="00C95803">
        <w:rPr>
          <w:rFonts w:ascii="Palatino Linotype" w:eastAsia="Calibri" w:hAnsi="Palatino Linotype" w:cs="Times New Roman"/>
          <w:lang w:val="es-ES"/>
        </w:rPr>
        <w:t xml:space="preserve"> </w:t>
      </w:r>
      <w:r w:rsidRPr="00C95803">
        <w:rPr>
          <w:rFonts w:ascii="Palatino Linotype" w:eastAsia="Calibri" w:hAnsi="Palatino Linotype" w:cs="Arial"/>
          <w:lang w:val="es-ES"/>
        </w:rPr>
        <w:t xml:space="preserve">ante el </w:t>
      </w:r>
      <w:r w:rsidRPr="00C95803">
        <w:rPr>
          <w:rFonts w:ascii="Palatino Linotype" w:eastAsia="Calibri" w:hAnsi="Palatino Linotype" w:cs="Arial"/>
          <w:b/>
          <w:lang w:val="es-ES"/>
        </w:rPr>
        <w:t>SUJETO OBLIGADO</w:t>
      </w:r>
      <w:r w:rsidRPr="00C95803">
        <w:rPr>
          <w:rFonts w:ascii="Palatino Linotype" w:eastAsia="Calibri" w:hAnsi="Palatino Linotype" w:cs="Arial"/>
        </w:rPr>
        <w:t xml:space="preserve"> vía </w:t>
      </w:r>
      <w:r w:rsidRPr="00C95803">
        <w:rPr>
          <w:rFonts w:ascii="Palatino Linotype" w:eastAsia="Calibri" w:hAnsi="Palatino Linotype" w:cs="Arial"/>
          <w:lang w:val="es-ES"/>
        </w:rPr>
        <w:t>Sistema de Acceso a la Información Mexiquense (</w:t>
      </w:r>
      <w:r w:rsidRPr="00C95803">
        <w:rPr>
          <w:rFonts w:ascii="Palatino Linotype" w:eastAsia="Calibri" w:hAnsi="Palatino Linotype" w:cs="Arial"/>
          <w:b/>
          <w:lang w:val="es-ES"/>
        </w:rPr>
        <w:t>SAIMEX)</w:t>
      </w:r>
      <w:r w:rsidR="00DA3B9E" w:rsidRPr="00C95803">
        <w:rPr>
          <w:rFonts w:ascii="Palatino Linotype" w:eastAsia="Calibri" w:hAnsi="Palatino Linotype" w:cs="Arial"/>
          <w:lang w:val="es-ES"/>
        </w:rPr>
        <w:t>, presentó la solicitud</w:t>
      </w:r>
      <w:r w:rsidRPr="00C95803">
        <w:rPr>
          <w:rFonts w:ascii="Palatino Linotype" w:eastAsia="Calibri" w:hAnsi="Palatino Linotype" w:cs="Arial"/>
          <w:lang w:val="es-ES"/>
        </w:rPr>
        <w:t xml:space="preserve"> de</w:t>
      </w:r>
      <w:r w:rsidR="00DA3B9E" w:rsidRPr="00C95803">
        <w:rPr>
          <w:rFonts w:ascii="Palatino Linotype" w:eastAsia="Calibri" w:hAnsi="Palatino Linotype" w:cs="Arial"/>
          <w:lang w:val="es-ES"/>
        </w:rPr>
        <w:t xml:space="preserve"> información pública registrada</w:t>
      </w:r>
      <w:r w:rsidRPr="00C95803">
        <w:rPr>
          <w:rFonts w:ascii="Palatino Linotype" w:eastAsia="Calibri" w:hAnsi="Palatino Linotype" w:cs="Arial"/>
          <w:lang w:val="es-ES"/>
        </w:rPr>
        <w:t xml:space="preserve"> con </w:t>
      </w:r>
      <w:r w:rsidR="00DA3B9E" w:rsidRPr="00C95803">
        <w:rPr>
          <w:rFonts w:ascii="Palatino Linotype" w:eastAsia="Calibri" w:hAnsi="Palatino Linotype" w:cs="Arial"/>
          <w:lang w:val="es-ES"/>
        </w:rPr>
        <w:t>el número</w:t>
      </w:r>
      <w:r w:rsidRPr="00C95803">
        <w:rPr>
          <w:rFonts w:ascii="Palatino Linotype" w:eastAsia="Calibri" w:hAnsi="Palatino Linotype" w:cs="Arial"/>
          <w:lang w:val="es-ES"/>
        </w:rPr>
        <w:t xml:space="preserve"> </w:t>
      </w:r>
      <w:r w:rsidR="00A8727A" w:rsidRPr="00C95803">
        <w:rPr>
          <w:rFonts w:ascii="Palatino Linotype" w:hAnsi="Palatino Linotype"/>
          <w:b/>
        </w:rPr>
        <w:t>00</w:t>
      </w:r>
      <w:r w:rsidR="007A7B70" w:rsidRPr="00C95803">
        <w:rPr>
          <w:rFonts w:ascii="Palatino Linotype" w:hAnsi="Palatino Linotype"/>
          <w:b/>
        </w:rPr>
        <w:t>083</w:t>
      </w:r>
      <w:r w:rsidR="000C7237" w:rsidRPr="00C95803">
        <w:rPr>
          <w:rFonts w:ascii="Palatino Linotype" w:hAnsi="Palatino Linotype"/>
          <w:b/>
        </w:rPr>
        <w:t>/</w:t>
      </w:r>
      <w:r w:rsidR="007A7B70" w:rsidRPr="00C95803">
        <w:rPr>
          <w:rFonts w:ascii="Palatino Linotype" w:hAnsi="Palatino Linotype"/>
          <w:b/>
        </w:rPr>
        <w:t>ATIZAPAN</w:t>
      </w:r>
      <w:r w:rsidRPr="00C95803">
        <w:rPr>
          <w:rFonts w:ascii="Palatino Linotype" w:hAnsi="Palatino Linotype"/>
          <w:b/>
        </w:rPr>
        <w:t>/</w:t>
      </w:r>
      <w:r w:rsidR="00E91E3F" w:rsidRPr="00C95803">
        <w:rPr>
          <w:rFonts w:ascii="Palatino Linotype" w:hAnsi="Palatino Linotype"/>
          <w:b/>
        </w:rPr>
        <w:t>IP/2019</w:t>
      </w:r>
      <w:r w:rsidRPr="00C95803">
        <w:rPr>
          <w:rFonts w:ascii="Palatino Linotype" w:hAnsi="Palatino Linotype"/>
          <w:b/>
        </w:rPr>
        <w:t xml:space="preserve"> </w:t>
      </w:r>
      <w:r w:rsidR="00DA3B9E" w:rsidRPr="00C95803">
        <w:rPr>
          <w:rFonts w:ascii="Palatino Linotype" w:eastAsia="Calibri" w:hAnsi="Palatino Linotype" w:cs="Arial"/>
          <w:lang w:val="es-ES"/>
        </w:rPr>
        <w:t>mediante la cual</w:t>
      </w:r>
      <w:r w:rsidRPr="00C95803">
        <w:rPr>
          <w:rFonts w:ascii="Palatino Linotype" w:eastAsia="Calibri" w:hAnsi="Palatino Linotype" w:cs="Arial"/>
          <w:lang w:val="es-ES"/>
        </w:rPr>
        <w:t xml:space="preserve"> solicitó lo siguiente:</w:t>
      </w:r>
    </w:p>
    <w:p w:rsidR="00C95803" w:rsidRPr="00C95803" w:rsidRDefault="00C95803" w:rsidP="00C95803">
      <w:pPr>
        <w:pStyle w:val="Prrafodelista"/>
        <w:spacing w:line="360" w:lineRule="auto"/>
        <w:ind w:left="0"/>
        <w:jc w:val="both"/>
        <w:rPr>
          <w:rFonts w:ascii="Palatino Linotype" w:eastAsia="Times New Roman" w:hAnsi="Palatino Linotype" w:cs="Arial"/>
          <w:lang w:val="es-ES"/>
        </w:rPr>
      </w:pPr>
    </w:p>
    <w:p w:rsidR="00E26459" w:rsidRPr="00C95803" w:rsidRDefault="00E26459" w:rsidP="00C95803">
      <w:pPr>
        <w:spacing w:before="240" w:after="240" w:line="360" w:lineRule="auto"/>
        <w:ind w:left="567" w:right="567"/>
        <w:jc w:val="both"/>
        <w:rPr>
          <w:rFonts w:ascii="Palatino Linotype" w:eastAsia="Calibri" w:hAnsi="Palatino Linotype" w:cs="Arial"/>
          <w:i/>
          <w:lang w:val="es-ES"/>
        </w:rPr>
      </w:pPr>
      <w:r w:rsidRPr="00C95803">
        <w:rPr>
          <w:rFonts w:ascii="Palatino Linotype" w:eastAsia="Calibri" w:hAnsi="Palatino Linotype" w:cs="Arial"/>
          <w:i/>
          <w:lang w:val="es-ES"/>
        </w:rPr>
        <w:t>“</w:t>
      </w:r>
      <w:r w:rsidR="00DB6AAE" w:rsidRPr="00C95803">
        <w:rPr>
          <w:rFonts w:ascii="Palatino Linotype" w:eastAsia="Calibri" w:hAnsi="Palatino Linotype" w:cs="Arial"/>
          <w:i/>
          <w:lang w:val="es-ES"/>
        </w:rPr>
        <w:t xml:space="preserve">copia del contrato / estudios de mercado / facturas de los bienes comprados y revisión de bases que realizo su contraloría interna / copia del reporte que hicieron de los gastos erogados al Secretariado Ejecutivo del sistema nacional de Seguridad publica en FOSEG, FORTASEG y FASP de 2015 a la fecha sobre el </w:t>
      </w:r>
      <w:proofErr w:type="spellStart"/>
      <w:r w:rsidR="00DB6AAE" w:rsidRPr="00C95803">
        <w:rPr>
          <w:rFonts w:ascii="Palatino Linotype" w:eastAsia="Calibri" w:hAnsi="Palatino Linotype" w:cs="Arial"/>
          <w:i/>
          <w:lang w:val="es-ES"/>
        </w:rPr>
        <w:t>como</w:t>
      </w:r>
      <w:proofErr w:type="spellEnd"/>
      <w:r w:rsidR="00DB6AAE" w:rsidRPr="00C95803">
        <w:rPr>
          <w:rFonts w:ascii="Palatino Linotype" w:eastAsia="Calibri" w:hAnsi="Palatino Linotype" w:cs="Arial"/>
          <w:i/>
          <w:lang w:val="es-ES"/>
        </w:rPr>
        <w:t xml:space="preserve"> y en que se erogaron esos recursos recibidos al Secretariado se le solicita, los informes que recibió de EDO, CDMX, Michoacán , HIDALGO ,y Jalisco del mismo periodo con los comprobantes a las contralorías la revisión de bases, anexos técnicos de los bienes comprados, así como </w:t>
      </w:r>
      <w:proofErr w:type="spellStart"/>
      <w:r w:rsidR="00DB6AAE" w:rsidRPr="00C95803">
        <w:rPr>
          <w:rFonts w:ascii="Palatino Linotype" w:eastAsia="Calibri" w:hAnsi="Palatino Linotype" w:cs="Arial"/>
          <w:i/>
          <w:lang w:val="es-ES"/>
        </w:rPr>
        <w:t>auditorias</w:t>
      </w:r>
      <w:proofErr w:type="spellEnd"/>
      <w:r w:rsidR="00DB6AAE" w:rsidRPr="00C95803">
        <w:rPr>
          <w:rFonts w:ascii="Palatino Linotype" w:eastAsia="Calibri" w:hAnsi="Palatino Linotype" w:cs="Arial"/>
          <w:i/>
          <w:lang w:val="es-ES"/>
        </w:rPr>
        <w:t xml:space="preserve"> practicadas</w:t>
      </w:r>
      <w:r w:rsidRPr="00C95803">
        <w:rPr>
          <w:rFonts w:ascii="Palatino Linotype" w:eastAsia="Calibri" w:hAnsi="Palatino Linotype" w:cs="Arial"/>
          <w:i/>
          <w:lang w:val="es-ES"/>
        </w:rPr>
        <w:t>” (sic)</w:t>
      </w:r>
    </w:p>
    <w:p w:rsidR="00A8727A" w:rsidRPr="00C95803" w:rsidRDefault="00A8727A" w:rsidP="00C95803">
      <w:pPr>
        <w:spacing w:line="360" w:lineRule="auto"/>
        <w:ind w:left="567" w:right="567"/>
        <w:jc w:val="both"/>
        <w:rPr>
          <w:rFonts w:ascii="Palatino Linotype" w:hAnsi="Palatino Linotype"/>
        </w:rPr>
      </w:pPr>
    </w:p>
    <w:p w:rsidR="00FC5D9F" w:rsidRPr="00C95803" w:rsidRDefault="00FC5D9F" w:rsidP="00C95803">
      <w:pPr>
        <w:pStyle w:val="Prrafodelista"/>
        <w:numPr>
          <w:ilvl w:val="0"/>
          <w:numId w:val="1"/>
        </w:numPr>
        <w:spacing w:line="360" w:lineRule="auto"/>
        <w:ind w:left="0" w:firstLine="0"/>
        <w:jc w:val="both"/>
        <w:rPr>
          <w:rFonts w:ascii="Palatino Linotype" w:eastAsia="Times New Roman" w:hAnsi="Palatino Linotype" w:cs="Arial"/>
          <w:lang w:val="es-ES"/>
        </w:rPr>
      </w:pPr>
      <w:r w:rsidRPr="00C95803">
        <w:rPr>
          <w:rFonts w:ascii="Palatino Linotype" w:eastAsia="Times New Roman" w:hAnsi="Palatino Linotype" w:cs="Arial"/>
          <w:lang w:val="es-ES"/>
        </w:rPr>
        <w:t>Señaló como modalidad de entrega de la información</w:t>
      </w:r>
      <w:r w:rsidRPr="00C95803">
        <w:rPr>
          <w:rFonts w:ascii="Palatino Linotype" w:eastAsia="Times New Roman" w:hAnsi="Palatino Linotype" w:cs="Arial"/>
          <w:b/>
          <w:lang w:val="es-ES"/>
        </w:rPr>
        <w:t>:</w:t>
      </w:r>
      <w:r w:rsidR="007A7B70" w:rsidRPr="00C95803">
        <w:rPr>
          <w:rFonts w:ascii="Palatino Linotype" w:eastAsia="Times New Roman" w:hAnsi="Palatino Linotype" w:cs="Arial"/>
          <w:lang w:val="es-ES"/>
        </w:rPr>
        <w:t xml:space="preserve"> a través de </w:t>
      </w:r>
      <w:r w:rsidR="007A7B70" w:rsidRPr="00C95803">
        <w:rPr>
          <w:rFonts w:ascii="Palatino Linotype" w:eastAsia="Times New Roman" w:hAnsi="Palatino Linotype" w:cs="Arial"/>
          <w:b/>
          <w:lang w:val="es-ES"/>
        </w:rPr>
        <w:t>CORREO ELECTRÓNICO</w:t>
      </w:r>
      <w:r w:rsidR="007A7B70" w:rsidRPr="00C95803">
        <w:rPr>
          <w:rFonts w:ascii="Palatino Linotype" w:eastAsia="Times New Roman" w:hAnsi="Palatino Linotype" w:cs="Arial"/>
          <w:lang w:val="es-ES"/>
        </w:rPr>
        <w:t xml:space="preserve"> y</w:t>
      </w:r>
      <w:r w:rsidRPr="00C95803">
        <w:rPr>
          <w:rFonts w:ascii="Palatino Linotype" w:eastAsia="Times New Roman" w:hAnsi="Palatino Linotype" w:cs="Arial"/>
          <w:lang w:val="es-ES"/>
        </w:rPr>
        <w:t xml:space="preserve"> </w:t>
      </w:r>
      <w:r w:rsidRPr="00C95803">
        <w:rPr>
          <w:rFonts w:ascii="Palatino Linotype" w:eastAsia="Times New Roman" w:hAnsi="Palatino Linotype" w:cs="Arial"/>
          <w:b/>
          <w:lang w:val="es-ES"/>
        </w:rPr>
        <w:t>SAIMEX.</w:t>
      </w:r>
    </w:p>
    <w:p w:rsidR="00FC5D9F" w:rsidRPr="00C95803" w:rsidRDefault="00FC5D9F" w:rsidP="00C95803">
      <w:pPr>
        <w:pStyle w:val="Prrafodelista"/>
        <w:spacing w:before="240" w:after="240" w:line="360" w:lineRule="auto"/>
        <w:ind w:left="0"/>
        <w:jc w:val="both"/>
        <w:rPr>
          <w:rFonts w:ascii="Palatino Linotype" w:hAnsi="Palatino Linotype"/>
        </w:rPr>
      </w:pPr>
    </w:p>
    <w:p w:rsidR="007A7B70" w:rsidRPr="00C95803" w:rsidRDefault="005472AB" w:rsidP="00C95803">
      <w:pPr>
        <w:pStyle w:val="Prrafodelista"/>
        <w:numPr>
          <w:ilvl w:val="0"/>
          <w:numId w:val="1"/>
        </w:numPr>
        <w:spacing w:before="240" w:after="240" w:line="360" w:lineRule="auto"/>
        <w:ind w:left="0" w:firstLine="0"/>
        <w:jc w:val="both"/>
        <w:rPr>
          <w:rFonts w:ascii="Palatino Linotype" w:hAnsi="Palatino Linotype"/>
          <w:i/>
        </w:rPr>
      </w:pPr>
      <w:r w:rsidRPr="00C95803">
        <w:rPr>
          <w:rFonts w:ascii="Palatino Linotype" w:eastAsia="Calibri" w:hAnsi="Palatino Linotype" w:cs="Times New Roman"/>
          <w:lang w:val="es-ES"/>
        </w:rPr>
        <w:t xml:space="preserve">El </w:t>
      </w:r>
      <w:r w:rsidR="007A7B70" w:rsidRPr="00C95803">
        <w:rPr>
          <w:rFonts w:ascii="Palatino Linotype" w:eastAsia="Calibri" w:hAnsi="Palatino Linotype" w:cs="Times New Roman"/>
          <w:lang w:val="es-ES"/>
        </w:rPr>
        <w:t>Sujeto Obligado no dio respuesta a la solicitud.</w:t>
      </w:r>
    </w:p>
    <w:p w:rsidR="007A7B70" w:rsidRPr="00C95803" w:rsidRDefault="007A7B70" w:rsidP="00C95803">
      <w:pPr>
        <w:pStyle w:val="Prrafodelista"/>
        <w:spacing w:line="360" w:lineRule="auto"/>
        <w:rPr>
          <w:rFonts w:ascii="Palatino Linotype" w:hAnsi="Palatino Linotype"/>
          <w:i/>
        </w:rPr>
      </w:pPr>
    </w:p>
    <w:p w:rsidR="002A5BA4" w:rsidRPr="00C95803" w:rsidRDefault="00812C54" w:rsidP="00C95803">
      <w:pPr>
        <w:pStyle w:val="Prrafodelista"/>
        <w:numPr>
          <w:ilvl w:val="0"/>
          <w:numId w:val="1"/>
        </w:numPr>
        <w:spacing w:before="240" w:after="240" w:line="360" w:lineRule="auto"/>
        <w:ind w:left="0" w:firstLine="0"/>
        <w:jc w:val="both"/>
        <w:rPr>
          <w:rFonts w:ascii="Palatino Linotype" w:hAnsi="Palatino Linotype" w:cs="Arial"/>
          <w:i/>
        </w:rPr>
      </w:pPr>
      <w:r w:rsidRPr="00C95803">
        <w:rPr>
          <w:rFonts w:ascii="Palatino Linotype" w:eastAsia="Calibri" w:hAnsi="Palatino Linotype" w:cs="Arial"/>
          <w:lang w:val="es-AR"/>
        </w:rPr>
        <w:t xml:space="preserve">El </w:t>
      </w:r>
      <w:r w:rsidR="00AD18F6" w:rsidRPr="00C95803">
        <w:rPr>
          <w:rFonts w:ascii="Palatino Linotype" w:eastAsia="Calibri" w:hAnsi="Palatino Linotype" w:cs="Arial"/>
          <w:lang w:val="es-AR"/>
        </w:rPr>
        <w:t>treinta</w:t>
      </w:r>
      <w:r w:rsidR="002A5BA4" w:rsidRPr="00C95803">
        <w:rPr>
          <w:rFonts w:ascii="Palatino Linotype" w:eastAsia="Times New Roman" w:hAnsi="Palatino Linotype" w:cs="Arial"/>
          <w:lang w:val="es-ES"/>
        </w:rPr>
        <w:t xml:space="preserve"> (</w:t>
      </w:r>
      <w:r w:rsidR="00AD18F6" w:rsidRPr="00C95803">
        <w:rPr>
          <w:rFonts w:ascii="Palatino Linotype" w:eastAsia="Times New Roman" w:hAnsi="Palatino Linotype" w:cs="Arial"/>
          <w:lang w:val="es-ES"/>
        </w:rPr>
        <w:t>30</w:t>
      </w:r>
      <w:r w:rsidR="002A5BA4" w:rsidRPr="00C95803">
        <w:rPr>
          <w:rFonts w:ascii="Palatino Linotype" w:eastAsia="Times New Roman" w:hAnsi="Palatino Linotype" w:cs="Arial"/>
          <w:lang w:val="es-ES"/>
        </w:rPr>
        <w:t xml:space="preserve">) de </w:t>
      </w:r>
      <w:r w:rsidR="00A8727A" w:rsidRPr="00C95803">
        <w:rPr>
          <w:rFonts w:ascii="Palatino Linotype" w:eastAsia="Times New Roman" w:hAnsi="Palatino Linotype" w:cs="Arial"/>
          <w:lang w:val="es-ES"/>
        </w:rPr>
        <w:t>agosto</w:t>
      </w:r>
      <w:r w:rsidR="00B22D36" w:rsidRPr="00C95803">
        <w:rPr>
          <w:rFonts w:ascii="Palatino Linotype" w:eastAsia="Times New Roman" w:hAnsi="Palatino Linotype" w:cs="Arial"/>
          <w:lang w:val="es-ES"/>
        </w:rPr>
        <w:t xml:space="preserve"> </w:t>
      </w:r>
      <w:r w:rsidR="002A5BA4" w:rsidRPr="00C95803">
        <w:rPr>
          <w:rFonts w:ascii="Palatino Linotype" w:eastAsia="Times New Roman" w:hAnsi="Palatino Linotype" w:cs="Arial"/>
          <w:lang w:val="es-ES"/>
        </w:rPr>
        <w:t>de dos mil dieci</w:t>
      </w:r>
      <w:r w:rsidR="00794037" w:rsidRPr="00C95803">
        <w:rPr>
          <w:rFonts w:ascii="Palatino Linotype" w:eastAsia="Times New Roman" w:hAnsi="Palatino Linotype" w:cs="Arial"/>
          <w:lang w:val="es-ES"/>
        </w:rPr>
        <w:t>nueve</w:t>
      </w:r>
      <w:r w:rsidR="002A5BA4" w:rsidRPr="00C95803">
        <w:rPr>
          <w:rFonts w:ascii="Palatino Linotype" w:eastAsia="Times New Roman" w:hAnsi="Palatino Linotype" w:cs="Arial"/>
          <w:lang w:val="es-ES"/>
        </w:rPr>
        <w:t xml:space="preserve">, </w:t>
      </w:r>
      <w:r w:rsidR="00E60440" w:rsidRPr="00C95803">
        <w:rPr>
          <w:rFonts w:ascii="Palatino Linotype" w:eastAsia="Calibri" w:hAnsi="Palatino Linotype" w:cs="Times New Roman"/>
          <w:b/>
          <w:lang w:val="es-ES"/>
        </w:rPr>
        <w:t>EL RECURRENTE</w:t>
      </w:r>
      <w:r w:rsidR="002A5BA4" w:rsidRPr="00C95803">
        <w:rPr>
          <w:rFonts w:ascii="Palatino Linotype" w:eastAsia="Times New Roman" w:hAnsi="Palatino Linotype" w:cs="Arial"/>
          <w:b/>
          <w:lang w:val="es-ES"/>
        </w:rPr>
        <w:t>,</w:t>
      </w:r>
      <w:r w:rsidR="00FB61C7" w:rsidRPr="00C95803">
        <w:rPr>
          <w:rFonts w:ascii="Palatino Linotype" w:eastAsia="Times New Roman" w:hAnsi="Palatino Linotype" w:cs="Arial"/>
          <w:lang w:val="es-ES"/>
        </w:rPr>
        <w:t xml:space="preserve"> interpuso </w:t>
      </w:r>
      <w:r w:rsidR="000E1BDA" w:rsidRPr="00C95803">
        <w:rPr>
          <w:rFonts w:ascii="Palatino Linotype" w:eastAsia="Times New Roman" w:hAnsi="Palatino Linotype" w:cs="Arial"/>
          <w:lang w:val="es-ES"/>
        </w:rPr>
        <w:t>el</w:t>
      </w:r>
      <w:r w:rsidR="002A5BA4" w:rsidRPr="00C95803">
        <w:rPr>
          <w:rFonts w:ascii="Palatino Linotype" w:eastAsia="Times New Roman" w:hAnsi="Palatino Linotype" w:cs="Arial"/>
          <w:lang w:val="es-ES"/>
        </w:rPr>
        <w:t xml:space="preserve"> recurso de revisión, en contra de la</w:t>
      </w:r>
      <w:r w:rsidR="00A8727A" w:rsidRPr="00C95803">
        <w:rPr>
          <w:rFonts w:ascii="Palatino Linotype" w:eastAsia="Times New Roman" w:hAnsi="Palatino Linotype" w:cs="Arial"/>
          <w:lang w:val="es-ES"/>
        </w:rPr>
        <w:t xml:space="preserve"> falta</w:t>
      </w:r>
      <w:r w:rsidR="002A5BA4" w:rsidRPr="00C95803">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0E053C" w:rsidRPr="00C95803" w:rsidRDefault="000E053C" w:rsidP="00C95803">
      <w:pPr>
        <w:pStyle w:val="Prrafodelista"/>
        <w:spacing w:line="360" w:lineRule="auto"/>
        <w:rPr>
          <w:rFonts w:ascii="Palatino Linotype" w:hAnsi="Palatino Linotype" w:cs="Arial"/>
          <w:i/>
        </w:rPr>
      </w:pPr>
    </w:p>
    <w:p w:rsidR="000E053C" w:rsidRPr="00C95803" w:rsidRDefault="000E053C" w:rsidP="00C95803">
      <w:pPr>
        <w:pStyle w:val="Prrafodelista"/>
        <w:spacing w:line="360" w:lineRule="auto"/>
        <w:ind w:left="567"/>
        <w:jc w:val="both"/>
        <w:rPr>
          <w:rFonts w:ascii="Palatino Linotype" w:hAnsi="Palatino Linotype" w:cs="Arial"/>
        </w:rPr>
      </w:pPr>
      <w:r w:rsidRPr="00C95803">
        <w:rPr>
          <w:rFonts w:ascii="Palatino Linotype" w:hAnsi="Palatino Linotype"/>
          <w:b/>
        </w:rPr>
        <w:t>Acto impugnado:</w:t>
      </w:r>
      <w:r w:rsidRPr="00C95803">
        <w:rPr>
          <w:rStyle w:val="Ttulo2Car"/>
          <w:rFonts w:ascii="Palatino Linotype" w:hAnsi="Palatino Linotype"/>
          <w:b/>
          <w:i/>
          <w:color w:val="auto"/>
          <w:sz w:val="24"/>
          <w:szCs w:val="24"/>
          <w:lang w:val="es-ES"/>
        </w:rPr>
        <w:t xml:space="preserve"> </w:t>
      </w:r>
      <w:r w:rsidRPr="00C95803">
        <w:rPr>
          <w:rFonts w:ascii="Palatino Linotype" w:hAnsi="Palatino Linotype"/>
        </w:rPr>
        <w:t>“</w:t>
      </w:r>
      <w:r w:rsidR="007A7B70" w:rsidRPr="00C95803">
        <w:rPr>
          <w:rFonts w:ascii="Palatino Linotype" w:hAnsi="Palatino Linotype"/>
          <w:i/>
        </w:rPr>
        <w:t>no dio respuesta alguna procede el recurso</w:t>
      </w:r>
      <w:r w:rsidR="00DB6AAE" w:rsidRPr="00C95803">
        <w:rPr>
          <w:rFonts w:ascii="Palatino Linotype" w:hAnsi="Palatino Linotype"/>
          <w:i/>
        </w:rPr>
        <w:t xml:space="preserve"> </w:t>
      </w:r>
      <w:r w:rsidR="00723ABC" w:rsidRPr="00C95803">
        <w:rPr>
          <w:rFonts w:ascii="Palatino Linotype" w:hAnsi="Palatino Linotype"/>
        </w:rPr>
        <w:t>“(</w:t>
      </w:r>
      <w:r w:rsidR="009B16BF" w:rsidRPr="00C95803">
        <w:rPr>
          <w:rFonts w:ascii="Palatino Linotype" w:eastAsia="Calibri" w:hAnsi="Palatino Linotype" w:cs="Arial"/>
          <w:lang w:val="es-ES"/>
        </w:rPr>
        <w:t>Sic); y</w:t>
      </w:r>
    </w:p>
    <w:p w:rsidR="000E053C" w:rsidRPr="00C95803" w:rsidRDefault="000E053C" w:rsidP="00C95803">
      <w:pPr>
        <w:pStyle w:val="Prrafodelista"/>
        <w:spacing w:line="360" w:lineRule="auto"/>
        <w:ind w:left="567"/>
        <w:jc w:val="both"/>
        <w:rPr>
          <w:rFonts w:ascii="Palatino Linotype" w:hAnsi="Palatino Linotype" w:cs="Arial"/>
        </w:rPr>
      </w:pPr>
      <w:r w:rsidRPr="00C95803">
        <w:rPr>
          <w:rFonts w:ascii="Palatino Linotype" w:hAnsi="Palatino Linotype"/>
          <w:b/>
        </w:rPr>
        <w:t>Razones o Motivos de inconformidad:</w:t>
      </w:r>
      <w:r w:rsidRPr="00C95803">
        <w:rPr>
          <w:rStyle w:val="Ttulo2Car"/>
          <w:rFonts w:ascii="Palatino Linotype" w:hAnsi="Palatino Linotype"/>
          <w:b/>
          <w:sz w:val="24"/>
          <w:szCs w:val="24"/>
          <w:lang w:val="es-ES"/>
        </w:rPr>
        <w:t xml:space="preserve"> </w:t>
      </w:r>
      <w:r w:rsidRPr="00C95803">
        <w:rPr>
          <w:rFonts w:ascii="Palatino Linotype" w:hAnsi="Palatino Linotype"/>
          <w:i/>
        </w:rPr>
        <w:t>“</w:t>
      </w:r>
      <w:r w:rsidR="007A7B70" w:rsidRPr="00C95803">
        <w:rPr>
          <w:rFonts w:ascii="Palatino Linotype" w:hAnsi="Palatino Linotype"/>
          <w:i/>
        </w:rPr>
        <w:t>no dio respuesta alguna procede el recurso</w:t>
      </w:r>
      <w:r w:rsidRPr="00C95803">
        <w:rPr>
          <w:rFonts w:ascii="Palatino Linotype" w:hAnsi="Palatino Linotype"/>
          <w:i/>
        </w:rPr>
        <w:t xml:space="preserve">” </w:t>
      </w:r>
      <w:r w:rsidRPr="00C95803">
        <w:rPr>
          <w:rFonts w:ascii="Palatino Linotype" w:hAnsi="Palatino Linotype" w:cs="Arial"/>
        </w:rPr>
        <w:t xml:space="preserve">(Sic) </w:t>
      </w:r>
    </w:p>
    <w:p w:rsidR="00B22D36" w:rsidRPr="00C95803" w:rsidRDefault="00B22D36" w:rsidP="00C95803">
      <w:pPr>
        <w:pStyle w:val="Prrafodelista"/>
        <w:spacing w:line="360" w:lineRule="auto"/>
        <w:ind w:left="567"/>
        <w:jc w:val="both"/>
        <w:rPr>
          <w:rFonts w:ascii="Palatino Linotype" w:hAnsi="Palatino Linotype" w:cs="Arial"/>
        </w:rPr>
      </w:pPr>
    </w:p>
    <w:bookmarkEnd w:id="1"/>
    <w:bookmarkEnd w:id="2"/>
    <w:bookmarkEnd w:id="3"/>
    <w:p w:rsidR="002A5BA4" w:rsidRPr="00C95803" w:rsidRDefault="002A5BA4" w:rsidP="00C95803">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C95803">
        <w:rPr>
          <w:rFonts w:ascii="Palatino Linotype" w:eastAsia="Calibri" w:hAnsi="Palatino Linotype" w:cs="Arial"/>
          <w:lang w:val="es-AR"/>
        </w:rPr>
        <w:t xml:space="preserve"> </w:t>
      </w:r>
      <w:r w:rsidR="00666351" w:rsidRPr="00C95803">
        <w:rPr>
          <w:rFonts w:ascii="Palatino Linotype" w:eastAsia="Times New Roman" w:hAnsi="Palatino Linotype" w:cs="Arial"/>
          <w:lang w:val="es-ES"/>
        </w:rPr>
        <w:t>Se registró</w:t>
      </w:r>
      <w:r w:rsidRPr="00C95803">
        <w:rPr>
          <w:rFonts w:ascii="Palatino Linotype" w:eastAsia="Times New Roman" w:hAnsi="Palatino Linotype" w:cs="Arial"/>
          <w:lang w:val="es-ES"/>
        </w:rPr>
        <w:t xml:space="preserve"> </w:t>
      </w:r>
      <w:r w:rsidR="00666351" w:rsidRPr="00C95803">
        <w:rPr>
          <w:rFonts w:ascii="Palatino Linotype" w:eastAsia="Times New Roman" w:hAnsi="Palatino Linotype" w:cs="Arial"/>
          <w:lang w:val="es-ES"/>
        </w:rPr>
        <w:t>el</w:t>
      </w:r>
      <w:r w:rsidRPr="00C95803">
        <w:rPr>
          <w:rFonts w:ascii="Palatino Linotype" w:eastAsia="Times New Roman" w:hAnsi="Palatino Linotype" w:cs="Arial"/>
          <w:lang w:val="es-ES"/>
        </w:rPr>
        <w:t xml:space="preserve"> recurso de revisión bajo </w:t>
      </w:r>
      <w:r w:rsidR="00666351" w:rsidRPr="00C95803">
        <w:rPr>
          <w:rFonts w:ascii="Palatino Linotype" w:eastAsia="Times New Roman" w:hAnsi="Palatino Linotype" w:cs="Arial"/>
          <w:lang w:val="es-ES"/>
        </w:rPr>
        <w:t>el</w:t>
      </w:r>
      <w:r w:rsidRPr="00C95803">
        <w:rPr>
          <w:rFonts w:ascii="Palatino Linotype" w:eastAsia="Times New Roman" w:hAnsi="Palatino Linotype" w:cs="Arial"/>
          <w:lang w:val="es-ES"/>
        </w:rPr>
        <w:t xml:space="preserve"> número de expediente </w:t>
      </w:r>
      <w:r w:rsidRPr="00C95803">
        <w:rPr>
          <w:rFonts w:ascii="Palatino Linotype" w:hAnsi="Palatino Linotype" w:cs="Arial"/>
          <w:bCs/>
        </w:rPr>
        <w:t xml:space="preserve">al rubro indicado, asimismo con fundamento en lo dispuesto por el </w:t>
      </w:r>
      <w:r w:rsidRPr="00C95803">
        <w:rPr>
          <w:rFonts w:ascii="Palatino Linotype" w:eastAsia="Calibri" w:hAnsi="Palatino Linotype" w:cs="Arial"/>
          <w:lang w:val="es-ES"/>
        </w:rPr>
        <w:t xml:space="preserve">artículo 185 fracción I de la </w:t>
      </w:r>
      <w:r w:rsidRPr="00C95803">
        <w:rPr>
          <w:rFonts w:ascii="Palatino Linotype" w:eastAsia="Calibri" w:hAnsi="Palatino Linotype" w:cs="Arial"/>
          <w:b/>
          <w:lang w:val="es-ES"/>
        </w:rPr>
        <w:t xml:space="preserve">Ley de Transparencia y Acceso a la Información Pública del Estado de México y Municipios </w:t>
      </w:r>
      <w:r w:rsidRPr="00C95803">
        <w:rPr>
          <w:rFonts w:ascii="Palatino Linotype" w:eastAsia="Times New Roman" w:hAnsi="Palatino Linotype" w:cs="Arial"/>
          <w:lang w:val="es-ES"/>
        </w:rPr>
        <w:t>se turn</w:t>
      </w:r>
      <w:r w:rsidR="00666351" w:rsidRPr="00C95803">
        <w:rPr>
          <w:rFonts w:ascii="Palatino Linotype" w:eastAsia="Times New Roman" w:hAnsi="Palatino Linotype" w:cs="Arial"/>
          <w:lang w:val="es-ES"/>
        </w:rPr>
        <w:t>ó</w:t>
      </w:r>
      <w:r w:rsidRPr="00C95803">
        <w:rPr>
          <w:rFonts w:ascii="Palatino Linotype" w:eastAsia="Times New Roman" w:hAnsi="Palatino Linotype" w:cs="Arial"/>
          <w:lang w:val="es-ES"/>
        </w:rPr>
        <w:t xml:space="preserve"> al </w:t>
      </w:r>
      <w:r w:rsidRPr="00C95803">
        <w:rPr>
          <w:rFonts w:ascii="Palatino Linotype" w:eastAsia="Times New Roman" w:hAnsi="Palatino Linotype" w:cs="Arial"/>
          <w:b/>
          <w:lang w:val="es-ES"/>
        </w:rPr>
        <w:t xml:space="preserve">Comisionado José Guadalupe Luna Hernández, </w:t>
      </w:r>
      <w:r w:rsidRPr="00C95803">
        <w:rPr>
          <w:rFonts w:ascii="Palatino Linotype" w:eastAsia="Times New Roman" w:hAnsi="Palatino Linotype" w:cs="Arial"/>
          <w:lang w:val="es-ES"/>
        </w:rPr>
        <w:t xml:space="preserve">con el objeto de </w:t>
      </w:r>
      <w:r w:rsidRPr="00C95803">
        <w:rPr>
          <w:rFonts w:ascii="Palatino Linotype" w:eastAsia="Times New Roman" w:hAnsi="Palatino Linotype" w:cs="Arial"/>
          <w:lang w:val="es-MX"/>
        </w:rPr>
        <w:t xml:space="preserve">su análisis. </w:t>
      </w:r>
    </w:p>
    <w:p w:rsidR="002A5BA4" w:rsidRPr="00C95803" w:rsidRDefault="002A5BA4" w:rsidP="00C95803">
      <w:pPr>
        <w:pStyle w:val="Prrafodelista"/>
        <w:spacing w:line="360" w:lineRule="auto"/>
        <w:ind w:left="0"/>
        <w:rPr>
          <w:rFonts w:ascii="Palatino Linotype" w:hAnsi="Palatino Linotype"/>
          <w:color w:val="000000"/>
        </w:rPr>
      </w:pPr>
    </w:p>
    <w:p w:rsidR="002A5BA4" w:rsidRPr="00C95803" w:rsidRDefault="002A5BA4" w:rsidP="00C95803">
      <w:pPr>
        <w:pStyle w:val="Prrafodelista"/>
        <w:numPr>
          <w:ilvl w:val="0"/>
          <w:numId w:val="1"/>
        </w:numPr>
        <w:spacing w:before="240" w:after="240" w:line="360" w:lineRule="auto"/>
        <w:ind w:left="0" w:firstLine="0"/>
        <w:jc w:val="both"/>
        <w:rPr>
          <w:rFonts w:ascii="Palatino Linotype" w:hAnsi="Palatino Linotype"/>
          <w:i/>
          <w:color w:val="000000"/>
        </w:rPr>
      </w:pPr>
      <w:r w:rsidRPr="00C95803">
        <w:rPr>
          <w:rFonts w:ascii="Palatino Linotype" w:eastAsia="Calibri" w:hAnsi="Palatino Linotype" w:cs="Arial"/>
          <w:lang w:val="es-ES"/>
        </w:rPr>
        <w:t>El Comisionado Ponente con fundamento en lo dispuesto por el artículo 185 fracción II de la ley de la materia, a través d</w:t>
      </w:r>
      <w:r w:rsidR="00852825" w:rsidRPr="00C95803">
        <w:rPr>
          <w:rFonts w:ascii="Palatino Linotype" w:eastAsia="Calibri" w:hAnsi="Palatino Linotype" w:cs="Arial"/>
          <w:lang w:val="es-ES"/>
        </w:rPr>
        <w:t xml:space="preserve">el acuerdo de admisión de fecha </w:t>
      </w:r>
      <w:r w:rsidR="00AD18F6" w:rsidRPr="00C95803">
        <w:rPr>
          <w:rFonts w:ascii="Palatino Linotype" w:eastAsia="Calibri" w:hAnsi="Palatino Linotype" w:cs="Arial"/>
          <w:lang w:val="es-ES"/>
        </w:rPr>
        <w:t>cinco</w:t>
      </w:r>
      <w:r w:rsidR="00812C54" w:rsidRPr="00C95803">
        <w:rPr>
          <w:rFonts w:ascii="Palatino Linotype" w:eastAsia="Calibri" w:hAnsi="Palatino Linotype" w:cs="Arial"/>
          <w:lang w:val="es-ES"/>
        </w:rPr>
        <w:t xml:space="preserve"> (</w:t>
      </w:r>
      <w:r w:rsidR="005707D2" w:rsidRPr="00C95803">
        <w:rPr>
          <w:rFonts w:ascii="Palatino Linotype" w:eastAsia="Calibri" w:hAnsi="Palatino Linotype" w:cs="Arial"/>
          <w:lang w:val="es-ES"/>
        </w:rPr>
        <w:t>0</w:t>
      </w:r>
      <w:r w:rsidR="00AD18F6" w:rsidRPr="00C95803">
        <w:rPr>
          <w:rFonts w:ascii="Palatino Linotype" w:eastAsia="Calibri" w:hAnsi="Palatino Linotype" w:cs="Arial"/>
          <w:lang w:val="es-ES"/>
        </w:rPr>
        <w:t>5</w:t>
      </w:r>
      <w:r w:rsidR="00812C54" w:rsidRPr="00C95803">
        <w:rPr>
          <w:rFonts w:ascii="Palatino Linotype" w:eastAsia="Calibri" w:hAnsi="Palatino Linotype" w:cs="Arial"/>
          <w:lang w:val="es-ES"/>
        </w:rPr>
        <w:t>)</w:t>
      </w:r>
      <w:r w:rsidR="00EF2C7E" w:rsidRPr="00C95803">
        <w:rPr>
          <w:rFonts w:ascii="Palatino Linotype" w:eastAsia="Calibri" w:hAnsi="Palatino Linotype" w:cs="Arial"/>
          <w:lang w:val="es-ES"/>
        </w:rPr>
        <w:t xml:space="preserve"> </w:t>
      </w:r>
      <w:r w:rsidRPr="00C95803">
        <w:rPr>
          <w:rFonts w:ascii="Palatino Linotype" w:eastAsia="Calibri" w:hAnsi="Palatino Linotype" w:cs="Arial"/>
          <w:lang w:val="es-ES"/>
        </w:rPr>
        <w:t xml:space="preserve">de </w:t>
      </w:r>
      <w:r w:rsidR="005707D2" w:rsidRPr="00C95803">
        <w:rPr>
          <w:rFonts w:ascii="Palatino Linotype" w:eastAsia="Calibri" w:hAnsi="Palatino Linotype" w:cs="Arial"/>
          <w:lang w:val="es-ES"/>
        </w:rPr>
        <w:t>septiembre</w:t>
      </w:r>
      <w:r w:rsidRPr="00C95803">
        <w:rPr>
          <w:rFonts w:ascii="Palatino Linotype" w:eastAsia="Calibri" w:hAnsi="Palatino Linotype" w:cs="Arial"/>
          <w:lang w:val="es-ES"/>
        </w:rPr>
        <w:t xml:space="preserve"> de dos mil </w:t>
      </w:r>
      <w:r w:rsidR="000E053C" w:rsidRPr="00C95803">
        <w:rPr>
          <w:rFonts w:ascii="Palatino Linotype" w:eastAsia="Calibri" w:hAnsi="Palatino Linotype" w:cs="Arial"/>
          <w:lang w:val="es-ES"/>
        </w:rPr>
        <w:t>dieci</w:t>
      </w:r>
      <w:r w:rsidR="00794037" w:rsidRPr="00C95803">
        <w:rPr>
          <w:rFonts w:ascii="Palatino Linotype" w:eastAsia="Calibri" w:hAnsi="Palatino Linotype" w:cs="Arial"/>
          <w:lang w:val="es-ES"/>
        </w:rPr>
        <w:t>nueve</w:t>
      </w:r>
      <w:r w:rsidRPr="00C95803">
        <w:rPr>
          <w:rFonts w:ascii="Palatino Linotype" w:eastAsia="Calibri" w:hAnsi="Palatino Linotype" w:cs="Arial"/>
          <w:lang w:val="es-ES"/>
        </w:rPr>
        <w:t xml:space="preserve">, puso a disposición de las partes </w:t>
      </w:r>
      <w:r w:rsidR="00666351" w:rsidRPr="00C95803">
        <w:rPr>
          <w:rFonts w:ascii="Palatino Linotype" w:eastAsia="Calibri" w:hAnsi="Palatino Linotype" w:cs="Arial"/>
          <w:lang w:val="es-ES"/>
        </w:rPr>
        <w:t>el expediente</w:t>
      </w:r>
      <w:r w:rsidRPr="00C95803">
        <w:rPr>
          <w:rFonts w:ascii="Palatino Linotype" w:eastAsia="Calibri" w:hAnsi="Palatino Linotype" w:cs="Arial"/>
          <w:lang w:val="es-ES"/>
        </w:rPr>
        <w:t xml:space="preserve"> electrónico </w:t>
      </w:r>
      <w:r w:rsidRPr="00C95803">
        <w:rPr>
          <w:rFonts w:ascii="Palatino Linotype" w:eastAsia="Calibri" w:hAnsi="Palatino Linotype" w:cs="Arial"/>
        </w:rPr>
        <w:t xml:space="preserve">vía </w:t>
      </w:r>
      <w:r w:rsidRPr="00C95803">
        <w:rPr>
          <w:rFonts w:ascii="Palatino Linotype" w:eastAsia="Calibri" w:hAnsi="Palatino Linotype" w:cs="Arial"/>
          <w:b/>
          <w:lang w:val="es-ES"/>
        </w:rPr>
        <w:t xml:space="preserve">SAIMEX </w:t>
      </w:r>
      <w:r w:rsidRPr="00C95803">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95803">
        <w:rPr>
          <w:rFonts w:ascii="Palatino Linotype" w:eastAsia="Calibri" w:hAnsi="Palatino Linotype" w:cs="Arial"/>
          <w:b/>
          <w:lang w:val="es-ES"/>
        </w:rPr>
        <w:t>SUJETO OBLIGADO</w:t>
      </w:r>
      <w:r w:rsidR="00666351" w:rsidRPr="00C95803">
        <w:rPr>
          <w:rFonts w:ascii="Palatino Linotype" w:eastAsia="Calibri" w:hAnsi="Palatino Linotype" w:cs="Arial"/>
          <w:lang w:val="es-ES"/>
        </w:rPr>
        <w:t xml:space="preserve"> presentará el</w:t>
      </w:r>
      <w:r w:rsidRPr="00C95803">
        <w:rPr>
          <w:rFonts w:ascii="Palatino Linotype" w:eastAsia="Calibri" w:hAnsi="Palatino Linotype" w:cs="Arial"/>
          <w:lang w:val="es-ES"/>
        </w:rPr>
        <w:t xml:space="preserve"> Informe Justificado procedente</w:t>
      </w:r>
      <w:r w:rsidR="00812C54" w:rsidRPr="00C95803">
        <w:rPr>
          <w:rFonts w:ascii="Palatino Linotype" w:eastAsia="Calibri" w:hAnsi="Palatino Linotype" w:cs="Arial"/>
          <w:lang w:val="es-ES"/>
        </w:rPr>
        <w:t>.</w:t>
      </w:r>
    </w:p>
    <w:p w:rsidR="00500D9A" w:rsidRPr="00C95803" w:rsidRDefault="00500D9A" w:rsidP="00C95803">
      <w:pPr>
        <w:pStyle w:val="Prrafodelista"/>
        <w:spacing w:line="360" w:lineRule="auto"/>
        <w:rPr>
          <w:rFonts w:ascii="Palatino Linotype" w:hAnsi="Palatino Linotype"/>
          <w:i/>
          <w:color w:val="000000"/>
        </w:rPr>
      </w:pPr>
    </w:p>
    <w:p w:rsidR="00431594" w:rsidRPr="00C95803" w:rsidRDefault="00431594" w:rsidP="00C95803">
      <w:pPr>
        <w:pStyle w:val="Prrafodelista"/>
        <w:numPr>
          <w:ilvl w:val="0"/>
          <w:numId w:val="1"/>
        </w:numPr>
        <w:spacing w:line="360" w:lineRule="auto"/>
        <w:ind w:left="0" w:hanging="11"/>
        <w:jc w:val="both"/>
        <w:rPr>
          <w:rFonts w:ascii="Palatino Linotype" w:hAnsi="Palatino Linotype"/>
          <w:color w:val="000000"/>
        </w:rPr>
      </w:pPr>
      <w:r w:rsidRPr="00C95803">
        <w:rPr>
          <w:rFonts w:ascii="Palatino Linotype" w:hAnsi="Palatino Linotype"/>
          <w:color w:val="000000"/>
        </w:rPr>
        <w:t xml:space="preserve">El Sujeto Obligado remitió informe justificado a través del documento denominado </w:t>
      </w:r>
      <w:r w:rsidRPr="00C95803">
        <w:rPr>
          <w:rFonts w:ascii="Palatino Linotype" w:hAnsi="Palatino Linotype"/>
          <w:b/>
          <w:i/>
          <w:color w:val="000000"/>
        </w:rPr>
        <w:t>0083-19.pdf</w:t>
      </w:r>
      <w:r w:rsidRPr="00C95803">
        <w:rPr>
          <w:rFonts w:ascii="Palatino Linotype" w:hAnsi="Palatino Linotype"/>
          <w:color w:val="000000"/>
        </w:rPr>
        <w:t>, el cual ya es de conocimiento del recurrente</w:t>
      </w:r>
      <w:r w:rsidR="00953568" w:rsidRPr="00C95803">
        <w:rPr>
          <w:rFonts w:ascii="Palatino Linotype" w:hAnsi="Palatino Linotype"/>
          <w:color w:val="000000"/>
        </w:rPr>
        <w:t xml:space="preserve">, así como también, dio respuesta a las manifestaciones que realizó el recurrente a través del documento denominado </w:t>
      </w:r>
      <w:r w:rsidR="00953568" w:rsidRPr="00C95803">
        <w:rPr>
          <w:rFonts w:ascii="Palatino Linotype" w:hAnsi="Palatino Linotype"/>
          <w:b/>
          <w:i/>
          <w:color w:val="000000"/>
        </w:rPr>
        <w:t xml:space="preserve">FOSEG EDO Y OTROS 2018 DOF-Diario Oficial de la </w:t>
      </w:r>
      <w:proofErr w:type="spellStart"/>
      <w:r w:rsidR="00953568" w:rsidRPr="00C95803">
        <w:rPr>
          <w:rFonts w:ascii="Palatino Linotype" w:hAnsi="Palatino Linotype"/>
          <w:b/>
          <w:i/>
          <w:color w:val="000000"/>
        </w:rPr>
        <w:t>Federacio_n</w:t>
      </w:r>
      <w:proofErr w:type="spellEnd"/>
      <w:r w:rsidR="00953568" w:rsidRPr="00C95803">
        <w:rPr>
          <w:rFonts w:ascii="Palatino Linotype" w:hAnsi="Palatino Linotype"/>
          <w:b/>
          <w:i/>
          <w:color w:val="000000"/>
        </w:rPr>
        <w:t xml:space="preserve"> 2018 EDO y otros</w:t>
      </w:r>
      <w:r w:rsidR="00953568" w:rsidRPr="00C95803">
        <w:rPr>
          <w:rFonts w:ascii="Palatino Linotype" w:hAnsi="Palatino Linotype"/>
          <w:color w:val="000000"/>
        </w:rPr>
        <w:t>, el cual no modificó la respuesta inicial, por lo que será de su conocimiento al momento en que se notifique la presente resolución</w:t>
      </w:r>
      <w:r w:rsidRPr="00C95803">
        <w:rPr>
          <w:rFonts w:ascii="Palatino Linotype" w:hAnsi="Palatino Linotype"/>
          <w:color w:val="000000"/>
        </w:rPr>
        <w:t>; sin embargo, se describirá su contenido a continuación:</w:t>
      </w:r>
    </w:p>
    <w:p w:rsidR="00431594" w:rsidRPr="00C95803" w:rsidRDefault="00431594" w:rsidP="00C95803">
      <w:pPr>
        <w:pStyle w:val="Prrafodelista"/>
        <w:spacing w:line="360" w:lineRule="auto"/>
        <w:rPr>
          <w:rFonts w:ascii="Palatino Linotype" w:hAnsi="Palatino Linotype"/>
          <w:color w:val="000000"/>
        </w:rPr>
      </w:pPr>
    </w:p>
    <w:p w:rsidR="00431594" w:rsidRPr="00C95803" w:rsidRDefault="00431594" w:rsidP="00C95803">
      <w:pPr>
        <w:pStyle w:val="Prrafodelista"/>
        <w:numPr>
          <w:ilvl w:val="0"/>
          <w:numId w:val="7"/>
        </w:numPr>
        <w:spacing w:line="360" w:lineRule="auto"/>
        <w:jc w:val="both"/>
        <w:rPr>
          <w:rFonts w:ascii="Palatino Linotype" w:hAnsi="Palatino Linotype"/>
          <w:color w:val="000000"/>
        </w:rPr>
      </w:pPr>
      <w:r w:rsidRPr="00C95803">
        <w:rPr>
          <w:rFonts w:ascii="Palatino Linotype" w:hAnsi="Palatino Linotype"/>
          <w:b/>
          <w:color w:val="000000"/>
        </w:rPr>
        <w:t>0083-19.pdf</w:t>
      </w:r>
      <w:r w:rsidRPr="00C95803">
        <w:rPr>
          <w:rFonts w:ascii="Palatino Linotype" w:hAnsi="Palatino Linotype"/>
          <w:color w:val="000000"/>
        </w:rPr>
        <w:t>: el cual refiere los gastos erogados por el Fondo de Aportaciones para la Seguridad Pública para los ejercicios fiscales 2015-2019, de los cuales refiere que no se realizó licitación porque los importes ejercidos no rebasaban los establecidos en la Ley y, en relación a los contratos y facturas es comento que no se cuenta con la información por ser de administraciones anteriores.</w:t>
      </w:r>
    </w:p>
    <w:p w:rsidR="00953568" w:rsidRPr="00C95803" w:rsidRDefault="00953568" w:rsidP="00C95803">
      <w:pPr>
        <w:pStyle w:val="Prrafodelista"/>
        <w:spacing w:line="360" w:lineRule="auto"/>
        <w:jc w:val="both"/>
        <w:rPr>
          <w:rFonts w:ascii="Palatino Linotype" w:hAnsi="Palatino Linotype"/>
          <w:color w:val="000000"/>
        </w:rPr>
      </w:pPr>
    </w:p>
    <w:p w:rsidR="00953568" w:rsidRPr="00C95803" w:rsidRDefault="00953568" w:rsidP="00C95803">
      <w:pPr>
        <w:pStyle w:val="Prrafodelista"/>
        <w:numPr>
          <w:ilvl w:val="0"/>
          <w:numId w:val="7"/>
        </w:numPr>
        <w:spacing w:line="360" w:lineRule="auto"/>
        <w:jc w:val="both"/>
        <w:rPr>
          <w:rFonts w:ascii="Palatino Linotype" w:hAnsi="Palatino Linotype"/>
          <w:color w:val="000000"/>
        </w:rPr>
      </w:pPr>
      <w:r w:rsidRPr="00C95803">
        <w:rPr>
          <w:rFonts w:ascii="Palatino Linotype" w:hAnsi="Palatino Linotype"/>
          <w:b/>
          <w:i/>
          <w:color w:val="000000"/>
        </w:rPr>
        <w:t xml:space="preserve">FOSEG EDO Y OTROS 2018 DOF-Diario Oficial de la </w:t>
      </w:r>
      <w:proofErr w:type="spellStart"/>
      <w:r w:rsidRPr="00C95803">
        <w:rPr>
          <w:rFonts w:ascii="Palatino Linotype" w:hAnsi="Palatino Linotype"/>
          <w:b/>
          <w:i/>
          <w:color w:val="000000"/>
        </w:rPr>
        <w:t>Federacio_n</w:t>
      </w:r>
      <w:proofErr w:type="spellEnd"/>
      <w:r w:rsidRPr="00C95803">
        <w:rPr>
          <w:rFonts w:ascii="Palatino Linotype" w:hAnsi="Palatino Linotype"/>
          <w:b/>
          <w:i/>
          <w:color w:val="000000"/>
        </w:rPr>
        <w:t xml:space="preserve"> 2018 EDO y otros: </w:t>
      </w:r>
      <w:r w:rsidRPr="00C95803">
        <w:rPr>
          <w:rFonts w:ascii="Palatino Linotype" w:hAnsi="Palatino Linotype"/>
          <w:color w:val="000000"/>
        </w:rPr>
        <w:t>corresponde a un documento remitido por el recurrente que contiene los lineamientos para el otorgamiento del subsidio para el fortalecimiento del desempeño en materia de seguridad pública a los municipios y demarcaciones territoriales de la Ciudad de México y, en su caso, a las entidades federativas que ejercen de manera directa o coordinada la función para el ejercicio fiscal 2018.</w:t>
      </w:r>
    </w:p>
    <w:p w:rsidR="00431594" w:rsidRPr="00C95803" w:rsidRDefault="00431594" w:rsidP="00C95803">
      <w:pPr>
        <w:spacing w:line="360" w:lineRule="auto"/>
        <w:jc w:val="both"/>
        <w:rPr>
          <w:rFonts w:ascii="Palatino Linotype" w:hAnsi="Palatino Linotype"/>
          <w:color w:val="000000"/>
        </w:rPr>
      </w:pPr>
    </w:p>
    <w:p w:rsidR="00431594" w:rsidRPr="00C95803" w:rsidRDefault="00431594" w:rsidP="00C95803">
      <w:pPr>
        <w:pStyle w:val="Prrafodelista"/>
        <w:numPr>
          <w:ilvl w:val="0"/>
          <w:numId w:val="1"/>
        </w:numPr>
        <w:spacing w:line="360" w:lineRule="auto"/>
        <w:ind w:left="0" w:hanging="11"/>
        <w:jc w:val="both"/>
        <w:rPr>
          <w:rFonts w:ascii="Palatino Linotype" w:hAnsi="Palatino Linotype"/>
          <w:color w:val="000000"/>
        </w:rPr>
      </w:pPr>
      <w:r w:rsidRPr="00C95803">
        <w:rPr>
          <w:rFonts w:ascii="Palatino Linotype" w:hAnsi="Palatino Linotype"/>
          <w:color w:val="000000"/>
        </w:rPr>
        <w:t>El recurrente remitió 2 documentos, que contienen noticias periodísticas relativas al Ayuntamiento de Ecatepec y 1 documento que contiene los lineamientos para el otorgamiento del subsidio para el fortalecimiento del desempeño en materia de seguridad</w:t>
      </w:r>
      <w:r w:rsidR="000E4DB5" w:rsidRPr="00C95803">
        <w:rPr>
          <w:rFonts w:ascii="Palatino Linotype" w:hAnsi="Palatino Linotype"/>
          <w:color w:val="000000"/>
        </w:rPr>
        <w:t xml:space="preserve"> pública a los municipios y demarcaciones territoriales de la Ciudad de México y, en su caso, a las entidades federativas que ejercen de manera directa o coordinada la función para el ejercicio fiscal 2018.</w:t>
      </w:r>
    </w:p>
    <w:p w:rsidR="00431594" w:rsidRPr="00C95803" w:rsidRDefault="00431594" w:rsidP="00C95803">
      <w:pPr>
        <w:pStyle w:val="Prrafodelista"/>
        <w:spacing w:line="360" w:lineRule="auto"/>
        <w:rPr>
          <w:rFonts w:ascii="Palatino Linotype" w:hAnsi="Palatino Linotype"/>
          <w:color w:val="000000"/>
        </w:rPr>
      </w:pPr>
    </w:p>
    <w:p w:rsidR="00274D1E" w:rsidRPr="00C95803" w:rsidRDefault="002A5BA4" w:rsidP="00C95803">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C95803">
        <w:rPr>
          <w:rFonts w:ascii="Palatino Linotype" w:hAnsi="Palatino Linotype"/>
        </w:rPr>
        <w:t>Comisionado Ponente decretó el cierre de instrucción</w:t>
      </w:r>
      <w:r w:rsidRPr="00C95803">
        <w:rPr>
          <w:rFonts w:ascii="Palatino Linotype" w:hAnsi="Palatino Linotype" w:cs="Arial"/>
        </w:rPr>
        <w:t xml:space="preserve"> </w:t>
      </w:r>
      <w:r w:rsidRPr="00C95803">
        <w:rPr>
          <w:rFonts w:ascii="Palatino Linotype" w:hAnsi="Palatino Linotype"/>
        </w:rPr>
        <w:t xml:space="preserve">mediante </w:t>
      </w:r>
      <w:r w:rsidR="00245255" w:rsidRPr="00C95803">
        <w:rPr>
          <w:rFonts w:ascii="Palatino Linotype" w:hAnsi="Palatino Linotype"/>
        </w:rPr>
        <w:t xml:space="preserve">el </w:t>
      </w:r>
      <w:r w:rsidR="00173525" w:rsidRPr="00C95803">
        <w:rPr>
          <w:rFonts w:ascii="Palatino Linotype" w:hAnsi="Palatino Linotype"/>
        </w:rPr>
        <w:t xml:space="preserve">acuerdo de fecha </w:t>
      </w:r>
      <w:r w:rsidR="00A00D7D" w:rsidRPr="00C95803">
        <w:rPr>
          <w:rFonts w:ascii="Palatino Linotype" w:hAnsi="Palatino Linotype"/>
        </w:rPr>
        <w:t>treinta y uno</w:t>
      </w:r>
      <w:r w:rsidR="0034418B" w:rsidRPr="00C95803">
        <w:rPr>
          <w:rFonts w:ascii="Palatino Linotype" w:hAnsi="Palatino Linotype"/>
        </w:rPr>
        <w:t xml:space="preserve"> (</w:t>
      </w:r>
      <w:r w:rsidR="00A00D7D" w:rsidRPr="00C95803">
        <w:rPr>
          <w:rFonts w:ascii="Palatino Linotype" w:hAnsi="Palatino Linotype"/>
        </w:rPr>
        <w:t>31</w:t>
      </w:r>
      <w:r w:rsidR="00B22D36" w:rsidRPr="00C95803">
        <w:rPr>
          <w:rFonts w:ascii="Palatino Linotype" w:hAnsi="Palatino Linotype"/>
        </w:rPr>
        <w:t xml:space="preserve">) de </w:t>
      </w:r>
      <w:r w:rsidR="00A8727A" w:rsidRPr="00C95803">
        <w:rPr>
          <w:rFonts w:ascii="Palatino Linotype" w:hAnsi="Palatino Linotype"/>
        </w:rPr>
        <w:t>octubre</w:t>
      </w:r>
      <w:r w:rsidR="009D4D36" w:rsidRPr="00C95803">
        <w:rPr>
          <w:rFonts w:ascii="Palatino Linotype" w:hAnsi="Palatino Linotype"/>
        </w:rPr>
        <w:t xml:space="preserve"> </w:t>
      </w:r>
      <w:r w:rsidR="00500D9A" w:rsidRPr="00C95803">
        <w:rPr>
          <w:rFonts w:ascii="Palatino Linotype" w:hAnsi="Palatino Linotype"/>
        </w:rPr>
        <w:t xml:space="preserve">de dos mil </w:t>
      </w:r>
      <w:r w:rsidR="000E053C" w:rsidRPr="00C95803">
        <w:rPr>
          <w:rFonts w:ascii="Palatino Linotype" w:eastAsia="Calibri" w:hAnsi="Palatino Linotype" w:cs="Arial"/>
          <w:lang w:val="es-ES"/>
        </w:rPr>
        <w:t>dieci</w:t>
      </w:r>
      <w:r w:rsidR="00245255" w:rsidRPr="00C95803">
        <w:rPr>
          <w:rFonts w:ascii="Palatino Linotype" w:eastAsia="Calibri" w:hAnsi="Palatino Linotype" w:cs="Arial"/>
          <w:lang w:val="es-ES"/>
        </w:rPr>
        <w:t>nueve</w:t>
      </w:r>
      <w:r w:rsidRPr="00C95803">
        <w:rPr>
          <w:rFonts w:ascii="Palatino Linotype" w:hAnsi="Palatino Linotype"/>
        </w:rPr>
        <w:t xml:space="preserve">, </w:t>
      </w:r>
      <w:r w:rsidR="00F55213" w:rsidRPr="00C95803">
        <w:rPr>
          <w:rFonts w:ascii="Palatino Linotype" w:hAnsi="Palatino Linotype" w:cs="Arial"/>
        </w:rPr>
        <w:t>por lo que, ordenó turnar</w:t>
      </w:r>
      <w:r w:rsidR="0034418B" w:rsidRPr="00C95803">
        <w:rPr>
          <w:rFonts w:ascii="Palatino Linotype" w:hAnsi="Palatino Linotype" w:cs="Arial"/>
        </w:rPr>
        <w:t xml:space="preserve"> el</w:t>
      </w:r>
      <w:r w:rsidRPr="00C95803">
        <w:rPr>
          <w:rFonts w:ascii="Palatino Linotype" w:hAnsi="Palatino Linotype" w:cs="Arial"/>
        </w:rPr>
        <w:t xml:space="preserve"> expediente a resolución</w:t>
      </w:r>
      <w:r w:rsidR="00274D1E" w:rsidRPr="00C95803">
        <w:rPr>
          <w:rFonts w:ascii="Palatino Linotype" w:hAnsi="Palatino Linotype" w:cs="Arial"/>
        </w:rPr>
        <w:t>.</w:t>
      </w:r>
      <w:r w:rsidR="009D4D36" w:rsidRPr="00C95803">
        <w:rPr>
          <w:rFonts w:ascii="Palatino Linotype" w:hAnsi="Palatino Linotype" w:cs="Arial"/>
        </w:rPr>
        <w:t xml:space="preserve"> </w:t>
      </w:r>
      <w:r w:rsidR="00550CB1" w:rsidRPr="00C95803">
        <w:rPr>
          <w:rFonts w:ascii="Palatino Linotype" w:hAnsi="Palatino Linotype" w:cs="Arial"/>
        </w:rPr>
        <w:t xml:space="preserve">En fecha </w:t>
      </w:r>
      <w:r w:rsidR="005707D2" w:rsidRPr="00C95803">
        <w:rPr>
          <w:rFonts w:ascii="Palatino Linotype" w:hAnsi="Palatino Linotype" w:cs="Arial"/>
        </w:rPr>
        <w:t>veintidós</w:t>
      </w:r>
      <w:r w:rsidR="00550CB1" w:rsidRPr="00C95803">
        <w:rPr>
          <w:rFonts w:ascii="Palatino Linotype" w:hAnsi="Palatino Linotype" w:cs="Arial"/>
        </w:rPr>
        <w:t xml:space="preserve"> (</w:t>
      </w:r>
      <w:r w:rsidR="005707D2" w:rsidRPr="00C95803">
        <w:rPr>
          <w:rFonts w:ascii="Palatino Linotype" w:hAnsi="Palatino Linotype" w:cs="Arial"/>
        </w:rPr>
        <w:t>22</w:t>
      </w:r>
      <w:r w:rsidR="00550CB1" w:rsidRPr="00C95803">
        <w:rPr>
          <w:rFonts w:ascii="Palatino Linotype" w:hAnsi="Palatino Linotype" w:cs="Arial"/>
        </w:rPr>
        <w:t xml:space="preserve">) de octubre de dos mil diecinueve, </w:t>
      </w:r>
      <w:r w:rsidR="00274D1E" w:rsidRPr="00C95803">
        <w:rPr>
          <w:rFonts w:ascii="Palatino Linotype" w:eastAsia="Calibri" w:hAnsi="Palatino Linotype" w:cs="Arial"/>
          <w:lang w:val="es-MX" w:eastAsia="en-US"/>
        </w:rPr>
        <w:t>con fundamento en el artículo 181 tercer párrafo de la </w:t>
      </w:r>
      <w:r w:rsidR="00274D1E" w:rsidRPr="00C95803">
        <w:rPr>
          <w:rFonts w:ascii="Palatino Linotype" w:eastAsia="Calibri" w:hAnsi="Palatino Linotype" w:cs="Arial"/>
          <w:b/>
          <w:bCs/>
          <w:lang w:val="es-MX" w:eastAsia="en-US"/>
        </w:rPr>
        <w:t>Ley de Transparencia y Acceso a la Información Pública del Estado de México y Municipios, </w:t>
      </w:r>
      <w:r w:rsidR="00274D1E" w:rsidRPr="00C95803">
        <w:rPr>
          <w:rFonts w:ascii="Palatino Linotype" w:eastAsia="Calibri" w:hAnsi="Palatino Linotype" w:cs="Arial"/>
          <w:lang w:val="es-MX" w:eastAsia="en-US"/>
        </w:rPr>
        <w:t>se notificó que el plazo de 30 días para resolver los recursos de revisión, serían ampliados por un periodo de 15 días hábiles adicionales a fin de realizar un mejor estudio del asunto.</w:t>
      </w:r>
    </w:p>
    <w:p w:rsidR="002A5BA4" w:rsidRPr="00C95803" w:rsidRDefault="002A5BA4" w:rsidP="00C95803">
      <w:pPr>
        <w:pStyle w:val="Ttulo1"/>
        <w:spacing w:line="360" w:lineRule="auto"/>
        <w:jc w:val="center"/>
        <w:rPr>
          <w:b w:val="0"/>
          <w:szCs w:val="24"/>
        </w:rPr>
      </w:pPr>
      <w:bookmarkStart w:id="4" w:name="_Toc23418062"/>
      <w:r w:rsidRPr="00C95803">
        <w:rPr>
          <w:szCs w:val="24"/>
        </w:rPr>
        <w:t>CONSIDERANDO</w:t>
      </w:r>
      <w:bookmarkEnd w:id="4"/>
      <w:r w:rsidR="005E6C51" w:rsidRPr="00C95803">
        <w:rPr>
          <w:szCs w:val="24"/>
        </w:rPr>
        <w:t xml:space="preserve"> </w:t>
      </w:r>
    </w:p>
    <w:p w:rsidR="002A5BA4" w:rsidRPr="00C95803" w:rsidRDefault="002A5BA4" w:rsidP="00C95803">
      <w:pPr>
        <w:pStyle w:val="Ttulo2"/>
        <w:spacing w:line="360" w:lineRule="auto"/>
        <w:rPr>
          <w:rFonts w:ascii="Palatino Linotype" w:hAnsi="Palatino Linotype"/>
          <w:b/>
          <w:bCs/>
          <w:color w:val="auto"/>
          <w:spacing w:val="60"/>
          <w:sz w:val="24"/>
          <w:szCs w:val="24"/>
        </w:rPr>
      </w:pPr>
      <w:bookmarkStart w:id="5" w:name="_Toc23418063"/>
      <w:r w:rsidRPr="00C95803">
        <w:rPr>
          <w:rFonts w:ascii="Palatino Linotype" w:hAnsi="Palatino Linotype"/>
          <w:b/>
          <w:color w:val="auto"/>
          <w:sz w:val="24"/>
          <w:szCs w:val="24"/>
        </w:rPr>
        <w:t>PRIMERO. De la competencia</w:t>
      </w:r>
      <w:bookmarkEnd w:id="5"/>
    </w:p>
    <w:p w:rsidR="002A5BA4" w:rsidRPr="00C95803" w:rsidRDefault="002A5BA4" w:rsidP="00C95803">
      <w:pPr>
        <w:pStyle w:val="Prrafodelista"/>
        <w:numPr>
          <w:ilvl w:val="0"/>
          <w:numId w:val="1"/>
        </w:numPr>
        <w:spacing w:before="240" w:after="240" w:line="360" w:lineRule="auto"/>
        <w:ind w:left="0" w:firstLine="0"/>
        <w:jc w:val="both"/>
        <w:rPr>
          <w:rFonts w:ascii="Palatino Linotype" w:hAnsi="Palatino Linotype"/>
        </w:rPr>
      </w:pPr>
      <w:r w:rsidRPr="00C9580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95803">
        <w:rPr>
          <w:rFonts w:ascii="Palatino Linotype" w:eastAsia="Calibri" w:hAnsi="Palatino Linotype" w:cs="Times New Roman"/>
          <w:b/>
          <w:lang w:val="es-ES"/>
        </w:rPr>
        <w:t>Constitución Política de los Estados Unidos Mexicanos</w:t>
      </w:r>
      <w:r w:rsidRPr="00C95803">
        <w:rPr>
          <w:rFonts w:ascii="Palatino Linotype" w:eastAsia="Calibri" w:hAnsi="Palatino Linotype" w:cs="Times New Roman"/>
          <w:lang w:val="es-ES"/>
        </w:rPr>
        <w:t xml:space="preserve">; 5, párrafos </w:t>
      </w:r>
      <w:r w:rsidRPr="00C95803">
        <w:rPr>
          <w:rFonts w:ascii="Palatino Linotype" w:hAnsi="Palatino Linotype" w:cs="Arial"/>
          <w:bCs/>
          <w:color w:val="222222"/>
          <w:lang w:val="es-ES"/>
        </w:rPr>
        <w:t xml:space="preserve">vigésimo, vigésimo primero y vigésimo segundo </w:t>
      </w:r>
      <w:r w:rsidRPr="00C95803">
        <w:rPr>
          <w:rFonts w:ascii="Palatino Linotype" w:eastAsia="Calibri" w:hAnsi="Palatino Linotype" w:cs="Times New Roman"/>
          <w:lang w:val="es-ES"/>
        </w:rPr>
        <w:t xml:space="preserve">fracciones IV y V de la </w:t>
      </w:r>
      <w:r w:rsidRPr="00C95803">
        <w:rPr>
          <w:rFonts w:ascii="Palatino Linotype" w:eastAsia="Calibri" w:hAnsi="Palatino Linotype" w:cs="Times New Roman"/>
          <w:b/>
          <w:lang w:val="es-ES"/>
        </w:rPr>
        <w:t>Constitución Política del Estado Libre y Soberano de México</w:t>
      </w:r>
      <w:r w:rsidRPr="00C95803">
        <w:rPr>
          <w:rFonts w:ascii="Palatino Linotype" w:eastAsia="Calibri" w:hAnsi="Palatino Linotype" w:cs="Times New Roman"/>
          <w:lang w:val="es-ES"/>
        </w:rPr>
        <w:t xml:space="preserve">; artículos 1, 2 fracción II, 13, 29, 36 fracciones I y II, 176, 178, 179, 181 párrafo tercero y 185 </w:t>
      </w:r>
      <w:r w:rsidRPr="00C95803">
        <w:rPr>
          <w:rFonts w:ascii="Palatino Linotype" w:eastAsia="Calibri" w:hAnsi="Palatino Linotype" w:cs="Arial"/>
          <w:lang w:val="es-ES"/>
        </w:rPr>
        <w:t xml:space="preserve">de la </w:t>
      </w:r>
      <w:r w:rsidRPr="00C95803">
        <w:rPr>
          <w:rFonts w:ascii="Palatino Linotype" w:eastAsia="Calibri" w:hAnsi="Palatino Linotype" w:cs="Arial"/>
          <w:b/>
          <w:lang w:val="es-ES"/>
        </w:rPr>
        <w:t>Ley de Transparencia y Acceso a la Información Pública del Estado de México y Municipios</w:t>
      </w:r>
      <w:r w:rsidRPr="00C95803">
        <w:rPr>
          <w:rFonts w:ascii="Palatino Linotype" w:eastAsia="Calibri" w:hAnsi="Palatino Linotype" w:cs="Arial"/>
          <w:lang w:val="es-ES"/>
        </w:rPr>
        <w:t xml:space="preserve">; y 7, 9 fracciones I y XXIV, y 11 del </w:t>
      </w:r>
      <w:r w:rsidRPr="00C9580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95803">
        <w:rPr>
          <w:rFonts w:ascii="Palatino Linotype" w:hAnsi="Palatino Linotype"/>
        </w:rPr>
        <w:t>.</w:t>
      </w:r>
    </w:p>
    <w:p w:rsidR="00F854E9" w:rsidRPr="00C95803" w:rsidRDefault="00F854E9" w:rsidP="00C95803">
      <w:pPr>
        <w:pStyle w:val="Prrafodelista"/>
        <w:spacing w:before="240" w:after="240" w:line="360" w:lineRule="auto"/>
        <w:ind w:left="0"/>
        <w:jc w:val="both"/>
        <w:rPr>
          <w:rFonts w:ascii="Palatino Linotype" w:hAnsi="Palatino Linotype"/>
        </w:rPr>
      </w:pPr>
    </w:p>
    <w:p w:rsidR="002A5BA4" w:rsidRPr="00C95803" w:rsidRDefault="002A5BA4" w:rsidP="00C95803">
      <w:pPr>
        <w:pStyle w:val="Ttulo2"/>
        <w:spacing w:line="360" w:lineRule="auto"/>
        <w:rPr>
          <w:rFonts w:ascii="Palatino Linotype" w:hAnsi="Palatino Linotype"/>
          <w:b/>
          <w:color w:val="auto"/>
          <w:sz w:val="24"/>
          <w:szCs w:val="24"/>
        </w:rPr>
      </w:pPr>
      <w:bookmarkStart w:id="6" w:name="_Toc23418064"/>
      <w:r w:rsidRPr="00C95803">
        <w:rPr>
          <w:rFonts w:ascii="Palatino Linotype" w:hAnsi="Palatino Linotype"/>
          <w:b/>
          <w:color w:val="auto"/>
          <w:sz w:val="24"/>
          <w:szCs w:val="24"/>
        </w:rPr>
        <w:t>SEGUNDO. De la oportunidad y procedencia.</w:t>
      </w:r>
      <w:bookmarkEnd w:id="6"/>
    </w:p>
    <w:p w:rsidR="002D7BFD" w:rsidRPr="00C95803" w:rsidRDefault="002D7BFD" w:rsidP="00C95803">
      <w:pPr>
        <w:pStyle w:val="Prrafodelista"/>
        <w:spacing w:line="360" w:lineRule="auto"/>
        <w:rPr>
          <w:rFonts w:ascii="Palatino Linotype" w:eastAsia="Times New Roman" w:hAnsi="Palatino Linotype" w:cs="Arial"/>
          <w:color w:val="000000"/>
        </w:rPr>
      </w:pPr>
      <w:bookmarkStart w:id="7" w:name="_Toc486525253"/>
    </w:p>
    <w:p w:rsidR="00E44693" w:rsidRPr="00C95803" w:rsidRDefault="00E44693" w:rsidP="00C95803">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C95803">
        <w:rPr>
          <w:rFonts w:ascii="Palatino Linotype" w:eastAsia="Calibri" w:hAnsi="Palatino Linotype" w:cs="Arial"/>
          <w:lang w:val="es-ES"/>
        </w:rPr>
        <w:t xml:space="preserve">Es de precisar, que la Ley de Transparencia y Acceso a la Información Pública del Estado de México y Municipios, en el artículo </w:t>
      </w:r>
      <w:r w:rsidRPr="00C95803">
        <w:rPr>
          <w:rFonts w:ascii="Palatino Linotype" w:eastAsia="Calibri" w:hAnsi="Palatino Linotype" w:cs="Arial"/>
          <w:b/>
          <w:lang w:val="es-ES"/>
        </w:rPr>
        <w:t>178</w:t>
      </w:r>
      <w:r w:rsidRPr="00C95803">
        <w:rPr>
          <w:rFonts w:ascii="Palatino Linotype" w:eastAsia="Calibri" w:hAnsi="Palatino Linotype" w:cs="Arial"/>
          <w:lang w:val="es-ES"/>
        </w:rPr>
        <w:t xml:space="preserve"> describe la procedencia del recurso de revisión, asimismo señala que el plazo del </w:t>
      </w:r>
      <w:r w:rsidRPr="00C95803">
        <w:rPr>
          <w:rFonts w:ascii="Palatino Linotype" w:eastAsia="Calibri" w:hAnsi="Palatino Linotype" w:cs="Arial"/>
          <w:b/>
          <w:lang w:val="es-ES"/>
        </w:rPr>
        <w:t>SUJETO OBLIGADO</w:t>
      </w:r>
      <w:r w:rsidRPr="00C95803">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E44693" w:rsidRPr="00C95803" w:rsidRDefault="00E44693" w:rsidP="00C95803">
      <w:pPr>
        <w:pStyle w:val="Prrafodelista"/>
        <w:spacing w:before="240" w:after="240" w:line="360" w:lineRule="auto"/>
        <w:ind w:left="0"/>
        <w:jc w:val="both"/>
        <w:rPr>
          <w:rFonts w:ascii="Palatino Linotype" w:eastAsia="Times New Roman" w:hAnsi="Palatino Linotype" w:cs="Arial"/>
          <w:color w:val="000000"/>
        </w:rPr>
      </w:pPr>
    </w:p>
    <w:p w:rsidR="00E44693" w:rsidRPr="00C95803" w:rsidRDefault="00E44693" w:rsidP="00C95803">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C95803">
        <w:rPr>
          <w:rFonts w:ascii="Palatino Linotype" w:eastAsia="Calibri" w:hAnsi="Palatino Linotype" w:cs="Arial"/>
          <w:lang w:val="es-ES"/>
        </w:rPr>
        <w:t xml:space="preserve">Por ende, se constituye la figura jurídica de la </w:t>
      </w:r>
      <w:r w:rsidRPr="00C95803">
        <w:rPr>
          <w:rFonts w:ascii="Palatino Linotype" w:eastAsia="Calibri" w:hAnsi="Palatino Linotype" w:cs="Arial"/>
          <w:i/>
          <w:lang w:val="es-ES"/>
        </w:rPr>
        <w:t>negativa ficta</w:t>
      </w:r>
      <w:r w:rsidRPr="00C95803">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95803">
        <w:rPr>
          <w:rFonts w:ascii="Palatino Linotype" w:eastAsia="Calibri" w:hAnsi="Palatino Linotype" w:cs="Arial"/>
          <w:b/>
          <w:lang w:val="es-ES"/>
        </w:rPr>
        <w:t>178</w:t>
      </w:r>
      <w:r w:rsidRPr="00C95803">
        <w:rPr>
          <w:rFonts w:ascii="Palatino Linotype" w:eastAsia="Calibri" w:hAnsi="Palatino Linotype" w:cs="Arial"/>
          <w:lang w:val="es-ES"/>
        </w:rPr>
        <w:t xml:space="preserve"> segundo párrafo de </w:t>
      </w:r>
      <w:r w:rsidRPr="00C95803">
        <w:rPr>
          <w:rFonts w:ascii="Palatino Linotype" w:eastAsia="Calibri" w:hAnsi="Palatino Linotype" w:cs="Arial"/>
          <w:b/>
          <w:lang w:val="es-ES"/>
        </w:rPr>
        <w:t>Ley de Transparencia y Acceso a la Información Pública del Estado de México y Municipios</w:t>
      </w:r>
      <w:r w:rsidRPr="00C95803">
        <w:rPr>
          <w:rFonts w:ascii="Palatino Linotype" w:eastAsia="Calibri" w:hAnsi="Palatino Linotype" w:cs="Times New Roman"/>
          <w:color w:val="000000"/>
          <w:shd w:val="clear" w:color="auto" w:fill="FFFFFF"/>
          <w:lang w:val="es-MX" w:eastAsia="en-US"/>
        </w:rPr>
        <w:t xml:space="preserve">, que dispone; ante la falta de respuesta del </w:t>
      </w:r>
      <w:r w:rsidRPr="00C95803">
        <w:rPr>
          <w:rFonts w:ascii="Palatino Linotype" w:eastAsia="Calibri" w:hAnsi="Palatino Linotype" w:cs="Times New Roman"/>
          <w:b/>
          <w:color w:val="000000"/>
          <w:shd w:val="clear" w:color="auto" w:fill="FFFFFF"/>
          <w:lang w:val="es-MX" w:eastAsia="en-US"/>
        </w:rPr>
        <w:t>SUJETO OBLIGADO,</w:t>
      </w:r>
      <w:r w:rsidRPr="00C95803">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C95803">
        <w:rPr>
          <w:rFonts w:ascii="Palatino Linotype" w:eastAsia="Calibri" w:hAnsi="Palatino Linotype" w:cs="Times New Roman"/>
          <w:b/>
          <w:color w:val="000000"/>
          <w:shd w:val="clear" w:color="auto" w:fill="FFFFFF"/>
          <w:lang w:val="es-MX" w:eastAsia="en-US"/>
        </w:rPr>
        <w:t xml:space="preserve">podrá ser interpuesto en cualquier momento. </w:t>
      </w:r>
    </w:p>
    <w:p w:rsidR="00E44693" w:rsidRPr="00C95803" w:rsidRDefault="00E44693" w:rsidP="00C95803">
      <w:pPr>
        <w:pStyle w:val="Prrafodelista"/>
        <w:spacing w:line="360" w:lineRule="auto"/>
        <w:ind w:left="0"/>
        <w:rPr>
          <w:rFonts w:ascii="Palatino Linotype" w:eastAsia="Times New Roman" w:hAnsi="Palatino Linotype" w:cs="Arial"/>
          <w:color w:val="000000"/>
        </w:rPr>
      </w:pPr>
    </w:p>
    <w:p w:rsidR="00E44693" w:rsidRPr="00C95803" w:rsidRDefault="00E44693" w:rsidP="00C95803">
      <w:pPr>
        <w:pStyle w:val="Prrafodelista"/>
        <w:numPr>
          <w:ilvl w:val="0"/>
          <w:numId w:val="1"/>
        </w:numPr>
        <w:spacing w:before="240" w:after="240" w:line="360" w:lineRule="auto"/>
        <w:ind w:left="0" w:firstLine="0"/>
        <w:jc w:val="both"/>
        <w:rPr>
          <w:rFonts w:ascii="Palatino Linotype" w:eastAsia="Times New Roman" w:hAnsi="Palatino Linotype" w:cs="Arial"/>
          <w:color w:val="000000"/>
        </w:rPr>
      </w:pPr>
      <w:r w:rsidRPr="00C95803">
        <w:rPr>
          <w:rFonts w:ascii="Palatino Linotype" w:eastAsia="Calibri" w:hAnsi="Palatino Linotype" w:cs="Arial"/>
          <w:lang w:val="es-ES"/>
        </w:rPr>
        <w:t xml:space="preserve">Por lo que, tratándose de la </w:t>
      </w:r>
      <w:r w:rsidRPr="00C95803">
        <w:rPr>
          <w:rFonts w:ascii="Palatino Linotype" w:eastAsia="Calibri" w:hAnsi="Palatino Linotype" w:cs="Arial"/>
          <w:i/>
          <w:lang w:val="es-ES"/>
        </w:rPr>
        <w:t>negativa ficta</w:t>
      </w:r>
      <w:r w:rsidRPr="00C95803">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95803">
        <w:rPr>
          <w:rFonts w:ascii="Palatino Linotype" w:eastAsia="Calibri" w:hAnsi="Palatino Linotype" w:cs="Arial"/>
          <w:i/>
          <w:lang w:val="es-ES"/>
        </w:rPr>
        <w:t>negativa ficta</w:t>
      </w:r>
      <w:r w:rsidRPr="00C95803">
        <w:rPr>
          <w:rFonts w:ascii="Palatino Linotype" w:eastAsia="Calibri" w:hAnsi="Palatino Linotype" w:cs="Arial"/>
          <w:lang w:val="es-ES"/>
        </w:rPr>
        <w:t>, que señala:</w:t>
      </w:r>
    </w:p>
    <w:p w:rsidR="00E44693" w:rsidRPr="00C95803" w:rsidRDefault="00E44693" w:rsidP="00C95803">
      <w:pPr>
        <w:spacing w:before="240" w:after="240" w:line="360" w:lineRule="auto"/>
        <w:ind w:left="567" w:right="567"/>
        <w:jc w:val="center"/>
        <w:rPr>
          <w:rFonts w:ascii="Palatino Linotype" w:eastAsia="Calibri" w:hAnsi="Palatino Linotype" w:cs="Arial"/>
          <w:b/>
          <w:lang w:val="es-ES"/>
        </w:rPr>
      </w:pPr>
      <w:r w:rsidRPr="00C95803">
        <w:rPr>
          <w:rFonts w:ascii="Palatino Linotype" w:eastAsia="Calibri" w:hAnsi="Palatino Linotype" w:cs="Arial"/>
          <w:b/>
          <w:lang w:val="es-ES"/>
        </w:rPr>
        <w:t>Criterio 0001-15</w:t>
      </w:r>
    </w:p>
    <w:p w:rsidR="00E44693" w:rsidRPr="00C95803" w:rsidRDefault="00E44693" w:rsidP="00C95803">
      <w:pPr>
        <w:spacing w:before="240" w:after="240" w:line="360" w:lineRule="auto"/>
        <w:ind w:left="567" w:right="567"/>
        <w:jc w:val="both"/>
        <w:rPr>
          <w:rFonts w:ascii="Palatino Linotype" w:eastAsia="Calibri" w:hAnsi="Palatino Linotype" w:cs="Arial"/>
          <w:b/>
          <w:i/>
          <w:lang w:val="es-ES"/>
        </w:rPr>
      </w:pPr>
      <w:r w:rsidRPr="00C95803">
        <w:rPr>
          <w:rFonts w:ascii="Palatino Linotype" w:eastAsia="Calibri" w:hAnsi="Palatino Linotype" w:cs="Arial"/>
          <w:b/>
          <w:i/>
          <w:lang w:val="es-ES"/>
        </w:rPr>
        <w:t>NEGATIVA FICTA. PLAZO PARA INTERPONER EL RECURSO DE REVISIÓN TRATÁNDOSE DE.</w:t>
      </w:r>
      <w:r w:rsidRPr="00C95803">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44693" w:rsidRPr="00C95803" w:rsidRDefault="00E44693" w:rsidP="00C95803">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C95803">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C95803">
        <w:rPr>
          <w:rFonts w:ascii="Palatino Linotype" w:eastAsia="Times New Roman" w:hAnsi="Palatino Linotype" w:cs="Arial"/>
          <w:b/>
          <w:color w:val="000000" w:themeColor="text1"/>
          <w:lang w:val="es-ES" w:eastAsia="es-MX"/>
        </w:rPr>
        <w:t>SUJETO OBLIGADO</w:t>
      </w:r>
      <w:r w:rsidRPr="00C95803">
        <w:rPr>
          <w:rFonts w:ascii="Palatino Linotype" w:eastAsia="Times New Roman" w:hAnsi="Palatino Linotype" w:cs="Arial"/>
          <w:color w:val="000000" w:themeColor="text1"/>
          <w:lang w:val="es-ES" w:eastAsia="es-MX"/>
        </w:rPr>
        <w:t>.</w:t>
      </w:r>
    </w:p>
    <w:p w:rsidR="00E44693" w:rsidRPr="00C95803" w:rsidRDefault="00E44693" w:rsidP="00C95803">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rsidR="00E44693" w:rsidRPr="00C95803" w:rsidRDefault="00E44693" w:rsidP="00C95803">
      <w:pPr>
        <w:pStyle w:val="Prrafodelista"/>
        <w:numPr>
          <w:ilvl w:val="0"/>
          <w:numId w:val="1"/>
        </w:numPr>
        <w:spacing w:before="240" w:after="240" w:line="360" w:lineRule="auto"/>
        <w:ind w:left="0" w:firstLine="0"/>
        <w:jc w:val="both"/>
        <w:rPr>
          <w:rFonts w:ascii="Palatino Linotype" w:eastAsia="Times New Roman" w:hAnsi="Palatino Linotype" w:cs="Arial"/>
          <w:color w:val="000000" w:themeColor="text1"/>
          <w:lang w:val="es-ES" w:eastAsia="es-MX"/>
        </w:rPr>
      </w:pPr>
      <w:r w:rsidRPr="00C95803">
        <w:rPr>
          <w:rFonts w:ascii="Palatino Linotype" w:hAnsi="Palatino Linotype"/>
        </w:rPr>
        <w:t>Por consiguiente, tratándose</w:t>
      </w:r>
      <w:r w:rsidRPr="00C95803">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E44693" w:rsidRPr="00C95803" w:rsidRDefault="00E44693" w:rsidP="00C95803">
      <w:pPr>
        <w:pStyle w:val="Prrafodelista"/>
        <w:spacing w:line="360" w:lineRule="auto"/>
        <w:rPr>
          <w:rFonts w:ascii="Palatino Linotype" w:eastAsia="Times New Roman" w:hAnsi="Palatino Linotype" w:cs="Arial"/>
          <w:color w:val="000000" w:themeColor="text1"/>
          <w:lang w:val="es-ES" w:eastAsia="es-MX"/>
        </w:rPr>
      </w:pPr>
    </w:p>
    <w:p w:rsidR="00E44693" w:rsidRPr="00C95803" w:rsidRDefault="00E44693" w:rsidP="00C95803">
      <w:pPr>
        <w:pStyle w:val="Prrafodelista"/>
        <w:numPr>
          <w:ilvl w:val="0"/>
          <w:numId w:val="1"/>
        </w:numPr>
        <w:spacing w:before="240" w:after="240" w:line="360" w:lineRule="auto"/>
        <w:ind w:left="0" w:firstLine="0"/>
        <w:jc w:val="both"/>
        <w:rPr>
          <w:rFonts w:ascii="Palatino Linotype" w:hAnsi="Palatino Linotype"/>
        </w:rPr>
      </w:pPr>
      <w:r w:rsidRPr="00C95803">
        <w:rPr>
          <w:rFonts w:ascii="Palatino Linotype" w:eastAsia="Calibri" w:hAnsi="Palatino Linotype" w:cs="Times New Roman"/>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C95803">
        <w:rPr>
          <w:rFonts w:ascii="Palatino Linotype" w:eastAsia="Calibri" w:hAnsi="Palatino Linotype" w:cs="Times New Roman"/>
          <w:b/>
          <w:lang w:val="es-ES"/>
        </w:rPr>
        <w:t xml:space="preserve">no proporciona su nombre completo para que sea </w:t>
      </w:r>
      <w:r w:rsidRPr="00C95803">
        <w:rPr>
          <w:rFonts w:ascii="Palatino Linotype" w:eastAsia="Calibri" w:hAnsi="Palatino Linotype" w:cs="Times New Roman"/>
          <w:b/>
          <w:u w:val="single"/>
          <w:lang w:val="es-ES"/>
        </w:rPr>
        <w:t>identificado</w:t>
      </w:r>
      <w:r w:rsidRPr="00C95803">
        <w:rPr>
          <w:rFonts w:ascii="Palatino Linotype" w:eastAsia="Calibri" w:hAnsi="Palatino Linotype" w:cs="Times New Roman"/>
          <w:b/>
          <w:lang w:val="es-ES"/>
        </w:rPr>
        <w:t>,</w:t>
      </w:r>
      <w:r w:rsidRPr="00C95803">
        <w:rPr>
          <w:rFonts w:ascii="Palatino Linotype" w:eastAsia="Calibri" w:hAnsi="Palatino Linotype" w:cs="Times New Roman"/>
          <w:lang w:val="es-ES"/>
        </w:rPr>
        <w:t xml:space="preserve"> ni se tiene la certeza sobre su identidad, sin embargo, es importante señalar también que </w:t>
      </w:r>
      <w:r w:rsidRPr="00C95803">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44693" w:rsidRPr="00C95803" w:rsidRDefault="00E44693" w:rsidP="00C95803">
      <w:pPr>
        <w:pStyle w:val="Prrafodelista"/>
        <w:spacing w:line="360" w:lineRule="auto"/>
        <w:ind w:left="0"/>
        <w:rPr>
          <w:rFonts w:ascii="Palatino Linotype" w:eastAsia="Calibri" w:hAnsi="Palatino Linotype" w:cs="Times New Roman"/>
          <w:lang w:val="es-ES"/>
        </w:rPr>
      </w:pPr>
    </w:p>
    <w:p w:rsidR="00E44693" w:rsidRPr="00C95803" w:rsidRDefault="00E44693" w:rsidP="00C95803">
      <w:pPr>
        <w:pStyle w:val="Prrafodelista"/>
        <w:numPr>
          <w:ilvl w:val="0"/>
          <w:numId w:val="1"/>
        </w:numPr>
        <w:spacing w:before="240" w:after="240" w:line="360" w:lineRule="auto"/>
        <w:ind w:left="0" w:firstLine="0"/>
        <w:jc w:val="both"/>
        <w:rPr>
          <w:rFonts w:ascii="Palatino Linotype" w:hAnsi="Palatino Linotype"/>
        </w:rPr>
      </w:pPr>
      <w:r w:rsidRPr="00C95803">
        <w:rPr>
          <w:rFonts w:ascii="Palatino Linotype" w:eastAsia="Calibri" w:hAnsi="Palatino Linotype" w:cs="Times New Roman"/>
          <w:lang w:val="es-ES"/>
        </w:rPr>
        <w:t xml:space="preserve">Esto es así, ya que de conformidad con los artículos 6, apartado A, fracciones III y IV de la </w:t>
      </w:r>
      <w:r w:rsidRPr="00C95803">
        <w:rPr>
          <w:rFonts w:ascii="Palatino Linotype" w:eastAsia="Calibri" w:hAnsi="Palatino Linotype" w:cs="Times New Roman"/>
          <w:b/>
          <w:lang w:val="es-ES"/>
        </w:rPr>
        <w:t>Constitución Política de los Estados Unidos Mexicanos</w:t>
      </w:r>
      <w:r w:rsidRPr="00C95803">
        <w:rPr>
          <w:rFonts w:ascii="Palatino Linotype" w:eastAsia="Calibri" w:hAnsi="Palatino Linotype" w:cs="Times New Roman"/>
          <w:lang w:val="es-ES"/>
        </w:rPr>
        <w:t xml:space="preserve">; 5, párrafos vigésimo, vigésimo primero y vigésimo segundo fracciones III, IV y V de la </w:t>
      </w:r>
      <w:r w:rsidRPr="00C95803">
        <w:rPr>
          <w:rFonts w:ascii="Palatino Linotype" w:eastAsia="Calibri" w:hAnsi="Palatino Linotype" w:cs="Times New Roman"/>
          <w:b/>
          <w:lang w:val="es-ES"/>
        </w:rPr>
        <w:t>Constitución Política del Estado Libre y Soberano de México</w:t>
      </w:r>
      <w:r w:rsidRPr="00C95803">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44693" w:rsidRPr="00C95803" w:rsidRDefault="00E44693" w:rsidP="00C95803">
      <w:pPr>
        <w:pStyle w:val="Prrafodelista"/>
        <w:spacing w:line="360" w:lineRule="auto"/>
        <w:ind w:left="0"/>
        <w:rPr>
          <w:rFonts w:ascii="Palatino Linotype" w:eastAsia="Calibri" w:hAnsi="Palatino Linotype" w:cs="Times New Roman"/>
          <w:lang w:val="es-ES"/>
        </w:rPr>
      </w:pPr>
    </w:p>
    <w:p w:rsidR="00E44693" w:rsidRPr="00C95803" w:rsidRDefault="00E44693" w:rsidP="00C95803">
      <w:pPr>
        <w:pStyle w:val="Prrafodelista"/>
        <w:numPr>
          <w:ilvl w:val="0"/>
          <w:numId w:val="1"/>
        </w:numPr>
        <w:spacing w:before="240" w:after="240" w:line="360" w:lineRule="auto"/>
        <w:ind w:left="0" w:firstLine="0"/>
        <w:jc w:val="both"/>
        <w:rPr>
          <w:rFonts w:ascii="Palatino Linotype" w:hAnsi="Palatino Linotype"/>
        </w:rPr>
      </w:pPr>
      <w:r w:rsidRPr="00C95803">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44693" w:rsidRPr="00C95803" w:rsidRDefault="00E44693" w:rsidP="00C95803">
      <w:pPr>
        <w:pStyle w:val="Prrafodelista"/>
        <w:spacing w:line="360" w:lineRule="auto"/>
        <w:ind w:left="0"/>
        <w:rPr>
          <w:rFonts w:ascii="Palatino Linotype" w:hAnsi="Palatino Linotype"/>
        </w:rPr>
      </w:pPr>
    </w:p>
    <w:p w:rsidR="00E44693" w:rsidRPr="00C95803" w:rsidRDefault="00E44693" w:rsidP="00C95803">
      <w:pPr>
        <w:pStyle w:val="Prrafodelista"/>
        <w:numPr>
          <w:ilvl w:val="0"/>
          <w:numId w:val="1"/>
        </w:numPr>
        <w:spacing w:before="240" w:after="240" w:line="360" w:lineRule="auto"/>
        <w:ind w:left="0" w:firstLine="0"/>
        <w:jc w:val="both"/>
        <w:rPr>
          <w:rFonts w:ascii="Palatino Linotype" w:hAnsi="Palatino Linotype"/>
        </w:rPr>
      </w:pPr>
      <w:r w:rsidRPr="00C95803">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44693" w:rsidRPr="00C95803" w:rsidRDefault="00E44693" w:rsidP="00C95803">
      <w:pPr>
        <w:pStyle w:val="Prrafodelista"/>
        <w:spacing w:line="360" w:lineRule="auto"/>
        <w:ind w:left="0"/>
        <w:rPr>
          <w:rFonts w:ascii="Palatino Linotype" w:hAnsi="Palatino Linotype"/>
        </w:rPr>
      </w:pPr>
    </w:p>
    <w:p w:rsidR="00E44693" w:rsidRPr="00C95803" w:rsidRDefault="00E44693" w:rsidP="00C95803">
      <w:pPr>
        <w:pStyle w:val="Prrafodelista"/>
        <w:numPr>
          <w:ilvl w:val="0"/>
          <w:numId w:val="1"/>
        </w:numPr>
        <w:spacing w:before="240" w:after="240" w:line="360" w:lineRule="auto"/>
        <w:ind w:left="0" w:firstLine="0"/>
        <w:jc w:val="both"/>
        <w:rPr>
          <w:rFonts w:ascii="Palatino Linotype" w:hAnsi="Palatino Linotype"/>
        </w:rPr>
      </w:pPr>
      <w:r w:rsidRPr="00C95803">
        <w:rPr>
          <w:rFonts w:ascii="Palatino Linotype" w:eastAsia="Calibri" w:hAnsi="Palatino Linotype" w:cs="Times New Roman"/>
          <w:lang w:val="es-ES"/>
        </w:rPr>
        <w:t>Por</w:t>
      </w:r>
      <w:r w:rsidRPr="00C95803">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C95803">
        <w:rPr>
          <w:rFonts w:ascii="Palatino Linotype" w:eastAsia="Times New Roman" w:hAnsi="Palatino Linotype" w:cs="Arial"/>
          <w:lang w:val="es-ES"/>
        </w:rPr>
        <w:t>Resolutor</w:t>
      </w:r>
      <w:proofErr w:type="spellEnd"/>
      <w:r w:rsidRPr="00C95803">
        <w:rPr>
          <w:rFonts w:ascii="Palatino Linotype" w:eastAsia="Times New Roman" w:hAnsi="Palatino Linotype" w:cs="Arial"/>
          <w:lang w:val="es-ES"/>
        </w:rPr>
        <w:t>.</w:t>
      </w:r>
    </w:p>
    <w:p w:rsidR="00E44693" w:rsidRPr="00C95803" w:rsidRDefault="00E44693" w:rsidP="00C95803">
      <w:pPr>
        <w:pStyle w:val="Prrafodelista"/>
        <w:spacing w:line="360" w:lineRule="auto"/>
        <w:rPr>
          <w:rFonts w:ascii="Palatino Linotype" w:eastAsia="Times New Roman" w:hAnsi="Palatino Linotype" w:cs="Arial"/>
          <w:color w:val="000000" w:themeColor="text1"/>
          <w:lang w:val="es-ES" w:eastAsia="es-MX"/>
        </w:rPr>
      </w:pPr>
    </w:p>
    <w:p w:rsidR="00E44693" w:rsidRPr="00C95803" w:rsidRDefault="00E44693" w:rsidP="00C95803">
      <w:pPr>
        <w:pStyle w:val="Prrafodelista"/>
        <w:numPr>
          <w:ilvl w:val="0"/>
          <w:numId w:val="1"/>
        </w:numPr>
        <w:spacing w:before="240" w:after="240" w:line="360" w:lineRule="auto"/>
        <w:ind w:left="0" w:right="49" w:firstLine="0"/>
        <w:jc w:val="both"/>
        <w:rPr>
          <w:rFonts w:ascii="Palatino Linotype" w:hAnsi="Palatino Linotype"/>
        </w:rPr>
      </w:pPr>
      <w:r w:rsidRPr="00C9580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C95803" w:rsidRDefault="002A5BA4" w:rsidP="00C95803">
      <w:pPr>
        <w:pStyle w:val="Ttulo1"/>
        <w:spacing w:line="360" w:lineRule="auto"/>
        <w:rPr>
          <w:b w:val="0"/>
          <w:color w:val="000000" w:themeColor="text1"/>
          <w:szCs w:val="24"/>
          <w:lang w:eastAsia="es-MX"/>
        </w:rPr>
      </w:pPr>
      <w:bookmarkStart w:id="8" w:name="_Toc23418065"/>
      <w:r w:rsidRPr="00C95803">
        <w:rPr>
          <w:color w:val="000000" w:themeColor="text1"/>
          <w:szCs w:val="24"/>
          <w:lang w:eastAsia="es-MX"/>
        </w:rPr>
        <w:t xml:space="preserve">TERCERO. </w:t>
      </w:r>
      <w:bookmarkEnd w:id="7"/>
      <w:r w:rsidR="006E4CE1" w:rsidRPr="00C95803">
        <w:rPr>
          <w:color w:val="000000" w:themeColor="text1"/>
          <w:szCs w:val="24"/>
          <w:lang w:eastAsia="es-MX"/>
        </w:rPr>
        <w:t>Planteamiento de la Litis</w:t>
      </w:r>
      <w:bookmarkEnd w:id="8"/>
    </w:p>
    <w:p w:rsidR="00173525" w:rsidRPr="00C95803" w:rsidRDefault="007131E5" w:rsidP="00C95803">
      <w:pPr>
        <w:pStyle w:val="Prrafodelista"/>
        <w:numPr>
          <w:ilvl w:val="0"/>
          <w:numId w:val="1"/>
        </w:numPr>
        <w:spacing w:before="240" w:after="240" w:line="360" w:lineRule="auto"/>
        <w:ind w:left="0" w:firstLine="0"/>
        <w:jc w:val="both"/>
        <w:rPr>
          <w:rFonts w:ascii="Palatino Linotype" w:hAnsi="Palatino Linotype" w:cs="Arial"/>
        </w:rPr>
      </w:pPr>
      <w:bookmarkStart w:id="9" w:name="_Toc452722829"/>
      <w:bookmarkStart w:id="10" w:name="_Toc454373811"/>
      <w:bookmarkStart w:id="11" w:name="_Toc476675991"/>
      <w:r w:rsidRPr="00C95803">
        <w:rPr>
          <w:rFonts w:ascii="Palatino Linotype" w:hAnsi="Palatino Linotype" w:cs="Arial"/>
        </w:rPr>
        <w:t>Se solicitó</w:t>
      </w:r>
      <w:r w:rsidR="00000029" w:rsidRPr="00C95803">
        <w:rPr>
          <w:rFonts w:ascii="Palatino Linotype" w:hAnsi="Palatino Linotype" w:cs="Arial"/>
        </w:rPr>
        <w:t xml:space="preserve"> </w:t>
      </w:r>
      <w:r w:rsidR="00231687" w:rsidRPr="00C95803">
        <w:rPr>
          <w:rFonts w:ascii="Palatino Linotype" w:hAnsi="Palatino Linotype" w:cs="Arial"/>
        </w:rPr>
        <w:t>al Sujeto Obligado</w:t>
      </w:r>
      <w:r w:rsidR="0034418B" w:rsidRPr="00C95803">
        <w:rPr>
          <w:rFonts w:ascii="Palatino Linotype" w:hAnsi="Palatino Linotype" w:cs="Arial"/>
        </w:rPr>
        <w:t>,</w:t>
      </w:r>
      <w:r w:rsidR="00DA46C8" w:rsidRPr="00C95803">
        <w:rPr>
          <w:rFonts w:ascii="Palatino Linotype" w:hAnsi="Palatino Linotype" w:cs="Arial"/>
        </w:rPr>
        <w:t xml:space="preserve"> </w:t>
      </w:r>
      <w:r w:rsidR="00173525" w:rsidRPr="00C95803">
        <w:rPr>
          <w:rFonts w:ascii="Palatino Linotype" w:hAnsi="Palatino Linotype" w:cs="Arial"/>
        </w:rPr>
        <w:t>lo siguiente:</w:t>
      </w:r>
    </w:p>
    <w:p w:rsidR="006B4FB9" w:rsidRPr="00C95803" w:rsidRDefault="006B4FB9" w:rsidP="00C95803">
      <w:pPr>
        <w:spacing w:line="360" w:lineRule="auto"/>
        <w:ind w:left="567" w:right="616"/>
        <w:jc w:val="both"/>
        <w:rPr>
          <w:rFonts w:ascii="Palatino Linotype" w:hAnsi="Palatino Linotype"/>
          <w:b/>
          <w:bCs/>
        </w:rPr>
      </w:pPr>
      <w:r w:rsidRPr="00C95803">
        <w:rPr>
          <w:rFonts w:ascii="Palatino Linotype" w:hAnsi="Palatino Linotype"/>
        </w:rPr>
        <w:t xml:space="preserve">a) Copia del contrato, estudios de mercado, facturas de los bienes comprados y revisión de bases que realizó su contraloría interna, copia del reporte que hicieron </w:t>
      </w:r>
      <w:r w:rsidRPr="00C95803">
        <w:rPr>
          <w:rFonts w:ascii="Palatino Linotype" w:hAnsi="Palatino Linotype"/>
          <w:b/>
          <w:bCs/>
        </w:rPr>
        <w:t xml:space="preserve">de los gastos erogados al Secretariado Ejecutivo del Sistema Nacional de Seguridad Publica en FOSEG, FORTASEG y FASP de 2015 a la fecha sobre el cómo y en qué se erogaron esos recursos recibidos.  </w:t>
      </w:r>
    </w:p>
    <w:p w:rsidR="006B4FB9" w:rsidRPr="00C95803" w:rsidRDefault="006B4FB9" w:rsidP="00C95803">
      <w:pPr>
        <w:spacing w:line="360" w:lineRule="auto"/>
        <w:ind w:left="567" w:right="616"/>
        <w:jc w:val="both"/>
        <w:rPr>
          <w:rFonts w:ascii="Palatino Linotype" w:hAnsi="Palatino Linotype"/>
        </w:rPr>
      </w:pPr>
    </w:p>
    <w:p w:rsidR="006B4FB9" w:rsidRPr="00C95803" w:rsidRDefault="006B4FB9" w:rsidP="00C95803">
      <w:pPr>
        <w:spacing w:line="360" w:lineRule="auto"/>
        <w:ind w:left="567" w:right="616"/>
        <w:jc w:val="both"/>
        <w:rPr>
          <w:rFonts w:ascii="Palatino Linotype" w:hAnsi="Palatino Linotype"/>
        </w:rPr>
      </w:pPr>
      <w:r w:rsidRPr="00C95803">
        <w:rPr>
          <w:rFonts w:ascii="Palatino Linotype" w:hAnsi="Palatino Linotype"/>
        </w:rPr>
        <w:t xml:space="preserve">b) Al Secretariado se le solicita, los informes qué recibió de Edo, </w:t>
      </w:r>
      <w:proofErr w:type="spellStart"/>
      <w:r w:rsidRPr="00C95803">
        <w:rPr>
          <w:rFonts w:ascii="Palatino Linotype" w:hAnsi="Palatino Linotype"/>
        </w:rPr>
        <w:t>Cdmx</w:t>
      </w:r>
      <w:proofErr w:type="spellEnd"/>
      <w:r w:rsidRPr="00C95803">
        <w:rPr>
          <w:rFonts w:ascii="Palatino Linotype" w:hAnsi="Palatino Linotype"/>
        </w:rPr>
        <w:t xml:space="preserve">, Michoacán, Hidalgo, y Jalisco del mismo periodo con los comprobantes. </w:t>
      </w:r>
    </w:p>
    <w:p w:rsidR="006B4FB9" w:rsidRPr="00C95803" w:rsidRDefault="006B4FB9" w:rsidP="00C95803">
      <w:pPr>
        <w:spacing w:line="360" w:lineRule="auto"/>
        <w:ind w:left="567" w:right="616"/>
        <w:jc w:val="both"/>
        <w:rPr>
          <w:rFonts w:ascii="Palatino Linotype" w:hAnsi="Palatino Linotype"/>
        </w:rPr>
      </w:pPr>
    </w:p>
    <w:p w:rsidR="006B4FB9" w:rsidRPr="00C95803" w:rsidRDefault="006B4FB9" w:rsidP="00C95803">
      <w:pPr>
        <w:spacing w:line="360" w:lineRule="auto"/>
        <w:ind w:left="567" w:right="616"/>
        <w:jc w:val="both"/>
        <w:rPr>
          <w:rFonts w:ascii="Palatino Linotype" w:hAnsi="Palatino Linotype"/>
        </w:rPr>
      </w:pPr>
      <w:r w:rsidRPr="00C95803">
        <w:rPr>
          <w:rFonts w:ascii="Palatino Linotype" w:hAnsi="Palatino Linotype"/>
        </w:rPr>
        <w:t xml:space="preserve">c) A las contralorías la revisión de bases, anexos técnicos de los bienes comprados, así como auditorías practicadas. </w:t>
      </w:r>
    </w:p>
    <w:p w:rsidR="006B4FB9" w:rsidRPr="00C95803" w:rsidRDefault="006B4FB9" w:rsidP="00C95803">
      <w:pPr>
        <w:pStyle w:val="Prrafodelista"/>
        <w:spacing w:line="360" w:lineRule="auto"/>
        <w:ind w:left="0"/>
        <w:jc w:val="both"/>
        <w:rPr>
          <w:rFonts w:ascii="Palatino Linotype" w:eastAsia="Calibri" w:hAnsi="Palatino Linotype" w:cs="Arial"/>
          <w:b/>
        </w:rPr>
      </w:pPr>
    </w:p>
    <w:p w:rsidR="006B4FB9" w:rsidRPr="00C95803" w:rsidRDefault="00000029" w:rsidP="00C95803">
      <w:pPr>
        <w:pStyle w:val="Prrafodelista"/>
        <w:numPr>
          <w:ilvl w:val="0"/>
          <w:numId w:val="1"/>
        </w:numPr>
        <w:spacing w:before="240" w:after="240" w:line="360" w:lineRule="auto"/>
        <w:ind w:left="0" w:firstLine="0"/>
        <w:jc w:val="both"/>
        <w:rPr>
          <w:rFonts w:ascii="Palatino Linotype" w:hAnsi="Palatino Linotype" w:cs="Arial"/>
        </w:rPr>
      </w:pPr>
      <w:r w:rsidRPr="00C95803">
        <w:rPr>
          <w:rFonts w:ascii="Palatino Linotype" w:hAnsi="Palatino Linotype" w:cs="Arial"/>
        </w:rPr>
        <w:t>El Sujeto Obligado</w:t>
      </w:r>
      <w:r w:rsidR="00497665" w:rsidRPr="00C95803">
        <w:rPr>
          <w:rFonts w:ascii="Palatino Linotype" w:hAnsi="Palatino Linotype" w:cs="Arial"/>
        </w:rPr>
        <w:t xml:space="preserve"> no dio respuesta a la solicitud, siendo esto el motivo de inconformidad del recurrente. </w:t>
      </w:r>
    </w:p>
    <w:p w:rsidR="00296EF2" w:rsidRPr="00C95803" w:rsidRDefault="00296EF2" w:rsidP="00C95803">
      <w:pPr>
        <w:pStyle w:val="Prrafodelista"/>
        <w:numPr>
          <w:ilvl w:val="0"/>
          <w:numId w:val="1"/>
        </w:numPr>
        <w:spacing w:line="360" w:lineRule="auto"/>
        <w:ind w:left="0" w:firstLine="0"/>
        <w:jc w:val="both"/>
        <w:rPr>
          <w:rFonts w:ascii="Palatino Linotype" w:eastAsia="MS Mincho" w:hAnsi="Palatino Linotype" w:cs="Arial"/>
        </w:rPr>
      </w:pPr>
      <w:r w:rsidRPr="00C95803">
        <w:rPr>
          <w:rFonts w:ascii="Palatino Linotype" w:eastAsia="Times New Roman" w:hAnsi="Palatino Linotype" w:cs="Arial"/>
        </w:rPr>
        <w:t xml:space="preserve">En dichas condiciones, la </w:t>
      </w:r>
      <w:proofErr w:type="spellStart"/>
      <w:r w:rsidRPr="00C95803">
        <w:rPr>
          <w:rFonts w:ascii="Palatino Linotype" w:eastAsia="Times New Roman" w:hAnsi="Palatino Linotype" w:cs="Arial"/>
          <w:i/>
        </w:rPr>
        <w:t>litis</w:t>
      </w:r>
      <w:proofErr w:type="spellEnd"/>
      <w:r w:rsidRPr="00C95803">
        <w:rPr>
          <w:rFonts w:ascii="Palatino Linotype" w:eastAsia="Times New Roman" w:hAnsi="Palatino Linotype" w:cs="Arial"/>
        </w:rPr>
        <w:t xml:space="preserve"> a resolver en este recurso se circunscribe a determinar si </w:t>
      </w:r>
      <w:r w:rsidRPr="00C95803">
        <w:rPr>
          <w:rFonts w:ascii="Palatino Linotype" w:eastAsia="MS Mincho" w:hAnsi="Palatino Linotype" w:cs="Arial"/>
        </w:rPr>
        <w:t>se actualiza la causal de procedencia previ</w:t>
      </w:r>
      <w:r w:rsidR="005E3616" w:rsidRPr="00C95803">
        <w:rPr>
          <w:rFonts w:ascii="Palatino Linotype" w:eastAsia="MS Mincho" w:hAnsi="Palatino Linotype" w:cs="Arial"/>
        </w:rPr>
        <w:t xml:space="preserve">sta en el artículo 179, fracciones </w:t>
      </w:r>
      <w:r w:rsidR="00497665" w:rsidRPr="00C95803">
        <w:rPr>
          <w:rFonts w:ascii="Palatino Linotype" w:eastAsia="MS Mincho" w:hAnsi="Palatino Linotype" w:cs="Arial"/>
          <w:b/>
        </w:rPr>
        <w:t>VII</w:t>
      </w:r>
      <w:r w:rsidR="00497665" w:rsidRPr="00C95803">
        <w:rPr>
          <w:rFonts w:ascii="Palatino Linotype" w:eastAsia="MS Mincho" w:hAnsi="Palatino Linotype" w:cs="Arial"/>
        </w:rPr>
        <w:t xml:space="preserve"> </w:t>
      </w:r>
      <w:r w:rsidRPr="00C95803">
        <w:rPr>
          <w:rFonts w:ascii="Palatino Linotype" w:eastAsia="MS Mincho" w:hAnsi="Palatino Linotype" w:cs="Arial"/>
        </w:rPr>
        <w:t>de la Ley de Transparencia y Acceso a la Información Pública de</w:t>
      </w:r>
      <w:r w:rsidR="00881FAD" w:rsidRPr="00C95803">
        <w:rPr>
          <w:rFonts w:ascii="Palatino Linotype" w:eastAsia="MS Mincho" w:hAnsi="Palatino Linotype" w:cs="Arial"/>
        </w:rPr>
        <w:t>l Estado de México y Municipios.</w:t>
      </w:r>
    </w:p>
    <w:p w:rsidR="00173525" w:rsidRPr="00C95803" w:rsidRDefault="00173525" w:rsidP="00C95803">
      <w:pPr>
        <w:pStyle w:val="Prrafodelista"/>
        <w:spacing w:line="360" w:lineRule="auto"/>
        <w:rPr>
          <w:rFonts w:ascii="Palatino Linotype" w:eastAsia="MS Mincho" w:hAnsi="Palatino Linotype" w:cs="Arial"/>
        </w:rPr>
      </w:pPr>
    </w:p>
    <w:p w:rsidR="002A5BA4" w:rsidRPr="00C95803" w:rsidRDefault="002A5BA4" w:rsidP="00C95803">
      <w:pPr>
        <w:pStyle w:val="Ttulo1"/>
        <w:spacing w:line="360" w:lineRule="auto"/>
        <w:rPr>
          <w:b w:val="0"/>
          <w:color w:val="000000" w:themeColor="text1"/>
          <w:szCs w:val="24"/>
        </w:rPr>
      </w:pPr>
      <w:bookmarkStart w:id="12" w:name="_Toc486525254"/>
      <w:bookmarkStart w:id="13" w:name="_Toc23418066"/>
      <w:r w:rsidRPr="00C95803">
        <w:rPr>
          <w:color w:val="000000" w:themeColor="text1"/>
          <w:szCs w:val="24"/>
        </w:rPr>
        <w:t>CUARTO. Análisis y resolución del asunto</w:t>
      </w:r>
      <w:bookmarkEnd w:id="12"/>
      <w:bookmarkEnd w:id="13"/>
    </w:p>
    <w:p w:rsidR="002A5BA4" w:rsidRPr="00C95803" w:rsidRDefault="002A5BA4" w:rsidP="00C95803">
      <w:pPr>
        <w:spacing w:line="360" w:lineRule="auto"/>
        <w:jc w:val="both"/>
        <w:rPr>
          <w:rFonts w:ascii="Palatino Linotype" w:hAnsi="Palatino Linotype" w:cs="Arial"/>
        </w:rPr>
      </w:pPr>
    </w:p>
    <w:p w:rsidR="006E53ED" w:rsidRPr="00C95803" w:rsidRDefault="00000029" w:rsidP="00C95803">
      <w:pPr>
        <w:pStyle w:val="Ttulo2"/>
        <w:numPr>
          <w:ilvl w:val="0"/>
          <w:numId w:val="4"/>
        </w:numPr>
        <w:spacing w:line="360" w:lineRule="auto"/>
        <w:rPr>
          <w:rFonts w:ascii="Palatino Linotype" w:hAnsi="Palatino Linotype"/>
          <w:b/>
          <w:color w:val="auto"/>
          <w:sz w:val="24"/>
          <w:szCs w:val="24"/>
        </w:rPr>
      </w:pPr>
      <w:bookmarkStart w:id="14" w:name="_Toc535946915"/>
      <w:r w:rsidRPr="00C95803">
        <w:rPr>
          <w:rFonts w:ascii="Palatino Linotype" w:hAnsi="Palatino Linotype"/>
          <w:b/>
          <w:color w:val="auto"/>
          <w:sz w:val="24"/>
          <w:szCs w:val="24"/>
        </w:rPr>
        <w:t xml:space="preserve"> </w:t>
      </w:r>
      <w:bookmarkStart w:id="15" w:name="_Toc22660556"/>
      <w:bookmarkStart w:id="16" w:name="_Toc23418067"/>
      <w:bookmarkEnd w:id="14"/>
      <w:r w:rsidR="006E53ED" w:rsidRPr="00C95803">
        <w:rPr>
          <w:rFonts w:ascii="Palatino Linotype" w:hAnsi="Palatino Linotype"/>
          <w:b/>
          <w:color w:val="auto"/>
          <w:sz w:val="24"/>
          <w:szCs w:val="24"/>
        </w:rPr>
        <w:t>La omisión de atender una solicitud de acceso a la información.</w:t>
      </w:r>
      <w:bookmarkEnd w:id="15"/>
      <w:bookmarkEnd w:id="16"/>
    </w:p>
    <w:p w:rsidR="006E53ED" w:rsidRPr="00C95803" w:rsidRDefault="006E53ED" w:rsidP="00C95803">
      <w:pPr>
        <w:spacing w:line="360" w:lineRule="auto"/>
        <w:rPr>
          <w:rFonts w:ascii="Palatino Linotype" w:hAnsi="Palatino Linotype"/>
          <w:lang w:val="es-MX" w:eastAsia="en-US"/>
        </w:rPr>
      </w:pPr>
    </w:p>
    <w:p w:rsidR="006E53ED" w:rsidRPr="00C95803" w:rsidRDefault="006E53ED" w:rsidP="00C95803">
      <w:pPr>
        <w:spacing w:line="360" w:lineRule="auto"/>
        <w:rPr>
          <w:rFonts w:ascii="Palatino Linotype" w:hAnsi="Palatino Linotype"/>
          <w:lang w:val="es-MX" w:eastAsia="en-US"/>
        </w:rPr>
      </w:pPr>
    </w:p>
    <w:p w:rsidR="006E53ED" w:rsidRPr="00C95803" w:rsidRDefault="006E53ED" w:rsidP="00C95803">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95803">
        <w:rPr>
          <w:rFonts w:ascii="Palatino Linotype" w:eastAsia="Times New Roman" w:hAnsi="Palatino Linotype" w:cs="Arial"/>
          <w:color w:val="000000"/>
        </w:rPr>
        <w:t>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C95803">
        <w:rPr>
          <w:rFonts w:ascii="Palatino Linotype" w:hAnsi="Palatino Linotype" w:cs="Helvetica"/>
          <w:i/>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C95803">
        <w:rPr>
          <w:rStyle w:val="Refdenotaalpie"/>
          <w:rFonts w:ascii="Palatino Linotype" w:hAnsi="Palatino Linotype" w:cs="Helvetica"/>
          <w:i/>
          <w:shd w:val="clear" w:color="auto" w:fill="FFFFFF"/>
        </w:rPr>
        <w:footnoteReference w:id="1"/>
      </w:r>
      <w:r w:rsidRPr="00C95803">
        <w:rPr>
          <w:rFonts w:ascii="Palatino Linotype" w:hAnsi="Palatino Linotype" w:cs="Helvetica"/>
          <w:shd w:val="clear" w:color="auto" w:fill="FFFFFF"/>
        </w:rPr>
        <w:t>, por lo tanto, como el mismo ordenamiento refiere que “</w:t>
      </w:r>
      <w:r w:rsidRPr="00C95803">
        <w:rPr>
          <w:rFonts w:ascii="Palatino Linotype" w:hAnsi="Palatino Linotype"/>
          <w:i/>
        </w:rPr>
        <w:t>Toda persona tiene derecho al libre acceso a información plural y oportuna, así como a buscar, recibir y difundir información e ideas de toda índole por cualquier medio de expresión.”</w:t>
      </w:r>
      <w:r w:rsidRPr="00C95803">
        <w:rPr>
          <w:rStyle w:val="Refdenotaalpie"/>
          <w:rFonts w:ascii="Palatino Linotype" w:hAnsi="Palatino Linotype"/>
          <w:i/>
        </w:rPr>
        <w:footnoteReference w:id="2"/>
      </w:r>
      <w:r w:rsidRPr="00C95803">
        <w:rPr>
          <w:rFonts w:ascii="Palatino Linotype" w:hAnsi="Palatino Linotype"/>
          <w:i/>
        </w:rPr>
        <w:t xml:space="preserve">,  </w:t>
      </w:r>
      <w:r w:rsidRPr="00C95803">
        <w:rPr>
          <w:rFonts w:ascii="Palatino Linotype" w:hAnsi="Palatino Linotype"/>
        </w:rPr>
        <w:t>se e</w:t>
      </w:r>
      <w:r w:rsidRPr="00C95803">
        <w:rPr>
          <w:rFonts w:ascii="Palatino Linotype" w:hAnsi="Palatino Linotype" w:cs="Helvetica"/>
          <w:shd w:val="clear" w:color="auto" w:fill="FFFFFF"/>
        </w:rPr>
        <w:t xml:space="preserve">ntiende que el acceso a la información es un derecho y, todas las autoridades en el ámbito de su competencia se ven impuestas por la obligación de </w:t>
      </w:r>
      <w:r w:rsidRPr="00C95803">
        <w:rPr>
          <w:rFonts w:ascii="Palatino Linotype" w:hAnsi="Palatino Linotype" w:cs="Helvetica"/>
          <w:b/>
          <w:shd w:val="clear" w:color="auto" w:fill="FFFFFF"/>
        </w:rPr>
        <w:t>promover, proteger, respetar y garantizar</w:t>
      </w:r>
      <w:r w:rsidRPr="00C95803">
        <w:rPr>
          <w:rFonts w:ascii="Palatino Linotype" w:hAnsi="Palatino Linotype" w:cs="Helvetica"/>
          <w:shd w:val="clear" w:color="auto" w:fill="FFFFFF"/>
        </w:rPr>
        <w:t xml:space="preserve"> el libre acceso a la información.</w:t>
      </w:r>
    </w:p>
    <w:p w:rsidR="006E53ED" w:rsidRPr="00C95803" w:rsidRDefault="006E53ED" w:rsidP="00C95803">
      <w:pPr>
        <w:pStyle w:val="Prrafodelista"/>
        <w:spacing w:line="360" w:lineRule="auto"/>
        <w:ind w:left="0" w:right="49"/>
        <w:jc w:val="both"/>
        <w:rPr>
          <w:rFonts w:ascii="Palatino Linotype" w:eastAsia="Times New Roman" w:hAnsi="Palatino Linotype" w:cs="Arial"/>
          <w:color w:val="000000"/>
        </w:rPr>
      </w:pPr>
    </w:p>
    <w:p w:rsidR="006E53ED" w:rsidRPr="00C95803" w:rsidRDefault="006E53ED" w:rsidP="00C95803">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95803">
        <w:rPr>
          <w:rFonts w:ascii="Palatino Linotype" w:hAnsi="Palatino Linotype" w:cs="Helvetica"/>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C95803">
        <w:rPr>
          <w:rFonts w:ascii="Palatino Linotype" w:hAnsi="Palatino Linotype" w:cs="Helvetica"/>
          <w:b/>
          <w:shd w:val="clear" w:color="auto" w:fill="FFFFFF"/>
        </w:rPr>
        <w:t>no promovió, protegió, respetó ni garantizo el derecho constitucional y convencionalmente reconocido de acceso a la información</w:t>
      </w:r>
      <w:r w:rsidRPr="00C95803">
        <w:rPr>
          <w:rFonts w:ascii="Palatino Linotype" w:hAnsi="Palatino Linotype" w:cs="Helvetica"/>
          <w:shd w:val="clear" w:color="auto" w:fill="FFFFFF"/>
        </w:rPr>
        <w:t xml:space="preserve">, toda vez que no brindó lo que le fue solicitado en el tiempo previamente establecido para tal efecto, provocando así que el particular deba de recurrir a </w:t>
      </w:r>
      <w:r w:rsidRPr="00C95803">
        <w:rPr>
          <w:rFonts w:ascii="Palatino Linotype" w:hAnsi="Palatino Linotype" w:cs="Helvetica"/>
          <w:i/>
          <w:shd w:val="clear" w:color="auto" w:fill="FFFFFF"/>
        </w:rPr>
        <w:t>“la garantía secundaria mediante la cual se pretender reparar cualquier posible afectación al derecho de acceso a la información pública…”</w:t>
      </w:r>
      <w:r w:rsidRPr="00C95803">
        <w:rPr>
          <w:rStyle w:val="Refdenotaalpie"/>
          <w:rFonts w:ascii="Palatino Linotype" w:hAnsi="Palatino Linotype" w:cs="Helvetica"/>
          <w:i/>
          <w:shd w:val="clear" w:color="auto" w:fill="FFFFFF"/>
        </w:rPr>
        <w:footnoteReference w:id="3"/>
      </w:r>
      <w:r w:rsidRPr="00C95803">
        <w:rPr>
          <w:rFonts w:ascii="Palatino Linotype" w:hAnsi="Palatino Linotype" w:cs="Helvetica"/>
          <w:i/>
          <w:shd w:val="clear" w:color="auto" w:fill="FFFFFF"/>
        </w:rPr>
        <w:t xml:space="preserve"> </w:t>
      </w:r>
      <w:r w:rsidRPr="00C95803">
        <w:rPr>
          <w:rFonts w:ascii="Palatino Linotype" w:hAnsi="Palatino Linotype" w:cs="Helvetica"/>
          <w:shd w:val="clear" w:color="auto" w:fill="FFFFFF"/>
        </w:rPr>
        <w:t>siendo el recurso de revisión.</w:t>
      </w:r>
    </w:p>
    <w:p w:rsidR="006E53ED" w:rsidRPr="00C95803" w:rsidRDefault="006E53ED" w:rsidP="00C95803">
      <w:pPr>
        <w:pStyle w:val="Prrafodelista"/>
        <w:spacing w:line="360" w:lineRule="auto"/>
        <w:rPr>
          <w:rFonts w:ascii="Palatino Linotype" w:eastAsia="Times New Roman" w:hAnsi="Palatino Linotype" w:cs="Arial"/>
          <w:color w:val="000000"/>
        </w:rPr>
      </w:pPr>
    </w:p>
    <w:p w:rsidR="006E53ED" w:rsidRPr="00C95803" w:rsidRDefault="006E53ED" w:rsidP="00C95803">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C95803">
        <w:rPr>
          <w:rFonts w:ascii="Palatino Linotype" w:eastAsia="Times New Roman" w:hAnsi="Palatino Linotype" w:cs="Arial"/>
          <w:color w:val="000000"/>
        </w:rPr>
        <w:t xml:space="preserve">Se reitera que la omisión a atender una solicitud de información representa una afectación continua al derecho de acceso a la información, y es importante señalar que este derecho se colma una vez que se hace entrega </w:t>
      </w:r>
      <w:r w:rsidRPr="00C95803">
        <w:rPr>
          <w:rFonts w:ascii="Palatino Linotype" w:hAnsi="Palatino Linotype" w:cs="Arial"/>
          <w:lang w:val="es-MX"/>
        </w:rPr>
        <w:t xml:space="preserve">del </w:t>
      </w:r>
      <w:r w:rsidRPr="00C95803">
        <w:rPr>
          <w:rFonts w:ascii="Palatino Linotype" w:hAnsi="Palatino Linotype" w:cs="Arial"/>
          <w:b/>
          <w:u w:val="single"/>
          <w:lang w:val="es-MX"/>
        </w:rPr>
        <w:t>soporte documental</w:t>
      </w:r>
      <w:r w:rsidRPr="00C95803">
        <w:rPr>
          <w:rFonts w:ascii="Palatino Linotype" w:hAnsi="Palatino Linotype" w:cs="Arial"/>
          <w:lang w:val="es-MX"/>
        </w:rPr>
        <w:t xml:space="preserve"> que el </w:t>
      </w:r>
      <w:r w:rsidRPr="00C95803">
        <w:rPr>
          <w:rFonts w:ascii="Palatino Linotype" w:hAnsi="Palatino Linotype" w:cs="Arial"/>
          <w:b/>
          <w:lang w:val="es-MX"/>
        </w:rPr>
        <w:t>Sujeto Obligado</w:t>
      </w:r>
      <w:r w:rsidRPr="00C95803">
        <w:rPr>
          <w:rFonts w:ascii="Palatino Linotype" w:hAnsi="Palatino Linotype" w:cs="Arial"/>
          <w:lang w:val="es-MX"/>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rsidR="006E53ED" w:rsidRPr="00C95803" w:rsidRDefault="006E53ED" w:rsidP="00C95803">
      <w:pPr>
        <w:pStyle w:val="Prrafodelista"/>
        <w:autoSpaceDE w:val="0"/>
        <w:autoSpaceDN w:val="0"/>
        <w:adjustRightInd w:val="0"/>
        <w:spacing w:line="360" w:lineRule="auto"/>
        <w:ind w:left="0"/>
        <w:jc w:val="both"/>
        <w:rPr>
          <w:rFonts w:ascii="Palatino Linotype" w:hAnsi="Palatino Linotype"/>
        </w:rPr>
      </w:pPr>
    </w:p>
    <w:p w:rsidR="006E53ED" w:rsidRPr="00C95803" w:rsidRDefault="006E53ED" w:rsidP="00C95803">
      <w:pPr>
        <w:pStyle w:val="Prrafodelista"/>
        <w:numPr>
          <w:ilvl w:val="0"/>
          <w:numId w:val="1"/>
        </w:numPr>
        <w:autoSpaceDE w:val="0"/>
        <w:autoSpaceDN w:val="0"/>
        <w:adjustRightInd w:val="0"/>
        <w:spacing w:line="360" w:lineRule="auto"/>
        <w:ind w:left="0" w:firstLine="0"/>
        <w:jc w:val="both"/>
        <w:rPr>
          <w:rFonts w:ascii="Palatino Linotype" w:hAnsi="Palatino Linotype"/>
          <w:b/>
        </w:rPr>
      </w:pPr>
      <w:r w:rsidRPr="00C95803">
        <w:rPr>
          <w:rFonts w:ascii="Palatino Linotype" w:hAnsi="Palatino Linotype"/>
        </w:rPr>
        <w:t>Bajo ese tenor y de acuerdo con el artículo 166 primer párrafo de la</w:t>
      </w:r>
      <w:r w:rsidRPr="00C95803">
        <w:rPr>
          <w:rFonts w:ascii="Palatino Linotype" w:hAnsi="Palatino Linotype"/>
          <w:lang w:val="es-MX" w:eastAsia="en-US"/>
        </w:rPr>
        <w:t xml:space="preserve"> </w:t>
      </w:r>
      <w:r w:rsidRPr="00C95803">
        <w:rPr>
          <w:rFonts w:ascii="Palatino Linotype" w:hAnsi="Palatino Linotype"/>
          <w:b/>
        </w:rPr>
        <w:t xml:space="preserve">Ley de Transparencia y Acceso a la Información Pública del Estado de México y Municipios, </w:t>
      </w:r>
      <w:r w:rsidRPr="00C95803">
        <w:rPr>
          <w:rFonts w:ascii="Palatino Linotype" w:hAnsi="Palatino Linotype"/>
          <w:color w:val="000000" w:themeColor="text1"/>
        </w:rPr>
        <w:t>la obligación de acceso a la información pública se tendrá por cumplida cuando el solicitante tenga a su disposición la información requerida, o cuando realice la consulta de la misma en el lugar en el que ésta se localice, tal como se cita:</w:t>
      </w:r>
    </w:p>
    <w:p w:rsidR="006E53ED" w:rsidRPr="00C95803" w:rsidRDefault="006E53ED" w:rsidP="00C95803">
      <w:pPr>
        <w:pStyle w:val="Prrafodelista"/>
        <w:autoSpaceDE w:val="0"/>
        <w:autoSpaceDN w:val="0"/>
        <w:adjustRightInd w:val="0"/>
        <w:spacing w:line="360" w:lineRule="auto"/>
        <w:ind w:left="0"/>
        <w:jc w:val="both"/>
        <w:rPr>
          <w:rFonts w:ascii="Palatino Linotype" w:hAnsi="Palatino Linotype"/>
          <w:b/>
        </w:rPr>
      </w:pPr>
    </w:p>
    <w:p w:rsidR="006E53ED" w:rsidRPr="00C95803" w:rsidRDefault="006E53ED" w:rsidP="00C95803">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C95803">
        <w:rPr>
          <w:rFonts w:ascii="Palatino Linotype" w:hAnsi="Palatino Linotype"/>
          <w:b/>
          <w:i/>
          <w:color w:val="000000" w:themeColor="text1"/>
        </w:rPr>
        <w:t>Artículo 166.</w:t>
      </w:r>
      <w:r w:rsidRPr="00C95803">
        <w:rPr>
          <w:rFonts w:ascii="Palatino Linotype" w:hAnsi="Palatino Linotype"/>
          <w:i/>
          <w:color w:val="000000" w:themeColor="text1"/>
        </w:rPr>
        <w:t xml:space="preserve"> La obligación de acceso a la información pública se tendrá por cumplida cuando el solicitante tenga a su disposición la información requerida, o cuando realice la consulta de la misma en el lugar en el que ésta se localice. </w:t>
      </w:r>
    </w:p>
    <w:p w:rsidR="006E53ED" w:rsidRPr="00C95803" w:rsidRDefault="006E53ED" w:rsidP="00C95803">
      <w:pPr>
        <w:pStyle w:val="Prrafodelista"/>
        <w:shd w:val="clear" w:color="auto" w:fill="FFFFFF"/>
        <w:spacing w:before="240" w:after="200" w:line="360" w:lineRule="auto"/>
        <w:ind w:left="567" w:right="616"/>
        <w:jc w:val="both"/>
        <w:rPr>
          <w:rFonts w:ascii="Palatino Linotype" w:hAnsi="Palatino Linotype"/>
          <w:i/>
          <w:color w:val="000000" w:themeColor="text1"/>
        </w:rPr>
      </w:pPr>
      <w:r w:rsidRPr="00C95803">
        <w:rPr>
          <w:rFonts w:ascii="Palatino Linotype" w:hAnsi="Palatino Linotype"/>
          <w:b/>
          <w:i/>
          <w:color w:val="000000" w:themeColor="text1"/>
        </w:rPr>
        <w:t>…</w:t>
      </w:r>
    </w:p>
    <w:p w:rsidR="006E53ED" w:rsidRPr="00C95803" w:rsidRDefault="006E53ED" w:rsidP="00C95803">
      <w:pPr>
        <w:pStyle w:val="Prrafodelista"/>
        <w:autoSpaceDE w:val="0"/>
        <w:autoSpaceDN w:val="0"/>
        <w:adjustRightInd w:val="0"/>
        <w:spacing w:line="360" w:lineRule="auto"/>
        <w:ind w:left="0"/>
        <w:jc w:val="both"/>
        <w:rPr>
          <w:rFonts w:ascii="Palatino Linotype" w:hAnsi="Palatino Linotype"/>
        </w:rPr>
      </w:pPr>
    </w:p>
    <w:p w:rsidR="006E53ED" w:rsidRPr="00C95803" w:rsidRDefault="006E53ED" w:rsidP="00C95803">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C95803">
        <w:rPr>
          <w:rFonts w:ascii="Palatino Linotype" w:eastAsia="Times New Roman" w:hAnsi="Palatino Linotype" w:cs="Arial"/>
          <w:color w:val="000000" w:themeColor="text1"/>
          <w:lang w:eastAsia="es-MX"/>
        </w:rPr>
        <w:t xml:space="preserve">Además, el derecho a la información es la </w:t>
      </w:r>
      <w:r w:rsidRPr="00C95803">
        <w:rPr>
          <w:rFonts w:ascii="Palatino Linotype" w:eastAsia="MS Mincho" w:hAnsi="Palatino Linotype" w:cs="Times New Roman"/>
          <w:i/>
        </w:rPr>
        <w:t>igualdad de oportunidades para recibir, buscar e impartir información</w:t>
      </w:r>
      <w:r w:rsidRPr="00C95803">
        <w:rPr>
          <w:rStyle w:val="Refdenotaalpie"/>
          <w:rFonts w:ascii="Palatino Linotype" w:eastAsia="MS Mincho" w:hAnsi="Palatino Linotype" w:cs="Times New Roman"/>
          <w:i/>
        </w:rPr>
        <w:footnoteReference w:id="4"/>
      </w:r>
      <w:r w:rsidRPr="00C9580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95803">
        <w:rPr>
          <w:rStyle w:val="Refdenotaalpie"/>
          <w:rFonts w:ascii="Palatino Linotype" w:eastAsia="MS Mincho" w:hAnsi="Palatino Linotype" w:cs="Times New Roman"/>
        </w:rPr>
        <w:footnoteReference w:id="5"/>
      </w:r>
      <w:r w:rsidRPr="00C95803">
        <w:rPr>
          <w:rFonts w:ascii="Palatino Linotype" w:eastAsia="MS Mincho" w:hAnsi="Palatino Linotype" w:cs="Times New Roman"/>
          <w:i/>
        </w:rPr>
        <w:t xml:space="preserve"> </w:t>
      </w:r>
      <w:r w:rsidRPr="00C95803">
        <w:rPr>
          <w:rFonts w:ascii="Palatino Linotype" w:eastAsia="MS Mincho" w:hAnsi="Palatino Linotype" w:cs="Times New Roman"/>
        </w:rPr>
        <w:t xml:space="preserve">que se constituye como una herramienta fundamental para </w:t>
      </w:r>
      <w:r w:rsidRPr="00C9580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C95803">
        <w:rPr>
          <w:rStyle w:val="Refdenotaalpie"/>
          <w:rFonts w:ascii="Palatino Linotype" w:eastAsia="MS Mincho" w:hAnsi="Palatino Linotype" w:cs="Times New Roman"/>
          <w:i/>
        </w:rPr>
        <w:footnoteReference w:id="6"/>
      </w:r>
      <w:r w:rsidRPr="00C95803">
        <w:rPr>
          <w:rFonts w:ascii="Palatino Linotype" w:eastAsia="MS Mincho" w:hAnsi="Palatino Linotype" w:cs="Times New Roman"/>
        </w:rPr>
        <w:t>fomentando</w:t>
      </w:r>
      <w:r w:rsidRPr="00C95803">
        <w:rPr>
          <w:rFonts w:ascii="Palatino Linotype" w:eastAsia="MS Mincho" w:hAnsi="Palatino Linotype" w:cs="Times New Roman"/>
          <w:i/>
        </w:rPr>
        <w:t xml:space="preserve"> la transparencia de las actividades estatales y</w:t>
      </w:r>
      <w:r w:rsidRPr="00C95803">
        <w:rPr>
          <w:rFonts w:ascii="Palatino Linotype" w:eastAsia="MS Mincho" w:hAnsi="Palatino Linotype" w:cs="Times New Roman"/>
        </w:rPr>
        <w:t xml:space="preserve"> promoviendo</w:t>
      </w:r>
      <w:r w:rsidRPr="00C95803">
        <w:rPr>
          <w:rFonts w:ascii="Palatino Linotype" w:eastAsia="MS Mincho" w:hAnsi="Palatino Linotype" w:cs="Times New Roman"/>
          <w:i/>
        </w:rPr>
        <w:t xml:space="preserve"> la responsabilidad de los funcionarios sobre su gestión pública</w:t>
      </w:r>
      <w:r w:rsidRPr="00C95803">
        <w:rPr>
          <w:rStyle w:val="Refdenotaalpie"/>
          <w:rFonts w:ascii="Palatino Linotype" w:eastAsia="MS Mincho" w:hAnsi="Palatino Linotype" w:cs="Times New Roman"/>
          <w:i/>
        </w:rPr>
        <w:footnoteReference w:id="7"/>
      </w:r>
      <w:r w:rsidRPr="00C95803">
        <w:rPr>
          <w:rFonts w:ascii="Palatino Linotype" w:eastAsia="MS Mincho" w:hAnsi="Palatino Linotype" w:cs="Times New Roman"/>
          <w:i/>
        </w:rPr>
        <w:t xml:space="preserve"> </w:t>
      </w:r>
      <w:r w:rsidRPr="00C95803">
        <w:rPr>
          <w:rFonts w:ascii="Palatino Linotype" w:eastAsia="MS Mincho" w:hAnsi="Palatino Linotype" w:cs="Times New Roman"/>
        </w:rPr>
        <w:t>que permite</w:t>
      </w:r>
      <w:r w:rsidRPr="00C9580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C95803">
        <w:rPr>
          <w:rStyle w:val="Refdenotaalpie"/>
          <w:rFonts w:ascii="Palatino Linotype" w:eastAsia="MS Mincho" w:hAnsi="Palatino Linotype" w:cs="Times New Roman"/>
          <w:i/>
        </w:rPr>
        <w:footnoteReference w:id="8"/>
      </w:r>
      <w:r w:rsidRPr="00C95803">
        <w:rPr>
          <w:rFonts w:ascii="Palatino Linotype" w:eastAsia="MS Mincho" w:hAnsi="Palatino Linotype" w:cs="Times New Roman"/>
        </w:rPr>
        <w:t xml:space="preserve"> ”.</w:t>
      </w:r>
    </w:p>
    <w:p w:rsidR="006E53ED" w:rsidRPr="00C95803" w:rsidRDefault="006E53ED" w:rsidP="00C95803">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C95803">
        <w:rPr>
          <w:rFonts w:ascii="Palatino Linotype" w:hAnsi="Palatino Linotype" w:cs="Arial"/>
        </w:rPr>
        <w:t xml:space="preserve">Ahora bien para entender los alcances de la información pública se considera importante citar el criterio </w:t>
      </w:r>
      <w:r w:rsidRPr="00C9580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95803">
        <w:rPr>
          <w:rFonts w:ascii="Palatino Linotype" w:hAnsi="Palatino Linotype" w:cs="Arial"/>
        </w:rPr>
        <w:t>cuyo rubro y texto dispone:</w:t>
      </w:r>
    </w:p>
    <w:p w:rsidR="006E53ED" w:rsidRPr="00C95803" w:rsidRDefault="006E53ED" w:rsidP="00C95803">
      <w:pPr>
        <w:pStyle w:val="Prrafodelista"/>
        <w:autoSpaceDE w:val="0"/>
        <w:autoSpaceDN w:val="0"/>
        <w:adjustRightInd w:val="0"/>
        <w:spacing w:line="360" w:lineRule="auto"/>
        <w:ind w:left="0"/>
        <w:jc w:val="both"/>
        <w:rPr>
          <w:rFonts w:ascii="Palatino Linotype" w:hAnsi="Palatino Linotype" w:cs="Arial"/>
          <w:lang w:val="es-MX"/>
        </w:rPr>
      </w:pPr>
    </w:p>
    <w:p w:rsidR="006E53ED" w:rsidRPr="00C95803" w:rsidRDefault="006E53ED" w:rsidP="00C95803">
      <w:pPr>
        <w:autoSpaceDE w:val="0"/>
        <w:autoSpaceDN w:val="0"/>
        <w:adjustRightInd w:val="0"/>
        <w:spacing w:line="360" w:lineRule="auto"/>
        <w:ind w:left="567" w:right="567"/>
        <w:jc w:val="both"/>
        <w:rPr>
          <w:rFonts w:ascii="Palatino Linotype" w:hAnsi="Palatino Linotype" w:cs="Arial"/>
          <w:b/>
          <w:i/>
          <w:lang w:val="es-MX" w:eastAsia="es-MX"/>
        </w:rPr>
      </w:pPr>
      <w:r w:rsidRPr="00C95803">
        <w:rPr>
          <w:rFonts w:ascii="Palatino Linotype" w:hAnsi="Palatino Linotype" w:cs="Arial"/>
          <w:b/>
          <w:i/>
          <w:lang w:val="es-MX" w:eastAsia="es-MX"/>
        </w:rPr>
        <w:t>“CRITERIO 0002-11</w:t>
      </w:r>
    </w:p>
    <w:p w:rsidR="006E53ED" w:rsidRPr="00C95803" w:rsidRDefault="006E53ED" w:rsidP="00C95803">
      <w:pPr>
        <w:autoSpaceDE w:val="0"/>
        <w:autoSpaceDN w:val="0"/>
        <w:adjustRightInd w:val="0"/>
        <w:spacing w:line="360" w:lineRule="auto"/>
        <w:ind w:left="567" w:right="567"/>
        <w:jc w:val="both"/>
        <w:rPr>
          <w:rFonts w:ascii="Palatino Linotype" w:hAnsi="Palatino Linotype" w:cs="Arial"/>
          <w:i/>
          <w:lang w:val="es-MX" w:eastAsia="es-MX"/>
        </w:rPr>
      </w:pPr>
      <w:r w:rsidRPr="00C95803">
        <w:rPr>
          <w:rFonts w:ascii="Palatino Linotype" w:hAnsi="Palatino Linotype" w:cs="Arial"/>
          <w:b/>
          <w:i/>
          <w:lang w:val="es-MX" w:eastAsia="es-MX"/>
        </w:rPr>
        <w:t xml:space="preserve">INFORMACIÓN PÚBLICA, CONCEPTO DE, EN MATERIA DE TRANSPARENCIA. INTERPRETACIÓN TEMÁTICA DE LOS ARTÍCULOS 2, FRACCIÓN </w:t>
      </w:r>
      <w:r w:rsidRPr="00C95803">
        <w:rPr>
          <w:rFonts w:ascii="Palatino Linotype" w:hAnsi="Palatino Linotype" w:cs="Arial"/>
          <w:b/>
          <w:bCs/>
          <w:i/>
          <w:lang w:val="es-MX" w:eastAsia="es-MX"/>
        </w:rPr>
        <w:t xml:space="preserve">V, XV, Y XVI, </w:t>
      </w:r>
      <w:r w:rsidRPr="00C95803">
        <w:rPr>
          <w:rFonts w:ascii="Palatino Linotype" w:hAnsi="Palatino Linotype" w:cs="Arial"/>
          <w:b/>
          <w:i/>
          <w:lang w:val="es-MX" w:eastAsia="es-MX"/>
        </w:rPr>
        <w:t>3, 4,11 Y 41.</w:t>
      </w:r>
      <w:r w:rsidRPr="00C9580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E53ED" w:rsidRPr="00C95803" w:rsidRDefault="006E53ED" w:rsidP="00C95803">
      <w:pPr>
        <w:autoSpaceDE w:val="0"/>
        <w:autoSpaceDN w:val="0"/>
        <w:adjustRightInd w:val="0"/>
        <w:spacing w:line="360" w:lineRule="auto"/>
        <w:ind w:left="567" w:right="567"/>
        <w:jc w:val="both"/>
        <w:rPr>
          <w:rFonts w:ascii="Palatino Linotype" w:hAnsi="Palatino Linotype" w:cs="Arial"/>
          <w:i/>
          <w:lang w:val="es-MX" w:eastAsia="es-MX"/>
        </w:rPr>
      </w:pPr>
      <w:r w:rsidRPr="00C95803">
        <w:rPr>
          <w:rFonts w:ascii="Palatino Linotype" w:hAnsi="Palatino Linotype" w:cs="Arial"/>
          <w:i/>
          <w:lang w:val="es-MX" w:eastAsia="es-MX"/>
        </w:rPr>
        <w:t>En consecuencia el acceso a la información se refiere a que se cumplan cualquiera de los siguientes tres supuestos:</w:t>
      </w:r>
    </w:p>
    <w:p w:rsidR="006E53ED" w:rsidRPr="00C95803" w:rsidRDefault="006E53ED" w:rsidP="00C95803">
      <w:pPr>
        <w:autoSpaceDE w:val="0"/>
        <w:autoSpaceDN w:val="0"/>
        <w:adjustRightInd w:val="0"/>
        <w:spacing w:line="360" w:lineRule="auto"/>
        <w:ind w:left="567" w:right="567"/>
        <w:jc w:val="both"/>
        <w:rPr>
          <w:rFonts w:ascii="Palatino Linotype" w:hAnsi="Palatino Linotype" w:cs="Arial"/>
          <w:i/>
          <w:lang w:val="es-MX" w:eastAsia="es-MX"/>
        </w:rPr>
      </w:pPr>
      <w:r w:rsidRPr="00C95803">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6E53ED" w:rsidRPr="00C95803" w:rsidRDefault="006E53ED" w:rsidP="00C95803">
      <w:pPr>
        <w:autoSpaceDE w:val="0"/>
        <w:autoSpaceDN w:val="0"/>
        <w:adjustRightInd w:val="0"/>
        <w:spacing w:line="360" w:lineRule="auto"/>
        <w:ind w:left="567" w:right="567"/>
        <w:jc w:val="both"/>
        <w:rPr>
          <w:rFonts w:ascii="Palatino Linotype" w:hAnsi="Palatino Linotype" w:cs="Arial"/>
          <w:i/>
          <w:lang w:val="es-MX" w:eastAsia="es-MX"/>
        </w:rPr>
      </w:pPr>
      <w:r w:rsidRPr="00C95803">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6E53ED" w:rsidRPr="00C95803" w:rsidRDefault="006E53ED" w:rsidP="00C95803">
      <w:pPr>
        <w:spacing w:line="360" w:lineRule="auto"/>
        <w:ind w:left="567" w:right="567"/>
        <w:jc w:val="both"/>
        <w:rPr>
          <w:rFonts w:ascii="Palatino Linotype" w:hAnsi="Palatino Linotype" w:cs="Arial"/>
          <w:i/>
          <w:color w:val="000000" w:themeColor="text1"/>
        </w:rPr>
      </w:pPr>
      <w:r w:rsidRPr="00C95803">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6E53ED" w:rsidRPr="00C95803" w:rsidRDefault="006E53ED" w:rsidP="00C95803">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C95803">
        <w:rPr>
          <w:rFonts w:ascii="Palatino Linotype" w:hAnsi="Palatino Linotype"/>
          <w:color w:val="000000" w:themeColor="text1"/>
        </w:rPr>
        <w:t>En esa virtud, el</w:t>
      </w:r>
      <w:r w:rsidRPr="00C95803">
        <w:rPr>
          <w:rStyle w:val="apple-converted-space"/>
          <w:rFonts w:ascii="Palatino Linotype" w:hAnsi="Palatino Linotype"/>
          <w:color w:val="000000" w:themeColor="text1"/>
        </w:rPr>
        <w:t xml:space="preserve"> </w:t>
      </w:r>
      <w:r w:rsidRPr="00C95803">
        <w:rPr>
          <w:rFonts w:ascii="Palatino Linotype" w:hAnsi="Palatino Linotype"/>
          <w:b/>
          <w:bCs/>
          <w:color w:val="000000" w:themeColor="text1"/>
        </w:rPr>
        <w:t>Sujeto Obligado</w:t>
      </w:r>
      <w:r w:rsidRPr="00C95803">
        <w:rPr>
          <w:rStyle w:val="apple-converted-space"/>
          <w:rFonts w:ascii="Palatino Linotype" w:hAnsi="Palatino Linotype"/>
          <w:color w:val="000000" w:themeColor="text1"/>
        </w:rPr>
        <w:t xml:space="preserve"> </w:t>
      </w:r>
      <w:r w:rsidRPr="00C95803">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6E53ED" w:rsidRPr="00C95803" w:rsidRDefault="006E53ED" w:rsidP="00C95803">
      <w:pPr>
        <w:pStyle w:val="Prrafodelista"/>
        <w:spacing w:before="240" w:after="360" w:line="360" w:lineRule="auto"/>
        <w:ind w:left="0"/>
        <w:jc w:val="both"/>
        <w:rPr>
          <w:rFonts w:ascii="Palatino Linotype" w:hAnsi="Palatino Linotype" w:cs="Arial"/>
          <w:i/>
          <w:color w:val="000000" w:themeColor="text1"/>
        </w:rPr>
      </w:pPr>
    </w:p>
    <w:p w:rsidR="006E53ED" w:rsidRPr="00C95803" w:rsidRDefault="006E53ED" w:rsidP="00C95803">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C95803">
        <w:rPr>
          <w:rFonts w:ascii="Palatino Linotype" w:hAnsi="Palatino Linotype"/>
          <w:color w:val="000000" w:themeColor="text1"/>
        </w:rPr>
        <w:t xml:space="preserve">Robustece lo anterior expuesto el primer párrafo del artículo 160 de la </w:t>
      </w:r>
      <w:r w:rsidRPr="00C95803">
        <w:rPr>
          <w:rFonts w:ascii="Palatino Linotype" w:hAnsi="Palatino Linotype"/>
          <w:b/>
        </w:rPr>
        <w:t xml:space="preserve">Ley de Transparencia y Acceso a la Información Pública del Estado de México y Municipios, </w:t>
      </w:r>
      <w:r w:rsidRPr="00C95803">
        <w:rPr>
          <w:rFonts w:ascii="Palatino Linotype" w:hAnsi="Palatino Linotype" w:cs="Tahoma"/>
        </w:rPr>
        <w:t>que a la letra dispone:</w:t>
      </w:r>
    </w:p>
    <w:p w:rsidR="006E53ED" w:rsidRPr="00C95803" w:rsidRDefault="006E53ED" w:rsidP="00C95803">
      <w:pPr>
        <w:pStyle w:val="Prrafodelista"/>
        <w:spacing w:before="240" w:after="360" w:line="360" w:lineRule="auto"/>
        <w:ind w:left="0"/>
        <w:jc w:val="both"/>
        <w:rPr>
          <w:rFonts w:ascii="Palatino Linotype" w:hAnsi="Palatino Linotype" w:cs="Arial"/>
          <w:color w:val="000000" w:themeColor="text1"/>
        </w:rPr>
      </w:pPr>
    </w:p>
    <w:p w:rsidR="006E53ED" w:rsidRPr="00C95803" w:rsidRDefault="006E53ED" w:rsidP="00C95803">
      <w:pPr>
        <w:pStyle w:val="Prrafodelista"/>
        <w:spacing w:before="240" w:after="360" w:line="360" w:lineRule="auto"/>
        <w:ind w:left="567" w:right="567"/>
        <w:jc w:val="both"/>
        <w:rPr>
          <w:rFonts w:ascii="Palatino Linotype" w:hAnsi="Palatino Linotype" w:cs="Arial"/>
          <w:i/>
          <w:lang w:val="es-MX"/>
        </w:rPr>
      </w:pPr>
      <w:r w:rsidRPr="00C95803">
        <w:rPr>
          <w:rFonts w:ascii="Palatino Linotype" w:hAnsi="Palatino Linotype"/>
          <w:b/>
          <w:i/>
        </w:rPr>
        <w:t>Artículo 160.</w:t>
      </w:r>
      <w:r w:rsidRPr="00C95803">
        <w:rPr>
          <w:rFonts w:ascii="Palatino Linotype" w:hAnsi="Palatino Linotype"/>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E53ED" w:rsidRPr="00C95803" w:rsidRDefault="006E53ED" w:rsidP="00C95803">
      <w:pPr>
        <w:pStyle w:val="Prrafodelista"/>
        <w:spacing w:before="240" w:after="360" w:line="360" w:lineRule="auto"/>
        <w:ind w:left="0"/>
        <w:jc w:val="both"/>
        <w:rPr>
          <w:rFonts w:ascii="Palatino Linotype" w:hAnsi="Palatino Linotype" w:cs="Arial"/>
          <w:color w:val="000000" w:themeColor="text1"/>
        </w:rPr>
      </w:pPr>
    </w:p>
    <w:p w:rsidR="002043F5" w:rsidRPr="00C95803" w:rsidRDefault="006E53ED" w:rsidP="00C95803">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C95803">
        <w:rPr>
          <w:rFonts w:ascii="Palatino Linotype" w:eastAsia="Times New Roman" w:hAnsi="Palatino Linotype" w:cs="Arial"/>
          <w:bCs/>
          <w:color w:val="000000" w:themeColor="text1"/>
          <w:lang w:val="es-ES"/>
        </w:rPr>
        <w:t xml:space="preserve">Por ello, el </w:t>
      </w:r>
      <w:r w:rsidRPr="00C95803">
        <w:rPr>
          <w:rFonts w:ascii="Palatino Linotype" w:eastAsia="Times New Roman" w:hAnsi="Palatino Linotype" w:cs="Arial"/>
          <w:b/>
          <w:bCs/>
          <w:color w:val="000000" w:themeColor="text1"/>
          <w:lang w:val="es-ES"/>
        </w:rPr>
        <w:t>Sujeto Obligado</w:t>
      </w:r>
      <w:r w:rsidRPr="00C95803">
        <w:rPr>
          <w:rFonts w:ascii="Palatino Linotype" w:eastAsia="Times New Roman" w:hAnsi="Palatino Linotype" w:cs="Arial"/>
          <w:bCs/>
          <w:color w:val="000000" w:themeColor="text1"/>
          <w:lang w:val="es-ES"/>
        </w:rPr>
        <w:t xml:space="preserve"> al momento en que dé respuesta a cualquier solicitud de acceso a la información deberá revisar y verificar que sea entregada la documentación generada, poseída o administrada en el ejercicio de sus funciones, esto, de forma completa e integra, para que este Instituto tenga por satisfecho el derecho de acceso a la información ejercido por el recurrente.</w:t>
      </w:r>
    </w:p>
    <w:p w:rsidR="002A5BA4" w:rsidRPr="00C95803" w:rsidRDefault="00000029" w:rsidP="00C95803">
      <w:pPr>
        <w:pStyle w:val="Ttulo2"/>
        <w:numPr>
          <w:ilvl w:val="0"/>
          <w:numId w:val="4"/>
        </w:numPr>
        <w:spacing w:line="360" w:lineRule="auto"/>
        <w:rPr>
          <w:rFonts w:ascii="Palatino Linotype" w:hAnsi="Palatino Linotype"/>
          <w:b/>
          <w:color w:val="auto"/>
          <w:sz w:val="24"/>
          <w:szCs w:val="24"/>
        </w:rPr>
      </w:pPr>
      <w:bookmarkStart w:id="17" w:name="_Toc23418068"/>
      <w:r w:rsidRPr="00C95803">
        <w:rPr>
          <w:rFonts w:ascii="Palatino Linotype" w:hAnsi="Palatino Linotype"/>
          <w:b/>
          <w:color w:val="auto"/>
          <w:sz w:val="24"/>
          <w:szCs w:val="24"/>
        </w:rPr>
        <w:t>Fuente Obligacional.</w:t>
      </w:r>
      <w:bookmarkEnd w:id="17"/>
      <w:r w:rsidR="008B768C" w:rsidRPr="00C95803">
        <w:rPr>
          <w:rFonts w:ascii="Palatino Linotype" w:hAnsi="Palatino Linotype"/>
          <w:b/>
          <w:color w:val="auto"/>
          <w:sz w:val="24"/>
          <w:szCs w:val="24"/>
        </w:rPr>
        <w:t xml:space="preserve"> </w:t>
      </w:r>
    </w:p>
    <w:p w:rsidR="00B22D36" w:rsidRPr="00C95803" w:rsidRDefault="00B22D36" w:rsidP="00C95803">
      <w:pPr>
        <w:spacing w:line="360" w:lineRule="auto"/>
        <w:rPr>
          <w:rFonts w:ascii="Palatino Linotype" w:hAnsi="Palatino Linotype"/>
          <w:lang w:val="es-MX" w:eastAsia="en-US"/>
        </w:rPr>
      </w:pPr>
    </w:p>
    <w:p w:rsidR="007E2CDA" w:rsidRDefault="0034418B" w:rsidP="00C95803">
      <w:pPr>
        <w:pStyle w:val="Ttulo3"/>
        <w:numPr>
          <w:ilvl w:val="1"/>
          <w:numId w:val="1"/>
        </w:numPr>
        <w:spacing w:line="360" w:lineRule="auto"/>
        <w:rPr>
          <w:rFonts w:ascii="Palatino Linotype" w:hAnsi="Palatino Linotype"/>
          <w:b/>
          <w:color w:val="auto"/>
        </w:rPr>
      </w:pPr>
      <w:bookmarkStart w:id="18" w:name="_Toc23418069"/>
      <w:r w:rsidRPr="00C95803">
        <w:rPr>
          <w:rFonts w:ascii="Palatino Linotype" w:hAnsi="Palatino Linotype"/>
          <w:b/>
          <w:color w:val="auto"/>
        </w:rPr>
        <w:t>De la obligación de transparencia.</w:t>
      </w:r>
      <w:bookmarkEnd w:id="18"/>
    </w:p>
    <w:p w:rsidR="00C95803" w:rsidRPr="00C95803" w:rsidRDefault="00C95803" w:rsidP="00C95803"/>
    <w:p w:rsidR="007E2CDA" w:rsidRPr="00C95803" w:rsidRDefault="007E2CDA" w:rsidP="00C95803">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sidRPr="00C95803">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7E2CDA" w:rsidRPr="00C95803" w:rsidRDefault="007E2CDA" w:rsidP="00C95803">
      <w:pPr>
        <w:spacing w:line="360" w:lineRule="auto"/>
        <w:jc w:val="both"/>
        <w:rPr>
          <w:rFonts w:ascii="Palatino Linotype" w:hAnsi="Palatino Linotype" w:cs="Arial"/>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b/>
          <w:i/>
        </w:rPr>
        <w:t>“Artículo 6o.</w:t>
      </w:r>
      <w:r w:rsidRPr="00C95803">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95803">
        <w:rPr>
          <w:rFonts w:ascii="Palatino Linotype" w:hAnsi="Palatino Linotype" w:cs="Arial"/>
          <w:b/>
          <w:i/>
        </w:rPr>
        <w:t>El derecho a la información será garantizado por el Estado.</w:t>
      </w:r>
      <w:r w:rsidRPr="00C95803">
        <w:rPr>
          <w:rFonts w:ascii="Palatino Linotype" w:hAnsi="Palatino Linotype" w:cs="Arial"/>
          <w:i/>
        </w:rPr>
        <w:t xml:space="preserve"> </w:t>
      </w:r>
    </w:p>
    <w:p w:rsidR="007E2CDA" w:rsidRPr="00C95803" w:rsidRDefault="007E2CDA" w:rsidP="00C95803">
      <w:pPr>
        <w:spacing w:line="360" w:lineRule="auto"/>
        <w:ind w:left="567" w:right="567"/>
        <w:jc w:val="both"/>
        <w:rPr>
          <w:rFonts w:ascii="Palatino Linotype" w:hAnsi="Palatino Linotype" w:cs="Arial"/>
          <w:i/>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7E2CDA" w:rsidRPr="00C95803" w:rsidRDefault="007E2CDA" w:rsidP="00C95803">
      <w:pPr>
        <w:spacing w:line="360" w:lineRule="auto"/>
        <w:ind w:left="567" w:right="567"/>
        <w:jc w:val="both"/>
        <w:rPr>
          <w:rFonts w:ascii="Palatino Linotype" w:hAnsi="Palatino Linotype" w:cs="Arial"/>
          <w:i/>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i/>
        </w:rPr>
        <w:t>Para efectos de lo dispuesto en el presente artículo se observará lo siguiente:</w:t>
      </w:r>
    </w:p>
    <w:p w:rsidR="007E2CDA" w:rsidRPr="00C95803" w:rsidRDefault="007E2CDA" w:rsidP="00C95803">
      <w:pPr>
        <w:spacing w:line="360" w:lineRule="auto"/>
        <w:ind w:left="567" w:right="567"/>
        <w:jc w:val="both"/>
        <w:rPr>
          <w:rFonts w:ascii="Palatino Linotype" w:hAnsi="Palatino Linotype" w:cs="Arial"/>
          <w:i/>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7E2CDA" w:rsidRPr="00C95803" w:rsidRDefault="007E2CDA" w:rsidP="00C95803">
      <w:pPr>
        <w:spacing w:line="360" w:lineRule="auto"/>
        <w:ind w:left="567" w:right="567"/>
        <w:jc w:val="both"/>
        <w:rPr>
          <w:rFonts w:ascii="Palatino Linotype" w:hAnsi="Palatino Linotype" w:cs="Arial"/>
          <w:b/>
          <w:i/>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b/>
          <w:i/>
        </w:rPr>
        <w:t>I. Toda la información en posesión de</w:t>
      </w:r>
      <w:r w:rsidRPr="00C95803">
        <w:rPr>
          <w:rFonts w:ascii="Palatino Linotype" w:hAnsi="Palatino Linotype" w:cs="Arial"/>
          <w:i/>
        </w:rPr>
        <w:t xml:space="preserve"> </w:t>
      </w:r>
      <w:r w:rsidRPr="00C95803">
        <w:rPr>
          <w:rFonts w:ascii="Palatino Linotype" w:hAnsi="Palatino Linotype" w:cs="Arial"/>
          <w:b/>
          <w:i/>
        </w:rPr>
        <w:t>cualquier autoridad</w:t>
      </w:r>
      <w:r w:rsidRPr="00C95803">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95803">
        <w:rPr>
          <w:rFonts w:ascii="Palatino Linotype" w:hAnsi="Palatino Linotype" w:cs="Arial"/>
          <w:b/>
          <w:i/>
        </w:rPr>
        <w:t>es pública</w:t>
      </w:r>
      <w:r w:rsidRPr="00C95803">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C95803">
        <w:rPr>
          <w:rFonts w:ascii="Palatino Linotype" w:hAnsi="Palatino Linotype" w:cs="Arial"/>
          <w:b/>
          <w:i/>
        </w:rPr>
        <w:t>Los sujetos obligados deberán documentar todo acto que derive del ejercicio de sus facultades, competencias o funciones</w:t>
      </w:r>
      <w:r w:rsidRPr="00C95803">
        <w:rPr>
          <w:rFonts w:ascii="Palatino Linotype" w:hAnsi="Palatino Linotype" w:cs="Arial"/>
          <w:i/>
        </w:rPr>
        <w:t>, la ley determinará los supuestos específicos bajo los cuales procederá la declaración de inexistencia de la información.</w:t>
      </w:r>
    </w:p>
    <w:p w:rsidR="007E2CDA" w:rsidRPr="00C95803" w:rsidRDefault="007E2CDA" w:rsidP="00C95803">
      <w:pPr>
        <w:spacing w:line="360" w:lineRule="auto"/>
        <w:ind w:left="567" w:right="567"/>
        <w:jc w:val="both"/>
        <w:rPr>
          <w:rFonts w:ascii="Palatino Linotype" w:hAnsi="Palatino Linotype" w:cs="Arial"/>
          <w:i/>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i/>
        </w:rPr>
        <w:t>II. La información que se refiere a la vida privada y los datos personales será protegida en los términos y con las excepciones que fijen las leyes.</w:t>
      </w:r>
    </w:p>
    <w:p w:rsidR="007E2CDA" w:rsidRPr="00C95803" w:rsidRDefault="007E2CDA" w:rsidP="00C95803">
      <w:pPr>
        <w:spacing w:line="360" w:lineRule="auto"/>
        <w:ind w:left="567" w:right="567"/>
        <w:jc w:val="both"/>
        <w:rPr>
          <w:rFonts w:ascii="Palatino Linotype" w:hAnsi="Palatino Linotype" w:cs="Arial"/>
          <w:i/>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7E2CDA" w:rsidRPr="00C95803" w:rsidRDefault="007E2CDA" w:rsidP="00C95803">
      <w:pPr>
        <w:spacing w:line="360" w:lineRule="auto"/>
        <w:ind w:left="567" w:right="567"/>
        <w:jc w:val="both"/>
        <w:rPr>
          <w:rFonts w:ascii="Palatino Linotype" w:hAnsi="Palatino Linotype" w:cs="Arial"/>
          <w:i/>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7E2CDA" w:rsidRPr="00C95803" w:rsidRDefault="007E2CDA" w:rsidP="00C95803">
      <w:pPr>
        <w:spacing w:line="360" w:lineRule="auto"/>
        <w:ind w:left="567" w:right="567"/>
        <w:jc w:val="both"/>
        <w:rPr>
          <w:rFonts w:ascii="Palatino Linotype" w:hAnsi="Palatino Linotype" w:cs="Arial"/>
          <w:b/>
          <w:i/>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b/>
          <w:i/>
        </w:rPr>
        <w:t>V. Los sujetos obligados deberán preservar sus documentos en archivos administrativos actualizados y publicarán, a través de los medios electrónicos disponibles</w:t>
      </w:r>
      <w:r w:rsidRPr="00C95803">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rsidR="007E2CDA" w:rsidRPr="00C95803" w:rsidRDefault="007E2CDA" w:rsidP="00C95803">
      <w:pPr>
        <w:spacing w:line="360" w:lineRule="auto"/>
        <w:ind w:left="567" w:right="567"/>
        <w:jc w:val="both"/>
        <w:rPr>
          <w:rFonts w:ascii="Palatino Linotype" w:hAnsi="Palatino Linotype" w:cs="Arial"/>
          <w:i/>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i/>
        </w:rPr>
        <w:t>VI. Las leyes determinarán la manera en que los sujetos obligados deberán hacer pública la información relativa a los recursos públicos que entreguen a personas físicas o morales.</w:t>
      </w:r>
    </w:p>
    <w:p w:rsidR="007E2CDA" w:rsidRPr="00C95803" w:rsidRDefault="007E2CDA" w:rsidP="00C95803">
      <w:pPr>
        <w:spacing w:line="360" w:lineRule="auto"/>
        <w:ind w:left="567" w:right="567"/>
        <w:jc w:val="both"/>
        <w:rPr>
          <w:rFonts w:ascii="Palatino Linotype" w:hAnsi="Palatino Linotype" w:cs="Arial"/>
          <w:i/>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i/>
        </w:rPr>
        <w:t>VII. La inobservancia a las disposiciones en materia de acceso a la información pública será sancionada en los términos que dispongan las leyes.</w:t>
      </w:r>
    </w:p>
    <w:p w:rsidR="007E2CDA" w:rsidRPr="00C95803" w:rsidRDefault="007E2CDA" w:rsidP="00C95803">
      <w:pPr>
        <w:spacing w:line="360" w:lineRule="auto"/>
        <w:ind w:left="567" w:right="567"/>
        <w:jc w:val="both"/>
        <w:rPr>
          <w:rFonts w:ascii="Palatino Linotype" w:hAnsi="Palatino Linotype" w:cs="Arial"/>
          <w:i/>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i/>
        </w:rPr>
        <w:t>…</w:t>
      </w: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i/>
        </w:rPr>
        <w:t>La ley establecerá aquella información que se considere reservada o confidencial.”</w:t>
      </w:r>
    </w:p>
    <w:p w:rsidR="007E2CDA" w:rsidRPr="00C95803" w:rsidRDefault="007E2CDA" w:rsidP="00C95803">
      <w:pPr>
        <w:spacing w:line="360" w:lineRule="auto"/>
        <w:ind w:left="567" w:right="567"/>
        <w:jc w:val="both"/>
        <w:rPr>
          <w:rFonts w:ascii="Palatino Linotype" w:hAnsi="Palatino Linotype"/>
          <w:i/>
        </w:rPr>
      </w:pPr>
    </w:p>
    <w:p w:rsidR="007E2CDA" w:rsidRPr="00C95803" w:rsidRDefault="007E2CDA" w:rsidP="00C95803">
      <w:pPr>
        <w:spacing w:line="360" w:lineRule="auto"/>
        <w:ind w:left="567" w:right="567"/>
        <w:jc w:val="both"/>
        <w:rPr>
          <w:rFonts w:ascii="Palatino Linotype" w:hAnsi="Palatino Linotype"/>
          <w:i/>
        </w:rPr>
      </w:pPr>
      <w:r w:rsidRPr="00C95803">
        <w:rPr>
          <w:rFonts w:ascii="Palatino Linotype" w:hAnsi="Palatino Linotype"/>
          <w:i/>
        </w:rPr>
        <w:t>(Énfasis añadido)</w:t>
      </w:r>
    </w:p>
    <w:p w:rsidR="007E2CDA" w:rsidRPr="00C95803" w:rsidRDefault="007E2CDA" w:rsidP="00C95803">
      <w:pPr>
        <w:spacing w:line="360" w:lineRule="auto"/>
        <w:ind w:left="709" w:right="757"/>
        <w:jc w:val="both"/>
        <w:rPr>
          <w:rFonts w:ascii="Palatino Linotype" w:hAnsi="Palatino Linotype"/>
        </w:rPr>
      </w:pPr>
    </w:p>
    <w:p w:rsidR="007E2CDA" w:rsidRPr="00C95803" w:rsidRDefault="007E2CDA" w:rsidP="00C95803">
      <w:pPr>
        <w:pStyle w:val="Prrafodelista"/>
        <w:numPr>
          <w:ilvl w:val="0"/>
          <w:numId w:val="1"/>
        </w:numPr>
        <w:spacing w:line="360" w:lineRule="auto"/>
        <w:ind w:left="0" w:firstLine="0"/>
        <w:jc w:val="both"/>
        <w:rPr>
          <w:rFonts w:ascii="Palatino Linotype" w:hAnsi="Palatino Linotype" w:cs="Arial"/>
        </w:rPr>
      </w:pPr>
      <w:r w:rsidRPr="00C95803">
        <w:rPr>
          <w:rFonts w:ascii="Palatino Linotype" w:hAnsi="Palatino Linotype" w:cs="Arial"/>
        </w:rPr>
        <w:t>Por su parte, la Constitución Política del Estado Libre y Soberano de México, en su artículo 5°, dispone en su parte conducente, lo siguiente:</w:t>
      </w:r>
    </w:p>
    <w:p w:rsidR="007E2CDA" w:rsidRPr="00C95803" w:rsidRDefault="007E2CDA" w:rsidP="00C95803">
      <w:pPr>
        <w:spacing w:line="360" w:lineRule="auto"/>
        <w:ind w:left="709" w:right="757"/>
        <w:jc w:val="both"/>
        <w:rPr>
          <w:rFonts w:ascii="Palatino Linotype" w:hAnsi="Palatino Linotype" w:cs="Arial"/>
        </w:rPr>
      </w:pPr>
    </w:p>
    <w:p w:rsidR="007E2CDA" w:rsidRPr="00C95803" w:rsidRDefault="007E2CDA" w:rsidP="00C95803">
      <w:pPr>
        <w:spacing w:line="360" w:lineRule="auto"/>
        <w:ind w:left="567" w:right="567"/>
        <w:jc w:val="both"/>
        <w:rPr>
          <w:rFonts w:ascii="Palatino Linotype" w:hAnsi="Palatino Linotype" w:cs="Arial"/>
          <w:b/>
          <w:i/>
        </w:rPr>
      </w:pPr>
      <w:r w:rsidRPr="00C95803">
        <w:rPr>
          <w:rFonts w:ascii="Palatino Linotype" w:hAnsi="Palatino Linotype" w:cs="Arial"/>
          <w:b/>
          <w:i/>
        </w:rPr>
        <w:t xml:space="preserve">“Artículo 5. … </w:t>
      </w:r>
    </w:p>
    <w:p w:rsidR="007E2CDA" w:rsidRPr="00C95803" w:rsidRDefault="007E2CDA" w:rsidP="00C95803">
      <w:pPr>
        <w:spacing w:line="360" w:lineRule="auto"/>
        <w:ind w:left="567" w:right="567"/>
        <w:jc w:val="both"/>
        <w:rPr>
          <w:rFonts w:ascii="Palatino Linotype" w:hAnsi="Palatino Linotype"/>
          <w:i/>
        </w:rPr>
      </w:pPr>
      <w:r w:rsidRPr="00C95803">
        <w:rPr>
          <w:rFonts w:ascii="Palatino Linotype" w:hAnsi="Palatino Linotype"/>
          <w:b/>
          <w:i/>
        </w:rPr>
        <w:t>El derecho a la información será garantizado por el Estado</w:t>
      </w:r>
      <w:r w:rsidRPr="00C95803">
        <w:rPr>
          <w:rFonts w:ascii="Palatino Linotype" w:hAnsi="Palatino Linotype"/>
          <w:i/>
        </w:rPr>
        <w:t xml:space="preserve">. La ley establecerá las previsiones que permitan asegurar la protección, el respeto y la difusión de este derecho. </w:t>
      </w:r>
    </w:p>
    <w:p w:rsidR="007E2CDA" w:rsidRPr="00C95803" w:rsidRDefault="007E2CDA" w:rsidP="00C95803">
      <w:pPr>
        <w:spacing w:line="360" w:lineRule="auto"/>
        <w:ind w:left="567" w:right="567"/>
        <w:jc w:val="both"/>
        <w:rPr>
          <w:rFonts w:ascii="Palatino Linotype" w:hAnsi="Palatino Linotype"/>
          <w:i/>
        </w:rPr>
      </w:pPr>
      <w:r w:rsidRPr="00C95803">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E2CDA" w:rsidRPr="00C95803" w:rsidRDefault="007E2CDA" w:rsidP="00C95803">
      <w:pPr>
        <w:spacing w:line="360" w:lineRule="auto"/>
        <w:ind w:left="567" w:right="567"/>
        <w:jc w:val="both"/>
        <w:rPr>
          <w:rFonts w:ascii="Palatino Linotype" w:hAnsi="Palatino Linotype"/>
          <w:i/>
        </w:rPr>
      </w:pPr>
    </w:p>
    <w:p w:rsidR="007E2CDA" w:rsidRPr="00C95803" w:rsidRDefault="007E2CDA" w:rsidP="00C95803">
      <w:pPr>
        <w:spacing w:line="360" w:lineRule="auto"/>
        <w:ind w:left="567" w:right="567"/>
        <w:jc w:val="both"/>
        <w:rPr>
          <w:rFonts w:ascii="Palatino Linotype" w:hAnsi="Palatino Linotype"/>
          <w:i/>
        </w:rPr>
      </w:pPr>
      <w:r w:rsidRPr="00C95803">
        <w:rPr>
          <w:rFonts w:ascii="Palatino Linotype" w:hAnsi="Palatino Linotype"/>
          <w:i/>
        </w:rPr>
        <w:t>Este derecho se regirá por los principios y bases siguientes:</w:t>
      </w:r>
    </w:p>
    <w:p w:rsidR="007E2CDA" w:rsidRPr="00C95803" w:rsidRDefault="007E2CDA" w:rsidP="00C95803">
      <w:pPr>
        <w:spacing w:line="360" w:lineRule="auto"/>
        <w:ind w:left="567" w:right="567"/>
        <w:jc w:val="both"/>
        <w:rPr>
          <w:rFonts w:ascii="Palatino Linotype" w:hAnsi="Palatino Linotype"/>
          <w:b/>
          <w:i/>
        </w:rPr>
      </w:pPr>
    </w:p>
    <w:p w:rsidR="007E2CDA" w:rsidRPr="00C95803" w:rsidRDefault="007E2CDA" w:rsidP="00C95803">
      <w:pPr>
        <w:spacing w:line="360" w:lineRule="auto"/>
        <w:ind w:left="567" w:right="567"/>
        <w:jc w:val="both"/>
        <w:rPr>
          <w:rFonts w:ascii="Palatino Linotype" w:hAnsi="Palatino Linotype"/>
          <w:i/>
        </w:rPr>
      </w:pPr>
      <w:r w:rsidRPr="00C95803">
        <w:rPr>
          <w:rFonts w:ascii="Palatino Linotype" w:hAnsi="Palatino Linotype"/>
          <w:b/>
          <w:i/>
        </w:rPr>
        <w:t xml:space="preserve">I. Toda la información en posesión </w:t>
      </w:r>
      <w:r w:rsidRPr="00C95803">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C95803">
        <w:rPr>
          <w:rFonts w:ascii="Palatino Linotype" w:hAnsi="Palatino Linotype"/>
          <w:b/>
          <w:i/>
        </w:rPr>
        <w:t>del gobierno y de la administración pública municipal y sus organismos descentralizados</w:t>
      </w:r>
      <w:r w:rsidRPr="00C95803">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C95803">
        <w:rPr>
          <w:rFonts w:ascii="Palatino Linotype" w:hAnsi="Palatino Linotype"/>
          <w:b/>
          <w:i/>
        </w:rPr>
        <w:t>es pública</w:t>
      </w:r>
      <w:r w:rsidRPr="00C95803">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E2CDA" w:rsidRPr="00C95803" w:rsidRDefault="007E2CDA" w:rsidP="00C95803">
      <w:pPr>
        <w:spacing w:line="360" w:lineRule="auto"/>
        <w:ind w:left="567" w:right="567"/>
        <w:jc w:val="both"/>
        <w:rPr>
          <w:rFonts w:ascii="Palatino Linotype" w:hAnsi="Palatino Linotype"/>
          <w:i/>
        </w:rPr>
      </w:pPr>
    </w:p>
    <w:p w:rsidR="007E2CDA" w:rsidRPr="00C95803" w:rsidRDefault="007E2CDA" w:rsidP="00C95803">
      <w:pPr>
        <w:spacing w:line="360" w:lineRule="auto"/>
        <w:ind w:left="567" w:right="567"/>
        <w:jc w:val="both"/>
        <w:rPr>
          <w:rFonts w:ascii="Palatino Linotype" w:hAnsi="Palatino Linotype"/>
          <w:i/>
        </w:rPr>
      </w:pPr>
      <w:r w:rsidRPr="00C95803">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7E2CDA" w:rsidRPr="00C95803" w:rsidRDefault="007E2CDA" w:rsidP="00C95803">
      <w:pPr>
        <w:spacing w:line="360" w:lineRule="auto"/>
        <w:ind w:left="567" w:right="567"/>
        <w:jc w:val="both"/>
        <w:rPr>
          <w:rFonts w:ascii="Palatino Linotype" w:hAnsi="Palatino Linotype"/>
          <w:i/>
        </w:rPr>
      </w:pPr>
    </w:p>
    <w:p w:rsidR="007E2CDA" w:rsidRPr="00C95803" w:rsidRDefault="007E2CDA" w:rsidP="00C95803">
      <w:pPr>
        <w:spacing w:line="360" w:lineRule="auto"/>
        <w:ind w:left="567" w:right="567"/>
        <w:jc w:val="both"/>
        <w:rPr>
          <w:rFonts w:ascii="Palatino Linotype" w:hAnsi="Palatino Linotype"/>
          <w:i/>
        </w:rPr>
      </w:pPr>
      <w:r w:rsidRPr="00C95803">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7E2CDA" w:rsidRPr="00C95803" w:rsidRDefault="007E2CDA" w:rsidP="00C95803">
      <w:pPr>
        <w:spacing w:line="360" w:lineRule="auto"/>
        <w:ind w:left="567" w:right="567"/>
        <w:jc w:val="both"/>
        <w:rPr>
          <w:rFonts w:ascii="Palatino Linotype" w:hAnsi="Palatino Linotype"/>
          <w:i/>
        </w:rPr>
      </w:pPr>
    </w:p>
    <w:p w:rsidR="007E2CDA" w:rsidRPr="00C95803" w:rsidRDefault="007E2CDA" w:rsidP="00C95803">
      <w:pPr>
        <w:spacing w:line="360" w:lineRule="auto"/>
        <w:ind w:left="567" w:right="567"/>
        <w:jc w:val="both"/>
        <w:rPr>
          <w:rFonts w:ascii="Palatino Linotype" w:hAnsi="Palatino Linotype"/>
          <w:i/>
        </w:rPr>
      </w:pPr>
      <w:r w:rsidRPr="00C95803">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7E2CDA" w:rsidRPr="00C95803" w:rsidRDefault="007E2CDA" w:rsidP="00C95803">
      <w:pPr>
        <w:spacing w:line="360" w:lineRule="auto"/>
        <w:ind w:left="567" w:right="567"/>
        <w:jc w:val="both"/>
        <w:rPr>
          <w:rFonts w:ascii="Palatino Linotype" w:hAnsi="Palatino Linotype"/>
          <w:i/>
        </w:rPr>
      </w:pPr>
    </w:p>
    <w:p w:rsidR="007E2CDA" w:rsidRPr="00C95803" w:rsidRDefault="007E2CDA" w:rsidP="00C95803">
      <w:pPr>
        <w:spacing w:line="360" w:lineRule="auto"/>
        <w:ind w:left="567" w:right="567"/>
        <w:jc w:val="both"/>
        <w:rPr>
          <w:rFonts w:ascii="Palatino Linotype" w:hAnsi="Palatino Linotype"/>
          <w:i/>
        </w:rPr>
      </w:pPr>
      <w:r w:rsidRPr="00C95803">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7E2CDA" w:rsidRPr="00C95803" w:rsidRDefault="007E2CDA" w:rsidP="00C95803">
      <w:pPr>
        <w:spacing w:line="360" w:lineRule="auto"/>
        <w:ind w:left="567" w:right="567"/>
        <w:jc w:val="both"/>
        <w:rPr>
          <w:rFonts w:ascii="Palatino Linotype" w:hAnsi="Palatino Linotype"/>
          <w:b/>
          <w:i/>
        </w:rPr>
      </w:pPr>
    </w:p>
    <w:p w:rsidR="007E2CDA" w:rsidRPr="00C95803" w:rsidRDefault="007E2CDA" w:rsidP="00C95803">
      <w:pPr>
        <w:spacing w:line="360" w:lineRule="auto"/>
        <w:ind w:left="567" w:right="567"/>
        <w:jc w:val="both"/>
        <w:rPr>
          <w:rFonts w:ascii="Palatino Linotype" w:hAnsi="Palatino Linotype"/>
          <w:i/>
        </w:rPr>
      </w:pPr>
      <w:r w:rsidRPr="00C95803">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C95803">
        <w:rPr>
          <w:rFonts w:ascii="Palatino Linotype" w:hAnsi="Palatino Linotype"/>
          <w:i/>
        </w:rPr>
        <w:t xml:space="preserve"> y los indicadores que permitan rendir cuenta del cumplimiento de sus objetivos y los resultados obtenidos.</w:t>
      </w:r>
    </w:p>
    <w:p w:rsidR="007E2CDA" w:rsidRPr="00C95803" w:rsidRDefault="007E2CDA" w:rsidP="00C95803">
      <w:pPr>
        <w:spacing w:line="360" w:lineRule="auto"/>
        <w:ind w:left="567" w:right="567"/>
        <w:jc w:val="both"/>
        <w:rPr>
          <w:rFonts w:ascii="Palatino Linotype" w:hAnsi="Palatino Linotype"/>
          <w:i/>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7E2CDA" w:rsidRPr="00C95803" w:rsidRDefault="007E2CDA" w:rsidP="00C95803">
      <w:pPr>
        <w:spacing w:line="360" w:lineRule="auto"/>
        <w:ind w:left="567" w:right="567"/>
        <w:jc w:val="both"/>
        <w:rPr>
          <w:rFonts w:ascii="Palatino Linotype" w:hAnsi="Palatino Linotype"/>
        </w:rPr>
      </w:pPr>
    </w:p>
    <w:p w:rsidR="007E2CDA" w:rsidRPr="00C95803" w:rsidRDefault="007E2CDA" w:rsidP="00C95803">
      <w:pPr>
        <w:spacing w:line="360" w:lineRule="auto"/>
        <w:ind w:left="567" w:right="567"/>
        <w:jc w:val="both"/>
        <w:rPr>
          <w:rFonts w:ascii="Palatino Linotype" w:hAnsi="Palatino Linotype"/>
        </w:rPr>
      </w:pPr>
      <w:r w:rsidRPr="00C95803">
        <w:rPr>
          <w:rFonts w:ascii="Palatino Linotype" w:hAnsi="Palatino Linotype"/>
        </w:rPr>
        <w:t>(Énfasis añadido)</w:t>
      </w:r>
    </w:p>
    <w:p w:rsidR="0034418B" w:rsidRPr="00C95803" w:rsidRDefault="0034418B" w:rsidP="00C95803">
      <w:pPr>
        <w:spacing w:line="360" w:lineRule="auto"/>
        <w:ind w:left="567" w:right="567"/>
        <w:jc w:val="both"/>
        <w:rPr>
          <w:rFonts w:ascii="Palatino Linotype" w:hAnsi="Palatino Linotype"/>
        </w:rPr>
      </w:pPr>
    </w:p>
    <w:p w:rsidR="007E2CDA" w:rsidRPr="00C95803" w:rsidRDefault="007E2CDA" w:rsidP="00C95803">
      <w:pPr>
        <w:pStyle w:val="Prrafodelista"/>
        <w:numPr>
          <w:ilvl w:val="0"/>
          <w:numId w:val="1"/>
        </w:numPr>
        <w:spacing w:line="360" w:lineRule="auto"/>
        <w:ind w:left="0" w:firstLine="0"/>
        <w:jc w:val="both"/>
        <w:rPr>
          <w:rFonts w:ascii="Palatino Linotype" w:hAnsi="Palatino Linotype" w:cs="Arial"/>
        </w:rPr>
      </w:pPr>
      <w:r w:rsidRPr="00C95803">
        <w:rPr>
          <w:rFonts w:ascii="Palatino Linotype" w:hAnsi="Palatino Linotype" w:cs="Arial"/>
        </w:rPr>
        <w:t>Adicional, tenemos que la Ley de Transparencia y Acceso a la Información Pública del Estado de México y Municipios, prevé en su artículo 23 fracción IV, lo siguiente:</w:t>
      </w:r>
    </w:p>
    <w:p w:rsidR="007E2CDA" w:rsidRPr="00C95803" w:rsidRDefault="007E2CDA" w:rsidP="00C95803">
      <w:pPr>
        <w:spacing w:line="360" w:lineRule="auto"/>
        <w:jc w:val="both"/>
        <w:rPr>
          <w:rFonts w:ascii="Palatino Linotype" w:hAnsi="Palatino Linotype" w:cs="Arial"/>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b/>
          <w:i/>
        </w:rPr>
        <w:t xml:space="preserve">“Artículo 23. Son sujetos obligados a transparentar y permitir el acceso a su información y </w:t>
      </w:r>
      <w:r w:rsidRPr="00C95803">
        <w:rPr>
          <w:rFonts w:ascii="Palatino Linotype" w:hAnsi="Palatino Linotype"/>
          <w:b/>
          <w:i/>
        </w:rPr>
        <w:t>proteger</w:t>
      </w:r>
      <w:r w:rsidRPr="00C95803">
        <w:rPr>
          <w:rFonts w:ascii="Palatino Linotype" w:hAnsi="Palatino Linotype" w:cs="Arial"/>
          <w:b/>
          <w:i/>
        </w:rPr>
        <w:t xml:space="preserve"> los datos personales que obren en su poder</w:t>
      </w:r>
      <w:r w:rsidRPr="00C95803">
        <w:rPr>
          <w:rFonts w:ascii="Palatino Linotype" w:hAnsi="Palatino Linotype" w:cs="Arial"/>
          <w:i/>
        </w:rPr>
        <w:t>:</w:t>
      </w:r>
    </w:p>
    <w:p w:rsidR="007E2CDA" w:rsidRPr="00C95803" w:rsidRDefault="007E2CDA" w:rsidP="00C95803">
      <w:pPr>
        <w:spacing w:line="360" w:lineRule="auto"/>
        <w:ind w:left="567" w:right="567"/>
        <w:jc w:val="both"/>
        <w:rPr>
          <w:rFonts w:ascii="Palatino Linotype" w:hAnsi="Palatino Linotype" w:cs="Arial"/>
          <w:i/>
        </w:rPr>
      </w:pPr>
    </w:p>
    <w:p w:rsidR="00B96075" w:rsidRPr="00C95803" w:rsidRDefault="009118BF" w:rsidP="00C95803">
      <w:pPr>
        <w:spacing w:line="360" w:lineRule="auto"/>
        <w:ind w:left="567" w:right="567"/>
        <w:jc w:val="both"/>
        <w:rPr>
          <w:rFonts w:ascii="Palatino Linotype" w:hAnsi="Palatino Linotype" w:cs="Arial"/>
          <w:b/>
          <w:i/>
        </w:rPr>
      </w:pPr>
      <w:r w:rsidRPr="00C95803">
        <w:rPr>
          <w:rFonts w:ascii="Palatino Linotype" w:hAnsi="Palatino Linotype" w:cs="Arial"/>
          <w:b/>
          <w:i/>
        </w:rPr>
        <w:t xml:space="preserve">IV. </w:t>
      </w:r>
      <w:r w:rsidR="00B96075" w:rsidRPr="00C95803">
        <w:rPr>
          <w:rFonts w:ascii="Palatino Linotype" w:eastAsiaTheme="minorHAnsi" w:hAnsi="Palatino Linotype" w:cs="Bookman Old Style"/>
          <w:i/>
          <w:lang w:val="es-MX" w:eastAsia="en-US"/>
        </w:rPr>
        <w:t>Los ayuntamientos y las dependencias, organismos, órganos y entidades de la administración municipal;</w:t>
      </w:r>
    </w:p>
    <w:p w:rsidR="007E2CDA" w:rsidRPr="00C95803" w:rsidRDefault="002043F5" w:rsidP="00C95803">
      <w:pPr>
        <w:spacing w:line="360" w:lineRule="auto"/>
        <w:ind w:left="567" w:right="567"/>
        <w:jc w:val="both"/>
        <w:rPr>
          <w:rFonts w:ascii="Palatino Linotype" w:hAnsi="Palatino Linotype" w:cs="Arial"/>
          <w:i/>
        </w:rPr>
      </w:pPr>
      <w:r w:rsidRPr="00C95803">
        <w:rPr>
          <w:rFonts w:ascii="Palatino Linotype" w:hAnsi="Palatino Linotype" w:cs="Arial"/>
          <w:i/>
        </w:rPr>
        <w:t>…</w:t>
      </w:r>
    </w:p>
    <w:p w:rsidR="007E2CDA" w:rsidRPr="00C95803" w:rsidRDefault="007E2CDA" w:rsidP="00C95803">
      <w:pPr>
        <w:spacing w:line="360" w:lineRule="auto"/>
        <w:ind w:left="567" w:right="567"/>
        <w:jc w:val="both"/>
        <w:rPr>
          <w:rFonts w:ascii="Palatino Linotype" w:hAnsi="Palatino Linotype"/>
          <w:i/>
        </w:rPr>
      </w:pPr>
    </w:p>
    <w:p w:rsidR="007E2CDA" w:rsidRPr="00C95803" w:rsidRDefault="007E2CDA" w:rsidP="00C95803">
      <w:pPr>
        <w:spacing w:line="360" w:lineRule="auto"/>
        <w:ind w:left="567" w:right="567"/>
        <w:jc w:val="both"/>
        <w:rPr>
          <w:rFonts w:ascii="Palatino Linotype" w:hAnsi="Palatino Linotype"/>
          <w:i/>
        </w:rPr>
      </w:pPr>
      <w:r w:rsidRPr="00C95803">
        <w:rPr>
          <w:rFonts w:ascii="Palatino Linotype" w:hAnsi="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7E2CDA" w:rsidRPr="00C95803" w:rsidRDefault="007E2CDA" w:rsidP="00C95803">
      <w:pPr>
        <w:spacing w:line="360" w:lineRule="auto"/>
        <w:ind w:left="567" w:right="567"/>
        <w:jc w:val="both"/>
        <w:rPr>
          <w:rFonts w:ascii="Palatino Linotype" w:hAnsi="Palatino Linotype" w:cs="Arial"/>
          <w:b/>
          <w:i/>
        </w:rPr>
      </w:pPr>
    </w:p>
    <w:p w:rsidR="007E2CDA" w:rsidRPr="00C95803" w:rsidRDefault="007E2CDA" w:rsidP="00C95803">
      <w:pPr>
        <w:spacing w:line="360" w:lineRule="auto"/>
        <w:ind w:left="567" w:right="567"/>
        <w:jc w:val="both"/>
        <w:rPr>
          <w:rFonts w:ascii="Palatino Linotype" w:hAnsi="Palatino Linotype" w:cs="Arial"/>
          <w:i/>
        </w:rPr>
      </w:pPr>
      <w:r w:rsidRPr="00C95803">
        <w:rPr>
          <w:rFonts w:ascii="Palatino Linotype" w:hAnsi="Palatino Linotype" w:cs="Arial"/>
          <w:b/>
          <w:i/>
        </w:rPr>
        <w:t>Los servidores públicos deberán transparentar sus acciones así como garantizar y respetar el derecho de acceso a la información pública.”</w:t>
      </w:r>
    </w:p>
    <w:p w:rsidR="007E2CDA" w:rsidRPr="00C95803" w:rsidRDefault="007E2CDA" w:rsidP="00C95803">
      <w:pPr>
        <w:spacing w:line="360" w:lineRule="auto"/>
        <w:ind w:left="567" w:right="567"/>
        <w:jc w:val="both"/>
        <w:rPr>
          <w:rFonts w:ascii="Palatino Linotype" w:hAnsi="Palatino Linotype" w:cs="Arial"/>
        </w:rPr>
      </w:pPr>
    </w:p>
    <w:p w:rsidR="007E2CDA" w:rsidRPr="00C95803" w:rsidRDefault="007E2CDA" w:rsidP="00C95803">
      <w:pPr>
        <w:spacing w:line="360" w:lineRule="auto"/>
        <w:ind w:left="567" w:right="567"/>
        <w:jc w:val="both"/>
        <w:rPr>
          <w:rFonts w:ascii="Palatino Linotype" w:hAnsi="Palatino Linotype" w:cs="Arial"/>
        </w:rPr>
      </w:pPr>
      <w:r w:rsidRPr="00C95803">
        <w:rPr>
          <w:rFonts w:ascii="Palatino Linotype" w:hAnsi="Palatino Linotype" w:cs="Arial"/>
        </w:rPr>
        <w:t>(Énfasis añadido)</w:t>
      </w:r>
    </w:p>
    <w:p w:rsidR="007E2CDA" w:rsidRPr="00C95803" w:rsidRDefault="007E2CDA" w:rsidP="00C95803">
      <w:pPr>
        <w:spacing w:line="360" w:lineRule="auto"/>
        <w:jc w:val="both"/>
        <w:rPr>
          <w:rFonts w:ascii="Palatino Linotype" w:hAnsi="Palatino Linotype" w:cs="Arial"/>
        </w:rPr>
      </w:pPr>
    </w:p>
    <w:p w:rsidR="007E2CDA" w:rsidRPr="00C95803" w:rsidRDefault="007E2CDA" w:rsidP="00C95803">
      <w:pPr>
        <w:pStyle w:val="Prrafodelista"/>
        <w:numPr>
          <w:ilvl w:val="0"/>
          <w:numId w:val="1"/>
        </w:numPr>
        <w:spacing w:line="360" w:lineRule="auto"/>
        <w:ind w:left="0" w:firstLine="0"/>
        <w:jc w:val="both"/>
        <w:rPr>
          <w:rFonts w:ascii="Palatino Linotype" w:hAnsi="Palatino Linotype" w:cs="Arial"/>
        </w:rPr>
      </w:pPr>
      <w:r w:rsidRPr="00C9580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06334" w:rsidRPr="00C95803" w:rsidRDefault="00106334" w:rsidP="00C95803">
      <w:pPr>
        <w:pStyle w:val="Prrafodelista"/>
        <w:spacing w:line="360" w:lineRule="auto"/>
        <w:ind w:left="0"/>
        <w:jc w:val="both"/>
        <w:rPr>
          <w:rFonts w:ascii="Palatino Linotype" w:hAnsi="Palatino Linotype" w:cs="Arial"/>
        </w:rPr>
      </w:pPr>
    </w:p>
    <w:p w:rsidR="00106334" w:rsidRPr="00C95803" w:rsidRDefault="00106334" w:rsidP="00C95803">
      <w:pPr>
        <w:pStyle w:val="Prrafodelista"/>
        <w:numPr>
          <w:ilvl w:val="0"/>
          <w:numId w:val="1"/>
        </w:numPr>
        <w:spacing w:line="360" w:lineRule="auto"/>
        <w:ind w:left="0" w:firstLine="0"/>
        <w:jc w:val="both"/>
        <w:rPr>
          <w:rFonts w:ascii="Palatino Linotype" w:hAnsi="Palatino Linotype" w:cs="Arial"/>
        </w:rPr>
      </w:pPr>
      <w:r w:rsidRPr="00C95803">
        <w:rPr>
          <w:rFonts w:ascii="Palatino Linotype" w:hAnsi="Palatino Linotype" w:cs="Arial"/>
        </w:rPr>
        <w:t>Por lo anterior, es de referir que,</w:t>
      </w:r>
      <w:r w:rsidRPr="00C95803">
        <w:rPr>
          <w:rFonts w:ascii="Palatino Linotype" w:hAnsi="Palatino Linotype" w:cs="Arial"/>
          <w:b/>
        </w:rPr>
        <w:t xml:space="preserve"> </w:t>
      </w:r>
      <w:r w:rsidR="00B96075" w:rsidRPr="00C95803">
        <w:rPr>
          <w:rFonts w:ascii="Palatino Linotype" w:hAnsi="Palatino Linotype" w:cs="Arial"/>
          <w:b/>
        </w:rPr>
        <w:t xml:space="preserve">el Ayuntamiento de </w:t>
      </w:r>
      <w:r w:rsidR="00A25CDE" w:rsidRPr="00C95803">
        <w:rPr>
          <w:rFonts w:ascii="Palatino Linotype" w:hAnsi="Palatino Linotype" w:cs="Arial"/>
          <w:b/>
        </w:rPr>
        <w:t>Atizapán</w:t>
      </w:r>
      <w:r w:rsidR="00185C27" w:rsidRPr="00C95803">
        <w:rPr>
          <w:rFonts w:ascii="Palatino Linotype" w:hAnsi="Palatino Linotype" w:cs="Arial"/>
        </w:rPr>
        <w:t xml:space="preserve">, </w:t>
      </w:r>
      <w:r w:rsidRPr="00C95803">
        <w:rPr>
          <w:rFonts w:ascii="Palatino Linotype" w:hAnsi="Palatino Linotype" w:cs="Arial"/>
        </w:rPr>
        <w:t>al ser un Sujeto Obligado comprendido por la Legislación Local en materia de Transparencia, se encuentra obligado a hacer pública toda aquella información que genere, administre o posea.</w:t>
      </w:r>
    </w:p>
    <w:p w:rsidR="008B7093" w:rsidRPr="00C95803" w:rsidRDefault="008B7093" w:rsidP="00C95803">
      <w:pPr>
        <w:pStyle w:val="Prrafodelista"/>
        <w:spacing w:line="360" w:lineRule="auto"/>
        <w:rPr>
          <w:rFonts w:ascii="Palatino Linotype" w:hAnsi="Palatino Linotype" w:cs="Arial"/>
        </w:rPr>
      </w:pPr>
    </w:p>
    <w:p w:rsidR="008B7093" w:rsidRPr="00C95803" w:rsidRDefault="008B7093" w:rsidP="00C95803">
      <w:pPr>
        <w:pStyle w:val="Ttulo3"/>
        <w:spacing w:line="360" w:lineRule="auto"/>
        <w:ind w:left="426"/>
        <w:rPr>
          <w:rFonts w:ascii="Palatino Linotype" w:hAnsi="Palatino Linotype"/>
          <w:b/>
          <w:color w:val="auto"/>
        </w:rPr>
      </w:pPr>
      <w:bookmarkStart w:id="19" w:name="_Toc23418070"/>
      <w:r w:rsidRPr="00C95803">
        <w:rPr>
          <w:rFonts w:ascii="Palatino Linotype" w:hAnsi="Palatino Linotype"/>
          <w:b/>
          <w:color w:val="auto"/>
        </w:rPr>
        <w:t>II. De la suplencia a la deficiencia de la queja</w:t>
      </w:r>
      <w:bookmarkEnd w:id="19"/>
    </w:p>
    <w:p w:rsidR="008B7093" w:rsidRPr="00C95803" w:rsidRDefault="008B7093" w:rsidP="00C95803">
      <w:pPr>
        <w:spacing w:line="360" w:lineRule="auto"/>
        <w:rPr>
          <w:rFonts w:ascii="Palatino Linotype" w:hAnsi="Palatino Linotype"/>
          <w:lang w:val="es-MX" w:eastAsia="en-US"/>
        </w:rPr>
      </w:pPr>
    </w:p>
    <w:p w:rsidR="008B7093" w:rsidRPr="00C95803" w:rsidRDefault="008B7093" w:rsidP="00C95803">
      <w:pPr>
        <w:pStyle w:val="Prrafodelista"/>
        <w:numPr>
          <w:ilvl w:val="0"/>
          <w:numId w:val="1"/>
        </w:numPr>
        <w:spacing w:line="360" w:lineRule="auto"/>
        <w:ind w:left="0" w:firstLine="0"/>
        <w:jc w:val="both"/>
        <w:rPr>
          <w:rFonts w:ascii="Palatino Linotype" w:eastAsia="Times New Roman" w:hAnsi="Palatino Linotype" w:cs="Arial"/>
          <w:b/>
          <w:lang w:val="es-ES"/>
        </w:rPr>
      </w:pPr>
      <w:r w:rsidRPr="00C95803">
        <w:rPr>
          <w:rFonts w:ascii="Palatino Linotype" w:eastAsia="Times New Roman" w:hAnsi="Palatino Linotype" w:cs="Arial"/>
          <w:bCs/>
          <w:lang w:val="es-ES"/>
        </w:rPr>
        <w:t xml:space="preserve">El ejercicio del derecho de acceso a la información prevé la posibilidad de que los recurrentes puedan ejercer su derecho sin necesidad de acudir a un especialista que los represente durante la sustanciación del procedimiento. Entonces, bajo un estricto apego al principio de eficacia y con fundamento en los artículos </w:t>
      </w:r>
      <w:r w:rsidRPr="00C95803">
        <w:rPr>
          <w:rFonts w:ascii="Palatino Linotype" w:hAnsi="Palatino Linotype"/>
          <w:lang w:val="es-ES"/>
        </w:rPr>
        <w:t>13</w:t>
      </w:r>
      <w:r w:rsidRPr="00C95803">
        <w:rPr>
          <w:rStyle w:val="Refdenotaalpie"/>
          <w:rFonts w:ascii="Palatino Linotype" w:hAnsi="Palatino Linotype"/>
          <w:lang w:val="es-ES"/>
        </w:rPr>
        <w:footnoteReference w:id="9"/>
      </w:r>
      <w:r w:rsidRPr="00C95803">
        <w:rPr>
          <w:rFonts w:ascii="Palatino Linotype" w:hAnsi="Palatino Linotype"/>
          <w:lang w:val="es-ES"/>
        </w:rPr>
        <w:t xml:space="preserve"> y 181</w:t>
      </w:r>
      <w:r w:rsidRPr="00C95803">
        <w:rPr>
          <w:rStyle w:val="Refdenotaalpie"/>
          <w:rFonts w:ascii="Palatino Linotype" w:hAnsi="Palatino Linotype"/>
          <w:lang w:val="es-ES"/>
        </w:rPr>
        <w:footnoteReference w:id="10"/>
      </w:r>
      <w:r w:rsidRPr="00C95803">
        <w:rPr>
          <w:rFonts w:ascii="Palatino Linotype" w:hAnsi="Palatino Linotype"/>
          <w:lang w:val="es-ES"/>
        </w:rPr>
        <w:t xml:space="preserve"> penúltimo párrafo de la Ley de Transparencia y Acceso a la Información Pública del Estado de México y Municipios deberá suplir dicha deficiencia a favor del recurrente.</w:t>
      </w:r>
    </w:p>
    <w:p w:rsidR="008B7093" w:rsidRPr="00C95803" w:rsidRDefault="008B7093" w:rsidP="00C95803">
      <w:pPr>
        <w:pStyle w:val="Prrafodelista"/>
        <w:spacing w:line="360" w:lineRule="auto"/>
        <w:rPr>
          <w:rFonts w:ascii="Palatino Linotype" w:eastAsia="Times New Roman" w:hAnsi="Palatino Linotype" w:cs="Arial"/>
          <w:b/>
          <w:lang w:val="es-ES"/>
        </w:rPr>
      </w:pPr>
    </w:p>
    <w:p w:rsidR="008B7093" w:rsidRPr="00C95803" w:rsidRDefault="008B7093" w:rsidP="00C95803">
      <w:pPr>
        <w:pStyle w:val="Prrafodelista"/>
        <w:numPr>
          <w:ilvl w:val="0"/>
          <w:numId w:val="1"/>
        </w:numPr>
        <w:spacing w:line="360" w:lineRule="auto"/>
        <w:ind w:left="0" w:firstLine="0"/>
        <w:jc w:val="both"/>
        <w:rPr>
          <w:rFonts w:ascii="Palatino Linotype" w:eastAsia="Times New Roman" w:hAnsi="Palatino Linotype" w:cs="Arial"/>
          <w:bCs/>
          <w:lang w:val="es-ES"/>
        </w:rPr>
      </w:pPr>
      <w:r w:rsidRPr="00C95803">
        <w:rPr>
          <w:rFonts w:ascii="Palatino Linotype" w:eastAsia="Times New Roman" w:hAnsi="Palatino Linotype" w:cs="Arial"/>
          <w:bCs/>
          <w:lang w:val="es-ES"/>
        </w:rPr>
        <w:t xml:space="preserve">De tal manera que, en aras de tutelar la correcta aplicación de la Ley, se tiene que el particular señaló en su solicitud de información que requería conocer lo relativo al Fondo de Seguridad (FOSEG) destinado por el Secretariado Ejecutivo del Sistema Nacional de Seguridad Pública, sin embargo del estudio realizado, se tiene que el Secretariado únicamente destina apoyos mediante dos formas, una a través de un Fondo y la otra, a través de un Subsidio, los cuales serán estudiados en el cuerpo de la presente resolución. </w:t>
      </w:r>
    </w:p>
    <w:p w:rsidR="008B7093" w:rsidRPr="00C95803" w:rsidRDefault="008B7093" w:rsidP="00C95803">
      <w:pPr>
        <w:pStyle w:val="Prrafodelista"/>
        <w:spacing w:line="360" w:lineRule="auto"/>
        <w:ind w:left="0"/>
        <w:jc w:val="both"/>
        <w:rPr>
          <w:rFonts w:ascii="Palatino Linotype" w:eastAsia="Times New Roman" w:hAnsi="Palatino Linotype" w:cs="Arial"/>
          <w:bCs/>
          <w:lang w:val="es-ES"/>
        </w:rPr>
      </w:pPr>
    </w:p>
    <w:p w:rsidR="008B7093" w:rsidRPr="00C95803" w:rsidRDefault="008B7093" w:rsidP="00C95803">
      <w:pPr>
        <w:pStyle w:val="Prrafodelista"/>
        <w:numPr>
          <w:ilvl w:val="0"/>
          <w:numId w:val="1"/>
        </w:numPr>
        <w:spacing w:line="360" w:lineRule="auto"/>
        <w:ind w:left="0" w:firstLine="0"/>
        <w:jc w:val="both"/>
        <w:rPr>
          <w:rFonts w:ascii="Palatino Linotype" w:eastAsia="Times New Roman" w:hAnsi="Palatino Linotype" w:cs="Arial"/>
          <w:bCs/>
          <w:lang w:val="es-ES"/>
        </w:rPr>
      </w:pPr>
      <w:r w:rsidRPr="00C95803">
        <w:rPr>
          <w:rFonts w:ascii="Palatino Linotype" w:eastAsia="Times New Roman" w:hAnsi="Palatino Linotype" w:cs="Arial"/>
          <w:bCs/>
          <w:lang w:val="es-ES"/>
        </w:rPr>
        <w:t xml:space="preserve">Del mismo modo, se tiene que, el particular únicamente señaló la temporalidad respecto del punto uno de su solicitud, no así en relación con los demás puntos, por lo que la temporalidad relativa a los mismos, se tomará como la misma que la del punto uno, es decir del uno (01) de enero del dos mil quince al veintinueve (29) de julio del dos mil diecinueve. </w:t>
      </w:r>
    </w:p>
    <w:p w:rsidR="008B7093" w:rsidRPr="00C95803" w:rsidRDefault="008B7093" w:rsidP="00C95803">
      <w:pPr>
        <w:pStyle w:val="Prrafodelista"/>
        <w:spacing w:line="360" w:lineRule="auto"/>
        <w:ind w:left="0"/>
        <w:jc w:val="both"/>
        <w:rPr>
          <w:rFonts w:ascii="Palatino Linotype" w:eastAsia="Times New Roman" w:hAnsi="Palatino Linotype" w:cs="Arial"/>
          <w:bCs/>
          <w:lang w:val="es-ES"/>
        </w:rPr>
      </w:pPr>
    </w:p>
    <w:p w:rsidR="008B7093" w:rsidRPr="00C95803" w:rsidRDefault="008B7093" w:rsidP="00C95803">
      <w:pPr>
        <w:pStyle w:val="Prrafodelista"/>
        <w:numPr>
          <w:ilvl w:val="0"/>
          <w:numId w:val="1"/>
        </w:numPr>
        <w:spacing w:line="360" w:lineRule="auto"/>
        <w:ind w:left="0" w:firstLine="0"/>
        <w:jc w:val="both"/>
        <w:rPr>
          <w:rFonts w:ascii="Palatino Linotype" w:eastAsia="Times New Roman" w:hAnsi="Palatino Linotype" w:cs="Arial"/>
          <w:bCs/>
          <w:lang w:val="es-ES"/>
        </w:rPr>
      </w:pPr>
      <w:r w:rsidRPr="00C95803">
        <w:rPr>
          <w:rFonts w:ascii="Palatino Linotype" w:eastAsia="Times New Roman" w:hAnsi="Palatino Linotype" w:cs="Arial"/>
          <w:bCs/>
          <w:lang w:val="es-ES"/>
        </w:rPr>
        <w:t xml:space="preserve">En el mismo orden de ideas, es de precisar que, si bien la solicitud de información se hizo inicialmente a través de la Plataforma Nacional de Transparencia y que por ello a simple vista pueda observarse una notoria incompetencia, también lo es que, en aras de salvaguardar el correcto ejercicio del derecho de acceso a la información, del estudio que se procederá a realizar se determinará qué puntos de la solicitud de información pudiesen ser de la competencia de la Secretaría de Finanzas o por el contrario, se determinará la incompetencia de la misma. </w:t>
      </w:r>
    </w:p>
    <w:p w:rsidR="008B7093" w:rsidRPr="00C95803" w:rsidRDefault="008B7093" w:rsidP="00C95803">
      <w:pPr>
        <w:pStyle w:val="Prrafodelista"/>
        <w:spacing w:line="360" w:lineRule="auto"/>
        <w:ind w:left="0"/>
        <w:jc w:val="both"/>
        <w:rPr>
          <w:rFonts w:ascii="Palatino Linotype" w:eastAsia="Times New Roman" w:hAnsi="Palatino Linotype" w:cs="Arial"/>
          <w:bCs/>
          <w:lang w:val="es-ES"/>
        </w:rPr>
      </w:pPr>
    </w:p>
    <w:p w:rsidR="008B7093" w:rsidRPr="00C95803" w:rsidRDefault="008B7093" w:rsidP="00C95803">
      <w:pPr>
        <w:pStyle w:val="Prrafodelista"/>
        <w:numPr>
          <w:ilvl w:val="0"/>
          <w:numId w:val="1"/>
        </w:numPr>
        <w:spacing w:line="360" w:lineRule="auto"/>
        <w:ind w:left="0" w:firstLine="0"/>
        <w:jc w:val="both"/>
        <w:rPr>
          <w:rFonts w:ascii="Palatino Linotype" w:eastAsia="Times New Roman" w:hAnsi="Palatino Linotype" w:cs="Arial"/>
          <w:bCs/>
          <w:lang w:val="es-ES"/>
        </w:rPr>
      </w:pPr>
      <w:r w:rsidRPr="00C95803">
        <w:rPr>
          <w:rFonts w:ascii="Palatino Linotype" w:eastAsia="Times New Roman" w:hAnsi="Palatino Linotype" w:cs="Arial"/>
          <w:bCs/>
          <w:lang w:val="es-ES"/>
        </w:rPr>
        <w:t>Ante ello, respecto a lo solicitado, relativo a los informes que el Secretariado recibió del Estado de México, se determinará en contrario sensu, si el Estado de México, remitió informes al Secretariado Ejecutivo de Seguridad Pública del Estado de México.</w:t>
      </w:r>
    </w:p>
    <w:p w:rsidR="008B7093" w:rsidRPr="00C95803" w:rsidRDefault="008B7093" w:rsidP="00C95803">
      <w:pPr>
        <w:pStyle w:val="Prrafodelista"/>
        <w:spacing w:line="360" w:lineRule="auto"/>
        <w:ind w:left="0"/>
        <w:jc w:val="both"/>
        <w:rPr>
          <w:rFonts w:ascii="Palatino Linotype" w:eastAsia="Times New Roman" w:hAnsi="Palatino Linotype" w:cs="Arial"/>
          <w:bCs/>
          <w:lang w:val="es-ES"/>
        </w:rPr>
      </w:pPr>
    </w:p>
    <w:p w:rsidR="008B7093" w:rsidRPr="00C95803" w:rsidRDefault="008B7093" w:rsidP="00C95803">
      <w:pPr>
        <w:pStyle w:val="Prrafodelista"/>
        <w:numPr>
          <w:ilvl w:val="0"/>
          <w:numId w:val="1"/>
        </w:numPr>
        <w:spacing w:line="360" w:lineRule="auto"/>
        <w:ind w:left="0" w:firstLine="0"/>
        <w:jc w:val="both"/>
        <w:rPr>
          <w:rFonts w:ascii="Palatino Linotype" w:eastAsia="Times New Roman" w:hAnsi="Palatino Linotype" w:cs="Arial"/>
          <w:bCs/>
          <w:lang w:val="es-ES"/>
        </w:rPr>
      </w:pPr>
      <w:r w:rsidRPr="00C95803">
        <w:rPr>
          <w:rFonts w:ascii="Palatino Linotype" w:eastAsia="Times New Roman" w:hAnsi="Palatino Linotype" w:cs="Arial"/>
          <w:bCs/>
          <w:lang w:val="es-ES"/>
        </w:rPr>
        <w:t xml:space="preserve">Una vez precisado lo anterior, se procede al estudio en razón de lo siguiente; </w:t>
      </w:r>
    </w:p>
    <w:p w:rsidR="008B7093" w:rsidRPr="00C95803" w:rsidRDefault="008B7093" w:rsidP="00C95803">
      <w:pPr>
        <w:spacing w:line="360" w:lineRule="auto"/>
        <w:rPr>
          <w:rFonts w:ascii="Palatino Linotype" w:hAnsi="Palatino Linotype"/>
        </w:rPr>
      </w:pPr>
    </w:p>
    <w:p w:rsidR="000E434B" w:rsidRPr="00C95803" w:rsidRDefault="008B7093" w:rsidP="00C95803">
      <w:pPr>
        <w:pStyle w:val="Ttulo3"/>
        <w:spacing w:line="360" w:lineRule="auto"/>
        <w:ind w:left="284"/>
        <w:rPr>
          <w:rFonts w:ascii="Palatino Linotype" w:hAnsi="Palatino Linotype"/>
          <w:b/>
          <w:color w:val="auto"/>
        </w:rPr>
      </w:pPr>
      <w:bookmarkStart w:id="20" w:name="_Toc23418071"/>
      <w:r w:rsidRPr="00C95803">
        <w:rPr>
          <w:rFonts w:ascii="Palatino Linotype" w:hAnsi="Palatino Linotype"/>
          <w:b/>
          <w:color w:val="auto"/>
        </w:rPr>
        <w:t>III.  De los Programas de Seguridad Pública.</w:t>
      </w:r>
      <w:bookmarkEnd w:id="20"/>
    </w:p>
    <w:p w:rsidR="000E434B" w:rsidRPr="00C95803" w:rsidRDefault="000E434B" w:rsidP="00C95803">
      <w:pPr>
        <w:pStyle w:val="Prrafodelista"/>
        <w:spacing w:line="360" w:lineRule="auto"/>
        <w:ind w:left="0"/>
        <w:jc w:val="both"/>
        <w:rPr>
          <w:rFonts w:ascii="Palatino Linotype" w:hAnsi="Palatino Linotype" w:cs="Arial"/>
        </w:rPr>
      </w:pPr>
    </w:p>
    <w:p w:rsidR="008B7093" w:rsidRPr="00C95803" w:rsidRDefault="008B7093" w:rsidP="00C9580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95803">
        <w:rPr>
          <w:rFonts w:ascii="Palatino Linotype" w:hAnsi="Palatino Linotype"/>
        </w:rPr>
        <w:t xml:space="preserve">Es pertinente señalar que, el Sistema Nacional de Seguridad Pública cuenta con recursos federales que son destinados a los estados y municipios para apoyar la realización de temas relacionados con la profesionalización de las personas que conforman las áreas de la seguridad pública, así como su equipamiento, construcción de infraestructura física entre otros, cuyo fin radica en fortalecer la misma, tal y como lo refiere la página oficial del Secretariado. </w:t>
      </w:r>
      <w:r w:rsidRPr="00C95803">
        <w:rPr>
          <w:rStyle w:val="Refdenotaalpie"/>
          <w:rFonts w:ascii="Palatino Linotype" w:hAnsi="Palatino Linotype"/>
        </w:rPr>
        <w:footnoteReference w:id="11"/>
      </w:r>
    </w:p>
    <w:p w:rsidR="008B7093" w:rsidRPr="00C95803" w:rsidRDefault="008B7093" w:rsidP="00C9580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8B7093" w:rsidRPr="00C95803" w:rsidRDefault="008B7093" w:rsidP="00C9580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95803">
        <w:rPr>
          <w:rFonts w:ascii="Palatino Linotype" w:hAnsi="Palatino Linotype"/>
        </w:rPr>
        <w:t xml:space="preserve">De los recursos federales destinados a estas áreas se tiene que </w:t>
      </w:r>
      <w:r w:rsidRPr="00C95803">
        <w:rPr>
          <w:rFonts w:ascii="Palatino Linotype" w:hAnsi="Palatino Linotype"/>
          <w:b/>
          <w:bCs/>
        </w:rPr>
        <w:t>únicamente</w:t>
      </w:r>
      <w:r w:rsidRPr="00C95803">
        <w:rPr>
          <w:rFonts w:ascii="Palatino Linotype" w:hAnsi="Palatino Linotype"/>
        </w:rPr>
        <w:t xml:space="preserve"> se conforma por un fondo (FASP) y un subsidio (FOTASEG), que de manera breve serán explicados a continuación;</w:t>
      </w:r>
    </w:p>
    <w:p w:rsidR="000E434B" w:rsidRPr="00C95803" w:rsidRDefault="000E434B" w:rsidP="00C95803">
      <w:pPr>
        <w:pStyle w:val="Prrafodelista"/>
        <w:spacing w:line="360" w:lineRule="auto"/>
        <w:ind w:left="0"/>
        <w:jc w:val="both"/>
        <w:rPr>
          <w:rFonts w:ascii="Palatino Linotype" w:hAnsi="Palatino Linotype" w:cs="Arial"/>
        </w:rPr>
      </w:pPr>
    </w:p>
    <w:p w:rsidR="008B7093" w:rsidRPr="00C95803" w:rsidRDefault="008B7093" w:rsidP="00C95803">
      <w:pPr>
        <w:pStyle w:val="Ttulo4"/>
        <w:numPr>
          <w:ilvl w:val="0"/>
          <w:numId w:val="6"/>
        </w:numPr>
        <w:spacing w:line="360" w:lineRule="auto"/>
        <w:rPr>
          <w:rFonts w:ascii="Palatino Linotype" w:hAnsi="Palatino Linotype"/>
          <w:b/>
          <w:color w:val="auto"/>
        </w:rPr>
      </w:pPr>
      <w:bookmarkStart w:id="21" w:name="_Toc23247965"/>
      <w:bookmarkStart w:id="22" w:name="_Hlk21020634"/>
      <w:r w:rsidRPr="00C95803">
        <w:rPr>
          <w:rFonts w:ascii="Palatino Linotype" w:hAnsi="Palatino Linotype"/>
          <w:b/>
          <w:color w:val="auto"/>
        </w:rPr>
        <w:t>Del Fondo de Aportaciones para la Seguridad Pública de los Estados y del Distrito Federal (FASP)</w:t>
      </w:r>
      <w:bookmarkEnd w:id="21"/>
      <w:r w:rsidRPr="00C95803">
        <w:rPr>
          <w:rFonts w:ascii="Palatino Linotype" w:hAnsi="Palatino Linotype"/>
          <w:b/>
          <w:color w:val="auto"/>
        </w:rPr>
        <w:t xml:space="preserve"> </w:t>
      </w:r>
    </w:p>
    <w:bookmarkEnd w:id="22"/>
    <w:p w:rsidR="008B7093" w:rsidRPr="00C95803" w:rsidRDefault="008B7093" w:rsidP="00C9580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8B7093" w:rsidRPr="00C95803" w:rsidRDefault="008B7093" w:rsidP="00C9580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95803">
        <w:rPr>
          <w:rFonts w:ascii="Palatino Linotype" w:eastAsia="MS Mincho" w:hAnsi="Palatino Linotype" w:cs="Arial"/>
          <w:color w:val="000000" w:themeColor="text1"/>
          <w:lang w:val="es-MX"/>
        </w:rPr>
        <w:t xml:space="preserve">De acuerdo con la Ley de Coordinación Fiscal, el Fondo de Aportaciones para la Seguridad de los Estados y del Distrito Federal se constituirá con cargo a recursos federales, los cuales serán determinados anualmente en el Presupuesto de Egresos de la Federación. Este fondo se enterará mensualmente por la Secretaría de Hacienda y Crédito Público durante los primeros diez meses del año a los Estados y al distrito Federal, de manera ágil y directa. </w:t>
      </w:r>
    </w:p>
    <w:p w:rsidR="008B7093" w:rsidRPr="00C95803" w:rsidRDefault="008B7093" w:rsidP="00C9580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8B7093" w:rsidRPr="00C95803" w:rsidRDefault="008B7093" w:rsidP="00C95803">
      <w:pPr>
        <w:pStyle w:val="Prrafodelista"/>
        <w:numPr>
          <w:ilvl w:val="0"/>
          <w:numId w:val="1"/>
        </w:numPr>
        <w:tabs>
          <w:tab w:val="left" w:pos="426"/>
        </w:tabs>
        <w:spacing w:line="360" w:lineRule="auto"/>
        <w:ind w:left="0" w:firstLine="0"/>
        <w:jc w:val="both"/>
        <w:rPr>
          <w:rFonts w:ascii="Palatino Linotype" w:hAnsi="Palatino Linotype"/>
        </w:rPr>
      </w:pPr>
      <w:r w:rsidRPr="00C95803">
        <w:rPr>
          <w:rFonts w:ascii="Palatino Linotype" w:eastAsia="MS Mincho" w:hAnsi="Palatino Linotype" w:cs="Arial"/>
          <w:color w:val="000000" w:themeColor="text1"/>
          <w:lang w:val="es-MX"/>
        </w:rPr>
        <w:t>El artículo 44 de la Ley citada, señala que;</w:t>
      </w:r>
    </w:p>
    <w:p w:rsidR="008B7093" w:rsidRPr="00C95803" w:rsidRDefault="008B7093" w:rsidP="00C95803">
      <w:pPr>
        <w:pStyle w:val="Prrafodelista"/>
        <w:tabs>
          <w:tab w:val="left" w:pos="426"/>
        </w:tabs>
        <w:spacing w:line="360" w:lineRule="auto"/>
        <w:ind w:left="0"/>
        <w:jc w:val="both"/>
        <w:rPr>
          <w:rFonts w:ascii="Palatino Linotype" w:hAnsi="Palatino Linotype"/>
        </w:rPr>
      </w:pPr>
    </w:p>
    <w:p w:rsidR="008B7093" w:rsidRPr="00C95803" w:rsidRDefault="008B7093" w:rsidP="00C95803">
      <w:pPr>
        <w:pStyle w:val="Prrafodelista"/>
        <w:tabs>
          <w:tab w:val="left" w:pos="426"/>
        </w:tabs>
        <w:spacing w:line="360" w:lineRule="auto"/>
        <w:ind w:left="0"/>
        <w:jc w:val="center"/>
        <w:rPr>
          <w:rFonts w:ascii="Palatino Linotype" w:eastAsia="MS Mincho" w:hAnsi="Palatino Linotype" w:cs="Arial"/>
          <w:b/>
          <w:bCs/>
          <w:i/>
          <w:color w:val="000000" w:themeColor="text1"/>
          <w:lang w:val="es-MX"/>
        </w:rPr>
      </w:pPr>
      <w:r w:rsidRPr="00C95803">
        <w:rPr>
          <w:rFonts w:ascii="Palatino Linotype" w:eastAsia="MS Mincho" w:hAnsi="Palatino Linotype" w:cs="Arial"/>
          <w:b/>
          <w:bCs/>
          <w:i/>
          <w:color w:val="000000" w:themeColor="text1"/>
          <w:lang w:val="es-MX"/>
        </w:rPr>
        <w:t>Ley de Coordinación Fiscal</w:t>
      </w:r>
    </w:p>
    <w:p w:rsidR="008B7093" w:rsidRPr="00C95803" w:rsidRDefault="008B7093" w:rsidP="00C95803">
      <w:pPr>
        <w:pStyle w:val="Prrafodelista"/>
        <w:tabs>
          <w:tab w:val="left" w:pos="426"/>
        </w:tabs>
        <w:spacing w:line="360" w:lineRule="auto"/>
        <w:ind w:left="0"/>
        <w:jc w:val="center"/>
        <w:rPr>
          <w:rFonts w:ascii="Palatino Linotype" w:eastAsia="MS Mincho" w:hAnsi="Palatino Linotype" w:cs="Arial"/>
          <w:b/>
          <w:bCs/>
          <w:i/>
          <w:color w:val="000000" w:themeColor="text1"/>
          <w:lang w:val="es-MX"/>
        </w:rPr>
      </w:pPr>
    </w:p>
    <w:p w:rsidR="008B7093" w:rsidRPr="00C95803" w:rsidRDefault="008B7093" w:rsidP="00C95803">
      <w:pPr>
        <w:tabs>
          <w:tab w:val="left" w:pos="426"/>
        </w:tabs>
        <w:spacing w:line="360" w:lineRule="auto"/>
        <w:ind w:left="567" w:right="616"/>
        <w:jc w:val="both"/>
        <w:rPr>
          <w:rFonts w:ascii="Palatino Linotype" w:hAnsi="Palatino Linotype"/>
          <w:i/>
        </w:rPr>
      </w:pPr>
      <w:r w:rsidRPr="00C95803">
        <w:rPr>
          <w:rFonts w:ascii="Palatino Linotype" w:hAnsi="Palatino Linotype"/>
          <w:b/>
          <w:bCs/>
          <w:i/>
        </w:rPr>
        <w:t>Artículo 44.-</w:t>
      </w:r>
      <w:r w:rsidRPr="00C95803">
        <w:rPr>
          <w:rFonts w:ascii="Palatino Linotype" w:hAnsi="Palatino Linotype"/>
          <w:i/>
        </w:rPr>
        <w:t xml:space="preserve"> […]</w:t>
      </w:r>
    </w:p>
    <w:p w:rsidR="008B7093" w:rsidRPr="00C95803" w:rsidRDefault="008B7093" w:rsidP="00C95803">
      <w:pPr>
        <w:tabs>
          <w:tab w:val="left" w:pos="426"/>
        </w:tabs>
        <w:spacing w:line="360" w:lineRule="auto"/>
        <w:ind w:left="567" w:right="616"/>
        <w:jc w:val="both"/>
        <w:rPr>
          <w:rFonts w:ascii="Palatino Linotype" w:hAnsi="Palatino Linotype"/>
          <w:i/>
        </w:rPr>
      </w:pPr>
    </w:p>
    <w:p w:rsidR="008B7093" w:rsidRPr="00C95803" w:rsidRDefault="008B7093" w:rsidP="00C95803">
      <w:pPr>
        <w:tabs>
          <w:tab w:val="left" w:pos="426"/>
        </w:tabs>
        <w:spacing w:line="360" w:lineRule="auto"/>
        <w:ind w:left="567" w:right="616"/>
        <w:jc w:val="both"/>
        <w:rPr>
          <w:rFonts w:ascii="Palatino Linotype" w:hAnsi="Palatino Linotype"/>
          <w:i/>
        </w:rPr>
      </w:pPr>
      <w:r w:rsidRPr="00C95803">
        <w:rPr>
          <w:rFonts w:ascii="Palatino Linotype" w:hAnsi="Palatino Linotype"/>
          <w:i/>
        </w:rPr>
        <w:t>El Ejecutivo Federal, a través de la Secretaría de Hacienda y Crédito Público, entregará a las entidades el Fondo de Aportaciones para la Seguridad Pública de los Estados y del Distrito Federal, con base en los criterios que el Consejo Nacional de Seguridad Pública determine, a propuesta de la Secretaría de Gobernación, por medio del Secretariado Ejecutivo del Sistema Nacional de Seguridad Pública, utilizando para la distribución de los recursos, criterios que incorporen el número de habitantes de los Estados y del Distrito Federal; el índice de ocupación penitenciaria; la implementación de programas de prevención del delito; los recursos destinados a apoyar las acciones que en materia de seguridad pública desarrollen los municipios, y el avance en la aplicación del Programa Nacional de Seguridad Pública en materia de profesionalización, equipamiento, modernización tecnológica e infraestructura. La información relacionada con las fórmulas y variables utilizadas en el cálculo para la distribución y el resultado de su aplicación que corresponderá a la asignación por cada Estado y el Distrito Federal, deberá publicarse en el Diario Oficial de la Federación a más tardar a los 30 días naturales siguientes a la publicación en dicho Diario del Presupuesto de Egresos de la Federación del ejercicio fiscal de que se trate.</w:t>
      </w:r>
    </w:p>
    <w:p w:rsidR="008B7093" w:rsidRPr="00C95803" w:rsidRDefault="008B7093" w:rsidP="00C95803">
      <w:pPr>
        <w:tabs>
          <w:tab w:val="left" w:pos="426"/>
        </w:tabs>
        <w:spacing w:line="360" w:lineRule="auto"/>
        <w:ind w:left="567" w:right="616"/>
        <w:jc w:val="both"/>
        <w:rPr>
          <w:rFonts w:ascii="Palatino Linotype" w:hAnsi="Palatino Linotype"/>
          <w:i/>
        </w:rPr>
      </w:pPr>
      <w:r w:rsidRPr="00C95803">
        <w:rPr>
          <w:rFonts w:ascii="Palatino Linotype" w:hAnsi="Palatino Linotype"/>
          <w:i/>
        </w:rPr>
        <w:t xml:space="preserve">[…] </w:t>
      </w:r>
    </w:p>
    <w:p w:rsidR="008B7093" w:rsidRPr="00C95803" w:rsidRDefault="008B7093" w:rsidP="00C95803">
      <w:pPr>
        <w:tabs>
          <w:tab w:val="left" w:pos="426"/>
        </w:tabs>
        <w:spacing w:line="360" w:lineRule="auto"/>
        <w:ind w:left="567" w:right="616"/>
        <w:jc w:val="both"/>
        <w:rPr>
          <w:rFonts w:ascii="Palatino Linotype" w:hAnsi="Palatino Linotype"/>
          <w:i/>
        </w:rPr>
      </w:pPr>
      <w:r w:rsidRPr="00C95803">
        <w:rPr>
          <w:rFonts w:ascii="Palatino Linotype" w:hAnsi="Palatino Linotype"/>
          <w:b/>
          <w:bCs/>
          <w:i/>
        </w:rPr>
        <w:t>Los Estados y el Distrito Federal reportarán trimestralmente a la Secretaría de Gobernación, a través del Secretariado Ejecutivo del Sistema Nacional de Seguridad Pública, el ejercicio de los recursos del Fondo y el avance en el cumplimiento de las metas, así como las modificaciones o adecuaciones realizadas a las asignaciones previamente establecidas en los convenios de coordinación y sus anexos técnicos en la materia</w:t>
      </w:r>
      <w:r w:rsidRPr="00C95803">
        <w:rPr>
          <w:rFonts w:ascii="Palatino Linotype" w:hAnsi="Palatino Linotype"/>
          <w:i/>
        </w:rPr>
        <w:t xml:space="preserve">; en este último caso deberán incluirse la justificación y la aprobación del Consejo Estatal de Seguridad Pública correspondiente, o la opinión favorable del Secretariado Ejecutivo del Sistema Nacional de Seguridad Pública. El Secretariado Ejecutivo del Sistema Nacional de Seguridad Pública dará respuesta en un plazo no mayor a 30 días hábiles. </w:t>
      </w:r>
    </w:p>
    <w:p w:rsidR="008B7093" w:rsidRPr="00C95803" w:rsidRDefault="008B7093" w:rsidP="00C95803">
      <w:pPr>
        <w:tabs>
          <w:tab w:val="left" w:pos="426"/>
        </w:tabs>
        <w:spacing w:line="360" w:lineRule="auto"/>
        <w:ind w:left="567" w:right="616"/>
        <w:jc w:val="both"/>
        <w:rPr>
          <w:rFonts w:ascii="Palatino Linotype" w:hAnsi="Palatino Linotype"/>
          <w:i/>
        </w:rPr>
      </w:pPr>
    </w:p>
    <w:p w:rsidR="008B7093" w:rsidRPr="00C95803" w:rsidRDefault="008B7093" w:rsidP="00C95803">
      <w:pPr>
        <w:tabs>
          <w:tab w:val="left" w:pos="426"/>
        </w:tabs>
        <w:spacing w:line="360" w:lineRule="auto"/>
        <w:ind w:left="567" w:right="616"/>
        <w:jc w:val="both"/>
        <w:rPr>
          <w:rFonts w:ascii="Palatino Linotype" w:hAnsi="Palatino Linotype"/>
          <w:i/>
        </w:rPr>
      </w:pPr>
      <w:r w:rsidRPr="00C95803">
        <w:rPr>
          <w:rFonts w:ascii="Palatino Linotype" w:hAnsi="Palatino Linotype"/>
          <w:b/>
          <w:bCs/>
          <w:i/>
        </w:rPr>
        <w:t>Las entidades federativas, municipios y demarcaciones territoriales deberán informar a sus habitantes trimestralmente y al término de cada ejercicio, entre otros medios, a través de la página oficial de Internet de la entidad correspondiente, los montos que reciban, el ejercicio, destino y resultados obtenidos respecto de este Fondo.</w:t>
      </w:r>
      <w:r w:rsidRPr="00C95803">
        <w:rPr>
          <w:rFonts w:ascii="Palatino Linotype" w:hAnsi="Palatino Linotype"/>
          <w:i/>
        </w:rPr>
        <w:t xml:space="preserve"> Lo anterior, en términos de la Ley General de Contabilidad Gubernamental y conforme a los formatos aprobados por el Consejo Nacional de Armonización Contable.</w:t>
      </w:r>
    </w:p>
    <w:p w:rsidR="008B7093" w:rsidRPr="00C95803" w:rsidRDefault="008B7093" w:rsidP="00C95803">
      <w:pPr>
        <w:tabs>
          <w:tab w:val="left" w:pos="426"/>
        </w:tabs>
        <w:spacing w:line="360" w:lineRule="auto"/>
        <w:jc w:val="both"/>
        <w:rPr>
          <w:rFonts w:ascii="Palatino Linotype" w:hAnsi="Palatino Linotype"/>
        </w:rPr>
      </w:pPr>
    </w:p>
    <w:p w:rsidR="008B7093" w:rsidRPr="00C95803" w:rsidRDefault="008B7093" w:rsidP="00C95803">
      <w:pPr>
        <w:pStyle w:val="Prrafodelista"/>
        <w:numPr>
          <w:ilvl w:val="0"/>
          <w:numId w:val="1"/>
        </w:numPr>
        <w:tabs>
          <w:tab w:val="left" w:pos="426"/>
        </w:tabs>
        <w:spacing w:line="360" w:lineRule="auto"/>
        <w:ind w:left="0" w:firstLine="0"/>
        <w:jc w:val="both"/>
        <w:rPr>
          <w:rFonts w:ascii="Palatino Linotype" w:hAnsi="Palatino Linotype" w:cs="Arial"/>
        </w:rPr>
      </w:pPr>
      <w:r w:rsidRPr="00C95803">
        <w:rPr>
          <w:rFonts w:ascii="Palatino Linotype" w:eastAsia="MS Mincho" w:hAnsi="Palatino Linotype" w:cs="Arial"/>
          <w:color w:val="000000" w:themeColor="text1"/>
          <w:lang w:val="es-MX"/>
        </w:rPr>
        <w:t xml:space="preserve">De lo anterior se tiene que la Secretaría de Hacienda y Crédito Público, entregará a las entidades el Fondo de Aportaciones para la Seguridad Pública de los Estados y del Distrito Federal, el cual se enterará mensualmente durante los primeros diez meses del año, </w:t>
      </w:r>
      <w:r w:rsidRPr="00C95803">
        <w:rPr>
          <w:rFonts w:ascii="Palatino Linotype" w:eastAsia="MS Mincho" w:hAnsi="Palatino Linotype" w:cs="Arial"/>
          <w:b/>
          <w:color w:val="000000" w:themeColor="text1"/>
          <w:lang w:val="es-MX"/>
        </w:rPr>
        <w:t xml:space="preserve">de tal manera que los Estados </w:t>
      </w:r>
      <w:r w:rsidR="000E4C79" w:rsidRPr="00C95803">
        <w:rPr>
          <w:rFonts w:ascii="Palatino Linotype" w:eastAsia="MS Mincho" w:hAnsi="Palatino Linotype" w:cs="Arial"/>
          <w:b/>
          <w:color w:val="000000" w:themeColor="text1"/>
          <w:lang w:val="es-MX"/>
        </w:rPr>
        <w:t>y los municipios</w:t>
      </w:r>
      <w:r w:rsidR="000E4C79" w:rsidRPr="00C95803">
        <w:rPr>
          <w:rFonts w:ascii="Palatino Linotype" w:eastAsia="MS Mincho" w:hAnsi="Palatino Linotype" w:cs="Arial"/>
          <w:color w:val="000000" w:themeColor="text1"/>
          <w:lang w:val="es-MX"/>
        </w:rPr>
        <w:t xml:space="preserve"> </w:t>
      </w:r>
      <w:r w:rsidRPr="00C95803">
        <w:rPr>
          <w:rFonts w:ascii="Palatino Linotype" w:eastAsia="MS Mincho" w:hAnsi="Palatino Linotype" w:cs="Arial"/>
          <w:color w:val="000000" w:themeColor="text1"/>
          <w:lang w:val="es-MX"/>
        </w:rPr>
        <w:t xml:space="preserve">deberán </w:t>
      </w:r>
      <w:r w:rsidRPr="00C95803">
        <w:rPr>
          <w:rFonts w:ascii="Palatino Linotype" w:eastAsia="MS Mincho" w:hAnsi="Palatino Linotype" w:cs="Arial"/>
          <w:b/>
          <w:bCs/>
          <w:color w:val="000000" w:themeColor="text1"/>
          <w:lang w:val="es-MX"/>
        </w:rPr>
        <w:t xml:space="preserve">reportar trimestralmente </w:t>
      </w:r>
      <w:r w:rsidRPr="00C95803">
        <w:rPr>
          <w:rFonts w:ascii="Palatino Linotype" w:eastAsia="MS Mincho" w:hAnsi="Palatino Linotype" w:cs="Arial"/>
          <w:color w:val="000000" w:themeColor="text1"/>
          <w:lang w:val="es-MX"/>
        </w:rPr>
        <w:t>el ejercicio de los recursos del Fondo y el avance en el cumplimiento de las metas, así como las modificaciones o adecuaciones realizadas a</w:t>
      </w:r>
      <w:r w:rsidR="000E4C79" w:rsidRPr="00C95803">
        <w:rPr>
          <w:rFonts w:ascii="Palatino Linotype" w:eastAsia="MS Mincho" w:hAnsi="Palatino Linotype" w:cs="Arial"/>
          <w:color w:val="000000" w:themeColor="text1"/>
          <w:lang w:val="es-MX"/>
        </w:rPr>
        <w:t xml:space="preserve"> las asignaciones establecidas.</w:t>
      </w:r>
    </w:p>
    <w:p w:rsidR="001F61BF" w:rsidRPr="00C95803" w:rsidRDefault="001F61BF" w:rsidP="00C95803">
      <w:pPr>
        <w:pStyle w:val="Prrafodelista"/>
        <w:tabs>
          <w:tab w:val="left" w:pos="426"/>
        </w:tabs>
        <w:spacing w:line="360" w:lineRule="auto"/>
        <w:ind w:left="0"/>
        <w:jc w:val="both"/>
        <w:rPr>
          <w:rFonts w:ascii="Palatino Linotype" w:hAnsi="Palatino Linotype" w:cs="Arial"/>
        </w:rPr>
      </w:pPr>
    </w:p>
    <w:p w:rsidR="00B66524" w:rsidRPr="00C95803" w:rsidRDefault="001F61BF" w:rsidP="00C95803">
      <w:pPr>
        <w:pStyle w:val="Prrafodelista"/>
        <w:numPr>
          <w:ilvl w:val="0"/>
          <w:numId w:val="1"/>
        </w:numPr>
        <w:tabs>
          <w:tab w:val="left" w:pos="426"/>
        </w:tabs>
        <w:spacing w:line="360" w:lineRule="auto"/>
        <w:ind w:left="0" w:firstLine="0"/>
        <w:jc w:val="both"/>
        <w:rPr>
          <w:rFonts w:ascii="Palatino Linotype" w:hAnsi="Palatino Linotype" w:cs="Arial"/>
        </w:rPr>
      </w:pPr>
      <w:r w:rsidRPr="00C95803">
        <w:rPr>
          <w:rFonts w:ascii="Palatino Linotype" w:eastAsia="MS Mincho" w:hAnsi="Palatino Linotype" w:cs="Arial"/>
          <w:color w:val="000000" w:themeColor="text1"/>
          <w:lang w:val="es-MX"/>
        </w:rPr>
        <w:t xml:space="preserve">Sobre este punto, el Sujeto Obligado mediante informe justificado remitió los gastos realizados en cada ejercicio fiscal, Sin embargo, indicó que no se </w:t>
      </w:r>
      <w:r w:rsidR="00B66524" w:rsidRPr="00C95803">
        <w:rPr>
          <w:rFonts w:ascii="Palatino Linotype" w:eastAsia="MS Mincho" w:hAnsi="Palatino Linotype" w:cs="Arial"/>
          <w:color w:val="000000" w:themeColor="text1"/>
          <w:lang w:val="es-MX"/>
        </w:rPr>
        <w:t xml:space="preserve">realizó ninguna licitación por no haber excedido los montos que establece la normatividad en materia. No obstante no precisó la modalidad de adquisición, es decir, la Ley de Contratación Pública del Estado de México y Municipios, en el Capítulo Sexto, sección tercera dispone las excepciones a la licitación pública, estableciendo </w:t>
      </w:r>
      <w:r w:rsidR="00B66524" w:rsidRPr="00C95803">
        <w:rPr>
          <w:rFonts w:ascii="Palatino Linotype" w:eastAsia="MS Mincho" w:hAnsi="Palatino Linotype" w:cs="Arial"/>
          <w:b/>
          <w:color w:val="000000" w:themeColor="text1"/>
          <w:lang w:val="es-MX"/>
        </w:rPr>
        <w:t>invitación restringida</w:t>
      </w:r>
      <w:r w:rsidR="00B66524" w:rsidRPr="00C95803">
        <w:rPr>
          <w:rFonts w:ascii="Palatino Linotype" w:eastAsia="MS Mincho" w:hAnsi="Palatino Linotype" w:cs="Arial"/>
          <w:color w:val="000000" w:themeColor="text1"/>
          <w:lang w:val="es-MX"/>
        </w:rPr>
        <w:t xml:space="preserve"> y adjudicación directa.</w:t>
      </w:r>
    </w:p>
    <w:p w:rsidR="00B66524" w:rsidRPr="00C95803" w:rsidRDefault="00B66524" w:rsidP="00C95803">
      <w:pPr>
        <w:pStyle w:val="Prrafodelista"/>
        <w:spacing w:line="360" w:lineRule="auto"/>
        <w:rPr>
          <w:rFonts w:ascii="Palatino Linotype" w:hAnsi="Palatino Linotype" w:cs="Arial"/>
        </w:rPr>
      </w:pPr>
    </w:p>
    <w:p w:rsidR="00B66524" w:rsidRPr="00C95803" w:rsidRDefault="00B66524" w:rsidP="00C95803">
      <w:pPr>
        <w:pStyle w:val="Prrafodelista"/>
        <w:numPr>
          <w:ilvl w:val="0"/>
          <w:numId w:val="1"/>
        </w:numPr>
        <w:tabs>
          <w:tab w:val="left" w:pos="426"/>
        </w:tabs>
        <w:spacing w:line="360" w:lineRule="auto"/>
        <w:ind w:left="0" w:firstLine="0"/>
        <w:jc w:val="both"/>
        <w:rPr>
          <w:rFonts w:ascii="Palatino Linotype" w:hAnsi="Palatino Linotype" w:cs="Arial"/>
        </w:rPr>
      </w:pPr>
      <w:r w:rsidRPr="00C95803">
        <w:rPr>
          <w:rFonts w:ascii="Palatino Linotype" w:hAnsi="Palatino Linotype" w:cs="Arial"/>
        </w:rPr>
        <w:t xml:space="preserve">La primera excepción establece que se llevará a cabo mediante la invitación de cuando menos tres personas, que serán seleccionadas de entre las que se inscriban en el catálogo de proveedores y, que dicho </w:t>
      </w:r>
      <w:r w:rsidRPr="00C95803">
        <w:rPr>
          <w:rFonts w:ascii="Palatino Linotype" w:hAnsi="Palatino Linotype" w:cs="Arial"/>
          <w:b/>
        </w:rPr>
        <w:t>procedimiento de invitación restringida</w:t>
      </w:r>
      <w:r w:rsidRPr="00C95803">
        <w:rPr>
          <w:rFonts w:ascii="Palatino Linotype" w:hAnsi="Palatino Linotype" w:cs="Arial"/>
        </w:rPr>
        <w:t xml:space="preserve"> </w:t>
      </w:r>
      <w:r w:rsidRPr="00C95803">
        <w:rPr>
          <w:rFonts w:ascii="Palatino Linotype" w:hAnsi="Palatino Linotype" w:cs="Arial"/>
          <w:b/>
        </w:rPr>
        <w:t xml:space="preserve">se desarrollará en los términos de la licitación pública, </w:t>
      </w:r>
      <w:r w:rsidRPr="00C95803">
        <w:rPr>
          <w:rFonts w:ascii="Palatino Linotype" w:hAnsi="Palatino Linotype" w:cs="Arial"/>
        </w:rPr>
        <w:t>a excepción de la publicación de la convocatoria. Con lo anterior, se entiende que se debe realizar todo el procedimiento cómo si se fuese a llevar a cabo una licitación pública, solamente con la excepción de que no se publicará la convocatoria mediante el  COMPRAMEX</w:t>
      </w:r>
      <w:r w:rsidRPr="00C95803">
        <w:rPr>
          <w:rStyle w:val="Refdenotaalpie"/>
          <w:rFonts w:ascii="Palatino Linotype" w:hAnsi="Palatino Linotype" w:cs="Arial"/>
        </w:rPr>
        <w:footnoteReference w:id="12"/>
      </w:r>
      <w:r w:rsidRPr="00C95803">
        <w:rPr>
          <w:rFonts w:ascii="Palatino Linotype" w:hAnsi="Palatino Linotype" w:cs="Arial"/>
        </w:rPr>
        <w:t xml:space="preserve"> </w:t>
      </w:r>
      <w:r w:rsidR="00561820" w:rsidRPr="00C95803">
        <w:rPr>
          <w:rFonts w:ascii="Palatino Linotype" w:hAnsi="Palatino Linotype" w:cs="Arial"/>
        </w:rPr>
        <w:t xml:space="preserve">, entonces, suponiendo sin conceder que, al no haberse realizado licitación pública la adquisición de los bienes y servicios referidos mediante </w:t>
      </w:r>
      <w:r w:rsidR="00266A88" w:rsidRPr="00C95803">
        <w:rPr>
          <w:rFonts w:ascii="Palatino Linotype" w:hAnsi="Palatino Linotype" w:cs="Arial"/>
        </w:rPr>
        <w:t xml:space="preserve">informe justificado, esta se haya realizado a </w:t>
      </w:r>
      <w:r w:rsidR="00561820" w:rsidRPr="00C95803">
        <w:rPr>
          <w:rFonts w:ascii="Palatino Linotype" w:hAnsi="Palatino Linotype" w:cs="Arial"/>
        </w:rPr>
        <w:t>través de invitación restringida,</w:t>
      </w:r>
      <w:r w:rsidR="00266A88" w:rsidRPr="00C95803">
        <w:rPr>
          <w:rFonts w:ascii="Palatino Linotype" w:hAnsi="Palatino Linotype" w:cs="Arial"/>
        </w:rPr>
        <w:t xml:space="preserve"> la información relacionada con, estudios de mercado y </w:t>
      </w:r>
      <w:r w:rsidR="00561820" w:rsidRPr="00C95803">
        <w:rPr>
          <w:rFonts w:ascii="Palatino Linotype" w:hAnsi="Palatino Linotype" w:cs="Arial"/>
        </w:rPr>
        <w:t>revisión de las bases</w:t>
      </w:r>
      <w:r w:rsidR="00266A88" w:rsidRPr="00C95803">
        <w:rPr>
          <w:rFonts w:ascii="Palatino Linotype" w:hAnsi="Palatino Linotype" w:cs="Arial"/>
        </w:rPr>
        <w:t>,</w:t>
      </w:r>
      <w:r w:rsidR="00561820" w:rsidRPr="00C95803">
        <w:rPr>
          <w:rFonts w:ascii="Palatino Linotype" w:hAnsi="Palatino Linotype" w:cs="Arial"/>
        </w:rPr>
        <w:t xml:space="preserve"> por parte de la contraloría debe existir, por estar contemplado en el procedimiento correspondiente.</w:t>
      </w:r>
    </w:p>
    <w:p w:rsidR="00B66524" w:rsidRPr="00C95803" w:rsidRDefault="00B66524" w:rsidP="00C95803">
      <w:pPr>
        <w:pStyle w:val="Prrafodelista"/>
        <w:tabs>
          <w:tab w:val="left" w:pos="426"/>
        </w:tabs>
        <w:spacing w:line="360" w:lineRule="auto"/>
        <w:ind w:left="0"/>
        <w:jc w:val="both"/>
        <w:rPr>
          <w:rFonts w:ascii="Palatino Linotype" w:hAnsi="Palatino Linotype" w:cs="Arial"/>
        </w:rPr>
      </w:pPr>
    </w:p>
    <w:p w:rsidR="001F61BF" w:rsidRPr="00C95803" w:rsidRDefault="00561820" w:rsidP="00C95803">
      <w:pPr>
        <w:pStyle w:val="Prrafodelista"/>
        <w:numPr>
          <w:ilvl w:val="0"/>
          <w:numId w:val="1"/>
        </w:numPr>
        <w:tabs>
          <w:tab w:val="left" w:pos="426"/>
        </w:tabs>
        <w:spacing w:line="360" w:lineRule="auto"/>
        <w:ind w:left="0" w:firstLine="0"/>
        <w:jc w:val="both"/>
        <w:rPr>
          <w:rFonts w:ascii="Palatino Linotype" w:hAnsi="Palatino Linotype" w:cs="Arial"/>
        </w:rPr>
      </w:pPr>
      <w:r w:rsidRPr="00C95803">
        <w:rPr>
          <w:rFonts w:ascii="Palatino Linotype" w:eastAsia="MS Mincho" w:hAnsi="Palatino Linotype" w:cs="Arial"/>
          <w:color w:val="000000" w:themeColor="text1"/>
          <w:lang w:val="es-MX"/>
        </w:rPr>
        <w:t xml:space="preserve">Por otra parte, </w:t>
      </w:r>
      <w:r w:rsidR="001F61BF" w:rsidRPr="00C95803">
        <w:rPr>
          <w:rFonts w:ascii="Palatino Linotype" w:eastAsia="MS Mincho" w:hAnsi="Palatino Linotype" w:cs="Arial"/>
          <w:color w:val="000000" w:themeColor="text1"/>
          <w:lang w:val="es-MX"/>
        </w:rPr>
        <w:t xml:space="preserve">la información relativa a contratos y facturas, </w:t>
      </w:r>
      <w:r w:rsidRPr="00C95803">
        <w:rPr>
          <w:rFonts w:ascii="Palatino Linotype" w:eastAsia="MS Mincho" w:hAnsi="Palatino Linotype" w:cs="Arial"/>
          <w:color w:val="000000" w:themeColor="text1"/>
          <w:lang w:val="es-MX"/>
        </w:rPr>
        <w:t xml:space="preserve">refirió que no se cuenta con la información, </w:t>
      </w:r>
      <w:r w:rsidR="001F61BF" w:rsidRPr="00C95803">
        <w:rPr>
          <w:rFonts w:ascii="Palatino Linotype" w:eastAsia="MS Mincho" w:hAnsi="Palatino Linotype" w:cs="Arial"/>
          <w:color w:val="000000" w:themeColor="text1"/>
          <w:lang w:val="es-MX"/>
        </w:rPr>
        <w:t>toda vez que corresponden a administraciones anteriores.</w:t>
      </w:r>
    </w:p>
    <w:p w:rsidR="001F61BF" w:rsidRPr="00C95803" w:rsidRDefault="001F61BF" w:rsidP="00C95803">
      <w:pPr>
        <w:pStyle w:val="Prrafodelista"/>
        <w:spacing w:line="360" w:lineRule="auto"/>
        <w:rPr>
          <w:rFonts w:ascii="Palatino Linotype" w:hAnsi="Palatino Linotype" w:cs="Arial"/>
        </w:rPr>
      </w:pPr>
    </w:p>
    <w:p w:rsidR="001F61BF" w:rsidRPr="00C95803" w:rsidRDefault="001F61BF" w:rsidP="00C95803">
      <w:pPr>
        <w:pStyle w:val="Prrafodelista"/>
        <w:numPr>
          <w:ilvl w:val="0"/>
          <w:numId w:val="1"/>
        </w:numPr>
        <w:tabs>
          <w:tab w:val="left" w:pos="426"/>
        </w:tabs>
        <w:spacing w:line="360" w:lineRule="auto"/>
        <w:ind w:left="0" w:firstLine="0"/>
        <w:jc w:val="both"/>
        <w:rPr>
          <w:rFonts w:ascii="Palatino Linotype" w:hAnsi="Palatino Linotype" w:cs="Arial"/>
        </w:rPr>
      </w:pPr>
      <w:r w:rsidRPr="00C95803">
        <w:rPr>
          <w:rFonts w:ascii="Palatino Linotype" w:hAnsi="Palatino Linotype" w:cs="Arial"/>
        </w:rPr>
        <w:t>Es necesario precisar que aún y cuando corresponda administraciones anteriores, dicha información debe existir, puesto que toda la información que sea generada, administrada y poseída por los sujetos obligadas debe sujetarse a un proceso de conservación en sus archivos de trámite y sus archivos de conservación, para tal efecto, cada sujeto obligado debe elaborar su guía de disposición documental, en el cual indicarán los plazos de conservación de cada documento, derivado del uso e importancia de cada uno.</w:t>
      </w:r>
    </w:p>
    <w:p w:rsidR="001F61BF" w:rsidRPr="00C95803" w:rsidRDefault="001F61BF" w:rsidP="00C95803">
      <w:pPr>
        <w:pStyle w:val="Prrafodelista"/>
        <w:spacing w:line="360" w:lineRule="auto"/>
        <w:rPr>
          <w:rFonts w:ascii="Palatino Linotype" w:hAnsi="Palatino Linotype" w:cs="Arial"/>
        </w:rPr>
      </w:pPr>
    </w:p>
    <w:p w:rsidR="001F61BF" w:rsidRPr="00C95803" w:rsidRDefault="001F61BF" w:rsidP="00C95803">
      <w:pPr>
        <w:pStyle w:val="Prrafodelista"/>
        <w:numPr>
          <w:ilvl w:val="0"/>
          <w:numId w:val="1"/>
        </w:numPr>
        <w:tabs>
          <w:tab w:val="left" w:pos="426"/>
        </w:tabs>
        <w:spacing w:line="360" w:lineRule="auto"/>
        <w:ind w:left="0" w:firstLine="0"/>
        <w:jc w:val="both"/>
        <w:rPr>
          <w:rFonts w:ascii="Palatino Linotype" w:hAnsi="Palatino Linotype" w:cs="Arial"/>
        </w:rPr>
      </w:pPr>
      <w:r w:rsidRPr="00C95803">
        <w:rPr>
          <w:rFonts w:ascii="Palatino Linotype" w:hAnsi="Palatino Linotype" w:cs="Arial"/>
        </w:rPr>
        <w:t>Entonces, por un lado se tiene conocimiento que efectivamente se ejerció recurso por concepto del Fondo de Aportaciones para la Seguridad Pública en los ejercicios fiscales solicitados, no obstante, el requerimiento no se tiene por colmado porque no se entregaron los contratos y facturas correspondientes. En consecuencia, el Sujeto Obligado deberá realizar una nueva búsqueda en sus archivos y, de ser el caso deberá entregar los documentos solicitados.</w:t>
      </w:r>
    </w:p>
    <w:p w:rsidR="001F61BF" w:rsidRPr="00C95803" w:rsidRDefault="001F61BF" w:rsidP="00C95803">
      <w:pPr>
        <w:pStyle w:val="Prrafodelista"/>
        <w:spacing w:line="360" w:lineRule="auto"/>
        <w:rPr>
          <w:rFonts w:ascii="Palatino Linotype" w:hAnsi="Palatino Linotype" w:cs="Arial"/>
        </w:rPr>
      </w:pPr>
    </w:p>
    <w:p w:rsidR="001F61BF" w:rsidRPr="00C95803" w:rsidRDefault="001F61BF" w:rsidP="00C95803">
      <w:pPr>
        <w:pStyle w:val="Ttulo4"/>
        <w:numPr>
          <w:ilvl w:val="1"/>
          <w:numId w:val="1"/>
        </w:numPr>
        <w:spacing w:line="360" w:lineRule="auto"/>
        <w:ind w:left="1276" w:hanging="382"/>
        <w:rPr>
          <w:rFonts w:ascii="Palatino Linotype" w:hAnsi="Palatino Linotype"/>
          <w:b/>
          <w:color w:val="auto"/>
        </w:rPr>
      </w:pPr>
      <w:bookmarkStart w:id="23" w:name="_Toc16107110"/>
      <w:r w:rsidRPr="00C95803">
        <w:rPr>
          <w:rFonts w:ascii="Palatino Linotype" w:hAnsi="Palatino Linotype"/>
          <w:b/>
          <w:color w:val="auto"/>
        </w:rPr>
        <w:t>De la inexistencia.</w:t>
      </w:r>
      <w:bookmarkEnd w:id="23"/>
    </w:p>
    <w:p w:rsidR="001F61BF" w:rsidRPr="00C95803" w:rsidRDefault="001F61BF" w:rsidP="00C95803">
      <w:pPr>
        <w:pStyle w:val="Prrafodelista"/>
        <w:autoSpaceDE w:val="0"/>
        <w:autoSpaceDN w:val="0"/>
        <w:adjustRightInd w:val="0"/>
        <w:spacing w:line="360" w:lineRule="auto"/>
        <w:ind w:left="0" w:right="567"/>
        <w:jc w:val="both"/>
        <w:rPr>
          <w:rFonts w:ascii="Palatino Linotype" w:hAnsi="Palatino Linotype"/>
          <w:iCs/>
        </w:rPr>
      </w:pPr>
    </w:p>
    <w:p w:rsidR="001F61BF" w:rsidRPr="00C95803" w:rsidRDefault="001F61BF" w:rsidP="00C95803">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C95803">
        <w:rPr>
          <w:rFonts w:ascii="Palatino Linotype" w:hAnsi="Palatino Linotype"/>
          <w:color w:val="222222"/>
        </w:rPr>
        <w:t>Ahora bien, de ser el caso de que el Sujeto Obligado no cuente con la información relacionada en el apartado anterior, deberá estar a lo dispuesto en el presente apartado.</w:t>
      </w:r>
    </w:p>
    <w:p w:rsidR="001F61BF" w:rsidRPr="00C95803" w:rsidRDefault="001F61BF" w:rsidP="00C95803">
      <w:pPr>
        <w:pStyle w:val="Prrafodelista"/>
        <w:spacing w:before="100" w:beforeAutospacing="1" w:after="100" w:afterAutospacing="1" w:line="360" w:lineRule="auto"/>
        <w:ind w:left="0"/>
        <w:jc w:val="both"/>
        <w:rPr>
          <w:rFonts w:ascii="Palatino Linotype" w:hAnsi="Palatino Linotype" w:cs="Segoe UI"/>
        </w:rPr>
      </w:pPr>
    </w:p>
    <w:p w:rsidR="001F61BF" w:rsidRPr="00C95803" w:rsidRDefault="001F61BF" w:rsidP="00C95803">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C95803">
        <w:rPr>
          <w:rFonts w:ascii="Palatino Linotype" w:hAnsi="Palatino Linotype"/>
          <w:color w:val="222222"/>
        </w:rPr>
        <w:t>La </w:t>
      </w:r>
      <w:r w:rsidRPr="00C95803">
        <w:rPr>
          <w:rFonts w:ascii="Palatino Linotype" w:hAnsi="Palatino Linotype"/>
          <w:b/>
          <w:bCs/>
          <w:color w:val="222222"/>
        </w:rPr>
        <w:t>Ley General de Transparencia y Acceso a la Información Pública</w:t>
      </w:r>
      <w:r w:rsidRPr="00C95803">
        <w:rPr>
          <w:rFonts w:ascii="Palatino Linotype" w:hAnsi="Palatino Linotype"/>
          <w:color w:val="222222"/>
        </w:rPr>
        <w:t>, en específico en su artículo 65 fracción III:</w:t>
      </w:r>
    </w:p>
    <w:p w:rsidR="001F61BF" w:rsidRPr="00C95803" w:rsidRDefault="001F61BF" w:rsidP="00C95803">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C95803">
        <w:rPr>
          <w:rFonts w:ascii="Palatino Linotype" w:hAnsi="Palatino Linotype"/>
          <w:b/>
          <w:bCs/>
          <w:i/>
          <w:iCs/>
          <w:color w:val="000000"/>
        </w:rPr>
        <w:t>Artículo 65. Los Comités de Transparencia tendrán las facultades y atribuciones siguientes:</w:t>
      </w:r>
      <w:r w:rsidR="002D222C" w:rsidRPr="00C95803">
        <w:rPr>
          <w:rFonts w:ascii="Palatino Linotype" w:hAnsi="Palatino Linotype"/>
          <w:b/>
          <w:bCs/>
          <w:i/>
          <w:iCs/>
          <w:color w:val="000000"/>
        </w:rPr>
        <w:t xml:space="preserve"> </w:t>
      </w:r>
    </w:p>
    <w:p w:rsidR="001F61BF" w:rsidRPr="00C95803" w:rsidRDefault="001F61BF" w:rsidP="00C95803">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rPr>
      </w:pPr>
      <w:r w:rsidRPr="00C95803">
        <w:rPr>
          <w:rFonts w:ascii="Palatino Linotype" w:hAnsi="Palatino Linotype"/>
          <w:b/>
          <w:bCs/>
          <w:i/>
          <w:iCs/>
          <w:color w:val="000000"/>
        </w:rPr>
        <w:t>…</w:t>
      </w:r>
    </w:p>
    <w:p w:rsidR="001F61BF" w:rsidRPr="00C95803" w:rsidRDefault="001F61BF" w:rsidP="00C95803">
      <w:pPr>
        <w:shd w:val="clear" w:color="auto" w:fill="FFFFFF"/>
        <w:spacing w:before="240" w:after="240" w:line="360" w:lineRule="auto"/>
        <w:ind w:left="567" w:right="567"/>
        <w:jc w:val="both"/>
        <w:rPr>
          <w:rFonts w:ascii="Palatino Linotype" w:hAnsi="Palatino Linotype"/>
          <w:color w:val="222222"/>
        </w:rPr>
      </w:pPr>
      <w:r w:rsidRPr="00C95803">
        <w:rPr>
          <w:rFonts w:ascii="Palatino Linotype" w:hAnsi="Palatino Linotype"/>
          <w:b/>
          <w:bCs/>
          <w:i/>
          <w:iCs/>
          <w:color w:val="2222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1F61BF" w:rsidRPr="00C95803" w:rsidRDefault="001F61BF" w:rsidP="00C95803">
      <w:pPr>
        <w:pStyle w:val="Prrafodelista"/>
        <w:numPr>
          <w:ilvl w:val="0"/>
          <w:numId w:val="1"/>
        </w:numPr>
        <w:spacing w:before="100" w:beforeAutospacing="1" w:after="100" w:afterAutospacing="1" w:line="360" w:lineRule="auto"/>
        <w:ind w:left="0" w:firstLine="0"/>
        <w:jc w:val="both"/>
        <w:rPr>
          <w:rFonts w:ascii="Palatino Linotype" w:hAnsi="Palatino Linotype"/>
          <w:color w:val="222222"/>
        </w:rPr>
      </w:pPr>
      <w:r w:rsidRPr="00C95803">
        <w:rPr>
          <w:rFonts w:ascii="Palatino Linotype" w:hAnsi="Palatino Linotype"/>
          <w:color w:val="222222"/>
        </w:rPr>
        <w:t>Así mismo, la </w:t>
      </w:r>
      <w:r w:rsidRPr="00C95803">
        <w:rPr>
          <w:rFonts w:ascii="Palatino Linotype" w:hAnsi="Palatino Linotype"/>
          <w:b/>
          <w:bCs/>
          <w:color w:val="222222"/>
        </w:rPr>
        <w:t>Ley de Trasparencia y Acceso a la Información Pública del Estado de México y Municipios</w:t>
      </w:r>
      <w:r w:rsidRPr="00C95803">
        <w:rPr>
          <w:rFonts w:ascii="Palatino Linotype" w:hAnsi="Palatino Linotype"/>
          <w:color w:val="222222"/>
        </w:rPr>
        <w:t> en su 169, fracción III, señala:</w:t>
      </w:r>
    </w:p>
    <w:p w:rsidR="001F61BF" w:rsidRPr="00C95803" w:rsidRDefault="001F61BF" w:rsidP="00C95803">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rPr>
      </w:pPr>
      <w:r w:rsidRPr="00C95803">
        <w:rPr>
          <w:rFonts w:ascii="Palatino Linotype" w:hAnsi="Palatino Linotype"/>
          <w:color w:val="222222"/>
          <w:lang w:val="es-ES_tradnl"/>
        </w:rPr>
        <w:t> </w:t>
      </w:r>
      <w:r w:rsidRPr="00C95803">
        <w:rPr>
          <w:rFonts w:ascii="Palatino Linotype" w:hAnsi="Palatino Linotype" w:cs="Bookman Old Style,Bold"/>
          <w:b/>
          <w:bCs/>
          <w:i/>
        </w:rPr>
        <w:t xml:space="preserve">Artículo 169. </w:t>
      </w:r>
      <w:r w:rsidRPr="00C95803">
        <w:rPr>
          <w:rFonts w:ascii="Palatino Linotype" w:hAnsi="Palatino Linotype" w:cs="Bookman Old Style"/>
          <w:i/>
        </w:rPr>
        <w:t>Cuando la información no se encuentre en los archivos del sujeto obligado, el Comité de Transparencia:</w:t>
      </w:r>
    </w:p>
    <w:p w:rsidR="001F61BF" w:rsidRPr="00C95803" w:rsidRDefault="001F61BF" w:rsidP="00C95803">
      <w:pPr>
        <w:autoSpaceDE w:val="0"/>
        <w:autoSpaceDN w:val="0"/>
        <w:adjustRightInd w:val="0"/>
        <w:spacing w:line="360" w:lineRule="auto"/>
        <w:ind w:left="567" w:right="567"/>
        <w:jc w:val="both"/>
        <w:rPr>
          <w:rFonts w:ascii="Palatino Linotype" w:hAnsi="Palatino Linotype" w:cs="Bookman Old Style"/>
          <w:i/>
          <w:lang w:val="es-MX"/>
        </w:rPr>
      </w:pPr>
      <w:r w:rsidRPr="00C95803">
        <w:rPr>
          <w:rFonts w:ascii="Palatino Linotype" w:hAnsi="Palatino Linotype" w:cs="Bookman Old Style,Bold"/>
          <w:b/>
          <w:bCs/>
          <w:i/>
          <w:lang w:val="es-MX"/>
        </w:rPr>
        <w:t xml:space="preserve">I. </w:t>
      </w:r>
      <w:r w:rsidRPr="00C95803">
        <w:rPr>
          <w:rFonts w:ascii="Palatino Linotype" w:hAnsi="Palatino Linotype" w:cs="Bookman Old Style"/>
          <w:i/>
          <w:lang w:val="es-MX"/>
        </w:rPr>
        <w:t>Analizará el caso y tomará las medidas necesarias para localizar la información;</w:t>
      </w:r>
    </w:p>
    <w:p w:rsidR="001F61BF" w:rsidRPr="00C95803" w:rsidRDefault="001F61BF" w:rsidP="00C95803">
      <w:pPr>
        <w:autoSpaceDE w:val="0"/>
        <w:autoSpaceDN w:val="0"/>
        <w:adjustRightInd w:val="0"/>
        <w:spacing w:line="360" w:lineRule="auto"/>
        <w:ind w:left="567" w:right="567"/>
        <w:jc w:val="both"/>
        <w:rPr>
          <w:rFonts w:ascii="Palatino Linotype" w:hAnsi="Palatino Linotype" w:cs="Bookman Old Style"/>
          <w:i/>
          <w:lang w:val="es-MX"/>
        </w:rPr>
      </w:pPr>
      <w:r w:rsidRPr="00C95803">
        <w:rPr>
          <w:rFonts w:ascii="Palatino Linotype" w:hAnsi="Palatino Linotype" w:cs="Bookman Old Style,Bold"/>
          <w:b/>
          <w:bCs/>
          <w:i/>
          <w:lang w:val="es-MX"/>
        </w:rPr>
        <w:t xml:space="preserve">II. </w:t>
      </w:r>
      <w:r w:rsidRPr="00C95803">
        <w:rPr>
          <w:rFonts w:ascii="Palatino Linotype" w:hAnsi="Palatino Linotype" w:cs="Bookman Old Style"/>
          <w:i/>
          <w:lang w:val="es-MX"/>
        </w:rPr>
        <w:t>Expedirá una resolución que confirme la inexistencia del documento;</w:t>
      </w:r>
    </w:p>
    <w:p w:rsidR="001F61BF" w:rsidRPr="00C95803" w:rsidRDefault="001F61BF" w:rsidP="00C95803">
      <w:pPr>
        <w:autoSpaceDE w:val="0"/>
        <w:autoSpaceDN w:val="0"/>
        <w:adjustRightInd w:val="0"/>
        <w:spacing w:line="360" w:lineRule="auto"/>
        <w:ind w:left="567" w:right="567"/>
        <w:jc w:val="both"/>
        <w:rPr>
          <w:rFonts w:ascii="Palatino Linotype" w:hAnsi="Palatino Linotype" w:cs="Bookman Old Style"/>
          <w:i/>
          <w:lang w:val="es-MX"/>
        </w:rPr>
      </w:pPr>
      <w:r w:rsidRPr="00C95803">
        <w:rPr>
          <w:rFonts w:ascii="Palatino Linotype" w:hAnsi="Palatino Linotype" w:cs="Bookman Old Style,Bold"/>
          <w:b/>
          <w:bCs/>
          <w:i/>
          <w:lang w:val="es-MX"/>
        </w:rPr>
        <w:t xml:space="preserve">III. </w:t>
      </w:r>
      <w:r w:rsidRPr="00C95803">
        <w:rPr>
          <w:rFonts w:ascii="Palatino Linotype" w:hAnsi="Palatino Linotype" w:cs="Bookman Old Style"/>
          <w:i/>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1F61BF" w:rsidRPr="00C95803" w:rsidRDefault="001F61BF" w:rsidP="00C95803">
      <w:pPr>
        <w:autoSpaceDE w:val="0"/>
        <w:autoSpaceDN w:val="0"/>
        <w:adjustRightInd w:val="0"/>
        <w:spacing w:line="360" w:lineRule="auto"/>
        <w:ind w:left="567" w:right="567"/>
        <w:jc w:val="both"/>
        <w:rPr>
          <w:rFonts w:ascii="Palatino Linotype" w:hAnsi="Palatino Linotype" w:cs="Bookman Old Style"/>
          <w:i/>
          <w:lang w:val="es-MX"/>
        </w:rPr>
      </w:pPr>
      <w:r w:rsidRPr="00C95803">
        <w:rPr>
          <w:rFonts w:ascii="Palatino Linotype" w:hAnsi="Palatino Linotype" w:cs="Bookman Old Style,Bold"/>
          <w:b/>
          <w:bCs/>
          <w:i/>
          <w:lang w:val="es-MX"/>
        </w:rPr>
        <w:t xml:space="preserve">IV. </w:t>
      </w:r>
      <w:r w:rsidRPr="00C95803">
        <w:rPr>
          <w:rFonts w:ascii="Palatino Linotype" w:hAnsi="Palatino Linotype" w:cs="Bookman Old Style"/>
          <w:i/>
          <w:lang w:val="es-MX"/>
        </w:rPr>
        <w:t>Notificará al órgano interno de control o equivalente del sujeto obligado quien, en su caso, deberá iniciar el procedimiento de responsabilidad administrativa que corresponda.</w:t>
      </w:r>
    </w:p>
    <w:p w:rsidR="001F61BF" w:rsidRPr="00C95803" w:rsidRDefault="001F61BF" w:rsidP="00C95803">
      <w:pPr>
        <w:autoSpaceDE w:val="0"/>
        <w:autoSpaceDN w:val="0"/>
        <w:adjustRightInd w:val="0"/>
        <w:spacing w:line="360" w:lineRule="auto"/>
        <w:ind w:left="567" w:right="567"/>
        <w:jc w:val="both"/>
        <w:rPr>
          <w:rFonts w:ascii="Palatino Linotype" w:hAnsi="Palatino Linotype" w:cs="Bookman Old Style"/>
          <w:i/>
          <w:lang w:val="es-MX"/>
        </w:rPr>
      </w:pPr>
    </w:p>
    <w:p w:rsidR="001F61BF" w:rsidRPr="00C95803" w:rsidRDefault="001F61BF" w:rsidP="00C95803">
      <w:pPr>
        <w:autoSpaceDE w:val="0"/>
        <w:autoSpaceDN w:val="0"/>
        <w:adjustRightInd w:val="0"/>
        <w:spacing w:line="360" w:lineRule="auto"/>
        <w:ind w:left="567" w:right="567"/>
        <w:jc w:val="both"/>
        <w:rPr>
          <w:rFonts w:ascii="Palatino Linotype" w:hAnsi="Palatino Linotype" w:cs="Bookman Old Style"/>
          <w:i/>
          <w:lang w:val="es-MX"/>
        </w:rPr>
      </w:pPr>
      <w:r w:rsidRPr="00C95803">
        <w:rPr>
          <w:rFonts w:ascii="Palatino Linotype" w:hAnsi="Palatino Linotype" w:cs="Bookman Old Style"/>
          <w:i/>
          <w:lang w:val="es-MX"/>
        </w:rPr>
        <w:t>La Unidad de Transparencia deberá notificarlo al solicitante por escrito, en un plazo que no exceda de quince días hábiles contados a partir del día siguiente a la presentación de la solicitud.</w:t>
      </w:r>
    </w:p>
    <w:p w:rsidR="001F61BF" w:rsidRPr="00C95803" w:rsidRDefault="001F61BF" w:rsidP="00C95803">
      <w:pPr>
        <w:autoSpaceDE w:val="0"/>
        <w:autoSpaceDN w:val="0"/>
        <w:adjustRightInd w:val="0"/>
        <w:spacing w:line="360" w:lineRule="auto"/>
        <w:ind w:left="567" w:right="567"/>
        <w:jc w:val="both"/>
        <w:rPr>
          <w:rFonts w:ascii="Palatino Linotype" w:hAnsi="Palatino Linotype" w:cs="Bookman Old Style"/>
          <w:i/>
          <w:lang w:val="es-MX"/>
        </w:rPr>
      </w:pPr>
    </w:p>
    <w:p w:rsidR="001F61BF" w:rsidRPr="00C95803" w:rsidRDefault="001F61BF" w:rsidP="00C95803">
      <w:pPr>
        <w:autoSpaceDE w:val="0"/>
        <w:autoSpaceDN w:val="0"/>
        <w:adjustRightInd w:val="0"/>
        <w:spacing w:line="360" w:lineRule="auto"/>
        <w:ind w:left="567" w:right="567"/>
        <w:jc w:val="both"/>
        <w:rPr>
          <w:rFonts w:ascii="Palatino Linotype" w:hAnsi="Palatino Linotype"/>
          <w:i/>
          <w:iCs/>
          <w:color w:val="222222"/>
        </w:rPr>
      </w:pPr>
      <w:r w:rsidRPr="00C95803">
        <w:rPr>
          <w:rFonts w:ascii="Palatino Linotype" w:hAnsi="Palatino Linotype" w:cs="Bookman Old Style"/>
          <w:i/>
          <w:lang w:val="es-MX"/>
        </w:rPr>
        <w:t>Este plazo podrá ampliarse hasta por otros siete días hábiles, siempre que existan razones para ello, debiendo notificarse por escrito al solicitante.</w:t>
      </w:r>
    </w:p>
    <w:p w:rsidR="001F61BF" w:rsidRPr="00C95803" w:rsidRDefault="001F61BF" w:rsidP="00C95803">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C95803">
        <w:rPr>
          <w:rFonts w:ascii="Palatino Linotype" w:hAnsi="Palatino Linotype"/>
          <w:color w:val="222222"/>
          <w:lang w:val="es-ES_tradnl"/>
        </w:rPr>
        <w:t>De los preceptos antes transcritos se advierte claramente que </w:t>
      </w:r>
      <w:r w:rsidRPr="00C95803">
        <w:rPr>
          <w:rFonts w:ascii="Palatino Linotype" w:hAnsi="Palatino Linotype"/>
          <w:color w:val="222222"/>
        </w:rPr>
        <w:t>cuando la información no se encuentre en los archivos del Sujeto Obligado, el Comité de Transparencia deberá ordenar </w:t>
      </w:r>
      <w:r w:rsidRPr="00C95803">
        <w:rPr>
          <w:rFonts w:ascii="Palatino Linotype" w:hAnsi="Palatino Linotype"/>
          <w:color w:val="222222"/>
          <w:u w:val="single"/>
        </w:rPr>
        <w:t>que se genere la información en caso de que ésta tuviera que existir en la medida que deriva del ejercicio de sus facultades, competencias o funciones</w:t>
      </w:r>
      <w:r w:rsidRPr="00C95803">
        <w:rPr>
          <w:rFonts w:ascii="Palatino Linotype" w:hAnsi="Palatino Linotype"/>
          <w:color w:val="222222"/>
        </w:rPr>
        <w:t>.</w:t>
      </w:r>
    </w:p>
    <w:p w:rsidR="001F61BF" w:rsidRPr="00C95803" w:rsidRDefault="001F61BF" w:rsidP="00C95803">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C95803">
        <w:rPr>
          <w:rFonts w:ascii="Palatino Linotype" w:hAnsi="Palatino Linotype"/>
          <w:color w:val="222222"/>
          <w:lang w:val="es-ES_tradnl"/>
        </w:rPr>
        <w:t>Ahora bien, es importante señalar que en el caso de que no se pueda generar la información, </w:t>
      </w:r>
      <w:r w:rsidRPr="00C95803">
        <w:rPr>
          <w:rFonts w:ascii="Palatino Linotype" w:hAnsi="Palatino Linotype"/>
          <w:b/>
          <w:bCs/>
          <w:color w:val="222222"/>
          <w:lang w:val="es-ES_tradnl"/>
        </w:rPr>
        <w:t xml:space="preserve">SE ORDENA </w:t>
      </w:r>
      <w:r w:rsidRPr="00C95803">
        <w:rPr>
          <w:rFonts w:ascii="Palatino Linotype" w:hAnsi="Palatino Linotype"/>
          <w:bCs/>
          <w:color w:val="222222"/>
          <w:lang w:val="es-ES_tradnl"/>
        </w:rPr>
        <w:t>al</w:t>
      </w:r>
      <w:r w:rsidRPr="00C95803">
        <w:rPr>
          <w:rFonts w:ascii="Palatino Linotype" w:hAnsi="Palatino Linotype"/>
          <w:b/>
          <w:bCs/>
          <w:color w:val="222222"/>
          <w:lang w:val="es-ES_tradnl"/>
        </w:rPr>
        <w:t xml:space="preserve"> SUJETO OBLIGADO </w:t>
      </w:r>
      <w:r w:rsidRPr="00C95803">
        <w:rPr>
          <w:rFonts w:ascii="Palatino Linotype" w:hAnsi="Palatino Linotype"/>
          <w:color w:val="222222"/>
          <w:lang w:val="es-ES_tradnl"/>
        </w:rPr>
        <w:t>hacer entrega de un Acuerdo de su Comité de Transparencia en donde conste la declaratoria de inexistencia de la información.</w:t>
      </w:r>
    </w:p>
    <w:p w:rsidR="001F61BF" w:rsidRPr="00C95803" w:rsidRDefault="001F61BF" w:rsidP="00C95803">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C95803">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C95803">
        <w:rPr>
          <w:rFonts w:ascii="Palatino Linotype" w:hAnsi="Palatino Linotype"/>
          <w:color w:val="222222"/>
          <w:shd w:val="clear" w:color="auto" w:fill="FFFFFF"/>
          <w:lang w:val="es-ES_tradnl"/>
        </w:rPr>
        <w:t>Instituto Nacional de Transparencia, Acceso a la Información y Protección de Datos Personales </w:t>
      </w:r>
      <w:r w:rsidRPr="00C95803">
        <w:rPr>
          <w:rFonts w:ascii="Palatino Linotype" w:hAnsi="Palatino Linotype"/>
          <w:color w:val="222222"/>
          <w:lang w:val="es-ES_tradnl"/>
        </w:rPr>
        <w:t>emitió el criterio número 14-17, que es de la literalidad siguiente:</w:t>
      </w:r>
    </w:p>
    <w:p w:rsidR="001F61BF" w:rsidRPr="00C95803" w:rsidRDefault="001F61BF" w:rsidP="00C95803">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rPr>
      </w:pPr>
      <w:r w:rsidRPr="00C95803">
        <w:rPr>
          <w:rFonts w:ascii="Palatino Linotype" w:hAnsi="Palatino Linotype"/>
          <w:b/>
          <w:bCs/>
          <w:i/>
          <w:iCs/>
          <w:color w:val="222222"/>
          <w:lang w:val="es-ES_tradnl"/>
        </w:rPr>
        <w:t>Criterio 14/17</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b/>
          <w:i/>
          <w:iCs/>
          <w:color w:val="222222"/>
        </w:rPr>
        <w:t>Inexistencia.</w:t>
      </w:r>
      <w:r w:rsidRPr="00C95803">
        <w:rPr>
          <w:rFonts w:ascii="Palatino Linotype" w:hAnsi="Palatino Linotype"/>
          <w:i/>
          <w:iCs/>
          <w:color w:val="222222"/>
        </w:rPr>
        <w:t xml:space="preserve"> La inexistencia es una cuestión de hecho que se atribuye a la información solicitada e implica que ésta </w:t>
      </w:r>
      <w:r w:rsidRPr="00C95803">
        <w:rPr>
          <w:rFonts w:ascii="Palatino Linotype" w:hAnsi="Palatino Linotype"/>
          <w:b/>
          <w:bCs/>
          <w:i/>
          <w:iCs/>
          <w:color w:val="222222"/>
          <w:u w:val="single"/>
        </w:rPr>
        <w:t>no se encuentra en los archivos del sujeto obligado, no obstante que cuenta con facultades para poseerla</w:t>
      </w:r>
      <w:r w:rsidRPr="00C95803">
        <w:rPr>
          <w:rFonts w:ascii="Palatino Linotype" w:hAnsi="Palatino Linotype"/>
          <w:i/>
          <w:iCs/>
          <w:color w:val="222222"/>
        </w:rPr>
        <w:t>.</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i/>
          <w:iCs/>
          <w:color w:val="222222"/>
        </w:rPr>
        <w:t> </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i/>
          <w:iCs/>
          <w:color w:val="222222"/>
        </w:rPr>
        <w:t>Resoluciones: </w:t>
      </w:r>
      <w:r w:rsidRPr="00C95803">
        <w:rPr>
          <w:rFonts w:ascii="Palatino Linotype" w:hAnsi="Palatino Linotype"/>
          <w:color w:val="222222"/>
        </w:rPr>
        <w:t>·</w:t>
      </w:r>
      <w:r w:rsidRPr="00C95803">
        <w:rPr>
          <w:rFonts w:ascii="Palatino Linotype" w:hAnsi="Palatino Linotype"/>
          <w:i/>
          <w:iCs/>
          <w:color w:val="222222"/>
        </w:rPr>
        <w:t> RRA 4669/16. Instituto Nacional Electoral. 18 de enero de 2017. Por unanimidad. Comisionado Ponente Joel Salas Suárez. </w:t>
      </w:r>
      <w:r w:rsidRPr="00C95803">
        <w:rPr>
          <w:rFonts w:ascii="Palatino Linotype" w:hAnsi="Palatino Linotype"/>
          <w:color w:val="222222"/>
        </w:rPr>
        <w:t>·</w:t>
      </w:r>
      <w:r w:rsidRPr="00C95803">
        <w:rPr>
          <w:rFonts w:ascii="Palatino Linotype" w:hAnsi="Palatino Linotype"/>
          <w:i/>
          <w:iCs/>
          <w:color w:val="222222"/>
        </w:rPr>
        <w:t> RRA 0183/17. Nueva Alianza. 01 de febrero de 2017. Por unanimidad. Comisionado Ponente Francisco Javier Acuña Llamas. </w:t>
      </w:r>
      <w:r w:rsidRPr="00C95803">
        <w:rPr>
          <w:rFonts w:ascii="Palatino Linotype" w:hAnsi="Palatino Linotype"/>
          <w:color w:val="222222"/>
        </w:rPr>
        <w:t>·</w:t>
      </w:r>
      <w:r w:rsidRPr="00C95803">
        <w:rPr>
          <w:rFonts w:ascii="Palatino Linotype" w:hAnsi="Palatino Linotype"/>
          <w:i/>
          <w:iCs/>
          <w:color w:val="222222"/>
        </w:rPr>
        <w:t xml:space="preserve"> RRA 4484/16. Instituto Nacional de Migración. 16 de febrero de 2017. Por mayoría de seis votos a favor y uno en contra de la Comisionada Areli Cano Guadiana. Comisionada Ponente María Patricia </w:t>
      </w:r>
      <w:proofErr w:type="spellStart"/>
      <w:r w:rsidRPr="00C95803">
        <w:rPr>
          <w:rFonts w:ascii="Palatino Linotype" w:hAnsi="Palatino Linotype"/>
          <w:i/>
          <w:iCs/>
          <w:color w:val="222222"/>
        </w:rPr>
        <w:t>Kurczyn</w:t>
      </w:r>
      <w:proofErr w:type="spellEnd"/>
      <w:r w:rsidRPr="00C95803">
        <w:rPr>
          <w:rFonts w:ascii="Palatino Linotype" w:hAnsi="Palatino Linotype"/>
          <w:i/>
          <w:iCs/>
          <w:color w:val="222222"/>
        </w:rPr>
        <w:t xml:space="preserve"> Villalobos.</w:t>
      </w:r>
    </w:p>
    <w:p w:rsidR="001F61BF" w:rsidRPr="00C95803" w:rsidRDefault="001F61BF" w:rsidP="00C95803">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C95803">
        <w:rPr>
          <w:rFonts w:ascii="Palatino Linotype" w:hAnsi="Palatino Linotype"/>
          <w:color w:val="000000"/>
        </w:rPr>
        <w:t> </w:t>
      </w:r>
    </w:p>
    <w:p w:rsidR="001F61BF" w:rsidRPr="00C95803" w:rsidRDefault="001F61BF" w:rsidP="00C95803">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C95803">
        <w:rPr>
          <w:rFonts w:ascii="Palatino Linotype" w:hAnsi="Palatino Linotype"/>
          <w:color w:val="000000"/>
        </w:rPr>
        <w:t>Además como consecuencia de las disposiciones legales contenidas en la </w:t>
      </w:r>
      <w:r w:rsidRPr="00C95803">
        <w:rPr>
          <w:rFonts w:ascii="Palatino Linotype" w:hAnsi="Palatino Linotype"/>
          <w:b/>
          <w:bCs/>
          <w:color w:val="000000"/>
        </w:rPr>
        <w:t>Ley General de Transparencia y Acceso a la Información Pública</w:t>
      </w:r>
      <w:r w:rsidRPr="00C95803">
        <w:rPr>
          <w:rFonts w:ascii="Palatino Linotype" w:hAnsi="Palatino Linotype"/>
          <w:color w:val="000000"/>
        </w:rPr>
        <w:t>, es que existe el mandato expreso de que en caso de no </w:t>
      </w:r>
      <w:r w:rsidRPr="00C95803">
        <w:rPr>
          <w:rFonts w:ascii="Palatino Linotype" w:hAnsi="Palatino Linotype"/>
          <w:color w:val="000000"/>
          <w:u w:val="single"/>
        </w:rPr>
        <w:t>existir la documentación que debió, por mandato de ley, generarse, administrarse o poseerse,</w:t>
      </w:r>
      <w:r w:rsidRPr="00C95803">
        <w:rPr>
          <w:rFonts w:ascii="Palatino Linotype" w:hAnsi="Palatino Linotype"/>
          <w:color w:val="000000"/>
        </w:rPr>
        <w:t> es obligación de la autoridad emitir una declaratoria formal que debe reunir los requisitos señalados en la propia norma jurídica,</w:t>
      </w:r>
      <w:r w:rsidRPr="00C95803">
        <w:rPr>
          <w:rStyle w:val="Refdenotaalpie"/>
          <w:rFonts w:ascii="Palatino Linotype" w:hAnsi="Palatino Linotype"/>
          <w:color w:val="000000"/>
        </w:rPr>
        <w:footnoteReference w:id="13"/>
      </w:r>
      <w:r w:rsidRPr="00C95803">
        <w:rPr>
          <w:rFonts w:ascii="Palatino Linotype" w:hAnsi="Palatino Linotype"/>
          <w:color w:val="000000"/>
        </w:rPr>
        <w:t>según puede apreciarse a continuación:</w:t>
      </w:r>
    </w:p>
    <w:p w:rsidR="001F61BF" w:rsidRPr="00C95803" w:rsidRDefault="001F61BF" w:rsidP="00C95803">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rPr>
      </w:pPr>
      <w:r w:rsidRPr="00C95803">
        <w:rPr>
          <w:rFonts w:ascii="Palatino Linotype" w:hAnsi="Palatino Linotype"/>
          <w:b/>
          <w:bCs/>
          <w:i/>
          <w:iCs/>
          <w:color w:val="000000"/>
        </w:rPr>
        <w:t>Artículo 19.</w:t>
      </w:r>
      <w:r w:rsidRPr="00C95803">
        <w:rPr>
          <w:rFonts w:ascii="Palatino Linotype" w:hAnsi="Palatino Linotype"/>
          <w:i/>
          <w:iCs/>
          <w:color w:val="000000"/>
        </w:rPr>
        <w:t> Se presume que la información debe existir si se refiere a las facultades, competencias y funciones que los ordenamientos jurídicos aplicables otorgan a los sujetos obligados.</w:t>
      </w:r>
    </w:p>
    <w:p w:rsidR="001F61BF" w:rsidRPr="00C95803" w:rsidRDefault="001F61BF" w:rsidP="00C95803">
      <w:pPr>
        <w:shd w:val="clear" w:color="auto" w:fill="FFFFFF"/>
        <w:spacing w:before="240" w:after="240" w:line="360" w:lineRule="auto"/>
        <w:ind w:left="567" w:right="567"/>
        <w:jc w:val="both"/>
        <w:rPr>
          <w:rFonts w:ascii="Palatino Linotype" w:hAnsi="Palatino Linotype"/>
          <w:color w:val="222222"/>
        </w:rPr>
      </w:pPr>
      <w:r w:rsidRPr="00C95803">
        <w:rPr>
          <w:rFonts w:ascii="Palatino Linotype" w:hAnsi="Palatino Linotype"/>
          <w:i/>
          <w:iCs/>
          <w:color w:val="000000"/>
        </w:rPr>
        <w:t>En los casos en que ciertas facultades, competencias o funciones no se hayan ejercido, se debe motivar la respuesta en función de las causas que motiven la inexistencia.</w:t>
      </w:r>
    </w:p>
    <w:p w:rsidR="001F61BF" w:rsidRPr="00C95803" w:rsidRDefault="001F61BF" w:rsidP="00C95803">
      <w:pPr>
        <w:shd w:val="clear" w:color="auto" w:fill="FFFFFF"/>
        <w:spacing w:before="240" w:after="240" w:line="360" w:lineRule="auto"/>
        <w:ind w:left="567" w:right="567"/>
        <w:jc w:val="both"/>
        <w:rPr>
          <w:rFonts w:ascii="Palatino Linotype" w:hAnsi="Palatino Linotype"/>
          <w:color w:val="222222"/>
        </w:rPr>
      </w:pPr>
      <w:r w:rsidRPr="00C95803">
        <w:rPr>
          <w:rFonts w:ascii="Palatino Linotype" w:hAnsi="Palatino Linotype"/>
          <w:b/>
          <w:bCs/>
          <w:i/>
          <w:iCs/>
          <w:color w:val="000000"/>
        </w:rPr>
        <w:t>Artículo 20.</w:t>
      </w:r>
      <w:r w:rsidRPr="00C95803">
        <w:rPr>
          <w:rFonts w:ascii="Palatino Linotype" w:hAnsi="Palatino Linotype"/>
          <w:i/>
          <w:iCs/>
          <w:color w:val="000000"/>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1F61BF" w:rsidRPr="00C95803" w:rsidRDefault="001F61BF" w:rsidP="00C95803">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C95803">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1F61BF" w:rsidRPr="00C95803" w:rsidRDefault="001F61BF" w:rsidP="00C95803">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b/>
          <w:bCs/>
          <w:i/>
          <w:iCs/>
          <w:color w:val="000000"/>
        </w:rPr>
        <w:t>“CRITERIO 0003-11</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b/>
          <w:bCs/>
          <w:i/>
          <w:iCs/>
          <w:color w:val="000000"/>
        </w:rPr>
        <w:t>INEXISTENCIA, CONCEPTO DE, EN MATERIA DE TRANSPARENCIA</w:t>
      </w:r>
      <w:r w:rsidRPr="00C95803">
        <w:rPr>
          <w:rFonts w:ascii="Palatino Linotype" w:hAnsi="Palatino Linotype"/>
          <w:i/>
          <w:iCs/>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i/>
          <w:iCs/>
          <w:color w:val="000000"/>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i/>
          <w:iCs/>
          <w:color w:val="000000"/>
        </w:rPr>
        <w:t xml:space="preserve">b) En los casos en que por las atribuciones conferidas al Sujeto Obligado éste debió generar, administrar o poseer la información, pero en incumplimiento a la normatividad respectiva no llevó a cabo </w:t>
      </w:r>
      <w:proofErr w:type="gramStart"/>
      <w:r w:rsidRPr="00C95803">
        <w:rPr>
          <w:rFonts w:ascii="Palatino Linotype" w:hAnsi="Palatino Linotype"/>
          <w:i/>
          <w:iCs/>
          <w:color w:val="000000"/>
        </w:rPr>
        <w:t>ninguna</w:t>
      </w:r>
      <w:proofErr w:type="gramEnd"/>
      <w:r w:rsidRPr="00C95803">
        <w:rPr>
          <w:rFonts w:ascii="Palatino Linotype" w:hAnsi="Palatino Linotype"/>
          <w:i/>
          <w:iCs/>
          <w:color w:val="000000"/>
        </w:rPr>
        <w:t xml:space="preserve"> de esas acciones.</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i/>
          <w:iCs/>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i/>
          <w:iCs/>
          <w:color w:val="000000"/>
        </w:rPr>
        <w:t> </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b/>
          <w:bCs/>
          <w:i/>
          <w:iCs/>
          <w:color w:val="000000"/>
        </w:rPr>
        <w:t>CRITERIO 0004-11</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b/>
          <w:bCs/>
          <w:i/>
          <w:iCs/>
          <w:color w:val="000000"/>
        </w:rPr>
        <w:t>INEXISTENCIA. DECLARATORIA DE LA. ALCANCES Y PROCEDIMIENTOS</w:t>
      </w:r>
      <w:r w:rsidRPr="00C95803">
        <w:rPr>
          <w:rFonts w:ascii="Palatino Linotype" w:hAnsi="Palatino Linotype"/>
          <w:i/>
          <w:iCs/>
          <w:color w:val="00000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i/>
          <w:iCs/>
          <w:color w:val="000000"/>
        </w:rPr>
        <w:t>Bajo el entendido de que dicha búsqueda exhaustiva permitirá dos determinaciones:</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i/>
          <w:iCs/>
          <w:color w:val="000000"/>
        </w:rPr>
        <w:t>1ª) Que se localice la documentación que contenga la información solicitada y de ser así la información pueda entregarse al solicitante en la forma en que se encuentra disponible, o</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i/>
          <w:iCs/>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1F61BF" w:rsidRPr="00C95803" w:rsidRDefault="001F61BF" w:rsidP="00C95803">
      <w:pPr>
        <w:shd w:val="clear" w:color="auto" w:fill="FFFFFF"/>
        <w:spacing w:line="360" w:lineRule="auto"/>
        <w:ind w:left="567" w:right="567"/>
        <w:jc w:val="both"/>
        <w:rPr>
          <w:rFonts w:ascii="Palatino Linotype" w:hAnsi="Palatino Linotype"/>
          <w:color w:val="222222"/>
        </w:rPr>
      </w:pPr>
      <w:r w:rsidRPr="00C95803">
        <w:rPr>
          <w:rFonts w:ascii="Palatino Linotype" w:hAnsi="Palatino Linotype"/>
          <w:i/>
          <w:iCs/>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1F61BF" w:rsidRPr="00C95803" w:rsidRDefault="001F61BF" w:rsidP="00C9580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C95803">
        <w:rPr>
          <w:rFonts w:ascii="Palatino Linotype" w:hAnsi="Palatino Linotype"/>
          <w:color w:val="000000"/>
          <w:lang w:val="es-ES_tradnl"/>
        </w:rPr>
        <w:t>Bajo éste tenor se debe destacar que para que se declare la inexistencia de la información, debió haber existencia previa de la documentación y la falta posterior de la misma en los archivos del </w:t>
      </w:r>
      <w:r w:rsidRPr="00C95803">
        <w:rPr>
          <w:rFonts w:ascii="Palatino Linotype" w:hAnsi="Palatino Linotype"/>
          <w:b/>
          <w:bCs/>
          <w:color w:val="000000"/>
          <w:lang w:val="es-ES_tradnl"/>
        </w:rPr>
        <w:t>SUJETO OBLIGADO</w:t>
      </w:r>
      <w:r w:rsidRPr="00C95803">
        <w:rPr>
          <w:rFonts w:ascii="Palatino Linotype" w:hAnsi="Palatino Linotype"/>
          <w:color w:val="000000"/>
          <w:lang w:val="es-ES_tradnl"/>
        </w:rPr>
        <w:t>, esto es que la información se generó, poseyó o administró en el marco de las atribuciones conferidas a al Sujeto Obligado, </w:t>
      </w:r>
      <w:r w:rsidRPr="00C95803">
        <w:rPr>
          <w:rFonts w:ascii="Palatino Linotype" w:hAnsi="Palatino Linotype"/>
          <w:color w:val="000000"/>
          <w:u w:val="single"/>
          <w:lang w:val="es-ES_tradnl"/>
        </w:rPr>
        <w:t>pero no la conserva</w:t>
      </w:r>
      <w:r w:rsidRPr="00C95803">
        <w:rPr>
          <w:rFonts w:ascii="Palatino Linotype" w:hAnsi="Palatino Linotype"/>
          <w:color w:val="000000"/>
          <w:lang w:val="es-ES_tradnl"/>
        </w:rPr>
        <w:t> por diversas razones (destrucción física, desaparición física, sustracción ilícita, baja documental, etcétera).</w:t>
      </w:r>
    </w:p>
    <w:p w:rsidR="001F61BF" w:rsidRPr="00C95803" w:rsidRDefault="001F61BF" w:rsidP="00C9580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C95803">
        <w:rPr>
          <w:rFonts w:ascii="Palatino Linotype" w:hAnsi="Palatino Linotype"/>
          <w:color w:val="000000"/>
          <w:lang w:val="es-ES_tradnl"/>
        </w:rPr>
        <w:t>En consecuencia, </w:t>
      </w:r>
      <w:r w:rsidRPr="00C95803">
        <w:rPr>
          <w:rFonts w:ascii="Palatino Linotype" w:hAnsi="Palatino Linotype"/>
          <w:b/>
          <w:bCs/>
          <w:color w:val="000000"/>
          <w:lang w:val="es-ES_tradnl"/>
        </w:rPr>
        <w:t>el SUJETO OBLIGADO </w:t>
      </w:r>
      <w:r w:rsidRPr="00C95803">
        <w:rPr>
          <w:rFonts w:ascii="Palatino Linotype" w:hAnsi="Palatino Linotype"/>
          <w:color w:val="000000"/>
          <w:lang w:val="es-ES_tradnl"/>
        </w:rPr>
        <w:t>en todo tiempo debió cumplir con las formalidades exigidas por el marco jurídico implicando fundar y motivar su respuesta, por lo que deberá </w:t>
      </w:r>
      <w:r w:rsidRPr="00C95803">
        <w:rPr>
          <w:rFonts w:ascii="Palatino Linotype" w:hAnsi="Palatino Linotype"/>
          <w:color w:val="000000"/>
          <w:u w:val="single"/>
          <w:lang w:val="es-ES_tradnl"/>
        </w:rPr>
        <w:t>emitir un nuevo</w:t>
      </w:r>
      <w:r w:rsidRPr="00C95803">
        <w:rPr>
          <w:rFonts w:ascii="Palatino Linotype" w:hAnsi="Palatino Linotype"/>
          <w:color w:val="000000"/>
          <w:lang w:val="es-ES_tradnl"/>
        </w:rPr>
        <w:t> Acuerdo del Comité de Transparencia, que se hará del conocimiento del particular pero, en los siguientes términos:</w:t>
      </w:r>
    </w:p>
    <w:p w:rsidR="001F61BF" w:rsidRPr="00C95803" w:rsidRDefault="001F61BF" w:rsidP="00C9580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C95803">
        <w:rPr>
          <w:rFonts w:ascii="Palatino Linotype" w:hAnsi="Palatino Linotype" w:cs="Arial"/>
          <w:color w:val="000000"/>
          <w:lang w:val="es-ES"/>
        </w:rPr>
        <w:t>·Deberá emitir el acuerdo de inexistencia respectivo, en el entendido, que el acto de autoridad debe estar </w:t>
      </w:r>
      <w:r w:rsidRPr="00C95803">
        <w:rPr>
          <w:rFonts w:ascii="Palatino Linotype" w:hAnsi="Palatino Linotype" w:cs="Arial"/>
          <w:b/>
          <w:bCs/>
          <w:color w:val="000000"/>
          <w:u w:val="single"/>
          <w:lang w:val="es-ES"/>
        </w:rPr>
        <w:t>debidamente fundado y motivado.</w:t>
      </w:r>
    </w:p>
    <w:p w:rsidR="001F61BF" w:rsidRPr="00C95803" w:rsidRDefault="001F61BF" w:rsidP="00C9580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C95803">
        <w:rPr>
          <w:rFonts w:ascii="Palatino Linotype" w:hAnsi="Palatino Linotype" w:cs="Arial"/>
          <w:color w:val="000000"/>
          <w:lang w:val="es-ES"/>
        </w:rPr>
        <w:t> </w:t>
      </w:r>
    </w:p>
    <w:p w:rsidR="001F61BF" w:rsidRPr="00C95803" w:rsidRDefault="001F61BF" w:rsidP="00C9580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C95803">
        <w:rPr>
          <w:rFonts w:ascii="Palatino Linotype" w:hAnsi="Palatino Linotype" w:cs="Arial"/>
          <w:color w:val="000000"/>
          <w:lang w:val="es-ES"/>
        </w:rPr>
        <w:t>·</w:t>
      </w:r>
      <w:r w:rsidRPr="00C95803">
        <w:rPr>
          <w:rFonts w:ascii="Palatino Linotype" w:hAnsi="Palatino Linotype"/>
          <w:color w:val="000000"/>
          <w:lang w:val="es-ES"/>
        </w:rPr>
        <w:t> </w:t>
      </w:r>
      <w:r w:rsidRPr="00C95803">
        <w:rPr>
          <w:rFonts w:ascii="Palatino Linotype" w:hAnsi="Palatino Linotype" w:cs="Arial"/>
          <w:color w:val="000000"/>
          <w:lang w:val="es-ES"/>
        </w:rPr>
        <w:t>Señalando el lugar y fecha de la resolución, el nombre del solicitante, la información solicitada, </w:t>
      </w:r>
      <w:r w:rsidRPr="00C95803">
        <w:rPr>
          <w:rFonts w:ascii="Palatino Linotype" w:hAnsi="Palatino Linotype" w:cs="Arial"/>
          <w:b/>
          <w:bCs/>
          <w:color w:val="000000"/>
          <w:u w:val="single"/>
          <w:lang w:val="es-ES"/>
        </w:rPr>
        <w:t>el fundamento y motivo por el cual se determina que la información solicitada no obra en sus archivos</w:t>
      </w:r>
      <w:r w:rsidRPr="00C95803">
        <w:rPr>
          <w:rFonts w:ascii="Palatino Linotype" w:hAnsi="Palatino Linotype" w:cs="Arial"/>
          <w:color w:val="000000"/>
          <w:lang w:val="es-ES"/>
        </w:rPr>
        <w:t>, los nombres y firmas autógrafas de los integrantes del Comité de Información.</w:t>
      </w:r>
    </w:p>
    <w:p w:rsidR="001F61BF" w:rsidRPr="00C95803" w:rsidRDefault="001F61BF" w:rsidP="00C95803">
      <w:pPr>
        <w:pStyle w:val="m-698976158124685028gmail-msonormal"/>
        <w:numPr>
          <w:ilvl w:val="0"/>
          <w:numId w:val="1"/>
        </w:numPr>
        <w:shd w:val="clear" w:color="auto" w:fill="FFFFFF"/>
        <w:spacing w:line="360" w:lineRule="auto"/>
        <w:ind w:left="0" w:firstLine="0"/>
        <w:jc w:val="both"/>
        <w:rPr>
          <w:rFonts w:ascii="Palatino Linotype" w:hAnsi="Palatino Linotype"/>
          <w:color w:val="222222"/>
        </w:rPr>
      </w:pPr>
      <w:r w:rsidRPr="00C95803">
        <w:rPr>
          <w:rFonts w:ascii="Palatino Linotype" w:hAnsi="Palatino Linotype"/>
          <w:color w:val="000000"/>
          <w:lang w:val="es-ES_tradnl"/>
        </w:rPr>
        <w:t>Lo anterior es así, toda vez que </w:t>
      </w:r>
      <w:r w:rsidRPr="00C95803">
        <w:rPr>
          <w:rFonts w:ascii="Palatino Linotype" w:hAnsi="Palatino Linotype"/>
          <w:b/>
          <w:bCs/>
          <w:color w:val="000000"/>
          <w:u w:val="single"/>
          <w:lang w:val="es-ES_tradnl"/>
        </w:rPr>
        <w:t>es necesaria</w:t>
      </w:r>
      <w:r w:rsidRPr="00C95803">
        <w:rPr>
          <w:rFonts w:ascii="Palatino Linotype" w:hAnsi="Palatino Linotype"/>
          <w:color w:val="000000"/>
          <w:lang w:val="es-ES_tradnl"/>
        </w:rPr>
        <w:t> la emisión del acuerdo de inexistencia en aquellos casos en que el </w:t>
      </w:r>
      <w:r w:rsidRPr="00C95803">
        <w:rPr>
          <w:rFonts w:ascii="Palatino Linotype" w:hAnsi="Palatino Linotype"/>
          <w:b/>
          <w:bCs/>
          <w:color w:val="000000"/>
          <w:lang w:val="es-ES_tradnl"/>
        </w:rPr>
        <w:t>SUJETO OBLIGADO </w:t>
      </w:r>
      <w:r w:rsidRPr="00C95803">
        <w:rPr>
          <w:rFonts w:ascii="Palatino Linotype" w:hAnsi="Palatino Linotype"/>
          <w:b/>
          <w:bCs/>
          <w:color w:val="000000"/>
          <w:u w:val="single"/>
          <w:lang w:val="es-ES_tradnl"/>
        </w:rPr>
        <w:t>generó, administró o poseyó</w:t>
      </w:r>
      <w:r w:rsidRPr="00C95803">
        <w:rPr>
          <w:rFonts w:ascii="Palatino Linotype" w:hAnsi="Palatino Linotype"/>
          <w:b/>
          <w:bCs/>
          <w:color w:val="000000"/>
          <w:lang w:val="es-ES_tradnl"/>
        </w:rPr>
        <w:t> </w:t>
      </w:r>
      <w:r w:rsidRPr="00C95803">
        <w:rPr>
          <w:rFonts w:ascii="Palatino Linotype" w:hAnsi="Palatino Linotype"/>
          <w:color w:val="000000"/>
          <w:lang w:val="es-ES_tradnl"/>
        </w:rPr>
        <w:t>la información solicitada empero previa búsqueda exhaustiva y minuciosa de la misma, no localiza la información requerida.</w:t>
      </w:r>
    </w:p>
    <w:p w:rsidR="001F61BF" w:rsidRPr="00C95803" w:rsidRDefault="001F61BF" w:rsidP="00C9580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C95803">
        <w:rPr>
          <w:rFonts w:ascii="Palatino Linotype" w:hAnsi="Palatino Linotype"/>
          <w:b/>
          <w:bCs/>
          <w:color w:val="000000"/>
          <w:u w:val="single"/>
          <w:lang w:val="es-ES_tradnl"/>
        </w:rPr>
        <w:t>En ese caso</w:t>
      </w:r>
      <w:r w:rsidRPr="00C95803">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C95803">
        <w:rPr>
          <w:rFonts w:ascii="Palatino Linotype" w:hAnsi="Palatino Linotype"/>
          <w:b/>
          <w:bCs/>
          <w:color w:val="000000"/>
          <w:lang w:val="es-ES_tradnl"/>
        </w:rPr>
        <w:t>SUJETO OBLIGADO</w:t>
      </w:r>
      <w:r w:rsidRPr="00C95803">
        <w:rPr>
          <w:rFonts w:ascii="Palatino Linotype" w:hAnsi="Palatino Linotype"/>
          <w:color w:val="000000"/>
          <w:lang w:val="es-ES_tradnl"/>
        </w:rPr>
        <w:t> en el marco de las funciones de derecho público; sin embargo, éste no lo posee por la razones que se deben expresar </w:t>
      </w:r>
      <w:r w:rsidRPr="00C95803">
        <w:rPr>
          <w:rFonts w:ascii="Palatino Linotype" w:hAnsi="Palatino Linotype"/>
          <w:b/>
          <w:bCs/>
          <w:color w:val="000000"/>
          <w:u w:val="single"/>
          <w:lang w:val="es-ES_tradnl"/>
        </w:rPr>
        <w:t>a través de un acuerdo debidamente fundado y motivado </w:t>
      </w:r>
      <w:r w:rsidRPr="00C95803">
        <w:rPr>
          <w:rFonts w:ascii="Palatino Linotype" w:hAnsi="Palatino Linotype"/>
          <w:color w:val="000000"/>
          <w:lang w:val="es-ES_tradnl"/>
        </w:rPr>
        <w:t>esto en estricto apego a lo establecido en los artículos 169 y 170 de la ley de la materia situación que no ocurrió.</w:t>
      </w:r>
    </w:p>
    <w:p w:rsidR="001F61BF" w:rsidRPr="00C95803" w:rsidRDefault="001F61BF" w:rsidP="00C9580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C95803">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rsidR="001F61BF" w:rsidRPr="00C95803" w:rsidRDefault="001F61BF" w:rsidP="00C9580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C95803">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rsidR="001F61BF" w:rsidRPr="00C95803" w:rsidRDefault="001F61BF" w:rsidP="00C9580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C95803">
        <w:rPr>
          <w:rFonts w:ascii="Palatino Linotype" w:hAnsi="Palatino Linotype"/>
          <w:color w:val="000000"/>
          <w:shd w:val="clear" w:color="auto" w:fill="FFFFFF"/>
          <w:lang w:val="es-ES_tradnl"/>
        </w:rPr>
        <w:t>Es menester señalar que la manifestación hecha por el</w:t>
      </w:r>
      <w:r w:rsidRPr="00C95803">
        <w:rPr>
          <w:rStyle w:val="m-698976158124685028gmail-apple-converted-space"/>
          <w:rFonts w:ascii="Palatino Linotype" w:eastAsiaTheme="majorEastAsia" w:hAnsi="Palatino Linotype"/>
          <w:color w:val="000000"/>
          <w:shd w:val="clear" w:color="auto" w:fill="FFFFFF"/>
        </w:rPr>
        <w:t> </w:t>
      </w:r>
      <w:r w:rsidRPr="00C95803">
        <w:rPr>
          <w:rFonts w:ascii="Palatino Linotype" w:hAnsi="Palatino Linotype"/>
          <w:b/>
          <w:bCs/>
          <w:color w:val="000000"/>
          <w:shd w:val="clear" w:color="auto" w:fill="FFFFFF"/>
          <w:lang w:val="es-ES_tradnl"/>
        </w:rPr>
        <w:t>Sujeto Obligado</w:t>
      </w:r>
      <w:r w:rsidRPr="00C95803">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C95803">
        <w:rPr>
          <w:rFonts w:ascii="Palatino Linotype" w:hAnsi="Palatino Linotype"/>
          <w:color w:val="000000"/>
          <w:shd w:val="clear" w:color="auto" w:fill="FFFFFF"/>
          <w:lang w:val="es-ES_tradnl"/>
        </w:rPr>
        <w:t>constituye una confesión expresa en virtud de que concurren las circunstancias dispuestas en el numeral 97 del </w:t>
      </w:r>
      <w:r w:rsidRPr="00C95803">
        <w:rPr>
          <w:rFonts w:ascii="Palatino Linotype" w:hAnsi="Palatino Linotype"/>
          <w:b/>
          <w:bCs/>
          <w:color w:val="000000"/>
          <w:shd w:val="clear" w:color="auto" w:fill="FFFFFF"/>
          <w:lang w:val="es-ES_tradnl"/>
        </w:rPr>
        <w:t>Código de Procedimientos Administrativos del Estado de México</w:t>
      </w:r>
      <w:r w:rsidRPr="00C95803">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rsidR="001F61BF" w:rsidRPr="00C95803" w:rsidRDefault="001F61BF" w:rsidP="00C9580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C95803">
        <w:rPr>
          <w:rFonts w:ascii="Palatino Linotype" w:hAnsi="Palatino Linotype"/>
          <w:color w:val="000000"/>
          <w:shd w:val="clear" w:color="auto" w:fill="FFFFFF"/>
          <w:lang w:val="es-ES_tradnl"/>
        </w:rPr>
        <w:t xml:space="preserve">Por lo anterior, no basta con que se manifieste que el Contralor se encuentra en proceso de certificación, toda vez que el plazo para acreditar su competencia laboral ya feneció, por lo que obligatoriamente debe existir la información y, de no ser así, deberá emitirse el acuerdo de inexistencia. </w:t>
      </w:r>
    </w:p>
    <w:p w:rsidR="000E4C79" w:rsidRPr="00C95803" w:rsidRDefault="000E4C79" w:rsidP="00C95803">
      <w:pPr>
        <w:pStyle w:val="Prrafodelista"/>
        <w:tabs>
          <w:tab w:val="left" w:pos="426"/>
        </w:tabs>
        <w:spacing w:line="360" w:lineRule="auto"/>
        <w:ind w:left="0"/>
        <w:jc w:val="both"/>
        <w:rPr>
          <w:rFonts w:ascii="Palatino Linotype" w:hAnsi="Palatino Linotype" w:cs="Arial"/>
        </w:rPr>
      </w:pPr>
    </w:p>
    <w:p w:rsidR="00DE3FFF" w:rsidRPr="00C95803" w:rsidRDefault="00DE3FFF" w:rsidP="00C95803">
      <w:pPr>
        <w:pStyle w:val="Ttulo4"/>
        <w:numPr>
          <w:ilvl w:val="0"/>
          <w:numId w:val="6"/>
        </w:numPr>
        <w:spacing w:line="360" w:lineRule="auto"/>
        <w:rPr>
          <w:rFonts w:ascii="Palatino Linotype" w:hAnsi="Palatino Linotype"/>
          <w:b/>
          <w:color w:val="auto"/>
        </w:rPr>
      </w:pPr>
      <w:bookmarkStart w:id="24" w:name="_Toc23247966"/>
      <w:r w:rsidRPr="00C95803">
        <w:rPr>
          <w:rFonts w:ascii="Palatino Linotype" w:hAnsi="Palatino Linotype"/>
          <w:b/>
          <w:color w:val="auto"/>
        </w:rPr>
        <w:t>Del Programa de Fortalecimiento para la Seguridad (FORTASEG).</w:t>
      </w:r>
      <w:bookmarkEnd w:id="24"/>
      <w:r w:rsidRPr="00C95803">
        <w:rPr>
          <w:rFonts w:ascii="Palatino Linotype" w:hAnsi="Palatino Linotype"/>
          <w:b/>
          <w:color w:val="auto"/>
        </w:rPr>
        <w:t xml:space="preserve"> </w:t>
      </w:r>
      <w:bookmarkStart w:id="25" w:name="_Hlk21020610"/>
    </w:p>
    <w:bookmarkEnd w:id="25"/>
    <w:p w:rsidR="00DE3FFF" w:rsidRPr="00C95803" w:rsidRDefault="00DE3FFF" w:rsidP="00C9580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DE3FFF" w:rsidRPr="00C95803" w:rsidRDefault="001F61BF" w:rsidP="00C9580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95803">
        <w:rPr>
          <w:rFonts w:ascii="Palatino Linotype" w:hAnsi="Palatino Linotype"/>
        </w:rPr>
        <w:t xml:space="preserve">Por otra parte, el Sujeto Obligado fue omiso en pronunciarse en relación al </w:t>
      </w:r>
      <w:r w:rsidR="00DE3FFF" w:rsidRPr="00C95803">
        <w:rPr>
          <w:rFonts w:ascii="Palatino Linotype" w:hAnsi="Palatino Linotype"/>
        </w:rPr>
        <w:t xml:space="preserve">Programa de Fortalecimiento para la Seguridad (FORTASEG), es un subsidio que se otorga a los municipios, y en su caso a los estados cuando éstos ejercen la función de seguridad pública en lugar de los primero o coordinados con ellos. De acuerdo con los </w:t>
      </w:r>
      <w:r w:rsidR="00DE3FFF" w:rsidRPr="00C95803">
        <w:rPr>
          <w:rFonts w:ascii="Palatino Linotype" w:hAnsi="Palatino Linotype"/>
          <w:b/>
          <w:bCs/>
        </w:rPr>
        <w:t>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2019</w:t>
      </w:r>
      <w:r w:rsidR="00DE3FFF" w:rsidRPr="00C95803">
        <w:rPr>
          <w:rFonts w:ascii="Palatino Linotype" w:hAnsi="Palatino Linotype"/>
        </w:rPr>
        <w:t xml:space="preserve">,  el objetivo del FORTASEG es apoyar el fortalecimiento del desempeño en materia de seguridad pública a los Beneficiarios mediante la profesionalización, la certificación y el equipamiento de los elementos policiales de las instituciones de seguridad pública, así como el fortalecimiento tecnológico, de equipo e infraestructura de las instituciones de seguridad pública. </w:t>
      </w:r>
    </w:p>
    <w:p w:rsidR="00DE3FFF" w:rsidRPr="00C95803" w:rsidRDefault="00DE3FFF" w:rsidP="00C9580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DE3FFF" w:rsidRPr="00C95803" w:rsidRDefault="00DE3FFF" w:rsidP="00C9580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95803">
        <w:rPr>
          <w:rFonts w:ascii="Palatino Linotype" w:eastAsia="MS Mincho" w:hAnsi="Palatino Linotype" w:cs="Arial"/>
          <w:color w:val="000000" w:themeColor="text1"/>
          <w:lang w:val="es-MX"/>
        </w:rPr>
        <w:t xml:space="preserve">De lo anterior, cabe destacar que los </w:t>
      </w:r>
      <w:r w:rsidRPr="00C95803">
        <w:rPr>
          <w:rFonts w:ascii="Palatino Linotype" w:eastAsia="MS Mincho" w:hAnsi="Palatino Linotype" w:cs="Arial"/>
          <w:b/>
          <w:bCs/>
          <w:color w:val="000000" w:themeColor="text1"/>
          <w:lang w:val="es-MX"/>
        </w:rPr>
        <w:t xml:space="preserve">“Beneficiarios” </w:t>
      </w:r>
      <w:r w:rsidRPr="00C95803">
        <w:rPr>
          <w:rFonts w:ascii="Palatino Linotype" w:eastAsia="MS Mincho" w:hAnsi="Palatino Linotype" w:cs="Arial"/>
          <w:b/>
          <w:color w:val="000000" w:themeColor="text1"/>
          <w:lang w:val="es-MX"/>
        </w:rPr>
        <w:t>son los municipios</w:t>
      </w:r>
      <w:r w:rsidRPr="00C95803">
        <w:rPr>
          <w:rFonts w:ascii="Palatino Linotype" w:eastAsia="MS Mincho" w:hAnsi="Palatino Linotype" w:cs="Arial"/>
          <w:color w:val="000000" w:themeColor="text1"/>
          <w:lang w:val="es-MX"/>
        </w:rPr>
        <w:t xml:space="preserve"> y alcaldías de la Ciudad de México y, en su caso, a las entidades federativas que ejerzan de manera directa o coordinada la función de seguridad pública en el ámbito municipal, que hayan sido seleccionados para acceder al FORTASEG. </w:t>
      </w:r>
    </w:p>
    <w:p w:rsidR="00DE3FFF" w:rsidRPr="00C95803" w:rsidRDefault="00DE3FFF" w:rsidP="00C9580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DE3FFF" w:rsidRPr="00C95803" w:rsidRDefault="00DE3FFF" w:rsidP="00C9580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95803">
        <w:rPr>
          <w:rFonts w:ascii="Palatino Linotype" w:eastAsia="MS Mincho" w:hAnsi="Palatino Linotype" w:cs="Arial"/>
          <w:color w:val="000000" w:themeColor="text1"/>
          <w:lang w:val="es-MX"/>
        </w:rPr>
        <w:t xml:space="preserve">Los lineamientos referidos, establecen que los recursos federales del FORTASEG no son </w:t>
      </w:r>
      <w:proofErr w:type="spellStart"/>
      <w:r w:rsidRPr="00C95803">
        <w:rPr>
          <w:rFonts w:ascii="Palatino Linotype" w:eastAsia="MS Mincho" w:hAnsi="Palatino Linotype" w:cs="Arial"/>
          <w:color w:val="000000" w:themeColor="text1"/>
          <w:lang w:val="es-MX"/>
        </w:rPr>
        <w:t>regularizables</w:t>
      </w:r>
      <w:proofErr w:type="spellEnd"/>
      <w:r w:rsidRPr="00C95803">
        <w:rPr>
          <w:rFonts w:ascii="Palatino Linotype" w:eastAsia="MS Mincho" w:hAnsi="Palatino Linotype" w:cs="Arial"/>
          <w:color w:val="000000" w:themeColor="text1"/>
          <w:lang w:val="es-MX"/>
        </w:rPr>
        <w:t xml:space="preserve">, son parcialmente </w:t>
      </w:r>
      <w:proofErr w:type="spellStart"/>
      <w:r w:rsidRPr="00C95803">
        <w:rPr>
          <w:rFonts w:ascii="Palatino Linotype" w:eastAsia="MS Mincho" w:hAnsi="Palatino Linotype" w:cs="Arial"/>
          <w:color w:val="000000" w:themeColor="text1"/>
          <w:lang w:val="es-MX"/>
        </w:rPr>
        <w:t>concursables</w:t>
      </w:r>
      <w:proofErr w:type="spellEnd"/>
      <w:r w:rsidRPr="00C95803">
        <w:rPr>
          <w:rFonts w:ascii="Palatino Linotype" w:eastAsia="MS Mincho" w:hAnsi="Palatino Linotype" w:cs="Arial"/>
          <w:color w:val="000000" w:themeColor="text1"/>
          <w:lang w:val="es-MX"/>
        </w:rPr>
        <w:t xml:space="preserve"> y </w:t>
      </w:r>
      <w:r w:rsidRPr="00C95803">
        <w:rPr>
          <w:rFonts w:ascii="Palatino Linotype" w:eastAsia="MS Mincho" w:hAnsi="Palatino Linotype" w:cs="Arial"/>
          <w:b/>
          <w:bCs/>
          <w:color w:val="000000" w:themeColor="text1"/>
          <w:lang w:val="es-MX"/>
        </w:rPr>
        <w:t xml:space="preserve">no pierden su carácter de federal al ser ministrados a los Beneficiarios, </w:t>
      </w:r>
      <w:r w:rsidRPr="00C95803">
        <w:rPr>
          <w:rFonts w:ascii="Palatino Linotype" w:eastAsia="MS Mincho" w:hAnsi="Palatino Linotype" w:cs="Arial"/>
          <w:color w:val="000000" w:themeColor="text1"/>
          <w:lang w:val="es-MX"/>
        </w:rPr>
        <w:t xml:space="preserve">por lo que su </w:t>
      </w:r>
      <w:r w:rsidRPr="00C95803">
        <w:rPr>
          <w:rFonts w:ascii="Palatino Linotype" w:eastAsia="MS Mincho" w:hAnsi="Palatino Linotype" w:cs="Arial"/>
          <w:b/>
          <w:bCs/>
          <w:color w:val="000000" w:themeColor="text1"/>
          <w:lang w:val="es-MX"/>
        </w:rPr>
        <w:t xml:space="preserve">administración, ejercicio, seguimiento, verificación y evaluación </w:t>
      </w:r>
      <w:r w:rsidRPr="00C95803">
        <w:rPr>
          <w:rFonts w:ascii="Palatino Linotype" w:eastAsia="MS Mincho" w:hAnsi="Palatino Linotype" w:cs="Arial"/>
          <w:color w:val="000000" w:themeColor="text1"/>
          <w:lang w:val="es-MX"/>
        </w:rPr>
        <w:t xml:space="preserve">se sujetará a lo dispuesto por el Presupuesto de Egresos de la Federación para el Ejercicio Fiscal 2019, asimismo establece que cualquier comunicado relacionado con los recursos del FORTASEG que realicen los Beneficiarios al Secretariado Ejecutivo, deberá estar dirigido a la </w:t>
      </w:r>
      <w:r w:rsidRPr="00C95803">
        <w:rPr>
          <w:rFonts w:ascii="Palatino Linotype" w:eastAsia="MS Mincho" w:hAnsi="Palatino Linotype" w:cs="Arial"/>
          <w:b/>
          <w:bCs/>
          <w:color w:val="000000" w:themeColor="text1"/>
          <w:lang w:val="es-MX"/>
        </w:rPr>
        <w:t>Dirección de Vinculación y Seguimiento</w:t>
      </w:r>
      <w:r w:rsidRPr="00C95803">
        <w:rPr>
          <w:rFonts w:ascii="Palatino Linotype" w:eastAsia="MS Mincho" w:hAnsi="Palatino Linotype" w:cs="Arial"/>
          <w:color w:val="000000" w:themeColor="text1"/>
          <w:lang w:val="es-MX"/>
        </w:rPr>
        <w:t xml:space="preserve">. </w:t>
      </w:r>
    </w:p>
    <w:p w:rsidR="00DE3FFF" w:rsidRPr="00C95803" w:rsidRDefault="00DE3FFF" w:rsidP="00C9580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DE3FFF" w:rsidRPr="00C95803" w:rsidRDefault="00DE3FFF" w:rsidP="00C9580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95803">
        <w:rPr>
          <w:rFonts w:ascii="Palatino Linotype" w:eastAsia="MS Mincho" w:hAnsi="Palatino Linotype" w:cs="Arial"/>
          <w:color w:val="000000" w:themeColor="text1"/>
          <w:lang w:val="es-MX"/>
        </w:rPr>
        <w:t xml:space="preserve">Ahora bien, de igual forma los lineamientos establecen que los Beneficiarios del FORTASEG, de acuerdo con su artículo 38 tendrán las siguientes obligaciones; </w:t>
      </w:r>
    </w:p>
    <w:p w:rsidR="00DE3FFF" w:rsidRPr="00C95803" w:rsidRDefault="00DE3FFF" w:rsidP="00C95803">
      <w:pPr>
        <w:pStyle w:val="Prrafodelista"/>
        <w:tabs>
          <w:tab w:val="left" w:pos="426"/>
        </w:tabs>
        <w:spacing w:line="360" w:lineRule="auto"/>
        <w:ind w:left="0"/>
        <w:jc w:val="both"/>
        <w:rPr>
          <w:rFonts w:ascii="Palatino Linotype" w:eastAsia="MS Mincho" w:hAnsi="Palatino Linotype" w:cs="Arial"/>
          <w:b/>
          <w:bCs/>
          <w:color w:val="000000" w:themeColor="text1"/>
          <w:lang w:val="es-MX"/>
        </w:rPr>
      </w:pPr>
    </w:p>
    <w:p w:rsidR="00DE3FFF" w:rsidRPr="00C95803" w:rsidRDefault="00DE3FFF" w:rsidP="00C95803">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C95803">
        <w:rPr>
          <w:rFonts w:ascii="Palatino Linotype" w:eastAsia="MS Mincho" w:hAnsi="Palatino Linotype" w:cs="Arial"/>
          <w:b/>
          <w:bCs/>
          <w:i/>
          <w:color w:val="000000" w:themeColor="text1"/>
          <w:lang w:val="es-MX"/>
        </w:rPr>
        <w:t>Artículo 38. Son obligaciones de los Beneficiarios del FORTASEG, las siguientes:</w:t>
      </w:r>
    </w:p>
    <w:p w:rsidR="00DE3FFF" w:rsidRPr="00C95803" w:rsidRDefault="00DE3FFF"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I.          Destinar los recursos del FORTASEG y de coparticipación para el cumplimiento de las metas convenidas, con base en lo establecido en los Lineamientos, los Convenios, Anexos Técnicos y demás normativa aplicable;</w:t>
      </w:r>
    </w:p>
    <w:p w:rsidR="00DE3FFF" w:rsidRPr="00C95803" w:rsidRDefault="00DE3FFF"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II.         Establecer cuentas bancarias productivas específicas generadoras de rendimientos financieros y abierta por los Beneficiarios para la administración de los recursos, debiendo ser independiente la cuenta bancaria productiva específica en la que se administran los recursos del FORTASEG y en la que se administran los recursos de coparticipación, no pudiendo ser consideradas como tales aquellas cuentas que representen riesgos para los recursos;</w:t>
      </w:r>
    </w:p>
    <w:p w:rsidR="00DE3FFF" w:rsidRPr="00C95803" w:rsidRDefault="00DE3FFF" w:rsidP="00C95803">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C95803">
        <w:rPr>
          <w:rFonts w:ascii="Palatino Linotype" w:eastAsia="MS Mincho" w:hAnsi="Palatino Linotype" w:cs="Arial"/>
          <w:b/>
          <w:bCs/>
          <w:i/>
          <w:color w:val="000000" w:themeColor="text1"/>
          <w:lang w:val="es-MX"/>
        </w:rPr>
        <w:t>III.        Registrar los avances físico-financieros mensuales a través del Sistema que establezca el Secretariado Ejecutivo y presentar el informe trimestral a la Dirección General de Vinculación y Seguimiento, en un plazo no mayor a diez (10) días hábiles posteriores a la conclusión del trimestre correspondiente, conforme a los formatos de avance en la aplicación de los recursos del FORTASEG y de coparticipación que establezca el Secretariado Ejecutivo, debidamente suscritos por las autoridades competentes, los cuales contendrán como mínimo la información siguiente:</w:t>
      </w:r>
    </w:p>
    <w:p w:rsidR="00DE3FFF" w:rsidRPr="00C95803" w:rsidRDefault="00DE3FFF" w:rsidP="00C95803">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C95803">
        <w:rPr>
          <w:rFonts w:ascii="Palatino Linotype" w:eastAsia="MS Mincho" w:hAnsi="Palatino Linotype" w:cs="Arial"/>
          <w:b/>
          <w:bCs/>
          <w:i/>
          <w:color w:val="000000" w:themeColor="text1"/>
          <w:lang w:val="es-MX"/>
        </w:rPr>
        <w:t>a) Datos sobre los recursos del FORTASEG y de coparticipación comprometidos, devengados y pagados a la fecha de corte del periodo que corresponda, y</w:t>
      </w:r>
    </w:p>
    <w:p w:rsidR="00DE3FFF" w:rsidRPr="00C95803" w:rsidRDefault="00DE3FFF" w:rsidP="00C95803">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C95803">
        <w:rPr>
          <w:rFonts w:ascii="Palatino Linotype" w:eastAsia="MS Mincho" w:hAnsi="Palatino Linotype" w:cs="Arial"/>
          <w:b/>
          <w:bCs/>
          <w:i/>
          <w:color w:val="000000" w:themeColor="text1"/>
          <w:lang w:val="es-MX"/>
        </w:rPr>
        <w:t>b) Disponibilidad presupuestal y financiera del FORTASEG y de la coparticipación con la que cuenten a la fecha de corte del reporte.</w:t>
      </w:r>
    </w:p>
    <w:p w:rsidR="00DE3FFF" w:rsidRPr="00C95803" w:rsidRDefault="00DE3FFF" w:rsidP="00C95803">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C95803">
        <w:rPr>
          <w:rFonts w:ascii="Palatino Linotype" w:eastAsia="MS Mincho" w:hAnsi="Palatino Linotype" w:cs="Arial"/>
          <w:b/>
          <w:bCs/>
          <w:i/>
          <w:color w:val="000000" w:themeColor="text1"/>
          <w:lang w:val="es-MX"/>
        </w:rPr>
        <w:t>IV. Informar y acreditar a través del medio que establezca el Secretariado Ejecutivo, el cumplimiento de las metas convenidas y, en su caso, la recepción de recursos en especie en un plazo no mayor a diez (10) días hábiles;</w:t>
      </w:r>
    </w:p>
    <w:p w:rsidR="00DE3FFF" w:rsidRPr="00C95803" w:rsidRDefault="00DE3FFF" w:rsidP="00C95803">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C95803">
        <w:rPr>
          <w:rFonts w:ascii="Palatino Linotype" w:eastAsia="MS Mincho" w:hAnsi="Palatino Linotype" w:cs="Arial"/>
          <w:b/>
          <w:bCs/>
          <w:i/>
          <w:color w:val="000000" w:themeColor="text1"/>
          <w:lang w:val="es-MX"/>
        </w:rPr>
        <w:t>V. Atender en tiempo y forma las solicitudes de información que realice el Secretariado Ejecutivo sobre la administración y avances de los recursos del FORTASEG, así como permitir llevar a cabo las visitas y acciones de verificación sobre su aplicación que estime pertinentes, dando el acceso a equipo, material, información, registros y documentos requeridos para ejecutar el seguimiento de las acciones realizadas con el FORTASEG;</w:t>
      </w:r>
    </w:p>
    <w:p w:rsidR="00DE3FFF" w:rsidRPr="00C95803" w:rsidRDefault="00DE3FFF"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VI.  Cancelar la documentación comprobatoria original del gasto con la leyenda "Operado FORTASEG 2019", o como se establezca en las disposiciones locales, identificándose con el nombre de FORTASEG y reportarla al Secretariado Ejecutivo a través del Sistema establecido para este fin;</w:t>
      </w:r>
    </w:p>
    <w:p w:rsidR="00DE3FFF" w:rsidRPr="00C95803" w:rsidRDefault="00DE3FFF"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VII.  Acreditar, previo al ejercicio de los recursos, la propiedad legal del (de los) predio (s) de las acciones de infraestructura, así como obtener de la Dirección General de Apoyo Técnico del Secretariado Ejecutivo, la opinión favorable respecto del expediente técnico, mismos que deberán ser entregados al Secretariado Ejecutivo a más tardar el 30 de abril de 2019 para la opinión respectiva; en caso de que sean presentados con posterioridad a la fecha señalada, serán desechados;</w:t>
      </w:r>
    </w:p>
    <w:p w:rsidR="00DE3FFF" w:rsidRPr="00C95803" w:rsidRDefault="00DE3FFF"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b/>
          <w:bCs/>
          <w:i/>
          <w:color w:val="000000" w:themeColor="text1"/>
          <w:lang w:val="es-MX"/>
        </w:rPr>
        <w:t>VIII. Obtener de las Áreas Técnicas del Secretariado Ejecutivo, de conformidad con la normativa aplicable, los dictámenes, observaciones u opiniones técnicas que en su caso se requieran para la realización de las metas convenidas en los Anexos Técnicos</w:t>
      </w:r>
      <w:r w:rsidRPr="00C95803">
        <w:rPr>
          <w:rFonts w:ascii="Palatino Linotype" w:eastAsia="MS Mincho" w:hAnsi="Palatino Linotype" w:cs="Arial"/>
          <w:i/>
          <w:color w:val="000000" w:themeColor="text1"/>
          <w:lang w:val="es-MX"/>
        </w:rPr>
        <w:t>. Las solicitudes de validación de cursos de capacitación deberán presentarse a más tardar el 15 de octubre de 2019; en caso de ser presentadas con posterioridad a la fecha señalada, serán desechadas por el área técnica. Los cursos que se realicen sin contar con dicha validación, no computarán en la acreditación del cumplimiento de metas;</w:t>
      </w:r>
    </w:p>
    <w:p w:rsidR="00DE3FFF" w:rsidRPr="00C95803" w:rsidRDefault="00DE3FFF"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IX. Cumplir con los Lineamientos Generales de Evaluación del Desempeño referidos en los artículos 43 y 49 de los Lineamientos, que para tal efecto emita la Dirección General de Planeación del Secretariado Ejecutivo;</w:t>
      </w:r>
    </w:p>
    <w:p w:rsidR="00DE3FFF" w:rsidRPr="00C95803" w:rsidRDefault="00DE3FFF" w:rsidP="00C95803">
      <w:pPr>
        <w:pStyle w:val="Prrafodelista"/>
        <w:tabs>
          <w:tab w:val="left" w:pos="567"/>
        </w:tabs>
        <w:spacing w:line="360" w:lineRule="auto"/>
        <w:ind w:left="567" w:right="616"/>
        <w:jc w:val="both"/>
        <w:rPr>
          <w:rFonts w:ascii="Palatino Linotype" w:eastAsia="MS Mincho" w:hAnsi="Palatino Linotype" w:cs="Arial"/>
          <w:b/>
          <w:bCs/>
          <w:i/>
          <w:color w:val="000000" w:themeColor="text1"/>
          <w:lang w:val="es-MX"/>
        </w:rPr>
      </w:pPr>
      <w:r w:rsidRPr="00C95803">
        <w:rPr>
          <w:rFonts w:ascii="Palatino Linotype" w:eastAsia="MS Mincho" w:hAnsi="Palatino Linotype" w:cs="Arial"/>
          <w:b/>
          <w:bCs/>
          <w:i/>
          <w:color w:val="000000" w:themeColor="text1"/>
          <w:lang w:val="es-MX"/>
        </w:rPr>
        <w:t>X.      Informar por oficio al Secretariado Ejecutivo, el cambio que realice sobre la designación de la o el servidor público, enlace del FORTASEG;</w:t>
      </w:r>
    </w:p>
    <w:p w:rsidR="00DE3FFF" w:rsidRPr="00C95803" w:rsidRDefault="00DE3FFF" w:rsidP="00C95803">
      <w:pPr>
        <w:pStyle w:val="Prrafodelista"/>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XI.    Colaborar y participar en términos de la normativa aplicable, en operativos conjuntos con las autoridades competentes, y</w:t>
      </w:r>
    </w:p>
    <w:p w:rsidR="00DE3FFF" w:rsidRPr="00C95803" w:rsidRDefault="00DE3FFF"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XII.    Las demás establecidas en el Convenio, Anexo Técnico y las disposiciones aplicables.</w:t>
      </w:r>
    </w:p>
    <w:p w:rsidR="00DE3FFF" w:rsidRPr="00C95803" w:rsidRDefault="00DE3FFF" w:rsidP="00C9580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95803">
        <w:rPr>
          <w:rFonts w:ascii="Palatino Linotype" w:eastAsia="MS Mincho" w:hAnsi="Palatino Linotype" w:cs="Arial"/>
          <w:color w:val="000000" w:themeColor="text1"/>
          <w:lang w:val="es-MX"/>
        </w:rPr>
        <w:t xml:space="preserve">De lo anterior tenemos que los Beneficiarios son los encargados de </w:t>
      </w:r>
      <w:r w:rsidRPr="00C95803">
        <w:rPr>
          <w:rFonts w:ascii="Palatino Linotype" w:eastAsia="MS Mincho" w:hAnsi="Palatino Linotype" w:cs="Arial"/>
          <w:b/>
          <w:color w:val="000000" w:themeColor="text1"/>
          <w:lang w:val="es-MX"/>
        </w:rPr>
        <w:t>reportar y presentar el informe trimestral</w:t>
      </w:r>
      <w:r w:rsidRPr="00C95803">
        <w:rPr>
          <w:rFonts w:ascii="Palatino Linotype" w:eastAsia="MS Mincho" w:hAnsi="Palatino Linotype" w:cs="Arial"/>
          <w:color w:val="000000" w:themeColor="text1"/>
          <w:lang w:val="es-MX"/>
        </w:rPr>
        <w:t xml:space="preserve"> a la Dirección General de Vinculación y Seguimiento, los avances y aplicación de los recursos del FORTASEG, los cuales </w:t>
      </w:r>
      <w:r w:rsidRPr="00C95803">
        <w:rPr>
          <w:rFonts w:ascii="Palatino Linotype" w:eastAsia="MS Mincho" w:hAnsi="Palatino Linotype" w:cs="Arial"/>
          <w:b/>
          <w:color w:val="000000" w:themeColor="text1"/>
          <w:lang w:val="es-MX"/>
        </w:rPr>
        <w:t>contendrán la información relativa a los datos sobre los recursos devengados y pagados</w:t>
      </w:r>
      <w:r w:rsidRPr="00C95803">
        <w:rPr>
          <w:rFonts w:ascii="Palatino Linotype" w:eastAsia="MS Mincho" w:hAnsi="Palatino Linotype" w:cs="Arial"/>
          <w:color w:val="000000" w:themeColor="text1"/>
          <w:lang w:val="es-MX"/>
        </w:rPr>
        <w:t xml:space="preserve">, así como su disponibilidad presupuestal y financiera con la que cuenten a la fecha del reporte, del mismo modo, informarán y acreditarán el cumplimiento de las metas convenidas, permitirán llevar a cabo las visitas y acciones de verificación sobre su aplicación, dando acceso a equipo, material, información registro y documentos para ejecutar el  seguimiento de las acciones realizadas con el FORTASEG. </w:t>
      </w:r>
    </w:p>
    <w:p w:rsidR="008B7093" w:rsidRPr="00C95803" w:rsidRDefault="008B7093" w:rsidP="00C95803">
      <w:pPr>
        <w:pStyle w:val="Prrafodelista"/>
        <w:spacing w:line="360" w:lineRule="auto"/>
        <w:ind w:left="0"/>
        <w:jc w:val="both"/>
        <w:rPr>
          <w:rFonts w:ascii="Palatino Linotype" w:hAnsi="Palatino Linotype" w:cs="Arial"/>
        </w:rPr>
      </w:pPr>
    </w:p>
    <w:p w:rsidR="007A53D3" w:rsidRPr="00C95803" w:rsidRDefault="007A53D3" w:rsidP="00C9580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95803">
        <w:rPr>
          <w:rFonts w:ascii="Palatino Linotype" w:eastAsia="MS Mincho" w:hAnsi="Palatino Linotype" w:cs="Arial"/>
          <w:color w:val="000000" w:themeColor="text1"/>
          <w:lang w:val="es-MX"/>
        </w:rPr>
        <w:t>Por su parte, las obligaciones de las Entidades Federativas son las establecidas por el artículo 39 de los Lineamientos y las cuales son las siguientes;</w:t>
      </w:r>
    </w:p>
    <w:p w:rsidR="007A53D3" w:rsidRPr="00C95803" w:rsidRDefault="007A53D3" w:rsidP="00C95803">
      <w:pPr>
        <w:pStyle w:val="Prrafodelista"/>
        <w:tabs>
          <w:tab w:val="left" w:pos="426"/>
        </w:tabs>
        <w:spacing w:line="360" w:lineRule="auto"/>
        <w:ind w:left="0"/>
        <w:jc w:val="both"/>
        <w:rPr>
          <w:rFonts w:ascii="Palatino Linotype" w:eastAsia="MS Mincho" w:hAnsi="Palatino Linotype" w:cs="Arial"/>
          <w:color w:val="000000" w:themeColor="text1"/>
          <w:lang w:val="es-MX"/>
        </w:rPr>
      </w:pPr>
      <w:r w:rsidRPr="00C95803">
        <w:rPr>
          <w:rFonts w:ascii="Palatino Linotype" w:eastAsia="MS Mincho" w:hAnsi="Palatino Linotype" w:cs="Arial"/>
          <w:color w:val="000000" w:themeColor="text1"/>
          <w:lang w:val="es-MX"/>
        </w:rPr>
        <w:t xml:space="preserve"> </w:t>
      </w:r>
    </w:p>
    <w:p w:rsidR="007A53D3" w:rsidRPr="00C95803" w:rsidRDefault="007A53D3"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Artículo 39. Son obligaciones de las entidades federativas las siguientes:</w:t>
      </w:r>
    </w:p>
    <w:p w:rsidR="007A53D3" w:rsidRPr="00C95803" w:rsidRDefault="007A53D3"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I.          Entregar a la Dirección General de Vinculación y Seguimiento a más tardar el día de la concertación a que sean convocados sus municipios o alcaldías Beneficiarios, los documentos que a continuación se señalan:</w:t>
      </w:r>
    </w:p>
    <w:p w:rsidR="007A53D3" w:rsidRPr="00C95803" w:rsidRDefault="007A53D3"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a)    Carta original de la institución bancaria que acredite la apertura de una cuenta bancaria productiva específica para la recepción y administración de los recursos del "FORTASEG", la cual deberá contener como mínimo nombre del beneficiario, número de cuenta y Clave Bancaria Estandarizada (CLABE) con 18 posiciones;</w:t>
      </w:r>
    </w:p>
    <w:p w:rsidR="007A53D3" w:rsidRPr="00C95803" w:rsidRDefault="007A53D3"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b)    Copia de la Cédula de Identificación Fiscal de la entidad federativa, expedida por el Servicio de Administración Tributaria;</w:t>
      </w:r>
    </w:p>
    <w:p w:rsidR="007A53D3" w:rsidRPr="00C95803" w:rsidRDefault="007A53D3"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c)    Constancia de domicilio fiscal, y</w:t>
      </w:r>
    </w:p>
    <w:p w:rsidR="007A53D3" w:rsidRPr="00C95803" w:rsidRDefault="007A53D3"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d)    Copia del oficio de designación o nombramiento de las o los servidores públicos responsables del manejo de la cuenta bancaria productiva específica.</w:t>
      </w:r>
    </w:p>
    <w:p w:rsidR="007A53D3" w:rsidRPr="00C95803" w:rsidRDefault="007A53D3" w:rsidP="00C95803">
      <w:pPr>
        <w:pStyle w:val="Prrafodelista"/>
        <w:tabs>
          <w:tab w:val="left" w:pos="567"/>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 xml:space="preserve">II.  </w:t>
      </w:r>
      <w:r w:rsidRPr="00C95803">
        <w:rPr>
          <w:rFonts w:ascii="Palatino Linotype" w:eastAsia="MS Mincho" w:hAnsi="Palatino Linotype" w:cs="Arial"/>
          <w:b/>
          <w:bCs/>
          <w:i/>
          <w:color w:val="000000" w:themeColor="text1"/>
          <w:lang w:val="es-MX"/>
        </w:rPr>
        <w:t>Transferir los recursos del FORTASEG correspondientes a los Beneficiarios</w:t>
      </w:r>
      <w:r w:rsidRPr="00C95803">
        <w:rPr>
          <w:rFonts w:ascii="Palatino Linotype" w:eastAsia="MS Mincho" w:hAnsi="Palatino Linotype" w:cs="Arial"/>
          <w:i/>
          <w:color w:val="000000" w:themeColor="text1"/>
          <w:lang w:val="es-MX"/>
        </w:rPr>
        <w:t xml:space="preserve">, incluyendo los rendimientos financieros, en los términos de las disposiciones aplicables, en un plazo no mayor a cinco (5) días hábiles a partir de su recepción, </w:t>
      </w:r>
      <w:r w:rsidRPr="00C95803">
        <w:rPr>
          <w:rFonts w:ascii="Palatino Linotype" w:eastAsia="MS Mincho" w:hAnsi="Palatino Linotype" w:cs="Arial"/>
          <w:b/>
          <w:bCs/>
          <w:i/>
          <w:color w:val="000000" w:themeColor="text1"/>
          <w:lang w:val="es-MX"/>
        </w:rPr>
        <w:t>debiendo entregar a la Dirección General de Vinculación y Seguimiento copia de los comprobantes de las transferencias, dentro del plazo de cinco (5) días hábiles siguientes a la transferencia</w:t>
      </w:r>
      <w:r w:rsidRPr="00C95803">
        <w:rPr>
          <w:rFonts w:ascii="Palatino Linotype" w:eastAsia="MS Mincho" w:hAnsi="Palatino Linotype" w:cs="Arial"/>
          <w:i/>
          <w:color w:val="000000" w:themeColor="text1"/>
          <w:lang w:val="es-MX"/>
        </w:rPr>
        <w:t>;</w:t>
      </w:r>
    </w:p>
    <w:p w:rsidR="007A53D3" w:rsidRPr="00C95803" w:rsidRDefault="007A53D3" w:rsidP="00C95803">
      <w:pPr>
        <w:pStyle w:val="Prrafodelista"/>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III.  Coordinarse con los Beneficiarios y las áreas técnicas de la entidad federativa para la integración de la propuesta de inversión;</w:t>
      </w:r>
    </w:p>
    <w:p w:rsidR="007A53D3" w:rsidRPr="00C95803" w:rsidRDefault="007A53D3" w:rsidP="00C95803">
      <w:pPr>
        <w:pStyle w:val="Prrafodelista"/>
        <w:tabs>
          <w:tab w:val="left" w:pos="426"/>
        </w:tabs>
        <w:spacing w:line="360" w:lineRule="auto"/>
        <w:ind w:left="567" w:right="616"/>
        <w:jc w:val="both"/>
        <w:rPr>
          <w:rFonts w:ascii="Palatino Linotype" w:eastAsia="MS Mincho" w:hAnsi="Palatino Linotype" w:cs="Arial"/>
          <w:b/>
          <w:bCs/>
          <w:i/>
          <w:color w:val="000000" w:themeColor="text1"/>
          <w:lang w:val="es-MX"/>
        </w:rPr>
      </w:pPr>
      <w:r w:rsidRPr="00C95803">
        <w:rPr>
          <w:rFonts w:ascii="Palatino Linotype" w:eastAsia="MS Mincho" w:hAnsi="Palatino Linotype" w:cs="Arial"/>
          <w:b/>
          <w:bCs/>
          <w:i/>
          <w:color w:val="000000" w:themeColor="text1"/>
          <w:lang w:val="es-MX"/>
        </w:rPr>
        <w:t>IV.    Remitir a la Dirección General de Vinculación y Seguimiento el recibo de ministraciones de los recursos del FORTASEG, en los términos que para tal efecto se establezcan;</w:t>
      </w:r>
    </w:p>
    <w:p w:rsidR="007A53D3" w:rsidRPr="00C95803" w:rsidRDefault="007A53D3"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V.         Dar cumplimiento a las obligaciones a las que se refiere el artículo 38 de los Lineamientos cuando sean Beneficiarios del FORTASEG, y</w:t>
      </w:r>
    </w:p>
    <w:p w:rsidR="007A53D3" w:rsidRPr="00C95803" w:rsidRDefault="007A53D3" w:rsidP="00C95803">
      <w:pPr>
        <w:pStyle w:val="Prrafodelista"/>
        <w:tabs>
          <w:tab w:val="left" w:pos="426"/>
        </w:tabs>
        <w:spacing w:line="360" w:lineRule="auto"/>
        <w:ind w:left="567" w:right="616"/>
        <w:jc w:val="both"/>
        <w:rPr>
          <w:rFonts w:ascii="Palatino Linotype" w:eastAsia="MS Mincho" w:hAnsi="Palatino Linotype" w:cs="Arial"/>
          <w:i/>
          <w:color w:val="000000" w:themeColor="text1"/>
          <w:lang w:val="es-MX"/>
        </w:rPr>
      </w:pPr>
      <w:r w:rsidRPr="00C95803">
        <w:rPr>
          <w:rFonts w:ascii="Palatino Linotype" w:eastAsia="MS Mincho" w:hAnsi="Palatino Linotype" w:cs="Arial"/>
          <w:i/>
          <w:color w:val="000000" w:themeColor="text1"/>
          <w:lang w:val="es-MX"/>
        </w:rPr>
        <w:t>VI.  Las demás referidas en el Convenio, Anexo Técnico y las disposiciones aplicables.</w:t>
      </w:r>
    </w:p>
    <w:p w:rsidR="007A53D3" w:rsidRPr="00C95803" w:rsidRDefault="007A53D3" w:rsidP="00C95803">
      <w:pPr>
        <w:pStyle w:val="Prrafodelista"/>
        <w:tabs>
          <w:tab w:val="left" w:pos="426"/>
        </w:tabs>
        <w:spacing w:line="360" w:lineRule="auto"/>
        <w:ind w:left="567" w:right="616"/>
        <w:jc w:val="both"/>
        <w:rPr>
          <w:rFonts w:ascii="Palatino Linotype" w:eastAsia="MS Mincho" w:hAnsi="Palatino Linotype" w:cs="Arial"/>
          <w:color w:val="000000" w:themeColor="text1"/>
          <w:lang w:val="es-MX"/>
        </w:rPr>
      </w:pPr>
    </w:p>
    <w:p w:rsidR="007A53D3" w:rsidRPr="00C95803" w:rsidRDefault="007A53D3" w:rsidP="00C9580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95803">
        <w:rPr>
          <w:rFonts w:ascii="Palatino Linotype" w:eastAsia="MS Mincho" w:hAnsi="Palatino Linotype" w:cs="Arial"/>
          <w:color w:val="000000" w:themeColor="text1"/>
          <w:lang w:val="es-MX"/>
        </w:rPr>
        <w:t xml:space="preserve">De lo anterior se tiene que, </w:t>
      </w:r>
      <w:r w:rsidRPr="00C95803">
        <w:rPr>
          <w:rFonts w:ascii="Palatino Linotype" w:eastAsia="MS Mincho" w:hAnsi="Palatino Linotype" w:cs="Arial"/>
          <w:b/>
          <w:color w:val="000000" w:themeColor="text1"/>
          <w:lang w:val="es-MX"/>
        </w:rPr>
        <w:t>las Entidades Federativas</w:t>
      </w:r>
      <w:r w:rsidRPr="00C95803">
        <w:rPr>
          <w:rFonts w:ascii="Palatino Linotype" w:eastAsia="MS Mincho" w:hAnsi="Palatino Linotype" w:cs="Arial"/>
          <w:color w:val="000000" w:themeColor="text1"/>
          <w:lang w:val="es-MX"/>
        </w:rPr>
        <w:t xml:space="preserve"> únicamente </w:t>
      </w:r>
      <w:r w:rsidRPr="00C95803">
        <w:rPr>
          <w:rFonts w:ascii="Palatino Linotype" w:eastAsia="MS Mincho" w:hAnsi="Palatino Linotype" w:cs="Arial"/>
          <w:b/>
          <w:color w:val="000000" w:themeColor="text1"/>
          <w:lang w:val="es-MX"/>
        </w:rPr>
        <w:t>realizarán la transferencia</w:t>
      </w:r>
      <w:r w:rsidRPr="00C95803">
        <w:rPr>
          <w:rFonts w:ascii="Palatino Linotype" w:eastAsia="MS Mincho" w:hAnsi="Palatino Linotype" w:cs="Arial"/>
          <w:color w:val="000000" w:themeColor="text1"/>
          <w:lang w:val="es-MX"/>
        </w:rPr>
        <w:t xml:space="preserve"> de los recursos del FORTASEG </w:t>
      </w:r>
      <w:r w:rsidRPr="00C95803">
        <w:rPr>
          <w:rFonts w:ascii="Palatino Linotype" w:eastAsia="MS Mincho" w:hAnsi="Palatino Linotype" w:cs="Arial"/>
          <w:b/>
          <w:color w:val="000000" w:themeColor="text1"/>
          <w:lang w:val="es-MX"/>
        </w:rPr>
        <w:t>a los Beneficiarios</w:t>
      </w:r>
      <w:r w:rsidRPr="00C95803">
        <w:rPr>
          <w:rFonts w:ascii="Palatino Linotype" w:eastAsia="MS Mincho" w:hAnsi="Palatino Linotype" w:cs="Arial"/>
          <w:color w:val="000000" w:themeColor="text1"/>
          <w:lang w:val="es-MX"/>
        </w:rPr>
        <w:t xml:space="preserve">, y entregarán con ello los comprobantes de la misma, al igual que darán el seguimiento de las ministraciones de dichos recursos. </w:t>
      </w:r>
    </w:p>
    <w:p w:rsidR="007A53D3" w:rsidRPr="00C95803" w:rsidRDefault="007A53D3" w:rsidP="00C9580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7A53D3" w:rsidRPr="00C95803" w:rsidRDefault="007A53D3" w:rsidP="00C95803">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C95803">
        <w:rPr>
          <w:rFonts w:ascii="Palatino Linotype" w:eastAsia="MS Mincho" w:hAnsi="Palatino Linotype" w:cs="Arial"/>
          <w:color w:val="000000" w:themeColor="text1"/>
          <w:lang w:val="es-MX"/>
        </w:rPr>
        <w:t>Aunado a lo anterior, el Convenio del Programa de Fortalecimiento para la Seguridad FORTASEG 2019</w:t>
      </w:r>
      <w:r w:rsidRPr="00C95803">
        <w:rPr>
          <w:rStyle w:val="Refdenotaalpie"/>
          <w:rFonts w:ascii="Palatino Linotype" w:eastAsia="MS Mincho" w:hAnsi="Palatino Linotype" w:cs="Arial"/>
          <w:color w:val="000000" w:themeColor="text1"/>
          <w:lang w:val="es-MX"/>
        </w:rPr>
        <w:footnoteReference w:id="14"/>
      </w:r>
      <w:r w:rsidRPr="00C95803">
        <w:rPr>
          <w:rFonts w:ascii="Palatino Linotype" w:eastAsia="MS Mincho" w:hAnsi="Palatino Linotype" w:cs="Arial"/>
          <w:color w:val="000000" w:themeColor="text1"/>
          <w:lang w:val="es-MX"/>
        </w:rPr>
        <w:t xml:space="preserve"> celebrado por el Secretariado Ejecutivo del Sistema Nacional de Seguridad Pública, el Estado de México y los Municipios del </w:t>
      </w:r>
      <w:r w:rsidR="00E3007A" w:rsidRPr="00C95803">
        <w:rPr>
          <w:rFonts w:ascii="Palatino Linotype" w:eastAsia="MS Mincho" w:hAnsi="Palatino Linotype" w:cs="Arial"/>
          <w:color w:val="000000" w:themeColor="text1"/>
          <w:lang w:val="es-MX"/>
        </w:rPr>
        <w:t>Estado de México, establece que se otorgará el subsidio por las entidades federativ</w:t>
      </w:r>
      <w:r w:rsidR="00A25CDE" w:rsidRPr="00C95803">
        <w:rPr>
          <w:rFonts w:ascii="Palatino Linotype" w:eastAsia="MS Mincho" w:hAnsi="Palatino Linotype" w:cs="Arial"/>
          <w:color w:val="000000" w:themeColor="text1"/>
          <w:lang w:val="es-MX"/>
        </w:rPr>
        <w:t xml:space="preserve">as a diversos municipios que son los </w:t>
      </w:r>
      <w:r w:rsidR="00E3007A" w:rsidRPr="00C95803">
        <w:rPr>
          <w:rFonts w:ascii="Palatino Linotype" w:eastAsia="MS Mincho" w:hAnsi="Palatino Linotype" w:cs="Arial"/>
          <w:b/>
          <w:color w:val="000000" w:themeColor="text1"/>
          <w:lang w:val="es-MX"/>
        </w:rPr>
        <w:t>beneficiario</w:t>
      </w:r>
      <w:r w:rsidR="00A25CDE" w:rsidRPr="00C95803">
        <w:rPr>
          <w:rFonts w:ascii="Palatino Linotype" w:eastAsia="MS Mincho" w:hAnsi="Palatino Linotype" w:cs="Arial"/>
          <w:b/>
          <w:color w:val="000000" w:themeColor="text1"/>
          <w:lang w:val="es-MX"/>
        </w:rPr>
        <w:t>s</w:t>
      </w:r>
      <w:r w:rsidR="00E3007A" w:rsidRPr="00C95803">
        <w:rPr>
          <w:rFonts w:ascii="Palatino Linotype" w:eastAsia="MS Mincho" w:hAnsi="Palatino Linotype" w:cs="Arial"/>
          <w:b/>
          <w:color w:val="000000" w:themeColor="text1"/>
          <w:lang w:val="es-MX"/>
        </w:rPr>
        <w:t>.</w:t>
      </w:r>
      <w:r w:rsidR="005104B9" w:rsidRPr="00C95803">
        <w:rPr>
          <w:rFonts w:ascii="Palatino Linotype" w:eastAsia="MS Mincho" w:hAnsi="Palatino Linotype" w:cs="Arial"/>
          <w:b/>
          <w:color w:val="000000" w:themeColor="text1"/>
          <w:lang w:val="es-MX"/>
        </w:rPr>
        <w:t xml:space="preserve"> Asimismo, el Convenio refiere lo siguiente:</w:t>
      </w:r>
    </w:p>
    <w:p w:rsidR="005104B9" w:rsidRPr="00C95803" w:rsidRDefault="005104B9" w:rsidP="00C95803">
      <w:pPr>
        <w:pStyle w:val="Prrafodelista"/>
        <w:spacing w:line="360" w:lineRule="auto"/>
        <w:rPr>
          <w:rFonts w:ascii="Palatino Linotype" w:eastAsia="MS Mincho" w:hAnsi="Palatino Linotype" w:cs="Arial"/>
          <w:color w:val="000000" w:themeColor="text1"/>
          <w:lang w:val="es-MX"/>
        </w:rPr>
      </w:pPr>
    </w:p>
    <w:p w:rsidR="005104B9" w:rsidRPr="00C95803" w:rsidRDefault="005104B9" w:rsidP="00C95803">
      <w:pPr>
        <w:pStyle w:val="Prrafodelista"/>
        <w:tabs>
          <w:tab w:val="left" w:pos="426"/>
        </w:tabs>
        <w:spacing w:line="360" w:lineRule="auto"/>
        <w:ind w:left="567" w:right="616"/>
        <w:jc w:val="both"/>
        <w:rPr>
          <w:rFonts w:ascii="Palatino Linotype" w:eastAsia="MS Mincho" w:hAnsi="Palatino Linotype" w:cs="Arial"/>
          <w:i/>
          <w:color w:val="000000" w:themeColor="text1"/>
        </w:rPr>
      </w:pPr>
      <w:r w:rsidRPr="00C95803">
        <w:rPr>
          <w:rFonts w:ascii="Palatino Linotype" w:eastAsia="MS Mincho" w:hAnsi="Palatino Linotype" w:cs="Arial"/>
          <w:i/>
          <w:color w:val="000000" w:themeColor="text1"/>
        </w:rPr>
        <w:t xml:space="preserve">TERCERA. - </w:t>
      </w:r>
      <w:r w:rsidRPr="00C95803">
        <w:rPr>
          <w:rFonts w:ascii="Palatino Linotype" w:eastAsia="MS Mincho" w:hAnsi="Palatino Linotype" w:cs="Arial"/>
          <w:b/>
          <w:bCs/>
          <w:i/>
          <w:color w:val="000000" w:themeColor="text1"/>
        </w:rPr>
        <w:t>OBLIGACIONES DE “LOS BENEFICIARIOS”.</w:t>
      </w:r>
      <w:r w:rsidRPr="00C95803">
        <w:rPr>
          <w:rFonts w:ascii="Palatino Linotype" w:eastAsia="MS Mincho" w:hAnsi="Palatino Linotype" w:cs="Arial"/>
          <w:i/>
          <w:color w:val="000000" w:themeColor="text1"/>
        </w:rPr>
        <w:t xml:space="preserve"> Además de las señaladas en “LOS LINEAMIENTOS”, tendrán las siguientes:</w:t>
      </w:r>
    </w:p>
    <w:p w:rsidR="005104B9" w:rsidRPr="00C95803" w:rsidRDefault="005104B9" w:rsidP="00C95803">
      <w:pPr>
        <w:pStyle w:val="Prrafodelista"/>
        <w:tabs>
          <w:tab w:val="left" w:pos="426"/>
        </w:tabs>
        <w:spacing w:line="360" w:lineRule="auto"/>
        <w:ind w:left="567" w:right="616"/>
        <w:jc w:val="both"/>
        <w:rPr>
          <w:rFonts w:ascii="Palatino Linotype" w:eastAsia="MS Mincho" w:hAnsi="Palatino Linotype" w:cs="Arial"/>
          <w:i/>
          <w:color w:val="000000" w:themeColor="text1"/>
        </w:rPr>
      </w:pPr>
      <w:r w:rsidRPr="00C95803">
        <w:rPr>
          <w:rFonts w:ascii="Palatino Linotype" w:eastAsia="MS Mincho" w:hAnsi="Palatino Linotype" w:cs="Arial"/>
          <w:i/>
          <w:color w:val="000000" w:themeColor="text1"/>
        </w:rPr>
        <w:t>[…]</w:t>
      </w:r>
    </w:p>
    <w:p w:rsidR="005104B9" w:rsidRPr="00C95803" w:rsidRDefault="005104B9" w:rsidP="00C95803">
      <w:pPr>
        <w:pStyle w:val="Prrafodelista"/>
        <w:tabs>
          <w:tab w:val="left" w:pos="426"/>
        </w:tabs>
        <w:spacing w:line="360" w:lineRule="auto"/>
        <w:ind w:left="567" w:right="616"/>
        <w:jc w:val="both"/>
        <w:rPr>
          <w:rFonts w:ascii="Palatino Linotype" w:eastAsia="MS Mincho" w:hAnsi="Palatino Linotype" w:cs="Arial"/>
          <w:b/>
          <w:bCs/>
          <w:i/>
          <w:color w:val="000000" w:themeColor="text1"/>
        </w:rPr>
      </w:pPr>
      <w:r w:rsidRPr="00C95803">
        <w:rPr>
          <w:rFonts w:ascii="Palatino Linotype" w:eastAsia="MS Mincho" w:hAnsi="Palatino Linotype" w:cs="Arial"/>
          <w:i/>
          <w:color w:val="000000" w:themeColor="text1"/>
        </w:rPr>
        <w:t xml:space="preserve">I. </w:t>
      </w:r>
      <w:r w:rsidRPr="00C95803">
        <w:rPr>
          <w:rFonts w:ascii="Palatino Linotype" w:eastAsia="MS Mincho" w:hAnsi="Palatino Linotype" w:cs="Arial"/>
          <w:b/>
          <w:bCs/>
          <w:i/>
          <w:color w:val="000000" w:themeColor="text1"/>
        </w:rPr>
        <w:t xml:space="preserve">Informar mensual y trimestralmente a “EL SECRETARIADO” a través de la Dirección General de Vinculación y Seguimiento sobre las acciones realizadas con base en el presente Convenio, así como 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 </w:t>
      </w:r>
      <w:r w:rsidRPr="00C95803">
        <w:rPr>
          <w:rFonts w:ascii="Palatino Linotype" w:eastAsia="MS Mincho" w:hAnsi="Palatino Linotype" w:cs="Arial"/>
          <w:i/>
          <w:color w:val="000000" w:themeColor="text1"/>
        </w:rPr>
        <w:t xml:space="preserve">Los Presidentes y las Presidentas Municipales de “LOS BENEFICIARIOS” deberán designar cada uno por oficio a un Servidor Público con competencia y nivel de decisión, como responsable de </w:t>
      </w:r>
      <w:r w:rsidRPr="00C95803">
        <w:rPr>
          <w:rFonts w:ascii="Palatino Linotype" w:eastAsia="MS Mincho" w:hAnsi="Palatino Linotype" w:cs="Arial"/>
          <w:b/>
          <w:bCs/>
          <w:i/>
          <w:color w:val="000000" w:themeColor="text1"/>
        </w:rPr>
        <w:t>proporcionar a “EL SECRETARIADO” los informes mensuales y trimestrales sobre los movimientos que presenten las cuentas bancarias productivas específicas, el ejercicio de los recursos y avance en el cumplimiento de los objetivos, metas, indicadores y porcentajes de inversión de los proyectos</w:t>
      </w:r>
      <w:r w:rsidRPr="00C95803">
        <w:rPr>
          <w:rFonts w:ascii="Palatino Linotype" w:eastAsia="MS Mincho" w:hAnsi="Palatino Linotype" w:cs="Arial"/>
          <w:i/>
          <w:color w:val="000000" w:themeColor="text1"/>
        </w:rPr>
        <w:t xml:space="preserve"> establecidos en el Anexo Técnico respectivo del presente “CONVENIO”, así como </w:t>
      </w:r>
      <w:r w:rsidRPr="00C95803">
        <w:rPr>
          <w:rFonts w:ascii="Palatino Linotype" w:eastAsia="MS Mincho" w:hAnsi="Palatino Linotype" w:cs="Arial"/>
          <w:b/>
          <w:bCs/>
          <w:i/>
          <w:color w:val="000000" w:themeColor="text1"/>
        </w:rPr>
        <w:t>el destino y resultados obtenidos de la aplicación de los recursos.</w:t>
      </w:r>
      <w:r w:rsidR="009E1CC5" w:rsidRPr="00C95803">
        <w:rPr>
          <w:rFonts w:ascii="Palatino Linotype" w:eastAsia="MS Mincho" w:hAnsi="Palatino Linotype" w:cs="Arial"/>
          <w:b/>
          <w:bCs/>
          <w:i/>
          <w:color w:val="000000" w:themeColor="text1"/>
        </w:rPr>
        <w:t xml:space="preserve">  </w:t>
      </w:r>
    </w:p>
    <w:p w:rsidR="005104B9" w:rsidRPr="00C95803" w:rsidRDefault="005104B9" w:rsidP="00C95803">
      <w:pPr>
        <w:pStyle w:val="Prrafodelista"/>
        <w:tabs>
          <w:tab w:val="left" w:pos="426"/>
        </w:tabs>
        <w:spacing w:line="360" w:lineRule="auto"/>
        <w:ind w:left="567" w:right="616"/>
        <w:jc w:val="both"/>
        <w:rPr>
          <w:rFonts w:ascii="Palatino Linotype" w:eastAsia="MS Mincho" w:hAnsi="Palatino Linotype" w:cs="Arial"/>
          <w:i/>
          <w:color w:val="000000" w:themeColor="text1"/>
        </w:rPr>
      </w:pPr>
      <w:r w:rsidRPr="00C95803">
        <w:rPr>
          <w:rFonts w:ascii="Palatino Linotype" w:eastAsia="MS Mincho" w:hAnsi="Palatino Linotype" w:cs="Arial"/>
          <w:i/>
          <w:color w:val="000000" w:themeColor="text1"/>
        </w:rPr>
        <w:t xml:space="preserve"> J. </w:t>
      </w:r>
      <w:r w:rsidRPr="00C95803">
        <w:rPr>
          <w:rFonts w:ascii="Palatino Linotype" w:eastAsia="MS Mincho" w:hAnsi="Palatino Linotype" w:cs="Arial"/>
          <w:b/>
          <w:bCs/>
          <w:i/>
          <w:color w:val="000000" w:themeColor="text1"/>
        </w:rPr>
        <w:t>Informar mensual y trimestralmente al Secretariado Ejecutivo del Sistema Estatal de Seguridad Pública de “LA ENTIDAD FEDERATIVA”, sobre las acciones realizadas con base en el presente “CONVENIO</w:t>
      </w:r>
      <w:r w:rsidRPr="00C95803">
        <w:rPr>
          <w:rFonts w:ascii="Palatino Linotype" w:eastAsia="MS Mincho" w:hAnsi="Palatino Linotype" w:cs="Arial"/>
          <w:i/>
          <w:color w:val="000000" w:themeColor="text1"/>
        </w:rPr>
        <w:t>”;</w:t>
      </w:r>
    </w:p>
    <w:p w:rsidR="005104B9" w:rsidRPr="00C95803" w:rsidRDefault="005104B9" w:rsidP="00C95803">
      <w:pPr>
        <w:pStyle w:val="Prrafodelista"/>
        <w:tabs>
          <w:tab w:val="left" w:pos="426"/>
        </w:tabs>
        <w:spacing w:line="360" w:lineRule="auto"/>
        <w:ind w:left="567" w:right="616"/>
        <w:jc w:val="both"/>
        <w:rPr>
          <w:rFonts w:ascii="Palatino Linotype" w:eastAsia="MS Mincho" w:hAnsi="Palatino Linotype" w:cs="Arial"/>
          <w:i/>
          <w:color w:val="000000" w:themeColor="text1"/>
        </w:rPr>
      </w:pPr>
      <w:r w:rsidRPr="00C95803">
        <w:rPr>
          <w:rFonts w:ascii="Palatino Linotype" w:eastAsia="MS Mincho" w:hAnsi="Palatino Linotype" w:cs="Arial"/>
          <w:i/>
          <w:color w:val="000000" w:themeColor="text1"/>
        </w:rPr>
        <w:t>L. Entregar a “EL SECRETARIADO” toda la información que solicite en los términos, plazos y formatos que al efecto establezca;</w:t>
      </w:r>
    </w:p>
    <w:p w:rsidR="005104B9" w:rsidRPr="00C95803" w:rsidRDefault="005104B9" w:rsidP="00C9580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rsidR="00084D8C" w:rsidRPr="00C95803" w:rsidRDefault="005104B9" w:rsidP="00C95803">
      <w:pPr>
        <w:pStyle w:val="Prrafodelista"/>
        <w:numPr>
          <w:ilvl w:val="0"/>
          <w:numId w:val="1"/>
        </w:numPr>
        <w:tabs>
          <w:tab w:val="left" w:pos="426"/>
        </w:tabs>
        <w:spacing w:line="360" w:lineRule="auto"/>
        <w:ind w:left="0" w:firstLine="0"/>
        <w:jc w:val="both"/>
        <w:rPr>
          <w:rFonts w:ascii="Palatino Linotype" w:eastAsia="MS Mincho" w:hAnsi="Palatino Linotype" w:cs="Arial"/>
          <w:lang w:val="es-MX"/>
        </w:rPr>
      </w:pPr>
      <w:r w:rsidRPr="00C95803">
        <w:rPr>
          <w:rFonts w:ascii="Palatino Linotype" w:hAnsi="Palatino Linotype" w:cs="Arial"/>
        </w:rPr>
        <w:t xml:space="preserve">Es por lo anterior que, cada beneficiario </w:t>
      </w:r>
      <w:r w:rsidRPr="00C95803">
        <w:rPr>
          <w:rFonts w:ascii="Palatino Linotype" w:eastAsia="MS Mincho" w:hAnsi="Palatino Linotype" w:cs="Arial"/>
          <w:bCs/>
          <w:lang w:val="es-MX"/>
        </w:rPr>
        <w:t xml:space="preserve">deberá de informar y proporcionar al Secretariado toda la información relativa al cómo y en qué se han erogados los recursos recibidos, </w:t>
      </w:r>
      <w:r w:rsidR="00084D8C" w:rsidRPr="00C95803">
        <w:rPr>
          <w:rFonts w:ascii="Palatino Linotype" w:eastAsia="MS Mincho" w:hAnsi="Palatino Linotype" w:cs="Arial"/>
          <w:bCs/>
          <w:lang w:val="es-MX"/>
        </w:rPr>
        <w:t>por lo anterior, el Sujeto Obligado deberá entregar la información requerida, sin embargo, a falta de pronunciamiento por parte del Sujeto Obligado no se tiene certeza si recibió recursos por este concepto, por lo que en apego al principio de máxima publicidad se ordena entregar la información y, de ser el caso de que no cuente con la información, deberá informar al recurrente de manera fundada y motivada tal situación.</w:t>
      </w:r>
    </w:p>
    <w:p w:rsidR="00084D8C" w:rsidRPr="00C95803" w:rsidRDefault="00084D8C" w:rsidP="00C95803">
      <w:pPr>
        <w:pStyle w:val="Prrafodelista"/>
        <w:tabs>
          <w:tab w:val="left" w:pos="426"/>
        </w:tabs>
        <w:spacing w:line="360" w:lineRule="auto"/>
        <w:ind w:left="0"/>
        <w:jc w:val="both"/>
        <w:rPr>
          <w:rFonts w:ascii="Palatino Linotype" w:hAnsi="Palatino Linotype" w:cs="Arial"/>
        </w:rPr>
      </w:pPr>
    </w:p>
    <w:p w:rsidR="00084D8C" w:rsidRPr="00C95803" w:rsidRDefault="00084D8C" w:rsidP="00C95803">
      <w:pPr>
        <w:pStyle w:val="Ttulo2"/>
        <w:numPr>
          <w:ilvl w:val="0"/>
          <w:numId w:val="6"/>
        </w:numPr>
        <w:spacing w:line="360" w:lineRule="auto"/>
        <w:rPr>
          <w:rFonts w:ascii="Palatino Linotype" w:hAnsi="Palatino Linotype"/>
          <w:b/>
          <w:color w:val="auto"/>
          <w:sz w:val="24"/>
          <w:szCs w:val="24"/>
        </w:rPr>
      </w:pPr>
      <w:r w:rsidRPr="00C95803">
        <w:rPr>
          <w:rFonts w:ascii="Palatino Linotype" w:hAnsi="Palatino Linotype"/>
          <w:b/>
          <w:color w:val="auto"/>
          <w:sz w:val="24"/>
          <w:szCs w:val="24"/>
        </w:rPr>
        <w:t>De las manifestaciones del recurrente.</w:t>
      </w:r>
    </w:p>
    <w:p w:rsidR="00084D8C" w:rsidRPr="00C95803" w:rsidRDefault="00084D8C" w:rsidP="00C95803">
      <w:pPr>
        <w:pStyle w:val="Prrafodelista"/>
        <w:tabs>
          <w:tab w:val="left" w:pos="426"/>
        </w:tabs>
        <w:spacing w:line="360" w:lineRule="auto"/>
        <w:ind w:left="0"/>
        <w:jc w:val="both"/>
        <w:rPr>
          <w:rFonts w:ascii="Palatino Linotype" w:hAnsi="Palatino Linotype" w:cs="Arial"/>
        </w:rPr>
      </w:pPr>
    </w:p>
    <w:p w:rsidR="00084D8C" w:rsidRPr="00C95803" w:rsidRDefault="00084D8C" w:rsidP="00C95803">
      <w:pPr>
        <w:pStyle w:val="Prrafodelista"/>
        <w:numPr>
          <w:ilvl w:val="0"/>
          <w:numId w:val="1"/>
        </w:numPr>
        <w:tabs>
          <w:tab w:val="left" w:pos="426"/>
        </w:tabs>
        <w:spacing w:line="360" w:lineRule="auto"/>
        <w:ind w:left="0" w:firstLine="0"/>
        <w:jc w:val="both"/>
        <w:rPr>
          <w:rFonts w:ascii="Palatino Linotype" w:eastAsia="MS Mincho" w:hAnsi="Palatino Linotype" w:cs="Arial"/>
          <w:lang w:val="es-MX"/>
        </w:rPr>
      </w:pPr>
      <w:r w:rsidRPr="00C95803">
        <w:rPr>
          <w:rFonts w:ascii="Palatino Linotype" w:eastAsia="MS Mincho" w:hAnsi="Palatino Linotype" w:cs="Arial"/>
          <w:lang w:val="es-MX"/>
        </w:rPr>
        <w:t xml:space="preserve">Por último y no menos importante, es necesario precisar que si bien, el recurrente realizó manifestaciones posteriores a la admisión del recurso de revisión, también lo </w:t>
      </w:r>
      <w:r w:rsidR="00151AF2" w:rsidRPr="00C95803">
        <w:rPr>
          <w:rFonts w:ascii="Palatino Linotype" w:eastAsia="MS Mincho" w:hAnsi="Palatino Linotype" w:cs="Arial"/>
          <w:lang w:val="es-MX"/>
        </w:rPr>
        <w:t xml:space="preserve">es </w:t>
      </w:r>
      <w:r w:rsidRPr="00C95803">
        <w:rPr>
          <w:rFonts w:ascii="Palatino Linotype" w:eastAsia="MS Mincho" w:hAnsi="Palatino Linotype" w:cs="Arial"/>
          <w:lang w:val="es-MX"/>
        </w:rPr>
        <w:t>que</w:t>
      </w:r>
      <w:r w:rsidR="00151AF2" w:rsidRPr="00C95803">
        <w:rPr>
          <w:rFonts w:ascii="Palatino Linotype" w:eastAsia="MS Mincho" w:hAnsi="Palatino Linotype" w:cs="Arial"/>
          <w:lang w:val="es-MX"/>
        </w:rPr>
        <w:t>,</w:t>
      </w:r>
      <w:r w:rsidRPr="00C95803">
        <w:rPr>
          <w:rFonts w:ascii="Palatino Linotype" w:eastAsia="MS Mincho" w:hAnsi="Palatino Linotype" w:cs="Arial"/>
          <w:lang w:val="es-MX"/>
        </w:rPr>
        <w:t xml:space="preserve"> en todo momento hace alusión a un sujeto obligado diverso al que fue int</w:t>
      </w:r>
      <w:r w:rsidR="00151AF2" w:rsidRPr="00C95803">
        <w:rPr>
          <w:rFonts w:ascii="Palatino Linotype" w:eastAsia="MS Mincho" w:hAnsi="Palatino Linotype" w:cs="Arial"/>
          <w:lang w:val="es-MX"/>
        </w:rPr>
        <w:t xml:space="preserve">erpuesto el recurso de revisión, por lo tanto, se tienen por reproducidos; sin embargo, no causan efectos jurídicos para modificar el sentido de la presente resolución, así como tampoco son causa de improcedencia o </w:t>
      </w:r>
      <w:proofErr w:type="spellStart"/>
      <w:r w:rsidR="00151AF2" w:rsidRPr="00C95803">
        <w:rPr>
          <w:rFonts w:ascii="Palatino Linotype" w:eastAsia="MS Mincho" w:hAnsi="Palatino Linotype" w:cs="Arial"/>
          <w:lang w:val="es-MX"/>
        </w:rPr>
        <w:t>desechamiento</w:t>
      </w:r>
      <w:proofErr w:type="spellEnd"/>
      <w:r w:rsidR="00151AF2" w:rsidRPr="00C95803">
        <w:rPr>
          <w:rFonts w:ascii="Palatino Linotype" w:eastAsia="MS Mincho" w:hAnsi="Palatino Linotype" w:cs="Arial"/>
          <w:lang w:val="es-MX"/>
        </w:rPr>
        <w:t>.</w:t>
      </w:r>
    </w:p>
    <w:p w:rsidR="00F77E6F" w:rsidRPr="00C95803" w:rsidRDefault="00F77E6F" w:rsidP="00C95803">
      <w:pPr>
        <w:pStyle w:val="Ttulo1"/>
        <w:spacing w:line="360" w:lineRule="auto"/>
        <w:rPr>
          <w:szCs w:val="24"/>
        </w:rPr>
      </w:pPr>
      <w:bookmarkStart w:id="26" w:name="_Toc473799824"/>
      <w:bookmarkStart w:id="27" w:name="_Toc487025370"/>
      <w:bookmarkStart w:id="28" w:name="_Toc493790438"/>
      <w:bookmarkStart w:id="29" w:name="_Toc495606558"/>
      <w:bookmarkStart w:id="30" w:name="_Toc497297048"/>
      <w:bookmarkStart w:id="31" w:name="_Toc498503756"/>
      <w:bookmarkStart w:id="32" w:name="_Toc499201876"/>
      <w:bookmarkStart w:id="33" w:name="_Toc954272"/>
      <w:bookmarkStart w:id="34" w:name="_Toc23418072"/>
      <w:r w:rsidRPr="00C95803">
        <w:rPr>
          <w:szCs w:val="24"/>
        </w:rPr>
        <w:t>QUINTO. De la Versión Pública</w:t>
      </w:r>
      <w:bookmarkEnd w:id="26"/>
      <w:bookmarkEnd w:id="27"/>
      <w:bookmarkEnd w:id="28"/>
      <w:bookmarkEnd w:id="29"/>
      <w:bookmarkEnd w:id="30"/>
      <w:bookmarkEnd w:id="31"/>
      <w:bookmarkEnd w:id="32"/>
      <w:bookmarkEnd w:id="33"/>
      <w:bookmarkEnd w:id="34"/>
      <w:r w:rsidRPr="00C95803">
        <w:rPr>
          <w:szCs w:val="24"/>
        </w:rPr>
        <w:t xml:space="preserve"> </w:t>
      </w:r>
    </w:p>
    <w:p w:rsidR="00F77E6F" w:rsidRPr="00C95803" w:rsidRDefault="00F77E6F" w:rsidP="00C95803">
      <w:pPr>
        <w:pStyle w:val="Prrafodelista"/>
        <w:numPr>
          <w:ilvl w:val="0"/>
          <w:numId w:val="1"/>
        </w:numPr>
        <w:spacing w:before="240" w:after="240" w:line="360" w:lineRule="auto"/>
        <w:ind w:left="0" w:right="49" w:firstLine="0"/>
        <w:jc w:val="both"/>
        <w:rPr>
          <w:rFonts w:ascii="Palatino Linotype" w:hAnsi="Palatino Linotype" w:cs="Bookman Old Style"/>
        </w:rPr>
      </w:pPr>
      <w:r w:rsidRPr="00C95803">
        <w:rPr>
          <w:rFonts w:ascii="Palatino Linotype" w:eastAsia="Calibri" w:hAnsi="Palatino Linotype" w:cs="Arial"/>
          <w:lang w:val="es-ES" w:eastAsia="es-MX"/>
        </w:rPr>
        <w:t xml:space="preserve">Como ya se ha señalado en el considerando anterior el </w:t>
      </w:r>
      <w:r w:rsidRPr="00C95803">
        <w:rPr>
          <w:rFonts w:ascii="Palatino Linotype" w:eastAsia="Calibri" w:hAnsi="Palatino Linotype" w:cs="Arial"/>
          <w:b/>
          <w:lang w:val="es-ES" w:eastAsia="es-MX"/>
        </w:rPr>
        <w:t>SUJETO OBLIGADO,</w:t>
      </w:r>
      <w:r w:rsidRPr="00C95803">
        <w:rPr>
          <w:rFonts w:ascii="Palatino Linotype" w:eastAsia="Calibri" w:hAnsi="Palatino Linotype" w:cs="Arial"/>
          <w:lang w:val="es-ES" w:eastAsia="es-MX"/>
        </w:rPr>
        <w:t xml:space="preserve"> deberá entregar </w:t>
      </w:r>
      <w:r w:rsidRPr="00C95803">
        <w:rPr>
          <w:rFonts w:ascii="Palatino Linotype" w:hAnsi="Palatino Linotype" w:cs="Arial"/>
        </w:rPr>
        <w:t>los documentos</w:t>
      </w:r>
      <w:r w:rsidRPr="00C95803">
        <w:rPr>
          <w:rFonts w:ascii="Palatino Linotype" w:hAnsi="Palatino Linotype"/>
          <w:lang w:val="es-ES"/>
        </w:rPr>
        <w:t xml:space="preserve"> </w:t>
      </w:r>
      <w:r w:rsidR="00936B23" w:rsidRPr="00C95803">
        <w:rPr>
          <w:rFonts w:ascii="Palatino Linotype" w:hAnsi="Palatino Linotype"/>
          <w:lang w:val="es-ES"/>
        </w:rPr>
        <w:t>señalados en el considerando anterior.</w:t>
      </w:r>
      <w:r w:rsidR="008E6106" w:rsidRPr="00C95803">
        <w:rPr>
          <w:rFonts w:ascii="Palatino Linotype" w:hAnsi="Palatino Linotype"/>
          <w:lang w:val="es-ES"/>
        </w:rPr>
        <w:t xml:space="preserve"> </w:t>
      </w:r>
      <w:r w:rsidRPr="00C95803">
        <w:rPr>
          <w:rFonts w:ascii="Palatino Linotype" w:eastAsia="Calibri" w:hAnsi="Palatino Linotype" w:cs="Arial"/>
          <w:lang w:val="es-ES" w:eastAsia="es-MX"/>
        </w:rPr>
        <w:t>Documento</w:t>
      </w:r>
      <w:r w:rsidR="0014528A" w:rsidRPr="00C95803">
        <w:rPr>
          <w:rFonts w:ascii="Palatino Linotype" w:eastAsia="Calibri" w:hAnsi="Palatino Linotype" w:cs="Arial"/>
          <w:lang w:val="es-ES" w:eastAsia="es-MX"/>
        </w:rPr>
        <w:t>s</w:t>
      </w:r>
      <w:r w:rsidRPr="00C95803">
        <w:rPr>
          <w:rFonts w:ascii="Palatino Linotype" w:eastAsia="Calibri" w:hAnsi="Palatino Linotype" w:cs="Arial"/>
          <w:lang w:val="es-ES" w:eastAsia="es-MX"/>
        </w:rPr>
        <w:t xml:space="preserve"> en los que, de ser el caso que contengan datos personales que deban de ser clasificados como confidenciales, se protegerán mediante una versión pública</w:t>
      </w:r>
      <w:r w:rsidRPr="00C95803">
        <w:rPr>
          <w:rFonts w:ascii="Palatino Linotype" w:eastAsia="Times New Roman" w:hAnsi="Palatino Linotype" w:cs="Arial"/>
          <w:color w:val="222222"/>
          <w:lang w:val="es-ES" w:eastAsia="es-MX"/>
        </w:rPr>
        <w:t xml:space="preserve"> que deje a la vista los datos que ofrezcan la información requerida. </w:t>
      </w:r>
    </w:p>
    <w:p w:rsidR="00F77E6F" w:rsidRPr="00C95803" w:rsidRDefault="00F77E6F" w:rsidP="00C95803">
      <w:pPr>
        <w:pStyle w:val="Ttulo3"/>
        <w:numPr>
          <w:ilvl w:val="0"/>
          <w:numId w:val="2"/>
        </w:numPr>
        <w:spacing w:line="360" w:lineRule="auto"/>
        <w:rPr>
          <w:rFonts w:ascii="Palatino Linotype" w:eastAsia="Calibri" w:hAnsi="Palatino Linotype"/>
          <w:b/>
          <w:color w:val="auto"/>
        </w:rPr>
      </w:pPr>
      <w:bookmarkStart w:id="35" w:name="_Toc531859121"/>
      <w:bookmarkStart w:id="36" w:name="_Toc532385645"/>
      <w:bookmarkStart w:id="37" w:name="_Toc954273"/>
      <w:bookmarkStart w:id="38" w:name="_Toc23418073"/>
      <w:r w:rsidRPr="00C95803">
        <w:rPr>
          <w:rFonts w:ascii="Palatino Linotype" w:hAnsi="Palatino Linotype"/>
          <w:b/>
          <w:color w:val="auto"/>
        </w:rPr>
        <w:t>Requisitos previos.</w:t>
      </w:r>
      <w:bookmarkEnd w:id="35"/>
      <w:bookmarkEnd w:id="36"/>
      <w:bookmarkEnd w:id="37"/>
      <w:bookmarkEnd w:id="38"/>
    </w:p>
    <w:p w:rsidR="00F77E6F" w:rsidRPr="00C95803" w:rsidRDefault="00F77E6F" w:rsidP="00C9580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77E6F" w:rsidRPr="00C95803" w:rsidRDefault="00F77E6F" w:rsidP="00C9580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77E6F" w:rsidRPr="00C95803" w:rsidRDefault="00F77E6F" w:rsidP="00C95803">
      <w:pPr>
        <w:pStyle w:val="Prrafodelista"/>
        <w:spacing w:line="360" w:lineRule="auto"/>
        <w:rPr>
          <w:rFonts w:ascii="Palatino Linotype" w:eastAsia="Calibri" w:hAnsi="Palatino Linotype" w:cs="Arial"/>
          <w:lang w:val="es-ES" w:eastAsia="es-MX"/>
        </w:rPr>
      </w:pP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F77E6F" w:rsidRPr="00C95803" w:rsidRDefault="00F77E6F" w:rsidP="00C95803">
      <w:pPr>
        <w:pStyle w:val="Prrafodelista"/>
        <w:spacing w:line="360" w:lineRule="auto"/>
        <w:rPr>
          <w:rFonts w:ascii="Palatino Linotype" w:eastAsia="Calibri" w:hAnsi="Palatino Linotype" w:cs="Arial"/>
          <w:lang w:val="es-ES" w:eastAsia="es-MX"/>
        </w:rPr>
      </w:pPr>
    </w:p>
    <w:p w:rsidR="00F77E6F" w:rsidRPr="00C95803" w:rsidRDefault="00F77E6F" w:rsidP="00C95803">
      <w:pPr>
        <w:pStyle w:val="Ttulo3"/>
        <w:numPr>
          <w:ilvl w:val="0"/>
          <w:numId w:val="2"/>
        </w:numPr>
        <w:spacing w:line="360" w:lineRule="auto"/>
        <w:rPr>
          <w:rFonts w:ascii="Palatino Linotype" w:hAnsi="Palatino Linotype"/>
          <w:b/>
          <w:color w:val="auto"/>
        </w:rPr>
      </w:pPr>
      <w:bookmarkStart w:id="39" w:name="_Toc531859122"/>
      <w:bookmarkStart w:id="40" w:name="_Toc532385646"/>
      <w:bookmarkStart w:id="41" w:name="_Toc954274"/>
      <w:bookmarkStart w:id="42" w:name="_Toc23418074"/>
      <w:r w:rsidRPr="00C95803">
        <w:rPr>
          <w:rFonts w:ascii="Palatino Linotype" w:hAnsi="Palatino Linotype"/>
          <w:b/>
          <w:color w:val="auto"/>
        </w:rPr>
        <w:t>Supuesto de clasificación.</w:t>
      </w:r>
      <w:bookmarkEnd w:id="39"/>
      <w:bookmarkEnd w:id="40"/>
      <w:bookmarkEnd w:id="41"/>
      <w:bookmarkEnd w:id="42"/>
    </w:p>
    <w:p w:rsidR="00F77E6F" w:rsidRPr="00C95803" w:rsidRDefault="00F77E6F" w:rsidP="00C9580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F77E6F" w:rsidRPr="00C95803" w:rsidRDefault="00F77E6F" w:rsidP="00C95803">
      <w:pPr>
        <w:autoSpaceDE w:val="0"/>
        <w:autoSpaceDN w:val="0"/>
        <w:adjustRightInd w:val="0"/>
        <w:spacing w:after="160" w:line="360" w:lineRule="auto"/>
        <w:ind w:left="567" w:right="567"/>
        <w:jc w:val="both"/>
        <w:rPr>
          <w:rFonts w:ascii="Palatino Linotype" w:hAnsi="Palatino Linotype" w:cs="Arial"/>
          <w:i/>
          <w:lang w:val="es-MX"/>
        </w:rPr>
      </w:pPr>
      <w:r w:rsidRPr="00C95803">
        <w:rPr>
          <w:rFonts w:ascii="Palatino Linotype" w:hAnsi="Palatino Linotype" w:cs="Arial"/>
          <w:b/>
          <w:bCs/>
          <w:i/>
          <w:lang w:val="es-MX"/>
        </w:rPr>
        <w:t xml:space="preserve">Artículo 3. </w:t>
      </w:r>
      <w:r w:rsidRPr="00C95803">
        <w:rPr>
          <w:rFonts w:ascii="Palatino Linotype" w:hAnsi="Palatino Linotype" w:cs="Arial"/>
          <w:i/>
          <w:lang w:val="es-MX"/>
        </w:rPr>
        <w:t>Para los efectos de la presente Ley se entenderá por:</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 xml:space="preserve"> (…)</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XX. Información clasificada: Aquella considerada por la presente Ley como reservada o confidencial;</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C95803">
        <w:rPr>
          <w:rFonts w:ascii="Palatino Linotype" w:eastAsia="Calibri" w:hAnsi="Palatino Linotype" w:cs="Arial"/>
          <w:i/>
          <w:lang w:val="es-ES" w:eastAsia="es-MX"/>
        </w:rPr>
        <w:t>jurídico</w:t>
      </w:r>
      <w:proofErr w:type="gramEnd"/>
      <w:r w:rsidRPr="00C95803">
        <w:rPr>
          <w:rFonts w:ascii="Palatino Linotype" w:eastAsia="Calibri" w:hAnsi="Palatino Linotype" w:cs="Arial"/>
          <w:i/>
          <w:lang w:val="es-ES" w:eastAsia="es-MX"/>
        </w:rPr>
        <w:t xml:space="preserve"> colectiva identificada o identificable;</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F77E6F" w:rsidRPr="00C95803" w:rsidRDefault="00F77E6F" w:rsidP="00C95803">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C95803">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77E6F" w:rsidRPr="00C95803" w:rsidRDefault="00F77E6F" w:rsidP="00C9580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hAnsi="Palatino Linotype" w:cs="Arial"/>
        </w:rPr>
        <w:t>Como consecuencia de lo anterior, el sujeto obligado debe identificar claramente el tipo de información y hacer un juicio de subsunción o encaje</w:t>
      </w:r>
      <w:r w:rsidRPr="00C95803">
        <w:rPr>
          <w:rStyle w:val="Refdenotaalpie"/>
          <w:rFonts w:ascii="Palatino Linotype" w:hAnsi="Palatino Linotype" w:cs="Arial"/>
        </w:rPr>
        <w:footnoteReference w:id="15"/>
      </w:r>
      <w:r w:rsidRPr="00C95803">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F77E6F" w:rsidRPr="00C95803" w:rsidRDefault="00F77E6F" w:rsidP="00C95803">
      <w:pPr>
        <w:pStyle w:val="Prrafodelista"/>
        <w:spacing w:line="360" w:lineRule="auto"/>
        <w:rPr>
          <w:rFonts w:ascii="Palatino Linotype" w:eastAsia="Calibri" w:hAnsi="Palatino Linotype" w:cs="Arial"/>
          <w:lang w:val="es-ES" w:eastAsia="es-MX"/>
        </w:rPr>
      </w:pP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F77E6F" w:rsidRPr="00C95803" w:rsidRDefault="00F77E6F" w:rsidP="00C95803">
      <w:pPr>
        <w:pStyle w:val="Prrafodelista"/>
        <w:spacing w:line="360" w:lineRule="auto"/>
        <w:rPr>
          <w:rFonts w:ascii="Palatino Linotype" w:eastAsia="Calibri" w:hAnsi="Palatino Linotype" w:cs="Arial"/>
          <w:lang w:val="es-ES" w:eastAsia="es-MX"/>
        </w:rPr>
      </w:pPr>
    </w:p>
    <w:p w:rsidR="00F77E6F" w:rsidRPr="00C95803" w:rsidRDefault="00F77E6F" w:rsidP="00C95803">
      <w:pPr>
        <w:pStyle w:val="Ttulo3"/>
        <w:numPr>
          <w:ilvl w:val="0"/>
          <w:numId w:val="2"/>
        </w:numPr>
        <w:spacing w:line="360" w:lineRule="auto"/>
        <w:rPr>
          <w:rFonts w:ascii="Palatino Linotype" w:hAnsi="Palatino Linotype"/>
          <w:b/>
          <w:color w:val="auto"/>
        </w:rPr>
      </w:pPr>
      <w:bookmarkStart w:id="43" w:name="_Toc531859123"/>
      <w:bookmarkStart w:id="44" w:name="_Toc532385647"/>
      <w:bookmarkStart w:id="45" w:name="_Toc954275"/>
      <w:bookmarkStart w:id="46" w:name="_Toc23418075"/>
      <w:r w:rsidRPr="00C95803">
        <w:rPr>
          <w:rFonts w:ascii="Palatino Linotype" w:hAnsi="Palatino Linotype"/>
          <w:b/>
          <w:color w:val="auto"/>
        </w:rPr>
        <w:t>La intervención del Comité de Transparencia.</w:t>
      </w:r>
      <w:bookmarkEnd w:id="43"/>
      <w:bookmarkEnd w:id="44"/>
      <w:bookmarkEnd w:id="45"/>
      <w:bookmarkEnd w:id="46"/>
    </w:p>
    <w:p w:rsidR="00F77E6F" w:rsidRPr="00C95803" w:rsidRDefault="00F77E6F" w:rsidP="00C95803">
      <w:pPr>
        <w:pStyle w:val="Ttulo4"/>
        <w:numPr>
          <w:ilvl w:val="1"/>
          <w:numId w:val="1"/>
        </w:numPr>
        <w:spacing w:line="360" w:lineRule="auto"/>
        <w:rPr>
          <w:rFonts w:ascii="Palatino Linotype" w:hAnsi="Palatino Linotype"/>
          <w:b/>
          <w:i w:val="0"/>
          <w:color w:val="auto"/>
        </w:rPr>
      </w:pPr>
      <w:r w:rsidRPr="00C95803">
        <w:rPr>
          <w:rFonts w:ascii="Palatino Linotype" w:hAnsi="Palatino Linotype"/>
          <w:b/>
          <w:i w:val="0"/>
          <w:color w:val="auto"/>
        </w:rPr>
        <w:t>Formalidades para emitir el acuerdo de clasificación.</w:t>
      </w:r>
    </w:p>
    <w:p w:rsidR="00F77E6F" w:rsidRPr="00C95803" w:rsidRDefault="00F77E6F" w:rsidP="00C95803">
      <w:pPr>
        <w:spacing w:line="360" w:lineRule="auto"/>
        <w:rPr>
          <w:rFonts w:ascii="Palatino Linotype" w:hAnsi="Palatino Linotype"/>
          <w:lang w:val="es-MX" w:eastAsia="en-US"/>
        </w:rPr>
      </w:pP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hAnsi="Palatino Linotype" w:cs="Arial"/>
        </w:rPr>
        <w:t xml:space="preserve">El Comité de Transparencia, según lo dispuesto en los artículos 128 y 103 de la Ley Estatal y de la Ley General, respectivamente, y </w:t>
      </w:r>
      <w:r w:rsidRPr="00C95803">
        <w:rPr>
          <w:rFonts w:ascii="Palatino Linotype" w:hAnsi="Palatino Linotype"/>
        </w:rPr>
        <w:t xml:space="preserve">la fracción III del numeral Segundo de los </w:t>
      </w:r>
      <w:r w:rsidRPr="00C9580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C95803">
        <w:rPr>
          <w:rFonts w:ascii="Palatino Linotype" w:hAnsi="Palatino Linotype"/>
        </w:rPr>
        <w:t xml:space="preserve"> </w:t>
      </w:r>
      <w:r w:rsidRPr="00C95803">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77E6F" w:rsidRPr="00C95803" w:rsidRDefault="00F77E6F" w:rsidP="00C9580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77E6F" w:rsidRPr="00C95803" w:rsidRDefault="00F77E6F" w:rsidP="00C95803">
      <w:pPr>
        <w:pStyle w:val="Prrafodelista"/>
        <w:spacing w:line="360" w:lineRule="auto"/>
        <w:rPr>
          <w:rFonts w:ascii="Palatino Linotype" w:eastAsia="Calibri" w:hAnsi="Palatino Linotype" w:cs="Arial"/>
          <w:lang w:val="es-ES" w:eastAsia="es-MX"/>
        </w:rPr>
      </w:pP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77E6F" w:rsidRPr="00C95803" w:rsidRDefault="00F77E6F" w:rsidP="00C95803">
      <w:pPr>
        <w:pStyle w:val="Prrafodelista"/>
        <w:spacing w:line="360" w:lineRule="auto"/>
        <w:rPr>
          <w:rFonts w:ascii="Palatino Linotype" w:eastAsia="Calibri" w:hAnsi="Palatino Linotype" w:cs="Arial"/>
          <w:lang w:val="es-ES" w:eastAsia="es-MX"/>
        </w:rPr>
      </w:pPr>
    </w:p>
    <w:p w:rsidR="00F77E6F" w:rsidRPr="00C95803" w:rsidRDefault="00F77E6F" w:rsidP="00C95803">
      <w:pPr>
        <w:pStyle w:val="Ttulo4"/>
        <w:numPr>
          <w:ilvl w:val="0"/>
          <w:numId w:val="3"/>
        </w:numPr>
        <w:spacing w:line="360" w:lineRule="auto"/>
        <w:rPr>
          <w:rFonts w:ascii="Palatino Linotype" w:hAnsi="Palatino Linotype"/>
          <w:b/>
          <w:i w:val="0"/>
        </w:rPr>
      </w:pPr>
      <w:r w:rsidRPr="00C95803">
        <w:rPr>
          <w:rFonts w:ascii="Palatino Linotype" w:hAnsi="Palatino Linotype"/>
          <w:b/>
          <w:i w:val="0"/>
          <w:color w:val="auto"/>
        </w:rPr>
        <w:t>Requisitos de fondo del acuerdo de clasificación</w:t>
      </w:r>
    </w:p>
    <w:p w:rsidR="00F77E6F" w:rsidRPr="00C95803" w:rsidRDefault="00F77E6F" w:rsidP="00C95803">
      <w:pPr>
        <w:pStyle w:val="Prrafodelista"/>
        <w:spacing w:line="360" w:lineRule="auto"/>
        <w:rPr>
          <w:rFonts w:ascii="Palatino Linotype" w:eastAsia="Calibri" w:hAnsi="Palatino Linotype" w:cs="Arial"/>
          <w:lang w:val="es-ES" w:eastAsia="es-MX"/>
        </w:rPr>
      </w:pP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77E6F" w:rsidRPr="00C95803" w:rsidRDefault="00F77E6F" w:rsidP="00C95803">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77E6F" w:rsidRPr="00C95803" w:rsidRDefault="00F77E6F" w:rsidP="00C95803">
      <w:pPr>
        <w:pStyle w:val="Prrafodelista"/>
        <w:spacing w:line="360" w:lineRule="auto"/>
        <w:rPr>
          <w:rFonts w:ascii="Palatino Linotype" w:eastAsia="Calibri" w:hAnsi="Palatino Linotype" w:cs="Arial"/>
          <w:lang w:val="es-ES" w:eastAsia="es-MX"/>
        </w:rPr>
      </w:pP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95803">
        <w:rPr>
          <w:rStyle w:val="Refdenotaalpie"/>
          <w:rFonts w:ascii="Palatino Linotype" w:eastAsia="Times New Roman" w:hAnsi="Palatino Linotype" w:cs="Arial"/>
          <w:lang w:eastAsia="es-MX"/>
        </w:rPr>
        <w:footnoteReference w:id="16"/>
      </w:r>
    </w:p>
    <w:p w:rsidR="00F77E6F" w:rsidRPr="00C95803" w:rsidRDefault="00F77E6F" w:rsidP="00C95803">
      <w:pPr>
        <w:pStyle w:val="Prrafodelista"/>
        <w:spacing w:line="360" w:lineRule="auto"/>
        <w:rPr>
          <w:rFonts w:ascii="Palatino Linotype" w:eastAsia="Calibri" w:hAnsi="Palatino Linotype" w:cs="Arial"/>
          <w:lang w:val="es-ES" w:eastAsia="es-MX"/>
        </w:rPr>
      </w:pPr>
    </w:p>
    <w:p w:rsidR="00F77E6F" w:rsidRPr="00C95803" w:rsidRDefault="00F77E6F" w:rsidP="00C9580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lang w:val="es-ES" w:eastAsia="es-MX"/>
        </w:rPr>
      </w:pPr>
      <w:r w:rsidRPr="00C95803">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F77E6F" w:rsidRPr="00C95803" w:rsidRDefault="00F77E6F" w:rsidP="00C95803">
      <w:pPr>
        <w:pStyle w:val="Prrafodelista"/>
        <w:spacing w:line="360" w:lineRule="auto"/>
        <w:rPr>
          <w:rFonts w:ascii="Palatino Linotype" w:eastAsia="Calibri" w:hAnsi="Palatino Linotype" w:cs="Arial"/>
          <w:lang w:val="es-ES" w:eastAsia="es-MX"/>
        </w:rPr>
      </w:pPr>
    </w:p>
    <w:p w:rsidR="00F77E6F" w:rsidRPr="00C95803" w:rsidRDefault="00F77E6F" w:rsidP="00C95803">
      <w:pPr>
        <w:spacing w:line="360" w:lineRule="auto"/>
        <w:ind w:left="567" w:right="567"/>
        <w:contextualSpacing/>
        <w:jc w:val="both"/>
        <w:rPr>
          <w:rFonts w:ascii="Palatino Linotype" w:hAnsi="Palatino Linotype" w:cs="Arial"/>
          <w:i/>
        </w:rPr>
      </w:pPr>
      <w:r w:rsidRPr="00C95803">
        <w:rPr>
          <w:rFonts w:ascii="Palatino Linotype" w:hAnsi="Palatino Linotype" w:cs="Arial"/>
          <w:b/>
          <w:i/>
        </w:rPr>
        <w:t>FUNDAMENTACIÓN Y MOTIVACIÓN.</w:t>
      </w:r>
      <w:r w:rsidRPr="00C95803">
        <w:rPr>
          <w:rFonts w:ascii="Palatino Linotype" w:hAnsi="Palatino Linotype" w:cs="Arial"/>
          <w:i/>
        </w:rPr>
        <w:t xml:space="preserve"> La </w:t>
      </w:r>
      <w:r w:rsidRPr="00C95803">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95803">
        <w:rPr>
          <w:rFonts w:ascii="Palatino Linotype" w:hAnsi="Palatino Linotype" w:cs="Arial"/>
          <w:i/>
        </w:rPr>
        <w:t>.</w:t>
      </w:r>
    </w:p>
    <w:p w:rsidR="00F77E6F" w:rsidRPr="00C95803" w:rsidRDefault="00F77E6F" w:rsidP="00C95803">
      <w:pPr>
        <w:spacing w:line="360" w:lineRule="auto"/>
        <w:ind w:left="567" w:right="567"/>
        <w:contextualSpacing/>
        <w:jc w:val="both"/>
        <w:rPr>
          <w:rFonts w:ascii="Palatino Linotype" w:hAnsi="Palatino Linotype" w:cs="Arial"/>
          <w:i/>
        </w:rPr>
      </w:pPr>
      <w:r w:rsidRPr="00C95803">
        <w:rPr>
          <w:rFonts w:ascii="Palatino Linotype" w:hAnsi="Palatino Linotype" w:cs="Arial"/>
          <w:i/>
        </w:rPr>
        <w:t>SEGUNDO TRIBUNAL COLEGIADO DEL SEXTO CIRCUITO.</w:t>
      </w:r>
    </w:p>
    <w:p w:rsidR="00F77E6F" w:rsidRPr="00C95803" w:rsidRDefault="00F77E6F" w:rsidP="00C95803">
      <w:pPr>
        <w:spacing w:line="360" w:lineRule="auto"/>
        <w:ind w:left="567" w:right="567"/>
        <w:contextualSpacing/>
        <w:jc w:val="both"/>
        <w:rPr>
          <w:rFonts w:ascii="Palatino Linotype" w:hAnsi="Palatino Linotype" w:cs="Arial"/>
          <w:i/>
        </w:rPr>
      </w:pPr>
      <w:r w:rsidRPr="00C95803">
        <w:rPr>
          <w:rFonts w:ascii="Palatino Linotype" w:hAnsi="Palatino Linotype" w:cs="Arial"/>
          <w:i/>
        </w:rPr>
        <w:t>Amparo directo 194/88. Bufete Industrial Construcciones, S.A. de C.V. 28 de junio de 1988. Unanimidad de votos. Ponente: Gustavo Calvillo Rangel. Secretario: Jorge Alberto González Álvarez.</w:t>
      </w:r>
    </w:p>
    <w:p w:rsidR="00F77E6F" w:rsidRPr="00C95803" w:rsidRDefault="00F77E6F" w:rsidP="00C95803">
      <w:pPr>
        <w:spacing w:line="360" w:lineRule="auto"/>
        <w:ind w:left="567" w:right="567"/>
        <w:contextualSpacing/>
        <w:jc w:val="both"/>
        <w:rPr>
          <w:rFonts w:ascii="Palatino Linotype" w:hAnsi="Palatino Linotype" w:cs="Arial"/>
          <w:i/>
        </w:rPr>
      </w:pPr>
      <w:r w:rsidRPr="00C95803">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C95803">
        <w:rPr>
          <w:rFonts w:ascii="Palatino Linotype" w:hAnsi="Palatino Linotype" w:cs="Arial"/>
          <w:i/>
        </w:rPr>
        <w:t>Esponda</w:t>
      </w:r>
      <w:proofErr w:type="spellEnd"/>
      <w:r w:rsidRPr="00C95803">
        <w:rPr>
          <w:rFonts w:ascii="Palatino Linotype" w:hAnsi="Palatino Linotype" w:cs="Arial"/>
          <w:i/>
        </w:rPr>
        <w:t xml:space="preserve"> Rincón.</w:t>
      </w:r>
    </w:p>
    <w:p w:rsidR="00F77E6F" w:rsidRPr="00C95803" w:rsidRDefault="00F77E6F" w:rsidP="00C95803">
      <w:pPr>
        <w:spacing w:line="360" w:lineRule="auto"/>
        <w:ind w:left="567" w:right="567"/>
        <w:contextualSpacing/>
        <w:jc w:val="both"/>
        <w:rPr>
          <w:rFonts w:ascii="Palatino Linotype" w:hAnsi="Palatino Linotype" w:cs="Arial"/>
          <w:i/>
        </w:rPr>
      </w:pPr>
      <w:r w:rsidRPr="00C95803">
        <w:rPr>
          <w:rFonts w:ascii="Palatino Linotype" w:hAnsi="Palatino Linotype" w:cs="Arial"/>
          <w:i/>
        </w:rPr>
        <w:t xml:space="preserve">Amparo en revisión 333/88. </w:t>
      </w:r>
      <w:proofErr w:type="spellStart"/>
      <w:r w:rsidRPr="00C95803">
        <w:rPr>
          <w:rFonts w:ascii="Palatino Linotype" w:hAnsi="Palatino Linotype" w:cs="Arial"/>
          <w:i/>
        </w:rPr>
        <w:t>Adilia</w:t>
      </w:r>
      <w:proofErr w:type="spellEnd"/>
      <w:r w:rsidRPr="00C95803">
        <w:rPr>
          <w:rFonts w:ascii="Palatino Linotype" w:hAnsi="Palatino Linotype" w:cs="Arial"/>
          <w:i/>
        </w:rPr>
        <w:t xml:space="preserve"> Romero. 26 de octubre de 1988. Unanimidad de votos. Ponente: Arnoldo Nájera Virgen. Secretario: Enrique Crispín Campos Ramírez.</w:t>
      </w:r>
    </w:p>
    <w:p w:rsidR="00F77E6F" w:rsidRPr="00C95803" w:rsidRDefault="00F77E6F" w:rsidP="00C95803">
      <w:pPr>
        <w:spacing w:line="360" w:lineRule="auto"/>
        <w:ind w:left="567" w:right="567"/>
        <w:contextualSpacing/>
        <w:jc w:val="both"/>
        <w:rPr>
          <w:rFonts w:ascii="Palatino Linotype" w:hAnsi="Palatino Linotype" w:cs="Arial"/>
          <w:i/>
        </w:rPr>
      </w:pPr>
      <w:r w:rsidRPr="00C95803">
        <w:rPr>
          <w:rFonts w:ascii="Palatino Linotype" w:hAnsi="Palatino Linotype" w:cs="Arial"/>
          <w:i/>
        </w:rPr>
        <w:t xml:space="preserve">Amparo en revisión 597/95. Emilio Maurer Bretón. 15 de noviembre de 1995. Unanimidad de votos. Ponente: Clementina Ramírez Moguel </w:t>
      </w:r>
      <w:proofErr w:type="spellStart"/>
      <w:r w:rsidRPr="00C95803">
        <w:rPr>
          <w:rFonts w:ascii="Palatino Linotype" w:hAnsi="Palatino Linotype" w:cs="Arial"/>
          <w:i/>
        </w:rPr>
        <w:t>Goyzueta</w:t>
      </w:r>
      <w:proofErr w:type="spellEnd"/>
      <w:r w:rsidRPr="00C95803">
        <w:rPr>
          <w:rFonts w:ascii="Palatino Linotype" w:hAnsi="Palatino Linotype" w:cs="Arial"/>
          <w:i/>
        </w:rPr>
        <w:t>. Secretario: Gonzalo Carrera Molina.</w:t>
      </w:r>
    </w:p>
    <w:p w:rsidR="00F77E6F" w:rsidRPr="00C95803" w:rsidRDefault="00F77E6F" w:rsidP="00C95803">
      <w:pPr>
        <w:spacing w:line="360" w:lineRule="auto"/>
        <w:ind w:left="567" w:right="567"/>
        <w:contextualSpacing/>
        <w:jc w:val="both"/>
        <w:rPr>
          <w:rFonts w:ascii="Palatino Linotype" w:hAnsi="Palatino Linotype" w:cs="Arial"/>
          <w:i/>
        </w:rPr>
      </w:pPr>
      <w:r w:rsidRPr="00C95803">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C95803">
        <w:rPr>
          <w:rFonts w:ascii="Palatino Linotype" w:hAnsi="Palatino Linotype" w:cs="Arial"/>
          <w:i/>
        </w:rPr>
        <w:t>Baigts</w:t>
      </w:r>
      <w:proofErr w:type="spellEnd"/>
      <w:r w:rsidRPr="00C95803">
        <w:rPr>
          <w:rFonts w:ascii="Palatino Linotype" w:hAnsi="Palatino Linotype" w:cs="Arial"/>
          <w:i/>
        </w:rPr>
        <w:t xml:space="preserve"> Muñoz.</w:t>
      </w:r>
    </w:p>
    <w:p w:rsidR="00F77E6F" w:rsidRPr="00C95803" w:rsidRDefault="00F77E6F" w:rsidP="00C95803">
      <w:pPr>
        <w:spacing w:line="360" w:lineRule="auto"/>
        <w:ind w:firstLine="1418"/>
        <w:contextualSpacing/>
        <w:jc w:val="both"/>
        <w:rPr>
          <w:rFonts w:ascii="Palatino Linotype" w:hAnsi="Palatino Linotype" w:cs="Arial"/>
          <w:lang w:val="es-ES"/>
        </w:rPr>
      </w:pPr>
    </w:p>
    <w:p w:rsidR="00F77E6F" w:rsidRPr="00C95803" w:rsidRDefault="00F77E6F" w:rsidP="00C9580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95803">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77E6F" w:rsidRPr="00C95803" w:rsidRDefault="00F77E6F" w:rsidP="00C95803">
      <w:pPr>
        <w:pStyle w:val="Prrafodelista"/>
        <w:shd w:val="clear" w:color="auto" w:fill="FFFFFF"/>
        <w:spacing w:line="360" w:lineRule="auto"/>
        <w:ind w:left="360"/>
        <w:jc w:val="both"/>
        <w:rPr>
          <w:rFonts w:ascii="Palatino Linotype" w:eastAsia="Times New Roman" w:hAnsi="Palatino Linotype" w:cs="Arial"/>
          <w:lang w:eastAsia="es-MX"/>
        </w:rPr>
      </w:pPr>
    </w:p>
    <w:p w:rsidR="00F77E6F" w:rsidRPr="00C95803" w:rsidRDefault="00F77E6F" w:rsidP="00C9580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95803">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77E6F" w:rsidRPr="00C95803" w:rsidRDefault="00F77E6F" w:rsidP="00C95803">
      <w:pPr>
        <w:shd w:val="clear" w:color="auto" w:fill="FFFFFF"/>
        <w:spacing w:line="360" w:lineRule="auto"/>
        <w:contextualSpacing/>
        <w:jc w:val="both"/>
        <w:rPr>
          <w:rFonts w:ascii="Palatino Linotype" w:eastAsia="Times New Roman" w:hAnsi="Palatino Linotype" w:cs="Arial"/>
          <w:lang w:eastAsia="es-MX"/>
        </w:rPr>
      </w:pPr>
    </w:p>
    <w:p w:rsidR="00F77E6F" w:rsidRPr="00C95803" w:rsidRDefault="00F77E6F" w:rsidP="00C9580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C95803">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rsidR="00F77E6F" w:rsidRPr="00C95803" w:rsidRDefault="00F77E6F" w:rsidP="00C95803">
      <w:pPr>
        <w:shd w:val="clear" w:color="auto" w:fill="FFFFFF"/>
        <w:spacing w:line="360" w:lineRule="auto"/>
        <w:jc w:val="both"/>
        <w:rPr>
          <w:rFonts w:ascii="Palatino Linotype" w:eastAsia="Times New Roman" w:hAnsi="Palatino Linotype" w:cs="Arial"/>
          <w:lang w:eastAsia="es-MX"/>
        </w:rPr>
      </w:pPr>
    </w:p>
    <w:p w:rsidR="00F77E6F" w:rsidRPr="00C95803" w:rsidRDefault="00F77E6F" w:rsidP="00C95803">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95803">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C95803">
        <w:rPr>
          <w:rFonts w:ascii="Palatino Linotype" w:hAnsi="Palatino Linotype"/>
        </w:rPr>
        <w:t xml:space="preserve"> </w:t>
      </w:r>
      <w:r w:rsidRPr="00C95803">
        <w:rPr>
          <w:rFonts w:ascii="Palatino Linotype" w:eastAsia="Times New Roman" w:hAnsi="Palatino Linotype" w:cs="Arial"/>
          <w:lang w:eastAsia="es-MX"/>
        </w:rPr>
        <w:t>datos personales</w:t>
      </w:r>
      <w:r w:rsidRPr="00C95803">
        <w:rPr>
          <w:rStyle w:val="Refdenotaalpie"/>
          <w:rFonts w:ascii="Palatino Linotype" w:eastAsia="Times New Roman" w:hAnsi="Palatino Linotype" w:cs="Arial"/>
          <w:lang w:eastAsia="es-MX"/>
        </w:rPr>
        <w:footnoteReference w:id="17"/>
      </w:r>
      <w:r w:rsidRPr="00C95803">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C95803">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77E6F" w:rsidRPr="00C95803" w:rsidRDefault="00F77E6F" w:rsidP="00C95803">
      <w:pPr>
        <w:pStyle w:val="Prrafodelista"/>
        <w:spacing w:line="360" w:lineRule="auto"/>
        <w:rPr>
          <w:rFonts w:ascii="Palatino Linotype" w:eastAsia="Times New Roman" w:hAnsi="Palatino Linotype" w:cs="Arial"/>
          <w:lang w:eastAsia="es-MX"/>
        </w:rPr>
      </w:pPr>
    </w:p>
    <w:p w:rsidR="00F77E6F" w:rsidRPr="00C95803" w:rsidRDefault="00F77E6F" w:rsidP="00C95803">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C9580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77E6F" w:rsidRPr="00C95803" w:rsidRDefault="00F77E6F" w:rsidP="00C95803">
      <w:pPr>
        <w:pStyle w:val="Prrafodelista"/>
        <w:spacing w:line="360" w:lineRule="auto"/>
        <w:rPr>
          <w:rFonts w:ascii="Palatino Linotype" w:eastAsia="Times New Roman" w:hAnsi="Palatino Linotype" w:cs="Arial"/>
          <w:lang w:eastAsia="es-MX"/>
        </w:rPr>
      </w:pPr>
    </w:p>
    <w:p w:rsidR="00F77E6F" w:rsidRPr="00C95803" w:rsidRDefault="00F77E6F" w:rsidP="00C95803">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C9580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C95803">
        <w:rPr>
          <w:rFonts w:ascii="Palatino Linotype" w:hAnsi="Palatino Linotype"/>
          <w:lang w:val="es-ES"/>
        </w:rPr>
        <w:t xml:space="preserve"> </w:t>
      </w:r>
    </w:p>
    <w:p w:rsidR="00A25CDE" w:rsidRPr="00C95803" w:rsidRDefault="00A25CDE" w:rsidP="00C95803">
      <w:pPr>
        <w:pStyle w:val="Ttulo1"/>
        <w:spacing w:line="360" w:lineRule="auto"/>
        <w:rPr>
          <w:color w:val="000000" w:themeColor="text1"/>
          <w:szCs w:val="24"/>
        </w:rPr>
      </w:pPr>
      <w:bookmarkStart w:id="47" w:name="_Toc486525259"/>
      <w:bookmarkStart w:id="48" w:name="_Toc520970063"/>
      <w:bookmarkStart w:id="49" w:name="_Toc527655143"/>
      <w:bookmarkStart w:id="50" w:name="_Toc22233031"/>
      <w:bookmarkStart w:id="51" w:name="_Toc23418076"/>
      <w:r w:rsidRPr="00C95803">
        <w:rPr>
          <w:color w:val="000000" w:themeColor="text1"/>
          <w:szCs w:val="24"/>
        </w:rPr>
        <w:t>SEXTO. Vista a los órganos de control interno</w:t>
      </w:r>
      <w:bookmarkEnd w:id="47"/>
      <w:bookmarkEnd w:id="48"/>
      <w:bookmarkEnd w:id="49"/>
      <w:bookmarkEnd w:id="50"/>
      <w:bookmarkEnd w:id="51"/>
    </w:p>
    <w:p w:rsidR="00A25CDE" w:rsidRPr="00C95803" w:rsidRDefault="00A25CDE" w:rsidP="00C95803">
      <w:pPr>
        <w:spacing w:line="360" w:lineRule="auto"/>
        <w:rPr>
          <w:rFonts w:ascii="Palatino Linotype" w:hAnsi="Palatino Linotype"/>
          <w:lang w:val="es-MX" w:eastAsia="en-US"/>
        </w:rPr>
      </w:pPr>
    </w:p>
    <w:p w:rsidR="00A25CDE" w:rsidRPr="00C95803" w:rsidRDefault="00A25CDE" w:rsidP="00C95803">
      <w:pPr>
        <w:pStyle w:val="Prrafodelista"/>
        <w:numPr>
          <w:ilvl w:val="0"/>
          <w:numId w:val="1"/>
        </w:numPr>
        <w:spacing w:before="240" w:after="240" w:line="360" w:lineRule="auto"/>
        <w:ind w:left="0" w:firstLine="0"/>
        <w:jc w:val="both"/>
        <w:rPr>
          <w:rFonts w:ascii="Palatino Linotype" w:hAnsi="Palatino Linotype"/>
        </w:rPr>
      </w:pPr>
      <w:r w:rsidRPr="00C95803">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95803">
        <w:rPr>
          <w:rFonts w:ascii="Palatino Linotype" w:hAnsi="Palatino Linotype"/>
          <w:b/>
        </w:rPr>
        <w:t>SUJETO OBLIGADO</w:t>
      </w:r>
      <w:r w:rsidRPr="00C95803">
        <w:rPr>
          <w:rFonts w:ascii="Palatino Linotype" w:hAnsi="Palatino Linotype"/>
        </w:rPr>
        <w:t>.</w:t>
      </w:r>
    </w:p>
    <w:p w:rsidR="00A25CDE" w:rsidRPr="00C95803" w:rsidRDefault="00A25CDE" w:rsidP="00C95803">
      <w:pPr>
        <w:pStyle w:val="Prrafodelista"/>
        <w:spacing w:line="360" w:lineRule="auto"/>
        <w:ind w:left="0"/>
        <w:rPr>
          <w:rFonts w:ascii="Palatino Linotype" w:hAnsi="Palatino Linotype"/>
        </w:rPr>
      </w:pPr>
    </w:p>
    <w:p w:rsidR="00A25CDE" w:rsidRPr="00C95803" w:rsidRDefault="00A25CDE" w:rsidP="00C95803">
      <w:pPr>
        <w:pStyle w:val="Prrafodelista"/>
        <w:numPr>
          <w:ilvl w:val="0"/>
          <w:numId w:val="1"/>
        </w:numPr>
        <w:spacing w:before="240" w:after="240" w:line="360" w:lineRule="auto"/>
        <w:ind w:left="0" w:firstLine="0"/>
        <w:jc w:val="both"/>
        <w:rPr>
          <w:rFonts w:ascii="Palatino Linotype" w:hAnsi="Palatino Linotype"/>
        </w:rPr>
      </w:pPr>
      <w:r w:rsidRPr="00C95803">
        <w:rPr>
          <w:rFonts w:ascii="Palatino Linotype" w:hAnsi="Palatino Linotype"/>
        </w:rPr>
        <w:t>Por ello, es conveniente señalar la fracción X, del artículo 36, de la Ley de Transparencia y Acceso a la Información Pública del Estado de México y Municipios, que establece:</w:t>
      </w:r>
    </w:p>
    <w:p w:rsidR="00A25CDE" w:rsidRPr="00C95803" w:rsidRDefault="00A25CDE" w:rsidP="00C95803">
      <w:pPr>
        <w:spacing w:line="360" w:lineRule="auto"/>
        <w:ind w:left="567" w:right="567"/>
        <w:contextualSpacing/>
        <w:jc w:val="both"/>
        <w:rPr>
          <w:rFonts w:ascii="Palatino Linotype" w:hAnsi="Palatino Linotype"/>
          <w:i/>
        </w:rPr>
      </w:pPr>
      <w:r w:rsidRPr="00C95803">
        <w:rPr>
          <w:rFonts w:ascii="Palatino Linotype" w:hAnsi="Palatino Linotype"/>
          <w:i/>
        </w:rPr>
        <w:t>Artículo 36. El Instituto tendrá, en el ámbito de su competencia, las siguientes atribuciones:</w:t>
      </w:r>
    </w:p>
    <w:p w:rsidR="00A25CDE" w:rsidRPr="00C95803" w:rsidRDefault="00A25CDE" w:rsidP="00C95803">
      <w:pPr>
        <w:spacing w:line="360" w:lineRule="auto"/>
        <w:ind w:left="567" w:right="567"/>
        <w:contextualSpacing/>
        <w:jc w:val="both"/>
        <w:rPr>
          <w:rFonts w:ascii="Palatino Linotype" w:hAnsi="Palatino Linotype"/>
          <w:i/>
        </w:rPr>
      </w:pPr>
      <w:r w:rsidRPr="00C95803">
        <w:rPr>
          <w:rFonts w:ascii="Palatino Linotype" w:hAnsi="Palatino Linotype"/>
          <w:i/>
        </w:rPr>
        <w:t>(…)</w:t>
      </w:r>
    </w:p>
    <w:p w:rsidR="00A25CDE" w:rsidRPr="00C95803" w:rsidRDefault="00A25CDE" w:rsidP="00C95803">
      <w:pPr>
        <w:spacing w:line="360" w:lineRule="auto"/>
        <w:ind w:left="567" w:right="567"/>
        <w:contextualSpacing/>
        <w:jc w:val="both"/>
        <w:rPr>
          <w:rFonts w:ascii="Palatino Linotype" w:hAnsi="Palatino Linotype"/>
          <w:i/>
        </w:rPr>
      </w:pPr>
      <w:r w:rsidRPr="00C95803">
        <w:rPr>
          <w:rFonts w:ascii="Palatino Linotype" w:hAnsi="Palatino Linotype"/>
          <w:i/>
        </w:rPr>
        <w:t xml:space="preserve">X. Hacer del conocimiento del órgano de control interno o equivalente de cada Sujeto Obligado las infracciones a esta Ley; </w:t>
      </w:r>
    </w:p>
    <w:p w:rsidR="00A25CDE" w:rsidRPr="00C95803" w:rsidRDefault="00A25CDE" w:rsidP="00C95803">
      <w:pPr>
        <w:spacing w:line="360" w:lineRule="auto"/>
        <w:ind w:left="567" w:right="567"/>
        <w:contextualSpacing/>
        <w:jc w:val="both"/>
        <w:rPr>
          <w:rFonts w:ascii="Palatino Linotype" w:hAnsi="Palatino Linotype"/>
          <w:i/>
        </w:rPr>
      </w:pPr>
      <w:r w:rsidRPr="00C95803">
        <w:rPr>
          <w:rFonts w:ascii="Palatino Linotype" w:hAnsi="Palatino Linotype"/>
          <w:i/>
        </w:rPr>
        <w:t>(…)</w:t>
      </w:r>
    </w:p>
    <w:p w:rsidR="00A25CDE" w:rsidRPr="00C95803" w:rsidRDefault="00A25CDE" w:rsidP="00C95803">
      <w:pPr>
        <w:pStyle w:val="Prrafodelista"/>
        <w:numPr>
          <w:ilvl w:val="0"/>
          <w:numId w:val="1"/>
        </w:numPr>
        <w:spacing w:before="240" w:after="240" w:line="360" w:lineRule="auto"/>
        <w:ind w:left="0" w:firstLine="0"/>
        <w:jc w:val="both"/>
        <w:rPr>
          <w:rFonts w:ascii="Palatino Linotype" w:eastAsia="MS Mincho" w:hAnsi="Palatino Linotype" w:cs="Arial"/>
        </w:rPr>
      </w:pPr>
      <w:r w:rsidRPr="00C95803">
        <w:rPr>
          <w:rFonts w:ascii="Palatino Linotype" w:hAnsi="Palatino Linotype"/>
        </w:rPr>
        <w:t xml:space="preserve">Asimismo, este Pleno hará del conocimiento del órgano de control de este Instituto de las infracciones en que el </w:t>
      </w:r>
      <w:r w:rsidRPr="00C95803">
        <w:rPr>
          <w:rFonts w:ascii="Palatino Linotype" w:hAnsi="Palatino Linotype"/>
          <w:b/>
        </w:rPr>
        <w:t>SUJETO OBLIGADO</w:t>
      </w:r>
      <w:r w:rsidRPr="00C95803">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C95803">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A25CDE" w:rsidRPr="00C95803" w:rsidRDefault="00A25CDE" w:rsidP="00C95803">
      <w:pPr>
        <w:spacing w:line="360" w:lineRule="auto"/>
        <w:ind w:left="567" w:right="567"/>
        <w:jc w:val="both"/>
        <w:rPr>
          <w:rFonts w:ascii="Palatino Linotype" w:hAnsi="Palatino Linotype"/>
          <w:i/>
        </w:rPr>
      </w:pPr>
      <w:r w:rsidRPr="00C95803">
        <w:rPr>
          <w:rFonts w:ascii="Palatino Linotype" w:hAnsi="Palatino Linotype"/>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25CDE" w:rsidRPr="00C95803" w:rsidRDefault="00A25CDE" w:rsidP="00C95803">
      <w:pPr>
        <w:spacing w:line="360" w:lineRule="auto"/>
        <w:ind w:left="567" w:right="567"/>
        <w:contextualSpacing/>
        <w:jc w:val="both"/>
        <w:rPr>
          <w:rFonts w:ascii="Palatino Linotype" w:hAnsi="Palatino Linotype"/>
          <w:i/>
        </w:rPr>
      </w:pPr>
    </w:p>
    <w:p w:rsidR="00A25CDE" w:rsidRPr="00C95803" w:rsidRDefault="00A25CDE" w:rsidP="00C95803">
      <w:pPr>
        <w:spacing w:line="360" w:lineRule="auto"/>
        <w:ind w:left="567" w:right="567"/>
        <w:contextualSpacing/>
        <w:jc w:val="both"/>
        <w:rPr>
          <w:rFonts w:ascii="Palatino Linotype" w:hAnsi="Palatino Linotype"/>
          <w:i/>
        </w:rPr>
      </w:pPr>
      <w:r w:rsidRPr="00C95803">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A25CDE" w:rsidRPr="00C95803" w:rsidRDefault="00A25CDE" w:rsidP="00C95803">
      <w:pPr>
        <w:spacing w:line="360" w:lineRule="auto"/>
        <w:ind w:left="567" w:right="567"/>
        <w:contextualSpacing/>
        <w:jc w:val="both"/>
        <w:rPr>
          <w:rFonts w:ascii="Palatino Linotype" w:hAnsi="Palatino Linotype"/>
          <w:i/>
        </w:rPr>
      </w:pPr>
      <w:r w:rsidRPr="00C95803">
        <w:rPr>
          <w:rFonts w:ascii="Palatino Linotype" w:hAnsi="Palatino Linotype"/>
          <w:i/>
        </w:rPr>
        <w:t>…</w:t>
      </w:r>
    </w:p>
    <w:p w:rsidR="00A25CDE" w:rsidRPr="00C95803" w:rsidRDefault="00A25CDE" w:rsidP="00C95803">
      <w:pPr>
        <w:spacing w:line="360" w:lineRule="auto"/>
        <w:ind w:left="567" w:right="567"/>
        <w:contextualSpacing/>
        <w:jc w:val="both"/>
        <w:rPr>
          <w:rFonts w:ascii="Palatino Linotype" w:hAnsi="Palatino Linotype"/>
          <w:i/>
        </w:rPr>
      </w:pPr>
      <w:r w:rsidRPr="00C95803">
        <w:rPr>
          <w:rFonts w:ascii="Palatino Linotype" w:hAnsi="Palatino Linotype"/>
          <w:i/>
        </w:rPr>
        <w:t>I. Cualquier acto u omisión que provoque la suspensión o deficiencia en la atención de las solicitudes de información;</w:t>
      </w:r>
    </w:p>
    <w:p w:rsidR="00A25CDE" w:rsidRPr="00C95803" w:rsidRDefault="00A25CDE" w:rsidP="00C95803">
      <w:pPr>
        <w:spacing w:line="360" w:lineRule="auto"/>
        <w:ind w:left="567" w:right="567"/>
        <w:contextualSpacing/>
        <w:jc w:val="both"/>
        <w:rPr>
          <w:rFonts w:ascii="Palatino Linotype" w:hAnsi="Palatino Linotype"/>
          <w:i/>
        </w:rPr>
      </w:pPr>
    </w:p>
    <w:p w:rsidR="00A25CDE" w:rsidRPr="00C95803" w:rsidRDefault="00A25CDE" w:rsidP="00C95803">
      <w:pPr>
        <w:spacing w:line="360" w:lineRule="auto"/>
        <w:ind w:left="567" w:right="567"/>
        <w:contextualSpacing/>
        <w:jc w:val="both"/>
        <w:rPr>
          <w:rFonts w:ascii="Palatino Linotype" w:hAnsi="Palatino Linotype"/>
          <w:b/>
          <w:i/>
        </w:rPr>
      </w:pPr>
      <w:r w:rsidRPr="00C95803">
        <w:rPr>
          <w:rFonts w:ascii="Palatino Linotype" w:hAnsi="Palatino Linotype"/>
          <w:b/>
          <w:i/>
        </w:rPr>
        <w:t>II. La falta de respuesta a las solicitudes de información en los plazos señalados en la normatividad aplicable;</w:t>
      </w:r>
    </w:p>
    <w:p w:rsidR="00A25CDE" w:rsidRPr="00C95803" w:rsidRDefault="00A25CDE" w:rsidP="00C95803">
      <w:pPr>
        <w:spacing w:line="360" w:lineRule="auto"/>
        <w:ind w:left="567" w:right="567"/>
        <w:contextualSpacing/>
        <w:jc w:val="both"/>
        <w:rPr>
          <w:rFonts w:ascii="Palatino Linotype" w:hAnsi="Palatino Linotype"/>
          <w:i/>
        </w:rPr>
      </w:pPr>
      <w:r w:rsidRPr="00C95803">
        <w:rPr>
          <w:rFonts w:ascii="Palatino Linotype" w:hAnsi="Palatino Linotype"/>
          <w:i/>
        </w:rPr>
        <w:t>…</w:t>
      </w:r>
    </w:p>
    <w:p w:rsidR="00A25CDE" w:rsidRPr="00C95803" w:rsidRDefault="00A25CDE" w:rsidP="00C95803">
      <w:pPr>
        <w:autoSpaceDE w:val="0"/>
        <w:autoSpaceDN w:val="0"/>
        <w:adjustRightInd w:val="0"/>
        <w:spacing w:line="360" w:lineRule="auto"/>
        <w:ind w:left="567" w:right="567"/>
        <w:jc w:val="both"/>
        <w:rPr>
          <w:rFonts w:ascii="Palatino Linotype" w:hAnsi="Palatino Linotype" w:cs="Bookman Old Style"/>
          <w:i/>
          <w:lang w:val="es-MX"/>
        </w:rPr>
      </w:pPr>
      <w:r w:rsidRPr="00C95803">
        <w:rPr>
          <w:rFonts w:ascii="Palatino Linotype" w:hAnsi="Palatino Linotype" w:cs="Bookman Old Style,Bold"/>
          <w:bCs/>
          <w:i/>
          <w:lang w:val="es-MX"/>
        </w:rPr>
        <w:t>XI.</w:t>
      </w:r>
      <w:r w:rsidRPr="00C95803">
        <w:rPr>
          <w:rFonts w:ascii="Palatino Linotype" w:hAnsi="Palatino Linotype" w:cs="Bookman Old Style,Bold"/>
          <w:b/>
          <w:bCs/>
          <w:i/>
          <w:lang w:val="es-MX"/>
        </w:rPr>
        <w:t xml:space="preserve"> </w:t>
      </w:r>
      <w:r w:rsidRPr="00C95803">
        <w:rPr>
          <w:rFonts w:ascii="Palatino Linotype" w:hAnsi="Palatino Linotype" w:cs="Bookman Old Style"/>
          <w:i/>
          <w:lang w:val="es-MX"/>
        </w:rPr>
        <w:t>No actualizar la información correspondiente a las obligaciones de transparencia en los plazos previstos en la presente Ley;</w:t>
      </w:r>
    </w:p>
    <w:p w:rsidR="00A25CDE" w:rsidRPr="00C95803" w:rsidRDefault="00A25CDE" w:rsidP="00C95803">
      <w:pPr>
        <w:autoSpaceDE w:val="0"/>
        <w:autoSpaceDN w:val="0"/>
        <w:adjustRightInd w:val="0"/>
        <w:spacing w:line="360" w:lineRule="auto"/>
        <w:ind w:left="567" w:right="567"/>
        <w:jc w:val="both"/>
        <w:rPr>
          <w:rFonts w:ascii="Palatino Linotype" w:hAnsi="Palatino Linotype" w:cs="Bookman Old Style"/>
          <w:i/>
          <w:lang w:val="es-MX"/>
        </w:rPr>
      </w:pPr>
      <w:r w:rsidRPr="00C95803">
        <w:rPr>
          <w:rFonts w:ascii="Palatino Linotype" w:hAnsi="Palatino Linotype" w:cs="Bookman Old Style,Bold"/>
          <w:bCs/>
          <w:i/>
          <w:lang w:val="es-MX"/>
        </w:rPr>
        <w:t>…</w:t>
      </w:r>
    </w:p>
    <w:p w:rsidR="00A25CDE" w:rsidRPr="00C95803" w:rsidRDefault="00A25CDE" w:rsidP="00C95803">
      <w:pPr>
        <w:autoSpaceDE w:val="0"/>
        <w:autoSpaceDN w:val="0"/>
        <w:adjustRightInd w:val="0"/>
        <w:spacing w:line="360" w:lineRule="auto"/>
        <w:ind w:left="567" w:right="567"/>
        <w:rPr>
          <w:rFonts w:ascii="Palatino Linotype" w:hAnsi="Palatino Linotype"/>
          <w:i/>
        </w:rPr>
      </w:pPr>
    </w:p>
    <w:p w:rsidR="00A25CDE" w:rsidRPr="00C95803" w:rsidRDefault="00A25CDE" w:rsidP="00C95803">
      <w:pPr>
        <w:spacing w:line="360" w:lineRule="auto"/>
        <w:ind w:left="567" w:right="567"/>
        <w:contextualSpacing/>
        <w:jc w:val="both"/>
        <w:rPr>
          <w:rFonts w:ascii="Palatino Linotype" w:hAnsi="Palatino Linotype"/>
          <w:i/>
        </w:rPr>
      </w:pPr>
      <w:r w:rsidRPr="00C95803">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25CDE" w:rsidRPr="00C95803" w:rsidRDefault="00A25CDE" w:rsidP="00C95803">
      <w:pPr>
        <w:spacing w:line="360" w:lineRule="auto"/>
        <w:ind w:left="567" w:right="567"/>
        <w:contextualSpacing/>
        <w:jc w:val="both"/>
        <w:rPr>
          <w:rFonts w:ascii="Palatino Linotype" w:hAnsi="Palatino Linotype"/>
          <w:i/>
        </w:rPr>
      </w:pPr>
    </w:p>
    <w:p w:rsidR="00A25CDE" w:rsidRPr="00C95803" w:rsidRDefault="00A25CDE" w:rsidP="00C95803">
      <w:pPr>
        <w:pStyle w:val="Prrafodelista"/>
        <w:numPr>
          <w:ilvl w:val="0"/>
          <w:numId w:val="1"/>
        </w:numPr>
        <w:spacing w:before="240" w:after="240" w:line="360" w:lineRule="auto"/>
        <w:ind w:left="0" w:firstLine="0"/>
        <w:jc w:val="both"/>
        <w:rPr>
          <w:rFonts w:ascii="Palatino Linotype" w:hAnsi="Palatino Linotype" w:cs="Arial"/>
        </w:rPr>
      </w:pPr>
      <w:r w:rsidRPr="00C95803">
        <w:rPr>
          <w:rFonts w:ascii="Palatino Linotype" w:hAnsi="Palatino Linotype"/>
          <w:color w:val="000000"/>
          <w:lang w:val="es-ES" w:eastAsia="es-MX"/>
        </w:rPr>
        <w:t xml:space="preserve">Por lo anteriormente expuesto y fundado, este </w:t>
      </w:r>
      <w:r w:rsidRPr="00C95803">
        <w:rPr>
          <w:rFonts w:ascii="Palatino Linotype" w:hAnsi="Palatino Linotype"/>
          <w:b/>
          <w:bCs/>
          <w:color w:val="000000"/>
          <w:lang w:val="es-ES" w:eastAsia="es-MX"/>
        </w:rPr>
        <w:t>ÓRGANO GARANTE</w:t>
      </w:r>
      <w:r w:rsidRPr="00C95803">
        <w:rPr>
          <w:rFonts w:ascii="Palatino Linotype" w:hAnsi="Palatino Linotype"/>
          <w:color w:val="000000"/>
          <w:lang w:val="es-ES" w:eastAsia="es-MX"/>
        </w:rPr>
        <w:t xml:space="preserve"> emite los siguientes:  </w:t>
      </w:r>
    </w:p>
    <w:p w:rsidR="0015267F" w:rsidRPr="00C95803" w:rsidRDefault="0015267F" w:rsidP="00C95803">
      <w:pPr>
        <w:pStyle w:val="Prrafodelista"/>
        <w:spacing w:line="360" w:lineRule="auto"/>
        <w:rPr>
          <w:rFonts w:ascii="Palatino Linotype" w:hAnsi="Palatino Linotype"/>
          <w:lang w:val="es-ES"/>
        </w:rPr>
      </w:pPr>
    </w:p>
    <w:p w:rsidR="00C250F8" w:rsidRPr="00C250F8" w:rsidRDefault="002A5BA4" w:rsidP="00C250F8">
      <w:pPr>
        <w:pStyle w:val="Prrafodelista"/>
        <w:numPr>
          <w:ilvl w:val="0"/>
          <w:numId w:val="1"/>
        </w:numPr>
        <w:spacing w:before="240" w:after="240" w:line="360" w:lineRule="auto"/>
        <w:ind w:left="0" w:firstLine="0"/>
        <w:jc w:val="both"/>
        <w:rPr>
          <w:rFonts w:ascii="Palatino Linotype" w:hAnsi="Palatino Linotype" w:cs="Arial"/>
        </w:rPr>
      </w:pPr>
      <w:r w:rsidRPr="00C95803">
        <w:rPr>
          <w:rFonts w:ascii="Palatino Linotype" w:hAnsi="Palatino Linotype"/>
          <w:color w:val="000000"/>
          <w:lang w:val="es-ES" w:eastAsia="es-MX"/>
        </w:rPr>
        <w:t xml:space="preserve">Por lo anteriormente expuesto y fundado, este </w:t>
      </w:r>
      <w:r w:rsidRPr="00C95803">
        <w:rPr>
          <w:rFonts w:ascii="Palatino Linotype" w:hAnsi="Palatino Linotype"/>
          <w:b/>
          <w:bCs/>
          <w:color w:val="000000"/>
          <w:lang w:val="es-ES" w:eastAsia="es-MX"/>
        </w:rPr>
        <w:t>ÓRGANO GARANTE</w:t>
      </w:r>
      <w:r w:rsidRPr="00C95803">
        <w:rPr>
          <w:rFonts w:ascii="Palatino Linotype" w:hAnsi="Palatino Linotype"/>
          <w:color w:val="000000"/>
          <w:lang w:val="es-ES" w:eastAsia="es-MX"/>
        </w:rPr>
        <w:t xml:space="preserve"> emite los siguientes:</w:t>
      </w:r>
      <w:r w:rsidR="00150242" w:rsidRPr="00C95803">
        <w:rPr>
          <w:rFonts w:ascii="Palatino Linotype" w:hAnsi="Palatino Linotype"/>
          <w:color w:val="000000"/>
          <w:lang w:val="es-ES" w:eastAsia="es-MX"/>
        </w:rPr>
        <w:t xml:space="preserve"> </w:t>
      </w:r>
      <w:r w:rsidR="00237EAE" w:rsidRPr="00C95803">
        <w:rPr>
          <w:rFonts w:ascii="Palatino Linotype" w:hAnsi="Palatino Linotype"/>
          <w:color w:val="000000"/>
          <w:lang w:val="es-ES" w:eastAsia="es-MX"/>
        </w:rPr>
        <w:t xml:space="preserve"> </w:t>
      </w:r>
    </w:p>
    <w:p w:rsidR="00C250F8" w:rsidRPr="00C250F8" w:rsidRDefault="00C250F8" w:rsidP="00C250F8">
      <w:pPr>
        <w:pStyle w:val="Prrafodelista"/>
        <w:rPr>
          <w:rFonts w:ascii="Palatino Linotype" w:hAnsi="Palatino Linotype" w:cs="Arial"/>
        </w:rPr>
      </w:pPr>
    </w:p>
    <w:p w:rsidR="00C250F8" w:rsidRDefault="00C250F8" w:rsidP="00C250F8">
      <w:pPr>
        <w:spacing w:before="240" w:after="240" w:line="360" w:lineRule="auto"/>
        <w:jc w:val="both"/>
        <w:rPr>
          <w:rFonts w:ascii="Palatino Linotype" w:hAnsi="Palatino Linotype" w:cs="Arial"/>
        </w:rPr>
      </w:pPr>
    </w:p>
    <w:p w:rsidR="00C250F8" w:rsidRDefault="00C250F8" w:rsidP="00C250F8">
      <w:pPr>
        <w:spacing w:before="240" w:after="240" w:line="360" w:lineRule="auto"/>
        <w:jc w:val="both"/>
        <w:rPr>
          <w:rFonts w:ascii="Palatino Linotype" w:hAnsi="Palatino Linotype" w:cs="Arial"/>
        </w:rPr>
      </w:pPr>
    </w:p>
    <w:p w:rsidR="00EC5602" w:rsidRDefault="00EC5602" w:rsidP="00C250F8">
      <w:pPr>
        <w:spacing w:before="240" w:after="240" w:line="360" w:lineRule="auto"/>
        <w:jc w:val="both"/>
        <w:rPr>
          <w:rFonts w:ascii="Palatino Linotype" w:hAnsi="Palatino Linotype" w:cs="Arial"/>
        </w:rPr>
      </w:pPr>
    </w:p>
    <w:p w:rsidR="00EC5602" w:rsidRDefault="00EC5602" w:rsidP="00C250F8">
      <w:pPr>
        <w:spacing w:before="240" w:after="240" w:line="360" w:lineRule="auto"/>
        <w:jc w:val="both"/>
        <w:rPr>
          <w:rFonts w:ascii="Palatino Linotype" w:hAnsi="Palatino Linotype" w:cs="Arial"/>
        </w:rPr>
      </w:pPr>
    </w:p>
    <w:p w:rsidR="00EC5602" w:rsidRDefault="00EC5602" w:rsidP="00C250F8">
      <w:pPr>
        <w:spacing w:before="240" w:after="240" w:line="360" w:lineRule="auto"/>
        <w:jc w:val="both"/>
        <w:rPr>
          <w:rFonts w:ascii="Palatino Linotype" w:hAnsi="Palatino Linotype" w:cs="Arial"/>
        </w:rPr>
      </w:pPr>
      <w:bookmarkStart w:id="52" w:name="_GoBack"/>
      <w:bookmarkEnd w:id="52"/>
    </w:p>
    <w:p w:rsidR="00C250F8" w:rsidRPr="00C250F8" w:rsidRDefault="00C250F8" w:rsidP="00C250F8">
      <w:pPr>
        <w:spacing w:before="240" w:after="240" w:line="360" w:lineRule="auto"/>
        <w:jc w:val="both"/>
        <w:rPr>
          <w:rFonts w:ascii="Palatino Linotype" w:hAnsi="Palatino Linotype" w:cs="Arial"/>
        </w:rPr>
      </w:pPr>
    </w:p>
    <w:p w:rsidR="002A5BA4" w:rsidRPr="00C95803" w:rsidRDefault="002A5BA4" w:rsidP="00C95803">
      <w:pPr>
        <w:keepNext/>
        <w:keepLines/>
        <w:spacing w:line="360" w:lineRule="auto"/>
        <w:jc w:val="center"/>
        <w:outlineLvl w:val="0"/>
        <w:rPr>
          <w:rFonts w:ascii="Palatino Linotype" w:eastAsia="Times New Roman" w:hAnsi="Palatino Linotype" w:cstheme="majorBidi"/>
          <w:b/>
          <w:bCs/>
        </w:rPr>
      </w:pPr>
      <w:bookmarkStart w:id="53" w:name="_Toc447699324"/>
      <w:bookmarkStart w:id="54" w:name="_Toc445745148"/>
      <w:bookmarkStart w:id="55" w:name="_Toc486525261"/>
      <w:bookmarkStart w:id="56" w:name="_Toc23418077"/>
      <w:r w:rsidRPr="00C95803">
        <w:rPr>
          <w:rFonts w:ascii="Palatino Linotype" w:eastAsia="Times New Roman" w:hAnsi="Palatino Linotype" w:cstheme="majorBidi"/>
          <w:b/>
          <w:bCs/>
        </w:rPr>
        <w:t>R E S O L U T I V O S</w:t>
      </w:r>
      <w:bookmarkEnd w:id="53"/>
      <w:bookmarkEnd w:id="54"/>
      <w:bookmarkEnd w:id="55"/>
      <w:bookmarkEnd w:id="56"/>
    </w:p>
    <w:p w:rsidR="00B165CC" w:rsidRPr="00C95803" w:rsidRDefault="00B165CC" w:rsidP="00C95803">
      <w:pPr>
        <w:keepNext/>
        <w:keepLines/>
        <w:spacing w:line="360" w:lineRule="auto"/>
        <w:jc w:val="center"/>
        <w:outlineLvl w:val="0"/>
        <w:rPr>
          <w:rFonts w:ascii="Palatino Linotype" w:eastAsia="Times New Roman" w:hAnsi="Palatino Linotype" w:cstheme="majorBidi"/>
          <w:b/>
          <w:bCs/>
        </w:rPr>
      </w:pPr>
    </w:p>
    <w:p w:rsidR="00E81879" w:rsidRPr="00C95803" w:rsidRDefault="00E81879" w:rsidP="00C95803">
      <w:pPr>
        <w:spacing w:line="360" w:lineRule="auto"/>
        <w:jc w:val="both"/>
        <w:rPr>
          <w:rFonts w:ascii="Palatino Linotype" w:eastAsia="Times New Roman" w:hAnsi="Palatino Linotype" w:cs="Times New Roman"/>
        </w:rPr>
      </w:pPr>
      <w:r w:rsidRPr="00C95803">
        <w:rPr>
          <w:rFonts w:ascii="Palatino Linotype" w:eastAsia="Times New Roman" w:hAnsi="Palatino Linotype" w:cs="Arial"/>
          <w:b/>
        </w:rPr>
        <w:t xml:space="preserve">PRIMERO. </w:t>
      </w:r>
      <w:r w:rsidRPr="00C95803">
        <w:rPr>
          <w:rFonts w:ascii="Palatino Linotype" w:eastAsia="Times New Roman" w:hAnsi="Palatino Linotype" w:cs="Arial"/>
        </w:rPr>
        <w:t xml:space="preserve">Resultan </w:t>
      </w:r>
      <w:r w:rsidR="006E74A1" w:rsidRPr="00C95803">
        <w:rPr>
          <w:rFonts w:ascii="Palatino Linotype" w:eastAsia="Times New Roman" w:hAnsi="Palatino Linotype" w:cs="Arial"/>
        </w:rPr>
        <w:t xml:space="preserve">fundadas </w:t>
      </w:r>
      <w:r w:rsidRPr="00C95803">
        <w:rPr>
          <w:rFonts w:ascii="Palatino Linotype" w:eastAsia="Times New Roman" w:hAnsi="Palatino Linotype" w:cs="Arial"/>
        </w:rPr>
        <w:t>las</w:t>
      </w:r>
      <w:r w:rsidRPr="00C95803">
        <w:rPr>
          <w:rFonts w:ascii="Palatino Linotype" w:eastAsia="Times New Roman" w:hAnsi="Palatino Linotype" w:cs="Arial"/>
          <w:b/>
        </w:rPr>
        <w:t xml:space="preserve"> </w:t>
      </w:r>
      <w:r w:rsidRPr="00C95803">
        <w:rPr>
          <w:rFonts w:ascii="Palatino Linotype" w:eastAsia="Times New Roman" w:hAnsi="Palatino Linotype" w:cs="Arial"/>
          <w:lang w:val="es-ES"/>
        </w:rPr>
        <w:t xml:space="preserve">razones o motivos de inconformidad hechos valer </w:t>
      </w:r>
      <w:r w:rsidRPr="00C95803">
        <w:rPr>
          <w:rFonts w:ascii="Palatino Linotype" w:eastAsia="Calibri" w:hAnsi="Palatino Linotype" w:cs="Arial"/>
          <w:lang w:val="es-ES"/>
        </w:rPr>
        <w:t xml:space="preserve">en </w:t>
      </w:r>
      <w:r w:rsidR="001E69EF" w:rsidRPr="00C95803">
        <w:rPr>
          <w:rFonts w:ascii="Palatino Linotype" w:eastAsia="Calibri" w:hAnsi="Palatino Linotype" w:cs="Arial"/>
          <w:lang w:val="es-ES"/>
        </w:rPr>
        <w:t>el</w:t>
      </w:r>
      <w:r w:rsidRPr="00C95803">
        <w:rPr>
          <w:rFonts w:ascii="Palatino Linotype" w:eastAsia="Calibri" w:hAnsi="Palatino Linotype" w:cs="Arial"/>
          <w:lang w:val="es-ES"/>
        </w:rPr>
        <w:t xml:space="preserve"> recurso de revisión </w:t>
      </w:r>
      <w:r w:rsidR="004B019D" w:rsidRPr="00C95803">
        <w:rPr>
          <w:rFonts w:ascii="Palatino Linotype" w:hAnsi="Palatino Linotype" w:cs="Arial"/>
          <w:b/>
          <w:bCs/>
        </w:rPr>
        <w:t>0</w:t>
      </w:r>
      <w:r w:rsidR="00A8727A" w:rsidRPr="00C95803">
        <w:rPr>
          <w:rFonts w:ascii="Palatino Linotype" w:hAnsi="Palatino Linotype" w:cs="Arial"/>
          <w:b/>
          <w:bCs/>
        </w:rPr>
        <w:t>6</w:t>
      </w:r>
      <w:r w:rsidR="004A1F40" w:rsidRPr="00C95803">
        <w:rPr>
          <w:rFonts w:ascii="Palatino Linotype" w:hAnsi="Palatino Linotype" w:cs="Arial"/>
          <w:b/>
          <w:bCs/>
        </w:rPr>
        <w:t>9</w:t>
      </w:r>
      <w:r w:rsidR="006D6E49" w:rsidRPr="00C95803">
        <w:rPr>
          <w:rFonts w:ascii="Palatino Linotype" w:hAnsi="Palatino Linotype" w:cs="Arial"/>
          <w:b/>
          <w:bCs/>
        </w:rPr>
        <w:t>83</w:t>
      </w:r>
      <w:r w:rsidR="00794037" w:rsidRPr="00C95803">
        <w:rPr>
          <w:rFonts w:ascii="Palatino Linotype" w:hAnsi="Palatino Linotype" w:cs="Arial"/>
          <w:b/>
          <w:bCs/>
        </w:rPr>
        <w:t>/INFOEM/IP/RR/2019</w:t>
      </w:r>
      <w:r w:rsidR="004B019D" w:rsidRPr="00C95803">
        <w:rPr>
          <w:rFonts w:ascii="Palatino Linotype" w:hAnsi="Palatino Linotype" w:cs="Arial"/>
          <w:b/>
          <w:bCs/>
        </w:rPr>
        <w:t xml:space="preserve">, </w:t>
      </w:r>
      <w:r w:rsidR="009A66DF" w:rsidRPr="00C95803">
        <w:rPr>
          <w:rFonts w:ascii="Palatino Linotype" w:hAnsi="Palatino Linotype" w:cs="Arial"/>
          <w:bCs/>
        </w:rPr>
        <w:t>en términos de</w:t>
      </w:r>
      <w:r w:rsidR="000205C3" w:rsidRPr="00C95803">
        <w:rPr>
          <w:rFonts w:ascii="Palatino Linotype" w:hAnsi="Palatino Linotype" w:cs="Arial"/>
          <w:bCs/>
        </w:rPr>
        <w:t xml:space="preserve"> </w:t>
      </w:r>
      <w:r w:rsidR="008078B6" w:rsidRPr="00C95803">
        <w:rPr>
          <w:rFonts w:ascii="Palatino Linotype" w:hAnsi="Palatino Linotype" w:cs="Arial"/>
          <w:bCs/>
        </w:rPr>
        <w:t>l</w:t>
      </w:r>
      <w:r w:rsidR="000205C3" w:rsidRPr="00C95803">
        <w:rPr>
          <w:rFonts w:ascii="Palatino Linotype" w:hAnsi="Palatino Linotype" w:cs="Arial"/>
          <w:bCs/>
        </w:rPr>
        <w:t>os</w:t>
      </w:r>
      <w:r w:rsidR="009A66DF" w:rsidRPr="00C95803">
        <w:rPr>
          <w:rFonts w:ascii="Palatino Linotype" w:hAnsi="Palatino Linotype" w:cs="Arial"/>
          <w:bCs/>
        </w:rPr>
        <w:t xml:space="preserve"> considerando</w:t>
      </w:r>
      <w:r w:rsidR="000205C3" w:rsidRPr="00C95803">
        <w:rPr>
          <w:rFonts w:ascii="Palatino Linotype" w:hAnsi="Palatino Linotype" w:cs="Arial"/>
          <w:bCs/>
        </w:rPr>
        <w:t>s</w:t>
      </w:r>
      <w:r w:rsidR="009A66DF" w:rsidRPr="00C95803">
        <w:rPr>
          <w:rFonts w:ascii="Palatino Linotype" w:hAnsi="Palatino Linotype" w:cs="Arial"/>
          <w:bCs/>
        </w:rPr>
        <w:t xml:space="preserve"> </w:t>
      </w:r>
      <w:r w:rsidR="009A66DF" w:rsidRPr="00C95803">
        <w:rPr>
          <w:rFonts w:ascii="Palatino Linotype" w:hAnsi="Palatino Linotype" w:cs="Arial"/>
          <w:b/>
          <w:bCs/>
        </w:rPr>
        <w:t>CUARTO</w:t>
      </w:r>
      <w:r w:rsidR="009A66DF" w:rsidRPr="00C95803">
        <w:rPr>
          <w:rFonts w:ascii="Palatino Linotype" w:hAnsi="Palatino Linotype" w:cs="Arial"/>
          <w:bCs/>
        </w:rPr>
        <w:t xml:space="preserve"> </w:t>
      </w:r>
      <w:r w:rsidR="000205C3" w:rsidRPr="00C95803">
        <w:rPr>
          <w:rFonts w:ascii="Palatino Linotype" w:hAnsi="Palatino Linotype" w:cs="Arial"/>
          <w:bCs/>
        </w:rPr>
        <w:t xml:space="preserve">y </w:t>
      </w:r>
      <w:r w:rsidR="000205C3" w:rsidRPr="00C95803">
        <w:rPr>
          <w:rFonts w:ascii="Palatino Linotype" w:hAnsi="Palatino Linotype" w:cs="Arial"/>
          <w:b/>
          <w:bCs/>
        </w:rPr>
        <w:t>QUINTO</w:t>
      </w:r>
      <w:r w:rsidR="00ED70A8" w:rsidRPr="00C95803">
        <w:rPr>
          <w:rFonts w:ascii="Palatino Linotype" w:hAnsi="Palatino Linotype" w:cs="Arial"/>
          <w:b/>
          <w:bCs/>
        </w:rPr>
        <w:t xml:space="preserve"> </w:t>
      </w:r>
      <w:r w:rsidR="009A66DF" w:rsidRPr="00C95803">
        <w:rPr>
          <w:rFonts w:ascii="Palatino Linotype" w:hAnsi="Palatino Linotype" w:cs="Arial"/>
          <w:bCs/>
        </w:rPr>
        <w:t>de la presente resolución.</w:t>
      </w:r>
      <w:r w:rsidR="00886B78" w:rsidRPr="00C95803">
        <w:rPr>
          <w:rFonts w:ascii="Palatino Linotype" w:hAnsi="Palatino Linotype" w:cs="Arial"/>
          <w:bCs/>
        </w:rPr>
        <w:t xml:space="preserve"> </w:t>
      </w:r>
    </w:p>
    <w:p w:rsidR="002E2041" w:rsidRPr="00C95803" w:rsidRDefault="00E81879" w:rsidP="00C95803">
      <w:pPr>
        <w:spacing w:before="240" w:after="240" w:line="360" w:lineRule="auto"/>
        <w:jc w:val="both"/>
        <w:rPr>
          <w:rFonts w:ascii="Palatino Linotype" w:eastAsia="Calibri" w:hAnsi="Palatino Linotype" w:cs="Arial"/>
          <w:lang w:val="es-ES"/>
        </w:rPr>
      </w:pPr>
      <w:bookmarkStart w:id="57" w:name="_Toc477891768"/>
      <w:bookmarkStart w:id="58" w:name="_Toc477891858"/>
      <w:bookmarkStart w:id="59" w:name="_Toc481576259"/>
      <w:bookmarkStart w:id="60" w:name="_Toc492590391"/>
      <w:bookmarkStart w:id="61" w:name="_Toc462653937"/>
      <w:bookmarkStart w:id="62" w:name="_Toc453696502"/>
      <w:bookmarkStart w:id="63" w:name="_Toc454301155"/>
      <w:r w:rsidRPr="00C95803">
        <w:rPr>
          <w:rFonts w:ascii="Palatino Linotype" w:hAnsi="Palatino Linotype"/>
          <w:b/>
        </w:rPr>
        <w:t>SEGUNDO.</w:t>
      </w:r>
      <w:r w:rsidRPr="00C95803">
        <w:rPr>
          <w:rStyle w:val="Ttulo2Car"/>
          <w:rFonts w:ascii="Palatino Linotype" w:hAnsi="Palatino Linotype"/>
          <w:b/>
          <w:sz w:val="24"/>
          <w:szCs w:val="24"/>
        </w:rPr>
        <w:t xml:space="preserve"> </w:t>
      </w:r>
      <w:bookmarkEnd w:id="57"/>
      <w:bookmarkEnd w:id="58"/>
      <w:bookmarkEnd w:id="59"/>
      <w:bookmarkEnd w:id="60"/>
      <w:bookmarkEnd w:id="61"/>
      <w:bookmarkEnd w:id="62"/>
      <w:bookmarkEnd w:id="63"/>
      <w:r w:rsidR="00A25CDE" w:rsidRPr="00C95803">
        <w:rPr>
          <w:rFonts w:ascii="Palatino Linotype" w:eastAsia="Calibri" w:hAnsi="Palatino Linotype" w:cs="Arial"/>
          <w:b/>
          <w:lang w:val="es-ES"/>
        </w:rPr>
        <w:t>ORDENA</w:t>
      </w:r>
      <w:r w:rsidR="00A25CDE" w:rsidRPr="00C95803">
        <w:rPr>
          <w:rFonts w:ascii="Palatino Linotype" w:eastAsia="Calibri" w:hAnsi="Palatino Linotype" w:cs="Arial"/>
          <w:lang w:val="es-ES"/>
        </w:rPr>
        <w:t xml:space="preserve"> a</w:t>
      </w:r>
      <w:r w:rsidR="00716862" w:rsidRPr="00C95803">
        <w:rPr>
          <w:rFonts w:ascii="Palatino Linotype" w:eastAsia="Calibri" w:hAnsi="Palatino Linotype" w:cs="Arial"/>
          <w:lang w:val="es-ES"/>
        </w:rPr>
        <w:t>l</w:t>
      </w:r>
      <w:r w:rsidR="00716862" w:rsidRPr="00C95803">
        <w:rPr>
          <w:rFonts w:ascii="Palatino Linotype" w:eastAsia="Calibri" w:hAnsi="Palatino Linotype" w:cs="Arial"/>
          <w:b/>
          <w:lang w:val="es-ES"/>
        </w:rPr>
        <w:t xml:space="preserve"> </w:t>
      </w:r>
      <w:r w:rsidR="00716862" w:rsidRPr="00C95803">
        <w:rPr>
          <w:rFonts w:ascii="Palatino Linotype" w:hAnsi="Palatino Linotype"/>
          <w:b/>
          <w:bCs/>
        </w:rPr>
        <w:t xml:space="preserve">Ayuntamiento de </w:t>
      </w:r>
      <w:r w:rsidR="00A25CDE" w:rsidRPr="00C95803">
        <w:rPr>
          <w:rFonts w:ascii="Palatino Linotype" w:hAnsi="Palatino Linotype"/>
          <w:b/>
          <w:bCs/>
        </w:rPr>
        <w:t>Atizapán</w:t>
      </w:r>
      <w:r w:rsidR="00716862" w:rsidRPr="00C95803">
        <w:rPr>
          <w:rFonts w:ascii="Palatino Linotype" w:eastAsia="Calibri" w:hAnsi="Palatino Linotype" w:cs="Arial"/>
          <w:lang w:val="es-ES"/>
        </w:rPr>
        <w:t xml:space="preserve"> </w:t>
      </w:r>
      <w:r w:rsidR="00A82194" w:rsidRPr="00C95803">
        <w:rPr>
          <w:rFonts w:ascii="Palatino Linotype" w:eastAsia="Calibri" w:hAnsi="Palatino Linotype" w:cs="Arial"/>
          <w:lang w:val="es-ES"/>
        </w:rPr>
        <w:t xml:space="preserve">entregar, vía </w:t>
      </w:r>
      <w:r w:rsidR="007740EB" w:rsidRPr="00C95803">
        <w:rPr>
          <w:rFonts w:ascii="Palatino Linotype" w:eastAsia="Times New Roman" w:hAnsi="Palatino Linotype" w:cs="Arial"/>
          <w:b/>
          <w:lang w:val="es-ES"/>
        </w:rPr>
        <w:t>Sistema de Acceso a la Información Mexiquense</w:t>
      </w:r>
      <w:r w:rsidR="00C93E8B" w:rsidRPr="00C95803">
        <w:rPr>
          <w:rFonts w:ascii="Palatino Linotype" w:eastAsia="Times New Roman" w:hAnsi="Palatino Linotype" w:cs="Arial"/>
          <w:b/>
          <w:lang w:val="es-ES"/>
        </w:rPr>
        <w:t xml:space="preserve"> (SAIMEX)</w:t>
      </w:r>
      <w:r w:rsidR="00A25CDE" w:rsidRPr="00C95803">
        <w:rPr>
          <w:rFonts w:ascii="Palatino Linotype" w:eastAsia="Times New Roman" w:hAnsi="Palatino Linotype" w:cs="Arial"/>
          <w:lang w:val="es-ES"/>
        </w:rPr>
        <w:t xml:space="preserve"> y vía </w:t>
      </w:r>
      <w:r w:rsidR="00A25CDE" w:rsidRPr="00C95803">
        <w:rPr>
          <w:rFonts w:ascii="Palatino Linotype" w:eastAsia="Times New Roman" w:hAnsi="Palatino Linotype" w:cs="Arial"/>
          <w:b/>
          <w:lang w:val="es-ES"/>
        </w:rPr>
        <w:t>correo electrónico</w:t>
      </w:r>
      <w:r w:rsidR="002E2041" w:rsidRPr="00C95803">
        <w:rPr>
          <w:rFonts w:ascii="Palatino Linotype" w:eastAsia="Times New Roman" w:hAnsi="Palatino Linotype" w:cs="Arial"/>
          <w:lang w:val="es-ES"/>
        </w:rPr>
        <w:t xml:space="preserve"> </w:t>
      </w:r>
      <w:r w:rsidR="00766EB6" w:rsidRPr="00C95803">
        <w:rPr>
          <w:rFonts w:ascii="Palatino Linotype" w:eastAsia="Times New Roman" w:hAnsi="Palatino Linotype" w:cs="Arial"/>
          <w:lang w:val="es-ES"/>
        </w:rPr>
        <w:t xml:space="preserve">previa búsqueda exhaustiva y razonable, </w:t>
      </w:r>
      <w:r w:rsidR="000F2EDB" w:rsidRPr="00C95803">
        <w:rPr>
          <w:rFonts w:ascii="Palatino Linotype" w:eastAsia="Times New Roman" w:hAnsi="Palatino Linotype" w:cs="Arial"/>
          <w:lang w:val="es-ES"/>
        </w:rPr>
        <w:t xml:space="preserve">de ser el caso </w:t>
      </w:r>
      <w:r w:rsidR="006B3D8E" w:rsidRPr="00C95803">
        <w:rPr>
          <w:rFonts w:ascii="Palatino Linotype" w:eastAsia="Times New Roman" w:hAnsi="Palatino Linotype" w:cs="Arial"/>
          <w:lang w:val="es-ES"/>
        </w:rPr>
        <w:t>en versión pública</w:t>
      </w:r>
      <w:r w:rsidR="00766EB6" w:rsidRPr="00C95803">
        <w:rPr>
          <w:rFonts w:ascii="Palatino Linotype" w:eastAsia="Times New Roman" w:hAnsi="Palatino Linotype" w:cs="Arial"/>
          <w:lang w:val="es-ES"/>
        </w:rPr>
        <w:t xml:space="preserve">, </w:t>
      </w:r>
      <w:r w:rsidR="0051509C" w:rsidRPr="00C95803">
        <w:rPr>
          <w:rFonts w:ascii="Palatino Linotype" w:eastAsia="Times New Roman" w:hAnsi="Palatino Linotype" w:cs="Arial"/>
          <w:lang w:val="es-ES"/>
        </w:rPr>
        <w:t>l</w:t>
      </w:r>
      <w:r w:rsidR="00766EB6" w:rsidRPr="00C95803">
        <w:rPr>
          <w:rFonts w:ascii="Palatino Linotype" w:eastAsia="Times New Roman" w:hAnsi="Palatino Linotype" w:cs="Arial"/>
          <w:lang w:val="es-ES"/>
        </w:rPr>
        <w:t>o</w:t>
      </w:r>
      <w:r w:rsidR="0051509C" w:rsidRPr="00C95803">
        <w:rPr>
          <w:rFonts w:ascii="Palatino Linotype" w:eastAsia="Times New Roman" w:hAnsi="Palatino Linotype" w:cs="Arial"/>
          <w:lang w:val="es-ES"/>
        </w:rPr>
        <w:t xml:space="preserve"> siguiente</w:t>
      </w:r>
      <w:r w:rsidR="00F77E6F" w:rsidRPr="00C95803">
        <w:rPr>
          <w:rFonts w:ascii="Palatino Linotype" w:eastAsia="Times New Roman" w:hAnsi="Palatino Linotype" w:cs="Arial"/>
          <w:lang w:val="es-ES"/>
        </w:rPr>
        <w:t>:</w:t>
      </w:r>
      <w:r w:rsidR="00DC18BA" w:rsidRPr="00C95803">
        <w:rPr>
          <w:rFonts w:ascii="Palatino Linotype" w:eastAsia="Times New Roman" w:hAnsi="Palatino Linotype" w:cs="Arial"/>
          <w:lang w:val="es-ES"/>
        </w:rPr>
        <w:t xml:space="preserve"> </w:t>
      </w:r>
      <w:r w:rsidR="00543B5B" w:rsidRPr="00C95803">
        <w:rPr>
          <w:rFonts w:ascii="Palatino Linotype" w:eastAsia="Times New Roman" w:hAnsi="Palatino Linotype" w:cs="Arial"/>
          <w:lang w:val="es-ES"/>
        </w:rPr>
        <w:t xml:space="preserve"> </w:t>
      </w:r>
    </w:p>
    <w:p w:rsidR="00AA1D3A" w:rsidRPr="00C95803" w:rsidRDefault="007A53D3" w:rsidP="00C95803">
      <w:pPr>
        <w:pStyle w:val="Prrafodelista"/>
        <w:numPr>
          <w:ilvl w:val="0"/>
          <w:numId w:val="8"/>
        </w:numPr>
        <w:spacing w:line="360" w:lineRule="auto"/>
        <w:ind w:left="284" w:right="616"/>
        <w:jc w:val="both"/>
        <w:rPr>
          <w:rFonts w:ascii="Palatino Linotype" w:hAnsi="Palatino Linotype"/>
          <w:b/>
          <w:bCs/>
        </w:rPr>
      </w:pPr>
      <w:bookmarkStart w:id="64" w:name="_Toc460947013"/>
      <w:r w:rsidRPr="00C95803">
        <w:rPr>
          <w:rFonts w:ascii="Palatino Linotype" w:hAnsi="Palatino Linotype"/>
          <w:b/>
          <w:bCs/>
        </w:rPr>
        <w:t>Del Fondo de Aportaciones para la Seguridad Pública de los Estados y del Distrito Federal (FASP)</w:t>
      </w:r>
      <w:r w:rsidR="00A25CDE" w:rsidRPr="00C95803">
        <w:rPr>
          <w:rFonts w:ascii="Palatino Linotype" w:hAnsi="Palatino Linotype"/>
          <w:b/>
          <w:bCs/>
        </w:rPr>
        <w:t xml:space="preserve"> del uno (01) de enero del año dos mil quince al veintinueve (29) de j</w:t>
      </w:r>
      <w:r w:rsidR="00AA1D3A" w:rsidRPr="00C95803">
        <w:rPr>
          <w:rFonts w:ascii="Palatino Linotype" w:hAnsi="Palatino Linotype"/>
          <w:b/>
          <w:bCs/>
        </w:rPr>
        <w:t>ulio del año dos mil diecinueve:</w:t>
      </w:r>
    </w:p>
    <w:p w:rsidR="00561820" w:rsidRPr="00C95803" w:rsidRDefault="00561820" w:rsidP="00C95803">
      <w:pPr>
        <w:pStyle w:val="Prrafodelista"/>
        <w:numPr>
          <w:ilvl w:val="1"/>
          <w:numId w:val="5"/>
        </w:numPr>
        <w:spacing w:line="360" w:lineRule="auto"/>
        <w:ind w:left="567" w:right="616"/>
        <w:jc w:val="both"/>
        <w:rPr>
          <w:rFonts w:ascii="Palatino Linotype" w:hAnsi="Palatino Linotype"/>
          <w:b/>
          <w:bCs/>
        </w:rPr>
      </w:pPr>
      <w:r w:rsidRPr="00C95803">
        <w:rPr>
          <w:rFonts w:ascii="Palatino Linotype" w:hAnsi="Palatino Linotype"/>
          <w:b/>
          <w:bCs/>
        </w:rPr>
        <w:t xml:space="preserve">Contratos, estudios de mercado, documentos donde conste la revisión de las bases realizada por la Contraloría Interna, así como las facturas de los bienes adquiridos. </w:t>
      </w:r>
    </w:p>
    <w:p w:rsidR="00561820" w:rsidRPr="00C95803" w:rsidRDefault="00561820" w:rsidP="00C95803">
      <w:pPr>
        <w:pStyle w:val="Prrafodelista"/>
        <w:numPr>
          <w:ilvl w:val="1"/>
          <w:numId w:val="5"/>
        </w:numPr>
        <w:spacing w:line="360" w:lineRule="auto"/>
        <w:ind w:left="567" w:right="616"/>
        <w:jc w:val="both"/>
        <w:rPr>
          <w:rFonts w:ascii="Palatino Linotype" w:hAnsi="Palatino Linotype"/>
          <w:b/>
          <w:bCs/>
        </w:rPr>
      </w:pPr>
      <w:r w:rsidRPr="00C95803">
        <w:rPr>
          <w:rFonts w:ascii="Palatino Linotype" w:hAnsi="Palatino Linotype"/>
          <w:b/>
          <w:bCs/>
        </w:rPr>
        <w:t xml:space="preserve">Documentos donde consten los reportes erogados donde se advierta cómo y en qué se destinó el gasto de los recursos recibidos. </w:t>
      </w:r>
    </w:p>
    <w:p w:rsidR="00561820" w:rsidRPr="00C95803" w:rsidRDefault="00561820" w:rsidP="00C95803">
      <w:pPr>
        <w:pStyle w:val="Prrafodelista"/>
        <w:numPr>
          <w:ilvl w:val="1"/>
          <w:numId w:val="5"/>
        </w:numPr>
        <w:spacing w:line="360" w:lineRule="auto"/>
        <w:ind w:left="567" w:right="616"/>
        <w:jc w:val="both"/>
        <w:rPr>
          <w:rFonts w:ascii="Palatino Linotype" w:hAnsi="Palatino Linotype"/>
          <w:b/>
          <w:bCs/>
        </w:rPr>
      </w:pPr>
      <w:r w:rsidRPr="00C95803">
        <w:rPr>
          <w:rFonts w:ascii="Palatino Linotype" w:hAnsi="Palatino Linotype"/>
          <w:b/>
          <w:bCs/>
        </w:rPr>
        <w:t>Todos los documentos remitidos al Secretariado Ejecutivo del Sistema de Seguridad Pública.</w:t>
      </w:r>
    </w:p>
    <w:p w:rsidR="00561820" w:rsidRPr="00C95803" w:rsidRDefault="00561820" w:rsidP="00C95803">
      <w:pPr>
        <w:pStyle w:val="Prrafodelista"/>
        <w:numPr>
          <w:ilvl w:val="1"/>
          <w:numId w:val="5"/>
        </w:numPr>
        <w:spacing w:line="360" w:lineRule="auto"/>
        <w:ind w:left="567" w:right="616"/>
        <w:jc w:val="both"/>
        <w:rPr>
          <w:rFonts w:ascii="Palatino Linotype" w:hAnsi="Palatino Linotype"/>
          <w:b/>
          <w:bCs/>
        </w:rPr>
      </w:pPr>
      <w:r w:rsidRPr="00C95803">
        <w:rPr>
          <w:rFonts w:ascii="Palatino Linotype" w:hAnsi="Palatino Linotype"/>
          <w:b/>
          <w:bCs/>
        </w:rPr>
        <w:t>Documentos donde conste la revisión de bases y anexos técnicos de los bienes comprados; y,</w:t>
      </w:r>
    </w:p>
    <w:p w:rsidR="00561820" w:rsidRPr="00C95803" w:rsidRDefault="00561820" w:rsidP="00C95803">
      <w:pPr>
        <w:pStyle w:val="Prrafodelista"/>
        <w:numPr>
          <w:ilvl w:val="1"/>
          <w:numId w:val="5"/>
        </w:numPr>
        <w:spacing w:line="360" w:lineRule="auto"/>
        <w:ind w:left="567" w:right="616"/>
        <w:jc w:val="both"/>
        <w:rPr>
          <w:rFonts w:ascii="Palatino Linotype" w:hAnsi="Palatino Linotype"/>
          <w:b/>
          <w:bCs/>
        </w:rPr>
      </w:pPr>
      <w:r w:rsidRPr="00C95803">
        <w:rPr>
          <w:rFonts w:ascii="Palatino Linotype" w:hAnsi="Palatino Linotype"/>
          <w:b/>
          <w:bCs/>
        </w:rPr>
        <w:t xml:space="preserve">Documentos donde consten las auditorías realizadas. </w:t>
      </w:r>
    </w:p>
    <w:p w:rsidR="00561820" w:rsidRPr="00C95803" w:rsidRDefault="00561820" w:rsidP="00C95803">
      <w:pPr>
        <w:pStyle w:val="Prrafodelista"/>
        <w:spacing w:line="360" w:lineRule="auto"/>
        <w:ind w:left="567" w:right="616"/>
        <w:jc w:val="both"/>
        <w:rPr>
          <w:rFonts w:ascii="Palatino Linotype" w:hAnsi="Palatino Linotype"/>
          <w:b/>
          <w:bCs/>
        </w:rPr>
      </w:pPr>
    </w:p>
    <w:p w:rsidR="007A53D3" w:rsidRPr="00C95803" w:rsidRDefault="00A25CDE" w:rsidP="00C95803">
      <w:pPr>
        <w:pStyle w:val="Prrafodelista"/>
        <w:numPr>
          <w:ilvl w:val="0"/>
          <w:numId w:val="8"/>
        </w:numPr>
        <w:spacing w:line="360" w:lineRule="auto"/>
        <w:ind w:left="284" w:right="616"/>
        <w:jc w:val="both"/>
        <w:rPr>
          <w:rFonts w:ascii="Palatino Linotype" w:hAnsi="Palatino Linotype"/>
          <w:b/>
          <w:bCs/>
        </w:rPr>
      </w:pPr>
      <w:r w:rsidRPr="00C95803">
        <w:rPr>
          <w:rFonts w:ascii="Palatino Linotype" w:hAnsi="Palatino Linotype"/>
          <w:b/>
          <w:bCs/>
        </w:rPr>
        <w:t>D</w:t>
      </w:r>
      <w:r w:rsidR="007A53D3" w:rsidRPr="00C95803">
        <w:rPr>
          <w:rFonts w:ascii="Palatino Linotype" w:hAnsi="Palatino Linotype"/>
          <w:b/>
          <w:bCs/>
        </w:rPr>
        <w:t>el Programa de Fortalecimiento para la Seguridad (FORTASEG)</w:t>
      </w:r>
      <w:r w:rsidR="007A53D3" w:rsidRPr="00C95803">
        <w:rPr>
          <w:rFonts w:ascii="Palatino Linotype" w:hAnsi="Palatino Linotype"/>
          <w:b/>
          <w:bCs/>
          <w:u w:val="single"/>
        </w:rPr>
        <w:t>,</w:t>
      </w:r>
      <w:r w:rsidR="007A53D3" w:rsidRPr="00C95803">
        <w:rPr>
          <w:rFonts w:ascii="Palatino Linotype" w:hAnsi="Palatino Linotype"/>
          <w:b/>
          <w:bCs/>
        </w:rPr>
        <w:t xml:space="preserve"> del periodo relativo del uno (01) de enero del año dos mil quince al veintinueve (29) de julio del año dos mil diecinueve;</w:t>
      </w:r>
    </w:p>
    <w:p w:rsidR="007A53D3" w:rsidRPr="00C95803" w:rsidRDefault="007A53D3" w:rsidP="00C95803">
      <w:pPr>
        <w:pStyle w:val="Prrafodelista"/>
        <w:numPr>
          <w:ilvl w:val="0"/>
          <w:numId w:val="9"/>
        </w:numPr>
        <w:spacing w:line="360" w:lineRule="auto"/>
        <w:ind w:left="567" w:right="616"/>
        <w:jc w:val="both"/>
        <w:rPr>
          <w:rFonts w:ascii="Palatino Linotype" w:hAnsi="Palatino Linotype"/>
          <w:b/>
          <w:bCs/>
        </w:rPr>
      </w:pPr>
      <w:r w:rsidRPr="00C95803">
        <w:rPr>
          <w:rFonts w:ascii="Palatino Linotype" w:hAnsi="Palatino Linotype"/>
          <w:b/>
          <w:bCs/>
        </w:rPr>
        <w:t xml:space="preserve">Contratos, estudios de mercado, documentos donde conste la revisión de las bases realizada por la Contraloría Interna, así como las facturas de los bienes adquiridos. </w:t>
      </w:r>
    </w:p>
    <w:p w:rsidR="007A53D3" w:rsidRPr="00C95803" w:rsidRDefault="007A53D3" w:rsidP="00C95803">
      <w:pPr>
        <w:pStyle w:val="Prrafodelista"/>
        <w:numPr>
          <w:ilvl w:val="0"/>
          <w:numId w:val="9"/>
        </w:numPr>
        <w:spacing w:line="360" w:lineRule="auto"/>
        <w:ind w:left="567" w:right="616"/>
        <w:jc w:val="both"/>
        <w:rPr>
          <w:rFonts w:ascii="Palatino Linotype" w:hAnsi="Palatino Linotype"/>
          <w:b/>
          <w:bCs/>
        </w:rPr>
      </w:pPr>
      <w:r w:rsidRPr="00C95803">
        <w:rPr>
          <w:rFonts w:ascii="Palatino Linotype" w:hAnsi="Palatino Linotype"/>
          <w:b/>
          <w:bCs/>
        </w:rPr>
        <w:t xml:space="preserve">Documentos donde consten los reportes erogados donde se advierta cómo y en qué se destinó el gasto de los recursos recibidos. </w:t>
      </w:r>
    </w:p>
    <w:p w:rsidR="007A53D3" w:rsidRPr="00C95803" w:rsidRDefault="007A53D3" w:rsidP="00C95803">
      <w:pPr>
        <w:pStyle w:val="Prrafodelista"/>
        <w:numPr>
          <w:ilvl w:val="0"/>
          <w:numId w:val="9"/>
        </w:numPr>
        <w:spacing w:line="360" w:lineRule="auto"/>
        <w:ind w:left="567" w:right="616"/>
        <w:jc w:val="both"/>
        <w:rPr>
          <w:rFonts w:ascii="Palatino Linotype" w:hAnsi="Palatino Linotype"/>
          <w:b/>
          <w:bCs/>
        </w:rPr>
      </w:pPr>
      <w:r w:rsidRPr="00C95803">
        <w:rPr>
          <w:rFonts w:ascii="Palatino Linotype" w:hAnsi="Palatino Linotype"/>
          <w:b/>
          <w:bCs/>
        </w:rPr>
        <w:t>Todos los documentos remitidos al Secretariado Ejecutivo del Sistema de Seguridad Pública.</w:t>
      </w:r>
    </w:p>
    <w:p w:rsidR="007A53D3" w:rsidRPr="00C95803" w:rsidRDefault="007A53D3" w:rsidP="00C95803">
      <w:pPr>
        <w:pStyle w:val="Prrafodelista"/>
        <w:numPr>
          <w:ilvl w:val="0"/>
          <w:numId w:val="9"/>
        </w:numPr>
        <w:spacing w:line="360" w:lineRule="auto"/>
        <w:ind w:left="567" w:right="616"/>
        <w:jc w:val="both"/>
        <w:rPr>
          <w:rFonts w:ascii="Palatino Linotype" w:hAnsi="Palatino Linotype"/>
          <w:b/>
          <w:bCs/>
        </w:rPr>
      </w:pPr>
      <w:r w:rsidRPr="00C95803">
        <w:rPr>
          <w:rFonts w:ascii="Palatino Linotype" w:hAnsi="Palatino Linotype"/>
          <w:b/>
          <w:bCs/>
        </w:rPr>
        <w:t>Documentos donde conste la revisión de bases y anexos técnicos de los bienes comprados; y,</w:t>
      </w:r>
    </w:p>
    <w:p w:rsidR="007A53D3" w:rsidRPr="00C95803" w:rsidRDefault="007A53D3" w:rsidP="00C95803">
      <w:pPr>
        <w:pStyle w:val="Prrafodelista"/>
        <w:numPr>
          <w:ilvl w:val="0"/>
          <w:numId w:val="9"/>
        </w:numPr>
        <w:spacing w:line="360" w:lineRule="auto"/>
        <w:ind w:left="567" w:right="616"/>
        <w:jc w:val="both"/>
        <w:rPr>
          <w:rFonts w:ascii="Palatino Linotype" w:hAnsi="Palatino Linotype"/>
          <w:b/>
          <w:bCs/>
        </w:rPr>
      </w:pPr>
      <w:r w:rsidRPr="00C95803">
        <w:rPr>
          <w:rFonts w:ascii="Palatino Linotype" w:hAnsi="Palatino Linotype"/>
          <w:b/>
          <w:bCs/>
        </w:rPr>
        <w:t xml:space="preserve">Documentos donde consten las auditorías realizadas. </w:t>
      </w:r>
    </w:p>
    <w:p w:rsidR="007A53D3" w:rsidRPr="00C95803" w:rsidRDefault="007A53D3" w:rsidP="00C95803">
      <w:pPr>
        <w:spacing w:line="360" w:lineRule="auto"/>
        <w:jc w:val="both"/>
        <w:rPr>
          <w:rFonts w:ascii="Palatino Linotype" w:eastAsia="Calibri" w:hAnsi="Palatino Linotype" w:cs="Arial"/>
        </w:rPr>
      </w:pPr>
    </w:p>
    <w:p w:rsidR="00415864" w:rsidRPr="00C95803" w:rsidRDefault="00415864" w:rsidP="00C95803">
      <w:pPr>
        <w:spacing w:line="360" w:lineRule="auto"/>
        <w:jc w:val="both"/>
        <w:rPr>
          <w:rFonts w:ascii="Palatino Linotype" w:eastAsia="Calibri" w:hAnsi="Palatino Linotype" w:cs="Arial"/>
        </w:rPr>
      </w:pPr>
      <w:r w:rsidRPr="00C9580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w:t>
      </w:r>
      <w:r w:rsidR="00A3464C" w:rsidRPr="00C95803">
        <w:rPr>
          <w:rFonts w:ascii="Palatino Linotype" w:eastAsia="Calibri" w:hAnsi="Palatino Linotype" w:cs="Arial"/>
        </w:rPr>
        <w:t>a disposición de la parte recurrente.</w:t>
      </w:r>
    </w:p>
    <w:p w:rsidR="00A25CDE" w:rsidRPr="00C95803" w:rsidRDefault="00A25CDE" w:rsidP="00C95803">
      <w:pPr>
        <w:spacing w:line="360" w:lineRule="auto"/>
        <w:jc w:val="both"/>
        <w:rPr>
          <w:rFonts w:ascii="Palatino Linotype" w:eastAsia="Calibri" w:hAnsi="Palatino Linotype" w:cs="Arial"/>
        </w:rPr>
      </w:pPr>
    </w:p>
    <w:p w:rsidR="00A25CDE" w:rsidRPr="00C95803" w:rsidRDefault="00A25CDE" w:rsidP="00C95803">
      <w:pPr>
        <w:tabs>
          <w:tab w:val="left" w:pos="8080"/>
        </w:tabs>
        <w:spacing w:line="360" w:lineRule="auto"/>
        <w:jc w:val="both"/>
        <w:rPr>
          <w:rFonts w:ascii="Palatino Linotype" w:eastAsia="Palatino Linotype" w:hAnsi="Palatino Linotype" w:cs="Palatino Linotype"/>
        </w:rPr>
      </w:pPr>
      <w:r w:rsidRPr="00C95803">
        <w:rPr>
          <w:rFonts w:ascii="Palatino Linotype" w:eastAsia="Palatino Linotype" w:hAnsi="Palatino Linotype" w:cs="Palatino Linotype"/>
        </w:rPr>
        <w:t>Para el caso de que el </w:t>
      </w:r>
      <w:r w:rsidRPr="00C95803">
        <w:rPr>
          <w:rFonts w:ascii="Palatino Linotype" w:eastAsia="Palatino Linotype" w:hAnsi="Palatino Linotype" w:cs="Palatino Linotype"/>
          <w:b/>
          <w:bCs/>
        </w:rPr>
        <w:t>SUJETO OBLIGADO</w:t>
      </w:r>
      <w:r w:rsidRPr="00C95803">
        <w:rPr>
          <w:rFonts w:ascii="Palatino Linotype" w:eastAsia="Palatino Linotype" w:hAnsi="Palatino Linotype" w:cs="Palatino Linotype"/>
        </w:rPr>
        <w:t xml:space="preserve">, no localice la información señalada en el </w:t>
      </w:r>
      <w:r w:rsidRPr="00C95803">
        <w:rPr>
          <w:rFonts w:ascii="Palatino Linotype" w:eastAsia="Palatino Linotype" w:hAnsi="Palatino Linotype" w:cs="Palatino Linotype"/>
          <w:b/>
          <w:bCs/>
        </w:rPr>
        <w:t>inciso número 1</w:t>
      </w:r>
      <w:r w:rsidRPr="00C95803">
        <w:rPr>
          <w:rFonts w:ascii="Palatino Linotype" w:eastAsia="Palatino Linotype" w:hAnsi="Palatino Linotype" w:cs="Palatino Linotype"/>
        </w:rPr>
        <w:t>, deberá de emitir el Acuerdo de Inexistencia en términos de los artículos 49, fracciones II y XIII, 169 y 170 de la Ley de Transparencia y Acceso a la Información Pública del Estado de México y Municipios que al respecto emita su Comité de Transparencia.</w:t>
      </w:r>
    </w:p>
    <w:p w:rsidR="0059406B" w:rsidRPr="00C95803" w:rsidRDefault="0059406B" w:rsidP="00C95803">
      <w:pPr>
        <w:spacing w:line="360" w:lineRule="auto"/>
        <w:jc w:val="both"/>
        <w:rPr>
          <w:rFonts w:ascii="Palatino Linotype" w:eastAsia="Calibri" w:hAnsi="Palatino Linotype" w:cs="Arial"/>
        </w:rPr>
      </w:pPr>
    </w:p>
    <w:p w:rsidR="00E81879" w:rsidRPr="00C95803" w:rsidRDefault="0051509C" w:rsidP="00C95803">
      <w:pPr>
        <w:tabs>
          <w:tab w:val="left" w:pos="8080"/>
        </w:tabs>
        <w:spacing w:line="360" w:lineRule="auto"/>
        <w:ind w:right="49"/>
        <w:contextualSpacing/>
        <w:jc w:val="both"/>
        <w:rPr>
          <w:rFonts w:ascii="Palatino Linotype" w:eastAsia="Palatino Linotype" w:hAnsi="Palatino Linotype" w:cs="Palatino Linotype"/>
          <w:b/>
        </w:rPr>
      </w:pPr>
      <w:r w:rsidRPr="00C95803">
        <w:rPr>
          <w:rFonts w:ascii="Palatino Linotype" w:eastAsia="Palatino Linotype" w:hAnsi="Palatino Linotype" w:cs="Palatino Linotype"/>
          <w:b/>
        </w:rPr>
        <w:t>TERCERO</w:t>
      </w:r>
      <w:r w:rsidR="00710E1F" w:rsidRPr="00C95803">
        <w:rPr>
          <w:rFonts w:ascii="Palatino Linotype" w:eastAsia="Palatino Linotype" w:hAnsi="Palatino Linotype" w:cs="Palatino Linotype"/>
          <w:b/>
        </w:rPr>
        <w:t xml:space="preserve">. </w:t>
      </w:r>
      <w:r w:rsidR="00E81879" w:rsidRPr="00C95803">
        <w:rPr>
          <w:rFonts w:ascii="Palatino Linotype" w:eastAsia="Palatino Linotype" w:hAnsi="Palatino Linotype" w:cs="Palatino Linotype"/>
          <w:b/>
        </w:rPr>
        <w:t xml:space="preserve">Notifíquese </w:t>
      </w:r>
      <w:r w:rsidR="00E81879" w:rsidRPr="00C95803">
        <w:rPr>
          <w:rFonts w:ascii="Palatino Linotype" w:eastAsia="Palatino Linotype" w:hAnsi="Palatino Linotype" w:cs="Palatino Linotype"/>
        </w:rPr>
        <w:t xml:space="preserve">al Titular de la Unidad de Transparencia del </w:t>
      </w:r>
      <w:r w:rsidR="00E81879" w:rsidRPr="00C95803">
        <w:rPr>
          <w:rFonts w:ascii="Palatino Linotype" w:eastAsia="Palatino Linotype" w:hAnsi="Palatino Linotype" w:cs="Palatino Linotype"/>
          <w:b/>
        </w:rPr>
        <w:t>SUJETO OBLIGADO</w:t>
      </w:r>
      <w:r w:rsidR="00E81879" w:rsidRPr="00C95803">
        <w:rPr>
          <w:rFonts w:ascii="Palatino Linotype" w:eastAsia="Palatino Linotype" w:hAnsi="Palatino Linotype" w:cs="Palatino Linotype"/>
        </w:rPr>
        <w:t>, para que conforme a los artículos 186 último párrafo, 189 párrafo segundo y 199 de la Ley de Transparencia y Acce</w:t>
      </w:r>
      <w:r w:rsidR="00415864" w:rsidRPr="00C95803">
        <w:rPr>
          <w:rFonts w:ascii="Palatino Linotype" w:eastAsia="Palatino Linotype" w:hAnsi="Palatino Linotype" w:cs="Palatino Linotype"/>
        </w:rPr>
        <w:t xml:space="preserve">so a la Información Pública del </w:t>
      </w:r>
      <w:r w:rsidR="00E81879" w:rsidRPr="00C95803">
        <w:rPr>
          <w:rFonts w:ascii="Palatino Linotype" w:eastAsia="Palatino Linotype" w:hAnsi="Palatino Linotype" w:cs="Palatino Linotype"/>
        </w:rPr>
        <w:t xml:space="preserve">Estado de México y Municipios, </w:t>
      </w:r>
      <w:r w:rsidR="00E81879" w:rsidRPr="00C9580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C95803" w:rsidRDefault="00E81879" w:rsidP="00C95803">
      <w:pPr>
        <w:shd w:val="clear" w:color="auto" w:fill="FFFFFF"/>
        <w:spacing w:line="360" w:lineRule="auto"/>
        <w:jc w:val="both"/>
        <w:rPr>
          <w:rFonts w:ascii="Palatino Linotype" w:eastAsia="Times New Roman" w:hAnsi="Palatino Linotype" w:cs="Arial"/>
          <w:b/>
        </w:rPr>
      </w:pPr>
    </w:p>
    <w:p w:rsidR="00E81879" w:rsidRPr="00C95803" w:rsidRDefault="0051509C" w:rsidP="00C95803">
      <w:pPr>
        <w:shd w:val="clear" w:color="auto" w:fill="FFFFFF"/>
        <w:spacing w:line="360" w:lineRule="auto"/>
        <w:jc w:val="both"/>
        <w:rPr>
          <w:rFonts w:ascii="Palatino Linotype" w:hAnsi="Palatino Linotype"/>
        </w:rPr>
      </w:pPr>
      <w:r w:rsidRPr="00C95803">
        <w:rPr>
          <w:rFonts w:ascii="Palatino Linotype" w:eastAsia="Times New Roman" w:hAnsi="Palatino Linotype" w:cs="Arial"/>
          <w:b/>
        </w:rPr>
        <w:t>CUARTO</w:t>
      </w:r>
      <w:r w:rsidR="00E81879" w:rsidRPr="00C95803">
        <w:rPr>
          <w:rFonts w:ascii="Palatino Linotype" w:eastAsia="Times New Roman" w:hAnsi="Palatino Linotype" w:cs="Arial"/>
          <w:b/>
        </w:rPr>
        <w:t xml:space="preserve">. </w:t>
      </w:r>
      <w:r w:rsidR="00E81879" w:rsidRPr="00C95803">
        <w:rPr>
          <w:rFonts w:ascii="Palatino Linotype" w:eastAsia="Times New Roman" w:hAnsi="Palatino Linotype" w:cs="Times New Roman"/>
          <w:b/>
          <w:bCs/>
          <w:color w:val="222222"/>
          <w:lang w:val="es-ES"/>
        </w:rPr>
        <w:t>Notifíquese a</w:t>
      </w:r>
      <w:r w:rsidR="00E81879" w:rsidRPr="00C95803">
        <w:rPr>
          <w:rFonts w:ascii="Palatino Linotype" w:hAnsi="Palatino Linotype"/>
          <w:b/>
        </w:rPr>
        <w:t xml:space="preserve"> </w:t>
      </w:r>
      <w:r w:rsidR="000C49D0" w:rsidRPr="000C49D0">
        <w:rPr>
          <w:rFonts w:ascii="Palatino Linotype" w:eastAsia="Calibri" w:hAnsi="Palatino Linotype" w:cs="Times New Roman"/>
          <w:b/>
          <w:highlight w:val="black"/>
          <w:lang w:val="es-ES"/>
        </w:rPr>
        <w:t>------</w:t>
      </w:r>
      <w:r w:rsidR="000C49D0">
        <w:rPr>
          <w:rFonts w:ascii="Palatino Linotype" w:eastAsia="Calibri" w:hAnsi="Palatino Linotype" w:cs="Times New Roman"/>
          <w:b/>
          <w:highlight w:val="black"/>
          <w:lang w:val="es-ES"/>
        </w:rPr>
        <w:t>-------</w:t>
      </w:r>
      <w:r w:rsidR="000C49D0" w:rsidRPr="000C49D0">
        <w:rPr>
          <w:rFonts w:ascii="Palatino Linotype" w:eastAsia="Calibri" w:hAnsi="Palatino Linotype" w:cs="Times New Roman"/>
          <w:b/>
          <w:highlight w:val="black"/>
          <w:lang w:val="es-ES"/>
        </w:rPr>
        <w:t>--------</w:t>
      </w:r>
      <w:r w:rsidR="00E60440" w:rsidRPr="00C95803">
        <w:rPr>
          <w:rFonts w:ascii="Palatino Linotype" w:hAnsi="Palatino Linotype"/>
        </w:rPr>
        <w:t xml:space="preserve"> </w:t>
      </w:r>
      <w:r w:rsidR="00E81879" w:rsidRPr="00C95803">
        <w:rPr>
          <w:rFonts w:ascii="Palatino Linotype" w:hAnsi="Palatino Linotype"/>
        </w:rPr>
        <w:t>la presente resolución</w:t>
      </w:r>
      <w:r w:rsidR="00953568" w:rsidRPr="00C95803">
        <w:rPr>
          <w:rFonts w:ascii="Palatino Linotype" w:hAnsi="Palatino Linotype"/>
        </w:rPr>
        <w:t xml:space="preserve"> y su informe justificado.</w:t>
      </w:r>
    </w:p>
    <w:p w:rsidR="004D60FB" w:rsidRPr="00C95803" w:rsidRDefault="004D60FB" w:rsidP="00C95803">
      <w:pPr>
        <w:shd w:val="clear" w:color="auto" w:fill="FFFFFF"/>
        <w:spacing w:line="360" w:lineRule="auto"/>
        <w:jc w:val="both"/>
        <w:rPr>
          <w:rFonts w:ascii="Palatino Linotype" w:hAnsi="Palatino Linotype"/>
        </w:rPr>
      </w:pPr>
    </w:p>
    <w:bookmarkEnd w:id="64"/>
    <w:p w:rsidR="00AA1D3A" w:rsidRPr="00C95803" w:rsidRDefault="0051509C" w:rsidP="00C95803">
      <w:pPr>
        <w:spacing w:line="360" w:lineRule="auto"/>
        <w:jc w:val="both"/>
        <w:rPr>
          <w:rFonts w:ascii="Palatino Linotype" w:eastAsia="MS Mincho" w:hAnsi="Palatino Linotype" w:cs="Times New Roman"/>
          <w:lang w:val="es-ES"/>
        </w:rPr>
      </w:pPr>
      <w:r w:rsidRPr="00C95803">
        <w:rPr>
          <w:rFonts w:ascii="Palatino Linotype" w:eastAsia="MS Mincho" w:hAnsi="Palatino Linotype" w:cs="Times New Roman"/>
          <w:b/>
          <w:lang w:val="es-MX"/>
        </w:rPr>
        <w:t>QUINTO</w:t>
      </w:r>
      <w:r w:rsidR="00E81879" w:rsidRPr="00C95803">
        <w:rPr>
          <w:rFonts w:ascii="Palatino Linotype" w:eastAsia="MS Mincho" w:hAnsi="Palatino Linotype" w:cs="Times New Roman"/>
          <w:b/>
          <w:lang w:val="es-MX"/>
        </w:rPr>
        <w:t>.</w:t>
      </w:r>
      <w:r w:rsidR="00E81879" w:rsidRPr="00C95803">
        <w:rPr>
          <w:rFonts w:ascii="Palatino Linotype" w:eastAsia="MS Mincho" w:hAnsi="Palatino Linotype" w:cs="Times New Roman"/>
          <w:lang w:val="es-MX"/>
        </w:rPr>
        <w:t xml:space="preserve"> </w:t>
      </w:r>
      <w:r w:rsidR="00E81879" w:rsidRPr="00C95803">
        <w:rPr>
          <w:rFonts w:ascii="Palatino Linotype" w:eastAsia="MS Mincho" w:hAnsi="Palatino Linotype" w:cs="Times New Roman"/>
          <w:lang w:val="es-ES"/>
        </w:rPr>
        <w:t xml:space="preserve">Se hace del conocimiento de </w:t>
      </w:r>
      <w:r w:rsidR="000C49D0" w:rsidRPr="000C49D0">
        <w:rPr>
          <w:rFonts w:ascii="Palatino Linotype" w:eastAsia="Calibri" w:hAnsi="Palatino Linotype" w:cs="Times New Roman"/>
          <w:b/>
          <w:highlight w:val="black"/>
          <w:lang w:val="es-ES"/>
        </w:rPr>
        <w:t>------------</w:t>
      </w:r>
      <w:r w:rsidR="000C49D0">
        <w:rPr>
          <w:rFonts w:ascii="Palatino Linotype" w:eastAsia="Calibri" w:hAnsi="Palatino Linotype" w:cs="Times New Roman"/>
          <w:b/>
          <w:highlight w:val="black"/>
          <w:lang w:val="es-ES"/>
        </w:rPr>
        <w:t>----</w:t>
      </w:r>
      <w:r w:rsidR="000C49D0" w:rsidRPr="000C49D0">
        <w:rPr>
          <w:rFonts w:ascii="Palatino Linotype" w:eastAsia="Calibri" w:hAnsi="Palatino Linotype" w:cs="Times New Roman"/>
          <w:b/>
          <w:highlight w:val="black"/>
          <w:lang w:val="es-ES"/>
        </w:rPr>
        <w:t>----</w:t>
      </w:r>
      <w:r w:rsidR="007A53D3" w:rsidRPr="00C95803">
        <w:rPr>
          <w:rFonts w:ascii="Palatino Linotype" w:eastAsia="Calibri" w:hAnsi="Palatino Linotype" w:cs="Times New Roman"/>
          <w:b/>
          <w:lang w:val="es-ES"/>
        </w:rPr>
        <w:t xml:space="preserve"> </w:t>
      </w:r>
      <w:r w:rsidR="00E81879" w:rsidRPr="00C95803">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C95803">
        <w:rPr>
          <w:rFonts w:ascii="Palatino Linotype" w:eastAsia="MS Mincho" w:hAnsi="Palatino Linotype" w:cs="Times New Roman"/>
          <w:bCs/>
          <w:lang w:val="es-ES"/>
        </w:rPr>
        <w:t>vía juicio de amparo</w:t>
      </w:r>
      <w:r w:rsidR="00E81879" w:rsidRPr="00C95803">
        <w:rPr>
          <w:rFonts w:ascii="Palatino Linotype" w:eastAsia="MS Mincho" w:hAnsi="Palatino Linotype" w:cs="Times New Roman"/>
          <w:lang w:val="es-ES"/>
        </w:rPr>
        <w:t> en los términos de las leyes aplicables.</w:t>
      </w:r>
      <w:r w:rsidR="006705A4" w:rsidRPr="00C95803">
        <w:rPr>
          <w:rFonts w:ascii="Palatino Linotype" w:eastAsia="MS Mincho" w:hAnsi="Palatino Linotype" w:cs="Times New Roman"/>
          <w:lang w:val="es-ES"/>
        </w:rPr>
        <w:t xml:space="preserve"> </w:t>
      </w:r>
    </w:p>
    <w:p w:rsidR="00AA1D3A" w:rsidRPr="00C95803" w:rsidRDefault="00AA1D3A" w:rsidP="00C95803">
      <w:pPr>
        <w:spacing w:line="360" w:lineRule="auto"/>
        <w:jc w:val="both"/>
        <w:rPr>
          <w:rFonts w:ascii="Palatino Linotype" w:eastAsia="MS Mincho" w:hAnsi="Palatino Linotype" w:cs="Times New Roman"/>
          <w:lang w:val="es-ES"/>
        </w:rPr>
      </w:pPr>
    </w:p>
    <w:p w:rsidR="00A25CDE" w:rsidRPr="00C250F8" w:rsidRDefault="00A25CDE" w:rsidP="00C95803">
      <w:pPr>
        <w:shd w:val="clear" w:color="auto" w:fill="FFFFFF"/>
        <w:spacing w:line="360" w:lineRule="auto"/>
        <w:jc w:val="both"/>
        <w:rPr>
          <w:rFonts w:ascii="Palatino Linotype" w:eastAsia="Times New Roman" w:hAnsi="Palatino Linotype" w:cs="Times New Roman"/>
          <w:color w:val="222222"/>
          <w:lang w:val="es-ES" w:eastAsia="es-MX"/>
        </w:rPr>
      </w:pPr>
      <w:r w:rsidRPr="00C95803">
        <w:rPr>
          <w:rFonts w:ascii="Palatino Linotype" w:eastAsia="MS Mincho" w:hAnsi="Palatino Linotype" w:cs="Times New Roman"/>
          <w:b/>
        </w:rPr>
        <w:t xml:space="preserve">SEXTO. </w:t>
      </w:r>
      <w:r w:rsidRPr="00C95803">
        <w:rPr>
          <w:rFonts w:ascii="Palatino Linotype" w:eastAsia="MS Mincho" w:hAnsi="Palatino Linotype" w:cs="Times New Roman"/>
        </w:rPr>
        <w:t xml:space="preserve">Gírese oficio </w:t>
      </w:r>
      <w:r w:rsidRPr="00C250F8">
        <w:rPr>
          <w:rFonts w:ascii="Palatino Linotype" w:eastAsia="MS Mincho" w:hAnsi="Palatino Linotype" w:cs="Times New Roman"/>
        </w:rPr>
        <w:t>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C250F8">
        <w:rPr>
          <w:rFonts w:ascii="Palatino Linotype" w:eastAsia="MS Mincho" w:hAnsi="Palatino Linotype" w:cs="Times New Roman"/>
          <w:b/>
        </w:rPr>
        <w:t xml:space="preserve"> SEXTO</w:t>
      </w:r>
      <w:r w:rsidRPr="00C250F8">
        <w:rPr>
          <w:rFonts w:ascii="Palatino Linotype" w:eastAsia="MS Mincho" w:hAnsi="Palatino Linotype" w:cs="Times New Roman"/>
        </w:rPr>
        <w:t>.</w:t>
      </w:r>
    </w:p>
    <w:p w:rsidR="006B3D8E" w:rsidRPr="00C250F8" w:rsidRDefault="006B3D8E" w:rsidP="00C95803">
      <w:pPr>
        <w:spacing w:line="360" w:lineRule="auto"/>
        <w:jc w:val="both"/>
        <w:rPr>
          <w:rFonts w:ascii="Palatino Linotype" w:eastAsia="MS Mincho" w:hAnsi="Palatino Linotype" w:cs="Times New Roman"/>
          <w:lang w:val="es-ES"/>
        </w:rPr>
      </w:pPr>
    </w:p>
    <w:bookmarkEnd w:id="9"/>
    <w:bookmarkEnd w:id="10"/>
    <w:bookmarkEnd w:id="11"/>
    <w:p w:rsidR="00E446ED" w:rsidRPr="00C95803" w:rsidRDefault="00216C93" w:rsidP="00C95803">
      <w:pPr>
        <w:spacing w:before="100" w:beforeAutospacing="1" w:after="100" w:afterAutospacing="1" w:line="360" w:lineRule="auto"/>
        <w:ind w:right="49"/>
        <w:jc w:val="both"/>
        <w:rPr>
          <w:rFonts w:ascii="Palatino Linotype" w:hAnsi="Palatino Linotype" w:cs="Arial"/>
        </w:rPr>
      </w:pPr>
      <w:r w:rsidRPr="00C250F8">
        <w:rPr>
          <w:rFonts w:ascii="Palatino Linotype" w:hAnsi="Palatino Linotype" w:cs="Arial"/>
        </w:rPr>
        <w:t>ASÍ LO RESUELVE, POR UNANIMIDAD DE VOTOS, EL PLENO DEL</w:t>
      </w:r>
      <w:r w:rsidRPr="00C250F8">
        <w:rPr>
          <w:rFonts w:ascii="Palatino Linotype" w:eastAsia="Arial Unicode MS" w:hAnsi="Palatino Linotype" w:cs="Arial"/>
        </w:rPr>
        <w:t xml:space="preserve"> INSTITUTO DE TRANSPARENCIA, ACCESO A LA INFORMACIÓN PÚBLICA Y PROTECCIÓN DE DATOS PERSONALES DEL ESTADO DE MÉXICO Y MUNICIPIOS</w:t>
      </w:r>
      <w:r w:rsidRPr="00C250F8">
        <w:rPr>
          <w:rFonts w:ascii="Palatino Linotype" w:hAnsi="Palatino Linotype" w:cs="Arial"/>
        </w:rPr>
        <w:t>, CONFORMADO POR LOS COMISIONADOS ZULEMA MARTÍNEZ SÁNCHEZ; EVA ABAID YAPUR; JOSÉ GUADALUPE LUNA HERNÁNDEZ; JAVIER MARTÍNEZ CRUZ Y LU</w:t>
      </w:r>
      <w:r w:rsidR="00C250F8">
        <w:rPr>
          <w:rFonts w:ascii="Palatino Linotype" w:hAnsi="Palatino Linotype" w:cs="Arial"/>
        </w:rPr>
        <w:t>IS GUSTAVO PARRA NORIEGA; EN LA CUADRAGÉSIMA PRIMERA SESIÓN ORDINARIA CELEBRADA EL SEIS (06) DE NOVIEMBRE</w:t>
      </w:r>
      <w:r w:rsidRPr="00C250F8">
        <w:rPr>
          <w:rFonts w:ascii="Palatino Linotype" w:hAnsi="Palatino Linotype" w:cs="Arial"/>
        </w:rPr>
        <w:t xml:space="preserve"> DE DOS MIL DIECI</w:t>
      </w:r>
      <w:r w:rsidR="00273E6D" w:rsidRPr="00C250F8">
        <w:rPr>
          <w:rFonts w:ascii="Palatino Linotype" w:hAnsi="Palatino Linotype" w:cs="Arial"/>
        </w:rPr>
        <w:t>NUEVE</w:t>
      </w:r>
      <w:r w:rsidRPr="00C250F8">
        <w:rPr>
          <w:rFonts w:ascii="Palatino Linotype" w:hAnsi="Palatino Linotype" w:cs="Arial"/>
        </w:rPr>
        <w:t xml:space="preserve">, ANTE EL SECRETARIO TÉCNICO DEL PLENO, </w:t>
      </w:r>
      <w:r w:rsidRPr="00C250F8">
        <w:rPr>
          <w:rFonts w:ascii="Palatino Linotype" w:hAnsi="Palatino Linotype"/>
        </w:rPr>
        <w:t>ALEXIS TAPIA RAMÍREZ</w:t>
      </w:r>
      <w:r w:rsidRPr="00C250F8">
        <w:rPr>
          <w:rFonts w:ascii="Palatino Linotype" w:hAnsi="Palatino Linotype" w:cs="Arial"/>
        </w:rPr>
        <w:t>.</w:t>
      </w:r>
    </w:p>
    <w:p w:rsidR="00C250F8" w:rsidRPr="00C95803" w:rsidRDefault="00C250F8" w:rsidP="00C95803">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216C93" w:rsidRPr="00C95803" w:rsidTr="00AB3D5A">
        <w:trPr>
          <w:jc w:val="center"/>
        </w:trPr>
        <w:tc>
          <w:tcPr>
            <w:tcW w:w="10368" w:type="dxa"/>
            <w:gridSpan w:val="2"/>
          </w:tcPr>
          <w:p w:rsidR="00216C93" w:rsidRPr="00C95803" w:rsidRDefault="00216C93" w:rsidP="00C95803">
            <w:pPr>
              <w:spacing w:line="360" w:lineRule="auto"/>
              <w:jc w:val="center"/>
              <w:rPr>
                <w:rFonts w:ascii="Palatino Linotype" w:hAnsi="Palatino Linotype" w:cs="Arial"/>
                <w:b/>
              </w:rPr>
            </w:pPr>
            <w:r w:rsidRPr="00C95803">
              <w:rPr>
                <w:rFonts w:ascii="Palatino Linotype" w:hAnsi="Palatino Linotype" w:cs="Arial"/>
                <w:b/>
              </w:rPr>
              <w:t>Zulema Martínez Sánchez</w:t>
            </w:r>
          </w:p>
          <w:p w:rsidR="00216C93" w:rsidRPr="00C95803" w:rsidRDefault="00216C93" w:rsidP="00C95803">
            <w:pPr>
              <w:spacing w:line="360" w:lineRule="auto"/>
              <w:jc w:val="center"/>
              <w:rPr>
                <w:rFonts w:ascii="Palatino Linotype" w:hAnsi="Palatino Linotype" w:cs="Arial"/>
                <w:b/>
              </w:rPr>
            </w:pPr>
            <w:r w:rsidRPr="00C95803">
              <w:rPr>
                <w:rFonts w:ascii="Palatino Linotype" w:hAnsi="Palatino Linotype" w:cs="Arial"/>
              </w:rPr>
              <w:t>Comisionada Presidenta</w:t>
            </w:r>
          </w:p>
          <w:p w:rsidR="00216C93" w:rsidRPr="00C95803" w:rsidRDefault="00216C93" w:rsidP="00C95803">
            <w:pPr>
              <w:spacing w:line="360" w:lineRule="auto"/>
              <w:jc w:val="center"/>
              <w:rPr>
                <w:rFonts w:ascii="Palatino Linotype" w:hAnsi="Palatino Linotype" w:cs="Arial"/>
                <w:b/>
              </w:rPr>
            </w:pPr>
            <w:r w:rsidRPr="00C95803">
              <w:rPr>
                <w:rFonts w:ascii="Palatino Linotype" w:hAnsi="Palatino Linotype" w:cs="Arial"/>
                <w:b/>
              </w:rPr>
              <w:t xml:space="preserve">(RÚBRICA) </w:t>
            </w:r>
          </w:p>
          <w:p w:rsidR="00216C93" w:rsidRPr="00C95803" w:rsidRDefault="00216C93" w:rsidP="00C95803">
            <w:pPr>
              <w:spacing w:line="360" w:lineRule="auto"/>
              <w:jc w:val="center"/>
              <w:rPr>
                <w:rFonts w:ascii="Palatino Linotype" w:hAnsi="Palatino Linotype" w:cs="Arial"/>
                <w:b/>
              </w:rPr>
            </w:pPr>
          </w:p>
          <w:p w:rsidR="00216C93" w:rsidRDefault="00216C93" w:rsidP="00C95803">
            <w:pPr>
              <w:spacing w:line="360" w:lineRule="auto"/>
              <w:jc w:val="center"/>
              <w:rPr>
                <w:rFonts w:ascii="Palatino Linotype" w:hAnsi="Palatino Linotype" w:cs="Arial"/>
                <w:b/>
              </w:rPr>
            </w:pPr>
          </w:p>
          <w:p w:rsidR="00C250F8" w:rsidRDefault="00C250F8" w:rsidP="00C95803">
            <w:pPr>
              <w:spacing w:line="360" w:lineRule="auto"/>
              <w:jc w:val="center"/>
              <w:rPr>
                <w:rFonts w:ascii="Palatino Linotype" w:hAnsi="Palatino Linotype" w:cs="Arial"/>
                <w:b/>
              </w:rPr>
            </w:pPr>
          </w:p>
          <w:p w:rsidR="00C250F8" w:rsidRDefault="00C250F8" w:rsidP="00C95803">
            <w:pPr>
              <w:spacing w:line="360" w:lineRule="auto"/>
              <w:jc w:val="center"/>
              <w:rPr>
                <w:rFonts w:ascii="Palatino Linotype" w:hAnsi="Palatino Linotype" w:cs="Arial"/>
                <w:b/>
              </w:rPr>
            </w:pPr>
          </w:p>
          <w:p w:rsidR="00C250F8" w:rsidRPr="00C95803" w:rsidRDefault="00C250F8" w:rsidP="00C95803">
            <w:pPr>
              <w:spacing w:line="360" w:lineRule="auto"/>
              <w:jc w:val="center"/>
              <w:rPr>
                <w:rFonts w:ascii="Palatino Linotype" w:hAnsi="Palatino Linotype" w:cs="Arial"/>
                <w:b/>
              </w:rPr>
            </w:pPr>
          </w:p>
        </w:tc>
      </w:tr>
      <w:tr w:rsidR="00216C93" w:rsidRPr="00C95803" w:rsidTr="00AB3D5A">
        <w:trPr>
          <w:jc w:val="center"/>
        </w:trPr>
        <w:tc>
          <w:tcPr>
            <w:tcW w:w="5184" w:type="dxa"/>
          </w:tcPr>
          <w:p w:rsidR="00216C93" w:rsidRPr="00C95803" w:rsidRDefault="00216C93" w:rsidP="00C95803">
            <w:pPr>
              <w:spacing w:line="360" w:lineRule="auto"/>
              <w:jc w:val="center"/>
              <w:rPr>
                <w:rFonts w:ascii="Palatino Linotype" w:hAnsi="Palatino Linotype" w:cs="Arial"/>
                <w:b/>
              </w:rPr>
            </w:pPr>
            <w:r w:rsidRPr="00C95803">
              <w:rPr>
                <w:rFonts w:ascii="Palatino Linotype" w:hAnsi="Palatino Linotype" w:cs="Arial"/>
                <w:b/>
              </w:rPr>
              <w:t xml:space="preserve">Eva </w:t>
            </w:r>
            <w:proofErr w:type="spellStart"/>
            <w:r w:rsidRPr="00C95803">
              <w:rPr>
                <w:rFonts w:ascii="Palatino Linotype" w:hAnsi="Palatino Linotype" w:cs="Arial"/>
                <w:b/>
              </w:rPr>
              <w:t>Abaid</w:t>
            </w:r>
            <w:proofErr w:type="spellEnd"/>
            <w:r w:rsidRPr="00C95803">
              <w:rPr>
                <w:rFonts w:ascii="Palatino Linotype" w:hAnsi="Palatino Linotype" w:cs="Arial"/>
                <w:b/>
              </w:rPr>
              <w:t xml:space="preserve"> </w:t>
            </w:r>
            <w:proofErr w:type="spellStart"/>
            <w:r w:rsidRPr="00C95803">
              <w:rPr>
                <w:rFonts w:ascii="Palatino Linotype" w:hAnsi="Palatino Linotype" w:cs="Arial"/>
                <w:b/>
              </w:rPr>
              <w:t>Yapur</w:t>
            </w:r>
            <w:proofErr w:type="spellEnd"/>
          </w:p>
          <w:p w:rsidR="00216C93" w:rsidRPr="00C95803" w:rsidRDefault="00216C93" w:rsidP="00C95803">
            <w:pPr>
              <w:spacing w:line="360" w:lineRule="auto"/>
              <w:jc w:val="center"/>
              <w:rPr>
                <w:rFonts w:ascii="Palatino Linotype" w:hAnsi="Palatino Linotype" w:cs="Arial"/>
              </w:rPr>
            </w:pPr>
            <w:r w:rsidRPr="00C95803">
              <w:rPr>
                <w:rFonts w:ascii="Palatino Linotype" w:hAnsi="Palatino Linotype" w:cs="Arial"/>
              </w:rPr>
              <w:t>Comisionada</w:t>
            </w:r>
          </w:p>
          <w:p w:rsidR="00216C93" w:rsidRPr="00C95803" w:rsidRDefault="00216C93" w:rsidP="00C95803">
            <w:pPr>
              <w:spacing w:line="360" w:lineRule="auto"/>
              <w:jc w:val="center"/>
              <w:rPr>
                <w:rFonts w:ascii="Palatino Linotype" w:hAnsi="Palatino Linotype" w:cs="Arial"/>
                <w:b/>
              </w:rPr>
            </w:pPr>
            <w:r w:rsidRPr="00C95803">
              <w:rPr>
                <w:rFonts w:ascii="Palatino Linotype" w:hAnsi="Palatino Linotype" w:cs="Arial"/>
                <w:b/>
              </w:rPr>
              <w:t>(RÚBRICA)</w:t>
            </w:r>
          </w:p>
        </w:tc>
        <w:tc>
          <w:tcPr>
            <w:tcW w:w="5184" w:type="dxa"/>
          </w:tcPr>
          <w:p w:rsidR="00216C93" w:rsidRPr="00C95803" w:rsidRDefault="00216C93" w:rsidP="00C95803">
            <w:pPr>
              <w:spacing w:line="360" w:lineRule="auto"/>
              <w:jc w:val="center"/>
              <w:rPr>
                <w:rFonts w:ascii="Palatino Linotype" w:hAnsi="Palatino Linotype" w:cs="Arial"/>
                <w:b/>
              </w:rPr>
            </w:pPr>
            <w:r w:rsidRPr="00C95803">
              <w:rPr>
                <w:rFonts w:ascii="Palatino Linotype" w:hAnsi="Palatino Linotype" w:cs="Arial"/>
                <w:b/>
              </w:rPr>
              <w:t>José Guadalupe Luna Hernández</w:t>
            </w:r>
          </w:p>
          <w:p w:rsidR="00216C93" w:rsidRPr="00C95803" w:rsidRDefault="00216C93" w:rsidP="00C95803">
            <w:pPr>
              <w:spacing w:line="360" w:lineRule="auto"/>
              <w:jc w:val="center"/>
              <w:rPr>
                <w:rFonts w:ascii="Palatino Linotype" w:hAnsi="Palatino Linotype" w:cs="Arial"/>
              </w:rPr>
            </w:pPr>
            <w:r w:rsidRPr="00C95803">
              <w:rPr>
                <w:rFonts w:ascii="Palatino Linotype" w:hAnsi="Palatino Linotype" w:cs="Arial"/>
              </w:rPr>
              <w:t>Comisionado</w:t>
            </w:r>
          </w:p>
          <w:p w:rsidR="00216C93" w:rsidRPr="00C95803" w:rsidRDefault="00216C93" w:rsidP="00C95803">
            <w:pPr>
              <w:spacing w:line="360" w:lineRule="auto"/>
              <w:jc w:val="center"/>
              <w:rPr>
                <w:rFonts w:ascii="Palatino Linotype" w:hAnsi="Palatino Linotype" w:cs="Arial"/>
                <w:b/>
              </w:rPr>
            </w:pPr>
            <w:r w:rsidRPr="00C95803">
              <w:rPr>
                <w:rFonts w:ascii="Palatino Linotype" w:hAnsi="Palatino Linotype" w:cs="Arial"/>
                <w:b/>
              </w:rPr>
              <w:t>(RÚBRICA)</w:t>
            </w:r>
          </w:p>
          <w:p w:rsidR="00216C93" w:rsidRPr="00C95803" w:rsidRDefault="00216C93" w:rsidP="00C95803">
            <w:pPr>
              <w:spacing w:line="360" w:lineRule="auto"/>
              <w:jc w:val="center"/>
              <w:rPr>
                <w:rFonts w:ascii="Palatino Linotype" w:hAnsi="Palatino Linotype" w:cs="Arial"/>
                <w:b/>
              </w:rPr>
            </w:pPr>
          </w:p>
        </w:tc>
      </w:tr>
      <w:tr w:rsidR="00216C93" w:rsidRPr="00C95803" w:rsidTr="00AB3D5A">
        <w:trPr>
          <w:jc w:val="center"/>
        </w:trPr>
        <w:tc>
          <w:tcPr>
            <w:tcW w:w="5184" w:type="dxa"/>
          </w:tcPr>
          <w:p w:rsidR="00216C93" w:rsidRPr="00C95803" w:rsidRDefault="00216C93" w:rsidP="00C95803">
            <w:pPr>
              <w:spacing w:line="360" w:lineRule="auto"/>
              <w:jc w:val="center"/>
              <w:rPr>
                <w:rFonts w:ascii="Palatino Linotype" w:hAnsi="Palatino Linotype" w:cs="Arial"/>
                <w:b/>
              </w:rPr>
            </w:pPr>
          </w:p>
          <w:p w:rsidR="00216C93" w:rsidRPr="00C95803" w:rsidRDefault="00216C93" w:rsidP="00C95803">
            <w:pPr>
              <w:spacing w:line="360" w:lineRule="auto"/>
              <w:jc w:val="center"/>
              <w:rPr>
                <w:rFonts w:ascii="Palatino Linotype" w:hAnsi="Palatino Linotype" w:cs="Arial"/>
                <w:b/>
              </w:rPr>
            </w:pPr>
          </w:p>
          <w:p w:rsidR="00216C93" w:rsidRPr="00C95803" w:rsidRDefault="00216C93" w:rsidP="00C95803">
            <w:pPr>
              <w:spacing w:line="360" w:lineRule="auto"/>
              <w:jc w:val="center"/>
              <w:rPr>
                <w:rFonts w:ascii="Palatino Linotype" w:hAnsi="Palatino Linotype" w:cs="Arial"/>
                <w:b/>
              </w:rPr>
            </w:pPr>
            <w:r w:rsidRPr="00C95803">
              <w:rPr>
                <w:rFonts w:ascii="Palatino Linotype" w:hAnsi="Palatino Linotype" w:cs="Arial"/>
                <w:b/>
              </w:rPr>
              <w:t>Javier Martínez Cruz</w:t>
            </w:r>
          </w:p>
          <w:p w:rsidR="00216C93" w:rsidRPr="00C95803" w:rsidRDefault="00216C93" w:rsidP="00C95803">
            <w:pPr>
              <w:spacing w:line="360" w:lineRule="auto"/>
              <w:jc w:val="center"/>
              <w:rPr>
                <w:rFonts w:ascii="Palatino Linotype" w:hAnsi="Palatino Linotype" w:cs="Arial"/>
              </w:rPr>
            </w:pPr>
            <w:r w:rsidRPr="00C95803">
              <w:rPr>
                <w:rFonts w:ascii="Palatino Linotype" w:hAnsi="Palatino Linotype" w:cs="Arial"/>
              </w:rPr>
              <w:t>Comisionado</w:t>
            </w:r>
          </w:p>
          <w:p w:rsidR="00216C93" w:rsidRPr="00C95803" w:rsidRDefault="00216C93" w:rsidP="00C95803">
            <w:pPr>
              <w:spacing w:line="360" w:lineRule="auto"/>
              <w:jc w:val="center"/>
              <w:rPr>
                <w:rFonts w:ascii="Palatino Linotype" w:hAnsi="Palatino Linotype" w:cs="Arial"/>
                <w:b/>
              </w:rPr>
            </w:pPr>
            <w:r w:rsidRPr="00C95803">
              <w:rPr>
                <w:rFonts w:ascii="Palatino Linotype" w:hAnsi="Palatino Linotype" w:cs="Arial"/>
                <w:b/>
              </w:rPr>
              <w:t>(RÚBRICA)</w:t>
            </w:r>
          </w:p>
        </w:tc>
        <w:tc>
          <w:tcPr>
            <w:tcW w:w="5184" w:type="dxa"/>
          </w:tcPr>
          <w:p w:rsidR="00216C93" w:rsidRPr="00C95803" w:rsidRDefault="00216C93" w:rsidP="00C95803">
            <w:pPr>
              <w:spacing w:line="360" w:lineRule="auto"/>
              <w:jc w:val="center"/>
              <w:rPr>
                <w:rFonts w:ascii="Palatino Linotype" w:hAnsi="Palatino Linotype" w:cs="Arial"/>
                <w:b/>
              </w:rPr>
            </w:pPr>
          </w:p>
          <w:p w:rsidR="00216C93" w:rsidRPr="00C95803" w:rsidRDefault="00216C93" w:rsidP="00C95803">
            <w:pPr>
              <w:spacing w:line="360" w:lineRule="auto"/>
              <w:jc w:val="center"/>
              <w:rPr>
                <w:rFonts w:ascii="Palatino Linotype" w:hAnsi="Palatino Linotype" w:cs="Arial"/>
                <w:b/>
              </w:rPr>
            </w:pPr>
          </w:p>
          <w:p w:rsidR="00216C93" w:rsidRPr="00C95803" w:rsidRDefault="00216C93" w:rsidP="00C95803">
            <w:pPr>
              <w:spacing w:line="360" w:lineRule="auto"/>
              <w:jc w:val="center"/>
              <w:rPr>
                <w:rFonts w:ascii="Palatino Linotype" w:hAnsi="Palatino Linotype" w:cs="Arial"/>
                <w:b/>
              </w:rPr>
            </w:pPr>
            <w:r w:rsidRPr="00C95803">
              <w:rPr>
                <w:rFonts w:ascii="Palatino Linotype" w:hAnsi="Palatino Linotype" w:cs="Arial"/>
                <w:b/>
              </w:rPr>
              <w:t>Luis Gustavo Parra Noriega</w:t>
            </w:r>
          </w:p>
          <w:p w:rsidR="00216C93" w:rsidRPr="00C95803" w:rsidRDefault="00216C93" w:rsidP="00C95803">
            <w:pPr>
              <w:spacing w:line="360" w:lineRule="auto"/>
              <w:jc w:val="center"/>
              <w:rPr>
                <w:rFonts w:ascii="Palatino Linotype" w:hAnsi="Palatino Linotype" w:cs="Arial"/>
              </w:rPr>
            </w:pPr>
            <w:r w:rsidRPr="00C95803">
              <w:rPr>
                <w:rFonts w:ascii="Palatino Linotype" w:hAnsi="Palatino Linotype" w:cs="Arial"/>
              </w:rPr>
              <w:t>Comisionado</w:t>
            </w:r>
          </w:p>
          <w:p w:rsidR="00216C93" w:rsidRPr="00C95803" w:rsidRDefault="00216C93" w:rsidP="00C95803">
            <w:pPr>
              <w:spacing w:line="360" w:lineRule="auto"/>
              <w:jc w:val="center"/>
              <w:rPr>
                <w:rFonts w:ascii="Palatino Linotype" w:hAnsi="Palatino Linotype" w:cs="Arial"/>
                <w:b/>
              </w:rPr>
            </w:pPr>
            <w:r w:rsidRPr="00C95803">
              <w:rPr>
                <w:rFonts w:ascii="Palatino Linotype" w:hAnsi="Palatino Linotype" w:cs="Arial"/>
                <w:b/>
              </w:rPr>
              <w:t>(RÚBRICA)</w:t>
            </w:r>
          </w:p>
        </w:tc>
      </w:tr>
      <w:tr w:rsidR="00216C93" w:rsidRPr="00C95803" w:rsidTr="00AB3D5A">
        <w:trPr>
          <w:jc w:val="center"/>
        </w:trPr>
        <w:tc>
          <w:tcPr>
            <w:tcW w:w="10368" w:type="dxa"/>
            <w:gridSpan w:val="2"/>
          </w:tcPr>
          <w:p w:rsidR="00216C93" w:rsidRPr="00C95803" w:rsidRDefault="00216C93" w:rsidP="00C95803">
            <w:pPr>
              <w:spacing w:line="360" w:lineRule="auto"/>
              <w:jc w:val="center"/>
              <w:rPr>
                <w:rFonts w:ascii="Palatino Linotype" w:hAnsi="Palatino Linotype" w:cs="Arial"/>
                <w:b/>
              </w:rPr>
            </w:pPr>
          </w:p>
          <w:p w:rsidR="00216C93" w:rsidRPr="00C95803" w:rsidRDefault="00216C93" w:rsidP="00C95803">
            <w:pPr>
              <w:spacing w:line="360" w:lineRule="auto"/>
              <w:jc w:val="center"/>
              <w:rPr>
                <w:rFonts w:ascii="Palatino Linotype" w:hAnsi="Palatino Linotype" w:cs="Arial"/>
                <w:b/>
              </w:rPr>
            </w:pPr>
          </w:p>
          <w:p w:rsidR="00216C93" w:rsidRPr="00C95803" w:rsidRDefault="00216C93" w:rsidP="00C95803">
            <w:pPr>
              <w:spacing w:line="360" w:lineRule="auto"/>
              <w:jc w:val="center"/>
              <w:rPr>
                <w:rFonts w:ascii="Palatino Linotype" w:hAnsi="Palatino Linotype" w:cs="Arial"/>
                <w:b/>
              </w:rPr>
            </w:pPr>
            <w:r w:rsidRPr="00C95803">
              <w:rPr>
                <w:rFonts w:ascii="Palatino Linotype" w:hAnsi="Palatino Linotype" w:cs="Arial"/>
                <w:b/>
              </w:rPr>
              <w:t>Alexis Tapia Ramírez</w:t>
            </w:r>
          </w:p>
          <w:p w:rsidR="00216C93" w:rsidRPr="00C95803" w:rsidRDefault="00216C93" w:rsidP="00C95803">
            <w:pPr>
              <w:spacing w:line="360" w:lineRule="auto"/>
              <w:jc w:val="center"/>
              <w:rPr>
                <w:rFonts w:ascii="Palatino Linotype" w:hAnsi="Palatino Linotype" w:cs="Arial"/>
              </w:rPr>
            </w:pPr>
            <w:r w:rsidRPr="00C95803">
              <w:rPr>
                <w:rFonts w:ascii="Palatino Linotype" w:hAnsi="Palatino Linotype" w:cs="Arial"/>
              </w:rPr>
              <w:t>Secretario Técnico del Pleno</w:t>
            </w:r>
          </w:p>
          <w:p w:rsidR="00216C93" w:rsidRPr="00C95803" w:rsidRDefault="00216C93" w:rsidP="00C95803">
            <w:pPr>
              <w:spacing w:line="360" w:lineRule="auto"/>
              <w:jc w:val="center"/>
              <w:rPr>
                <w:rFonts w:ascii="Palatino Linotype" w:hAnsi="Palatino Linotype" w:cs="Arial"/>
                <w:b/>
              </w:rPr>
            </w:pPr>
            <w:r w:rsidRPr="00C95803">
              <w:rPr>
                <w:rFonts w:ascii="Palatino Linotype" w:hAnsi="Palatino Linotype" w:cs="Arial"/>
                <w:b/>
              </w:rPr>
              <w:t>(RÚBRICA)</w:t>
            </w:r>
          </w:p>
          <w:p w:rsidR="00C250F8" w:rsidRPr="00C95803" w:rsidRDefault="00C250F8" w:rsidP="00C95803">
            <w:pPr>
              <w:spacing w:line="360" w:lineRule="auto"/>
              <w:rPr>
                <w:rFonts w:ascii="Palatino Linotype" w:hAnsi="Palatino Linotype" w:cs="Arial"/>
              </w:rPr>
            </w:pPr>
          </w:p>
        </w:tc>
      </w:tr>
    </w:tbl>
    <w:p w:rsidR="002248D3" w:rsidRPr="00C95803" w:rsidRDefault="00216C93" w:rsidP="00C95803">
      <w:pPr>
        <w:spacing w:line="360" w:lineRule="auto"/>
        <w:jc w:val="both"/>
        <w:rPr>
          <w:rFonts w:ascii="Palatino Linotype" w:hAnsi="Palatino Linotype"/>
        </w:rPr>
      </w:pPr>
      <w:r w:rsidRPr="00C95803">
        <w:rPr>
          <w:rFonts w:ascii="Palatino Linotype" w:hAnsi="Palatino Linotype" w:cs="Arial"/>
        </w:rPr>
        <w:t>Esta hoja</w:t>
      </w:r>
      <w:r w:rsidR="00C250F8">
        <w:rPr>
          <w:rFonts w:ascii="Palatino Linotype" w:hAnsi="Palatino Linotype" w:cs="Arial"/>
        </w:rPr>
        <w:t xml:space="preserve"> corresponde a la resolución de seis </w:t>
      </w:r>
      <w:r w:rsidRPr="00C95803">
        <w:rPr>
          <w:rFonts w:ascii="Palatino Linotype" w:hAnsi="Palatino Linotype" w:cs="Arial"/>
        </w:rPr>
        <w:t xml:space="preserve"> (</w:t>
      </w:r>
      <w:r w:rsidR="00C250F8">
        <w:rPr>
          <w:rFonts w:ascii="Palatino Linotype" w:hAnsi="Palatino Linotype" w:cs="Arial"/>
        </w:rPr>
        <w:t>06) de noviembre</w:t>
      </w:r>
      <w:r w:rsidRPr="00C95803">
        <w:rPr>
          <w:rFonts w:ascii="Palatino Linotype" w:hAnsi="Palatino Linotype" w:cs="Arial"/>
        </w:rPr>
        <w:t xml:space="preserve"> de dos mil dieci</w:t>
      </w:r>
      <w:r w:rsidR="00273E6D" w:rsidRPr="00C95803">
        <w:rPr>
          <w:rFonts w:ascii="Palatino Linotype" w:hAnsi="Palatino Linotype" w:cs="Arial"/>
        </w:rPr>
        <w:t>nueve</w:t>
      </w:r>
      <w:r w:rsidRPr="00C95803">
        <w:rPr>
          <w:rFonts w:ascii="Palatino Linotype" w:hAnsi="Palatino Linotype" w:cs="Arial"/>
        </w:rPr>
        <w:t xml:space="preserve">, emitida en el recurso de revisión </w:t>
      </w:r>
      <w:r w:rsidRPr="00C95803">
        <w:rPr>
          <w:rFonts w:ascii="Palatino Linotype" w:hAnsi="Palatino Linotype" w:cs="Arial"/>
          <w:b/>
          <w:bCs/>
        </w:rPr>
        <w:t>0</w:t>
      </w:r>
      <w:r w:rsidR="00C250F8">
        <w:rPr>
          <w:rFonts w:ascii="Palatino Linotype" w:hAnsi="Palatino Linotype" w:cs="Arial"/>
          <w:b/>
          <w:bCs/>
        </w:rPr>
        <w:t>69</w:t>
      </w:r>
      <w:r w:rsidR="00F817E5" w:rsidRPr="00C95803">
        <w:rPr>
          <w:rFonts w:ascii="Palatino Linotype" w:hAnsi="Palatino Linotype" w:cs="Arial"/>
          <w:b/>
          <w:bCs/>
        </w:rPr>
        <w:t>8</w:t>
      </w:r>
      <w:r w:rsidR="00C250F8">
        <w:rPr>
          <w:rFonts w:ascii="Palatino Linotype" w:hAnsi="Palatino Linotype" w:cs="Arial"/>
          <w:b/>
          <w:bCs/>
        </w:rPr>
        <w:t>3</w:t>
      </w:r>
      <w:r w:rsidR="00794037" w:rsidRPr="00C95803">
        <w:rPr>
          <w:rFonts w:ascii="Palatino Linotype" w:hAnsi="Palatino Linotype" w:cs="Arial"/>
          <w:b/>
          <w:bCs/>
        </w:rPr>
        <w:t>/INFOEM/IP/RR/2019.</w:t>
      </w:r>
    </w:p>
    <w:sectPr w:rsidR="002248D3" w:rsidRPr="00C95803" w:rsidSect="00C95803">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A9C" w:rsidRDefault="001E4A9C" w:rsidP="008B6F5F">
      <w:r>
        <w:separator/>
      </w:r>
    </w:p>
  </w:endnote>
  <w:endnote w:type="continuationSeparator" w:id="0">
    <w:p w:rsidR="001E4A9C" w:rsidRDefault="001E4A9C"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C95803" w:rsidRPr="000A2541" w:rsidRDefault="00C95803">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C5602">
              <w:rPr>
                <w:rFonts w:ascii="Palatino Linotype" w:hAnsi="Palatino Linotype"/>
                <w:b/>
                <w:bCs/>
                <w:noProof/>
              </w:rPr>
              <w:t>70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C5602">
              <w:rPr>
                <w:rFonts w:ascii="Palatino Linotype" w:hAnsi="Palatino Linotype"/>
                <w:b/>
                <w:bCs/>
                <w:noProof/>
              </w:rPr>
              <w:t>73</w:t>
            </w:r>
            <w:r w:rsidRPr="000A2541">
              <w:rPr>
                <w:rFonts w:ascii="Palatino Linotype" w:hAnsi="Palatino Linotype"/>
                <w:b/>
                <w:bCs/>
              </w:rPr>
              <w:fldChar w:fldCharType="end"/>
            </w:r>
          </w:p>
        </w:sdtContent>
      </w:sdt>
    </w:sdtContent>
  </w:sdt>
  <w:p w:rsidR="00C95803" w:rsidRDefault="00C958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803" w:rsidRPr="00883450" w:rsidRDefault="00C95803"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C5602" w:rsidRPr="00EC560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C5602" w:rsidRPr="00EC5602">
      <w:rPr>
        <w:rFonts w:ascii="Palatino Linotype" w:hAnsi="Palatino Linotype"/>
        <w:noProof/>
        <w:sz w:val="22"/>
        <w:szCs w:val="22"/>
        <w:lang w:val="es-ES"/>
      </w:rPr>
      <w:t>73</w:t>
    </w:r>
    <w:r w:rsidRPr="00883450">
      <w:rPr>
        <w:rFonts w:ascii="Palatino Linotype" w:hAnsi="Palatino Linotype"/>
        <w:sz w:val="22"/>
        <w:szCs w:val="22"/>
      </w:rPr>
      <w:fldChar w:fldCharType="end"/>
    </w:r>
  </w:p>
  <w:p w:rsidR="00C95803" w:rsidRPr="00883450" w:rsidRDefault="00C9580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A9C" w:rsidRDefault="001E4A9C" w:rsidP="008B6F5F">
      <w:r>
        <w:separator/>
      </w:r>
    </w:p>
  </w:footnote>
  <w:footnote w:type="continuationSeparator" w:id="0">
    <w:p w:rsidR="001E4A9C" w:rsidRDefault="001E4A9C" w:rsidP="008B6F5F">
      <w:r>
        <w:continuationSeparator/>
      </w:r>
    </w:p>
  </w:footnote>
  <w:footnote w:id="1">
    <w:p w:rsidR="00C95803" w:rsidRDefault="00C95803" w:rsidP="006E53ED">
      <w:pPr>
        <w:pStyle w:val="Textonotapie"/>
      </w:pPr>
      <w:r>
        <w:rPr>
          <w:rStyle w:val="Refdenotaalpie"/>
        </w:rPr>
        <w:footnoteRef/>
      </w:r>
      <w:r>
        <w:t xml:space="preserve"> Tercer párrafo, artículo 1º, Constitución Política de los Estados Unidos Mexicanos.</w:t>
      </w:r>
    </w:p>
  </w:footnote>
  <w:footnote w:id="2">
    <w:p w:rsidR="00C95803" w:rsidRDefault="00C95803" w:rsidP="006E53ED">
      <w:pPr>
        <w:pStyle w:val="Textonotapie"/>
      </w:pPr>
      <w:r>
        <w:rPr>
          <w:rStyle w:val="Refdenotaalpie"/>
        </w:rPr>
        <w:footnoteRef/>
      </w:r>
      <w:r>
        <w:t xml:space="preserve"> Segundo Párrafo, artículo 6º, Constitución Política de los Estados Unidos Mexicanos.</w:t>
      </w:r>
    </w:p>
  </w:footnote>
  <w:footnote w:id="3">
    <w:p w:rsidR="00C95803" w:rsidRDefault="00C95803" w:rsidP="006E53ED">
      <w:pPr>
        <w:pStyle w:val="Textonotapie"/>
      </w:pPr>
      <w:r>
        <w:rPr>
          <w:rStyle w:val="Refdenotaalpie"/>
        </w:rPr>
        <w:footnoteRef/>
      </w:r>
      <w:r>
        <w:t xml:space="preserve"> Artículo 176, Ley de Transparencia y Acceso a la Información Pública del Estado de México y Municipios.</w:t>
      </w:r>
    </w:p>
  </w:footnote>
  <w:footnote w:id="4">
    <w:p w:rsidR="00C95803" w:rsidRDefault="00C95803" w:rsidP="006E53ED">
      <w:pPr>
        <w:pStyle w:val="Textonotapie"/>
      </w:pPr>
      <w:r>
        <w:rPr>
          <w:rStyle w:val="Refdenotaalpie"/>
        </w:rPr>
        <w:footnoteRef/>
      </w:r>
      <w:r>
        <w:t xml:space="preserve"> Convención Americana sobre Derechos Humanos. Artículo 13.</w:t>
      </w:r>
    </w:p>
  </w:footnote>
  <w:footnote w:id="5">
    <w:p w:rsidR="00C95803" w:rsidRDefault="00C95803" w:rsidP="006E53ED">
      <w:pPr>
        <w:pStyle w:val="Textonotapie"/>
      </w:pPr>
      <w:r>
        <w:rPr>
          <w:rStyle w:val="Refdenotaalpie"/>
        </w:rPr>
        <w:footnoteRef/>
      </w:r>
      <w:r>
        <w:t xml:space="preserve"> Constitución Política de los Estados Unidos Mexicanos. Artículo sexto, sección A, Fracción I.</w:t>
      </w:r>
    </w:p>
  </w:footnote>
  <w:footnote w:id="6">
    <w:p w:rsidR="00C95803" w:rsidRDefault="00C95803" w:rsidP="006E53E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C95803" w:rsidRDefault="00C95803" w:rsidP="006E53ED">
      <w:pPr>
        <w:pStyle w:val="Textonotapie"/>
      </w:pPr>
      <w:r>
        <w:rPr>
          <w:rStyle w:val="Refdenotaalpie"/>
        </w:rPr>
        <w:footnoteRef/>
      </w:r>
      <w:r>
        <w:t xml:space="preserve"> Ibídem. Párr. 87.</w:t>
      </w:r>
    </w:p>
  </w:footnote>
  <w:footnote w:id="8">
    <w:p w:rsidR="00C95803" w:rsidRDefault="00C95803" w:rsidP="006E53ED">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rsidR="00C95803" w:rsidRPr="00547FFB" w:rsidRDefault="00C95803" w:rsidP="008B7093">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rPr>
        <w:t xml:space="preserve">Artículo 13. </w:t>
      </w:r>
      <w:r w:rsidRPr="00547FFB">
        <w:rPr>
          <w:rFonts w:cs="Bookman Old Style"/>
          <w:sz w:val="20"/>
          <w:szCs w:val="20"/>
        </w:rPr>
        <w:t>El Instituto, en el ámbito de sus atribuciones, deberá suplir cualquier deficiencia para garantizar el ejercicio del derecho de acceso a la información.</w:t>
      </w:r>
    </w:p>
  </w:footnote>
  <w:footnote w:id="10">
    <w:p w:rsidR="00C95803" w:rsidRPr="00547FFB" w:rsidRDefault="00C95803" w:rsidP="008B7093">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rsidR="00C95803" w:rsidRPr="00547FFB" w:rsidRDefault="00C95803" w:rsidP="008B7093">
      <w:pPr>
        <w:autoSpaceDE w:val="0"/>
        <w:autoSpaceDN w:val="0"/>
        <w:adjustRightInd w:val="0"/>
        <w:jc w:val="both"/>
        <w:rPr>
          <w:sz w:val="20"/>
          <w:szCs w:val="20"/>
        </w:rPr>
      </w:pPr>
      <w:r w:rsidRPr="00547FFB">
        <w:rPr>
          <w:sz w:val="20"/>
          <w:szCs w:val="20"/>
        </w:rPr>
        <w:t>…</w:t>
      </w:r>
    </w:p>
    <w:p w:rsidR="00C95803" w:rsidRDefault="00C95803" w:rsidP="008B7093">
      <w:pPr>
        <w:autoSpaceDE w:val="0"/>
        <w:autoSpaceDN w:val="0"/>
        <w:adjustRightInd w:val="0"/>
        <w:jc w:val="both"/>
      </w:pPr>
      <w:r w:rsidRPr="00547FFB">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1">
    <w:p w:rsidR="00C95803" w:rsidRDefault="00C95803" w:rsidP="008B7093">
      <w:pPr>
        <w:pStyle w:val="Textonotapie"/>
      </w:pPr>
      <w:r>
        <w:rPr>
          <w:rStyle w:val="Refdenotaalpie"/>
        </w:rPr>
        <w:footnoteRef/>
      </w:r>
      <w:r>
        <w:t xml:space="preserve"> Consultable en; </w:t>
      </w:r>
      <w:hyperlink r:id="rId2" w:history="1">
        <w:r>
          <w:rPr>
            <w:rStyle w:val="Hipervnculo"/>
          </w:rPr>
          <w:t>https://www.gob.mx/sesnsp/acciones-y-programas/fondos-y-subsidios</w:t>
        </w:r>
      </w:hyperlink>
    </w:p>
  </w:footnote>
  <w:footnote w:id="12">
    <w:p w:rsidR="00C95803" w:rsidRPr="00B66524" w:rsidRDefault="00C95803">
      <w:pPr>
        <w:pStyle w:val="Textonotapie"/>
        <w:rPr>
          <w:lang w:val="es-MX"/>
        </w:rPr>
      </w:pPr>
      <w:r>
        <w:rPr>
          <w:rStyle w:val="Refdenotaalpie"/>
        </w:rPr>
        <w:footnoteRef/>
      </w:r>
      <w:r>
        <w:t xml:space="preserve"> </w:t>
      </w:r>
      <w:r>
        <w:rPr>
          <w:lang w:val="es-MX"/>
        </w:rPr>
        <w:t xml:space="preserve">Ley de Contratación Pública del Estado de México y Municipios. Artículo 3. Fracción I. </w:t>
      </w:r>
      <w:r w:rsidRPr="00B66524">
        <w:rPr>
          <w:b/>
          <w:lang w:val="es-MX"/>
        </w:rPr>
        <w:t>COMPRAMEX:</w:t>
      </w:r>
      <w:r>
        <w:rPr>
          <w:lang w:val="es-MX"/>
        </w:rPr>
        <w:t xml:space="preserve"> Al Sistema Electrónico de Contratación Pública del Estado de México, vinculado al SEITS.</w:t>
      </w:r>
    </w:p>
  </w:footnote>
  <w:footnote w:id="13">
    <w:p w:rsidR="00C95803" w:rsidRDefault="00C95803" w:rsidP="001F61BF">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4">
    <w:p w:rsidR="00C95803" w:rsidRDefault="00C95803" w:rsidP="007A53D3">
      <w:pPr>
        <w:pStyle w:val="Textonotapie"/>
      </w:pPr>
      <w:r>
        <w:rPr>
          <w:rStyle w:val="Refdenotaalpie"/>
        </w:rPr>
        <w:footnoteRef/>
      </w:r>
      <w:r>
        <w:t xml:space="preserve"> Consultable en; </w:t>
      </w:r>
      <w:hyperlink r:id="rId3" w:history="1">
        <w:r>
          <w:rPr>
            <w:rStyle w:val="Hipervnculo"/>
          </w:rPr>
          <w:t>https://www.gob.mx/cms/uploads/attachment/file/454683/CONVENIO_FORTASEG_2019-ESTADO_DE_M_XICO-17-04-19.pdf</w:t>
        </w:r>
      </w:hyperlink>
    </w:p>
  </w:footnote>
  <w:footnote w:id="15">
    <w:p w:rsidR="00C95803" w:rsidRDefault="00C95803" w:rsidP="00F77E6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95803" w:rsidRDefault="00C95803" w:rsidP="00F77E6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95803" w:rsidRPr="001E1F95" w:rsidRDefault="00C95803" w:rsidP="00F77E6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6">
    <w:p w:rsidR="00C95803" w:rsidRPr="0037004E" w:rsidRDefault="00C95803" w:rsidP="00F77E6F">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7">
    <w:p w:rsidR="00C95803" w:rsidRDefault="00C95803" w:rsidP="00F77E6F">
      <w:pPr>
        <w:pStyle w:val="Textonotapie"/>
        <w:jc w:val="both"/>
      </w:pPr>
      <w:r>
        <w:rPr>
          <w:rStyle w:val="Refdenotaalpie"/>
        </w:rPr>
        <w:footnoteRef/>
      </w:r>
      <w:r>
        <w:t xml:space="preserve"> Artículo 3. Para los efectos de la presente Ley se entenderá por:</w:t>
      </w:r>
    </w:p>
    <w:p w:rsidR="00C95803" w:rsidRDefault="00C95803" w:rsidP="00F77E6F">
      <w:pPr>
        <w:pStyle w:val="Textonotapie"/>
        <w:jc w:val="both"/>
      </w:pPr>
      <w:r>
        <w:t xml:space="preserve"> (…)</w:t>
      </w:r>
    </w:p>
    <w:p w:rsidR="00C95803" w:rsidRDefault="00C95803" w:rsidP="00F77E6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95803" w:rsidRPr="00EF13C1" w:rsidTr="00646380">
      <w:trPr>
        <w:trHeight w:val="138"/>
        <w:jc w:val="right"/>
      </w:trPr>
      <w:tc>
        <w:tcPr>
          <w:tcW w:w="2552" w:type="dxa"/>
          <w:vAlign w:val="center"/>
        </w:tcPr>
        <w:p w:rsidR="00C95803" w:rsidRPr="00EF13C1" w:rsidRDefault="00C95803"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C95803" w:rsidRPr="00EF13C1" w:rsidRDefault="00C95803" w:rsidP="00084D8C">
          <w:pPr>
            <w:pStyle w:val="Encabezado"/>
            <w:jc w:val="right"/>
            <w:rPr>
              <w:rFonts w:ascii="Palatino Linotype" w:hAnsi="Palatino Linotype"/>
              <w:b/>
              <w:sz w:val="22"/>
              <w:szCs w:val="22"/>
            </w:rPr>
          </w:pPr>
          <w:r>
            <w:rPr>
              <w:rFonts w:ascii="Palatino Linotype" w:hAnsi="Palatino Linotype" w:cs="Arial"/>
              <w:b/>
              <w:bCs/>
              <w:sz w:val="22"/>
              <w:szCs w:val="22"/>
              <w:lang w:eastAsia="es-MX"/>
            </w:rPr>
            <w:t>06983/INFOEM/IP/RR/2019</w:t>
          </w:r>
        </w:p>
      </w:tc>
    </w:tr>
    <w:tr w:rsidR="00C95803" w:rsidRPr="00EF13C1" w:rsidTr="00646380">
      <w:trPr>
        <w:trHeight w:val="233"/>
        <w:jc w:val="right"/>
      </w:trPr>
      <w:tc>
        <w:tcPr>
          <w:tcW w:w="2552" w:type="dxa"/>
          <w:vAlign w:val="center"/>
        </w:tcPr>
        <w:p w:rsidR="00C95803" w:rsidRPr="00EF13C1" w:rsidRDefault="00C95803" w:rsidP="00646380">
          <w:pPr>
            <w:rPr>
              <w:rFonts w:ascii="Palatino Linotype" w:hAnsi="Palatino Linotype"/>
              <w:b/>
              <w:sz w:val="22"/>
              <w:szCs w:val="22"/>
            </w:rPr>
          </w:pPr>
        </w:p>
      </w:tc>
      <w:tc>
        <w:tcPr>
          <w:tcW w:w="3826" w:type="dxa"/>
          <w:vAlign w:val="center"/>
        </w:tcPr>
        <w:p w:rsidR="00C95803" w:rsidRPr="00EF13C1" w:rsidRDefault="00C95803" w:rsidP="00141DF6">
          <w:pPr>
            <w:pStyle w:val="Encabezado"/>
            <w:jc w:val="center"/>
            <w:rPr>
              <w:rFonts w:ascii="Palatino Linotype" w:hAnsi="Palatino Linotype"/>
              <w:b/>
              <w:sz w:val="22"/>
              <w:szCs w:val="22"/>
            </w:rPr>
          </w:pPr>
        </w:p>
      </w:tc>
    </w:tr>
    <w:tr w:rsidR="00C95803" w:rsidRPr="00EF13C1" w:rsidTr="00646380">
      <w:trPr>
        <w:trHeight w:val="321"/>
        <w:jc w:val="right"/>
      </w:trPr>
      <w:tc>
        <w:tcPr>
          <w:tcW w:w="2552" w:type="dxa"/>
          <w:vAlign w:val="center"/>
        </w:tcPr>
        <w:p w:rsidR="00C95803" w:rsidRPr="00EF13C1" w:rsidRDefault="00C95803"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C95803" w:rsidRPr="00EF13C1" w:rsidRDefault="00C95803" w:rsidP="00084D8C">
          <w:pPr>
            <w:pStyle w:val="Encabezado"/>
            <w:jc w:val="right"/>
            <w:rPr>
              <w:rFonts w:ascii="Palatino Linotype" w:hAnsi="Palatino Linotype"/>
              <w:b/>
              <w:sz w:val="22"/>
              <w:szCs w:val="22"/>
            </w:rPr>
          </w:pPr>
          <w:r>
            <w:rPr>
              <w:rFonts w:ascii="Palatino Linotype" w:hAnsi="Palatino Linotype"/>
              <w:b/>
              <w:bCs/>
              <w:sz w:val="22"/>
              <w:szCs w:val="22"/>
            </w:rPr>
            <w:t>Ayuntamiento de Atizapán</w:t>
          </w:r>
        </w:p>
      </w:tc>
    </w:tr>
    <w:tr w:rsidR="00C95803" w:rsidRPr="00EF13C1" w:rsidTr="00646380">
      <w:trPr>
        <w:trHeight w:val="321"/>
        <w:jc w:val="right"/>
      </w:trPr>
      <w:tc>
        <w:tcPr>
          <w:tcW w:w="2552" w:type="dxa"/>
          <w:vAlign w:val="center"/>
        </w:tcPr>
        <w:p w:rsidR="00C95803" w:rsidRPr="00EF13C1" w:rsidRDefault="00C95803"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C95803" w:rsidRPr="00EF13C1" w:rsidRDefault="00C95803"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C95803" w:rsidRDefault="00C95803"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C95803" w:rsidRPr="00182113" w:rsidTr="00141DF6">
      <w:trPr>
        <w:trHeight w:val="138"/>
      </w:trPr>
      <w:tc>
        <w:tcPr>
          <w:tcW w:w="2532" w:type="dxa"/>
          <w:vAlign w:val="center"/>
        </w:tcPr>
        <w:p w:rsidR="00C95803" w:rsidRPr="00EF13C1" w:rsidRDefault="00C95803"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C95803" w:rsidRPr="00EF13C1" w:rsidRDefault="00C95803" w:rsidP="00084D8C">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06983/INFOEM/IP/RR/2019 </w:t>
          </w:r>
        </w:p>
      </w:tc>
      <w:tc>
        <w:tcPr>
          <w:tcW w:w="2532" w:type="dxa"/>
          <w:vAlign w:val="center"/>
        </w:tcPr>
        <w:p w:rsidR="00C95803" w:rsidRPr="00182113" w:rsidRDefault="00C95803" w:rsidP="00141DF6">
          <w:pPr>
            <w:rPr>
              <w:rFonts w:ascii="Palatino Linotype" w:hAnsi="Palatino Linotype"/>
              <w:b/>
              <w:sz w:val="22"/>
              <w:szCs w:val="22"/>
            </w:rPr>
          </w:pPr>
        </w:p>
      </w:tc>
      <w:tc>
        <w:tcPr>
          <w:tcW w:w="236" w:type="dxa"/>
          <w:vAlign w:val="center"/>
        </w:tcPr>
        <w:p w:rsidR="00C95803" w:rsidRPr="00182113" w:rsidRDefault="00C95803" w:rsidP="00141DF6">
          <w:pPr>
            <w:pStyle w:val="Encabezado"/>
            <w:jc w:val="center"/>
            <w:rPr>
              <w:rFonts w:ascii="Palatino Linotype" w:hAnsi="Palatino Linotype"/>
              <w:b/>
              <w:sz w:val="22"/>
              <w:szCs w:val="22"/>
            </w:rPr>
          </w:pPr>
        </w:p>
      </w:tc>
      <w:tc>
        <w:tcPr>
          <w:tcW w:w="3261" w:type="dxa"/>
          <w:vAlign w:val="center"/>
        </w:tcPr>
        <w:p w:rsidR="00C95803" w:rsidRPr="00182113" w:rsidRDefault="00C95803" w:rsidP="00141DF6">
          <w:pPr>
            <w:pStyle w:val="Encabezado"/>
            <w:rPr>
              <w:rFonts w:ascii="Palatino Linotype" w:hAnsi="Palatino Linotype"/>
              <w:b/>
              <w:sz w:val="22"/>
              <w:szCs w:val="22"/>
            </w:rPr>
          </w:pPr>
        </w:p>
      </w:tc>
    </w:tr>
    <w:tr w:rsidR="00C95803" w:rsidRPr="00182113" w:rsidTr="00141DF6">
      <w:trPr>
        <w:trHeight w:val="227"/>
      </w:trPr>
      <w:tc>
        <w:tcPr>
          <w:tcW w:w="2532" w:type="dxa"/>
          <w:vAlign w:val="center"/>
        </w:tcPr>
        <w:p w:rsidR="00C95803" w:rsidRPr="00EF13C1" w:rsidRDefault="00C95803"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C95803" w:rsidRPr="00EF13C1" w:rsidRDefault="000C49D0" w:rsidP="00141DF6">
          <w:pPr>
            <w:pStyle w:val="Encabezado"/>
            <w:jc w:val="right"/>
            <w:rPr>
              <w:rFonts w:ascii="Palatino Linotype" w:hAnsi="Palatino Linotype"/>
              <w:b/>
              <w:sz w:val="22"/>
              <w:szCs w:val="22"/>
            </w:rPr>
          </w:pPr>
          <w:r w:rsidRPr="000C49D0">
            <w:rPr>
              <w:rFonts w:ascii="Palatino Linotype" w:hAnsi="Palatino Linotype"/>
              <w:b/>
              <w:highlight w:val="black"/>
            </w:rPr>
            <w:t>----------------------------</w:t>
          </w:r>
        </w:p>
      </w:tc>
      <w:tc>
        <w:tcPr>
          <w:tcW w:w="2532" w:type="dxa"/>
          <w:vAlign w:val="center"/>
        </w:tcPr>
        <w:p w:rsidR="00C95803" w:rsidRPr="00182113" w:rsidRDefault="00C95803" w:rsidP="00141DF6">
          <w:pPr>
            <w:rPr>
              <w:rFonts w:ascii="Palatino Linotype" w:hAnsi="Palatino Linotype"/>
              <w:b/>
              <w:sz w:val="22"/>
              <w:szCs w:val="22"/>
            </w:rPr>
          </w:pPr>
        </w:p>
      </w:tc>
      <w:tc>
        <w:tcPr>
          <w:tcW w:w="236" w:type="dxa"/>
          <w:vAlign w:val="center"/>
        </w:tcPr>
        <w:p w:rsidR="00C95803" w:rsidRPr="00182113" w:rsidRDefault="00C95803" w:rsidP="00141DF6">
          <w:pPr>
            <w:pStyle w:val="Encabezado"/>
            <w:jc w:val="center"/>
            <w:rPr>
              <w:rFonts w:ascii="Palatino Linotype" w:hAnsi="Palatino Linotype"/>
              <w:b/>
              <w:sz w:val="22"/>
              <w:szCs w:val="22"/>
            </w:rPr>
          </w:pPr>
        </w:p>
      </w:tc>
      <w:tc>
        <w:tcPr>
          <w:tcW w:w="3261" w:type="dxa"/>
          <w:vAlign w:val="center"/>
        </w:tcPr>
        <w:p w:rsidR="00C95803" w:rsidRPr="00182113" w:rsidRDefault="00C95803" w:rsidP="00141DF6">
          <w:pPr>
            <w:pStyle w:val="Encabezado"/>
            <w:rPr>
              <w:rFonts w:ascii="Palatino Linotype" w:hAnsi="Palatino Linotype"/>
              <w:b/>
              <w:sz w:val="22"/>
              <w:szCs w:val="22"/>
            </w:rPr>
          </w:pPr>
        </w:p>
      </w:tc>
    </w:tr>
    <w:tr w:rsidR="00C95803" w:rsidRPr="00182113" w:rsidTr="00141DF6">
      <w:trPr>
        <w:trHeight w:val="232"/>
      </w:trPr>
      <w:tc>
        <w:tcPr>
          <w:tcW w:w="2532" w:type="dxa"/>
          <w:vAlign w:val="center"/>
        </w:tcPr>
        <w:p w:rsidR="00C95803" w:rsidRPr="00EF13C1" w:rsidRDefault="00C95803"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C95803" w:rsidRPr="00EF13C1" w:rsidRDefault="00C95803" w:rsidP="00084D8C">
          <w:pPr>
            <w:pStyle w:val="Encabezado"/>
            <w:jc w:val="right"/>
            <w:rPr>
              <w:rFonts w:ascii="Palatino Linotype" w:hAnsi="Palatino Linotype"/>
              <w:b/>
              <w:sz w:val="22"/>
              <w:szCs w:val="22"/>
            </w:rPr>
          </w:pPr>
          <w:r>
            <w:rPr>
              <w:rFonts w:ascii="Palatino Linotype" w:hAnsi="Palatino Linotype"/>
              <w:b/>
              <w:bCs/>
              <w:sz w:val="22"/>
              <w:szCs w:val="22"/>
            </w:rPr>
            <w:t>Ayuntamiento de Atizapán</w:t>
          </w:r>
        </w:p>
      </w:tc>
      <w:tc>
        <w:tcPr>
          <w:tcW w:w="2532" w:type="dxa"/>
          <w:vAlign w:val="center"/>
        </w:tcPr>
        <w:p w:rsidR="00C95803" w:rsidRPr="00182113" w:rsidRDefault="00C95803" w:rsidP="00141DF6">
          <w:pPr>
            <w:rPr>
              <w:rFonts w:ascii="Palatino Linotype" w:hAnsi="Palatino Linotype"/>
              <w:b/>
              <w:sz w:val="22"/>
              <w:szCs w:val="22"/>
            </w:rPr>
          </w:pPr>
        </w:p>
      </w:tc>
      <w:tc>
        <w:tcPr>
          <w:tcW w:w="236" w:type="dxa"/>
          <w:vAlign w:val="center"/>
        </w:tcPr>
        <w:p w:rsidR="00C95803" w:rsidRPr="00182113" w:rsidRDefault="00C95803" w:rsidP="00141DF6">
          <w:pPr>
            <w:pStyle w:val="Encabezado"/>
            <w:jc w:val="center"/>
            <w:rPr>
              <w:rFonts w:ascii="Palatino Linotype" w:hAnsi="Palatino Linotype"/>
              <w:b/>
              <w:sz w:val="22"/>
              <w:szCs w:val="22"/>
            </w:rPr>
          </w:pPr>
        </w:p>
      </w:tc>
      <w:tc>
        <w:tcPr>
          <w:tcW w:w="3261" w:type="dxa"/>
          <w:vAlign w:val="center"/>
        </w:tcPr>
        <w:p w:rsidR="00C95803" w:rsidRPr="00182113" w:rsidRDefault="00C95803" w:rsidP="00141DF6">
          <w:pPr>
            <w:pStyle w:val="Encabezado"/>
            <w:rPr>
              <w:rFonts w:ascii="Palatino Linotype" w:hAnsi="Palatino Linotype"/>
              <w:b/>
              <w:sz w:val="22"/>
              <w:szCs w:val="22"/>
            </w:rPr>
          </w:pPr>
        </w:p>
      </w:tc>
    </w:tr>
    <w:tr w:rsidR="00C95803" w:rsidRPr="00182113" w:rsidTr="00141DF6">
      <w:trPr>
        <w:trHeight w:val="320"/>
      </w:trPr>
      <w:tc>
        <w:tcPr>
          <w:tcW w:w="2532" w:type="dxa"/>
          <w:vAlign w:val="center"/>
        </w:tcPr>
        <w:p w:rsidR="00C95803" w:rsidRPr="00EF13C1" w:rsidRDefault="00C95803"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C95803" w:rsidRPr="00EF13C1" w:rsidRDefault="00C95803"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C95803" w:rsidRPr="00182113" w:rsidRDefault="00C95803" w:rsidP="00141DF6">
          <w:pPr>
            <w:rPr>
              <w:rFonts w:ascii="Palatino Linotype" w:hAnsi="Palatino Linotype"/>
              <w:b/>
              <w:sz w:val="22"/>
              <w:szCs w:val="22"/>
            </w:rPr>
          </w:pPr>
        </w:p>
      </w:tc>
      <w:tc>
        <w:tcPr>
          <w:tcW w:w="236" w:type="dxa"/>
          <w:vAlign w:val="center"/>
        </w:tcPr>
        <w:p w:rsidR="00C95803" w:rsidRPr="00182113" w:rsidRDefault="00C95803" w:rsidP="00141DF6">
          <w:pPr>
            <w:pStyle w:val="Encabezado"/>
            <w:jc w:val="center"/>
            <w:rPr>
              <w:rFonts w:ascii="Palatino Linotype" w:hAnsi="Palatino Linotype"/>
              <w:b/>
              <w:sz w:val="22"/>
              <w:szCs w:val="22"/>
            </w:rPr>
          </w:pPr>
        </w:p>
      </w:tc>
      <w:tc>
        <w:tcPr>
          <w:tcW w:w="3261" w:type="dxa"/>
          <w:vAlign w:val="center"/>
        </w:tcPr>
        <w:p w:rsidR="00C95803" w:rsidRPr="00182113" w:rsidRDefault="00C95803" w:rsidP="00141DF6">
          <w:pPr>
            <w:pStyle w:val="Encabezado"/>
            <w:rPr>
              <w:rFonts w:ascii="Palatino Linotype" w:hAnsi="Palatino Linotype"/>
              <w:b/>
              <w:sz w:val="22"/>
              <w:szCs w:val="22"/>
            </w:rPr>
          </w:pPr>
        </w:p>
      </w:tc>
    </w:tr>
  </w:tbl>
  <w:p w:rsidR="00C95803" w:rsidRDefault="00C958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470999"/>
    <w:multiLevelType w:val="hybridMultilevel"/>
    <w:tmpl w:val="7C24F728"/>
    <w:lvl w:ilvl="0" w:tplc="E2183D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2850779"/>
    <w:multiLevelType w:val="hybridMultilevel"/>
    <w:tmpl w:val="C5FAC5CC"/>
    <w:lvl w:ilvl="0" w:tplc="960CDF1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F276B3"/>
    <w:multiLevelType w:val="hybridMultilevel"/>
    <w:tmpl w:val="E210170C"/>
    <w:lvl w:ilvl="0" w:tplc="080A0017">
      <w:start w:val="1"/>
      <w:numFmt w:val="lowerLetter"/>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4">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E91719"/>
    <w:multiLevelType w:val="hybridMultilevel"/>
    <w:tmpl w:val="9D8EB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C1F104A"/>
    <w:multiLevelType w:val="hybridMultilevel"/>
    <w:tmpl w:val="1DBE6CD4"/>
    <w:lvl w:ilvl="0" w:tplc="080A000F">
      <w:start w:val="1"/>
      <w:numFmt w:val="decimal"/>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nsid w:val="6E3D5C69"/>
    <w:multiLevelType w:val="hybridMultilevel"/>
    <w:tmpl w:val="3C1A1DB6"/>
    <w:lvl w:ilvl="0" w:tplc="35C08EFA">
      <w:start w:val="1"/>
      <w:numFmt w:val="decimal"/>
      <w:lvlText w:val="%1."/>
      <w:lvlJc w:val="left"/>
      <w:pPr>
        <w:ind w:left="927" w:hanging="360"/>
      </w:pPr>
      <w:rPr>
        <w:rFonts w:ascii="Palatino Linotype" w:eastAsiaTheme="minorEastAsia" w:hAnsi="Palatino Linotype" w:cstheme="minorBidi"/>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0"/>
  </w:num>
  <w:num w:numId="3">
    <w:abstractNumId w:val="4"/>
  </w:num>
  <w:num w:numId="4">
    <w:abstractNumId w:val="2"/>
  </w:num>
  <w:num w:numId="5">
    <w:abstractNumId w:val="7"/>
  </w:num>
  <w:num w:numId="6">
    <w:abstractNumId w:val="1"/>
  </w:num>
  <w:num w:numId="7">
    <w:abstractNumId w:val="6"/>
  </w:num>
  <w:num w:numId="8">
    <w:abstractNumId w:val="8"/>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765F"/>
    <w:rsid w:val="00011298"/>
    <w:rsid w:val="000129FA"/>
    <w:rsid w:val="00013B7E"/>
    <w:rsid w:val="000205C3"/>
    <w:rsid w:val="00020A79"/>
    <w:rsid w:val="000218CD"/>
    <w:rsid w:val="00021EFC"/>
    <w:rsid w:val="000274EF"/>
    <w:rsid w:val="00031362"/>
    <w:rsid w:val="00032ED4"/>
    <w:rsid w:val="000343D4"/>
    <w:rsid w:val="00036E69"/>
    <w:rsid w:val="000404FD"/>
    <w:rsid w:val="0004269C"/>
    <w:rsid w:val="00045D8E"/>
    <w:rsid w:val="000471A3"/>
    <w:rsid w:val="000550E9"/>
    <w:rsid w:val="00055C0B"/>
    <w:rsid w:val="00057046"/>
    <w:rsid w:val="00061B8C"/>
    <w:rsid w:val="00066351"/>
    <w:rsid w:val="000663DD"/>
    <w:rsid w:val="0007491E"/>
    <w:rsid w:val="00075A4C"/>
    <w:rsid w:val="00084D8C"/>
    <w:rsid w:val="00091880"/>
    <w:rsid w:val="00092CD4"/>
    <w:rsid w:val="0009344B"/>
    <w:rsid w:val="00094259"/>
    <w:rsid w:val="00096AFD"/>
    <w:rsid w:val="000A203F"/>
    <w:rsid w:val="000A2541"/>
    <w:rsid w:val="000A46A2"/>
    <w:rsid w:val="000A79E0"/>
    <w:rsid w:val="000B3BC1"/>
    <w:rsid w:val="000C37A1"/>
    <w:rsid w:val="000C49D0"/>
    <w:rsid w:val="000C524E"/>
    <w:rsid w:val="000C7237"/>
    <w:rsid w:val="000D4FCC"/>
    <w:rsid w:val="000D5BEA"/>
    <w:rsid w:val="000E03A9"/>
    <w:rsid w:val="000E04B9"/>
    <w:rsid w:val="000E053C"/>
    <w:rsid w:val="000E1BDA"/>
    <w:rsid w:val="000E1ECA"/>
    <w:rsid w:val="000E244C"/>
    <w:rsid w:val="000E434B"/>
    <w:rsid w:val="000E43C9"/>
    <w:rsid w:val="000E4C79"/>
    <w:rsid w:val="000E4DB5"/>
    <w:rsid w:val="000E4F0E"/>
    <w:rsid w:val="000E5295"/>
    <w:rsid w:val="000E7023"/>
    <w:rsid w:val="000F2EDB"/>
    <w:rsid w:val="000F3174"/>
    <w:rsid w:val="000F53A7"/>
    <w:rsid w:val="000F7E9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9DC"/>
    <w:rsid w:val="00132F24"/>
    <w:rsid w:val="00133116"/>
    <w:rsid w:val="001336BF"/>
    <w:rsid w:val="001342EB"/>
    <w:rsid w:val="00140005"/>
    <w:rsid w:val="0014171F"/>
    <w:rsid w:val="00141DF6"/>
    <w:rsid w:val="0014528A"/>
    <w:rsid w:val="00145959"/>
    <w:rsid w:val="00150242"/>
    <w:rsid w:val="0015151E"/>
    <w:rsid w:val="001515F1"/>
    <w:rsid w:val="00151AF2"/>
    <w:rsid w:val="001520C4"/>
    <w:rsid w:val="0015267F"/>
    <w:rsid w:val="0015525D"/>
    <w:rsid w:val="00156A90"/>
    <w:rsid w:val="00162483"/>
    <w:rsid w:val="001624FE"/>
    <w:rsid w:val="00166171"/>
    <w:rsid w:val="00167218"/>
    <w:rsid w:val="001672EA"/>
    <w:rsid w:val="00167627"/>
    <w:rsid w:val="00170DEE"/>
    <w:rsid w:val="001715AF"/>
    <w:rsid w:val="001720F9"/>
    <w:rsid w:val="00173525"/>
    <w:rsid w:val="00182731"/>
    <w:rsid w:val="001846A4"/>
    <w:rsid w:val="00185C27"/>
    <w:rsid w:val="001864B6"/>
    <w:rsid w:val="00187676"/>
    <w:rsid w:val="00192EC4"/>
    <w:rsid w:val="0019703D"/>
    <w:rsid w:val="001A556A"/>
    <w:rsid w:val="001A7D74"/>
    <w:rsid w:val="001B0E38"/>
    <w:rsid w:val="001B3D20"/>
    <w:rsid w:val="001B48A5"/>
    <w:rsid w:val="001C0763"/>
    <w:rsid w:val="001C0F74"/>
    <w:rsid w:val="001C1F82"/>
    <w:rsid w:val="001C32D4"/>
    <w:rsid w:val="001C5F18"/>
    <w:rsid w:val="001C6037"/>
    <w:rsid w:val="001C7C47"/>
    <w:rsid w:val="001D5D25"/>
    <w:rsid w:val="001D5F4A"/>
    <w:rsid w:val="001D6496"/>
    <w:rsid w:val="001E4A9C"/>
    <w:rsid w:val="001E673C"/>
    <w:rsid w:val="001E69EF"/>
    <w:rsid w:val="001F1A61"/>
    <w:rsid w:val="001F1B64"/>
    <w:rsid w:val="001F27F5"/>
    <w:rsid w:val="001F2B1D"/>
    <w:rsid w:val="001F61BF"/>
    <w:rsid w:val="001F6878"/>
    <w:rsid w:val="001F7B21"/>
    <w:rsid w:val="00201C80"/>
    <w:rsid w:val="00203DB6"/>
    <w:rsid w:val="002043F5"/>
    <w:rsid w:val="002065EF"/>
    <w:rsid w:val="0021062B"/>
    <w:rsid w:val="0021398B"/>
    <w:rsid w:val="002146B1"/>
    <w:rsid w:val="00216C93"/>
    <w:rsid w:val="0022089E"/>
    <w:rsid w:val="00220C8D"/>
    <w:rsid w:val="0022251B"/>
    <w:rsid w:val="00222845"/>
    <w:rsid w:val="002229DA"/>
    <w:rsid w:val="002248D3"/>
    <w:rsid w:val="00230ED8"/>
    <w:rsid w:val="00231687"/>
    <w:rsid w:val="00231FF4"/>
    <w:rsid w:val="00237EAE"/>
    <w:rsid w:val="00241128"/>
    <w:rsid w:val="0024503C"/>
    <w:rsid w:val="00245255"/>
    <w:rsid w:val="002456EB"/>
    <w:rsid w:val="002459BD"/>
    <w:rsid w:val="0025652B"/>
    <w:rsid w:val="00256D0A"/>
    <w:rsid w:val="00260E8C"/>
    <w:rsid w:val="00262949"/>
    <w:rsid w:val="002655B2"/>
    <w:rsid w:val="00266A88"/>
    <w:rsid w:val="00266D19"/>
    <w:rsid w:val="00266F04"/>
    <w:rsid w:val="00271ADB"/>
    <w:rsid w:val="00271AF3"/>
    <w:rsid w:val="00273E6D"/>
    <w:rsid w:val="002748FD"/>
    <w:rsid w:val="00274D1E"/>
    <w:rsid w:val="00274E75"/>
    <w:rsid w:val="002770B1"/>
    <w:rsid w:val="0027779A"/>
    <w:rsid w:val="00283900"/>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222C"/>
    <w:rsid w:val="002D3F81"/>
    <w:rsid w:val="002D7BFD"/>
    <w:rsid w:val="002E01F3"/>
    <w:rsid w:val="002E2041"/>
    <w:rsid w:val="002E4801"/>
    <w:rsid w:val="002F1198"/>
    <w:rsid w:val="002F37F6"/>
    <w:rsid w:val="002F41D4"/>
    <w:rsid w:val="002F42C6"/>
    <w:rsid w:val="002F4E9B"/>
    <w:rsid w:val="002F6A4C"/>
    <w:rsid w:val="003006D4"/>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6237D"/>
    <w:rsid w:val="00366760"/>
    <w:rsid w:val="0036737F"/>
    <w:rsid w:val="0036741F"/>
    <w:rsid w:val="0038111F"/>
    <w:rsid w:val="00382C85"/>
    <w:rsid w:val="00385622"/>
    <w:rsid w:val="00392960"/>
    <w:rsid w:val="003950A7"/>
    <w:rsid w:val="003977F2"/>
    <w:rsid w:val="003A1075"/>
    <w:rsid w:val="003A3A45"/>
    <w:rsid w:val="003A75A4"/>
    <w:rsid w:val="003A7F47"/>
    <w:rsid w:val="003B0404"/>
    <w:rsid w:val="003B26E6"/>
    <w:rsid w:val="003B31C0"/>
    <w:rsid w:val="003B3BE1"/>
    <w:rsid w:val="003C0D1A"/>
    <w:rsid w:val="003C2170"/>
    <w:rsid w:val="003C233B"/>
    <w:rsid w:val="003C2EEA"/>
    <w:rsid w:val="003C53A5"/>
    <w:rsid w:val="003C76B3"/>
    <w:rsid w:val="003C7AB3"/>
    <w:rsid w:val="003D0613"/>
    <w:rsid w:val="003D59AE"/>
    <w:rsid w:val="003D6FEA"/>
    <w:rsid w:val="003E000F"/>
    <w:rsid w:val="003E1028"/>
    <w:rsid w:val="003E6C4E"/>
    <w:rsid w:val="003F369B"/>
    <w:rsid w:val="003F4747"/>
    <w:rsid w:val="003F688E"/>
    <w:rsid w:val="003F6F2B"/>
    <w:rsid w:val="003F7E47"/>
    <w:rsid w:val="00400CBE"/>
    <w:rsid w:val="00405905"/>
    <w:rsid w:val="00405F39"/>
    <w:rsid w:val="0041566F"/>
    <w:rsid w:val="00415864"/>
    <w:rsid w:val="00420A1F"/>
    <w:rsid w:val="004246CF"/>
    <w:rsid w:val="00426428"/>
    <w:rsid w:val="004311BF"/>
    <w:rsid w:val="00431594"/>
    <w:rsid w:val="00433978"/>
    <w:rsid w:val="00443C87"/>
    <w:rsid w:val="0044467F"/>
    <w:rsid w:val="00446859"/>
    <w:rsid w:val="00450462"/>
    <w:rsid w:val="0045387B"/>
    <w:rsid w:val="00456B4C"/>
    <w:rsid w:val="00457FE4"/>
    <w:rsid w:val="00465214"/>
    <w:rsid w:val="0046559A"/>
    <w:rsid w:val="00473FB2"/>
    <w:rsid w:val="00474D8F"/>
    <w:rsid w:val="00475B56"/>
    <w:rsid w:val="004817DA"/>
    <w:rsid w:val="00483E81"/>
    <w:rsid w:val="00484F9A"/>
    <w:rsid w:val="00485D79"/>
    <w:rsid w:val="00486B61"/>
    <w:rsid w:val="00490A69"/>
    <w:rsid w:val="004915E2"/>
    <w:rsid w:val="004938E8"/>
    <w:rsid w:val="00493DF5"/>
    <w:rsid w:val="0049508E"/>
    <w:rsid w:val="00496F1E"/>
    <w:rsid w:val="00497665"/>
    <w:rsid w:val="004A18C9"/>
    <w:rsid w:val="004A1F40"/>
    <w:rsid w:val="004A2C19"/>
    <w:rsid w:val="004A4715"/>
    <w:rsid w:val="004A52A6"/>
    <w:rsid w:val="004A7BB6"/>
    <w:rsid w:val="004B019D"/>
    <w:rsid w:val="004B5E61"/>
    <w:rsid w:val="004C6DD1"/>
    <w:rsid w:val="004C775C"/>
    <w:rsid w:val="004D60FB"/>
    <w:rsid w:val="004D6254"/>
    <w:rsid w:val="004D6310"/>
    <w:rsid w:val="004D65D4"/>
    <w:rsid w:val="004E1E1B"/>
    <w:rsid w:val="004E2942"/>
    <w:rsid w:val="004E30FA"/>
    <w:rsid w:val="004E46DE"/>
    <w:rsid w:val="004E747E"/>
    <w:rsid w:val="004F2039"/>
    <w:rsid w:val="004F6C8A"/>
    <w:rsid w:val="004F7B23"/>
    <w:rsid w:val="004F7EE3"/>
    <w:rsid w:val="00500359"/>
    <w:rsid w:val="00500D9A"/>
    <w:rsid w:val="005044D6"/>
    <w:rsid w:val="00504780"/>
    <w:rsid w:val="0050618A"/>
    <w:rsid w:val="005104B9"/>
    <w:rsid w:val="00513071"/>
    <w:rsid w:val="00513336"/>
    <w:rsid w:val="0051467E"/>
    <w:rsid w:val="0051509C"/>
    <w:rsid w:val="005200F5"/>
    <w:rsid w:val="0052012D"/>
    <w:rsid w:val="005212A5"/>
    <w:rsid w:val="005234DE"/>
    <w:rsid w:val="00524962"/>
    <w:rsid w:val="005272BF"/>
    <w:rsid w:val="00530E6E"/>
    <w:rsid w:val="0053423A"/>
    <w:rsid w:val="00534605"/>
    <w:rsid w:val="00541AC9"/>
    <w:rsid w:val="00543B5B"/>
    <w:rsid w:val="0054625F"/>
    <w:rsid w:val="00546D26"/>
    <w:rsid w:val="005472AB"/>
    <w:rsid w:val="00550CB1"/>
    <w:rsid w:val="0055170E"/>
    <w:rsid w:val="005540A0"/>
    <w:rsid w:val="0055717D"/>
    <w:rsid w:val="00561820"/>
    <w:rsid w:val="0056331C"/>
    <w:rsid w:val="0056738A"/>
    <w:rsid w:val="005707D2"/>
    <w:rsid w:val="00570FDC"/>
    <w:rsid w:val="00571A57"/>
    <w:rsid w:val="00572A8A"/>
    <w:rsid w:val="00580D78"/>
    <w:rsid w:val="00582A53"/>
    <w:rsid w:val="00583AB6"/>
    <w:rsid w:val="005855B3"/>
    <w:rsid w:val="00585CCF"/>
    <w:rsid w:val="005933EC"/>
    <w:rsid w:val="0059406B"/>
    <w:rsid w:val="005949E1"/>
    <w:rsid w:val="005A1327"/>
    <w:rsid w:val="005B02E5"/>
    <w:rsid w:val="005B0AB7"/>
    <w:rsid w:val="005B34DC"/>
    <w:rsid w:val="005B3C42"/>
    <w:rsid w:val="005B4009"/>
    <w:rsid w:val="005C5C3E"/>
    <w:rsid w:val="005C6A6F"/>
    <w:rsid w:val="005D182C"/>
    <w:rsid w:val="005D31E4"/>
    <w:rsid w:val="005D4B68"/>
    <w:rsid w:val="005E06DC"/>
    <w:rsid w:val="005E10C3"/>
    <w:rsid w:val="005E1D42"/>
    <w:rsid w:val="005E2E2B"/>
    <w:rsid w:val="005E3616"/>
    <w:rsid w:val="005E6C51"/>
    <w:rsid w:val="005E6EC8"/>
    <w:rsid w:val="005F53F8"/>
    <w:rsid w:val="005F6D7D"/>
    <w:rsid w:val="00602483"/>
    <w:rsid w:val="006027FD"/>
    <w:rsid w:val="00604915"/>
    <w:rsid w:val="00605332"/>
    <w:rsid w:val="0060769D"/>
    <w:rsid w:val="00611026"/>
    <w:rsid w:val="0061346B"/>
    <w:rsid w:val="00616EC9"/>
    <w:rsid w:val="00617E6C"/>
    <w:rsid w:val="00617EB5"/>
    <w:rsid w:val="00621D34"/>
    <w:rsid w:val="00622BFB"/>
    <w:rsid w:val="0062799B"/>
    <w:rsid w:val="00630DD2"/>
    <w:rsid w:val="006339F3"/>
    <w:rsid w:val="00640F72"/>
    <w:rsid w:val="00640FFB"/>
    <w:rsid w:val="006414BE"/>
    <w:rsid w:val="00643383"/>
    <w:rsid w:val="00644191"/>
    <w:rsid w:val="006456DF"/>
    <w:rsid w:val="00646380"/>
    <w:rsid w:val="006514CA"/>
    <w:rsid w:val="00654CE8"/>
    <w:rsid w:val="0065568B"/>
    <w:rsid w:val="006566D0"/>
    <w:rsid w:val="00660D0F"/>
    <w:rsid w:val="006650CC"/>
    <w:rsid w:val="00666351"/>
    <w:rsid w:val="006705A4"/>
    <w:rsid w:val="00671EE2"/>
    <w:rsid w:val="006740AD"/>
    <w:rsid w:val="006758D9"/>
    <w:rsid w:val="00684855"/>
    <w:rsid w:val="00685022"/>
    <w:rsid w:val="00685C1F"/>
    <w:rsid w:val="00686CB3"/>
    <w:rsid w:val="00693768"/>
    <w:rsid w:val="00695DD2"/>
    <w:rsid w:val="006A2124"/>
    <w:rsid w:val="006A4E52"/>
    <w:rsid w:val="006A5CB3"/>
    <w:rsid w:val="006A6CC5"/>
    <w:rsid w:val="006B1786"/>
    <w:rsid w:val="006B1CCF"/>
    <w:rsid w:val="006B22CF"/>
    <w:rsid w:val="006B3D8E"/>
    <w:rsid w:val="006B4C4D"/>
    <w:rsid w:val="006B4FB9"/>
    <w:rsid w:val="006C084A"/>
    <w:rsid w:val="006C1A67"/>
    <w:rsid w:val="006C37D6"/>
    <w:rsid w:val="006C3D1D"/>
    <w:rsid w:val="006C43CD"/>
    <w:rsid w:val="006D21E4"/>
    <w:rsid w:val="006D6E49"/>
    <w:rsid w:val="006E1918"/>
    <w:rsid w:val="006E3AC2"/>
    <w:rsid w:val="006E4CE1"/>
    <w:rsid w:val="006E53ED"/>
    <w:rsid w:val="006E5B19"/>
    <w:rsid w:val="006E74A1"/>
    <w:rsid w:val="006E78E6"/>
    <w:rsid w:val="006E7D30"/>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862"/>
    <w:rsid w:val="0071694F"/>
    <w:rsid w:val="0072022F"/>
    <w:rsid w:val="007215DD"/>
    <w:rsid w:val="00721DFC"/>
    <w:rsid w:val="00723ABC"/>
    <w:rsid w:val="00725A86"/>
    <w:rsid w:val="00726C53"/>
    <w:rsid w:val="007338EF"/>
    <w:rsid w:val="007401AD"/>
    <w:rsid w:val="00740D89"/>
    <w:rsid w:val="00745072"/>
    <w:rsid w:val="007473A6"/>
    <w:rsid w:val="00747BD2"/>
    <w:rsid w:val="00755CC3"/>
    <w:rsid w:val="00757EFE"/>
    <w:rsid w:val="0076044B"/>
    <w:rsid w:val="007604AA"/>
    <w:rsid w:val="00766EB6"/>
    <w:rsid w:val="007740EB"/>
    <w:rsid w:val="0078539D"/>
    <w:rsid w:val="00785B79"/>
    <w:rsid w:val="00794037"/>
    <w:rsid w:val="00795D3A"/>
    <w:rsid w:val="00795EA1"/>
    <w:rsid w:val="00796727"/>
    <w:rsid w:val="00796D7E"/>
    <w:rsid w:val="007A53D3"/>
    <w:rsid w:val="007A7B70"/>
    <w:rsid w:val="007B40B0"/>
    <w:rsid w:val="007B5F1E"/>
    <w:rsid w:val="007B6033"/>
    <w:rsid w:val="007B726B"/>
    <w:rsid w:val="007C1E72"/>
    <w:rsid w:val="007C27D8"/>
    <w:rsid w:val="007C2EBB"/>
    <w:rsid w:val="007C7AD4"/>
    <w:rsid w:val="007D49CC"/>
    <w:rsid w:val="007D6050"/>
    <w:rsid w:val="007D73DA"/>
    <w:rsid w:val="007D75A9"/>
    <w:rsid w:val="007E0683"/>
    <w:rsid w:val="007E0C55"/>
    <w:rsid w:val="007E1E41"/>
    <w:rsid w:val="007E2CDA"/>
    <w:rsid w:val="007E43F9"/>
    <w:rsid w:val="007E47E3"/>
    <w:rsid w:val="007E644F"/>
    <w:rsid w:val="007F175E"/>
    <w:rsid w:val="007F27B2"/>
    <w:rsid w:val="007F5923"/>
    <w:rsid w:val="007F611D"/>
    <w:rsid w:val="007F7C18"/>
    <w:rsid w:val="008004BE"/>
    <w:rsid w:val="00801CB0"/>
    <w:rsid w:val="00805C58"/>
    <w:rsid w:val="008078B6"/>
    <w:rsid w:val="00807FD2"/>
    <w:rsid w:val="0081044D"/>
    <w:rsid w:val="00811F2A"/>
    <w:rsid w:val="00812C54"/>
    <w:rsid w:val="00816BA0"/>
    <w:rsid w:val="00821599"/>
    <w:rsid w:val="00826DBC"/>
    <w:rsid w:val="00830751"/>
    <w:rsid w:val="00830E77"/>
    <w:rsid w:val="00835853"/>
    <w:rsid w:val="00837A65"/>
    <w:rsid w:val="00840C2D"/>
    <w:rsid w:val="008427BB"/>
    <w:rsid w:val="00843D41"/>
    <w:rsid w:val="00844254"/>
    <w:rsid w:val="00847AFB"/>
    <w:rsid w:val="00850F94"/>
    <w:rsid w:val="00852825"/>
    <w:rsid w:val="00854A7E"/>
    <w:rsid w:val="008553BE"/>
    <w:rsid w:val="008555E0"/>
    <w:rsid w:val="00856687"/>
    <w:rsid w:val="00857345"/>
    <w:rsid w:val="00860BA4"/>
    <w:rsid w:val="00863F69"/>
    <w:rsid w:val="00865B1E"/>
    <w:rsid w:val="008706E3"/>
    <w:rsid w:val="00872FF9"/>
    <w:rsid w:val="00873B93"/>
    <w:rsid w:val="00881FAD"/>
    <w:rsid w:val="00885AF2"/>
    <w:rsid w:val="00886B78"/>
    <w:rsid w:val="00891001"/>
    <w:rsid w:val="00892DFF"/>
    <w:rsid w:val="00894D8E"/>
    <w:rsid w:val="00896802"/>
    <w:rsid w:val="00897A58"/>
    <w:rsid w:val="008A1EB9"/>
    <w:rsid w:val="008A4423"/>
    <w:rsid w:val="008B0105"/>
    <w:rsid w:val="008B1732"/>
    <w:rsid w:val="008B4115"/>
    <w:rsid w:val="008B48E5"/>
    <w:rsid w:val="008B575A"/>
    <w:rsid w:val="008B6A29"/>
    <w:rsid w:val="008B6F5F"/>
    <w:rsid w:val="008B7093"/>
    <w:rsid w:val="008B768C"/>
    <w:rsid w:val="008C1660"/>
    <w:rsid w:val="008C31DF"/>
    <w:rsid w:val="008C40D3"/>
    <w:rsid w:val="008D11BC"/>
    <w:rsid w:val="008D42C3"/>
    <w:rsid w:val="008D59C7"/>
    <w:rsid w:val="008D5FE3"/>
    <w:rsid w:val="008D6200"/>
    <w:rsid w:val="008D75F0"/>
    <w:rsid w:val="008E1749"/>
    <w:rsid w:val="008E5C56"/>
    <w:rsid w:val="008E6106"/>
    <w:rsid w:val="008E78E7"/>
    <w:rsid w:val="008F6153"/>
    <w:rsid w:val="008F7333"/>
    <w:rsid w:val="008F7F5F"/>
    <w:rsid w:val="009118BF"/>
    <w:rsid w:val="00916C74"/>
    <w:rsid w:val="00923DF9"/>
    <w:rsid w:val="00924B1A"/>
    <w:rsid w:val="0092505E"/>
    <w:rsid w:val="0092772E"/>
    <w:rsid w:val="00933B2F"/>
    <w:rsid w:val="00933F5B"/>
    <w:rsid w:val="00936B23"/>
    <w:rsid w:val="009400E4"/>
    <w:rsid w:val="00941CA4"/>
    <w:rsid w:val="00941F93"/>
    <w:rsid w:val="009420F5"/>
    <w:rsid w:val="00943DBF"/>
    <w:rsid w:val="009442AC"/>
    <w:rsid w:val="0094493D"/>
    <w:rsid w:val="009472D4"/>
    <w:rsid w:val="00950645"/>
    <w:rsid w:val="009510E0"/>
    <w:rsid w:val="00953568"/>
    <w:rsid w:val="0095457D"/>
    <w:rsid w:val="00954B5F"/>
    <w:rsid w:val="00954B82"/>
    <w:rsid w:val="00954FB9"/>
    <w:rsid w:val="009603EC"/>
    <w:rsid w:val="00962CAE"/>
    <w:rsid w:val="009660E6"/>
    <w:rsid w:val="00970964"/>
    <w:rsid w:val="00970F94"/>
    <w:rsid w:val="00971105"/>
    <w:rsid w:val="00976E5F"/>
    <w:rsid w:val="0097749D"/>
    <w:rsid w:val="00980BFE"/>
    <w:rsid w:val="009947E6"/>
    <w:rsid w:val="009A1BD0"/>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D36"/>
    <w:rsid w:val="009E0CF4"/>
    <w:rsid w:val="009E1CC5"/>
    <w:rsid w:val="009E5696"/>
    <w:rsid w:val="009F144C"/>
    <w:rsid w:val="009F1491"/>
    <w:rsid w:val="009F5288"/>
    <w:rsid w:val="00A00D7D"/>
    <w:rsid w:val="00A02087"/>
    <w:rsid w:val="00A1302E"/>
    <w:rsid w:val="00A147C1"/>
    <w:rsid w:val="00A1731C"/>
    <w:rsid w:val="00A21FB0"/>
    <w:rsid w:val="00A22BE6"/>
    <w:rsid w:val="00A25CDE"/>
    <w:rsid w:val="00A25F73"/>
    <w:rsid w:val="00A30000"/>
    <w:rsid w:val="00A3464C"/>
    <w:rsid w:val="00A349F8"/>
    <w:rsid w:val="00A359E8"/>
    <w:rsid w:val="00A40493"/>
    <w:rsid w:val="00A41C80"/>
    <w:rsid w:val="00A42F27"/>
    <w:rsid w:val="00A4679C"/>
    <w:rsid w:val="00A46922"/>
    <w:rsid w:val="00A470A3"/>
    <w:rsid w:val="00A47A67"/>
    <w:rsid w:val="00A500EA"/>
    <w:rsid w:val="00A516EA"/>
    <w:rsid w:val="00A51F07"/>
    <w:rsid w:val="00A53B90"/>
    <w:rsid w:val="00A576C5"/>
    <w:rsid w:val="00A57B38"/>
    <w:rsid w:val="00A70D12"/>
    <w:rsid w:val="00A82194"/>
    <w:rsid w:val="00A828E4"/>
    <w:rsid w:val="00A83C24"/>
    <w:rsid w:val="00A848FC"/>
    <w:rsid w:val="00A854D1"/>
    <w:rsid w:val="00A8727A"/>
    <w:rsid w:val="00A925A6"/>
    <w:rsid w:val="00A9281A"/>
    <w:rsid w:val="00A9421A"/>
    <w:rsid w:val="00A9637C"/>
    <w:rsid w:val="00AA1D3A"/>
    <w:rsid w:val="00AA311C"/>
    <w:rsid w:val="00AB0497"/>
    <w:rsid w:val="00AB21D6"/>
    <w:rsid w:val="00AB2713"/>
    <w:rsid w:val="00AB3D5A"/>
    <w:rsid w:val="00AB3E67"/>
    <w:rsid w:val="00AB43B1"/>
    <w:rsid w:val="00AB6C1E"/>
    <w:rsid w:val="00AC3C31"/>
    <w:rsid w:val="00AC6FC5"/>
    <w:rsid w:val="00AC7D50"/>
    <w:rsid w:val="00AD184C"/>
    <w:rsid w:val="00AD18F6"/>
    <w:rsid w:val="00AD2AF6"/>
    <w:rsid w:val="00AE094B"/>
    <w:rsid w:val="00AE1DD5"/>
    <w:rsid w:val="00AE5ED3"/>
    <w:rsid w:val="00AE6A0C"/>
    <w:rsid w:val="00AF064C"/>
    <w:rsid w:val="00AF0D0E"/>
    <w:rsid w:val="00AF123F"/>
    <w:rsid w:val="00B01155"/>
    <w:rsid w:val="00B01F10"/>
    <w:rsid w:val="00B024CD"/>
    <w:rsid w:val="00B06E30"/>
    <w:rsid w:val="00B07912"/>
    <w:rsid w:val="00B07E62"/>
    <w:rsid w:val="00B1149A"/>
    <w:rsid w:val="00B12F05"/>
    <w:rsid w:val="00B13BA4"/>
    <w:rsid w:val="00B14AF0"/>
    <w:rsid w:val="00B14EF2"/>
    <w:rsid w:val="00B165CC"/>
    <w:rsid w:val="00B16FB2"/>
    <w:rsid w:val="00B21140"/>
    <w:rsid w:val="00B21646"/>
    <w:rsid w:val="00B216D8"/>
    <w:rsid w:val="00B22D36"/>
    <w:rsid w:val="00B247C4"/>
    <w:rsid w:val="00B24B4D"/>
    <w:rsid w:val="00B258AA"/>
    <w:rsid w:val="00B34623"/>
    <w:rsid w:val="00B36CBB"/>
    <w:rsid w:val="00B37C23"/>
    <w:rsid w:val="00B40212"/>
    <w:rsid w:val="00B40B5C"/>
    <w:rsid w:val="00B50B83"/>
    <w:rsid w:val="00B5361E"/>
    <w:rsid w:val="00B61ED9"/>
    <w:rsid w:val="00B62D3A"/>
    <w:rsid w:val="00B62DE1"/>
    <w:rsid w:val="00B65F93"/>
    <w:rsid w:val="00B66524"/>
    <w:rsid w:val="00B723EB"/>
    <w:rsid w:val="00B74A03"/>
    <w:rsid w:val="00B82B69"/>
    <w:rsid w:val="00B91C15"/>
    <w:rsid w:val="00B91D5C"/>
    <w:rsid w:val="00B9311E"/>
    <w:rsid w:val="00B95C98"/>
    <w:rsid w:val="00B96075"/>
    <w:rsid w:val="00B962E1"/>
    <w:rsid w:val="00BA1118"/>
    <w:rsid w:val="00BA16B2"/>
    <w:rsid w:val="00BA76D6"/>
    <w:rsid w:val="00BB3360"/>
    <w:rsid w:val="00BB3486"/>
    <w:rsid w:val="00BB383B"/>
    <w:rsid w:val="00BB4217"/>
    <w:rsid w:val="00BB7073"/>
    <w:rsid w:val="00BB7618"/>
    <w:rsid w:val="00BC0ABE"/>
    <w:rsid w:val="00BC1428"/>
    <w:rsid w:val="00BC259E"/>
    <w:rsid w:val="00BD13E9"/>
    <w:rsid w:val="00BE0B34"/>
    <w:rsid w:val="00BE1F56"/>
    <w:rsid w:val="00BE3B9E"/>
    <w:rsid w:val="00BE7859"/>
    <w:rsid w:val="00BF5406"/>
    <w:rsid w:val="00BF7759"/>
    <w:rsid w:val="00C00901"/>
    <w:rsid w:val="00C11558"/>
    <w:rsid w:val="00C11D32"/>
    <w:rsid w:val="00C139AF"/>
    <w:rsid w:val="00C156B2"/>
    <w:rsid w:val="00C24901"/>
    <w:rsid w:val="00C250F8"/>
    <w:rsid w:val="00C306D3"/>
    <w:rsid w:val="00C33621"/>
    <w:rsid w:val="00C353A3"/>
    <w:rsid w:val="00C36247"/>
    <w:rsid w:val="00C366FF"/>
    <w:rsid w:val="00C4140A"/>
    <w:rsid w:val="00C4149D"/>
    <w:rsid w:val="00C41A2E"/>
    <w:rsid w:val="00C4204B"/>
    <w:rsid w:val="00C4225D"/>
    <w:rsid w:val="00C434DD"/>
    <w:rsid w:val="00C43B58"/>
    <w:rsid w:val="00C45590"/>
    <w:rsid w:val="00C509A4"/>
    <w:rsid w:val="00C56D7E"/>
    <w:rsid w:val="00C57119"/>
    <w:rsid w:val="00C572EF"/>
    <w:rsid w:val="00C602D0"/>
    <w:rsid w:val="00C61C2B"/>
    <w:rsid w:val="00C63AA8"/>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803"/>
    <w:rsid w:val="00C95C04"/>
    <w:rsid w:val="00C9794C"/>
    <w:rsid w:val="00CA1FC6"/>
    <w:rsid w:val="00CA30C4"/>
    <w:rsid w:val="00CA7174"/>
    <w:rsid w:val="00CA7849"/>
    <w:rsid w:val="00CB07C2"/>
    <w:rsid w:val="00CC0101"/>
    <w:rsid w:val="00CC1066"/>
    <w:rsid w:val="00CC4B02"/>
    <w:rsid w:val="00CC5D6A"/>
    <w:rsid w:val="00CD24A7"/>
    <w:rsid w:val="00CD5823"/>
    <w:rsid w:val="00CD7977"/>
    <w:rsid w:val="00CD7DB0"/>
    <w:rsid w:val="00CE58D0"/>
    <w:rsid w:val="00CE60E2"/>
    <w:rsid w:val="00CF1B65"/>
    <w:rsid w:val="00CF2A07"/>
    <w:rsid w:val="00CF71EA"/>
    <w:rsid w:val="00CF79AF"/>
    <w:rsid w:val="00D01008"/>
    <w:rsid w:val="00D01898"/>
    <w:rsid w:val="00D047AC"/>
    <w:rsid w:val="00D077FB"/>
    <w:rsid w:val="00D11B0B"/>
    <w:rsid w:val="00D11E1D"/>
    <w:rsid w:val="00D16D22"/>
    <w:rsid w:val="00D31C70"/>
    <w:rsid w:val="00D343BD"/>
    <w:rsid w:val="00D345F4"/>
    <w:rsid w:val="00D35DE2"/>
    <w:rsid w:val="00D41D69"/>
    <w:rsid w:val="00D42221"/>
    <w:rsid w:val="00D60131"/>
    <w:rsid w:val="00D6467C"/>
    <w:rsid w:val="00D70F0F"/>
    <w:rsid w:val="00D75159"/>
    <w:rsid w:val="00D7583A"/>
    <w:rsid w:val="00D765E3"/>
    <w:rsid w:val="00D76CEA"/>
    <w:rsid w:val="00D81D71"/>
    <w:rsid w:val="00D87A72"/>
    <w:rsid w:val="00D87AF3"/>
    <w:rsid w:val="00D971A5"/>
    <w:rsid w:val="00DA11B6"/>
    <w:rsid w:val="00DA1A60"/>
    <w:rsid w:val="00DA1A8A"/>
    <w:rsid w:val="00DA1D72"/>
    <w:rsid w:val="00DA2093"/>
    <w:rsid w:val="00DA3B9E"/>
    <w:rsid w:val="00DA3EE3"/>
    <w:rsid w:val="00DA46C8"/>
    <w:rsid w:val="00DA47E8"/>
    <w:rsid w:val="00DA618C"/>
    <w:rsid w:val="00DA7356"/>
    <w:rsid w:val="00DB1C55"/>
    <w:rsid w:val="00DB255D"/>
    <w:rsid w:val="00DB2EC6"/>
    <w:rsid w:val="00DB5579"/>
    <w:rsid w:val="00DB60B7"/>
    <w:rsid w:val="00DB6AAE"/>
    <w:rsid w:val="00DC18BA"/>
    <w:rsid w:val="00DC6BB8"/>
    <w:rsid w:val="00DD0BF3"/>
    <w:rsid w:val="00DD2B67"/>
    <w:rsid w:val="00DD670C"/>
    <w:rsid w:val="00DD764A"/>
    <w:rsid w:val="00DE11CF"/>
    <w:rsid w:val="00DE38E9"/>
    <w:rsid w:val="00DE3FFF"/>
    <w:rsid w:val="00DE422B"/>
    <w:rsid w:val="00DF7895"/>
    <w:rsid w:val="00DF7CC5"/>
    <w:rsid w:val="00E02044"/>
    <w:rsid w:val="00E1317C"/>
    <w:rsid w:val="00E1743B"/>
    <w:rsid w:val="00E174E5"/>
    <w:rsid w:val="00E17F9A"/>
    <w:rsid w:val="00E22A84"/>
    <w:rsid w:val="00E26459"/>
    <w:rsid w:val="00E3007A"/>
    <w:rsid w:val="00E30414"/>
    <w:rsid w:val="00E345A7"/>
    <w:rsid w:val="00E37012"/>
    <w:rsid w:val="00E40062"/>
    <w:rsid w:val="00E40EC3"/>
    <w:rsid w:val="00E44693"/>
    <w:rsid w:val="00E446ED"/>
    <w:rsid w:val="00E50C09"/>
    <w:rsid w:val="00E5400F"/>
    <w:rsid w:val="00E55AA1"/>
    <w:rsid w:val="00E60440"/>
    <w:rsid w:val="00E60771"/>
    <w:rsid w:val="00E632D0"/>
    <w:rsid w:val="00E64135"/>
    <w:rsid w:val="00E6579F"/>
    <w:rsid w:val="00E65874"/>
    <w:rsid w:val="00E6663B"/>
    <w:rsid w:val="00E66B3A"/>
    <w:rsid w:val="00E81879"/>
    <w:rsid w:val="00E83239"/>
    <w:rsid w:val="00E83578"/>
    <w:rsid w:val="00E843FA"/>
    <w:rsid w:val="00E876CA"/>
    <w:rsid w:val="00E91E3F"/>
    <w:rsid w:val="00E95C7C"/>
    <w:rsid w:val="00EA4970"/>
    <w:rsid w:val="00EA5687"/>
    <w:rsid w:val="00EA59B6"/>
    <w:rsid w:val="00EA606F"/>
    <w:rsid w:val="00EB1032"/>
    <w:rsid w:val="00EB2644"/>
    <w:rsid w:val="00EC033D"/>
    <w:rsid w:val="00EC1FDB"/>
    <w:rsid w:val="00EC220C"/>
    <w:rsid w:val="00EC5155"/>
    <w:rsid w:val="00EC5602"/>
    <w:rsid w:val="00ED0266"/>
    <w:rsid w:val="00ED2E65"/>
    <w:rsid w:val="00ED6F3B"/>
    <w:rsid w:val="00ED6F71"/>
    <w:rsid w:val="00ED70A8"/>
    <w:rsid w:val="00EE1693"/>
    <w:rsid w:val="00EE177E"/>
    <w:rsid w:val="00EE6B0A"/>
    <w:rsid w:val="00EE7803"/>
    <w:rsid w:val="00EF0D0E"/>
    <w:rsid w:val="00EF1ECC"/>
    <w:rsid w:val="00EF292B"/>
    <w:rsid w:val="00EF2BB2"/>
    <w:rsid w:val="00EF2C7E"/>
    <w:rsid w:val="00EF4469"/>
    <w:rsid w:val="00EF54D1"/>
    <w:rsid w:val="00EF5CFD"/>
    <w:rsid w:val="00F01334"/>
    <w:rsid w:val="00F06B7E"/>
    <w:rsid w:val="00F1459F"/>
    <w:rsid w:val="00F151C9"/>
    <w:rsid w:val="00F15D54"/>
    <w:rsid w:val="00F21C23"/>
    <w:rsid w:val="00F22076"/>
    <w:rsid w:val="00F31162"/>
    <w:rsid w:val="00F34E81"/>
    <w:rsid w:val="00F416A5"/>
    <w:rsid w:val="00F4517B"/>
    <w:rsid w:val="00F51FCD"/>
    <w:rsid w:val="00F55213"/>
    <w:rsid w:val="00F55EBA"/>
    <w:rsid w:val="00F57F08"/>
    <w:rsid w:val="00F611A7"/>
    <w:rsid w:val="00F66D06"/>
    <w:rsid w:val="00F67AC6"/>
    <w:rsid w:val="00F67B5B"/>
    <w:rsid w:val="00F72E48"/>
    <w:rsid w:val="00F77D9B"/>
    <w:rsid w:val="00F77E6F"/>
    <w:rsid w:val="00F811F5"/>
    <w:rsid w:val="00F816E8"/>
    <w:rsid w:val="00F817E5"/>
    <w:rsid w:val="00F81C22"/>
    <w:rsid w:val="00F8256C"/>
    <w:rsid w:val="00F854E9"/>
    <w:rsid w:val="00F85B3C"/>
    <w:rsid w:val="00F908E9"/>
    <w:rsid w:val="00F918B8"/>
    <w:rsid w:val="00F93C48"/>
    <w:rsid w:val="00F94E78"/>
    <w:rsid w:val="00F97590"/>
    <w:rsid w:val="00FA0954"/>
    <w:rsid w:val="00FA1F4E"/>
    <w:rsid w:val="00FA204E"/>
    <w:rsid w:val="00FA2354"/>
    <w:rsid w:val="00FA5A1C"/>
    <w:rsid w:val="00FA6B56"/>
    <w:rsid w:val="00FB45C6"/>
    <w:rsid w:val="00FB4F8E"/>
    <w:rsid w:val="00FB61C7"/>
    <w:rsid w:val="00FB6647"/>
    <w:rsid w:val="00FC3F89"/>
    <w:rsid w:val="00FC5D9F"/>
    <w:rsid w:val="00FC7332"/>
    <w:rsid w:val="00FD0D95"/>
    <w:rsid w:val="00FD731B"/>
    <w:rsid w:val="00FE069D"/>
    <w:rsid w:val="00FE49E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24424121">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4859729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66052732">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57325520">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4184455">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2188478">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51272950">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1369405">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cms/uploads/attachment/file/454683/CONVENIO_FORTASEG_2019-ESTADO_DE_M_XICO-17-04-19.pdf" TargetMode="External"/><Relationship Id="rId2" Type="http://schemas.openxmlformats.org/officeDocument/2006/relationships/hyperlink" Target="https://www.gob.mx/sesnsp/acciones-y-programas/fondos-y-subsidios"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50196-5D94-45AF-A3A1-C4A7D1529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73</Pages>
  <Words>13708</Words>
  <Characters>75396</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2019-11-07T20:49:00Z</dcterms:created>
  <dcterms:modified xsi:type="dcterms:W3CDTF">2020-02-06T01:39:00Z</dcterms:modified>
</cp:coreProperties>
</file>