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166" w:rsidRPr="006D1A9A" w:rsidRDefault="00852166" w:rsidP="00273CE0">
      <w:pPr>
        <w:widowControl w:val="0"/>
        <w:spacing w:before="100" w:beforeAutospacing="1" w:after="100" w:afterAutospacing="1" w:line="360" w:lineRule="auto"/>
        <w:jc w:val="both"/>
        <w:rPr>
          <w:rFonts w:ascii="Palatino Linotype" w:hAnsi="Palatino Linotype" w:cs="Arial"/>
          <w:b/>
        </w:rPr>
      </w:pPr>
      <w:r w:rsidRPr="006D1A9A">
        <w:rPr>
          <w:rFonts w:ascii="Palatino Linotype" w:hAnsi="Palatino Linotype" w:cs="Arial"/>
          <w:b/>
        </w:rPr>
        <w:t xml:space="preserve">VOTO DISIDENTE QUE FORMULA LA COMISIONADA EVA ABAID YAPUR, EN RELACIÓN CON LA RESOLUCIÓN DICTADA POR EL PLENO DEL INSTITUTO DE TRANSPARENCIA, ACCESO A LA INFORMACIÓN PÚBLICA Y PROTECCIÓN DE DATOS PERSONALES DEL ESTADO DE MÉXICO Y MUNICIPIOS, EN LA </w:t>
      </w:r>
      <w:r w:rsidR="0017520B">
        <w:rPr>
          <w:rFonts w:ascii="Palatino Linotype" w:hAnsi="Palatino Linotype" w:cs="Arial"/>
          <w:b/>
        </w:rPr>
        <w:t xml:space="preserve">NOVENA </w:t>
      </w:r>
      <w:r w:rsidR="009F77C1">
        <w:rPr>
          <w:rFonts w:ascii="Palatino Linotype" w:hAnsi="Palatino Linotype" w:cs="Arial"/>
          <w:b/>
        </w:rPr>
        <w:t>SES</w:t>
      </w:r>
      <w:r w:rsidR="001B02FC" w:rsidRPr="006D1A9A">
        <w:rPr>
          <w:rFonts w:ascii="Palatino Linotype" w:hAnsi="Palatino Linotype" w:cs="Arial"/>
          <w:b/>
        </w:rPr>
        <w:t xml:space="preserve">IÓN </w:t>
      </w:r>
      <w:r w:rsidRPr="006D1A9A">
        <w:rPr>
          <w:rFonts w:ascii="Palatino Linotype" w:hAnsi="Palatino Linotype" w:cs="Arial"/>
          <w:b/>
        </w:rPr>
        <w:t xml:space="preserve">ORDINARIA DEL </w:t>
      </w:r>
      <w:r w:rsidR="0017520B">
        <w:rPr>
          <w:rFonts w:ascii="Palatino Linotype" w:hAnsi="Palatino Linotype" w:cs="Arial"/>
          <w:b/>
        </w:rPr>
        <w:t xml:space="preserve">ONCE </w:t>
      </w:r>
      <w:r w:rsidR="009F77C1">
        <w:rPr>
          <w:rFonts w:ascii="Palatino Linotype" w:hAnsi="Palatino Linotype" w:cs="Arial"/>
          <w:b/>
        </w:rPr>
        <w:t xml:space="preserve">DE </w:t>
      </w:r>
      <w:r w:rsidR="005F24B1">
        <w:rPr>
          <w:rFonts w:ascii="Palatino Linotype" w:hAnsi="Palatino Linotype" w:cs="Arial"/>
          <w:b/>
        </w:rPr>
        <w:t xml:space="preserve">MARZO </w:t>
      </w:r>
      <w:r w:rsidR="009F77C1">
        <w:rPr>
          <w:rFonts w:ascii="Palatino Linotype" w:hAnsi="Palatino Linotype" w:cs="Arial"/>
          <w:b/>
        </w:rPr>
        <w:t xml:space="preserve">DE DOS MIL </w:t>
      </w:r>
      <w:r w:rsidR="005F24B1">
        <w:rPr>
          <w:rFonts w:ascii="Palatino Linotype" w:hAnsi="Palatino Linotype" w:cs="Arial"/>
          <w:b/>
        </w:rPr>
        <w:t>VEINTE</w:t>
      </w:r>
      <w:r w:rsidR="0005349F" w:rsidRPr="006D1A9A">
        <w:rPr>
          <w:rFonts w:ascii="Palatino Linotype" w:hAnsi="Palatino Linotype" w:cs="Arial"/>
          <w:b/>
        </w:rPr>
        <w:t>,</w:t>
      </w:r>
      <w:r w:rsidRPr="006D1A9A">
        <w:rPr>
          <w:rFonts w:ascii="Palatino Linotype" w:hAnsi="Palatino Linotype" w:cs="Arial"/>
          <w:b/>
        </w:rPr>
        <w:t xml:space="preserve"> EN </w:t>
      </w:r>
      <w:r w:rsidR="006D1A9A" w:rsidRPr="006D1A9A">
        <w:rPr>
          <w:rFonts w:ascii="Palatino Linotype" w:hAnsi="Palatino Linotype" w:cs="Arial"/>
          <w:b/>
        </w:rPr>
        <w:t>EL</w:t>
      </w:r>
      <w:r w:rsidRPr="006D1A9A">
        <w:rPr>
          <w:rFonts w:ascii="Palatino Linotype" w:hAnsi="Palatino Linotype" w:cs="Arial"/>
          <w:b/>
        </w:rPr>
        <w:t xml:space="preserve"> RECURSO</w:t>
      </w:r>
      <w:r w:rsidR="0017520B">
        <w:rPr>
          <w:rFonts w:ascii="Palatino Linotype" w:hAnsi="Palatino Linotype" w:cs="Arial"/>
          <w:b/>
        </w:rPr>
        <w:t xml:space="preserve"> DE REVISIÓN 12156</w:t>
      </w:r>
      <w:r w:rsidR="006D1A9A" w:rsidRPr="006D1A9A">
        <w:rPr>
          <w:rFonts w:ascii="Palatino Linotype" w:hAnsi="Palatino Linotype" w:cs="Arial"/>
          <w:b/>
        </w:rPr>
        <w:t>/INFOEM/IP/RR/201</w:t>
      </w:r>
      <w:r w:rsidR="009F77C1">
        <w:rPr>
          <w:rFonts w:ascii="Palatino Linotype" w:hAnsi="Palatino Linotype" w:cs="Arial"/>
          <w:b/>
        </w:rPr>
        <w:t>9</w:t>
      </w:r>
      <w:r w:rsidR="006D1A9A" w:rsidRPr="006D1A9A">
        <w:rPr>
          <w:rFonts w:ascii="Palatino Linotype" w:hAnsi="Palatino Linotype" w:cs="Arial"/>
          <w:b/>
        </w:rPr>
        <w:t>.</w:t>
      </w:r>
    </w:p>
    <w:p w:rsidR="00852166" w:rsidRPr="006D1A9A" w:rsidRDefault="00852166" w:rsidP="00273CE0">
      <w:pPr>
        <w:spacing w:before="100" w:beforeAutospacing="1" w:after="100" w:afterAutospacing="1" w:line="360" w:lineRule="auto"/>
        <w:jc w:val="both"/>
        <w:rPr>
          <w:rFonts w:ascii="Palatino Linotype" w:hAnsi="Palatino Linotype" w:cs="Arial"/>
        </w:rPr>
      </w:pPr>
      <w:r w:rsidRPr="006D1A9A">
        <w:rPr>
          <w:rFonts w:ascii="Palatino Linotype" w:hAnsi="Palatino Linotype" w:cs="Arial"/>
        </w:rPr>
        <w:t>Con fundamento en lo dispuesto por el artí</w:t>
      </w:r>
      <w:r w:rsidR="00D17F9E" w:rsidRPr="006D1A9A">
        <w:rPr>
          <w:rFonts w:ascii="Palatino Linotype" w:hAnsi="Palatino Linotype" w:cs="Arial"/>
        </w:rPr>
        <w:t xml:space="preserve">culo 14, fracciones X y XI del </w:t>
      </w:r>
      <w:r w:rsidR="009B34A5" w:rsidRPr="006D1A9A">
        <w:rPr>
          <w:rFonts w:ascii="Palatino Linotype" w:hAnsi="Palatino Linotype" w:cs="Arial"/>
        </w:rPr>
        <w:t>R</w:t>
      </w:r>
      <w:r w:rsidRPr="006D1A9A">
        <w:rPr>
          <w:rFonts w:ascii="Palatino Linotype" w:hAnsi="Palatino Linotype" w:cs="Arial"/>
        </w:rPr>
        <w:t>eglamento Interior del Instituto de Transparencia, Acceso a la Información Pública y Protección de Datos Personales del E</w:t>
      </w:r>
      <w:r w:rsidR="00E0508D" w:rsidRPr="006D1A9A">
        <w:rPr>
          <w:rFonts w:ascii="Palatino Linotype" w:hAnsi="Palatino Linotype" w:cs="Arial"/>
        </w:rPr>
        <w:t xml:space="preserve">stado de México y Municipios, </w:t>
      </w:r>
      <w:r w:rsidR="006D1A9A" w:rsidRPr="006D1A9A">
        <w:rPr>
          <w:rFonts w:ascii="Palatino Linotype" w:hAnsi="Palatino Linotype" w:cs="Arial"/>
        </w:rPr>
        <w:t>la</w:t>
      </w:r>
      <w:r w:rsidRPr="006D1A9A">
        <w:rPr>
          <w:rFonts w:ascii="Palatino Linotype" w:hAnsi="Palatino Linotype" w:cs="Arial"/>
        </w:rPr>
        <w:t xml:space="preserve"> que suscribe</w:t>
      </w:r>
      <w:r w:rsidRPr="006D1A9A">
        <w:rPr>
          <w:rFonts w:ascii="Palatino Linotype" w:hAnsi="Palatino Linotype" w:cs="Arial"/>
          <w:b/>
          <w:lang w:val="es-ES_tradnl"/>
        </w:rPr>
        <w:t xml:space="preserve"> </w:t>
      </w:r>
      <w:r w:rsidRPr="006D1A9A">
        <w:rPr>
          <w:rFonts w:ascii="Palatino Linotype" w:hAnsi="Palatino Linotype" w:cs="Arial"/>
          <w:b/>
        </w:rPr>
        <w:t xml:space="preserve">EVA ABAID YAPUR </w:t>
      </w:r>
      <w:r w:rsidRPr="006D1A9A">
        <w:rPr>
          <w:rFonts w:ascii="Palatino Linotype" w:hAnsi="Palatino Linotype" w:cs="Arial"/>
        </w:rPr>
        <w:t xml:space="preserve">emite </w:t>
      </w:r>
      <w:r w:rsidRPr="006D1A9A">
        <w:rPr>
          <w:rFonts w:ascii="Palatino Linotype" w:hAnsi="Palatino Linotype" w:cs="Arial"/>
          <w:b/>
        </w:rPr>
        <w:t>VOTO DISIDENTE</w:t>
      </w:r>
      <w:r w:rsidR="006D1A9A" w:rsidRPr="006D1A9A">
        <w:rPr>
          <w:rFonts w:ascii="Palatino Linotype" w:hAnsi="Palatino Linotype" w:cs="Arial"/>
          <w:b/>
        </w:rPr>
        <w:t xml:space="preserve"> </w:t>
      </w:r>
      <w:r w:rsidRPr="006D1A9A">
        <w:rPr>
          <w:rFonts w:ascii="Palatino Linotype" w:hAnsi="Palatino Linotype" w:cs="Arial"/>
        </w:rPr>
        <w:t xml:space="preserve">respecto de la resolución dictada en </w:t>
      </w:r>
      <w:r w:rsidR="006D1A9A" w:rsidRPr="006D1A9A">
        <w:rPr>
          <w:rFonts w:ascii="Palatino Linotype" w:hAnsi="Palatino Linotype" w:cs="Arial"/>
        </w:rPr>
        <w:t>el</w:t>
      </w:r>
      <w:r w:rsidRPr="006D1A9A">
        <w:rPr>
          <w:rFonts w:ascii="Palatino Linotype" w:hAnsi="Palatino Linotype" w:cs="Arial"/>
        </w:rPr>
        <w:t xml:space="preserve"> recurso de revisión </w:t>
      </w:r>
      <w:r w:rsidR="0017520B">
        <w:rPr>
          <w:rFonts w:ascii="Palatino Linotype" w:eastAsia="Calibri" w:hAnsi="Palatino Linotype" w:cs="Arial"/>
          <w:b/>
          <w:color w:val="000000"/>
        </w:rPr>
        <w:t>12156</w:t>
      </w:r>
      <w:r w:rsidR="009F77C1">
        <w:rPr>
          <w:rFonts w:ascii="Palatino Linotype" w:eastAsia="Calibri" w:hAnsi="Palatino Linotype" w:cs="Arial"/>
          <w:b/>
          <w:color w:val="000000"/>
        </w:rPr>
        <w:t>/INFOEM/IP/RR/2019</w:t>
      </w:r>
      <w:r w:rsidRPr="006D1A9A">
        <w:rPr>
          <w:rFonts w:ascii="Palatino Linotype" w:hAnsi="Palatino Linotype" w:cs="Arial"/>
        </w:rPr>
        <w:t>, pronunciada por el Pleno de este Instituto ante el proyecto presentado</w:t>
      </w:r>
      <w:r w:rsidR="001145E9">
        <w:rPr>
          <w:rFonts w:ascii="Palatino Linotype" w:hAnsi="Palatino Linotype" w:cs="Arial"/>
        </w:rPr>
        <w:t xml:space="preserve"> </w:t>
      </w:r>
      <w:r w:rsidRPr="006D1A9A">
        <w:rPr>
          <w:rFonts w:ascii="Palatino Linotype" w:hAnsi="Palatino Linotype" w:cs="Arial"/>
        </w:rPr>
        <w:t xml:space="preserve">por </w:t>
      </w:r>
      <w:r w:rsidR="0017520B">
        <w:rPr>
          <w:rFonts w:ascii="Palatino Linotype" w:hAnsi="Palatino Linotype" w:cs="Arial"/>
        </w:rPr>
        <w:t>e</w:t>
      </w:r>
      <w:r w:rsidR="009F77C1">
        <w:rPr>
          <w:rFonts w:ascii="Palatino Linotype" w:hAnsi="Palatino Linotype" w:cs="Arial"/>
        </w:rPr>
        <w:t>l</w:t>
      </w:r>
      <w:r w:rsidRPr="006D1A9A">
        <w:rPr>
          <w:rFonts w:ascii="Palatino Linotype" w:hAnsi="Palatino Linotype" w:cs="Arial"/>
        </w:rPr>
        <w:t xml:space="preserve"> Comisionad</w:t>
      </w:r>
      <w:r w:rsidR="0017520B">
        <w:rPr>
          <w:rFonts w:ascii="Palatino Linotype" w:hAnsi="Palatino Linotype" w:cs="Arial"/>
        </w:rPr>
        <w:t>o</w:t>
      </w:r>
      <w:r w:rsidR="005F24B1">
        <w:rPr>
          <w:rFonts w:ascii="Palatino Linotype" w:hAnsi="Palatino Linotype" w:cs="Arial"/>
        </w:rPr>
        <w:t xml:space="preserve"> </w:t>
      </w:r>
      <w:r w:rsidR="0017520B">
        <w:rPr>
          <w:rFonts w:ascii="Palatino Linotype" w:hAnsi="Palatino Linotype" w:cs="Arial"/>
          <w:b/>
        </w:rPr>
        <w:t>LUIS GUSTAVO PARRA NORIEGA</w:t>
      </w:r>
      <w:r w:rsidR="006422EF" w:rsidRPr="006D1A9A">
        <w:rPr>
          <w:rFonts w:ascii="Palatino Linotype" w:hAnsi="Palatino Linotype" w:cs="Arial"/>
        </w:rPr>
        <w:t>, que es del tenor siguiente.</w:t>
      </w:r>
    </w:p>
    <w:p w:rsidR="005F24B1" w:rsidRDefault="0005349F" w:rsidP="00273CE0">
      <w:pPr>
        <w:spacing w:before="100" w:beforeAutospacing="1" w:after="100" w:afterAutospacing="1" w:line="360" w:lineRule="auto"/>
        <w:jc w:val="both"/>
        <w:rPr>
          <w:rFonts w:ascii="Palatino Linotype" w:hAnsi="Palatino Linotype"/>
        </w:rPr>
      </w:pPr>
      <w:r w:rsidRPr="006D1A9A">
        <w:rPr>
          <w:rFonts w:ascii="Palatino Linotype" w:hAnsi="Palatino Linotype"/>
        </w:rPr>
        <w:t>L</w:t>
      </w:r>
      <w:r w:rsidR="006D1A9A">
        <w:rPr>
          <w:rFonts w:ascii="Palatino Linotype" w:hAnsi="Palatino Linotype"/>
        </w:rPr>
        <w:t>a</w:t>
      </w:r>
      <w:r w:rsidRPr="006D1A9A">
        <w:rPr>
          <w:rFonts w:ascii="Palatino Linotype" w:hAnsi="Palatino Linotype"/>
        </w:rPr>
        <w:t xml:space="preserve"> suscrit</w:t>
      </w:r>
      <w:r w:rsidR="006D1A9A">
        <w:rPr>
          <w:rFonts w:ascii="Palatino Linotype" w:hAnsi="Palatino Linotype"/>
        </w:rPr>
        <w:t>a</w:t>
      </w:r>
      <w:r w:rsidRPr="006D1A9A">
        <w:rPr>
          <w:rFonts w:ascii="Palatino Linotype" w:hAnsi="Palatino Linotype"/>
        </w:rPr>
        <w:t xml:space="preserve"> </w:t>
      </w:r>
      <w:r w:rsidR="001145E9">
        <w:rPr>
          <w:rFonts w:ascii="Palatino Linotype" w:hAnsi="Palatino Linotype"/>
        </w:rPr>
        <w:t>diverge</w:t>
      </w:r>
      <w:r w:rsidR="00D17F9E" w:rsidRPr="006D1A9A">
        <w:rPr>
          <w:rFonts w:ascii="Palatino Linotype" w:hAnsi="Palatino Linotype"/>
        </w:rPr>
        <w:t xml:space="preserve"> </w:t>
      </w:r>
      <w:r w:rsidR="003D243B" w:rsidRPr="006D1A9A">
        <w:rPr>
          <w:rFonts w:ascii="Palatino Linotype" w:hAnsi="Palatino Linotype"/>
        </w:rPr>
        <w:t>tanto</w:t>
      </w:r>
      <w:r w:rsidRPr="006D1A9A">
        <w:rPr>
          <w:rFonts w:ascii="Palatino Linotype" w:hAnsi="Palatino Linotype"/>
        </w:rPr>
        <w:t xml:space="preserve"> </w:t>
      </w:r>
      <w:r w:rsidR="00D17F9E" w:rsidRPr="006D1A9A">
        <w:rPr>
          <w:rFonts w:ascii="Palatino Linotype" w:hAnsi="Palatino Linotype"/>
        </w:rPr>
        <w:t xml:space="preserve">con el análisis </w:t>
      </w:r>
      <w:r w:rsidR="003D243B" w:rsidRPr="006D1A9A">
        <w:rPr>
          <w:rFonts w:ascii="Palatino Linotype" w:hAnsi="Palatino Linotype"/>
        </w:rPr>
        <w:t>como</w:t>
      </w:r>
      <w:r w:rsidRPr="006D1A9A">
        <w:rPr>
          <w:rFonts w:ascii="Palatino Linotype" w:hAnsi="Palatino Linotype"/>
        </w:rPr>
        <w:t xml:space="preserve"> </w:t>
      </w:r>
      <w:r w:rsidR="006D1A9A" w:rsidRPr="006D1A9A">
        <w:rPr>
          <w:rFonts w:ascii="Palatino Linotype" w:hAnsi="Palatino Linotype"/>
        </w:rPr>
        <w:t>con el</w:t>
      </w:r>
      <w:r w:rsidRPr="006D1A9A">
        <w:rPr>
          <w:rFonts w:ascii="Palatino Linotype" w:hAnsi="Palatino Linotype"/>
        </w:rPr>
        <w:t xml:space="preserve"> sentido de la resolución de mérito, a través </w:t>
      </w:r>
      <w:r w:rsidR="003D243B" w:rsidRPr="006D1A9A">
        <w:rPr>
          <w:rFonts w:ascii="Palatino Linotype" w:hAnsi="Palatino Linotype"/>
        </w:rPr>
        <w:t>de la cual la Ponencia determinó</w:t>
      </w:r>
      <w:r w:rsidRPr="006D1A9A">
        <w:rPr>
          <w:rFonts w:ascii="Palatino Linotype" w:hAnsi="Palatino Linotype"/>
        </w:rPr>
        <w:t xml:space="preserve"> </w:t>
      </w:r>
      <w:r w:rsidR="001145E9" w:rsidRPr="006D1A9A">
        <w:rPr>
          <w:rFonts w:ascii="Palatino Linotype" w:hAnsi="Palatino Linotype"/>
          <w:b/>
        </w:rPr>
        <w:t>ordena</w:t>
      </w:r>
      <w:r w:rsidR="001145E9">
        <w:rPr>
          <w:rFonts w:ascii="Palatino Linotype" w:hAnsi="Palatino Linotype"/>
          <w:b/>
        </w:rPr>
        <w:t>r</w:t>
      </w:r>
      <w:r w:rsidR="001145E9" w:rsidRPr="006D1A9A">
        <w:rPr>
          <w:rFonts w:ascii="Palatino Linotype" w:hAnsi="Palatino Linotype"/>
          <w:b/>
        </w:rPr>
        <w:t xml:space="preserve"> </w:t>
      </w:r>
      <w:r w:rsidR="006D1A9A" w:rsidRPr="006D1A9A">
        <w:rPr>
          <w:rFonts w:ascii="Palatino Linotype" w:hAnsi="Palatino Linotype"/>
        </w:rPr>
        <w:t>al</w:t>
      </w:r>
      <w:r w:rsidR="006D1A9A" w:rsidRPr="006D1A9A">
        <w:rPr>
          <w:rFonts w:ascii="Palatino Linotype" w:hAnsi="Palatino Linotype"/>
          <w:b/>
        </w:rPr>
        <w:t xml:space="preserve"> SUJETO OBLIGADO </w:t>
      </w:r>
      <w:r w:rsidR="006D1A9A" w:rsidRPr="006D1A9A">
        <w:rPr>
          <w:rFonts w:ascii="Palatino Linotype" w:hAnsi="Palatino Linotype"/>
        </w:rPr>
        <w:t xml:space="preserve">que </w:t>
      </w:r>
      <w:r w:rsidR="009F77C1">
        <w:rPr>
          <w:rFonts w:ascii="Palatino Linotype" w:hAnsi="Palatino Linotype"/>
        </w:rPr>
        <w:t>hiciera entrega d</w:t>
      </w:r>
      <w:r w:rsidR="009F77C1" w:rsidRPr="009F77C1">
        <w:rPr>
          <w:rFonts w:ascii="Palatino Linotype" w:hAnsi="Palatino Linotype"/>
        </w:rPr>
        <w:t xml:space="preserve">el documento que dé cuenta de </w:t>
      </w:r>
      <w:r w:rsidR="005F24B1">
        <w:rPr>
          <w:rFonts w:ascii="Palatino Linotype" w:hAnsi="Palatino Linotype"/>
        </w:rPr>
        <w:t xml:space="preserve">la </w:t>
      </w:r>
      <w:r w:rsidR="0017520B">
        <w:rPr>
          <w:rFonts w:ascii="Palatino Linotype" w:hAnsi="Palatino Linotype"/>
        </w:rPr>
        <w:t xml:space="preserve">ubicación </w:t>
      </w:r>
      <w:r w:rsidR="0017520B" w:rsidRPr="0017520B">
        <w:rPr>
          <w:rFonts w:ascii="Palatino Linotype" w:hAnsi="Palatino Linotype"/>
        </w:rPr>
        <w:t>genérica de las cámaras de videovigilancia, con las que contaba el municipio, al diecinueve de noviembre de dos mil diecinueve</w:t>
      </w:r>
      <w:r w:rsidR="005F24B1">
        <w:rPr>
          <w:rFonts w:ascii="Palatino Linotype" w:hAnsi="Palatino Linotype"/>
        </w:rPr>
        <w:t xml:space="preserve">. </w:t>
      </w:r>
    </w:p>
    <w:p w:rsidR="0005349F" w:rsidRPr="006D1A9A" w:rsidRDefault="001145E9" w:rsidP="00273CE0">
      <w:pPr>
        <w:spacing w:before="100" w:beforeAutospacing="1" w:after="100" w:afterAutospacing="1" w:line="360" w:lineRule="auto"/>
        <w:jc w:val="both"/>
        <w:rPr>
          <w:rFonts w:ascii="Palatino Linotype" w:hAnsi="Palatino Linotype"/>
        </w:rPr>
      </w:pPr>
      <w:r>
        <w:rPr>
          <w:rFonts w:ascii="Palatino Linotype" w:hAnsi="Palatino Linotype"/>
        </w:rPr>
        <w:lastRenderedPageBreak/>
        <w:t>Razonamiento</w:t>
      </w:r>
      <w:r w:rsidR="0005349F" w:rsidRPr="006D1A9A">
        <w:rPr>
          <w:rFonts w:ascii="Palatino Linotype" w:hAnsi="Palatino Linotype"/>
        </w:rPr>
        <w:t xml:space="preserve"> que para l</w:t>
      </w:r>
      <w:r w:rsidR="006D1A9A">
        <w:rPr>
          <w:rFonts w:ascii="Palatino Linotype" w:hAnsi="Palatino Linotype"/>
        </w:rPr>
        <w:t>a</w:t>
      </w:r>
      <w:r w:rsidR="0005349F" w:rsidRPr="006D1A9A">
        <w:rPr>
          <w:rFonts w:ascii="Palatino Linotype" w:hAnsi="Palatino Linotype"/>
        </w:rPr>
        <w:t xml:space="preserve"> que suscribe resulta improcedente, por </w:t>
      </w:r>
      <w:r w:rsidR="00F023C3" w:rsidRPr="006D1A9A">
        <w:rPr>
          <w:rFonts w:ascii="Palatino Linotype" w:hAnsi="Palatino Linotype"/>
        </w:rPr>
        <w:t xml:space="preserve">los </w:t>
      </w:r>
      <w:r w:rsidR="0005349F" w:rsidRPr="006D1A9A">
        <w:rPr>
          <w:rFonts w:ascii="Palatino Linotype" w:hAnsi="Palatino Linotype"/>
        </w:rPr>
        <w:t xml:space="preserve">motivos y razones </w:t>
      </w:r>
      <w:r w:rsidR="00F023C3" w:rsidRPr="006D1A9A">
        <w:rPr>
          <w:rFonts w:ascii="Palatino Linotype" w:hAnsi="Palatino Linotype"/>
        </w:rPr>
        <w:t xml:space="preserve">que a continuación se exponen, mismos que resultan </w:t>
      </w:r>
      <w:r w:rsidR="0005349F" w:rsidRPr="006D1A9A">
        <w:rPr>
          <w:rFonts w:ascii="Palatino Linotype" w:hAnsi="Palatino Linotype"/>
        </w:rPr>
        <w:t>torales para la resolución del asunto.</w:t>
      </w:r>
    </w:p>
    <w:p w:rsidR="00AC0A19" w:rsidRDefault="0005349F" w:rsidP="00273CE0">
      <w:pPr>
        <w:spacing w:before="100" w:beforeAutospacing="1" w:after="100" w:afterAutospacing="1" w:line="360" w:lineRule="auto"/>
        <w:jc w:val="both"/>
        <w:rPr>
          <w:rFonts w:ascii="Palatino Linotype" w:hAnsi="Palatino Linotype"/>
        </w:rPr>
      </w:pPr>
      <w:r w:rsidRPr="006D1A9A">
        <w:rPr>
          <w:rFonts w:ascii="Palatino Linotype" w:hAnsi="Palatino Linotype"/>
        </w:rPr>
        <w:t xml:space="preserve">En primer término, </w:t>
      </w:r>
      <w:r w:rsidR="001145E9">
        <w:rPr>
          <w:rFonts w:ascii="Palatino Linotype" w:hAnsi="Palatino Linotype"/>
        </w:rPr>
        <w:t>d</w:t>
      </w:r>
      <w:r w:rsidR="007342FF">
        <w:rPr>
          <w:rFonts w:ascii="Palatino Linotype" w:hAnsi="Palatino Linotype"/>
        </w:rPr>
        <w:t xml:space="preserve">el contenido de </w:t>
      </w:r>
      <w:r w:rsidRPr="006D1A9A">
        <w:rPr>
          <w:rFonts w:ascii="Palatino Linotype" w:hAnsi="Palatino Linotype"/>
        </w:rPr>
        <w:t xml:space="preserve">la solicitud de acceso a la información </w:t>
      </w:r>
      <w:r w:rsidR="003D243B" w:rsidRPr="006D1A9A">
        <w:rPr>
          <w:rFonts w:ascii="Palatino Linotype" w:hAnsi="Palatino Linotype"/>
        </w:rPr>
        <w:t xml:space="preserve">pública </w:t>
      </w:r>
      <w:r w:rsidR="001145E9">
        <w:rPr>
          <w:rFonts w:ascii="Palatino Linotype" w:hAnsi="Palatino Linotype"/>
        </w:rPr>
        <w:t xml:space="preserve">se desprende que el particular </w:t>
      </w:r>
      <w:r w:rsidRPr="006D1A9A">
        <w:rPr>
          <w:rFonts w:ascii="Palatino Linotype" w:hAnsi="Palatino Linotype"/>
        </w:rPr>
        <w:t>requi</w:t>
      </w:r>
      <w:r w:rsidR="003D243B" w:rsidRPr="006D1A9A">
        <w:rPr>
          <w:rFonts w:ascii="Palatino Linotype" w:hAnsi="Palatino Linotype"/>
        </w:rPr>
        <w:t>ri</w:t>
      </w:r>
      <w:r w:rsidR="006D1A9A">
        <w:rPr>
          <w:rFonts w:ascii="Palatino Linotype" w:hAnsi="Palatino Linotype"/>
        </w:rPr>
        <w:t>ó</w:t>
      </w:r>
      <w:r w:rsidRPr="006D1A9A">
        <w:rPr>
          <w:rFonts w:ascii="Palatino Linotype" w:hAnsi="Palatino Linotype"/>
        </w:rPr>
        <w:t xml:space="preserve"> del </w:t>
      </w:r>
      <w:r w:rsidRPr="006D1A9A">
        <w:rPr>
          <w:rFonts w:ascii="Palatino Linotype" w:hAnsi="Palatino Linotype"/>
          <w:b/>
        </w:rPr>
        <w:t>SUJETO OBLIGADO</w:t>
      </w:r>
      <w:r w:rsidR="00AC0A19" w:rsidRPr="006D1A9A">
        <w:rPr>
          <w:rFonts w:ascii="Palatino Linotype" w:hAnsi="Palatino Linotype"/>
        </w:rPr>
        <w:t xml:space="preserve">, </w:t>
      </w:r>
      <w:r w:rsidR="0017520B">
        <w:rPr>
          <w:rFonts w:ascii="Palatino Linotype" w:hAnsi="Palatino Linotype"/>
        </w:rPr>
        <w:t xml:space="preserve">la </w:t>
      </w:r>
      <w:r w:rsidR="0017520B" w:rsidRPr="0017520B">
        <w:rPr>
          <w:rFonts w:ascii="Palatino Linotype" w:hAnsi="Palatino Linotype"/>
        </w:rPr>
        <w:t>ubicación de cámaras que se encuentran instaladas en el municipio</w:t>
      </w:r>
      <w:r w:rsidR="004E5B9E">
        <w:rPr>
          <w:rFonts w:ascii="Palatino Linotype" w:hAnsi="Palatino Linotype"/>
        </w:rPr>
        <w:t>.</w:t>
      </w:r>
    </w:p>
    <w:p w:rsidR="00255F77" w:rsidRDefault="00AC0A19" w:rsidP="00273CE0">
      <w:pPr>
        <w:spacing w:before="100" w:beforeAutospacing="1" w:after="100" w:afterAutospacing="1" w:line="360" w:lineRule="auto"/>
        <w:jc w:val="both"/>
        <w:rPr>
          <w:rFonts w:ascii="Palatino Linotype" w:hAnsi="Palatino Linotype"/>
        </w:rPr>
      </w:pPr>
      <w:r w:rsidRPr="006D1A9A">
        <w:rPr>
          <w:rFonts w:ascii="Palatino Linotype" w:hAnsi="Palatino Linotype"/>
        </w:rPr>
        <w:t xml:space="preserve">Al respecto, </w:t>
      </w:r>
      <w:r w:rsidRPr="006D1A9A">
        <w:rPr>
          <w:rFonts w:ascii="Palatino Linotype" w:hAnsi="Palatino Linotype"/>
          <w:b/>
        </w:rPr>
        <w:t xml:space="preserve">EL SUJETO OBLIGADO </w:t>
      </w:r>
      <w:r w:rsidR="003429CA">
        <w:rPr>
          <w:rFonts w:ascii="Palatino Linotype" w:hAnsi="Palatino Linotype"/>
        </w:rPr>
        <w:t>a través del</w:t>
      </w:r>
      <w:r w:rsidR="009B3E61" w:rsidRPr="009B3E61">
        <w:rPr>
          <w:rFonts w:ascii="Palatino Linotype" w:hAnsi="Palatino Linotype"/>
        </w:rPr>
        <w:t xml:space="preserve"> Titular de la Unidad de Transparencia</w:t>
      </w:r>
      <w:r w:rsidR="009B3E61">
        <w:rPr>
          <w:rFonts w:ascii="Palatino Linotype" w:hAnsi="Palatino Linotype"/>
        </w:rPr>
        <w:t>,</w:t>
      </w:r>
      <w:r w:rsidR="00DF7F7A">
        <w:rPr>
          <w:rFonts w:ascii="Palatino Linotype" w:hAnsi="Palatino Linotype"/>
        </w:rPr>
        <w:t xml:space="preserve"> </w:t>
      </w:r>
      <w:r w:rsidR="00255F77" w:rsidRPr="00255F77">
        <w:rPr>
          <w:rFonts w:ascii="Palatino Linotype" w:hAnsi="Palatino Linotype"/>
        </w:rPr>
        <w:t xml:space="preserve">señaló que la información requerida estaba reservada, en términos del artículo 140, fracciones I y IV, de la Ley de Transparencia y Acceso a la Información Pública del Estado de México y Municipios, de conformidad del Acuerdo número CT-AVV-015-001-019, emitido por el Comité de Transparencia, documento que se localizaba en su Portal de Información Pública de Oficio Mexiquense en la siguiente página: </w:t>
      </w:r>
      <w:r w:rsidR="00255F77" w:rsidRPr="00255F77">
        <w:rPr>
          <w:rFonts w:ascii="Palatino Linotype" w:hAnsi="Palatino Linotype"/>
          <w:spacing w:val="-20"/>
        </w:rPr>
        <w:t>https://www.ipomex.org.mx/ipo3/lgt/indice/VILLAVICTORIA/art_92_xliii_b/1.web.</w:t>
      </w:r>
    </w:p>
    <w:p w:rsidR="000E2A10" w:rsidRDefault="009B3E61" w:rsidP="00273CE0">
      <w:pPr>
        <w:spacing w:before="100" w:beforeAutospacing="1" w:after="100" w:afterAutospacing="1" w:line="360" w:lineRule="auto"/>
        <w:jc w:val="both"/>
        <w:rPr>
          <w:rFonts w:ascii="Palatino Linotype" w:hAnsi="Palatino Linotype" w:cs="Arial"/>
        </w:rPr>
      </w:pPr>
      <w:r w:rsidRPr="000E2A10">
        <w:rPr>
          <w:rFonts w:ascii="Palatino Linotype" w:hAnsi="Palatino Linotype" w:cs="Arial"/>
        </w:rPr>
        <w:t>Del análisis que realiz</w:t>
      </w:r>
      <w:r w:rsidR="007342FF" w:rsidRPr="000E2A10">
        <w:rPr>
          <w:rFonts w:ascii="Palatino Linotype" w:hAnsi="Palatino Linotype" w:cs="Arial"/>
        </w:rPr>
        <w:t>ó</w:t>
      </w:r>
      <w:r w:rsidRPr="000E2A10">
        <w:rPr>
          <w:rFonts w:ascii="Palatino Linotype" w:hAnsi="Palatino Linotype" w:cs="Arial"/>
        </w:rPr>
        <w:t xml:space="preserve"> la Ponencia </w:t>
      </w:r>
      <w:proofErr w:type="spellStart"/>
      <w:r w:rsidRPr="000E2A10">
        <w:rPr>
          <w:rFonts w:ascii="Palatino Linotype" w:hAnsi="Palatino Linotype" w:cs="Arial"/>
        </w:rPr>
        <w:t>Resolutora</w:t>
      </w:r>
      <w:proofErr w:type="spellEnd"/>
      <w:r w:rsidRPr="000E2A10">
        <w:rPr>
          <w:rFonts w:ascii="Palatino Linotype" w:hAnsi="Palatino Linotype" w:cs="Arial"/>
        </w:rPr>
        <w:t xml:space="preserve">, </w:t>
      </w:r>
      <w:r w:rsidR="00DF7F7A" w:rsidRPr="000E2A10">
        <w:rPr>
          <w:rFonts w:ascii="Palatino Linotype" w:hAnsi="Palatino Linotype" w:cs="Arial"/>
        </w:rPr>
        <w:t xml:space="preserve">estableció </w:t>
      </w:r>
      <w:r w:rsidR="000E2A10" w:rsidRPr="000E2A10">
        <w:rPr>
          <w:rFonts w:ascii="Palatino Linotype" w:hAnsi="Palatino Linotype" w:cs="Arial"/>
        </w:rPr>
        <w:t>que dicha determinación resultaba im</w:t>
      </w:r>
      <w:r w:rsidR="00DF7F7A" w:rsidRPr="000E2A10">
        <w:rPr>
          <w:rFonts w:ascii="Palatino Linotype" w:hAnsi="Palatino Linotype" w:cs="Arial"/>
        </w:rPr>
        <w:t xml:space="preserve">procedente </w:t>
      </w:r>
      <w:r w:rsidR="000E2A10" w:rsidRPr="000E2A10">
        <w:rPr>
          <w:rFonts w:ascii="Palatino Linotype" w:hAnsi="Palatino Linotype" w:cs="Arial"/>
        </w:rPr>
        <w:t xml:space="preserve">en razón de </w:t>
      </w:r>
      <w:r w:rsidR="003429CA">
        <w:rPr>
          <w:rFonts w:ascii="Palatino Linotype" w:hAnsi="Palatino Linotype" w:cs="Arial"/>
        </w:rPr>
        <w:t>las siguientes conclusiones:</w:t>
      </w:r>
    </w:p>
    <w:p w:rsidR="000E2A10" w:rsidRPr="003429CA" w:rsidRDefault="000E2A10" w:rsidP="00273CE0">
      <w:pPr>
        <w:pStyle w:val="Prrafodelista"/>
        <w:numPr>
          <w:ilvl w:val="0"/>
          <w:numId w:val="32"/>
        </w:numPr>
        <w:spacing w:before="100" w:beforeAutospacing="1" w:after="100" w:afterAutospacing="1" w:line="360" w:lineRule="auto"/>
        <w:jc w:val="both"/>
        <w:rPr>
          <w:rFonts w:ascii="Palatino Linotype" w:hAnsi="Palatino Linotype"/>
          <w:szCs w:val="22"/>
        </w:rPr>
      </w:pPr>
      <w:r w:rsidRPr="003429CA">
        <w:rPr>
          <w:rFonts w:ascii="Palatino Linotype" w:hAnsi="Palatino Linotype"/>
          <w:szCs w:val="22"/>
        </w:rPr>
        <w:t>Saber dónde se encuentran ubicadas las cámaras de seguridad del Ayuntamiento, es de interés público en virtud de que si una persona es víctima de un delito, puede indicar a la autoridad ministerial, al momento de presentar su denuncia, que en el lugar de los hechos existe una cámara de seguridad que puede servir como prueba.</w:t>
      </w:r>
    </w:p>
    <w:p w:rsidR="000E2A10" w:rsidRPr="003429CA" w:rsidRDefault="003429CA" w:rsidP="00273CE0">
      <w:pPr>
        <w:pStyle w:val="Prrafodelista"/>
        <w:numPr>
          <w:ilvl w:val="0"/>
          <w:numId w:val="32"/>
        </w:numPr>
        <w:spacing w:before="100" w:beforeAutospacing="1" w:after="100" w:afterAutospacing="1" w:line="360" w:lineRule="auto"/>
        <w:jc w:val="both"/>
        <w:rPr>
          <w:rFonts w:ascii="Palatino Linotype" w:hAnsi="Palatino Linotype"/>
          <w:sz w:val="22"/>
          <w:szCs w:val="22"/>
        </w:rPr>
      </w:pPr>
      <w:r>
        <w:rPr>
          <w:rFonts w:ascii="Palatino Linotype" w:hAnsi="Palatino Linotype"/>
          <w:szCs w:val="22"/>
        </w:rPr>
        <w:lastRenderedPageBreak/>
        <w:t xml:space="preserve">Que </w:t>
      </w:r>
      <w:r w:rsidR="000E2A10" w:rsidRPr="003429CA">
        <w:rPr>
          <w:rFonts w:ascii="Palatino Linotype" w:hAnsi="Palatino Linotype"/>
          <w:szCs w:val="22"/>
        </w:rPr>
        <w:t>permite a la ciudadanía conocer si está</w:t>
      </w:r>
      <w:r>
        <w:rPr>
          <w:rFonts w:ascii="Palatino Linotype" w:hAnsi="Palatino Linotype"/>
          <w:szCs w:val="22"/>
        </w:rPr>
        <w:t>n</w:t>
      </w:r>
      <w:r w:rsidR="000E2A10" w:rsidRPr="003429CA">
        <w:rPr>
          <w:rFonts w:ascii="Palatino Linotype" w:hAnsi="Palatino Linotype"/>
          <w:szCs w:val="22"/>
        </w:rPr>
        <w:t xml:space="preserve"> ubicadas en las zonas estratégicas y de alto riesgo o, por el contrario su ubicación no atiende a los intereses y seguridad de la comunidad. De igual forma, es posible identificar por vecinos y gente que circula por zonas de alto riesgo o que así se hayan identificado, si hay cámaras de seguridad o de lo contrario, solicitar a la autoridad su instalación.</w:t>
      </w:r>
    </w:p>
    <w:p w:rsidR="000E2A10" w:rsidRPr="003429CA" w:rsidRDefault="003429CA" w:rsidP="00273CE0">
      <w:pPr>
        <w:pStyle w:val="Prrafodelista"/>
        <w:numPr>
          <w:ilvl w:val="0"/>
          <w:numId w:val="32"/>
        </w:numPr>
        <w:spacing w:before="100" w:beforeAutospacing="1" w:after="100" w:afterAutospacing="1" w:line="360" w:lineRule="auto"/>
        <w:jc w:val="both"/>
        <w:rPr>
          <w:rFonts w:ascii="Palatino Linotype" w:hAnsi="Palatino Linotype"/>
          <w:sz w:val="22"/>
          <w:szCs w:val="22"/>
        </w:rPr>
      </w:pPr>
      <w:r>
        <w:rPr>
          <w:rFonts w:ascii="Palatino Linotype" w:hAnsi="Palatino Linotype"/>
          <w:szCs w:val="22"/>
        </w:rPr>
        <w:t xml:space="preserve">Que de igual forma </w:t>
      </w:r>
      <w:r w:rsidR="000E2A10" w:rsidRPr="003429CA">
        <w:rPr>
          <w:rFonts w:ascii="Palatino Linotype" w:hAnsi="Palatino Linotype"/>
          <w:szCs w:val="22"/>
        </w:rPr>
        <w:t>permite a la ciudadanía verificar que las cámaras instaladas correspondan con los gastos de adquisiciones y</w:t>
      </w:r>
      <w:r>
        <w:rPr>
          <w:rFonts w:ascii="Palatino Linotype" w:hAnsi="Palatino Linotype"/>
          <w:szCs w:val="22"/>
        </w:rPr>
        <w:t>/o reparaciones que realice el M</w:t>
      </w:r>
      <w:r w:rsidR="000E2A10" w:rsidRPr="003429CA">
        <w:rPr>
          <w:rFonts w:ascii="Palatino Linotype" w:hAnsi="Palatino Linotype"/>
          <w:szCs w:val="22"/>
        </w:rPr>
        <w:t>unicipio.</w:t>
      </w:r>
    </w:p>
    <w:p w:rsidR="000E2A10" w:rsidRPr="000E2A10" w:rsidRDefault="003429CA" w:rsidP="00273CE0">
      <w:pPr>
        <w:spacing w:before="100" w:beforeAutospacing="1" w:after="100" w:afterAutospacing="1" w:line="360" w:lineRule="auto"/>
        <w:jc w:val="both"/>
        <w:rPr>
          <w:rFonts w:ascii="Palatino Linotype" w:hAnsi="Palatino Linotype" w:cs="Arial"/>
        </w:rPr>
      </w:pPr>
      <w:r>
        <w:rPr>
          <w:rFonts w:ascii="Palatino Linotype" w:hAnsi="Palatino Linotype" w:cs="Arial"/>
        </w:rPr>
        <w:t>En atención a lo anterior</w:t>
      </w:r>
      <w:r w:rsidR="00AC0A19" w:rsidRPr="006D1A9A">
        <w:rPr>
          <w:rFonts w:ascii="Palatino Linotype" w:hAnsi="Palatino Linotype" w:cs="Arial"/>
        </w:rPr>
        <w:t>,</w:t>
      </w:r>
      <w:r w:rsidR="008B0E4F">
        <w:rPr>
          <w:rFonts w:ascii="Palatino Linotype" w:hAnsi="Palatino Linotype" w:cs="Arial"/>
        </w:rPr>
        <w:t xml:space="preserve"> la</w:t>
      </w:r>
      <w:r w:rsidR="00AC0A19" w:rsidRPr="006D1A9A">
        <w:rPr>
          <w:rFonts w:ascii="Palatino Linotype" w:hAnsi="Palatino Linotype" w:cs="Arial"/>
        </w:rPr>
        <w:t xml:space="preserve"> que suscribe </w:t>
      </w:r>
      <w:r>
        <w:rPr>
          <w:rFonts w:ascii="Palatino Linotype" w:hAnsi="Palatino Linotype" w:cs="Arial"/>
        </w:rPr>
        <w:t xml:space="preserve">no coincide con la postura adoptada por la Ponencia </w:t>
      </w:r>
      <w:proofErr w:type="spellStart"/>
      <w:r>
        <w:rPr>
          <w:rFonts w:ascii="Palatino Linotype" w:hAnsi="Palatino Linotype" w:cs="Arial"/>
        </w:rPr>
        <w:t>Resolutora</w:t>
      </w:r>
      <w:proofErr w:type="spellEnd"/>
      <w:r w:rsidR="000D4674">
        <w:rPr>
          <w:rFonts w:ascii="Palatino Linotype" w:hAnsi="Palatino Linotype" w:cs="Arial"/>
        </w:rPr>
        <w:t xml:space="preserve"> y la mayoría de Comisionados que integran el Pleno</w:t>
      </w:r>
      <w:r>
        <w:rPr>
          <w:rFonts w:ascii="Palatino Linotype" w:hAnsi="Palatino Linotype" w:cs="Arial"/>
        </w:rPr>
        <w:t xml:space="preserve">, dado que </w:t>
      </w:r>
      <w:r w:rsidR="000E2A10">
        <w:rPr>
          <w:rFonts w:ascii="Palatino Linotype" w:hAnsi="Palatino Linotype" w:cs="Arial"/>
        </w:rPr>
        <w:t>d</w:t>
      </w:r>
      <w:r w:rsidR="000E2A10" w:rsidRPr="000E2A10">
        <w:rPr>
          <w:rFonts w:ascii="Palatino Linotype" w:hAnsi="Palatino Linotype" w:cs="Arial"/>
        </w:rPr>
        <w:t>e conformidad con lo dispuesto en el artículo 12</w:t>
      </w:r>
      <w:r w:rsidR="008209ED">
        <w:rPr>
          <w:rStyle w:val="Refdenotaalpie"/>
          <w:rFonts w:ascii="Palatino Linotype" w:hAnsi="Palatino Linotype"/>
        </w:rPr>
        <w:footnoteReference w:id="1"/>
      </w:r>
      <w:r w:rsidR="000E2A10" w:rsidRPr="000E2A10">
        <w:rPr>
          <w:rFonts w:ascii="Palatino Linotype" w:hAnsi="Palatino Linotype" w:cs="Arial"/>
        </w:rPr>
        <w:t xml:space="preserve"> de la Ley que Regula el Uso de Tecnologías de la Información y Comunicación para la Seguridad Pública del</w:t>
      </w:r>
      <w:r>
        <w:rPr>
          <w:rFonts w:ascii="Palatino Linotype" w:hAnsi="Palatino Linotype" w:cs="Arial"/>
        </w:rPr>
        <w:t xml:space="preserve"> Estado </w:t>
      </w:r>
      <w:r>
        <w:rPr>
          <w:rFonts w:ascii="Palatino Linotype" w:hAnsi="Palatino Linotype" w:cs="Arial"/>
        </w:rPr>
        <w:lastRenderedPageBreak/>
        <w:t xml:space="preserve">de México se estima que </w:t>
      </w:r>
      <w:r w:rsidRPr="003429CA">
        <w:rPr>
          <w:rFonts w:ascii="Palatino Linotype" w:hAnsi="Palatino Linotype" w:cs="Arial"/>
          <w:b/>
        </w:rPr>
        <w:t>l</w:t>
      </w:r>
      <w:r w:rsidR="000E2A10" w:rsidRPr="003429CA">
        <w:rPr>
          <w:rFonts w:ascii="Palatino Linotype" w:hAnsi="Palatino Linotype" w:cs="Arial"/>
          <w:b/>
        </w:rPr>
        <w:t>a instalación de cámaras de video vigilancia se realizará en lugares en los cuales sea posible prevenir, inhibir y combatir conductas ilícitas</w:t>
      </w:r>
      <w:r w:rsidR="000E2A10" w:rsidRPr="000E2A10">
        <w:rPr>
          <w:rFonts w:ascii="Palatino Linotype" w:hAnsi="Palatino Linotype" w:cs="Arial"/>
        </w:rPr>
        <w:t>.</w:t>
      </w:r>
    </w:p>
    <w:p w:rsidR="000E2A10" w:rsidRPr="000E2A10" w:rsidRDefault="000E2A10" w:rsidP="00273CE0">
      <w:pPr>
        <w:spacing w:before="100" w:beforeAutospacing="1" w:after="100" w:afterAutospacing="1" w:line="360" w:lineRule="auto"/>
        <w:jc w:val="both"/>
        <w:rPr>
          <w:rFonts w:ascii="Palatino Linotype" w:hAnsi="Palatino Linotype" w:cs="Arial"/>
        </w:rPr>
      </w:pPr>
      <w:r w:rsidRPr="000E2A10">
        <w:rPr>
          <w:rFonts w:ascii="Palatino Linotype" w:hAnsi="Palatino Linotype" w:cs="Arial"/>
        </w:rPr>
        <w:t xml:space="preserve">Concibiendo estos tres conceptos de la siguiente forma; se </w:t>
      </w:r>
      <w:r w:rsidRPr="008209ED">
        <w:rPr>
          <w:rFonts w:ascii="Palatino Linotype" w:hAnsi="Palatino Linotype" w:cs="Arial"/>
          <w:b/>
        </w:rPr>
        <w:t>previenen</w:t>
      </w:r>
      <w:r w:rsidRPr="000E2A10">
        <w:rPr>
          <w:rFonts w:ascii="Palatino Linotype" w:hAnsi="Palatino Linotype" w:cs="Arial"/>
        </w:rPr>
        <w:t xml:space="preserve"> conductas delictivas a partir de la vigilancia que realicen los cuerpos policiacos encargados de la operación de las cámaras, dando seguimiento a individuos con actividades o conductas sospechosas, a fin de detectar la portación de armas o conductas recurrentes o identificadas en la comisión de delitos; contrario a lo dispuesto por la Ponencia que resuelve, en el que pareciera que la prevención del delito de la que hablamos en el caso que nos ocupa, es a cargo del ciudadano y no así del </w:t>
      </w:r>
      <w:r w:rsidR="003429CA">
        <w:rPr>
          <w:rFonts w:ascii="Palatino Linotype" w:hAnsi="Palatino Linotype" w:cs="Arial"/>
        </w:rPr>
        <w:t>ente público</w:t>
      </w:r>
      <w:r w:rsidRPr="000E2A10">
        <w:rPr>
          <w:rFonts w:ascii="Palatino Linotype" w:hAnsi="Palatino Linotype" w:cs="Arial"/>
        </w:rPr>
        <w:t xml:space="preserve">, pues dentro del </w:t>
      </w:r>
      <w:r w:rsidR="008209ED">
        <w:rPr>
          <w:rFonts w:ascii="Palatino Linotype" w:hAnsi="Palatino Linotype" w:cs="Arial"/>
        </w:rPr>
        <w:t xml:space="preserve">estudio del </w:t>
      </w:r>
      <w:r w:rsidRPr="000E2A10">
        <w:rPr>
          <w:rFonts w:ascii="Palatino Linotype" w:hAnsi="Palatino Linotype" w:cs="Arial"/>
        </w:rPr>
        <w:t xml:space="preserve">proyecto </w:t>
      </w:r>
      <w:r w:rsidR="008209ED">
        <w:rPr>
          <w:rFonts w:ascii="Palatino Linotype" w:hAnsi="Palatino Linotype" w:cs="Arial"/>
        </w:rPr>
        <w:t xml:space="preserve">de resolución </w:t>
      </w:r>
      <w:r w:rsidRPr="000E2A10">
        <w:rPr>
          <w:rFonts w:ascii="Palatino Linotype" w:hAnsi="Palatino Linotype" w:cs="Arial"/>
        </w:rPr>
        <w:t xml:space="preserve">se considera que el ciudadano al conocer la ubicación de las cámaras de video vigilancia, procurará el tránsito por las avenidas vigiladas y evitará aquellos lugares que carezcan de la misma. No así, se considera que el derecho del ciudadano es transitar libremente y la obligación del </w:t>
      </w:r>
      <w:r w:rsidR="008209ED">
        <w:rPr>
          <w:rFonts w:ascii="Palatino Linotype" w:hAnsi="Palatino Linotype" w:cs="Arial"/>
        </w:rPr>
        <w:t>Municipio</w:t>
      </w:r>
      <w:r w:rsidRPr="000E2A10">
        <w:rPr>
          <w:rFonts w:ascii="Palatino Linotype" w:hAnsi="Palatino Linotype" w:cs="Arial"/>
        </w:rPr>
        <w:t xml:space="preserve"> es brindar la seguridad necesaria de los habitantes.</w:t>
      </w:r>
    </w:p>
    <w:p w:rsidR="000E2A10" w:rsidRPr="000E2A10" w:rsidRDefault="000E2A10" w:rsidP="00273CE0">
      <w:pPr>
        <w:spacing w:before="100" w:beforeAutospacing="1" w:after="100" w:afterAutospacing="1" w:line="360" w:lineRule="auto"/>
        <w:jc w:val="both"/>
        <w:rPr>
          <w:rFonts w:ascii="Palatino Linotype" w:hAnsi="Palatino Linotype" w:cs="Arial"/>
        </w:rPr>
      </w:pPr>
      <w:r w:rsidRPr="000E2A10">
        <w:rPr>
          <w:rFonts w:ascii="Palatino Linotype" w:hAnsi="Palatino Linotype" w:cs="Arial"/>
        </w:rPr>
        <w:t>Sustento del párrafo que antecede es lo contemplado en el Plan de Desarrollo del Estado de México 2017-2023 en el que se exponen y proyectan metas a través de pilares, siendo uno de ellos la seguridad pública, en el que se establecen cuatro objetivos fundamentales, en</w:t>
      </w:r>
      <w:r w:rsidR="003429CA">
        <w:rPr>
          <w:rFonts w:ascii="Palatino Linotype" w:hAnsi="Palatino Linotype" w:cs="Arial"/>
        </w:rPr>
        <w:t xml:space="preserve">tre los que se encuentra el de </w:t>
      </w:r>
      <w:r w:rsidRPr="000E2A10">
        <w:rPr>
          <w:rFonts w:ascii="Palatino Linotype" w:hAnsi="Palatino Linotype" w:cs="Arial"/>
        </w:rPr>
        <w:t xml:space="preserve">Transformar las Instituciones de Seguridad Pública, </w:t>
      </w:r>
      <w:r w:rsidR="003429CA">
        <w:rPr>
          <w:rFonts w:ascii="Palatino Linotype" w:hAnsi="Palatino Linotype" w:cs="Arial"/>
        </w:rPr>
        <w:t xml:space="preserve">tomando </w:t>
      </w:r>
      <w:r w:rsidRPr="000E2A10">
        <w:rPr>
          <w:rFonts w:ascii="Palatino Linotype" w:hAnsi="Palatino Linotype" w:cs="Arial"/>
        </w:rPr>
        <w:t xml:space="preserve">como una de sus estrategias </w:t>
      </w:r>
      <w:r w:rsidR="003429CA">
        <w:rPr>
          <w:rFonts w:ascii="Palatino Linotype" w:hAnsi="Palatino Linotype" w:cs="Arial"/>
        </w:rPr>
        <w:t>el</w:t>
      </w:r>
      <w:r w:rsidRPr="000E2A10">
        <w:rPr>
          <w:rFonts w:ascii="Palatino Linotype" w:hAnsi="Palatino Linotype" w:cs="Arial"/>
        </w:rPr>
        <w:t xml:space="preserve"> Fortalecer el uso de las Tecnologías de Información y Comunicación para la Seguridad.</w:t>
      </w:r>
    </w:p>
    <w:p w:rsidR="000E2A10" w:rsidRPr="000E2A10" w:rsidRDefault="003429CA" w:rsidP="00273CE0">
      <w:pPr>
        <w:spacing w:before="100" w:beforeAutospacing="1" w:after="100" w:afterAutospacing="1" w:line="360" w:lineRule="auto"/>
        <w:jc w:val="both"/>
        <w:rPr>
          <w:rFonts w:ascii="Palatino Linotype" w:hAnsi="Palatino Linotype" w:cs="Arial"/>
        </w:rPr>
      </w:pPr>
      <w:r>
        <w:rPr>
          <w:rFonts w:ascii="Palatino Linotype" w:hAnsi="Palatino Linotype" w:cs="Arial"/>
        </w:rPr>
        <w:lastRenderedPageBreak/>
        <w:t xml:space="preserve">De </w:t>
      </w:r>
      <w:r w:rsidR="00255F77">
        <w:rPr>
          <w:rFonts w:ascii="Palatino Linotype" w:hAnsi="Palatino Linotype" w:cs="Arial"/>
        </w:rPr>
        <w:t xml:space="preserve">la </w:t>
      </w:r>
      <w:r>
        <w:rPr>
          <w:rFonts w:ascii="Palatino Linotype" w:hAnsi="Palatino Linotype" w:cs="Arial"/>
        </w:rPr>
        <w:t xml:space="preserve">misma manera, dentro de las líneas de acción </w:t>
      </w:r>
      <w:r w:rsidR="002A7003">
        <w:rPr>
          <w:rFonts w:ascii="Palatino Linotype" w:hAnsi="Palatino Linotype" w:cs="Arial"/>
        </w:rPr>
        <w:t>s</w:t>
      </w:r>
      <w:r>
        <w:rPr>
          <w:rFonts w:ascii="Palatino Linotype" w:hAnsi="Palatino Linotype" w:cs="Arial"/>
        </w:rPr>
        <w:t>e contempla el i</w:t>
      </w:r>
      <w:r w:rsidR="000E2A10" w:rsidRPr="000E2A10">
        <w:rPr>
          <w:rFonts w:ascii="Palatino Linotype" w:hAnsi="Palatino Linotype" w:cs="Arial"/>
        </w:rPr>
        <w:t xml:space="preserve">ncrementar el número de Centros de Control, Comando, Comunicación, Cómputo y Calidad </w:t>
      </w:r>
      <w:r>
        <w:rPr>
          <w:rFonts w:ascii="Palatino Linotype" w:hAnsi="Palatino Linotype" w:cs="Arial"/>
        </w:rPr>
        <w:t>y a</w:t>
      </w:r>
      <w:r w:rsidR="000E2A10" w:rsidRPr="000E2A10">
        <w:rPr>
          <w:rFonts w:ascii="Palatino Linotype" w:hAnsi="Palatino Linotype" w:cs="Arial"/>
        </w:rPr>
        <w:t>mpliar el número de cámaras de video vigilancia instaladas en la Entidad, priorizando las zonas de mayor incidencia delictiva.</w:t>
      </w:r>
    </w:p>
    <w:p w:rsidR="000E2A10" w:rsidRPr="000E2A10" w:rsidRDefault="000E2A10" w:rsidP="00273CE0">
      <w:pPr>
        <w:spacing w:before="100" w:beforeAutospacing="1" w:after="100" w:afterAutospacing="1" w:line="360" w:lineRule="auto"/>
        <w:jc w:val="both"/>
        <w:rPr>
          <w:rFonts w:ascii="Palatino Linotype" w:hAnsi="Palatino Linotype" w:cs="Arial"/>
        </w:rPr>
      </w:pPr>
      <w:r w:rsidRPr="000E2A10">
        <w:rPr>
          <w:rFonts w:ascii="Palatino Linotype" w:hAnsi="Palatino Linotype" w:cs="Arial"/>
        </w:rPr>
        <w:t xml:space="preserve">Se </w:t>
      </w:r>
      <w:r w:rsidRPr="008209ED">
        <w:rPr>
          <w:rFonts w:ascii="Palatino Linotype" w:hAnsi="Palatino Linotype" w:cs="Arial"/>
          <w:b/>
        </w:rPr>
        <w:t>inhibe</w:t>
      </w:r>
      <w:r w:rsidRPr="000E2A10">
        <w:rPr>
          <w:rFonts w:ascii="Palatino Linotype" w:hAnsi="Palatino Linotype" w:cs="Arial"/>
        </w:rPr>
        <w:t xml:space="preserve"> el delito, </w:t>
      </w:r>
      <w:r w:rsidR="003429CA">
        <w:rPr>
          <w:rFonts w:ascii="Palatino Linotype" w:hAnsi="Palatino Linotype" w:cs="Arial"/>
        </w:rPr>
        <w:t xml:space="preserve">puesto </w:t>
      </w:r>
      <w:r w:rsidRPr="000E2A10">
        <w:rPr>
          <w:rFonts w:ascii="Palatino Linotype" w:hAnsi="Palatino Linotype" w:cs="Arial"/>
        </w:rPr>
        <w:t>que el uso de esta tecnología como herramienta de los cuerpos policiacos en el desempeño de sus funciones permita elevar el número de detenciones por la comisión de delitos y consecuentemente la baja de índices delictivos en comparación con el momento anterior a su instalación; es decir, no se le debe atribuir los l</w:t>
      </w:r>
      <w:r w:rsidR="003429CA">
        <w:rPr>
          <w:rFonts w:ascii="Palatino Linotype" w:hAnsi="Palatino Linotype" w:cs="Arial"/>
        </w:rPr>
        <w:t>ogros en materia de seguridad pú</w:t>
      </w:r>
      <w:r w:rsidRPr="000E2A10">
        <w:rPr>
          <w:rFonts w:ascii="Palatino Linotype" w:hAnsi="Palatino Linotype" w:cs="Arial"/>
        </w:rPr>
        <w:t xml:space="preserve">blica al uso de las cámaras de video vigilancia, sino al trabajo conjunto de los cuerpos policiacos auxiliados de tecnologías a su alcance que faciliten su labor de seguridad, pues de lo contrario, daríamos pie al </w:t>
      </w:r>
      <w:r w:rsidR="00A17CEA">
        <w:rPr>
          <w:rFonts w:ascii="Palatino Linotype" w:hAnsi="Palatino Linotype" w:cs="Arial"/>
        </w:rPr>
        <w:t xml:space="preserve"> posible </w:t>
      </w:r>
      <w:r w:rsidRPr="000E2A10">
        <w:rPr>
          <w:rFonts w:ascii="Palatino Linotype" w:hAnsi="Palatino Linotype" w:cs="Arial"/>
        </w:rPr>
        <w:t xml:space="preserve">sabotaje por parte de los grupos delincuenciales a estas tecnologías, dañándolas, o simplemente evadiéndolas. </w:t>
      </w:r>
    </w:p>
    <w:p w:rsidR="000E2A10" w:rsidRPr="000E2A10" w:rsidRDefault="000E2A10" w:rsidP="00273CE0">
      <w:pPr>
        <w:spacing w:before="100" w:beforeAutospacing="1" w:after="100" w:afterAutospacing="1" w:line="360" w:lineRule="auto"/>
        <w:jc w:val="both"/>
        <w:rPr>
          <w:rFonts w:ascii="Palatino Linotype" w:hAnsi="Palatino Linotype" w:cs="Arial"/>
        </w:rPr>
      </w:pPr>
      <w:r w:rsidRPr="000E2A10">
        <w:rPr>
          <w:rFonts w:ascii="Palatino Linotype" w:hAnsi="Palatino Linotype" w:cs="Arial"/>
        </w:rPr>
        <w:t xml:space="preserve">Se </w:t>
      </w:r>
      <w:r w:rsidRPr="008209ED">
        <w:rPr>
          <w:rFonts w:ascii="Palatino Linotype" w:hAnsi="Palatino Linotype" w:cs="Arial"/>
          <w:b/>
        </w:rPr>
        <w:t>combate</w:t>
      </w:r>
      <w:r w:rsidRPr="000E2A10">
        <w:rPr>
          <w:rFonts w:ascii="Palatino Linotype" w:hAnsi="Palatino Linotype" w:cs="Arial"/>
        </w:rPr>
        <w:t xml:space="preserve"> al delito, al fortalecer la operación policial incrementando su cobertura a fin de lograr que su actuar ante hechos delictivos, sea más eficaz y eficiente. De esta forma, retomando el argumento que realiza la Ponencia </w:t>
      </w:r>
      <w:proofErr w:type="spellStart"/>
      <w:r w:rsidRPr="000E2A10">
        <w:rPr>
          <w:rFonts w:ascii="Palatino Linotype" w:hAnsi="Palatino Linotype" w:cs="Arial"/>
        </w:rPr>
        <w:t>Resolutora</w:t>
      </w:r>
      <w:proofErr w:type="spellEnd"/>
      <w:r w:rsidRPr="000E2A10">
        <w:rPr>
          <w:rFonts w:ascii="Palatino Linotype" w:hAnsi="Palatino Linotype" w:cs="Arial"/>
        </w:rPr>
        <w:t>, en el que efectivamente para el caso de que una persona sea víctima de un delito, los hechos captados por una cámara de seguridad puedan servir como prueba; sin embargo</w:t>
      </w:r>
      <w:r w:rsidR="00A17CEA">
        <w:rPr>
          <w:rFonts w:ascii="Palatino Linotype" w:hAnsi="Palatino Linotype" w:cs="Arial"/>
        </w:rPr>
        <w:t>,</w:t>
      </w:r>
      <w:r w:rsidRPr="000E2A10">
        <w:rPr>
          <w:rFonts w:ascii="Palatino Linotype" w:hAnsi="Palatino Linotype" w:cs="Arial"/>
        </w:rPr>
        <w:t xml:space="preserve"> se difiere </w:t>
      </w:r>
      <w:r w:rsidR="00A17CEA">
        <w:rPr>
          <w:rFonts w:ascii="Palatino Linotype" w:hAnsi="Palatino Linotype" w:cs="Arial"/>
        </w:rPr>
        <w:t xml:space="preserve">respecto </w:t>
      </w:r>
      <w:r w:rsidRPr="000E2A10">
        <w:rPr>
          <w:rFonts w:ascii="Palatino Linotype" w:hAnsi="Palatino Linotype" w:cs="Arial"/>
        </w:rPr>
        <w:t xml:space="preserve">a que la responsabilidad de recabar la misma y labor de investigación sea a cargo nuevamente de los ciudadanos, pues es obligación del Estado y sus </w:t>
      </w:r>
      <w:r w:rsidR="008209ED">
        <w:rPr>
          <w:rFonts w:ascii="Palatino Linotype" w:hAnsi="Palatino Linotype" w:cs="Arial"/>
        </w:rPr>
        <w:t>I</w:t>
      </w:r>
      <w:r w:rsidRPr="000E2A10">
        <w:rPr>
          <w:rFonts w:ascii="Palatino Linotype" w:hAnsi="Palatino Linotype" w:cs="Arial"/>
        </w:rPr>
        <w:t>nstituciones de seguridad e impartición de justicia</w:t>
      </w:r>
      <w:r w:rsidR="00A17CEA">
        <w:rPr>
          <w:rFonts w:ascii="Palatino Linotype" w:hAnsi="Palatino Linotype" w:cs="Arial"/>
        </w:rPr>
        <w:t xml:space="preserve"> el</w:t>
      </w:r>
      <w:r w:rsidRPr="000E2A10">
        <w:rPr>
          <w:rFonts w:ascii="Palatino Linotype" w:hAnsi="Palatino Linotype" w:cs="Arial"/>
        </w:rPr>
        <w:t xml:space="preserve"> garantizar la persecución de los </w:t>
      </w:r>
      <w:r w:rsidR="00A17CEA">
        <w:rPr>
          <w:rFonts w:ascii="Palatino Linotype" w:hAnsi="Palatino Linotype" w:cs="Arial"/>
        </w:rPr>
        <w:lastRenderedPageBreak/>
        <w:t>delitos;</w:t>
      </w:r>
      <w:r w:rsidRPr="000E2A10">
        <w:rPr>
          <w:rFonts w:ascii="Palatino Linotype" w:hAnsi="Palatino Linotype" w:cs="Arial"/>
        </w:rPr>
        <w:t xml:space="preserve"> situación de la cual no se puede deslindar y dejar a cargo de quienes deberían estar tutelados por este derecho.</w:t>
      </w:r>
    </w:p>
    <w:p w:rsidR="000E2A10" w:rsidRPr="000E2A10" w:rsidRDefault="008209ED" w:rsidP="00273CE0">
      <w:pPr>
        <w:spacing w:before="100" w:beforeAutospacing="1" w:after="100" w:afterAutospacing="1" w:line="360" w:lineRule="auto"/>
        <w:jc w:val="both"/>
        <w:rPr>
          <w:rFonts w:ascii="Palatino Linotype" w:hAnsi="Palatino Linotype" w:cs="Arial"/>
        </w:rPr>
      </w:pPr>
      <w:r>
        <w:rPr>
          <w:rFonts w:ascii="Palatino Linotype" w:hAnsi="Palatino Linotype" w:cs="Arial"/>
        </w:rPr>
        <w:t>Ahora bien, r</w:t>
      </w:r>
      <w:r w:rsidR="000D4674">
        <w:rPr>
          <w:rFonts w:ascii="Palatino Linotype" w:hAnsi="Palatino Linotype" w:cs="Arial"/>
        </w:rPr>
        <w:t>especto al argumento de</w:t>
      </w:r>
      <w:r w:rsidR="000E2A10" w:rsidRPr="000E2A10">
        <w:rPr>
          <w:rFonts w:ascii="Palatino Linotype" w:hAnsi="Palatino Linotype" w:cs="Arial"/>
        </w:rPr>
        <w:t xml:space="preserve"> conocer la ubicación de las cámaras de video vigilancia permite a la ciudadanía conocer si </w:t>
      </w:r>
      <w:r w:rsidR="00A17CEA">
        <w:rPr>
          <w:rFonts w:ascii="Palatino Linotype" w:hAnsi="Palatino Linotype" w:cs="Arial"/>
        </w:rPr>
        <w:t>están</w:t>
      </w:r>
      <w:r w:rsidR="000E2A10" w:rsidRPr="000E2A10">
        <w:rPr>
          <w:rFonts w:ascii="Palatino Linotype" w:hAnsi="Palatino Linotype" w:cs="Arial"/>
        </w:rPr>
        <w:t xml:space="preserve"> ubicadas en las zonas estratégicas y de alto riesgo o, por el contrario su ubicación no atiende a los intere</w:t>
      </w:r>
      <w:r w:rsidR="00A17CEA">
        <w:rPr>
          <w:rFonts w:ascii="Palatino Linotype" w:hAnsi="Palatino Linotype" w:cs="Arial"/>
        </w:rPr>
        <w:t>ses y seguridad de la comunidad;</w:t>
      </w:r>
      <w:r w:rsidR="000E2A10" w:rsidRPr="000E2A10">
        <w:rPr>
          <w:rFonts w:ascii="Palatino Linotype" w:hAnsi="Palatino Linotype" w:cs="Arial"/>
        </w:rPr>
        <w:t xml:space="preserve"> resulta atendido por la Ley anteriormente citada, ya que es muy clara al señalar que dicha instalación se realizará previo análisis técnico basado en los criterios y prioridades establecidos y se ac</w:t>
      </w:r>
      <w:r w:rsidR="00A17CEA">
        <w:rPr>
          <w:rFonts w:ascii="Palatino Linotype" w:hAnsi="Palatino Linotype" w:cs="Arial"/>
        </w:rPr>
        <w:t>ordará entre la Secretaría, el M</w:t>
      </w:r>
      <w:r w:rsidR="000E2A10" w:rsidRPr="000E2A10">
        <w:rPr>
          <w:rFonts w:ascii="Palatino Linotype" w:hAnsi="Palatino Linotype" w:cs="Arial"/>
        </w:rPr>
        <w:t xml:space="preserve">unicipio o la dependencia interesada. </w:t>
      </w:r>
    </w:p>
    <w:p w:rsidR="008209ED" w:rsidRDefault="000E2A10" w:rsidP="00273CE0">
      <w:pPr>
        <w:spacing w:before="100" w:beforeAutospacing="1" w:after="100" w:afterAutospacing="1" w:line="360" w:lineRule="auto"/>
        <w:jc w:val="both"/>
        <w:rPr>
          <w:rFonts w:ascii="Palatino Linotype" w:hAnsi="Palatino Linotype" w:cs="Arial"/>
        </w:rPr>
      </w:pPr>
      <w:r w:rsidRPr="000E2A10">
        <w:rPr>
          <w:rFonts w:ascii="Palatino Linotype" w:hAnsi="Palatino Linotype" w:cs="Arial"/>
        </w:rPr>
        <w:t>Aunado a lo anterior</w:t>
      </w:r>
      <w:r w:rsidR="008209ED">
        <w:rPr>
          <w:rFonts w:ascii="Palatino Linotype" w:hAnsi="Palatino Linotype" w:cs="Arial"/>
        </w:rPr>
        <w:t>,</w:t>
      </w:r>
      <w:r w:rsidRPr="000E2A10">
        <w:rPr>
          <w:rFonts w:ascii="Palatino Linotype" w:hAnsi="Palatino Linotype" w:cs="Arial"/>
        </w:rPr>
        <w:t xml:space="preserve"> pudiera darse el caso de que se instalen cámaras en lugares que no sean de dominio público sin que sea fácil advertirlas a simple vista y que precisamente su colocación estratégica permita de nueva cuenta prevenir, inhibir y combatir e</w:t>
      </w:r>
      <w:r w:rsidR="00A17CEA">
        <w:rPr>
          <w:rFonts w:ascii="Palatino Linotype" w:hAnsi="Palatino Linotype" w:cs="Arial"/>
        </w:rPr>
        <w:t>l delito; ante ello, se</w:t>
      </w:r>
      <w:r w:rsidRPr="000E2A10">
        <w:rPr>
          <w:rFonts w:ascii="Palatino Linotype" w:hAnsi="Palatino Linotype" w:cs="Arial"/>
        </w:rPr>
        <w:t xml:space="preserve"> dispone que para tal efecto se requerirá autorización por escrito del propietario o poseedor del lugar en el que se pretendan ubicar los equipos y sistemas tecnológicos y dicha autorización será confidencial y deberá resguardarse con la información obtenida por los sistemas tecnológicos, de conformidad con lo dispuesto </w:t>
      </w:r>
      <w:r w:rsidR="00A17CEA">
        <w:rPr>
          <w:rFonts w:ascii="Palatino Linotype" w:hAnsi="Palatino Linotype" w:cs="Arial"/>
        </w:rPr>
        <w:t xml:space="preserve">en la </w:t>
      </w:r>
      <w:r w:rsidRPr="000E2A10">
        <w:rPr>
          <w:rFonts w:ascii="Palatino Linotype" w:hAnsi="Palatino Linotype" w:cs="Arial"/>
        </w:rPr>
        <w:t>Ley</w:t>
      </w:r>
      <w:r w:rsidR="00A17CEA">
        <w:rPr>
          <w:rFonts w:ascii="Palatino Linotype" w:hAnsi="Palatino Linotype" w:cs="Arial"/>
        </w:rPr>
        <w:t xml:space="preserve"> ya mencionada y </w:t>
      </w:r>
      <w:r w:rsidRPr="000E2A10">
        <w:rPr>
          <w:rFonts w:ascii="Palatino Linotype" w:hAnsi="Palatino Linotype" w:cs="Arial"/>
        </w:rPr>
        <w:t>la Ley de Trans</w:t>
      </w:r>
      <w:r w:rsidR="008209ED">
        <w:rPr>
          <w:rFonts w:ascii="Palatino Linotype" w:hAnsi="Palatino Linotype" w:cs="Arial"/>
        </w:rPr>
        <w:t xml:space="preserve">parencia, y Acceso a la Información </w:t>
      </w:r>
      <w:r w:rsidR="00A17CEA">
        <w:rPr>
          <w:rFonts w:ascii="Palatino Linotype" w:hAnsi="Palatino Linotype" w:cs="Arial"/>
        </w:rPr>
        <w:t>Pública</w:t>
      </w:r>
      <w:r w:rsidR="008209ED">
        <w:rPr>
          <w:rFonts w:ascii="Palatino Linotype" w:hAnsi="Palatino Linotype" w:cs="Arial"/>
        </w:rPr>
        <w:t xml:space="preserve"> del Estado de México y Municipios y la Ley de Protección de Datos Personales en Posesión de Sujetos Obligados del Estado de México y Municipios.</w:t>
      </w:r>
    </w:p>
    <w:p w:rsidR="000E2A10" w:rsidRDefault="00C523CD" w:rsidP="00273CE0">
      <w:pPr>
        <w:spacing w:before="100" w:beforeAutospacing="1" w:after="100" w:afterAutospacing="1" w:line="360" w:lineRule="auto"/>
        <w:jc w:val="both"/>
        <w:rPr>
          <w:rFonts w:ascii="Palatino Linotype" w:hAnsi="Palatino Linotype" w:cs="Arial"/>
        </w:rPr>
      </w:pPr>
      <w:r>
        <w:rPr>
          <w:rFonts w:ascii="Palatino Linotype" w:hAnsi="Palatino Linotype" w:cs="Arial"/>
        </w:rPr>
        <w:t>Por otra parte, si bien pareciera que al atender el resolutivo de la resolución que dio origen al presente v</w:t>
      </w:r>
      <w:r w:rsidR="00034F84">
        <w:rPr>
          <w:rFonts w:ascii="Palatino Linotype" w:hAnsi="Palatino Linotype" w:cs="Arial"/>
        </w:rPr>
        <w:t>o</w:t>
      </w:r>
      <w:r>
        <w:rPr>
          <w:rFonts w:ascii="Palatino Linotype" w:hAnsi="Palatino Linotype" w:cs="Arial"/>
        </w:rPr>
        <w:t xml:space="preserve">to disidente, únicamente se revelaría la ubicación de las cámaras </w:t>
      </w:r>
      <w:r>
        <w:rPr>
          <w:rFonts w:ascii="Palatino Linotype" w:hAnsi="Palatino Linotype" w:cs="Arial"/>
        </w:rPr>
        <w:lastRenderedPageBreak/>
        <w:t xml:space="preserve">de video vigilancia y no así de mayores características que permitieran un estudio para evadir los alcances </w:t>
      </w:r>
      <w:r w:rsidR="00A17CEA">
        <w:rPr>
          <w:rFonts w:ascii="Palatino Linotype" w:hAnsi="Palatino Linotype" w:cs="Arial"/>
        </w:rPr>
        <w:t>de las mismas, esto resulta equí</w:t>
      </w:r>
      <w:r>
        <w:rPr>
          <w:rFonts w:ascii="Palatino Linotype" w:hAnsi="Palatino Linotype" w:cs="Arial"/>
        </w:rPr>
        <w:t xml:space="preserve">voco puesto que la propia </w:t>
      </w:r>
      <w:r w:rsidRPr="00C523CD">
        <w:rPr>
          <w:rFonts w:ascii="Palatino Linotype" w:hAnsi="Palatino Linotype" w:cs="Arial"/>
        </w:rPr>
        <w:t>la Norma Técnica para Estandarizar las Características Técnicas y de Interoperabilidad de los Sistemas de Video-Vigilancia para la Seguridad Pública, emitido por el Secretariado Ejecutivo del Sistema Nacional de Seguridad Pública</w:t>
      </w:r>
      <w:r>
        <w:rPr>
          <w:rFonts w:ascii="Palatino Linotype" w:hAnsi="Palatino Linotype" w:cs="Arial"/>
        </w:rPr>
        <w:t>, establece las características mínimas de las cámaras que se deben emplear para tal efecto, por lo que dicha norma al encontrarse directamente vinculada con el tema en comento, no puede</w:t>
      </w:r>
      <w:r w:rsidR="00A17CEA">
        <w:rPr>
          <w:rFonts w:ascii="Palatino Linotype" w:hAnsi="Palatino Linotype" w:cs="Arial"/>
        </w:rPr>
        <w:t>n</w:t>
      </w:r>
      <w:r>
        <w:rPr>
          <w:rFonts w:ascii="Palatino Linotype" w:hAnsi="Palatino Linotype" w:cs="Arial"/>
        </w:rPr>
        <w:t xml:space="preserve"> obviarse entonces las consecuencias que pudieran derivarse a partir de la determinación tomada por la Ponencia </w:t>
      </w:r>
      <w:proofErr w:type="spellStart"/>
      <w:r>
        <w:rPr>
          <w:rFonts w:ascii="Palatino Linotype" w:hAnsi="Palatino Linotype" w:cs="Arial"/>
        </w:rPr>
        <w:t>Resolutora</w:t>
      </w:r>
      <w:proofErr w:type="spellEnd"/>
      <w:r>
        <w:rPr>
          <w:rFonts w:ascii="Palatino Linotype" w:hAnsi="Palatino Linotype" w:cs="Arial"/>
        </w:rPr>
        <w:t>.</w:t>
      </w:r>
    </w:p>
    <w:p w:rsidR="000E2A10" w:rsidRPr="000E2A10" w:rsidRDefault="000E2A10" w:rsidP="00273CE0">
      <w:pPr>
        <w:spacing w:before="100" w:beforeAutospacing="1" w:after="100" w:afterAutospacing="1" w:line="360" w:lineRule="auto"/>
        <w:jc w:val="both"/>
        <w:rPr>
          <w:rFonts w:ascii="Palatino Linotype" w:hAnsi="Palatino Linotype" w:cs="Arial"/>
        </w:rPr>
      </w:pPr>
      <w:r w:rsidRPr="000E2A10">
        <w:rPr>
          <w:rFonts w:ascii="Palatino Linotype" w:hAnsi="Palatino Linotype" w:cs="Arial"/>
        </w:rPr>
        <w:t xml:space="preserve">Por último, </w:t>
      </w:r>
      <w:r w:rsidR="00034F84">
        <w:rPr>
          <w:rFonts w:ascii="Palatino Linotype" w:hAnsi="Palatino Linotype" w:cs="Arial"/>
        </w:rPr>
        <w:t>l</w:t>
      </w:r>
      <w:r w:rsidRPr="000E2A10">
        <w:rPr>
          <w:rFonts w:ascii="Palatino Linotype" w:hAnsi="Palatino Linotype" w:cs="Arial"/>
        </w:rPr>
        <w:t xml:space="preserve">a rendición de cuentas por cuanto hace al ejercicio de recursos para la adquisición de estos bienes, se verificará principalmente a partir de si se </w:t>
      </w:r>
      <w:r w:rsidR="00A17CEA" w:rsidRPr="000E2A10">
        <w:rPr>
          <w:rFonts w:ascii="Palatino Linotype" w:hAnsi="Palatino Linotype" w:cs="Arial"/>
        </w:rPr>
        <w:t>llevó</w:t>
      </w:r>
      <w:r w:rsidRPr="000E2A10">
        <w:rPr>
          <w:rFonts w:ascii="Palatino Linotype" w:hAnsi="Palatino Linotype" w:cs="Arial"/>
        </w:rPr>
        <w:t xml:space="preserve"> conforme a la Ley de Contratación Pública del Estado de México y Municipios, los procedimientos adquisitivos regulado</w:t>
      </w:r>
      <w:r w:rsidR="00A17CEA">
        <w:rPr>
          <w:rFonts w:ascii="Palatino Linotype" w:hAnsi="Palatino Linotype" w:cs="Arial"/>
        </w:rPr>
        <w:t xml:space="preserve">s por dicha Ley y su Reglamento, por lo que el documento idóneo para transparentar la erogación de recurso público, serán las facturas que den cuenta de la compra por concepto de cámaras, no así la ubicación de las mismas. </w:t>
      </w:r>
    </w:p>
    <w:p w:rsidR="000E2A10" w:rsidRDefault="000E2A10" w:rsidP="00273CE0">
      <w:pPr>
        <w:spacing w:before="100" w:beforeAutospacing="1" w:after="100" w:afterAutospacing="1" w:line="360" w:lineRule="auto"/>
        <w:jc w:val="both"/>
        <w:rPr>
          <w:rFonts w:ascii="Palatino Linotype" w:hAnsi="Palatino Linotype" w:cs="Arial"/>
        </w:rPr>
      </w:pPr>
      <w:r w:rsidRPr="000E2A10">
        <w:rPr>
          <w:rFonts w:ascii="Palatino Linotype" w:hAnsi="Palatino Linotype" w:cs="Arial"/>
        </w:rPr>
        <w:t xml:space="preserve">Por </w:t>
      </w:r>
      <w:r w:rsidR="00A17CEA">
        <w:rPr>
          <w:rFonts w:ascii="Palatino Linotype" w:hAnsi="Palatino Linotype" w:cs="Arial"/>
        </w:rPr>
        <w:t xml:space="preserve">lo </w:t>
      </w:r>
      <w:r w:rsidR="00273CE0">
        <w:rPr>
          <w:rFonts w:ascii="Palatino Linotype" w:hAnsi="Palatino Linotype" w:cs="Arial"/>
        </w:rPr>
        <w:t>tanto</w:t>
      </w:r>
      <w:r w:rsidRPr="000E2A10">
        <w:rPr>
          <w:rFonts w:ascii="Palatino Linotype" w:hAnsi="Palatino Linotype" w:cs="Arial"/>
        </w:rPr>
        <w:t xml:space="preserve"> en una ponderación de </w:t>
      </w:r>
      <w:r w:rsidR="00A17CEA">
        <w:rPr>
          <w:rFonts w:ascii="Palatino Linotype" w:hAnsi="Palatino Linotype" w:cs="Arial"/>
        </w:rPr>
        <w:t xml:space="preserve">ambos </w:t>
      </w:r>
      <w:r w:rsidR="00273CE0">
        <w:rPr>
          <w:rFonts w:ascii="Palatino Linotype" w:hAnsi="Palatino Linotype" w:cs="Arial"/>
        </w:rPr>
        <w:t xml:space="preserve">supuestos, </w:t>
      </w:r>
      <w:r w:rsidRPr="000E2A10">
        <w:rPr>
          <w:rFonts w:ascii="Palatino Linotype" w:hAnsi="Palatino Linotype" w:cs="Arial"/>
        </w:rPr>
        <w:t xml:space="preserve">se considera que prima el interés público de mantener bajo reserva la ubicación de las cámaras de seguridad a fin de salvaguardar la seguridad pública de los habitantes, en este caso del Municipio de </w:t>
      </w:r>
      <w:r w:rsidR="006C7E4F">
        <w:rPr>
          <w:rFonts w:ascii="Palatino Linotype" w:hAnsi="Palatino Linotype" w:cs="Arial"/>
        </w:rPr>
        <w:t>Villa Victoria</w:t>
      </w:r>
      <w:r w:rsidRPr="000E2A10">
        <w:rPr>
          <w:rFonts w:ascii="Palatino Linotype" w:hAnsi="Palatino Linotype" w:cs="Arial"/>
        </w:rPr>
        <w:t>.</w:t>
      </w:r>
    </w:p>
    <w:p w:rsidR="00721AEB" w:rsidRDefault="00BF7F59" w:rsidP="00273CE0">
      <w:pPr>
        <w:spacing w:before="100" w:beforeAutospacing="1" w:after="100" w:afterAutospacing="1" w:line="360" w:lineRule="auto"/>
        <w:jc w:val="both"/>
        <w:rPr>
          <w:rFonts w:ascii="Palatino Linotype" w:hAnsi="Palatino Linotype"/>
        </w:rPr>
      </w:pPr>
      <w:r w:rsidRPr="006D1A9A">
        <w:rPr>
          <w:rFonts w:ascii="Palatino Linotype" w:hAnsi="Palatino Linotype"/>
        </w:rPr>
        <w:lastRenderedPageBreak/>
        <w:t>Dicho lo anterior, l</w:t>
      </w:r>
      <w:r w:rsidR="008B0E4F">
        <w:rPr>
          <w:rFonts w:ascii="Palatino Linotype" w:hAnsi="Palatino Linotype"/>
        </w:rPr>
        <w:t>a</w:t>
      </w:r>
      <w:r w:rsidRPr="006D1A9A">
        <w:rPr>
          <w:rFonts w:ascii="Palatino Linotype" w:hAnsi="Palatino Linotype"/>
        </w:rPr>
        <w:t xml:space="preserve"> que suscrib</w:t>
      </w:r>
      <w:r w:rsidR="008B0E4F">
        <w:rPr>
          <w:rFonts w:ascii="Palatino Linotype" w:hAnsi="Palatino Linotype"/>
        </w:rPr>
        <w:t>e</w:t>
      </w:r>
      <w:r w:rsidRPr="006D1A9A">
        <w:rPr>
          <w:rFonts w:ascii="Palatino Linotype" w:hAnsi="Palatino Linotype"/>
        </w:rPr>
        <w:t xml:space="preserve"> emit</w:t>
      </w:r>
      <w:r w:rsidR="008B0E4F">
        <w:rPr>
          <w:rFonts w:ascii="Palatino Linotype" w:hAnsi="Palatino Linotype"/>
        </w:rPr>
        <w:t>e</w:t>
      </w:r>
      <w:r w:rsidRPr="006D1A9A">
        <w:rPr>
          <w:rFonts w:ascii="Palatino Linotype" w:hAnsi="Palatino Linotype"/>
        </w:rPr>
        <w:t xml:space="preserve"> </w:t>
      </w:r>
      <w:r w:rsidRPr="006D1A9A">
        <w:rPr>
          <w:rFonts w:ascii="Palatino Linotype" w:hAnsi="Palatino Linotype"/>
          <w:b/>
        </w:rPr>
        <w:t>VOTO DISIDENTE</w:t>
      </w:r>
      <w:r w:rsidRPr="006D1A9A">
        <w:rPr>
          <w:rFonts w:ascii="Palatino Linotype" w:hAnsi="Palatino Linotype"/>
        </w:rPr>
        <w:t>, pues se insiste</w:t>
      </w:r>
      <w:r w:rsidR="00273CE0">
        <w:rPr>
          <w:rFonts w:ascii="Palatino Linotype" w:hAnsi="Palatino Linotype"/>
        </w:rPr>
        <w:t xml:space="preserve"> en </w:t>
      </w:r>
      <w:r w:rsidRPr="006D1A9A">
        <w:rPr>
          <w:rFonts w:ascii="Palatino Linotype" w:hAnsi="Palatino Linotype"/>
        </w:rPr>
        <w:t xml:space="preserve">que no se debió </w:t>
      </w:r>
      <w:r w:rsidR="008B0E4F">
        <w:rPr>
          <w:rFonts w:ascii="Palatino Linotype" w:hAnsi="Palatino Linotype"/>
        </w:rPr>
        <w:t xml:space="preserve">ordenar </w:t>
      </w:r>
      <w:r w:rsidR="006C7E4F">
        <w:rPr>
          <w:rFonts w:ascii="Palatino Linotype" w:hAnsi="Palatino Linotype"/>
        </w:rPr>
        <w:t>l</w:t>
      </w:r>
      <w:r w:rsidR="006C7E4F" w:rsidRPr="006C7E4F">
        <w:rPr>
          <w:rFonts w:ascii="Palatino Linotype" w:hAnsi="Palatino Linotype"/>
        </w:rPr>
        <w:t>a ubicación genérica de las cámaras de videovigilancia, con las que contaba el municipio, al diecinueve de noviembre de dos mil diecinueve</w:t>
      </w:r>
      <w:r w:rsidR="00BF341F">
        <w:rPr>
          <w:rFonts w:ascii="Palatino Linotype" w:hAnsi="Palatino Linotype"/>
        </w:rPr>
        <w:t xml:space="preserve"> </w:t>
      </w:r>
      <w:r w:rsidR="00721AEB">
        <w:rPr>
          <w:rFonts w:ascii="Palatino Linotype" w:hAnsi="Palatino Linotype"/>
        </w:rPr>
        <w:t xml:space="preserve">y por el contrario, se debió </w:t>
      </w:r>
      <w:r w:rsidR="004D4E0F">
        <w:rPr>
          <w:rFonts w:ascii="Palatino Linotype" w:hAnsi="Palatino Linotype"/>
        </w:rPr>
        <w:t xml:space="preserve">analizar la respuesta del </w:t>
      </w:r>
      <w:r w:rsidR="00721AEB" w:rsidRPr="006D1A9A">
        <w:rPr>
          <w:rFonts w:ascii="Palatino Linotype" w:hAnsi="Palatino Linotype"/>
          <w:b/>
        </w:rPr>
        <w:t>SUJETO OBLIGADO</w:t>
      </w:r>
      <w:r w:rsidR="00721AEB">
        <w:rPr>
          <w:rFonts w:ascii="Palatino Linotype" w:hAnsi="Palatino Linotype"/>
        </w:rPr>
        <w:t xml:space="preserve"> </w:t>
      </w:r>
      <w:r w:rsidR="004D4E0F">
        <w:rPr>
          <w:rFonts w:ascii="Palatino Linotype" w:hAnsi="Palatino Linotype"/>
        </w:rPr>
        <w:t xml:space="preserve">y ordenar </w:t>
      </w:r>
      <w:r w:rsidR="00721AEB">
        <w:rPr>
          <w:rFonts w:ascii="Palatino Linotype" w:hAnsi="Palatino Linotype"/>
        </w:rPr>
        <w:t xml:space="preserve">la entrega del </w:t>
      </w:r>
      <w:r w:rsidR="008B0E4F" w:rsidRPr="008B0E4F">
        <w:rPr>
          <w:rFonts w:ascii="Palatino Linotype" w:hAnsi="Palatino Linotype"/>
        </w:rPr>
        <w:t>Acuerdo de Clasificación</w:t>
      </w:r>
      <w:r w:rsidR="004D4E0F">
        <w:rPr>
          <w:rFonts w:ascii="Palatino Linotype" w:hAnsi="Palatino Linotype"/>
        </w:rPr>
        <w:t xml:space="preserve"> emitido por el Comité de Transparencia debidamente fundado y motivado en el que se determinó</w:t>
      </w:r>
      <w:r w:rsidR="00721AEB">
        <w:rPr>
          <w:rFonts w:ascii="Palatino Linotype" w:hAnsi="Palatino Linotype"/>
        </w:rPr>
        <w:t xml:space="preserve"> que dicha información es reservada</w:t>
      </w:r>
      <w:r w:rsidR="00273CE0">
        <w:rPr>
          <w:rFonts w:ascii="Palatino Linotype" w:hAnsi="Palatino Linotype"/>
        </w:rPr>
        <w:t>, al ser mayor el interés público de mantener bajo reserva dicha información, al salvaguardar y tutelar el derecho de seguridad pública para la colectividad</w:t>
      </w:r>
      <w:r w:rsidR="00721AEB">
        <w:rPr>
          <w:rFonts w:ascii="Palatino Linotype" w:hAnsi="Palatino Linotype"/>
        </w:rPr>
        <w:t>.</w:t>
      </w:r>
      <w:r w:rsidR="008B0E4F" w:rsidRPr="006D1A9A">
        <w:rPr>
          <w:rFonts w:ascii="Palatino Linotype" w:hAnsi="Palatino Linotype"/>
        </w:rPr>
        <w:t xml:space="preserve"> </w:t>
      </w:r>
    </w:p>
    <w:p w:rsidR="00BF341F" w:rsidRDefault="00BF341F" w:rsidP="00273CE0">
      <w:pPr>
        <w:spacing w:before="100" w:beforeAutospacing="1" w:after="100" w:afterAutospacing="1" w:line="360" w:lineRule="auto"/>
        <w:jc w:val="both"/>
        <w:rPr>
          <w:rFonts w:ascii="Palatino Linotype" w:hAnsi="Palatino Linotype"/>
        </w:rPr>
      </w:pPr>
    </w:p>
    <w:p w:rsidR="006C7E4F" w:rsidRDefault="006C7E4F" w:rsidP="00273CE0">
      <w:pPr>
        <w:spacing w:before="100" w:beforeAutospacing="1" w:after="100" w:afterAutospacing="1" w:line="360" w:lineRule="auto"/>
        <w:jc w:val="both"/>
        <w:rPr>
          <w:rFonts w:ascii="Palatino Linotype" w:hAnsi="Palatino Linotype"/>
        </w:rPr>
      </w:pPr>
    </w:p>
    <w:p w:rsidR="006C7E4F" w:rsidRDefault="006C7E4F" w:rsidP="00273CE0">
      <w:pPr>
        <w:spacing w:before="100" w:beforeAutospacing="1" w:after="100" w:afterAutospacing="1" w:line="360" w:lineRule="auto"/>
        <w:jc w:val="both"/>
        <w:rPr>
          <w:rFonts w:ascii="Palatino Linotype" w:hAnsi="Palatino Linotype"/>
        </w:rPr>
      </w:pPr>
    </w:p>
    <w:p w:rsidR="0005349F" w:rsidRPr="006D1A9A" w:rsidRDefault="0005349F" w:rsidP="00721AEB">
      <w:pPr>
        <w:jc w:val="center"/>
        <w:rPr>
          <w:rFonts w:ascii="Palatino Linotype" w:hAnsi="Palatino Linotype"/>
          <w:b/>
        </w:rPr>
      </w:pPr>
      <w:r w:rsidRPr="006D1A9A">
        <w:rPr>
          <w:rFonts w:ascii="Palatino Linotype" w:hAnsi="Palatino Linotype"/>
          <w:b/>
        </w:rPr>
        <w:t>EVA ABAID YAPUR</w:t>
      </w:r>
    </w:p>
    <w:p w:rsidR="0005349F" w:rsidRPr="006D1A9A" w:rsidRDefault="0005349F" w:rsidP="00721AEB">
      <w:pPr>
        <w:jc w:val="center"/>
        <w:rPr>
          <w:rFonts w:ascii="Palatino Linotype" w:hAnsi="Palatino Linotype"/>
          <w:b/>
        </w:rPr>
      </w:pPr>
      <w:r w:rsidRPr="006D1A9A">
        <w:rPr>
          <w:rFonts w:ascii="Palatino Linotype" w:hAnsi="Palatino Linotype"/>
          <w:b/>
        </w:rPr>
        <w:t>COMISIONADA</w:t>
      </w:r>
    </w:p>
    <w:p w:rsidR="0005349F" w:rsidRPr="00713682" w:rsidRDefault="0005349F" w:rsidP="00721AEB">
      <w:pPr>
        <w:jc w:val="center"/>
        <w:rPr>
          <w:rFonts w:ascii="Palatino Linotype" w:hAnsi="Palatino Linotype"/>
          <w:b/>
        </w:rPr>
      </w:pPr>
      <w:r w:rsidRPr="00713682">
        <w:rPr>
          <w:rFonts w:ascii="Palatino Linotype" w:hAnsi="Palatino Linotype"/>
          <w:b/>
        </w:rPr>
        <w:t>(RÚBRICA)</w:t>
      </w:r>
    </w:p>
    <w:p w:rsidR="00721AEB" w:rsidRPr="006D1A9A" w:rsidRDefault="00721AEB" w:rsidP="00BF7F59">
      <w:pPr>
        <w:spacing w:line="276" w:lineRule="auto"/>
        <w:jc w:val="center"/>
        <w:rPr>
          <w:rFonts w:ascii="Palatino Linotype" w:hAnsi="Palatino Linotype"/>
          <w:b/>
        </w:rPr>
      </w:pPr>
    </w:p>
    <w:p w:rsidR="006C7E4F" w:rsidRDefault="006C7E4F" w:rsidP="00BF7F59">
      <w:pPr>
        <w:jc w:val="both"/>
        <w:rPr>
          <w:rFonts w:ascii="Palatino Linotype" w:hAnsi="Palatino Linotype"/>
          <w:sz w:val="20"/>
          <w:szCs w:val="18"/>
        </w:rPr>
      </w:pPr>
    </w:p>
    <w:p w:rsidR="006C7E4F" w:rsidRDefault="006C7E4F" w:rsidP="00BF7F59">
      <w:pPr>
        <w:jc w:val="both"/>
        <w:rPr>
          <w:rFonts w:ascii="Palatino Linotype" w:hAnsi="Palatino Linotype"/>
          <w:sz w:val="20"/>
          <w:szCs w:val="18"/>
        </w:rPr>
      </w:pPr>
      <w:bookmarkStart w:id="0" w:name="_GoBack"/>
      <w:bookmarkEnd w:id="0"/>
    </w:p>
    <w:p w:rsidR="006C7E4F" w:rsidRDefault="006C7E4F" w:rsidP="00BF7F59">
      <w:pPr>
        <w:jc w:val="both"/>
        <w:rPr>
          <w:rFonts w:ascii="Palatino Linotype" w:hAnsi="Palatino Linotype"/>
          <w:sz w:val="20"/>
          <w:szCs w:val="18"/>
        </w:rPr>
      </w:pPr>
    </w:p>
    <w:p w:rsidR="006C7E4F" w:rsidRDefault="006C7E4F" w:rsidP="00BF7F59">
      <w:pPr>
        <w:jc w:val="both"/>
        <w:rPr>
          <w:rFonts w:ascii="Palatino Linotype" w:hAnsi="Palatino Linotype"/>
          <w:sz w:val="20"/>
          <w:szCs w:val="18"/>
        </w:rPr>
      </w:pPr>
    </w:p>
    <w:p w:rsidR="006C7E4F" w:rsidRDefault="006C7E4F" w:rsidP="00BF7F59">
      <w:pPr>
        <w:jc w:val="both"/>
        <w:rPr>
          <w:rFonts w:ascii="Palatino Linotype" w:hAnsi="Palatino Linotype"/>
          <w:sz w:val="20"/>
          <w:szCs w:val="18"/>
        </w:rPr>
      </w:pPr>
    </w:p>
    <w:p w:rsidR="006C7E4F" w:rsidRDefault="006C7E4F" w:rsidP="00BF7F59">
      <w:pPr>
        <w:jc w:val="both"/>
        <w:rPr>
          <w:rFonts w:ascii="Palatino Linotype" w:hAnsi="Palatino Linotype"/>
          <w:sz w:val="20"/>
          <w:szCs w:val="18"/>
        </w:rPr>
      </w:pPr>
    </w:p>
    <w:p w:rsidR="006C7E4F" w:rsidRDefault="006C7E4F" w:rsidP="00BF7F59">
      <w:pPr>
        <w:jc w:val="both"/>
        <w:rPr>
          <w:rFonts w:ascii="Palatino Linotype" w:hAnsi="Palatino Linotype"/>
          <w:sz w:val="20"/>
          <w:szCs w:val="18"/>
        </w:rPr>
      </w:pPr>
    </w:p>
    <w:p w:rsidR="006C7E4F" w:rsidRDefault="006C7E4F" w:rsidP="00BF7F59">
      <w:pPr>
        <w:jc w:val="both"/>
        <w:rPr>
          <w:rFonts w:ascii="Palatino Linotype" w:hAnsi="Palatino Linotype"/>
          <w:sz w:val="20"/>
          <w:szCs w:val="18"/>
        </w:rPr>
      </w:pPr>
    </w:p>
    <w:p w:rsidR="006C7E4F" w:rsidRDefault="006C7E4F" w:rsidP="00BF7F59">
      <w:pPr>
        <w:jc w:val="both"/>
        <w:rPr>
          <w:rFonts w:ascii="Palatino Linotype" w:hAnsi="Palatino Linotype"/>
          <w:sz w:val="20"/>
          <w:szCs w:val="18"/>
        </w:rPr>
      </w:pPr>
    </w:p>
    <w:p w:rsidR="00721AEB" w:rsidRPr="00273CE0" w:rsidRDefault="00727EED" w:rsidP="00BF7F59">
      <w:pPr>
        <w:jc w:val="both"/>
        <w:rPr>
          <w:rFonts w:ascii="Palatino Linotype" w:hAnsi="Palatino Linotype"/>
          <w:sz w:val="18"/>
          <w:szCs w:val="18"/>
        </w:rPr>
      </w:pPr>
      <w:r w:rsidRPr="00BF341F">
        <w:rPr>
          <w:rFonts w:ascii="Palatino Linotype" w:hAnsi="Palatino Linotype"/>
          <w:sz w:val="20"/>
          <w:szCs w:val="18"/>
        </w:rPr>
        <w:t>E</w:t>
      </w:r>
      <w:r w:rsidR="0005349F" w:rsidRPr="00BF341F">
        <w:rPr>
          <w:rFonts w:ascii="Palatino Linotype" w:hAnsi="Palatino Linotype"/>
          <w:sz w:val="20"/>
          <w:szCs w:val="18"/>
        </w:rPr>
        <w:t xml:space="preserve">sta hoja corresponde al voto disidente emitido en </w:t>
      </w:r>
      <w:r w:rsidR="001B02FC" w:rsidRPr="00BF341F">
        <w:rPr>
          <w:rFonts w:ascii="Palatino Linotype" w:hAnsi="Palatino Linotype"/>
          <w:sz w:val="20"/>
          <w:szCs w:val="18"/>
        </w:rPr>
        <w:t xml:space="preserve">la resolución del </w:t>
      </w:r>
      <w:r w:rsidR="0005349F" w:rsidRPr="00BF341F">
        <w:rPr>
          <w:rFonts w:ascii="Palatino Linotype" w:hAnsi="Palatino Linotype"/>
          <w:sz w:val="20"/>
          <w:szCs w:val="18"/>
        </w:rPr>
        <w:t xml:space="preserve">recurso de revisión </w:t>
      </w:r>
      <w:r w:rsidR="006C7E4F">
        <w:rPr>
          <w:rFonts w:ascii="Palatino Linotype" w:hAnsi="Palatino Linotype"/>
          <w:sz w:val="20"/>
          <w:szCs w:val="18"/>
        </w:rPr>
        <w:t>12156</w:t>
      </w:r>
      <w:r w:rsidR="00BF7F59" w:rsidRPr="00BF341F">
        <w:rPr>
          <w:rFonts w:ascii="Palatino Linotype" w:hAnsi="Palatino Linotype"/>
          <w:sz w:val="20"/>
          <w:szCs w:val="18"/>
        </w:rPr>
        <w:t>/INFOEM/IP/RR/201</w:t>
      </w:r>
      <w:r w:rsidR="00721AEB" w:rsidRPr="00BF341F">
        <w:rPr>
          <w:rFonts w:ascii="Palatino Linotype" w:hAnsi="Palatino Linotype"/>
          <w:sz w:val="20"/>
          <w:szCs w:val="18"/>
        </w:rPr>
        <w:t>9</w:t>
      </w:r>
      <w:r w:rsidR="0005349F" w:rsidRPr="00BF341F">
        <w:rPr>
          <w:rFonts w:ascii="Palatino Linotype" w:hAnsi="Palatino Linotype"/>
          <w:sz w:val="20"/>
          <w:szCs w:val="18"/>
        </w:rPr>
        <w:t>, aprobad</w:t>
      </w:r>
      <w:r w:rsidR="001B02FC" w:rsidRPr="00BF341F">
        <w:rPr>
          <w:rFonts w:ascii="Palatino Linotype" w:hAnsi="Palatino Linotype"/>
          <w:sz w:val="20"/>
          <w:szCs w:val="18"/>
        </w:rPr>
        <w:t>a</w:t>
      </w:r>
      <w:r w:rsidR="0005349F" w:rsidRPr="00BF341F">
        <w:rPr>
          <w:rFonts w:ascii="Palatino Linotype" w:hAnsi="Palatino Linotype"/>
          <w:sz w:val="20"/>
          <w:szCs w:val="18"/>
        </w:rPr>
        <w:t xml:space="preserve"> el </w:t>
      </w:r>
      <w:r w:rsidR="006C7E4F">
        <w:rPr>
          <w:rFonts w:ascii="Palatino Linotype" w:hAnsi="Palatino Linotype"/>
          <w:sz w:val="20"/>
          <w:szCs w:val="18"/>
        </w:rPr>
        <w:t xml:space="preserve">once </w:t>
      </w:r>
      <w:r w:rsidR="00721AEB" w:rsidRPr="00BF341F">
        <w:rPr>
          <w:rFonts w:ascii="Palatino Linotype" w:hAnsi="Palatino Linotype"/>
          <w:sz w:val="20"/>
          <w:szCs w:val="18"/>
        </w:rPr>
        <w:t xml:space="preserve">de </w:t>
      </w:r>
      <w:r w:rsidR="00BF341F" w:rsidRPr="00BF341F">
        <w:rPr>
          <w:rFonts w:ascii="Palatino Linotype" w:hAnsi="Palatino Linotype"/>
          <w:sz w:val="20"/>
          <w:szCs w:val="18"/>
        </w:rPr>
        <w:t xml:space="preserve">marzo </w:t>
      </w:r>
      <w:r w:rsidR="00721AEB" w:rsidRPr="00BF341F">
        <w:rPr>
          <w:rFonts w:ascii="Palatino Linotype" w:hAnsi="Palatino Linotype"/>
          <w:sz w:val="20"/>
          <w:szCs w:val="18"/>
        </w:rPr>
        <w:t xml:space="preserve">de dos mil </w:t>
      </w:r>
      <w:r w:rsidR="00BF341F" w:rsidRPr="00BF341F">
        <w:rPr>
          <w:rFonts w:ascii="Palatino Linotype" w:hAnsi="Palatino Linotype"/>
          <w:sz w:val="20"/>
          <w:szCs w:val="18"/>
        </w:rPr>
        <w:t>veinte</w:t>
      </w:r>
      <w:r w:rsidR="0005349F" w:rsidRPr="00BF341F">
        <w:rPr>
          <w:rFonts w:ascii="Palatino Linotype" w:hAnsi="Palatino Linotype"/>
          <w:sz w:val="20"/>
          <w:szCs w:val="18"/>
        </w:rPr>
        <w:t>.</w:t>
      </w:r>
      <w:r w:rsidRPr="00273CE0">
        <w:rPr>
          <w:rFonts w:ascii="Palatino Linotype" w:hAnsi="Palatino Linotype"/>
          <w:sz w:val="18"/>
          <w:szCs w:val="18"/>
        </w:rPr>
        <w:t xml:space="preserve"> </w:t>
      </w:r>
    </w:p>
    <w:p w:rsidR="00BF341F" w:rsidRPr="00BF341F" w:rsidRDefault="00BF341F" w:rsidP="00BF7F59">
      <w:pPr>
        <w:jc w:val="both"/>
        <w:rPr>
          <w:rFonts w:ascii="Palatino Linotype" w:hAnsi="Palatino Linotype"/>
          <w:sz w:val="8"/>
          <w:szCs w:val="8"/>
        </w:rPr>
      </w:pPr>
    </w:p>
    <w:p w:rsidR="00BF341F" w:rsidRPr="00BF341F" w:rsidRDefault="00BF341F" w:rsidP="00BF7F59">
      <w:pPr>
        <w:jc w:val="both"/>
        <w:rPr>
          <w:rFonts w:ascii="Palatino Linotype" w:eastAsia="Calibri" w:hAnsi="Palatino Linotype"/>
          <w:sz w:val="20"/>
          <w:szCs w:val="18"/>
        </w:rPr>
      </w:pPr>
      <w:r w:rsidRPr="00BF341F">
        <w:rPr>
          <w:rFonts w:ascii="Palatino Linotype" w:hAnsi="Palatino Linotype"/>
          <w:sz w:val="20"/>
          <w:szCs w:val="18"/>
        </w:rPr>
        <w:t>YSM/IAHA</w:t>
      </w:r>
    </w:p>
    <w:sectPr w:rsidR="00BF341F" w:rsidRPr="00BF341F" w:rsidSect="00273CE0">
      <w:headerReference w:type="even" r:id="rId8"/>
      <w:headerReference w:type="default" r:id="rId9"/>
      <w:footerReference w:type="even" r:id="rId10"/>
      <w:footerReference w:type="default" r:id="rId11"/>
      <w:headerReference w:type="first" r:id="rId12"/>
      <w:footerReference w:type="first" r:id="rId13"/>
      <w:pgSz w:w="12240" w:h="15840"/>
      <w:pgMar w:top="2127" w:right="1418" w:bottom="2410"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7BB" w:rsidRDefault="00E627BB" w:rsidP="00C80F8C">
      <w:r>
        <w:separator/>
      </w:r>
    </w:p>
  </w:endnote>
  <w:endnote w:type="continuationSeparator" w:id="0">
    <w:p w:rsidR="00E627BB" w:rsidRDefault="00E627B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itka Smal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EBF" w:rsidRDefault="007E7EB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529" w:rsidRDefault="00B87529" w:rsidP="005324BC">
    <w:pPr>
      <w:pStyle w:val="Piedepgina"/>
      <w:jc w:val="right"/>
      <w:rPr>
        <w:rFonts w:ascii="Palatino Linotype" w:hAnsi="Palatino Linotype" w:cs="Arial"/>
        <w:b/>
        <w:bCs/>
        <w:sz w:val="20"/>
        <w:szCs w:val="20"/>
      </w:rPr>
    </w:pPr>
  </w:p>
  <w:p w:rsidR="00B87529" w:rsidRDefault="00B87529" w:rsidP="005324BC">
    <w:pPr>
      <w:pStyle w:val="Piedepgina"/>
      <w:jc w:val="right"/>
      <w:rPr>
        <w:rFonts w:ascii="Palatino Linotype" w:hAnsi="Palatino Linotype" w:cs="Arial"/>
        <w:b/>
        <w:bCs/>
        <w:sz w:val="20"/>
        <w:szCs w:val="20"/>
      </w:rPr>
    </w:pPr>
  </w:p>
  <w:p w:rsidR="00B87529" w:rsidRDefault="00B87529" w:rsidP="005324BC">
    <w:pPr>
      <w:pStyle w:val="Piedepgina"/>
      <w:jc w:val="right"/>
      <w:rPr>
        <w:rFonts w:ascii="Palatino Linotype" w:hAnsi="Palatino Linotype" w:cs="Arial"/>
        <w:b/>
        <w:bCs/>
        <w:sz w:val="20"/>
        <w:szCs w:val="20"/>
      </w:rPr>
    </w:pPr>
  </w:p>
  <w:p w:rsidR="00B87529" w:rsidRDefault="00B87529" w:rsidP="00B87529">
    <w:pPr>
      <w:pStyle w:val="Piedepgina"/>
      <w:jc w:val="right"/>
      <w:rPr>
        <w:rFonts w:ascii="Palatino Linotype" w:hAnsi="Palatino Linotype" w:cs="Arial"/>
        <w:b/>
        <w:bCs/>
        <w:sz w:val="20"/>
        <w:szCs w:val="20"/>
      </w:rPr>
    </w:pPr>
  </w:p>
  <w:p w:rsidR="00457AB9" w:rsidRPr="00B87529" w:rsidRDefault="00CB534A" w:rsidP="00B87529">
    <w:pPr>
      <w:pStyle w:val="Piedepgina"/>
      <w:jc w:val="right"/>
      <w:rPr>
        <w:rFonts w:ascii="Palatino Linotype" w:hAnsi="Palatino Linotype" w:cs="Arial"/>
        <w:b/>
        <w:bCs/>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13682">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13682">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rsidR="00CB534A" w:rsidRDefault="00CB534A" w:rsidP="005324BC">
    <w:pPr>
      <w:pStyle w:val="Piedepgin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EBF" w:rsidRDefault="007E7EB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7BB" w:rsidRDefault="00E627BB" w:rsidP="00C80F8C">
      <w:r>
        <w:separator/>
      </w:r>
    </w:p>
  </w:footnote>
  <w:footnote w:type="continuationSeparator" w:id="0">
    <w:p w:rsidR="00E627BB" w:rsidRDefault="00E627BB" w:rsidP="00C80F8C">
      <w:r>
        <w:continuationSeparator/>
      </w:r>
    </w:p>
  </w:footnote>
  <w:footnote w:id="1">
    <w:p w:rsidR="008209ED" w:rsidRDefault="008209ED" w:rsidP="006314DB">
      <w:pPr>
        <w:pStyle w:val="Textonotapie"/>
        <w:jc w:val="both"/>
      </w:pPr>
      <w:r>
        <w:rPr>
          <w:rStyle w:val="Refdenotaalpie"/>
        </w:rPr>
        <w:footnoteRef/>
      </w:r>
      <w:r>
        <w:t xml:space="preserve"> Artículo 12. La instalación de equipos y sistemas tecnológicos, previo análisis técnico basado en los criterios y prioridades establecidos en la presente Ley, se acordará entre la Secretaría, el municipio o la dependencia interesada. La instalación se realizará en lugares en los cuales sea posible prevenir, inhibir y combatir conductas ilícitas, para garantizar el orden y la tranquilidad de los habitantes del Estado de México.</w:t>
      </w:r>
    </w:p>
    <w:p w:rsidR="008209ED" w:rsidRDefault="008209ED" w:rsidP="006314DB">
      <w:pPr>
        <w:pStyle w:val="Textonotapie"/>
        <w:jc w:val="both"/>
      </w:pPr>
      <w:r>
        <w:t>Los equipos y sistemas tecnológicos instalados conforme a lo establecido en la presente Ley, solo podrán ser retirados en aquellos casos en los que los municipios o las dependencias interesadas, previa justificación y en coordinación con la Secretaría, determinen que los equipos y sistemas tecnológicos instalados, ya sea por su ubicación o por sus características:</w:t>
      </w:r>
    </w:p>
    <w:p w:rsidR="008209ED" w:rsidRDefault="008209ED" w:rsidP="006314DB">
      <w:pPr>
        <w:pStyle w:val="Textonotapie"/>
        <w:jc w:val="both"/>
      </w:pPr>
      <w:r>
        <w:t>I. No contribuyen al objeto y fines de la presente Ley.</w:t>
      </w:r>
    </w:p>
    <w:p w:rsidR="008209ED" w:rsidRDefault="008209ED" w:rsidP="006314DB">
      <w:pPr>
        <w:pStyle w:val="Textonotapie"/>
        <w:jc w:val="both"/>
      </w:pPr>
      <w:r>
        <w:t>II. Se advierta un deterioro físico que imposibilite el adecuado cumplimiento de sus funciones, debiendo repararse o sustituirse en un término no mayor a treinta días naturales.</w:t>
      </w:r>
    </w:p>
    <w:p w:rsidR="008209ED" w:rsidRDefault="008209ED" w:rsidP="006314DB">
      <w:pPr>
        <w:pStyle w:val="Textonotapie"/>
        <w:jc w:val="both"/>
      </w:pPr>
      <w:r>
        <w:t>Cuando la inversión realizada por el Gobierno del Estado de México o los municipios, en la instalación de equipos y sistemas tecnológicos o cualquier infraestructura que se encuentre dentro de la regulación de esta Ley, sea superior al promedio de cinco mil veces el valor diario de la Unidad de Medida y Actualización vigente, no podrá ser modificada o retirada sin previo informe al Secretariado Ejecutivo.</w:t>
      </w:r>
    </w:p>
    <w:p w:rsidR="008209ED" w:rsidRPr="008209ED" w:rsidRDefault="008209ED" w:rsidP="006314DB">
      <w:pPr>
        <w:pStyle w:val="Textonotapie"/>
        <w:jc w:val="both"/>
        <w:rPr>
          <w:lang w:val="es-MX"/>
        </w:rPr>
      </w:pPr>
      <w:r>
        <w:t>La Secretaría deberá informar y justificar al Secretariado Ejecutivo, en todos los casos que se determine, el retiro de equipos y sistemas tecnológicos.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34A" w:rsidRDefault="00E627B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35032" o:spid="_x0000_s2051" type="#_x0000_t136" style="position:absolute;margin-left:0;margin-top:0;width:562.55pt;height:80.35pt;rotation:315;z-index:-251654144;mso-position-horizontal:center;mso-position-horizontal-relative:margin;mso-position-vertical:center;mso-position-vertical-relative:margin" o:allowincell="f" fillcolor="#bfbfbf [2412]" stroked="f">
          <v:fill opacity=".5"/>
          <v:textpath style="font-family:&quot;Times New Roman&quot;;font-size:1pt" string="VOTO DISIDENTE"/>
          <w10:wrap anchorx="margin" anchory="margin"/>
        </v:shape>
      </w:pict>
    </w:r>
    <w:r w:rsidR="001B5027">
      <w:rPr>
        <w:noProof/>
        <w:lang w:val="es-MX" w:eastAsia="es-MX"/>
      </w:rPr>
      <mc:AlternateContent>
        <mc:Choice Requires="wps">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7970520" cy="95631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70520" cy="956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B534A" w:rsidRDefault="00CB534A" w:rsidP="0026525A">
                          <w:pPr>
                            <w:pStyle w:val="NormalWeb"/>
                            <w:spacing w:before="0" w:beforeAutospacing="0" w:after="0" w:afterAutospacing="0"/>
                            <w:jc w:val="center"/>
                          </w:pPr>
                          <w:r>
                            <w:rPr>
                              <w:rFonts w:ascii="Palatino Linotype" w:hAnsi="Palatino Linotype"/>
                              <w:color w:val="FFAFAB"/>
                              <w:sz w:val="2"/>
                              <w:szCs w:val="2"/>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0;width:627.6pt;height:75.3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" o:allowincell="f" filled="f" stroked="f">
              <v:stroke joinstyle="round"/>
              <o:lock v:ext="edit" shapetype="t"/>
              <v:textbox style="mso-fit-shape-to-text:t">
                <w:txbxContent>
                  <w:p w:rsidR="00CB534A" w:rsidRDefault="00CB534A" w:rsidP="0026525A">
                    <w:pPr>
                      <w:pStyle w:val="NormalWeb"/>
                      <w:spacing w:before="0" w:beforeAutospacing="0" w:after="0" w:afterAutospacing="0"/>
                      <w:jc w:val="center"/>
                    </w:pPr>
                    <w:r>
                      <w:rPr>
                        <w:rFonts w:ascii="Palatino Linotype" w:hAnsi="Palatino Linotype"/>
                        <w:color w:val="FFAFAB"/>
                        <w:sz w:val="2"/>
                        <w:szCs w:val="2"/>
                      </w:rPr>
                      <w:t>OPINIÓN PARTICULAR</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34A" w:rsidRDefault="00CB534A" w:rsidP="009832FD">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simplePos x="0" y="0"/>
          <wp:positionH relativeFrom="margin">
            <wp:posOffset>-744220</wp:posOffset>
          </wp:positionH>
          <wp:positionV relativeFrom="paragraph">
            <wp:posOffset>-340995</wp:posOffset>
          </wp:positionV>
          <wp:extent cx="7604125" cy="9903460"/>
          <wp:effectExtent l="0" t="0" r="0" b="254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rsidR="00852166" w:rsidRDefault="00852166" w:rsidP="009832FD">
    <w:pPr>
      <w:pStyle w:val="Encabezado"/>
      <w:tabs>
        <w:tab w:val="clear" w:pos="4252"/>
        <w:tab w:val="clear" w:pos="8504"/>
        <w:tab w:val="left" w:pos="2326"/>
      </w:tabs>
      <w:jc w:val="right"/>
      <w:rPr>
        <w:rFonts w:ascii="Palatino Linotype" w:hAnsi="Palatino Linotype" w:cs="Arial"/>
        <w:sz w:val="20"/>
        <w:szCs w:val="20"/>
      </w:rPr>
    </w:pPr>
  </w:p>
  <w:p w:rsidR="00CB534A" w:rsidRPr="00BF341F" w:rsidRDefault="00CB534A" w:rsidP="009832FD">
    <w:pPr>
      <w:pStyle w:val="Encabezado"/>
      <w:tabs>
        <w:tab w:val="clear" w:pos="4252"/>
        <w:tab w:val="clear" w:pos="8504"/>
        <w:tab w:val="left" w:pos="2326"/>
      </w:tabs>
      <w:jc w:val="right"/>
      <w:rPr>
        <w:rFonts w:ascii="Palatino Linotype" w:hAnsi="Palatino Linotype"/>
        <w:sz w:val="18"/>
      </w:rPr>
    </w:pPr>
  </w:p>
  <w:p w:rsidR="00457AB9" w:rsidRDefault="00E627BB" w:rsidP="006D1A9A">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35033" o:spid="_x0000_s2052" type="#_x0000_t136" style="position:absolute;left:0;text-align:left;margin-left:0;margin-top:0;width:562.55pt;height:80.35pt;rotation:315;z-index:-251652096;mso-position-horizontal:center;mso-position-horizontal-relative:margin;mso-position-vertical:center;mso-position-vertical-relative:margin" o:allowincell="f" fillcolor="#bfbfbf [2412]" stroked="f">
          <v:fill opacity=".5"/>
          <v:textpath style="font-family:&quot;Times New Roman&quot;;font-size:1pt" string="VOTO DISIDENTE"/>
          <w10:wrap anchorx="margin" anchory="margin"/>
        </v:shape>
      </w:pict>
    </w:r>
    <w:r w:rsidR="00BF341F" w:rsidRPr="00BF341F">
      <w:rPr>
        <w:rFonts w:ascii="Palatino Linotype" w:hAnsi="Palatino Linotype" w:cs="Arial"/>
        <w:sz w:val="20"/>
        <w:szCs w:val="20"/>
      </w:rPr>
      <w:t xml:space="preserve"> </w:t>
    </w:r>
    <w:r w:rsidR="00BF341F">
      <w:rPr>
        <w:rFonts w:ascii="Palatino Linotype" w:hAnsi="Palatino Linotype" w:cs="Arial"/>
        <w:sz w:val="20"/>
        <w:szCs w:val="20"/>
      </w:rPr>
      <w:t>VOTO DISIDENTE</w:t>
    </w:r>
  </w:p>
  <w:p w:rsidR="006D1A9A" w:rsidRDefault="00BF341F" w:rsidP="006D1A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 DE</w:t>
    </w:r>
    <w:r>
      <w:rPr>
        <w:rFonts w:ascii="Palatino Linotype" w:hAnsi="Palatino Linotype" w:cs="Arial"/>
        <w:sz w:val="20"/>
        <w:szCs w:val="20"/>
      </w:rPr>
      <w:t xml:space="preserve"> </w:t>
    </w:r>
    <w:r w:rsidRPr="00706042">
      <w:rPr>
        <w:rFonts w:ascii="Palatino Linotype" w:hAnsi="Palatino Linotype" w:cs="Arial"/>
        <w:sz w:val="20"/>
        <w:szCs w:val="20"/>
      </w:rPr>
      <w:t>REVISIÓN</w:t>
    </w:r>
    <w:r w:rsidR="0017520B">
      <w:rPr>
        <w:rFonts w:ascii="Palatino Linotype" w:hAnsi="Palatino Linotype" w:cs="Arial"/>
        <w:sz w:val="20"/>
        <w:szCs w:val="20"/>
      </w:rPr>
      <w:t xml:space="preserve"> 12156</w:t>
    </w:r>
    <w:r>
      <w:rPr>
        <w:rFonts w:ascii="Palatino Linotype" w:hAnsi="Palatino Linotype" w:cs="Arial"/>
        <w:sz w:val="20"/>
        <w:szCs w:val="20"/>
      </w:rPr>
      <w:t>/INFOEM/IP/RR/2019</w:t>
    </w:r>
  </w:p>
  <w:p w:rsidR="00BF341F" w:rsidRDefault="00BF341F" w:rsidP="00403F62">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34A" w:rsidRDefault="00E627B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35031" o:spid="_x0000_s2050" type="#_x0000_t136" style="position:absolute;margin-left:0;margin-top:0;width:562.55pt;height:80.35pt;rotation:315;z-index:-251656192;mso-position-horizontal:center;mso-position-horizontal-relative:margin;mso-position-vertical:center;mso-position-vertical-relative:margin" o:allowincell="f" fillcolor="#bfbfbf [2412]" stroked="f">
          <v:fill opacity=".5"/>
          <v:textpath style="font-family:&quot;Times New Roman&quot;;font-size:1pt" string="VOTO DISID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83A1E"/>
    <w:multiLevelType w:val="hybridMultilevel"/>
    <w:tmpl w:val="FBC41DE0"/>
    <w:lvl w:ilvl="0" w:tplc="8F4019B4">
      <w:start w:val="1"/>
      <w:numFmt w:val="lowerRoman"/>
      <w:lvlText w:val="%1)"/>
      <w:lvlJc w:val="left"/>
      <w:pPr>
        <w:ind w:left="2291" w:hanging="720"/>
      </w:pPr>
      <w:rPr>
        <w:rFonts w:hint="default"/>
        <w:b/>
        <w:i/>
        <w:color w:val="000000"/>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1" w15:restartNumberingAfterBreak="0">
    <w:nsid w:val="0D871C50"/>
    <w:multiLevelType w:val="hybridMultilevel"/>
    <w:tmpl w:val="FBC8B6BE"/>
    <w:lvl w:ilvl="0" w:tplc="C1C42ED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0FF8552A"/>
    <w:multiLevelType w:val="hybridMultilevel"/>
    <w:tmpl w:val="929261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06635"/>
    <w:multiLevelType w:val="hybridMultilevel"/>
    <w:tmpl w:val="79FE767A"/>
    <w:lvl w:ilvl="0" w:tplc="69E884F6">
      <w:start w:val="1"/>
      <w:numFmt w:val="lowerLetter"/>
      <w:lvlText w:val="%1)"/>
      <w:lvlJc w:val="left"/>
      <w:pPr>
        <w:ind w:left="1069" w:hanging="360"/>
      </w:pPr>
      <w:rPr>
        <w:rFonts w:eastAsia="Times New Roman"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9E23096"/>
    <w:multiLevelType w:val="hybridMultilevel"/>
    <w:tmpl w:val="B6DCCA78"/>
    <w:lvl w:ilvl="0" w:tplc="080A0017">
      <w:start w:val="1"/>
      <w:numFmt w:val="lowerLetter"/>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B3615CA"/>
    <w:multiLevelType w:val="hybridMultilevel"/>
    <w:tmpl w:val="3EA4ABBC"/>
    <w:lvl w:ilvl="0" w:tplc="47001724">
      <w:start w:val="1"/>
      <w:numFmt w:val="decimal"/>
      <w:lvlText w:val="%1."/>
      <w:lvlJc w:val="left"/>
      <w:pPr>
        <w:ind w:left="720" w:hanging="360"/>
      </w:pPr>
      <w:rPr>
        <w:rFonts w:eastAsia="Times New Roman" w:cs="Times New Roman"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C06A76"/>
    <w:multiLevelType w:val="hybridMultilevel"/>
    <w:tmpl w:val="F22E6D02"/>
    <w:lvl w:ilvl="0" w:tplc="2B407C02">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C4493C"/>
    <w:multiLevelType w:val="hybridMultilevel"/>
    <w:tmpl w:val="69542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1905FC"/>
    <w:multiLevelType w:val="hybridMultilevel"/>
    <w:tmpl w:val="BF5A61A0"/>
    <w:lvl w:ilvl="0" w:tplc="311EB9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6E85248"/>
    <w:multiLevelType w:val="hybridMultilevel"/>
    <w:tmpl w:val="51523790"/>
    <w:lvl w:ilvl="0" w:tplc="080A0017">
      <w:start w:val="1"/>
      <w:numFmt w:val="lowerLetter"/>
      <w:lvlText w:val="%1)"/>
      <w:lvlJc w:val="left"/>
      <w:pPr>
        <w:ind w:left="1211" w:hanging="360"/>
      </w:pPr>
    </w:lvl>
    <w:lvl w:ilvl="1" w:tplc="080A0003">
      <w:start w:val="1"/>
      <w:numFmt w:val="bullet"/>
      <w:lvlText w:val="o"/>
      <w:lvlJc w:val="left"/>
      <w:pPr>
        <w:ind w:left="1931" w:hanging="360"/>
      </w:pPr>
      <w:rPr>
        <w:rFonts w:ascii="Courier New" w:hAnsi="Courier New" w:cs="Courier New" w:hint="default"/>
      </w:rPr>
    </w:lvl>
    <w:lvl w:ilvl="2" w:tplc="080A0005">
      <w:start w:val="1"/>
      <w:numFmt w:val="bullet"/>
      <w:lvlText w:val=""/>
      <w:lvlJc w:val="left"/>
      <w:pPr>
        <w:ind w:left="2651" w:hanging="360"/>
      </w:pPr>
      <w:rPr>
        <w:rFonts w:ascii="Wingdings" w:hAnsi="Wingdings" w:hint="default"/>
      </w:rPr>
    </w:lvl>
    <w:lvl w:ilvl="3" w:tplc="080A0001">
      <w:start w:val="1"/>
      <w:numFmt w:val="bullet"/>
      <w:lvlText w:val=""/>
      <w:lvlJc w:val="left"/>
      <w:pPr>
        <w:ind w:left="3371" w:hanging="360"/>
      </w:pPr>
      <w:rPr>
        <w:rFonts w:ascii="Symbol" w:hAnsi="Symbol" w:hint="default"/>
      </w:rPr>
    </w:lvl>
    <w:lvl w:ilvl="4" w:tplc="080A0003">
      <w:start w:val="1"/>
      <w:numFmt w:val="bullet"/>
      <w:lvlText w:val="o"/>
      <w:lvlJc w:val="left"/>
      <w:pPr>
        <w:ind w:left="4091" w:hanging="360"/>
      </w:pPr>
      <w:rPr>
        <w:rFonts w:ascii="Courier New" w:hAnsi="Courier New" w:cs="Courier New" w:hint="default"/>
      </w:rPr>
    </w:lvl>
    <w:lvl w:ilvl="5" w:tplc="080A0005">
      <w:start w:val="1"/>
      <w:numFmt w:val="bullet"/>
      <w:lvlText w:val=""/>
      <w:lvlJc w:val="left"/>
      <w:pPr>
        <w:ind w:left="4811" w:hanging="360"/>
      </w:pPr>
      <w:rPr>
        <w:rFonts w:ascii="Wingdings" w:hAnsi="Wingdings" w:hint="default"/>
      </w:rPr>
    </w:lvl>
    <w:lvl w:ilvl="6" w:tplc="080A0001">
      <w:start w:val="1"/>
      <w:numFmt w:val="bullet"/>
      <w:lvlText w:val=""/>
      <w:lvlJc w:val="left"/>
      <w:pPr>
        <w:ind w:left="5531" w:hanging="360"/>
      </w:pPr>
      <w:rPr>
        <w:rFonts w:ascii="Symbol" w:hAnsi="Symbol" w:hint="default"/>
      </w:rPr>
    </w:lvl>
    <w:lvl w:ilvl="7" w:tplc="080A0003">
      <w:start w:val="1"/>
      <w:numFmt w:val="bullet"/>
      <w:lvlText w:val="o"/>
      <w:lvlJc w:val="left"/>
      <w:pPr>
        <w:ind w:left="6251" w:hanging="360"/>
      </w:pPr>
      <w:rPr>
        <w:rFonts w:ascii="Courier New" w:hAnsi="Courier New" w:cs="Courier New" w:hint="default"/>
      </w:rPr>
    </w:lvl>
    <w:lvl w:ilvl="8" w:tplc="080A0005">
      <w:start w:val="1"/>
      <w:numFmt w:val="bullet"/>
      <w:lvlText w:val=""/>
      <w:lvlJc w:val="left"/>
      <w:pPr>
        <w:ind w:left="6971" w:hanging="360"/>
      </w:pPr>
      <w:rPr>
        <w:rFonts w:ascii="Wingdings" w:hAnsi="Wingdings" w:hint="default"/>
      </w:rPr>
    </w:lvl>
  </w:abstractNum>
  <w:abstractNum w:abstractNumId="10" w15:restartNumberingAfterBreak="0">
    <w:nsid w:val="282F53F3"/>
    <w:multiLevelType w:val="hybridMultilevel"/>
    <w:tmpl w:val="B882FB3C"/>
    <w:lvl w:ilvl="0" w:tplc="4B8CC7F0">
      <w:start w:val="1"/>
      <w:numFmt w:val="decimal"/>
      <w:lvlText w:val="%1."/>
      <w:lvlJc w:val="left"/>
      <w:pPr>
        <w:ind w:left="1413" w:hanging="705"/>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11" w15:restartNumberingAfterBreak="0">
    <w:nsid w:val="297E7957"/>
    <w:multiLevelType w:val="hybridMultilevel"/>
    <w:tmpl w:val="C7E40E06"/>
    <w:lvl w:ilvl="0" w:tplc="04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12" w15:restartNumberingAfterBreak="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3" w15:restartNumberingAfterBreak="0">
    <w:nsid w:val="37481543"/>
    <w:multiLevelType w:val="hybridMultilevel"/>
    <w:tmpl w:val="8DA464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7D6F75"/>
    <w:multiLevelType w:val="hybridMultilevel"/>
    <w:tmpl w:val="5D700E3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40891304"/>
    <w:multiLevelType w:val="hybridMultilevel"/>
    <w:tmpl w:val="5D700E3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65956A2"/>
    <w:multiLevelType w:val="hybridMultilevel"/>
    <w:tmpl w:val="A8FC4F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96953C8"/>
    <w:multiLevelType w:val="hybridMultilevel"/>
    <w:tmpl w:val="4E962200"/>
    <w:lvl w:ilvl="0" w:tplc="ED38435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5A40210F"/>
    <w:multiLevelType w:val="hybridMultilevel"/>
    <w:tmpl w:val="D804ABF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0" w15:restartNumberingAfterBreak="0">
    <w:nsid w:val="5CE0474B"/>
    <w:multiLevelType w:val="hybridMultilevel"/>
    <w:tmpl w:val="A4AE4C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FB8694D"/>
    <w:multiLevelType w:val="hybridMultilevel"/>
    <w:tmpl w:val="464ADDF0"/>
    <w:lvl w:ilvl="0" w:tplc="81F2C6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01C533A"/>
    <w:multiLevelType w:val="hybridMultilevel"/>
    <w:tmpl w:val="5338E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18D2AA4"/>
    <w:multiLevelType w:val="hybridMultilevel"/>
    <w:tmpl w:val="3F226AC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A9770BF"/>
    <w:multiLevelType w:val="hybridMultilevel"/>
    <w:tmpl w:val="687A6D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0B070B2"/>
    <w:multiLevelType w:val="hybridMultilevel"/>
    <w:tmpl w:val="639A967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15:restartNumberingAfterBreak="0">
    <w:nsid w:val="738573B6"/>
    <w:multiLevelType w:val="hybridMultilevel"/>
    <w:tmpl w:val="C8D8B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9E2A36"/>
    <w:multiLevelType w:val="hybridMultilevel"/>
    <w:tmpl w:val="4D1220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780E7EAF"/>
    <w:multiLevelType w:val="hybridMultilevel"/>
    <w:tmpl w:val="C08082B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Symbol"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Symbol"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Symbol" w:hint="default"/>
      </w:rPr>
    </w:lvl>
    <w:lvl w:ilvl="8" w:tplc="080A0005" w:tentative="1">
      <w:start w:val="1"/>
      <w:numFmt w:val="bullet"/>
      <w:lvlText w:val=""/>
      <w:lvlJc w:val="left"/>
      <w:pPr>
        <w:ind w:left="7047" w:hanging="360"/>
      </w:pPr>
      <w:rPr>
        <w:rFonts w:ascii="Wingdings" w:hAnsi="Wingdings" w:hint="default"/>
      </w:rPr>
    </w:lvl>
  </w:abstractNum>
  <w:abstractNum w:abstractNumId="30" w15:restartNumberingAfterBreak="0">
    <w:nsid w:val="7A486C83"/>
    <w:multiLevelType w:val="hybridMultilevel"/>
    <w:tmpl w:val="32987C7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22"/>
  </w:num>
  <w:num w:numId="3">
    <w:abstractNumId w:val="3"/>
  </w:num>
  <w:num w:numId="4">
    <w:abstractNumId w:val="27"/>
  </w:num>
  <w:num w:numId="5">
    <w:abstractNumId w:val="29"/>
  </w:num>
  <w:num w:numId="6">
    <w:abstractNumId w:val="7"/>
  </w:num>
  <w:num w:numId="7">
    <w:abstractNumId w:val="30"/>
  </w:num>
  <w:num w:numId="8">
    <w:abstractNumId w:val="17"/>
  </w:num>
  <w:num w:numId="9">
    <w:abstractNumId w:val="11"/>
  </w:num>
  <w:num w:numId="10">
    <w:abstractNumId w:val="15"/>
  </w:num>
  <w:num w:numId="11">
    <w:abstractNumId w:val="13"/>
  </w:num>
  <w:num w:numId="12">
    <w:abstractNumId w:val="21"/>
  </w:num>
  <w:num w:numId="13">
    <w:abstractNumId w:val="14"/>
  </w:num>
  <w:num w:numId="14">
    <w:abstractNumId w:val="26"/>
  </w:num>
  <w:num w:numId="15">
    <w:abstractNumId w:val="5"/>
  </w:num>
  <w:num w:numId="16">
    <w:abstractNumId w:val="19"/>
  </w:num>
  <w:num w:numId="17">
    <w:abstractNumId w:val="9"/>
    <w:lvlOverride w:ilvl="0">
      <w:startOverride w:val="1"/>
    </w:lvlOverride>
    <w:lvlOverride w:ilvl="1"/>
    <w:lvlOverride w:ilvl="2"/>
    <w:lvlOverride w:ilvl="3"/>
    <w:lvlOverride w:ilvl="4"/>
    <w:lvlOverride w:ilvl="5"/>
    <w:lvlOverride w:ilvl="6"/>
    <w:lvlOverride w:ilvl="7"/>
    <w:lvlOverride w:ilvl="8"/>
  </w:num>
  <w:num w:numId="18">
    <w:abstractNumId w:val="23"/>
  </w:num>
  <w:num w:numId="19">
    <w:abstractNumId w:val="20"/>
  </w:num>
  <w:num w:numId="20">
    <w:abstractNumId w:val="1"/>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6"/>
  </w:num>
  <w:num w:numId="24">
    <w:abstractNumId w:val="8"/>
  </w:num>
  <w:num w:numId="25">
    <w:abstractNumId w:val="9"/>
  </w:num>
  <w:num w:numId="26">
    <w:abstractNumId w:val="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8"/>
  </w:num>
  <w:num w:numId="30">
    <w:abstractNumId w:val="6"/>
  </w:num>
  <w:num w:numId="31">
    <w:abstractNumId w:val="2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1D1"/>
    <w:rsid w:val="00001644"/>
    <w:rsid w:val="000019A5"/>
    <w:rsid w:val="00003667"/>
    <w:rsid w:val="00004CF8"/>
    <w:rsid w:val="0002229C"/>
    <w:rsid w:val="000226B6"/>
    <w:rsid w:val="00023BCA"/>
    <w:rsid w:val="0003043F"/>
    <w:rsid w:val="0003292F"/>
    <w:rsid w:val="00034F84"/>
    <w:rsid w:val="00035E4F"/>
    <w:rsid w:val="00037C04"/>
    <w:rsid w:val="0004019D"/>
    <w:rsid w:val="0005349F"/>
    <w:rsid w:val="00072366"/>
    <w:rsid w:val="0008542A"/>
    <w:rsid w:val="00090AD3"/>
    <w:rsid w:val="000914CB"/>
    <w:rsid w:val="00092A25"/>
    <w:rsid w:val="00092EAB"/>
    <w:rsid w:val="00096EF4"/>
    <w:rsid w:val="00097AA2"/>
    <w:rsid w:val="000A4864"/>
    <w:rsid w:val="000B1716"/>
    <w:rsid w:val="000B377B"/>
    <w:rsid w:val="000B3FFD"/>
    <w:rsid w:val="000B44ED"/>
    <w:rsid w:val="000B5418"/>
    <w:rsid w:val="000B6301"/>
    <w:rsid w:val="000C2775"/>
    <w:rsid w:val="000C4453"/>
    <w:rsid w:val="000D0725"/>
    <w:rsid w:val="000D4674"/>
    <w:rsid w:val="000E003C"/>
    <w:rsid w:val="000E2519"/>
    <w:rsid w:val="000E2A10"/>
    <w:rsid w:val="000E67BA"/>
    <w:rsid w:val="000F63AC"/>
    <w:rsid w:val="0010065D"/>
    <w:rsid w:val="00101849"/>
    <w:rsid w:val="00103B42"/>
    <w:rsid w:val="0010542B"/>
    <w:rsid w:val="001103B3"/>
    <w:rsid w:val="001145E9"/>
    <w:rsid w:val="0012052E"/>
    <w:rsid w:val="00142BB1"/>
    <w:rsid w:val="00146D94"/>
    <w:rsid w:val="00153E26"/>
    <w:rsid w:val="001567A7"/>
    <w:rsid w:val="001713C8"/>
    <w:rsid w:val="0017520B"/>
    <w:rsid w:val="001937F3"/>
    <w:rsid w:val="001938A6"/>
    <w:rsid w:val="001977F5"/>
    <w:rsid w:val="001A02E0"/>
    <w:rsid w:val="001A3633"/>
    <w:rsid w:val="001A6F0D"/>
    <w:rsid w:val="001B02FC"/>
    <w:rsid w:val="001B1CDE"/>
    <w:rsid w:val="001B5027"/>
    <w:rsid w:val="001C5550"/>
    <w:rsid w:val="001C7019"/>
    <w:rsid w:val="001D15A5"/>
    <w:rsid w:val="001D5E1E"/>
    <w:rsid w:val="001D7B9F"/>
    <w:rsid w:val="001E0509"/>
    <w:rsid w:val="001E26F5"/>
    <w:rsid w:val="001F0303"/>
    <w:rsid w:val="001F15CB"/>
    <w:rsid w:val="001F212D"/>
    <w:rsid w:val="001F2B7E"/>
    <w:rsid w:val="00201BAE"/>
    <w:rsid w:val="00205F45"/>
    <w:rsid w:val="002101AA"/>
    <w:rsid w:val="00215B17"/>
    <w:rsid w:val="00225A4F"/>
    <w:rsid w:val="00226958"/>
    <w:rsid w:val="002310A1"/>
    <w:rsid w:val="0023751A"/>
    <w:rsid w:val="0025147C"/>
    <w:rsid w:val="00255F77"/>
    <w:rsid w:val="002606A3"/>
    <w:rsid w:val="002617AD"/>
    <w:rsid w:val="00261F11"/>
    <w:rsid w:val="0026525A"/>
    <w:rsid w:val="00266656"/>
    <w:rsid w:val="0026758B"/>
    <w:rsid w:val="00272DA2"/>
    <w:rsid w:val="00273CE0"/>
    <w:rsid w:val="00285B02"/>
    <w:rsid w:val="00287747"/>
    <w:rsid w:val="00287A21"/>
    <w:rsid w:val="002940F8"/>
    <w:rsid w:val="00294B2B"/>
    <w:rsid w:val="002A21F6"/>
    <w:rsid w:val="002A5949"/>
    <w:rsid w:val="002A6D75"/>
    <w:rsid w:val="002A7003"/>
    <w:rsid w:val="002B69AA"/>
    <w:rsid w:val="002C7B14"/>
    <w:rsid w:val="002D2274"/>
    <w:rsid w:val="002E0890"/>
    <w:rsid w:val="002E34EE"/>
    <w:rsid w:val="00307731"/>
    <w:rsid w:val="003111C4"/>
    <w:rsid w:val="003134C3"/>
    <w:rsid w:val="00324535"/>
    <w:rsid w:val="00325485"/>
    <w:rsid w:val="00326786"/>
    <w:rsid w:val="00340423"/>
    <w:rsid w:val="00340EB1"/>
    <w:rsid w:val="003429CA"/>
    <w:rsid w:val="0036025D"/>
    <w:rsid w:val="003609D7"/>
    <w:rsid w:val="00363B86"/>
    <w:rsid w:val="003802C8"/>
    <w:rsid w:val="003861BA"/>
    <w:rsid w:val="00391CA7"/>
    <w:rsid w:val="003A46E3"/>
    <w:rsid w:val="003B20F8"/>
    <w:rsid w:val="003B4AC9"/>
    <w:rsid w:val="003B593F"/>
    <w:rsid w:val="003D243B"/>
    <w:rsid w:val="003D2AEC"/>
    <w:rsid w:val="003F7E9C"/>
    <w:rsid w:val="00403269"/>
    <w:rsid w:val="00403F62"/>
    <w:rsid w:val="00411925"/>
    <w:rsid w:val="004240D8"/>
    <w:rsid w:val="004309EF"/>
    <w:rsid w:val="0043440A"/>
    <w:rsid w:val="0043608E"/>
    <w:rsid w:val="00441DA9"/>
    <w:rsid w:val="00445E88"/>
    <w:rsid w:val="00451AF2"/>
    <w:rsid w:val="00457AB9"/>
    <w:rsid w:val="00463DB7"/>
    <w:rsid w:val="00465383"/>
    <w:rsid w:val="00472C7C"/>
    <w:rsid w:val="0047667C"/>
    <w:rsid w:val="00487324"/>
    <w:rsid w:val="004A2C41"/>
    <w:rsid w:val="004A4621"/>
    <w:rsid w:val="004B380D"/>
    <w:rsid w:val="004C27B7"/>
    <w:rsid w:val="004C31C2"/>
    <w:rsid w:val="004C5ABD"/>
    <w:rsid w:val="004C5EA9"/>
    <w:rsid w:val="004D0A26"/>
    <w:rsid w:val="004D22F6"/>
    <w:rsid w:val="004D4E0F"/>
    <w:rsid w:val="004E01B6"/>
    <w:rsid w:val="004E0226"/>
    <w:rsid w:val="004E5B9E"/>
    <w:rsid w:val="0050340C"/>
    <w:rsid w:val="00510881"/>
    <w:rsid w:val="00512140"/>
    <w:rsid w:val="005243AD"/>
    <w:rsid w:val="0053020C"/>
    <w:rsid w:val="0053151F"/>
    <w:rsid w:val="00531CC9"/>
    <w:rsid w:val="005324BC"/>
    <w:rsid w:val="005335D4"/>
    <w:rsid w:val="005351AC"/>
    <w:rsid w:val="00540C48"/>
    <w:rsid w:val="00560E4D"/>
    <w:rsid w:val="00563DDB"/>
    <w:rsid w:val="00566800"/>
    <w:rsid w:val="00567778"/>
    <w:rsid w:val="00567C33"/>
    <w:rsid w:val="00573EBE"/>
    <w:rsid w:val="0057457A"/>
    <w:rsid w:val="00575235"/>
    <w:rsid w:val="0057790F"/>
    <w:rsid w:val="00580993"/>
    <w:rsid w:val="00580EAD"/>
    <w:rsid w:val="00582D73"/>
    <w:rsid w:val="00591DFC"/>
    <w:rsid w:val="005A0F2C"/>
    <w:rsid w:val="005A2B23"/>
    <w:rsid w:val="005A2C67"/>
    <w:rsid w:val="005C172D"/>
    <w:rsid w:val="005C2599"/>
    <w:rsid w:val="005C7A11"/>
    <w:rsid w:val="005C7B63"/>
    <w:rsid w:val="005D1946"/>
    <w:rsid w:val="005D1E1D"/>
    <w:rsid w:val="005E700C"/>
    <w:rsid w:val="005F24B1"/>
    <w:rsid w:val="00604600"/>
    <w:rsid w:val="006062B2"/>
    <w:rsid w:val="006119A3"/>
    <w:rsid w:val="00614F6C"/>
    <w:rsid w:val="00620925"/>
    <w:rsid w:val="0062767D"/>
    <w:rsid w:val="006314DB"/>
    <w:rsid w:val="00634485"/>
    <w:rsid w:val="00634CA5"/>
    <w:rsid w:val="006422EF"/>
    <w:rsid w:val="00645C81"/>
    <w:rsid w:val="00650453"/>
    <w:rsid w:val="006524CF"/>
    <w:rsid w:val="00656B3C"/>
    <w:rsid w:val="0067534C"/>
    <w:rsid w:val="00682541"/>
    <w:rsid w:val="00684A8A"/>
    <w:rsid w:val="00695058"/>
    <w:rsid w:val="006967B2"/>
    <w:rsid w:val="00696A45"/>
    <w:rsid w:val="006B79E8"/>
    <w:rsid w:val="006C7E4F"/>
    <w:rsid w:val="006D186F"/>
    <w:rsid w:val="006D1A9A"/>
    <w:rsid w:val="006D5B28"/>
    <w:rsid w:val="006D6606"/>
    <w:rsid w:val="006E157D"/>
    <w:rsid w:val="006E2751"/>
    <w:rsid w:val="006E350E"/>
    <w:rsid w:val="006E4CF8"/>
    <w:rsid w:val="006E51A5"/>
    <w:rsid w:val="006E6389"/>
    <w:rsid w:val="006F01F2"/>
    <w:rsid w:val="006F0882"/>
    <w:rsid w:val="006F2CB8"/>
    <w:rsid w:val="006F30F8"/>
    <w:rsid w:val="00704D94"/>
    <w:rsid w:val="00713682"/>
    <w:rsid w:val="00716FAD"/>
    <w:rsid w:val="00721AEB"/>
    <w:rsid w:val="00723DF2"/>
    <w:rsid w:val="00727EED"/>
    <w:rsid w:val="00732089"/>
    <w:rsid w:val="0073300F"/>
    <w:rsid w:val="00733AFC"/>
    <w:rsid w:val="007342FF"/>
    <w:rsid w:val="00736525"/>
    <w:rsid w:val="00736C06"/>
    <w:rsid w:val="00744B2A"/>
    <w:rsid w:val="007573BA"/>
    <w:rsid w:val="00760570"/>
    <w:rsid w:val="00780218"/>
    <w:rsid w:val="00780B88"/>
    <w:rsid w:val="00783B29"/>
    <w:rsid w:val="00784211"/>
    <w:rsid w:val="00790E7C"/>
    <w:rsid w:val="00792AFB"/>
    <w:rsid w:val="00793EE0"/>
    <w:rsid w:val="007B03B4"/>
    <w:rsid w:val="007C1C2C"/>
    <w:rsid w:val="007C2428"/>
    <w:rsid w:val="007C5506"/>
    <w:rsid w:val="007C7FC3"/>
    <w:rsid w:val="007D0EEA"/>
    <w:rsid w:val="007D2064"/>
    <w:rsid w:val="007D5A96"/>
    <w:rsid w:val="007E1C0C"/>
    <w:rsid w:val="007E40BE"/>
    <w:rsid w:val="007E5B39"/>
    <w:rsid w:val="007E5B9F"/>
    <w:rsid w:val="007E7EBF"/>
    <w:rsid w:val="007F2539"/>
    <w:rsid w:val="007F71A7"/>
    <w:rsid w:val="008004AA"/>
    <w:rsid w:val="008039CD"/>
    <w:rsid w:val="00814051"/>
    <w:rsid w:val="00814158"/>
    <w:rsid w:val="008209ED"/>
    <w:rsid w:val="00833697"/>
    <w:rsid w:val="00845965"/>
    <w:rsid w:val="008517C8"/>
    <w:rsid w:val="008520AA"/>
    <w:rsid w:val="00852166"/>
    <w:rsid w:val="008673A7"/>
    <w:rsid w:val="00892AFC"/>
    <w:rsid w:val="008A344A"/>
    <w:rsid w:val="008A43EA"/>
    <w:rsid w:val="008A5F96"/>
    <w:rsid w:val="008B0E4F"/>
    <w:rsid w:val="008B1E62"/>
    <w:rsid w:val="008C23F7"/>
    <w:rsid w:val="008C5A02"/>
    <w:rsid w:val="008D0CC3"/>
    <w:rsid w:val="008D1526"/>
    <w:rsid w:val="008D6107"/>
    <w:rsid w:val="008D66D7"/>
    <w:rsid w:val="008D6B7A"/>
    <w:rsid w:val="008E332C"/>
    <w:rsid w:val="008F390E"/>
    <w:rsid w:val="00901E88"/>
    <w:rsid w:val="0090287D"/>
    <w:rsid w:val="009108D0"/>
    <w:rsid w:val="009165A8"/>
    <w:rsid w:val="0092126C"/>
    <w:rsid w:val="00921925"/>
    <w:rsid w:val="0092514A"/>
    <w:rsid w:val="0092528E"/>
    <w:rsid w:val="0093568E"/>
    <w:rsid w:val="00940BEA"/>
    <w:rsid w:val="00951244"/>
    <w:rsid w:val="009525B7"/>
    <w:rsid w:val="009542FB"/>
    <w:rsid w:val="00956B05"/>
    <w:rsid w:val="00956BDB"/>
    <w:rsid w:val="009630DF"/>
    <w:rsid w:val="00964064"/>
    <w:rsid w:val="00971B88"/>
    <w:rsid w:val="009723C2"/>
    <w:rsid w:val="00973040"/>
    <w:rsid w:val="00973581"/>
    <w:rsid w:val="00974FD2"/>
    <w:rsid w:val="00975B9A"/>
    <w:rsid w:val="00975EB9"/>
    <w:rsid w:val="009832FD"/>
    <w:rsid w:val="009A0480"/>
    <w:rsid w:val="009B1D18"/>
    <w:rsid w:val="009B34A5"/>
    <w:rsid w:val="009B3E61"/>
    <w:rsid w:val="009B4E39"/>
    <w:rsid w:val="009B62D8"/>
    <w:rsid w:val="009B6F98"/>
    <w:rsid w:val="009C24A2"/>
    <w:rsid w:val="009C3D81"/>
    <w:rsid w:val="009C4C67"/>
    <w:rsid w:val="009D3B11"/>
    <w:rsid w:val="009D3EB8"/>
    <w:rsid w:val="009D5055"/>
    <w:rsid w:val="009E039B"/>
    <w:rsid w:val="009E0802"/>
    <w:rsid w:val="009E22E8"/>
    <w:rsid w:val="009E405E"/>
    <w:rsid w:val="009F0DA7"/>
    <w:rsid w:val="009F7320"/>
    <w:rsid w:val="009F77C1"/>
    <w:rsid w:val="00A01A1B"/>
    <w:rsid w:val="00A07BD2"/>
    <w:rsid w:val="00A11EBA"/>
    <w:rsid w:val="00A156A9"/>
    <w:rsid w:val="00A17CEA"/>
    <w:rsid w:val="00A226D9"/>
    <w:rsid w:val="00A26748"/>
    <w:rsid w:val="00A26944"/>
    <w:rsid w:val="00A272A0"/>
    <w:rsid w:val="00A35113"/>
    <w:rsid w:val="00A542B4"/>
    <w:rsid w:val="00A54F8B"/>
    <w:rsid w:val="00A5681E"/>
    <w:rsid w:val="00A572C4"/>
    <w:rsid w:val="00A574C6"/>
    <w:rsid w:val="00A60479"/>
    <w:rsid w:val="00A71143"/>
    <w:rsid w:val="00A81140"/>
    <w:rsid w:val="00A81732"/>
    <w:rsid w:val="00A846F3"/>
    <w:rsid w:val="00A84B67"/>
    <w:rsid w:val="00A91B6C"/>
    <w:rsid w:val="00A92568"/>
    <w:rsid w:val="00A971D4"/>
    <w:rsid w:val="00AA144B"/>
    <w:rsid w:val="00AB221B"/>
    <w:rsid w:val="00AC0A19"/>
    <w:rsid w:val="00AC7167"/>
    <w:rsid w:val="00AD02DB"/>
    <w:rsid w:val="00AD6F67"/>
    <w:rsid w:val="00AD75DE"/>
    <w:rsid w:val="00AE1C29"/>
    <w:rsid w:val="00AE7BB0"/>
    <w:rsid w:val="00AF358D"/>
    <w:rsid w:val="00AF49E9"/>
    <w:rsid w:val="00AF6A7E"/>
    <w:rsid w:val="00AF7CAE"/>
    <w:rsid w:val="00B00667"/>
    <w:rsid w:val="00B04787"/>
    <w:rsid w:val="00B0535B"/>
    <w:rsid w:val="00B1604C"/>
    <w:rsid w:val="00B246EC"/>
    <w:rsid w:val="00B337A5"/>
    <w:rsid w:val="00B50783"/>
    <w:rsid w:val="00B5149E"/>
    <w:rsid w:val="00B53290"/>
    <w:rsid w:val="00B56D72"/>
    <w:rsid w:val="00B6062A"/>
    <w:rsid w:val="00B62B22"/>
    <w:rsid w:val="00B64AC5"/>
    <w:rsid w:val="00B70C04"/>
    <w:rsid w:val="00B70CA4"/>
    <w:rsid w:val="00B72F19"/>
    <w:rsid w:val="00B73DE0"/>
    <w:rsid w:val="00B81F01"/>
    <w:rsid w:val="00B87529"/>
    <w:rsid w:val="00B87F60"/>
    <w:rsid w:val="00B965F3"/>
    <w:rsid w:val="00B96818"/>
    <w:rsid w:val="00BA5829"/>
    <w:rsid w:val="00BA6D52"/>
    <w:rsid w:val="00BB013F"/>
    <w:rsid w:val="00BB28D1"/>
    <w:rsid w:val="00BB2F3F"/>
    <w:rsid w:val="00BB2FA1"/>
    <w:rsid w:val="00BC0AA8"/>
    <w:rsid w:val="00BC19C2"/>
    <w:rsid w:val="00BC6AB4"/>
    <w:rsid w:val="00BD0990"/>
    <w:rsid w:val="00BD3496"/>
    <w:rsid w:val="00BD7483"/>
    <w:rsid w:val="00BE1D4A"/>
    <w:rsid w:val="00BE3880"/>
    <w:rsid w:val="00BF0778"/>
    <w:rsid w:val="00BF336F"/>
    <w:rsid w:val="00BF341F"/>
    <w:rsid w:val="00BF7F59"/>
    <w:rsid w:val="00C051E5"/>
    <w:rsid w:val="00C11401"/>
    <w:rsid w:val="00C12C27"/>
    <w:rsid w:val="00C30CD1"/>
    <w:rsid w:val="00C31E16"/>
    <w:rsid w:val="00C330FD"/>
    <w:rsid w:val="00C33BF1"/>
    <w:rsid w:val="00C34BF5"/>
    <w:rsid w:val="00C34C32"/>
    <w:rsid w:val="00C442DF"/>
    <w:rsid w:val="00C523CD"/>
    <w:rsid w:val="00C55908"/>
    <w:rsid w:val="00C60869"/>
    <w:rsid w:val="00C70918"/>
    <w:rsid w:val="00C7625E"/>
    <w:rsid w:val="00C76ACA"/>
    <w:rsid w:val="00C80F8C"/>
    <w:rsid w:val="00C85352"/>
    <w:rsid w:val="00C87A53"/>
    <w:rsid w:val="00C93BF6"/>
    <w:rsid w:val="00CA572E"/>
    <w:rsid w:val="00CB3265"/>
    <w:rsid w:val="00CB534A"/>
    <w:rsid w:val="00CB5775"/>
    <w:rsid w:val="00CB57FF"/>
    <w:rsid w:val="00CC24C8"/>
    <w:rsid w:val="00CC5E11"/>
    <w:rsid w:val="00CE14EF"/>
    <w:rsid w:val="00CE4566"/>
    <w:rsid w:val="00CE6FA4"/>
    <w:rsid w:val="00CE7CC6"/>
    <w:rsid w:val="00CF30E8"/>
    <w:rsid w:val="00D01343"/>
    <w:rsid w:val="00D17F9E"/>
    <w:rsid w:val="00D35F12"/>
    <w:rsid w:val="00D42078"/>
    <w:rsid w:val="00D45756"/>
    <w:rsid w:val="00D5544B"/>
    <w:rsid w:val="00D80F1A"/>
    <w:rsid w:val="00D8440B"/>
    <w:rsid w:val="00D9235A"/>
    <w:rsid w:val="00DA69EB"/>
    <w:rsid w:val="00DB2A4B"/>
    <w:rsid w:val="00DB388E"/>
    <w:rsid w:val="00DB415A"/>
    <w:rsid w:val="00DB53CA"/>
    <w:rsid w:val="00DB6375"/>
    <w:rsid w:val="00DD0096"/>
    <w:rsid w:val="00DD01A1"/>
    <w:rsid w:val="00DD425E"/>
    <w:rsid w:val="00DE48DF"/>
    <w:rsid w:val="00DE4E35"/>
    <w:rsid w:val="00DF04EA"/>
    <w:rsid w:val="00DF0719"/>
    <w:rsid w:val="00DF2935"/>
    <w:rsid w:val="00DF3DDC"/>
    <w:rsid w:val="00DF3F6A"/>
    <w:rsid w:val="00DF7F7A"/>
    <w:rsid w:val="00E00036"/>
    <w:rsid w:val="00E0508D"/>
    <w:rsid w:val="00E14C43"/>
    <w:rsid w:val="00E22672"/>
    <w:rsid w:val="00E31CC2"/>
    <w:rsid w:val="00E331A7"/>
    <w:rsid w:val="00E506CD"/>
    <w:rsid w:val="00E50A65"/>
    <w:rsid w:val="00E5337B"/>
    <w:rsid w:val="00E627BB"/>
    <w:rsid w:val="00E95C82"/>
    <w:rsid w:val="00EB107B"/>
    <w:rsid w:val="00EC5715"/>
    <w:rsid w:val="00EC7CAF"/>
    <w:rsid w:val="00ED2713"/>
    <w:rsid w:val="00EE0AFE"/>
    <w:rsid w:val="00EE27D0"/>
    <w:rsid w:val="00EE54AD"/>
    <w:rsid w:val="00EE638A"/>
    <w:rsid w:val="00EE7A92"/>
    <w:rsid w:val="00EE7DB2"/>
    <w:rsid w:val="00EE7E49"/>
    <w:rsid w:val="00EF1CD8"/>
    <w:rsid w:val="00F023C3"/>
    <w:rsid w:val="00F1104D"/>
    <w:rsid w:val="00F17668"/>
    <w:rsid w:val="00F22217"/>
    <w:rsid w:val="00F232A4"/>
    <w:rsid w:val="00F3021C"/>
    <w:rsid w:val="00F33971"/>
    <w:rsid w:val="00F345D4"/>
    <w:rsid w:val="00F42B81"/>
    <w:rsid w:val="00F467A8"/>
    <w:rsid w:val="00F50682"/>
    <w:rsid w:val="00F56B3B"/>
    <w:rsid w:val="00F61203"/>
    <w:rsid w:val="00F740C8"/>
    <w:rsid w:val="00F74B57"/>
    <w:rsid w:val="00F758E9"/>
    <w:rsid w:val="00F86953"/>
    <w:rsid w:val="00F924C3"/>
    <w:rsid w:val="00FA4129"/>
    <w:rsid w:val="00FB0A4A"/>
    <w:rsid w:val="00FB1A27"/>
    <w:rsid w:val="00FB48D6"/>
    <w:rsid w:val="00FC0554"/>
    <w:rsid w:val="00FC10A9"/>
    <w:rsid w:val="00FC4E80"/>
    <w:rsid w:val="00FD4E77"/>
    <w:rsid w:val="00FE356A"/>
    <w:rsid w:val="00FE7D08"/>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040B1181-FA30-4D57-8F8E-AE09AD795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Textonotapie">
    <w:name w:val="footnote text"/>
    <w:basedOn w:val="Normal"/>
    <w:link w:val="TextonotapieCar"/>
    <w:uiPriority w:val="99"/>
    <w:rsid w:val="00C76ACA"/>
    <w:rPr>
      <w:sz w:val="20"/>
      <w:szCs w:val="20"/>
    </w:rPr>
  </w:style>
  <w:style w:type="character" w:customStyle="1" w:styleId="TextonotapieCar">
    <w:name w:val="Texto nota pie Car"/>
    <w:basedOn w:val="Fuentedeprrafopredeter"/>
    <w:link w:val="Textonotapie"/>
    <w:uiPriority w:val="99"/>
    <w:rsid w:val="00C76ACA"/>
    <w:rPr>
      <w:rFonts w:ascii="Times New Roman" w:eastAsia="Times New Roman" w:hAnsi="Times New Roman" w:cs="Times New Roman"/>
      <w:sz w:val="20"/>
      <w:szCs w:val="20"/>
      <w:lang w:val="es-ES"/>
    </w:rPr>
  </w:style>
  <w:style w:type="character" w:styleId="Refdenotaalpie">
    <w:name w:val="footnote reference"/>
    <w:uiPriority w:val="99"/>
    <w:rsid w:val="00C76ACA"/>
    <w:rPr>
      <w:rFonts w:cs="Times New Roman"/>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A6D52"/>
    <w:pPr>
      <w:ind w:left="720"/>
      <w:contextualSpacing/>
    </w:pPr>
    <w:rPr>
      <w:rFonts w:eastAsia="Calibri"/>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A6D52"/>
    <w:rPr>
      <w:rFonts w:ascii="Times New Roman" w:eastAsia="Calibri" w:hAnsi="Times New Roman" w:cs="Times New Roman"/>
      <w:lang w:val="es-ES"/>
    </w:rPr>
  </w:style>
  <w:style w:type="paragraph" w:styleId="NormalWeb">
    <w:name w:val="Normal (Web)"/>
    <w:basedOn w:val="Normal"/>
    <w:uiPriority w:val="99"/>
    <w:rsid w:val="00B50783"/>
    <w:pPr>
      <w:spacing w:before="100" w:beforeAutospacing="1" w:after="100" w:afterAutospacing="1"/>
    </w:pPr>
  </w:style>
  <w:style w:type="character" w:customStyle="1" w:styleId="negritas1">
    <w:name w:val="negritas1"/>
    <w:rsid w:val="00B50783"/>
    <w:rPr>
      <w:rFonts w:ascii="Arial" w:hAnsi="Arial" w:cs="Arial" w:hint="default"/>
      <w:b/>
      <w:bCs/>
      <w:sz w:val="18"/>
      <w:szCs w:val="18"/>
    </w:rPr>
  </w:style>
  <w:style w:type="paragraph" w:styleId="Textoindependiente">
    <w:name w:val="Body Text"/>
    <w:basedOn w:val="Normal"/>
    <w:link w:val="TextoindependienteCar"/>
    <w:uiPriority w:val="99"/>
    <w:unhideWhenUsed/>
    <w:rsid w:val="00582D73"/>
    <w:pPr>
      <w:spacing w:after="120"/>
    </w:pPr>
    <w:rPr>
      <w:rFonts w:eastAsia="Calibri"/>
    </w:rPr>
  </w:style>
  <w:style w:type="character" w:customStyle="1" w:styleId="TextoindependienteCar">
    <w:name w:val="Texto independiente Car"/>
    <w:basedOn w:val="Fuentedeprrafopredeter"/>
    <w:link w:val="Textoindependiente"/>
    <w:uiPriority w:val="99"/>
    <w:rsid w:val="00582D73"/>
    <w:rPr>
      <w:rFonts w:ascii="Times New Roman" w:eastAsia="Calibri" w:hAnsi="Times New Roman" w:cs="Times New Roman"/>
      <w:lang w:val="es-ES"/>
    </w:rPr>
  </w:style>
  <w:style w:type="character" w:customStyle="1" w:styleId="apple-converted-space">
    <w:name w:val="apple-converted-space"/>
    <w:basedOn w:val="Fuentedeprrafopredeter"/>
    <w:rsid w:val="00580993"/>
  </w:style>
  <w:style w:type="paragraph" w:customStyle="1" w:styleId="paragraph">
    <w:name w:val="paragraph"/>
    <w:basedOn w:val="Normal"/>
    <w:rsid w:val="00580993"/>
    <w:pPr>
      <w:spacing w:before="100" w:beforeAutospacing="1" w:after="100" w:afterAutospacing="1"/>
    </w:pPr>
    <w:rPr>
      <w:lang w:val="es-MX" w:eastAsia="es-MX"/>
    </w:rPr>
  </w:style>
  <w:style w:type="character" w:customStyle="1" w:styleId="normaltextrun">
    <w:name w:val="normaltextrun"/>
    <w:basedOn w:val="Fuentedeprrafopredeter"/>
    <w:rsid w:val="00580993"/>
  </w:style>
  <w:style w:type="character" w:customStyle="1" w:styleId="eop">
    <w:name w:val="eop"/>
    <w:basedOn w:val="Fuentedeprrafopredeter"/>
    <w:rsid w:val="00580993"/>
  </w:style>
  <w:style w:type="paragraph" w:styleId="Sinespaciado">
    <w:name w:val="No Spacing"/>
    <w:aliases w:val="Francesa"/>
    <w:link w:val="SinespaciadoCar"/>
    <w:uiPriority w:val="1"/>
    <w:qFormat/>
    <w:rsid w:val="00EE54AD"/>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EE54AD"/>
    <w:rPr>
      <w:rFonts w:ascii="Times New Roman" w:eastAsia="Times New Roman" w:hAnsi="Times New Roman" w:cs="Times New Roman"/>
      <w:lang w:val="es-MX"/>
    </w:rPr>
  </w:style>
  <w:style w:type="table" w:styleId="Tablaconcuadrcula">
    <w:name w:val="Table Grid"/>
    <w:basedOn w:val="Tablanormal"/>
    <w:uiPriority w:val="39"/>
    <w:rsid w:val="000C2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14676">
      <w:bodyDiv w:val="1"/>
      <w:marLeft w:val="0"/>
      <w:marRight w:val="0"/>
      <w:marTop w:val="0"/>
      <w:marBottom w:val="0"/>
      <w:divBdr>
        <w:top w:val="none" w:sz="0" w:space="0" w:color="auto"/>
        <w:left w:val="none" w:sz="0" w:space="0" w:color="auto"/>
        <w:bottom w:val="none" w:sz="0" w:space="0" w:color="auto"/>
        <w:right w:val="none" w:sz="0" w:space="0" w:color="auto"/>
      </w:divBdr>
    </w:div>
    <w:div w:id="626398339">
      <w:bodyDiv w:val="1"/>
      <w:marLeft w:val="0"/>
      <w:marRight w:val="0"/>
      <w:marTop w:val="0"/>
      <w:marBottom w:val="0"/>
      <w:divBdr>
        <w:top w:val="none" w:sz="0" w:space="0" w:color="auto"/>
        <w:left w:val="none" w:sz="0" w:space="0" w:color="auto"/>
        <w:bottom w:val="none" w:sz="0" w:space="0" w:color="auto"/>
        <w:right w:val="none" w:sz="0" w:space="0" w:color="auto"/>
      </w:divBdr>
    </w:div>
    <w:div w:id="681859748">
      <w:bodyDiv w:val="1"/>
      <w:marLeft w:val="0"/>
      <w:marRight w:val="0"/>
      <w:marTop w:val="0"/>
      <w:marBottom w:val="0"/>
      <w:divBdr>
        <w:top w:val="none" w:sz="0" w:space="0" w:color="auto"/>
        <w:left w:val="none" w:sz="0" w:space="0" w:color="auto"/>
        <w:bottom w:val="none" w:sz="0" w:space="0" w:color="auto"/>
        <w:right w:val="none" w:sz="0" w:space="0" w:color="auto"/>
      </w:divBdr>
    </w:div>
    <w:div w:id="768233231">
      <w:bodyDiv w:val="1"/>
      <w:marLeft w:val="0"/>
      <w:marRight w:val="0"/>
      <w:marTop w:val="0"/>
      <w:marBottom w:val="0"/>
      <w:divBdr>
        <w:top w:val="none" w:sz="0" w:space="0" w:color="auto"/>
        <w:left w:val="none" w:sz="0" w:space="0" w:color="auto"/>
        <w:bottom w:val="none" w:sz="0" w:space="0" w:color="auto"/>
        <w:right w:val="none" w:sz="0" w:space="0" w:color="auto"/>
      </w:divBdr>
    </w:div>
    <w:div w:id="835075303">
      <w:bodyDiv w:val="1"/>
      <w:marLeft w:val="0"/>
      <w:marRight w:val="0"/>
      <w:marTop w:val="0"/>
      <w:marBottom w:val="0"/>
      <w:divBdr>
        <w:top w:val="none" w:sz="0" w:space="0" w:color="auto"/>
        <w:left w:val="none" w:sz="0" w:space="0" w:color="auto"/>
        <w:bottom w:val="none" w:sz="0" w:space="0" w:color="auto"/>
        <w:right w:val="none" w:sz="0" w:space="0" w:color="auto"/>
      </w:divBdr>
    </w:div>
    <w:div w:id="886531884">
      <w:bodyDiv w:val="1"/>
      <w:marLeft w:val="0"/>
      <w:marRight w:val="0"/>
      <w:marTop w:val="0"/>
      <w:marBottom w:val="0"/>
      <w:divBdr>
        <w:top w:val="none" w:sz="0" w:space="0" w:color="auto"/>
        <w:left w:val="none" w:sz="0" w:space="0" w:color="auto"/>
        <w:bottom w:val="none" w:sz="0" w:space="0" w:color="auto"/>
        <w:right w:val="none" w:sz="0" w:space="0" w:color="auto"/>
      </w:divBdr>
    </w:div>
    <w:div w:id="979118930">
      <w:bodyDiv w:val="1"/>
      <w:marLeft w:val="0"/>
      <w:marRight w:val="0"/>
      <w:marTop w:val="0"/>
      <w:marBottom w:val="0"/>
      <w:divBdr>
        <w:top w:val="none" w:sz="0" w:space="0" w:color="auto"/>
        <w:left w:val="none" w:sz="0" w:space="0" w:color="auto"/>
        <w:bottom w:val="none" w:sz="0" w:space="0" w:color="auto"/>
        <w:right w:val="none" w:sz="0" w:space="0" w:color="auto"/>
      </w:divBdr>
    </w:div>
    <w:div w:id="1338653980">
      <w:bodyDiv w:val="1"/>
      <w:marLeft w:val="0"/>
      <w:marRight w:val="0"/>
      <w:marTop w:val="0"/>
      <w:marBottom w:val="0"/>
      <w:divBdr>
        <w:top w:val="none" w:sz="0" w:space="0" w:color="auto"/>
        <w:left w:val="none" w:sz="0" w:space="0" w:color="auto"/>
        <w:bottom w:val="none" w:sz="0" w:space="0" w:color="auto"/>
        <w:right w:val="none" w:sz="0" w:space="0" w:color="auto"/>
      </w:divBdr>
    </w:div>
    <w:div w:id="1419210081">
      <w:bodyDiv w:val="1"/>
      <w:marLeft w:val="0"/>
      <w:marRight w:val="0"/>
      <w:marTop w:val="0"/>
      <w:marBottom w:val="0"/>
      <w:divBdr>
        <w:top w:val="none" w:sz="0" w:space="0" w:color="auto"/>
        <w:left w:val="none" w:sz="0" w:space="0" w:color="auto"/>
        <w:bottom w:val="none" w:sz="0" w:space="0" w:color="auto"/>
        <w:right w:val="none" w:sz="0" w:space="0" w:color="auto"/>
      </w:divBdr>
    </w:div>
    <w:div w:id="1503427012">
      <w:bodyDiv w:val="1"/>
      <w:marLeft w:val="0"/>
      <w:marRight w:val="0"/>
      <w:marTop w:val="0"/>
      <w:marBottom w:val="0"/>
      <w:divBdr>
        <w:top w:val="none" w:sz="0" w:space="0" w:color="auto"/>
        <w:left w:val="none" w:sz="0" w:space="0" w:color="auto"/>
        <w:bottom w:val="none" w:sz="0" w:space="0" w:color="auto"/>
        <w:right w:val="none" w:sz="0" w:space="0" w:color="auto"/>
      </w:divBdr>
    </w:div>
    <w:div w:id="1896430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13F0A-6DE0-4B8B-A0AB-521392543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8</Pages>
  <Words>1670</Words>
  <Characters>9188</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jose benjamin aguilar martinez</cp:lastModifiedBy>
  <cp:revision>6</cp:revision>
  <cp:lastPrinted>2019-09-06T18:18:00Z</cp:lastPrinted>
  <dcterms:created xsi:type="dcterms:W3CDTF">2020-03-17T16:06:00Z</dcterms:created>
  <dcterms:modified xsi:type="dcterms:W3CDTF">2020-04-29T19:43:00Z</dcterms:modified>
</cp:coreProperties>
</file>