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55" w:rsidRPr="000E2049" w:rsidRDefault="00B11355" w:rsidP="00ED2B85">
      <w:pPr>
        <w:pStyle w:val="Textoindependiente"/>
        <w:spacing w:line="360" w:lineRule="auto"/>
        <w:rPr>
          <w:rFonts w:ascii="Palatino Linotype" w:hAnsi="Palatino Linotype"/>
        </w:rPr>
      </w:pPr>
      <w:r w:rsidRPr="000E204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E730F" w:rsidRPr="000E2049">
        <w:rPr>
          <w:rFonts w:ascii="Palatino Linotype" w:hAnsi="Palatino Linotype"/>
        </w:rPr>
        <w:t>siete de agosto</w:t>
      </w:r>
      <w:r w:rsidRPr="000E2049">
        <w:rPr>
          <w:rFonts w:ascii="Palatino Linotype" w:hAnsi="Palatino Linotype"/>
        </w:rPr>
        <w:t xml:space="preserve"> de dos mil diecinueve.</w:t>
      </w:r>
    </w:p>
    <w:p w:rsidR="00B11355" w:rsidRPr="000E2049" w:rsidRDefault="00B11355" w:rsidP="00ED2B85">
      <w:pPr>
        <w:pStyle w:val="Textoindependiente"/>
        <w:spacing w:line="360" w:lineRule="auto"/>
        <w:rPr>
          <w:rFonts w:ascii="Palatino Linotype" w:hAnsi="Palatino Linotype"/>
        </w:rPr>
      </w:pPr>
    </w:p>
    <w:p w:rsidR="00B11355" w:rsidRPr="000E2049" w:rsidRDefault="00B11355" w:rsidP="00ED2B85">
      <w:pPr>
        <w:pStyle w:val="Textoindependiente"/>
        <w:spacing w:line="360" w:lineRule="auto"/>
        <w:rPr>
          <w:rFonts w:ascii="Palatino Linotype" w:hAnsi="Palatino Linotype"/>
        </w:rPr>
      </w:pPr>
      <w:r w:rsidRPr="000E2049">
        <w:rPr>
          <w:rFonts w:ascii="Palatino Linotype" w:hAnsi="Palatino Linotype"/>
          <w:b/>
        </w:rPr>
        <w:t>VISTO</w:t>
      </w:r>
      <w:r w:rsidRPr="000E2049">
        <w:rPr>
          <w:rFonts w:ascii="Palatino Linotype" w:hAnsi="Palatino Linotype"/>
        </w:rPr>
        <w:t xml:space="preserve"> el expediente electrónico formado con motivo del recurso de revisión </w:t>
      </w:r>
      <w:r w:rsidRPr="000E2049">
        <w:rPr>
          <w:rFonts w:ascii="Palatino Linotype" w:hAnsi="Palatino Linotype"/>
          <w:b/>
          <w:bCs/>
        </w:rPr>
        <w:t xml:space="preserve">04495/INFOEM/IP/RR/2019, </w:t>
      </w:r>
      <w:r w:rsidRPr="000E2049">
        <w:rPr>
          <w:rFonts w:ascii="Palatino Linotype" w:hAnsi="Palatino Linotype"/>
        </w:rPr>
        <w:t xml:space="preserve">promovido por la </w:t>
      </w:r>
      <w:r w:rsidRPr="000E2049">
        <w:rPr>
          <w:rFonts w:ascii="Palatino Linotype" w:hAnsi="Palatino Linotype"/>
          <w:b/>
        </w:rPr>
        <w:t>C.</w:t>
      </w:r>
      <w:r w:rsidRPr="000E2049">
        <w:rPr>
          <w:rFonts w:ascii="Palatino Linotype" w:hAnsi="Palatino Linotype"/>
        </w:rPr>
        <w:t xml:space="preserve"> </w:t>
      </w:r>
      <w:r w:rsidR="00E84BAA">
        <w:rPr>
          <w:rFonts w:ascii="Palatino Linotype" w:hAnsi="Palatino Linotype"/>
          <w:b/>
        </w:rPr>
        <w:t>xxxxxxxxxxxxxxxx</w:t>
      </w:r>
      <w:bookmarkStart w:id="0" w:name="_GoBack"/>
      <w:bookmarkEnd w:id="0"/>
      <w:r w:rsidRPr="000E2049">
        <w:rPr>
          <w:rFonts w:ascii="Palatino Linotype" w:hAnsi="Palatino Linotype"/>
          <w:b/>
        </w:rPr>
        <w:t xml:space="preserve">, </w:t>
      </w:r>
      <w:r w:rsidRPr="000E2049">
        <w:rPr>
          <w:rFonts w:ascii="Palatino Linotype" w:hAnsi="Palatino Linotype"/>
        </w:rPr>
        <w:t xml:space="preserve">en su calidad de </w:t>
      </w:r>
      <w:r w:rsidRPr="000E2049">
        <w:rPr>
          <w:rFonts w:ascii="Palatino Linotype" w:hAnsi="Palatino Linotype"/>
          <w:b/>
        </w:rPr>
        <w:t>recurrente</w:t>
      </w:r>
      <w:r w:rsidRPr="000E2049">
        <w:rPr>
          <w:rFonts w:ascii="Palatino Linotype" w:hAnsi="Palatino Linotype"/>
        </w:rPr>
        <w:t xml:space="preserve">, en contra de la respuesta del </w:t>
      </w:r>
      <w:r w:rsidRPr="000E2049">
        <w:rPr>
          <w:rFonts w:ascii="Palatino Linotype" w:hAnsi="Palatino Linotype"/>
          <w:b/>
        </w:rPr>
        <w:t xml:space="preserve">Ayuntamiento de Cuautitlán Izcalli, </w:t>
      </w:r>
      <w:r w:rsidRPr="000E2049">
        <w:rPr>
          <w:rFonts w:ascii="Palatino Linotype" w:hAnsi="Palatino Linotype"/>
        </w:rPr>
        <w:t>en lo sucesivo el</w:t>
      </w:r>
      <w:r w:rsidRPr="000E2049">
        <w:rPr>
          <w:rFonts w:ascii="Palatino Linotype" w:hAnsi="Palatino Linotype"/>
          <w:b/>
        </w:rPr>
        <w:t xml:space="preserve"> sujeto obligado, </w:t>
      </w:r>
      <w:r w:rsidRPr="000E2049">
        <w:rPr>
          <w:rFonts w:ascii="Palatino Linotype" w:hAnsi="Palatino Linotype"/>
        </w:rPr>
        <w:t>se procede a dictar la presente resolución, con base en los siguientes:</w:t>
      </w:r>
    </w:p>
    <w:p w:rsidR="00B11355" w:rsidRPr="000E2049" w:rsidRDefault="00B11355" w:rsidP="00ED2B85">
      <w:pPr>
        <w:pStyle w:val="Textoindependiente"/>
        <w:spacing w:line="360" w:lineRule="auto"/>
        <w:rPr>
          <w:rFonts w:ascii="Palatino Linotype" w:hAnsi="Palatino Linotype"/>
        </w:rPr>
      </w:pPr>
    </w:p>
    <w:p w:rsidR="00B11355" w:rsidRPr="000E2049" w:rsidRDefault="00B11355" w:rsidP="00ED2B85">
      <w:pPr>
        <w:pStyle w:val="Ttulo1"/>
        <w:spacing w:before="0" w:line="360" w:lineRule="auto"/>
        <w:jc w:val="center"/>
        <w:rPr>
          <w:sz w:val="28"/>
        </w:rPr>
      </w:pPr>
      <w:bookmarkStart w:id="1" w:name="_Toc534742538"/>
      <w:r w:rsidRPr="000E2049">
        <w:rPr>
          <w:sz w:val="28"/>
        </w:rPr>
        <w:t>A N T E C E D E N T E S</w:t>
      </w:r>
      <w:bookmarkEnd w:id="1"/>
    </w:p>
    <w:p w:rsidR="00B11355" w:rsidRPr="000E2049" w:rsidRDefault="00B11355" w:rsidP="00ED2B85">
      <w:pPr>
        <w:spacing w:line="360" w:lineRule="auto"/>
        <w:rPr>
          <w:lang w:val="es-MX" w:eastAsia="en-US"/>
        </w:rPr>
      </w:pPr>
    </w:p>
    <w:p w:rsidR="00B11355" w:rsidRPr="000E2049" w:rsidRDefault="00B11355" w:rsidP="00ED2B85">
      <w:pPr>
        <w:spacing w:line="360" w:lineRule="auto"/>
        <w:jc w:val="both"/>
        <w:rPr>
          <w:rFonts w:ascii="Palatino Linotype" w:hAnsi="Palatino Linotype"/>
          <w:sz w:val="28"/>
        </w:rPr>
      </w:pPr>
      <w:r w:rsidRPr="000E2049">
        <w:rPr>
          <w:rFonts w:ascii="Palatino Linotype" w:hAnsi="Palatino Linotype" w:cs="Arial"/>
          <w:b/>
          <w:sz w:val="28"/>
        </w:rPr>
        <w:t>Primero.</w:t>
      </w:r>
      <w:r w:rsidRPr="000E2049">
        <w:rPr>
          <w:rFonts w:ascii="Palatino Linotype" w:hAnsi="Palatino Linotype" w:cs="Arial"/>
          <w:sz w:val="28"/>
        </w:rPr>
        <w:t xml:space="preserve"> </w:t>
      </w:r>
      <w:r w:rsidRPr="000E2049">
        <w:rPr>
          <w:rFonts w:ascii="Palatino Linotype" w:hAnsi="Palatino Linotype"/>
          <w:b/>
          <w:sz w:val="28"/>
        </w:rPr>
        <w:t>De la solicitud de información.</w:t>
      </w:r>
    </w:p>
    <w:p w:rsidR="00B11355" w:rsidRPr="000E2049" w:rsidRDefault="00B11355" w:rsidP="00ED2B85">
      <w:pPr>
        <w:spacing w:line="360" w:lineRule="auto"/>
        <w:jc w:val="both"/>
        <w:rPr>
          <w:rFonts w:ascii="Palatino Linotype" w:eastAsia="Calibri" w:hAnsi="Palatino Linotype" w:cs="Arial"/>
          <w:lang w:val="es-ES"/>
        </w:rPr>
      </w:pPr>
      <w:r w:rsidRPr="000E2049">
        <w:rPr>
          <w:rFonts w:ascii="Palatino Linotype" w:eastAsia="Calibri" w:hAnsi="Palatino Linotype" w:cs="Arial"/>
          <w:lang w:val="es-ES"/>
        </w:rPr>
        <w:t>El día veintiséis de abril de dos mil diecinueve,</w:t>
      </w:r>
      <w:r w:rsidRPr="000E2049">
        <w:rPr>
          <w:rFonts w:ascii="Palatino Linotype" w:eastAsia="Calibri" w:hAnsi="Palatino Linotype" w:cs="Times New Roman"/>
          <w:lang w:val="es-ES"/>
        </w:rPr>
        <w:t xml:space="preserve"> la particular </w:t>
      </w:r>
      <w:r w:rsidRPr="000E2049">
        <w:rPr>
          <w:rFonts w:ascii="Palatino Linotype" w:hAnsi="Palatino Linotype"/>
          <w:szCs w:val="22"/>
        </w:rPr>
        <w:t xml:space="preserve">presentó </w:t>
      </w:r>
      <w:r w:rsidRPr="000E2049">
        <w:rPr>
          <w:rFonts w:ascii="Palatino Linotype" w:eastAsia="Calibri" w:hAnsi="Palatino Linotype" w:cs="Arial"/>
          <w:lang w:val="es-ES"/>
        </w:rPr>
        <w:t xml:space="preserve">ante el </w:t>
      </w:r>
      <w:r w:rsidRPr="000E2049">
        <w:rPr>
          <w:rFonts w:ascii="Palatino Linotype" w:eastAsia="Calibri" w:hAnsi="Palatino Linotype" w:cs="Arial"/>
          <w:b/>
          <w:lang w:val="es-ES"/>
        </w:rPr>
        <w:t>sujeto obligado,</w:t>
      </w:r>
      <w:r w:rsidRPr="000E2049">
        <w:rPr>
          <w:rFonts w:ascii="Palatino Linotype" w:eastAsia="Calibri" w:hAnsi="Palatino Linotype" w:cs="Arial"/>
        </w:rPr>
        <w:t xml:space="preserve"> vía </w:t>
      </w:r>
      <w:r w:rsidRPr="000E2049">
        <w:rPr>
          <w:rFonts w:ascii="Palatino Linotype" w:eastAsia="Calibri" w:hAnsi="Palatino Linotype" w:cs="Arial"/>
          <w:lang w:val="es-ES"/>
        </w:rPr>
        <w:t xml:space="preserve">Sistema de Acceso a la Información Mexiquense (SAIMEX), la solicitud de información pública registrada con el número </w:t>
      </w:r>
      <w:r w:rsidRPr="000E2049">
        <w:rPr>
          <w:rFonts w:ascii="Palatino Linotype" w:eastAsia="Times New Roman" w:hAnsi="Palatino Linotype" w:cs="Arial"/>
          <w:b/>
          <w:lang w:val="es-ES"/>
        </w:rPr>
        <w:t>00313/CUAUTIZC/IP/2019</w:t>
      </w:r>
      <w:r w:rsidRPr="000E2049">
        <w:rPr>
          <w:rFonts w:ascii="Palatino Linotype" w:eastAsia="Calibri" w:hAnsi="Palatino Linotype" w:cs="Arial"/>
          <w:lang w:val="es-ES"/>
        </w:rPr>
        <w:t>, mediante la cual requirió:</w:t>
      </w:r>
    </w:p>
    <w:p w:rsidR="00B11355" w:rsidRPr="000E2049" w:rsidRDefault="00B11355" w:rsidP="00ED2B85">
      <w:pPr>
        <w:spacing w:line="360" w:lineRule="auto"/>
        <w:jc w:val="both"/>
        <w:rPr>
          <w:rFonts w:ascii="Palatino Linotype" w:eastAsia="Calibri" w:hAnsi="Palatino Linotype" w:cs="Arial"/>
          <w:lang w:val="es-ES"/>
        </w:rPr>
      </w:pPr>
    </w:p>
    <w:p w:rsidR="00B11355" w:rsidRPr="000E2049" w:rsidRDefault="00B11355" w:rsidP="00ED2B85">
      <w:pPr>
        <w:pStyle w:val="Textoindependienteprimerasangra2"/>
        <w:ind w:left="567" w:right="567" w:firstLine="0"/>
        <w:jc w:val="both"/>
        <w:rPr>
          <w:rFonts w:ascii="Palatino Linotype" w:hAnsi="Palatino Linotype"/>
          <w:i/>
          <w:sz w:val="22"/>
          <w:szCs w:val="22"/>
        </w:rPr>
      </w:pPr>
      <w:r w:rsidRPr="000E2049">
        <w:rPr>
          <w:rFonts w:ascii="Palatino Linotype" w:hAnsi="Palatino Linotype"/>
          <w:i/>
          <w:sz w:val="22"/>
          <w:szCs w:val="22"/>
          <w:lang w:val="es-MX" w:eastAsia="en-US"/>
        </w:rPr>
        <w:t>“Con fundamento en el artículo 8 de la Constitución Política de los Estados Unidos Mexicanos, solicitó se me informe cuantos tianguis, mercados semifijos, puestos semifijos, mercados sobre ruedas hay en todo el territorio del municipio de Cuautitlán Izcalli, en donde se encuentran ubicados cada uno de estos y cuál es la autoridad responsable de emitir los permisos correspondientes. También se indique que requisitos se requieren para la colocación de estos y cuanto se cobra por el uso de suelo así como el uso que se le da al ingreso de este dinero recaudado y quien es la autoridad facultada para el uso del recurso.</w:t>
      </w:r>
      <w:r w:rsidRPr="000E2049">
        <w:rPr>
          <w:rFonts w:ascii="Palatino Linotype" w:hAnsi="Palatino Linotype"/>
          <w:i/>
          <w:sz w:val="22"/>
          <w:szCs w:val="22"/>
        </w:rPr>
        <w:t>” (Sic)</w:t>
      </w:r>
    </w:p>
    <w:p w:rsidR="00B11355" w:rsidRPr="000E2049" w:rsidRDefault="00B11355" w:rsidP="00ED2B85">
      <w:pPr>
        <w:pStyle w:val="Textoindependienteprimerasangra2"/>
        <w:spacing w:line="360" w:lineRule="auto"/>
        <w:rPr>
          <w:rFonts w:ascii="Palatino Linotype" w:hAnsi="Palatino Linotype"/>
        </w:rPr>
      </w:pPr>
    </w:p>
    <w:p w:rsidR="00B11355" w:rsidRPr="000E2049" w:rsidRDefault="00B11355" w:rsidP="00ED2B85">
      <w:pPr>
        <w:pStyle w:val="Prrafodelista"/>
        <w:spacing w:line="360" w:lineRule="auto"/>
        <w:ind w:left="0"/>
        <w:jc w:val="both"/>
        <w:rPr>
          <w:rFonts w:ascii="Palatino Linotype" w:eastAsia="Times New Roman" w:hAnsi="Palatino Linotype" w:cs="Arial"/>
          <w:lang w:val="es-ES"/>
        </w:rPr>
      </w:pPr>
      <w:r w:rsidRPr="000E2049">
        <w:rPr>
          <w:rFonts w:ascii="Palatino Linotype" w:eastAsia="Times New Roman" w:hAnsi="Palatino Linotype" w:cs="Arial"/>
          <w:lang w:val="es-ES"/>
        </w:rPr>
        <w:lastRenderedPageBreak/>
        <w:t>Señaló como modalidad de entrega de la información</w:t>
      </w:r>
      <w:r w:rsidRPr="000E2049">
        <w:rPr>
          <w:rFonts w:ascii="Palatino Linotype" w:eastAsia="Times New Roman" w:hAnsi="Palatino Linotype" w:cs="Arial"/>
          <w:b/>
          <w:lang w:val="es-ES"/>
        </w:rPr>
        <w:t>:</w:t>
      </w:r>
      <w:r w:rsidRPr="000E2049">
        <w:rPr>
          <w:rFonts w:ascii="Palatino Linotype" w:eastAsia="Times New Roman" w:hAnsi="Palatino Linotype" w:cs="Arial"/>
          <w:lang w:val="es-ES"/>
        </w:rPr>
        <w:t xml:space="preserve"> a través del </w:t>
      </w:r>
      <w:r w:rsidRPr="000E2049">
        <w:rPr>
          <w:rFonts w:ascii="Palatino Linotype" w:eastAsia="Times New Roman" w:hAnsi="Palatino Linotype" w:cs="Arial"/>
          <w:b/>
          <w:lang w:val="es-ES"/>
        </w:rPr>
        <w:t>SAIMEX</w:t>
      </w:r>
    </w:p>
    <w:p w:rsidR="00B11355" w:rsidRPr="000E2049" w:rsidRDefault="00B11355" w:rsidP="00ED2B85">
      <w:pPr>
        <w:spacing w:line="360" w:lineRule="auto"/>
        <w:jc w:val="both"/>
        <w:rPr>
          <w:rFonts w:ascii="Palatino Linotype" w:eastAsia="Times New Roman" w:hAnsi="Palatino Linotype" w:cs="Arial"/>
          <w:lang w:val="es-ES"/>
        </w:rPr>
      </w:pPr>
    </w:p>
    <w:p w:rsidR="00B11355" w:rsidRPr="000E2049" w:rsidRDefault="00B11355" w:rsidP="00ED2B85">
      <w:pPr>
        <w:spacing w:line="360" w:lineRule="auto"/>
        <w:jc w:val="both"/>
        <w:rPr>
          <w:rFonts w:ascii="Palatino Linotype" w:hAnsi="Palatino Linotype" w:cs="Arial"/>
          <w:b/>
          <w:sz w:val="28"/>
        </w:rPr>
      </w:pPr>
      <w:r w:rsidRPr="000E2049">
        <w:rPr>
          <w:rFonts w:ascii="Palatino Linotype" w:hAnsi="Palatino Linotype" w:cs="Arial"/>
          <w:b/>
          <w:sz w:val="28"/>
        </w:rPr>
        <w:t>Segundo. De la respuesta por parte del sujeto obligado.</w:t>
      </w:r>
    </w:p>
    <w:p w:rsidR="00B11355" w:rsidRPr="000E2049" w:rsidRDefault="00B11355" w:rsidP="00ED2B85">
      <w:pPr>
        <w:spacing w:line="360" w:lineRule="auto"/>
        <w:jc w:val="both"/>
        <w:rPr>
          <w:rFonts w:ascii="Palatino Linotype" w:hAnsi="Palatino Linotype" w:cs="Arial"/>
        </w:rPr>
      </w:pPr>
      <w:r w:rsidRPr="000E2049">
        <w:rPr>
          <w:rFonts w:ascii="Palatino Linotype" w:hAnsi="Palatino Linotype" w:cs="Arial"/>
        </w:rPr>
        <w:t xml:space="preserve">En fecha veintiuno de mayo de dos mil diecinueve, el </w:t>
      </w:r>
      <w:r w:rsidRPr="000E2049">
        <w:rPr>
          <w:rFonts w:ascii="Palatino Linotype" w:hAnsi="Palatino Linotype" w:cs="Arial"/>
          <w:b/>
        </w:rPr>
        <w:t xml:space="preserve">sujeto obligado </w:t>
      </w:r>
      <w:r w:rsidRPr="000E2049">
        <w:rPr>
          <w:rFonts w:ascii="Palatino Linotype" w:hAnsi="Palatino Linotype" w:cs="Arial"/>
        </w:rPr>
        <w:t xml:space="preserve">respondió a la solicitud de información en los términos siguientes:  </w:t>
      </w:r>
    </w:p>
    <w:p w:rsidR="00B11355" w:rsidRPr="000E2049" w:rsidRDefault="00B11355" w:rsidP="00ED2B85">
      <w:pPr>
        <w:pStyle w:val="Prrafodelista"/>
        <w:spacing w:line="360" w:lineRule="auto"/>
        <w:ind w:left="426"/>
        <w:jc w:val="both"/>
        <w:rPr>
          <w:rFonts w:ascii="Palatino Linotype" w:hAnsi="Palatino Linotype" w:cs="Arial"/>
        </w:rPr>
      </w:pPr>
    </w:p>
    <w:p w:rsidR="00B11355" w:rsidRPr="000E2049" w:rsidRDefault="00B11355" w:rsidP="00ED2B85">
      <w:pPr>
        <w:pStyle w:val="Prrafodelista"/>
        <w:ind w:left="567" w:right="567"/>
        <w:jc w:val="both"/>
        <w:rPr>
          <w:rFonts w:ascii="Palatino Linotype" w:hAnsi="Palatino Linotype"/>
          <w:i/>
          <w:color w:val="000000"/>
          <w:sz w:val="22"/>
          <w:szCs w:val="22"/>
        </w:rPr>
      </w:pPr>
      <w:r w:rsidRPr="000E2049">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11355" w:rsidRPr="000E2049" w:rsidRDefault="00B11355" w:rsidP="00ED2B85">
      <w:pPr>
        <w:pStyle w:val="Prrafodelista"/>
        <w:ind w:left="567" w:right="567"/>
        <w:jc w:val="both"/>
        <w:rPr>
          <w:rFonts w:ascii="Palatino Linotype" w:hAnsi="Palatino Linotype"/>
          <w:i/>
          <w:color w:val="000000"/>
          <w:sz w:val="22"/>
          <w:szCs w:val="22"/>
        </w:rPr>
      </w:pPr>
    </w:p>
    <w:p w:rsidR="00B11355" w:rsidRPr="000E2049" w:rsidRDefault="00B11355" w:rsidP="00ED2B85">
      <w:pPr>
        <w:pStyle w:val="Prrafodelista"/>
        <w:ind w:left="567" w:right="567"/>
        <w:jc w:val="both"/>
        <w:rPr>
          <w:rFonts w:ascii="Palatino Linotype" w:hAnsi="Palatino Linotype"/>
          <w:i/>
          <w:color w:val="000000"/>
          <w:sz w:val="22"/>
          <w:szCs w:val="22"/>
        </w:rPr>
      </w:pPr>
      <w:r w:rsidRPr="000E2049">
        <w:rPr>
          <w:rFonts w:ascii="Palatino Linotype" w:hAnsi="Palatino Linotype"/>
          <w:i/>
          <w:color w:val="000000"/>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(1)Dirección General de Desarrollo Económico y (2)Tesorería Municipal 1.- “respecto de la solicitud número 00313/CUAUTIZ/IP/2019, registrada vía internet, en la que solicita “: “Con fundamento en el artículo 8 de la Constitución Política de los Estados Unidos Mexicanos, solicitó se me informe cuantos tianguis, mercados semifijos, puestos semifijos, mercados sobre ruedas hay en todo el territorio del municipio de Cuautitlán Izcalli, en donde se encuentran ubicados cada uno de estos y cuál es la autoridad responsable de emitir los permisos correspondientes. También se indique que requisitos se requieren para la colocación de estos y cuanto se cobra por el uso de suelo así como el uso que se le da al ingreso de este dinero recaudado y quien es la autoridad facultada para el uso del recurso. … ”(sic), en cumplimiento a lo anterior emito la información solicitada en el siguiente sentido: MODALIDAD CANTIDAD UBICACIÒN TIANGUIS 81 SE ADJUNTA EN EL ANEXO 1 MERCADOS SEMIFIJOS NINGUNO MERCADOS SOBRE RUEDAS DOS ZONA DE BANCOS Y SAN JUDAS TADEO PUESTOS SEMIFIJOS NO SE CUENTA CON EL DATO EXACTO, LA DIRECCIÓN DE ABASTO Y COMERCIO, SE ENCUENTRA EN ETAPA DE CENSO Y CUANTIFICACIÒN DE LOS MISMOS, TODA VEZ QUE LA ANTERIOR ADMINISTRACIÒN NO DEJO ARCHIVO AL RESPECTO. • La autoridad responsable o competente para emitir los permisos correspondientes, es la Dirección General de Desarrollo Económico, por conducto de la Dirección de Abasto y Comercio. • Los “…requisitos que se requieren </w:t>
      </w:r>
      <w:r w:rsidRPr="000E2049">
        <w:rPr>
          <w:rFonts w:ascii="Palatino Linotype" w:hAnsi="Palatino Linotype"/>
          <w:i/>
          <w:color w:val="000000"/>
          <w:sz w:val="22"/>
          <w:szCs w:val="22"/>
        </w:rPr>
        <w:lastRenderedPageBreak/>
        <w:t xml:space="preserve">para la colocación de estos…”, están contemplados en el Reglamento Municipal de Procedimientos Administrativos de Cuautitlán Izcalli, México, en su artículo 15, y en los artículos 119 y 120, del Reglamento General de Servicios de Cuautitlán Izcalli, México, que a la letra disponen: Artículo 15.- Las solicitudes para ejercer el comercio en puestos fijos o semifijos, se presentarán en formato oficial, al que se adjuntarán los siguientes documentos: I. Tres fotografías recientes tamaño credencial. II. Presentar constancia domiciliaria. III. Tarjeta sanitaria en su caso. IV. Copia de credencial de elector. V. Copia de la Cédula de Identificación Fiscal. VI. Exhibir el dictamen favorable de la Dirección de Desarrollo Urbano. Los permisos para puestos fijos o semifijos, estarán sujetos a la disponibilidad de espacios públicos destinados para ello. Artículo 119. Los tianguistas, deberán satisfacer las siguientes obligaciones: I. Estar agrupados en una sociedad civil; II. Obtener la autorización de tianguis, independientemente de las autorizaciones individuales de cada tianguista. La autorización de nuevos tianguis quedara sujeta a los permisos y anuencias necesarias y a la necesidad del servicio en la zona; III. Mantener y dejar debidamente aseados los lugares que hubieren ocupado; IV. Observar las condiciones de la autorización del tianguis, respecto de ubicación, días y horarios de funcionamiento, distintivos, medidas de los puestos, y demás condiciones para el buen funcionamiento del mismo; V. Poseer puestos desarmables, fabricados con material metálico y techados en lona ahulada del color que corresponda al tianguis. de que se trate; VI. Mantener libres de puestos o mercancías: a) Las banquetas y el arroyo de circulación en los frentes de las entradas de vehículos de los inmuebles ubicados en las vías publicas en que se autorice la instalación del tianguis; b) El área que la autoridad competente señale para los andadores que deban utilizar los consumidores que concurran al tianguis. VII. Abstenerse de colocar lazos, cables de cualquier material, o tendidos, sujetándolos de salientes, puertas, postes o marquesinas de los inmuebles ubicados en la vía pública en que se autorice la instalación del tianguis, salvo que se cuente con el permiso escrito del propietario del inmueble de que se trate; VIII. Agrupar los puestos conforme a los productos que expendan; IX. Reubicar el tianguis al lugar que determine la autoridad competente, cuando existan motivos que lo justifiquen o causas de fuerza mayor; X. Los que se dediquen a la venta de alimentos preparados, deberán contar con la licencia o autorización sanitaria correspondiente, además de disponer de los elementos adecuados e higiénicos, para el desarrollo de su actividad, debiendo contar siempre con agua purificada para la preparación de los alimentos que lo requieran; XI. Contar con la revisión, y observar las recomendaciones que haga la Subdirección de Protección Civil y Bomberos, en los casos en que utilicen gas licuado de petróleo; XII. Contar con una ruta de evacuación debidamente señalizada, y en la que en ningún caso podrán colocarse puestos o mercancías. XIII. Diseñar un plan de contingencia para aplicarse por los propios tianguistas en caso de siniestro o de emergencia provocada por cualquier causa, debiendo someterlo a la aprobación de la autoridad competente; XIV. Contar con baños portátiles dentro del área designada para el tianguis;1 XV. Las demás que previene este reglamento u otros ordenamientos legales. Artículo 120. El comercio en vía pública, queda sujeto a lo siguiente: I. Los puestos fijos </w:t>
      </w:r>
      <w:r w:rsidRPr="000E2049">
        <w:rPr>
          <w:rFonts w:ascii="Palatino Linotype" w:hAnsi="Palatino Linotype"/>
          <w:i/>
          <w:color w:val="000000"/>
          <w:sz w:val="22"/>
          <w:szCs w:val="22"/>
        </w:rPr>
        <w:lastRenderedPageBreak/>
        <w:t xml:space="preserve">y semi-fijos, serán diseñados, ubicados o reubicados por el Municipio a través de la autoridad competente. II. Los comerciantes que deseen ejercer su actividad en puestos fijos y semi fijos, se someterán a las condiciones previstas en los artículos 34 y 36 del presente reglamento, teniendo las obligaciones que tales preceptos imponen, y además las siguientes: a) Obtener de la autoridad competente el permiso, para ejercer el comercio en vía pública; b) Observar las condiciones de su permiso de uso correspondiente; c) Desocupar los puestos cuando éstos deban ser reubicados a los lugares en que determine la autoridad competente; d) Conservar en buen estado los puestos, acatando las determinaciones de la autoridad competente, relativas a las acciones de mantenimiento de los mismos; e) Los que se dediquen a la venta de alimentos, observarán en lo conducente las disposiciones de la fracción X del artículo anterior. III. Queda prohibida la construcción y colocación de puestos fijos y semi-fijos por parte de particulares que no cumplan con lo establecido en el presente ordenamiento y demás disposiciones reglamentarias; IV. Queda prohibido colocar puestos fijos y semi fijos en los accesos a los inmuebles o que obstruyan la visibilidad de señalamientos viales, igualmente queda prohibido instalar dichos puestos en lugares declarados históricos y en los alrededores de edificios e instalaciones de procuración de Justicia, Seguridad Pública, Bomberos, Protección Civil o centros penitenciarios; V. Los vendedores ambulantes, deberán obtener el permiso correspondiente, y no podrán estacionar transitoria o permanentemente sus productos en la vía, áreas o lugares públicos. • En cuanto a “…cuanto se cobra por el uso de suelo…”, el importe se cobra en términos del artículo 154 fracción I del Código Financiero del Estado de México y Municipios, que a la letra disponen: “Artículo 154.- Por el uso de vías, plazas públicas, mercados públicos municipales o áreas de uso común para realizar actividades comerciales o de servicios, se pagarán por día los derechos conforme a la siguiente: TARIFA CONCEPTO NÚMERO DE VECES EL VALOR DIARIO DE LA UNIDAD DE MEDIDA Y ACTUALIZACIÓN VIGENTE I. Puestos fijos, semifijos o comerciantes ambulantes por cada metro cuadrado o fracción. 0.01 ANEXO 1 TIANGUIS EN VIA PÚBLICA. No Ubicación Del Tianguis Colonia 1 12 De Oct. Y 8 De Mayo Las Auroritas 2 La Herradura La Piedad 3 Los Pinos San Fco. Tepojaco 4 Circuito Miraflores Valle De Las Flores 5 16 De Septiembre Y Calle Del Beso Santa Bárbara 6 Paseo De Las Haciendas Entre Av. Constitución Jardines De La Hacienda 7 Paseos Del Bosque Y Pinos Bosques 1era. Andador 8 Av. Citlaltepec Esquina Nevado De Toluca Infonavit Norte 9 Av. El Jacal La Perla 10 Zona De Bancos Centro Urbano 11 16 De Septiembre Entre Norte 12 Fraccionamiento La Piedad 12 Cuitláhuac Fidel Velázquez 13 Miraflores Valle De Las Flores 14 Calle naranjos entre Av. Bosques de Morelos y calle cactus Bosques de Morelos+morelos 15 Bellas Artes Pintores Y Esculturas J.J. Cantú Joyita Y Las Torres 16 Rio Usumacinta La presita 17 Av. Del parque La quebrada 18 Av. La quebrada La quebrada 19 Jalisco Y San Luis Potosí Luis Echeverría 20 Av. Molino de las flores Infonavit Centro 21 Vicente Suarez a un costado de niños héroes Niños Héroes 22 Xalpa entre Hacienda. mayorazgo Hacienda del parque 23 Av. NopAltepec y av. San Antonio San Antonio 24 Av. Huehuetoca Cofradía I 25 Séptimo sol (estacionamiento) Sección </w:t>
      </w:r>
      <w:r w:rsidRPr="000E2049">
        <w:rPr>
          <w:rFonts w:ascii="Palatino Linotype" w:hAnsi="Palatino Linotype"/>
          <w:i/>
          <w:color w:val="000000"/>
          <w:sz w:val="22"/>
          <w:szCs w:val="22"/>
        </w:rPr>
        <w:lastRenderedPageBreak/>
        <w:t xml:space="preserve">parques 26 Potrero y trigal Jardines de la hacienda 27 Paseos de las haciendas Jardines de la Hacienda. 28 Paseos de los bosques y pinos Bosques primera 29 Av. Citlaltepec Infonavit norte 30 Av. Constitución Colinas del lago 31 Calle naranjos Bosques de Morelos 32 Adolfo López Mateos El rosario 33 Av. Cuitláhuac Fidel Velázquez 34 Av. Jiménez Cantú Bosques del alba 35 Av. De los mares Atlanta 36 Av. Huehuetoca y autopista Mèx. Qro. Valle de la Hacienda. 37 Av. Tláloc Axotlan 38 Bosques de los pinos Bosques de la hda primera sección 39 Alhelí entre López Portillo y vías del tren Santa María Guadalupe la quebrada 40 Adolfo Ruíz Cortines Jorge Jiménez Cantú 41 Av. Chapultepec Bosques primera 42 Júpiter Ensueños 43 Paseos de Francia Residencial la luz 44 Camino a Tepojaco Las auroritas 45 Av. Benito Juárez San Sebastián Xhala 46 Los pinos San Fco. Tepojaco 47 16 de septiembre Fraccionamiento la piedad 48 Av. El vidrio Santa rosa de Lima 49 Av. Desiertos Atlanta 50 Cuitláhuac Fidel Velázquez 51 Naranjos Bosques de Morelos 52 Torre omega Santa María Guadalupe las torres 53 San judas Tadeo Centro urbano 54 Molino de las flores Infonavit Centro 55 Torre eléctrica El Tikal 56 Pensamiento Santa María Guadalupe la quebrada 57 Faisán Tepojaco 58 Huilango Huilango 59 Av. Revolución Mirador santa rosa 60 Av. Huehuetoca Cofradía I 61 Bosques chicos Bosques de la Hacienda. I sección 62 Ajusco sur Infonavit norte 63 Av. Chapultepec Bosques primera sección 64 Vicente Suarez y niños héroes Niños héroes 65 Calle naranjos Bosques de Morelos 66 Cuitláhuac Fidel Velázquez 67 Reforma agraria La piedad 68 Trópicos y av de los mares Atlanta 69 Bosques de Bolognia Bosques del lago 70 Calle mina Tepojaco 71 Av torre omega Santa María Guadalupe las torres 72 Ajusco sur Infonavit norte 73 Villa Nicolás Romero El Rosario 74 Av. Huehuetoca Valle de la Hacienda. 75 Potrero y trigal Jardines de la Hacienda. 76 Betunia y begonia Santa María Gpe. La quebrada 77 Jacarandas y duraznos Tres de mayo 78 Av bosques de Morelos Jiménez Cantú 79 Querétaro San Luis Potosí y Michoacán Luis Echeverría 80 San Sebastián Lomas de Cuautitlán 81 Jilotzingo Cumbria “ 2.- “LIC. HUGO INFANTE LLERENAS TITULAR DE LA UNIDAD DE TRANSPARENCIA PRESENTE Por este conducto y en respuesta a la solicitud 00313/CUAUTIZC/IP/2019/TSP/0002 por el Sistema Saimex, que a la letra señala: DESCRIPCIÓN DE LA INFORMACIÓN SOLICITADA: “Con fundamento en el artículo 8 de la Constitución Política de los Estados Unidos Mexicanos, solicitó se me informe cuantos tianguis, mercados semifijos, puestos semifijos, mercados sobre ruedas hay en todo el territorio del municipio de Cuautitlán Izcalli, en donde se encuentran ubicados cada uno de estos y cuál es la autoridad responsable de emitir los permisos correspondientes. También se indique que requisitos se requieren para la colocación de estos y cuanto se cobra por el uso de suelo así como el uso que se le da al ingreso de este dinero recaudado y quien es la autoridad facultada para el uso del recurso.” (sic). Por lo que con fundamento en lo previsto por los Artículos 6 A fracción I de la Constitución Política de los Estados Unidos, 12 fracción I y II, 24 Fracción XIX, 166 de la Ley de Transparencia y Acceso a la Información Pública del Estado de México y Municipios, 132 del Bando Municipal 2019 del Municipio de Cuautitlán Izcalli: No omito informar que el recurso que se hace llegar a la Tesorería Municipal por este </w:t>
      </w:r>
      <w:r w:rsidRPr="000E2049">
        <w:rPr>
          <w:rFonts w:ascii="Palatino Linotype" w:hAnsi="Palatino Linotype"/>
          <w:i/>
          <w:color w:val="000000"/>
          <w:sz w:val="22"/>
          <w:szCs w:val="22"/>
        </w:rPr>
        <w:lastRenderedPageBreak/>
        <w:t>concepto, es utilizado en gasto corriente. Agradeciendo la atención a la presente, quedo de usted para cualquier aclaración o duda. “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 (Sic)</w:t>
      </w:r>
    </w:p>
    <w:p w:rsidR="00B11355" w:rsidRPr="000E2049" w:rsidRDefault="00B11355" w:rsidP="00ED2B85">
      <w:pPr>
        <w:spacing w:line="360" w:lineRule="auto"/>
        <w:jc w:val="both"/>
        <w:rPr>
          <w:rFonts w:ascii="Palatino Linotype" w:hAnsi="Palatino Linotype" w:cs="Arial"/>
        </w:rPr>
      </w:pPr>
    </w:p>
    <w:p w:rsidR="00796851" w:rsidRPr="000E2049" w:rsidRDefault="00796851" w:rsidP="00ED2B85">
      <w:pPr>
        <w:spacing w:line="360" w:lineRule="auto"/>
        <w:jc w:val="both"/>
        <w:rPr>
          <w:rFonts w:ascii="Palatino Linotype" w:hAnsi="Palatino Linotype" w:cs="Arial"/>
        </w:rPr>
      </w:pPr>
      <w:r w:rsidRPr="000E2049">
        <w:rPr>
          <w:rFonts w:ascii="Palatino Linotype" w:hAnsi="Palatino Linotype" w:cs="Arial"/>
        </w:rPr>
        <w:t>Así mismo, se advierte que adjunto a su respuesta los archivos electrónicos “scaner 313.pdf” y “Solicitud 00313.pdf”, que se omite su inserción al ser del conocimiento de las partes, máxime que serán objeto de estudio en el apartado correspondiente.</w:t>
      </w:r>
    </w:p>
    <w:p w:rsidR="00796851" w:rsidRPr="000E2049" w:rsidRDefault="00796851" w:rsidP="00ED2B85">
      <w:pPr>
        <w:spacing w:line="360" w:lineRule="auto"/>
        <w:jc w:val="both"/>
        <w:rPr>
          <w:rFonts w:ascii="Palatino Linotype" w:hAnsi="Palatino Linotype" w:cs="Arial"/>
        </w:rPr>
      </w:pPr>
    </w:p>
    <w:p w:rsidR="00B11355" w:rsidRPr="000E2049" w:rsidRDefault="00B11355" w:rsidP="00ED2B85">
      <w:pPr>
        <w:spacing w:line="360" w:lineRule="auto"/>
        <w:jc w:val="both"/>
        <w:rPr>
          <w:rFonts w:ascii="Palatino Linotype" w:hAnsi="Palatino Linotype" w:cs="Arial"/>
          <w:b/>
          <w:sz w:val="28"/>
        </w:rPr>
      </w:pPr>
      <w:r w:rsidRPr="000E2049">
        <w:rPr>
          <w:rFonts w:ascii="Palatino Linotype" w:hAnsi="Palatino Linotype" w:cs="Arial"/>
          <w:b/>
          <w:sz w:val="28"/>
        </w:rPr>
        <w:t xml:space="preserve">Tercero. </w:t>
      </w:r>
      <w:r w:rsidRPr="000E2049">
        <w:rPr>
          <w:rFonts w:ascii="Palatino Linotype" w:hAnsi="Palatino Linotype"/>
          <w:b/>
          <w:sz w:val="28"/>
        </w:rPr>
        <w:t>Del recurso de revisión.</w:t>
      </w:r>
    </w:p>
    <w:p w:rsidR="00B11355" w:rsidRPr="000E2049" w:rsidRDefault="00B11355" w:rsidP="00ED2B85">
      <w:pPr>
        <w:spacing w:line="360" w:lineRule="auto"/>
        <w:jc w:val="both"/>
        <w:rPr>
          <w:rFonts w:ascii="Palatino Linotype" w:eastAsia="Times New Roman" w:hAnsi="Palatino Linotype" w:cs="Arial"/>
          <w:lang w:val="es-ES"/>
        </w:rPr>
      </w:pPr>
      <w:r w:rsidRPr="000E2049">
        <w:rPr>
          <w:rFonts w:ascii="Palatino Linotype" w:eastAsia="Calibri" w:hAnsi="Palatino Linotype" w:cs="Arial"/>
          <w:lang w:val="es-AR"/>
        </w:rPr>
        <w:t>El</w:t>
      </w:r>
      <w:r w:rsidRPr="000E2049">
        <w:rPr>
          <w:rFonts w:ascii="Palatino Linotype" w:eastAsia="Times New Roman" w:hAnsi="Palatino Linotype" w:cs="Arial"/>
          <w:lang w:val="es-ES"/>
        </w:rPr>
        <w:t xml:space="preserve"> día veintidós de mayo de dos mil diecinueve, la </w:t>
      </w:r>
      <w:r w:rsidRPr="000E2049">
        <w:rPr>
          <w:rFonts w:ascii="Palatino Linotype" w:eastAsia="Times New Roman" w:hAnsi="Palatino Linotype" w:cs="Arial"/>
          <w:b/>
          <w:lang w:val="es-ES"/>
        </w:rPr>
        <w:t>solicitante</w:t>
      </w:r>
      <w:r w:rsidRPr="000E2049">
        <w:rPr>
          <w:rFonts w:ascii="Palatino Linotype" w:eastAsia="Times New Roman" w:hAnsi="Palatino Linotype" w:cs="Arial"/>
          <w:lang w:val="es-ES"/>
        </w:rPr>
        <w:t xml:space="preserve"> inconforme ante la respuesta proporcionada por el </w:t>
      </w:r>
      <w:r w:rsidRPr="000E2049">
        <w:rPr>
          <w:rFonts w:ascii="Palatino Linotype" w:eastAsia="Times New Roman" w:hAnsi="Palatino Linotype" w:cs="Arial"/>
          <w:b/>
          <w:lang w:val="es-ES"/>
        </w:rPr>
        <w:t>sujeto obligado,</w:t>
      </w:r>
      <w:r w:rsidRPr="000E2049">
        <w:rPr>
          <w:rFonts w:ascii="Palatino Linotype" w:eastAsia="Times New Roman" w:hAnsi="Palatino Linotype" w:cs="Arial"/>
          <w:lang w:val="es-ES"/>
        </w:rPr>
        <w:t xml:space="preserve"> interpuso el recurso de revisión quedando registrado con el número </w:t>
      </w:r>
      <w:r w:rsidRPr="000E2049">
        <w:rPr>
          <w:rFonts w:ascii="Palatino Linotype" w:eastAsia="Times New Roman" w:hAnsi="Palatino Linotype" w:cs="Arial"/>
          <w:b/>
          <w:lang w:val="es-ES"/>
        </w:rPr>
        <w:t>04495/INFOEM/IP/RR/2019</w:t>
      </w:r>
      <w:r w:rsidRPr="000E2049">
        <w:rPr>
          <w:rFonts w:ascii="Palatino Linotype" w:eastAsia="Times New Roman" w:hAnsi="Palatino Linotype" w:cs="Arial"/>
          <w:lang w:val="es-ES"/>
        </w:rPr>
        <w:t>, en contra de la misma, haciendo valer como acto impugnado y motivos de inconformidad los siguientes:</w:t>
      </w:r>
      <w:bookmarkStart w:id="2" w:name="_Toc462307683"/>
      <w:bookmarkStart w:id="3" w:name="_Toc472427085"/>
      <w:bookmarkStart w:id="4" w:name="_Toc472500652"/>
    </w:p>
    <w:p w:rsidR="00B11355" w:rsidRPr="000E2049" w:rsidRDefault="00B11355" w:rsidP="00ED2B85">
      <w:pPr>
        <w:spacing w:line="360" w:lineRule="auto"/>
        <w:jc w:val="both"/>
        <w:rPr>
          <w:rFonts w:ascii="Palatino Linotype" w:hAnsi="Palatino Linotype" w:cs="Arial"/>
          <w:i/>
          <w:sz w:val="22"/>
          <w:szCs w:val="22"/>
        </w:rPr>
      </w:pPr>
    </w:p>
    <w:p w:rsidR="00B11355" w:rsidRPr="000E2049" w:rsidRDefault="00B11355" w:rsidP="00ED2B85">
      <w:pPr>
        <w:spacing w:line="360" w:lineRule="auto"/>
        <w:ind w:right="34"/>
        <w:jc w:val="both"/>
        <w:rPr>
          <w:rStyle w:val="Ttulo2Car"/>
          <w:rFonts w:ascii="Palatino Linotype" w:hAnsi="Palatino Linotype"/>
          <w:b/>
          <w:i/>
          <w:color w:val="auto"/>
          <w:sz w:val="24"/>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bookmarkStart w:id="29" w:name="_Toc528236329"/>
      <w:bookmarkStart w:id="30" w:name="_Toc531197683"/>
      <w:bookmarkStart w:id="31" w:name="_Toc531781766"/>
      <w:bookmarkStart w:id="32" w:name="_Toc534742539"/>
      <w:r w:rsidRPr="000E2049">
        <w:rPr>
          <w:rStyle w:val="Ttulo2Car"/>
          <w:rFonts w:ascii="Palatino Linotype" w:hAnsi="Palatino Linotype"/>
          <w:b/>
          <w:color w:val="auto"/>
          <w:sz w:val="24"/>
          <w:lang w:val="es-ES"/>
        </w:rPr>
        <w:t>Acto impugnado:</w:t>
      </w:r>
      <w:bookmarkEnd w:id="2"/>
      <w:bookmarkEnd w:id="3"/>
      <w:bookmarkEnd w:id="4"/>
      <w:r w:rsidRPr="000E2049">
        <w:rPr>
          <w:rStyle w:val="Ttulo2Car"/>
          <w:rFonts w:ascii="Palatino Linotype" w:hAnsi="Palatino Linotype"/>
          <w:b/>
          <w:i/>
          <w:color w:val="auto"/>
          <w:sz w:val="24"/>
          <w:lang w:val="es-ES"/>
        </w:rPr>
        <w:t xml:space="preserve"> </w:t>
      </w:r>
      <w:bookmarkStart w:id="33" w:name="_Toc462307684"/>
      <w:bookmarkStart w:id="34" w:name="_Toc472427086"/>
      <w:bookmarkStart w:id="35" w:name="_Toc472500653"/>
      <w:bookmarkEnd w:id="5"/>
      <w:bookmarkEnd w:id="6"/>
      <w:bookmarkEnd w:id="7"/>
      <w:bookmarkEnd w:id="8"/>
      <w:bookmarkEnd w:id="9"/>
      <w:bookmarkEnd w:id="10"/>
      <w:bookmarkEnd w:id="11"/>
      <w:bookmarkEnd w:id="12"/>
    </w:p>
    <w:p w:rsidR="00B11355" w:rsidRPr="000E2049" w:rsidRDefault="00B11355" w:rsidP="00ED2B85">
      <w:pPr>
        <w:spacing w:line="360" w:lineRule="auto"/>
        <w:ind w:right="34"/>
        <w:jc w:val="both"/>
        <w:rPr>
          <w:rStyle w:val="Ttulo2Car"/>
          <w:rFonts w:ascii="Palatino Linotype" w:hAnsi="Palatino Linotype"/>
          <w:b/>
          <w:color w:val="auto"/>
          <w:lang w:val="es-ES"/>
        </w:rPr>
      </w:pPr>
    </w:p>
    <w:p w:rsidR="00B11355" w:rsidRPr="000E2049" w:rsidRDefault="00B11355" w:rsidP="00ED2B85">
      <w:pPr>
        <w:pStyle w:val="Prrafodelista"/>
        <w:ind w:left="567" w:right="567"/>
        <w:jc w:val="both"/>
        <w:rPr>
          <w:rFonts w:ascii="Palatino Linotype" w:hAnsi="Palatino Linotype" w:cs="Arial"/>
          <w:i/>
          <w:sz w:val="22"/>
          <w:szCs w:val="22"/>
        </w:rPr>
      </w:pPr>
      <w:r w:rsidRPr="000E2049">
        <w:rPr>
          <w:rStyle w:val="Ttulo2Car"/>
          <w:rFonts w:ascii="Palatino Linotype" w:hAnsi="Palatino Linotype"/>
          <w:i/>
          <w:color w:val="auto"/>
          <w:sz w:val="22"/>
          <w:szCs w:val="22"/>
          <w:lang w:val="es-ES"/>
        </w:rPr>
        <w:t>“</w:t>
      </w:r>
      <w:bookmarkEnd w:id="33"/>
      <w:bookmarkEnd w:id="34"/>
      <w:bookmarkEnd w:id="35"/>
      <w:r w:rsidRPr="000E2049">
        <w:rPr>
          <w:rStyle w:val="Ttulo2Car"/>
          <w:rFonts w:ascii="Palatino Linotype" w:hAnsi="Palatino Linotype"/>
          <w:i/>
          <w:color w:val="auto"/>
          <w:sz w:val="22"/>
          <w:szCs w:val="22"/>
          <w:lang w:val="es-ES"/>
        </w:rPr>
        <w:t>No se me informa el uso que se le da al ingreso de este dinero recaudado y quien es la autoridad facultada para el uso del recurso.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E2049">
        <w:rPr>
          <w:rFonts w:ascii="Palatino Linotype" w:eastAsia="Calibri" w:hAnsi="Palatino Linotype" w:cs="Arial"/>
          <w:i/>
          <w:sz w:val="22"/>
          <w:szCs w:val="22"/>
          <w:lang w:val="es-ES"/>
        </w:rPr>
        <w:t xml:space="preserve">(Sic); </w:t>
      </w:r>
    </w:p>
    <w:p w:rsidR="00B11355" w:rsidRPr="000E2049" w:rsidRDefault="00B11355" w:rsidP="00ED2B85">
      <w:pPr>
        <w:spacing w:line="360" w:lineRule="auto"/>
        <w:ind w:right="34"/>
        <w:jc w:val="both"/>
        <w:rPr>
          <w:rStyle w:val="Ttulo2Car"/>
          <w:rFonts w:ascii="Palatino Linotype" w:hAnsi="Palatino Linotype"/>
          <w:b/>
          <w:color w:val="auto"/>
          <w:sz w:val="22"/>
          <w:lang w:val="es-ES"/>
        </w:rPr>
      </w:pPr>
      <w:bookmarkStart w:id="36" w:name="_Toc462307685"/>
      <w:bookmarkStart w:id="37" w:name="_Toc472427087"/>
      <w:bookmarkStart w:id="38" w:name="_Toc472500654"/>
      <w:bookmarkStart w:id="39" w:name="_Toc475015153"/>
      <w:bookmarkStart w:id="40" w:name="_Toc476078668"/>
      <w:bookmarkStart w:id="41" w:name="_Toc476675984"/>
      <w:bookmarkStart w:id="42" w:name="_Toc477345125"/>
      <w:bookmarkStart w:id="43" w:name="_Toc477345203"/>
      <w:bookmarkStart w:id="44" w:name="_Toc480987169"/>
      <w:bookmarkStart w:id="45" w:name="_Toc480996302"/>
      <w:bookmarkStart w:id="46" w:name="_Toc485145204"/>
      <w:bookmarkStart w:id="47" w:name="_Toc492489254"/>
      <w:bookmarkStart w:id="48" w:name="_Toc492590384"/>
      <w:bookmarkStart w:id="49" w:name="_Toc496807000"/>
      <w:bookmarkStart w:id="50" w:name="_Toc496807890"/>
      <w:bookmarkStart w:id="51" w:name="_Toc498528854"/>
      <w:bookmarkStart w:id="52" w:name="_Toc498528942"/>
      <w:bookmarkStart w:id="53" w:name="_Toc499059265"/>
      <w:bookmarkStart w:id="54" w:name="_Toc499658726"/>
      <w:bookmarkStart w:id="55" w:name="_Toc499659073"/>
      <w:bookmarkStart w:id="56" w:name="_Toc499810484"/>
      <w:bookmarkStart w:id="57" w:name="_Toc500414596"/>
      <w:bookmarkStart w:id="58" w:name="_Toc500414653"/>
      <w:bookmarkStart w:id="59" w:name="_Toc503366328"/>
      <w:bookmarkStart w:id="60" w:name="_Toc503891594"/>
      <w:bookmarkStart w:id="61" w:name="_Toc504069532"/>
      <w:bookmarkStart w:id="62" w:name="_Toc504500687"/>
      <w:bookmarkStart w:id="63" w:name="_Toc528236330"/>
      <w:bookmarkStart w:id="64" w:name="_Toc531197684"/>
      <w:bookmarkStart w:id="65" w:name="_Toc531781767"/>
      <w:bookmarkStart w:id="66" w:name="_Toc534742540"/>
    </w:p>
    <w:p w:rsidR="00B11355" w:rsidRPr="000E2049" w:rsidRDefault="00B11355" w:rsidP="00ED2B85">
      <w:pPr>
        <w:spacing w:line="360" w:lineRule="auto"/>
        <w:ind w:right="34"/>
        <w:jc w:val="both"/>
        <w:rPr>
          <w:rStyle w:val="Ttulo2Car"/>
          <w:rFonts w:ascii="Palatino Linotype" w:eastAsiaTheme="minorEastAsia" w:hAnsi="Palatino Linotype" w:cs="Arial"/>
          <w:color w:val="auto"/>
          <w:sz w:val="20"/>
          <w:szCs w:val="22"/>
        </w:rPr>
      </w:pPr>
      <w:r w:rsidRPr="000E2049">
        <w:rPr>
          <w:rStyle w:val="Ttulo2Car"/>
          <w:rFonts w:ascii="Palatino Linotype" w:hAnsi="Palatino Linotype"/>
          <w:b/>
          <w:color w:val="auto"/>
          <w:sz w:val="24"/>
          <w:lang w:val="es-ES"/>
        </w:rPr>
        <w:t>Razones o Motivos de inconformidad:</w:t>
      </w:r>
      <w:bookmarkEnd w:id="36"/>
      <w:bookmarkEnd w:id="37"/>
      <w:bookmarkEnd w:id="38"/>
      <w:bookmarkEnd w:id="39"/>
      <w:bookmarkEnd w:id="40"/>
      <w:bookmarkEnd w:id="41"/>
      <w:bookmarkEnd w:id="42"/>
      <w:bookmarkEnd w:id="43"/>
      <w:bookmarkEnd w:id="44"/>
      <w:bookmarkEnd w:id="45"/>
      <w:bookmarkEnd w:id="46"/>
      <w:bookmarkEnd w:id="47"/>
      <w:bookmarkEnd w:id="48"/>
      <w:r w:rsidRPr="000E2049">
        <w:rPr>
          <w:rStyle w:val="Ttulo2Car"/>
          <w:rFonts w:ascii="Palatino Linotype" w:hAnsi="Palatino Linotype"/>
          <w:b/>
          <w:color w:val="auto"/>
          <w:sz w:val="24"/>
          <w:lang w:val="es-ES"/>
        </w:rPr>
        <w:t xml:space="preserve"> </w:t>
      </w:r>
    </w:p>
    <w:p w:rsidR="00B11355" w:rsidRPr="000E2049" w:rsidRDefault="00B11355" w:rsidP="00ED2B85">
      <w:pPr>
        <w:pStyle w:val="Prrafodelista"/>
        <w:spacing w:line="360" w:lineRule="auto"/>
        <w:ind w:right="34"/>
        <w:jc w:val="both"/>
        <w:rPr>
          <w:rStyle w:val="Ttulo2Car"/>
          <w:rFonts w:ascii="Palatino Linotype" w:hAnsi="Palatino Linotype"/>
          <w:color w:val="auto"/>
          <w:sz w:val="22"/>
          <w:lang w:val="es-ES"/>
        </w:rPr>
      </w:pPr>
    </w:p>
    <w:p w:rsidR="00B11355" w:rsidRPr="000E2049" w:rsidRDefault="00B11355" w:rsidP="00ED2B85">
      <w:pPr>
        <w:pStyle w:val="Prrafodelista"/>
        <w:ind w:left="567" w:right="567"/>
        <w:jc w:val="both"/>
        <w:rPr>
          <w:rFonts w:ascii="Palatino Linotype" w:hAnsi="Palatino Linotype" w:cs="Arial"/>
          <w:sz w:val="22"/>
          <w:szCs w:val="22"/>
        </w:rPr>
      </w:pPr>
      <w:r w:rsidRPr="000E2049">
        <w:rPr>
          <w:rStyle w:val="Ttulo2Car"/>
          <w:rFonts w:ascii="Palatino Linotype" w:hAnsi="Palatino Linotype"/>
          <w:color w:val="auto"/>
          <w:lang w:val="es-ES"/>
        </w:rPr>
        <w: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0E2049">
        <w:rPr>
          <w:rFonts w:ascii="Palatino Linotype" w:hAnsi="Palatino Linotype"/>
          <w:i/>
          <w:sz w:val="22"/>
          <w:szCs w:val="22"/>
        </w:rPr>
        <w:t xml:space="preserve">No es clara y precisa, ya que solo se limitan a contestastar de manera incompleta la información” </w:t>
      </w:r>
      <w:r w:rsidRPr="000E2049">
        <w:rPr>
          <w:rFonts w:ascii="Palatino Linotype" w:hAnsi="Palatino Linotype" w:cs="Arial"/>
          <w:i/>
          <w:sz w:val="22"/>
          <w:szCs w:val="22"/>
        </w:rPr>
        <w:t>(Sic)</w:t>
      </w:r>
    </w:p>
    <w:p w:rsidR="00B11355" w:rsidRPr="000E2049" w:rsidRDefault="00B11355" w:rsidP="00ED2B85">
      <w:pPr>
        <w:pStyle w:val="Prrafodelista"/>
        <w:spacing w:line="360" w:lineRule="auto"/>
        <w:rPr>
          <w:rFonts w:ascii="Palatino Linotype" w:hAnsi="Palatino Linotype" w:cs="Arial"/>
          <w:sz w:val="22"/>
          <w:szCs w:val="22"/>
        </w:rPr>
      </w:pPr>
    </w:p>
    <w:p w:rsidR="00B11355" w:rsidRPr="000E2049" w:rsidRDefault="00B11355" w:rsidP="00ED2B85">
      <w:pPr>
        <w:spacing w:line="360" w:lineRule="auto"/>
        <w:jc w:val="both"/>
        <w:rPr>
          <w:rFonts w:ascii="Palatino Linotype" w:hAnsi="Palatino Linotype" w:cs="Arial"/>
        </w:rPr>
      </w:pPr>
    </w:p>
    <w:p w:rsidR="00B11355" w:rsidRPr="000E2049" w:rsidRDefault="00B11355" w:rsidP="00ED2B85">
      <w:pPr>
        <w:spacing w:line="360" w:lineRule="auto"/>
        <w:jc w:val="both"/>
        <w:rPr>
          <w:rFonts w:ascii="Palatino Linotype" w:hAnsi="Palatino Linotype" w:cs="Arial"/>
          <w:b/>
          <w:sz w:val="28"/>
        </w:rPr>
      </w:pPr>
      <w:r w:rsidRPr="000E2049">
        <w:rPr>
          <w:rFonts w:ascii="Palatino Linotype" w:hAnsi="Palatino Linotype" w:cs="Arial"/>
          <w:b/>
          <w:sz w:val="28"/>
        </w:rPr>
        <w:lastRenderedPageBreak/>
        <w:t>Cuarto. Del turno del recurso de revisión.</w:t>
      </w:r>
    </w:p>
    <w:p w:rsidR="00B11355" w:rsidRPr="000E2049" w:rsidRDefault="00B11355" w:rsidP="00ED2B85">
      <w:pPr>
        <w:spacing w:line="360" w:lineRule="auto"/>
        <w:jc w:val="both"/>
        <w:rPr>
          <w:rFonts w:ascii="Palatino Linotype" w:hAnsi="Palatino Linotype"/>
          <w:i/>
          <w:color w:val="000000"/>
          <w:sz w:val="22"/>
          <w:szCs w:val="22"/>
        </w:rPr>
      </w:pPr>
      <w:r w:rsidRPr="000E2049">
        <w:rPr>
          <w:rFonts w:ascii="Palatino Linotype" w:eastAsia="Times New Roman" w:hAnsi="Palatino Linotype" w:cs="Arial"/>
          <w:lang w:val="es-ES"/>
        </w:rPr>
        <w:t xml:space="preserve">Se registró el recurso de revisión bajo el número de expediente </w:t>
      </w:r>
      <w:r w:rsidRPr="000E2049">
        <w:rPr>
          <w:rFonts w:ascii="Palatino Linotype" w:hAnsi="Palatino Linotype" w:cs="Arial"/>
          <w:bCs/>
        </w:rPr>
        <w:t xml:space="preserve">al rubro indicado, asimismo con fundamento en lo dispuesto por el </w:t>
      </w:r>
      <w:r w:rsidRPr="000E2049">
        <w:rPr>
          <w:rFonts w:ascii="Palatino Linotype" w:eastAsia="Calibri" w:hAnsi="Palatino Linotype" w:cs="Arial"/>
          <w:lang w:val="es-ES"/>
        </w:rPr>
        <w:t xml:space="preserve">artículo 185 fracción I de la </w:t>
      </w:r>
      <w:r w:rsidRPr="000E2049">
        <w:rPr>
          <w:rFonts w:ascii="Palatino Linotype" w:eastAsia="Calibri" w:hAnsi="Palatino Linotype" w:cs="Arial"/>
          <w:b/>
          <w:lang w:val="es-ES"/>
        </w:rPr>
        <w:t xml:space="preserve">Ley de Transparencia y Acceso a la Información Pública del Estado de México y Municipios </w:t>
      </w:r>
      <w:r w:rsidRPr="000E2049">
        <w:rPr>
          <w:rFonts w:ascii="Palatino Linotype" w:eastAsia="Times New Roman" w:hAnsi="Palatino Linotype" w:cs="Arial"/>
          <w:lang w:val="es-ES"/>
        </w:rPr>
        <w:t xml:space="preserve">se turnó a la </w:t>
      </w:r>
      <w:r w:rsidRPr="000E2049">
        <w:rPr>
          <w:rFonts w:ascii="Palatino Linotype" w:eastAsia="Times New Roman" w:hAnsi="Palatino Linotype" w:cs="Arial"/>
          <w:b/>
          <w:lang w:val="es-ES"/>
        </w:rPr>
        <w:t xml:space="preserve">Comisionada Zulema Martínez Sánchez, </w:t>
      </w:r>
      <w:r w:rsidRPr="000E2049">
        <w:rPr>
          <w:rFonts w:ascii="Palatino Linotype" w:eastAsia="Times New Roman" w:hAnsi="Palatino Linotype" w:cs="Arial"/>
          <w:lang w:val="es-ES"/>
        </w:rPr>
        <w:t xml:space="preserve">con el objeto de </w:t>
      </w:r>
      <w:r w:rsidRPr="000E2049">
        <w:rPr>
          <w:rFonts w:ascii="Palatino Linotype" w:eastAsia="Times New Roman" w:hAnsi="Palatino Linotype" w:cs="Arial"/>
          <w:lang w:val="es-MX"/>
        </w:rPr>
        <w:t>su análisis.</w:t>
      </w:r>
    </w:p>
    <w:p w:rsidR="00B11355" w:rsidRPr="000E2049" w:rsidRDefault="00B11355" w:rsidP="00ED2B85">
      <w:pPr>
        <w:spacing w:line="360" w:lineRule="auto"/>
        <w:jc w:val="both"/>
        <w:rPr>
          <w:rFonts w:ascii="Palatino Linotype" w:hAnsi="Palatino Linotype"/>
          <w:color w:val="000000"/>
          <w:szCs w:val="22"/>
        </w:rPr>
      </w:pPr>
    </w:p>
    <w:p w:rsidR="00B11355" w:rsidRPr="000E2049" w:rsidRDefault="00B11355" w:rsidP="00ED2B85">
      <w:pPr>
        <w:spacing w:line="360" w:lineRule="auto"/>
        <w:jc w:val="both"/>
        <w:rPr>
          <w:rFonts w:ascii="Palatino Linotype" w:hAnsi="Palatino Linotype" w:cs="Arial"/>
          <w:b/>
          <w:sz w:val="28"/>
        </w:rPr>
      </w:pPr>
      <w:r w:rsidRPr="000E2049">
        <w:rPr>
          <w:rFonts w:ascii="Palatino Linotype" w:hAnsi="Palatino Linotype" w:cs="Arial"/>
          <w:b/>
          <w:sz w:val="28"/>
        </w:rPr>
        <w:t>Quinto. De la etapa de instrucción.</w:t>
      </w:r>
    </w:p>
    <w:p w:rsidR="00B11355" w:rsidRPr="000E2049" w:rsidRDefault="00B11355" w:rsidP="00ED2B85">
      <w:pPr>
        <w:spacing w:line="360" w:lineRule="auto"/>
        <w:jc w:val="both"/>
        <w:rPr>
          <w:rFonts w:ascii="Palatino Linotype" w:hAnsi="Palatino Linotype"/>
          <w:i/>
          <w:color w:val="000000"/>
          <w:sz w:val="22"/>
          <w:szCs w:val="22"/>
        </w:rPr>
      </w:pPr>
      <w:r w:rsidRPr="000E2049">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veintiocho de mayo de dos mil diecinueve, puso a disposición de las partes el expediente electrónico </w:t>
      </w:r>
      <w:r w:rsidRPr="000E2049">
        <w:rPr>
          <w:rFonts w:ascii="Palatino Linotype" w:eastAsia="Calibri" w:hAnsi="Palatino Linotype" w:cs="Arial"/>
        </w:rPr>
        <w:t xml:space="preserve">vía </w:t>
      </w:r>
      <w:r w:rsidRPr="000E2049">
        <w:rPr>
          <w:rFonts w:ascii="Palatino Linotype" w:eastAsia="Calibri" w:hAnsi="Palatino Linotype" w:cs="Arial"/>
          <w:lang w:val="es-ES"/>
        </w:rPr>
        <w:t xml:space="preserve">Sistema de Acceso a la Información Mexiquense </w:t>
      </w:r>
      <w:r w:rsidRPr="000E2049">
        <w:rPr>
          <w:rFonts w:ascii="Palatino Linotype" w:eastAsia="Calibri" w:hAnsi="Palatino Linotype" w:cs="Arial"/>
          <w:b/>
          <w:lang w:val="es-ES"/>
        </w:rPr>
        <w:t xml:space="preserve">SAIMEX </w:t>
      </w:r>
      <w:r w:rsidRPr="000E204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E2049">
        <w:rPr>
          <w:rFonts w:ascii="Palatino Linotype" w:eastAsia="Calibri" w:hAnsi="Palatino Linotype" w:cs="Arial"/>
          <w:b/>
          <w:lang w:val="es-ES"/>
        </w:rPr>
        <w:t>sujeto obligado</w:t>
      </w:r>
      <w:r w:rsidRPr="000E2049">
        <w:rPr>
          <w:rFonts w:ascii="Palatino Linotype" w:eastAsia="Calibri" w:hAnsi="Palatino Linotype" w:cs="Arial"/>
          <w:lang w:val="es-ES"/>
        </w:rPr>
        <w:t xml:space="preserve"> presentará el Informe Justificado procedente.  </w:t>
      </w:r>
    </w:p>
    <w:p w:rsidR="00B11355" w:rsidRPr="000E2049" w:rsidRDefault="00B11355" w:rsidP="00ED2B85">
      <w:pPr>
        <w:spacing w:line="360" w:lineRule="auto"/>
        <w:jc w:val="both"/>
        <w:rPr>
          <w:rFonts w:ascii="Palatino Linotype" w:eastAsia="Calibri" w:hAnsi="Palatino Linotype" w:cs="Arial"/>
          <w:lang w:val="es-ES"/>
        </w:rPr>
      </w:pPr>
    </w:p>
    <w:p w:rsidR="00B11355" w:rsidRPr="000E2049" w:rsidRDefault="00B11355" w:rsidP="00ED2B85">
      <w:pPr>
        <w:spacing w:line="360" w:lineRule="auto"/>
        <w:jc w:val="both"/>
        <w:rPr>
          <w:rFonts w:ascii="Palatino Linotype" w:eastAsia="Calibri" w:hAnsi="Palatino Linotype" w:cs="Arial"/>
          <w:b/>
          <w:sz w:val="28"/>
          <w:szCs w:val="28"/>
          <w:lang w:val="es-ES"/>
        </w:rPr>
      </w:pPr>
      <w:r w:rsidRPr="000E2049">
        <w:rPr>
          <w:rFonts w:ascii="Palatino Linotype" w:eastAsia="Calibri" w:hAnsi="Palatino Linotype" w:cs="Arial"/>
          <w:b/>
          <w:sz w:val="28"/>
          <w:szCs w:val="28"/>
          <w:lang w:val="es-ES"/>
        </w:rPr>
        <w:t>Sexto. Del Informe Justificado</w:t>
      </w:r>
    </w:p>
    <w:p w:rsidR="00B11355" w:rsidRPr="000E2049" w:rsidRDefault="00B11355" w:rsidP="00ED2B85">
      <w:pPr>
        <w:spacing w:line="360" w:lineRule="auto"/>
        <w:jc w:val="both"/>
        <w:rPr>
          <w:rFonts w:ascii="Palatino Linotype" w:eastAsia="Calibri" w:hAnsi="Palatino Linotype" w:cs="Times New Roman"/>
          <w:color w:val="000000"/>
          <w:szCs w:val="22"/>
          <w:lang w:val="es-ES" w:eastAsia="en-US"/>
        </w:rPr>
      </w:pPr>
      <w:r w:rsidRPr="000E2049">
        <w:rPr>
          <w:rFonts w:ascii="Palatino Linotype" w:eastAsia="Calibri" w:hAnsi="Palatino Linotype" w:cs="Arial"/>
          <w:lang w:val="es-ES"/>
        </w:rPr>
        <w:t xml:space="preserve">El día </w:t>
      </w:r>
      <w:r w:rsidR="007C35BC" w:rsidRPr="000E2049">
        <w:rPr>
          <w:rFonts w:ascii="Palatino Linotype" w:eastAsia="Calibri" w:hAnsi="Palatino Linotype" w:cs="Arial"/>
          <w:lang w:val="es-ES"/>
        </w:rPr>
        <w:t xml:space="preserve">seis de junio </w:t>
      </w:r>
      <w:r w:rsidRPr="000E2049">
        <w:rPr>
          <w:rFonts w:ascii="Palatino Linotype" w:eastAsia="Calibri" w:hAnsi="Palatino Linotype" w:cs="Arial"/>
          <w:lang w:val="es-ES"/>
        </w:rPr>
        <w:t xml:space="preserve">de dos mil diecinueve el </w:t>
      </w:r>
      <w:r w:rsidRPr="000E2049">
        <w:rPr>
          <w:rFonts w:ascii="Palatino Linotype" w:eastAsia="Calibri" w:hAnsi="Palatino Linotype" w:cs="Arial"/>
          <w:b/>
          <w:lang w:val="es-ES"/>
        </w:rPr>
        <w:t xml:space="preserve">sujeto obligado </w:t>
      </w:r>
      <w:r w:rsidRPr="000E2049">
        <w:rPr>
          <w:rFonts w:ascii="Palatino Linotype" w:eastAsia="Calibri" w:hAnsi="Palatino Linotype" w:cs="Arial"/>
          <w:lang w:val="es-ES"/>
        </w:rPr>
        <w:t>remitió su informe justificado, a través del archivo electrónico “</w:t>
      </w:r>
      <w:r w:rsidR="007C35BC" w:rsidRPr="000E2049">
        <w:rPr>
          <w:rFonts w:ascii="Palatino Linotype" w:eastAsia="Calibri" w:hAnsi="Palatino Linotype" w:cs="Arial"/>
          <w:lang w:val="es-ES"/>
        </w:rPr>
        <w:t>313-4495.pdf</w:t>
      </w:r>
      <w:r w:rsidRPr="000E2049">
        <w:rPr>
          <w:rFonts w:ascii="Palatino Linotype" w:eastAsia="Calibri" w:hAnsi="Palatino Linotype" w:cs="Arial"/>
          <w:lang w:val="es-ES"/>
        </w:rPr>
        <w:t xml:space="preserve">”, </w:t>
      </w:r>
      <w:r w:rsidR="004A1264" w:rsidRPr="000E2049">
        <w:rPr>
          <w:rFonts w:ascii="Palatino Linotype" w:eastAsia="Calibri" w:hAnsi="Palatino Linotype" w:cs="Arial"/>
          <w:lang w:val="es-ES"/>
        </w:rPr>
        <w:t xml:space="preserve">mediante el cual ratifica su respuesta primigenia, archivo </w:t>
      </w:r>
      <w:r w:rsidRPr="000E2049">
        <w:rPr>
          <w:rFonts w:ascii="Palatino Linotype" w:eastAsia="Calibri" w:hAnsi="Palatino Linotype" w:cs="Arial"/>
          <w:lang w:val="es-ES"/>
        </w:rPr>
        <w:t xml:space="preserve">que se puso a la vista del </w:t>
      </w:r>
      <w:r w:rsidRPr="000E2049">
        <w:rPr>
          <w:rFonts w:ascii="Palatino Linotype" w:eastAsia="Calibri" w:hAnsi="Palatino Linotype" w:cs="Arial"/>
          <w:b/>
          <w:lang w:val="es-ES"/>
        </w:rPr>
        <w:t xml:space="preserve">recurrente, </w:t>
      </w:r>
      <w:r w:rsidR="007C35BC" w:rsidRPr="000E2049">
        <w:rPr>
          <w:rFonts w:ascii="Palatino Linotype" w:eastAsia="Calibri" w:hAnsi="Palatino Linotype" w:cs="Arial"/>
          <w:lang w:val="es-ES"/>
        </w:rPr>
        <w:t>a efecto que hiciera valer lo que a sus intereses conviniera</w:t>
      </w:r>
      <w:r w:rsidRPr="000E2049">
        <w:rPr>
          <w:rFonts w:ascii="Palatino Linotype" w:eastAsia="Calibri" w:hAnsi="Palatino Linotype" w:cs="Arial"/>
          <w:lang w:val="es-ES"/>
        </w:rPr>
        <w:t xml:space="preserve">; de igual manera se advierte que </w:t>
      </w:r>
      <w:r w:rsidRPr="000E2049">
        <w:rPr>
          <w:rFonts w:ascii="Palatino Linotype" w:eastAsia="Calibri" w:hAnsi="Palatino Linotype" w:cs="Times New Roman"/>
          <w:color w:val="000000"/>
          <w:szCs w:val="22"/>
          <w:lang w:val="es-ES" w:eastAsia="en-US"/>
        </w:rPr>
        <w:t xml:space="preserve">el </w:t>
      </w:r>
      <w:r w:rsidRPr="000E2049">
        <w:rPr>
          <w:rFonts w:ascii="Palatino Linotype" w:eastAsia="Calibri" w:hAnsi="Palatino Linotype" w:cs="Times New Roman"/>
          <w:b/>
          <w:color w:val="000000"/>
          <w:szCs w:val="22"/>
          <w:lang w:val="es-ES" w:eastAsia="en-US"/>
        </w:rPr>
        <w:t>recurrente</w:t>
      </w:r>
      <w:r w:rsidRPr="000E2049">
        <w:rPr>
          <w:rFonts w:ascii="Palatino Linotype" w:eastAsia="Calibri" w:hAnsi="Palatino Linotype" w:cs="Times New Roman"/>
          <w:color w:val="000000"/>
          <w:szCs w:val="22"/>
          <w:lang w:val="es-ES" w:eastAsia="en-US"/>
        </w:rPr>
        <w:t xml:space="preserve"> fue omiso</w:t>
      </w:r>
      <w:r w:rsidR="007C35BC" w:rsidRPr="000E2049">
        <w:rPr>
          <w:rFonts w:ascii="Palatino Linotype" w:eastAsia="Calibri" w:hAnsi="Palatino Linotype" w:cs="Times New Roman"/>
          <w:color w:val="000000"/>
          <w:szCs w:val="22"/>
          <w:lang w:val="es-ES" w:eastAsia="en-US"/>
        </w:rPr>
        <w:t xml:space="preserve"> en realizar manifestaciones dentro del término de ley</w:t>
      </w:r>
      <w:r w:rsidRPr="000E2049">
        <w:rPr>
          <w:rFonts w:ascii="Palatino Linotype" w:eastAsia="Calibri" w:hAnsi="Palatino Linotype" w:cs="Times New Roman"/>
          <w:color w:val="000000"/>
          <w:szCs w:val="22"/>
          <w:lang w:val="es-ES" w:eastAsia="en-US"/>
        </w:rPr>
        <w:t xml:space="preserve">, por lo que se determinó el cierre de instrucción mediante acuerdo de fecha </w:t>
      </w:r>
      <w:r w:rsidR="007C35BC" w:rsidRPr="000E2049">
        <w:rPr>
          <w:rFonts w:ascii="Palatino Linotype" w:eastAsia="Calibri" w:hAnsi="Palatino Linotype" w:cs="Times New Roman"/>
          <w:color w:val="000000"/>
          <w:szCs w:val="22"/>
          <w:lang w:val="es-ES" w:eastAsia="en-US"/>
        </w:rPr>
        <w:t xml:space="preserve">catorce de junio </w:t>
      </w:r>
      <w:r w:rsidRPr="000E2049">
        <w:rPr>
          <w:rFonts w:ascii="Palatino Linotype" w:eastAsia="Calibri" w:hAnsi="Palatino Linotype" w:cs="Times New Roman"/>
          <w:color w:val="000000"/>
          <w:szCs w:val="22"/>
          <w:lang w:val="es-ES" w:eastAsia="en-US"/>
        </w:rPr>
        <w:t>de dos mil diecinueve.</w:t>
      </w:r>
    </w:p>
    <w:p w:rsidR="00B11355" w:rsidRPr="000E2049" w:rsidRDefault="00B11355" w:rsidP="00ED2B85">
      <w:pPr>
        <w:spacing w:line="360" w:lineRule="auto"/>
        <w:jc w:val="both"/>
        <w:rPr>
          <w:rFonts w:ascii="Palatino Linotype" w:eastAsia="Calibri" w:hAnsi="Palatino Linotype" w:cs="Times New Roman"/>
          <w:color w:val="000000"/>
          <w:szCs w:val="22"/>
          <w:lang w:val="es-ES" w:eastAsia="en-US"/>
        </w:rPr>
      </w:pPr>
    </w:p>
    <w:p w:rsidR="00B11355" w:rsidRPr="000E2049" w:rsidRDefault="00B11355" w:rsidP="00ED2B85">
      <w:pPr>
        <w:pStyle w:val="Sinespaciado"/>
        <w:spacing w:line="360" w:lineRule="auto"/>
        <w:jc w:val="both"/>
        <w:rPr>
          <w:rFonts w:ascii="Palatino Linotype" w:hAnsi="Palatino Linotype"/>
          <w:b/>
          <w:sz w:val="28"/>
        </w:rPr>
      </w:pPr>
      <w:r w:rsidRPr="000E2049">
        <w:rPr>
          <w:rFonts w:ascii="Palatino Linotype" w:hAnsi="Palatino Linotype"/>
          <w:b/>
          <w:sz w:val="28"/>
        </w:rPr>
        <w:t>S</w:t>
      </w:r>
      <w:r w:rsidR="007C35BC" w:rsidRPr="000E2049">
        <w:rPr>
          <w:rFonts w:ascii="Palatino Linotype" w:hAnsi="Palatino Linotype"/>
          <w:b/>
          <w:sz w:val="28"/>
        </w:rPr>
        <w:t>éptimo</w:t>
      </w:r>
      <w:r w:rsidRPr="000E2049">
        <w:rPr>
          <w:rFonts w:ascii="Palatino Linotype" w:hAnsi="Palatino Linotype"/>
          <w:b/>
          <w:sz w:val="28"/>
        </w:rPr>
        <w:t>. De la prórroga para emitir resolución.</w:t>
      </w:r>
    </w:p>
    <w:p w:rsidR="00B11355" w:rsidRPr="000E2049" w:rsidRDefault="00B11355" w:rsidP="00ED2B85">
      <w:pPr>
        <w:pStyle w:val="Sinespaciado"/>
        <w:spacing w:line="360" w:lineRule="auto"/>
        <w:jc w:val="both"/>
        <w:rPr>
          <w:rFonts w:ascii="Palatino Linotype" w:hAnsi="Palatino Linotype"/>
        </w:rPr>
      </w:pPr>
      <w:r w:rsidRPr="000E2049">
        <w:rPr>
          <w:rFonts w:ascii="Palatino Linotype" w:hAnsi="Palatino Linotype"/>
        </w:rPr>
        <w:t xml:space="preserve">En fecha </w:t>
      </w:r>
      <w:r w:rsidR="007C35BC" w:rsidRPr="000E2049">
        <w:rPr>
          <w:rFonts w:ascii="Palatino Linotype" w:hAnsi="Palatino Linotype"/>
        </w:rPr>
        <w:t xml:space="preserve">nueve de julio </w:t>
      </w:r>
      <w:r w:rsidRPr="000E2049">
        <w:rPr>
          <w:rFonts w:ascii="Palatino Linotype" w:hAnsi="Palatino Linotype"/>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B11355" w:rsidRPr="000E2049" w:rsidRDefault="00B11355" w:rsidP="00ED2B85">
      <w:pPr>
        <w:pStyle w:val="Sinespaciado"/>
        <w:spacing w:line="360" w:lineRule="auto"/>
        <w:jc w:val="both"/>
        <w:rPr>
          <w:rFonts w:ascii="Palatino Linotype" w:hAnsi="Palatino Linotype"/>
        </w:rPr>
      </w:pPr>
    </w:p>
    <w:p w:rsidR="00B11355" w:rsidRPr="000E2049" w:rsidRDefault="00B11355" w:rsidP="00ED2B85">
      <w:pPr>
        <w:pStyle w:val="Ttulo1"/>
        <w:spacing w:before="0" w:line="360" w:lineRule="auto"/>
        <w:jc w:val="center"/>
        <w:rPr>
          <w:sz w:val="28"/>
          <w:szCs w:val="24"/>
        </w:rPr>
      </w:pPr>
      <w:bookmarkStart w:id="67" w:name="_Toc534742541"/>
      <w:r w:rsidRPr="000E2049">
        <w:rPr>
          <w:sz w:val="28"/>
          <w:szCs w:val="24"/>
        </w:rPr>
        <w:t>C O N S I D E R A N D O</w:t>
      </w:r>
      <w:bookmarkEnd w:id="67"/>
    </w:p>
    <w:p w:rsidR="00B11355" w:rsidRPr="000E2049" w:rsidRDefault="00B11355" w:rsidP="00ED2B85">
      <w:pPr>
        <w:pStyle w:val="Ttulo2"/>
        <w:spacing w:before="0" w:line="360" w:lineRule="auto"/>
        <w:rPr>
          <w:rFonts w:ascii="Palatino Linotype" w:hAnsi="Palatino Linotype"/>
          <w:b/>
          <w:color w:val="auto"/>
          <w:sz w:val="24"/>
        </w:rPr>
      </w:pPr>
      <w:bookmarkStart w:id="68" w:name="_Toc534742542"/>
    </w:p>
    <w:bookmarkEnd w:id="68"/>
    <w:p w:rsidR="00F909FB" w:rsidRPr="000E2049" w:rsidRDefault="00F909FB" w:rsidP="00ED2B85">
      <w:pPr>
        <w:spacing w:line="360" w:lineRule="auto"/>
        <w:jc w:val="both"/>
        <w:rPr>
          <w:rFonts w:ascii="Palatino Linotype" w:hAnsi="Palatino Linotype" w:cs="Arial"/>
          <w:sz w:val="28"/>
          <w:szCs w:val="28"/>
        </w:rPr>
      </w:pPr>
      <w:r w:rsidRPr="000E2049">
        <w:rPr>
          <w:rFonts w:ascii="Palatino Linotype" w:hAnsi="Palatino Linotype" w:cs="Arial"/>
          <w:b/>
          <w:sz w:val="28"/>
          <w:szCs w:val="28"/>
        </w:rPr>
        <w:t>PRIMERO. De la competencia</w:t>
      </w:r>
      <w:r w:rsidRPr="000E2049">
        <w:rPr>
          <w:rFonts w:ascii="Palatino Linotype" w:hAnsi="Palatino Linotype" w:cs="Arial"/>
          <w:sz w:val="28"/>
          <w:szCs w:val="28"/>
        </w:rPr>
        <w:t>.</w:t>
      </w:r>
    </w:p>
    <w:p w:rsidR="000E730F" w:rsidRPr="000E2049" w:rsidRDefault="000E730F" w:rsidP="000E730F">
      <w:pPr>
        <w:spacing w:line="360" w:lineRule="auto"/>
        <w:jc w:val="both"/>
        <w:rPr>
          <w:rFonts w:ascii="Palatino Linotype" w:hAnsi="Palatino Linotype" w:cs="Arial"/>
        </w:rPr>
      </w:pPr>
      <w:r w:rsidRPr="000E2049">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sidRPr="000E2049">
        <w:rPr>
          <w:rFonts w:ascii="Palatino Linotype" w:hAnsi="Palatino Linotype" w:cs="Arial"/>
          <w:b/>
        </w:rPr>
        <w:t>recurrente</w:t>
      </w:r>
      <w:r w:rsidRPr="000E2049">
        <w:rPr>
          <w:rFonts w:ascii="Palatino Linotype" w:hAnsi="Palatino Linotype" w:cs="Arial"/>
        </w:rPr>
        <w:t>,</w:t>
      </w:r>
      <w:r w:rsidRPr="000E2049">
        <w:rPr>
          <w:rFonts w:ascii="Palatino Linotype" w:hAnsi="Palatino Linotype" w:cs="Arial"/>
          <w:b/>
        </w:rPr>
        <w:t xml:space="preserve"> </w:t>
      </w:r>
      <w:r w:rsidRPr="000E2049">
        <w:rPr>
          <w:rFonts w:ascii="Palatino Linotype" w:hAnsi="Palatino Linotype" w:cs="Arial"/>
        </w:rPr>
        <w:t>conforme a lo dispuesto en los artículos 6, apartado A, fracción IV de la Constitución Política de los Estados Unidos Mexicano</w:t>
      </w:r>
      <w:r w:rsidR="00A7239C">
        <w:rPr>
          <w:rFonts w:ascii="Palatino Linotype" w:hAnsi="Palatino Linotype" w:cs="Arial"/>
        </w:rPr>
        <w:t>s, 5, párrafos vigésimo segundo</w:t>
      </w:r>
      <w:r w:rsidRPr="000E2049">
        <w:rPr>
          <w:rFonts w:ascii="Palatino Linotype" w:hAnsi="Palatino Linotype" w:cs="Arial"/>
        </w:rPr>
        <w:t xml:space="preserve">, vigésimo tercero y vigésimo cuarto </w:t>
      </w:r>
      <w:r w:rsidR="00A7239C">
        <w:rPr>
          <w:rFonts w:ascii="Palatino Linotype" w:hAnsi="Palatino Linotype" w:cs="Arial"/>
        </w:rPr>
        <w:t xml:space="preserve">fracción IV </w:t>
      </w:r>
      <w:r w:rsidRPr="000E2049">
        <w:rPr>
          <w:rFonts w:ascii="Palatino Linotype" w:hAnsi="Palatino Linotype" w:cs="Arial"/>
        </w:rPr>
        <w:t>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909FB" w:rsidRPr="000E2049" w:rsidRDefault="00F909FB" w:rsidP="00ED2B85">
      <w:pPr>
        <w:spacing w:line="360" w:lineRule="auto"/>
        <w:jc w:val="both"/>
        <w:rPr>
          <w:rFonts w:ascii="Palatino Linotype" w:hAnsi="Palatino Linotype" w:cs="Arial"/>
        </w:rPr>
      </w:pPr>
    </w:p>
    <w:p w:rsidR="00F909FB" w:rsidRDefault="00F909FB" w:rsidP="00ED2B85">
      <w:pPr>
        <w:spacing w:line="360" w:lineRule="auto"/>
        <w:jc w:val="both"/>
        <w:rPr>
          <w:rFonts w:ascii="Palatino Linotype" w:hAnsi="Palatino Linotype" w:cs="Arial"/>
        </w:rPr>
      </w:pPr>
    </w:p>
    <w:p w:rsidR="000E2049" w:rsidRPr="000E2049" w:rsidRDefault="000E2049" w:rsidP="00ED2B85">
      <w:pPr>
        <w:spacing w:line="360" w:lineRule="auto"/>
        <w:jc w:val="both"/>
        <w:rPr>
          <w:rFonts w:ascii="Palatino Linotype" w:hAnsi="Palatino Linotype" w:cs="Arial"/>
        </w:rPr>
      </w:pPr>
    </w:p>
    <w:p w:rsidR="00F909FB" w:rsidRPr="000E2049" w:rsidRDefault="00F909FB" w:rsidP="00ED2B85">
      <w:pPr>
        <w:autoSpaceDE w:val="0"/>
        <w:autoSpaceDN w:val="0"/>
        <w:adjustRightInd w:val="0"/>
        <w:spacing w:line="360" w:lineRule="auto"/>
        <w:jc w:val="both"/>
        <w:rPr>
          <w:rFonts w:ascii="Palatino Linotype" w:hAnsi="Palatino Linotype" w:cs="Arial"/>
          <w:b/>
          <w:sz w:val="28"/>
          <w:szCs w:val="28"/>
        </w:rPr>
      </w:pPr>
      <w:r w:rsidRPr="000E2049">
        <w:rPr>
          <w:rFonts w:ascii="Palatino Linotype" w:hAnsi="Palatino Linotype" w:cs="Arial"/>
          <w:b/>
          <w:sz w:val="28"/>
          <w:szCs w:val="28"/>
        </w:rPr>
        <w:lastRenderedPageBreak/>
        <w:t xml:space="preserve">SEGUNDO. De los alcances del Recurso de Revisión. </w:t>
      </w:r>
    </w:p>
    <w:p w:rsidR="00F909FB" w:rsidRPr="000E2049" w:rsidRDefault="00F909FB" w:rsidP="00ED2B85">
      <w:pPr>
        <w:autoSpaceDE w:val="0"/>
        <w:autoSpaceDN w:val="0"/>
        <w:adjustRightInd w:val="0"/>
        <w:spacing w:line="360" w:lineRule="auto"/>
        <w:jc w:val="both"/>
        <w:rPr>
          <w:rFonts w:ascii="Palatino Linotype" w:hAnsi="Palatino Linotype" w:cs="Arial"/>
        </w:rPr>
      </w:pPr>
      <w:r w:rsidRPr="000E2049">
        <w:rPr>
          <w:rFonts w:ascii="Palatino Linotype" w:hAnsi="Palatino Linotype" w:cs="Arial"/>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909FB" w:rsidRPr="000E2049" w:rsidRDefault="00F909FB" w:rsidP="00ED2B85">
      <w:pPr>
        <w:autoSpaceDE w:val="0"/>
        <w:autoSpaceDN w:val="0"/>
        <w:adjustRightInd w:val="0"/>
        <w:spacing w:line="360" w:lineRule="auto"/>
        <w:jc w:val="both"/>
        <w:rPr>
          <w:rFonts w:ascii="Palatino Linotype" w:hAnsi="Palatino Linotype" w:cs="Arial"/>
        </w:rPr>
      </w:pPr>
    </w:p>
    <w:p w:rsidR="00F909FB" w:rsidRPr="000E2049" w:rsidRDefault="00F909FB" w:rsidP="00ED2B85">
      <w:pPr>
        <w:autoSpaceDE w:val="0"/>
        <w:autoSpaceDN w:val="0"/>
        <w:adjustRightInd w:val="0"/>
        <w:spacing w:line="360" w:lineRule="auto"/>
        <w:jc w:val="both"/>
        <w:rPr>
          <w:rFonts w:ascii="Palatino Linotype" w:hAnsi="Palatino Linotype" w:cs="Arial"/>
        </w:rPr>
      </w:pPr>
    </w:p>
    <w:p w:rsidR="00F909FB" w:rsidRPr="000E2049" w:rsidRDefault="00F909FB" w:rsidP="00ED2B85">
      <w:pPr>
        <w:autoSpaceDE w:val="0"/>
        <w:autoSpaceDN w:val="0"/>
        <w:adjustRightInd w:val="0"/>
        <w:spacing w:line="360" w:lineRule="auto"/>
        <w:jc w:val="both"/>
        <w:rPr>
          <w:rFonts w:ascii="Palatino Linotype" w:hAnsi="Palatino Linotype" w:cs="Arial"/>
          <w:b/>
          <w:sz w:val="28"/>
          <w:szCs w:val="28"/>
        </w:rPr>
      </w:pPr>
      <w:r w:rsidRPr="000E2049">
        <w:rPr>
          <w:rFonts w:ascii="Palatino Linotype" w:hAnsi="Palatino Linotype" w:cs="Arial"/>
          <w:b/>
          <w:sz w:val="28"/>
          <w:szCs w:val="28"/>
        </w:rPr>
        <w:t xml:space="preserve">TERCERO. Del estudio de las causas de improcedencia. </w:t>
      </w:r>
    </w:p>
    <w:p w:rsidR="00F909FB" w:rsidRPr="000E2049" w:rsidRDefault="00F909FB" w:rsidP="00ED2B85">
      <w:pPr>
        <w:autoSpaceDE w:val="0"/>
        <w:autoSpaceDN w:val="0"/>
        <w:adjustRightInd w:val="0"/>
        <w:spacing w:line="360" w:lineRule="auto"/>
        <w:jc w:val="both"/>
        <w:rPr>
          <w:rFonts w:ascii="Palatino Linotype" w:hAnsi="Palatino Linotype" w:cs="Arial"/>
        </w:rPr>
      </w:pPr>
      <w:r w:rsidRPr="000E2049">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909FB" w:rsidRPr="000E2049" w:rsidRDefault="00F909FB" w:rsidP="00ED2B85">
      <w:pPr>
        <w:autoSpaceDE w:val="0"/>
        <w:autoSpaceDN w:val="0"/>
        <w:adjustRightInd w:val="0"/>
        <w:spacing w:line="360" w:lineRule="auto"/>
        <w:jc w:val="both"/>
        <w:rPr>
          <w:rFonts w:ascii="Palatino Linotype" w:hAnsi="Palatino Linotype" w:cs="Arial"/>
        </w:rPr>
      </w:pPr>
    </w:p>
    <w:p w:rsidR="00F909FB" w:rsidRPr="000E2049" w:rsidRDefault="00F909FB" w:rsidP="000E2049">
      <w:pPr>
        <w:ind w:left="567" w:right="567"/>
        <w:jc w:val="both"/>
        <w:rPr>
          <w:rFonts w:ascii="Palatino Linotype" w:hAnsi="Palatino Linotype" w:cs="Arial"/>
          <w:sz w:val="22"/>
        </w:rPr>
      </w:pPr>
      <w:r w:rsidRPr="000E2049">
        <w:rPr>
          <w:rFonts w:ascii="Palatino Linotype" w:hAnsi="Palatino Linotype"/>
          <w:b/>
          <w:bCs/>
          <w:i/>
          <w:sz w:val="22"/>
        </w:rPr>
        <w:t xml:space="preserve">IMPROCEDENCIA Y SOBRESEIMIENTO EN EL JUICIO DE AMPARO. LAS CAUSAS PREVISTAS EN LOS ARTÍCULOS 73 Y 74 DE LA LEY DE LA MATERIA, RESPECTIVAMENTE, NO SON INCOMPATIBLES CON EL ARTÍCULO 25.1 DE LA CONVENCIÓN AMERICANA SOBRE DERECHOS HUMANOS. </w:t>
      </w:r>
      <w:r w:rsidRPr="000E2049">
        <w:rPr>
          <w:rFonts w:ascii="Palatino Linotype" w:hAnsi="Palatino Linotype"/>
          <w:i/>
          <w:sz w:val="22"/>
        </w:rPr>
        <w:t xml:space="preserve">Del examen de compatibilidad de los artículos </w:t>
      </w:r>
      <w:hyperlink r:id="rId8" w:history="1">
        <w:r w:rsidRPr="000E2049">
          <w:rPr>
            <w:rStyle w:val="Hipervnculo"/>
            <w:rFonts w:ascii="Palatino Linotype" w:eastAsia="Calibri" w:hAnsi="Palatino Linotype"/>
            <w:i/>
            <w:sz w:val="22"/>
          </w:rPr>
          <w:t xml:space="preserve">73 y 74 de la Ley de </w:t>
        </w:r>
        <w:r w:rsidRPr="000E2049">
          <w:rPr>
            <w:rStyle w:val="Hipervnculo"/>
            <w:rFonts w:ascii="Palatino Linotype" w:eastAsia="Calibri" w:hAnsi="Palatino Linotype"/>
            <w:i/>
            <w:sz w:val="22"/>
          </w:rPr>
          <w:lastRenderedPageBreak/>
          <w:t>Amparo</w:t>
        </w:r>
      </w:hyperlink>
      <w:r w:rsidRPr="000E2049">
        <w:rPr>
          <w:rStyle w:val="Hipervnculo"/>
          <w:rFonts w:ascii="Palatino Linotype" w:eastAsia="Calibri" w:hAnsi="Palatino Linotype"/>
          <w:i/>
          <w:sz w:val="22"/>
        </w:rPr>
        <w:t xml:space="preserve"> </w:t>
      </w:r>
      <w:r w:rsidRPr="000E2049">
        <w:rPr>
          <w:rFonts w:ascii="Palatino Linotype" w:hAnsi="Palatino Linotype"/>
          <w:i/>
          <w:sz w:val="22"/>
        </w:rPr>
        <w:t xml:space="preserve">con el artículo </w:t>
      </w:r>
      <w:hyperlink r:id="rId9" w:history="1">
        <w:r w:rsidRPr="000E2049">
          <w:rPr>
            <w:rStyle w:val="Hipervnculo"/>
            <w:rFonts w:ascii="Palatino Linotype" w:eastAsia="Calibri" w:hAnsi="Palatino Linotype"/>
            <w:i/>
            <w:sz w:val="22"/>
          </w:rPr>
          <w:t>25.1 de la Convención Americana sobre Derechos Humanos</w:t>
        </w:r>
      </w:hyperlink>
      <w:r w:rsidRPr="000E2049">
        <w:rPr>
          <w:rStyle w:val="apple-converted-space"/>
          <w:rFonts w:ascii="Palatino Linotype" w:hAnsi="Palatino Linotype"/>
          <w:i/>
          <w:sz w:val="22"/>
        </w:rPr>
        <w:t xml:space="preserve"> </w:t>
      </w:r>
      <w:r w:rsidRPr="000E2049">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2049">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909FB" w:rsidRPr="000E2049" w:rsidRDefault="00F909FB" w:rsidP="00ED2B85">
      <w:pPr>
        <w:pStyle w:val="Prrafodelista"/>
        <w:autoSpaceDE w:val="0"/>
        <w:autoSpaceDN w:val="0"/>
        <w:adjustRightInd w:val="0"/>
        <w:spacing w:line="360" w:lineRule="auto"/>
        <w:ind w:left="0"/>
        <w:jc w:val="both"/>
        <w:rPr>
          <w:rFonts w:ascii="Palatino Linotype" w:hAnsi="Palatino Linotype" w:cs="Arial"/>
        </w:rPr>
      </w:pPr>
    </w:p>
    <w:p w:rsidR="00F909FB" w:rsidRPr="000E2049" w:rsidRDefault="00F909FB" w:rsidP="00ED2B85">
      <w:pPr>
        <w:autoSpaceDE w:val="0"/>
        <w:autoSpaceDN w:val="0"/>
        <w:adjustRightInd w:val="0"/>
        <w:spacing w:line="360" w:lineRule="auto"/>
        <w:jc w:val="both"/>
        <w:rPr>
          <w:rFonts w:ascii="Palatino Linotype" w:hAnsi="Palatino Linotype" w:cs="Arial"/>
        </w:rPr>
      </w:pPr>
      <w:r w:rsidRPr="000E2049">
        <w:rPr>
          <w:rFonts w:ascii="Palatino Linotype" w:hAnsi="Palatino Linotype" w:cs="Arial"/>
        </w:rPr>
        <w:t>Por lo que una vez que se analizó el expediente en estudio se cae en la cuenta de que no se actualiza ninguna de las casuales a continuación transcritas:</w:t>
      </w:r>
    </w:p>
    <w:p w:rsidR="00F909FB" w:rsidRPr="000E2049" w:rsidRDefault="00F909FB" w:rsidP="00ED2B85">
      <w:pPr>
        <w:pStyle w:val="Prrafodelista"/>
        <w:autoSpaceDE w:val="0"/>
        <w:autoSpaceDN w:val="0"/>
        <w:adjustRightInd w:val="0"/>
        <w:spacing w:line="360" w:lineRule="auto"/>
        <w:ind w:left="0"/>
        <w:jc w:val="both"/>
        <w:rPr>
          <w:rFonts w:ascii="Palatino Linotype" w:hAnsi="Palatino Linotype" w:cs="Arial"/>
        </w:rPr>
      </w:pPr>
    </w:p>
    <w:p w:rsidR="00F909FB" w:rsidRPr="000E2049" w:rsidRDefault="00F909FB" w:rsidP="00ED2B85">
      <w:pPr>
        <w:pStyle w:val="Prrafodelista"/>
        <w:autoSpaceDE w:val="0"/>
        <w:autoSpaceDN w:val="0"/>
        <w:adjustRightInd w:val="0"/>
        <w:ind w:left="567" w:right="567"/>
        <w:jc w:val="both"/>
        <w:rPr>
          <w:rFonts w:ascii="Palatino Linotype" w:hAnsi="Palatino Linotype" w:cs="Arial"/>
          <w:i/>
          <w:sz w:val="22"/>
          <w:szCs w:val="22"/>
        </w:rPr>
      </w:pPr>
      <w:r w:rsidRPr="000E2049">
        <w:rPr>
          <w:rFonts w:ascii="Palatino Linotype" w:hAnsi="Palatino Linotype" w:cs="Arial"/>
          <w:i/>
          <w:sz w:val="22"/>
          <w:szCs w:val="22"/>
        </w:rPr>
        <w:t>“</w:t>
      </w:r>
      <w:r w:rsidRPr="000E2049">
        <w:rPr>
          <w:rFonts w:ascii="Palatino Linotype" w:hAnsi="Palatino Linotype" w:cs="Arial"/>
          <w:b/>
          <w:i/>
          <w:sz w:val="22"/>
          <w:szCs w:val="22"/>
        </w:rPr>
        <w:t>Artículo 191</w:t>
      </w:r>
      <w:r w:rsidRPr="000E2049">
        <w:rPr>
          <w:rFonts w:ascii="Palatino Linotype" w:hAnsi="Palatino Linotype" w:cs="Arial"/>
          <w:i/>
          <w:sz w:val="22"/>
          <w:szCs w:val="22"/>
        </w:rPr>
        <w:t xml:space="preserve">. El recurso será desechado por improcedente cuando:  </w:t>
      </w:r>
    </w:p>
    <w:p w:rsidR="00F909FB" w:rsidRPr="000E2049" w:rsidRDefault="00F909FB" w:rsidP="00ED2B85">
      <w:pPr>
        <w:pStyle w:val="Prrafodelista"/>
        <w:autoSpaceDE w:val="0"/>
        <w:autoSpaceDN w:val="0"/>
        <w:adjustRightInd w:val="0"/>
        <w:ind w:left="567" w:right="567"/>
        <w:jc w:val="both"/>
        <w:rPr>
          <w:rFonts w:ascii="Palatino Linotype" w:hAnsi="Palatino Linotype" w:cs="Arial"/>
          <w:i/>
          <w:sz w:val="22"/>
          <w:szCs w:val="22"/>
        </w:rPr>
      </w:pPr>
      <w:r w:rsidRPr="000E2049">
        <w:rPr>
          <w:rFonts w:ascii="Palatino Linotype" w:hAnsi="Palatino Linotype" w:cs="Arial"/>
          <w:b/>
          <w:i/>
          <w:sz w:val="22"/>
          <w:szCs w:val="22"/>
        </w:rPr>
        <w:t>I</w:t>
      </w:r>
      <w:r w:rsidRPr="000E2049">
        <w:rPr>
          <w:rFonts w:ascii="Palatino Linotype" w:hAnsi="Palatino Linotype" w:cs="Arial"/>
          <w:i/>
          <w:sz w:val="22"/>
          <w:szCs w:val="22"/>
        </w:rPr>
        <w:t xml:space="preserve">. Sea extemporáneo por haber transcurrido el plazo establecido en la presente Ley, a partir de la respuesta;  </w:t>
      </w:r>
    </w:p>
    <w:p w:rsidR="00F909FB" w:rsidRPr="000E2049" w:rsidRDefault="00F909FB" w:rsidP="00ED2B85">
      <w:pPr>
        <w:pStyle w:val="Prrafodelista"/>
        <w:autoSpaceDE w:val="0"/>
        <w:autoSpaceDN w:val="0"/>
        <w:adjustRightInd w:val="0"/>
        <w:ind w:left="567" w:right="567"/>
        <w:jc w:val="both"/>
        <w:rPr>
          <w:rFonts w:ascii="Palatino Linotype" w:hAnsi="Palatino Linotype" w:cs="Arial"/>
          <w:i/>
          <w:sz w:val="22"/>
          <w:szCs w:val="22"/>
        </w:rPr>
      </w:pPr>
      <w:r w:rsidRPr="000E2049">
        <w:rPr>
          <w:rFonts w:ascii="Palatino Linotype" w:hAnsi="Palatino Linotype" w:cs="Arial"/>
          <w:b/>
          <w:i/>
          <w:sz w:val="22"/>
          <w:szCs w:val="22"/>
        </w:rPr>
        <w:t>II</w:t>
      </w:r>
      <w:r w:rsidRPr="000E2049">
        <w:rPr>
          <w:rFonts w:ascii="Palatino Linotype" w:hAnsi="Palatino Linotype" w:cs="Arial"/>
          <w:i/>
          <w:sz w:val="22"/>
          <w:szCs w:val="22"/>
        </w:rPr>
        <w:t xml:space="preserve">. Se esté tramitando ante el Poder Judicial de la Federación algún recurso o medio de defensa interpuesto por el recurrente;  </w:t>
      </w:r>
    </w:p>
    <w:p w:rsidR="00F909FB" w:rsidRPr="000E2049" w:rsidRDefault="00F909FB" w:rsidP="00ED2B85">
      <w:pPr>
        <w:pStyle w:val="Prrafodelista"/>
        <w:autoSpaceDE w:val="0"/>
        <w:autoSpaceDN w:val="0"/>
        <w:adjustRightInd w:val="0"/>
        <w:ind w:left="567" w:right="567"/>
        <w:jc w:val="both"/>
        <w:rPr>
          <w:rFonts w:ascii="Palatino Linotype" w:hAnsi="Palatino Linotype" w:cs="Arial"/>
          <w:i/>
          <w:sz w:val="22"/>
          <w:szCs w:val="22"/>
        </w:rPr>
      </w:pPr>
      <w:r w:rsidRPr="000E2049">
        <w:rPr>
          <w:rFonts w:ascii="Palatino Linotype" w:hAnsi="Palatino Linotype" w:cs="Arial"/>
          <w:b/>
          <w:i/>
          <w:sz w:val="22"/>
          <w:szCs w:val="22"/>
        </w:rPr>
        <w:t>III</w:t>
      </w:r>
      <w:r w:rsidRPr="000E2049">
        <w:rPr>
          <w:rFonts w:ascii="Palatino Linotype" w:hAnsi="Palatino Linotype" w:cs="Arial"/>
          <w:i/>
          <w:sz w:val="22"/>
          <w:szCs w:val="22"/>
        </w:rPr>
        <w:t xml:space="preserve">. No actualice alguno de los supuestos previstos en la presente Ley;  </w:t>
      </w:r>
    </w:p>
    <w:p w:rsidR="00F909FB" w:rsidRPr="000E2049" w:rsidRDefault="00F909FB" w:rsidP="00ED2B85">
      <w:pPr>
        <w:pStyle w:val="Prrafodelista"/>
        <w:autoSpaceDE w:val="0"/>
        <w:autoSpaceDN w:val="0"/>
        <w:adjustRightInd w:val="0"/>
        <w:ind w:left="567" w:right="567"/>
        <w:jc w:val="both"/>
        <w:rPr>
          <w:rFonts w:ascii="Palatino Linotype" w:hAnsi="Palatino Linotype" w:cs="Arial"/>
          <w:i/>
          <w:sz w:val="22"/>
          <w:szCs w:val="22"/>
        </w:rPr>
      </w:pPr>
      <w:r w:rsidRPr="000E2049">
        <w:rPr>
          <w:rFonts w:ascii="Palatino Linotype" w:hAnsi="Palatino Linotype" w:cs="Arial"/>
          <w:b/>
          <w:i/>
          <w:sz w:val="22"/>
          <w:szCs w:val="22"/>
        </w:rPr>
        <w:t>IV</w:t>
      </w:r>
      <w:r w:rsidRPr="000E2049">
        <w:rPr>
          <w:rFonts w:ascii="Palatino Linotype" w:hAnsi="Palatino Linotype" w:cs="Arial"/>
          <w:i/>
          <w:sz w:val="22"/>
          <w:szCs w:val="22"/>
        </w:rPr>
        <w:t xml:space="preserve">. No se haya desahogado la prevención en los términos establecidos en la presente Ley;  </w:t>
      </w:r>
    </w:p>
    <w:p w:rsidR="00F909FB" w:rsidRPr="000E2049" w:rsidRDefault="00F909FB" w:rsidP="00ED2B85">
      <w:pPr>
        <w:pStyle w:val="Prrafodelista"/>
        <w:autoSpaceDE w:val="0"/>
        <w:autoSpaceDN w:val="0"/>
        <w:adjustRightInd w:val="0"/>
        <w:ind w:left="567" w:right="567"/>
        <w:jc w:val="both"/>
        <w:rPr>
          <w:rFonts w:ascii="Palatino Linotype" w:hAnsi="Palatino Linotype" w:cs="Arial"/>
          <w:i/>
          <w:sz w:val="22"/>
          <w:szCs w:val="22"/>
        </w:rPr>
      </w:pPr>
      <w:r w:rsidRPr="000E2049">
        <w:rPr>
          <w:rFonts w:ascii="Palatino Linotype" w:hAnsi="Palatino Linotype" w:cs="Arial"/>
          <w:b/>
          <w:i/>
          <w:sz w:val="22"/>
          <w:szCs w:val="22"/>
        </w:rPr>
        <w:t>V</w:t>
      </w:r>
      <w:r w:rsidRPr="000E2049">
        <w:rPr>
          <w:rFonts w:ascii="Palatino Linotype" w:hAnsi="Palatino Linotype" w:cs="Arial"/>
          <w:i/>
          <w:sz w:val="22"/>
          <w:szCs w:val="22"/>
        </w:rPr>
        <w:t xml:space="preserve">. Se impugne la veracidad de la información proporcionada;  </w:t>
      </w:r>
    </w:p>
    <w:p w:rsidR="00F909FB" w:rsidRPr="000E2049" w:rsidRDefault="00F909FB" w:rsidP="00ED2B85">
      <w:pPr>
        <w:pStyle w:val="Prrafodelista"/>
        <w:autoSpaceDE w:val="0"/>
        <w:autoSpaceDN w:val="0"/>
        <w:adjustRightInd w:val="0"/>
        <w:ind w:left="567" w:right="567"/>
        <w:jc w:val="both"/>
        <w:rPr>
          <w:rFonts w:ascii="Palatino Linotype" w:hAnsi="Palatino Linotype" w:cs="Arial"/>
          <w:i/>
          <w:sz w:val="22"/>
          <w:szCs w:val="22"/>
        </w:rPr>
      </w:pPr>
      <w:r w:rsidRPr="000E2049">
        <w:rPr>
          <w:rFonts w:ascii="Palatino Linotype" w:hAnsi="Palatino Linotype" w:cs="Arial"/>
          <w:b/>
          <w:i/>
          <w:sz w:val="22"/>
          <w:szCs w:val="22"/>
        </w:rPr>
        <w:t>VI</w:t>
      </w:r>
      <w:r w:rsidRPr="000E2049">
        <w:rPr>
          <w:rFonts w:ascii="Palatino Linotype" w:hAnsi="Palatino Linotype" w:cs="Arial"/>
          <w:i/>
          <w:sz w:val="22"/>
          <w:szCs w:val="22"/>
        </w:rPr>
        <w:t xml:space="preserve">. Se trate de una consulta, o trámite en específico; y  </w:t>
      </w:r>
    </w:p>
    <w:p w:rsidR="00F909FB" w:rsidRPr="000E2049" w:rsidRDefault="00F909FB" w:rsidP="00ED2B85">
      <w:pPr>
        <w:pStyle w:val="Prrafodelista"/>
        <w:autoSpaceDE w:val="0"/>
        <w:autoSpaceDN w:val="0"/>
        <w:adjustRightInd w:val="0"/>
        <w:ind w:left="567" w:right="567"/>
        <w:jc w:val="both"/>
        <w:rPr>
          <w:rFonts w:ascii="Palatino Linotype" w:hAnsi="Palatino Linotype" w:cs="Arial"/>
          <w:i/>
          <w:sz w:val="22"/>
          <w:szCs w:val="22"/>
        </w:rPr>
      </w:pPr>
      <w:r w:rsidRPr="000E2049">
        <w:rPr>
          <w:rFonts w:ascii="Palatino Linotype" w:hAnsi="Palatino Linotype" w:cs="Arial"/>
          <w:b/>
          <w:i/>
          <w:sz w:val="22"/>
          <w:szCs w:val="22"/>
        </w:rPr>
        <w:t>VII</w:t>
      </w:r>
      <w:r w:rsidRPr="000E2049">
        <w:rPr>
          <w:rFonts w:ascii="Palatino Linotype" w:hAnsi="Palatino Linotype" w:cs="Arial"/>
          <w:i/>
          <w:sz w:val="22"/>
          <w:szCs w:val="22"/>
        </w:rPr>
        <w:t>. El recurrente amplíe su solicitud en el recurso de revisión, únicamente respecto de los nuevos contenidos.”</w:t>
      </w:r>
    </w:p>
    <w:p w:rsidR="00F909FB" w:rsidRPr="000E2049" w:rsidRDefault="00F909FB" w:rsidP="00ED2B85">
      <w:pPr>
        <w:pStyle w:val="Prrafodelista"/>
        <w:autoSpaceDE w:val="0"/>
        <w:autoSpaceDN w:val="0"/>
        <w:adjustRightInd w:val="0"/>
        <w:spacing w:line="360" w:lineRule="auto"/>
        <w:ind w:right="850"/>
        <w:jc w:val="both"/>
        <w:rPr>
          <w:rFonts w:ascii="Palatino Linotype" w:hAnsi="Palatino Linotype" w:cs="Arial"/>
          <w:i/>
        </w:rPr>
      </w:pPr>
    </w:p>
    <w:p w:rsidR="00F909FB" w:rsidRPr="000E2049" w:rsidRDefault="00F909FB" w:rsidP="00ED2B85">
      <w:pPr>
        <w:autoSpaceDE w:val="0"/>
        <w:autoSpaceDN w:val="0"/>
        <w:adjustRightInd w:val="0"/>
        <w:spacing w:line="360" w:lineRule="auto"/>
        <w:jc w:val="both"/>
        <w:rPr>
          <w:rFonts w:ascii="Palatino Linotype" w:hAnsi="Palatino Linotype" w:cs="Arial"/>
        </w:rPr>
      </w:pPr>
      <w:r w:rsidRPr="000E2049">
        <w:rPr>
          <w:rFonts w:ascii="Palatino Linotype" w:hAnsi="Palatino Linotype" w:cs="Arial"/>
        </w:rPr>
        <w:t xml:space="preserve">Ya que no fue interpuesto de forma extemporánea, no se está tramitando ante el Poder Judicial Federal, no es una consulta, o trámite en específico, ni tampoco se advierte que </w:t>
      </w:r>
      <w:r w:rsidRPr="000E2049">
        <w:rPr>
          <w:rFonts w:ascii="Palatino Linotype" w:hAnsi="Palatino Linotype" w:cs="Arial"/>
          <w:b/>
        </w:rPr>
        <w:t>el recurrente</w:t>
      </w:r>
      <w:r w:rsidRPr="000E2049">
        <w:rPr>
          <w:rFonts w:ascii="Palatino Linotype" w:hAnsi="Palatino Linotype" w:cs="Arial"/>
        </w:rPr>
        <w:t xml:space="preserve"> amplíe su solicitud en el recurso de revisión, por lo que </w:t>
      </w:r>
      <w:r w:rsidRPr="000E2049">
        <w:rPr>
          <w:rFonts w:ascii="Palatino Linotype" w:hAnsi="Palatino Linotype" w:cs="Arial"/>
        </w:rPr>
        <w:lastRenderedPageBreak/>
        <w:t>al no existir causas de improcedencia invocadas por las partes ni advertidas de oficio, este Órgano Garante de la Transparencia se avoca al análisis del fondo del asunto que nos ocupa.</w:t>
      </w:r>
    </w:p>
    <w:p w:rsidR="00F909FB" w:rsidRPr="000E2049" w:rsidRDefault="00F909FB" w:rsidP="00ED2B85">
      <w:pPr>
        <w:autoSpaceDE w:val="0"/>
        <w:autoSpaceDN w:val="0"/>
        <w:adjustRightInd w:val="0"/>
        <w:spacing w:line="360" w:lineRule="auto"/>
        <w:jc w:val="both"/>
        <w:rPr>
          <w:rFonts w:ascii="Palatino Linotype" w:hAnsi="Palatino Linotype" w:cs="Arial"/>
        </w:rPr>
      </w:pPr>
    </w:p>
    <w:p w:rsidR="00F909FB" w:rsidRPr="000E2049" w:rsidRDefault="00F909FB" w:rsidP="00ED2B85">
      <w:pPr>
        <w:autoSpaceDE w:val="0"/>
        <w:autoSpaceDN w:val="0"/>
        <w:adjustRightInd w:val="0"/>
        <w:spacing w:line="360" w:lineRule="auto"/>
        <w:jc w:val="both"/>
        <w:rPr>
          <w:rFonts w:ascii="Palatino Linotype" w:hAnsi="Palatino Linotype" w:cs="Arial"/>
        </w:rPr>
      </w:pPr>
    </w:p>
    <w:p w:rsidR="00F909FB" w:rsidRPr="000E2049" w:rsidRDefault="00F909FB" w:rsidP="00ED2B85">
      <w:pPr>
        <w:pStyle w:val="Prrafodelista"/>
        <w:autoSpaceDE w:val="0"/>
        <w:autoSpaceDN w:val="0"/>
        <w:adjustRightInd w:val="0"/>
        <w:spacing w:line="360" w:lineRule="auto"/>
        <w:ind w:left="0"/>
        <w:jc w:val="both"/>
        <w:rPr>
          <w:rFonts w:ascii="Palatino Linotype" w:hAnsi="Palatino Linotype" w:cs="Arial"/>
          <w:sz w:val="28"/>
          <w:szCs w:val="28"/>
        </w:rPr>
      </w:pPr>
      <w:r w:rsidRPr="000E2049">
        <w:rPr>
          <w:rFonts w:ascii="Palatino Linotype" w:hAnsi="Palatino Linotype" w:cs="Arial"/>
          <w:b/>
          <w:sz w:val="28"/>
          <w:szCs w:val="28"/>
        </w:rPr>
        <w:t>CUARTO. Del estudio y resolución del asunto.</w:t>
      </w:r>
      <w:r w:rsidRPr="000E2049">
        <w:rPr>
          <w:rFonts w:ascii="Palatino Linotype" w:hAnsi="Palatino Linotype" w:cs="Arial"/>
          <w:sz w:val="28"/>
          <w:szCs w:val="28"/>
        </w:rPr>
        <w:t xml:space="preserve"> </w:t>
      </w:r>
    </w:p>
    <w:p w:rsidR="00F909FB" w:rsidRPr="000E2049" w:rsidRDefault="00F909FB" w:rsidP="00ED2B85">
      <w:pPr>
        <w:autoSpaceDE w:val="0"/>
        <w:autoSpaceDN w:val="0"/>
        <w:adjustRightInd w:val="0"/>
        <w:spacing w:line="360" w:lineRule="auto"/>
        <w:jc w:val="both"/>
        <w:rPr>
          <w:rFonts w:ascii="Palatino Linotype" w:hAnsi="Palatino Linotype" w:cs="Arial"/>
        </w:rPr>
      </w:pPr>
      <w:r w:rsidRPr="000E2049">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909FB" w:rsidRPr="000E2049" w:rsidRDefault="00F909FB" w:rsidP="00ED2B85">
      <w:pPr>
        <w:autoSpaceDE w:val="0"/>
        <w:autoSpaceDN w:val="0"/>
        <w:adjustRightInd w:val="0"/>
        <w:spacing w:line="360" w:lineRule="auto"/>
        <w:jc w:val="both"/>
        <w:rPr>
          <w:rFonts w:ascii="Palatino Linotype" w:hAnsi="Palatino Linotype" w:cs="Arial"/>
        </w:rPr>
      </w:pPr>
    </w:p>
    <w:p w:rsidR="00F909FB" w:rsidRPr="000E2049" w:rsidRDefault="00F909FB" w:rsidP="00ED2B85">
      <w:pPr>
        <w:tabs>
          <w:tab w:val="left" w:pos="709"/>
        </w:tabs>
        <w:spacing w:line="360" w:lineRule="auto"/>
        <w:jc w:val="both"/>
        <w:rPr>
          <w:rFonts w:ascii="Palatino Linotype" w:hAnsi="Palatino Linotype"/>
        </w:rPr>
      </w:pPr>
      <w:r w:rsidRPr="000E2049">
        <w:rPr>
          <w:rFonts w:ascii="Palatino Linotype" w:hAnsi="Palatino Linotype" w:cs="Arial"/>
        </w:rPr>
        <w:t xml:space="preserve">Con el propósito de realizar un mejor proveer por parte de este Órgano Garante, es conveniente </w:t>
      </w:r>
      <w:r w:rsidRPr="000E2049">
        <w:rPr>
          <w:rFonts w:ascii="Palatino Linotype" w:hAnsi="Palatino Linotype"/>
        </w:rPr>
        <w:t xml:space="preserve">hacer alusión a lo que la hoy </w:t>
      </w:r>
      <w:r w:rsidRPr="000E2049">
        <w:rPr>
          <w:rFonts w:ascii="Palatino Linotype" w:hAnsi="Palatino Linotype"/>
          <w:b/>
        </w:rPr>
        <w:t>recurrente</w:t>
      </w:r>
      <w:r w:rsidRPr="000E2049">
        <w:rPr>
          <w:rFonts w:ascii="Palatino Linotype" w:hAnsi="Palatino Linotype"/>
        </w:rPr>
        <w:t xml:space="preserve"> requirió, le fuese entregado por parte del </w:t>
      </w:r>
      <w:r w:rsidRPr="000E2049">
        <w:rPr>
          <w:rFonts w:ascii="Palatino Linotype" w:hAnsi="Palatino Linotype"/>
          <w:b/>
        </w:rPr>
        <w:t>sujeto obligado</w:t>
      </w:r>
      <w:r w:rsidRPr="000E2049">
        <w:rPr>
          <w:rFonts w:ascii="Palatino Linotype" w:hAnsi="Palatino Linotype"/>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B11355" w:rsidRPr="000E2049" w:rsidRDefault="00B11355" w:rsidP="00ED2B85">
      <w:pPr>
        <w:autoSpaceDE w:val="0"/>
        <w:autoSpaceDN w:val="0"/>
        <w:adjustRightInd w:val="0"/>
        <w:spacing w:line="360" w:lineRule="auto"/>
        <w:jc w:val="both"/>
        <w:rPr>
          <w:rFonts w:ascii="Palatino Linotype" w:hAnsi="Palatino Linotype" w:cs="Arial"/>
        </w:rPr>
      </w:pPr>
    </w:p>
    <w:p w:rsidR="00B11355" w:rsidRPr="000E2049" w:rsidRDefault="00B11355" w:rsidP="00ED2B85">
      <w:pPr>
        <w:pStyle w:val="Prrafodelista"/>
        <w:autoSpaceDE w:val="0"/>
        <w:autoSpaceDN w:val="0"/>
        <w:adjustRightInd w:val="0"/>
        <w:spacing w:line="360" w:lineRule="auto"/>
        <w:ind w:left="0"/>
        <w:jc w:val="both"/>
        <w:rPr>
          <w:rFonts w:ascii="Palatino Linotype" w:hAnsi="Palatino Linotype" w:cs="Arial"/>
        </w:rPr>
      </w:pPr>
      <w:r w:rsidRPr="000E2049">
        <w:rPr>
          <w:rFonts w:ascii="Palatino Linotype" w:hAnsi="Palatino Linotype" w:cs="Arial"/>
        </w:rPr>
        <w:t xml:space="preserve">En tal sentido es necesario establecer el tema o materia de estudio que nace a partir del ejercicio del derecho a la información pública, de su interpretación, de lo que </w:t>
      </w:r>
      <w:r w:rsidRPr="000E2049">
        <w:rPr>
          <w:rFonts w:ascii="Palatino Linotype" w:hAnsi="Palatino Linotype" w:cs="Arial"/>
        </w:rPr>
        <w:lastRenderedPageBreak/>
        <w:t>contestó el sujeto obligado y del marco normativo que rige el actuar del ente público, así tenemos que l</w:t>
      </w:r>
      <w:r w:rsidR="00B11A19" w:rsidRPr="000E2049">
        <w:rPr>
          <w:rFonts w:ascii="Palatino Linotype" w:hAnsi="Palatino Linotype" w:cs="Arial"/>
        </w:rPr>
        <w:t>a</w:t>
      </w:r>
      <w:r w:rsidRPr="000E2049">
        <w:rPr>
          <w:rFonts w:ascii="Palatino Linotype" w:hAnsi="Palatino Linotype" w:cs="Arial"/>
        </w:rPr>
        <w:t xml:space="preserve"> </w:t>
      </w:r>
      <w:r w:rsidRPr="000E2049">
        <w:rPr>
          <w:rFonts w:ascii="Palatino Linotype" w:hAnsi="Palatino Linotype" w:cs="Arial"/>
          <w:b/>
        </w:rPr>
        <w:t>solicitante</w:t>
      </w:r>
      <w:r w:rsidRPr="000E2049">
        <w:rPr>
          <w:rFonts w:ascii="Palatino Linotype" w:hAnsi="Palatino Linotype" w:cs="Arial"/>
        </w:rPr>
        <w:t>, peticiona lo siguiente:</w:t>
      </w:r>
    </w:p>
    <w:p w:rsidR="00B11355" w:rsidRPr="000E2049" w:rsidRDefault="00B11355" w:rsidP="00ED2B85">
      <w:pPr>
        <w:pStyle w:val="Prrafodelista"/>
        <w:autoSpaceDE w:val="0"/>
        <w:autoSpaceDN w:val="0"/>
        <w:adjustRightInd w:val="0"/>
        <w:spacing w:line="360" w:lineRule="auto"/>
        <w:ind w:left="0"/>
        <w:jc w:val="both"/>
        <w:rPr>
          <w:rFonts w:ascii="Palatino Linotype" w:hAnsi="Palatino Linotype" w:cs="Arial"/>
          <w:b/>
        </w:rPr>
      </w:pPr>
    </w:p>
    <w:p w:rsidR="00B11355" w:rsidRPr="000E2049" w:rsidRDefault="00B11A19" w:rsidP="00ED2B85">
      <w:pPr>
        <w:pStyle w:val="Prrafodelista"/>
        <w:numPr>
          <w:ilvl w:val="0"/>
          <w:numId w:val="1"/>
        </w:numPr>
        <w:spacing w:line="360" w:lineRule="auto"/>
        <w:ind w:right="567"/>
        <w:jc w:val="both"/>
        <w:rPr>
          <w:rFonts w:ascii="Palatino Linotype" w:eastAsia="Calibri" w:hAnsi="Palatino Linotype" w:cs="Times New Roman"/>
        </w:rPr>
      </w:pPr>
      <w:r w:rsidRPr="000E2049">
        <w:rPr>
          <w:rFonts w:ascii="Palatino Linotype" w:eastAsia="Calibri" w:hAnsi="Palatino Linotype" w:cs="Times New Roman"/>
        </w:rPr>
        <w:t>Número</w:t>
      </w:r>
      <w:r w:rsidR="0033451F" w:rsidRPr="000E2049">
        <w:rPr>
          <w:rFonts w:ascii="Palatino Linotype" w:eastAsia="Calibri" w:hAnsi="Palatino Linotype" w:cs="Times New Roman"/>
        </w:rPr>
        <w:t xml:space="preserve"> y ubicación </w:t>
      </w:r>
      <w:r w:rsidRPr="000E2049">
        <w:rPr>
          <w:rFonts w:ascii="Palatino Linotype" w:eastAsia="Calibri" w:hAnsi="Palatino Linotype" w:cs="Times New Roman"/>
        </w:rPr>
        <w:t>de tianguis;</w:t>
      </w:r>
    </w:p>
    <w:p w:rsidR="00B11A19" w:rsidRPr="000E2049" w:rsidRDefault="00B11A19" w:rsidP="00ED2B85">
      <w:pPr>
        <w:pStyle w:val="Prrafodelista"/>
        <w:numPr>
          <w:ilvl w:val="0"/>
          <w:numId w:val="1"/>
        </w:numPr>
        <w:spacing w:line="360" w:lineRule="auto"/>
        <w:ind w:right="567"/>
        <w:jc w:val="both"/>
        <w:rPr>
          <w:rFonts w:ascii="Palatino Linotype" w:eastAsia="Calibri" w:hAnsi="Palatino Linotype" w:cs="Times New Roman"/>
        </w:rPr>
      </w:pPr>
      <w:r w:rsidRPr="000E2049">
        <w:rPr>
          <w:rFonts w:ascii="Palatino Linotype" w:eastAsia="Calibri" w:hAnsi="Palatino Linotype" w:cs="Times New Roman"/>
        </w:rPr>
        <w:t xml:space="preserve">Número </w:t>
      </w:r>
      <w:r w:rsidR="0033451F" w:rsidRPr="000E2049">
        <w:rPr>
          <w:rFonts w:ascii="Palatino Linotype" w:eastAsia="Calibri" w:hAnsi="Palatino Linotype" w:cs="Times New Roman"/>
        </w:rPr>
        <w:t xml:space="preserve">y ubicación </w:t>
      </w:r>
      <w:r w:rsidRPr="000E2049">
        <w:rPr>
          <w:rFonts w:ascii="Palatino Linotype" w:eastAsia="Calibri" w:hAnsi="Palatino Linotype" w:cs="Times New Roman"/>
        </w:rPr>
        <w:t>de mercados semifijos;</w:t>
      </w:r>
    </w:p>
    <w:p w:rsidR="00B11A19" w:rsidRPr="000E2049" w:rsidRDefault="00B11A19" w:rsidP="00ED2B85">
      <w:pPr>
        <w:pStyle w:val="Prrafodelista"/>
        <w:numPr>
          <w:ilvl w:val="0"/>
          <w:numId w:val="1"/>
        </w:numPr>
        <w:spacing w:line="360" w:lineRule="auto"/>
        <w:ind w:right="567"/>
        <w:jc w:val="both"/>
        <w:rPr>
          <w:rFonts w:ascii="Palatino Linotype" w:eastAsia="Calibri" w:hAnsi="Palatino Linotype" w:cs="Times New Roman"/>
        </w:rPr>
      </w:pPr>
      <w:r w:rsidRPr="000E2049">
        <w:rPr>
          <w:rFonts w:ascii="Palatino Linotype" w:eastAsia="Calibri" w:hAnsi="Palatino Linotype" w:cs="Times New Roman"/>
        </w:rPr>
        <w:t xml:space="preserve">Número </w:t>
      </w:r>
      <w:r w:rsidR="0033451F" w:rsidRPr="000E2049">
        <w:rPr>
          <w:rFonts w:ascii="Palatino Linotype" w:eastAsia="Calibri" w:hAnsi="Palatino Linotype" w:cs="Times New Roman"/>
        </w:rPr>
        <w:t xml:space="preserve">y ubicación </w:t>
      </w:r>
      <w:r w:rsidRPr="000E2049">
        <w:rPr>
          <w:rFonts w:ascii="Palatino Linotype" w:eastAsia="Calibri" w:hAnsi="Palatino Linotype" w:cs="Times New Roman"/>
        </w:rPr>
        <w:t>de puestos semifijos;</w:t>
      </w:r>
    </w:p>
    <w:p w:rsidR="00B11A19" w:rsidRPr="000E2049" w:rsidRDefault="00B11A19" w:rsidP="00ED2B85">
      <w:pPr>
        <w:pStyle w:val="Prrafodelista"/>
        <w:numPr>
          <w:ilvl w:val="0"/>
          <w:numId w:val="1"/>
        </w:numPr>
        <w:spacing w:line="360" w:lineRule="auto"/>
        <w:ind w:right="567"/>
        <w:jc w:val="both"/>
        <w:rPr>
          <w:rFonts w:ascii="Palatino Linotype" w:eastAsia="Calibri" w:hAnsi="Palatino Linotype" w:cs="Times New Roman"/>
        </w:rPr>
      </w:pPr>
      <w:r w:rsidRPr="000E2049">
        <w:rPr>
          <w:rFonts w:ascii="Palatino Linotype" w:eastAsia="Calibri" w:hAnsi="Palatino Linotype" w:cs="Times New Roman"/>
        </w:rPr>
        <w:t xml:space="preserve">Número </w:t>
      </w:r>
      <w:r w:rsidR="0033451F" w:rsidRPr="000E2049">
        <w:rPr>
          <w:rFonts w:ascii="Palatino Linotype" w:eastAsia="Calibri" w:hAnsi="Palatino Linotype" w:cs="Times New Roman"/>
        </w:rPr>
        <w:t xml:space="preserve">y ubicación </w:t>
      </w:r>
      <w:r w:rsidRPr="000E2049">
        <w:rPr>
          <w:rFonts w:ascii="Palatino Linotype" w:eastAsia="Calibri" w:hAnsi="Palatino Linotype" w:cs="Times New Roman"/>
        </w:rPr>
        <w:t>de mercados sobre ruedas</w:t>
      </w:r>
      <w:r w:rsidR="00F909FB" w:rsidRPr="000E2049">
        <w:rPr>
          <w:rFonts w:ascii="Palatino Linotype" w:eastAsia="Calibri" w:hAnsi="Palatino Linotype" w:cs="Times New Roman"/>
        </w:rPr>
        <w:t>;</w:t>
      </w:r>
    </w:p>
    <w:p w:rsidR="00F909FB" w:rsidRPr="000E2049" w:rsidRDefault="00F909FB" w:rsidP="00ED2B85">
      <w:pPr>
        <w:pStyle w:val="Prrafodelista"/>
        <w:numPr>
          <w:ilvl w:val="0"/>
          <w:numId w:val="1"/>
        </w:numPr>
        <w:spacing w:line="360" w:lineRule="auto"/>
        <w:ind w:right="567"/>
        <w:jc w:val="both"/>
        <w:rPr>
          <w:rFonts w:ascii="Palatino Linotype" w:eastAsia="Calibri" w:hAnsi="Palatino Linotype" w:cs="Times New Roman"/>
        </w:rPr>
      </w:pPr>
      <w:r w:rsidRPr="000E2049">
        <w:rPr>
          <w:rFonts w:ascii="Palatino Linotype" w:eastAsia="Calibri" w:hAnsi="Palatino Linotype" w:cs="Times New Roman"/>
        </w:rPr>
        <w:t>Autoridad responsable de emitir los permisos;</w:t>
      </w:r>
    </w:p>
    <w:p w:rsidR="00F909FB" w:rsidRPr="000E2049" w:rsidRDefault="00F909FB" w:rsidP="00ED2B85">
      <w:pPr>
        <w:pStyle w:val="Prrafodelista"/>
        <w:numPr>
          <w:ilvl w:val="0"/>
          <w:numId w:val="1"/>
        </w:numPr>
        <w:spacing w:line="360" w:lineRule="auto"/>
        <w:ind w:right="567"/>
        <w:jc w:val="both"/>
        <w:rPr>
          <w:rFonts w:ascii="Palatino Linotype" w:eastAsia="Calibri" w:hAnsi="Palatino Linotype" w:cs="Times New Roman"/>
        </w:rPr>
      </w:pPr>
      <w:r w:rsidRPr="000E2049">
        <w:rPr>
          <w:rFonts w:ascii="Palatino Linotype" w:eastAsia="Calibri" w:hAnsi="Palatino Linotype" w:cs="Times New Roman"/>
        </w:rPr>
        <w:t>Requisitos para los tianguis, mercados semifijos, puestos semifijos y mercados sobre ruedas;</w:t>
      </w:r>
    </w:p>
    <w:p w:rsidR="00F909FB" w:rsidRPr="000E2049" w:rsidRDefault="00F909FB" w:rsidP="00ED2B85">
      <w:pPr>
        <w:pStyle w:val="Prrafodelista"/>
        <w:numPr>
          <w:ilvl w:val="0"/>
          <w:numId w:val="1"/>
        </w:numPr>
        <w:spacing w:line="360" w:lineRule="auto"/>
        <w:ind w:right="567"/>
        <w:jc w:val="both"/>
        <w:rPr>
          <w:rFonts w:ascii="Palatino Linotype" w:eastAsia="Calibri" w:hAnsi="Palatino Linotype" w:cs="Times New Roman"/>
        </w:rPr>
      </w:pPr>
      <w:r w:rsidRPr="000E2049">
        <w:rPr>
          <w:rFonts w:ascii="Palatino Linotype" w:eastAsia="Calibri" w:hAnsi="Palatino Linotype" w:cs="Times New Roman"/>
        </w:rPr>
        <w:t xml:space="preserve">Cantidad </w:t>
      </w:r>
      <w:r w:rsidR="00B82C51" w:rsidRPr="000E2049">
        <w:rPr>
          <w:rFonts w:ascii="Palatino Linotype" w:eastAsia="Calibri" w:hAnsi="Palatino Linotype" w:cs="Times New Roman"/>
        </w:rPr>
        <w:t xml:space="preserve">recaudada </w:t>
      </w:r>
      <w:r w:rsidRPr="000E2049">
        <w:rPr>
          <w:rFonts w:ascii="Palatino Linotype" w:eastAsia="Calibri" w:hAnsi="Palatino Linotype" w:cs="Times New Roman"/>
        </w:rPr>
        <w:t>por el uso de suelo;</w:t>
      </w:r>
    </w:p>
    <w:p w:rsidR="00F909FB" w:rsidRPr="000E2049" w:rsidRDefault="00F909FB" w:rsidP="00ED2B85">
      <w:pPr>
        <w:pStyle w:val="Prrafodelista"/>
        <w:numPr>
          <w:ilvl w:val="0"/>
          <w:numId w:val="1"/>
        </w:numPr>
        <w:spacing w:line="360" w:lineRule="auto"/>
        <w:ind w:right="567"/>
        <w:jc w:val="both"/>
        <w:rPr>
          <w:rFonts w:ascii="Palatino Linotype" w:eastAsia="Calibri" w:hAnsi="Palatino Linotype" w:cs="Times New Roman"/>
        </w:rPr>
      </w:pPr>
      <w:r w:rsidRPr="000E2049">
        <w:rPr>
          <w:rFonts w:ascii="Palatino Linotype" w:eastAsia="Calibri" w:hAnsi="Palatino Linotype" w:cs="Times New Roman"/>
        </w:rPr>
        <w:t xml:space="preserve">Uso de los ingresos; y </w:t>
      </w:r>
    </w:p>
    <w:p w:rsidR="00F909FB" w:rsidRPr="000E2049" w:rsidRDefault="00F909FB" w:rsidP="00ED2B85">
      <w:pPr>
        <w:pStyle w:val="Prrafodelista"/>
        <w:numPr>
          <w:ilvl w:val="0"/>
          <w:numId w:val="1"/>
        </w:numPr>
        <w:spacing w:line="360" w:lineRule="auto"/>
        <w:ind w:right="567"/>
        <w:jc w:val="both"/>
        <w:rPr>
          <w:rFonts w:ascii="Palatino Linotype" w:eastAsia="Calibri" w:hAnsi="Palatino Linotype" w:cs="Times New Roman"/>
        </w:rPr>
      </w:pPr>
      <w:r w:rsidRPr="000E2049">
        <w:rPr>
          <w:rFonts w:ascii="Palatino Linotype" w:eastAsia="Calibri" w:hAnsi="Palatino Linotype" w:cs="Times New Roman"/>
        </w:rPr>
        <w:t>Autoridad facultada para uso de los ingresos.</w:t>
      </w:r>
    </w:p>
    <w:p w:rsidR="00B11A19" w:rsidRPr="000E2049" w:rsidRDefault="00B11A19"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 xml:space="preserve">Primeramente resulta necesario señalar que </w:t>
      </w:r>
      <w:r w:rsidR="00E47FB3" w:rsidRPr="000E2049">
        <w:rPr>
          <w:rFonts w:ascii="Palatino Linotype" w:eastAsia="Calibri" w:hAnsi="Palatino Linotype" w:cs="Times New Roman"/>
        </w:rPr>
        <w:t>de la redacción de la solicitud de información presentada por la solicitante, no se advierte</w:t>
      </w:r>
      <w:r w:rsidRPr="000E2049">
        <w:rPr>
          <w:rFonts w:ascii="Palatino Linotype" w:eastAsia="Calibri" w:hAnsi="Palatino Linotype" w:cs="Times New Roman"/>
        </w:rPr>
        <w:t xml:space="preserve"> que pretend</w:t>
      </w:r>
      <w:r w:rsidR="00E47FB3" w:rsidRPr="000E2049">
        <w:rPr>
          <w:rFonts w:ascii="Palatino Linotype" w:eastAsia="Calibri" w:hAnsi="Palatino Linotype" w:cs="Times New Roman"/>
        </w:rPr>
        <w:t>a</w:t>
      </w:r>
      <w:r w:rsidRPr="000E2049">
        <w:rPr>
          <w:rFonts w:ascii="Palatino Linotype" w:eastAsia="Calibri" w:hAnsi="Palatino Linotype" w:cs="Times New Roman"/>
        </w:rPr>
        <w:t xml:space="preserve"> acceder a documento alguno, sino que el </w:t>
      </w:r>
      <w:r w:rsidRPr="000E2049">
        <w:rPr>
          <w:rFonts w:ascii="Palatino Linotype" w:eastAsia="Calibri" w:hAnsi="Palatino Linotype" w:cs="Times New Roman"/>
          <w:b/>
        </w:rPr>
        <w:t>sujeto obligado</w:t>
      </w:r>
      <w:r w:rsidRPr="000E2049">
        <w:rPr>
          <w:rFonts w:ascii="Palatino Linotype" w:eastAsia="Calibri" w:hAnsi="Palatino Linotype" w:cs="Times New Roman"/>
        </w:rPr>
        <w:t xml:space="preserve"> realice pronunciamiento</w:t>
      </w:r>
      <w:r w:rsidR="00E47FB3" w:rsidRPr="000E2049">
        <w:rPr>
          <w:rFonts w:ascii="Palatino Linotype" w:eastAsia="Calibri" w:hAnsi="Palatino Linotype" w:cs="Times New Roman"/>
        </w:rPr>
        <w:t>s</w:t>
      </w:r>
      <w:r w:rsidRPr="000E2049">
        <w:rPr>
          <w:rFonts w:ascii="Palatino Linotype" w:eastAsia="Calibri" w:hAnsi="Palatino Linotype" w:cs="Times New Roman"/>
        </w:rPr>
        <w:t xml:space="preserve"> sobre diverso</w:t>
      </w:r>
      <w:r w:rsidR="00E47FB3" w:rsidRPr="000E2049">
        <w:rPr>
          <w:rFonts w:ascii="Palatino Linotype" w:eastAsia="Calibri" w:hAnsi="Palatino Linotype" w:cs="Times New Roman"/>
        </w:rPr>
        <w:t>s</w:t>
      </w:r>
      <w:r w:rsidRPr="000E2049">
        <w:rPr>
          <w:rFonts w:ascii="Palatino Linotype" w:eastAsia="Calibri" w:hAnsi="Palatino Linotype" w:cs="Times New Roman"/>
        </w:rPr>
        <w:t xml:space="preserve"> cuestionamiento</w:t>
      </w:r>
      <w:r w:rsidR="00E47FB3" w:rsidRPr="000E2049">
        <w:rPr>
          <w:rFonts w:ascii="Palatino Linotype" w:eastAsia="Calibri" w:hAnsi="Palatino Linotype" w:cs="Times New Roman"/>
        </w:rPr>
        <w:t>s</w:t>
      </w:r>
      <w:r w:rsidRPr="000E2049">
        <w:rPr>
          <w:rFonts w:ascii="Palatino Linotype" w:eastAsia="Calibri" w:hAnsi="Palatino Linotype" w:cs="Times New Roman"/>
        </w:rPr>
        <w:t>.</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En ese sentido, atentos a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 xml:space="preserve">Por lo que resulta evidente que sus solicitudes de información son improcedentes porque los requerimientos consisten en un pronunciamiento sobre </w:t>
      </w:r>
      <w:r w:rsidRPr="000E2049">
        <w:rPr>
          <w:rFonts w:ascii="Palatino Linotype" w:eastAsia="Calibri" w:hAnsi="Palatino Linotype" w:cs="Times New Roman"/>
        </w:rPr>
        <w:lastRenderedPageBreak/>
        <w:t>cuestionamientos, sin que se requiriera específicamente un documento al cual deseara acceder, que permitiera al sujeto obligado localizarlo y en su caso ponerlo a disposición del particular.</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En sustento a lo anterior, cobra aplicación lo establecido por el artículo 6 apartado A fracciones I, II y III de la Constitución Política de los Estados Unidos Mexicanos que a la letra señalan:</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i/>
          <w:sz w:val="22"/>
        </w:rPr>
        <w:t>“</w:t>
      </w:r>
      <w:r w:rsidRPr="000E2049">
        <w:rPr>
          <w:rFonts w:ascii="Palatino Linotype" w:eastAsia="Calibri" w:hAnsi="Palatino Linotype" w:cs="Times New Roman"/>
          <w:b/>
          <w:i/>
          <w:sz w:val="22"/>
        </w:rPr>
        <w:t>Artículo 6o.</w:t>
      </w: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i/>
          <w:sz w:val="22"/>
        </w:rPr>
        <w:t>[...]</w:t>
      </w: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i/>
          <w:sz w:val="22"/>
        </w:rPr>
        <w:t>A. Para el ejercicio del derecho de acceso a la información, la Federación y las entidades federativas, en el ámbito de sus respectivas competencias, se regirán por los siguientes principios y bases:</w:t>
      </w: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i/>
          <w:sz w:val="22"/>
        </w:rPr>
        <w:t xml:space="preserve"> </w:t>
      </w: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b/>
          <w:i/>
          <w:sz w:val="22"/>
        </w:rPr>
        <w:t>I</w:t>
      </w:r>
      <w:r w:rsidRPr="000E2049">
        <w:rPr>
          <w:rFonts w:ascii="Palatino Linotype" w:eastAsia="Calibri" w:hAnsi="Palatino Linotype" w:cs="Times New Roman"/>
          <w:i/>
          <w:sz w:val="22"/>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información.”(sic)</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lastRenderedPageBreak/>
        <w:t xml:space="preserve">Lo anterior se concatena con lo establecido en los artículos 4 y 12 de la Ley de Transparencia y Acceso a la Información Pública del Estado de México y Municipios, los cuales esgrimen: </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i/>
          <w:sz w:val="22"/>
        </w:rPr>
        <w:t>“</w:t>
      </w:r>
      <w:r w:rsidRPr="000E2049">
        <w:rPr>
          <w:rFonts w:ascii="Palatino Linotype" w:eastAsia="Calibri" w:hAnsi="Palatino Linotype" w:cs="Times New Roman"/>
          <w:b/>
          <w:i/>
          <w:sz w:val="22"/>
        </w:rPr>
        <w:t>Artículo 4.</w:t>
      </w:r>
      <w:r w:rsidRPr="000E2049">
        <w:rPr>
          <w:rFonts w:ascii="Palatino Linotype" w:eastAsia="Calibri" w:hAnsi="Palatino Linotype" w:cs="Times New Roman"/>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82C51" w:rsidRPr="000E2049" w:rsidRDefault="00B82C51" w:rsidP="00ED2B85">
      <w:pPr>
        <w:ind w:left="567" w:right="567"/>
        <w:jc w:val="both"/>
        <w:rPr>
          <w:rFonts w:ascii="Palatino Linotype" w:eastAsia="Calibri" w:hAnsi="Palatino Linotype" w:cs="Times New Roman"/>
          <w:i/>
          <w:sz w:val="22"/>
        </w:rPr>
      </w:pP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i/>
          <w:sz w:val="22"/>
        </w:rPr>
        <w:t>[…]</w:t>
      </w:r>
    </w:p>
    <w:p w:rsidR="00B82C51" w:rsidRPr="000E2049" w:rsidRDefault="00B82C51" w:rsidP="00ED2B85">
      <w:pPr>
        <w:ind w:left="567" w:right="567"/>
        <w:jc w:val="both"/>
        <w:rPr>
          <w:rFonts w:ascii="Palatino Linotype" w:eastAsia="Calibri" w:hAnsi="Palatino Linotype" w:cs="Times New Roman"/>
          <w:i/>
          <w:sz w:val="22"/>
        </w:rPr>
      </w:pP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b/>
          <w:i/>
          <w:sz w:val="22"/>
        </w:rPr>
        <w:t>Artículo 12.</w:t>
      </w:r>
      <w:r w:rsidRPr="000E2049">
        <w:rPr>
          <w:rFonts w:ascii="Palatino Linotype" w:eastAsia="Calibri" w:hAnsi="Palatino Linotype" w:cs="Times New Roman"/>
          <w:i/>
          <w:sz w:val="22"/>
        </w:rPr>
        <w:t xml:space="preserve"> Quienes generen, recopilen, administren, manejen, procesen, archiven o conserven información pública serán responsables de la misma en los términos de las disposiciones jurídicas aplicables.</w:t>
      </w:r>
    </w:p>
    <w:p w:rsidR="00B82C51" w:rsidRPr="000E2049" w:rsidRDefault="00B82C51" w:rsidP="00ED2B85">
      <w:pPr>
        <w:ind w:left="567" w:right="567"/>
        <w:jc w:val="both"/>
        <w:rPr>
          <w:rFonts w:ascii="Palatino Linotype" w:eastAsia="Calibri" w:hAnsi="Palatino Linotype" w:cs="Times New Roman"/>
          <w:i/>
          <w:sz w:val="22"/>
        </w:rPr>
      </w:pPr>
    </w:p>
    <w:p w:rsidR="00B82C51" w:rsidRPr="000E2049" w:rsidRDefault="00B82C51" w:rsidP="00ED2B85">
      <w:pPr>
        <w:ind w:left="567" w:right="567"/>
        <w:jc w:val="both"/>
        <w:rPr>
          <w:rFonts w:ascii="Palatino Linotype" w:eastAsia="Calibri" w:hAnsi="Palatino Linotype" w:cs="Times New Roman"/>
          <w:i/>
          <w:sz w:val="22"/>
          <w:u w:val="single"/>
        </w:rPr>
      </w:pPr>
      <w:r w:rsidRPr="000E2049">
        <w:rPr>
          <w:rFonts w:ascii="Palatino Linotype" w:eastAsia="Calibri" w:hAnsi="Palatino Linotype" w:cs="Times New Roman"/>
          <w:i/>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82C51" w:rsidRPr="000E2049" w:rsidRDefault="00B82C51" w:rsidP="00ED2B85">
      <w:pPr>
        <w:ind w:left="567" w:right="567"/>
        <w:jc w:val="both"/>
        <w:rPr>
          <w:rFonts w:ascii="Palatino Linotype" w:eastAsia="Calibri" w:hAnsi="Palatino Linotype" w:cs="Times New Roman"/>
          <w:i/>
          <w:sz w:val="22"/>
        </w:rPr>
      </w:pPr>
    </w:p>
    <w:p w:rsidR="00B82C51" w:rsidRPr="000E2049" w:rsidRDefault="00B82C51" w:rsidP="00ED2B85">
      <w:pPr>
        <w:ind w:left="567" w:right="567"/>
        <w:jc w:val="right"/>
        <w:rPr>
          <w:rFonts w:ascii="Palatino Linotype" w:eastAsia="Calibri" w:hAnsi="Palatino Linotype" w:cs="Times New Roman"/>
          <w:sz w:val="22"/>
        </w:rPr>
      </w:pPr>
      <w:r w:rsidRPr="000E2049">
        <w:rPr>
          <w:rFonts w:ascii="Palatino Linotype" w:eastAsia="Calibri" w:hAnsi="Palatino Linotype" w:cs="Times New Roman"/>
          <w:sz w:val="22"/>
        </w:rPr>
        <w:t>(Énfasis añadido)</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w:t>
      </w:r>
      <w:r w:rsidRPr="000E2049">
        <w:rPr>
          <w:rFonts w:ascii="Palatino Linotype" w:eastAsia="Calibri" w:hAnsi="Palatino Linotype" w:cs="Times New Roman"/>
        </w:rPr>
        <w:lastRenderedPageBreak/>
        <w:t>estado en que ésta se encuentre, sin que se comprenda el procesamiento de la misma, el presentarla conforme al interés del solicitante, ni generarla, resumirla, efectuar cálcu</w:t>
      </w:r>
      <w:r w:rsidR="007E7CA2" w:rsidRPr="000E2049">
        <w:rPr>
          <w:rFonts w:ascii="Palatino Linotype" w:eastAsia="Calibri" w:hAnsi="Palatino Linotype" w:cs="Times New Roman"/>
        </w:rPr>
        <w:t xml:space="preserve">los o practicar investigaciones, esto es, que no tienen el deber de generar un documento </w:t>
      </w:r>
      <w:r w:rsidR="007E7CA2" w:rsidRPr="000E2049">
        <w:rPr>
          <w:rFonts w:ascii="Palatino Linotype" w:eastAsia="Calibri" w:hAnsi="Palatino Linotype" w:cs="Times New Roman"/>
          <w:i/>
        </w:rPr>
        <w:t>ad hoc</w:t>
      </w:r>
      <w:r w:rsidR="007E7CA2" w:rsidRPr="000E2049">
        <w:rPr>
          <w:rFonts w:ascii="Palatino Linotype" w:eastAsia="Calibri" w:hAnsi="Palatino Linotype" w:cs="Times New Roman"/>
        </w:rPr>
        <w:t>, para satisfacer el derecho de acceso a la información pública.</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En este sentido se observa que las peticiones de información fueron formuladas a través de cuestionamientos en donde no se identifica un documento en específico, por lo que no puede ser atendida mediante el Derecho de Acceso a la Información.</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ind w:left="567" w:right="567"/>
        <w:jc w:val="both"/>
        <w:rPr>
          <w:rFonts w:ascii="Palatino Linotype" w:eastAsia="Calibri" w:hAnsi="Palatino Linotype" w:cs="Times New Roman"/>
          <w:i/>
          <w:sz w:val="22"/>
        </w:rPr>
      </w:pPr>
      <w:r w:rsidRPr="000E2049">
        <w:rPr>
          <w:rFonts w:ascii="Palatino Linotype" w:eastAsia="Calibri" w:hAnsi="Palatino Linotype" w:cs="Times New Roman"/>
          <w:i/>
          <w:sz w:val="22"/>
        </w:rPr>
        <w:t>“</w:t>
      </w:r>
      <w:r w:rsidRPr="000E2049">
        <w:rPr>
          <w:rFonts w:ascii="Palatino Linotype" w:eastAsia="Calibri" w:hAnsi="Palatino Linotype" w:cs="Times New Roman"/>
          <w:b/>
          <w:i/>
          <w:sz w:val="22"/>
        </w:rPr>
        <w:t>Cuando en una solicitud de información no se identifique un documento en específico, si ésta tiene una expresión documental, el sujeto obligado deberá entregar al particular el documento en específico</w:t>
      </w:r>
      <w:r w:rsidRPr="000E2049">
        <w:rPr>
          <w:rFonts w:ascii="Palatino Linotype" w:eastAsia="Calibri" w:hAnsi="Palatino Linotype" w:cs="Times New Roman"/>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w:t>
      </w:r>
      <w:r w:rsidRPr="000E2049">
        <w:rPr>
          <w:rFonts w:ascii="Palatino Linotype" w:eastAsia="Calibri" w:hAnsi="Palatino Linotype" w:cs="Times New Roman"/>
          <w:i/>
          <w:sz w:val="22"/>
        </w:rPr>
        <w:lastRenderedPageBreak/>
        <w:t>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B82C51" w:rsidRPr="000E2049" w:rsidRDefault="00B82C51" w:rsidP="00ED2B85">
      <w:pPr>
        <w:spacing w:line="360" w:lineRule="auto"/>
        <w:jc w:val="both"/>
        <w:rPr>
          <w:rFonts w:ascii="Palatino Linotype" w:eastAsia="Calibri" w:hAnsi="Palatino Linotype" w:cs="Times New Roman"/>
        </w:rPr>
      </w:pPr>
    </w:p>
    <w:p w:rsidR="00B82C51" w:rsidRPr="000E2049"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En ese tenor de ideas, se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B82C51" w:rsidRPr="000E2049" w:rsidRDefault="00B82C51" w:rsidP="00ED2B85">
      <w:pPr>
        <w:spacing w:line="360" w:lineRule="auto"/>
        <w:jc w:val="both"/>
        <w:rPr>
          <w:rFonts w:ascii="Palatino Linotype" w:eastAsia="Calibri" w:hAnsi="Palatino Linotype" w:cs="Times New Roman"/>
        </w:rPr>
      </w:pPr>
    </w:p>
    <w:p w:rsidR="00B82C51" w:rsidRDefault="00B82C51"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0E2049" w:rsidRPr="000E2049" w:rsidRDefault="000E2049" w:rsidP="00ED2B85">
      <w:pPr>
        <w:spacing w:line="360" w:lineRule="auto"/>
        <w:jc w:val="both"/>
        <w:rPr>
          <w:rFonts w:ascii="Palatino Linotype" w:eastAsia="Calibri" w:hAnsi="Palatino Linotype" w:cs="Times New Roman"/>
        </w:rPr>
      </w:pPr>
    </w:p>
    <w:p w:rsidR="007E7CA2" w:rsidRPr="000E2049" w:rsidRDefault="00B11355"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 xml:space="preserve">Ahora bien, </w:t>
      </w:r>
      <w:r w:rsidR="007E7CA2" w:rsidRPr="000E2049">
        <w:rPr>
          <w:rFonts w:ascii="Palatino Linotype" w:eastAsia="Calibri" w:hAnsi="Palatino Linotype" w:cs="Times New Roman"/>
        </w:rPr>
        <w:t xml:space="preserve">el </w:t>
      </w:r>
      <w:r w:rsidR="007E7CA2" w:rsidRPr="000E2049">
        <w:rPr>
          <w:rFonts w:ascii="Palatino Linotype" w:eastAsia="Calibri" w:hAnsi="Palatino Linotype" w:cs="Times New Roman"/>
          <w:b/>
        </w:rPr>
        <w:t xml:space="preserve">sujeto </w:t>
      </w:r>
      <w:r w:rsidR="007E7CA2" w:rsidRPr="000E2049">
        <w:rPr>
          <w:rFonts w:ascii="Palatino Linotype" w:eastAsia="Calibri" w:hAnsi="Palatino Linotype" w:cs="Times New Roman"/>
        </w:rPr>
        <w:t xml:space="preserve">obligado en aras de garantizar el derecho de acceso a la información de la </w:t>
      </w:r>
      <w:r w:rsidR="007E7CA2" w:rsidRPr="000E2049">
        <w:rPr>
          <w:rFonts w:ascii="Palatino Linotype" w:eastAsia="Calibri" w:hAnsi="Palatino Linotype" w:cs="Times New Roman"/>
          <w:b/>
        </w:rPr>
        <w:t>recurrente</w:t>
      </w:r>
      <w:r w:rsidR="007E7CA2" w:rsidRPr="000E2049">
        <w:rPr>
          <w:rFonts w:ascii="Palatino Linotype" w:eastAsia="Calibri" w:hAnsi="Palatino Linotype" w:cs="Times New Roman"/>
        </w:rPr>
        <w:t xml:space="preserve">, emitió </w:t>
      </w:r>
      <w:r w:rsidRPr="000E2049">
        <w:rPr>
          <w:rFonts w:ascii="Palatino Linotype" w:eastAsia="Calibri" w:hAnsi="Palatino Linotype" w:cs="Times New Roman"/>
        </w:rPr>
        <w:t>respuesta a</w:t>
      </w:r>
      <w:r w:rsidR="007E7CA2" w:rsidRPr="000E2049">
        <w:rPr>
          <w:rFonts w:ascii="Palatino Linotype" w:eastAsia="Calibri" w:hAnsi="Palatino Linotype" w:cs="Times New Roman"/>
        </w:rPr>
        <w:t xml:space="preserve"> </w:t>
      </w:r>
      <w:r w:rsidRPr="000E2049">
        <w:rPr>
          <w:rFonts w:ascii="Palatino Linotype" w:eastAsia="Calibri" w:hAnsi="Palatino Linotype" w:cs="Times New Roman"/>
        </w:rPr>
        <w:t>l</w:t>
      </w:r>
      <w:r w:rsidR="007E7CA2" w:rsidRPr="000E2049">
        <w:rPr>
          <w:rFonts w:ascii="Palatino Linotype" w:eastAsia="Calibri" w:hAnsi="Palatino Linotype" w:cs="Times New Roman"/>
        </w:rPr>
        <w:t>os</w:t>
      </w:r>
      <w:r w:rsidRPr="000E2049">
        <w:rPr>
          <w:rFonts w:ascii="Palatino Linotype" w:eastAsia="Calibri" w:hAnsi="Palatino Linotype" w:cs="Times New Roman"/>
        </w:rPr>
        <w:t xml:space="preserve"> requerimiento</w:t>
      </w:r>
      <w:r w:rsidR="007E7CA2" w:rsidRPr="000E2049">
        <w:rPr>
          <w:rFonts w:ascii="Palatino Linotype" w:eastAsia="Calibri" w:hAnsi="Palatino Linotype" w:cs="Times New Roman"/>
        </w:rPr>
        <w:t>s</w:t>
      </w:r>
      <w:r w:rsidRPr="000E2049">
        <w:rPr>
          <w:rFonts w:ascii="Palatino Linotype" w:eastAsia="Calibri" w:hAnsi="Palatino Linotype" w:cs="Times New Roman"/>
        </w:rPr>
        <w:t xml:space="preserve"> formulado</w:t>
      </w:r>
      <w:r w:rsidR="007E7CA2" w:rsidRPr="000E2049">
        <w:rPr>
          <w:rFonts w:ascii="Palatino Linotype" w:eastAsia="Calibri" w:hAnsi="Palatino Linotype" w:cs="Times New Roman"/>
        </w:rPr>
        <w:t>s, en los términos siguientes:</w:t>
      </w:r>
    </w:p>
    <w:tbl>
      <w:tblPr>
        <w:tblStyle w:val="Tablaconcuadrcula"/>
        <w:tblW w:w="0" w:type="auto"/>
        <w:tblLook w:val="04A0" w:firstRow="1" w:lastRow="0" w:firstColumn="1" w:lastColumn="0" w:noHBand="0" w:noVBand="1"/>
      </w:tblPr>
      <w:tblGrid>
        <w:gridCol w:w="2926"/>
        <w:gridCol w:w="2926"/>
        <w:gridCol w:w="2927"/>
      </w:tblGrid>
      <w:tr w:rsidR="00796851" w:rsidRPr="000E2049" w:rsidTr="00796851">
        <w:tc>
          <w:tcPr>
            <w:tcW w:w="2926" w:type="dxa"/>
          </w:tcPr>
          <w:p w:rsidR="00796851" w:rsidRPr="000E2049" w:rsidRDefault="00796851" w:rsidP="00ED2B85">
            <w:pPr>
              <w:spacing w:line="276" w:lineRule="auto"/>
              <w:jc w:val="center"/>
              <w:rPr>
                <w:rFonts w:ascii="Palatino Linotype" w:eastAsia="Calibri" w:hAnsi="Palatino Linotype" w:cs="Times New Roman"/>
                <w:b/>
                <w:sz w:val="21"/>
                <w:szCs w:val="21"/>
              </w:rPr>
            </w:pPr>
            <w:r w:rsidRPr="000E2049">
              <w:rPr>
                <w:rFonts w:ascii="Palatino Linotype" w:eastAsia="Calibri" w:hAnsi="Palatino Linotype" w:cs="Times New Roman"/>
                <w:b/>
                <w:sz w:val="21"/>
                <w:szCs w:val="21"/>
              </w:rPr>
              <w:lastRenderedPageBreak/>
              <w:t>Peticionado</w:t>
            </w:r>
          </w:p>
        </w:tc>
        <w:tc>
          <w:tcPr>
            <w:tcW w:w="2926" w:type="dxa"/>
          </w:tcPr>
          <w:p w:rsidR="00796851" w:rsidRPr="000E2049" w:rsidRDefault="00796851" w:rsidP="00ED2B85">
            <w:pPr>
              <w:spacing w:line="276" w:lineRule="auto"/>
              <w:jc w:val="center"/>
              <w:rPr>
                <w:rFonts w:ascii="Palatino Linotype" w:eastAsia="Calibri" w:hAnsi="Palatino Linotype" w:cs="Times New Roman"/>
                <w:b/>
                <w:sz w:val="21"/>
                <w:szCs w:val="21"/>
              </w:rPr>
            </w:pPr>
            <w:r w:rsidRPr="000E2049">
              <w:rPr>
                <w:rFonts w:ascii="Palatino Linotype" w:eastAsia="Calibri" w:hAnsi="Palatino Linotype" w:cs="Times New Roman"/>
                <w:b/>
                <w:sz w:val="21"/>
                <w:szCs w:val="21"/>
              </w:rPr>
              <w:t>Información entregada</w:t>
            </w:r>
          </w:p>
        </w:tc>
        <w:tc>
          <w:tcPr>
            <w:tcW w:w="2927" w:type="dxa"/>
          </w:tcPr>
          <w:p w:rsidR="00796851" w:rsidRPr="000E2049" w:rsidRDefault="00796851" w:rsidP="00ED2B85">
            <w:pPr>
              <w:spacing w:line="276" w:lineRule="auto"/>
              <w:jc w:val="center"/>
              <w:rPr>
                <w:rFonts w:ascii="Palatino Linotype" w:eastAsia="Calibri" w:hAnsi="Palatino Linotype" w:cs="Times New Roman"/>
                <w:b/>
                <w:sz w:val="21"/>
                <w:szCs w:val="21"/>
              </w:rPr>
            </w:pPr>
            <w:r w:rsidRPr="000E2049">
              <w:rPr>
                <w:rFonts w:ascii="Palatino Linotype" w:eastAsia="Calibri" w:hAnsi="Palatino Linotype" w:cs="Times New Roman"/>
                <w:b/>
                <w:sz w:val="21"/>
                <w:szCs w:val="21"/>
              </w:rPr>
              <w:t>Colmado</w:t>
            </w:r>
          </w:p>
        </w:tc>
      </w:tr>
      <w:tr w:rsidR="00796851" w:rsidRPr="000E2049" w:rsidTr="00796851">
        <w:tc>
          <w:tcPr>
            <w:tcW w:w="2926" w:type="dxa"/>
          </w:tcPr>
          <w:p w:rsidR="00796851" w:rsidRPr="000E2049" w:rsidRDefault="00796851" w:rsidP="00ED2B85">
            <w:pPr>
              <w:pStyle w:val="Prrafodelista"/>
              <w:numPr>
                <w:ilvl w:val="0"/>
                <w:numId w:val="3"/>
              </w:numPr>
              <w:spacing w:line="276" w:lineRule="auto"/>
              <w:ind w:left="313" w:hanging="283"/>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Número</w:t>
            </w:r>
            <w:r w:rsidR="00803B9F" w:rsidRPr="000E2049">
              <w:rPr>
                <w:rFonts w:ascii="Palatino Linotype" w:eastAsia="Calibri" w:hAnsi="Palatino Linotype" w:cs="Times New Roman"/>
                <w:sz w:val="21"/>
                <w:szCs w:val="21"/>
              </w:rPr>
              <w:t xml:space="preserve"> y ubicación</w:t>
            </w:r>
            <w:r w:rsidRPr="000E2049">
              <w:rPr>
                <w:rFonts w:ascii="Palatino Linotype" w:eastAsia="Calibri" w:hAnsi="Palatino Linotype" w:cs="Times New Roman"/>
                <w:sz w:val="21"/>
                <w:szCs w:val="21"/>
              </w:rPr>
              <w:t xml:space="preserve"> de tianguis;</w:t>
            </w:r>
          </w:p>
        </w:tc>
        <w:tc>
          <w:tcPr>
            <w:tcW w:w="2926" w:type="dxa"/>
          </w:tcPr>
          <w:p w:rsidR="00796851" w:rsidRPr="000E2049" w:rsidRDefault="00F036E2" w:rsidP="00ED2B85">
            <w:pPr>
              <w:spacing w:line="276" w:lineRule="auto"/>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Informa que cuenta con 81 (ochenta y uno) tianguis, así mismo refiere su ubicación.</w:t>
            </w:r>
          </w:p>
        </w:tc>
        <w:tc>
          <w:tcPr>
            <w:tcW w:w="2927" w:type="dxa"/>
          </w:tcPr>
          <w:p w:rsidR="00796851" w:rsidRPr="000E2049" w:rsidRDefault="00796851" w:rsidP="00ED2B85">
            <w:pPr>
              <w:spacing w:line="276" w:lineRule="auto"/>
              <w:jc w:val="center"/>
              <w:rPr>
                <w:rFonts w:ascii="Palatino Linotype" w:eastAsia="Calibri" w:hAnsi="Palatino Linotype" w:cs="Times New Roman"/>
                <w:sz w:val="21"/>
                <w:szCs w:val="21"/>
              </w:rPr>
            </w:pPr>
          </w:p>
          <w:p w:rsidR="00796851" w:rsidRPr="000E2049" w:rsidRDefault="00796851" w:rsidP="00ED2B85">
            <w:pPr>
              <w:spacing w:line="276" w:lineRule="auto"/>
              <w:jc w:val="center"/>
              <w:rPr>
                <w:rFonts w:ascii="Palatino Linotype" w:eastAsia="Calibri" w:hAnsi="Palatino Linotype" w:cs="Times New Roman"/>
                <w:b/>
                <w:sz w:val="21"/>
                <w:szCs w:val="21"/>
              </w:rPr>
            </w:pPr>
            <w:r w:rsidRPr="000E2049">
              <w:rPr>
                <w:rFonts w:ascii="Palatino Linotype" w:eastAsia="Calibri" w:hAnsi="Palatino Linotype" w:cs="Times New Roman"/>
                <w:b/>
                <w:sz w:val="21"/>
                <w:szCs w:val="21"/>
              </w:rPr>
              <w:sym w:font="Wingdings" w:char="F0FC"/>
            </w:r>
          </w:p>
        </w:tc>
      </w:tr>
      <w:tr w:rsidR="00796851" w:rsidRPr="000E2049" w:rsidTr="00796851">
        <w:tc>
          <w:tcPr>
            <w:tcW w:w="2926" w:type="dxa"/>
          </w:tcPr>
          <w:p w:rsidR="00796851" w:rsidRPr="000E2049" w:rsidRDefault="00796851" w:rsidP="00ED2B85">
            <w:pPr>
              <w:pStyle w:val="Prrafodelista"/>
              <w:numPr>
                <w:ilvl w:val="0"/>
                <w:numId w:val="3"/>
              </w:numPr>
              <w:spacing w:line="276" w:lineRule="auto"/>
              <w:ind w:left="313" w:hanging="283"/>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 xml:space="preserve">Número </w:t>
            </w:r>
            <w:r w:rsidR="00803B9F" w:rsidRPr="000E2049">
              <w:rPr>
                <w:rFonts w:ascii="Palatino Linotype" w:eastAsia="Calibri" w:hAnsi="Palatino Linotype" w:cs="Times New Roman"/>
                <w:sz w:val="21"/>
                <w:szCs w:val="21"/>
              </w:rPr>
              <w:t xml:space="preserve">y ubicación </w:t>
            </w:r>
            <w:r w:rsidRPr="000E2049">
              <w:rPr>
                <w:rFonts w:ascii="Palatino Linotype" w:eastAsia="Calibri" w:hAnsi="Palatino Linotype" w:cs="Times New Roman"/>
                <w:sz w:val="21"/>
                <w:szCs w:val="21"/>
              </w:rPr>
              <w:t>de mercados semifijos;</w:t>
            </w:r>
          </w:p>
        </w:tc>
        <w:tc>
          <w:tcPr>
            <w:tcW w:w="2926" w:type="dxa"/>
          </w:tcPr>
          <w:p w:rsidR="00796851" w:rsidRPr="000E2049" w:rsidRDefault="00796851" w:rsidP="00ED2B85">
            <w:pPr>
              <w:spacing w:line="276" w:lineRule="auto"/>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Señala no tener mercados semifijos (hecho negativo)</w:t>
            </w:r>
          </w:p>
        </w:tc>
        <w:tc>
          <w:tcPr>
            <w:tcW w:w="2927" w:type="dxa"/>
          </w:tcPr>
          <w:p w:rsidR="009B1F32" w:rsidRPr="000E2049" w:rsidRDefault="009B1F32" w:rsidP="00ED2B85">
            <w:pPr>
              <w:spacing w:line="276" w:lineRule="auto"/>
              <w:jc w:val="center"/>
              <w:rPr>
                <w:rFonts w:ascii="Palatino Linotype" w:eastAsia="Calibri" w:hAnsi="Palatino Linotype" w:cs="Times New Roman"/>
                <w:b/>
                <w:sz w:val="21"/>
                <w:szCs w:val="21"/>
              </w:rPr>
            </w:pPr>
          </w:p>
          <w:p w:rsidR="00796851" w:rsidRPr="000E2049" w:rsidRDefault="00803B9F" w:rsidP="00ED2B85">
            <w:pPr>
              <w:spacing w:line="276" w:lineRule="auto"/>
              <w:jc w:val="center"/>
              <w:rPr>
                <w:rFonts w:ascii="Palatino Linotype" w:eastAsia="Calibri" w:hAnsi="Palatino Linotype" w:cs="Times New Roman"/>
                <w:sz w:val="21"/>
                <w:szCs w:val="21"/>
              </w:rPr>
            </w:pPr>
            <w:r w:rsidRPr="000E2049">
              <w:rPr>
                <w:rFonts w:ascii="Palatino Linotype" w:eastAsia="Calibri" w:hAnsi="Palatino Linotype" w:cs="Times New Roman"/>
                <w:b/>
                <w:sz w:val="21"/>
                <w:szCs w:val="21"/>
              </w:rPr>
              <w:sym w:font="Wingdings" w:char="F0FC"/>
            </w:r>
          </w:p>
        </w:tc>
      </w:tr>
      <w:tr w:rsidR="00796851" w:rsidRPr="000E2049" w:rsidTr="00796851">
        <w:tc>
          <w:tcPr>
            <w:tcW w:w="2926" w:type="dxa"/>
          </w:tcPr>
          <w:p w:rsidR="00796851" w:rsidRPr="000E2049" w:rsidRDefault="00796851" w:rsidP="00ED2B85">
            <w:pPr>
              <w:pStyle w:val="Prrafodelista"/>
              <w:numPr>
                <w:ilvl w:val="0"/>
                <w:numId w:val="3"/>
              </w:numPr>
              <w:spacing w:line="276" w:lineRule="auto"/>
              <w:ind w:left="313" w:hanging="283"/>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 xml:space="preserve">Número </w:t>
            </w:r>
            <w:r w:rsidR="00803B9F" w:rsidRPr="000E2049">
              <w:rPr>
                <w:rFonts w:ascii="Palatino Linotype" w:eastAsia="Calibri" w:hAnsi="Palatino Linotype" w:cs="Times New Roman"/>
                <w:sz w:val="21"/>
                <w:szCs w:val="21"/>
              </w:rPr>
              <w:t xml:space="preserve">y ubicación </w:t>
            </w:r>
            <w:r w:rsidRPr="000E2049">
              <w:rPr>
                <w:rFonts w:ascii="Palatino Linotype" w:eastAsia="Calibri" w:hAnsi="Palatino Linotype" w:cs="Times New Roman"/>
                <w:sz w:val="21"/>
                <w:szCs w:val="21"/>
              </w:rPr>
              <w:t>de puestos semifijos;</w:t>
            </w:r>
          </w:p>
        </w:tc>
        <w:tc>
          <w:tcPr>
            <w:tcW w:w="2926" w:type="dxa"/>
          </w:tcPr>
          <w:p w:rsidR="00796851" w:rsidRPr="000E2049" w:rsidRDefault="00F036E2" w:rsidP="00ED2B85">
            <w:pPr>
              <w:spacing w:line="276" w:lineRule="auto"/>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 xml:space="preserve">Refieren no tener la información exacta, actualmente la Dirección de Abasto y Comercio se encuentra </w:t>
            </w:r>
            <w:r w:rsidR="00803B9F" w:rsidRPr="000E2049">
              <w:rPr>
                <w:rFonts w:ascii="Palatino Linotype" w:eastAsia="Calibri" w:hAnsi="Palatino Linotype" w:cs="Times New Roman"/>
                <w:sz w:val="21"/>
                <w:szCs w:val="21"/>
              </w:rPr>
              <w:t xml:space="preserve">en etapa de </w:t>
            </w:r>
            <w:r w:rsidRPr="000E2049">
              <w:rPr>
                <w:rFonts w:ascii="Palatino Linotype" w:eastAsia="Calibri" w:hAnsi="Palatino Linotype" w:cs="Times New Roman"/>
                <w:sz w:val="21"/>
                <w:szCs w:val="21"/>
              </w:rPr>
              <w:t>recolec</w:t>
            </w:r>
            <w:r w:rsidR="00803B9F" w:rsidRPr="000E2049">
              <w:rPr>
                <w:rFonts w:ascii="Palatino Linotype" w:eastAsia="Calibri" w:hAnsi="Palatino Linotype" w:cs="Times New Roman"/>
                <w:sz w:val="21"/>
                <w:szCs w:val="21"/>
              </w:rPr>
              <w:t>ción</w:t>
            </w:r>
          </w:p>
        </w:tc>
        <w:tc>
          <w:tcPr>
            <w:tcW w:w="2927" w:type="dxa"/>
          </w:tcPr>
          <w:p w:rsidR="00796851" w:rsidRPr="000E2049" w:rsidRDefault="00796851" w:rsidP="00ED2B85">
            <w:pPr>
              <w:spacing w:line="276" w:lineRule="auto"/>
              <w:jc w:val="center"/>
              <w:rPr>
                <w:rFonts w:ascii="Palatino Linotype" w:eastAsia="Calibri" w:hAnsi="Palatino Linotype" w:cs="Times New Roman"/>
                <w:sz w:val="21"/>
                <w:szCs w:val="21"/>
              </w:rPr>
            </w:pPr>
          </w:p>
          <w:p w:rsidR="0033451F" w:rsidRPr="000E2049" w:rsidRDefault="0033451F" w:rsidP="00ED2B85">
            <w:pPr>
              <w:spacing w:line="276" w:lineRule="auto"/>
              <w:jc w:val="center"/>
              <w:rPr>
                <w:rFonts w:ascii="Palatino Linotype" w:eastAsia="Calibri" w:hAnsi="Palatino Linotype" w:cs="Times New Roman"/>
                <w:b/>
                <w:sz w:val="21"/>
                <w:szCs w:val="21"/>
              </w:rPr>
            </w:pPr>
            <w:r w:rsidRPr="000E2049">
              <w:rPr>
                <w:rFonts w:ascii="Palatino Linotype" w:eastAsia="Calibri" w:hAnsi="Palatino Linotype" w:cs="Times New Roman"/>
                <w:b/>
                <w:sz w:val="28"/>
                <w:szCs w:val="21"/>
              </w:rPr>
              <w:t>X</w:t>
            </w:r>
          </w:p>
        </w:tc>
      </w:tr>
      <w:tr w:rsidR="00796851" w:rsidRPr="000E2049" w:rsidTr="00796851">
        <w:tc>
          <w:tcPr>
            <w:tcW w:w="2926" w:type="dxa"/>
          </w:tcPr>
          <w:p w:rsidR="00796851" w:rsidRPr="000E2049" w:rsidRDefault="00796851" w:rsidP="00ED2B85">
            <w:pPr>
              <w:pStyle w:val="Prrafodelista"/>
              <w:numPr>
                <w:ilvl w:val="0"/>
                <w:numId w:val="3"/>
              </w:numPr>
              <w:spacing w:line="276" w:lineRule="auto"/>
              <w:ind w:left="313" w:hanging="283"/>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 xml:space="preserve">Número </w:t>
            </w:r>
            <w:r w:rsidR="00803B9F" w:rsidRPr="000E2049">
              <w:rPr>
                <w:rFonts w:ascii="Palatino Linotype" w:eastAsia="Calibri" w:hAnsi="Palatino Linotype" w:cs="Times New Roman"/>
                <w:sz w:val="21"/>
                <w:szCs w:val="21"/>
              </w:rPr>
              <w:t xml:space="preserve">y ubicación </w:t>
            </w:r>
            <w:r w:rsidRPr="000E2049">
              <w:rPr>
                <w:rFonts w:ascii="Palatino Linotype" w:eastAsia="Calibri" w:hAnsi="Palatino Linotype" w:cs="Times New Roman"/>
                <w:sz w:val="21"/>
                <w:szCs w:val="21"/>
              </w:rPr>
              <w:t>de mercados sobre ruedas;</w:t>
            </w:r>
          </w:p>
        </w:tc>
        <w:tc>
          <w:tcPr>
            <w:tcW w:w="2926" w:type="dxa"/>
          </w:tcPr>
          <w:p w:rsidR="00796851" w:rsidRPr="000E2049" w:rsidRDefault="00F036E2" w:rsidP="00ED2B85">
            <w:pPr>
              <w:spacing w:line="276" w:lineRule="auto"/>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Manifiesta tener 2 (dos) mercados sobre ruedas, así como su ubicación en la zona de bancos y San Judas Tadeo.</w:t>
            </w:r>
          </w:p>
        </w:tc>
        <w:tc>
          <w:tcPr>
            <w:tcW w:w="2927" w:type="dxa"/>
          </w:tcPr>
          <w:p w:rsidR="00796851" w:rsidRPr="000E2049" w:rsidRDefault="00796851" w:rsidP="00ED2B85">
            <w:pPr>
              <w:spacing w:line="276" w:lineRule="auto"/>
              <w:jc w:val="center"/>
              <w:rPr>
                <w:rFonts w:ascii="Palatino Linotype" w:eastAsia="Calibri" w:hAnsi="Palatino Linotype" w:cs="Times New Roman"/>
                <w:sz w:val="21"/>
                <w:szCs w:val="21"/>
              </w:rPr>
            </w:pPr>
          </w:p>
          <w:p w:rsidR="00803B9F" w:rsidRPr="000E2049" w:rsidRDefault="00803B9F" w:rsidP="00ED2B85">
            <w:pPr>
              <w:spacing w:line="276" w:lineRule="auto"/>
              <w:jc w:val="center"/>
              <w:rPr>
                <w:rFonts w:ascii="Palatino Linotype" w:eastAsia="Calibri" w:hAnsi="Palatino Linotype" w:cs="Times New Roman"/>
                <w:sz w:val="21"/>
                <w:szCs w:val="21"/>
              </w:rPr>
            </w:pPr>
            <w:r w:rsidRPr="000E2049">
              <w:rPr>
                <w:rFonts w:ascii="Palatino Linotype" w:eastAsia="Calibri" w:hAnsi="Palatino Linotype" w:cs="Times New Roman"/>
                <w:b/>
                <w:sz w:val="21"/>
                <w:szCs w:val="21"/>
              </w:rPr>
              <w:sym w:font="Wingdings" w:char="F0FC"/>
            </w:r>
          </w:p>
        </w:tc>
      </w:tr>
      <w:tr w:rsidR="00796851" w:rsidRPr="000E2049" w:rsidTr="00796851">
        <w:tc>
          <w:tcPr>
            <w:tcW w:w="2926" w:type="dxa"/>
          </w:tcPr>
          <w:p w:rsidR="00796851" w:rsidRPr="000E2049" w:rsidRDefault="00796851" w:rsidP="00ED2B85">
            <w:pPr>
              <w:pStyle w:val="Prrafodelista"/>
              <w:numPr>
                <w:ilvl w:val="0"/>
                <w:numId w:val="3"/>
              </w:numPr>
              <w:spacing w:line="276" w:lineRule="auto"/>
              <w:ind w:left="313" w:hanging="283"/>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Autoridad responsable de emitir los permisos;</w:t>
            </w:r>
          </w:p>
        </w:tc>
        <w:tc>
          <w:tcPr>
            <w:tcW w:w="2926" w:type="dxa"/>
          </w:tcPr>
          <w:p w:rsidR="00796851" w:rsidRPr="000E2049" w:rsidRDefault="00803B9F" w:rsidP="00ED2B85">
            <w:pPr>
              <w:spacing w:line="276" w:lineRule="auto"/>
              <w:jc w:val="both"/>
              <w:rPr>
                <w:rFonts w:ascii="Palatino Linotype" w:eastAsia="Calibri" w:hAnsi="Palatino Linotype" w:cs="Times New Roman"/>
                <w:i/>
                <w:sz w:val="21"/>
                <w:szCs w:val="21"/>
              </w:rPr>
            </w:pPr>
            <w:r w:rsidRPr="000E2049">
              <w:rPr>
                <w:rFonts w:ascii="Palatino Linotype" w:eastAsia="Calibri" w:hAnsi="Palatino Linotype" w:cs="Times New Roman"/>
                <w:i/>
                <w:sz w:val="21"/>
                <w:szCs w:val="21"/>
              </w:rPr>
              <w:t>“…La autoridad responsable o competente para emitir los permisos correspondientes, es la Dirección General de Desarrollo Económico, por conducto de la Dirección de Abasto y Comercio…”</w:t>
            </w:r>
          </w:p>
        </w:tc>
        <w:tc>
          <w:tcPr>
            <w:tcW w:w="2927" w:type="dxa"/>
          </w:tcPr>
          <w:p w:rsidR="00796851" w:rsidRPr="000E2049" w:rsidRDefault="00796851" w:rsidP="00ED2B85">
            <w:pPr>
              <w:spacing w:line="276" w:lineRule="auto"/>
              <w:jc w:val="center"/>
              <w:rPr>
                <w:rFonts w:ascii="Palatino Linotype" w:eastAsia="Calibri" w:hAnsi="Palatino Linotype" w:cs="Times New Roman"/>
                <w:sz w:val="21"/>
                <w:szCs w:val="21"/>
              </w:rPr>
            </w:pPr>
          </w:p>
          <w:p w:rsidR="008B516C" w:rsidRPr="000E2049" w:rsidRDefault="0033451F" w:rsidP="00ED2B85">
            <w:pPr>
              <w:spacing w:line="276" w:lineRule="auto"/>
              <w:jc w:val="center"/>
              <w:rPr>
                <w:rFonts w:ascii="Palatino Linotype" w:eastAsia="Calibri" w:hAnsi="Palatino Linotype" w:cs="Times New Roman"/>
                <w:sz w:val="21"/>
                <w:szCs w:val="21"/>
              </w:rPr>
            </w:pPr>
            <w:r w:rsidRPr="000E2049">
              <w:rPr>
                <w:rFonts w:ascii="Palatino Linotype" w:eastAsia="Calibri" w:hAnsi="Palatino Linotype" w:cs="Times New Roman"/>
                <w:b/>
                <w:sz w:val="21"/>
                <w:szCs w:val="21"/>
              </w:rPr>
              <w:sym w:font="Wingdings" w:char="F0FC"/>
            </w:r>
          </w:p>
          <w:p w:rsidR="008B516C" w:rsidRPr="000E2049" w:rsidRDefault="008B516C" w:rsidP="00ED2B85">
            <w:pPr>
              <w:spacing w:line="276" w:lineRule="auto"/>
              <w:jc w:val="both"/>
              <w:rPr>
                <w:rFonts w:ascii="Palatino Linotype" w:eastAsia="Calibri" w:hAnsi="Palatino Linotype" w:cs="Times New Roman"/>
                <w:sz w:val="21"/>
                <w:szCs w:val="21"/>
              </w:rPr>
            </w:pPr>
          </w:p>
        </w:tc>
      </w:tr>
      <w:tr w:rsidR="00796851" w:rsidRPr="000E2049" w:rsidTr="00796851">
        <w:tc>
          <w:tcPr>
            <w:tcW w:w="2926" w:type="dxa"/>
          </w:tcPr>
          <w:p w:rsidR="00796851" w:rsidRPr="000E2049" w:rsidRDefault="00796851" w:rsidP="00ED2B85">
            <w:pPr>
              <w:pStyle w:val="Prrafodelista"/>
              <w:numPr>
                <w:ilvl w:val="0"/>
                <w:numId w:val="3"/>
              </w:numPr>
              <w:spacing w:line="276" w:lineRule="auto"/>
              <w:ind w:left="313" w:hanging="283"/>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Requisitos para los tianguis, mercados semifijos, puestos semifijos y mercados sobre ruedas;</w:t>
            </w:r>
          </w:p>
        </w:tc>
        <w:tc>
          <w:tcPr>
            <w:tcW w:w="2926" w:type="dxa"/>
          </w:tcPr>
          <w:p w:rsidR="00796851" w:rsidRPr="000E2049" w:rsidRDefault="00803B9F" w:rsidP="00ED2B85">
            <w:pPr>
              <w:spacing w:line="276" w:lineRule="auto"/>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Señala que los requisitos se encuentran señalados en el artículo 15 del Reglamento Municipal de Procedimientos, 119 y 120 del Reglamento General de Servicios de Cuautitlán Izcalli, México</w:t>
            </w:r>
          </w:p>
        </w:tc>
        <w:tc>
          <w:tcPr>
            <w:tcW w:w="2927" w:type="dxa"/>
          </w:tcPr>
          <w:p w:rsidR="00796851" w:rsidRPr="000E2049" w:rsidRDefault="00796851" w:rsidP="00ED2B85">
            <w:pPr>
              <w:spacing w:line="276" w:lineRule="auto"/>
              <w:jc w:val="center"/>
              <w:rPr>
                <w:rFonts w:ascii="Palatino Linotype" w:eastAsia="Calibri" w:hAnsi="Palatino Linotype" w:cs="Times New Roman"/>
                <w:sz w:val="21"/>
                <w:szCs w:val="21"/>
              </w:rPr>
            </w:pPr>
          </w:p>
          <w:p w:rsidR="008B516C" w:rsidRPr="000E2049" w:rsidRDefault="008B516C" w:rsidP="00ED2B85">
            <w:pPr>
              <w:spacing w:line="276" w:lineRule="auto"/>
              <w:jc w:val="center"/>
              <w:rPr>
                <w:rFonts w:ascii="Palatino Linotype" w:eastAsia="Calibri" w:hAnsi="Palatino Linotype" w:cs="Times New Roman"/>
                <w:sz w:val="21"/>
                <w:szCs w:val="21"/>
              </w:rPr>
            </w:pPr>
            <w:r w:rsidRPr="000E2049">
              <w:rPr>
                <w:rFonts w:ascii="Palatino Linotype" w:eastAsia="Calibri" w:hAnsi="Palatino Linotype" w:cs="Times New Roman"/>
                <w:b/>
                <w:sz w:val="21"/>
                <w:szCs w:val="21"/>
              </w:rPr>
              <w:sym w:font="Wingdings" w:char="F0FC"/>
            </w:r>
          </w:p>
        </w:tc>
      </w:tr>
      <w:tr w:rsidR="00796851" w:rsidRPr="000E2049" w:rsidTr="00796851">
        <w:tc>
          <w:tcPr>
            <w:tcW w:w="2926" w:type="dxa"/>
          </w:tcPr>
          <w:p w:rsidR="00796851" w:rsidRPr="000E2049" w:rsidRDefault="00796851" w:rsidP="00ED2B85">
            <w:pPr>
              <w:pStyle w:val="Prrafodelista"/>
              <w:numPr>
                <w:ilvl w:val="0"/>
                <w:numId w:val="3"/>
              </w:numPr>
              <w:spacing w:line="276" w:lineRule="auto"/>
              <w:ind w:left="313" w:hanging="283"/>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 xml:space="preserve">Cantidad </w:t>
            </w:r>
            <w:r w:rsidR="00803B9F" w:rsidRPr="000E2049">
              <w:rPr>
                <w:rFonts w:ascii="Palatino Linotype" w:eastAsia="Calibri" w:hAnsi="Palatino Linotype" w:cs="Times New Roman"/>
                <w:sz w:val="21"/>
                <w:szCs w:val="21"/>
              </w:rPr>
              <w:t>cobrada p</w:t>
            </w:r>
            <w:r w:rsidRPr="000E2049">
              <w:rPr>
                <w:rFonts w:ascii="Palatino Linotype" w:eastAsia="Calibri" w:hAnsi="Palatino Linotype" w:cs="Times New Roman"/>
                <w:sz w:val="21"/>
                <w:szCs w:val="21"/>
              </w:rPr>
              <w:t>or el uso de suelo;</w:t>
            </w:r>
          </w:p>
        </w:tc>
        <w:tc>
          <w:tcPr>
            <w:tcW w:w="2926" w:type="dxa"/>
          </w:tcPr>
          <w:p w:rsidR="00796851" w:rsidRPr="000E2049" w:rsidRDefault="00803B9F" w:rsidP="00ED2B85">
            <w:pPr>
              <w:spacing w:line="276" w:lineRule="auto"/>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La cantidad se cobra en términos del artículo 154 del Código Financiero del Estado de México y Municipios</w:t>
            </w:r>
          </w:p>
        </w:tc>
        <w:tc>
          <w:tcPr>
            <w:tcW w:w="2927" w:type="dxa"/>
          </w:tcPr>
          <w:p w:rsidR="008B516C" w:rsidRPr="000E2049" w:rsidRDefault="008B516C" w:rsidP="00ED2B85">
            <w:pPr>
              <w:spacing w:line="276" w:lineRule="auto"/>
              <w:jc w:val="center"/>
              <w:rPr>
                <w:rFonts w:ascii="Palatino Linotype" w:eastAsia="Calibri" w:hAnsi="Palatino Linotype" w:cs="Times New Roman"/>
                <w:b/>
                <w:sz w:val="21"/>
                <w:szCs w:val="21"/>
              </w:rPr>
            </w:pPr>
          </w:p>
          <w:p w:rsidR="00796851" w:rsidRPr="000E2049" w:rsidRDefault="008B516C" w:rsidP="00ED2B85">
            <w:pPr>
              <w:spacing w:line="276" w:lineRule="auto"/>
              <w:jc w:val="center"/>
              <w:rPr>
                <w:rFonts w:ascii="Palatino Linotype" w:eastAsia="Calibri" w:hAnsi="Palatino Linotype" w:cs="Times New Roman"/>
                <w:sz w:val="21"/>
                <w:szCs w:val="21"/>
              </w:rPr>
            </w:pPr>
            <w:r w:rsidRPr="000E2049">
              <w:rPr>
                <w:rFonts w:ascii="Palatino Linotype" w:eastAsia="Calibri" w:hAnsi="Palatino Linotype" w:cs="Times New Roman"/>
                <w:b/>
                <w:sz w:val="21"/>
                <w:szCs w:val="21"/>
              </w:rPr>
              <w:sym w:font="Wingdings" w:char="F0FC"/>
            </w:r>
          </w:p>
        </w:tc>
      </w:tr>
      <w:tr w:rsidR="008B516C" w:rsidRPr="000E2049" w:rsidTr="00796851">
        <w:tc>
          <w:tcPr>
            <w:tcW w:w="2926" w:type="dxa"/>
          </w:tcPr>
          <w:p w:rsidR="008B516C" w:rsidRPr="000E2049" w:rsidRDefault="008B516C" w:rsidP="00ED2B85">
            <w:pPr>
              <w:pStyle w:val="Prrafodelista"/>
              <w:numPr>
                <w:ilvl w:val="0"/>
                <w:numId w:val="3"/>
              </w:numPr>
              <w:spacing w:line="276" w:lineRule="auto"/>
              <w:ind w:left="313" w:hanging="283"/>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 xml:space="preserve">Uso de los ingresos por concepto de uso de suelo; y </w:t>
            </w:r>
          </w:p>
        </w:tc>
        <w:tc>
          <w:tcPr>
            <w:tcW w:w="2926" w:type="dxa"/>
            <w:vMerge w:val="restart"/>
          </w:tcPr>
          <w:p w:rsidR="008B516C" w:rsidRPr="000E2049" w:rsidRDefault="008B516C" w:rsidP="00ED2B85">
            <w:pPr>
              <w:spacing w:line="276" w:lineRule="auto"/>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t xml:space="preserve">A través del archivo electrónico Solicitud 00313.pdf, informa que el </w:t>
            </w:r>
            <w:r w:rsidRPr="000E2049">
              <w:rPr>
                <w:rFonts w:ascii="Palatino Linotype" w:eastAsia="Calibri" w:hAnsi="Palatino Linotype" w:cs="Times New Roman"/>
                <w:sz w:val="21"/>
                <w:szCs w:val="21"/>
              </w:rPr>
              <w:lastRenderedPageBreak/>
              <w:t>recurso obtenido, es ejercido por la Tesorería Municipal en gasto corriente.</w:t>
            </w:r>
          </w:p>
        </w:tc>
        <w:tc>
          <w:tcPr>
            <w:tcW w:w="2927" w:type="dxa"/>
            <w:vMerge w:val="restart"/>
          </w:tcPr>
          <w:p w:rsidR="008B516C" w:rsidRPr="000E2049" w:rsidRDefault="008B516C" w:rsidP="00ED2B85">
            <w:pPr>
              <w:spacing w:line="276" w:lineRule="auto"/>
              <w:jc w:val="center"/>
              <w:rPr>
                <w:rFonts w:ascii="Palatino Linotype" w:eastAsia="Calibri" w:hAnsi="Palatino Linotype" w:cs="Times New Roman"/>
                <w:sz w:val="21"/>
                <w:szCs w:val="21"/>
              </w:rPr>
            </w:pPr>
          </w:p>
          <w:p w:rsidR="008B516C" w:rsidRPr="000E2049" w:rsidRDefault="008B516C" w:rsidP="00ED2B85">
            <w:pPr>
              <w:spacing w:line="276" w:lineRule="auto"/>
              <w:jc w:val="center"/>
              <w:rPr>
                <w:rFonts w:ascii="Palatino Linotype" w:eastAsia="Calibri" w:hAnsi="Palatino Linotype" w:cs="Times New Roman"/>
                <w:sz w:val="21"/>
                <w:szCs w:val="21"/>
              </w:rPr>
            </w:pPr>
            <w:r w:rsidRPr="000E2049">
              <w:rPr>
                <w:rFonts w:ascii="Palatino Linotype" w:eastAsia="Calibri" w:hAnsi="Palatino Linotype" w:cs="Times New Roman"/>
                <w:b/>
                <w:sz w:val="21"/>
                <w:szCs w:val="21"/>
              </w:rPr>
              <w:sym w:font="Wingdings" w:char="F0FC"/>
            </w:r>
          </w:p>
        </w:tc>
      </w:tr>
      <w:tr w:rsidR="008B516C" w:rsidRPr="000E2049" w:rsidTr="00796851">
        <w:tc>
          <w:tcPr>
            <w:tcW w:w="2926" w:type="dxa"/>
          </w:tcPr>
          <w:p w:rsidR="008B516C" w:rsidRPr="000E2049" w:rsidRDefault="008B516C" w:rsidP="00ED2B85">
            <w:pPr>
              <w:pStyle w:val="Prrafodelista"/>
              <w:numPr>
                <w:ilvl w:val="0"/>
                <w:numId w:val="3"/>
              </w:numPr>
              <w:spacing w:line="276" w:lineRule="auto"/>
              <w:ind w:left="313" w:hanging="283"/>
              <w:jc w:val="both"/>
              <w:rPr>
                <w:rFonts w:ascii="Palatino Linotype" w:eastAsia="Calibri" w:hAnsi="Palatino Linotype" w:cs="Times New Roman"/>
                <w:sz w:val="21"/>
                <w:szCs w:val="21"/>
              </w:rPr>
            </w:pPr>
            <w:r w:rsidRPr="000E2049">
              <w:rPr>
                <w:rFonts w:ascii="Palatino Linotype" w:eastAsia="Calibri" w:hAnsi="Palatino Linotype" w:cs="Times New Roman"/>
                <w:sz w:val="21"/>
                <w:szCs w:val="21"/>
              </w:rPr>
              <w:lastRenderedPageBreak/>
              <w:t>Autoridad facultada para uso de los ingresos.</w:t>
            </w:r>
          </w:p>
        </w:tc>
        <w:tc>
          <w:tcPr>
            <w:tcW w:w="2926" w:type="dxa"/>
            <w:vMerge/>
          </w:tcPr>
          <w:p w:rsidR="008B516C" w:rsidRPr="000E2049" w:rsidRDefault="008B516C" w:rsidP="00ED2B85">
            <w:pPr>
              <w:spacing w:line="276" w:lineRule="auto"/>
              <w:jc w:val="both"/>
              <w:rPr>
                <w:rFonts w:ascii="Palatino Linotype" w:eastAsia="Calibri" w:hAnsi="Palatino Linotype" w:cs="Times New Roman"/>
                <w:sz w:val="21"/>
                <w:szCs w:val="21"/>
              </w:rPr>
            </w:pPr>
          </w:p>
        </w:tc>
        <w:tc>
          <w:tcPr>
            <w:tcW w:w="2927" w:type="dxa"/>
            <w:vMerge/>
          </w:tcPr>
          <w:p w:rsidR="008B516C" w:rsidRPr="000E2049" w:rsidRDefault="008B516C" w:rsidP="00ED2B85">
            <w:pPr>
              <w:spacing w:line="276" w:lineRule="auto"/>
              <w:jc w:val="center"/>
              <w:rPr>
                <w:rFonts w:ascii="Palatino Linotype" w:eastAsia="Calibri" w:hAnsi="Palatino Linotype" w:cs="Times New Roman"/>
                <w:sz w:val="21"/>
                <w:szCs w:val="21"/>
              </w:rPr>
            </w:pPr>
          </w:p>
        </w:tc>
      </w:tr>
    </w:tbl>
    <w:p w:rsidR="00796851" w:rsidRPr="000E2049" w:rsidRDefault="00796851" w:rsidP="00ED2B85">
      <w:pPr>
        <w:spacing w:line="360" w:lineRule="auto"/>
        <w:jc w:val="both"/>
        <w:rPr>
          <w:rFonts w:ascii="Palatino Linotype" w:eastAsia="Calibri" w:hAnsi="Palatino Linotype" w:cs="Times New Roman"/>
        </w:rPr>
      </w:pPr>
    </w:p>
    <w:p w:rsidR="00B11355" w:rsidRPr="000E2049" w:rsidRDefault="00B11355" w:rsidP="00ED2B85">
      <w:pPr>
        <w:spacing w:line="360" w:lineRule="auto"/>
        <w:jc w:val="both"/>
        <w:rPr>
          <w:rFonts w:ascii="Palatino Linotype" w:eastAsia="Calibri" w:hAnsi="Palatino Linotype" w:cs="Times New Roman"/>
          <w:b/>
        </w:rPr>
      </w:pPr>
      <w:r w:rsidRPr="000E2049">
        <w:rPr>
          <w:rFonts w:ascii="Palatino Linotype" w:eastAsia="Calibri" w:hAnsi="Palatino Linotype" w:cs="Times New Roman"/>
        </w:rPr>
        <w:t>Inconforme ante la respuesta proporcionada</w:t>
      </w:r>
      <w:r w:rsidRPr="000E2049">
        <w:rPr>
          <w:rFonts w:ascii="Palatino Linotype" w:eastAsia="Calibri" w:hAnsi="Palatino Linotype" w:cs="Times New Roman"/>
          <w:b/>
        </w:rPr>
        <w:t xml:space="preserve">, </w:t>
      </w:r>
      <w:r w:rsidRPr="000E2049">
        <w:rPr>
          <w:rFonts w:ascii="Palatino Linotype" w:eastAsia="Calibri" w:hAnsi="Palatino Linotype" w:cs="Times New Roman"/>
        </w:rPr>
        <w:t xml:space="preserve">el </w:t>
      </w:r>
      <w:r w:rsidRPr="000E2049">
        <w:rPr>
          <w:rFonts w:ascii="Palatino Linotype" w:eastAsia="Calibri" w:hAnsi="Palatino Linotype" w:cs="Times New Roman"/>
          <w:b/>
        </w:rPr>
        <w:t>recurrente</w:t>
      </w:r>
      <w:r w:rsidRPr="000E2049">
        <w:rPr>
          <w:rFonts w:ascii="Palatino Linotype" w:eastAsia="Calibri" w:hAnsi="Palatino Linotype" w:cs="Times New Roman"/>
        </w:rPr>
        <w:t xml:space="preserve"> interpuso el presente recurso de revisión, precisando como </w:t>
      </w:r>
      <w:r w:rsidR="00F474AF" w:rsidRPr="000E2049">
        <w:rPr>
          <w:rFonts w:ascii="Palatino Linotype" w:eastAsia="Calibri" w:hAnsi="Palatino Linotype" w:cs="Times New Roman"/>
        </w:rPr>
        <w:t xml:space="preserve">acto impugnado y </w:t>
      </w:r>
      <w:r w:rsidRPr="000E2049">
        <w:rPr>
          <w:rFonts w:ascii="Palatino Linotype" w:eastAsia="Calibri" w:hAnsi="Palatino Linotype" w:cs="Times New Roman"/>
        </w:rPr>
        <w:t xml:space="preserve">razones o motivos de inconformidad objetivamente </w:t>
      </w:r>
      <w:r w:rsidR="00F474AF" w:rsidRPr="000E2049">
        <w:rPr>
          <w:rFonts w:ascii="Palatino Linotype" w:eastAsia="Calibri" w:hAnsi="Palatino Linotype" w:cs="Times New Roman"/>
        </w:rPr>
        <w:t xml:space="preserve">que </w:t>
      </w:r>
      <w:r w:rsidR="00F474AF" w:rsidRPr="000E2049">
        <w:rPr>
          <w:rFonts w:ascii="Palatino Linotype" w:eastAsia="Calibri" w:hAnsi="Palatino Linotype" w:cs="Times New Roman"/>
          <w:b/>
          <w:i/>
        </w:rPr>
        <w:t>“no informan el uso que se le da al ingreso recaudado, ni quien es la autoridad facultada para el uso del recurso…”, “… contestan de manera incompleta…”</w:t>
      </w:r>
    </w:p>
    <w:p w:rsidR="00B11355" w:rsidRPr="000E2049" w:rsidRDefault="00B11355" w:rsidP="00ED2B85">
      <w:pPr>
        <w:spacing w:line="360" w:lineRule="auto"/>
        <w:jc w:val="both"/>
        <w:rPr>
          <w:rFonts w:ascii="Palatino Linotype" w:eastAsia="Calibri" w:hAnsi="Palatino Linotype" w:cs="Times New Roman"/>
        </w:rPr>
      </w:pPr>
    </w:p>
    <w:p w:rsidR="00090383" w:rsidRPr="000E2049" w:rsidRDefault="00B11355" w:rsidP="00ED2B85">
      <w:pPr>
        <w:spacing w:line="360" w:lineRule="auto"/>
        <w:jc w:val="both"/>
        <w:rPr>
          <w:rFonts w:ascii="Palatino Linotype" w:eastAsia="Calibri" w:hAnsi="Palatino Linotype" w:cs="Arial"/>
          <w:lang w:val="es-ES"/>
        </w:rPr>
      </w:pPr>
      <w:r w:rsidRPr="000E2049">
        <w:rPr>
          <w:rFonts w:ascii="Palatino Linotype" w:eastAsia="Calibri" w:hAnsi="Palatino Linotype" w:cs="Times New Roman"/>
        </w:rPr>
        <w:t xml:space="preserve">En la etapa de manifestaciones, el </w:t>
      </w:r>
      <w:r w:rsidRPr="000E2049">
        <w:rPr>
          <w:rFonts w:ascii="Palatino Linotype" w:eastAsia="Calibri" w:hAnsi="Palatino Linotype" w:cs="Times New Roman"/>
          <w:b/>
        </w:rPr>
        <w:t>sujeto obligado</w:t>
      </w:r>
      <w:r w:rsidRPr="000E2049">
        <w:rPr>
          <w:rFonts w:ascii="Palatino Linotype" w:eastAsia="Calibri" w:hAnsi="Palatino Linotype" w:cs="Times New Roman"/>
        </w:rPr>
        <w:t xml:space="preserve"> rindió su informe justificado por medio del archivo electrónico </w:t>
      </w:r>
      <w:r w:rsidRPr="000E2049">
        <w:rPr>
          <w:rFonts w:ascii="Palatino Linotype" w:eastAsia="Calibri" w:hAnsi="Palatino Linotype" w:cs="Arial"/>
          <w:lang w:val="es-ES"/>
        </w:rPr>
        <w:t xml:space="preserve">“RR03555.pdf”, </w:t>
      </w:r>
      <w:r w:rsidR="00090383" w:rsidRPr="000E2049">
        <w:rPr>
          <w:rFonts w:ascii="Palatino Linotype" w:eastAsia="Calibri" w:hAnsi="Palatino Linotype" w:cs="Arial"/>
          <w:lang w:val="es-ES"/>
        </w:rPr>
        <w:t>por el cual medularmente ratifica su respuesta primigenia.</w:t>
      </w:r>
    </w:p>
    <w:p w:rsidR="00090383" w:rsidRPr="000E2049" w:rsidRDefault="00090383" w:rsidP="00ED2B85">
      <w:pPr>
        <w:spacing w:line="360" w:lineRule="auto"/>
        <w:jc w:val="both"/>
        <w:rPr>
          <w:rFonts w:ascii="Palatino Linotype" w:eastAsia="Calibri" w:hAnsi="Palatino Linotype" w:cs="Arial"/>
          <w:lang w:val="es-ES"/>
        </w:rPr>
      </w:pPr>
    </w:p>
    <w:p w:rsidR="00B11355" w:rsidRPr="000E2049" w:rsidRDefault="00B11355" w:rsidP="00ED2B85">
      <w:pPr>
        <w:spacing w:line="360" w:lineRule="auto"/>
        <w:jc w:val="both"/>
        <w:rPr>
          <w:rFonts w:ascii="Palatino Linotype" w:eastAsia="Times New Roman" w:hAnsi="Palatino Linotype" w:cs="Times New Roman"/>
          <w:b/>
          <w:lang w:val="es-ES"/>
        </w:rPr>
      </w:pPr>
      <w:r w:rsidRPr="000E2049">
        <w:rPr>
          <w:rFonts w:ascii="Palatino Linotype" w:eastAsia="Times New Roman" w:hAnsi="Palatino Linotype" w:cs="Times New Roman"/>
          <w:noProof/>
          <w:lang w:val="es-ES" w:eastAsia="es-MX"/>
        </w:rPr>
        <w:t xml:space="preserve">Vista la respuesta emitida, </w:t>
      </w:r>
      <w:r w:rsidRPr="000E2049">
        <w:rPr>
          <w:rFonts w:ascii="Palatino Linotype" w:eastAsia="Times New Roman" w:hAnsi="Palatino Linotype" w:cs="Arial"/>
          <w:color w:val="000000" w:themeColor="text1"/>
          <w:lang w:val="es-ES"/>
        </w:rPr>
        <w:t xml:space="preserve">se acredita que el </w:t>
      </w:r>
      <w:r w:rsidRPr="000E2049">
        <w:rPr>
          <w:rFonts w:ascii="Palatino Linotype" w:eastAsia="Times New Roman" w:hAnsi="Palatino Linotype" w:cs="Arial"/>
          <w:b/>
          <w:color w:val="000000" w:themeColor="text1"/>
          <w:lang w:val="es-ES"/>
        </w:rPr>
        <w:t>sujeto obligado</w:t>
      </w:r>
      <w:r w:rsidRPr="000E2049">
        <w:rPr>
          <w:rFonts w:ascii="Palatino Linotype" w:eastAsia="Times New Roman" w:hAnsi="Palatino Linotype" w:cs="Arial"/>
          <w:color w:val="000000" w:themeColor="text1"/>
          <w:lang w:val="es-ES"/>
        </w:rPr>
        <w:t xml:space="preserve"> </w:t>
      </w:r>
      <w:r w:rsidRPr="000E2049">
        <w:rPr>
          <w:rFonts w:ascii="Palatino Linotype" w:eastAsia="Times New Roman" w:hAnsi="Palatino Linotype" w:cs="Times New Roman"/>
          <w:lang w:val="es-ES"/>
        </w:rPr>
        <w:t xml:space="preserve">asume generar, poseer y administrar la información solicitada, en ese sentido se obvia el estudio del marco normativo que rige el actuar del </w:t>
      </w:r>
      <w:r w:rsidRPr="000E2049">
        <w:rPr>
          <w:rFonts w:ascii="Palatino Linotype" w:eastAsia="Times New Roman" w:hAnsi="Palatino Linotype" w:cs="Times New Roman"/>
          <w:b/>
          <w:lang w:val="es-ES"/>
        </w:rPr>
        <w:t xml:space="preserve">sujeto obligado </w:t>
      </w:r>
      <w:r w:rsidRPr="000E2049">
        <w:rPr>
          <w:rFonts w:ascii="Palatino Linotype" w:eastAsia="Times New Roman" w:hAnsi="Palatino Linotype" w:cs="Times New Roman"/>
          <w:lang w:val="es-ES"/>
        </w:rPr>
        <w:t xml:space="preserve">a efecto de determinar si le asiste la obligación de tener en entre sus archivos la información peticionada, toda vez que a nada práctico nos conduciría el estudio de la naturaleza jurídica de la información, atendiendo que se ha acreditado la existencia y posesión del </w:t>
      </w:r>
      <w:r w:rsidRPr="000E2049">
        <w:rPr>
          <w:rFonts w:ascii="Palatino Linotype" w:eastAsia="Times New Roman" w:hAnsi="Palatino Linotype" w:cs="Times New Roman"/>
          <w:b/>
          <w:lang w:val="es-ES"/>
        </w:rPr>
        <w:t>sujeto obligado.</w:t>
      </w:r>
    </w:p>
    <w:p w:rsidR="00B11355" w:rsidRPr="000E2049" w:rsidRDefault="00B11355" w:rsidP="00ED2B85">
      <w:pPr>
        <w:spacing w:line="360" w:lineRule="auto"/>
        <w:jc w:val="both"/>
        <w:rPr>
          <w:rFonts w:ascii="Palatino Linotype" w:eastAsia="Calibri" w:hAnsi="Palatino Linotype" w:cs="Times New Roman"/>
        </w:rPr>
      </w:pPr>
    </w:p>
    <w:p w:rsidR="001C367A" w:rsidRPr="000E2049" w:rsidRDefault="0033451F"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t xml:space="preserve">Hechas las acotaciones anteriores, como quedó precisado la </w:t>
      </w:r>
      <w:r w:rsidRPr="000E2049">
        <w:rPr>
          <w:rFonts w:ascii="Palatino Linotype" w:eastAsia="Calibri" w:hAnsi="Palatino Linotype" w:cs="Times New Roman"/>
          <w:b/>
        </w:rPr>
        <w:t>recurrente</w:t>
      </w:r>
      <w:r w:rsidRPr="000E2049">
        <w:rPr>
          <w:rFonts w:ascii="Palatino Linotype" w:eastAsia="Calibri" w:hAnsi="Palatino Linotype" w:cs="Times New Roman"/>
        </w:rPr>
        <w:t xml:space="preserve"> no desea acceder a un documento en específico al realizar su solicitud en forma de cuestionamientos, los cuales fueron contestados por el </w:t>
      </w:r>
      <w:r w:rsidRPr="000E2049">
        <w:rPr>
          <w:rFonts w:ascii="Palatino Linotype" w:eastAsia="Calibri" w:hAnsi="Palatino Linotype" w:cs="Times New Roman"/>
          <w:b/>
        </w:rPr>
        <w:t>sujeto obligado</w:t>
      </w:r>
      <w:r w:rsidRPr="000E2049">
        <w:rPr>
          <w:rFonts w:ascii="Palatino Linotype" w:eastAsia="Calibri" w:hAnsi="Palatino Linotype" w:cs="Times New Roman"/>
        </w:rPr>
        <w:t>, de los que se aprecia colma los su mayoría, con excepción del inciso c), atendiendo a las consideraciones siguientes:</w:t>
      </w:r>
    </w:p>
    <w:p w:rsidR="0033451F" w:rsidRPr="000E2049" w:rsidRDefault="0033451F" w:rsidP="00ED2B85">
      <w:pPr>
        <w:spacing w:line="360" w:lineRule="auto"/>
        <w:jc w:val="both"/>
        <w:rPr>
          <w:rFonts w:ascii="Palatino Linotype" w:eastAsia="Calibri" w:hAnsi="Palatino Linotype" w:cs="Times New Roman"/>
        </w:rPr>
      </w:pPr>
      <w:r w:rsidRPr="000E2049">
        <w:rPr>
          <w:rFonts w:ascii="Palatino Linotype" w:eastAsia="Calibri" w:hAnsi="Palatino Linotype" w:cs="Times New Roman"/>
        </w:rPr>
        <w:lastRenderedPageBreak/>
        <w:t xml:space="preserve">El inciso c) referente al número y ubicación de puestos semifijos, el </w:t>
      </w:r>
      <w:r w:rsidRPr="000E2049">
        <w:rPr>
          <w:rFonts w:ascii="Palatino Linotype" w:eastAsia="Calibri" w:hAnsi="Palatino Linotype" w:cs="Times New Roman"/>
          <w:b/>
        </w:rPr>
        <w:t>sujeto obligado</w:t>
      </w:r>
      <w:r w:rsidRPr="000E2049">
        <w:rPr>
          <w:rFonts w:ascii="Palatino Linotype" w:eastAsia="Calibri" w:hAnsi="Palatino Linotype" w:cs="Times New Roman"/>
        </w:rPr>
        <w:t xml:space="preserve"> señala </w:t>
      </w:r>
      <w:r w:rsidR="007D31B7" w:rsidRPr="000E2049">
        <w:rPr>
          <w:rFonts w:ascii="Palatino Linotype" w:eastAsia="Calibri" w:hAnsi="Palatino Linotype" w:cs="Times New Roman"/>
          <w:b/>
          <w:i/>
        </w:rPr>
        <w:t>“</w:t>
      </w:r>
      <w:r w:rsidRPr="000E2049">
        <w:rPr>
          <w:rFonts w:ascii="Palatino Linotype" w:eastAsia="Calibri" w:hAnsi="Palatino Linotype" w:cs="Times New Roman"/>
          <w:b/>
          <w:i/>
        </w:rPr>
        <w:t>no</w:t>
      </w:r>
      <w:r w:rsidR="007D31B7" w:rsidRPr="000E2049">
        <w:rPr>
          <w:rFonts w:ascii="Palatino Linotype" w:eastAsia="Calibri" w:hAnsi="Palatino Linotype" w:cs="Times New Roman"/>
          <w:b/>
          <w:i/>
        </w:rPr>
        <w:t xml:space="preserve"> se cuenta con el dato exacto, la Dirección de Abasto y Comercio, se encuentra en etapa de censo y cuantificación de los mismos, toda vez que la administración no dejó archivo al respecto”</w:t>
      </w:r>
      <w:r w:rsidR="007D31B7" w:rsidRPr="000E2049">
        <w:rPr>
          <w:rFonts w:ascii="Palatino Linotype" w:eastAsia="Calibri" w:hAnsi="Palatino Linotype" w:cs="Times New Roman"/>
          <w:b/>
        </w:rPr>
        <w:t xml:space="preserve">, </w:t>
      </w:r>
      <w:r w:rsidR="007D31B7" w:rsidRPr="000E2049">
        <w:rPr>
          <w:rFonts w:ascii="Palatino Linotype" w:eastAsia="Calibri" w:hAnsi="Palatino Linotype" w:cs="Times New Roman"/>
        </w:rPr>
        <w:t>pronunciamiento que reconoce la obligación de tener en sus archivos la información, sin embargo que la misma ya no se posee.</w:t>
      </w:r>
    </w:p>
    <w:p w:rsidR="007D31B7" w:rsidRPr="000E2049" w:rsidRDefault="007D31B7" w:rsidP="00ED2B85">
      <w:pPr>
        <w:spacing w:line="360" w:lineRule="auto"/>
        <w:jc w:val="both"/>
        <w:rPr>
          <w:rFonts w:ascii="Palatino Linotype" w:eastAsia="Calibri" w:hAnsi="Palatino Linotype" w:cs="Times New Roman"/>
        </w:rPr>
      </w:pPr>
    </w:p>
    <w:p w:rsidR="007D31B7" w:rsidRPr="000E2049" w:rsidRDefault="007D31B7" w:rsidP="00ED2B85">
      <w:pPr>
        <w:spacing w:line="360" w:lineRule="auto"/>
        <w:jc w:val="both"/>
        <w:rPr>
          <w:rFonts w:ascii="Palatino Linotype" w:eastAsia="Times New Roman" w:hAnsi="Palatino Linotype" w:cs="Arial"/>
          <w:lang w:val="es-ES"/>
        </w:rPr>
      </w:pPr>
      <w:r w:rsidRPr="000E2049">
        <w:rPr>
          <w:rFonts w:ascii="Palatino Linotype" w:eastAsia="Calibri" w:hAnsi="Palatino Linotype" w:cs="Times New Roman"/>
        </w:rPr>
        <w:t xml:space="preserve">Con base en lo anterior, resultan de observancia los artículos 18 y 19 de la Ley de </w:t>
      </w:r>
      <w:r w:rsidRPr="000E2049">
        <w:rPr>
          <w:rFonts w:ascii="Palatino Linotype" w:eastAsia="Times New Roman" w:hAnsi="Palatino Linotype" w:cs="Arial"/>
          <w:lang w:val="es-ES"/>
        </w:rPr>
        <w:t>Transparencia Local, que consagran la obligación de documentar todo acto que derive en ejercicio de sus atribuciones, y en el supuesto de no contar con la información debe emitir el acuerdo de inexistencia respectivo, como se observa a continuación:</w:t>
      </w:r>
    </w:p>
    <w:p w:rsidR="007D31B7" w:rsidRPr="000E2049" w:rsidRDefault="007D31B7" w:rsidP="00ED2B85">
      <w:pPr>
        <w:spacing w:line="360" w:lineRule="auto"/>
        <w:jc w:val="both"/>
        <w:rPr>
          <w:rFonts w:ascii="Palatino Linotype" w:eastAsia="Times New Roman" w:hAnsi="Palatino Linotype" w:cs="Arial"/>
          <w:lang w:val="es-ES"/>
        </w:rPr>
      </w:pPr>
    </w:p>
    <w:p w:rsidR="007D31B7" w:rsidRPr="000E2049" w:rsidRDefault="007D31B7" w:rsidP="00ED2B85">
      <w:pPr>
        <w:ind w:left="567" w:right="616"/>
        <w:jc w:val="both"/>
        <w:rPr>
          <w:rFonts w:ascii="Palatino Linotype" w:eastAsia="Times New Roman" w:hAnsi="Palatino Linotype" w:cs="Arial"/>
          <w:i/>
          <w:sz w:val="22"/>
          <w:lang w:val="es-ES"/>
        </w:rPr>
      </w:pPr>
      <w:r w:rsidRPr="000E2049">
        <w:rPr>
          <w:rFonts w:ascii="Palatino Linotype" w:eastAsia="Times New Roman" w:hAnsi="Palatino Linotype" w:cs="Arial"/>
          <w:i/>
          <w:sz w:val="22"/>
          <w:lang w:val="es-ES"/>
        </w:rPr>
        <w:t>“</w:t>
      </w:r>
      <w:r w:rsidRPr="000E2049">
        <w:rPr>
          <w:rFonts w:ascii="Palatino Linotype" w:eastAsia="Times New Roman" w:hAnsi="Palatino Linotype" w:cs="Arial"/>
          <w:b/>
          <w:i/>
          <w:sz w:val="22"/>
          <w:lang w:val="es-ES"/>
        </w:rPr>
        <w:t>Artículo 18.</w:t>
      </w:r>
      <w:r w:rsidRPr="000E2049">
        <w:rPr>
          <w:rFonts w:ascii="Palatino Linotype" w:eastAsia="Times New Roman" w:hAnsi="Palatino Linotype" w:cs="Arial"/>
          <w:i/>
          <w:sz w:val="22"/>
          <w:lang w:val="es-ES"/>
        </w:rPr>
        <w:t xml:space="preserve"> Los sujetos obligados </w:t>
      </w:r>
      <w:r w:rsidRPr="000E2049">
        <w:rPr>
          <w:rFonts w:ascii="Palatino Linotype" w:eastAsia="Times New Roman" w:hAnsi="Palatino Linotype" w:cs="Arial"/>
          <w:i/>
          <w:sz w:val="22"/>
          <w:u w:val="single"/>
          <w:lang w:val="es-ES"/>
        </w:rPr>
        <w:t>deberán documentar</w:t>
      </w:r>
      <w:r w:rsidRPr="000E2049">
        <w:rPr>
          <w:rFonts w:ascii="Palatino Linotype" w:eastAsia="Times New Roman" w:hAnsi="Palatino Linotype" w:cs="Arial"/>
          <w:i/>
          <w:sz w:val="22"/>
          <w:lang w:val="es-ES"/>
        </w:rPr>
        <w:t xml:space="preserve"> todo acto que derive del ejercicio de sus facultades, competencias o funciones, considerando desde su origen la eventual publicidad y reutilización de la información que generen.</w:t>
      </w:r>
    </w:p>
    <w:p w:rsidR="007D31B7" w:rsidRPr="000E2049" w:rsidRDefault="007D31B7" w:rsidP="00ED2B85">
      <w:pPr>
        <w:ind w:left="567" w:right="616"/>
        <w:jc w:val="both"/>
        <w:rPr>
          <w:rFonts w:ascii="Palatino Linotype" w:eastAsia="Times New Roman" w:hAnsi="Palatino Linotype" w:cs="Arial"/>
          <w:i/>
          <w:sz w:val="22"/>
          <w:lang w:val="es-ES"/>
        </w:rPr>
      </w:pPr>
    </w:p>
    <w:p w:rsidR="007D31B7" w:rsidRPr="000E2049" w:rsidRDefault="007D31B7" w:rsidP="00ED2B85">
      <w:pPr>
        <w:ind w:left="567" w:right="616"/>
        <w:jc w:val="both"/>
        <w:rPr>
          <w:rFonts w:ascii="Palatino Linotype" w:eastAsia="Times New Roman" w:hAnsi="Palatino Linotype" w:cs="Arial"/>
          <w:i/>
          <w:sz w:val="22"/>
          <w:lang w:val="es-ES"/>
        </w:rPr>
      </w:pPr>
      <w:r w:rsidRPr="000E2049">
        <w:rPr>
          <w:rFonts w:ascii="Palatino Linotype" w:eastAsia="Times New Roman" w:hAnsi="Palatino Linotype" w:cs="Arial"/>
          <w:b/>
          <w:i/>
          <w:sz w:val="22"/>
          <w:lang w:val="es-ES"/>
        </w:rPr>
        <w:t>Artículo 19.</w:t>
      </w:r>
      <w:r w:rsidRPr="000E2049">
        <w:rPr>
          <w:rFonts w:ascii="Palatino Linotype" w:eastAsia="Times New Roman" w:hAnsi="Palatino Linotype" w:cs="Arial"/>
          <w:i/>
          <w:sz w:val="22"/>
          <w:lang w:val="es-ES"/>
        </w:rPr>
        <w:t xml:space="preserve"> </w:t>
      </w:r>
      <w:r w:rsidRPr="000E2049">
        <w:rPr>
          <w:rFonts w:ascii="Palatino Linotype" w:eastAsia="Times New Roman" w:hAnsi="Palatino Linotype" w:cs="Arial"/>
          <w:i/>
          <w:sz w:val="22"/>
          <w:u w:val="single"/>
          <w:lang w:val="es-ES"/>
        </w:rPr>
        <w:t>Se presume que la información debe existir si se refiere a las facultades, competencias y funciones que los ordenamientos jurídicos aplicables otorgan a los sujetos obligados.</w:t>
      </w:r>
    </w:p>
    <w:p w:rsidR="007D31B7" w:rsidRPr="000E2049" w:rsidRDefault="007D31B7" w:rsidP="00ED2B85">
      <w:pPr>
        <w:ind w:left="567" w:right="616"/>
        <w:jc w:val="both"/>
        <w:rPr>
          <w:rFonts w:ascii="Palatino Linotype" w:eastAsia="Times New Roman" w:hAnsi="Palatino Linotype" w:cs="Arial"/>
          <w:i/>
          <w:sz w:val="22"/>
          <w:lang w:val="es-ES"/>
        </w:rPr>
      </w:pPr>
      <w:r w:rsidRPr="000E2049">
        <w:rPr>
          <w:rFonts w:ascii="Palatino Linotype" w:eastAsia="Times New Roman" w:hAnsi="Palatino Linotype" w:cs="Arial"/>
          <w:i/>
          <w:sz w:val="22"/>
          <w:lang w:val="es-ES"/>
        </w:rPr>
        <w:t>En los casos en que ciertas facultades, competencias o funciones no se hayan ejercido, se debe motivar la respuesta en función de las causas que motiven tal circunstancia.</w:t>
      </w:r>
    </w:p>
    <w:p w:rsidR="007D31B7" w:rsidRPr="000E2049" w:rsidRDefault="007D31B7" w:rsidP="00ED2B85">
      <w:pPr>
        <w:ind w:left="567" w:right="616"/>
        <w:jc w:val="both"/>
        <w:rPr>
          <w:rFonts w:ascii="Palatino Linotype" w:eastAsia="Times New Roman" w:hAnsi="Palatino Linotype" w:cs="Arial"/>
          <w:i/>
          <w:sz w:val="22"/>
          <w:u w:val="single"/>
          <w:lang w:val="es-ES"/>
        </w:rPr>
      </w:pPr>
      <w:r w:rsidRPr="000E2049">
        <w:rPr>
          <w:rFonts w:ascii="Palatino Linotype" w:eastAsia="Times New Roman" w:hAnsi="Palatino Linotype" w:cs="Arial"/>
          <w:i/>
          <w:sz w:val="22"/>
          <w:u w:val="single"/>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D31B7" w:rsidRPr="000E2049" w:rsidRDefault="007D31B7" w:rsidP="00ED2B85">
      <w:pPr>
        <w:ind w:left="567" w:right="616"/>
        <w:jc w:val="right"/>
        <w:rPr>
          <w:rFonts w:ascii="Palatino Linotype" w:eastAsia="Times New Roman" w:hAnsi="Palatino Linotype" w:cs="Arial"/>
          <w:sz w:val="22"/>
          <w:lang w:val="es-ES"/>
        </w:rPr>
      </w:pPr>
      <w:r w:rsidRPr="000E2049">
        <w:rPr>
          <w:rFonts w:ascii="Palatino Linotype" w:eastAsia="Times New Roman" w:hAnsi="Palatino Linotype" w:cs="Arial"/>
          <w:sz w:val="22"/>
          <w:lang w:val="es-ES"/>
        </w:rPr>
        <w:t>(Énfasis añadido)</w:t>
      </w:r>
    </w:p>
    <w:p w:rsidR="007D31B7" w:rsidRPr="000E2049" w:rsidRDefault="007D31B7" w:rsidP="00ED2B85">
      <w:pPr>
        <w:spacing w:line="360" w:lineRule="auto"/>
        <w:jc w:val="both"/>
        <w:rPr>
          <w:rFonts w:ascii="Palatino Linotype" w:eastAsia="Times New Roman" w:hAnsi="Palatino Linotype" w:cs="Arial"/>
          <w:lang w:val="es-ES"/>
        </w:rPr>
      </w:pPr>
    </w:p>
    <w:p w:rsidR="007D31B7" w:rsidRPr="000E2049" w:rsidRDefault="007D31B7" w:rsidP="00ED2B85">
      <w:pPr>
        <w:tabs>
          <w:tab w:val="left" w:pos="709"/>
        </w:tabs>
        <w:spacing w:line="360" w:lineRule="auto"/>
        <w:jc w:val="both"/>
        <w:rPr>
          <w:rFonts w:ascii="Palatino Linotype" w:eastAsiaTheme="minorHAnsi" w:hAnsi="Palatino Linotype"/>
          <w:lang w:val="es-MX" w:eastAsia="en-US"/>
        </w:rPr>
      </w:pPr>
      <w:r w:rsidRPr="000E2049">
        <w:rPr>
          <w:rFonts w:ascii="Palatino Linotype" w:eastAsiaTheme="minorHAnsi" w:hAnsi="Palatino Linotype"/>
          <w:lang w:val="es-MX" w:eastAsia="en-US"/>
        </w:rPr>
        <w:t xml:space="preserve">Ordenamientos normativos, los cuales establecen la presunción de existencia de la información cuando ésta fue generada, administrada o poseída por el </w:t>
      </w:r>
      <w:r w:rsidRPr="000E2049">
        <w:rPr>
          <w:rFonts w:ascii="Palatino Linotype" w:eastAsiaTheme="minorHAnsi" w:hAnsi="Palatino Linotype"/>
          <w:b/>
          <w:lang w:val="es-MX" w:eastAsia="en-US"/>
        </w:rPr>
        <w:t>sujeto obligado</w:t>
      </w:r>
      <w:r w:rsidRPr="000E2049">
        <w:rPr>
          <w:rFonts w:ascii="Palatino Linotype" w:eastAsiaTheme="minorHAnsi" w:hAnsi="Palatino Linotype"/>
          <w:lang w:val="es-MX" w:eastAsia="en-US"/>
        </w:rPr>
        <w:t xml:space="preserve">, por encontrarse dentro del ejercicio de sus facultades, funciones y/o </w:t>
      </w:r>
      <w:r w:rsidRPr="000E2049">
        <w:rPr>
          <w:rFonts w:ascii="Palatino Linotype" w:eastAsiaTheme="minorHAnsi" w:hAnsi="Palatino Linotype"/>
          <w:lang w:val="es-MX" w:eastAsia="en-US"/>
        </w:rPr>
        <w:lastRenderedPageBreak/>
        <w:t xml:space="preserve">atribuciones; y en el supuesto que esta ya no se encuentre sin justa causa, el </w:t>
      </w:r>
      <w:r w:rsidRPr="000E2049">
        <w:rPr>
          <w:rFonts w:ascii="Palatino Linotype" w:eastAsiaTheme="minorHAnsi" w:hAnsi="Palatino Linotype"/>
          <w:b/>
          <w:lang w:val="es-MX" w:eastAsia="en-US"/>
        </w:rPr>
        <w:t>sujeto obligado</w:t>
      </w:r>
      <w:r w:rsidRPr="000E2049">
        <w:rPr>
          <w:rFonts w:ascii="Palatino Linotype" w:eastAsiaTheme="minorHAnsi" w:hAnsi="Palatino Linotype"/>
          <w:lang w:val="es-MX" w:eastAsia="en-US"/>
        </w:rPr>
        <w:t xml:space="preserve"> deberá emitir el acuerdo de inexistencia debidamente fundado y motivado, por lo que en el caso concreto resulta dable ordenar el acuerdo de inexistencia respecto del o los documentos donde conste el número y ubicación de los puestos semifijos</w:t>
      </w:r>
      <w:r w:rsidR="00261D6B" w:rsidRPr="000E2049">
        <w:rPr>
          <w:rFonts w:ascii="Palatino Linotype" w:eastAsiaTheme="minorHAnsi" w:hAnsi="Palatino Linotype"/>
          <w:lang w:val="es-MX" w:eastAsia="en-US"/>
        </w:rPr>
        <w:t xml:space="preserve"> del ejercicio fiscal 2018.</w:t>
      </w:r>
    </w:p>
    <w:p w:rsidR="00261D6B" w:rsidRPr="000E2049" w:rsidRDefault="00261D6B" w:rsidP="00ED2B85">
      <w:pPr>
        <w:tabs>
          <w:tab w:val="left" w:pos="709"/>
        </w:tabs>
        <w:spacing w:line="360" w:lineRule="auto"/>
        <w:jc w:val="both"/>
        <w:rPr>
          <w:rFonts w:ascii="Palatino Linotype" w:eastAsiaTheme="minorHAnsi" w:hAnsi="Palatino Linotype"/>
          <w:lang w:val="es-MX" w:eastAsia="en-US"/>
        </w:rPr>
      </w:pPr>
    </w:p>
    <w:p w:rsidR="00261D6B" w:rsidRPr="000E2049" w:rsidRDefault="00261D6B" w:rsidP="00ED2B85">
      <w:pPr>
        <w:numPr>
          <w:ilvl w:val="0"/>
          <w:numId w:val="4"/>
        </w:numPr>
        <w:spacing w:line="360" w:lineRule="auto"/>
        <w:jc w:val="both"/>
        <w:rPr>
          <w:rFonts w:ascii="Palatino Linotype" w:eastAsia="Times New Roman" w:hAnsi="Palatino Linotype" w:cs="Arial"/>
          <w:i/>
          <w:sz w:val="28"/>
          <w:lang w:val="es-ES"/>
        </w:rPr>
      </w:pPr>
      <w:r w:rsidRPr="000E2049">
        <w:rPr>
          <w:rFonts w:ascii="Palatino Linotype" w:eastAsia="Times New Roman" w:hAnsi="Palatino Linotype" w:cs="Arial"/>
          <w:b/>
          <w:i/>
          <w:sz w:val="28"/>
          <w:lang w:val="es-ES"/>
        </w:rPr>
        <w:t>Del acuerdo de Inexistencia</w:t>
      </w:r>
    </w:p>
    <w:p w:rsidR="00261D6B" w:rsidRPr="000E2049" w:rsidRDefault="00261D6B" w:rsidP="00ED2B85">
      <w:pPr>
        <w:spacing w:line="360" w:lineRule="auto"/>
        <w:ind w:left="720"/>
        <w:jc w:val="both"/>
        <w:rPr>
          <w:rFonts w:ascii="Palatino Linotype" w:eastAsia="Times New Roman" w:hAnsi="Palatino Linotype" w:cs="Arial"/>
          <w:lang w:val="es-ES"/>
        </w:rPr>
      </w:pPr>
    </w:p>
    <w:p w:rsidR="00261D6B" w:rsidRPr="000E2049" w:rsidRDefault="00261D6B" w:rsidP="00ED2B85">
      <w:pPr>
        <w:spacing w:line="360" w:lineRule="auto"/>
        <w:jc w:val="both"/>
        <w:rPr>
          <w:rFonts w:ascii="Palatino Linotype" w:eastAsiaTheme="minorHAnsi" w:hAnsi="Palatino Linotype"/>
          <w:lang w:val="es-MX" w:eastAsia="en-US"/>
        </w:rPr>
      </w:pPr>
      <w:r w:rsidRPr="000E2049">
        <w:rPr>
          <w:rFonts w:ascii="Palatino Linotype" w:eastAsiaTheme="minorHAnsi" w:hAnsi="Palatino Linotype" w:cs="Arial"/>
          <w:lang w:val="es-MX" w:eastAsia="en-US"/>
        </w:rPr>
        <w:t xml:space="preserve">Partiendo </w:t>
      </w:r>
      <w:r w:rsidR="00ED2B85" w:rsidRPr="000E2049">
        <w:rPr>
          <w:rFonts w:ascii="Palatino Linotype" w:eastAsiaTheme="minorHAnsi" w:hAnsi="Palatino Linotype" w:cs="Arial"/>
          <w:lang w:val="es-MX" w:eastAsia="en-US"/>
        </w:rPr>
        <w:t xml:space="preserve">de lo anterior, </w:t>
      </w:r>
      <w:r w:rsidRPr="000E2049">
        <w:rPr>
          <w:rFonts w:ascii="Palatino Linotype" w:eastAsiaTheme="minorHAnsi" w:hAnsi="Palatino Linotype" w:cs="Arial"/>
          <w:lang w:val="es-MX" w:eastAsia="en-US"/>
        </w:rPr>
        <w:t xml:space="preserve">el </w:t>
      </w:r>
      <w:r w:rsidRPr="000E2049">
        <w:rPr>
          <w:rFonts w:ascii="Palatino Linotype" w:eastAsiaTheme="minorHAnsi" w:hAnsi="Palatino Linotype" w:cs="Arial"/>
          <w:b/>
          <w:lang w:val="es-MX" w:eastAsia="en-US"/>
        </w:rPr>
        <w:t>sujeto obligado</w:t>
      </w:r>
      <w:r w:rsidRPr="000E2049">
        <w:rPr>
          <w:rFonts w:ascii="Palatino Linotype" w:eastAsiaTheme="minorHAnsi" w:hAnsi="Palatino Linotype" w:cs="Arial"/>
          <w:lang w:val="es-MX" w:eastAsia="en-US"/>
        </w:rPr>
        <w:t xml:space="preserve"> </w:t>
      </w:r>
      <w:r w:rsidR="00ED2B85" w:rsidRPr="000E2049">
        <w:rPr>
          <w:rFonts w:ascii="Palatino Linotype" w:eastAsiaTheme="minorHAnsi" w:hAnsi="Palatino Linotype" w:cs="Arial"/>
          <w:lang w:val="es-MX" w:eastAsia="en-US"/>
        </w:rPr>
        <w:t>al no tener</w:t>
      </w:r>
      <w:r w:rsidRPr="000E2049">
        <w:rPr>
          <w:rFonts w:ascii="Palatino Linotype" w:eastAsiaTheme="minorHAnsi" w:hAnsi="Palatino Linotype" w:cs="Arial"/>
          <w:lang w:val="es-MX" w:eastAsia="en-US"/>
        </w:rPr>
        <w:t xml:space="preserve"> en sus archivos la información peticionada, ello a pesar de haber sido generada en su momento, por lo que </w:t>
      </w:r>
      <w:r w:rsidRPr="000E2049">
        <w:rPr>
          <w:rFonts w:ascii="Palatino Linotype" w:eastAsiaTheme="minorHAnsi" w:hAnsi="Palatino Linotype"/>
          <w:lang w:val="es-MX" w:eastAsia="en-US"/>
        </w:rPr>
        <w:t xml:space="preserve">deberá emitir su acuerdo de inexistencia en términos de los artículos 19, 169 y 170 de la Ley de la materia como se enuncia a continuación: </w:t>
      </w:r>
    </w:p>
    <w:p w:rsidR="00261D6B" w:rsidRPr="000E2049" w:rsidRDefault="00261D6B" w:rsidP="00ED2B85">
      <w:pPr>
        <w:spacing w:line="360" w:lineRule="auto"/>
        <w:jc w:val="both"/>
        <w:rPr>
          <w:rFonts w:ascii="Palatino Linotype" w:eastAsiaTheme="minorHAnsi" w:hAnsi="Palatino Linotype"/>
          <w:sz w:val="22"/>
          <w:szCs w:val="22"/>
          <w:lang w:val="es-MX" w:eastAsia="en-US"/>
        </w:rPr>
      </w:pP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i/>
          <w:sz w:val="22"/>
          <w:szCs w:val="22"/>
          <w:lang w:val="es-MX" w:eastAsia="en-US"/>
        </w:rPr>
        <w:t>“</w:t>
      </w:r>
      <w:r w:rsidRPr="000E2049">
        <w:rPr>
          <w:rFonts w:ascii="Palatino Linotype" w:eastAsiaTheme="minorHAnsi" w:hAnsi="Palatino Linotype"/>
          <w:b/>
          <w:i/>
          <w:sz w:val="22"/>
          <w:szCs w:val="22"/>
          <w:lang w:val="es-MX" w:eastAsia="en-US"/>
        </w:rPr>
        <w:t>Artículo 19</w:t>
      </w:r>
      <w:r w:rsidRPr="000E2049">
        <w:rPr>
          <w:rFonts w:ascii="Palatino Linotype" w:eastAsiaTheme="minorHAnsi" w:hAnsi="Palatino Linotype"/>
          <w:i/>
          <w:sz w:val="22"/>
          <w:szCs w:val="22"/>
          <w:lang w:val="es-MX" w:eastAsia="en-US"/>
        </w:rPr>
        <w:t>. Se presume que la información debe existir si se refiere a las facultades, competencias y funciones que los ordenamientos jurídicos aplicables otorgan a los sujetos obligados.</w:t>
      </w: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i/>
          <w:sz w:val="22"/>
          <w:szCs w:val="22"/>
          <w:lang w:val="es-MX" w:eastAsia="en-US"/>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b/>
          <w:i/>
          <w:sz w:val="22"/>
          <w:szCs w:val="22"/>
          <w:lang w:val="es-MX" w:eastAsia="en-US"/>
        </w:rPr>
        <w:t>Artículo 169.</w:t>
      </w:r>
      <w:r w:rsidRPr="000E2049">
        <w:rPr>
          <w:rFonts w:ascii="Palatino Linotype" w:eastAsiaTheme="minorHAnsi" w:hAnsi="Palatino Linotype"/>
          <w:i/>
          <w:sz w:val="22"/>
          <w:szCs w:val="22"/>
          <w:lang w:val="es-MX" w:eastAsia="en-US"/>
        </w:rPr>
        <w:t xml:space="preserve"> Cuando la información no se encuentre en los archivos del sujeto obligado, el Comité de Transparencia:</w:t>
      </w: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b/>
          <w:i/>
          <w:sz w:val="22"/>
          <w:szCs w:val="22"/>
          <w:lang w:val="es-MX" w:eastAsia="en-US"/>
        </w:rPr>
        <w:t>I</w:t>
      </w:r>
      <w:r w:rsidRPr="000E2049">
        <w:rPr>
          <w:rFonts w:ascii="Palatino Linotype" w:eastAsiaTheme="minorHAnsi" w:hAnsi="Palatino Linotype"/>
          <w:i/>
          <w:sz w:val="22"/>
          <w:szCs w:val="22"/>
          <w:lang w:val="es-MX" w:eastAsia="en-US"/>
        </w:rPr>
        <w:t>. Analizará el caso y tomará las medidas necesarias para localizar la información;</w:t>
      </w: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b/>
          <w:i/>
          <w:sz w:val="22"/>
          <w:szCs w:val="22"/>
          <w:lang w:val="es-MX" w:eastAsia="en-US"/>
        </w:rPr>
        <w:t>II.</w:t>
      </w:r>
      <w:r w:rsidRPr="000E2049">
        <w:rPr>
          <w:rFonts w:ascii="Palatino Linotype" w:eastAsiaTheme="minorHAnsi" w:hAnsi="Palatino Linotype"/>
          <w:i/>
          <w:sz w:val="22"/>
          <w:szCs w:val="22"/>
          <w:lang w:val="es-MX" w:eastAsia="en-US"/>
        </w:rPr>
        <w:t xml:space="preserve"> Expedirá una resolución que confirme la inexistencia del documento;</w:t>
      </w: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b/>
          <w:i/>
          <w:sz w:val="22"/>
          <w:szCs w:val="22"/>
          <w:lang w:val="es-MX" w:eastAsia="en-US"/>
        </w:rPr>
        <w:t>III.</w:t>
      </w:r>
      <w:r w:rsidRPr="000E2049">
        <w:rPr>
          <w:rFonts w:ascii="Palatino Linotype" w:eastAsiaTheme="minorHAnsi" w:hAnsi="Palatino Linotype"/>
          <w:i/>
          <w:sz w:val="22"/>
          <w:szCs w:val="22"/>
          <w:lang w:val="es-MX" w:eastAsia="en-U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b/>
          <w:i/>
          <w:sz w:val="22"/>
          <w:szCs w:val="22"/>
          <w:lang w:val="es-MX" w:eastAsia="en-US"/>
        </w:rPr>
        <w:lastRenderedPageBreak/>
        <w:t>IV.</w:t>
      </w:r>
      <w:r w:rsidRPr="000E2049">
        <w:rPr>
          <w:rFonts w:ascii="Palatino Linotype" w:eastAsiaTheme="minorHAnsi" w:hAnsi="Palatino Linotype"/>
          <w:i/>
          <w:sz w:val="22"/>
          <w:szCs w:val="22"/>
          <w:lang w:val="es-MX" w:eastAsia="en-US"/>
        </w:rPr>
        <w:t xml:space="preserve"> Notificará al órgano interno de control o equivalente del sujeto obligado quien, en su caso, deberá iniciar el procedimiento de responsabilidad administrativa que corresponda.</w:t>
      </w: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i/>
          <w:sz w:val="22"/>
          <w:szCs w:val="22"/>
          <w:lang w:val="es-MX" w:eastAsia="en-US"/>
        </w:rPr>
        <w:t>La Unidad de Transparencia deberá notificarlo al solicitante por escrito, en un plazo que no exceda de quince días hábiles contados a partir del día siguiente a la presentación de la solicitud.</w:t>
      </w: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i/>
          <w:sz w:val="22"/>
          <w:szCs w:val="22"/>
          <w:lang w:val="es-MX" w:eastAsia="en-US"/>
        </w:rPr>
        <w:t>Este plazo podrá ampliarse hasta por otros siete días hábiles, siempre que existan razones para ello, debiendo notificarse por escrito al solicitante.</w:t>
      </w:r>
    </w:p>
    <w:p w:rsidR="00261D6B" w:rsidRPr="000E2049" w:rsidRDefault="00261D6B" w:rsidP="00ED2B85">
      <w:pPr>
        <w:ind w:left="567" w:right="567"/>
        <w:jc w:val="both"/>
        <w:rPr>
          <w:rFonts w:ascii="Palatino Linotype" w:eastAsiaTheme="minorHAnsi" w:hAnsi="Palatino Linotype"/>
          <w:i/>
          <w:sz w:val="22"/>
          <w:szCs w:val="22"/>
          <w:lang w:val="es-MX" w:eastAsia="en-US"/>
        </w:rPr>
      </w:pPr>
    </w:p>
    <w:p w:rsidR="00261D6B" w:rsidRPr="000E2049" w:rsidRDefault="00261D6B" w:rsidP="00ED2B85">
      <w:pPr>
        <w:ind w:left="567" w:right="567"/>
        <w:jc w:val="both"/>
        <w:rPr>
          <w:rFonts w:ascii="Palatino Linotype" w:eastAsiaTheme="minorHAnsi" w:hAnsi="Palatino Linotype"/>
          <w:i/>
          <w:sz w:val="22"/>
          <w:szCs w:val="22"/>
          <w:lang w:val="es-MX" w:eastAsia="en-US"/>
        </w:rPr>
      </w:pPr>
      <w:r w:rsidRPr="000E2049">
        <w:rPr>
          <w:rFonts w:ascii="Palatino Linotype" w:eastAsiaTheme="minorHAnsi" w:hAnsi="Palatino Linotype"/>
          <w:b/>
          <w:i/>
          <w:sz w:val="22"/>
          <w:szCs w:val="22"/>
          <w:lang w:val="es-MX" w:eastAsia="en-US"/>
        </w:rPr>
        <w:t>Artículo 170</w:t>
      </w:r>
      <w:r w:rsidRPr="000E2049">
        <w:rPr>
          <w:rFonts w:ascii="Palatino Linotype" w:eastAsiaTheme="minorHAnsi" w:hAnsi="Palatino Linotype"/>
          <w:i/>
          <w:sz w:val="22"/>
          <w:szCs w:val="22"/>
          <w:lang w:val="es-MX" w:eastAsia="en-US"/>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261D6B" w:rsidRPr="000E2049" w:rsidRDefault="00261D6B" w:rsidP="00ED2B85">
      <w:pPr>
        <w:spacing w:line="360" w:lineRule="auto"/>
        <w:jc w:val="both"/>
        <w:rPr>
          <w:rFonts w:ascii="Palatino Linotype" w:eastAsiaTheme="minorHAnsi" w:hAnsi="Palatino Linotype"/>
          <w:lang w:val="es-MX" w:eastAsia="en-US"/>
        </w:rPr>
      </w:pPr>
    </w:p>
    <w:p w:rsidR="00261D6B" w:rsidRPr="000E2049" w:rsidRDefault="00261D6B" w:rsidP="00ED2B85">
      <w:pPr>
        <w:spacing w:line="360" w:lineRule="auto"/>
        <w:jc w:val="both"/>
        <w:rPr>
          <w:rFonts w:ascii="Palatino Linotype" w:eastAsiaTheme="minorHAnsi" w:hAnsi="Palatino Linotype"/>
          <w:lang w:val="es-MX" w:eastAsia="en-US"/>
        </w:rPr>
      </w:pPr>
      <w:r w:rsidRPr="000E2049">
        <w:rPr>
          <w:rFonts w:ascii="Palatino Linotype" w:eastAsiaTheme="minorHAnsi" w:hAnsi="Palatino Linotype"/>
          <w:lang w:val="es-MX" w:eastAsia="en-US"/>
        </w:rPr>
        <w:t xml:space="preserve">Bajo éste tenor es preciso advertir que es necesaria la emisión del acuerdo de inexistencia en aquellos casos en que el </w:t>
      </w:r>
      <w:r w:rsidRPr="000E2049">
        <w:rPr>
          <w:rFonts w:ascii="Palatino Linotype" w:eastAsiaTheme="minorHAnsi" w:hAnsi="Palatino Linotype"/>
          <w:b/>
          <w:lang w:val="es-MX" w:eastAsia="en-US"/>
        </w:rPr>
        <w:t>sujeto obligado</w:t>
      </w:r>
      <w:r w:rsidRPr="000E2049">
        <w:rPr>
          <w:rFonts w:ascii="Palatino Linotype" w:eastAsiaTheme="minorHAnsi" w:hAnsi="Palatino Linotype"/>
          <w:lang w:val="es-MX" w:eastAsia="en-US"/>
        </w:rPr>
        <w:t xml:space="preserve"> debió tener en sus archivos la información solicitada, entonces su Comité de Transparencia tiene el deber de emitir un acuerdo de inexistencia, el cual se insiste, se dicta en aquellos supuestos en los que si bien la información solicitada la genera, posee o administra el </w:t>
      </w:r>
      <w:r w:rsidRPr="000E2049">
        <w:rPr>
          <w:rFonts w:ascii="Palatino Linotype" w:eastAsiaTheme="minorHAnsi" w:hAnsi="Palatino Linotype"/>
          <w:b/>
          <w:lang w:val="es-MX" w:eastAsia="en-US"/>
        </w:rPr>
        <w:t>sujeto obligado</w:t>
      </w:r>
      <w:r w:rsidRPr="000E2049">
        <w:rPr>
          <w:rFonts w:ascii="Palatino Linotype" w:eastAsiaTheme="minorHAnsi" w:hAnsi="Palatino Linotype"/>
          <w:lang w:val="es-MX" w:eastAsia="en-US"/>
        </w:rPr>
        <w:t xml:space="preserve"> en el marco de las funciones de derecho público; sin embargo, éste no lo posee por la razones que deberá expresar a través de un acuerdo debidamente fundado y motivado.</w:t>
      </w:r>
    </w:p>
    <w:p w:rsidR="00261D6B" w:rsidRPr="000E2049" w:rsidRDefault="00261D6B" w:rsidP="00ED2B85">
      <w:pPr>
        <w:spacing w:line="360" w:lineRule="auto"/>
        <w:jc w:val="both"/>
        <w:rPr>
          <w:rFonts w:ascii="Palatino Linotype" w:eastAsiaTheme="minorHAnsi" w:hAnsi="Palatino Linotype"/>
          <w:lang w:val="es-MX" w:eastAsia="en-US"/>
        </w:rPr>
      </w:pPr>
    </w:p>
    <w:p w:rsidR="00261D6B" w:rsidRPr="000E2049" w:rsidRDefault="00261D6B" w:rsidP="00ED2B85">
      <w:pPr>
        <w:spacing w:line="360" w:lineRule="auto"/>
        <w:jc w:val="both"/>
        <w:rPr>
          <w:rFonts w:ascii="Palatino Linotype" w:eastAsiaTheme="minorHAnsi" w:hAnsi="Palatino Linotype"/>
          <w:lang w:val="es-MX" w:eastAsia="en-US"/>
        </w:rPr>
      </w:pPr>
      <w:r w:rsidRPr="000E2049">
        <w:rPr>
          <w:rFonts w:ascii="Palatino Linotype" w:eastAsiaTheme="minorHAnsi" w:hAnsi="Palatino Linotype"/>
          <w:lang w:val="es-MX" w:eastAsia="en-US"/>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261D6B" w:rsidRPr="000E2049" w:rsidRDefault="00261D6B" w:rsidP="00ED2B85">
      <w:pPr>
        <w:spacing w:line="360" w:lineRule="auto"/>
        <w:jc w:val="both"/>
        <w:rPr>
          <w:rFonts w:ascii="Palatino Linotype" w:eastAsiaTheme="minorHAnsi" w:hAnsi="Palatino Linotype"/>
          <w:lang w:val="es-MX" w:eastAsia="en-US"/>
        </w:rPr>
      </w:pPr>
    </w:p>
    <w:p w:rsidR="00261D6B" w:rsidRPr="000E2049" w:rsidRDefault="00261D6B" w:rsidP="00ED2B85">
      <w:pPr>
        <w:spacing w:line="360" w:lineRule="auto"/>
        <w:jc w:val="both"/>
        <w:rPr>
          <w:rFonts w:ascii="Palatino Linotype" w:eastAsiaTheme="minorHAnsi" w:hAnsi="Palatino Linotype" w:cs="Arial"/>
          <w:lang w:val="es-MX" w:eastAsia="en-US"/>
        </w:rPr>
      </w:pPr>
      <w:r w:rsidRPr="000E2049">
        <w:rPr>
          <w:rFonts w:ascii="Palatino Linotype" w:eastAsiaTheme="minorHAnsi" w:hAnsi="Palatino Linotype"/>
          <w:lang w:val="es-MX" w:eastAsia="en-US"/>
        </w:rPr>
        <w:t xml:space="preserve">Es aconsejable que en la motivación se exprese a detalle la expedición de oficios hacia los servidores públicos habilitados competentes y su correlativa respuesta </w:t>
      </w:r>
      <w:r w:rsidRPr="000E2049">
        <w:rPr>
          <w:rFonts w:ascii="Palatino Linotype" w:eastAsiaTheme="minorHAnsi" w:hAnsi="Palatino Linotype"/>
          <w:lang w:val="es-MX" w:eastAsia="en-US"/>
        </w:rPr>
        <w:lastRenderedPageBreak/>
        <w:t>para generar convicción en el solicitante que ejercita válidamente su derecho la razón válida del porque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1C367A" w:rsidRPr="000E2049" w:rsidRDefault="001C367A" w:rsidP="00ED2B85">
      <w:pPr>
        <w:spacing w:line="360" w:lineRule="auto"/>
        <w:jc w:val="both"/>
        <w:rPr>
          <w:rFonts w:ascii="Palatino Linotype" w:eastAsia="Calibri" w:hAnsi="Palatino Linotype" w:cs="Times New Roman"/>
        </w:rPr>
      </w:pPr>
    </w:p>
    <w:p w:rsidR="00ED2B85" w:rsidRPr="000E2049" w:rsidRDefault="00B11355" w:rsidP="00ED2B85">
      <w:pPr>
        <w:tabs>
          <w:tab w:val="left" w:pos="709"/>
        </w:tabs>
        <w:spacing w:line="360" w:lineRule="auto"/>
        <w:ind w:right="51"/>
        <w:jc w:val="both"/>
        <w:rPr>
          <w:rFonts w:ascii="Palatino Linotype" w:hAnsi="Palatino Linotype"/>
        </w:rPr>
      </w:pPr>
      <w:r w:rsidRPr="000E2049">
        <w:rPr>
          <w:rFonts w:ascii="Palatino Linotype" w:hAnsi="Palatino Linotype"/>
        </w:rPr>
        <w:t xml:space="preserve">Por lo tanto, </w:t>
      </w:r>
      <w:r w:rsidR="00ED2B85" w:rsidRPr="000E2049">
        <w:rPr>
          <w:rFonts w:ascii="Palatino Linotype" w:hAnsi="Palatino Linotype"/>
        </w:rPr>
        <w:t xml:space="preserve">en mérito de lo expuesto en líneas anteriores, al resultar fundados los motivos de inconformidad vertidos por </w:t>
      </w:r>
      <w:r w:rsidR="00ED2B85" w:rsidRPr="000E2049">
        <w:rPr>
          <w:rFonts w:ascii="Palatino Linotype" w:hAnsi="Palatino Linotype"/>
          <w:b/>
        </w:rPr>
        <w:t>la recurrente</w:t>
      </w:r>
      <w:r w:rsidR="00ED2B85" w:rsidRPr="000E2049">
        <w:rPr>
          <w:rFonts w:ascii="Palatino Linotype" w:hAnsi="Palatino Linotype"/>
        </w:rPr>
        <w:t xml:space="preserve">, con fundamento en la segunda hipótesis del artículo 186 fracción III de la Ley de Transparencia y Acceso a la Información Pública del Estado de México y Municipios, se </w:t>
      </w:r>
      <w:r w:rsidR="00ED2B85" w:rsidRPr="000E2049">
        <w:rPr>
          <w:rFonts w:ascii="Palatino Linotype" w:hAnsi="Palatino Linotype"/>
          <w:b/>
        </w:rPr>
        <w:t xml:space="preserve">MODIFICA </w:t>
      </w:r>
      <w:r w:rsidR="00ED2B85" w:rsidRPr="000E2049">
        <w:rPr>
          <w:rFonts w:ascii="Palatino Linotype" w:hAnsi="Palatino Linotype"/>
        </w:rPr>
        <w:t xml:space="preserve">la respuesta a la solicitud de información </w:t>
      </w:r>
      <w:r w:rsidR="00ED2B85" w:rsidRPr="000E2049">
        <w:rPr>
          <w:rFonts w:ascii="Palatino Linotype" w:hAnsi="Palatino Linotype" w:cs="Arial"/>
          <w:b/>
        </w:rPr>
        <w:t xml:space="preserve">00313/CUAUTIZC/IP/2019, </w:t>
      </w:r>
      <w:r w:rsidR="00ED2B85" w:rsidRPr="000E2049">
        <w:rPr>
          <w:rFonts w:ascii="Palatino Linotype" w:hAnsi="Palatino Linotype"/>
        </w:rPr>
        <w:t>que ha sido materia del presente fallo.</w:t>
      </w:r>
    </w:p>
    <w:p w:rsidR="00ED2B85" w:rsidRPr="000E2049" w:rsidRDefault="00ED2B85" w:rsidP="00ED2B85">
      <w:pPr>
        <w:spacing w:line="360" w:lineRule="auto"/>
        <w:jc w:val="both"/>
        <w:rPr>
          <w:rFonts w:ascii="Palatino Linotype" w:hAnsi="Palatino Linotype" w:cs="Arial"/>
          <w:b/>
          <w:bCs/>
        </w:rPr>
      </w:pPr>
    </w:p>
    <w:p w:rsidR="00ED2B85" w:rsidRPr="000E2049" w:rsidRDefault="00ED2B85" w:rsidP="00ED2B85">
      <w:pPr>
        <w:spacing w:line="360" w:lineRule="auto"/>
        <w:jc w:val="both"/>
        <w:rPr>
          <w:rFonts w:ascii="Palatino Linotype" w:hAnsi="Palatino Linotype"/>
        </w:rPr>
      </w:pPr>
      <w:r w:rsidRPr="000E2049">
        <w:rPr>
          <w:rFonts w:ascii="Palatino Linotype" w:hAnsi="Palatino Linotype"/>
        </w:rPr>
        <w:t xml:space="preserve">Por lo antes expuesto y fundado. </w:t>
      </w:r>
    </w:p>
    <w:p w:rsidR="00ED2B85" w:rsidRPr="000E2049" w:rsidRDefault="00ED2B85" w:rsidP="00ED2B85">
      <w:pPr>
        <w:spacing w:line="360" w:lineRule="auto"/>
        <w:jc w:val="both"/>
        <w:rPr>
          <w:rFonts w:ascii="Palatino Linotype" w:hAnsi="Palatino Linotype"/>
        </w:rPr>
      </w:pPr>
    </w:p>
    <w:p w:rsidR="00ED2B85" w:rsidRPr="000E2049" w:rsidRDefault="00ED2B85" w:rsidP="00ED2B85">
      <w:pPr>
        <w:spacing w:line="360" w:lineRule="auto"/>
        <w:jc w:val="center"/>
        <w:rPr>
          <w:rFonts w:ascii="Palatino Linotype" w:eastAsia="Times New Roman" w:hAnsi="Palatino Linotype"/>
          <w:b/>
          <w:bCs/>
          <w:spacing w:val="60"/>
          <w:sz w:val="28"/>
        </w:rPr>
      </w:pPr>
      <w:r w:rsidRPr="000E2049">
        <w:rPr>
          <w:rFonts w:ascii="Palatino Linotype" w:eastAsia="Times New Roman" w:hAnsi="Palatino Linotype"/>
          <w:b/>
          <w:bCs/>
          <w:spacing w:val="60"/>
          <w:sz w:val="28"/>
        </w:rPr>
        <w:t>SE    RESUELVE</w:t>
      </w:r>
    </w:p>
    <w:p w:rsidR="00ED2B85" w:rsidRPr="000E2049" w:rsidRDefault="00ED2B85" w:rsidP="00ED2B85">
      <w:pPr>
        <w:spacing w:line="360" w:lineRule="auto"/>
        <w:jc w:val="center"/>
        <w:rPr>
          <w:rFonts w:ascii="Palatino Linotype" w:eastAsia="Times New Roman" w:hAnsi="Palatino Linotype"/>
          <w:b/>
          <w:bCs/>
          <w:spacing w:val="60"/>
        </w:rPr>
      </w:pPr>
    </w:p>
    <w:p w:rsidR="00ED2B85" w:rsidRPr="000E2049" w:rsidRDefault="00ED2B85" w:rsidP="00ED2B85">
      <w:pPr>
        <w:autoSpaceDE w:val="0"/>
        <w:autoSpaceDN w:val="0"/>
        <w:adjustRightInd w:val="0"/>
        <w:spacing w:line="360" w:lineRule="auto"/>
        <w:ind w:right="49"/>
        <w:jc w:val="both"/>
        <w:rPr>
          <w:rFonts w:ascii="Palatino Linotype" w:hAnsi="Palatino Linotype" w:cs="Arial"/>
        </w:rPr>
      </w:pPr>
      <w:r w:rsidRPr="000E2049">
        <w:rPr>
          <w:rFonts w:ascii="Palatino Linotype" w:hAnsi="Palatino Linotype" w:cs="Arial"/>
          <w:b/>
          <w:sz w:val="28"/>
          <w:szCs w:val="28"/>
        </w:rPr>
        <w:t>PRIMERO.</w:t>
      </w:r>
      <w:r w:rsidRPr="000E2049">
        <w:rPr>
          <w:rFonts w:ascii="Palatino Linotype" w:hAnsi="Palatino Linotype" w:cs="Arial"/>
        </w:rPr>
        <w:t xml:space="preserve"> Se</w:t>
      </w:r>
      <w:r w:rsidRPr="000E2049">
        <w:rPr>
          <w:rFonts w:ascii="Palatino Linotype" w:hAnsi="Palatino Linotype" w:cs="Arial"/>
          <w:b/>
        </w:rPr>
        <w:t xml:space="preserve"> MODIFICA </w:t>
      </w:r>
      <w:r w:rsidRPr="000E2049">
        <w:rPr>
          <w:rFonts w:ascii="Palatino Linotype" w:eastAsia="Arial Unicode MS" w:hAnsi="Palatino Linotype" w:cs="Arial"/>
        </w:rPr>
        <w:t xml:space="preserve">la respuesta entregada por </w:t>
      </w:r>
      <w:r w:rsidRPr="000E2049">
        <w:rPr>
          <w:rFonts w:ascii="Palatino Linotype" w:eastAsia="Arial Unicode MS" w:hAnsi="Palatino Linotype" w:cs="Arial"/>
          <w:b/>
        </w:rPr>
        <w:t>el sujeto obligado</w:t>
      </w:r>
      <w:r w:rsidRPr="000E2049">
        <w:rPr>
          <w:rFonts w:ascii="Palatino Linotype" w:hAnsi="Palatino Linotype" w:cs="Arial"/>
        </w:rPr>
        <w:t xml:space="preserve">, por resultar parcialmente fundados los motivos de inconformidad vertidos por </w:t>
      </w:r>
      <w:r w:rsidRPr="000E2049">
        <w:rPr>
          <w:rFonts w:ascii="Palatino Linotype" w:hAnsi="Palatino Linotype" w:cs="Arial"/>
          <w:b/>
        </w:rPr>
        <w:t>el recurrente</w:t>
      </w:r>
      <w:r w:rsidRPr="000E2049">
        <w:rPr>
          <w:rFonts w:ascii="Palatino Linotype" w:hAnsi="Palatino Linotype" w:cs="Arial"/>
        </w:rPr>
        <w:t xml:space="preserve">, en términos del Considerando </w:t>
      </w:r>
      <w:r w:rsidRPr="000E2049">
        <w:rPr>
          <w:rFonts w:ascii="Palatino Linotype" w:hAnsi="Palatino Linotype" w:cs="Arial"/>
          <w:b/>
        </w:rPr>
        <w:t xml:space="preserve">CUARTO </w:t>
      </w:r>
      <w:r w:rsidRPr="000E2049">
        <w:rPr>
          <w:rFonts w:ascii="Palatino Linotype" w:hAnsi="Palatino Linotype" w:cs="Arial"/>
        </w:rPr>
        <w:t>de ésta resolución.</w:t>
      </w:r>
    </w:p>
    <w:p w:rsidR="00ED2B85" w:rsidRPr="000E2049" w:rsidRDefault="00ED2B85" w:rsidP="00ED2B85">
      <w:pPr>
        <w:autoSpaceDE w:val="0"/>
        <w:autoSpaceDN w:val="0"/>
        <w:adjustRightInd w:val="0"/>
        <w:spacing w:line="360" w:lineRule="auto"/>
        <w:ind w:right="49"/>
        <w:jc w:val="both"/>
        <w:rPr>
          <w:rFonts w:ascii="Palatino Linotype" w:hAnsi="Palatino Linotype" w:cs="Arial"/>
        </w:rPr>
      </w:pPr>
    </w:p>
    <w:p w:rsidR="00ED2B85" w:rsidRPr="000E2049" w:rsidRDefault="00ED2B85" w:rsidP="00ED2B85">
      <w:pPr>
        <w:autoSpaceDE w:val="0"/>
        <w:autoSpaceDN w:val="0"/>
        <w:adjustRightInd w:val="0"/>
        <w:spacing w:line="360" w:lineRule="auto"/>
        <w:ind w:right="49"/>
        <w:jc w:val="both"/>
        <w:rPr>
          <w:rFonts w:ascii="Palatino Linotype" w:hAnsi="Palatino Linotype" w:cs="Arial"/>
        </w:rPr>
      </w:pPr>
      <w:r w:rsidRPr="000E2049">
        <w:rPr>
          <w:rFonts w:ascii="Palatino Linotype" w:hAnsi="Palatino Linotype" w:cs="Arial"/>
          <w:b/>
          <w:sz w:val="28"/>
          <w:szCs w:val="28"/>
        </w:rPr>
        <w:t>SEGUNDO.</w:t>
      </w:r>
      <w:r w:rsidRPr="000E2049">
        <w:rPr>
          <w:rFonts w:ascii="Palatino Linotype" w:hAnsi="Palatino Linotype" w:cs="Arial"/>
        </w:rPr>
        <w:t xml:space="preserve"> Se </w:t>
      </w:r>
      <w:r w:rsidRPr="000E2049">
        <w:rPr>
          <w:rFonts w:ascii="Palatino Linotype" w:hAnsi="Palatino Linotype" w:cs="Arial"/>
          <w:b/>
        </w:rPr>
        <w:t>ORDENA</w:t>
      </w:r>
      <w:r w:rsidRPr="000E2049">
        <w:rPr>
          <w:rFonts w:ascii="Palatino Linotype" w:hAnsi="Palatino Linotype" w:cs="Arial"/>
        </w:rPr>
        <w:t xml:space="preserve"> al </w:t>
      </w:r>
      <w:r w:rsidRPr="000E2049">
        <w:rPr>
          <w:rFonts w:ascii="Palatino Linotype" w:hAnsi="Palatino Linotype" w:cs="Arial"/>
          <w:b/>
        </w:rPr>
        <w:t>sujeto obligado</w:t>
      </w:r>
      <w:r w:rsidRPr="000E2049">
        <w:rPr>
          <w:rFonts w:ascii="Palatino Linotype" w:hAnsi="Palatino Linotype" w:cs="Arial"/>
        </w:rPr>
        <w:t xml:space="preserve"> haga entrega al</w:t>
      </w:r>
      <w:r w:rsidRPr="000E2049">
        <w:rPr>
          <w:rFonts w:ascii="Palatino Linotype" w:hAnsi="Palatino Linotype" w:cs="Arial"/>
          <w:b/>
        </w:rPr>
        <w:t xml:space="preserve"> recurrente</w:t>
      </w:r>
      <w:r w:rsidRPr="000E2049">
        <w:rPr>
          <w:rFonts w:ascii="Palatino Linotype" w:hAnsi="Palatino Linotype" w:cs="Arial"/>
        </w:rPr>
        <w:t xml:space="preserve"> a través del </w:t>
      </w:r>
      <w:r w:rsidRPr="000E2049">
        <w:rPr>
          <w:rFonts w:ascii="Palatino Linotype" w:hAnsi="Palatino Linotype" w:cs="Arial"/>
          <w:b/>
        </w:rPr>
        <w:t>SAIMEX</w:t>
      </w:r>
      <w:r w:rsidRPr="000E2049">
        <w:rPr>
          <w:rFonts w:ascii="Palatino Linotype" w:hAnsi="Palatino Linotype" w:cs="Arial"/>
        </w:rPr>
        <w:t xml:space="preserve">, en términos del considerando CUARTO, </w:t>
      </w:r>
      <w:r w:rsidR="002F3961" w:rsidRPr="000E2049">
        <w:rPr>
          <w:rFonts w:ascii="Palatino Linotype" w:hAnsi="Palatino Linotype" w:cs="Arial"/>
        </w:rPr>
        <w:t>de</w:t>
      </w:r>
      <w:r w:rsidRPr="000E2049">
        <w:rPr>
          <w:rFonts w:ascii="Palatino Linotype" w:hAnsi="Palatino Linotype" w:cs="Arial"/>
        </w:rPr>
        <w:t xml:space="preserve"> lo siguiente:</w:t>
      </w:r>
    </w:p>
    <w:p w:rsidR="00ED2B85" w:rsidRPr="000E2049" w:rsidRDefault="00ED2B85" w:rsidP="00ED2B85">
      <w:pPr>
        <w:autoSpaceDE w:val="0"/>
        <w:autoSpaceDN w:val="0"/>
        <w:adjustRightInd w:val="0"/>
        <w:spacing w:line="360" w:lineRule="auto"/>
        <w:ind w:right="49"/>
        <w:jc w:val="both"/>
        <w:rPr>
          <w:rFonts w:ascii="Palatino Linotype" w:hAnsi="Palatino Linotype" w:cs="Arial"/>
        </w:rPr>
      </w:pPr>
    </w:p>
    <w:p w:rsidR="00ED2B85" w:rsidRPr="000E2049" w:rsidRDefault="002F3961" w:rsidP="002F3961">
      <w:pPr>
        <w:pStyle w:val="Prrafodelista"/>
        <w:numPr>
          <w:ilvl w:val="0"/>
          <w:numId w:val="6"/>
        </w:numPr>
        <w:autoSpaceDE w:val="0"/>
        <w:autoSpaceDN w:val="0"/>
        <w:adjustRightInd w:val="0"/>
        <w:spacing w:line="360" w:lineRule="auto"/>
        <w:ind w:right="49"/>
        <w:jc w:val="both"/>
        <w:rPr>
          <w:rFonts w:ascii="Palatino Linotype" w:hAnsi="Palatino Linotype" w:cs="Arial"/>
        </w:rPr>
      </w:pPr>
      <w:r w:rsidRPr="000E2049">
        <w:rPr>
          <w:rFonts w:ascii="Palatino Linotype" w:hAnsi="Palatino Linotype" w:cs="Arial"/>
        </w:rPr>
        <w:lastRenderedPageBreak/>
        <w:t>Acuerdo de inexistencia del o los documentos donde debían constar el número y ubicación de los puestos semifijos de</w:t>
      </w:r>
      <w:r w:rsidR="00893972" w:rsidRPr="000E2049">
        <w:rPr>
          <w:rFonts w:ascii="Palatino Linotype" w:hAnsi="Palatino Linotype" w:cs="Arial"/>
        </w:rPr>
        <w:t xml:space="preserve"> </w:t>
      </w:r>
      <w:r w:rsidRPr="000E2049">
        <w:rPr>
          <w:rFonts w:ascii="Palatino Linotype" w:hAnsi="Palatino Linotype" w:cs="Arial"/>
        </w:rPr>
        <w:t>l</w:t>
      </w:r>
      <w:r w:rsidR="00893972" w:rsidRPr="000E2049">
        <w:rPr>
          <w:rFonts w:ascii="Palatino Linotype" w:hAnsi="Palatino Linotype" w:cs="Arial"/>
        </w:rPr>
        <w:t>os</w:t>
      </w:r>
      <w:r w:rsidRPr="000E2049">
        <w:rPr>
          <w:rFonts w:ascii="Palatino Linotype" w:hAnsi="Palatino Linotype" w:cs="Arial"/>
        </w:rPr>
        <w:t xml:space="preserve"> año</w:t>
      </w:r>
      <w:r w:rsidR="00893972" w:rsidRPr="000E2049">
        <w:rPr>
          <w:rFonts w:ascii="Palatino Linotype" w:hAnsi="Palatino Linotype" w:cs="Arial"/>
        </w:rPr>
        <w:t>s 2016 a</w:t>
      </w:r>
      <w:r w:rsidRPr="000E2049">
        <w:rPr>
          <w:rFonts w:ascii="Palatino Linotype" w:hAnsi="Palatino Linotype" w:cs="Arial"/>
        </w:rPr>
        <w:t xml:space="preserve"> 2018.</w:t>
      </w:r>
    </w:p>
    <w:p w:rsidR="002F3961" w:rsidRPr="000E2049" w:rsidRDefault="002F3961" w:rsidP="002F3961">
      <w:pPr>
        <w:autoSpaceDE w:val="0"/>
        <w:autoSpaceDN w:val="0"/>
        <w:adjustRightInd w:val="0"/>
        <w:spacing w:line="360" w:lineRule="auto"/>
        <w:ind w:right="49"/>
        <w:jc w:val="both"/>
        <w:rPr>
          <w:rFonts w:ascii="Palatino Linotype" w:eastAsiaTheme="minorHAnsi" w:hAnsi="Palatino Linotype" w:cs="Arial"/>
          <w:lang w:val="es-MX" w:eastAsia="en-US"/>
        </w:rPr>
      </w:pPr>
    </w:p>
    <w:p w:rsidR="002F3961" w:rsidRPr="000E2049" w:rsidRDefault="002F3961" w:rsidP="002F3961">
      <w:pPr>
        <w:autoSpaceDE w:val="0"/>
        <w:autoSpaceDN w:val="0"/>
        <w:adjustRightInd w:val="0"/>
        <w:spacing w:line="360" w:lineRule="auto"/>
        <w:ind w:right="49"/>
        <w:jc w:val="both"/>
        <w:rPr>
          <w:rFonts w:ascii="Palatino Linotype" w:eastAsiaTheme="minorHAnsi" w:hAnsi="Palatino Linotype" w:cs="Arial"/>
          <w:i/>
          <w:sz w:val="22"/>
          <w:szCs w:val="22"/>
          <w:lang w:val="es-MX" w:eastAsia="es-MX"/>
        </w:rPr>
      </w:pPr>
      <w:r w:rsidRPr="000E2049">
        <w:rPr>
          <w:rFonts w:ascii="Palatino Linotype" w:eastAsiaTheme="minorHAnsi" w:hAnsi="Palatino Linotype" w:cs="Arial"/>
          <w:b/>
          <w:sz w:val="28"/>
          <w:szCs w:val="28"/>
          <w:lang w:val="es-MX" w:eastAsia="en-US"/>
        </w:rPr>
        <w:t>TERCERO.</w:t>
      </w:r>
      <w:r w:rsidRPr="000E2049">
        <w:rPr>
          <w:rFonts w:ascii="Palatino Linotype" w:eastAsiaTheme="minorHAnsi" w:hAnsi="Palatino Linotype" w:cs="Arial"/>
          <w:b/>
          <w:lang w:val="es-MX" w:eastAsia="en-US"/>
        </w:rPr>
        <w:t xml:space="preserve"> NOTIFÍQUESE</w:t>
      </w:r>
      <w:r w:rsidRPr="000E2049">
        <w:rPr>
          <w:rFonts w:ascii="Palatino Linotype" w:eastAsiaTheme="minorHAnsi" w:hAnsi="Palatino Linotype" w:cs="Arial"/>
          <w:i/>
          <w:lang w:val="es-MX" w:eastAsia="en-US"/>
        </w:rPr>
        <w:t xml:space="preserve"> </w:t>
      </w:r>
      <w:r w:rsidRPr="000E2049">
        <w:rPr>
          <w:rFonts w:ascii="Palatino Linotype" w:eastAsiaTheme="minorHAnsi" w:hAnsi="Palatino Linotype" w:cs="Arial"/>
          <w:lang w:val="es-MX" w:eastAsia="en-US"/>
        </w:rPr>
        <w:t>la presente resolución al Titular de la Unidad de Transparencia del</w:t>
      </w:r>
      <w:r w:rsidRPr="000E2049">
        <w:rPr>
          <w:rFonts w:ascii="Palatino Linotype" w:eastAsiaTheme="minorHAnsi" w:hAnsi="Palatino Linotype" w:cs="Arial"/>
          <w:b/>
          <w:lang w:val="es-MX" w:eastAsia="en-US"/>
        </w:rPr>
        <w:t xml:space="preserve"> sujeto obligado</w:t>
      </w:r>
      <w:r w:rsidRPr="000E2049">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F3961" w:rsidRPr="000E2049" w:rsidRDefault="002F3961" w:rsidP="002F3961">
      <w:pPr>
        <w:autoSpaceDE w:val="0"/>
        <w:autoSpaceDN w:val="0"/>
        <w:adjustRightInd w:val="0"/>
        <w:spacing w:line="360" w:lineRule="auto"/>
        <w:ind w:right="49"/>
        <w:jc w:val="both"/>
        <w:rPr>
          <w:rFonts w:ascii="Palatino Linotype" w:eastAsiaTheme="minorHAnsi" w:hAnsi="Palatino Linotype" w:cs="Arial"/>
          <w:b/>
          <w:sz w:val="16"/>
          <w:lang w:val="es-MX" w:eastAsia="en-US"/>
        </w:rPr>
      </w:pPr>
    </w:p>
    <w:p w:rsidR="002F3961" w:rsidRPr="000E2049" w:rsidRDefault="002F3961" w:rsidP="002F3961">
      <w:pPr>
        <w:autoSpaceDE w:val="0"/>
        <w:autoSpaceDN w:val="0"/>
        <w:adjustRightInd w:val="0"/>
        <w:spacing w:line="360" w:lineRule="auto"/>
        <w:ind w:right="49"/>
        <w:jc w:val="both"/>
        <w:rPr>
          <w:rFonts w:ascii="Palatino Linotype" w:eastAsiaTheme="minorHAnsi" w:hAnsi="Palatino Linotype" w:cs="Arial"/>
          <w:lang w:val="es-MX" w:eastAsia="en-US"/>
        </w:rPr>
      </w:pPr>
      <w:r w:rsidRPr="000E2049">
        <w:rPr>
          <w:rFonts w:ascii="Palatino Linotype" w:eastAsiaTheme="minorHAnsi" w:hAnsi="Palatino Linotype" w:cs="Arial"/>
          <w:b/>
          <w:sz w:val="28"/>
          <w:szCs w:val="28"/>
          <w:lang w:val="es-MX" w:eastAsia="en-US"/>
        </w:rPr>
        <w:t>CUARTO.</w:t>
      </w:r>
      <w:r w:rsidRPr="000E2049">
        <w:rPr>
          <w:rFonts w:ascii="Palatino Linotype" w:eastAsiaTheme="minorHAnsi" w:hAnsi="Palatino Linotype" w:cs="Arial"/>
          <w:b/>
          <w:lang w:val="es-MX" w:eastAsia="en-US"/>
        </w:rPr>
        <w:t xml:space="preserve"> NOTIFÍQUESE</w:t>
      </w:r>
      <w:r w:rsidRPr="000E2049">
        <w:rPr>
          <w:rFonts w:ascii="Palatino Linotype" w:eastAsiaTheme="minorHAnsi" w:hAnsi="Palatino Linotype" w:cs="Arial"/>
          <w:lang w:val="es-MX" w:eastAsia="en-US"/>
        </w:rPr>
        <w:t xml:space="preserve"> al </w:t>
      </w:r>
      <w:r w:rsidRPr="000E2049">
        <w:rPr>
          <w:rFonts w:ascii="Palatino Linotype" w:eastAsiaTheme="minorHAnsi" w:hAnsi="Palatino Linotype" w:cs="Arial"/>
          <w:b/>
          <w:lang w:val="es-MX" w:eastAsia="en-US"/>
        </w:rPr>
        <w:t>recurrente</w:t>
      </w:r>
      <w:r w:rsidRPr="000E2049">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B11355" w:rsidRPr="000E2049" w:rsidRDefault="00B11355" w:rsidP="00ED2B85">
      <w:pPr>
        <w:pStyle w:val="Sinespaciado"/>
        <w:spacing w:line="360" w:lineRule="auto"/>
        <w:jc w:val="both"/>
        <w:rPr>
          <w:rFonts w:ascii="Palatino Linotype" w:eastAsia="Times New Roman" w:hAnsi="Palatino Linotype" w:cs="Times New Roman"/>
          <w:color w:val="222222"/>
          <w:lang w:val="es-ES" w:eastAsia="es-MX"/>
        </w:rPr>
      </w:pPr>
    </w:p>
    <w:p w:rsidR="000E2049" w:rsidRPr="000E2049" w:rsidRDefault="000E2049" w:rsidP="000E2049">
      <w:pPr>
        <w:spacing w:line="360" w:lineRule="auto"/>
        <w:jc w:val="both"/>
        <w:rPr>
          <w:rFonts w:ascii="Palatino Linotype" w:hAnsi="Palatino Linotype" w:cs="Arial"/>
        </w:rPr>
      </w:pPr>
      <w:r w:rsidRPr="000E2049">
        <w:rPr>
          <w:rFonts w:ascii="Palatino Linotype" w:hAnsi="Palatino Linotype" w:cs="Arial"/>
        </w:rPr>
        <w:t>ASÍ LO RESUELVE, POR UNANIMIDAD DE VOTOS EL PLENO DEL</w:t>
      </w:r>
      <w:r w:rsidRPr="000E2049">
        <w:rPr>
          <w:rFonts w:ascii="Palatino Linotype" w:eastAsia="Arial Unicode MS" w:hAnsi="Palatino Linotype" w:cs="Arial"/>
        </w:rPr>
        <w:t xml:space="preserve"> INSTITUTO DE TRANSPARENCIA, ACCESO A LA INFORMACIÓN PÚBLICA Y PROTECCIÓN DE DATOS PERSONALES DEL ESTADO DE MÉXICO Y MUNICIPIOS</w:t>
      </w:r>
      <w:r w:rsidRPr="000E2049">
        <w:rPr>
          <w:rFonts w:ascii="Palatino Linotype" w:hAnsi="Palatino Linotype" w:cs="Arial"/>
        </w:rPr>
        <w:t>, CONFORMADO POR LOS COMISIONADOS ZULEMA MARTÍNEZ SÁNCHEZ, EVA ABAID YAPUR (AUSENCIA JUSTIFICADA), JOSÉ GUADALUPE LUNA HERNÁNDEZ, JAVIER MARTÍNEZ CRUZ Y LUIS GUSTAVO PARRA NORIEGA, EN LA VIGÉSIMO OCTAVA SESIÓN ORDINARIA CELEBRADA EL SIETE DE AGOSTO DE DOS MIL DIECINUEVE, ANTE EL SECRETARIO TÉCNICO DEL PLENO, ALEXIS TAPIA RAMÍREZ. ----------------------------------------------------------------------------------</w:t>
      </w:r>
      <w:r>
        <w:rPr>
          <w:rFonts w:ascii="Palatino Linotype" w:hAnsi="Palatino Linotype" w:cs="Arial"/>
        </w:rPr>
        <w:t>----------------------------------------------</w:t>
      </w:r>
      <w:r w:rsidRPr="000E2049">
        <w:rPr>
          <w:rFonts w:ascii="Palatino Linotype" w:hAnsi="Palatino Linotype" w:cs="Arial"/>
        </w:rPr>
        <w:t>------------------------------</w:t>
      </w:r>
      <w:r>
        <w:rPr>
          <w:rFonts w:ascii="Palatino Linotype" w:hAnsi="Palatino Linotype" w:cs="Arial"/>
        </w:rPr>
        <w:t>---------------------------------------------------------------</w:t>
      </w:r>
      <w:r w:rsidRPr="000E2049">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0E2049" w:rsidRPr="000E2049" w:rsidTr="000E2049">
        <w:trPr>
          <w:jc w:val="center"/>
        </w:trPr>
        <w:tc>
          <w:tcPr>
            <w:tcW w:w="8789" w:type="dxa"/>
            <w:gridSpan w:val="2"/>
          </w:tcPr>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r w:rsidRPr="000E2049">
              <w:rPr>
                <w:rFonts w:ascii="Palatino Linotype" w:hAnsi="Palatino Linotype"/>
                <w:b/>
              </w:rPr>
              <w:t>Zulema Martínez Sánchez</w:t>
            </w:r>
          </w:p>
          <w:p w:rsidR="000E2049" w:rsidRPr="000E2049" w:rsidRDefault="000E2049" w:rsidP="00B20CA8">
            <w:pPr>
              <w:pStyle w:val="Sinespaciado"/>
              <w:jc w:val="center"/>
              <w:rPr>
                <w:rFonts w:ascii="Palatino Linotype" w:hAnsi="Palatino Linotype"/>
              </w:rPr>
            </w:pPr>
            <w:r w:rsidRPr="000E2049">
              <w:rPr>
                <w:rFonts w:ascii="Palatino Linotype" w:hAnsi="Palatino Linotype"/>
              </w:rPr>
              <w:t>Comisionada Presidenta</w:t>
            </w:r>
          </w:p>
          <w:p w:rsidR="000E2049" w:rsidRPr="000E2049" w:rsidRDefault="000E2049" w:rsidP="00B20CA8">
            <w:pPr>
              <w:pStyle w:val="Sinespaciado"/>
              <w:jc w:val="center"/>
              <w:rPr>
                <w:rFonts w:ascii="Palatino Linotype" w:hAnsi="Palatino Linotype"/>
              </w:rPr>
            </w:pPr>
            <w:r w:rsidRPr="000E2049">
              <w:rPr>
                <w:rFonts w:ascii="Palatino Linotype" w:hAnsi="Palatino Linotype"/>
              </w:rPr>
              <w:t>(Rúbrica)</w:t>
            </w:r>
          </w:p>
        </w:tc>
      </w:tr>
      <w:tr w:rsidR="000E2049" w:rsidRPr="000E2049" w:rsidTr="000E2049">
        <w:trPr>
          <w:jc w:val="center"/>
        </w:trPr>
        <w:tc>
          <w:tcPr>
            <w:tcW w:w="4395" w:type="dxa"/>
          </w:tcPr>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r w:rsidRPr="000E2049">
              <w:rPr>
                <w:rFonts w:ascii="Palatino Linotype" w:hAnsi="Palatino Linotype"/>
                <w:b/>
              </w:rPr>
              <w:t>Eva Abaid Yapur</w:t>
            </w:r>
          </w:p>
          <w:p w:rsidR="000E2049" w:rsidRPr="000E2049" w:rsidRDefault="000E2049" w:rsidP="00B20CA8">
            <w:pPr>
              <w:pStyle w:val="Sinespaciado"/>
              <w:jc w:val="center"/>
              <w:rPr>
                <w:rFonts w:ascii="Palatino Linotype" w:hAnsi="Palatino Linotype"/>
              </w:rPr>
            </w:pPr>
            <w:r w:rsidRPr="000E2049">
              <w:rPr>
                <w:rFonts w:ascii="Palatino Linotype" w:hAnsi="Palatino Linotype"/>
              </w:rPr>
              <w:t>Comisionada</w:t>
            </w:r>
          </w:p>
          <w:p w:rsidR="000E2049" w:rsidRPr="000E2049" w:rsidRDefault="000E2049" w:rsidP="00B20CA8">
            <w:pPr>
              <w:pStyle w:val="Sinespaciado"/>
              <w:jc w:val="center"/>
              <w:rPr>
                <w:rFonts w:ascii="Palatino Linotype" w:hAnsi="Palatino Linotype"/>
              </w:rPr>
            </w:pPr>
            <w:r w:rsidRPr="000E2049">
              <w:rPr>
                <w:rFonts w:ascii="Palatino Linotype" w:hAnsi="Palatino Linotype"/>
              </w:rPr>
              <w:t>(Ausencia justificada)</w:t>
            </w:r>
          </w:p>
          <w:p w:rsidR="000E2049" w:rsidRPr="000E2049" w:rsidRDefault="000E2049" w:rsidP="00B20CA8">
            <w:pPr>
              <w:pStyle w:val="Sinespaciado"/>
              <w:spacing w:line="276" w:lineRule="auto"/>
              <w:jc w:val="center"/>
              <w:rPr>
                <w:rFonts w:ascii="Palatino Linotype" w:hAnsi="Palatino Linotype"/>
              </w:rPr>
            </w:pPr>
          </w:p>
          <w:p w:rsidR="000E2049" w:rsidRDefault="000E2049" w:rsidP="00B20CA8">
            <w:pPr>
              <w:pStyle w:val="Sinespaciado"/>
              <w:spacing w:line="276" w:lineRule="auto"/>
              <w:jc w:val="center"/>
              <w:rPr>
                <w:rFonts w:ascii="Palatino Linotype" w:hAnsi="Palatino Linotype"/>
              </w:rPr>
            </w:pPr>
          </w:p>
          <w:p w:rsidR="000E2049" w:rsidRPr="000E2049" w:rsidRDefault="000E2049" w:rsidP="00B20CA8">
            <w:pPr>
              <w:pStyle w:val="Sinespaciado"/>
              <w:spacing w:line="276" w:lineRule="auto"/>
              <w:jc w:val="center"/>
              <w:rPr>
                <w:rFonts w:ascii="Palatino Linotype" w:hAnsi="Palatino Linotype"/>
              </w:rPr>
            </w:pPr>
          </w:p>
          <w:p w:rsidR="000E2049" w:rsidRPr="000E2049" w:rsidRDefault="000E2049" w:rsidP="00B20CA8">
            <w:pPr>
              <w:pStyle w:val="Sinespaciado"/>
              <w:spacing w:line="276" w:lineRule="auto"/>
              <w:jc w:val="center"/>
              <w:rPr>
                <w:rFonts w:ascii="Palatino Linotype" w:hAnsi="Palatino Linotype"/>
              </w:rPr>
            </w:pPr>
          </w:p>
          <w:p w:rsidR="000E2049" w:rsidRPr="000E2049" w:rsidRDefault="000E2049" w:rsidP="00B20CA8">
            <w:pPr>
              <w:pStyle w:val="Sinespaciado"/>
              <w:spacing w:line="276" w:lineRule="auto"/>
              <w:jc w:val="center"/>
              <w:rPr>
                <w:rFonts w:ascii="Palatino Linotype" w:hAnsi="Palatino Linotype"/>
              </w:rPr>
            </w:pPr>
          </w:p>
          <w:p w:rsidR="000E2049" w:rsidRPr="000E2049" w:rsidRDefault="000E2049" w:rsidP="00B20CA8">
            <w:pPr>
              <w:pStyle w:val="Sinespaciado"/>
              <w:spacing w:line="276" w:lineRule="auto"/>
              <w:jc w:val="center"/>
              <w:rPr>
                <w:rFonts w:ascii="Palatino Linotype" w:hAnsi="Palatino Linotype"/>
              </w:rPr>
            </w:pPr>
          </w:p>
          <w:p w:rsidR="000E2049" w:rsidRPr="000E2049" w:rsidRDefault="000E2049" w:rsidP="00B20CA8">
            <w:pPr>
              <w:pStyle w:val="Sinespaciado"/>
              <w:spacing w:line="276" w:lineRule="auto"/>
              <w:jc w:val="center"/>
              <w:rPr>
                <w:rFonts w:ascii="Palatino Linotype" w:hAnsi="Palatino Linotype"/>
                <w:b/>
              </w:rPr>
            </w:pPr>
            <w:r w:rsidRPr="000E2049">
              <w:rPr>
                <w:rFonts w:ascii="Palatino Linotype" w:hAnsi="Palatino Linotype"/>
                <w:b/>
              </w:rPr>
              <w:t>Javier Martínez Cruz</w:t>
            </w:r>
          </w:p>
          <w:p w:rsidR="000E2049" w:rsidRPr="000E2049" w:rsidRDefault="000E2049" w:rsidP="00B20CA8">
            <w:pPr>
              <w:pStyle w:val="Sinespaciado"/>
              <w:spacing w:line="276" w:lineRule="auto"/>
              <w:jc w:val="center"/>
              <w:rPr>
                <w:rFonts w:ascii="Palatino Linotype" w:hAnsi="Palatino Linotype"/>
              </w:rPr>
            </w:pPr>
            <w:r w:rsidRPr="000E2049">
              <w:rPr>
                <w:rFonts w:ascii="Palatino Linotype" w:hAnsi="Palatino Linotype"/>
              </w:rPr>
              <w:t>Comisionado</w:t>
            </w:r>
          </w:p>
          <w:p w:rsidR="000E2049" w:rsidRPr="000E2049" w:rsidRDefault="000E2049" w:rsidP="00B20CA8">
            <w:pPr>
              <w:pStyle w:val="Sinespaciado"/>
              <w:spacing w:line="276" w:lineRule="auto"/>
              <w:jc w:val="center"/>
              <w:rPr>
                <w:rFonts w:ascii="Palatino Linotype" w:hAnsi="Palatino Linotype"/>
              </w:rPr>
            </w:pPr>
            <w:r w:rsidRPr="000E2049">
              <w:rPr>
                <w:rFonts w:ascii="Palatino Linotype" w:hAnsi="Palatino Linotype"/>
              </w:rPr>
              <w:t>(Rúbrica)</w:t>
            </w:r>
          </w:p>
        </w:tc>
        <w:tc>
          <w:tcPr>
            <w:tcW w:w="4394" w:type="dxa"/>
          </w:tcPr>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r w:rsidRPr="000E2049">
              <w:rPr>
                <w:rFonts w:ascii="Palatino Linotype" w:hAnsi="Palatino Linotype"/>
                <w:b/>
              </w:rPr>
              <w:t>José Guadalupe Luna Hernández</w:t>
            </w:r>
          </w:p>
          <w:p w:rsidR="000E2049" w:rsidRPr="000E2049" w:rsidRDefault="000E2049" w:rsidP="00B20CA8">
            <w:pPr>
              <w:pStyle w:val="Sinespaciado"/>
              <w:jc w:val="center"/>
              <w:rPr>
                <w:rFonts w:ascii="Palatino Linotype" w:hAnsi="Palatino Linotype"/>
              </w:rPr>
            </w:pPr>
            <w:r w:rsidRPr="000E2049">
              <w:rPr>
                <w:rFonts w:ascii="Palatino Linotype" w:hAnsi="Palatino Linotype"/>
              </w:rPr>
              <w:t>Comisionado</w:t>
            </w:r>
          </w:p>
          <w:p w:rsidR="000E2049" w:rsidRPr="000E2049" w:rsidRDefault="000E2049" w:rsidP="00B20CA8">
            <w:pPr>
              <w:pStyle w:val="Sinespaciado"/>
              <w:jc w:val="center"/>
              <w:rPr>
                <w:rFonts w:ascii="Palatino Linotype" w:hAnsi="Palatino Linotype"/>
              </w:rPr>
            </w:pPr>
            <w:r w:rsidRPr="000E2049">
              <w:rPr>
                <w:rFonts w:ascii="Palatino Linotype" w:hAnsi="Palatino Linotype"/>
              </w:rPr>
              <w:t>(Rúbrica)</w:t>
            </w:r>
          </w:p>
          <w:p w:rsidR="000E2049" w:rsidRPr="000E2049" w:rsidRDefault="000E2049" w:rsidP="00B20CA8">
            <w:pPr>
              <w:pStyle w:val="Sinespaciado"/>
              <w:jc w:val="center"/>
              <w:rPr>
                <w:rFonts w:ascii="Palatino Linotype" w:hAnsi="Palatino Linotype"/>
              </w:rPr>
            </w:pPr>
          </w:p>
          <w:p w:rsidR="000E2049" w:rsidRPr="000E2049" w:rsidRDefault="000E2049" w:rsidP="00B20CA8">
            <w:pPr>
              <w:pStyle w:val="Sinespaciado"/>
              <w:jc w:val="center"/>
              <w:rPr>
                <w:rFonts w:ascii="Palatino Linotype" w:hAnsi="Palatino Linotype"/>
              </w:rPr>
            </w:pPr>
          </w:p>
          <w:p w:rsidR="000E2049" w:rsidRPr="000E2049" w:rsidRDefault="000E2049" w:rsidP="00B20CA8">
            <w:pPr>
              <w:pStyle w:val="Sinespaciado"/>
              <w:jc w:val="center"/>
              <w:rPr>
                <w:rFonts w:ascii="Palatino Linotype" w:hAnsi="Palatino Linotype"/>
              </w:rPr>
            </w:pPr>
          </w:p>
          <w:p w:rsidR="000E2049" w:rsidRDefault="000E2049" w:rsidP="00B20CA8">
            <w:pPr>
              <w:pStyle w:val="Sinespaciado"/>
              <w:jc w:val="center"/>
              <w:rPr>
                <w:rFonts w:ascii="Palatino Linotype" w:hAnsi="Palatino Linotype"/>
              </w:rPr>
            </w:pPr>
          </w:p>
          <w:p w:rsidR="000E2049" w:rsidRPr="000E2049" w:rsidRDefault="000E2049" w:rsidP="00B20CA8">
            <w:pPr>
              <w:pStyle w:val="Sinespaciado"/>
              <w:jc w:val="center"/>
              <w:rPr>
                <w:rFonts w:ascii="Palatino Linotype" w:hAnsi="Palatino Linotype"/>
              </w:rPr>
            </w:pPr>
          </w:p>
          <w:p w:rsidR="000E2049" w:rsidRPr="000E2049" w:rsidRDefault="000E2049" w:rsidP="00B20CA8">
            <w:pPr>
              <w:pStyle w:val="Sinespaciado"/>
              <w:jc w:val="center"/>
              <w:rPr>
                <w:rFonts w:ascii="Palatino Linotype" w:hAnsi="Palatino Linotype"/>
              </w:rPr>
            </w:pPr>
          </w:p>
          <w:p w:rsidR="000E2049" w:rsidRPr="000E2049" w:rsidRDefault="000E2049" w:rsidP="00B20CA8">
            <w:pPr>
              <w:pStyle w:val="Sinespaciado"/>
              <w:jc w:val="center"/>
              <w:rPr>
                <w:rFonts w:ascii="Palatino Linotype" w:hAnsi="Palatino Linotype"/>
              </w:rPr>
            </w:pPr>
          </w:p>
          <w:p w:rsidR="000E2049" w:rsidRPr="000E2049" w:rsidRDefault="000E2049" w:rsidP="00B20CA8">
            <w:pPr>
              <w:pStyle w:val="Sinespaciado"/>
              <w:spacing w:line="276" w:lineRule="auto"/>
              <w:jc w:val="center"/>
              <w:rPr>
                <w:rFonts w:ascii="Palatino Linotype" w:hAnsi="Palatino Linotype"/>
                <w:b/>
              </w:rPr>
            </w:pPr>
            <w:r w:rsidRPr="000E2049">
              <w:rPr>
                <w:rFonts w:ascii="Palatino Linotype" w:hAnsi="Palatino Linotype"/>
                <w:b/>
              </w:rPr>
              <w:t>Luis Gustavo Parra Noriega</w:t>
            </w:r>
          </w:p>
          <w:p w:rsidR="000E2049" w:rsidRPr="000E2049" w:rsidRDefault="000E2049" w:rsidP="00B20CA8">
            <w:pPr>
              <w:pStyle w:val="Sinespaciado"/>
              <w:spacing w:line="276" w:lineRule="auto"/>
              <w:jc w:val="center"/>
              <w:rPr>
                <w:rFonts w:ascii="Palatino Linotype" w:hAnsi="Palatino Linotype"/>
              </w:rPr>
            </w:pPr>
            <w:r w:rsidRPr="000E2049">
              <w:rPr>
                <w:rFonts w:ascii="Palatino Linotype" w:hAnsi="Palatino Linotype"/>
              </w:rPr>
              <w:t xml:space="preserve">Comisionado </w:t>
            </w:r>
          </w:p>
          <w:p w:rsidR="000E2049" w:rsidRPr="000E2049" w:rsidRDefault="000E2049" w:rsidP="00B20CA8">
            <w:pPr>
              <w:pStyle w:val="Sinespaciado"/>
              <w:spacing w:line="276" w:lineRule="auto"/>
              <w:jc w:val="center"/>
              <w:rPr>
                <w:rFonts w:ascii="Palatino Linotype" w:hAnsi="Palatino Linotype"/>
              </w:rPr>
            </w:pPr>
            <w:r w:rsidRPr="000E2049">
              <w:rPr>
                <w:rFonts w:ascii="Palatino Linotype" w:hAnsi="Palatino Linotype"/>
              </w:rPr>
              <w:t>(Rúbrica)</w:t>
            </w:r>
          </w:p>
        </w:tc>
      </w:tr>
      <w:tr w:rsidR="000E2049" w:rsidRPr="000E2049" w:rsidTr="000E2049">
        <w:trPr>
          <w:jc w:val="center"/>
        </w:trPr>
        <w:tc>
          <w:tcPr>
            <w:tcW w:w="8789" w:type="dxa"/>
            <w:gridSpan w:val="2"/>
          </w:tcPr>
          <w:p w:rsidR="000E2049" w:rsidRPr="000E2049" w:rsidRDefault="000E2049" w:rsidP="00B20CA8">
            <w:pPr>
              <w:pStyle w:val="Sinespaciado"/>
              <w:rPr>
                <w:rFonts w:ascii="Palatino Linotype" w:hAnsi="Palatino Linotype"/>
              </w:rPr>
            </w:pPr>
          </w:p>
        </w:tc>
      </w:tr>
      <w:tr w:rsidR="000E2049" w:rsidRPr="000E2049" w:rsidTr="000E2049">
        <w:trPr>
          <w:jc w:val="center"/>
        </w:trPr>
        <w:tc>
          <w:tcPr>
            <w:tcW w:w="8789" w:type="dxa"/>
            <w:gridSpan w:val="2"/>
          </w:tcPr>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p>
          <w:p w:rsidR="000E2049" w:rsidRPr="000E2049" w:rsidRDefault="000E2049" w:rsidP="00B20CA8">
            <w:pPr>
              <w:pStyle w:val="Sinespaciado"/>
              <w:jc w:val="center"/>
              <w:rPr>
                <w:rFonts w:ascii="Palatino Linotype" w:hAnsi="Palatino Linotype"/>
                <w:b/>
              </w:rPr>
            </w:pPr>
            <w:r w:rsidRPr="000E2049">
              <w:rPr>
                <w:rFonts w:ascii="Palatino Linotype" w:hAnsi="Palatino Linotype"/>
                <w:b/>
              </w:rPr>
              <w:t>Alexis Tapia Ramírez</w:t>
            </w:r>
          </w:p>
          <w:p w:rsidR="000E2049" w:rsidRPr="000E2049" w:rsidRDefault="000E2049" w:rsidP="00B20CA8">
            <w:pPr>
              <w:pStyle w:val="Sinespaciado"/>
              <w:jc w:val="center"/>
              <w:rPr>
                <w:rFonts w:ascii="Palatino Linotype" w:hAnsi="Palatino Linotype"/>
              </w:rPr>
            </w:pPr>
            <w:r w:rsidRPr="000E2049">
              <w:rPr>
                <w:rFonts w:ascii="Palatino Linotype" w:hAnsi="Palatino Linotype"/>
              </w:rPr>
              <w:t>Secretario Técnico del Pleno</w:t>
            </w:r>
          </w:p>
          <w:p w:rsidR="000E2049" w:rsidRPr="000E2049" w:rsidRDefault="000E2049" w:rsidP="00B20CA8">
            <w:pPr>
              <w:pStyle w:val="Sinespaciado"/>
              <w:jc w:val="center"/>
              <w:rPr>
                <w:rFonts w:ascii="Palatino Linotype" w:hAnsi="Palatino Linotype"/>
              </w:rPr>
            </w:pPr>
            <w:r w:rsidRPr="000E2049">
              <w:rPr>
                <w:rFonts w:ascii="Palatino Linotype" w:hAnsi="Palatino Linotype"/>
              </w:rPr>
              <w:t>(Rúbrica)</w:t>
            </w:r>
          </w:p>
        </w:tc>
      </w:tr>
    </w:tbl>
    <w:p w:rsidR="000E2049" w:rsidRPr="000E2049" w:rsidRDefault="000E2049" w:rsidP="000E2049">
      <w:pPr>
        <w:spacing w:line="360" w:lineRule="auto"/>
        <w:jc w:val="both"/>
        <w:rPr>
          <w:rFonts w:ascii="Palatino Linotype" w:hAnsi="Palatino Linotype" w:cs="Arial"/>
          <w:sz w:val="4"/>
        </w:rPr>
      </w:pPr>
    </w:p>
    <w:p w:rsidR="000E2049" w:rsidRPr="000E2049" w:rsidRDefault="000E2049" w:rsidP="000E2049">
      <w:pPr>
        <w:jc w:val="both"/>
        <w:rPr>
          <w:rFonts w:ascii="Palatino Linotype" w:hAnsi="Palatino Linotype" w:cs="Arial"/>
          <w:sz w:val="2"/>
          <w:szCs w:val="20"/>
        </w:rPr>
      </w:pPr>
    </w:p>
    <w:p w:rsidR="000E2049" w:rsidRDefault="000E2049" w:rsidP="000E2049">
      <w:pPr>
        <w:jc w:val="both"/>
        <w:rPr>
          <w:rFonts w:ascii="Palatino Linotype" w:hAnsi="Palatino Linotype" w:cs="Arial"/>
          <w:sz w:val="16"/>
          <w:szCs w:val="20"/>
        </w:rPr>
      </w:pPr>
    </w:p>
    <w:p w:rsidR="000E2049" w:rsidRPr="000E2049" w:rsidRDefault="000E2049" w:rsidP="000E2049">
      <w:pPr>
        <w:jc w:val="both"/>
        <w:rPr>
          <w:rFonts w:ascii="Palatino Linotype" w:hAnsi="Palatino Linotype" w:cs="Arial"/>
          <w:sz w:val="16"/>
          <w:szCs w:val="20"/>
        </w:rPr>
      </w:pPr>
      <w:r w:rsidRPr="000E2049">
        <w:rPr>
          <w:rFonts w:ascii="Palatino Linotype" w:hAnsi="Palatino Linotype" w:cs="Arial"/>
          <w:sz w:val="16"/>
          <w:szCs w:val="20"/>
        </w:rPr>
        <w:t xml:space="preserve">Esta hoja corresponde a la resolución de fecha siete de agosto de dos mil diecinueve, emitida en el recurso de revisión </w:t>
      </w:r>
      <w:r w:rsidRPr="000E2049">
        <w:rPr>
          <w:rFonts w:ascii="Palatino Linotype" w:hAnsi="Palatino Linotype" w:cs="Arial"/>
          <w:bCs/>
          <w:sz w:val="16"/>
          <w:szCs w:val="20"/>
          <w:lang w:eastAsia="es-MX"/>
        </w:rPr>
        <w:t>04495/INFOEM/IP/RR/2019</w:t>
      </w:r>
    </w:p>
    <w:p w:rsidR="008736A0" w:rsidRDefault="000E2049" w:rsidP="00ED2B85">
      <w:r w:rsidRPr="000E2049">
        <w:rPr>
          <w:rFonts w:ascii="Palatino Linotype" w:hAnsi="Palatino Linotype"/>
          <w:sz w:val="14"/>
          <w:szCs w:val="20"/>
        </w:rPr>
        <w:t>ZMS/OSAM/HAP</w:t>
      </w:r>
    </w:p>
    <w:sectPr w:rsidR="008736A0" w:rsidSect="007D31B7">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BC7" w:rsidRDefault="00813BC7" w:rsidP="00B11355">
      <w:r>
        <w:separator/>
      </w:r>
    </w:p>
  </w:endnote>
  <w:endnote w:type="continuationSeparator" w:id="0">
    <w:p w:rsidR="00813BC7" w:rsidRDefault="00813BC7" w:rsidP="00B1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D31B7" w:rsidRPr="00883450" w:rsidRDefault="007D31B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545F9">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545F9">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rsidR="007D31B7" w:rsidRDefault="007D31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1B7" w:rsidRPr="00883450" w:rsidRDefault="007D31B7" w:rsidP="007D31B7">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D45C5" w:rsidRPr="00FD45C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D45C5" w:rsidRPr="00FD45C5">
      <w:rPr>
        <w:rFonts w:ascii="Palatino Linotype" w:hAnsi="Palatino Linotype"/>
        <w:noProof/>
        <w:sz w:val="22"/>
        <w:szCs w:val="22"/>
        <w:lang w:val="es-ES"/>
      </w:rPr>
      <w:t>24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BC7" w:rsidRDefault="00813BC7" w:rsidP="00B11355">
      <w:r>
        <w:separator/>
      </w:r>
    </w:p>
  </w:footnote>
  <w:footnote w:type="continuationSeparator" w:id="0">
    <w:p w:rsidR="00813BC7" w:rsidRDefault="00813BC7" w:rsidP="00B1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536"/>
      <w:gridCol w:w="143"/>
    </w:tblGrid>
    <w:tr w:rsidR="007D31B7" w:rsidRPr="00EF13C1" w:rsidTr="007D31B7">
      <w:trPr>
        <w:trHeight w:val="138"/>
      </w:trPr>
      <w:tc>
        <w:tcPr>
          <w:tcW w:w="2552" w:type="dxa"/>
          <w:vAlign w:val="center"/>
        </w:tcPr>
        <w:p w:rsidR="007D31B7" w:rsidRPr="00EF13C1" w:rsidRDefault="007D31B7" w:rsidP="007D31B7">
          <w:pPr>
            <w:rPr>
              <w:rFonts w:ascii="Palatino Linotype" w:hAnsi="Palatino Linotype"/>
              <w:b/>
              <w:sz w:val="22"/>
              <w:szCs w:val="22"/>
            </w:rPr>
          </w:pPr>
          <w:r w:rsidRPr="00EF13C1">
            <w:rPr>
              <w:rFonts w:ascii="Palatino Linotype" w:hAnsi="Palatino Linotype"/>
              <w:b/>
              <w:sz w:val="22"/>
              <w:szCs w:val="22"/>
            </w:rPr>
            <w:t>Recurso de revisión:</w:t>
          </w:r>
        </w:p>
      </w:tc>
      <w:tc>
        <w:tcPr>
          <w:tcW w:w="4679" w:type="dxa"/>
          <w:gridSpan w:val="2"/>
          <w:vAlign w:val="center"/>
        </w:tcPr>
        <w:p w:rsidR="007D31B7" w:rsidRPr="00EF13C1" w:rsidRDefault="007D31B7" w:rsidP="00B11355">
          <w:pPr>
            <w:pStyle w:val="Encabezado"/>
            <w:jc w:val="right"/>
            <w:rPr>
              <w:rFonts w:ascii="Palatino Linotype" w:hAnsi="Palatino Linotype"/>
              <w:b/>
              <w:sz w:val="22"/>
              <w:szCs w:val="22"/>
            </w:rPr>
          </w:pPr>
          <w:r>
            <w:rPr>
              <w:rFonts w:ascii="Palatino Linotype" w:hAnsi="Palatino Linotype" w:cs="Arial"/>
              <w:b/>
              <w:bCs/>
              <w:sz w:val="22"/>
              <w:szCs w:val="22"/>
              <w:lang w:eastAsia="es-MX"/>
            </w:rPr>
            <w:t>04495/INFOEM/IP/RR/2019</w:t>
          </w:r>
        </w:p>
      </w:tc>
    </w:tr>
    <w:tr w:rsidR="007D31B7" w:rsidRPr="00EF13C1" w:rsidTr="007D31B7">
      <w:trPr>
        <w:gridAfter w:val="1"/>
        <w:wAfter w:w="143" w:type="dxa"/>
        <w:trHeight w:val="321"/>
      </w:trPr>
      <w:tc>
        <w:tcPr>
          <w:tcW w:w="2552" w:type="dxa"/>
          <w:vAlign w:val="center"/>
        </w:tcPr>
        <w:p w:rsidR="007D31B7" w:rsidRPr="00EF13C1" w:rsidRDefault="007D31B7" w:rsidP="007D31B7">
          <w:pPr>
            <w:rPr>
              <w:rFonts w:ascii="Palatino Linotype" w:hAnsi="Palatino Linotype"/>
              <w:b/>
              <w:sz w:val="22"/>
              <w:szCs w:val="22"/>
            </w:rPr>
          </w:pPr>
          <w:r w:rsidRPr="00EF13C1">
            <w:rPr>
              <w:rFonts w:ascii="Palatino Linotype" w:hAnsi="Palatino Linotype"/>
              <w:b/>
              <w:sz w:val="22"/>
              <w:szCs w:val="22"/>
            </w:rPr>
            <w:t>Sujeto obligado:</w:t>
          </w:r>
        </w:p>
      </w:tc>
      <w:tc>
        <w:tcPr>
          <w:tcW w:w="4536" w:type="dxa"/>
          <w:vAlign w:val="center"/>
        </w:tcPr>
        <w:p w:rsidR="007D31B7" w:rsidRPr="00EF13C1" w:rsidRDefault="007D31B7" w:rsidP="00B11355">
          <w:pPr>
            <w:pStyle w:val="Encabezado"/>
            <w:tabs>
              <w:tab w:val="clear" w:pos="4252"/>
            </w:tabs>
            <w:ind w:right="34"/>
            <w:jc w:val="right"/>
            <w:rPr>
              <w:rFonts w:ascii="Palatino Linotype" w:hAnsi="Palatino Linotype"/>
              <w:b/>
              <w:sz w:val="22"/>
              <w:szCs w:val="22"/>
            </w:rPr>
          </w:pPr>
          <w:r w:rsidRPr="00134913">
            <w:rPr>
              <w:rFonts w:ascii="Palatino Linotype" w:hAnsi="Palatino Linotype"/>
              <w:b/>
              <w:sz w:val="22"/>
              <w:szCs w:val="22"/>
            </w:rPr>
            <w:t xml:space="preserve">Ayuntamiento de </w:t>
          </w:r>
          <w:r>
            <w:rPr>
              <w:rFonts w:ascii="Palatino Linotype" w:hAnsi="Palatino Linotype"/>
              <w:b/>
              <w:sz w:val="22"/>
              <w:szCs w:val="22"/>
            </w:rPr>
            <w:t>Cuautitlán Izcalli</w:t>
          </w:r>
        </w:p>
      </w:tc>
    </w:tr>
    <w:tr w:rsidR="007D31B7" w:rsidRPr="00EF13C1" w:rsidTr="007D31B7">
      <w:trPr>
        <w:trHeight w:val="321"/>
      </w:trPr>
      <w:tc>
        <w:tcPr>
          <w:tcW w:w="2552" w:type="dxa"/>
          <w:vAlign w:val="center"/>
        </w:tcPr>
        <w:p w:rsidR="007D31B7" w:rsidRPr="00EF13C1" w:rsidRDefault="007D31B7" w:rsidP="007D31B7">
          <w:pPr>
            <w:rPr>
              <w:rFonts w:ascii="Palatino Linotype" w:hAnsi="Palatino Linotype"/>
              <w:b/>
              <w:sz w:val="22"/>
              <w:szCs w:val="22"/>
            </w:rPr>
          </w:pPr>
          <w:r w:rsidRPr="00EF13C1">
            <w:rPr>
              <w:rFonts w:ascii="Palatino Linotype" w:hAnsi="Palatino Linotype"/>
              <w:b/>
              <w:sz w:val="22"/>
              <w:szCs w:val="22"/>
            </w:rPr>
            <w:t>Comisionad</w:t>
          </w:r>
          <w:r>
            <w:rPr>
              <w:rFonts w:ascii="Palatino Linotype" w:hAnsi="Palatino Linotype"/>
              <w:b/>
              <w:sz w:val="22"/>
              <w:szCs w:val="22"/>
            </w:rPr>
            <w:t>a</w:t>
          </w:r>
          <w:r w:rsidRPr="00EF13C1">
            <w:rPr>
              <w:rFonts w:ascii="Palatino Linotype" w:hAnsi="Palatino Linotype"/>
              <w:b/>
              <w:sz w:val="22"/>
              <w:szCs w:val="22"/>
            </w:rPr>
            <w:t xml:space="preserve"> ponente:</w:t>
          </w:r>
        </w:p>
      </w:tc>
      <w:tc>
        <w:tcPr>
          <w:tcW w:w="4679" w:type="dxa"/>
          <w:gridSpan w:val="2"/>
          <w:vAlign w:val="center"/>
        </w:tcPr>
        <w:p w:rsidR="007D31B7" w:rsidRPr="00EF13C1" w:rsidRDefault="007D31B7" w:rsidP="007D31B7">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rsidR="007D31B7" w:rsidRDefault="007D31B7" w:rsidP="007D31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735" w:type="dxa"/>
      <w:tblInd w:w="84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5"/>
      <w:gridCol w:w="283"/>
      <w:gridCol w:w="4617"/>
    </w:tblGrid>
    <w:tr w:rsidR="007D31B7" w:rsidRPr="00182113" w:rsidTr="007D31B7">
      <w:trPr>
        <w:trHeight w:val="138"/>
      </w:trPr>
      <w:tc>
        <w:tcPr>
          <w:tcW w:w="2835" w:type="dxa"/>
          <w:vAlign w:val="center"/>
        </w:tcPr>
        <w:p w:rsidR="007D31B7" w:rsidRPr="00182113" w:rsidRDefault="007D31B7" w:rsidP="007D31B7">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3" w:type="dxa"/>
          <w:vAlign w:val="center"/>
        </w:tcPr>
        <w:p w:rsidR="007D31B7" w:rsidRPr="00182113" w:rsidRDefault="007D31B7" w:rsidP="007D31B7">
          <w:pPr>
            <w:pStyle w:val="Encabezado"/>
            <w:jc w:val="center"/>
            <w:rPr>
              <w:rFonts w:ascii="Palatino Linotype" w:hAnsi="Palatino Linotype"/>
              <w:b/>
              <w:sz w:val="22"/>
              <w:szCs w:val="22"/>
            </w:rPr>
          </w:pPr>
        </w:p>
      </w:tc>
      <w:tc>
        <w:tcPr>
          <w:tcW w:w="4617" w:type="dxa"/>
          <w:vAlign w:val="center"/>
        </w:tcPr>
        <w:p w:rsidR="007D31B7" w:rsidRPr="00182113" w:rsidRDefault="007D31B7" w:rsidP="00B11355">
          <w:pPr>
            <w:pStyle w:val="Encabezado"/>
            <w:jc w:val="right"/>
            <w:rPr>
              <w:rFonts w:ascii="Palatino Linotype" w:hAnsi="Palatino Linotype"/>
              <w:b/>
              <w:sz w:val="22"/>
              <w:szCs w:val="22"/>
            </w:rPr>
          </w:pPr>
          <w:r>
            <w:rPr>
              <w:rFonts w:ascii="Palatino Linotype" w:hAnsi="Palatino Linotype" w:cs="Arial"/>
              <w:b/>
              <w:bCs/>
              <w:lang w:eastAsia="es-MX"/>
            </w:rPr>
            <w:t>04495/</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7D31B7" w:rsidRPr="00182113" w:rsidTr="007D31B7">
      <w:trPr>
        <w:trHeight w:val="227"/>
      </w:trPr>
      <w:tc>
        <w:tcPr>
          <w:tcW w:w="2835" w:type="dxa"/>
          <w:vAlign w:val="center"/>
        </w:tcPr>
        <w:p w:rsidR="007D31B7" w:rsidRPr="00182113" w:rsidRDefault="007D31B7" w:rsidP="007D31B7">
          <w:pPr>
            <w:rPr>
              <w:rFonts w:ascii="Palatino Linotype" w:hAnsi="Palatino Linotype"/>
              <w:b/>
              <w:sz w:val="22"/>
              <w:szCs w:val="22"/>
            </w:rPr>
          </w:pPr>
          <w:r w:rsidRPr="00182113">
            <w:rPr>
              <w:rFonts w:ascii="Palatino Linotype" w:hAnsi="Palatino Linotype"/>
              <w:b/>
              <w:sz w:val="22"/>
              <w:szCs w:val="22"/>
            </w:rPr>
            <w:t>Recurrente:</w:t>
          </w:r>
        </w:p>
      </w:tc>
      <w:tc>
        <w:tcPr>
          <w:tcW w:w="283" w:type="dxa"/>
          <w:vAlign w:val="center"/>
        </w:tcPr>
        <w:p w:rsidR="007D31B7" w:rsidRPr="00182113" w:rsidRDefault="007D31B7" w:rsidP="007D31B7">
          <w:pPr>
            <w:pStyle w:val="Encabezado"/>
            <w:jc w:val="center"/>
            <w:rPr>
              <w:rFonts w:ascii="Palatino Linotype" w:hAnsi="Palatino Linotype"/>
              <w:b/>
              <w:sz w:val="22"/>
              <w:szCs w:val="22"/>
            </w:rPr>
          </w:pPr>
        </w:p>
      </w:tc>
      <w:tc>
        <w:tcPr>
          <w:tcW w:w="4617" w:type="dxa"/>
          <w:vAlign w:val="center"/>
        </w:tcPr>
        <w:p w:rsidR="007D31B7" w:rsidRPr="00182113" w:rsidRDefault="00E84BAA" w:rsidP="007D31B7">
          <w:pPr>
            <w:pStyle w:val="Encabezado"/>
            <w:tabs>
              <w:tab w:val="clear" w:pos="4252"/>
            </w:tabs>
            <w:ind w:right="-27"/>
            <w:jc w:val="right"/>
            <w:rPr>
              <w:rFonts w:ascii="Palatino Linotype" w:hAnsi="Palatino Linotype"/>
              <w:b/>
              <w:sz w:val="22"/>
              <w:szCs w:val="22"/>
            </w:rPr>
          </w:pPr>
          <w:r>
            <w:rPr>
              <w:rFonts w:ascii="Palatino Linotype" w:hAnsi="Palatino Linotype"/>
              <w:b/>
              <w:sz w:val="22"/>
              <w:szCs w:val="22"/>
            </w:rPr>
            <w:t>xxxxxxxxxxxxxxxxxx</w:t>
          </w:r>
        </w:p>
      </w:tc>
    </w:tr>
    <w:tr w:rsidR="007D31B7" w:rsidRPr="00182113" w:rsidTr="007D31B7">
      <w:trPr>
        <w:trHeight w:val="232"/>
      </w:trPr>
      <w:tc>
        <w:tcPr>
          <w:tcW w:w="2835" w:type="dxa"/>
          <w:vAlign w:val="center"/>
        </w:tcPr>
        <w:p w:rsidR="007D31B7" w:rsidRPr="00182113" w:rsidRDefault="007D31B7" w:rsidP="007D31B7">
          <w:pPr>
            <w:rPr>
              <w:rFonts w:ascii="Palatino Linotype" w:hAnsi="Palatino Linotype"/>
              <w:b/>
              <w:sz w:val="22"/>
              <w:szCs w:val="22"/>
            </w:rPr>
          </w:pPr>
          <w:r w:rsidRPr="00182113">
            <w:rPr>
              <w:rFonts w:ascii="Palatino Linotype" w:hAnsi="Palatino Linotype"/>
              <w:b/>
              <w:sz w:val="22"/>
              <w:szCs w:val="22"/>
            </w:rPr>
            <w:t>Sujeto obligado:</w:t>
          </w:r>
        </w:p>
      </w:tc>
      <w:tc>
        <w:tcPr>
          <w:tcW w:w="283" w:type="dxa"/>
          <w:vAlign w:val="center"/>
        </w:tcPr>
        <w:p w:rsidR="007D31B7" w:rsidRPr="00182113" w:rsidRDefault="007D31B7" w:rsidP="007D31B7">
          <w:pPr>
            <w:pStyle w:val="Encabezado"/>
            <w:jc w:val="center"/>
            <w:rPr>
              <w:rFonts w:ascii="Palatino Linotype" w:hAnsi="Palatino Linotype"/>
              <w:b/>
              <w:sz w:val="22"/>
              <w:szCs w:val="22"/>
            </w:rPr>
          </w:pPr>
        </w:p>
      </w:tc>
      <w:tc>
        <w:tcPr>
          <w:tcW w:w="4617" w:type="dxa"/>
          <w:vAlign w:val="center"/>
        </w:tcPr>
        <w:p w:rsidR="007D31B7" w:rsidRPr="00182113" w:rsidRDefault="007D31B7" w:rsidP="00B11355">
          <w:pPr>
            <w:pStyle w:val="Encabezado"/>
            <w:jc w:val="right"/>
            <w:rPr>
              <w:rFonts w:ascii="Palatino Linotype" w:hAnsi="Palatino Linotype"/>
              <w:b/>
              <w:sz w:val="22"/>
              <w:szCs w:val="22"/>
            </w:rPr>
          </w:pPr>
          <w:r w:rsidRPr="00134913">
            <w:rPr>
              <w:rFonts w:ascii="Palatino Linotype" w:hAnsi="Palatino Linotype"/>
              <w:b/>
              <w:sz w:val="22"/>
              <w:szCs w:val="22"/>
            </w:rPr>
            <w:t xml:space="preserve">Ayuntamiento de </w:t>
          </w:r>
          <w:r>
            <w:rPr>
              <w:rFonts w:ascii="Palatino Linotype" w:hAnsi="Palatino Linotype"/>
              <w:b/>
              <w:sz w:val="22"/>
              <w:szCs w:val="22"/>
            </w:rPr>
            <w:t>Cuautitlán Izcalli</w:t>
          </w:r>
        </w:p>
      </w:tc>
    </w:tr>
    <w:tr w:rsidR="007D31B7" w:rsidRPr="00182113" w:rsidTr="007D31B7">
      <w:trPr>
        <w:trHeight w:val="320"/>
      </w:trPr>
      <w:tc>
        <w:tcPr>
          <w:tcW w:w="2835" w:type="dxa"/>
          <w:vAlign w:val="center"/>
        </w:tcPr>
        <w:p w:rsidR="007D31B7" w:rsidRPr="00182113" w:rsidRDefault="007D31B7" w:rsidP="007D31B7">
          <w:pPr>
            <w:rPr>
              <w:rFonts w:ascii="Palatino Linotype" w:hAnsi="Palatino Linotype"/>
              <w:b/>
              <w:sz w:val="22"/>
              <w:szCs w:val="22"/>
            </w:rPr>
          </w:pPr>
          <w:r w:rsidRPr="00182113">
            <w:rPr>
              <w:rFonts w:ascii="Palatino Linotype" w:hAnsi="Palatino Linotype"/>
              <w:b/>
              <w:sz w:val="22"/>
              <w:szCs w:val="22"/>
            </w:rPr>
            <w:t>Comisionad</w:t>
          </w:r>
          <w:r>
            <w:rPr>
              <w:rFonts w:ascii="Palatino Linotype" w:hAnsi="Palatino Linotype"/>
              <w:b/>
              <w:sz w:val="22"/>
              <w:szCs w:val="22"/>
            </w:rPr>
            <w:t>a</w:t>
          </w:r>
          <w:r w:rsidRPr="00182113">
            <w:rPr>
              <w:rFonts w:ascii="Palatino Linotype" w:hAnsi="Palatino Linotype"/>
              <w:b/>
              <w:sz w:val="22"/>
              <w:szCs w:val="22"/>
            </w:rPr>
            <w:t xml:space="preserve"> ponente:</w:t>
          </w:r>
        </w:p>
      </w:tc>
      <w:tc>
        <w:tcPr>
          <w:tcW w:w="283" w:type="dxa"/>
          <w:vAlign w:val="center"/>
        </w:tcPr>
        <w:p w:rsidR="007D31B7" w:rsidRPr="00182113" w:rsidRDefault="007D31B7" w:rsidP="007D31B7">
          <w:pPr>
            <w:pStyle w:val="Encabezado"/>
            <w:jc w:val="center"/>
            <w:rPr>
              <w:rFonts w:ascii="Palatino Linotype" w:hAnsi="Palatino Linotype"/>
              <w:b/>
              <w:sz w:val="22"/>
              <w:szCs w:val="22"/>
            </w:rPr>
          </w:pPr>
        </w:p>
      </w:tc>
      <w:tc>
        <w:tcPr>
          <w:tcW w:w="4617" w:type="dxa"/>
          <w:vAlign w:val="center"/>
        </w:tcPr>
        <w:p w:rsidR="007D31B7" w:rsidRPr="00182113" w:rsidRDefault="007D31B7" w:rsidP="007D31B7">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rsidR="007D31B7" w:rsidRDefault="007D31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CEB"/>
    <w:multiLevelType w:val="hybridMultilevel"/>
    <w:tmpl w:val="D2080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593670"/>
    <w:multiLevelType w:val="hybridMultilevel"/>
    <w:tmpl w:val="EA9E7408"/>
    <w:lvl w:ilvl="0" w:tplc="EED87EE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209D53B2"/>
    <w:multiLevelType w:val="hybridMultilevel"/>
    <w:tmpl w:val="EA9E7408"/>
    <w:lvl w:ilvl="0" w:tplc="EED87EE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2E1F2423"/>
    <w:multiLevelType w:val="hybridMultilevel"/>
    <w:tmpl w:val="FC481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ACD0E40"/>
    <w:multiLevelType w:val="hybridMultilevel"/>
    <w:tmpl w:val="B596E4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5"/>
    <w:rsid w:val="00090383"/>
    <w:rsid w:val="000E2049"/>
    <w:rsid w:val="000E730F"/>
    <w:rsid w:val="00127B64"/>
    <w:rsid w:val="00154393"/>
    <w:rsid w:val="001C367A"/>
    <w:rsid w:val="00261D6B"/>
    <w:rsid w:val="002C76F8"/>
    <w:rsid w:val="002F3961"/>
    <w:rsid w:val="0033451F"/>
    <w:rsid w:val="004A0558"/>
    <w:rsid w:val="004A1264"/>
    <w:rsid w:val="005940D5"/>
    <w:rsid w:val="005D248D"/>
    <w:rsid w:val="007545F9"/>
    <w:rsid w:val="00796851"/>
    <w:rsid w:val="007C35BC"/>
    <w:rsid w:val="007D31B7"/>
    <w:rsid w:val="007E7CA2"/>
    <w:rsid w:val="00803B9F"/>
    <w:rsid w:val="00813BC7"/>
    <w:rsid w:val="008736A0"/>
    <w:rsid w:val="00893972"/>
    <w:rsid w:val="008B516C"/>
    <w:rsid w:val="009B1F32"/>
    <w:rsid w:val="00A7239C"/>
    <w:rsid w:val="00B11355"/>
    <w:rsid w:val="00B11A19"/>
    <w:rsid w:val="00B82C51"/>
    <w:rsid w:val="00C766AD"/>
    <w:rsid w:val="00D95623"/>
    <w:rsid w:val="00E47FB3"/>
    <w:rsid w:val="00E84BAA"/>
    <w:rsid w:val="00ED2B85"/>
    <w:rsid w:val="00F036E2"/>
    <w:rsid w:val="00F43B4A"/>
    <w:rsid w:val="00F474AF"/>
    <w:rsid w:val="00F909FB"/>
    <w:rsid w:val="00FD4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A899E69-8709-4DD5-9A49-B161FAED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355"/>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B11355"/>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B1135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135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B1135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B11355"/>
    <w:pPr>
      <w:tabs>
        <w:tab w:val="center" w:pos="4252"/>
        <w:tab w:val="right" w:pos="8504"/>
      </w:tabs>
    </w:pPr>
  </w:style>
  <w:style w:type="character" w:customStyle="1" w:styleId="EncabezadoCar">
    <w:name w:val="Encabezado Car"/>
    <w:basedOn w:val="Fuentedeprrafopredeter"/>
    <w:link w:val="Encabezado"/>
    <w:uiPriority w:val="99"/>
    <w:rsid w:val="00B11355"/>
    <w:rPr>
      <w:rFonts w:eastAsiaTheme="minorEastAsia"/>
      <w:sz w:val="24"/>
      <w:szCs w:val="24"/>
      <w:lang w:val="es-ES_tradnl" w:eastAsia="es-ES"/>
    </w:rPr>
  </w:style>
  <w:style w:type="paragraph" w:styleId="Piedepgina">
    <w:name w:val="footer"/>
    <w:basedOn w:val="Normal"/>
    <w:link w:val="PiedepginaCar"/>
    <w:uiPriority w:val="99"/>
    <w:unhideWhenUsed/>
    <w:rsid w:val="00B11355"/>
    <w:pPr>
      <w:tabs>
        <w:tab w:val="center" w:pos="4252"/>
        <w:tab w:val="right" w:pos="8504"/>
      </w:tabs>
    </w:pPr>
  </w:style>
  <w:style w:type="character" w:customStyle="1" w:styleId="PiedepginaCar">
    <w:name w:val="Pie de página Car"/>
    <w:basedOn w:val="Fuentedeprrafopredeter"/>
    <w:link w:val="Piedepgina"/>
    <w:uiPriority w:val="99"/>
    <w:rsid w:val="00B11355"/>
    <w:rPr>
      <w:rFonts w:eastAsiaTheme="minorEastAsia"/>
      <w:sz w:val="24"/>
      <w:szCs w:val="24"/>
      <w:lang w:val="es-ES_tradnl" w:eastAsia="es-ES"/>
    </w:rPr>
  </w:style>
  <w:style w:type="table" w:styleId="Tablaconcuadrcula">
    <w:name w:val="Table Grid"/>
    <w:basedOn w:val="Tablanormal"/>
    <w:uiPriority w:val="39"/>
    <w:rsid w:val="00B1135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11355"/>
    <w:pPr>
      <w:ind w:left="720"/>
      <w:contextualSpacing/>
    </w:pPr>
  </w:style>
  <w:style w:type="paragraph" w:styleId="Sinespaciado">
    <w:name w:val="No Spacing"/>
    <w:aliases w:val="Francesa"/>
    <w:link w:val="SinespaciadoCar"/>
    <w:uiPriority w:val="1"/>
    <w:qFormat/>
    <w:rsid w:val="00B11355"/>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11355"/>
    <w:rPr>
      <w:rFonts w:eastAsiaTheme="minorEastAsia"/>
      <w:sz w:val="24"/>
      <w:szCs w:val="24"/>
      <w:lang w:val="es-ES_tradnl" w:eastAsia="es-ES"/>
    </w:rPr>
  </w:style>
  <w:style w:type="character" w:styleId="Hipervnculo">
    <w:name w:val="Hyperlink"/>
    <w:basedOn w:val="Fuentedeprrafopredeter"/>
    <w:uiPriority w:val="99"/>
    <w:unhideWhenUsed/>
    <w:rsid w:val="00B11355"/>
    <w:rPr>
      <w:color w:val="0563C1" w:themeColor="hyperlink"/>
      <w:u w:val="single"/>
    </w:rPr>
  </w:style>
  <w:style w:type="paragraph" w:styleId="Textoindependiente">
    <w:name w:val="Body Text"/>
    <w:basedOn w:val="Normal"/>
    <w:link w:val="TextoindependienteCar"/>
    <w:rsid w:val="00B11355"/>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B11355"/>
    <w:rPr>
      <w:rFonts w:ascii="Arial" w:eastAsia="Times New Roman" w:hAnsi="Arial" w:cs="Times New Roman"/>
      <w:sz w:val="24"/>
      <w:szCs w:val="20"/>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11355"/>
    <w:rPr>
      <w:vertAlign w:val="superscript"/>
    </w:rPr>
  </w:style>
  <w:style w:type="table" w:customStyle="1" w:styleId="Tablaconcuadrcula1">
    <w:name w:val="Tabla con cuadrícula1"/>
    <w:basedOn w:val="Tablanormal"/>
    <w:next w:val="Tablaconcuadrcula"/>
    <w:uiPriority w:val="59"/>
    <w:rsid w:val="00B1135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B11355"/>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B11355"/>
    <w:pPr>
      <w:spacing w:after="120"/>
      <w:ind w:left="283"/>
    </w:pPr>
  </w:style>
  <w:style w:type="character" w:customStyle="1" w:styleId="SangradetextonormalCar">
    <w:name w:val="Sangría de texto normal Car"/>
    <w:basedOn w:val="Fuentedeprrafopredeter"/>
    <w:link w:val="Sangradetextonormal"/>
    <w:uiPriority w:val="99"/>
    <w:semiHidden/>
    <w:rsid w:val="00B11355"/>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B1135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1355"/>
    <w:rPr>
      <w:rFonts w:eastAsiaTheme="minorEastAsia"/>
      <w:sz w:val="24"/>
      <w:szCs w:val="24"/>
      <w:lang w:val="es-ES_tradnl" w:eastAsia="es-ES"/>
    </w:rPr>
  </w:style>
  <w:style w:type="character" w:customStyle="1" w:styleId="apple-converted-space">
    <w:name w:val="apple-converted-space"/>
    <w:basedOn w:val="Fuentedeprrafopredeter"/>
    <w:rsid w:val="00B11355"/>
  </w:style>
  <w:style w:type="paragraph" w:styleId="Textonotapie">
    <w:name w:val="footnote text"/>
    <w:basedOn w:val="Normal"/>
    <w:link w:val="TextonotapieCar"/>
    <w:uiPriority w:val="99"/>
    <w:semiHidden/>
    <w:unhideWhenUsed/>
    <w:rsid w:val="00B11355"/>
    <w:rPr>
      <w:sz w:val="20"/>
      <w:szCs w:val="20"/>
    </w:rPr>
  </w:style>
  <w:style w:type="character" w:customStyle="1" w:styleId="TextonotapieCar">
    <w:name w:val="Texto nota pie Car"/>
    <w:basedOn w:val="Fuentedeprrafopredeter"/>
    <w:link w:val="Textonotapie"/>
    <w:uiPriority w:val="99"/>
    <w:semiHidden/>
    <w:rsid w:val="00B11355"/>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18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2690-518B-4054-A386-68356AB7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7132</Words>
  <Characters>39229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dcterms:created xsi:type="dcterms:W3CDTF">2019-08-27T16:54:00Z</dcterms:created>
  <dcterms:modified xsi:type="dcterms:W3CDTF">2019-08-27T16:54:00Z</dcterms:modified>
</cp:coreProperties>
</file>