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F268C6">
      <w:pPr>
        <w:spacing w:before="240" w:after="240" w:line="360" w:lineRule="auto"/>
        <w:jc w:val="center"/>
        <w:rPr>
          <w:rFonts w:ascii="Palatino Linotype" w:hAnsi="Palatino Linotype"/>
          <w:b/>
        </w:rPr>
      </w:pPr>
      <w:r w:rsidRPr="00B73E8B">
        <w:rPr>
          <w:rFonts w:ascii="Palatino Linotype" w:hAnsi="Palatino Linotype"/>
          <w:b/>
        </w:rPr>
        <w:t>LÍNEAS ARGUMENTATIVAS</w:t>
      </w:r>
    </w:p>
    <w:p w14:paraId="133CABEE" w14:textId="77777777" w:rsidR="002A1465" w:rsidRPr="00762A67" w:rsidRDefault="002A1465" w:rsidP="002A1465">
      <w:pPr>
        <w:spacing w:before="240" w:after="240" w:line="360" w:lineRule="auto"/>
        <w:jc w:val="both"/>
        <w:rPr>
          <w:rFonts w:ascii="Palatino Linotype" w:hAnsi="Palatino Linotype"/>
          <w:sz w:val="22"/>
          <w:szCs w:val="22"/>
        </w:rPr>
      </w:pPr>
      <w:r w:rsidRPr="00762A67">
        <w:rPr>
          <w:rFonts w:ascii="Palatino Linotype" w:hAnsi="Palatino Linotype"/>
          <w:b/>
          <w:sz w:val="22"/>
          <w:szCs w:val="22"/>
        </w:rPr>
        <w:t>NEGATIVA FICTA, NO EXISTE PLAZO PERENTORIO PARA INTERPONER EL RECURSO.</w:t>
      </w:r>
      <w:r w:rsidRPr="00762A67">
        <w:rPr>
          <w:rFonts w:ascii="Palatino Linotype" w:hAnsi="Palatino Linotype"/>
          <w:sz w:val="22"/>
          <w:szCs w:val="22"/>
        </w:rPr>
        <w:t xml:space="preserve"> Tratándose de negativa ficta no existe plazo para la interposición del recurso de revisión por tratarse de una afectación continua al Derecho de Acceso a la Información Pública.</w:t>
      </w:r>
    </w:p>
    <w:p w14:paraId="199C8AE0" w14:textId="77777777" w:rsidR="002A1465" w:rsidRPr="00762A67" w:rsidRDefault="002A1465" w:rsidP="002A1465">
      <w:pPr>
        <w:spacing w:before="240" w:after="240" w:line="360" w:lineRule="auto"/>
        <w:jc w:val="both"/>
        <w:rPr>
          <w:rFonts w:ascii="Palatino Linotype" w:eastAsia="MS Mincho" w:hAnsi="Palatino Linotype" w:cs="Times New Roman"/>
          <w:sz w:val="22"/>
          <w:szCs w:val="22"/>
        </w:rPr>
      </w:pPr>
      <w:r w:rsidRPr="00762A67">
        <w:rPr>
          <w:rFonts w:ascii="Palatino Linotype" w:hAnsi="Palatino Linotype"/>
          <w:b/>
          <w:sz w:val="22"/>
          <w:szCs w:val="22"/>
        </w:rPr>
        <w:t xml:space="preserve">INFORME JUSTIFICADO, FALTA DE. </w:t>
      </w:r>
      <w:r w:rsidRPr="00762A67">
        <w:rPr>
          <w:rFonts w:ascii="Palatino Linotype" w:eastAsia="MS Mincho" w:hAnsi="Palatino Linotype" w:cs="Times New Roman"/>
          <w:sz w:val="22"/>
          <w:szCs w:val="22"/>
        </w:rPr>
        <w:t>La falta de informe justificado no impide que este Órgano Garante conozca y resuelva el recurso de revisión, solo propicia que el SUJETO OBLIGADO pierda la oportunidad de justificar su respuesta y manifestar lo que a su derecho convenga.</w:t>
      </w:r>
    </w:p>
    <w:p w14:paraId="25887CCF" w14:textId="77777777" w:rsidR="002A1465" w:rsidRPr="00762A67" w:rsidRDefault="002A1465" w:rsidP="002A1465">
      <w:pPr>
        <w:spacing w:before="240" w:after="240" w:line="360" w:lineRule="auto"/>
        <w:jc w:val="both"/>
        <w:rPr>
          <w:rFonts w:ascii="Palatino Linotype" w:eastAsia="Times New Roman" w:hAnsi="Palatino Linotype"/>
          <w:sz w:val="22"/>
          <w:szCs w:val="22"/>
        </w:rPr>
      </w:pPr>
      <w:r w:rsidRPr="00762A67">
        <w:rPr>
          <w:rFonts w:ascii="Palatino Linotype" w:eastAsia="Times New Roman" w:hAnsi="Palatino Linotype"/>
          <w:b/>
          <w:sz w:val="22"/>
          <w:szCs w:val="22"/>
        </w:rPr>
        <w:t>DEBERES DE LAS AUTORIDADES.</w:t>
      </w:r>
      <w:r w:rsidRPr="00762A67">
        <w:rPr>
          <w:rFonts w:ascii="Palatino Linotype" w:eastAsia="Times New Roman" w:hAnsi="Palatino Linotype"/>
          <w:sz w:val="22"/>
          <w:szCs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028C4FB" w14:textId="5DD46A1E" w:rsidR="002A1465" w:rsidRPr="00762A67" w:rsidRDefault="002A1465" w:rsidP="002A1465">
      <w:pPr>
        <w:spacing w:before="240" w:after="240" w:line="360" w:lineRule="auto"/>
        <w:jc w:val="both"/>
        <w:rPr>
          <w:rFonts w:ascii="Palatino Linotype" w:hAnsi="Palatino Linotype" w:cs="Arial"/>
          <w:b/>
          <w:i/>
          <w:sz w:val="22"/>
          <w:szCs w:val="22"/>
        </w:rPr>
      </w:pPr>
      <w:r w:rsidRPr="00762A67">
        <w:rPr>
          <w:rFonts w:ascii="Palatino Linotype" w:hAnsi="Palatino Linotype" w:cs="Arial"/>
          <w:b/>
          <w:sz w:val="22"/>
          <w:szCs w:val="22"/>
        </w:rPr>
        <w:t xml:space="preserve">DE LA </w:t>
      </w:r>
      <w:r w:rsidR="00C151A1" w:rsidRPr="00762A67">
        <w:rPr>
          <w:rFonts w:ascii="Palatino Linotype" w:hAnsi="Palatino Linotype" w:cs="Arial"/>
          <w:b/>
          <w:sz w:val="22"/>
          <w:szCs w:val="22"/>
        </w:rPr>
        <w:t>ELABORACIÓN</w:t>
      </w:r>
      <w:r w:rsidRPr="00762A67">
        <w:rPr>
          <w:rFonts w:ascii="Palatino Linotype" w:hAnsi="Palatino Linotype" w:cs="Arial"/>
          <w:b/>
          <w:sz w:val="22"/>
          <w:szCs w:val="22"/>
        </w:rPr>
        <w:t xml:space="preserve"> DE LAS VERSIONES PÚBLICAS</w:t>
      </w:r>
      <w:r w:rsidRPr="00762A67">
        <w:rPr>
          <w:rFonts w:ascii="Palatino Linotype" w:hAnsi="Palatino Linotype" w:cs="Arial"/>
          <w:sz w:val="22"/>
          <w:szCs w:val="22"/>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ACBB071" w14:textId="77777777" w:rsidR="002A1465" w:rsidRPr="00B73E8B" w:rsidRDefault="002A1465" w:rsidP="00F268C6">
      <w:pPr>
        <w:spacing w:before="240" w:after="240" w:line="360" w:lineRule="auto"/>
        <w:jc w:val="center"/>
        <w:rPr>
          <w:rFonts w:ascii="Palatino Linotype" w:hAnsi="Palatino Linotype"/>
          <w:b/>
        </w:rPr>
      </w:pPr>
    </w:p>
    <w:p w14:paraId="31137936" w14:textId="302D1D0F" w:rsidR="00BC61B2" w:rsidRPr="001105B5" w:rsidRDefault="00A20B1F" w:rsidP="001105B5">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105B5" w:rsidRDefault="00763298" w:rsidP="00763298">
          <w:pPr>
            <w:pStyle w:val="TtulodeTDC"/>
            <w:tabs>
              <w:tab w:val="left" w:pos="0"/>
            </w:tabs>
            <w:spacing w:before="0" w:line="360" w:lineRule="auto"/>
            <w:rPr>
              <w:szCs w:val="24"/>
            </w:rPr>
          </w:pPr>
        </w:p>
        <w:p w14:paraId="3EDDE757" w14:textId="77777777" w:rsidR="00DB6374" w:rsidRPr="00DB6374" w:rsidRDefault="00763298" w:rsidP="00C151A1">
          <w:pPr>
            <w:pStyle w:val="TDC1"/>
            <w:spacing w:line="360" w:lineRule="auto"/>
            <w:rPr>
              <w:rFonts w:ascii="Palatino Linotype" w:hAnsi="Palatino Linotype"/>
              <w:noProof/>
              <w:sz w:val="22"/>
              <w:szCs w:val="22"/>
              <w:lang w:val="es-MX" w:eastAsia="es-MX"/>
            </w:rPr>
          </w:pPr>
          <w:r w:rsidRPr="009F090D">
            <w:rPr>
              <w:rFonts w:ascii="Palatino Linotype" w:hAnsi="Palatino Linotype"/>
            </w:rPr>
            <w:fldChar w:fldCharType="begin"/>
          </w:r>
          <w:r w:rsidRPr="009F090D">
            <w:rPr>
              <w:rFonts w:ascii="Palatino Linotype" w:hAnsi="Palatino Linotype"/>
            </w:rPr>
            <w:instrText xml:space="preserve"> TOC \o "1-3" \h \z \u </w:instrText>
          </w:r>
          <w:r w:rsidRPr="009F090D">
            <w:rPr>
              <w:rFonts w:ascii="Palatino Linotype" w:hAnsi="Palatino Linotype"/>
            </w:rPr>
            <w:fldChar w:fldCharType="separate"/>
          </w:r>
          <w:hyperlink w:anchor="_Toc9511334" w:history="1">
            <w:r w:rsidR="00DB6374" w:rsidRPr="00DB6374">
              <w:rPr>
                <w:rStyle w:val="Hipervnculo"/>
                <w:rFonts w:ascii="Palatino Linotype" w:hAnsi="Palatino Linotype"/>
                <w:b/>
                <w:noProof/>
              </w:rPr>
              <w:t>ANTECEDENTES</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_Toc9511334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3</w:t>
            </w:r>
            <w:r w:rsidR="00DB6374" w:rsidRPr="00DB6374">
              <w:rPr>
                <w:rFonts w:ascii="Palatino Linotype" w:hAnsi="Palatino Linotype"/>
                <w:noProof/>
                <w:webHidden/>
              </w:rPr>
              <w:fldChar w:fldCharType="end"/>
            </w:r>
          </w:hyperlink>
        </w:p>
        <w:p w14:paraId="6200C4ED"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35" w:history="1">
            <w:r w:rsidR="00DB6374" w:rsidRPr="00DB6374">
              <w:rPr>
                <w:rStyle w:val="Hipervnculo"/>
                <w:rFonts w:ascii="Palatino Linotype" w:hAnsi="Palatino Linotype"/>
                <w:b/>
                <w:noProof/>
              </w:rPr>
              <w:t>CONSIDERANDO</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_Toc9511335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7</w:t>
            </w:r>
            <w:r w:rsidR="00DB6374" w:rsidRPr="00DB6374">
              <w:rPr>
                <w:rFonts w:ascii="Palatino Linotype" w:hAnsi="Palatino Linotype"/>
                <w:noProof/>
                <w:webHidden/>
              </w:rPr>
              <w:fldChar w:fldCharType="end"/>
            </w:r>
          </w:hyperlink>
        </w:p>
        <w:p w14:paraId="528FAD82"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36" w:history="1">
            <w:r w:rsidR="00DB6374" w:rsidRPr="00DB6374">
              <w:rPr>
                <w:rStyle w:val="Hipervnculo"/>
                <w:rFonts w:ascii="Palatino Linotype" w:hAnsi="Palatino Linotype"/>
                <w:b/>
                <w:noProof/>
              </w:rPr>
              <w:t>PRIMERO. De la competencia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_Toc9511336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7</w:t>
            </w:r>
            <w:r w:rsidR="00DB6374" w:rsidRPr="00DB6374">
              <w:rPr>
                <w:rFonts w:ascii="Palatino Linotype" w:hAnsi="Palatino Linotype"/>
                <w:noProof/>
                <w:webHidden/>
              </w:rPr>
              <w:fldChar w:fldCharType="end"/>
            </w:r>
          </w:hyperlink>
        </w:p>
        <w:p w14:paraId="6D004644"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37" w:history="1">
            <w:r w:rsidR="00DB6374" w:rsidRPr="00DB6374">
              <w:rPr>
                <w:rStyle w:val="Hipervnculo"/>
                <w:rFonts w:ascii="Palatino Linotype" w:hAnsi="Palatino Linotype"/>
                <w:b/>
                <w:noProof/>
              </w:rPr>
              <w:t>SEGUNDO. De la oportunidad y procedencia.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_Toc9511337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7</w:t>
            </w:r>
            <w:r w:rsidR="00DB6374" w:rsidRPr="00DB6374">
              <w:rPr>
                <w:rFonts w:ascii="Palatino Linotype" w:hAnsi="Palatino Linotype"/>
                <w:noProof/>
                <w:webHidden/>
              </w:rPr>
              <w:fldChar w:fldCharType="end"/>
            </w:r>
          </w:hyperlink>
        </w:p>
        <w:p w14:paraId="3E948A13"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38" w:history="1">
            <w:r w:rsidR="00DB6374" w:rsidRPr="00DB6374">
              <w:rPr>
                <w:rStyle w:val="Hipervnculo"/>
                <w:rFonts w:ascii="Palatino Linotype" w:hAnsi="Palatino Linotype"/>
                <w:b/>
                <w:noProof/>
              </w:rPr>
              <w:t>TERCERO. Previo y especial pronunciamiento.</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_Toc9511338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13</w:t>
            </w:r>
            <w:r w:rsidR="00DB6374" w:rsidRPr="00DB6374">
              <w:rPr>
                <w:rFonts w:ascii="Palatino Linotype" w:hAnsi="Palatino Linotype"/>
                <w:noProof/>
                <w:webHidden/>
              </w:rPr>
              <w:fldChar w:fldCharType="end"/>
            </w:r>
          </w:hyperlink>
        </w:p>
        <w:p w14:paraId="6381DFFB" w14:textId="77777777" w:rsidR="00DB6374" w:rsidRPr="00DB6374" w:rsidRDefault="00C750ED" w:rsidP="00C151A1">
          <w:pPr>
            <w:pStyle w:val="TDC1"/>
            <w:tabs>
              <w:tab w:val="left" w:pos="993"/>
            </w:tabs>
            <w:spacing w:line="360" w:lineRule="auto"/>
            <w:rPr>
              <w:rFonts w:ascii="Palatino Linotype" w:hAnsi="Palatino Linotype"/>
              <w:noProof/>
              <w:sz w:val="22"/>
              <w:szCs w:val="22"/>
              <w:lang w:val="es-MX" w:eastAsia="es-MX"/>
            </w:rPr>
          </w:pPr>
          <w:hyperlink w:anchor="_Toc9511339" w:history="1">
            <w:r w:rsidR="00DB6374" w:rsidRPr="00DB6374">
              <w:rPr>
                <w:rStyle w:val="Hipervnculo"/>
                <w:rFonts w:ascii="Palatino Linotype" w:eastAsia="Calibri" w:hAnsi="Palatino Linotype" w:cs="Times New Roman"/>
                <w:b/>
                <w:bCs/>
                <w:noProof/>
                <w:lang w:val="es-ES"/>
              </w:rPr>
              <w:t>I.</w:t>
            </w:r>
            <w:r w:rsidR="00DB6374" w:rsidRPr="00DB6374">
              <w:rPr>
                <w:rFonts w:ascii="Palatino Linotype" w:hAnsi="Palatino Linotype"/>
                <w:noProof/>
                <w:sz w:val="22"/>
                <w:szCs w:val="22"/>
                <w:lang w:val="es-MX" w:eastAsia="es-MX"/>
              </w:rPr>
              <w:tab/>
            </w:r>
            <w:r w:rsidR="00DB6374" w:rsidRPr="00DB6374">
              <w:rPr>
                <w:rStyle w:val="Hipervnculo"/>
                <w:rFonts w:ascii="Palatino Linotype" w:eastAsia="Calibri" w:hAnsi="Palatino Linotype" w:cs="Times New Roman"/>
                <w:b/>
                <w:bCs/>
                <w:noProof/>
                <w:lang w:val="es-ES"/>
              </w:rPr>
              <w:t>La falta de informe justificado.</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_Toc9511339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13</w:t>
            </w:r>
            <w:r w:rsidR="00DB6374" w:rsidRPr="00DB6374">
              <w:rPr>
                <w:rFonts w:ascii="Palatino Linotype" w:hAnsi="Palatino Linotype"/>
                <w:noProof/>
                <w:webHidden/>
              </w:rPr>
              <w:fldChar w:fldCharType="end"/>
            </w:r>
          </w:hyperlink>
        </w:p>
        <w:p w14:paraId="087A7B4D"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40" w:history="1">
            <w:r w:rsidR="00DB6374" w:rsidRPr="00DB6374">
              <w:rPr>
                <w:rStyle w:val="Hipervnculo"/>
                <w:rFonts w:ascii="Palatino Linotype" w:hAnsi="Palatino Linotype"/>
                <w:b/>
                <w:noProof/>
              </w:rPr>
              <w:t xml:space="preserve">CUARTO. </w:t>
            </w:r>
            <w:r w:rsidR="00DB6374" w:rsidRPr="00DB6374">
              <w:rPr>
                <w:rStyle w:val="Hipervnculo"/>
                <w:rFonts w:ascii="Palatino Linotype" w:eastAsia="Calibri" w:hAnsi="Palatino Linotype" w:cs="Times New Roman"/>
                <w:b/>
                <w:bCs/>
                <w:noProof/>
                <w:lang w:val="es-ES"/>
              </w:rPr>
              <w:t>Del planteamiento de la litis.</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_Toc9511340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14</w:t>
            </w:r>
            <w:r w:rsidR="00DB6374" w:rsidRPr="00DB6374">
              <w:rPr>
                <w:rFonts w:ascii="Palatino Linotype" w:hAnsi="Palatino Linotype"/>
                <w:noProof/>
                <w:webHidden/>
              </w:rPr>
              <w:fldChar w:fldCharType="end"/>
            </w:r>
          </w:hyperlink>
        </w:p>
        <w:p w14:paraId="5DD8E7A7"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41" w:history="1">
            <w:r w:rsidR="00DB6374" w:rsidRPr="00DB6374">
              <w:rPr>
                <w:rStyle w:val="Hipervnculo"/>
                <w:rFonts w:ascii="Palatino Linotype" w:eastAsia="Calibri" w:hAnsi="Palatino Linotype" w:cs="Times New Roman"/>
                <w:b/>
                <w:bCs/>
                <w:noProof/>
                <w:lang w:val="es-ES"/>
              </w:rPr>
              <w:t xml:space="preserve">QUINTO. </w:t>
            </w:r>
            <w:r w:rsidR="00DB6374" w:rsidRPr="00DB6374">
              <w:rPr>
                <w:rStyle w:val="Hipervnculo"/>
                <w:rFonts w:ascii="Palatino Linotype" w:eastAsia="MS Gothic" w:hAnsi="Palatino Linotype" w:cs="Times New Roman"/>
                <w:b/>
                <w:noProof/>
              </w:rPr>
              <w:t>Del estudio y resolución del asunto.</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_Toc9511341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15</w:t>
            </w:r>
            <w:r w:rsidR="00DB6374" w:rsidRPr="00DB6374">
              <w:rPr>
                <w:rFonts w:ascii="Palatino Linotype" w:hAnsi="Palatino Linotype"/>
                <w:noProof/>
                <w:webHidden/>
              </w:rPr>
              <w:fldChar w:fldCharType="end"/>
            </w:r>
          </w:hyperlink>
        </w:p>
        <w:p w14:paraId="653BD1B9" w14:textId="77777777" w:rsidR="00DB6374" w:rsidRPr="00DB6374" w:rsidRDefault="00C750ED" w:rsidP="00C151A1">
          <w:pPr>
            <w:pStyle w:val="TDC1"/>
            <w:tabs>
              <w:tab w:val="left" w:pos="993"/>
            </w:tabs>
            <w:spacing w:line="360" w:lineRule="auto"/>
            <w:rPr>
              <w:rFonts w:ascii="Palatino Linotype" w:hAnsi="Palatino Linotype"/>
              <w:noProof/>
              <w:sz w:val="22"/>
              <w:szCs w:val="22"/>
              <w:lang w:val="es-MX" w:eastAsia="es-MX"/>
            </w:rPr>
          </w:pPr>
          <w:hyperlink w:anchor="_Toc9511342" w:history="1">
            <w:r w:rsidR="00DB6374" w:rsidRPr="00DB6374">
              <w:rPr>
                <w:rStyle w:val="Hipervnculo"/>
                <w:rFonts w:ascii="Palatino Linotype" w:hAnsi="Palatino Linotype"/>
                <w:b/>
                <w:noProof/>
              </w:rPr>
              <w:t>I.</w:t>
            </w:r>
            <w:r w:rsidR="00DB6374" w:rsidRPr="00DB6374">
              <w:rPr>
                <w:rFonts w:ascii="Palatino Linotype" w:hAnsi="Palatino Linotype"/>
                <w:noProof/>
                <w:sz w:val="22"/>
                <w:szCs w:val="22"/>
                <w:lang w:val="es-MX" w:eastAsia="es-MX"/>
              </w:rPr>
              <w:tab/>
            </w:r>
            <w:r w:rsidR="00DB6374" w:rsidRPr="00DB6374">
              <w:rPr>
                <w:rStyle w:val="Hipervnculo"/>
                <w:rFonts w:ascii="Palatino Linotype" w:hAnsi="Palatino Linotype"/>
                <w:b/>
                <w:noProof/>
              </w:rPr>
              <w:t>Del deber de las autoridades de promover, respetar, proteger y garantizar el derecho de acceso a la información pública.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_Toc9511342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15</w:t>
            </w:r>
            <w:r w:rsidR="00DB6374" w:rsidRPr="00DB6374">
              <w:rPr>
                <w:rFonts w:ascii="Palatino Linotype" w:hAnsi="Palatino Linotype"/>
                <w:noProof/>
                <w:webHidden/>
              </w:rPr>
              <w:fldChar w:fldCharType="end"/>
            </w:r>
          </w:hyperlink>
        </w:p>
        <w:p w14:paraId="42E9A12A" w14:textId="77777777" w:rsidR="00DB6374" w:rsidRPr="00DB6374" w:rsidRDefault="00C750ED" w:rsidP="00C151A1">
          <w:pPr>
            <w:pStyle w:val="TDC3"/>
            <w:tabs>
              <w:tab w:val="left" w:pos="993"/>
              <w:tab w:val="right" w:leader="dot" w:pos="8828"/>
            </w:tabs>
            <w:spacing w:line="360" w:lineRule="auto"/>
            <w:rPr>
              <w:rFonts w:ascii="Palatino Linotype" w:hAnsi="Palatino Linotype"/>
              <w:noProof/>
              <w:sz w:val="22"/>
              <w:szCs w:val="22"/>
              <w:lang w:val="es-MX" w:eastAsia="es-MX"/>
            </w:rPr>
          </w:pPr>
          <w:hyperlink w:anchor="_Toc9511343" w:history="1">
            <w:r w:rsidR="00DB6374" w:rsidRPr="00DB6374">
              <w:rPr>
                <w:rStyle w:val="Hipervnculo"/>
                <w:rFonts w:ascii="Palatino Linotype" w:hAnsi="Palatino Linotype"/>
                <w:b/>
                <w:noProof/>
              </w:rPr>
              <w:t>II.</w:t>
            </w:r>
            <w:r w:rsidR="00DB6374" w:rsidRPr="00DB6374">
              <w:rPr>
                <w:rFonts w:ascii="Palatino Linotype" w:hAnsi="Palatino Linotype"/>
                <w:noProof/>
                <w:sz w:val="22"/>
                <w:szCs w:val="22"/>
                <w:lang w:val="es-MX" w:eastAsia="es-MX"/>
              </w:rPr>
              <w:tab/>
            </w:r>
            <w:r w:rsidR="00DB6374" w:rsidRPr="00DB6374">
              <w:rPr>
                <w:rStyle w:val="Hipervnculo"/>
                <w:rFonts w:ascii="Palatino Linotype" w:hAnsi="Palatino Linotype"/>
                <w:b/>
                <w:noProof/>
              </w:rPr>
              <w:t>De la naturaleza jurídica de la información solicitada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_Toc9511343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18</w:t>
            </w:r>
            <w:r w:rsidR="00DB6374" w:rsidRPr="00DB6374">
              <w:rPr>
                <w:rFonts w:ascii="Palatino Linotype" w:hAnsi="Palatino Linotype"/>
                <w:noProof/>
                <w:webHidden/>
              </w:rPr>
              <w:fldChar w:fldCharType="end"/>
            </w:r>
          </w:hyperlink>
        </w:p>
        <w:p w14:paraId="17D8A4DF"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44" w:history="1">
            <w:r w:rsidR="00DB6374" w:rsidRPr="00DB6374">
              <w:rPr>
                <w:rStyle w:val="Hipervnculo"/>
                <w:rFonts w:ascii="Palatino Linotype" w:hAnsi="Palatino Linotype"/>
                <w:b/>
                <w:noProof/>
              </w:rPr>
              <w:t>SEXTO. De la Versión Pública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_Toc9511344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33</w:t>
            </w:r>
            <w:r w:rsidR="00DB6374" w:rsidRPr="00DB6374">
              <w:rPr>
                <w:rFonts w:ascii="Palatino Linotype" w:hAnsi="Palatino Linotype"/>
                <w:noProof/>
                <w:webHidden/>
              </w:rPr>
              <w:fldChar w:fldCharType="end"/>
            </w:r>
          </w:hyperlink>
        </w:p>
        <w:p w14:paraId="6D39C5F7" w14:textId="77777777" w:rsidR="00DB6374" w:rsidRPr="00DB6374" w:rsidRDefault="00C750ED" w:rsidP="00C151A1">
          <w:pPr>
            <w:pStyle w:val="TDC3"/>
            <w:tabs>
              <w:tab w:val="left" w:pos="993"/>
              <w:tab w:val="right" w:leader="dot" w:pos="8828"/>
            </w:tabs>
            <w:spacing w:line="360" w:lineRule="auto"/>
            <w:rPr>
              <w:rFonts w:ascii="Palatino Linotype" w:hAnsi="Palatino Linotype"/>
              <w:noProof/>
              <w:sz w:val="22"/>
              <w:szCs w:val="22"/>
              <w:lang w:val="es-MX" w:eastAsia="es-MX"/>
            </w:rPr>
          </w:pPr>
          <w:hyperlink w:anchor="_Toc9511345" w:history="1">
            <w:r w:rsidR="00DB6374" w:rsidRPr="00DB6374">
              <w:rPr>
                <w:rStyle w:val="Hipervnculo"/>
                <w:rFonts w:ascii="Palatino Linotype" w:hAnsi="Palatino Linotype"/>
                <w:b/>
                <w:noProof/>
              </w:rPr>
              <w:t>a.</w:t>
            </w:r>
            <w:r w:rsidR="00DB6374" w:rsidRPr="00DB6374">
              <w:rPr>
                <w:rFonts w:ascii="Palatino Linotype" w:hAnsi="Palatino Linotype"/>
                <w:noProof/>
                <w:sz w:val="22"/>
                <w:szCs w:val="22"/>
                <w:lang w:val="es-MX" w:eastAsia="es-MX"/>
              </w:rPr>
              <w:tab/>
            </w:r>
            <w:r w:rsidR="00DB6374" w:rsidRPr="00DB6374">
              <w:rPr>
                <w:rStyle w:val="Hipervnculo"/>
                <w:rFonts w:ascii="Palatino Linotype" w:hAnsi="Palatino Linotype"/>
                <w:b/>
                <w:noProof/>
              </w:rPr>
              <w:t>Requisitos previos.</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_Toc9511345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33</w:t>
            </w:r>
            <w:r w:rsidR="00DB6374" w:rsidRPr="00DB6374">
              <w:rPr>
                <w:rFonts w:ascii="Palatino Linotype" w:hAnsi="Palatino Linotype"/>
                <w:noProof/>
                <w:webHidden/>
              </w:rPr>
              <w:fldChar w:fldCharType="end"/>
            </w:r>
          </w:hyperlink>
        </w:p>
        <w:p w14:paraId="5C6C9575" w14:textId="77777777" w:rsidR="00DB6374" w:rsidRPr="00DB6374" w:rsidRDefault="00C750ED" w:rsidP="00C151A1">
          <w:pPr>
            <w:pStyle w:val="TDC3"/>
            <w:tabs>
              <w:tab w:val="left" w:pos="993"/>
              <w:tab w:val="right" w:leader="dot" w:pos="8828"/>
            </w:tabs>
            <w:spacing w:line="360" w:lineRule="auto"/>
            <w:rPr>
              <w:rFonts w:ascii="Palatino Linotype" w:hAnsi="Palatino Linotype"/>
              <w:noProof/>
              <w:sz w:val="22"/>
              <w:szCs w:val="22"/>
              <w:lang w:val="es-MX" w:eastAsia="es-MX"/>
            </w:rPr>
          </w:pPr>
          <w:hyperlink w:anchor="_Toc9511346" w:history="1">
            <w:r w:rsidR="00DB6374" w:rsidRPr="00DB6374">
              <w:rPr>
                <w:rStyle w:val="Hipervnculo"/>
                <w:rFonts w:ascii="Palatino Linotype" w:hAnsi="Palatino Linotype"/>
                <w:b/>
                <w:noProof/>
              </w:rPr>
              <w:t>b.</w:t>
            </w:r>
            <w:r w:rsidR="00DB6374" w:rsidRPr="00DB6374">
              <w:rPr>
                <w:rFonts w:ascii="Palatino Linotype" w:hAnsi="Palatino Linotype"/>
                <w:noProof/>
                <w:sz w:val="22"/>
                <w:szCs w:val="22"/>
                <w:lang w:val="es-MX" w:eastAsia="es-MX"/>
              </w:rPr>
              <w:tab/>
            </w:r>
            <w:r w:rsidR="00DB6374" w:rsidRPr="00DB6374">
              <w:rPr>
                <w:rStyle w:val="Hipervnculo"/>
                <w:rFonts w:ascii="Palatino Linotype" w:hAnsi="Palatino Linotype"/>
                <w:b/>
                <w:noProof/>
              </w:rPr>
              <w:t>Supuesto de clasificación.</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_Toc9511346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34</w:t>
            </w:r>
            <w:r w:rsidR="00DB6374" w:rsidRPr="00DB6374">
              <w:rPr>
                <w:rFonts w:ascii="Palatino Linotype" w:hAnsi="Palatino Linotype"/>
                <w:noProof/>
                <w:webHidden/>
              </w:rPr>
              <w:fldChar w:fldCharType="end"/>
            </w:r>
          </w:hyperlink>
        </w:p>
        <w:p w14:paraId="4CAE85BD" w14:textId="77777777" w:rsidR="00DB6374" w:rsidRPr="00DB6374" w:rsidRDefault="00C750ED" w:rsidP="00C151A1">
          <w:pPr>
            <w:pStyle w:val="TDC3"/>
            <w:tabs>
              <w:tab w:val="left" w:pos="993"/>
              <w:tab w:val="right" w:leader="dot" w:pos="8828"/>
            </w:tabs>
            <w:spacing w:line="360" w:lineRule="auto"/>
            <w:rPr>
              <w:rFonts w:ascii="Palatino Linotype" w:hAnsi="Palatino Linotype"/>
              <w:noProof/>
              <w:sz w:val="22"/>
              <w:szCs w:val="22"/>
              <w:lang w:val="es-MX" w:eastAsia="es-MX"/>
            </w:rPr>
          </w:pPr>
          <w:hyperlink w:anchor="_Toc9511347" w:history="1">
            <w:r w:rsidR="00DB6374" w:rsidRPr="00DB6374">
              <w:rPr>
                <w:rStyle w:val="Hipervnculo"/>
                <w:rFonts w:ascii="Palatino Linotype" w:hAnsi="Palatino Linotype"/>
                <w:b/>
                <w:noProof/>
              </w:rPr>
              <w:t>c.</w:t>
            </w:r>
            <w:r w:rsidR="00DB6374" w:rsidRPr="00DB6374">
              <w:rPr>
                <w:rFonts w:ascii="Palatino Linotype" w:hAnsi="Palatino Linotype"/>
                <w:noProof/>
                <w:sz w:val="22"/>
                <w:szCs w:val="22"/>
                <w:lang w:val="es-MX" w:eastAsia="es-MX"/>
              </w:rPr>
              <w:tab/>
            </w:r>
            <w:r w:rsidR="00DB6374" w:rsidRPr="00DB6374">
              <w:rPr>
                <w:rStyle w:val="Hipervnculo"/>
                <w:rFonts w:ascii="Palatino Linotype" w:hAnsi="Palatino Linotype"/>
                <w:b/>
                <w:noProof/>
              </w:rPr>
              <w:t>La intervención del Comité de Transparencia.</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_Toc9511347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38</w:t>
            </w:r>
            <w:r w:rsidR="00DB6374" w:rsidRPr="00DB6374">
              <w:rPr>
                <w:rFonts w:ascii="Palatino Linotype" w:hAnsi="Palatino Linotype"/>
                <w:noProof/>
                <w:webHidden/>
              </w:rPr>
              <w:fldChar w:fldCharType="end"/>
            </w:r>
          </w:hyperlink>
        </w:p>
        <w:p w14:paraId="5E4D9480" w14:textId="77777777" w:rsidR="00DB6374" w:rsidRPr="00DB6374" w:rsidRDefault="00C750ED" w:rsidP="00C151A1">
          <w:pPr>
            <w:pStyle w:val="TDC1"/>
            <w:spacing w:line="360" w:lineRule="auto"/>
            <w:rPr>
              <w:rFonts w:ascii="Palatino Linotype" w:hAnsi="Palatino Linotype"/>
              <w:noProof/>
              <w:sz w:val="22"/>
              <w:szCs w:val="22"/>
              <w:lang w:val="es-MX" w:eastAsia="es-MX"/>
            </w:rPr>
          </w:pPr>
          <w:hyperlink w:anchor="_Toc9511348" w:history="1">
            <w:r w:rsidR="00DB6374" w:rsidRPr="00DB6374">
              <w:rPr>
                <w:rStyle w:val="Hipervnculo"/>
                <w:rFonts w:ascii="Palatino Linotype" w:hAnsi="Palatino Linotype"/>
                <w:b/>
                <w:noProof/>
              </w:rPr>
              <w:t>SÉPTIMO. Vista al órgano de control interno</w:t>
            </w:r>
            <w:r w:rsidR="00DB6374" w:rsidRPr="00DB6374">
              <w:rPr>
                <w:rStyle w:val="Hipervnculo"/>
                <w:rFonts w:ascii="Palatino Linotype" w:eastAsia="Calibri" w:hAnsi="Palatino Linotype" w:cs="Times New Roman"/>
                <w:b/>
                <w:bCs/>
                <w:noProof/>
                <w:lang w:val="es-ES"/>
              </w:rPr>
              <w:t>.</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_Toc9511348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44</w:t>
            </w:r>
            <w:r w:rsidR="00DB6374" w:rsidRPr="00DB6374">
              <w:rPr>
                <w:rFonts w:ascii="Palatino Linotype" w:hAnsi="Palatino Linotype"/>
                <w:noProof/>
                <w:webHidden/>
              </w:rPr>
              <w:fldChar w:fldCharType="end"/>
            </w:r>
          </w:hyperlink>
        </w:p>
        <w:p w14:paraId="6146E178" w14:textId="77777777" w:rsidR="00DB6374" w:rsidRDefault="00C750ED" w:rsidP="00C151A1">
          <w:pPr>
            <w:pStyle w:val="TDC1"/>
            <w:spacing w:line="360" w:lineRule="auto"/>
            <w:rPr>
              <w:noProof/>
              <w:sz w:val="22"/>
              <w:szCs w:val="22"/>
              <w:lang w:val="es-MX" w:eastAsia="es-MX"/>
            </w:rPr>
          </w:pPr>
          <w:hyperlink w:anchor="_Toc9511349" w:history="1">
            <w:r w:rsidR="00DB6374" w:rsidRPr="00DB6374">
              <w:rPr>
                <w:rStyle w:val="Hipervnculo"/>
                <w:rFonts w:ascii="Palatino Linotype" w:eastAsia="Calibri" w:hAnsi="Palatino Linotype"/>
                <w:b/>
                <w:noProof/>
                <w:lang w:val="es-ES"/>
              </w:rPr>
              <w:t>R E S O L U T I V O S</w:t>
            </w:r>
            <w:r w:rsidR="00DB6374" w:rsidRPr="00DB6374">
              <w:rPr>
                <w:rFonts w:ascii="Palatino Linotype" w:hAnsi="Palatino Linotype"/>
                <w:noProof/>
                <w:webHidden/>
              </w:rPr>
              <w:tab/>
            </w:r>
            <w:r w:rsidR="00DB6374" w:rsidRPr="00DB6374">
              <w:rPr>
                <w:rFonts w:ascii="Palatino Linotype" w:hAnsi="Palatino Linotype"/>
                <w:noProof/>
                <w:webHidden/>
              </w:rPr>
              <w:fldChar w:fldCharType="begin"/>
            </w:r>
            <w:r w:rsidR="00DB6374" w:rsidRPr="00DB6374">
              <w:rPr>
                <w:rFonts w:ascii="Palatino Linotype" w:hAnsi="Palatino Linotype"/>
                <w:noProof/>
                <w:webHidden/>
              </w:rPr>
              <w:instrText xml:space="preserve"> PAGEREF _Toc9511349 \h </w:instrText>
            </w:r>
            <w:r w:rsidR="00DB6374" w:rsidRPr="00DB6374">
              <w:rPr>
                <w:rFonts w:ascii="Palatino Linotype" w:hAnsi="Palatino Linotype"/>
                <w:noProof/>
                <w:webHidden/>
              </w:rPr>
            </w:r>
            <w:r w:rsidR="00DB6374" w:rsidRPr="00DB6374">
              <w:rPr>
                <w:rFonts w:ascii="Palatino Linotype" w:hAnsi="Palatino Linotype"/>
                <w:noProof/>
                <w:webHidden/>
              </w:rPr>
              <w:fldChar w:fldCharType="separate"/>
            </w:r>
            <w:r w:rsidR="00C577B8">
              <w:rPr>
                <w:rFonts w:ascii="Palatino Linotype" w:hAnsi="Palatino Linotype"/>
                <w:noProof/>
                <w:webHidden/>
              </w:rPr>
              <w:t>47</w:t>
            </w:r>
            <w:r w:rsidR="00DB6374" w:rsidRPr="00DB6374">
              <w:rPr>
                <w:rFonts w:ascii="Palatino Linotype" w:hAnsi="Palatino Linotype"/>
                <w:noProof/>
                <w:webHidden/>
              </w:rPr>
              <w:fldChar w:fldCharType="end"/>
            </w:r>
          </w:hyperlink>
        </w:p>
        <w:p w14:paraId="1E9D7E1E" w14:textId="77777777" w:rsidR="00763298" w:rsidRPr="009F090D" w:rsidRDefault="00763298" w:rsidP="00C151A1">
          <w:pPr>
            <w:tabs>
              <w:tab w:val="left" w:pos="0"/>
            </w:tabs>
            <w:spacing w:line="360" w:lineRule="auto"/>
            <w:rPr>
              <w:rFonts w:ascii="Palatino Linotype" w:hAnsi="Palatino Linotype"/>
            </w:rPr>
          </w:pPr>
          <w:r w:rsidRPr="009F090D">
            <w:rPr>
              <w:rFonts w:ascii="Palatino Linotype" w:hAnsi="Palatino Linotype"/>
              <w:b/>
              <w:bCs/>
            </w:rPr>
            <w:fldChar w:fldCharType="end"/>
          </w:r>
        </w:p>
      </w:sdtContent>
    </w:sdt>
    <w:p w14:paraId="73F7F940" w14:textId="08451453"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w:t>
      </w:r>
      <w:r w:rsidR="00662C69" w:rsidRPr="00C151A1">
        <w:rPr>
          <w:rFonts w:ascii="Palatino Linotype" w:hAnsi="Palatino Linotype"/>
        </w:rPr>
        <w:t>lución del Pleno del Instituto de Transparencia, Acceso a la Información Pública y Protección de Datos Personales del Estado de México y Mun</w:t>
      </w:r>
      <w:r w:rsidR="000D5A1D" w:rsidRPr="00C151A1">
        <w:rPr>
          <w:rFonts w:ascii="Palatino Linotype" w:hAnsi="Palatino Linotype"/>
        </w:rPr>
        <w:t>icipios, con</w:t>
      </w:r>
      <w:r w:rsidR="00662C69" w:rsidRPr="00C151A1">
        <w:rPr>
          <w:rFonts w:ascii="Palatino Linotype" w:hAnsi="Palatino Linotype"/>
        </w:rPr>
        <w:t xml:space="preserve"> </w:t>
      </w:r>
      <w:r w:rsidR="00485DB6" w:rsidRPr="00C151A1">
        <w:rPr>
          <w:rFonts w:ascii="Palatino Linotype" w:hAnsi="Palatino Linotype"/>
        </w:rPr>
        <w:t xml:space="preserve">domicilio </w:t>
      </w:r>
      <w:r w:rsidR="00662C69" w:rsidRPr="00C151A1">
        <w:rPr>
          <w:rFonts w:ascii="Palatino Linotype" w:hAnsi="Palatino Linotype"/>
        </w:rPr>
        <w:t xml:space="preserve">en Metepec, Estado de México; de </w:t>
      </w:r>
      <w:r w:rsidR="00CC0C54" w:rsidRPr="00C151A1">
        <w:rPr>
          <w:rFonts w:ascii="Palatino Linotype" w:hAnsi="Palatino Linotype"/>
        </w:rPr>
        <w:t>fecha veintinueve</w:t>
      </w:r>
      <w:r w:rsidR="006B149F" w:rsidRPr="00C151A1">
        <w:rPr>
          <w:rFonts w:ascii="Palatino Linotype" w:hAnsi="Palatino Linotype"/>
        </w:rPr>
        <w:t xml:space="preserve"> (</w:t>
      </w:r>
      <w:r w:rsidR="00CC0C54" w:rsidRPr="00C151A1">
        <w:rPr>
          <w:rFonts w:ascii="Palatino Linotype" w:hAnsi="Palatino Linotype"/>
        </w:rPr>
        <w:t>29</w:t>
      </w:r>
      <w:r w:rsidR="006B149F" w:rsidRPr="00C151A1">
        <w:rPr>
          <w:rFonts w:ascii="Palatino Linotype" w:hAnsi="Palatino Linotype"/>
        </w:rPr>
        <w:t xml:space="preserve">) de </w:t>
      </w:r>
      <w:r w:rsidR="00103D24" w:rsidRPr="00C151A1">
        <w:rPr>
          <w:rFonts w:ascii="Palatino Linotype" w:hAnsi="Palatino Linotype"/>
        </w:rPr>
        <w:t>ma</w:t>
      </w:r>
      <w:r w:rsidR="00A40FFB" w:rsidRPr="00C151A1">
        <w:rPr>
          <w:rFonts w:ascii="Palatino Linotype" w:hAnsi="Palatino Linotype"/>
        </w:rPr>
        <w:t>yo</w:t>
      </w:r>
      <w:r w:rsidR="00F268C6" w:rsidRPr="00C151A1">
        <w:rPr>
          <w:rFonts w:ascii="Palatino Linotype" w:hAnsi="Palatino Linotype"/>
        </w:rPr>
        <w:t xml:space="preserve"> </w:t>
      </w:r>
      <w:r w:rsidR="00B414A7" w:rsidRPr="00C151A1">
        <w:rPr>
          <w:rFonts w:ascii="Palatino Linotype" w:hAnsi="Palatino Linotype"/>
        </w:rPr>
        <w:t>de dos mil diecinueve</w:t>
      </w:r>
      <w:r w:rsidR="00662C69" w:rsidRPr="00C151A1">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0FE957E3" w:rsidR="00662C69" w:rsidRPr="001105B5" w:rsidRDefault="00662C69" w:rsidP="001105B5">
      <w:pPr>
        <w:tabs>
          <w:tab w:val="left" w:pos="0"/>
        </w:tabs>
        <w:spacing w:line="360" w:lineRule="auto"/>
        <w:jc w:val="both"/>
        <w:rPr>
          <w:rFonts w:ascii="Palatino Linotype" w:hAnsi="Palatino Linotype"/>
        </w:rPr>
      </w:pPr>
      <w:r w:rsidRPr="001105B5">
        <w:rPr>
          <w:rFonts w:ascii="Palatino Linotype" w:hAnsi="Palatino Linotype"/>
          <w:b/>
        </w:rPr>
        <w:t>VISTO</w:t>
      </w:r>
      <w:r w:rsidRPr="001105B5">
        <w:rPr>
          <w:rFonts w:ascii="Palatino Linotype" w:hAnsi="Palatino Linotype"/>
        </w:rPr>
        <w:t xml:space="preserve"> el expediente electrónico for</w:t>
      </w:r>
      <w:r w:rsidR="00D37494" w:rsidRPr="001105B5">
        <w:rPr>
          <w:rFonts w:ascii="Palatino Linotype" w:hAnsi="Palatino Linotype"/>
        </w:rPr>
        <w:t>mado con motivo del</w:t>
      </w:r>
      <w:r w:rsidRPr="001105B5">
        <w:rPr>
          <w:rFonts w:ascii="Palatino Linotype" w:hAnsi="Palatino Linotype"/>
        </w:rPr>
        <w:t xml:space="preserve"> recurso de revisión </w:t>
      </w:r>
      <w:r w:rsidR="00F0190C" w:rsidRPr="000B5657">
        <w:rPr>
          <w:rFonts w:ascii="Palatino Linotype" w:hAnsi="Palatino Linotype"/>
          <w:b/>
          <w:bCs/>
        </w:rPr>
        <w:t>0</w:t>
      </w:r>
      <w:r w:rsidR="00821CED">
        <w:rPr>
          <w:rFonts w:ascii="Palatino Linotype" w:hAnsi="Palatino Linotype"/>
          <w:b/>
          <w:bCs/>
        </w:rPr>
        <w:t>1</w:t>
      </w:r>
      <w:r w:rsidR="00CC0C54">
        <w:rPr>
          <w:rFonts w:ascii="Palatino Linotype" w:hAnsi="Palatino Linotype"/>
          <w:b/>
          <w:bCs/>
        </w:rPr>
        <w:t>548</w:t>
      </w:r>
      <w:r w:rsidR="00F0190C" w:rsidRPr="000B5657">
        <w:rPr>
          <w:rFonts w:ascii="Palatino Linotype" w:hAnsi="Palatino Linotype"/>
          <w:b/>
          <w:bCs/>
        </w:rPr>
        <w:t>/INFOEM/IP/RR/201</w:t>
      </w:r>
      <w:r w:rsidR="002A1465">
        <w:rPr>
          <w:rFonts w:ascii="Palatino Linotype" w:hAnsi="Palatino Linotype"/>
          <w:b/>
          <w:bCs/>
        </w:rPr>
        <w:t>9</w:t>
      </w:r>
      <w:r w:rsidR="003E4A5C">
        <w:rPr>
          <w:rFonts w:ascii="Palatino Linotype" w:hAnsi="Palatino Linotype"/>
          <w:b/>
        </w:rPr>
        <w:t xml:space="preserve"> </w:t>
      </w:r>
      <w:r w:rsidRPr="001105B5">
        <w:rPr>
          <w:rFonts w:ascii="Palatino Linotype" w:hAnsi="Palatino Linotype"/>
        </w:rPr>
        <w:t xml:space="preserve">promovido por </w:t>
      </w:r>
      <w:r w:rsidR="00C750ED" w:rsidRPr="00C750ED">
        <w:rPr>
          <w:rFonts w:ascii="Palatino Linotype" w:hAnsi="Palatino Linotype"/>
          <w:b/>
          <w:highlight w:val="black"/>
        </w:rPr>
        <w:t>-----------------------------</w:t>
      </w:r>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843908" w:rsidRPr="001105B5">
        <w:rPr>
          <w:rFonts w:ascii="Palatino Linotype" w:hAnsi="Palatino Linotype" w:cs="Arial"/>
        </w:rPr>
        <w:t xml:space="preserve">la </w:t>
      </w:r>
      <w:r w:rsidR="002A1465">
        <w:rPr>
          <w:rFonts w:ascii="Palatino Linotype" w:hAnsi="Palatino Linotype" w:cs="Arial"/>
        </w:rPr>
        <w:t xml:space="preserve">falta de </w:t>
      </w:r>
      <w:r w:rsidR="00843908" w:rsidRPr="001105B5">
        <w:rPr>
          <w:rFonts w:ascii="Palatino Linotype" w:hAnsi="Palatino Linotype" w:cs="Arial"/>
        </w:rPr>
        <w:t>respuesta del</w:t>
      </w:r>
      <w:r w:rsidR="00ED007B" w:rsidRPr="001105B5">
        <w:rPr>
          <w:rFonts w:ascii="Palatino Linotype" w:hAnsi="Palatino Linotype" w:cs="Arial"/>
        </w:rPr>
        <w:t xml:space="preserve"> </w:t>
      </w:r>
      <w:r w:rsidR="00CC0C54">
        <w:rPr>
          <w:rFonts w:ascii="Palatino Linotype" w:hAnsi="Palatino Linotype"/>
          <w:b/>
        </w:rPr>
        <w:t>Partido Morena</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9511334"/>
      <w:r w:rsidRPr="001105B5">
        <w:rPr>
          <w:b/>
          <w:szCs w:val="24"/>
        </w:rPr>
        <w:t>ANTECEDENTES</w:t>
      </w:r>
      <w:bookmarkEnd w:id="0"/>
      <w:bookmarkEnd w:id="1"/>
      <w:bookmarkEnd w:id="2"/>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5132D042" w14:textId="15CF8573" w:rsidR="00BD59CD" w:rsidRPr="00BD59CD" w:rsidRDefault="00D9392E"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105B5">
        <w:rPr>
          <w:rFonts w:ascii="Palatino Linotype" w:eastAsia="Calibri" w:hAnsi="Palatino Linotype" w:cs="Arial"/>
        </w:rPr>
        <w:t xml:space="preserve">El </w:t>
      </w:r>
      <w:r w:rsidRPr="001105B5">
        <w:rPr>
          <w:rFonts w:ascii="Palatino Linotype" w:hAnsi="Palatino Linotype"/>
        </w:rPr>
        <w:t>día</w:t>
      </w:r>
      <w:r w:rsidRPr="001105B5">
        <w:rPr>
          <w:rFonts w:ascii="Palatino Linotype" w:eastAsia="Calibri" w:hAnsi="Palatino Linotype" w:cs="Arial"/>
        </w:rPr>
        <w:t xml:space="preserve"> </w:t>
      </w:r>
      <w:r w:rsidR="00CC0C54">
        <w:rPr>
          <w:rFonts w:ascii="Palatino Linotype" w:eastAsia="Calibri" w:hAnsi="Palatino Linotype" w:cs="Arial"/>
        </w:rPr>
        <w:t>seis</w:t>
      </w:r>
      <w:r w:rsidR="0014400B">
        <w:rPr>
          <w:rFonts w:ascii="Palatino Linotype" w:eastAsia="Calibri" w:hAnsi="Palatino Linotype" w:cs="Arial"/>
        </w:rPr>
        <w:t xml:space="preserve"> </w:t>
      </w:r>
      <w:r w:rsidR="003E4A5C">
        <w:rPr>
          <w:rFonts w:ascii="Palatino Linotype" w:hAnsi="Palatino Linotype"/>
        </w:rPr>
        <w:t>(</w:t>
      </w:r>
      <w:r w:rsidR="00A40FFB">
        <w:rPr>
          <w:rFonts w:ascii="Palatino Linotype" w:hAnsi="Palatino Linotype"/>
        </w:rPr>
        <w:t>0</w:t>
      </w:r>
      <w:r w:rsidR="00CC0C54">
        <w:rPr>
          <w:rFonts w:ascii="Palatino Linotype" w:hAnsi="Palatino Linotype"/>
        </w:rPr>
        <w:t>6</w:t>
      </w:r>
      <w:r w:rsidR="000035F6" w:rsidRPr="001105B5">
        <w:rPr>
          <w:rFonts w:ascii="Palatino Linotype" w:hAnsi="Palatino Linotype"/>
        </w:rPr>
        <w:t>)</w:t>
      </w:r>
      <w:r w:rsidR="00A53AF8" w:rsidRPr="001105B5">
        <w:rPr>
          <w:rFonts w:ascii="Palatino Linotype" w:hAnsi="Palatino Linotype"/>
        </w:rPr>
        <w:t xml:space="preserve"> de </w:t>
      </w:r>
      <w:r w:rsidR="002A1465">
        <w:rPr>
          <w:rFonts w:ascii="Palatino Linotype" w:hAnsi="Palatino Linotype"/>
        </w:rPr>
        <w:t>febrero</w:t>
      </w:r>
      <w:r w:rsidR="00F8587B" w:rsidRPr="001105B5">
        <w:rPr>
          <w:rFonts w:ascii="Palatino Linotype" w:eastAsia="Calibri" w:hAnsi="Palatino Linotype" w:cs="Arial"/>
        </w:rPr>
        <w:t xml:space="preserve"> de dos mil dieci</w:t>
      </w:r>
      <w:r w:rsidR="00103D24">
        <w:rPr>
          <w:rFonts w:ascii="Palatino Linotype" w:eastAsia="Calibri" w:hAnsi="Palatino Linotype" w:cs="Arial"/>
        </w:rPr>
        <w:t>nueve</w:t>
      </w:r>
      <w:r w:rsidRPr="001105B5">
        <w:rPr>
          <w:rFonts w:ascii="Palatino Linotype" w:hAnsi="Palatino Linotype"/>
          <w:b/>
        </w:rPr>
        <w:t xml:space="preserve">, </w:t>
      </w:r>
      <w:r w:rsidRPr="001105B5">
        <w:rPr>
          <w:rFonts w:ascii="Palatino Linotype" w:eastAsia="Calibri" w:hAnsi="Palatino Linotype" w:cs="Arial"/>
        </w:rPr>
        <w:t xml:space="preserve">se presentó ante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Pr="001105B5">
        <w:rPr>
          <w:rFonts w:ascii="Palatino Linotype" w:eastAsia="Calibri" w:hAnsi="Palatino Linotype" w:cs="Arial"/>
        </w:rPr>
        <w:t>, la solicitud de información pública registrada con el número</w:t>
      </w:r>
      <w:r w:rsidR="003E4A5C">
        <w:rPr>
          <w:rFonts w:ascii="Palatino Linotype" w:eastAsia="Calibri" w:hAnsi="Palatino Linotype" w:cs="Arial"/>
        </w:rPr>
        <w:t xml:space="preserve"> </w:t>
      </w:r>
      <w:r w:rsidR="00A7308C" w:rsidRPr="00C27F00">
        <w:rPr>
          <w:rFonts w:ascii="Palatino Linotype" w:eastAsia="Times New Roman" w:hAnsi="Palatino Linotype" w:cs="Arial"/>
          <w:b/>
          <w:lang w:val="es-ES"/>
        </w:rPr>
        <w:t>00</w:t>
      </w:r>
      <w:r w:rsidR="0014400B">
        <w:rPr>
          <w:rFonts w:ascii="Palatino Linotype" w:eastAsia="Times New Roman" w:hAnsi="Palatino Linotype" w:cs="Arial"/>
          <w:b/>
          <w:lang w:val="es-ES"/>
        </w:rPr>
        <w:t>0</w:t>
      </w:r>
      <w:r w:rsidR="00CC0C54">
        <w:rPr>
          <w:rFonts w:ascii="Palatino Linotype" w:eastAsia="Times New Roman" w:hAnsi="Palatino Linotype" w:cs="Arial"/>
          <w:b/>
          <w:lang w:val="es-ES"/>
        </w:rPr>
        <w:t>07</w:t>
      </w:r>
      <w:r w:rsidR="00A7308C" w:rsidRPr="00C27F00">
        <w:rPr>
          <w:rFonts w:ascii="Palatino Linotype" w:eastAsia="Times New Roman" w:hAnsi="Palatino Linotype" w:cs="Arial"/>
          <w:b/>
          <w:lang w:val="es-ES"/>
        </w:rPr>
        <w:t>/</w:t>
      </w:r>
      <w:r w:rsidR="00CC0C54">
        <w:rPr>
          <w:rFonts w:ascii="Palatino Linotype" w:eastAsia="Times New Roman" w:hAnsi="Palatino Linotype" w:cs="Arial"/>
          <w:b/>
          <w:lang w:val="es-ES"/>
        </w:rPr>
        <w:t>PMOR</w:t>
      </w:r>
      <w:r w:rsidR="00A7308C" w:rsidRPr="00C27F00">
        <w:rPr>
          <w:rFonts w:ascii="Palatino Linotype" w:eastAsia="Times New Roman" w:hAnsi="Palatino Linotype" w:cs="Arial"/>
          <w:b/>
          <w:lang w:val="es-ES"/>
        </w:rPr>
        <w:t>/IP/201</w:t>
      </w:r>
      <w:r w:rsidR="00103D24">
        <w:rPr>
          <w:rFonts w:ascii="Palatino Linotype" w:eastAsia="Times New Roman" w:hAnsi="Palatino Linotype" w:cs="Arial"/>
          <w:b/>
          <w:lang w:val="es-ES"/>
        </w:rPr>
        <w:t>9</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Pr="001105B5">
        <w:rPr>
          <w:rFonts w:ascii="Palatino Linotype" w:eastAsia="Calibri" w:hAnsi="Palatino Linotype" w:cs="Arial"/>
        </w:rPr>
        <w:t>media</w:t>
      </w:r>
      <w:r w:rsidR="00FB54FB" w:rsidRPr="001105B5">
        <w:rPr>
          <w:rFonts w:ascii="Palatino Linotype" w:eastAsia="Calibri" w:hAnsi="Palatino Linotype" w:cs="Arial"/>
        </w:rPr>
        <w:t xml:space="preserve">nte la cual solicito: </w:t>
      </w:r>
      <w:r w:rsidR="003607B9" w:rsidRPr="001105B5">
        <w:rPr>
          <w:rFonts w:ascii="Palatino Linotype" w:eastAsia="Calibri" w:hAnsi="Palatino Linotype" w:cs="Arial"/>
        </w:rPr>
        <w:t xml:space="preserve"> </w:t>
      </w:r>
    </w:p>
    <w:p w14:paraId="462BC585" w14:textId="77777777" w:rsidR="00BD59CD" w:rsidRPr="00BD59CD" w:rsidRDefault="00BD59CD" w:rsidP="00BD59CD">
      <w:pPr>
        <w:pStyle w:val="Prrafodelista"/>
        <w:tabs>
          <w:tab w:val="left" w:pos="0"/>
        </w:tabs>
        <w:spacing w:line="360" w:lineRule="auto"/>
        <w:ind w:left="0" w:right="49"/>
        <w:jc w:val="both"/>
        <w:rPr>
          <w:rFonts w:ascii="Palatino Linotype" w:hAnsi="Palatino Linotype"/>
          <w:sz w:val="22"/>
          <w:szCs w:val="22"/>
        </w:rPr>
      </w:pPr>
    </w:p>
    <w:p w14:paraId="45EF49F8" w14:textId="6E89367E" w:rsidR="001C34D6" w:rsidRDefault="001C34D6" w:rsidP="00BD59CD">
      <w:pPr>
        <w:pStyle w:val="Prrafodelista"/>
        <w:tabs>
          <w:tab w:val="left" w:pos="1843"/>
        </w:tabs>
        <w:spacing w:line="360" w:lineRule="auto"/>
        <w:ind w:left="851" w:right="49"/>
        <w:jc w:val="both"/>
        <w:rPr>
          <w:rFonts w:ascii="Palatino Linotype" w:hAnsi="Palatino Linotype"/>
          <w:sz w:val="22"/>
          <w:szCs w:val="22"/>
        </w:rPr>
      </w:pPr>
      <w:r w:rsidRPr="003E4A5C">
        <w:rPr>
          <w:rFonts w:ascii="Palatino Linotype" w:hAnsi="Palatino Linotype"/>
          <w:i/>
          <w:sz w:val="22"/>
          <w:szCs w:val="22"/>
        </w:rPr>
        <w:t>“</w:t>
      </w:r>
      <w:r w:rsidR="00CC0C54" w:rsidRPr="00CC0C54">
        <w:rPr>
          <w:rFonts w:ascii="Palatino Linotype" w:hAnsi="Palatino Linotype"/>
          <w:i/>
          <w:sz w:val="22"/>
          <w:szCs w:val="22"/>
        </w:rPr>
        <w:t xml:space="preserve">TOTAL DE LOS GASTOS DE CAMPAÑA PARA PRESIDENTA MUNICIPAL DE NAUCALPAN DE JUAREZ PATRICIA ELISA DURAN REVELES, DETALLADO POR CONCEPTO Y CANTIDAD EN PESOS MEXICANOS, MONTO MÁXIMO AUTORIZADO PARA LA CAMPAÑA POLITICA YA REFERIDA, POR PARTE </w:t>
      </w:r>
      <w:r w:rsidR="00CC0C54" w:rsidRPr="00CC0C54">
        <w:rPr>
          <w:rFonts w:ascii="Palatino Linotype" w:hAnsi="Palatino Linotype"/>
          <w:i/>
          <w:sz w:val="22"/>
          <w:szCs w:val="22"/>
        </w:rPr>
        <w:lastRenderedPageBreak/>
        <w:t>DEL INE NOMBRE DE LAS PERSONAS FÍSICAS Y JURÍDICO COLECTIVAS QUE REALIZARON DONACIONES A LA CAMPAÑA YA MENCIONADA ASÍ COMO LOS MONTOS DE LAS DONACIONES A DETALLE, NOMBRE DE LOS PROVEEDORES CONTRATADOS CON DETALLE DE CADA UNO Y SI SE ENCUENTRAN EN EL CATÁLOGO DEL INE</w:t>
      </w:r>
      <w:r w:rsidR="00103D24" w:rsidRPr="00103D24">
        <w:rPr>
          <w:rFonts w:ascii="Palatino Linotype" w:hAnsi="Palatino Linotype"/>
          <w:i/>
          <w:sz w:val="22"/>
          <w:szCs w:val="22"/>
        </w:rPr>
        <w:t>.</w:t>
      </w:r>
      <w:r w:rsidR="003E4A5C" w:rsidRPr="003E4A5C">
        <w:rPr>
          <w:rFonts w:ascii="Palatino Linotype" w:hAnsi="Palatino Linotype"/>
          <w:i/>
          <w:sz w:val="22"/>
          <w:szCs w:val="22"/>
        </w:rPr>
        <w:t>”</w:t>
      </w:r>
      <w:r w:rsidRPr="003E4A5C">
        <w:rPr>
          <w:rFonts w:ascii="Palatino Linotype" w:hAnsi="Palatino Linotype"/>
          <w:sz w:val="22"/>
          <w:szCs w:val="22"/>
        </w:rPr>
        <w:t xml:space="preserve"> (Sic)</w:t>
      </w:r>
    </w:p>
    <w:p w14:paraId="282765A5" w14:textId="77777777" w:rsidR="00A7308C"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0C95A976" w14:textId="37032942" w:rsidR="00CC0C54" w:rsidRPr="00CC0C54" w:rsidRDefault="00CC0C54" w:rsidP="001105B5">
      <w:pPr>
        <w:pStyle w:val="Prrafodelista"/>
        <w:tabs>
          <w:tab w:val="left" w:pos="0"/>
        </w:tabs>
        <w:spacing w:line="360" w:lineRule="auto"/>
        <w:ind w:left="567" w:right="616"/>
        <w:jc w:val="both"/>
        <w:rPr>
          <w:rFonts w:ascii="Palatino Linotype" w:hAnsi="Palatino Linotype"/>
        </w:rPr>
      </w:pPr>
      <w:r w:rsidRPr="00CC0C54">
        <w:rPr>
          <w:rFonts w:ascii="Palatino Linotype" w:hAnsi="Palatino Linotype"/>
        </w:rPr>
        <w:t xml:space="preserve">Solicitud a la que adjuntó los archivos electrónicos descritos en el siguiente orden: </w:t>
      </w:r>
    </w:p>
    <w:p w14:paraId="7AB6C0ED" w14:textId="77777777" w:rsidR="008B3A94" w:rsidRDefault="008B3A94" w:rsidP="001105B5">
      <w:pPr>
        <w:pStyle w:val="Prrafodelista"/>
        <w:tabs>
          <w:tab w:val="left" w:pos="0"/>
        </w:tabs>
        <w:spacing w:line="360" w:lineRule="auto"/>
        <w:ind w:left="567" w:right="616"/>
        <w:jc w:val="both"/>
        <w:rPr>
          <w:rFonts w:ascii="Palatino Linotype" w:hAnsi="Palatino Linotype"/>
          <w:b/>
          <w:i/>
        </w:rPr>
      </w:pPr>
    </w:p>
    <w:p w14:paraId="20FC81DA" w14:textId="5576DD82" w:rsidR="00CC0C54" w:rsidRDefault="00CC0C54" w:rsidP="00C7486D">
      <w:pPr>
        <w:pStyle w:val="Prrafodelista"/>
        <w:numPr>
          <w:ilvl w:val="0"/>
          <w:numId w:val="9"/>
        </w:numPr>
        <w:tabs>
          <w:tab w:val="left" w:pos="0"/>
        </w:tabs>
        <w:spacing w:line="360" w:lineRule="auto"/>
        <w:ind w:left="851" w:right="616" w:hanging="284"/>
        <w:jc w:val="both"/>
        <w:rPr>
          <w:rFonts w:ascii="Palatino Linotype" w:hAnsi="Palatino Linotype"/>
        </w:rPr>
      </w:pPr>
      <w:r w:rsidRPr="00CC0C54">
        <w:rPr>
          <w:rFonts w:ascii="Palatino Linotype" w:hAnsi="Palatino Linotype"/>
          <w:b/>
          <w:i/>
        </w:rPr>
        <w:t xml:space="preserve">RESPUESTA 024-2019 DA.pdf: </w:t>
      </w:r>
      <w:r w:rsidRPr="00CC0C54">
        <w:rPr>
          <w:rFonts w:ascii="Palatino Linotype" w:hAnsi="Palatino Linotype"/>
        </w:rPr>
        <w:t>Se trata de</w:t>
      </w:r>
      <w:r w:rsidR="00C7486D">
        <w:rPr>
          <w:rFonts w:ascii="Palatino Linotype" w:hAnsi="Palatino Linotype"/>
        </w:rPr>
        <w:t>l</w:t>
      </w:r>
      <w:r w:rsidRPr="00CC0C54">
        <w:rPr>
          <w:rFonts w:ascii="Palatino Linotype" w:hAnsi="Palatino Linotype"/>
        </w:rPr>
        <w:t xml:space="preserve"> oficio número IEEM/DA/0192/2019 de fecha veintiocho (28) de </w:t>
      </w:r>
      <w:r>
        <w:rPr>
          <w:rFonts w:ascii="Palatino Linotype" w:hAnsi="Palatino Linotype"/>
        </w:rPr>
        <w:t xml:space="preserve">enero de dos mil diecinueve suscrito por el Director de Administración del Instituto </w:t>
      </w:r>
      <w:r w:rsidR="008B3A94">
        <w:rPr>
          <w:rFonts w:ascii="Palatino Linotype" w:hAnsi="Palatino Linotype"/>
        </w:rPr>
        <w:t>Electoral del Estado de M</w:t>
      </w:r>
      <w:r w:rsidR="00C7486D">
        <w:rPr>
          <w:rFonts w:ascii="Palatino Linotype" w:hAnsi="Palatino Linotype"/>
        </w:rPr>
        <w:t>éxico, mediante el cual respondió</w:t>
      </w:r>
      <w:r w:rsidR="008B3A94">
        <w:rPr>
          <w:rFonts w:ascii="Palatino Linotype" w:hAnsi="Palatino Linotype"/>
        </w:rPr>
        <w:t xml:space="preserve"> a la solicitud</w:t>
      </w:r>
      <w:r w:rsidR="00C7486D">
        <w:rPr>
          <w:rFonts w:ascii="Palatino Linotype" w:hAnsi="Palatino Linotype"/>
        </w:rPr>
        <w:t xml:space="preserve"> número</w:t>
      </w:r>
      <w:r w:rsidR="008B3A94">
        <w:rPr>
          <w:rFonts w:ascii="Palatino Linotype" w:hAnsi="Palatino Linotype"/>
        </w:rPr>
        <w:t xml:space="preserve"> 00024/IEEM/IP/2019</w:t>
      </w:r>
      <w:r w:rsidR="0009119D">
        <w:rPr>
          <w:rFonts w:ascii="Palatino Linotype" w:hAnsi="Palatino Linotype"/>
        </w:rPr>
        <w:t>, en la cual se formuló el requerimiento que ahora se resuelve, manifestando</w:t>
      </w:r>
      <w:r w:rsidR="00C7486D">
        <w:rPr>
          <w:rFonts w:ascii="Palatino Linotype" w:hAnsi="Palatino Linotype"/>
        </w:rPr>
        <w:t xml:space="preserve"> que los recursos económicos que</w:t>
      </w:r>
      <w:r w:rsidR="008B3A94">
        <w:rPr>
          <w:rFonts w:ascii="Palatino Linotype" w:hAnsi="Palatino Linotype"/>
        </w:rPr>
        <w:t xml:space="preserve"> </w:t>
      </w:r>
      <w:r w:rsidR="00C7486D">
        <w:rPr>
          <w:rFonts w:ascii="Palatino Linotype" w:hAnsi="Palatino Linotype"/>
        </w:rPr>
        <w:t xml:space="preserve">cada partido político distribuye a sus candidatos, es responsabilidad, atribución y decisión de cada partido y esa cantidad no es del conocimiento de esa dirección. </w:t>
      </w:r>
    </w:p>
    <w:p w14:paraId="2061FCC4" w14:textId="77777777" w:rsidR="00B639B5" w:rsidRDefault="00C7486D" w:rsidP="00C7486D">
      <w:pPr>
        <w:pStyle w:val="Prrafodelista"/>
        <w:numPr>
          <w:ilvl w:val="0"/>
          <w:numId w:val="9"/>
        </w:numPr>
        <w:tabs>
          <w:tab w:val="left" w:pos="0"/>
        </w:tabs>
        <w:spacing w:line="360" w:lineRule="auto"/>
        <w:ind w:left="851" w:right="616" w:hanging="284"/>
        <w:jc w:val="both"/>
        <w:rPr>
          <w:rFonts w:ascii="Palatino Linotype" w:hAnsi="Palatino Linotype"/>
        </w:rPr>
      </w:pPr>
      <w:r>
        <w:rPr>
          <w:rFonts w:ascii="Palatino Linotype" w:hAnsi="Palatino Linotype"/>
          <w:b/>
          <w:i/>
        </w:rPr>
        <w:t>RESPUESTA 024</w:t>
      </w:r>
      <w:r w:rsidRPr="00C7486D">
        <w:rPr>
          <w:rFonts w:ascii="Palatino Linotype" w:hAnsi="Palatino Linotype"/>
          <w:b/>
          <w:i/>
        </w:rPr>
        <w:t>-2019 UTF.pdf</w:t>
      </w:r>
      <w:r>
        <w:rPr>
          <w:rFonts w:ascii="Palatino Linotype" w:hAnsi="Palatino Linotype"/>
          <w:b/>
          <w:i/>
        </w:rPr>
        <w:t xml:space="preserve">: </w:t>
      </w:r>
      <w:r>
        <w:rPr>
          <w:rFonts w:ascii="Palatino Linotype" w:hAnsi="Palatino Linotype"/>
        </w:rPr>
        <w:t>Contiene el oficio número IEEM/UTF/021/2019,  de fecha veintiocho (28) de enero de dos mil diecinueve, suscrito por el Jefe de la Unidad de Fiscalizaci</w:t>
      </w:r>
      <w:r w:rsidR="0009119D">
        <w:rPr>
          <w:rFonts w:ascii="Palatino Linotype" w:hAnsi="Palatino Linotype"/>
        </w:rPr>
        <w:t xml:space="preserve">ón; el cual en atención a la solicitud 00024/IEEM/IP/2019, refirió que </w:t>
      </w:r>
      <w:r w:rsidR="00230B55">
        <w:rPr>
          <w:rFonts w:ascii="Palatino Linotype" w:hAnsi="Palatino Linotype"/>
        </w:rPr>
        <w:t>derivado</w:t>
      </w:r>
      <w:r w:rsidR="0009119D">
        <w:rPr>
          <w:rFonts w:ascii="Palatino Linotype" w:hAnsi="Palatino Linotype"/>
        </w:rPr>
        <w:t xml:space="preserve"> de </w:t>
      </w:r>
      <w:r w:rsidR="0009119D">
        <w:rPr>
          <w:rFonts w:ascii="Palatino Linotype" w:hAnsi="Palatino Linotype"/>
        </w:rPr>
        <w:lastRenderedPageBreak/>
        <w:t>la Reforma Político-Electoral de 2014, la función de fiscalización a partidos políticos se confirió al Instituto Nacional Electoral.</w:t>
      </w:r>
    </w:p>
    <w:p w14:paraId="553A4086" w14:textId="6A2AA831" w:rsidR="00C7486D" w:rsidRDefault="0009119D" w:rsidP="00B639B5">
      <w:pPr>
        <w:pStyle w:val="Prrafodelista"/>
        <w:tabs>
          <w:tab w:val="left" w:pos="0"/>
        </w:tabs>
        <w:spacing w:line="360" w:lineRule="auto"/>
        <w:ind w:left="851" w:right="616"/>
        <w:jc w:val="both"/>
        <w:rPr>
          <w:rFonts w:ascii="Palatino Linotype" w:hAnsi="Palatino Linotype"/>
        </w:rPr>
      </w:pPr>
      <w:r>
        <w:rPr>
          <w:rFonts w:ascii="Palatino Linotype" w:hAnsi="Palatino Linotype"/>
        </w:rPr>
        <w:t xml:space="preserve"> </w:t>
      </w:r>
    </w:p>
    <w:p w14:paraId="7727518C" w14:textId="678D0797" w:rsidR="00A45546" w:rsidRDefault="00A8769A" w:rsidP="001105B5">
      <w:pPr>
        <w:pStyle w:val="Prrafodelista"/>
        <w:tabs>
          <w:tab w:val="left" w:pos="0"/>
        </w:tabs>
        <w:spacing w:line="360" w:lineRule="auto"/>
        <w:ind w:left="567"/>
        <w:jc w:val="both"/>
        <w:rPr>
          <w:rFonts w:ascii="Palatino Linotype" w:hAnsi="Palatino Linotype"/>
          <w:b/>
        </w:rPr>
      </w:pPr>
      <w:r w:rsidRPr="00CC0C54">
        <w:rPr>
          <w:rFonts w:ascii="Palatino Linotype" w:eastAsia="Times New Roman" w:hAnsi="Palatino Linotype" w:cs="Arial"/>
        </w:rPr>
        <w:t xml:space="preserve">Señaló </w:t>
      </w:r>
      <w:r w:rsidR="00750A80" w:rsidRPr="00CC0C54">
        <w:rPr>
          <w:rFonts w:ascii="Palatino Linotype" w:eastAsia="Times New Roman" w:hAnsi="Palatino Linotype" w:cs="Arial"/>
        </w:rPr>
        <w:t>como modalidad de entrega de información</w:t>
      </w:r>
      <w:r w:rsidR="00750A80" w:rsidRPr="00CC0C54">
        <w:rPr>
          <w:rFonts w:ascii="Palatino Linotype" w:eastAsia="Times New Roman" w:hAnsi="Palatino Linotype" w:cs="Arial"/>
          <w:b/>
        </w:rPr>
        <w:t>:</w:t>
      </w:r>
      <w:r w:rsidR="00750A80" w:rsidRPr="00CC0C54">
        <w:rPr>
          <w:rFonts w:ascii="Palatino Linotype" w:eastAsia="Times New Roman" w:hAnsi="Palatino Linotype" w:cs="Arial"/>
        </w:rPr>
        <w:t xml:space="preserve"> </w:t>
      </w:r>
      <w:r w:rsidR="007B30F3" w:rsidRPr="00CC0C54">
        <w:rPr>
          <w:rFonts w:ascii="Palatino Linotype" w:hAnsi="Palatino Linotype"/>
        </w:rPr>
        <w:t>A través de</w:t>
      </w:r>
      <w:r w:rsidR="00E83035" w:rsidRPr="00CC0C54">
        <w:rPr>
          <w:rFonts w:ascii="Palatino Linotype" w:hAnsi="Palatino Linotype"/>
        </w:rPr>
        <w:t>l</w:t>
      </w:r>
      <w:r w:rsidR="00A53AF8" w:rsidRPr="00CC0C54">
        <w:rPr>
          <w:rFonts w:ascii="Palatino Linotype" w:hAnsi="Palatino Linotype"/>
          <w:b/>
        </w:rPr>
        <w:t xml:space="preserve"> </w:t>
      </w:r>
      <w:r w:rsidR="00A7308C" w:rsidRPr="00CC0C54">
        <w:rPr>
          <w:rFonts w:ascii="Palatino Linotype" w:eastAsia="Times New Roman" w:hAnsi="Palatino Linotype" w:cs="Arial"/>
          <w:b/>
          <w:lang w:val="es-ES"/>
        </w:rPr>
        <w:t>SAIMEX</w:t>
      </w:r>
      <w:r w:rsidR="003E4A5C" w:rsidRPr="003E4A5C">
        <w:rPr>
          <w:rFonts w:ascii="Palatino Linotype" w:hAnsi="Palatino Linotype"/>
          <w:b/>
        </w:rPr>
        <w:t>.</w:t>
      </w:r>
    </w:p>
    <w:p w14:paraId="0297079E" w14:textId="77777777" w:rsidR="00BD59CD" w:rsidRPr="001105B5" w:rsidRDefault="00BD59CD" w:rsidP="001105B5">
      <w:pPr>
        <w:pStyle w:val="Prrafodelista"/>
        <w:tabs>
          <w:tab w:val="left" w:pos="0"/>
        </w:tabs>
        <w:spacing w:line="360" w:lineRule="auto"/>
        <w:ind w:left="567"/>
        <w:jc w:val="both"/>
        <w:rPr>
          <w:rFonts w:ascii="Palatino Linotype" w:hAnsi="Palatino Linotype"/>
        </w:rPr>
      </w:pPr>
    </w:p>
    <w:p w14:paraId="24E4A2C3" w14:textId="77777777" w:rsidR="00DB0A6F" w:rsidRPr="004D5A2A" w:rsidRDefault="00DB0A6F" w:rsidP="00DB0A6F">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no respondió a la solicitud de información.</w:t>
      </w:r>
    </w:p>
    <w:p w14:paraId="7DDD3CE7" w14:textId="77777777" w:rsidR="00D870F1" w:rsidRPr="003E4A5C"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1BDB340C" w14:textId="1DB43EAB" w:rsidR="00D870F1" w:rsidRPr="001105B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E</w:t>
      </w:r>
      <w:r w:rsidR="00230B55">
        <w:rPr>
          <w:rFonts w:ascii="Palatino Linotype" w:eastAsia="Times New Roman" w:hAnsi="Palatino Linotype" w:cs="Arial"/>
        </w:rPr>
        <w:t>l día doce</w:t>
      </w:r>
      <w:r w:rsidR="003E4A5C">
        <w:rPr>
          <w:rFonts w:ascii="Palatino Linotype" w:eastAsia="Times New Roman" w:hAnsi="Palatino Linotype" w:cs="Arial"/>
        </w:rPr>
        <w:t xml:space="preserve"> (</w:t>
      </w:r>
      <w:r w:rsidR="00230B55">
        <w:rPr>
          <w:rFonts w:ascii="Palatino Linotype" w:eastAsia="Times New Roman" w:hAnsi="Palatino Linotype" w:cs="Arial"/>
        </w:rPr>
        <w:t>12</w:t>
      </w:r>
      <w:r w:rsidR="00BF2C41" w:rsidRPr="001105B5">
        <w:rPr>
          <w:rFonts w:ascii="Palatino Linotype" w:eastAsia="Times New Roman" w:hAnsi="Palatino Linotype" w:cs="Arial"/>
        </w:rPr>
        <w:t xml:space="preserve">) de </w:t>
      </w:r>
      <w:r w:rsidR="00230B55">
        <w:rPr>
          <w:rFonts w:ascii="Palatino Linotype" w:eastAsia="Times New Roman" w:hAnsi="Palatino Linotype" w:cs="Arial"/>
        </w:rPr>
        <w:t>marzo</w:t>
      </w:r>
      <w:r w:rsidR="00AA09C3">
        <w:rPr>
          <w:rFonts w:ascii="Palatino Linotype" w:eastAsia="Times New Roman" w:hAnsi="Palatino Linotype" w:cs="Arial"/>
        </w:rPr>
        <w:t xml:space="preserve"> de dos mil diecinueve</w:t>
      </w:r>
      <w:r w:rsidR="00FA3B14" w:rsidRPr="001105B5">
        <w:rPr>
          <w:rFonts w:ascii="Palatino Linotype" w:eastAsia="Times New Roman" w:hAnsi="Palatino Linotype" w:cs="Arial"/>
        </w:rPr>
        <w:t xml:space="preserve"> el</w:t>
      </w:r>
      <w:r w:rsidR="007E4E68" w:rsidRPr="001105B5">
        <w:rPr>
          <w:rFonts w:ascii="Palatino Linotype" w:hAnsi="Palatino Linotype" w:cs="Arial"/>
        </w:rPr>
        <w:t xml:space="preserve"> particular</w:t>
      </w:r>
      <w:r w:rsidRPr="001105B5">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1105B5" w:rsidRDefault="00FA3B14" w:rsidP="001105B5">
      <w:pPr>
        <w:pStyle w:val="Prrafodelista"/>
        <w:tabs>
          <w:tab w:val="left" w:pos="0"/>
        </w:tabs>
        <w:spacing w:line="360" w:lineRule="auto"/>
        <w:ind w:left="284" w:right="34"/>
        <w:jc w:val="both"/>
        <w:rPr>
          <w:rFonts w:ascii="Palatino Linotype" w:hAnsi="Palatino Linotype"/>
        </w:rPr>
      </w:pPr>
    </w:p>
    <w:p w14:paraId="5654E5A5" w14:textId="02D7AD1B" w:rsidR="00C208DE" w:rsidRPr="006C0831" w:rsidRDefault="00585F00" w:rsidP="00230B5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1105B5">
        <w:rPr>
          <w:rFonts w:ascii="Palatino Linotype" w:eastAsia="Calibri" w:hAnsi="Palatino Linotype" w:cs="Arial"/>
          <w:b/>
        </w:rPr>
        <w:t>Acto impugnado</w:t>
      </w:r>
      <w:bookmarkEnd w:id="3"/>
      <w:r w:rsidR="00F95F7E" w:rsidRPr="001105B5">
        <w:rPr>
          <w:rFonts w:ascii="Palatino Linotype" w:eastAsia="Calibri" w:hAnsi="Palatino Linotype" w:cs="Arial"/>
        </w:rPr>
        <w:t>:</w:t>
      </w:r>
      <w:bookmarkEnd w:id="17"/>
      <w:r w:rsidR="00F95F7E" w:rsidRPr="001105B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E4A5C">
        <w:rPr>
          <w:rFonts w:ascii="Palatino Linotype" w:eastAsia="Calibri" w:hAnsi="Palatino Linotype" w:cs="Arial"/>
          <w:i/>
          <w:sz w:val="22"/>
          <w:szCs w:val="22"/>
        </w:rPr>
        <w:t>“</w:t>
      </w:r>
      <w:r w:rsidR="00230B55" w:rsidRPr="00230B55">
        <w:rPr>
          <w:rFonts w:ascii="Palatino Linotype" w:eastAsia="Calibri" w:hAnsi="Palatino Linotype" w:cs="Arial"/>
          <w:i/>
          <w:sz w:val="22"/>
          <w:szCs w:val="22"/>
        </w:rPr>
        <w:t xml:space="preserve">el no darme la </w:t>
      </w:r>
      <w:proofErr w:type="spellStart"/>
      <w:r w:rsidR="00230B55" w:rsidRPr="00230B55">
        <w:rPr>
          <w:rFonts w:ascii="Palatino Linotype" w:eastAsia="Calibri" w:hAnsi="Palatino Linotype" w:cs="Arial"/>
          <w:i/>
          <w:sz w:val="22"/>
          <w:szCs w:val="22"/>
        </w:rPr>
        <w:t>informacion</w:t>
      </w:r>
      <w:proofErr w:type="spellEnd"/>
      <w:r w:rsidR="00230B55" w:rsidRPr="00230B55">
        <w:rPr>
          <w:rFonts w:ascii="Palatino Linotype" w:eastAsia="Calibri" w:hAnsi="Palatino Linotype" w:cs="Arial"/>
          <w:i/>
          <w:sz w:val="22"/>
          <w:szCs w:val="22"/>
        </w:rPr>
        <w:t xml:space="preserve"> solicitada en el Folio de la solicitud: 00007/PMOR/IP/2019, </w:t>
      </w:r>
      <w:proofErr w:type="spellStart"/>
      <w:r w:rsidR="00230B55" w:rsidRPr="00230B55">
        <w:rPr>
          <w:rFonts w:ascii="Palatino Linotype" w:eastAsia="Calibri" w:hAnsi="Palatino Linotype" w:cs="Arial"/>
          <w:i/>
          <w:sz w:val="22"/>
          <w:szCs w:val="22"/>
        </w:rPr>
        <w:t>sienqdo</w:t>
      </w:r>
      <w:proofErr w:type="spellEnd"/>
      <w:r w:rsidR="00230B55" w:rsidRPr="00230B55">
        <w:rPr>
          <w:rFonts w:ascii="Palatino Linotype" w:eastAsia="Calibri" w:hAnsi="Palatino Linotype" w:cs="Arial"/>
          <w:i/>
          <w:sz w:val="22"/>
          <w:szCs w:val="22"/>
        </w:rPr>
        <w:t xml:space="preserve"> que el plazo máximo para contestar feneció el </w:t>
      </w:r>
      <w:proofErr w:type="spellStart"/>
      <w:r w:rsidR="00230B55" w:rsidRPr="00230B55">
        <w:rPr>
          <w:rFonts w:ascii="Palatino Linotype" w:eastAsia="Calibri" w:hAnsi="Palatino Linotype" w:cs="Arial"/>
          <w:i/>
          <w:sz w:val="22"/>
          <w:szCs w:val="22"/>
        </w:rPr>
        <w:t>dia</w:t>
      </w:r>
      <w:proofErr w:type="spellEnd"/>
      <w:r w:rsidR="00230B55" w:rsidRPr="00230B55">
        <w:rPr>
          <w:rFonts w:ascii="Palatino Linotype" w:eastAsia="Calibri" w:hAnsi="Palatino Linotype" w:cs="Arial"/>
          <w:i/>
          <w:sz w:val="22"/>
          <w:szCs w:val="22"/>
        </w:rPr>
        <w:t xml:space="preserve"> 11 de marzo de 2019</w:t>
      </w:r>
      <w:r w:rsidR="00DB0A6F" w:rsidRPr="00DB0A6F">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63B20642" w14:textId="4EF5E8C8" w:rsidR="006C0831" w:rsidRPr="001105B5"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72498EF2" w:rsidR="003E4A5C" w:rsidRDefault="00585F00" w:rsidP="00230B55">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8"/>
      <w:bookmarkEnd w:id="32"/>
      <w:r w:rsidRPr="001105B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E4A5C">
        <w:rPr>
          <w:rFonts w:ascii="Palatino Linotype" w:eastAsia="Calibri" w:hAnsi="Palatino Linotype" w:cs="Arial"/>
          <w:i/>
        </w:rPr>
        <w:t>“</w:t>
      </w:r>
      <w:r w:rsidR="00230B55" w:rsidRPr="00230B55">
        <w:rPr>
          <w:rFonts w:ascii="Palatino Linotype" w:eastAsia="Calibri" w:hAnsi="Palatino Linotype" w:cs="Arial"/>
          <w:i/>
          <w:sz w:val="22"/>
          <w:szCs w:val="22"/>
        </w:rPr>
        <w:t>no me han dado contestación a lo solicitado en el Folio de la solicitud: 00007/PMOR/IP/2019</w:t>
      </w:r>
      <w:r w:rsidR="00AA09C3" w:rsidRPr="00AA09C3">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7AD682F7" w14:textId="77777777" w:rsidR="006C083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2B270F6F" w:rsidR="00583389" w:rsidRPr="001105B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230B55">
        <w:rPr>
          <w:rFonts w:ascii="Palatino Linotype" w:eastAsia="Calibri" w:hAnsi="Palatino Linotype" w:cs="Arial"/>
        </w:rPr>
        <w:t>diecinueve</w:t>
      </w:r>
      <w:r w:rsidR="00091508" w:rsidRPr="001105B5">
        <w:rPr>
          <w:rFonts w:ascii="Palatino Linotype" w:eastAsia="Calibri" w:hAnsi="Palatino Linotype" w:cs="Arial"/>
        </w:rPr>
        <w:t xml:space="preserve"> (</w:t>
      </w:r>
      <w:r w:rsidR="00230B55">
        <w:rPr>
          <w:rFonts w:ascii="Palatino Linotype" w:eastAsia="Calibri" w:hAnsi="Palatino Linotype" w:cs="Arial"/>
        </w:rPr>
        <w:t>19</w:t>
      </w:r>
      <w:r w:rsidR="00091508" w:rsidRPr="001105B5">
        <w:rPr>
          <w:rFonts w:ascii="Palatino Linotype" w:eastAsia="Calibri" w:hAnsi="Palatino Linotype" w:cs="Arial"/>
        </w:rPr>
        <w:t xml:space="preserve">) de </w:t>
      </w:r>
      <w:r w:rsidR="00DD04C0">
        <w:rPr>
          <w:rFonts w:ascii="Palatino Linotype" w:eastAsia="Calibri" w:hAnsi="Palatino Linotype" w:cs="Arial"/>
        </w:rPr>
        <w:t xml:space="preserve"> </w:t>
      </w:r>
      <w:r w:rsidR="00DB0A6F">
        <w:rPr>
          <w:rFonts w:ascii="Palatino Linotype" w:eastAsia="Calibri" w:hAnsi="Palatino Linotype" w:cs="Arial"/>
        </w:rPr>
        <w:t>marzo</w:t>
      </w:r>
      <w:r w:rsidR="007A4264">
        <w:rPr>
          <w:rFonts w:ascii="Palatino Linotype" w:eastAsia="Calibri" w:hAnsi="Palatino Linotype" w:cs="Arial"/>
        </w:rPr>
        <w:t xml:space="preserve"> </w:t>
      </w:r>
      <w:r w:rsidR="00FA3B14" w:rsidRPr="001105B5">
        <w:rPr>
          <w:rFonts w:ascii="Palatino Linotype" w:eastAsia="Calibri" w:hAnsi="Palatino Linotype" w:cs="Arial"/>
        </w:rPr>
        <w:t>de dos mil dieci</w:t>
      </w:r>
      <w:r w:rsidR="00AA09C3">
        <w:rPr>
          <w:rFonts w:ascii="Palatino Linotype" w:eastAsia="Calibri" w:hAnsi="Palatino Linotype" w:cs="Arial"/>
        </w:rPr>
        <w:t>nueve</w:t>
      </w:r>
      <w:r w:rsidRPr="001105B5">
        <w:rPr>
          <w:rFonts w:ascii="Palatino Linotype" w:eastAsia="Calibri" w:hAnsi="Palatino Linotype" w:cs="Arial"/>
        </w:rPr>
        <w:t xml:space="preserve">, puso a disposición de las partes el expediente electrónico vía Sistema de Acceso a la Información Mexiquense </w:t>
      </w:r>
      <w:r w:rsidRPr="001105B5">
        <w:rPr>
          <w:rFonts w:ascii="Palatino Linotype" w:eastAsia="Calibri" w:hAnsi="Palatino Linotype" w:cs="Arial"/>
          <w:b/>
        </w:rPr>
        <w:lastRenderedPageBreak/>
        <w:t xml:space="preserve">SAIMEX </w:t>
      </w:r>
      <w:r w:rsidRPr="001105B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3EA2E073" w14:textId="77777777" w:rsidR="00DB0A6F" w:rsidRPr="00984347" w:rsidRDefault="00DB0A6F" w:rsidP="00DB0A6F">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0C31F6">
        <w:rPr>
          <w:rFonts w:ascii="Palatino Linotype" w:eastAsia="Calibri" w:hAnsi="Palatino Linotype" w:cs="Arial"/>
          <w:lang w:val="es-ES"/>
        </w:rPr>
        <w:t xml:space="preserve">El </w:t>
      </w:r>
      <w:r w:rsidRPr="000C31F6">
        <w:rPr>
          <w:rFonts w:ascii="Palatino Linotype" w:eastAsia="Calibri" w:hAnsi="Palatino Linotype" w:cs="Arial"/>
          <w:b/>
          <w:lang w:val="es-ES"/>
        </w:rPr>
        <w:t xml:space="preserve">SUJETO OBLIGADO </w:t>
      </w:r>
      <w:r w:rsidRPr="000C31F6">
        <w:rPr>
          <w:rFonts w:ascii="Palatino Linotype" w:eastAsia="Calibri" w:hAnsi="Palatino Linotype" w:cs="Arial"/>
          <w:lang w:val="es-ES"/>
        </w:rPr>
        <w:t xml:space="preserve">no rindió informe justificado para manifestar lo que a su derecho conviniera; asimismo, el </w:t>
      </w:r>
      <w:r w:rsidRPr="000C31F6">
        <w:rPr>
          <w:rFonts w:ascii="Palatino Linotype" w:eastAsia="Calibri" w:hAnsi="Palatino Linotype" w:cs="Arial"/>
          <w:b/>
          <w:lang w:val="es-ES"/>
        </w:rPr>
        <w:t xml:space="preserve">RECURRENTE </w:t>
      </w:r>
      <w:r w:rsidRPr="000C31F6">
        <w:rPr>
          <w:rFonts w:ascii="Palatino Linotype" w:eastAsia="Calibri" w:hAnsi="Palatino Linotype" w:cs="Arial"/>
          <w:lang w:val="es-ES"/>
        </w:rPr>
        <w:t xml:space="preserve">no presentó alegatos, ni ofreció los medios de prueba, </w:t>
      </w:r>
      <w:r w:rsidRPr="000C31F6">
        <w:rPr>
          <w:rFonts w:ascii="Palatino Linotype" w:eastAsia="Calibri" w:hAnsi="Palatino Linotype" w:cs="Times New Roman"/>
          <w:lang w:val="es-ES"/>
        </w:rPr>
        <w:t xml:space="preserve">según consta en el Sistema </w:t>
      </w:r>
      <w:r w:rsidRPr="000C31F6">
        <w:rPr>
          <w:rFonts w:ascii="Palatino Linotype" w:eastAsia="Calibri" w:hAnsi="Palatino Linotype" w:cs="Arial"/>
          <w:lang w:val="es-ES"/>
        </w:rPr>
        <w:t xml:space="preserve">de Acceso a la Información Mexiquense </w:t>
      </w:r>
      <w:r w:rsidRPr="000C31F6">
        <w:rPr>
          <w:rFonts w:ascii="Palatino Linotype" w:eastAsia="Calibri" w:hAnsi="Palatino Linotype" w:cs="Arial"/>
          <w:b/>
          <w:lang w:val="es-ES"/>
        </w:rPr>
        <w:t>SAIMEX.</w:t>
      </w:r>
      <w:r w:rsidRPr="000C31F6">
        <w:rPr>
          <w:rFonts w:ascii="Palatino Linotype" w:eastAsia="Calibri" w:hAnsi="Palatino Linotype" w:cs="Arial"/>
          <w:lang w:val="es-ES"/>
        </w:rPr>
        <w:t xml:space="preserve"> </w:t>
      </w:r>
    </w:p>
    <w:p w14:paraId="09897DF0" w14:textId="77777777" w:rsidR="00DB0A6F" w:rsidRPr="00984347" w:rsidRDefault="00DB0A6F" w:rsidP="00DB0A6F">
      <w:pPr>
        <w:pStyle w:val="Prrafodelista"/>
        <w:rPr>
          <w:rFonts w:ascii="Palatino Linotype" w:hAnsi="Palatino Linotype"/>
          <w:i/>
          <w:color w:val="000000"/>
        </w:rPr>
      </w:pPr>
    </w:p>
    <w:p w14:paraId="6BEBCB2D" w14:textId="0AEC25A0" w:rsidR="00A71BC1" w:rsidRPr="009B146D" w:rsidRDefault="008A72B7" w:rsidP="00110F5D">
      <w:pPr>
        <w:pStyle w:val="Prrafodelista"/>
        <w:numPr>
          <w:ilvl w:val="0"/>
          <w:numId w:val="1"/>
        </w:numPr>
        <w:tabs>
          <w:tab w:val="left" w:pos="0"/>
        </w:tabs>
        <w:spacing w:line="360" w:lineRule="auto"/>
        <w:ind w:left="0" w:right="49" w:firstLine="0"/>
        <w:jc w:val="both"/>
        <w:rPr>
          <w:rFonts w:ascii="Palatino Linotype" w:hAnsi="Palatino Linotype"/>
        </w:rPr>
      </w:pPr>
      <w:r w:rsidRPr="00C151A1">
        <w:rPr>
          <w:rFonts w:ascii="Palatino Linotype" w:eastAsia="Calibri" w:hAnsi="Palatino Linotype" w:cs="Arial"/>
        </w:rPr>
        <w:t>Consecutivamente</w:t>
      </w:r>
      <w:r w:rsidR="00A71BC1" w:rsidRPr="00C151A1">
        <w:rPr>
          <w:rFonts w:ascii="Palatino Linotype" w:hAnsi="Palatino Linotype"/>
        </w:rPr>
        <w:t>, el Comisionado Ponente decretó el cierre de instru</w:t>
      </w:r>
      <w:r w:rsidR="00F640B8" w:rsidRPr="00C151A1">
        <w:rPr>
          <w:rFonts w:ascii="Palatino Linotype" w:hAnsi="Palatino Linotype"/>
        </w:rPr>
        <w:t>cción medi</w:t>
      </w:r>
      <w:r w:rsidR="00230B55" w:rsidRPr="00C151A1">
        <w:rPr>
          <w:rFonts w:ascii="Palatino Linotype" w:hAnsi="Palatino Linotype"/>
        </w:rPr>
        <w:t>ante acuerdo de fecha veinticuatro</w:t>
      </w:r>
      <w:r w:rsidR="00C3488E" w:rsidRPr="00C151A1">
        <w:rPr>
          <w:rFonts w:ascii="Palatino Linotype" w:hAnsi="Palatino Linotype"/>
        </w:rPr>
        <w:t xml:space="preserve"> </w:t>
      </w:r>
      <w:r w:rsidR="004A125E" w:rsidRPr="00C151A1">
        <w:rPr>
          <w:rFonts w:ascii="Palatino Linotype" w:hAnsi="Palatino Linotype"/>
        </w:rPr>
        <w:t>(</w:t>
      </w:r>
      <w:r w:rsidR="00C3488E" w:rsidRPr="00C151A1">
        <w:rPr>
          <w:rFonts w:ascii="Palatino Linotype" w:hAnsi="Palatino Linotype"/>
        </w:rPr>
        <w:t>2</w:t>
      </w:r>
      <w:r w:rsidR="00230B55" w:rsidRPr="00C151A1">
        <w:rPr>
          <w:rFonts w:ascii="Palatino Linotype" w:hAnsi="Palatino Linotype"/>
        </w:rPr>
        <w:t>4</w:t>
      </w:r>
      <w:r w:rsidR="00C3488E" w:rsidRPr="00C151A1">
        <w:rPr>
          <w:rFonts w:ascii="Palatino Linotype" w:hAnsi="Palatino Linotype"/>
        </w:rPr>
        <w:t>)</w:t>
      </w:r>
      <w:r w:rsidR="00A71BC1" w:rsidRPr="00C151A1">
        <w:rPr>
          <w:rFonts w:ascii="Palatino Linotype" w:hAnsi="Palatino Linotype"/>
        </w:rPr>
        <w:t xml:space="preserve"> de </w:t>
      </w:r>
      <w:r w:rsidR="00230B55" w:rsidRPr="00C151A1">
        <w:rPr>
          <w:rFonts w:ascii="Palatino Linotype" w:hAnsi="Palatino Linotype"/>
        </w:rPr>
        <w:t>abril</w:t>
      </w:r>
      <w:r w:rsidR="009B146D" w:rsidRPr="00C151A1">
        <w:rPr>
          <w:rFonts w:ascii="Palatino Linotype" w:hAnsi="Palatino Linotype"/>
        </w:rPr>
        <w:t xml:space="preserve"> </w:t>
      </w:r>
      <w:r w:rsidR="00A71BC1" w:rsidRPr="00C151A1">
        <w:rPr>
          <w:rFonts w:ascii="Palatino Linotype" w:hAnsi="Palatino Linotype"/>
        </w:rPr>
        <w:t xml:space="preserve">de </w:t>
      </w:r>
      <w:r w:rsidR="00C3488E" w:rsidRPr="00C151A1">
        <w:rPr>
          <w:rFonts w:ascii="Palatino Linotype" w:hAnsi="Palatino Linotype"/>
        </w:rPr>
        <w:t>dos mil diecinueve</w:t>
      </w:r>
      <w:r w:rsidR="00A71BC1" w:rsidRPr="00C151A1">
        <w:rPr>
          <w:rFonts w:ascii="Palatino Linotype" w:hAnsi="Palatino Linotype"/>
        </w:rPr>
        <w:t>, por lo que, ordenó turnar el expediente a resolución.</w:t>
      </w:r>
      <w:r w:rsidR="009B146D" w:rsidRPr="00C151A1">
        <w:rPr>
          <w:rFonts w:ascii="Palatino Linotype" w:hAnsi="Palatino Linotype"/>
        </w:rPr>
        <w:t xml:space="preserve"> </w:t>
      </w:r>
      <w:r w:rsidR="009B146D" w:rsidRPr="00C151A1">
        <w:rPr>
          <w:rFonts w:ascii="Palatino Linotype" w:hAnsi="Palatino Linotype"/>
          <w:color w:val="000000" w:themeColor="text1"/>
        </w:rPr>
        <w:t xml:space="preserve">Posteriormente, el </w:t>
      </w:r>
      <w:r w:rsidR="00230B55" w:rsidRPr="00C151A1">
        <w:rPr>
          <w:rFonts w:ascii="Palatino Linotype" w:hAnsi="Palatino Linotype"/>
          <w:color w:val="000000" w:themeColor="text1"/>
        </w:rPr>
        <w:t>veintiuno</w:t>
      </w:r>
      <w:r w:rsidR="009B146D" w:rsidRPr="00C151A1">
        <w:rPr>
          <w:rFonts w:ascii="Palatino Linotype" w:hAnsi="Palatino Linotype"/>
          <w:color w:val="000000" w:themeColor="text1"/>
        </w:rPr>
        <w:t xml:space="preserve"> (2</w:t>
      </w:r>
      <w:r w:rsidR="00230B55" w:rsidRPr="00C151A1">
        <w:rPr>
          <w:rFonts w:ascii="Palatino Linotype" w:hAnsi="Palatino Linotype"/>
          <w:color w:val="000000" w:themeColor="text1"/>
        </w:rPr>
        <w:t>1</w:t>
      </w:r>
      <w:r w:rsidR="009B146D" w:rsidRPr="00C151A1">
        <w:rPr>
          <w:rFonts w:ascii="Palatino Linotype" w:hAnsi="Palatino Linotype"/>
          <w:color w:val="000000" w:themeColor="text1"/>
        </w:rPr>
        <w:t xml:space="preserve">) de </w:t>
      </w:r>
      <w:r w:rsidR="00230B55" w:rsidRPr="00C151A1">
        <w:rPr>
          <w:rFonts w:ascii="Palatino Linotype" w:hAnsi="Palatino Linotype"/>
          <w:color w:val="000000" w:themeColor="text1"/>
        </w:rPr>
        <w:t>mayo</w:t>
      </w:r>
      <w:r w:rsidR="009B146D" w:rsidRPr="00C151A1">
        <w:rPr>
          <w:rFonts w:ascii="Palatino Linotype" w:hAnsi="Palatino Linotype"/>
          <w:color w:val="000000" w:themeColor="text1"/>
        </w:rPr>
        <w:t xml:space="preserve"> del año</w:t>
      </w:r>
      <w:r w:rsidR="009B146D" w:rsidRPr="009B146D">
        <w:rPr>
          <w:rFonts w:ascii="Palatino Linotype" w:hAnsi="Palatino Linotype"/>
          <w:color w:val="000000" w:themeColor="text1"/>
        </w:rPr>
        <w:t xml:space="preserve"> en curso, se amplió el plazo de quince (15) días para resolver el recurso de revisión, </w:t>
      </w:r>
      <w:r w:rsidR="009B146D" w:rsidRPr="009B146D">
        <w:rPr>
          <w:rFonts w:ascii="Palatino Linotype" w:hAnsi="Palatino Linotype" w:cs="Arial"/>
          <w:color w:val="000000" w:themeColor="text1"/>
        </w:rPr>
        <w:t xml:space="preserve">por lo que ordenó turnar el expediente para su resolución, misma que ahora se pronuncia; y  - - - - - - - - - - - </w:t>
      </w:r>
      <w:r w:rsidR="009B146D" w:rsidRPr="009B146D">
        <w:rPr>
          <w:rFonts w:ascii="Palatino Linotype" w:hAnsi="Palatino Linotype" w:cs="Arial"/>
        </w:rPr>
        <w:t xml:space="preserve">- - - - - - - - - - - - - - - - - </w:t>
      </w:r>
      <w:r w:rsidR="00DB0A6F">
        <w:rPr>
          <w:rFonts w:ascii="Palatino Linotype" w:hAnsi="Palatino Linotype" w:cs="Arial"/>
        </w:rPr>
        <w:t xml:space="preserve">- - - - - - - - - </w:t>
      </w:r>
    </w:p>
    <w:p w14:paraId="4FDE6965" w14:textId="5D3837D8" w:rsidR="00A71BC1" w:rsidRDefault="00C151A1" w:rsidP="001105B5">
      <w:pPr>
        <w:pStyle w:val="Prrafodelista"/>
        <w:tabs>
          <w:tab w:val="left" w:pos="0"/>
        </w:tabs>
        <w:spacing w:line="360" w:lineRule="auto"/>
        <w:ind w:left="284" w:right="34"/>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0C346A3" wp14:editId="40D1E844">
                <wp:simplePos x="0" y="0"/>
                <wp:positionH relativeFrom="column">
                  <wp:posOffset>48273</wp:posOffset>
                </wp:positionH>
                <wp:positionV relativeFrom="paragraph">
                  <wp:posOffset>6931</wp:posOffset>
                </wp:positionV>
                <wp:extent cx="5505855" cy="2752928"/>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855" cy="27529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33D11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55pt" to="437.3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" strokecolor="#4f81bd [3204]" strokeweight="2pt">
                <v:shadow on="t" color="black" opacity="24903f" origin=",.5" offset="0,.55556mm"/>
              </v:line>
            </w:pict>
          </mc:Fallback>
        </mc:AlternateContent>
      </w:r>
    </w:p>
    <w:p w14:paraId="206C2FB0" w14:textId="77777777" w:rsidR="00230B55" w:rsidRDefault="00230B55" w:rsidP="001105B5">
      <w:pPr>
        <w:pStyle w:val="Prrafodelista"/>
        <w:tabs>
          <w:tab w:val="left" w:pos="0"/>
        </w:tabs>
        <w:spacing w:line="360" w:lineRule="auto"/>
        <w:ind w:left="284" w:right="34"/>
        <w:jc w:val="both"/>
        <w:rPr>
          <w:rFonts w:ascii="Palatino Linotype" w:hAnsi="Palatino Linotype" w:cs="Arial"/>
        </w:rPr>
      </w:pPr>
    </w:p>
    <w:p w14:paraId="716E2E21" w14:textId="77777777" w:rsidR="00230B55" w:rsidRDefault="00230B55" w:rsidP="001105B5">
      <w:pPr>
        <w:pStyle w:val="Prrafodelista"/>
        <w:tabs>
          <w:tab w:val="left" w:pos="0"/>
        </w:tabs>
        <w:spacing w:line="360" w:lineRule="auto"/>
        <w:ind w:left="284" w:right="34"/>
        <w:jc w:val="both"/>
        <w:rPr>
          <w:rFonts w:ascii="Palatino Linotype" w:hAnsi="Palatino Linotype" w:cs="Arial"/>
        </w:rPr>
      </w:pPr>
    </w:p>
    <w:p w14:paraId="2AEC94DC" w14:textId="77777777" w:rsidR="00230B55" w:rsidRDefault="00230B55" w:rsidP="001105B5">
      <w:pPr>
        <w:pStyle w:val="Prrafodelista"/>
        <w:tabs>
          <w:tab w:val="left" w:pos="0"/>
        </w:tabs>
        <w:spacing w:line="360" w:lineRule="auto"/>
        <w:ind w:left="284" w:right="34"/>
        <w:jc w:val="both"/>
        <w:rPr>
          <w:rFonts w:ascii="Palatino Linotype" w:hAnsi="Palatino Linotype" w:cs="Arial"/>
        </w:rPr>
      </w:pPr>
    </w:p>
    <w:p w14:paraId="511792EA" w14:textId="77777777" w:rsidR="00230B55" w:rsidRPr="001105B5" w:rsidRDefault="00230B55"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1105B5" w:rsidRDefault="00585F00" w:rsidP="001105B5">
      <w:pPr>
        <w:pStyle w:val="Ttulo1"/>
        <w:tabs>
          <w:tab w:val="left" w:pos="0"/>
        </w:tabs>
        <w:spacing w:before="0" w:line="360" w:lineRule="auto"/>
        <w:jc w:val="center"/>
        <w:rPr>
          <w:b/>
          <w:szCs w:val="24"/>
        </w:rPr>
      </w:pPr>
      <w:bookmarkStart w:id="33" w:name="_Toc491791302"/>
      <w:bookmarkStart w:id="34" w:name="_Toc9511335"/>
      <w:r w:rsidRPr="001105B5">
        <w:rPr>
          <w:b/>
          <w:szCs w:val="24"/>
        </w:rPr>
        <w:lastRenderedPageBreak/>
        <w:t>CONSIDERANDO</w:t>
      </w:r>
      <w:bookmarkEnd w:id="33"/>
      <w:bookmarkEnd w:id="34"/>
    </w:p>
    <w:p w14:paraId="7681ED66" w14:textId="77777777" w:rsidR="00585F00" w:rsidRPr="001105B5" w:rsidRDefault="00585F00" w:rsidP="001105B5">
      <w:pPr>
        <w:tabs>
          <w:tab w:val="left" w:pos="0"/>
        </w:tabs>
        <w:spacing w:line="360" w:lineRule="auto"/>
        <w:rPr>
          <w:rFonts w:ascii="Palatino Linotype" w:hAnsi="Palatino Linotype"/>
          <w:lang w:eastAsia="en-US"/>
        </w:rPr>
      </w:pPr>
    </w:p>
    <w:p w14:paraId="7DA2EB7E"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9511336"/>
      <w:bookmarkStart w:id="38" w:name="_Toc511234456"/>
      <w:bookmarkStart w:id="39" w:name="_Toc466371865"/>
      <w:bookmarkStart w:id="40" w:name="_Toc466377653"/>
      <w:r w:rsidRPr="001105B5">
        <w:rPr>
          <w:rFonts w:ascii="Palatino Linotype" w:hAnsi="Palatino Linotype"/>
          <w:b/>
          <w:color w:val="auto"/>
          <w:sz w:val="24"/>
          <w:szCs w:val="24"/>
        </w:rPr>
        <w:t>PRIMERO. De la competencia</w:t>
      </w:r>
      <w:bookmarkEnd w:id="35"/>
      <w:bookmarkEnd w:id="36"/>
      <w:bookmarkEnd w:id="37"/>
    </w:p>
    <w:p w14:paraId="6E314099" w14:textId="77777777" w:rsidR="0032581C" w:rsidRPr="001105B5" w:rsidRDefault="0032581C" w:rsidP="0032581C">
      <w:pPr>
        <w:tabs>
          <w:tab w:val="left" w:pos="0"/>
        </w:tabs>
        <w:spacing w:line="360" w:lineRule="auto"/>
        <w:rPr>
          <w:rFonts w:ascii="Palatino Linotype" w:hAnsi="Palatino Linotype"/>
          <w:lang w:eastAsia="en-US"/>
        </w:rPr>
      </w:pPr>
    </w:p>
    <w:p w14:paraId="72882949" w14:textId="77777777" w:rsidR="0032581C" w:rsidRPr="00C3488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105B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9511337"/>
      <w:r w:rsidRPr="001105B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1105B5" w:rsidRDefault="0032581C" w:rsidP="0032581C">
      <w:pPr>
        <w:tabs>
          <w:tab w:val="left" w:pos="0"/>
        </w:tabs>
        <w:spacing w:line="360" w:lineRule="auto"/>
        <w:rPr>
          <w:rFonts w:ascii="Palatino Linotype" w:hAnsi="Palatino Linotype"/>
          <w:lang w:eastAsia="en-US"/>
        </w:rPr>
      </w:pPr>
    </w:p>
    <w:p w14:paraId="07EE39B4"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b/>
        </w:rPr>
      </w:pPr>
      <w:r w:rsidRPr="008057A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59285919" w14:textId="77777777" w:rsidR="00963918" w:rsidRPr="008057A7" w:rsidRDefault="00963918" w:rsidP="00963918">
      <w:pPr>
        <w:pStyle w:val="Prrafodelista"/>
        <w:spacing w:before="240" w:after="240" w:line="360" w:lineRule="auto"/>
        <w:ind w:left="0" w:right="49"/>
        <w:jc w:val="both"/>
        <w:rPr>
          <w:rFonts w:ascii="Palatino Linotype" w:hAnsi="Palatino Linotype"/>
          <w:b/>
        </w:rPr>
      </w:pPr>
    </w:p>
    <w:p w14:paraId="7BEF0273" w14:textId="77777777" w:rsidR="00963918" w:rsidRPr="008057A7" w:rsidRDefault="00963918" w:rsidP="00963918">
      <w:pPr>
        <w:pStyle w:val="Prrafodelista"/>
        <w:spacing w:before="240" w:after="240" w:line="360" w:lineRule="auto"/>
        <w:ind w:left="851" w:right="567"/>
        <w:jc w:val="both"/>
        <w:rPr>
          <w:rFonts w:ascii="Palatino Linotype" w:hAnsi="Palatino Linotype"/>
          <w:i/>
          <w:sz w:val="22"/>
          <w:szCs w:val="22"/>
        </w:rPr>
      </w:pPr>
      <w:r>
        <w:rPr>
          <w:rFonts w:ascii="Palatino Linotype" w:hAnsi="Palatino Linotype"/>
          <w:b/>
          <w:i/>
          <w:sz w:val="22"/>
          <w:szCs w:val="22"/>
        </w:rPr>
        <w:t>“</w:t>
      </w:r>
      <w:r w:rsidRPr="008057A7">
        <w:rPr>
          <w:rFonts w:ascii="Palatino Linotype" w:hAnsi="Palatino Linotype"/>
          <w:b/>
          <w:i/>
          <w:sz w:val="22"/>
          <w:szCs w:val="22"/>
        </w:rPr>
        <w:t>Artículo 179.</w:t>
      </w:r>
      <w:r w:rsidRPr="008057A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1B3DE4F9" w14:textId="77777777" w:rsidR="00963918" w:rsidRPr="008057A7" w:rsidRDefault="00963918" w:rsidP="00963918">
      <w:pPr>
        <w:pStyle w:val="Prrafodelista"/>
        <w:spacing w:before="240" w:after="240" w:line="360" w:lineRule="auto"/>
        <w:ind w:left="851" w:right="567"/>
        <w:jc w:val="both"/>
        <w:rPr>
          <w:rFonts w:ascii="Palatino Linotype" w:hAnsi="Palatino Linotype"/>
          <w:i/>
          <w:sz w:val="22"/>
          <w:szCs w:val="22"/>
        </w:rPr>
      </w:pPr>
      <w:r w:rsidRPr="008057A7">
        <w:rPr>
          <w:rFonts w:ascii="Palatino Linotype" w:hAnsi="Palatino Linotype"/>
          <w:i/>
          <w:sz w:val="22"/>
          <w:szCs w:val="22"/>
        </w:rPr>
        <w:t>(…)</w:t>
      </w:r>
    </w:p>
    <w:p w14:paraId="3085ED37" w14:textId="77777777" w:rsidR="00963918" w:rsidRPr="008057A7" w:rsidRDefault="00963918" w:rsidP="00963918">
      <w:pPr>
        <w:pStyle w:val="Prrafodelista"/>
        <w:spacing w:before="240" w:after="240" w:line="360" w:lineRule="auto"/>
        <w:ind w:left="851" w:right="567"/>
        <w:jc w:val="both"/>
        <w:rPr>
          <w:rFonts w:ascii="Palatino Linotype" w:hAnsi="Palatino Linotype"/>
          <w:b/>
          <w:i/>
          <w:sz w:val="22"/>
          <w:szCs w:val="22"/>
        </w:rPr>
      </w:pPr>
      <w:r w:rsidRPr="008057A7">
        <w:rPr>
          <w:rFonts w:ascii="Palatino Linotype" w:hAnsi="Palatino Linotype"/>
          <w:b/>
          <w:i/>
          <w:sz w:val="22"/>
          <w:szCs w:val="22"/>
        </w:rPr>
        <w:t>VII. La falta de respuesta a una solicitud de acceso a la información;</w:t>
      </w:r>
    </w:p>
    <w:p w14:paraId="1CEA18C5" w14:textId="77777777" w:rsidR="00963918" w:rsidRPr="008057A7" w:rsidRDefault="00963918" w:rsidP="00963918">
      <w:pPr>
        <w:spacing w:line="360" w:lineRule="auto"/>
        <w:ind w:left="851"/>
        <w:rPr>
          <w:rFonts w:ascii="Palatino Linotype" w:hAnsi="Palatino Linotype"/>
          <w:i/>
          <w:sz w:val="22"/>
          <w:szCs w:val="22"/>
          <w:lang w:val="es-MX" w:eastAsia="en-US"/>
        </w:rPr>
      </w:pPr>
      <w:r w:rsidRPr="008057A7">
        <w:rPr>
          <w:rFonts w:ascii="Palatino Linotype" w:hAnsi="Palatino Linotype"/>
          <w:i/>
          <w:sz w:val="22"/>
          <w:szCs w:val="22"/>
          <w:lang w:val="es-MX" w:eastAsia="en-US"/>
        </w:rPr>
        <w:t>(…)</w:t>
      </w:r>
      <w:r>
        <w:rPr>
          <w:rFonts w:ascii="Palatino Linotype" w:hAnsi="Palatino Linotype"/>
          <w:i/>
          <w:sz w:val="22"/>
          <w:szCs w:val="22"/>
          <w:lang w:val="es-MX" w:eastAsia="en-US"/>
        </w:rPr>
        <w:t>”</w:t>
      </w:r>
    </w:p>
    <w:p w14:paraId="5BC50379" w14:textId="77777777" w:rsidR="00963918" w:rsidRDefault="00963918" w:rsidP="00963918">
      <w:pPr>
        <w:pStyle w:val="Prrafodelista"/>
        <w:spacing w:before="240" w:after="240" w:line="360" w:lineRule="auto"/>
        <w:ind w:left="0" w:right="49"/>
        <w:jc w:val="both"/>
        <w:rPr>
          <w:rFonts w:ascii="Palatino Linotype" w:hAnsi="Palatino Linotype"/>
        </w:rPr>
      </w:pPr>
    </w:p>
    <w:p w14:paraId="302324DB" w14:textId="64FCDA04"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Así</w:t>
      </w:r>
      <w:r w:rsidRPr="008057A7">
        <w:rPr>
          <w:rFonts w:ascii="Palatino Linotype" w:hAnsi="Palatino Linotype"/>
        </w:rPr>
        <w:t xml:space="preserve"> mismo la </w:t>
      </w:r>
      <w:r>
        <w:rPr>
          <w:rFonts w:ascii="Palatino Linotype" w:hAnsi="Palatino Linotype"/>
        </w:rPr>
        <w:t>L</w:t>
      </w:r>
      <w:r w:rsidRPr="008057A7">
        <w:rPr>
          <w:rFonts w:ascii="Palatino Linotype" w:hAnsi="Palatino Linotype"/>
        </w:rPr>
        <w:t xml:space="preserve">ey en materia señala que el plazo legal para que la Unidad de transparencia otorgue respuesta a una solicitud de información no podrá exceder de quince días hábiles, y cuando el </w:t>
      </w:r>
      <w:r w:rsidRPr="008057A7">
        <w:rPr>
          <w:rFonts w:ascii="Palatino Linotype" w:hAnsi="Palatino Linotype"/>
          <w:b/>
        </w:rPr>
        <w:t>SUJETO OBLIGADO</w:t>
      </w:r>
      <w:r w:rsidRPr="008057A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4F49AE9D" w14:textId="77777777" w:rsidR="00963918" w:rsidRPr="008057A7" w:rsidRDefault="00963918" w:rsidP="00963918">
      <w:pPr>
        <w:pStyle w:val="Prrafodelista"/>
        <w:spacing w:before="240" w:after="240" w:line="360" w:lineRule="auto"/>
        <w:ind w:left="0" w:right="49"/>
        <w:jc w:val="both"/>
        <w:rPr>
          <w:rFonts w:ascii="Palatino Linotype" w:hAnsi="Palatino Linotype"/>
        </w:rPr>
      </w:pPr>
    </w:p>
    <w:p w14:paraId="58BC9AB2" w14:textId="77777777" w:rsidR="00963918" w:rsidRDefault="00963918" w:rsidP="00762A67">
      <w:pPr>
        <w:pStyle w:val="Prrafodelista"/>
        <w:spacing w:before="240" w:after="240" w:line="360" w:lineRule="auto"/>
        <w:ind w:left="851" w:right="567"/>
        <w:jc w:val="both"/>
        <w:rPr>
          <w:rFonts w:ascii="Palatino Linotype" w:hAnsi="Palatino Linotype"/>
          <w:i/>
          <w:sz w:val="22"/>
          <w:szCs w:val="22"/>
        </w:rPr>
      </w:pPr>
      <w:r>
        <w:rPr>
          <w:rFonts w:ascii="Palatino Linotype" w:hAnsi="Palatino Linotype"/>
          <w:b/>
          <w:i/>
          <w:sz w:val="22"/>
          <w:szCs w:val="22"/>
        </w:rPr>
        <w:t>“</w:t>
      </w:r>
      <w:r w:rsidRPr="008057A7">
        <w:rPr>
          <w:rFonts w:ascii="Palatino Linotype" w:hAnsi="Palatino Linotype"/>
          <w:b/>
          <w:i/>
          <w:sz w:val="22"/>
          <w:szCs w:val="22"/>
        </w:rPr>
        <w:t>Artículo 163.</w:t>
      </w:r>
      <w:r w:rsidRPr="008057A7">
        <w:rPr>
          <w:rFonts w:ascii="Palatino Linotype" w:hAnsi="Palatino Linotype"/>
          <w:i/>
          <w:sz w:val="22"/>
          <w:szCs w:val="22"/>
        </w:rPr>
        <w:t xml:space="preserve"> La Unidad de Transparencia deberá notificar la respuesta a la solicitud al interesado en el menor tiempo posible, que </w:t>
      </w:r>
      <w:r w:rsidRPr="008057A7">
        <w:rPr>
          <w:rFonts w:ascii="Palatino Linotype" w:hAnsi="Palatino Linotype"/>
          <w:b/>
          <w:i/>
          <w:sz w:val="22"/>
          <w:szCs w:val="22"/>
          <w:u w:val="single"/>
        </w:rPr>
        <w:t>no podrá exceder de quince días hábiles</w:t>
      </w:r>
      <w:r w:rsidRPr="008057A7">
        <w:rPr>
          <w:rFonts w:ascii="Palatino Linotype" w:hAnsi="Palatino Linotype"/>
          <w:i/>
          <w:sz w:val="22"/>
          <w:szCs w:val="22"/>
        </w:rPr>
        <w:t xml:space="preserve">, contados a partir del día siguiente a la presentación de aquélla. </w:t>
      </w:r>
    </w:p>
    <w:p w14:paraId="56877A73" w14:textId="77777777" w:rsidR="00963918" w:rsidRPr="008057A7" w:rsidRDefault="00963918" w:rsidP="00762A67">
      <w:pPr>
        <w:pStyle w:val="Prrafodelista"/>
        <w:spacing w:before="240" w:after="240" w:line="360" w:lineRule="auto"/>
        <w:ind w:left="851" w:right="567"/>
        <w:jc w:val="both"/>
        <w:rPr>
          <w:rFonts w:ascii="Palatino Linotype" w:hAnsi="Palatino Linotype"/>
          <w:i/>
          <w:sz w:val="22"/>
          <w:szCs w:val="22"/>
        </w:rPr>
      </w:pPr>
    </w:p>
    <w:p w14:paraId="26717B2D" w14:textId="77777777" w:rsidR="00963918" w:rsidRPr="008057A7" w:rsidRDefault="00963918" w:rsidP="00762A67">
      <w:pPr>
        <w:pStyle w:val="Prrafodelista"/>
        <w:spacing w:before="240" w:after="240" w:line="360" w:lineRule="auto"/>
        <w:ind w:left="851" w:right="567"/>
        <w:jc w:val="both"/>
        <w:rPr>
          <w:rFonts w:ascii="Palatino Linotype" w:hAnsi="Palatino Linotype" w:cs="Arial"/>
          <w:i/>
          <w:sz w:val="22"/>
          <w:szCs w:val="22"/>
        </w:rPr>
      </w:pPr>
      <w:r w:rsidRPr="008057A7">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w:t>
      </w:r>
      <w:r w:rsidRPr="008057A7">
        <w:rPr>
          <w:rFonts w:ascii="Palatino Linotype" w:hAnsi="Palatino Linotype"/>
          <w:i/>
          <w:sz w:val="22"/>
          <w:szCs w:val="22"/>
        </w:rPr>
        <w:lastRenderedPageBreak/>
        <w:t>una resolución que deberá notificarse al solicitante, antes de su vencimiento. No podrán invocarse como causales de ampliación del plazo motivos que supongan negligencia o descuido del sujeto obligado en el desahogo de la solicitud.</w:t>
      </w:r>
    </w:p>
    <w:p w14:paraId="6A8F2850" w14:textId="77777777" w:rsidR="00963918" w:rsidRPr="008057A7" w:rsidRDefault="00963918" w:rsidP="00762A67">
      <w:pPr>
        <w:pStyle w:val="Prrafodelista"/>
        <w:spacing w:before="240" w:after="240" w:line="360" w:lineRule="auto"/>
        <w:ind w:left="851" w:right="616"/>
        <w:jc w:val="both"/>
        <w:rPr>
          <w:rFonts w:ascii="Palatino Linotype" w:hAnsi="Palatino Linotype" w:cs="Arial"/>
          <w:i/>
          <w:sz w:val="22"/>
          <w:szCs w:val="22"/>
        </w:rPr>
      </w:pPr>
      <w:r w:rsidRPr="008057A7">
        <w:rPr>
          <w:rFonts w:ascii="Palatino Linotype" w:hAnsi="Palatino Linotype" w:cs="Arial"/>
          <w:i/>
          <w:sz w:val="22"/>
          <w:szCs w:val="22"/>
        </w:rPr>
        <w:t>…</w:t>
      </w:r>
    </w:p>
    <w:p w14:paraId="110A8365" w14:textId="77777777" w:rsidR="00963918" w:rsidRPr="008057A7" w:rsidRDefault="00963918" w:rsidP="00762A67">
      <w:pPr>
        <w:spacing w:before="240" w:after="240" w:line="360" w:lineRule="auto"/>
        <w:ind w:left="851" w:right="567"/>
        <w:jc w:val="both"/>
        <w:rPr>
          <w:rFonts w:ascii="Palatino Linotype" w:hAnsi="Palatino Linotype" w:cs="Arial"/>
          <w:i/>
          <w:sz w:val="22"/>
          <w:szCs w:val="22"/>
        </w:rPr>
      </w:pPr>
      <w:r w:rsidRPr="008057A7">
        <w:rPr>
          <w:rFonts w:ascii="Palatino Linotype" w:hAnsi="Palatino Linotype"/>
          <w:b/>
          <w:i/>
          <w:sz w:val="22"/>
          <w:szCs w:val="22"/>
        </w:rPr>
        <w:t>Artículo 166.</w:t>
      </w:r>
      <w:r w:rsidRPr="008057A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057A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057A7">
        <w:rPr>
          <w:rFonts w:ascii="Palatino Linotype" w:hAnsi="Palatino Linotype"/>
          <w:i/>
          <w:sz w:val="22"/>
          <w:szCs w:val="22"/>
        </w:rPr>
        <w:t>Una vez entregada la información, el solicitante acusará recibo por escrito, dándose por terminado el trámite de acceso a la información.</w:t>
      </w:r>
      <w:r>
        <w:rPr>
          <w:rFonts w:ascii="Palatino Linotype" w:hAnsi="Palatino Linotype"/>
          <w:i/>
          <w:sz w:val="22"/>
          <w:szCs w:val="22"/>
        </w:rPr>
        <w:t>”</w:t>
      </w:r>
    </w:p>
    <w:p w14:paraId="5B5F769B"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eastAsia="Calibri" w:hAnsi="Palatino Linotype" w:cs="Arial"/>
        </w:rPr>
        <w:t>De</w:t>
      </w:r>
      <w:r w:rsidRPr="008057A7">
        <w:rPr>
          <w:rFonts w:ascii="Palatino Linotype" w:hAnsi="Palatino Linotype" w:cs="Arial"/>
        </w:rPr>
        <w:t xml:space="preserve"> la interpretación a los preceptos legales insertos se obtiene que el plazo que les asiste a los </w:t>
      </w:r>
      <w:r w:rsidRPr="008057A7">
        <w:rPr>
          <w:rFonts w:ascii="Palatino Linotype" w:hAnsi="Palatino Linotype" w:cs="Arial"/>
          <w:b/>
        </w:rPr>
        <w:t>SUJETOS OBLIGADOS</w:t>
      </w:r>
      <w:r w:rsidRPr="008057A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w:t>
      </w:r>
      <w:r w:rsidRPr="008057A7">
        <w:rPr>
          <w:rFonts w:ascii="Palatino Linotype" w:hAnsi="Palatino Linotype" w:cs="Arial"/>
        </w:rPr>
        <w:lastRenderedPageBreak/>
        <w:t>plazo, sin que los Sujetos Obligados entreguen la respuesta a la solicitud de información, ésta se considera negada; por lo que al solicitante le asiste el derecho para poder presentar el recurso de revisión correspondiente.</w:t>
      </w:r>
    </w:p>
    <w:p w14:paraId="78560BFF" w14:textId="77777777" w:rsidR="00963918" w:rsidRPr="008057A7" w:rsidRDefault="00963918" w:rsidP="00963918">
      <w:pPr>
        <w:pStyle w:val="Prrafodelista"/>
        <w:spacing w:before="240" w:after="240" w:line="360" w:lineRule="auto"/>
        <w:ind w:left="0"/>
        <w:jc w:val="both"/>
        <w:rPr>
          <w:rFonts w:ascii="Palatino Linotype" w:hAnsi="Palatino Linotype" w:cs="Arial"/>
        </w:rPr>
      </w:pPr>
    </w:p>
    <w:p w14:paraId="181720DD"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Derivado de lo anterior, se constituye la figura jurídica de la </w:t>
      </w:r>
      <w:r w:rsidRPr="008057A7">
        <w:rPr>
          <w:rFonts w:ascii="Palatino Linotype" w:hAnsi="Palatino Linotype" w:cs="Arial"/>
          <w:b/>
        </w:rPr>
        <w:t>NEGATIVA FICTA</w:t>
      </w:r>
      <w:r w:rsidRPr="008057A7">
        <w:rPr>
          <w:rFonts w:ascii="Palatino Linotype" w:hAnsi="Palatino Linotype" w:cs="Arial"/>
        </w:rPr>
        <w:t>, cuya esencia consiste en atribuir un efecto negativo al silencio de la autoridad administrativa frente a las instancias y solicitudes que hagan los particulares.</w:t>
      </w:r>
    </w:p>
    <w:p w14:paraId="4A546F10" w14:textId="77777777" w:rsidR="00963918" w:rsidRPr="008057A7" w:rsidRDefault="00963918" w:rsidP="00963918">
      <w:pPr>
        <w:pStyle w:val="Prrafodelista"/>
        <w:spacing w:before="240" w:after="240" w:line="360" w:lineRule="auto"/>
        <w:ind w:left="0"/>
        <w:jc w:val="both"/>
        <w:rPr>
          <w:rFonts w:ascii="Palatino Linotype" w:hAnsi="Palatino Linotype" w:cs="Arial"/>
        </w:rPr>
      </w:pPr>
    </w:p>
    <w:p w14:paraId="24359C2B"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Por su parte el artículo 178 de la </w:t>
      </w:r>
      <w:r w:rsidRPr="008057A7">
        <w:rPr>
          <w:rFonts w:ascii="Palatino Linotype" w:hAnsi="Palatino Linotype" w:cs="Arial"/>
          <w:b/>
        </w:rPr>
        <w:t>Ley de Transparencia y Acceso a la Información Pública del Estado de México y Municipios</w:t>
      </w:r>
      <w:r w:rsidRPr="008057A7">
        <w:rPr>
          <w:rFonts w:ascii="Palatino Linotype" w:hAnsi="Palatino Linotype" w:cs="Arial"/>
        </w:rPr>
        <w:t>, establece:</w:t>
      </w:r>
    </w:p>
    <w:p w14:paraId="37B4F1EB" w14:textId="77777777" w:rsidR="00963918" w:rsidRPr="008057A7" w:rsidRDefault="00963918" w:rsidP="00963918">
      <w:pPr>
        <w:pStyle w:val="Prrafodelista"/>
        <w:spacing w:line="360" w:lineRule="auto"/>
        <w:ind w:left="0"/>
        <w:rPr>
          <w:rFonts w:ascii="Palatino Linotype" w:hAnsi="Palatino Linotype" w:cs="Arial"/>
          <w:highlight w:val="lightGray"/>
        </w:rPr>
      </w:pPr>
    </w:p>
    <w:p w14:paraId="33B1851C" w14:textId="77777777" w:rsidR="00963918" w:rsidRDefault="00963918" w:rsidP="00762A67">
      <w:pPr>
        <w:pStyle w:val="Prrafodelista"/>
        <w:spacing w:line="360" w:lineRule="auto"/>
        <w:ind w:left="851" w:right="567"/>
        <w:jc w:val="both"/>
        <w:rPr>
          <w:rFonts w:ascii="Palatino Linotype" w:hAnsi="Palatino Linotype"/>
          <w:i/>
          <w:sz w:val="22"/>
          <w:szCs w:val="22"/>
        </w:rPr>
      </w:pPr>
      <w:r w:rsidRPr="008057A7">
        <w:rPr>
          <w:rFonts w:ascii="Palatino Linotype" w:hAnsi="Palatino Linotype"/>
          <w:b/>
          <w:i/>
          <w:sz w:val="22"/>
          <w:szCs w:val="22"/>
        </w:rPr>
        <w:t>Artículo 178.</w:t>
      </w:r>
      <w:r w:rsidRPr="008057A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057A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057A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3C4C5A9D" w14:textId="77777777" w:rsidR="00963918" w:rsidRPr="008057A7" w:rsidRDefault="00963918" w:rsidP="00762A67">
      <w:pPr>
        <w:pStyle w:val="Prrafodelista"/>
        <w:spacing w:line="360" w:lineRule="auto"/>
        <w:ind w:left="567" w:right="567"/>
        <w:jc w:val="both"/>
        <w:rPr>
          <w:rFonts w:ascii="Palatino Linotype" w:hAnsi="Palatino Linotype"/>
          <w:i/>
          <w:sz w:val="22"/>
          <w:szCs w:val="22"/>
        </w:rPr>
      </w:pPr>
    </w:p>
    <w:p w14:paraId="583D11E6"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lastRenderedPageBreak/>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057A7">
        <w:rPr>
          <w:rFonts w:ascii="Palatino Linotype" w:hAnsi="Palatino Linotype" w:cs="Arial"/>
          <w:b/>
        </w:rPr>
        <w:t>SUJETO OBLIGADO</w:t>
      </w:r>
      <w:r w:rsidRPr="008057A7">
        <w:rPr>
          <w:rFonts w:ascii="Palatino Linotype" w:hAnsi="Palatino Linotype" w:cs="Arial"/>
        </w:rPr>
        <w:t xml:space="preserve">; sin embargo </w:t>
      </w:r>
      <w:r w:rsidRPr="008057A7">
        <w:rPr>
          <w:rFonts w:ascii="Palatino Linotype" w:hAnsi="Palatino Linotype" w:cs="Arial"/>
          <w:u w:val="single"/>
        </w:rPr>
        <w:t>tratándose de negativa ficta</w:t>
      </w:r>
      <w:r w:rsidRPr="008057A7">
        <w:rPr>
          <w:rStyle w:val="Refdenotaalpie"/>
          <w:rFonts w:ascii="Palatino Linotype" w:hAnsi="Palatino Linotype" w:cs="Arial"/>
          <w:u w:val="single"/>
        </w:rPr>
        <w:footnoteReference w:id="1"/>
      </w:r>
      <w:r w:rsidRPr="008057A7">
        <w:rPr>
          <w:rFonts w:ascii="Palatino Linotype" w:hAnsi="Palatino Linotype" w:cs="Arial"/>
        </w:rPr>
        <w:t xml:space="preserve"> no existe resolución que se haga del conocimiento del particular a partir de la cual pueda computarse dicho plazo, por tal motivo es pertinente establecer que </w:t>
      </w:r>
      <w:r w:rsidRPr="008057A7">
        <w:rPr>
          <w:rFonts w:ascii="Palatino Linotype" w:hAnsi="Palatino Linotype" w:cs="Arial"/>
          <w:u w:val="single"/>
        </w:rPr>
        <w:t>no existe plazo para la interposición del recurso de revisión</w:t>
      </w:r>
      <w:r w:rsidRPr="008057A7">
        <w:rPr>
          <w:rFonts w:ascii="Palatino Linotype" w:hAnsi="Palatino Linotype" w:cs="Arial"/>
        </w:rPr>
        <w:t>.</w:t>
      </w:r>
    </w:p>
    <w:p w14:paraId="39E48EBB" w14:textId="77777777" w:rsidR="00963918" w:rsidRPr="008057A7" w:rsidRDefault="00963918" w:rsidP="00963918">
      <w:pPr>
        <w:pStyle w:val="Prrafodelista"/>
        <w:spacing w:before="240" w:after="240" w:line="360" w:lineRule="auto"/>
        <w:ind w:left="0"/>
        <w:jc w:val="both"/>
        <w:rPr>
          <w:rFonts w:ascii="Palatino Linotype" w:hAnsi="Palatino Linotype" w:cs="Arial"/>
        </w:rPr>
      </w:pPr>
    </w:p>
    <w:p w14:paraId="10445E2C" w14:textId="77777777" w:rsidR="00963918" w:rsidRPr="008057A7"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29DD8757" w14:textId="77777777" w:rsidR="00963918" w:rsidRDefault="00963918" w:rsidP="00963918">
      <w:pPr>
        <w:pStyle w:val="Prrafodelista"/>
        <w:spacing w:before="240" w:after="240" w:line="360" w:lineRule="auto"/>
        <w:ind w:left="0"/>
        <w:jc w:val="both"/>
        <w:rPr>
          <w:rFonts w:ascii="Palatino Linotype" w:hAnsi="Palatino Linotype" w:cs="Arial"/>
        </w:rPr>
      </w:pPr>
    </w:p>
    <w:p w14:paraId="329DE7C7" w14:textId="77777777" w:rsidR="00963918" w:rsidRDefault="00963918" w:rsidP="00963918">
      <w:pPr>
        <w:pStyle w:val="Prrafodelista"/>
        <w:spacing w:before="240" w:after="240" w:line="360" w:lineRule="auto"/>
        <w:ind w:left="851" w:right="616"/>
        <w:jc w:val="center"/>
        <w:rPr>
          <w:rFonts w:ascii="Palatino Linotype" w:hAnsi="Palatino Linotype" w:cs="Arial"/>
          <w:b/>
        </w:rPr>
      </w:pPr>
      <w:r w:rsidRPr="008057A7">
        <w:rPr>
          <w:rFonts w:ascii="Palatino Linotype" w:hAnsi="Palatino Linotype" w:cs="Arial"/>
          <w:b/>
        </w:rPr>
        <w:t>Criterio 0001-15</w:t>
      </w:r>
    </w:p>
    <w:p w14:paraId="6ED18898" w14:textId="77777777" w:rsidR="00963918" w:rsidRPr="008057A7" w:rsidRDefault="00963918" w:rsidP="00963918">
      <w:pPr>
        <w:pStyle w:val="Prrafodelista"/>
        <w:spacing w:before="240" w:after="240" w:line="360" w:lineRule="auto"/>
        <w:ind w:left="851" w:right="616"/>
        <w:jc w:val="center"/>
        <w:rPr>
          <w:rFonts w:ascii="Palatino Linotype" w:hAnsi="Palatino Linotype" w:cs="Arial"/>
          <w:b/>
        </w:rPr>
      </w:pPr>
    </w:p>
    <w:p w14:paraId="77721E1C" w14:textId="77777777" w:rsidR="00963918" w:rsidRPr="008057A7" w:rsidRDefault="00963918" w:rsidP="00963918">
      <w:pPr>
        <w:pStyle w:val="Prrafodelista"/>
        <w:spacing w:before="240" w:after="240" w:line="360" w:lineRule="auto"/>
        <w:ind w:left="851" w:right="616"/>
        <w:jc w:val="both"/>
        <w:rPr>
          <w:rFonts w:ascii="Palatino Linotype" w:hAnsi="Palatino Linotype" w:cs="Arial"/>
          <w:sz w:val="22"/>
          <w:szCs w:val="22"/>
        </w:rPr>
      </w:pPr>
      <w:r w:rsidRPr="008057A7">
        <w:rPr>
          <w:rFonts w:ascii="Palatino Linotype" w:hAnsi="Palatino Linotype" w:cs="Arial"/>
          <w:b/>
          <w:i/>
          <w:sz w:val="22"/>
          <w:szCs w:val="22"/>
        </w:rPr>
        <w:t>NEGATIVA FICTA. PLAZO PARA INTERPONER EL RECURSO DE REVISIÓN TRATÁNDOSE DE</w:t>
      </w:r>
      <w:r w:rsidRPr="008057A7">
        <w:rPr>
          <w:rFonts w:ascii="Palatino Linotype" w:hAnsi="Palatino Linotype" w:cs="Arial"/>
          <w:i/>
          <w:sz w:val="22"/>
          <w:szCs w:val="22"/>
        </w:rPr>
        <w:t xml:space="preserve">. El artículo 48, párrafo tercero de la Ley de </w:t>
      </w:r>
      <w:r w:rsidRPr="008057A7">
        <w:rPr>
          <w:rFonts w:ascii="Palatino Linotype" w:hAnsi="Palatino Linotype" w:cs="Arial"/>
          <w:i/>
          <w:sz w:val="22"/>
          <w:szCs w:val="22"/>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057A7">
        <w:rPr>
          <w:rFonts w:ascii="Palatino Linotype" w:hAnsi="Palatino Linotype" w:cs="Arial"/>
          <w:sz w:val="22"/>
          <w:szCs w:val="22"/>
        </w:rPr>
        <w:t>.</w:t>
      </w:r>
    </w:p>
    <w:p w14:paraId="6FFA11C7" w14:textId="77777777" w:rsidR="00963918" w:rsidRPr="008057A7" w:rsidRDefault="00963918" w:rsidP="00963918">
      <w:pPr>
        <w:pStyle w:val="Prrafodelista"/>
        <w:spacing w:before="240" w:after="240" w:line="360" w:lineRule="auto"/>
        <w:ind w:left="0"/>
        <w:jc w:val="both"/>
        <w:rPr>
          <w:rFonts w:ascii="Palatino Linotype" w:hAnsi="Palatino Linotype"/>
        </w:rPr>
      </w:pPr>
    </w:p>
    <w:p w14:paraId="6788F800" w14:textId="77777777" w:rsidR="00963918" w:rsidRDefault="00963918" w:rsidP="00963918">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4CE12859" w14:textId="77777777" w:rsidR="00BD59CD" w:rsidRDefault="00BD59CD" w:rsidP="00BD59CD">
      <w:pPr>
        <w:pStyle w:val="Prrafodelista"/>
        <w:tabs>
          <w:tab w:val="left" w:pos="0"/>
        </w:tabs>
        <w:spacing w:line="360" w:lineRule="auto"/>
        <w:ind w:left="0" w:right="49"/>
        <w:jc w:val="both"/>
        <w:rPr>
          <w:rFonts w:ascii="Palatino Linotype" w:hAnsi="Palatino Linotype"/>
        </w:rPr>
      </w:pPr>
    </w:p>
    <w:p w14:paraId="6F363215" w14:textId="77777777" w:rsidR="0032581C" w:rsidRPr="0061388E"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1418EF" w14:textId="4B8E0451" w:rsidR="00326BBB" w:rsidRPr="00326BBB" w:rsidRDefault="00C87F81" w:rsidP="00326BBB">
      <w:pPr>
        <w:pStyle w:val="Ttulo1"/>
        <w:rPr>
          <w:b/>
        </w:rPr>
      </w:pPr>
      <w:bookmarkStart w:id="44" w:name="_Toc535334653"/>
      <w:bookmarkStart w:id="45" w:name="_Toc9511338"/>
      <w:r w:rsidRPr="00326BBB">
        <w:rPr>
          <w:b/>
          <w:szCs w:val="24"/>
        </w:rPr>
        <w:lastRenderedPageBreak/>
        <w:t>TERCERO</w:t>
      </w:r>
      <w:r w:rsidR="00137045" w:rsidRPr="00326BBB">
        <w:rPr>
          <w:b/>
          <w:szCs w:val="24"/>
        </w:rPr>
        <w:t xml:space="preserve">. </w:t>
      </w:r>
      <w:bookmarkEnd w:id="44"/>
      <w:r w:rsidR="00326BBB" w:rsidRPr="00326BBB">
        <w:rPr>
          <w:b/>
        </w:rPr>
        <w:t>Previo y especial pronunciamiento</w:t>
      </w:r>
      <w:r w:rsidR="00326BBB">
        <w:rPr>
          <w:b/>
        </w:rPr>
        <w:t>.</w:t>
      </w:r>
      <w:bookmarkEnd w:id="45"/>
    </w:p>
    <w:p w14:paraId="5A0D795E" w14:textId="77777777" w:rsidR="00326BBB" w:rsidRPr="00BC7D6E" w:rsidRDefault="00326BBB" w:rsidP="00326BBB">
      <w:pPr>
        <w:rPr>
          <w:lang w:eastAsia="en-US"/>
        </w:rPr>
      </w:pPr>
    </w:p>
    <w:p w14:paraId="51F5DE65" w14:textId="77777777" w:rsidR="00326BBB" w:rsidRDefault="00326BBB" w:rsidP="00DC31FF">
      <w:pPr>
        <w:pStyle w:val="Prrafodelista"/>
        <w:keepNext/>
        <w:keepLines/>
        <w:numPr>
          <w:ilvl w:val="0"/>
          <w:numId w:val="6"/>
        </w:numPr>
        <w:spacing w:line="360" w:lineRule="auto"/>
        <w:outlineLvl w:val="0"/>
        <w:rPr>
          <w:rFonts w:ascii="Palatino Linotype" w:eastAsia="Calibri" w:hAnsi="Palatino Linotype" w:cs="Times New Roman"/>
          <w:b/>
          <w:bCs/>
          <w:lang w:val="es-ES"/>
        </w:rPr>
      </w:pPr>
      <w:bookmarkStart w:id="46" w:name="_Toc4684434"/>
      <w:bookmarkStart w:id="47" w:name="_Toc9511339"/>
      <w:r w:rsidRPr="00BC7D6E">
        <w:rPr>
          <w:rFonts w:ascii="Palatino Linotype" w:eastAsia="Calibri" w:hAnsi="Palatino Linotype" w:cs="Times New Roman"/>
          <w:b/>
          <w:bCs/>
          <w:lang w:val="es-ES"/>
        </w:rPr>
        <w:t>La falta de informe justificado.</w:t>
      </w:r>
      <w:bookmarkEnd w:id="46"/>
      <w:bookmarkEnd w:id="47"/>
      <w:r w:rsidRPr="00BC7D6E">
        <w:rPr>
          <w:rFonts w:ascii="Palatino Linotype" w:eastAsia="Calibri" w:hAnsi="Palatino Linotype" w:cs="Times New Roman"/>
          <w:b/>
          <w:bCs/>
          <w:lang w:val="es-ES"/>
        </w:rPr>
        <w:t xml:space="preserve"> </w:t>
      </w:r>
    </w:p>
    <w:p w14:paraId="60619AF6" w14:textId="77777777" w:rsidR="00326BBB" w:rsidRPr="00BC7D6E" w:rsidRDefault="00326BBB" w:rsidP="00326BBB">
      <w:pPr>
        <w:pStyle w:val="Prrafodelista"/>
        <w:keepNext/>
        <w:keepLines/>
        <w:spacing w:line="360" w:lineRule="auto"/>
        <w:ind w:left="1080"/>
        <w:outlineLvl w:val="0"/>
        <w:rPr>
          <w:rFonts w:ascii="Palatino Linotype" w:eastAsia="Calibri" w:hAnsi="Palatino Linotype" w:cs="Times New Roman"/>
          <w:b/>
          <w:bCs/>
          <w:lang w:val="es-ES"/>
        </w:rPr>
      </w:pPr>
    </w:p>
    <w:p w14:paraId="1B82BA24" w14:textId="77777777" w:rsidR="00326BBB" w:rsidRPr="00263F62" w:rsidRDefault="00326BBB" w:rsidP="00326BB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263F62">
        <w:rPr>
          <w:rFonts w:ascii="Palatino Linotype" w:eastAsia="Calibri" w:hAnsi="Palatino Linotype" w:cs="Times New Roman"/>
          <w:lang w:val="es-ES"/>
        </w:rPr>
        <w:t xml:space="preserve">El </w:t>
      </w:r>
      <w:r w:rsidRPr="00263F62">
        <w:rPr>
          <w:rFonts w:ascii="Palatino Linotype" w:eastAsia="Calibri" w:hAnsi="Palatino Linotype" w:cs="Times New Roman"/>
          <w:b/>
          <w:lang w:val="es-ES"/>
        </w:rPr>
        <w:t xml:space="preserve">SUJETO OBLIGADO </w:t>
      </w:r>
      <w:r w:rsidRPr="00263F62">
        <w:rPr>
          <w:rFonts w:ascii="Palatino Linotype" w:eastAsia="Calibri" w:hAnsi="Palatino Linotype" w:cs="Times New Roman"/>
          <w:lang w:val="es-ES"/>
        </w:rPr>
        <w:t xml:space="preserve">fue omiso de enviar el </w:t>
      </w:r>
      <w:r w:rsidRPr="00263F62">
        <w:rPr>
          <w:rFonts w:ascii="Palatino Linotype" w:eastAsia="MS Mincho" w:hAnsi="Palatino Linotype" w:cs="Times New Roman"/>
        </w:rPr>
        <w:t>informe justificado</w:t>
      </w:r>
      <w:r w:rsidRPr="00263F62">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263F62">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12BCAB4" w14:textId="77777777" w:rsidR="00326BBB" w:rsidRPr="000505D0" w:rsidRDefault="00326BBB" w:rsidP="0061388E">
      <w:pPr>
        <w:tabs>
          <w:tab w:val="left" w:pos="426"/>
        </w:tabs>
        <w:spacing w:before="240" w:after="240" w:line="276" w:lineRule="auto"/>
        <w:ind w:right="49"/>
        <w:contextualSpacing/>
        <w:jc w:val="both"/>
        <w:rPr>
          <w:rFonts w:ascii="Palatino Linotype" w:eastAsia="Calibri" w:hAnsi="Palatino Linotype" w:cs="Times New Roman"/>
          <w:b/>
          <w:i/>
        </w:rPr>
      </w:pPr>
    </w:p>
    <w:p w14:paraId="080C03C8" w14:textId="77777777" w:rsidR="00326BBB" w:rsidRPr="000505D0" w:rsidRDefault="00326BBB" w:rsidP="00762A67">
      <w:pPr>
        <w:spacing w:before="240" w:after="240" w:line="360" w:lineRule="auto"/>
        <w:ind w:left="851" w:right="567"/>
        <w:contextualSpacing/>
        <w:jc w:val="both"/>
        <w:rPr>
          <w:rFonts w:ascii="Palatino Linotype" w:eastAsia="Calibri" w:hAnsi="Palatino Linotype" w:cs="Times New Roman"/>
          <w:strike/>
          <w:lang w:val="es-ES"/>
        </w:rPr>
      </w:pPr>
      <w:r w:rsidRPr="000505D0">
        <w:rPr>
          <w:rFonts w:ascii="Palatino Linotype" w:eastAsia="Calibri" w:hAnsi="Palatino Linotype" w:cs="Arial"/>
          <w:b/>
          <w:i/>
          <w:lang w:val="es-ES"/>
        </w:rPr>
        <w:t xml:space="preserve">QUEJA, RECURSO DE. LA OMISION DE RENDIR EL INFORME RESPECTIVO NO IMPIDE QUE SE RESUELVA. </w:t>
      </w:r>
      <w:r w:rsidRPr="000505D0">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w:t>
      </w:r>
      <w:r w:rsidRPr="000505D0">
        <w:rPr>
          <w:rFonts w:ascii="Palatino Linotype" w:eastAsia="Calibri" w:hAnsi="Palatino Linotype" w:cs="Arial"/>
          <w:i/>
          <w:lang w:val="es-ES"/>
        </w:rPr>
        <w:lastRenderedPageBreak/>
        <w:t>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0FE3179" w14:textId="2FBC319F" w:rsidR="00C151A1" w:rsidRPr="00683008" w:rsidRDefault="00326BBB" w:rsidP="00C151A1">
      <w:pPr>
        <w:pStyle w:val="Prrafodelista"/>
        <w:numPr>
          <w:ilvl w:val="0"/>
          <w:numId w:val="1"/>
        </w:numPr>
        <w:tabs>
          <w:tab w:val="left" w:pos="0"/>
        </w:tabs>
        <w:spacing w:line="360" w:lineRule="auto"/>
        <w:ind w:left="0" w:right="49" w:firstLine="0"/>
        <w:jc w:val="both"/>
      </w:pPr>
      <w:r w:rsidRPr="00085290">
        <w:rPr>
          <w:rFonts w:ascii="Palatino Linotype" w:eastAsia="Times New Roman" w:hAnsi="Palatino Linotype" w:cs="Arial"/>
          <w:color w:val="222222"/>
          <w:lang w:val="es-ES" w:eastAsia="es-MX"/>
        </w:rPr>
        <w:t>Por lo cual se reitera, l</w:t>
      </w:r>
      <w:r w:rsidRPr="00085290">
        <w:rPr>
          <w:rFonts w:ascii="Palatino Linotype" w:eastAsia="MS Mincho" w:hAnsi="Palatino Linotype" w:cs="Times New Roman"/>
        </w:rPr>
        <w:t xml:space="preserve">a falta de informe justificado no impide que este Órgano Garante conozca y resuelva el recurso de revisión, solo propicia que el </w:t>
      </w:r>
      <w:r w:rsidRPr="00085290">
        <w:rPr>
          <w:rFonts w:ascii="Palatino Linotype" w:eastAsia="MS Mincho" w:hAnsi="Palatino Linotype" w:cs="Times New Roman"/>
          <w:b/>
        </w:rPr>
        <w:t>SUJETO</w:t>
      </w:r>
      <w:r w:rsidRPr="00085290">
        <w:rPr>
          <w:rFonts w:ascii="Palatino Linotype" w:eastAsia="MS Mincho" w:hAnsi="Palatino Linotype" w:cs="Times New Roman"/>
        </w:rPr>
        <w:t xml:space="preserve"> </w:t>
      </w:r>
      <w:r w:rsidRPr="00085290">
        <w:rPr>
          <w:rFonts w:ascii="Palatino Linotype" w:eastAsia="MS Mincho" w:hAnsi="Palatino Linotype" w:cs="Times New Roman"/>
          <w:b/>
        </w:rPr>
        <w:t>OBLIGADO</w:t>
      </w:r>
      <w:r w:rsidRPr="00085290">
        <w:rPr>
          <w:rFonts w:ascii="Palatino Linotype" w:eastAsia="MS Mincho" w:hAnsi="Palatino Linotype" w:cs="Times New Roman"/>
        </w:rPr>
        <w:t xml:space="preserve"> pierda la oportunidad de justificar su respuesta y manifestar lo que a su derecho convenga.</w:t>
      </w:r>
    </w:p>
    <w:p w14:paraId="438F034F" w14:textId="76DAFAAD" w:rsidR="003B2420" w:rsidRDefault="00326BBB" w:rsidP="003B2420">
      <w:pPr>
        <w:pStyle w:val="Ttulo1"/>
        <w:rPr>
          <w:rFonts w:eastAsia="Calibri" w:cs="Times New Roman"/>
          <w:b/>
          <w:bCs/>
          <w:lang w:val="es-ES"/>
        </w:rPr>
      </w:pPr>
      <w:bookmarkStart w:id="48" w:name="_Toc9511340"/>
      <w:r>
        <w:rPr>
          <w:b/>
          <w:szCs w:val="24"/>
        </w:rPr>
        <w:t xml:space="preserve">CUARTO. </w:t>
      </w:r>
      <w:r w:rsidR="00AB5E7A" w:rsidRPr="00535D06">
        <w:rPr>
          <w:rFonts w:eastAsia="Calibri" w:cs="Times New Roman"/>
          <w:b/>
          <w:bCs/>
          <w:lang w:val="es-ES"/>
        </w:rPr>
        <w:t xml:space="preserve">Del planteamiento de la </w:t>
      </w:r>
      <w:proofErr w:type="spellStart"/>
      <w:r w:rsidR="00AB5E7A" w:rsidRPr="00535D06">
        <w:rPr>
          <w:rFonts w:eastAsia="Calibri" w:cs="Times New Roman"/>
          <w:b/>
          <w:bCs/>
          <w:lang w:val="es-ES"/>
        </w:rPr>
        <w:t>litis</w:t>
      </w:r>
      <w:proofErr w:type="spellEnd"/>
      <w:r w:rsidR="003B2420" w:rsidRPr="0032581C">
        <w:rPr>
          <w:rFonts w:eastAsia="Calibri" w:cs="Times New Roman"/>
          <w:b/>
          <w:bCs/>
          <w:lang w:val="es-ES"/>
        </w:rPr>
        <w:t>.</w:t>
      </w:r>
      <w:bookmarkEnd w:id="48"/>
      <w:r w:rsidR="003B2420" w:rsidRPr="0032581C">
        <w:rPr>
          <w:rFonts w:eastAsia="Calibri" w:cs="Times New Roman"/>
          <w:b/>
          <w:bCs/>
          <w:lang w:val="es-ES"/>
        </w:rPr>
        <w:t xml:space="preserve"> </w:t>
      </w:r>
    </w:p>
    <w:p w14:paraId="3AE3CCD3" w14:textId="77777777" w:rsidR="00762A67" w:rsidRPr="00762A67" w:rsidRDefault="00762A67" w:rsidP="00762A67">
      <w:pPr>
        <w:rPr>
          <w:lang w:val="es-ES" w:eastAsia="en-US"/>
        </w:rPr>
      </w:pPr>
    </w:p>
    <w:p w14:paraId="607EC451" w14:textId="77777777" w:rsidR="003B2420" w:rsidRDefault="003B2420" w:rsidP="003B2420">
      <w:pPr>
        <w:rPr>
          <w:lang w:val="es-ES" w:eastAsia="en-US"/>
        </w:rPr>
      </w:pPr>
    </w:p>
    <w:p w14:paraId="600B9E36" w14:textId="77777777" w:rsidR="0061388E" w:rsidRPr="0061388E" w:rsidRDefault="00326BBB" w:rsidP="00027112">
      <w:pPr>
        <w:pStyle w:val="Prrafodelista"/>
        <w:numPr>
          <w:ilvl w:val="0"/>
          <w:numId w:val="1"/>
        </w:numPr>
        <w:spacing w:line="360" w:lineRule="auto"/>
        <w:ind w:left="0" w:firstLine="0"/>
        <w:jc w:val="both"/>
        <w:rPr>
          <w:rFonts w:ascii="Palatino Linotype" w:hAnsi="Palatino Linotype" w:cs="Arial"/>
          <w:color w:val="000000" w:themeColor="text1"/>
        </w:rPr>
      </w:pPr>
      <w:bookmarkStart w:id="49" w:name="_Toc531781772"/>
      <w:r w:rsidRPr="0061388E">
        <w:rPr>
          <w:rFonts w:ascii="Palatino Linotype" w:eastAsia="Calibri" w:hAnsi="Palatino Linotype" w:cs="Arial"/>
        </w:rPr>
        <w:t xml:space="preserve">El </w:t>
      </w:r>
      <w:r w:rsidRPr="0061388E">
        <w:rPr>
          <w:rFonts w:ascii="Palatino Linotype" w:hAnsi="Palatino Linotype" w:cs="Arial"/>
          <w:b/>
        </w:rPr>
        <w:t xml:space="preserve">SUJETO OBLIGADO </w:t>
      </w:r>
      <w:r w:rsidRPr="0061388E">
        <w:rPr>
          <w:rFonts w:ascii="Palatino Linotype" w:hAnsi="Palatino Linotype" w:cs="Arial"/>
        </w:rPr>
        <w:t>fue omiso en atender la solicitud de acceso a la información pública presentada por el particular en el periodo comprendido para dar respuesta.</w:t>
      </w:r>
    </w:p>
    <w:p w14:paraId="6FA62E3F" w14:textId="77777777" w:rsidR="0061388E" w:rsidRPr="0061388E" w:rsidRDefault="0061388E" w:rsidP="0061388E">
      <w:pPr>
        <w:pStyle w:val="Prrafodelista"/>
        <w:spacing w:line="360" w:lineRule="auto"/>
        <w:ind w:left="0"/>
        <w:jc w:val="both"/>
        <w:rPr>
          <w:rFonts w:ascii="Palatino Linotype" w:hAnsi="Palatino Linotype" w:cs="Arial"/>
          <w:color w:val="000000" w:themeColor="text1"/>
        </w:rPr>
      </w:pPr>
    </w:p>
    <w:p w14:paraId="062DEB5E" w14:textId="38C16E03" w:rsidR="00326BBB" w:rsidRPr="0061388E" w:rsidRDefault="00326BBB" w:rsidP="00027112">
      <w:pPr>
        <w:pStyle w:val="Prrafodelista"/>
        <w:numPr>
          <w:ilvl w:val="0"/>
          <w:numId w:val="1"/>
        </w:numPr>
        <w:spacing w:line="360" w:lineRule="auto"/>
        <w:ind w:left="0" w:firstLine="0"/>
        <w:jc w:val="both"/>
        <w:rPr>
          <w:rFonts w:ascii="Palatino Linotype" w:hAnsi="Palatino Linotype" w:cs="Arial"/>
          <w:color w:val="000000" w:themeColor="text1"/>
        </w:rPr>
      </w:pPr>
      <w:r w:rsidRPr="0061388E">
        <w:rPr>
          <w:rFonts w:ascii="Palatino Linotype" w:hAnsi="Palatino Linotype" w:cs="Arial"/>
          <w:color w:val="000000" w:themeColor="text1"/>
        </w:rPr>
        <w:t xml:space="preserve">Derivado de la omisión del </w:t>
      </w:r>
      <w:r w:rsidRPr="0061388E">
        <w:rPr>
          <w:rFonts w:ascii="Palatino Linotype" w:hAnsi="Palatino Linotype" w:cs="Arial"/>
          <w:b/>
          <w:color w:val="000000" w:themeColor="text1"/>
        </w:rPr>
        <w:t>SUJETO OBLIGADO</w:t>
      </w:r>
      <w:r w:rsidRPr="0061388E">
        <w:rPr>
          <w:rFonts w:ascii="Palatino Linotype" w:hAnsi="Palatino Linotype" w:cs="Arial"/>
          <w:color w:val="000000" w:themeColor="text1"/>
        </w:rPr>
        <w:t xml:space="preserve">, la </w:t>
      </w:r>
      <w:r w:rsidRPr="0061388E">
        <w:rPr>
          <w:rFonts w:ascii="Palatino Linotype" w:hAnsi="Palatino Linotype" w:cs="Arial"/>
          <w:b/>
          <w:color w:val="000000" w:themeColor="text1"/>
        </w:rPr>
        <w:t>RECURRENTE</w:t>
      </w:r>
      <w:r w:rsidRPr="0061388E">
        <w:rPr>
          <w:rFonts w:ascii="Palatino Linotype" w:hAnsi="Palatino Linotype" w:cs="Arial"/>
          <w:color w:val="000000" w:themeColor="text1"/>
        </w:rPr>
        <w:t xml:space="preserve"> presentó su inconformidad señalando como razones o motivo de la inconformidad los ya transcritos.</w:t>
      </w:r>
    </w:p>
    <w:p w14:paraId="2AAB2F5F" w14:textId="77777777" w:rsidR="00326BBB" w:rsidRPr="00D52999" w:rsidRDefault="00326BBB" w:rsidP="00326BBB">
      <w:pPr>
        <w:pStyle w:val="Prrafodelista"/>
        <w:rPr>
          <w:rFonts w:ascii="Palatino Linotype" w:hAnsi="Palatino Linotype" w:cs="Arial"/>
          <w:color w:val="000000" w:themeColor="text1"/>
        </w:rPr>
      </w:pPr>
    </w:p>
    <w:p w14:paraId="04450829" w14:textId="2809E93F" w:rsidR="00326BBB" w:rsidRDefault="00326BBB" w:rsidP="00326BBB">
      <w:pPr>
        <w:pStyle w:val="Prrafodelista"/>
        <w:numPr>
          <w:ilvl w:val="0"/>
          <w:numId w:val="1"/>
        </w:numPr>
        <w:spacing w:line="360" w:lineRule="auto"/>
        <w:ind w:left="0" w:right="49" w:firstLine="0"/>
        <w:jc w:val="both"/>
        <w:rPr>
          <w:rFonts w:ascii="Palatino Linotype" w:eastAsia="MS Mincho" w:hAnsi="Palatino Linotype" w:cs="Arial"/>
        </w:rPr>
      </w:pPr>
      <w:r w:rsidRPr="00D52999">
        <w:rPr>
          <w:rFonts w:ascii="Palatino Linotype" w:eastAsia="MS Mincho" w:hAnsi="Palatino Linotype" w:cs="Arial"/>
        </w:rPr>
        <w:lastRenderedPageBreak/>
        <w:t>En</w:t>
      </w:r>
      <w:r w:rsidRPr="00D52999">
        <w:rPr>
          <w:rFonts w:ascii="Palatino Linotype" w:eastAsia="Times New Roman" w:hAnsi="Palatino Linotype" w:cs="Arial"/>
        </w:rPr>
        <w:t xml:space="preserve"> </w:t>
      </w:r>
      <w:r w:rsidRPr="00D52999">
        <w:rPr>
          <w:rFonts w:ascii="Palatino Linotype" w:hAnsi="Palatino Linotype" w:cs="Arial"/>
          <w:lang w:eastAsia="es-MX"/>
        </w:rPr>
        <w:t>dichas</w:t>
      </w:r>
      <w:r w:rsidRPr="00D52999">
        <w:rPr>
          <w:rFonts w:ascii="Palatino Linotype" w:eastAsia="Times New Roman" w:hAnsi="Palatino Linotype" w:cs="Arial"/>
        </w:rPr>
        <w:t xml:space="preserve"> condiciones, la </w:t>
      </w:r>
      <w:r w:rsidRPr="00D52999">
        <w:rPr>
          <w:rFonts w:ascii="Palatino Linotype" w:eastAsia="Times New Roman" w:hAnsi="Palatino Linotype" w:cs="Arial"/>
          <w:i/>
        </w:rPr>
        <w:t>Litis</w:t>
      </w:r>
      <w:r w:rsidRPr="00D52999">
        <w:rPr>
          <w:rFonts w:ascii="Palatino Linotype" w:eastAsia="Times New Roman" w:hAnsi="Palatino Linotype" w:cs="Arial"/>
        </w:rPr>
        <w:t xml:space="preserve"> a resolver en este recurso se circunscribe a determinar si </w:t>
      </w:r>
      <w:r w:rsidRPr="00D52999">
        <w:rPr>
          <w:rFonts w:ascii="Palatino Linotype" w:eastAsia="MS Mincho" w:hAnsi="Palatino Linotype" w:cs="Arial"/>
        </w:rPr>
        <w:t>se actualiza</w:t>
      </w:r>
      <w:r>
        <w:rPr>
          <w:rFonts w:ascii="Palatino Linotype" w:eastAsia="MS Mincho" w:hAnsi="Palatino Linotype" w:cs="Arial"/>
        </w:rPr>
        <w:t>n</w:t>
      </w:r>
      <w:r w:rsidRPr="00D52999">
        <w:rPr>
          <w:rFonts w:ascii="Palatino Linotype" w:eastAsia="MS Mincho" w:hAnsi="Palatino Linotype" w:cs="Arial"/>
        </w:rPr>
        <w:t xml:space="preserve"> la</w:t>
      </w:r>
      <w:r>
        <w:rPr>
          <w:rFonts w:ascii="Palatino Linotype" w:eastAsia="MS Mincho" w:hAnsi="Palatino Linotype" w:cs="Arial"/>
        </w:rPr>
        <w:t>s</w:t>
      </w:r>
      <w:r w:rsidRPr="00D52999">
        <w:rPr>
          <w:rFonts w:ascii="Palatino Linotype" w:eastAsia="MS Mincho" w:hAnsi="Palatino Linotype" w:cs="Arial"/>
        </w:rPr>
        <w:t xml:space="preserve"> causal</w:t>
      </w:r>
      <w:r>
        <w:rPr>
          <w:rFonts w:ascii="Palatino Linotype" w:eastAsia="MS Mincho" w:hAnsi="Palatino Linotype" w:cs="Arial"/>
        </w:rPr>
        <w:t>es</w:t>
      </w:r>
      <w:r w:rsidRPr="00D52999">
        <w:rPr>
          <w:rFonts w:ascii="Palatino Linotype" w:eastAsia="MS Mincho" w:hAnsi="Palatino Linotype" w:cs="Arial"/>
        </w:rPr>
        <w:t xml:space="preserve"> de procedencia prevista</w:t>
      </w:r>
      <w:r>
        <w:rPr>
          <w:rFonts w:ascii="Palatino Linotype" w:eastAsia="MS Mincho" w:hAnsi="Palatino Linotype" w:cs="Arial"/>
        </w:rPr>
        <w:t>s</w:t>
      </w:r>
      <w:r w:rsidRPr="00D52999">
        <w:rPr>
          <w:rFonts w:ascii="Palatino Linotype" w:eastAsia="MS Mincho" w:hAnsi="Palatino Linotype" w:cs="Arial"/>
        </w:rPr>
        <w:t xml:space="preserve"> e</w:t>
      </w:r>
      <w:r>
        <w:rPr>
          <w:rFonts w:ascii="Palatino Linotype" w:eastAsia="MS Mincho" w:hAnsi="Palatino Linotype" w:cs="Arial"/>
        </w:rPr>
        <w:t>n las fracciones VII y XI del</w:t>
      </w:r>
      <w:r w:rsidRPr="00D52999">
        <w:rPr>
          <w:rFonts w:ascii="Palatino Linotype" w:eastAsia="MS Mincho" w:hAnsi="Palatino Linotype" w:cs="Arial"/>
        </w:rPr>
        <w:t xml:space="preserve"> artículo </w:t>
      </w:r>
      <w:r>
        <w:rPr>
          <w:rFonts w:ascii="Palatino Linotype" w:eastAsia="MS Mincho" w:hAnsi="Palatino Linotype" w:cs="Arial"/>
        </w:rPr>
        <w:t xml:space="preserve">179 de la </w:t>
      </w:r>
      <w:r w:rsidRPr="007F3522">
        <w:rPr>
          <w:rFonts w:ascii="Palatino Linotype" w:eastAsia="MS Mincho" w:hAnsi="Palatino Linotype" w:cs="Arial"/>
          <w:b/>
        </w:rPr>
        <w:t>Ley de Transparencia y Acceso a la Información Pública del Estado de México y Municipios</w:t>
      </w:r>
      <w:r w:rsidRPr="00D52999">
        <w:rPr>
          <w:rFonts w:ascii="Palatino Linotype" w:eastAsia="MS Mincho" w:hAnsi="Palatino Linotype" w:cs="Arial"/>
        </w:rPr>
        <w:t>, en virtud que la</w:t>
      </w:r>
      <w:r>
        <w:rPr>
          <w:rFonts w:ascii="Palatino Linotype" w:eastAsia="MS Mincho" w:hAnsi="Palatino Linotype" w:cs="Arial"/>
        </w:rPr>
        <w:t>s</w:t>
      </w:r>
      <w:r w:rsidRPr="00D52999">
        <w:rPr>
          <w:rFonts w:ascii="Palatino Linotype" w:eastAsia="MS Mincho" w:hAnsi="Palatino Linotype" w:cs="Arial"/>
        </w:rPr>
        <w:t xml:space="preserve"> misma</w:t>
      </w:r>
      <w:r>
        <w:rPr>
          <w:rFonts w:ascii="Palatino Linotype" w:eastAsia="MS Mincho" w:hAnsi="Palatino Linotype" w:cs="Arial"/>
        </w:rPr>
        <w:t>s</w:t>
      </w:r>
      <w:r w:rsidRPr="00D52999">
        <w:rPr>
          <w:rFonts w:ascii="Palatino Linotype" w:eastAsia="MS Mincho" w:hAnsi="Palatino Linotype" w:cs="Arial"/>
        </w:rPr>
        <w:t xml:space="preserve"> establece</w:t>
      </w:r>
      <w:r>
        <w:rPr>
          <w:rFonts w:ascii="Palatino Linotype" w:eastAsia="MS Mincho" w:hAnsi="Palatino Linotype" w:cs="Arial"/>
        </w:rPr>
        <w:t>n</w:t>
      </w:r>
      <w:r w:rsidRPr="00D52999">
        <w:rPr>
          <w:rFonts w:ascii="Palatino Linotype" w:eastAsia="MS Mincho" w:hAnsi="Palatino Linotype" w:cs="Arial"/>
        </w:rPr>
        <w:t xml:space="preserve"> la falta de respuesta a una solicitud de acceso a la información</w:t>
      </w:r>
      <w:r>
        <w:rPr>
          <w:rFonts w:ascii="Palatino Linotype" w:eastAsia="MS Mincho" w:hAnsi="Palatino Linotype" w:cs="Arial"/>
        </w:rPr>
        <w:t xml:space="preserve"> y la falta de trámite a una solicitud</w:t>
      </w:r>
      <w:r w:rsidRPr="00D52999">
        <w:rPr>
          <w:rFonts w:ascii="Palatino Linotype" w:eastAsia="MS Mincho" w:hAnsi="Palatino Linotype" w:cs="Arial"/>
        </w:rPr>
        <w:t>; contexto del</w:t>
      </w:r>
      <w:r>
        <w:rPr>
          <w:rFonts w:ascii="Palatino Linotype" w:eastAsia="MS Mincho" w:hAnsi="Palatino Linotype" w:cs="Arial"/>
        </w:rPr>
        <w:t xml:space="preserve"> cual se dolió la </w:t>
      </w:r>
      <w:r>
        <w:rPr>
          <w:rFonts w:ascii="Palatino Linotype" w:eastAsia="MS Mincho" w:hAnsi="Palatino Linotype" w:cs="Arial"/>
          <w:b/>
        </w:rPr>
        <w:t>RECURRENTE</w:t>
      </w:r>
      <w:r w:rsidRPr="00D52999">
        <w:rPr>
          <w:rFonts w:ascii="Palatino Linotype" w:eastAsia="MS Mincho" w:hAnsi="Palatino Linotype" w:cs="Arial"/>
        </w:rPr>
        <w:t xml:space="preserve"> al momento de interponer el recurso de mérito.</w:t>
      </w:r>
    </w:p>
    <w:p w14:paraId="554919D3" w14:textId="77777777" w:rsidR="0061388E" w:rsidRDefault="0061388E" w:rsidP="00AB5E7A">
      <w:pPr>
        <w:keepNext/>
        <w:keepLines/>
        <w:spacing w:before="40"/>
        <w:outlineLvl w:val="1"/>
        <w:rPr>
          <w:rFonts w:ascii="Palatino Linotype" w:eastAsia="Calibri" w:hAnsi="Palatino Linotype" w:cs="Times New Roman"/>
          <w:b/>
          <w:bCs/>
          <w:lang w:val="es-ES"/>
        </w:rPr>
      </w:pPr>
    </w:p>
    <w:p w14:paraId="596BB403" w14:textId="1225EF42" w:rsidR="00326BBB" w:rsidRDefault="005D3CE5" w:rsidP="00AB5E7A">
      <w:pPr>
        <w:keepNext/>
        <w:keepLines/>
        <w:spacing w:before="40"/>
        <w:outlineLvl w:val="1"/>
        <w:rPr>
          <w:rFonts w:ascii="Palatino Linotype" w:eastAsia="MS Gothic" w:hAnsi="Palatino Linotype" w:cs="Times New Roman"/>
          <w:b/>
        </w:rPr>
      </w:pPr>
      <w:bookmarkStart w:id="50" w:name="_Toc9511341"/>
      <w:r>
        <w:rPr>
          <w:rFonts w:ascii="Palatino Linotype" w:eastAsia="Calibri" w:hAnsi="Palatino Linotype" w:cs="Times New Roman"/>
          <w:b/>
          <w:bCs/>
          <w:lang w:val="es-ES"/>
        </w:rPr>
        <w:t>QUINTO</w:t>
      </w:r>
      <w:r w:rsidR="00AB5E7A" w:rsidRPr="008C6FAB">
        <w:rPr>
          <w:rFonts w:ascii="Palatino Linotype" w:eastAsia="Calibri" w:hAnsi="Palatino Linotype" w:cs="Times New Roman"/>
          <w:b/>
          <w:bCs/>
          <w:lang w:val="es-ES"/>
        </w:rPr>
        <w:t xml:space="preserve">. </w:t>
      </w:r>
      <w:r w:rsidR="00AB5E7A" w:rsidRPr="008C6FAB">
        <w:rPr>
          <w:rFonts w:ascii="Palatino Linotype" w:eastAsia="MS Gothic" w:hAnsi="Palatino Linotype" w:cs="Times New Roman"/>
          <w:b/>
        </w:rPr>
        <w:t>Del estudio y resolución del asunto</w:t>
      </w:r>
      <w:bookmarkEnd w:id="49"/>
      <w:r w:rsidR="00AB5E7A">
        <w:rPr>
          <w:rFonts w:ascii="Palatino Linotype" w:eastAsia="MS Gothic" w:hAnsi="Palatino Linotype" w:cs="Times New Roman"/>
          <w:b/>
        </w:rPr>
        <w:t>.</w:t>
      </w:r>
      <w:bookmarkEnd w:id="50"/>
      <w:r w:rsidR="00AB5E7A" w:rsidRPr="008C6FAB">
        <w:rPr>
          <w:rFonts w:ascii="Palatino Linotype" w:eastAsia="MS Gothic" w:hAnsi="Palatino Linotype" w:cs="Times New Roman"/>
          <w:b/>
        </w:rPr>
        <w:t xml:space="preserve"> </w:t>
      </w:r>
    </w:p>
    <w:p w14:paraId="0BF49089" w14:textId="77777777" w:rsidR="00326BBB" w:rsidRDefault="00326BBB" w:rsidP="00AB5E7A">
      <w:pPr>
        <w:keepNext/>
        <w:keepLines/>
        <w:spacing w:before="40"/>
        <w:outlineLvl w:val="1"/>
        <w:rPr>
          <w:rFonts w:ascii="Palatino Linotype" w:eastAsia="MS Gothic" w:hAnsi="Palatino Linotype" w:cs="Times New Roman"/>
          <w:b/>
        </w:rPr>
      </w:pPr>
    </w:p>
    <w:p w14:paraId="2C16BDC3" w14:textId="77777777" w:rsidR="00326BBB" w:rsidRDefault="00326BBB" w:rsidP="00DC31FF">
      <w:pPr>
        <w:pStyle w:val="Ttulo1"/>
        <w:numPr>
          <w:ilvl w:val="0"/>
          <w:numId w:val="3"/>
        </w:numPr>
        <w:rPr>
          <w:b/>
        </w:rPr>
      </w:pPr>
      <w:bookmarkStart w:id="51" w:name="_Toc1585428"/>
      <w:bookmarkStart w:id="52" w:name="_Toc4684437"/>
      <w:bookmarkStart w:id="53" w:name="_Toc9511342"/>
      <w:bookmarkStart w:id="54" w:name="_Toc4071139"/>
      <w:r w:rsidRPr="00C91BE4">
        <w:rPr>
          <w:b/>
        </w:rPr>
        <w:t>Del deber de las autoridades de promover, respetar, proteger y garantizar el derecho de acceso a la información pública.</w:t>
      </w:r>
      <w:bookmarkEnd w:id="51"/>
      <w:bookmarkEnd w:id="52"/>
      <w:bookmarkEnd w:id="53"/>
    </w:p>
    <w:p w14:paraId="7F7AB1C9" w14:textId="77777777" w:rsidR="00326BBB" w:rsidRDefault="00326BBB" w:rsidP="00326BBB">
      <w:pPr>
        <w:rPr>
          <w:lang w:eastAsia="en-US"/>
        </w:rPr>
      </w:pPr>
    </w:p>
    <w:p w14:paraId="210364F5" w14:textId="77777777" w:rsidR="00326BBB" w:rsidRPr="00C91BE4" w:rsidRDefault="00326BBB" w:rsidP="00326BBB">
      <w:pPr>
        <w:rPr>
          <w:lang w:eastAsia="en-US"/>
        </w:rPr>
      </w:pPr>
    </w:p>
    <w:p w14:paraId="1A44C513" w14:textId="77777777" w:rsidR="00326BBB" w:rsidRPr="00E27A05" w:rsidRDefault="00326BBB"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exicanos y en el artículo 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w:t>
      </w:r>
      <w:r w:rsidRPr="00134788">
        <w:rPr>
          <w:rFonts w:ascii="Palatino Linotype" w:eastAsia="Times New Roman" w:hAnsi="Palatino Linotype" w:cs="Arial"/>
          <w:color w:val="000000"/>
        </w:rPr>
        <w:lastRenderedPageBreak/>
        <w:t xml:space="preserve">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5B493AF9" w14:textId="77777777" w:rsidR="00326BBB" w:rsidRPr="00D87527" w:rsidRDefault="00326BBB" w:rsidP="00326BBB">
      <w:pPr>
        <w:pStyle w:val="Prrafodelista"/>
        <w:spacing w:before="240" w:after="240" w:line="360" w:lineRule="auto"/>
        <w:ind w:left="0" w:right="49"/>
        <w:jc w:val="both"/>
        <w:rPr>
          <w:rFonts w:ascii="Palatino Linotype" w:eastAsia="MS Mincho" w:hAnsi="Palatino Linotype" w:cs="Times New Roman"/>
          <w:color w:val="000000"/>
        </w:rPr>
      </w:pPr>
    </w:p>
    <w:p w14:paraId="236850D4" w14:textId="77777777" w:rsidR="00326BBB" w:rsidRPr="00C00806" w:rsidRDefault="00326BBB" w:rsidP="00326BB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2"/>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3"/>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4"/>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5"/>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3F19DD8" w14:textId="77777777" w:rsidR="00326BBB" w:rsidRPr="008B387A" w:rsidRDefault="00326BBB" w:rsidP="00326BBB">
      <w:pPr>
        <w:pStyle w:val="Prrafodelista"/>
        <w:rPr>
          <w:rFonts w:ascii="Palatino Linotype" w:eastAsia="Times New Roman" w:hAnsi="Palatino Linotype"/>
        </w:rPr>
      </w:pPr>
    </w:p>
    <w:p w14:paraId="17415697" w14:textId="77777777" w:rsidR="00326BBB" w:rsidRDefault="00326BBB" w:rsidP="00326BB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w:t>
      </w:r>
      <w:r w:rsidRPr="003A6393">
        <w:rPr>
          <w:rFonts w:ascii="Palatino Linotype" w:eastAsia="Times New Roman" w:hAnsi="Palatino Linotype"/>
        </w:rPr>
        <w:lastRenderedPageBreak/>
        <w:t>autoridades en el ámbito de sus competencias, funciones y atribuciones tienen la obligación de respetarlo, protegerlo y garantizarlo.</w:t>
      </w:r>
    </w:p>
    <w:p w14:paraId="40A3A0B8" w14:textId="77777777" w:rsidR="00326BBB" w:rsidRPr="00CB0567" w:rsidRDefault="00326BBB" w:rsidP="00326BBB">
      <w:pPr>
        <w:pStyle w:val="Prrafodelista"/>
        <w:rPr>
          <w:rFonts w:ascii="Palatino Linotype" w:eastAsia="Times New Roman" w:hAnsi="Palatino Linotype"/>
        </w:rPr>
      </w:pPr>
    </w:p>
    <w:p w14:paraId="60597FB8" w14:textId="77777777" w:rsidR="00326BBB" w:rsidRPr="004917BA" w:rsidRDefault="00326BBB" w:rsidP="00326BBB">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Pr>
          <w:rFonts w:ascii="Palatino Linotype" w:eastAsia="Times New Roman" w:hAnsi="Palatino Linotype"/>
        </w:rPr>
        <w:t xml:space="preserve">En el caso concreto que nos ocupa analizar, el </w:t>
      </w:r>
      <w:r>
        <w:rPr>
          <w:rFonts w:ascii="Palatino Linotype" w:eastAsia="Times New Roman" w:hAnsi="Palatino Linotype"/>
          <w:b/>
        </w:rPr>
        <w:t xml:space="preserve">SUJETO OBLIGADO </w:t>
      </w:r>
      <w:r>
        <w:rPr>
          <w:rFonts w:ascii="Palatino Linotype" w:eastAsia="Times New Roman" w:hAnsi="Palatino Linotype"/>
        </w:rPr>
        <w:t>omitió responder a la solicitud de información,</w:t>
      </w:r>
      <w:r>
        <w:rPr>
          <w:rFonts w:ascii="Palatino Linotype" w:hAnsi="Palatino Linotype"/>
        </w:rPr>
        <w:t xml:space="preserve"> situación </w:t>
      </w:r>
      <w:r>
        <w:rPr>
          <w:rFonts w:ascii="Palatino Linotype" w:hAnsi="Palatino Linotype" w:cs="Arial"/>
          <w:szCs w:val="23"/>
        </w:rPr>
        <w:t xml:space="preserve">que constituye un agravio </w:t>
      </w:r>
      <w:r w:rsidRPr="004917BA">
        <w:rPr>
          <w:rFonts w:ascii="Palatino Linotype" w:hAnsi="Palatino Linotype" w:cs="Arial"/>
          <w:szCs w:val="23"/>
        </w:rPr>
        <w:t>indiscutible 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64859D9E" w14:textId="77777777" w:rsidR="00326BBB" w:rsidRPr="00666E61" w:rsidRDefault="00326BBB" w:rsidP="00326BBB">
      <w:pPr>
        <w:pStyle w:val="Prrafodelista"/>
        <w:rPr>
          <w:rFonts w:ascii="Palatino Linotype" w:eastAsia="Times New Roman" w:hAnsi="Palatino Linotype"/>
        </w:rPr>
      </w:pPr>
    </w:p>
    <w:p w14:paraId="2BB907CF" w14:textId="572E2396" w:rsidR="00326BBB" w:rsidRDefault="00326BBB" w:rsidP="005D3CE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874879C" w14:textId="77777777" w:rsidR="0061388E" w:rsidRPr="0061388E" w:rsidRDefault="0061388E" w:rsidP="0061388E">
      <w:pPr>
        <w:pStyle w:val="Prrafodelista"/>
        <w:rPr>
          <w:rFonts w:ascii="Palatino Linotype" w:eastAsia="Times New Roman" w:hAnsi="Palatino Linotype"/>
        </w:rPr>
      </w:pPr>
    </w:p>
    <w:p w14:paraId="746D6012" w14:textId="77777777" w:rsidR="00326BBB" w:rsidRDefault="00326BBB" w:rsidP="00DC31FF">
      <w:pPr>
        <w:pStyle w:val="Ttulo3"/>
        <w:numPr>
          <w:ilvl w:val="0"/>
          <w:numId w:val="3"/>
        </w:numPr>
        <w:rPr>
          <w:rFonts w:ascii="Palatino Linotype" w:hAnsi="Palatino Linotype"/>
          <w:b/>
          <w:color w:val="auto"/>
        </w:rPr>
      </w:pPr>
      <w:bookmarkStart w:id="55" w:name="_Toc4684438"/>
      <w:bookmarkStart w:id="56" w:name="_Toc9511343"/>
      <w:bookmarkEnd w:id="54"/>
      <w:r>
        <w:rPr>
          <w:rFonts w:ascii="Palatino Linotype" w:hAnsi="Palatino Linotype"/>
          <w:b/>
          <w:color w:val="auto"/>
        </w:rPr>
        <w:lastRenderedPageBreak/>
        <w:t>De la naturaleza jurídica de la información solicitada</w:t>
      </w:r>
      <w:bookmarkEnd w:id="55"/>
      <w:bookmarkEnd w:id="56"/>
    </w:p>
    <w:p w14:paraId="27A89211" w14:textId="77777777" w:rsidR="00F50129" w:rsidRPr="00F50129" w:rsidRDefault="00F50129" w:rsidP="00F50129"/>
    <w:p w14:paraId="30DC2267" w14:textId="77777777" w:rsidR="00325F5F" w:rsidRDefault="00325F5F" w:rsidP="00325F5F"/>
    <w:p w14:paraId="5712C457" w14:textId="77777777" w:rsidR="00F50129" w:rsidRPr="00F50129" w:rsidRDefault="00F50129" w:rsidP="00F5012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50129">
        <w:rPr>
          <w:rFonts w:ascii="Palatino Linotype" w:hAnsi="Palatino Linotype" w:cs="Arial"/>
          <w:color w:val="000000" w:themeColor="text1"/>
        </w:rPr>
        <w:t xml:space="preserve">En este sentido, es preciso mencionar que para </w:t>
      </w:r>
      <w:r w:rsidRPr="00F50129">
        <w:rPr>
          <w:rFonts w:ascii="Palatino Linotype" w:hAnsi="Palatino Linotype"/>
        </w:rPr>
        <w:t xml:space="preserve">tener por satisfecho </w:t>
      </w:r>
      <w:r w:rsidRPr="00F50129">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14:paraId="06031679" w14:textId="77777777" w:rsidR="00F50129" w:rsidRPr="0017560B" w:rsidRDefault="00F50129" w:rsidP="00F50129">
      <w:pPr>
        <w:spacing w:line="360" w:lineRule="auto"/>
        <w:jc w:val="both"/>
        <w:rPr>
          <w:rFonts w:ascii="Palatino Linotype" w:hAnsi="Palatino Linotype"/>
        </w:rPr>
      </w:pPr>
    </w:p>
    <w:p w14:paraId="3F81E3C4" w14:textId="77777777" w:rsidR="00F50129" w:rsidRPr="0017560B" w:rsidRDefault="00F50129" w:rsidP="00F5012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t>Así que el</w:t>
      </w:r>
      <w:r w:rsidRPr="0017560B">
        <w:rPr>
          <w:rFonts w:ascii="Palatino Linotype" w:hAnsi="Palatino Linotype" w:cs="Arial"/>
          <w:color w:val="000000" w:themeColor="text1"/>
        </w:rPr>
        <w:t xml:space="preserve"> </w:t>
      </w:r>
      <w:r>
        <w:rPr>
          <w:rFonts w:ascii="Palatino Linotype" w:hAnsi="Palatino Linotype" w:cs="Arial"/>
          <w:color w:val="000000" w:themeColor="text1"/>
        </w:rPr>
        <w:t>derecho</w:t>
      </w:r>
      <w:r w:rsidRPr="0017560B">
        <w:rPr>
          <w:rFonts w:ascii="Palatino Linotype" w:hAnsi="Palatino Linotype" w:cs="Arial"/>
          <w:color w:val="000000" w:themeColor="text1"/>
        </w:rPr>
        <w:t xml:space="preserve"> de acceso a la in</w:t>
      </w:r>
      <w:r>
        <w:rPr>
          <w:rFonts w:ascii="Palatino Linotype" w:hAnsi="Palatino Linotype" w:cs="Arial"/>
          <w:color w:val="000000" w:themeColor="text1"/>
        </w:rPr>
        <w:t>formación se tendrá por cumplido</w:t>
      </w:r>
      <w:r w:rsidRPr="0017560B">
        <w:rPr>
          <w:rFonts w:ascii="Palatino Linotype" w:hAnsi="Palatino Linotype" w:cs="Arial"/>
          <w:color w:val="000000" w:themeColor="text1"/>
        </w:rPr>
        <w:t xml:space="preserve"> cuando el solicitante tenga a su disposición la información requerida, o cuando realice su consulta en el lugar que ésta se localice, conforme a los artículos 3 fracción XI, XII 4, 12 y 24 último párrafo </w:t>
      </w:r>
      <w:r w:rsidRPr="0017560B">
        <w:rPr>
          <w:rFonts w:ascii="Palatino Linotype" w:hAnsi="Palatino Linotype" w:cs="Arial"/>
          <w:bCs/>
          <w:color w:val="000000" w:themeColor="text1"/>
        </w:rPr>
        <w:t>de la Ley de Transparencia y Acceso a la Información Pública del Estado de México y Municipios</w:t>
      </w:r>
      <w:r w:rsidRPr="0017560B">
        <w:rPr>
          <w:rFonts w:ascii="Palatino Linotype" w:hAnsi="Palatino Linotype" w:cs="Arial"/>
          <w:color w:val="000000" w:themeColor="text1"/>
        </w:rPr>
        <w:t>:</w:t>
      </w:r>
    </w:p>
    <w:p w14:paraId="750BBECD" w14:textId="77777777" w:rsidR="00F50129" w:rsidRPr="0017560B" w:rsidRDefault="00F50129" w:rsidP="00F50129">
      <w:pPr>
        <w:spacing w:line="360" w:lineRule="auto"/>
        <w:jc w:val="both"/>
        <w:rPr>
          <w:rFonts w:ascii="Palatino Linotype" w:hAnsi="Palatino Linotype" w:cs="Arial"/>
          <w:color w:val="000000" w:themeColor="text1"/>
        </w:rPr>
      </w:pPr>
    </w:p>
    <w:p w14:paraId="5EA3AE30"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
          <w:bCs/>
          <w:i/>
          <w:color w:val="000000" w:themeColor="text1"/>
          <w:sz w:val="22"/>
          <w:szCs w:val="22"/>
        </w:rPr>
        <w:t xml:space="preserve">“Artículo 3. </w:t>
      </w:r>
      <w:r w:rsidRPr="00F50129">
        <w:rPr>
          <w:rFonts w:ascii="Palatino Linotype" w:hAnsi="Palatino Linotype" w:cs="Arial"/>
          <w:bCs/>
          <w:i/>
          <w:color w:val="000000" w:themeColor="text1"/>
          <w:sz w:val="22"/>
          <w:szCs w:val="22"/>
          <w:u w:val="single"/>
        </w:rPr>
        <w:t>Para los efectos de la presente Ley se entenderá por</w:t>
      </w:r>
      <w:r w:rsidRPr="00F50129">
        <w:rPr>
          <w:rFonts w:ascii="Palatino Linotype" w:hAnsi="Palatino Linotype" w:cs="Arial"/>
          <w:bCs/>
          <w:i/>
          <w:color w:val="000000" w:themeColor="text1"/>
          <w:sz w:val="22"/>
          <w:szCs w:val="22"/>
        </w:rPr>
        <w:t>:</w:t>
      </w:r>
    </w:p>
    <w:p w14:paraId="485E610C" w14:textId="77777777" w:rsidR="00F50129" w:rsidRPr="00F50129" w:rsidRDefault="00F50129" w:rsidP="00F50129">
      <w:pPr>
        <w:spacing w:line="360" w:lineRule="auto"/>
        <w:ind w:left="851" w:right="616"/>
        <w:jc w:val="both"/>
        <w:rPr>
          <w:rFonts w:ascii="Palatino Linotype" w:hAnsi="Palatino Linotype" w:cs="Arial"/>
          <w:i/>
          <w:sz w:val="22"/>
          <w:szCs w:val="22"/>
        </w:rPr>
      </w:pPr>
      <w:r w:rsidRPr="00F50129">
        <w:rPr>
          <w:rFonts w:ascii="Palatino Linotype" w:hAnsi="Palatino Linotype" w:cs="Arial"/>
          <w:i/>
          <w:sz w:val="22"/>
          <w:szCs w:val="22"/>
        </w:rPr>
        <w:t>…</w:t>
      </w:r>
    </w:p>
    <w:p w14:paraId="67BDDBA1" w14:textId="77777777" w:rsidR="00F50129" w:rsidRPr="00F50129" w:rsidRDefault="00F50129" w:rsidP="00F50129">
      <w:pPr>
        <w:spacing w:line="360" w:lineRule="auto"/>
        <w:ind w:left="851" w:right="616"/>
        <w:jc w:val="both"/>
        <w:rPr>
          <w:rFonts w:ascii="Palatino Linotype" w:hAnsi="Palatino Linotype" w:cs="Arial"/>
          <w:b/>
          <w:bCs/>
          <w:i/>
          <w:color w:val="000000" w:themeColor="text1"/>
          <w:sz w:val="22"/>
          <w:szCs w:val="22"/>
        </w:rPr>
      </w:pPr>
    </w:p>
    <w:p w14:paraId="799F9A42"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
          <w:bCs/>
          <w:i/>
          <w:color w:val="000000" w:themeColor="text1"/>
          <w:sz w:val="22"/>
          <w:szCs w:val="22"/>
        </w:rPr>
        <w:t xml:space="preserve">XI. </w:t>
      </w:r>
      <w:r w:rsidRPr="00F50129">
        <w:rPr>
          <w:rFonts w:ascii="Palatino Linotype" w:hAnsi="Palatino Linotype" w:cs="Arial"/>
          <w:b/>
          <w:bCs/>
          <w:i/>
          <w:color w:val="000000" w:themeColor="text1"/>
          <w:sz w:val="22"/>
          <w:szCs w:val="22"/>
          <w:u w:val="single"/>
        </w:rPr>
        <w:t>Documento</w:t>
      </w:r>
      <w:r w:rsidRPr="00F50129">
        <w:rPr>
          <w:rFonts w:ascii="Palatino Linotype" w:hAnsi="Palatino Linotype" w:cs="Arial"/>
          <w:b/>
          <w:bCs/>
          <w:i/>
          <w:color w:val="000000" w:themeColor="text1"/>
          <w:sz w:val="22"/>
          <w:szCs w:val="22"/>
        </w:rPr>
        <w:t xml:space="preserve">: </w:t>
      </w:r>
      <w:r w:rsidRPr="00F50129">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EDCFF5" w14:textId="77777777" w:rsidR="00F50129" w:rsidRPr="00F50129" w:rsidRDefault="00F50129" w:rsidP="00F50129">
      <w:pPr>
        <w:spacing w:line="360" w:lineRule="auto"/>
        <w:ind w:left="851" w:right="616"/>
        <w:jc w:val="both"/>
        <w:rPr>
          <w:rFonts w:ascii="Palatino Linotype" w:hAnsi="Palatino Linotype" w:cs="Arial"/>
          <w:b/>
          <w:bCs/>
          <w:i/>
          <w:color w:val="000000" w:themeColor="text1"/>
          <w:sz w:val="22"/>
          <w:szCs w:val="22"/>
        </w:rPr>
      </w:pPr>
    </w:p>
    <w:p w14:paraId="104FDF1F" w14:textId="77777777" w:rsidR="00F50129" w:rsidRPr="00F50129" w:rsidRDefault="00F50129" w:rsidP="00F50129">
      <w:pPr>
        <w:spacing w:line="360" w:lineRule="auto"/>
        <w:ind w:left="851" w:right="616"/>
        <w:jc w:val="both"/>
        <w:rPr>
          <w:rFonts w:ascii="Palatino Linotype" w:hAnsi="Palatino Linotype" w:cs="Arial"/>
          <w:bCs/>
          <w:i/>
          <w:color w:val="000000" w:themeColor="text1"/>
          <w:sz w:val="22"/>
          <w:szCs w:val="22"/>
        </w:rPr>
      </w:pPr>
      <w:r w:rsidRPr="00F50129">
        <w:rPr>
          <w:rFonts w:ascii="Palatino Linotype" w:hAnsi="Palatino Linotype" w:cs="Arial"/>
          <w:b/>
          <w:bCs/>
          <w:i/>
          <w:color w:val="000000" w:themeColor="text1"/>
          <w:sz w:val="22"/>
          <w:szCs w:val="22"/>
        </w:rPr>
        <w:t>XII. Documento electrónico:</w:t>
      </w:r>
      <w:r w:rsidRPr="00F50129">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32F5824"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rPr>
        <w:t>…</w:t>
      </w:r>
    </w:p>
    <w:p w14:paraId="2A55398B" w14:textId="77777777" w:rsidR="00F50129" w:rsidRPr="00F50129" w:rsidRDefault="00F50129" w:rsidP="00F50129">
      <w:pPr>
        <w:spacing w:line="360" w:lineRule="auto"/>
        <w:ind w:left="851" w:right="616"/>
        <w:jc w:val="both"/>
        <w:rPr>
          <w:rFonts w:ascii="Palatino Linotype" w:hAnsi="Palatino Linotype" w:cs="Arial"/>
          <w:b/>
          <w:bCs/>
          <w:i/>
          <w:color w:val="000000" w:themeColor="text1"/>
          <w:sz w:val="22"/>
          <w:szCs w:val="22"/>
        </w:rPr>
      </w:pPr>
    </w:p>
    <w:p w14:paraId="228D4285" w14:textId="77777777" w:rsidR="00F50129" w:rsidRPr="00F50129" w:rsidRDefault="00F50129" w:rsidP="00F50129">
      <w:pPr>
        <w:spacing w:line="360" w:lineRule="auto"/>
        <w:ind w:left="851" w:right="616"/>
        <w:jc w:val="both"/>
        <w:rPr>
          <w:rFonts w:ascii="Palatino Linotype" w:hAnsi="Palatino Linotype" w:cs="Arial"/>
          <w:bCs/>
          <w:i/>
          <w:color w:val="000000" w:themeColor="text1"/>
          <w:sz w:val="22"/>
          <w:szCs w:val="22"/>
        </w:rPr>
      </w:pPr>
      <w:r w:rsidRPr="00F50129">
        <w:rPr>
          <w:rFonts w:ascii="Palatino Linotype" w:hAnsi="Palatino Linotype" w:cs="Arial"/>
          <w:b/>
          <w:bCs/>
          <w:i/>
          <w:color w:val="000000" w:themeColor="text1"/>
          <w:sz w:val="22"/>
          <w:szCs w:val="22"/>
        </w:rPr>
        <w:t xml:space="preserve">Artículo 4. </w:t>
      </w:r>
      <w:r w:rsidRPr="00F50129">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F50129">
        <w:rPr>
          <w:rFonts w:ascii="Palatino Linotype" w:hAnsi="Palatino Linotype" w:cs="Arial"/>
          <w:bCs/>
          <w:i/>
          <w:color w:val="000000" w:themeColor="text1"/>
          <w:sz w:val="22"/>
          <w:szCs w:val="22"/>
        </w:rPr>
        <w:t>, sin necesidad de acreditar personalidad ni interés jurídico.</w:t>
      </w:r>
    </w:p>
    <w:p w14:paraId="203DA490"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u w:val="single"/>
        </w:rPr>
      </w:pPr>
      <w:r w:rsidRPr="00F50129">
        <w:rPr>
          <w:rFonts w:ascii="Palatino Linotype" w:hAnsi="Palatino Linotype" w:cs="Arial"/>
          <w:i/>
          <w:color w:val="000000" w:themeColor="text1"/>
          <w:sz w:val="22"/>
          <w:szCs w:val="22"/>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p>
    <w:p w14:paraId="77DEDD49"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u w:val="single"/>
        </w:rPr>
      </w:pPr>
    </w:p>
    <w:p w14:paraId="3BDC2378"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u w:val="single"/>
        </w:rPr>
        <w:t>Ley y demás disposiciones de la materia, privilegiando el principio de máxima publicidad de la información.</w:t>
      </w:r>
      <w:r w:rsidRPr="00F50129">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14:paraId="07498671"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2AB75A58" w14:textId="77777777" w:rsidR="00F50129" w:rsidRPr="00F50129" w:rsidRDefault="00F50129" w:rsidP="00F50129">
      <w:pPr>
        <w:spacing w:line="360" w:lineRule="auto"/>
        <w:ind w:left="851" w:right="616"/>
        <w:jc w:val="both"/>
        <w:rPr>
          <w:rFonts w:ascii="Palatino Linotype" w:hAnsi="Palatino Linotype" w:cs="Arial"/>
          <w:b/>
          <w:bCs/>
          <w:i/>
          <w:color w:val="000000" w:themeColor="text1"/>
          <w:sz w:val="22"/>
          <w:szCs w:val="22"/>
        </w:rPr>
      </w:pPr>
    </w:p>
    <w:p w14:paraId="5711ABC6"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
          <w:bCs/>
          <w:i/>
          <w:color w:val="000000" w:themeColor="text1"/>
          <w:sz w:val="22"/>
          <w:szCs w:val="22"/>
        </w:rPr>
        <w:t xml:space="preserve">Artículo 12. </w:t>
      </w:r>
      <w:r w:rsidRPr="00F50129">
        <w:rPr>
          <w:rFonts w:ascii="Palatino Linotype" w:hAnsi="Palatino Linotype" w:cs="Arial"/>
          <w:i/>
          <w:color w:val="000000" w:themeColor="text1"/>
          <w:sz w:val="22"/>
          <w:szCs w:val="22"/>
        </w:rPr>
        <w:t>Quienes generen, recopilen, administren, manejen, procesen, archiven o conserven información pública serán responsables de la misma en los términos de las disposiciones jurídicas aplicables.</w:t>
      </w:r>
    </w:p>
    <w:p w14:paraId="5BF7A18C"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u w:val="single"/>
        </w:rPr>
        <w:t>Los sujetos obligados sólo proporcionarán la información pública que se les requiera y que obre en sus archivos y en el estado en que ésta se encuentre.</w:t>
      </w:r>
      <w:r w:rsidRPr="00F50129">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FD50CD"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rPr>
        <w:t>…</w:t>
      </w:r>
    </w:p>
    <w:p w14:paraId="22119341" w14:textId="77777777" w:rsidR="00F50129" w:rsidRPr="00F50129" w:rsidRDefault="00F50129" w:rsidP="00F50129">
      <w:pPr>
        <w:spacing w:line="360" w:lineRule="auto"/>
        <w:ind w:left="851" w:right="616"/>
        <w:jc w:val="both"/>
        <w:rPr>
          <w:rFonts w:ascii="Palatino Linotype" w:hAnsi="Palatino Linotype" w:cs="Arial"/>
          <w:b/>
          <w:bCs/>
          <w:i/>
          <w:color w:val="000000" w:themeColor="text1"/>
          <w:sz w:val="22"/>
          <w:szCs w:val="22"/>
        </w:rPr>
      </w:pPr>
    </w:p>
    <w:p w14:paraId="174AE2BB"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
          <w:bCs/>
          <w:i/>
          <w:color w:val="000000" w:themeColor="text1"/>
          <w:sz w:val="22"/>
          <w:szCs w:val="22"/>
        </w:rPr>
        <w:t xml:space="preserve">Artículo 24. </w:t>
      </w:r>
      <w:r w:rsidRPr="00F50129">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14:paraId="2EE8E9AA"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Cs/>
          <w:i/>
          <w:color w:val="000000" w:themeColor="text1"/>
          <w:sz w:val="22"/>
          <w:szCs w:val="22"/>
        </w:rPr>
        <w:t>..</w:t>
      </w:r>
      <w:r w:rsidRPr="00F50129">
        <w:rPr>
          <w:rFonts w:ascii="Palatino Linotype" w:hAnsi="Palatino Linotype" w:cs="Arial"/>
          <w:i/>
          <w:color w:val="000000" w:themeColor="text1"/>
          <w:sz w:val="22"/>
          <w:szCs w:val="22"/>
        </w:rPr>
        <w:t>.</w:t>
      </w:r>
    </w:p>
    <w:p w14:paraId="3858EE68" w14:textId="77777777" w:rsidR="00F50129" w:rsidRPr="00F50129" w:rsidRDefault="00F50129" w:rsidP="00F50129">
      <w:pPr>
        <w:spacing w:line="360" w:lineRule="auto"/>
        <w:ind w:left="851" w:right="616"/>
        <w:jc w:val="both"/>
        <w:rPr>
          <w:rFonts w:ascii="Palatino Linotype" w:hAnsi="Palatino Linotype" w:cs="Arial"/>
          <w:bCs/>
          <w:i/>
          <w:color w:val="000000" w:themeColor="text1"/>
          <w:sz w:val="22"/>
          <w:szCs w:val="22"/>
        </w:rPr>
      </w:pPr>
      <w:r w:rsidRPr="00F50129">
        <w:rPr>
          <w:rFonts w:ascii="Palatino Linotype" w:hAnsi="Palatino Linotype" w:cs="Arial"/>
          <w:b/>
          <w:bCs/>
          <w:i/>
          <w:color w:val="000000" w:themeColor="text1"/>
          <w:sz w:val="22"/>
          <w:szCs w:val="22"/>
        </w:rPr>
        <w:t>IX.</w:t>
      </w:r>
      <w:r w:rsidRPr="00F50129">
        <w:rPr>
          <w:rFonts w:ascii="Palatino Linotype" w:hAnsi="Palatino Linotype" w:cs="Arial"/>
          <w:bCs/>
          <w:i/>
          <w:color w:val="000000" w:themeColor="text1"/>
          <w:sz w:val="22"/>
          <w:szCs w:val="22"/>
        </w:rPr>
        <w:t xml:space="preserve"> Fomentar el uso de tecnologías de la información para garantizar la transparencia, el derecho de acceso a la información y la accesibilidad a éstos;</w:t>
      </w:r>
    </w:p>
    <w:p w14:paraId="46BEE8D8" w14:textId="77777777" w:rsidR="00F50129" w:rsidRPr="00F50129" w:rsidRDefault="00F50129" w:rsidP="00F50129">
      <w:pPr>
        <w:spacing w:line="360" w:lineRule="auto"/>
        <w:ind w:left="851" w:right="616"/>
        <w:jc w:val="both"/>
        <w:rPr>
          <w:rFonts w:ascii="Palatino Linotype" w:hAnsi="Palatino Linotype" w:cs="Arial"/>
          <w:bCs/>
          <w:i/>
          <w:color w:val="000000" w:themeColor="text1"/>
          <w:sz w:val="22"/>
          <w:szCs w:val="22"/>
        </w:rPr>
      </w:pPr>
      <w:r w:rsidRPr="00F50129">
        <w:rPr>
          <w:rFonts w:ascii="Palatino Linotype" w:hAnsi="Palatino Linotype" w:cs="Arial"/>
          <w:b/>
          <w:bCs/>
          <w:i/>
          <w:color w:val="000000" w:themeColor="text1"/>
          <w:sz w:val="22"/>
          <w:szCs w:val="22"/>
        </w:rPr>
        <w:t>…</w:t>
      </w:r>
    </w:p>
    <w:p w14:paraId="24F770E0" w14:textId="77777777" w:rsidR="00F50129" w:rsidRPr="00F50129" w:rsidRDefault="00F50129" w:rsidP="00F50129">
      <w:pPr>
        <w:spacing w:line="360" w:lineRule="auto"/>
        <w:ind w:left="851" w:right="616"/>
        <w:jc w:val="both"/>
        <w:rPr>
          <w:rFonts w:ascii="Palatino Linotype" w:hAnsi="Palatino Linotype" w:cs="Arial"/>
          <w:bCs/>
          <w:i/>
          <w:color w:val="000000" w:themeColor="text1"/>
          <w:sz w:val="22"/>
          <w:szCs w:val="22"/>
        </w:rPr>
      </w:pPr>
      <w:r w:rsidRPr="00F50129">
        <w:rPr>
          <w:rFonts w:ascii="Palatino Linotype" w:hAnsi="Palatino Linotype" w:cs="Arial"/>
          <w:b/>
          <w:bCs/>
          <w:i/>
          <w:color w:val="000000" w:themeColor="text1"/>
          <w:sz w:val="22"/>
          <w:szCs w:val="22"/>
        </w:rPr>
        <w:t>XI.</w:t>
      </w:r>
      <w:r w:rsidRPr="00F50129">
        <w:rPr>
          <w:rFonts w:ascii="Palatino Linotype" w:hAnsi="Palatino Linotype" w:cs="Arial"/>
          <w:bCs/>
          <w:i/>
          <w:color w:val="000000" w:themeColor="text1"/>
          <w:sz w:val="22"/>
          <w:szCs w:val="22"/>
        </w:rPr>
        <w:t xml:space="preserve"> </w:t>
      </w:r>
      <w:r w:rsidRPr="00F50129">
        <w:rPr>
          <w:rFonts w:ascii="Palatino Linotype" w:hAnsi="Palatino Linotype" w:cs="Arial"/>
          <w:bCs/>
          <w:i/>
          <w:color w:val="000000" w:themeColor="text1"/>
          <w:sz w:val="22"/>
          <w:szCs w:val="22"/>
          <w:u w:val="single"/>
        </w:rPr>
        <w:t>Dar acceso a la información pública que le sea requerida, en los términos de la Ley General, esta Ley y demás disposiciones jurídicas aplicables;</w:t>
      </w:r>
    </w:p>
    <w:p w14:paraId="43B20303"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bCs/>
          <w:i/>
          <w:color w:val="000000" w:themeColor="text1"/>
          <w:sz w:val="22"/>
          <w:szCs w:val="22"/>
        </w:rPr>
        <w:t>…</w:t>
      </w:r>
    </w:p>
    <w:p w14:paraId="1F2A686D"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rPr>
      </w:pPr>
      <w:r w:rsidRPr="00F50129">
        <w:rPr>
          <w:rFonts w:ascii="Palatino Linotype" w:hAnsi="Palatino Linotype" w:cs="Arial"/>
          <w:i/>
          <w:color w:val="000000" w:themeColor="text1"/>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38F4EB60" w14:textId="77777777" w:rsidR="00F50129" w:rsidRPr="00F50129" w:rsidRDefault="00F50129" w:rsidP="00F50129">
      <w:pPr>
        <w:spacing w:line="360" w:lineRule="auto"/>
        <w:ind w:left="851" w:right="616"/>
        <w:jc w:val="both"/>
        <w:rPr>
          <w:rFonts w:ascii="Palatino Linotype" w:hAnsi="Palatino Linotype" w:cs="Arial"/>
          <w:i/>
          <w:color w:val="000000" w:themeColor="text1"/>
          <w:sz w:val="22"/>
          <w:szCs w:val="22"/>
          <w:u w:val="single"/>
        </w:rPr>
      </w:pPr>
      <w:r w:rsidRPr="00F50129">
        <w:rPr>
          <w:rFonts w:ascii="Palatino Linotype" w:hAnsi="Palatino Linotype" w:cs="Arial"/>
          <w:i/>
          <w:color w:val="000000" w:themeColor="text1"/>
          <w:sz w:val="22"/>
          <w:szCs w:val="22"/>
          <w:u w:val="single"/>
        </w:rPr>
        <w:lastRenderedPageBreak/>
        <w:t>Los sujetos obligados solo proporcionarán la información pública que generen, administren o posean en el ejercicio de sus atribuciones.</w:t>
      </w:r>
    </w:p>
    <w:p w14:paraId="26F68A2F" w14:textId="77777777" w:rsidR="00F50129" w:rsidRPr="00F50129" w:rsidRDefault="00F50129" w:rsidP="00F50129">
      <w:pPr>
        <w:spacing w:line="360" w:lineRule="auto"/>
        <w:ind w:left="851" w:right="851"/>
        <w:jc w:val="both"/>
        <w:rPr>
          <w:rFonts w:ascii="Palatino Linotype" w:hAnsi="Palatino Linotype" w:cs="Arial"/>
          <w:i/>
          <w:color w:val="000000" w:themeColor="text1"/>
          <w:sz w:val="22"/>
          <w:szCs w:val="22"/>
        </w:rPr>
      </w:pPr>
    </w:p>
    <w:p w14:paraId="5B1FEB6A" w14:textId="77777777" w:rsidR="00F50129" w:rsidRPr="0017560B" w:rsidRDefault="00F50129" w:rsidP="00F5012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7560B">
        <w:rPr>
          <w:rFonts w:ascii="Palatino Linotype" w:hAnsi="Palatino Linotype" w:cs="Arial"/>
          <w:color w:val="000000" w:themeColor="text1"/>
        </w:rPr>
        <w:t>Por lo que el ejercicio del derecho de acceso a la información pública es la prerrogativa de las personas para buscar, difundir, investigar, recabar, recibir y solicitar información pública, sin necesidad de acreditar personalidad ni interés jurídico. 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2972024" w14:textId="77777777" w:rsidR="00F50129" w:rsidRPr="0017560B" w:rsidRDefault="00F50129" w:rsidP="00F50129">
      <w:pPr>
        <w:spacing w:line="360" w:lineRule="auto"/>
        <w:jc w:val="both"/>
        <w:rPr>
          <w:rFonts w:ascii="Palatino Linotype" w:hAnsi="Palatino Linotype" w:cs="Arial"/>
        </w:rPr>
      </w:pPr>
    </w:p>
    <w:p w14:paraId="2AB8EEBB" w14:textId="77777777" w:rsidR="00F50129" w:rsidRPr="0017560B" w:rsidRDefault="00F50129" w:rsidP="00F50129">
      <w:pPr>
        <w:pStyle w:val="Prrafodelista"/>
        <w:numPr>
          <w:ilvl w:val="0"/>
          <w:numId w:val="1"/>
        </w:numPr>
        <w:tabs>
          <w:tab w:val="left" w:pos="0"/>
        </w:tabs>
        <w:spacing w:line="360" w:lineRule="auto"/>
        <w:ind w:left="0" w:right="49" w:firstLine="0"/>
        <w:jc w:val="both"/>
        <w:rPr>
          <w:rFonts w:ascii="Palatino Linotype" w:hAnsi="Palatino Linotype" w:cs="Arial"/>
        </w:rPr>
      </w:pPr>
      <w:r w:rsidRPr="0017560B">
        <w:rPr>
          <w:rFonts w:ascii="Palatino Linotype" w:hAnsi="Palatino Linotype" w:cs="Arial"/>
        </w:rPr>
        <w:t>Aunado a lo anterior, los artículos 18 y 19 de la Ley de Transparencia y Acceso a la Información Pública del Estado de México y Municipios establecen lo siguiente:</w:t>
      </w:r>
    </w:p>
    <w:p w14:paraId="13AB33E8" w14:textId="77777777" w:rsidR="00F50129" w:rsidRPr="0017560B" w:rsidRDefault="00F50129" w:rsidP="00F50129">
      <w:pPr>
        <w:spacing w:line="360" w:lineRule="auto"/>
        <w:jc w:val="both"/>
        <w:rPr>
          <w:rFonts w:ascii="Palatino Linotype" w:hAnsi="Palatino Linotype" w:cs="Arial"/>
        </w:rPr>
      </w:pPr>
    </w:p>
    <w:p w14:paraId="29F3190F" w14:textId="77777777" w:rsidR="00F50129" w:rsidRPr="0017560B" w:rsidRDefault="00F50129" w:rsidP="00F50129">
      <w:pPr>
        <w:ind w:left="851" w:right="850"/>
        <w:jc w:val="both"/>
        <w:rPr>
          <w:rFonts w:ascii="Palatino Linotype" w:hAnsi="Palatino Linotype"/>
          <w:i/>
        </w:rPr>
      </w:pPr>
      <w:r w:rsidRPr="0017560B">
        <w:rPr>
          <w:rFonts w:ascii="Palatino Linotype" w:hAnsi="Palatino Linotype"/>
          <w:b/>
          <w:i/>
        </w:rPr>
        <w:t>Artículo 18.</w:t>
      </w:r>
      <w:r w:rsidRPr="0017560B">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6E151CC1" w14:textId="77777777" w:rsidR="00F50129" w:rsidRPr="0017560B" w:rsidRDefault="00F50129" w:rsidP="00F50129">
      <w:pPr>
        <w:ind w:left="851" w:right="850"/>
        <w:jc w:val="both"/>
        <w:rPr>
          <w:rFonts w:ascii="Palatino Linotype" w:hAnsi="Palatino Linotype"/>
          <w:i/>
        </w:rPr>
      </w:pPr>
    </w:p>
    <w:p w14:paraId="3AFCFCD1" w14:textId="77777777" w:rsidR="00F50129" w:rsidRPr="0017560B" w:rsidRDefault="00F50129" w:rsidP="00F50129">
      <w:pPr>
        <w:ind w:left="851" w:right="850"/>
        <w:jc w:val="both"/>
        <w:rPr>
          <w:rFonts w:ascii="Palatino Linotype" w:hAnsi="Palatino Linotype"/>
          <w:i/>
        </w:rPr>
      </w:pPr>
      <w:r w:rsidRPr="0017560B">
        <w:rPr>
          <w:rFonts w:ascii="Palatino Linotype" w:hAnsi="Palatino Linotype"/>
          <w:b/>
          <w:i/>
        </w:rPr>
        <w:t>Artículo 19.</w:t>
      </w:r>
      <w:r w:rsidRPr="0017560B">
        <w:rPr>
          <w:rFonts w:ascii="Palatino Linotype" w:hAnsi="Palatino Linotype"/>
          <w:i/>
        </w:rPr>
        <w:t xml:space="preserve"> Se presume que la información debe existir si se refiere a las facultades, competencias y funciones que los ordenamientos jurídicos aplicables otorgan a los sujetos obligados.</w:t>
      </w:r>
    </w:p>
    <w:p w14:paraId="167BBC90" w14:textId="77777777" w:rsidR="00F50129" w:rsidRPr="0017560B" w:rsidRDefault="00F50129" w:rsidP="00F50129">
      <w:pPr>
        <w:spacing w:line="360" w:lineRule="auto"/>
        <w:ind w:left="851" w:right="850"/>
        <w:jc w:val="both"/>
        <w:rPr>
          <w:rFonts w:ascii="Palatino Linotype" w:hAnsi="Palatino Linotype" w:cs="Arial"/>
          <w:i/>
        </w:rPr>
      </w:pPr>
      <w:r w:rsidRPr="0017560B">
        <w:rPr>
          <w:rFonts w:ascii="Palatino Linotype" w:hAnsi="Palatino Linotype"/>
          <w:i/>
        </w:rPr>
        <w:t>…</w:t>
      </w:r>
    </w:p>
    <w:p w14:paraId="23FDA39A" w14:textId="77777777" w:rsidR="00F50129" w:rsidRDefault="00F50129" w:rsidP="00F50129">
      <w:pPr>
        <w:pStyle w:val="Prrafodelista"/>
        <w:numPr>
          <w:ilvl w:val="0"/>
          <w:numId w:val="1"/>
        </w:numPr>
        <w:tabs>
          <w:tab w:val="left" w:pos="0"/>
        </w:tabs>
        <w:spacing w:line="360" w:lineRule="auto"/>
        <w:ind w:left="0" w:right="49" w:firstLine="0"/>
        <w:jc w:val="both"/>
        <w:rPr>
          <w:rFonts w:ascii="Palatino Linotype" w:hAnsi="Palatino Linotype"/>
        </w:rPr>
      </w:pPr>
      <w:r w:rsidRPr="0017560B">
        <w:rPr>
          <w:rFonts w:ascii="Palatino Linotype" w:hAnsi="Palatino Linotype"/>
        </w:rPr>
        <w:lastRenderedPageBreak/>
        <w:t>De la interpretación de los preceptos anteriormente transcritos se advierte que los sujetos obligados deberán documentar todo acto que derive del ejercicio de sus facultades, competencias o funciones y que se presume que la información debe existir si se refiere a las facultades, competencias y funciones que los ordenamientos jurídicos aplicables otorgan a los sujetos obligados.</w:t>
      </w:r>
    </w:p>
    <w:p w14:paraId="35841864" w14:textId="77777777" w:rsidR="00F50129" w:rsidRPr="00F50129" w:rsidRDefault="00F50129" w:rsidP="00F50129">
      <w:pPr>
        <w:pStyle w:val="Prrafodelista"/>
        <w:tabs>
          <w:tab w:val="left" w:pos="0"/>
        </w:tabs>
        <w:spacing w:line="360" w:lineRule="auto"/>
        <w:ind w:left="0" w:right="49"/>
        <w:jc w:val="both"/>
        <w:rPr>
          <w:rFonts w:ascii="Palatino Linotype" w:hAnsi="Palatino Linotype" w:cs="Arial"/>
          <w:color w:val="000000" w:themeColor="text1"/>
        </w:rPr>
      </w:pPr>
    </w:p>
    <w:p w14:paraId="7F7412F4" w14:textId="0B0E814C" w:rsidR="00325F5F" w:rsidRDefault="00325F5F" w:rsidP="00325F5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Pr>
          <w:rFonts w:ascii="Palatino Linotype" w:hAnsi="Palatino Linotype"/>
          <w:lang w:val="es-MX" w:eastAsia="en-US"/>
        </w:rPr>
        <w:t xml:space="preserve">En el caso concreto que nos ocupa analizar y derivado del </w:t>
      </w:r>
      <w:r w:rsidRPr="00D52999">
        <w:rPr>
          <w:rFonts w:ascii="Palatino Linotype" w:eastAsia="Calibri" w:hAnsi="Palatino Linotype" w:cs="Arial"/>
          <w:color w:val="000000" w:themeColor="text1"/>
          <w:lang w:val="es-MX" w:eastAsia="en-US"/>
        </w:rPr>
        <w:t>razonamiento lógico-jurídico de las constancias que obran en el expedient</w:t>
      </w:r>
      <w:r>
        <w:rPr>
          <w:rFonts w:ascii="Palatino Linotype" w:eastAsia="Calibri" w:hAnsi="Palatino Linotype" w:cs="Arial"/>
          <w:color w:val="000000" w:themeColor="text1"/>
          <w:lang w:val="es-MX" w:eastAsia="en-US"/>
        </w:rPr>
        <w:t>e electrónico al rubro indicado y</w:t>
      </w:r>
      <w:r w:rsidRPr="00D52999">
        <w:rPr>
          <w:rFonts w:ascii="Palatino Linotype" w:eastAsia="Calibri" w:hAnsi="Palatino Linotype" w:cs="Arial"/>
          <w:color w:val="000000" w:themeColor="text1"/>
          <w:lang w:val="es-MX" w:eastAsia="en-US"/>
        </w:rPr>
        <w:t xml:space="preserve"> </w:t>
      </w:r>
      <w:r>
        <w:rPr>
          <w:rFonts w:ascii="Palatino Linotype" w:hAnsi="Palatino Linotype"/>
        </w:rPr>
        <w:t xml:space="preserve">atendiendo los principios de simplicidad y rapidez antes mencionados y  reconocidos en el ejercicio del derecho de acceso a la información, </w:t>
      </w:r>
      <w:r>
        <w:rPr>
          <w:rFonts w:ascii="Palatino Linotype" w:eastAsia="Calibri" w:hAnsi="Palatino Linotype" w:cs="Arial"/>
          <w:color w:val="000000" w:themeColor="text1"/>
          <w:lang w:val="es-MX" w:eastAsia="en-US"/>
        </w:rPr>
        <w:t>la</w:t>
      </w:r>
      <w:r w:rsidRPr="00D52999">
        <w:rPr>
          <w:rFonts w:ascii="Palatino Linotype" w:hAnsi="Palatino Linotype" w:cs="Arial"/>
          <w:color w:val="000000" w:themeColor="text1"/>
        </w:rPr>
        <w:t xml:space="preserve"> hoy </w:t>
      </w:r>
      <w:r>
        <w:rPr>
          <w:rFonts w:ascii="Palatino Linotype" w:hAnsi="Palatino Linotype" w:cs="Arial"/>
          <w:b/>
          <w:color w:val="000000" w:themeColor="text1"/>
        </w:rPr>
        <w:t xml:space="preserve">RECURRENTE </w:t>
      </w:r>
      <w:r>
        <w:rPr>
          <w:rFonts w:ascii="Palatino Linotype" w:hAnsi="Palatino Linotype" w:cs="Arial"/>
          <w:color w:val="000000" w:themeColor="text1"/>
        </w:rPr>
        <w:t xml:space="preserve"> solicitó  lo siguiente</w:t>
      </w:r>
      <w:r w:rsidRPr="00D52999">
        <w:rPr>
          <w:rFonts w:ascii="Palatino Linotype" w:hAnsi="Palatino Linotype" w:cs="Arial"/>
          <w:color w:val="000000" w:themeColor="text1"/>
        </w:rPr>
        <w:t>:</w:t>
      </w:r>
    </w:p>
    <w:p w14:paraId="4682F668" w14:textId="77777777" w:rsidR="00325F5F" w:rsidRDefault="00325F5F" w:rsidP="00325F5F">
      <w:pPr>
        <w:pStyle w:val="Prrafodelista"/>
        <w:tabs>
          <w:tab w:val="left" w:pos="0"/>
        </w:tabs>
        <w:spacing w:line="360" w:lineRule="auto"/>
        <w:ind w:left="0" w:right="49"/>
        <w:jc w:val="both"/>
        <w:rPr>
          <w:rFonts w:ascii="Palatino Linotype" w:hAnsi="Palatino Linotype"/>
          <w:lang w:val="es-MX" w:eastAsia="en-US"/>
        </w:rPr>
      </w:pPr>
    </w:p>
    <w:p w14:paraId="2933DDA8" w14:textId="02AC559C" w:rsidR="00325F5F" w:rsidRPr="00325F5F" w:rsidRDefault="00325F5F" w:rsidP="00325F5F">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Pr>
          <w:rFonts w:ascii="Palatino Linotype" w:hAnsi="Palatino Linotype"/>
          <w:lang w:val="es-MX" w:eastAsia="en-US"/>
        </w:rPr>
        <w:t>Total de los gastos de campaña</w:t>
      </w:r>
      <w:r w:rsidR="0029520E">
        <w:rPr>
          <w:rFonts w:ascii="Palatino Linotype" w:hAnsi="Palatino Linotype"/>
          <w:lang w:val="es-MX" w:eastAsia="en-US"/>
        </w:rPr>
        <w:t>, detallados por concepto y cantidad</w:t>
      </w:r>
      <w:r>
        <w:rPr>
          <w:rFonts w:ascii="Palatino Linotype" w:hAnsi="Palatino Linotype"/>
          <w:lang w:val="es-MX" w:eastAsia="en-US"/>
        </w:rPr>
        <w:t xml:space="preserve"> para elección de la Presidenta Municipal de Naucalpan de Juárez, Patricia </w:t>
      </w:r>
      <w:r w:rsidR="0029520E">
        <w:rPr>
          <w:rFonts w:ascii="Palatino Linotype" w:hAnsi="Palatino Linotype"/>
          <w:lang w:val="es-MX" w:eastAsia="en-US"/>
        </w:rPr>
        <w:t>Elisa Duran Reveles;</w:t>
      </w:r>
    </w:p>
    <w:p w14:paraId="3FFDBC6D" w14:textId="37629443" w:rsidR="00325F5F" w:rsidRDefault="0029520E" w:rsidP="00325F5F">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Monto máximo autorizado por el INE para la campaña referida;</w:t>
      </w:r>
    </w:p>
    <w:p w14:paraId="285CF992" w14:textId="29D64147" w:rsidR="0029520E" w:rsidRDefault="0029520E" w:rsidP="00325F5F">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Nombre de las personas físicas y jurídico colectivas que realizaron donaciones a la campaña; así como el monto y detalle de cada una de las donaciones; y</w:t>
      </w:r>
    </w:p>
    <w:p w14:paraId="4ADA66D0" w14:textId="6472F963" w:rsidR="0029520E" w:rsidRDefault="0029520E" w:rsidP="0029520E">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Nombre de los proveedores contratados y si se encentran en el catálogo del INE.</w:t>
      </w:r>
    </w:p>
    <w:p w14:paraId="22570BC3" w14:textId="77777777" w:rsidR="0029520E" w:rsidRPr="0029520E" w:rsidRDefault="0029520E" w:rsidP="0029520E">
      <w:pPr>
        <w:pStyle w:val="Prrafodelista"/>
        <w:tabs>
          <w:tab w:val="left" w:pos="0"/>
        </w:tabs>
        <w:spacing w:line="360" w:lineRule="auto"/>
        <w:ind w:right="49"/>
        <w:jc w:val="both"/>
        <w:rPr>
          <w:rFonts w:ascii="Palatino Linotype" w:hAnsi="Palatino Linotype" w:cs="Arial"/>
          <w:color w:val="000000" w:themeColor="text1"/>
        </w:rPr>
      </w:pPr>
    </w:p>
    <w:p w14:paraId="7BE77F26" w14:textId="08D2BC91" w:rsidR="001227D9" w:rsidRDefault="00F50129" w:rsidP="001227D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lastRenderedPageBreak/>
        <w:t>Así entonces, respecto a la información requerida relacionada con los gastos de campaña de la Presidente Municipal de Naucalpan de Juárez y el monto máximo autorizado por el INE</w:t>
      </w:r>
      <w:r w:rsidR="00027112">
        <w:rPr>
          <w:rFonts w:ascii="Palatino Linotype" w:hAnsi="Palatino Linotype" w:cs="Arial"/>
          <w:color w:val="000000" w:themeColor="text1"/>
        </w:rPr>
        <w:t>, las donaciones recibidas y los proveedores contratados y registrados en el INE</w:t>
      </w:r>
      <w:r>
        <w:rPr>
          <w:rFonts w:ascii="Palatino Linotype" w:hAnsi="Palatino Linotype" w:cs="Arial"/>
          <w:color w:val="000000" w:themeColor="text1"/>
        </w:rPr>
        <w:t xml:space="preserve">, es de precisarse </w:t>
      </w:r>
      <w:r w:rsidR="00027112">
        <w:rPr>
          <w:rFonts w:ascii="Palatino Linotype" w:hAnsi="Palatino Linotype" w:cs="Arial"/>
          <w:color w:val="000000" w:themeColor="text1"/>
        </w:rPr>
        <w:t xml:space="preserve">que la Ley General de Partidos Políticos establece: </w:t>
      </w:r>
    </w:p>
    <w:p w14:paraId="1798B762" w14:textId="77777777" w:rsidR="00C151A1" w:rsidRPr="00C151A1" w:rsidRDefault="00C151A1" w:rsidP="00C151A1">
      <w:pPr>
        <w:pStyle w:val="Prrafodelista"/>
        <w:tabs>
          <w:tab w:val="left" w:pos="0"/>
        </w:tabs>
        <w:spacing w:line="360" w:lineRule="auto"/>
        <w:ind w:left="0" w:right="49"/>
        <w:jc w:val="both"/>
        <w:rPr>
          <w:rFonts w:ascii="Palatino Linotype" w:hAnsi="Palatino Linotype" w:cs="Arial"/>
          <w:color w:val="000000" w:themeColor="text1"/>
        </w:rPr>
      </w:pPr>
    </w:p>
    <w:p w14:paraId="00E6E134" w14:textId="77777777" w:rsidR="00027112" w:rsidRPr="00027112" w:rsidRDefault="00027112" w:rsidP="00027112">
      <w:pPr>
        <w:tabs>
          <w:tab w:val="left" w:pos="7513"/>
        </w:tabs>
        <w:spacing w:before="240" w:after="240"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w:t>
      </w:r>
      <w:r w:rsidRPr="00027112">
        <w:rPr>
          <w:rFonts w:ascii="Palatino Linotype" w:hAnsi="Palatino Linotype" w:cs="Arial"/>
          <w:b/>
          <w:i/>
          <w:sz w:val="22"/>
          <w:szCs w:val="22"/>
        </w:rPr>
        <w:t>Artículo 50.</w:t>
      </w:r>
      <w:r w:rsidRPr="00027112">
        <w:rPr>
          <w:rFonts w:ascii="Palatino Linotype" w:hAnsi="Palatino Linotype" w:cs="Arial"/>
          <w:i/>
          <w:sz w:val="22"/>
          <w:szCs w:val="22"/>
        </w:rPr>
        <w:t xml:space="preserve"> </w:t>
      </w:r>
    </w:p>
    <w:p w14:paraId="345A28A3"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1. Los partidos políticos tienen derecho a recibir, para desarrollar sus actividades, financiamiento público que se distribuirá de manera equitativa, conforme a lo establecido en el artículo 41, Base II de la Constitución, así como lo dispuesto en las constituciones locales. </w:t>
      </w:r>
    </w:p>
    <w:p w14:paraId="01D5B728"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2. El financiamiento público deberá prevalecer sobre otros tipos de financiamiento y será destinado para el sostenimiento de actividades ordinarias permanentes, gastos de procesos electorales y para actividades específicas como entidades de interés público. </w:t>
      </w:r>
    </w:p>
    <w:p w14:paraId="7EE03283"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Artículo 51. </w:t>
      </w:r>
    </w:p>
    <w:p w14:paraId="79FEBDE4"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1. Los partidos políticos tendrán derecho al financiamiento público de sus actividades, estructura, sueldos y salarios, independientemente de las demás prerrogativas otorgadas en esta Ley, conforme a las disposiciones siguientes: </w:t>
      </w:r>
    </w:p>
    <w:p w14:paraId="3CC7DB86" w14:textId="77777777" w:rsid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w:t>
      </w:r>
    </w:p>
    <w:p w14:paraId="58BFE0A0" w14:textId="77777777" w:rsidR="00C151A1" w:rsidRPr="00027112" w:rsidRDefault="00C151A1" w:rsidP="00027112">
      <w:pPr>
        <w:tabs>
          <w:tab w:val="left" w:pos="7513"/>
        </w:tabs>
        <w:spacing w:line="276" w:lineRule="auto"/>
        <w:ind w:left="709" w:right="616"/>
        <w:contextualSpacing/>
        <w:jc w:val="both"/>
        <w:rPr>
          <w:rFonts w:ascii="Palatino Linotype" w:hAnsi="Palatino Linotype" w:cs="Arial"/>
          <w:i/>
          <w:sz w:val="22"/>
          <w:szCs w:val="22"/>
        </w:rPr>
      </w:pPr>
    </w:p>
    <w:p w14:paraId="1F2AF592" w14:textId="162F1901" w:rsidR="00027112" w:rsidRPr="00027112" w:rsidRDefault="00027112" w:rsidP="00027112">
      <w:pPr>
        <w:pStyle w:val="Prrafodelista"/>
        <w:numPr>
          <w:ilvl w:val="0"/>
          <w:numId w:val="2"/>
        </w:numPr>
        <w:tabs>
          <w:tab w:val="left" w:pos="7513"/>
        </w:tabs>
        <w:spacing w:line="276" w:lineRule="auto"/>
        <w:ind w:right="616"/>
        <w:jc w:val="both"/>
        <w:rPr>
          <w:rFonts w:ascii="Palatino Linotype" w:hAnsi="Palatino Linotype" w:cs="Arial"/>
          <w:i/>
          <w:sz w:val="22"/>
          <w:szCs w:val="22"/>
        </w:rPr>
      </w:pPr>
      <w:r w:rsidRPr="00027112">
        <w:rPr>
          <w:rFonts w:ascii="Palatino Linotype" w:hAnsi="Palatino Linotype" w:cs="Arial"/>
          <w:b/>
          <w:i/>
          <w:sz w:val="22"/>
          <w:szCs w:val="22"/>
        </w:rPr>
        <w:t>Para gastos de Campaña</w:t>
      </w:r>
      <w:r w:rsidRPr="00027112">
        <w:rPr>
          <w:rFonts w:ascii="Palatino Linotype" w:hAnsi="Palatino Linotype" w:cs="Arial"/>
          <w:i/>
          <w:sz w:val="22"/>
          <w:szCs w:val="22"/>
        </w:rPr>
        <w:t>:</w:t>
      </w:r>
    </w:p>
    <w:p w14:paraId="5A3D7BB8" w14:textId="4E1BA8FF" w:rsidR="00027112" w:rsidRPr="00027112" w:rsidRDefault="00027112" w:rsidP="00027112">
      <w:pPr>
        <w:pStyle w:val="Prrafodelista"/>
        <w:tabs>
          <w:tab w:val="left" w:pos="7513"/>
        </w:tabs>
        <w:spacing w:line="276" w:lineRule="auto"/>
        <w:ind w:left="927" w:right="616"/>
        <w:jc w:val="both"/>
        <w:rPr>
          <w:rFonts w:ascii="Palatino Linotype" w:hAnsi="Palatino Linotype" w:cs="Arial"/>
          <w:i/>
          <w:sz w:val="22"/>
          <w:szCs w:val="22"/>
        </w:rPr>
      </w:pPr>
      <w:r w:rsidRPr="00027112">
        <w:rPr>
          <w:rFonts w:ascii="Palatino Linotype" w:hAnsi="Palatino Linotype" w:cs="Arial"/>
          <w:i/>
          <w:sz w:val="22"/>
          <w:szCs w:val="22"/>
        </w:rPr>
        <w:t xml:space="preserve"> </w:t>
      </w:r>
    </w:p>
    <w:p w14:paraId="03C02C19" w14:textId="77777777" w:rsid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I. En el año de la elección en que se renueven el Poder Ejecutivo federal o local y las dos Cámaras del Congreso de la Unión o la Cámara de alguna entidad federativa, a cada partido político nacional o local, en su caso, </w:t>
      </w:r>
      <w:r w:rsidRPr="00D5757A">
        <w:rPr>
          <w:rFonts w:ascii="Palatino Linotype" w:hAnsi="Palatino Linotype" w:cs="Arial"/>
          <w:b/>
          <w:i/>
          <w:sz w:val="22"/>
          <w:szCs w:val="22"/>
        </w:rPr>
        <w:t>se le otorgará para gastos de campaña un monto equivalente al cincuenta por ciento del financiamiento público</w:t>
      </w:r>
      <w:r w:rsidRPr="00027112">
        <w:rPr>
          <w:rFonts w:ascii="Palatino Linotype" w:hAnsi="Palatino Linotype" w:cs="Arial"/>
          <w:i/>
          <w:sz w:val="22"/>
          <w:szCs w:val="22"/>
        </w:rPr>
        <w:t xml:space="preserve"> que para el sostenimiento de sus actividades ordinarias permanentes le corresponda en ese año; </w:t>
      </w:r>
    </w:p>
    <w:p w14:paraId="6201C7E3" w14:textId="77777777" w:rsidR="00D5757A" w:rsidRPr="00027112" w:rsidRDefault="00D5757A" w:rsidP="00027112">
      <w:pPr>
        <w:tabs>
          <w:tab w:val="left" w:pos="7513"/>
        </w:tabs>
        <w:spacing w:line="276" w:lineRule="auto"/>
        <w:ind w:left="709" w:right="616"/>
        <w:contextualSpacing/>
        <w:jc w:val="both"/>
        <w:rPr>
          <w:rFonts w:ascii="Palatino Linotype" w:hAnsi="Palatino Linotype" w:cs="Arial"/>
          <w:i/>
          <w:sz w:val="22"/>
          <w:szCs w:val="22"/>
        </w:rPr>
      </w:pPr>
    </w:p>
    <w:p w14:paraId="7E685DEC" w14:textId="77777777" w:rsid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II. 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 </w:t>
      </w:r>
    </w:p>
    <w:p w14:paraId="6C75C434"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p>
    <w:p w14:paraId="04E81256"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III. </w:t>
      </w:r>
      <w:r w:rsidRPr="00027112">
        <w:rPr>
          <w:rFonts w:ascii="Palatino Linotype" w:hAnsi="Palatino Linotype" w:cs="Arial"/>
          <w:b/>
          <w:i/>
          <w:sz w:val="22"/>
          <w:szCs w:val="22"/>
        </w:rPr>
        <w:t>El financiamiento de campaña será administrado en su totalidad por los partidos políticos</w:t>
      </w:r>
      <w:r w:rsidRPr="00027112">
        <w:rPr>
          <w:rFonts w:ascii="Palatino Linotype" w:hAnsi="Palatino Linotype" w:cs="Arial"/>
          <w:i/>
          <w:sz w:val="22"/>
          <w:szCs w:val="22"/>
        </w:rPr>
        <w:t>;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14:paraId="56141A6C"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w:t>
      </w:r>
    </w:p>
    <w:p w14:paraId="5C468F61"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b/>
          <w:i/>
          <w:sz w:val="22"/>
          <w:szCs w:val="22"/>
        </w:rPr>
      </w:pPr>
      <w:r w:rsidRPr="00027112">
        <w:rPr>
          <w:rFonts w:ascii="Palatino Linotype" w:hAnsi="Palatino Linotype" w:cs="Arial"/>
          <w:b/>
          <w:i/>
          <w:sz w:val="22"/>
          <w:szCs w:val="22"/>
        </w:rPr>
        <w:t xml:space="preserve">Artículo 53. </w:t>
      </w:r>
    </w:p>
    <w:p w14:paraId="19F75688"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1. Además de lo establecido en el Capítulo que antecede, los partidos políticos podrán recibir financiamiento que no provenga del erario público, con las modalidades siguientes: </w:t>
      </w:r>
    </w:p>
    <w:p w14:paraId="40BF4E29"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a) Financiamiento por la militancia; </w:t>
      </w:r>
    </w:p>
    <w:p w14:paraId="062661ED"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b) Financiamiento de simpatizantes; </w:t>
      </w:r>
    </w:p>
    <w:p w14:paraId="09876B36"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c) Autofinanciamiento, y </w:t>
      </w:r>
    </w:p>
    <w:p w14:paraId="2B28AD3E" w14:textId="77777777" w:rsid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d) Financiamiento por rendimientos financieros, fondos y fideicomisos. </w:t>
      </w:r>
    </w:p>
    <w:p w14:paraId="3C6D9360" w14:textId="77777777" w:rsidR="00D5757A" w:rsidRPr="00027112" w:rsidRDefault="00D5757A" w:rsidP="00027112">
      <w:pPr>
        <w:tabs>
          <w:tab w:val="left" w:pos="7513"/>
        </w:tabs>
        <w:spacing w:line="276" w:lineRule="auto"/>
        <w:ind w:left="709" w:right="616"/>
        <w:contextualSpacing/>
        <w:jc w:val="both"/>
        <w:rPr>
          <w:rFonts w:ascii="Palatino Linotype" w:hAnsi="Palatino Linotype" w:cs="Arial"/>
          <w:i/>
          <w:sz w:val="22"/>
          <w:szCs w:val="22"/>
        </w:rPr>
      </w:pPr>
    </w:p>
    <w:p w14:paraId="528AE6F5" w14:textId="77777777" w:rsidR="00027112" w:rsidRPr="00D5757A" w:rsidRDefault="00027112" w:rsidP="00027112">
      <w:pPr>
        <w:tabs>
          <w:tab w:val="left" w:pos="7513"/>
        </w:tabs>
        <w:spacing w:line="276" w:lineRule="auto"/>
        <w:ind w:left="709" w:right="616"/>
        <w:contextualSpacing/>
        <w:jc w:val="both"/>
        <w:rPr>
          <w:rFonts w:ascii="Palatino Linotype" w:hAnsi="Palatino Linotype" w:cs="Arial"/>
          <w:b/>
          <w:i/>
          <w:sz w:val="22"/>
          <w:szCs w:val="22"/>
        </w:rPr>
      </w:pPr>
      <w:r w:rsidRPr="00D5757A">
        <w:rPr>
          <w:rFonts w:ascii="Palatino Linotype" w:hAnsi="Palatino Linotype" w:cs="Arial"/>
          <w:b/>
          <w:i/>
          <w:sz w:val="22"/>
          <w:szCs w:val="22"/>
        </w:rPr>
        <w:t>Artículo 56.</w:t>
      </w:r>
    </w:p>
    <w:p w14:paraId="35CB3120"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 1. El financiamiento que no provenga del erario público tendrá las siguientes modalidades: </w:t>
      </w:r>
    </w:p>
    <w:p w14:paraId="4F287696"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a) Las aportaciones o cuotas individuales y obligatorias, ordinarias y extraordinarias, en dinero o en especie, que realicen los militantes de los partidos políticos; </w:t>
      </w:r>
    </w:p>
    <w:p w14:paraId="5E5A29CA"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b) Las aportaciones voluntarias y personales, en dinero o en especie, que los precandidatos y candidatos aporten exclusivamente para sus precampañas y campañas, y </w:t>
      </w:r>
    </w:p>
    <w:p w14:paraId="4402074B"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lastRenderedPageBreak/>
        <w:t xml:space="preserve">c) Las aportaciones voluntarias y personales que realicen los simpatizantes durante los procesos electorales federales y locales, y estará conformado por las aportaciones o </w:t>
      </w:r>
      <w:r w:rsidRPr="00027112">
        <w:rPr>
          <w:rFonts w:ascii="Palatino Linotype" w:hAnsi="Palatino Linotype" w:cs="Arial"/>
          <w:b/>
          <w:i/>
          <w:sz w:val="22"/>
          <w:szCs w:val="22"/>
        </w:rPr>
        <w:t>donativos</w:t>
      </w:r>
      <w:r w:rsidRPr="00027112">
        <w:rPr>
          <w:rFonts w:ascii="Palatino Linotype" w:hAnsi="Palatino Linotype" w:cs="Arial"/>
          <w:i/>
          <w:sz w:val="22"/>
          <w:szCs w:val="22"/>
        </w:rPr>
        <w:t xml:space="preserve">, en dinero o en especie, hechas a los partidos políticos en forma libre y voluntaria por las personas físicas mexicanas con residencia en el país. </w:t>
      </w:r>
    </w:p>
    <w:p w14:paraId="1CDEAB14" w14:textId="77777777" w:rsidR="00027112" w:rsidRP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w:t>
      </w:r>
    </w:p>
    <w:p w14:paraId="2555E826" w14:textId="77777777" w:rsidR="00027112" w:rsidRDefault="00027112" w:rsidP="00027112">
      <w:pPr>
        <w:tabs>
          <w:tab w:val="left" w:pos="7513"/>
        </w:tabs>
        <w:spacing w:line="276" w:lineRule="auto"/>
        <w:ind w:left="709" w:right="616"/>
        <w:contextualSpacing/>
        <w:jc w:val="both"/>
        <w:rPr>
          <w:rFonts w:ascii="Palatino Linotype" w:hAnsi="Palatino Linotype" w:cs="Arial"/>
          <w:i/>
          <w:sz w:val="22"/>
          <w:szCs w:val="22"/>
        </w:rPr>
      </w:pPr>
      <w:r w:rsidRPr="00027112">
        <w:rPr>
          <w:rFonts w:ascii="Palatino Linotype" w:hAnsi="Palatino Linotype" w:cs="Arial"/>
          <w:i/>
          <w:sz w:val="22"/>
          <w:szCs w:val="22"/>
        </w:rPr>
        <w:t xml:space="preserve">(Énfasis añadido) </w:t>
      </w:r>
    </w:p>
    <w:p w14:paraId="52BB9301" w14:textId="77777777" w:rsidR="00D5757A" w:rsidRPr="00027112" w:rsidRDefault="00D5757A" w:rsidP="00027112">
      <w:pPr>
        <w:tabs>
          <w:tab w:val="left" w:pos="7513"/>
        </w:tabs>
        <w:spacing w:line="276" w:lineRule="auto"/>
        <w:ind w:left="709" w:right="616"/>
        <w:contextualSpacing/>
        <w:jc w:val="both"/>
        <w:rPr>
          <w:rFonts w:ascii="Palatino Linotype" w:hAnsi="Palatino Linotype" w:cs="Arial"/>
          <w:i/>
          <w:sz w:val="22"/>
          <w:szCs w:val="22"/>
        </w:rPr>
      </w:pPr>
    </w:p>
    <w:p w14:paraId="010F2E5E" w14:textId="77777777" w:rsidR="00027112" w:rsidRPr="0017560B" w:rsidRDefault="00027112" w:rsidP="00027112">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027112">
        <w:rPr>
          <w:rFonts w:ascii="Palatino Linotype" w:hAnsi="Palatino Linotype" w:cs="Arial"/>
          <w:color w:val="000000" w:themeColor="text1"/>
        </w:rPr>
        <w:t>Adicionalmente pero en el mismo orden de ideas, el Código Electoral del Estado de</w:t>
      </w:r>
      <w:r w:rsidRPr="0017560B">
        <w:rPr>
          <w:rFonts w:ascii="Palatino Linotype" w:eastAsia="Calibri" w:hAnsi="Palatino Linotype" w:cs="Arial"/>
        </w:rPr>
        <w:t xml:space="preserve"> México 2018 establece lo siguiente: </w:t>
      </w:r>
    </w:p>
    <w:p w14:paraId="3E7270F0" w14:textId="77777777" w:rsidR="00027112" w:rsidRPr="0017560B" w:rsidRDefault="00027112" w:rsidP="00027112">
      <w:pPr>
        <w:spacing w:line="360" w:lineRule="auto"/>
        <w:ind w:left="851" w:right="616"/>
        <w:contextualSpacing/>
        <w:jc w:val="both"/>
        <w:rPr>
          <w:rFonts w:ascii="Palatino Linotype" w:hAnsi="Palatino Linotype" w:cs="Arial"/>
          <w:b/>
          <w:i/>
        </w:rPr>
      </w:pPr>
    </w:p>
    <w:p w14:paraId="47638825"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“Artículo 66. El financiamiento de los partidos políticos se sujetará a las bases siguientes: </w:t>
      </w:r>
    </w:p>
    <w:p w14:paraId="506ADA64"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I. El financiamiento tendrá las siguientes modalidades: </w:t>
      </w:r>
    </w:p>
    <w:p w14:paraId="2E491E33"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a) Financiamiento público. </w:t>
      </w:r>
    </w:p>
    <w:p w14:paraId="46184545"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b) Financiamiento por la militancia. </w:t>
      </w:r>
    </w:p>
    <w:p w14:paraId="2C26517E"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c) Financiamiento de simpatizantes. </w:t>
      </w:r>
    </w:p>
    <w:p w14:paraId="5511180D"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 xml:space="preserve">d) Autofinanciamiento. </w:t>
      </w:r>
    </w:p>
    <w:p w14:paraId="0BD49D4B" w14:textId="77777777" w:rsidR="00027112" w:rsidRPr="0017560B" w:rsidRDefault="00027112" w:rsidP="00027112">
      <w:pPr>
        <w:spacing w:line="360" w:lineRule="auto"/>
        <w:ind w:left="851" w:right="616"/>
        <w:contextualSpacing/>
        <w:jc w:val="both"/>
        <w:rPr>
          <w:rFonts w:ascii="Palatino Linotype" w:hAnsi="Palatino Linotype" w:cs="Arial"/>
          <w:b/>
          <w:i/>
        </w:rPr>
      </w:pPr>
      <w:r w:rsidRPr="0017560B">
        <w:rPr>
          <w:rFonts w:ascii="Palatino Linotype" w:hAnsi="Palatino Linotype" w:cs="Arial"/>
          <w:b/>
          <w:i/>
        </w:rPr>
        <w:t>e) Financiamiento por rendimientos financieros</w:t>
      </w:r>
    </w:p>
    <w:p w14:paraId="76A2EF4E"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 xml:space="preserve">Los partidos políticos no podrán solicitar créditos provenientes de la banca de desarrollo para el funcionamiento de sus actividades. </w:t>
      </w:r>
    </w:p>
    <w:p w14:paraId="63C371DA"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 xml:space="preserve">II. El financiamiento público para el sostenimiento de sus actividades permanentes, para la obtención del voto, para la realización de procesos internos de selección de candidatos y para actividades específicas, se entregará </w:t>
      </w:r>
      <w:r w:rsidRPr="0017560B">
        <w:rPr>
          <w:rFonts w:ascii="Palatino Linotype" w:hAnsi="Palatino Linotype" w:cs="Arial"/>
          <w:i/>
        </w:rPr>
        <w:lastRenderedPageBreak/>
        <w:t>a las direcciones estatales de los partidos, legalmente registradas ante el Instituto, y se fijará en la forma y términos siguientes:</w:t>
      </w:r>
    </w:p>
    <w:p w14:paraId="5BF3B566"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w:t>
      </w:r>
    </w:p>
    <w:p w14:paraId="2F82F7E7"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1. El financiamiento que no provenga del erario público tendrá as siguientes modalidades:</w:t>
      </w:r>
    </w:p>
    <w:p w14:paraId="4E6D1755" w14:textId="77777777" w:rsidR="00027112" w:rsidRPr="0017560B" w:rsidRDefault="00027112" w:rsidP="00027112">
      <w:pPr>
        <w:spacing w:line="360" w:lineRule="auto"/>
        <w:ind w:left="1134" w:right="616"/>
        <w:contextualSpacing/>
        <w:jc w:val="both"/>
        <w:rPr>
          <w:rFonts w:ascii="Palatino Linotype" w:hAnsi="Palatino Linotype" w:cs="Arial"/>
          <w:i/>
        </w:rPr>
      </w:pPr>
      <w:r w:rsidRPr="0017560B">
        <w:rPr>
          <w:rFonts w:ascii="Palatino Linotype" w:hAnsi="Palatino Linotype" w:cs="Arial"/>
          <w:i/>
        </w:rPr>
        <w:t>a)</w:t>
      </w:r>
      <w:r w:rsidRPr="0017560B">
        <w:rPr>
          <w:rFonts w:ascii="Palatino Linotype" w:hAnsi="Palatino Linotype" w:cs="Arial"/>
          <w:i/>
        </w:rPr>
        <w:tab/>
        <w:t>Las aportaciones o cuotas individuales y obligatorias, ordinarias y extraordinarias, en dinero o en especie, que realicen los militantes de los partidos políticos.</w:t>
      </w:r>
    </w:p>
    <w:p w14:paraId="4A24FD7B" w14:textId="77777777" w:rsidR="00027112" w:rsidRPr="0017560B" w:rsidRDefault="00027112" w:rsidP="00027112">
      <w:pPr>
        <w:spacing w:line="360" w:lineRule="auto"/>
        <w:ind w:left="1134" w:right="616"/>
        <w:contextualSpacing/>
        <w:jc w:val="both"/>
        <w:rPr>
          <w:rFonts w:ascii="Palatino Linotype" w:hAnsi="Palatino Linotype" w:cs="Arial"/>
          <w:i/>
        </w:rPr>
      </w:pPr>
      <w:r w:rsidRPr="0017560B">
        <w:rPr>
          <w:rFonts w:ascii="Palatino Linotype" w:hAnsi="Palatino Linotype" w:cs="Arial"/>
          <w:i/>
        </w:rPr>
        <w:t>b)</w:t>
      </w:r>
      <w:r w:rsidRPr="0017560B">
        <w:rPr>
          <w:rFonts w:ascii="Palatino Linotype" w:hAnsi="Palatino Linotype" w:cs="Arial"/>
          <w:i/>
        </w:rPr>
        <w:tab/>
        <w:t>Las aportaciones voluntarias y personales, en dinero o en especie, que los precandidatos y candidatos aporten exclusivamente para sus precampañas y campañas.</w:t>
      </w:r>
    </w:p>
    <w:p w14:paraId="081D3D37" w14:textId="77777777" w:rsidR="00027112" w:rsidRPr="0017560B" w:rsidRDefault="00027112" w:rsidP="00027112">
      <w:pPr>
        <w:spacing w:line="360" w:lineRule="auto"/>
        <w:ind w:left="1134" w:right="616"/>
        <w:contextualSpacing/>
        <w:jc w:val="both"/>
        <w:rPr>
          <w:rFonts w:ascii="Palatino Linotype" w:hAnsi="Palatino Linotype" w:cs="Arial"/>
          <w:i/>
        </w:rPr>
      </w:pPr>
      <w:r w:rsidRPr="0017560B">
        <w:rPr>
          <w:rFonts w:ascii="Palatino Linotype" w:hAnsi="Palatino Linotype" w:cs="Arial"/>
          <w:i/>
        </w:rPr>
        <w:t>c)</w:t>
      </w:r>
      <w:r w:rsidRPr="0017560B">
        <w:rPr>
          <w:rFonts w:ascii="Palatino Linotype" w:hAnsi="Palatino Linotype" w:cs="Arial"/>
          <w:i/>
        </w:rPr>
        <w:tab/>
      </w:r>
      <w:r w:rsidRPr="00027112">
        <w:rPr>
          <w:rFonts w:ascii="Palatino Linotype" w:hAnsi="Palatino Linotype" w:cs="Arial"/>
          <w:b/>
          <w:i/>
        </w:rPr>
        <w:t>Las aportaciones voluntarias y personales que realicen los simpatizantes</w:t>
      </w:r>
      <w:r w:rsidRPr="0017560B">
        <w:rPr>
          <w:rFonts w:ascii="Palatino Linotype" w:hAnsi="Palatino Linotype" w:cs="Arial"/>
          <w:i/>
        </w:rPr>
        <w:t xml:space="preserve"> durante los procesos electorales locales estarán conformados por las </w:t>
      </w:r>
      <w:r w:rsidRPr="00027112">
        <w:rPr>
          <w:rFonts w:ascii="Palatino Linotype" w:hAnsi="Palatino Linotype" w:cs="Arial"/>
          <w:b/>
          <w:i/>
        </w:rPr>
        <w:t>aportaciones o donativos</w:t>
      </w:r>
      <w:r w:rsidRPr="0017560B">
        <w:rPr>
          <w:rFonts w:ascii="Palatino Linotype" w:hAnsi="Palatino Linotype" w:cs="Arial"/>
          <w:i/>
        </w:rPr>
        <w:t>, en dinero o en especie, hechas a los partidos políticos en forma libre y voluntaria por las personas físicas mexicanas con residencia en el país.</w:t>
      </w:r>
    </w:p>
    <w:p w14:paraId="64C21F2D"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w:t>
      </w:r>
    </w:p>
    <w:p w14:paraId="0632E408"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4.</w:t>
      </w:r>
      <w:r w:rsidRPr="0017560B">
        <w:rPr>
          <w:rFonts w:ascii="Palatino Linotype" w:hAnsi="Palatino Linotype" w:cs="Arial"/>
          <w:i/>
        </w:rPr>
        <w:tab/>
        <w:t xml:space="preserve">Las aportaciones en especie se harán constar en un </w:t>
      </w:r>
      <w:r w:rsidRPr="00027112">
        <w:rPr>
          <w:rFonts w:ascii="Palatino Linotype" w:hAnsi="Palatino Linotype" w:cs="Arial"/>
          <w:b/>
          <w:i/>
        </w:rPr>
        <w:t>contrato celebrado entre el partido político y el aportante</w:t>
      </w:r>
      <w:r w:rsidRPr="0017560B">
        <w:rPr>
          <w:rFonts w:ascii="Palatino Linotype" w:hAnsi="Palatino Linotype" w:cs="Arial"/>
          <w:i/>
        </w:rPr>
        <w:t xml:space="preserve">, en el cual se precise el valor unitario de los bienes o servicios aporta-dos, el monto total de la aportación y, en caso de ser aplicable, el número de unidades aportadas; de igual forma, se deberá anexar factura en la que se precise la forma de pago; conforme a lo </w:t>
      </w:r>
      <w:r w:rsidRPr="0017560B">
        <w:rPr>
          <w:rFonts w:ascii="Palatino Linotype" w:hAnsi="Palatino Linotype" w:cs="Arial"/>
          <w:i/>
        </w:rPr>
        <w:lastRenderedPageBreak/>
        <w:t>previsto en el artículo 29 A, fracción VII, inciso c) del Código Fiscal de la Federación.”</w:t>
      </w:r>
    </w:p>
    <w:p w14:paraId="5EA8086D" w14:textId="77777777" w:rsidR="00D5757A" w:rsidRPr="0090284F" w:rsidRDefault="00D5757A" w:rsidP="00D5757A">
      <w:pPr>
        <w:pStyle w:val="Prrafodelista"/>
        <w:spacing w:before="240" w:after="240" w:line="360" w:lineRule="auto"/>
        <w:ind w:left="851" w:right="616"/>
        <w:jc w:val="both"/>
        <w:rPr>
          <w:rFonts w:ascii="Palatino Linotype" w:hAnsi="Palatino Linotype" w:cs="Arial"/>
          <w:b/>
          <w:i/>
          <w:lang w:val="es-MX"/>
        </w:rPr>
      </w:pPr>
      <w:r w:rsidRPr="0090284F">
        <w:rPr>
          <w:rFonts w:ascii="Palatino Linotype" w:hAnsi="Palatino Linotype"/>
          <w:b/>
          <w:i/>
        </w:rPr>
        <w:t>Artículo 67</w:t>
      </w:r>
      <w:r w:rsidRPr="0090284F">
        <w:rPr>
          <w:rFonts w:ascii="Palatino Linotype" w:hAnsi="Palatino Linotype"/>
          <w:i/>
        </w:rPr>
        <w:t xml:space="preserve">. Los partidos políticos deberán contar con un órgano interno encargado de la </w:t>
      </w:r>
      <w:r w:rsidRPr="0090284F">
        <w:rPr>
          <w:rFonts w:ascii="Palatino Linotype" w:hAnsi="Palatino Linotype"/>
          <w:b/>
          <w:i/>
        </w:rPr>
        <w:t>recepción y administración de sus recursos generales, de precampaña y campaña, así como de la presentación de los informes correspondientes.</w:t>
      </w:r>
    </w:p>
    <w:p w14:paraId="6962C2D9" w14:textId="77777777" w:rsidR="00027112" w:rsidRPr="0017560B" w:rsidRDefault="00027112" w:rsidP="00027112">
      <w:pPr>
        <w:spacing w:line="360" w:lineRule="auto"/>
        <w:ind w:left="851" w:right="616"/>
        <w:contextualSpacing/>
        <w:jc w:val="both"/>
        <w:rPr>
          <w:rFonts w:ascii="Palatino Linotype" w:hAnsi="Palatino Linotype" w:cs="Arial"/>
          <w:i/>
        </w:rPr>
      </w:pPr>
      <w:r w:rsidRPr="0017560B">
        <w:rPr>
          <w:rFonts w:ascii="Palatino Linotype" w:hAnsi="Palatino Linotype" w:cs="Arial"/>
          <w:i/>
        </w:rPr>
        <w:t>(Énfasis añadido)</w:t>
      </w:r>
    </w:p>
    <w:p w14:paraId="6F582D3D" w14:textId="77777777" w:rsidR="00D5757A" w:rsidRDefault="00D5757A" w:rsidP="00D5757A">
      <w:pPr>
        <w:pStyle w:val="Prrafodelista"/>
        <w:tabs>
          <w:tab w:val="left" w:pos="0"/>
        </w:tabs>
        <w:spacing w:line="360" w:lineRule="auto"/>
        <w:ind w:left="0" w:right="49"/>
        <w:jc w:val="both"/>
        <w:rPr>
          <w:rFonts w:ascii="Palatino Linotype" w:eastAsia="MS Mincho" w:hAnsi="Palatino Linotype" w:cs="Times New Roman"/>
        </w:rPr>
      </w:pPr>
    </w:p>
    <w:p w14:paraId="3D7D0260" w14:textId="2C704730" w:rsidR="00AA7F66" w:rsidRPr="000B76F3" w:rsidRDefault="00D5757A" w:rsidP="00AA7F66">
      <w:pPr>
        <w:pStyle w:val="Prrafodelista"/>
        <w:numPr>
          <w:ilvl w:val="0"/>
          <w:numId w:val="1"/>
        </w:numPr>
        <w:tabs>
          <w:tab w:val="left" w:pos="0"/>
        </w:tabs>
        <w:spacing w:line="360" w:lineRule="auto"/>
        <w:ind w:left="0" w:right="49" w:firstLine="0"/>
        <w:jc w:val="both"/>
        <w:rPr>
          <w:rFonts w:ascii="Palatino Linotype" w:hAnsi="Palatino Linotype" w:cs="Arial"/>
          <w:i/>
          <w:lang w:val="es-MX"/>
        </w:rPr>
      </w:pPr>
      <w:r>
        <w:rPr>
          <w:rFonts w:ascii="Palatino Linotype" w:eastAsia="MS Mincho" w:hAnsi="Palatino Linotype" w:cs="Times New Roman"/>
        </w:rPr>
        <w:t xml:space="preserve">Asimismo, </w:t>
      </w:r>
      <w:r>
        <w:rPr>
          <w:rFonts w:ascii="Palatino Linotype" w:hAnsi="Palatino Linotype" w:cs="Arial"/>
          <w:lang w:val="es-MX"/>
        </w:rPr>
        <w:t xml:space="preserve">el artículo 69 del </w:t>
      </w:r>
      <w:r w:rsidRPr="00E43727">
        <w:rPr>
          <w:rFonts w:ascii="Palatino Linotype" w:hAnsi="Palatino Linotype" w:cs="Arial"/>
          <w:b/>
          <w:lang w:val="es-MX"/>
        </w:rPr>
        <w:t>Código Electoral del Estado de México</w:t>
      </w:r>
      <w:r>
        <w:rPr>
          <w:rFonts w:ascii="Palatino Linotype" w:hAnsi="Palatino Linotype" w:cs="Arial"/>
          <w:lang w:val="es-MX"/>
        </w:rPr>
        <w:t xml:space="preserve"> establece que los partidos políticos o coaliciones locales deberán </w:t>
      </w:r>
      <w:r w:rsidRPr="00C6645C">
        <w:rPr>
          <w:rFonts w:ascii="Palatino Linotype" w:hAnsi="Palatino Linotype" w:cs="Arial"/>
          <w:b/>
          <w:u w:val="single"/>
          <w:lang w:val="es-MX"/>
        </w:rPr>
        <w:t>presentar ante la Unidad Técnica de Fiscalización del Instituto Nacional Electoral</w:t>
      </w:r>
      <w:r>
        <w:rPr>
          <w:rFonts w:ascii="Palatino Linotype" w:hAnsi="Palatino Linotype" w:cs="Arial"/>
          <w:lang w:val="es-MX"/>
        </w:rPr>
        <w:t xml:space="preserve">, los informes del origen y monto de los ingresos que reciban pro cualquier modalidad de financiamiento, así como </w:t>
      </w:r>
      <w:r w:rsidRPr="00C6645C">
        <w:rPr>
          <w:rFonts w:ascii="Palatino Linotype" w:hAnsi="Palatino Linotype" w:cs="Arial"/>
          <w:b/>
          <w:u w:val="single"/>
          <w:lang w:val="es-MX"/>
        </w:rPr>
        <w:t>su aplicación y empleo</w:t>
      </w:r>
      <w:r>
        <w:rPr>
          <w:rFonts w:ascii="Palatino Linotype" w:hAnsi="Palatino Linotype" w:cs="Arial"/>
          <w:lang w:val="es-MX"/>
        </w:rPr>
        <w:t>, en términos de la Ley Gen</w:t>
      </w:r>
      <w:r w:rsidR="000B76F3">
        <w:rPr>
          <w:rFonts w:ascii="Palatino Linotype" w:hAnsi="Palatino Linotype" w:cs="Arial"/>
          <w:lang w:val="es-MX"/>
        </w:rPr>
        <w:t xml:space="preserve">eral de los Partidos Políticos, que en este caso aplica de la misma manera pero al </w:t>
      </w:r>
      <w:r w:rsidR="000B76F3" w:rsidRPr="000B76F3">
        <w:rPr>
          <w:rFonts w:ascii="Palatino Linotype" w:hAnsi="Palatino Linotype" w:cs="Arial"/>
          <w:b/>
          <w:lang w:val="es-MX"/>
        </w:rPr>
        <w:t>Instituto Electoral del Estado de México</w:t>
      </w:r>
      <w:r w:rsidR="000B76F3">
        <w:rPr>
          <w:rFonts w:ascii="Palatino Linotype" w:hAnsi="Palatino Linotype" w:cs="Arial"/>
          <w:lang w:val="es-MX"/>
        </w:rPr>
        <w:t xml:space="preserve"> por tratarse de una elección que se llevó a cabo en un municipio que forma parte de la demarcación Territorial del Estado de México. </w:t>
      </w:r>
    </w:p>
    <w:p w14:paraId="7FD0EA6C" w14:textId="77777777" w:rsidR="00AA7F66" w:rsidRPr="00AA7F66" w:rsidRDefault="00AA7F66" w:rsidP="00AA7F66">
      <w:pPr>
        <w:pStyle w:val="Prrafodelista"/>
        <w:rPr>
          <w:rFonts w:ascii="Palatino Linotype" w:eastAsia="Times New Roman" w:hAnsi="Palatino Linotype" w:cs="Arial"/>
        </w:rPr>
      </w:pPr>
    </w:p>
    <w:p w14:paraId="7D2AF766" w14:textId="77777777" w:rsidR="00027112" w:rsidRDefault="00027112" w:rsidP="00027112">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17560B">
        <w:rPr>
          <w:rFonts w:ascii="Palatino Linotype" w:eastAsia="Times New Roman" w:hAnsi="Palatino Linotype" w:cs="Arial"/>
        </w:rPr>
        <w:t xml:space="preserve">Es importante destacar que como ya se ha dicho, la Ley de Transparencia y Acceso a la Información Pública del Estado de México y Municipios, prevé en su artículo 23 fracción VII que los Partidos Políticos son Sujetos Obligados a </w:t>
      </w:r>
      <w:r w:rsidRPr="0017560B">
        <w:rPr>
          <w:rFonts w:ascii="Palatino Linotype" w:eastAsia="Times New Roman" w:hAnsi="Palatino Linotype" w:cs="Arial"/>
        </w:rPr>
        <w:lastRenderedPageBreak/>
        <w:t>Transparentar y permitir el acceso a su información y proteger los datos que obren en su poder.</w:t>
      </w:r>
    </w:p>
    <w:p w14:paraId="3EB9A9BE" w14:textId="77777777" w:rsidR="00027112" w:rsidRPr="00027112" w:rsidRDefault="00027112" w:rsidP="00027112">
      <w:pPr>
        <w:pStyle w:val="Prrafodelista"/>
        <w:rPr>
          <w:rFonts w:ascii="Palatino Linotype" w:eastAsia="Times New Roman" w:hAnsi="Palatino Linotype" w:cs="Arial"/>
        </w:rPr>
      </w:pPr>
    </w:p>
    <w:p w14:paraId="6EF9AD58" w14:textId="77777777" w:rsidR="00027112" w:rsidRPr="00027112" w:rsidRDefault="00027112" w:rsidP="00027112">
      <w:pPr>
        <w:pStyle w:val="Prrafodelista"/>
        <w:spacing w:line="360" w:lineRule="auto"/>
        <w:ind w:left="426" w:right="567"/>
        <w:jc w:val="both"/>
        <w:rPr>
          <w:rFonts w:ascii="Palatino Linotype" w:hAnsi="Palatino Linotype" w:cs="Arial"/>
          <w:i/>
          <w:sz w:val="22"/>
          <w:szCs w:val="22"/>
        </w:rPr>
      </w:pPr>
      <w:r w:rsidRPr="00027112">
        <w:rPr>
          <w:rFonts w:ascii="Palatino Linotype" w:hAnsi="Palatino Linotype" w:cs="Arial"/>
          <w:b/>
          <w:i/>
          <w:sz w:val="22"/>
          <w:szCs w:val="22"/>
        </w:rPr>
        <w:t>“Artículo 23</w:t>
      </w:r>
      <w:r w:rsidRPr="00027112">
        <w:rPr>
          <w:rFonts w:ascii="Palatino Linotype" w:hAnsi="Palatino Linotype" w:cs="Arial"/>
          <w:i/>
          <w:sz w:val="22"/>
          <w:szCs w:val="22"/>
        </w:rPr>
        <w:t>. Son sujetos obligados a transparentar y permitir el acceso a su información y proteger los datos personales que obren en su poder:</w:t>
      </w:r>
    </w:p>
    <w:p w14:paraId="7B7BE9B3" w14:textId="77777777" w:rsidR="00027112" w:rsidRPr="00027112" w:rsidRDefault="00027112" w:rsidP="00027112">
      <w:pPr>
        <w:pStyle w:val="Prrafodelista"/>
        <w:spacing w:line="360" w:lineRule="auto"/>
        <w:ind w:left="426" w:right="567"/>
        <w:jc w:val="both"/>
        <w:rPr>
          <w:rFonts w:ascii="Palatino Linotype" w:hAnsi="Palatino Linotype" w:cs="Arial"/>
          <w:i/>
          <w:sz w:val="22"/>
          <w:szCs w:val="22"/>
        </w:rPr>
      </w:pPr>
      <w:r w:rsidRPr="00027112">
        <w:rPr>
          <w:rFonts w:ascii="Palatino Linotype" w:hAnsi="Palatino Linotype" w:cs="Arial"/>
          <w:i/>
          <w:sz w:val="22"/>
          <w:szCs w:val="22"/>
        </w:rPr>
        <w:t>…</w:t>
      </w:r>
    </w:p>
    <w:p w14:paraId="5BC1650C" w14:textId="77777777" w:rsidR="00027112" w:rsidRPr="00027112" w:rsidRDefault="00027112" w:rsidP="00027112">
      <w:pPr>
        <w:pStyle w:val="Prrafodelista"/>
        <w:spacing w:line="360" w:lineRule="auto"/>
        <w:ind w:left="426" w:right="567"/>
        <w:jc w:val="both"/>
        <w:rPr>
          <w:rFonts w:ascii="Palatino Linotype" w:hAnsi="Palatino Linotype" w:cs="Arial"/>
          <w:i/>
          <w:sz w:val="22"/>
          <w:szCs w:val="22"/>
        </w:rPr>
      </w:pPr>
      <w:r w:rsidRPr="00027112">
        <w:rPr>
          <w:rFonts w:ascii="Palatino Linotype" w:hAnsi="Palatino Linotype" w:cs="Arial"/>
          <w:bCs/>
          <w:i/>
          <w:sz w:val="22"/>
          <w:szCs w:val="22"/>
        </w:rPr>
        <w:t xml:space="preserve">VII. </w:t>
      </w:r>
      <w:r w:rsidRPr="0030529B">
        <w:rPr>
          <w:rFonts w:ascii="Palatino Linotype" w:hAnsi="Palatino Linotype" w:cs="Arial"/>
          <w:b/>
          <w:i/>
          <w:sz w:val="22"/>
          <w:szCs w:val="22"/>
        </w:rPr>
        <w:t>Los partidos políticos y agrupaciones políticas</w:t>
      </w:r>
      <w:r w:rsidRPr="00027112">
        <w:rPr>
          <w:rFonts w:ascii="Palatino Linotype" w:hAnsi="Palatino Linotype" w:cs="Arial"/>
          <w:i/>
          <w:sz w:val="22"/>
          <w:szCs w:val="22"/>
        </w:rPr>
        <w:t>, en los términos de las disposiciones aplicables;</w:t>
      </w:r>
    </w:p>
    <w:p w14:paraId="254E624A" w14:textId="77777777" w:rsidR="00027112" w:rsidRPr="00027112" w:rsidRDefault="00027112" w:rsidP="00027112">
      <w:pPr>
        <w:pStyle w:val="Prrafodelista"/>
        <w:spacing w:line="360" w:lineRule="auto"/>
        <w:ind w:left="426" w:right="567"/>
        <w:jc w:val="both"/>
        <w:rPr>
          <w:rFonts w:ascii="Palatino Linotype" w:hAnsi="Palatino Linotype" w:cs="Arial"/>
          <w:b/>
          <w:i/>
          <w:sz w:val="22"/>
          <w:szCs w:val="22"/>
        </w:rPr>
      </w:pPr>
      <w:r w:rsidRPr="00027112">
        <w:rPr>
          <w:rFonts w:ascii="Palatino Linotype" w:hAnsi="Palatino Linotype" w:cs="Arial"/>
          <w:b/>
          <w:i/>
          <w:sz w:val="22"/>
          <w:szCs w:val="22"/>
        </w:rPr>
        <w:t>…</w:t>
      </w:r>
    </w:p>
    <w:p w14:paraId="4B1D7E0F" w14:textId="77777777" w:rsidR="00027112" w:rsidRPr="00027112" w:rsidRDefault="00027112" w:rsidP="00027112">
      <w:pPr>
        <w:pStyle w:val="Prrafodelista"/>
        <w:spacing w:line="360" w:lineRule="auto"/>
        <w:ind w:left="426" w:right="567"/>
        <w:jc w:val="both"/>
        <w:rPr>
          <w:rFonts w:ascii="Palatino Linotype" w:hAnsi="Palatino Linotype" w:cs="Arial"/>
          <w:b/>
          <w:i/>
          <w:sz w:val="22"/>
          <w:szCs w:val="22"/>
        </w:rPr>
      </w:pPr>
      <w:r w:rsidRPr="00027112">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579E2BC" w14:textId="77777777" w:rsidR="00027112" w:rsidRPr="00027112" w:rsidRDefault="00027112" w:rsidP="00027112">
      <w:pPr>
        <w:pStyle w:val="Prrafodelista"/>
        <w:spacing w:line="360" w:lineRule="auto"/>
        <w:ind w:left="426" w:right="567"/>
        <w:rPr>
          <w:rFonts w:ascii="Palatino Linotype" w:hAnsi="Palatino Linotype" w:cs="Arial"/>
          <w:b/>
          <w:i/>
          <w:sz w:val="22"/>
          <w:szCs w:val="22"/>
        </w:rPr>
      </w:pPr>
    </w:p>
    <w:p w14:paraId="6FFC259A" w14:textId="36B38C37" w:rsidR="00027112" w:rsidRDefault="00027112" w:rsidP="0030529B">
      <w:pPr>
        <w:pStyle w:val="Prrafodelista"/>
        <w:numPr>
          <w:ilvl w:val="0"/>
          <w:numId w:val="1"/>
        </w:numPr>
        <w:tabs>
          <w:tab w:val="left" w:pos="0"/>
        </w:tabs>
        <w:spacing w:line="360" w:lineRule="auto"/>
        <w:ind w:left="0" w:right="49" w:firstLine="0"/>
        <w:jc w:val="both"/>
        <w:rPr>
          <w:rFonts w:ascii="Palatino Linotype" w:eastAsia="MS Mincho" w:hAnsi="Palatino Linotype"/>
        </w:rPr>
      </w:pPr>
      <w:r w:rsidRPr="0030529B">
        <w:rPr>
          <w:rFonts w:ascii="Palatino Linotype" w:eastAsia="Times New Roman" w:hAnsi="Palatino Linotype" w:cs="Arial"/>
        </w:rPr>
        <w:t xml:space="preserve">En ese mismo orden de </w:t>
      </w:r>
      <w:r w:rsidR="00C6645C">
        <w:rPr>
          <w:rFonts w:ascii="Palatino Linotype" w:eastAsia="Times New Roman" w:hAnsi="Palatino Linotype" w:cs="Arial"/>
        </w:rPr>
        <w:t>ideas, el artículo 92 fracción</w:t>
      </w:r>
      <w:r w:rsidRPr="0030529B">
        <w:rPr>
          <w:rFonts w:ascii="Palatino Linotype" w:eastAsia="Times New Roman" w:hAnsi="Palatino Linotype" w:cs="Arial"/>
        </w:rPr>
        <w:t xml:space="preserve"> XLVII de la citada</w:t>
      </w:r>
      <w:r w:rsidRPr="0017560B">
        <w:rPr>
          <w:rFonts w:ascii="Palatino Linotype" w:eastAsia="MS Mincho" w:hAnsi="Palatino Linotype"/>
        </w:rPr>
        <w:t xml:space="preserve"> Ley establece como obligación de transparencia común el dar a conocer los ingresos recibidos por cualquier concepto señalando el nombre de los responsables de recibirlos, administrarlos y ejercerlos, indicando el destino de cada uno de ellos; en ese tenor, señala como obligación de transparencia común el dar a conocer el listado de aportantes a las precampañas y campañas políticas, de conformidad</w:t>
      </w:r>
      <w:r w:rsidR="0030529B">
        <w:rPr>
          <w:rFonts w:ascii="Palatino Linotype" w:eastAsia="MS Mincho" w:hAnsi="Palatino Linotype"/>
        </w:rPr>
        <w:t xml:space="preserve"> con el artículo 100 fracción X que a la letra dice: </w:t>
      </w:r>
    </w:p>
    <w:p w14:paraId="1A92635E" w14:textId="77777777" w:rsidR="00C6645C" w:rsidRDefault="00C6645C" w:rsidP="00C6645C">
      <w:pPr>
        <w:pStyle w:val="Prrafodelista"/>
        <w:tabs>
          <w:tab w:val="left" w:pos="0"/>
        </w:tabs>
        <w:spacing w:line="360" w:lineRule="auto"/>
        <w:ind w:left="0" w:right="49"/>
        <w:jc w:val="both"/>
        <w:rPr>
          <w:rFonts w:ascii="Palatino Linotype" w:eastAsia="MS Mincho" w:hAnsi="Palatino Linotype"/>
        </w:rPr>
      </w:pPr>
    </w:p>
    <w:p w14:paraId="47080A0E" w14:textId="2DFF4B0E" w:rsidR="0030529B" w:rsidRDefault="006334A3" w:rsidP="00C6645C">
      <w:pPr>
        <w:pStyle w:val="Prrafodelista"/>
        <w:tabs>
          <w:tab w:val="left" w:pos="284"/>
        </w:tabs>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00C6645C" w:rsidRPr="006334A3">
        <w:rPr>
          <w:rFonts w:ascii="Palatino Linotype" w:hAnsi="Palatino Linotype"/>
          <w:b/>
          <w:i/>
          <w:sz w:val="22"/>
          <w:szCs w:val="22"/>
        </w:rPr>
        <w:t>Artículo 92</w:t>
      </w:r>
      <w:r w:rsidR="00C6645C" w:rsidRPr="00C6645C">
        <w:rPr>
          <w:rFonts w:ascii="Palatino Linotype" w:hAnsi="Palatino Linotype"/>
          <w:i/>
          <w:sz w:val="22"/>
          <w:szCs w:val="22"/>
        </w:rPr>
        <w:t xml:space="preserve">. Los sujetos obligados deberán poner a disposición del público de manera permanente y actualizada de forma sencilla, precisa y entendible, en los </w:t>
      </w:r>
      <w:r w:rsidR="00C6645C" w:rsidRPr="00C6645C">
        <w:rPr>
          <w:rFonts w:ascii="Palatino Linotype" w:hAnsi="Palatino Linotype"/>
          <w:i/>
          <w:sz w:val="22"/>
          <w:szCs w:val="22"/>
        </w:rPr>
        <w:lastRenderedPageBreak/>
        <w:t>respectivos medios electrónicos, de acuerdo con sus facultades, atribuciones, funciones u objeto social, según corresponda, la información, por lo menos, de los temas, documentos y políticas que a continuación se señalan:</w:t>
      </w:r>
    </w:p>
    <w:p w14:paraId="0E66EA6C" w14:textId="2F545E53" w:rsidR="006334A3" w:rsidRPr="00C6645C" w:rsidRDefault="006334A3" w:rsidP="00C6645C">
      <w:pPr>
        <w:pStyle w:val="Prrafodelista"/>
        <w:tabs>
          <w:tab w:val="left" w:pos="284"/>
        </w:tabs>
        <w:spacing w:line="360" w:lineRule="auto"/>
        <w:ind w:left="851" w:right="616"/>
        <w:jc w:val="both"/>
        <w:rPr>
          <w:rFonts w:ascii="Palatino Linotype" w:hAnsi="Palatino Linotype"/>
          <w:i/>
          <w:sz w:val="22"/>
          <w:szCs w:val="22"/>
        </w:rPr>
      </w:pPr>
      <w:r>
        <w:rPr>
          <w:rFonts w:ascii="Palatino Linotype" w:hAnsi="Palatino Linotype"/>
          <w:i/>
          <w:sz w:val="22"/>
          <w:szCs w:val="22"/>
        </w:rPr>
        <w:t>…</w:t>
      </w:r>
    </w:p>
    <w:p w14:paraId="3D4ECE2F" w14:textId="381338E8" w:rsidR="00C6645C" w:rsidRDefault="00C6645C" w:rsidP="00C6645C">
      <w:pPr>
        <w:pStyle w:val="Prrafodelista"/>
        <w:tabs>
          <w:tab w:val="left" w:pos="284"/>
        </w:tabs>
        <w:spacing w:line="360" w:lineRule="auto"/>
        <w:ind w:left="851" w:right="616"/>
        <w:jc w:val="both"/>
        <w:rPr>
          <w:rFonts w:ascii="Palatino Linotype" w:hAnsi="Palatino Linotype"/>
          <w:i/>
          <w:sz w:val="22"/>
          <w:szCs w:val="22"/>
        </w:rPr>
      </w:pPr>
      <w:r w:rsidRPr="00C6645C">
        <w:rPr>
          <w:rFonts w:ascii="Palatino Linotype" w:hAnsi="Palatino Linotype"/>
          <w:i/>
          <w:sz w:val="22"/>
          <w:szCs w:val="22"/>
        </w:rPr>
        <w:t xml:space="preserve">XLVII. </w:t>
      </w:r>
      <w:r w:rsidRPr="006334A3">
        <w:rPr>
          <w:rFonts w:ascii="Palatino Linotype" w:hAnsi="Palatino Linotype"/>
          <w:b/>
          <w:i/>
          <w:sz w:val="22"/>
          <w:szCs w:val="22"/>
        </w:rPr>
        <w:t>Los ingresos recibidos por cualquier concepto señalando el nombre de los responsables de recibirlos, administrarlos y ejercerlos, indicando el destino de cada uno de ellos</w:t>
      </w:r>
      <w:r w:rsidRPr="00C6645C">
        <w:rPr>
          <w:rFonts w:ascii="Palatino Linotype" w:hAnsi="Palatino Linotype"/>
          <w:i/>
          <w:sz w:val="22"/>
          <w:szCs w:val="22"/>
        </w:rPr>
        <w:t>;</w:t>
      </w:r>
    </w:p>
    <w:p w14:paraId="52B36C18" w14:textId="21165005" w:rsidR="006334A3" w:rsidRDefault="006334A3" w:rsidP="00C6645C">
      <w:pPr>
        <w:pStyle w:val="Prrafodelista"/>
        <w:tabs>
          <w:tab w:val="left" w:pos="284"/>
        </w:tabs>
        <w:spacing w:line="360" w:lineRule="auto"/>
        <w:ind w:left="851" w:right="616"/>
        <w:jc w:val="both"/>
        <w:rPr>
          <w:rFonts w:ascii="Palatino Linotype" w:hAnsi="Palatino Linotype"/>
          <w:i/>
          <w:sz w:val="22"/>
          <w:szCs w:val="22"/>
        </w:rPr>
      </w:pPr>
      <w:r>
        <w:rPr>
          <w:rFonts w:ascii="Palatino Linotype" w:hAnsi="Palatino Linotype"/>
          <w:i/>
          <w:sz w:val="22"/>
          <w:szCs w:val="22"/>
        </w:rPr>
        <w:t>…”</w:t>
      </w:r>
    </w:p>
    <w:p w14:paraId="5CC8FD3C" w14:textId="77777777" w:rsidR="00C6645C" w:rsidRPr="00C6645C" w:rsidRDefault="00C6645C" w:rsidP="00C6645C">
      <w:pPr>
        <w:pStyle w:val="Prrafodelista"/>
        <w:tabs>
          <w:tab w:val="left" w:pos="284"/>
        </w:tabs>
        <w:spacing w:line="360" w:lineRule="auto"/>
        <w:ind w:left="851" w:right="616"/>
        <w:jc w:val="both"/>
        <w:rPr>
          <w:rFonts w:ascii="Palatino Linotype" w:eastAsia="Times New Roman" w:hAnsi="Palatino Linotype" w:cs="Arial"/>
          <w:i/>
          <w:sz w:val="22"/>
          <w:szCs w:val="22"/>
        </w:rPr>
      </w:pPr>
    </w:p>
    <w:p w14:paraId="01F17E64" w14:textId="741700FC" w:rsidR="0030529B" w:rsidRDefault="0030529B" w:rsidP="0030529B">
      <w:pPr>
        <w:pStyle w:val="Prrafodelista"/>
        <w:tabs>
          <w:tab w:val="left" w:pos="8222"/>
        </w:tabs>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Pr="0030529B">
        <w:rPr>
          <w:rFonts w:ascii="Palatino Linotype" w:hAnsi="Palatino Linotype"/>
          <w:b/>
          <w:i/>
          <w:sz w:val="22"/>
          <w:szCs w:val="22"/>
        </w:rPr>
        <w:t>Artículo 100</w:t>
      </w:r>
      <w:r w:rsidRPr="0030529B">
        <w:rPr>
          <w:rFonts w:ascii="Palatino Linotype" w:hAnsi="Palatino Linotype"/>
          <w:i/>
          <w:sz w:val="22"/>
          <w:szCs w:val="22"/>
        </w:rPr>
        <w:t>.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223D40E2" w14:textId="6B04BC50" w:rsidR="0030529B" w:rsidRPr="0030529B" w:rsidRDefault="0030529B" w:rsidP="0030529B">
      <w:pPr>
        <w:pStyle w:val="Prrafodelista"/>
        <w:tabs>
          <w:tab w:val="left" w:pos="8222"/>
        </w:tabs>
        <w:spacing w:line="360" w:lineRule="auto"/>
        <w:ind w:left="851" w:right="616"/>
        <w:jc w:val="both"/>
        <w:rPr>
          <w:rFonts w:ascii="Palatino Linotype" w:eastAsia="MS Mincho" w:hAnsi="Palatino Linotype"/>
          <w:i/>
          <w:sz w:val="22"/>
          <w:szCs w:val="22"/>
        </w:rPr>
      </w:pPr>
      <w:r>
        <w:rPr>
          <w:rFonts w:ascii="Palatino Linotype" w:hAnsi="Palatino Linotype"/>
          <w:i/>
          <w:sz w:val="22"/>
          <w:szCs w:val="22"/>
        </w:rPr>
        <w:t>…</w:t>
      </w:r>
    </w:p>
    <w:p w14:paraId="373B86F2" w14:textId="318DA69A" w:rsidR="00027112" w:rsidRDefault="0030529B" w:rsidP="0030529B">
      <w:pPr>
        <w:tabs>
          <w:tab w:val="left" w:pos="8222"/>
        </w:tabs>
        <w:spacing w:before="240" w:after="240" w:line="360" w:lineRule="auto"/>
        <w:ind w:left="851" w:right="616"/>
        <w:contextualSpacing/>
        <w:jc w:val="both"/>
        <w:rPr>
          <w:rFonts w:ascii="Palatino Linotype" w:hAnsi="Palatino Linotype"/>
          <w:i/>
          <w:sz w:val="22"/>
          <w:szCs w:val="22"/>
        </w:rPr>
      </w:pPr>
      <w:r w:rsidRPr="0030529B">
        <w:rPr>
          <w:rFonts w:ascii="Palatino Linotype" w:hAnsi="Palatino Linotype"/>
          <w:b/>
          <w:i/>
          <w:sz w:val="22"/>
          <w:szCs w:val="22"/>
        </w:rPr>
        <w:t>X. El listado de aportantes a las precampañas y campañas políticas</w:t>
      </w:r>
      <w:r w:rsidRPr="0030529B">
        <w:rPr>
          <w:rFonts w:ascii="Palatino Linotype" w:hAnsi="Palatino Linotype"/>
          <w:i/>
          <w:sz w:val="22"/>
          <w:szCs w:val="22"/>
        </w:rPr>
        <w:t>;</w:t>
      </w:r>
    </w:p>
    <w:p w14:paraId="2FB931E3" w14:textId="77777777" w:rsidR="0030529B" w:rsidRDefault="0030529B" w:rsidP="0030529B">
      <w:pPr>
        <w:tabs>
          <w:tab w:val="left" w:pos="8222"/>
        </w:tabs>
        <w:spacing w:before="240" w:after="240" w:line="360" w:lineRule="auto"/>
        <w:ind w:left="851" w:right="616"/>
        <w:contextualSpacing/>
        <w:jc w:val="both"/>
        <w:rPr>
          <w:rFonts w:ascii="Palatino Linotype" w:eastAsia="MS Mincho" w:hAnsi="Palatino Linotype"/>
          <w:i/>
          <w:sz w:val="22"/>
          <w:szCs w:val="22"/>
        </w:rPr>
      </w:pPr>
    </w:p>
    <w:p w14:paraId="6EBBAFCC" w14:textId="3CDF1008" w:rsidR="0030529B" w:rsidRPr="0030529B" w:rsidRDefault="0030529B" w:rsidP="0030529B">
      <w:pPr>
        <w:tabs>
          <w:tab w:val="left" w:pos="8222"/>
        </w:tabs>
        <w:spacing w:before="240" w:after="240" w:line="360" w:lineRule="auto"/>
        <w:ind w:left="851" w:right="616"/>
        <w:contextualSpacing/>
        <w:jc w:val="both"/>
        <w:rPr>
          <w:rFonts w:ascii="Palatino Linotype" w:eastAsia="MS Mincho" w:hAnsi="Palatino Linotype"/>
          <w:i/>
          <w:sz w:val="22"/>
          <w:szCs w:val="22"/>
        </w:rPr>
      </w:pPr>
      <w:r>
        <w:rPr>
          <w:rFonts w:ascii="Palatino Linotype" w:eastAsia="MS Mincho" w:hAnsi="Palatino Linotype"/>
          <w:i/>
          <w:sz w:val="22"/>
          <w:szCs w:val="22"/>
        </w:rPr>
        <w:t>…</w:t>
      </w:r>
    </w:p>
    <w:p w14:paraId="295FC0EC" w14:textId="77777777" w:rsidR="00311874" w:rsidRDefault="008273C1" w:rsidP="00311874">
      <w:pPr>
        <w:pStyle w:val="Prrafodelista"/>
        <w:numPr>
          <w:ilvl w:val="0"/>
          <w:numId w:val="1"/>
        </w:numPr>
        <w:tabs>
          <w:tab w:val="left" w:pos="0"/>
        </w:tabs>
        <w:spacing w:line="360" w:lineRule="auto"/>
        <w:ind w:left="0" w:right="49" w:firstLine="0"/>
        <w:jc w:val="both"/>
        <w:rPr>
          <w:rFonts w:ascii="Palatino Linotype" w:eastAsia="MS Mincho" w:hAnsi="Palatino Linotype"/>
        </w:rPr>
      </w:pPr>
      <w:r>
        <w:rPr>
          <w:rFonts w:ascii="Palatino Linotype" w:eastAsia="MS Mincho" w:hAnsi="Palatino Linotype"/>
        </w:rPr>
        <w:t xml:space="preserve">Así entonces, en relación al planteamiento formulado por el particular, relativo al nombre de las personas físicas y jurídico colectivas que realizaron donaciones a la campaña de la actual Presidenta Municipal de Naucalpan de Juárez, se trata de información que de acuerdo al artículo que antecede es de carácter </w:t>
      </w:r>
      <w:r>
        <w:rPr>
          <w:rFonts w:ascii="Palatino Linotype" w:eastAsia="MS Mincho" w:hAnsi="Palatino Linotype"/>
        </w:rPr>
        <w:lastRenderedPageBreak/>
        <w:t>público, toda vez que la Ley en materia de Transparencia lo establece como</w:t>
      </w:r>
      <w:r w:rsidR="00311874">
        <w:rPr>
          <w:rFonts w:ascii="Palatino Linotype" w:eastAsia="MS Mincho" w:hAnsi="Palatino Linotype"/>
        </w:rPr>
        <w:t xml:space="preserve"> una obligación de transparencia específica de los particos políticos.</w:t>
      </w:r>
    </w:p>
    <w:p w14:paraId="64ABF67F" w14:textId="5978EF41" w:rsidR="008273C1" w:rsidRDefault="00311874" w:rsidP="00311874">
      <w:pPr>
        <w:pStyle w:val="Prrafodelista"/>
        <w:tabs>
          <w:tab w:val="left" w:pos="0"/>
        </w:tabs>
        <w:spacing w:line="360" w:lineRule="auto"/>
        <w:ind w:left="0" w:right="49"/>
        <w:jc w:val="both"/>
        <w:rPr>
          <w:rFonts w:ascii="Palatino Linotype" w:eastAsia="MS Mincho" w:hAnsi="Palatino Linotype"/>
        </w:rPr>
      </w:pPr>
      <w:r>
        <w:rPr>
          <w:rFonts w:ascii="Palatino Linotype" w:eastAsia="MS Mincho" w:hAnsi="Palatino Linotype"/>
        </w:rPr>
        <w:t xml:space="preserve"> </w:t>
      </w:r>
    </w:p>
    <w:p w14:paraId="393B84F3" w14:textId="77777777" w:rsidR="001843F5" w:rsidRDefault="00AA7F66" w:rsidP="0030529B">
      <w:pPr>
        <w:pStyle w:val="Prrafodelista"/>
        <w:numPr>
          <w:ilvl w:val="0"/>
          <w:numId w:val="1"/>
        </w:numPr>
        <w:tabs>
          <w:tab w:val="left" w:pos="0"/>
        </w:tabs>
        <w:spacing w:line="360" w:lineRule="auto"/>
        <w:ind w:left="0" w:right="49" w:firstLine="0"/>
        <w:jc w:val="both"/>
        <w:rPr>
          <w:rFonts w:ascii="Palatino Linotype" w:eastAsia="MS Mincho" w:hAnsi="Palatino Linotype"/>
        </w:rPr>
      </w:pPr>
      <w:r>
        <w:rPr>
          <w:rFonts w:ascii="Palatino Linotype" w:eastAsia="MS Mincho" w:hAnsi="Palatino Linotype"/>
        </w:rPr>
        <w:t xml:space="preserve">Ahora bien, por cuanto hace al nombre de proveedores contratados y si estos se encuentran en el catálogo del Instituto Nacional Electoral (INE), </w:t>
      </w:r>
      <w:r w:rsidR="001843F5">
        <w:rPr>
          <w:rFonts w:ascii="Palatino Linotype" w:eastAsia="MS Mincho" w:hAnsi="Palatino Linotype"/>
        </w:rPr>
        <w:t xml:space="preserve">el artículo 356 del Reglamento de Fiscalización del mismo Instituto establece:  </w:t>
      </w:r>
    </w:p>
    <w:p w14:paraId="25410AF9" w14:textId="77777777" w:rsidR="001843F5" w:rsidRPr="001843F5" w:rsidRDefault="001843F5" w:rsidP="001843F5">
      <w:pPr>
        <w:pStyle w:val="Prrafodelista"/>
        <w:rPr>
          <w:rFonts w:ascii="Palatino Linotype" w:eastAsia="MS Mincho" w:hAnsi="Palatino Linotype"/>
        </w:rPr>
      </w:pPr>
    </w:p>
    <w:p w14:paraId="1B37B84D" w14:textId="21D73B2A" w:rsidR="001843F5" w:rsidRPr="001843F5" w:rsidRDefault="001843F5" w:rsidP="001843F5">
      <w:pPr>
        <w:pStyle w:val="Prrafodelista"/>
        <w:tabs>
          <w:tab w:val="left" w:pos="0"/>
        </w:tabs>
        <w:spacing w:line="360" w:lineRule="auto"/>
        <w:ind w:right="49"/>
        <w:jc w:val="both"/>
        <w:rPr>
          <w:rFonts w:ascii="Palatino Linotype" w:eastAsia="MS Mincho" w:hAnsi="Palatino Linotype"/>
          <w:b/>
          <w:i/>
          <w:sz w:val="22"/>
          <w:szCs w:val="22"/>
        </w:rPr>
      </w:pPr>
      <w:r>
        <w:rPr>
          <w:rFonts w:ascii="Palatino Linotype" w:eastAsia="MS Mincho" w:hAnsi="Palatino Linotype"/>
          <w:b/>
          <w:i/>
          <w:sz w:val="22"/>
          <w:szCs w:val="22"/>
        </w:rPr>
        <w:t>“</w:t>
      </w:r>
      <w:r w:rsidRPr="001843F5">
        <w:rPr>
          <w:rFonts w:ascii="Palatino Linotype" w:eastAsia="MS Mincho" w:hAnsi="Palatino Linotype"/>
          <w:b/>
          <w:i/>
          <w:sz w:val="22"/>
          <w:szCs w:val="22"/>
        </w:rPr>
        <w:t>Artículo 356.</w:t>
      </w:r>
    </w:p>
    <w:p w14:paraId="43A613CD" w14:textId="77777777"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Disposiciones generales</w:t>
      </w:r>
    </w:p>
    <w:p w14:paraId="043E8488" w14:textId="5748A9EF"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1. En términos de lo dispuesto por la fracción XXI, d</w:t>
      </w:r>
      <w:r>
        <w:rPr>
          <w:rFonts w:ascii="Palatino Linotype" w:eastAsia="MS Mincho" w:hAnsi="Palatino Linotype"/>
          <w:i/>
          <w:sz w:val="22"/>
          <w:szCs w:val="22"/>
        </w:rPr>
        <w:t xml:space="preserve">el artículo 7 de la Ley General </w:t>
      </w:r>
      <w:r w:rsidRPr="001843F5">
        <w:rPr>
          <w:rFonts w:ascii="Palatino Linotype" w:eastAsia="MS Mincho" w:hAnsi="Palatino Linotype"/>
          <w:i/>
          <w:sz w:val="22"/>
          <w:szCs w:val="22"/>
        </w:rPr>
        <w:t xml:space="preserve">de Delitos Electorales, </w:t>
      </w:r>
      <w:r w:rsidRPr="001843F5">
        <w:rPr>
          <w:rFonts w:ascii="Palatino Linotype" w:eastAsia="MS Mincho" w:hAnsi="Palatino Linotype"/>
          <w:b/>
          <w:i/>
          <w:sz w:val="22"/>
          <w:szCs w:val="22"/>
        </w:rPr>
        <w:t>solo podrán proveer bienes y servicios a los partidos políticos</w:t>
      </w:r>
      <w:r w:rsidRPr="001843F5">
        <w:rPr>
          <w:rFonts w:ascii="Palatino Linotype" w:eastAsia="MS Mincho" w:hAnsi="Palatino Linotype"/>
          <w:i/>
          <w:sz w:val="22"/>
          <w:szCs w:val="22"/>
        </w:rPr>
        <w:t xml:space="preserve">, candidatos y candidatos independientes </w:t>
      </w:r>
      <w:r w:rsidRPr="001843F5">
        <w:rPr>
          <w:rFonts w:ascii="Palatino Linotype" w:eastAsia="MS Mincho" w:hAnsi="Palatino Linotype"/>
          <w:b/>
          <w:i/>
          <w:sz w:val="22"/>
          <w:szCs w:val="22"/>
        </w:rPr>
        <w:t>los proveedores inscritos en el Registro Nacional de Proveedores</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de conformidad con lo establecido en el</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presente Reglamento.</w:t>
      </w:r>
    </w:p>
    <w:p w14:paraId="31896DA7" w14:textId="20DD6846"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2. Para efectos de la obligación contenida en el párrafo anterior, será un proveedor o prestador de servicios obligado a inscrib</w:t>
      </w:r>
      <w:r>
        <w:rPr>
          <w:rFonts w:ascii="Palatino Linotype" w:eastAsia="MS Mincho" w:hAnsi="Palatino Linotype"/>
          <w:i/>
          <w:sz w:val="22"/>
          <w:szCs w:val="22"/>
        </w:rPr>
        <w:t xml:space="preserve">irse en el Registro Nacional de </w:t>
      </w:r>
      <w:r w:rsidRPr="001843F5">
        <w:rPr>
          <w:rFonts w:ascii="Palatino Linotype" w:eastAsia="MS Mincho" w:hAnsi="Palatino Linotype"/>
          <w:i/>
          <w:sz w:val="22"/>
          <w:szCs w:val="22"/>
        </w:rPr>
        <w:t>Proveedores de personas físicas o morales nacionales que vendan, enajenen,</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arrenden o proporcionen bienes o servicios de manera onerosa a los partidos,</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coaliciones, precandidatos, candidatos, aspirantes o candidatos independientes, destinados para su operación ordinaria, precampañas o campañas, cuando</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se trate de los bienes y servicios siguientes:</w:t>
      </w:r>
    </w:p>
    <w:p w14:paraId="42183DB4" w14:textId="298E2984"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a) Contratación de todo tipo de propaganda incluyen</w:t>
      </w:r>
      <w:r>
        <w:rPr>
          <w:rFonts w:ascii="Palatino Linotype" w:eastAsia="MS Mincho" w:hAnsi="Palatino Linotype"/>
          <w:i/>
          <w:sz w:val="22"/>
          <w:szCs w:val="22"/>
        </w:rPr>
        <w:t xml:space="preserve">do utilitaria y publicidad, así como </w:t>
      </w:r>
      <w:r w:rsidRPr="001843F5">
        <w:rPr>
          <w:rFonts w:ascii="Palatino Linotype" w:eastAsia="MS Mincho" w:hAnsi="Palatino Linotype"/>
          <w:i/>
          <w:sz w:val="22"/>
          <w:szCs w:val="22"/>
        </w:rPr>
        <w:t>espectáculos, cantantes y grupos musicales, sin importar el monto de la contratación.</w:t>
      </w:r>
    </w:p>
    <w:p w14:paraId="23D6187B" w14:textId="1D70FC0A"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 xml:space="preserve">b) Cuando el monto de lo contratado supere las </w:t>
      </w:r>
      <w:r>
        <w:rPr>
          <w:rFonts w:ascii="Palatino Linotype" w:eastAsia="MS Mincho" w:hAnsi="Palatino Linotype"/>
          <w:i/>
          <w:sz w:val="22"/>
          <w:szCs w:val="22"/>
        </w:rPr>
        <w:t xml:space="preserve">1,500 UMA en bienes y servicios </w:t>
      </w:r>
      <w:r w:rsidRPr="001843F5">
        <w:rPr>
          <w:rFonts w:ascii="Palatino Linotype" w:eastAsia="MS Mincho" w:hAnsi="Palatino Linotype"/>
          <w:i/>
          <w:sz w:val="22"/>
          <w:szCs w:val="22"/>
        </w:rPr>
        <w:t>contratados en la realización de eventos (distintos a los descritos en el inciso a).</w:t>
      </w:r>
      <w:r>
        <w:rPr>
          <w:rFonts w:ascii="Palatino Linotype" w:eastAsia="MS Mincho" w:hAnsi="Palatino Linotype"/>
          <w:i/>
          <w:sz w:val="22"/>
          <w:szCs w:val="22"/>
        </w:rPr>
        <w:t xml:space="preserve"> Para determinar el monto </w:t>
      </w:r>
      <w:r w:rsidRPr="001843F5">
        <w:rPr>
          <w:rFonts w:ascii="Palatino Linotype" w:eastAsia="MS Mincho" w:hAnsi="Palatino Linotype"/>
          <w:i/>
          <w:sz w:val="22"/>
          <w:szCs w:val="22"/>
        </w:rPr>
        <w:t>superior a las mil quinientas UMA se considerarán</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 xml:space="preserve">todas las operaciones realizadas en el </w:t>
      </w:r>
      <w:r w:rsidRPr="001843F5">
        <w:rPr>
          <w:rFonts w:ascii="Palatino Linotype" w:eastAsia="MS Mincho" w:hAnsi="Palatino Linotype"/>
          <w:i/>
          <w:sz w:val="22"/>
          <w:szCs w:val="22"/>
        </w:rPr>
        <w:lastRenderedPageBreak/>
        <w:t>mismo periodo, con uno o más sujetos</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obligados, para estos efectos se considera como inicio de periodo el momento</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en que comenzó a realizar operaciones con los sujetos obligados y como fin del</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mismo el 31 de diciembre de ese año.</w:t>
      </w:r>
    </w:p>
    <w:p w14:paraId="57ECA302" w14:textId="3C12BA8E"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 xml:space="preserve">Podrá inscribirse en el Registro Nacional de </w:t>
      </w:r>
      <w:r>
        <w:rPr>
          <w:rFonts w:ascii="Palatino Linotype" w:eastAsia="MS Mincho" w:hAnsi="Palatino Linotype"/>
          <w:i/>
          <w:sz w:val="22"/>
          <w:szCs w:val="22"/>
        </w:rPr>
        <w:t xml:space="preserve">Proveedores cualquier proveedor </w:t>
      </w:r>
      <w:r w:rsidRPr="001843F5">
        <w:rPr>
          <w:rFonts w:ascii="Palatino Linotype" w:eastAsia="MS Mincho" w:hAnsi="Palatino Linotype"/>
          <w:i/>
          <w:sz w:val="22"/>
          <w:szCs w:val="22"/>
        </w:rPr>
        <w:t>aun cuando no se ubique en los supuestos señalados en los incisos a) y b) de</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este numeral.</w:t>
      </w:r>
    </w:p>
    <w:p w14:paraId="3DF526BC" w14:textId="65345D43"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Los proveedores deberán inscribirse en el Regi</w:t>
      </w:r>
      <w:r>
        <w:rPr>
          <w:rFonts w:ascii="Palatino Linotype" w:eastAsia="MS Mincho" w:hAnsi="Palatino Linotype"/>
          <w:i/>
          <w:sz w:val="22"/>
          <w:szCs w:val="22"/>
        </w:rPr>
        <w:t xml:space="preserve">stro Nacional de Proveedores, a </w:t>
      </w:r>
      <w:r w:rsidRPr="001843F5">
        <w:rPr>
          <w:rFonts w:ascii="Palatino Linotype" w:eastAsia="MS Mincho" w:hAnsi="Palatino Linotype"/>
          <w:i/>
          <w:sz w:val="22"/>
          <w:szCs w:val="22"/>
        </w:rPr>
        <w:t>más tardar dentro de los diez días siguientes a aquel en que se ubique en alguno de los supuestos de los incisos a) y b) de este numeral.</w:t>
      </w:r>
    </w:p>
    <w:p w14:paraId="0B88BE59" w14:textId="1868A91D"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3. La Comisión, con el apoyo de la Unidad Técnica,</w:t>
      </w:r>
      <w:r>
        <w:rPr>
          <w:rFonts w:ascii="Palatino Linotype" w:eastAsia="MS Mincho" w:hAnsi="Palatino Linotype"/>
          <w:i/>
          <w:sz w:val="22"/>
          <w:szCs w:val="22"/>
        </w:rPr>
        <w:t xml:space="preserve"> deberá emitir el procedimiento </w:t>
      </w:r>
      <w:r w:rsidRPr="001843F5">
        <w:rPr>
          <w:rFonts w:ascii="Palatino Linotype" w:eastAsia="MS Mincho" w:hAnsi="Palatino Linotype"/>
          <w:i/>
          <w:sz w:val="22"/>
          <w:szCs w:val="22"/>
        </w:rPr>
        <w:t>para la inscripción de personas físicas y morales en el Registro Nacional de Proveedores, el cual deberá ser publicado en la página de Internet del Instituto.</w:t>
      </w:r>
    </w:p>
    <w:p w14:paraId="17FB19C7" w14:textId="77777777"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4. El procedimiento deberá considerar cuando menos lo siguiente:</w:t>
      </w:r>
    </w:p>
    <w:p w14:paraId="1718A42D" w14:textId="77777777"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a) Que la solicitud de registro se realice a través de medios electrónico.</w:t>
      </w:r>
    </w:p>
    <w:p w14:paraId="275F0902" w14:textId="77777777"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b) Que la solicitud de registro pueda realizarse en cualquier momento.</w:t>
      </w:r>
    </w:p>
    <w:p w14:paraId="54A98156" w14:textId="16EA231D"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c) Que la aceptación o negación de registro concluya en 7 dí</w:t>
      </w:r>
      <w:r>
        <w:rPr>
          <w:rFonts w:ascii="Palatino Linotype" w:eastAsia="MS Mincho" w:hAnsi="Palatino Linotype"/>
          <w:i/>
          <w:sz w:val="22"/>
          <w:szCs w:val="22"/>
        </w:rPr>
        <w:t xml:space="preserve">as hábiles, existiendo la </w:t>
      </w:r>
      <w:r w:rsidRPr="001843F5">
        <w:rPr>
          <w:rFonts w:ascii="Palatino Linotype" w:eastAsia="MS Mincho" w:hAnsi="Palatino Linotype"/>
          <w:i/>
          <w:sz w:val="22"/>
          <w:szCs w:val="22"/>
        </w:rPr>
        <w:t>figura de la afirmativa ficta a favor de solicitante, cuando la autoridad no responda</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en el plazo antes señalado.</w:t>
      </w:r>
    </w:p>
    <w:p w14:paraId="41845C65" w14:textId="00EBC007" w:rsidR="001843F5" w:rsidRPr="001843F5" w:rsidRDefault="001843F5" w:rsidP="001843F5">
      <w:pPr>
        <w:pStyle w:val="Prrafodelista"/>
        <w:tabs>
          <w:tab w:val="left" w:pos="0"/>
        </w:tabs>
        <w:spacing w:line="360" w:lineRule="auto"/>
        <w:ind w:right="49"/>
        <w:jc w:val="both"/>
        <w:rPr>
          <w:rFonts w:ascii="Palatino Linotype" w:eastAsia="MS Mincho" w:hAnsi="Palatino Linotype"/>
          <w:i/>
          <w:sz w:val="22"/>
          <w:szCs w:val="22"/>
        </w:rPr>
      </w:pPr>
      <w:r w:rsidRPr="001843F5">
        <w:rPr>
          <w:rFonts w:ascii="Palatino Linotype" w:eastAsia="MS Mincho" w:hAnsi="Palatino Linotype"/>
          <w:i/>
          <w:sz w:val="22"/>
          <w:szCs w:val="22"/>
        </w:rPr>
        <w:t>5. A más tardar el último día hábil del mes de</w:t>
      </w:r>
      <w:r>
        <w:rPr>
          <w:rFonts w:ascii="Palatino Linotype" w:eastAsia="MS Mincho" w:hAnsi="Palatino Linotype"/>
          <w:i/>
          <w:sz w:val="22"/>
          <w:szCs w:val="22"/>
        </w:rPr>
        <w:t xml:space="preserve"> enero de cada año, la Comisión </w:t>
      </w:r>
      <w:r w:rsidRPr="001843F5">
        <w:rPr>
          <w:rFonts w:ascii="Palatino Linotype" w:eastAsia="MS Mincho" w:hAnsi="Palatino Linotype"/>
          <w:i/>
          <w:sz w:val="22"/>
          <w:szCs w:val="22"/>
        </w:rPr>
        <w:t>con el apoyo de la Unidad Técnica, deberá publicar en la página de Internet</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del Instituto, una invitación dirigida a los proveedores de partidos a efecto de</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que refrenden su registro o en su caso, soliciten su inscripción o tramiten su</w:t>
      </w:r>
      <w:r>
        <w:rPr>
          <w:rFonts w:ascii="Palatino Linotype" w:eastAsia="MS Mincho" w:hAnsi="Palatino Linotype"/>
          <w:i/>
          <w:sz w:val="22"/>
          <w:szCs w:val="22"/>
        </w:rPr>
        <w:t xml:space="preserve"> </w:t>
      </w:r>
      <w:r w:rsidRPr="001843F5">
        <w:rPr>
          <w:rFonts w:ascii="Palatino Linotype" w:eastAsia="MS Mincho" w:hAnsi="Palatino Linotype"/>
          <w:i/>
          <w:sz w:val="22"/>
          <w:szCs w:val="22"/>
        </w:rPr>
        <w:t>cancelación, en términos de lo dispuesto en el Capítulo II</w:t>
      </w:r>
      <w:r>
        <w:rPr>
          <w:rFonts w:ascii="Palatino Linotype" w:eastAsia="MS Mincho" w:hAnsi="Palatino Linotype"/>
          <w:i/>
          <w:sz w:val="22"/>
          <w:szCs w:val="22"/>
        </w:rPr>
        <w:t xml:space="preserve">, del Libro Quinto de </w:t>
      </w:r>
      <w:r w:rsidRPr="001843F5">
        <w:rPr>
          <w:rFonts w:ascii="Palatino Linotype" w:eastAsia="MS Mincho" w:hAnsi="Palatino Linotype"/>
          <w:i/>
          <w:sz w:val="22"/>
          <w:szCs w:val="22"/>
        </w:rPr>
        <w:t>presente Reglamento.</w:t>
      </w:r>
      <w:r>
        <w:rPr>
          <w:rFonts w:ascii="Palatino Linotype" w:eastAsia="MS Mincho" w:hAnsi="Palatino Linotype"/>
          <w:i/>
          <w:sz w:val="22"/>
          <w:szCs w:val="22"/>
        </w:rPr>
        <w:t>”</w:t>
      </w:r>
    </w:p>
    <w:p w14:paraId="0DD978F1" w14:textId="77777777" w:rsidR="001843F5" w:rsidRPr="001843F5" w:rsidRDefault="001843F5" w:rsidP="001843F5">
      <w:pPr>
        <w:rPr>
          <w:rFonts w:ascii="Palatino Linotype" w:eastAsia="MS Mincho" w:hAnsi="Palatino Linotype"/>
        </w:rPr>
      </w:pPr>
    </w:p>
    <w:p w14:paraId="6F328B08" w14:textId="155D3D7C" w:rsidR="001843F5" w:rsidRDefault="001843F5" w:rsidP="0030529B">
      <w:pPr>
        <w:pStyle w:val="Prrafodelista"/>
        <w:numPr>
          <w:ilvl w:val="0"/>
          <w:numId w:val="1"/>
        </w:numPr>
        <w:tabs>
          <w:tab w:val="left" w:pos="0"/>
        </w:tabs>
        <w:spacing w:line="360" w:lineRule="auto"/>
        <w:ind w:left="0" w:right="49" w:firstLine="0"/>
        <w:jc w:val="both"/>
        <w:rPr>
          <w:rFonts w:ascii="Palatino Linotype" w:eastAsia="MS Mincho" w:hAnsi="Palatino Linotype"/>
        </w:rPr>
      </w:pPr>
      <w:r>
        <w:rPr>
          <w:rFonts w:ascii="Palatino Linotype" w:eastAsia="MS Mincho" w:hAnsi="Palatino Linotype"/>
        </w:rPr>
        <w:lastRenderedPageBreak/>
        <w:t xml:space="preserve">Asimismo el reglamento de referencia, en el artículo 359 establece como obligación de los proveedores inscritos en el Registro Nacional de Proveedores </w:t>
      </w:r>
      <w:r w:rsidR="003D422D" w:rsidRPr="003D422D">
        <w:rPr>
          <w:rFonts w:ascii="Palatino Linotype" w:eastAsia="MS Mincho" w:hAnsi="Palatino Linotype"/>
          <w:u w:val="single"/>
        </w:rPr>
        <w:t>emitir a través del Registro Nacional de Proveedores, las hojas membretadas que los sujetos obligados requieran para la comprobación de gastos, y que deberán entregar junto con la factura</w:t>
      </w:r>
      <w:r w:rsidR="003D422D">
        <w:rPr>
          <w:rFonts w:ascii="Palatino Linotype" w:eastAsia="MS Mincho" w:hAnsi="Palatino Linotype"/>
        </w:rPr>
        <w:t xml:space="preserve">; en este entendido, se infiere que el Partido Morena, debió requerir a cada proveedor la acreditación de tal registro, y el cual debió agregar a la factura correspondiente por la adquisición o contratación de bienes o servicios para la campaña de la actual Presidenta Municipal de Naucalpan de Juárez. </w:t>
      </w:r>
    </w:p>
    <w:p w14:paraId="2823CB28" w14:textId="77777777" w:rsidR="00AA7F66" w:rsidRPr="00AA7F66" w:rsidRDefault="00AA7F66" w:rsidP="00AA7F66">
      <w:pPr>
        <w:pStyle w:val="Prrafodelista"/>
        <w:rPr>
          <w:rFonts w:ascii="Palatino Linotype" w:eastAsia="MS Mincho" w:hAnsi="Palatino Linotype"/>
        </w:rPr>
      </w:pPr>
    </w:p>
    <w:p w14:paraId="7B05BD8D" w14:textId="2A7A7F96" w:rsidR="001227D9" w:rsidRDefault="001227D9" w:rsidP="0030529B">
      <w:pPr>
        <w:pStyle w:val="Prrafodelista"/>
        <w:numPr>
          <w:ilvl w:val="0"/>
          <w:numId w:val="1"/>
        </w:numPr>
        <w:tabs>
          <w:tab w:val="left" w:pos="0"/>
        </w:tabs>
        <w:spacing w:line="360" w:lineRule="auto"/>
        <w:ind w:left="0" w:right="49" w:firstLine="0"/>
        <w:jc w:val="both"/>
        <w:rPr>
          <w:rFonts w:ascii="Palatino Linotype" w:eastAsia="MS Mincho" w:hAnsi="Palatino Linotype"/>
        </w:rPr>
      </w:pPr>
      <w:r>
        <w:rPr>
          <w:rFonts w:ascii="Palatino Linotype" w:eastAsia="MS Mincho" w:hAnsi="Palatino Linotype"/>
        </w:rPr>
        <w:t xml:space="preserve">De los preceptos jurídicos citados se colige, que el </w:t>
      </w:r>
      <w:r>
        <w:rPr>
          <w:rFonts w:ascii="Palatino Linotype" w:eastAsia="MS Mincho" w:hAnsi="Palatino Linotype"/>
          <w:b/>
        </w:rPr>
        <w:t xml:space="preserve">Partido Morena, </w:t>
      </w:r>
      <w:r>
        <w:rPr>
          <w:rFonts w:ascii="Palatino Linotype" w:eastAsia="MS Mincho" w:hAnsi="Palatino Linotype"/>
        </w:rPr>
        <w:t xml:space="preserve">cuenta con las atribuciones, facultades y competencias para generar, administrar y poseer la documentación de la que se pueda obtener la información requerida por el particular ya que de manera enunciativa </w:t>
      </w:r>
      <w:r w:rsidR="00950B66">
        <w:rPr>
          <w:rFonts w:ascii="Palatino Linotype" w:eastAsia="MS Mincho" w:hAnsi="Palatino Linotype"/>
        </w:rPr>
        <w:t>mas no limitativa</w:t>
      </w:r>
      <w:r>
        <w:rPr>
          <w:rFonts w:ascii="Palatino Linotype" w:eastAsia="MS Mincho" w:hAnsi="Palatino Linotype"/>
        </w:rPr>
        <w:t xml:space="preserve"> del informe que el partido político </w:t>
      </w:r>
      <w:r w:rsidR="00950B66">
        <w:rPr>
          <w:rFonts w:ascii="Palatino Linotype" w:eastAsia="MS Mincho" w:hAnsi="Palatino Linotype"/>
        </w:rPr>
        <w:t>entrega a la Unidad Técnica del Fiscalización del</w:t>
      </w:r>
      <w:r>
        <w:rPr>
          <w:rFonts w:ascii="Palatino Linotype" w:eastAsia="MS Mincho" w:hAnsi="Palatino Linotype"/>
        </w:rPr>
        <w:t xml:space="preserve"> Instituto Nacional Electoral (INE)</w:t>
      </w:r>
      <w:r w:rsidR="00950B66">
        <w:rPr>
          <w:rFonts w:ascii="Palatino Linotype" w:eastAsia="MS Mincho" w:hAnsi="Palatino Linotype"/>
        </w:rPr>
        <w:t xml:space="preserve"> se puede obtener los gastos de campaña detallados por concepto y cantidad,</w:t>
      </w:r>
      <w:r w:rsidR="00AA7F66">
        <w:rPr>
          <w:rFonts w:ascii="Palatino Linotype" w:eastAsia="MS Mincho" w:hAnsi="Palatino Linotype"/>
        </w:rPr>
        <w:t xml:space="preserve"> el monto m</w:t>
      </w:r>
      <w:r w:rsidR="003D422D">
        <w:rPr>
          <w:rFonts w:ascii="Palatino Linotype" w:eastAsia="MS Mincho" w:hAnsi="Palatino Linotype"/>
        </w:rPr>
        <w:t xml:space="preserve">áximo autorizado, </w:t>
      </w:r>
      <w:r w:rsidR="00950B66">
        <w:rPr>
          <w:rFonts w:ascii="Palatino Linotype" w:eastAsia="MS Mincho" w:hAnsi="Palatino Linotype"/>
        </w:rPr>
        <w:t xml:space="preserve">el nombre de los proveedores y si estos se encuentran en el catálogo del </w:t>
      </w:r>
      <w:r w:rsidR="00023A5F">
        <w:rPr>
          <w:rFonts w:ascii="Palatino Linotype" w:eastAsia="MS Mincho" w:hAnsi="Palatino Linotype"/>
        </w:rPr>
        <w:t>INE; así como los nombre de personas física y jurídico colectivas que realizaron las donaciones</w:t>
      </w:r>
      <w:r w:rsidR="003D422D">
        <w:rPr>
          <w:rFonts w:ascii="Palatino Linotype" w:eastAsia="MS Mincho" w:hAnsi="Palatino Linotype"/>
        </w:rPr>
        <w:t xml:space="preserve"> o aportaciones</w:t>
      </w:r>
      <w:r w:rsidR="00023A5F">
        <w:rPr>
          <w:rFonts w:ascii="Palatino Linotype" w:eastAsia="MS Mincho" w:hAnsi="Palatino Linotype"/>
        </w:rPr>
        <w:t xml:space="preserve"> a la campaña así c</w:t>
      </w:r>
      <w:r w:rsidR="003D422D">
        <w:rPr>
          <w:rFonts w:ascii="Palatino Linotype" w:eastAsia="MS Mincho" w:hAnsi="Palatino Linotype"/>
        </w:rPr>
        <w:t xml:space="preserve">omo el monto de las mismas. </w:t>
      </w:r>
    </w:p>
    <w:p w14:paraId="498EE247" w14:textId="77777777" w:rsidR="001227D9" w:rsidRDefault="001227D9" w:rsidP="001227D9">
      <w:pPr>
        <w:pStyle w:val="Prrafodelista"/>
        <w:tabs>
          <w:tab w:val="left" w:pos="0"/>
        </w:tabs>
        <w:spacing w:line="360" w:lineRule="auto"/>
        <w:ind w:left="0" w:right="49"/>
        <w:jc w:val="both"/>
        <w:rPr>
          <w:rFonts w:ascii="Palatino Linotype" w:eastAsia="MS Mincho" w:hAnsi="Palatino Linotype"/>
        </w:rPr>
      </w:pPr>
    </w:p>
    <w:p w14:paraId="2E2DCD76" w14:textId="3821B097" w:rsidR="00113BB3" w:rsidRPr="00113BB3" w:rsidRDefault="00027112" w:rsidP="00113BB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13BB3">
        <w:rPr>
          <w:rFonts w:ascii="Palatino Linotype" w:eastAsia="MS Mincho" w:hAnsi="Palatino Linotype"/>
        </w:rPr>
        <w:lastRenderedPageBreak/>
        <w:t>En ese tenor y por los argumentos expuestos, es dable ordenar</w:t>
      </w:r>
      <w:r w:rsidR="00113BB3">
        <w:rPr>
          <w:rFonts w:ascii="Palatino Linotype" w:eastAsia="MS Mincho" w:hAnsi="Palatino Linotype"/>
        </w:rPr>
        <w:t xml:space="preserve"> en versión pública la documentación en la que conste </w:t>
      </w:r>
      <w:r w:rsidR="003D422D">
        <w:rPr>
          <w:rFonts w:ascii="Palatino Linotype" w:hAnsi="Palatino Linotype"/>
          <w:lang w:val="es-MX" w:eastAsia="en-US"/>
        </w:rPr>
        <w:t>el t</w:t>
      </w:r>
      <w:r w:rsidR="00113BB3">
        <w:rPr>
          <w:rFonts w:ascii="Palatino Linotype" w:hAnsi="Palatino Linotype"/>
          <w:lang w:val="es-MX" w:eastAsia="en-US"/>
        </w:rPr>
        <w:t>otal de los gastos de campaña, detallados por concepto y cantidad para elección de la Presidenta Municipal de Naucalpan de Juárez,</w:t>
      </w:r>
      <w:r w:rsidR="003D422D">
        <w:rPr>
          <w:rFonts w:ascii="Palatino Linotype" w:hAnsi="Palatino Linotype"/>
          <w:lang w:val="es-MX" w:eastAsia="en-US"/>
        </w:rPr>
        <w:t xml:space="preserve"> Patricia Elisa Duran Reveles, </w:t>
      </w:r>
      <w:r w:rsidR="003D422D" w:rsidRPr="00113BB3">
        <w:rPr>
          <w:rFonts w:ascii="Palatino Linotype" w:hAnsi="Palatino Linotype" w:cs="Arial"/>
          <w:color w:val="000000" w:themeColor="text1"/>
        </w:rPr>
        <w:t>monto</w:t>
      </w:r>
      <w:r w:rsidR="00113BB3" w:rsidRPr="00113BB3">
        <w:rPr>
          <w:rFonts w:ascii="Palatino Linotype" w:hAnsi="Palatino Linotype" w:cs="Arial"/>
          <w:color w:val="000000" w:themeColor="text1"/>
        </w:rPr>
        <w:t xml:space="preserve"> máximo autorizado por el INE para la campaña referida;</w:t>
      </w:r>
      <w:r w:rsidR="00113BB3">
        <w:rPr>
          <w:rFonts w:ascii="Palatino Linotype" w:hAnsi="Palatino Linotype" w:cs="Arial"/>
          <w:color w:val="000000" w:themeColor="text1"/>
        </w:rPr>
        <w:t xml:space="preserve"> n</w:t>
      </w:r>
      <w:r w:rsidR="00113BB3" w:rsidRPr="00113BB3">
        <w:rPr>
          <w:rFonts w:ascii="Palatino Linotype" w:hAnsi="Palatino Linotype" w:cs="Arial"/>
          <w:color w:val="000000" w:themeColor="text1"/>
        </w:rPr>
        <w:t xml:space="preserve">ombre de las personas físicas y jurídico colectivas que realizaron donaciones a la campaña; así como el monto y detalle </w:t>
      </w:r>
      <w:r w:rsidR="00113BB3">
        <w:rPr>
          <w:rFonts w:ascii="Palatino Linotype" w:hAnsi="Palatino Linotype" w:cs="Arial"/>
          <w:color w:val="000000" w:themeColor="text1"/>
        </w:rPr>
        <w:t>de cada una de las donaciones;  n</w:t>
      </w:r>
      <w:r w:rsidR="00113BB3" w:rsidRPr="00113BB3">
        <w:rPr>
          <w:rFonts w:ascii="Palatino Linotype" w:hAnsi="Palatino Linotype" w:cs="Arial"/>
          <w:color w:val="000000" w:themeColor="text1"/>
        </w:rPr>
        <w:t xml:space="preserve">ombre de los proveedores contratados y </w:t>
      </w:r>
      <w:r w:rsidR="003D422D">
        <w:rPr>
          <w:rFonts w:ascii="Palatino Linotype" w:hAnsi="Palatino Linotype" w:cs="Arial"/>
          <w:color w:val="000000" w:themeColor="text1"/>
        </w:rPr>
        <w:t>su inscripción en el Registro Nacional de Proveedores.</w:t>
      </w:r>
    </w:p>
    <w:p w14:paraId="53F9344C" w14:textId="77777777" w:rsidR="00326BBB" w:rsidRPr="003645A7" w:rsidRDefault="00326BBB" w:rsidP="00326BBB">
      <w:pPr>
        <w:pStyle w:val="Ttulo1"/>
        <w:spacing w:line="360" w:lineRule="auto"/>
        <w:rPr>
          <w:b/>
          <w:szCs w:val="24"/>
        </w:rPr>
      </w:pPr>
      <w:bookmarkStart w:id="57" w:name="_Toc473799824"/>
      <w:bookmarkStart w:id="58" w:name="_Toc487025370"/>
      <w:bookmarkStart w:id="59" w:name="_Toc493790438"/>
      <w:bookmarkStart w:id="60" w:name="_Toc495606558"/>
      <w:bookmarkStart w:id="61" w:name="_Toc497297048"/>
      <w:bookmarkStart w:id="62" w:name="_Toc498503756"/>
      <w:bookmarkStart w:id="63" w:name="_Toc499201876"/>
      <w:bookmarkStart w:id="64" w:name="_Toc954272"/>
      <w:bookmarkStart w:id="65" w:name="_Toc1585432"/>
      <w:bookmarkStart w:id="66" w:name="_Toc4684440"/>
      <w:bookmarkStart w:id="67" w:name="_Toc9511344"/>
      <w:r>
        <w:rPr>
          <w:b/>
          <w:szCs w:val="24"/>
        </w:rPr>
        <w:t>SEXTO</w:t>
      </w:r>
      <w:r w:rsidRPr="003645A7">
        <w:rPr>
          <w:b/>
          <w:szCs w:val="24"/>
        </w:rPr>
        <w:t>. De la Versión Pública</w:t>
      </w:r>
      <w:bookmarkEnd w:id="57"/>
      <w:bookmarkEnd w:id="58"/>
      <w:bookmarkEnd w:id="59"/>
      <w:bookmarkEnd w:id="60"/>
      <w:bookmarkEnd w:id="61"/>
      <w:bookmarkEnd w:id="62"/>
      <w:bookmarkEnd w:id="63"/>
      <w:bookmarkEnd w:id="64"/>
      <w:bookmarkEnd w:id="65"/>
      <w:bookmarkEnd w:id="66"/>
      <w:bookmarkEnd w:id="67"/>
      <w:r w:rsidRPr="003645A7">
        <w:rPr>
          <w:b/>
          <w:szCs w:val="24"/>
        </w:rPr>
        <w:t xml:space="preserve"> </w:t>
      </w:r>
    </w:p>
    <w:p w14:paraId="1A5825DF" w14:textId="77777777" w:rsidR="00326BBB" w:rsidRPr="006E74A1" w:rsidRDefault="00326BBB"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6E74A1">
        <w:rPr>
          <w:rFonts w:ascii="Palatino Linotype" w:eastAsia="Calibri" w:hAnsi="Palatino Linotype" w:cs="Arial"/>
          <w:szCs w:val="22"/>
          <w:lang w:val="es-ES" w:eastAsia="es-MX"/>
        </w:rPr>
        <w:t xml:space="preserve">Como ya se ha señalado en el considerando anterior el </w:t>
      </w:r>
      <w:r w:rsidRPr="006E74A1">
        <w:rPr>
          <w:rFonts w:ascii="Palatino Linotype" w:eastAsia="Calibri" w:hAnsi="Palatino Linotype" w:cs="Arial"/>
          <w:b/>
          <w:szCs w:val="22"/>
          <w:lang w:val="es-ES" w:eastAsia="es-MX"/>
        </w:rPr>
        <w:t>SUJETO OBLIGADO,</w:t>
      </w:r>
      <w:r w:rsidRPr="006E74A1">
        <w:rPr>
          <w:rFonts w:ascii="Palatino Linotype" w:eastAsia="Calibri" w:hAnsi="Palatino Linotype" w:cs="Arial"/>
          <w:szCs w:val="22"/>
          <w:lang w:val="es-ES" w:eastAsia="es-MX"/>
        </w:rPr>
        <w:t xml:space="preserve"> deberá entregar </w:t>
      </w:r>
      <w:r>
        <w:rPr>
          <w:rFonts w:ascii="Palatino Linotype" w:eastAsia="Calibri" w:hAnsi="Palatino Linotype" w:cs="Arial"/>
          <w:szCs w:val="22"/>
          <w:lang w:val="es-ES" w:eastAsia="es-MX"/>
        </w:rPr>
        <w:t>recibos de nómina de todos los servidores públicos.</w:t>
      </w:r>
      <w:r w:rsidRPr="006E74A1">
        <w:rPr>
          <w:rFonts w:ascii="Palatino Linotype" w:hAnsi="Palatino Linotype"/>
          <w:lang w:val="es-ES"/>
        </w:rPr>
        <w:t xml:space="preserve"> </w:t>
      </w:r>
      <w:r w:rsidRPr="006E74A1">
        <w:rPr>
          <w:rFonts w:ascii="Palatino Linotype" w:eastAsia="Calibri" w:hAnsi="Palatino Linotype" w:cs="Arial"/>
          <w:szCs w:val="22"/>
          <w:lang w:val="es-ES" w:eastAsia="es-MX"/>
        </w:rPr>
        <w:t>Documento</w:t>
      </w:r>
      <w:r>
        <w:rPr>
          <w:rFonts w:ascii="Palatino Linotype" w:eastAsia="Calibri" w:hAnsi="Palatino Linotype" w:cs="Arial"/>
          <w:szCs w:val="22"/>
          <w:lang w:val="es-ES" w:eastAsia="es-MX"/>
        </w:rPr>
        <w:t>s</w:t>
      </w:r>
      <w:r w:rsidRPr="006E74A1">
        <w:rPr>
          <w:rFonts w:ascii="Palatino Linotype" w:eastAsia="Calibri" w:hAnsi="Palatino Linotype" w:cs="Arial"/>
          <w:szCs w:val="22"/>
          <w:lang w:val="es-ES" w:eastAsia="es-MX"/>
        </w:rPr>
        <w:t xml:space="preserve"> en los que, de ser el caso que contengan datos personales que deban de ser clasificados como confidenciales, se protegerán mediante una versión pública</w:t>
      </w:r>
      <w:r w:rsidRPr="006E74A1">
        <w:rPr>
          <w:rFonts w:ascii="Palatino Linotype" w:eastAsia="Times New Roman" w:hAnsi="Palatino Linotype" w:cs="Arial"/>
          <w:color w:val="222222"/>
          <w:szCs w:val="22"/>
          <w:lang w:val="es-ES" w:eastAsia="es-MX"/>
        </w:rPr>
        <w:t xml:space="preserve"> que deje a la vista los datos que ofrezcan la información requerida. </w:t>
      </w:r>
    </w:p>
    <w:p w14:paraId="42B1A2D2" w14:textId="77777777" w:rsidR="00326BBB" w:rsidRPr="006E74A1" w:rsidRDefault="00326BBB" w:rsidP="00DC31FF">
      <w:pPr>
        <w:pStyle w:val="Ttulo3"/>
        <w:numPr>
          <w:ilvl w:val="0"/>
          <w:numId w:val="4"/>
        </w:numPr>
        <w:spacing w:line="360" w:lineRule="auto"/>
        <w:rPr>
          <w:rFonts w:ascii="Palatino Linotype" w:eastAsia="Calibri" w:hAnsi="Palatino Linotype"/>
          <w:b/>
          <w:color w:val="auto"/>
        </w:rPr>
      </w:pPr>
      <w:bookmarkStart w:id="68" w:name="_Toc531859121"/>
      <w:bookmarkStart w:id="69" w:name="_Toc532385645"/>
      <w:bookmarkStart w:id="70" w:name="_Toc954273"/>
      <w:bookmarkStart w:id="71" w:name="_Toc1585433"/>
      <w:bookmarkStart w:id="72" w:name="_Toc4684441"/>
      <w:bookmarkStart w:id="73" w:name="_Toc9511345"/>
      <w:r w:rsidRPr="006E74A1">
        <w:rPr>
          <w:rFonts w:ascii="Palatino Linotype" w:hAnsi="Palatino Linotype"/>
          <w:b/>
          <w:color w:val="auto"/>
        </w:rPr>
        <w:t>Requisitos previos.</w:t>
      </w:r>
      <w:bookmarkEnd w:id="68"/>
      <w:bookmarkEnd w:id="69"/>
      <w:bookmarkEnd w:id="70"/>
      <w:bookmarkEnd w:id="71"/>
      <w:bookmarkEnd w:id="72"/>
      <w:bookmarkEnd w:id="73"/>
    </w:p>
    <w:p w14:paraId="33C01EB8"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C6736CF"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6E74A1">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4EAE855B"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3ECC1A"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C28C555"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03271716"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DAD6C3B" w14:textId="77777777" w:rsidR="00326BBB" w:rsidRPr="006E74A1" w:rsidRDefault="00326BBB" w:rsidP="00DC31FF">
      <w:pPr>
        <w:pStyle w:val="Ttulo3"/>
        <w:numPr>
          <w:ilvl w:val="0"/>
          <w:numId w:val="4"/>
        </w:numPr>
        <w:spacing w:line="360" w:lineRule="auto"/>
        <w:rPr>
          <w:rFonts w:ascii="Palatino Linotype" w:hAnsi="Palatino Linotype"/>
          <w:b/>
          <w:color w:val="auto"/>
        </w:rPr>
      </w:pPr>
      <w:bookmarkStart w:id="74" w:name="_Toc531859122"/>
      <w:bookmarkStart w:id="75" w:name="_Toc532385646"/>
      <w:bookmarkStart w:id="76" w:name="_Toc954274"/>
      <w:bookmarkStart w:id="77" w:name="_Toc1585434"/>
      <w:bookmarkStart w:id="78" w:name="_Toc4684442"/>
      <w:bookmarkStart w:id="79" w:name="_Toc9511346"/>
      <w:r w:rsidRPr="006E74A1">
        <w:rPr>
          <w:rFonts w:ascii="Palatino Linotype" w:hAnsi="Palatino Linotype"/>
          <w:b/>
          <w:color w:val="auto"/>
        </w:rPr>
        <w:t>Supuesto de clasificación.</w:t>
      </w:r>
      <w:bookmarkEnd w:id="74"/>
      <w:bookmarkEnd w:id="75"/>
      <w:bookmarkEnd w:id="76"/>
      <w:bookmarkEnd w:id="77"/>
      <w:bookmarkEnd w:id="78"/>
      <w:bookmarkEnd w:id="79"/>
    </w:p>
    <w:p w14:paraId="511DC09E"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734C2E"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6E74A1">
        <w:rPr>
          <w:rFonts w:ascii="Palatino Linotype" w:eastAsia="Calibri" w:hAnsi="Palatino Linotype" w:cs="Arial"/>
          <w:szCs w:val="22"/>
          <w:lang w:val="es-ES" w:eastAsia="es-MX"/>
        </w:rPr>
        <w:lastRenderedPageBreak/>
        <w:t>la Ley de Transparencia y Acceso a la Información Pública del Estado de México y Municipios.</w:t>
      </w:r>
    </w:p>
    <w:p w14:paraId="4B3E784C" w14:textId="77777777" w:rsidR="00326BBB" w:rsidRPr="006E74A1" w:rsidRDefault="00326BBB" w:rsidP="00326BBB">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3699D18E"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4608F52D"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0B288DA"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3C38F44E"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70011765"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6CE4899"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2C3CCA8"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1C8F0FEA"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7625767"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w:t>
      </w:r>
    </w:p>
    <w:p w14:paraId="52BFEAA0"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2EA2A767"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0FCE220"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14:paraId="707BB8F1" w14:textId="77777777" w:rsidR="00326BBB" w:rsidRPr="006E74A1"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419328A" w14:textId="65B4BEDC" w:rsidR="00C151A1" w:rsidRDefault="00326BBB" w:rsidP="00C151A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20AD8E2" w14:textId="77777777" w:rsidR="00C151A1" w:rsidRPr="006E74A1" w:rsidRDefault="00C151A1" w:rsidP="00C151A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3633BFE5"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Mientras que el artículo 130 de la Ley en materia señala que la aplicación de estos supuestos debe de realizarse de manera restrictiva y limitada, por lo que debe </w:t>
      </w:r>
      <w:r w:rsidRPr="006E74A1">
        <w:rPr>
          <w:rFonts w:ascii="Palatino Linotype" w:hAnsi="Palatino Linotype" w:cs="Arial"/>
        </w:rPr>
        <w:lastRenderedPageBreak/>
        <w:t>acreditarse que se cumple con esta condición y no se pueden ampliar las excepciones o supuestos de clasificación aduciendo analogía o mayoría de razón.</w:t>
      </w:r>
    </w:p>
    <w:p w14:paraId="7A558F27"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F61B8A3"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6"/>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22F52D98"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32E2D4AB"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583A8"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45988E36" w14:textId="77777777" w:rsidR="00326BBB" w:rsidRPr="006E74A1" w:rsidRDefault="00326BBB" w:rsidP="00DC31FF">
      <w:pPr>
        <w:pStyle w:val="Ttulo3"/>
        <w:numPr>
          <w:ilvl w:val="0"/>
          <w:numId w:val="4"/>
        </w:numPr>
        <w:spacing w:line="360" w:lineRule="auto"/>
        <w:rPr>
          <w:rFonts w:ascii="Palatino Linotype" w:hAnsi="Palatino Linotype"/>
          <w:b/>
          <w:color w:val="auto"/>
        </w:rPr>
      </w:pPr>
      <w:bookmarkStart w:id="80" w:name="_Toc531859123"/>
      <w:bookmarkStart w:id="81" w:name="_Toc532385647"/>
      <w:bookmarkStart w:id="82" w:name="_Toc954275"/>
      <w:bookmarkStart w:id="83" w:name="_Toc1585435"/>
      <w:bookmarkStart w:id="84" w:name="_Toc4684443"/>
      <w:bookmarkStart w:id="85" w:name="_Toc9511347"/>
      <w:r w:rsidRPr="006E74A1">
        <w:rPr>
          <w:rFonts w:ascii="Palatino Linotype" w:hAnsi="Palatino Linotype"/>
          <w:b/>
          <w:color w:val="auto"/>
        </w:rPr>
        <w:lastRenderedPageBreak/>
        <w:t>La intervención del Comité de Transparencia.</w:t>
      </w:r>
      <w:bookmarkEnd w:id="80"/>
      <w:bookmarkEnd w:id="81"/>
      <w:bookmarkEnd w:id="82"/>
      <w:bookmarkEnd w:id="83"/>
      <w:bookmarkEnd w:id="84"/>
      <w:bookmarkEnd w:id="85"/>
    </w:p>
    <w:p w14:paraId="089480B7" w14:textId="77777777" w:rsidR="00326BBB" w:rsidRPr="006E74A1" w:rsidRDefault="00326BBB" w:rsidP="00326BBB">
      <w:pPr>
        <w:pStyle w:val="Ttulo4"/>
        <w:numPr>
          <w:ilvl w:val="1"/>
          <w:numId w:val="1"/>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441AB0D1" w14:textId="77777777" w:rsidR="00326BBB" w:rsidRPr="006E74A1" w:rsidRDefault="00326BBB" w:rsidP="00326BBB">
      <w:pPr>
        <w:spacing w:line="360" w:lineRule="auto"/>
        <w:rPr>
          <w:rFonts w:ascii="Palatino Linotype" w:hAnsi="Palatino Linotype"/>
          <w:lang w:val="es-MX" w:eastAsia="en-US"/>
        </w:rPr>
      </w:pPr>
    </w:p>
    <w:p w14:paraId="4EFE0E94"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AB4102"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6E74A1">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34E9C2BE"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06E0C4C6" w14:textId="77777777" w:rsidR="00326BBB" w:rsidRPr="005D3CE5"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ECE4DD" w14:textId="77777777" w:rsidR="005D3CE5" w:rsidRPr="005D3CE5" w:rsidRDefault="005D3CE5" w:rsidP="005D3CE5">
      <w:pPr>
        <w:pStyle w:val="Prrafodelista"/>
        <w:rPr>
          <w:rFonts w:ascii="Palatino Linotype" w:eastAsia="Calibri" w:hAnsi="Palatino Linotype" w:cs="Arial"/>
          <w:szCs w:val="22"/>
          <w:lang w:val="es-ES" w:eastAsia="es-MX"/>
        </w:rPr>
      </w:pPr>
    </w:p>
    <w:p w14:paraId="376DCCFA" w14:textId="77777777" w:rsidR="005D3CE5" w:rsidRPr="006E74A1" w:rsidRDefault="005D3CE5" w:rsidP="005D3CE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7E999EC" w14:textId="77777777" w:rsidR="00326BBB" w:rsidRPr="006E74A1" w:rsidRDefault="00326BBB" w:rsidP="00DC31FF">
      <w:pPr>
        <w:pStyle w:val="Ttulo4"/>
        <w:numPr>
          <w:ilvl w:val="0"/>
          <w:numId w:val="5"/>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57C2E333"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6A930E17"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E74A1">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26907E25" w14:textId="77777777" w:rsidR="00326BBB" w:rsidRPr="006E74A1"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44199A"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791D1235"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E74A1">
        <w:rPr>
          <w:rFonts w:ascii="Palatino Linotype" w:eastAsia="Times New Roman" w:hAnsi="Palatino Linotype" w:cs="Arial"/>
          <w:lang w:eastAsia="es-MX"/>
        </w:rPr>
        <w:lastRenderedPageBreak/>
        <w:t>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7"/>
      </w:r>
    </w:p>
    <w:p w14:paraId="6B506427"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061F1166" w14:textId="77777777" w:rsidR="00326BBB" w:rsidRPr="006E74A1" w:rsidRDefault="00326BBB" w:rsidP="00326B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6E74A1" w:rsidRDefault="00326BBB" w:rsidP="00326BBB">
      <w:pPr>
        <w:pStyle w:val="Prrafodelista"/>
        <w:spacing w:line="360" w:lineRule="auto"/>
        <w:rPr>
          <w:rFonts w:ascii="Palatino Linotype" w:eastAsia="Calibri" w:hAnsi="Palatino Linotype" w:cs="Arial"/>
          <w:szCs w:val="22"/>
          <w:lang w:val="es-ES" w:eastAsia="es-MX"/>
        </w:rPr>
      </w:pPr>
    </w:p>
    <w:p w14:paraId="0AEF7DB3"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20B5F281"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7F24F45C"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7BF61C9"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1417394F"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59FE44A5"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0A9C4995" w14:textId="77777777" w:rsidR="00326BBB" w:rsidRPr="006E74A1" w:rsidRDefault="00326BBB" w:rsidP="00326BBB">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28BF923A" w14:textId="77777777" w:rsidR="00326BBB" w:rsidRPr="006E74A1" w:rsidRDefault="00326BBB" w:rsidP="00326BBB">
      <w:pPr>
        <w:spacing w:line="360" w:lineRule="auto"/>
        <w:ind w:firstLine="1418"/>
        <w:contextualSpacing/>
        <w:jc w:val="both"/>
        <w:rPr>
          <w:rFonts w:ascii="Palatino Linotype" w:hAnsi="Palatino Linotype" w:cs="Arial"/>
          <w:lang w:val="es-ES"/>
        </w:rPr>
      </w:pPr>
    </w:p>
    <w:p w14:paraId="58597E48" w14:textId="77777777" w:rsidR="00326BBB" w:rsidRPr="006E74A1" w:rsidRDefault="00326BBB" w:rsidP="00326B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4E675F" w14:textId="77777777" w:rsidR="00326BBB" w:rsidRPr="006E74A1" w:rsidRDefault="00326BBB" w:rsidP="00326BBB">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6E74A1" w:rsidRDefault="00326BBB" w:rsidP="00326B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6E74A1" w:rsidRDefault="00326BBB" w:rsidP="00326BBB">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6E74A1" w:rsidRDefault="00326BBB" w:rsidP="00326B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6E74A1" w:rsidRDefault="00326BBB" w:rsidP="00326BBB">
      <w:pPr>
        <w:shd w:val="clear" w:color="auto" w:fill="FFFFFF"/>
        <w:spacing w:line="360" w:lineRule="auto"/>
        <w:jc w:val="both"/>
        <w:rPr>
          <w:rFonts w:ascii="Palatino Linotype" w:eastAsia="Times New Roman" w:hAnsi="Palatino Linotype" w:cs="Arial"/>
          <w:lang w:eastAsia="es-MX"/>
        </w:rPr>
      </w:pPr>
    </w:p>
    <w:p w14:paraId="6F6E848E" w14:textId="77777777" w:rsidR="00326BBB" w:rsidRPr="006E74A1" w:rsidRDefault="00326BBB" w:rsidP="00326BB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8"/>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6E74A1" w:rsidRDefault="00326BBB" w:rsidP="00326BBB">
      <w:pPr>
        <w:pStyle w:val="Prrafodelista"/>
        <w:spacing w:line="360" w:lineRule="auto"/>
        <w:rPr>
          <w:rFonts w:ascii="Palatino Linotype" w:eastAsia="Times New Roman" w:hAnsi="Palatino Linotype" w:cs="Arial"/>
          <w:lang w:eastAsia="es-MX"/>
        </w:rPr>
      </w:pPr>
    </w:p>
    <w:p w14:paraId="1AD62F00" w14:textId="77777777" w:rsidR="00326BBB" w:rsidRPr="006E74A1" w:rsidRDefault="00326BBB" w:rsidP="00326BB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6E74A1" w:rsidRDefault="00326BBB" w:rsidP="00326BBB">
      <w:pPr>
        <w:pStyle w:val="Prrafodelista"/>
        <w:spacing w:line="360" w:lineRule="auto"/>
        <w:rPr>
          <w:rFonts w:ascii="Palatino Linotype" w:eastAsia="Times New Roman" w:hAnsi="Palatino Linotype" w:cs="Arial"/>
          <w:lang w:eastAsia="es-MX"/>
        </w:rPr>
      </w:pPr>
    </w:p>
    <w:p w14:paraId="15D8803C" w14:textId="77777777" w:rsidR="00326BBB" w:rsidRDefault="00326BBB" w:rsidP="00326BB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14:paraId="6EF0D1F1" w14:textId="77777777" w:rsidR="00D50E80" w:rsidRPr="00D50E80" w:rsidRDefault="00D50E80" w:rsidP="00D50E80">
      <w:pPr>
        <w:pStyle w:val="Prrafodelista"/>
        <w:rPr>
          <w:rFonts w:ascii="Palatino Linotype" w:hAnsi="Palatino Linotype"/>
          <w:lang w:val="es-ES"/>
        </w:rPr>
      </w:pPr>
    </w:p>
    <w:p w14:paraId="3DDD61BC" w14:textId="3DCDE3CA" w:rsidR="004532C9" w:rsidRPr="0032581C" w:rsidRDefault="00326BBB" w:rsidP="004532C9">
      <w:pPr>
        <w:pStyle w:val="Ttulo1"/>
        <w:rPr>
          <w:rFonts w:eastAsia="Calibri" w:cs="Times New Roman"/>
          <w:b/>
          <w:bCs/>
          <w:lang w:val="es-ES"/>
        </w:rPr>
      </w:pPr>
      <w:bookmarkStart w:id="86" w:name="_Toc9511348"/>
      <w:r>
        <w:rPr>
          <w:b/>
          <w:szCs w:val="24"/>
        </w:rPr>
        <w:t>SÉPTIMO</w:t>
      </w:r>
      <w:r w:rsidR="004532C9">
        <w:rPr>
          <w:b/>
          <w:szCs w:val="24"/>
        </w:rPr>
        <w:t xml:space="preserve">. </w:t>
      </w:r>
      <w:r w:rsidR="004532C9">
        <w:rPr>
          <w:b/>
        </w:rPr>
        <w:t>Vista al órgano de control interno</w:t>
      </w:r>
      <w:r w:rsidR="004532C9" w:rsidRPr="0032581C">
        <w:rPr>
          <w:rFonts w:eastAsia="Calibri" w:cs="Times New Roman"/>
          <w:b/>
          <w:bCs/>
          <w:lang w:val="es-ES"/>
        </w:rPr>
        <w:t>.</w:t>
      </w:r>
      <w:bookmarkEnd w:id="86"/>
      <w:r w:rsidR="004532C9" w:rsidRPr="0032581C">
        <w:rPr>
          <w:rFonts w:eastAsia="Calibri" w:cs="Times New Roman"/>
          <w:b/>
          <w:bCs/>
          <w:lang w:val="es-ES"/>
        </w:rPr>
        <w:t xml:space="preserve"> </w:t>
      </w:r>
    </w:p>
    <w:p w14:paraId="330FBF14" w14:textId="77777777" w:rsidR="005D3CE5" w:rsidRPr="004532C9" w:rsidRDefault="005D3CE5" w:rsidP="004532C9">
      <w:pPr>
        <w:pStyle w:val="Prrafodelista"/>
        <w:rPr>
          <w:rFonts w:ascii="Palatino Linotype" w:hAnsi="Palatino Linotype"/>
        </w:rPr>
      </w:pPr>
    </w:p>
    <w:p w14:paraId="45599A93" w14:textId="740B7DCD" w:rsidR="00326BBB" w:rsidRDefault="00326BBB" w:rsidP="00C151A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51A1">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C151A1">
        <w:rPr>
          <w:rFonts w:ascii="Palatino Linotype" w:eastAsia="Times New Roman" w:hAnsi="Palatino Linotype"/>
          <w:b/>
          <w:u w:val="single"/>
        </w:rPr>
        <w:t>por la omisión de la entrega de información pública</w:t>
      </w:r>
      <w:r w:rsidRPr="00C151A1">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151A1">
        <w:rPr>
          <w:rFonts w:ascii="Palatino Linotype" w:eastAsia="Times New Roman" w:hAnsi="Palatino Linotype"/>
          <w:b/>
        </w:rPr>
        <w:t>SUJETO OBLIGADO</w:t>
      </w:r>
      <w:r w:rsidRPr="00C151A1">
        <w:rPr>
          <w:rFonts w:ascii="Palatino Linotype" w:eastAsia="Times New Roman" w:hAnsi="Palatino Linotype"/>
        </w:rPr>
        <w:t>.</w:t>
      </w:r>
    </w:p>
    <w:p w14:paraId="77E6050D" w14:textId="77777777" w:rsidR="00C151A1" w:rsidRPr="00C151A1" w:rsidRDefault="00C151A1" w:rsidP="00C151A1">
      <w:pPr>
        <w:pStyle w:val="Prrafodelista"/>
        <w:tabs>
          <w:tab w:val="left" w:pos="0"/>
        </w:tabs>
        <w:spacing w:line="360" w:lineRule="auto"/>
        <w:ind w:left="0" w:right="49"/>
        <w:jc w:val="both"/>
        <w:rPr>
          <w:rFonts w:ascii="Palatino Linotype" w:eastAsia="Times New Roman" w:hAnsi="Palatino Linotype"/>
        </w:rPr>
      </w:pPr>
    </w:p>
    <w:p w14:paraId="198BD558" w14:textId="77777777" w:rsidR="00326BBB" w:rsidRDefault="00326BBB" w:rsidP="00C151A1">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4843F93" w14:textId="77777777" w:rsidR="00326BBB" w:rsidRPr="00AE07C5" w:rsidRDefault="00326BBB" w:rsidP="00326BBB">
      <w:pPr>
        <w:spacing w:before="240" w:after="240" w:line="360" w:lineRule="auto"/>
        <w:contextualSpacing/>
        <w:jc w:val="both"/>
        <w:rPr>
          <w:rFonts w:ascii="Palatino Linotype" w:eastAsia="Times New Roman" w:hAnsi="Palatino Linotype"/>
        </w:rPr>
      </w:pPr>
    </w:p>
    <w:p w14:paraId="0087C37F"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36. El Instituto tendrá, en el ámbito de su competencia, las siguientes atribuciones:</w:t>
      </w:r>
    </w:p>
    <w:p w14:paraId="7363917C"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4DD144A6"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lastRenderedPageBreak/>
        <w:t xml:space="preserve">X. Hacer del conocimiento del órgano de control interno o equivalente de cada Sujeto Obligado las infracciones a esta Ley; </w:t>
      </w:r>
    </w:p>
    <w:p w14:paraId="70436A65"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65559994" w14:textId="77777777" w:rsidR="00326BBB" w:rsidRPr="00AE07C5" w:rsidRDefault="00326BBB" w:rsidP="00326BBB">
      <w:pPr>
        <w:spacing w:before="240" w:after="240" w:line="360" w:lineRule="auto"/>
        <w:ind w:left="426"/>
        <w:contextualSpacing/>
        <w:jc w:val="both"/>
        <w:rPr>
          <w:rFonts w:ascii="Palatino Linotype" w:eastAsia="MS Mincho" w:hAnsi="Palatino Linotype" w:cs="Arial"/>
        </w:rPr>
      </w:pPr>
    </w:p>
    <w:p w14:paraId="1FF1AA65" w14:textId="77777777" w:rsidR="00326BBB" w:rsidRPr="00AE07C5" w:rsidRDefault="00326BBB" w:rsidP="00C151A1">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A514E42" w14:textId="77777777" w:rsidR="00F8746F" w:rsidRDefault="00F8746F" w:rsidP="00326BBB">
      <w:pPr>
        <w:spacing w:line="360" w:lineRule="auto"/>
        <w:ind w:left="567" w:right="567"/>
        <w:contextualSpacing/>
        <w:jc w:val="both"/>
        <w:rPr>
          <w:rFonts w:ascii="Palatino Linotype" w:eastAsia="Times New Roman" w:hAnsi="Palatino Linotype" w:cs="Times New Roman"/>
          <w:i/>
          <w:sz w:val="22"/>
        </w:rPr>
      </w:pPr>
    </w:p>
    <w:p w14:paraId="6C680D74"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sz w:val="22"/>
        </w:rPr>
        <w:t>”</w:t>
      </w:r>
    </w:p>
    <w:p w14:paraId="6ED907EF"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p>
    <w:p w14:paraId="17125224"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34E5DB5D"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711D3FAC"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0A208EDE"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1E1584FC" w14:textId="77777777" w:rsidR="00326BBB" w:rsidRPr="00AE07C5" w:rsidRDefault="00326BBB" w:rsidP="00326BBB">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r>
        <w:rPr>
          <w:rFonts w:ascii="Palatino Linotype" w:eastAsia="Times New Roman" w:hAnsi="Palatino Linotype" w:cs="Times New Roman"/>
          <w:i/>
          <w:sz w:val="22"/>
        </w:rPr>
        <w:t>”</w:t>
      </w:r>
    </w:p>
    <w:p w14:paraId="673512A4" w14:textId="7091F989" w:rsidR="00F8746F" w:rsidRDefault="00326BBB" w:rsidP="00C151A1">
      <w:pPr>
        <w:spacing w:line="360" w:lineRule="auto"/>
        <w:ind w:left="567" w:right="567"/>
        <w:contextualSpacing/>
        <w:jc w:val="both"/>
        <w:rPr>
          <w:rFonts w:ascii="Palatino Linotype" w:hAnsi="Palatino Linotype"/>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sz w:val="22"/>
        </w:rPr>
        <w:t xml:space="preserve"> (De Acuerdo al Decreto N°207, Publicado el 30 de mayo de 2017)</w:t>
      </w:r>
      <w:r w:rsidR="00C151A1">
        <w:rPr>
          <w:rFonts w:ascii="Palatino Linotype" w:hAnsi="Palatino Linotype"/>
          <w:i/>
          <w:sz w:val="22"/>
        </w:rPr>
        <w:t>.</w:t>
      </w:r>
    </w:p>
    <w:p w14:paraId="7EB493AB" w14:textId="405C9986" w:rsidR="00C151A1" w:rsidRDefault="00C151A1" w:rsidP="00C151A1">
      <w:pPr>
        <w:spacing w:line="360" w:lineRule="auto"/>
        <w:ind w:left="567" w:right="567"/>
        <w:contextualSpacing/>
        <w:jc w:val="both"/>
        <w:rPr>
          <w:rFonts w:ascii="Palatino Linotype" w:hAnsi="Palatino Linotype"/>
          <w:i/>
          <w:sz w:val="22"/>
        </w:rPr>
      </w:pPr>
    </w:p>
    <w:p w14:paraId="2B1EE4B2" w14:textId="22062C74" w:rsidR="00C151A1" w:rsidRDefault="00C151A1" w:rsidP="00C151A1">
      <w:pPr>
        <w:spacing w:line="360" w:lineRule="auto"/>
        <w:ind w:left="567" w:right="567"/>
        <w:contextualSpacing/>
        <w:jc w:val="both"/>
        <w:rPr>
          <w:rFonts w:ascii="Palatino Linotype" w:hAnsi="Palatino Linotype"/>
          <w:i/>
          <w:sz w:val="22"/>
        </w:rPr>
      </w:pPr>
      <w:r>
        <w:rPr>
          <w:rFonts w:ascii="Palatino Linotype" w:hAnsi="Palatino Linotype"/>
          <w:i/>
          <w:noProof/>
          <w:sz w:val="22"/>
          <w:lang w:val="es-MX" w:eastAsia="es-MX"/>
        </w:rPr>
        <mc:AlternateContent>
          <mc:Choice Requires="wps">
            <w:drawing>
              <wp:anchor distT="0" distB="0" distL="114300" distR="114300" simplePos="0" relativeHeight="251660288" behindDoc="0" locked="0" layoutInCell="1" allowOverlap="1" wp14:anchorId="19BDB021" wp14:editId="25D60129">
                <wp:simplePos x="0" y="0"/>
                <wp:positionH relativeFrom="column">
                  <wp:posOffset>77456</wp:posOffset>
                </wp:positionH>
                <wp:positionV relativeFrom="paragraph">
                  <wp:posOffset>143442</wp:posOffset>
                </wp:positionV>
                <wp:extent cx="5495601" cy="4280144"/>
                <wp:effectExtent l="38100" t="19050" r="67310" b="82550"/>
                <wp:wrapNone/>
                <wp:docPr id="2" name="Conector recto 2"/>
                <wp:cNvGraphicFramePr/>
                <a:graphic xmlns:a="http://schemas.openxmlformats.org/drawingml/2006/main">
                  <a:graphicData uri="http://schemas.microsoft.com/office/word/2010/wordprocessingShape">
                    <wps:wsp>
                      <wps:cNvCnPr/>
                      <wps:spPr>
                        <a:xfrm>
                          <a:off x="0" y="0"/>
                          <a:ext cx="5495601" cy="42801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379CB"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1.3pt" to="438.8pt,3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" strokecolor="#4f81bd [3204]" strokeweight="2pt">
                <v:shadow on="t" color="black" opacity="24903f" origin=",.5" offset="0,.55556mm"/>
              </v:line>
            </w:pict>
          </mc:Fallback>
        </mc:AlternateContent>
      </w:r>
    </w:p>
    <w:p w14:paraId="5B38581B" w14:textId="6399E57F" w:rsidR="00C151A1" w:rsidRDefault="00C151A1" w:rsidP="00C151A1">
      <w:pPr>
        <w:spacing w:line="360" w:lineRule="auto"/>
        <w:ind w:left="567" w:right="567"/>
        <w:contextualSpacing/>
        <w:jc w:val="both"/>
        <w:rPr>
          <w:rFonts w:ascii="Palatino Linotype" w:hAnsi="Palatino Linotype"/>
          <w:i/>
          <w:sz w:val="22"/>
        </w:rPr>
      </w:pPr>
    </w:p>
    <w:p w14:paraId="1B98DCAD" w14:textId="1B8799B8" w:rsidR="00C151A1" w:rsidRDefault="00C151A1" w:rsidP="00C151A1">
      <w:pPr>
        <w:spacing w:line="360" w:lineRule="auto"/>
        <w:ind w:left="567" w:right="567"/>
        <w:contextualSpacing/>
        <w:jc w:val="both"/>
        <w:rPr>
          <w:rFonts w:ascii="Palatino Linotype" w:hAnsi="Palatino Linotype"/>
          <w:i/>
          <w:sz w:val="22"/>
        </w:rPr>
      </w:pPr>
    </w:p>
    <w:p w14:paraId="52569CA8" w14:textId="77777777" w:rsidR="00C151A1" w:rsidRDefault="00C151A1" w:rsidP="00C151A1">
      <w:pPr>
        <w:spacing w:line="360" w:lineRule="auto"/>
        <w:ind w:left="567" w:right="567"/>
        <w:contextualSpacing/>
        <w:jc w:val="both"/>
        <w:rPr>
          <w:rFonts w:ascii="Palatino Linotype" w:hAnsi="Palatino Linotype"/>
          <w:i/>
          <w:sz w:val="22"/>
        </w:rPr>
      </w:pPr>
    </w:p>
    <w:p w14:paraId="5FC4C1A1" w14:textId="77777777" w:rsidR="00C151A1" w:rsidRDefault="00C151A1" w:rsidP="00C151A1">
      <w:pPr>
        <w:spacing w:line="360" w:lineRule="auto"/>
        <w:ind w:left="567" w:right="567"/>
        <w:contextualSpacing/>
        <w:jc w:val="both"/>
        <w:rPr>
          <w:rFonts w:ascii="Palatino Linotype" w:hAnsi="Palatino Linotype"/>
          <w:i/>
          <w:sz w:val="22"/>
        </w:rPr>
      </w:pPr>
    </w:p>
    <w:p w14:paraId="1A452D36" w14:textId="77777777" w:rsidR="00C151A1" w:rsidRDefault="00C151A1" w:rsidP="00C151A1">
      <w:pPr>
        <w:spacing w:line="360" w:lineRule="auto"/>
        <w:ind w:left="567" w:right="567"/>
        <w:contextualSpacing/>
        <w:jc w:val="both"/>
        <w:rPr>
          <w:rFonts w:ascii="Palatino Linotype" w:hAnsi="Palatino Linotype"/>
          <w:i/>
          <w:sz w:val="22"/>
        </w:rPr>
      </w:pPr>
    </w:p>
    <w:p w14:paraId="6AE41D6C" w14:textId="77777777" w:rsidR="00C151A1" w:rsidRDefault="00C151A1" w:rsidP="00C151A1">
      <w:pPr>
        <w:spacing w:line="360" w:lineRule="auto"/>
        <w:ind w:left="567" w:right="567"/>
        <w:contextualSpacing/>
        <w:jc w:val="both"/>
        <w:rPr>
          <w:rFonts w:ascii="Palatino Linotype" w:hAnsi="Palatino Linotype"/>
          <w:i/>
          <w:sz w:val="22"/>
        </w:rPr>
      </w:pPr>
    </w:p>
    <w:p w14:paraId="4C49A9E6" w14:textId="77777777" w:rsidR="00C151A1" w:rsidRDefault="00C151A1" w:rsidP="00C151A1">
      <w:pPr>
        <w:spacing w:line="360" w:lineRule="auto"/>
        <w:ind w:left="567" w:right="567"/>
        <w:contextualSpacing/>
        <w:jc w:val="both"/>
        <w:rPr>
          <w:rFonts w:ascii="Palatino Linotype" w:hAnsi="Palatino Linotype"/>
          <w:i/>
          <w:sz w:val="22"/>
        </w:rPr>
      </w:pPr>
    </w:p>
    <w:p w14:paraId="4107CB86" w14:textId="77777777" w:rsidR="00C151A1" w:rsidRDefault="00C151A1" w:rsidP="00C151A1">
      <w:pPr>
        <w:spacing w:line="360" w:lineRule="auto"/>
        <w:ind w:left="567" w:right="567"/>
        <w:contextualSpacing/>
        <w:jc w:val="both"/>
        <w:rPr>
          <w:rFonts w:ascii="Palatino Linotype" w:hAnsi="Palatino Linotype"/>
          <w:i/>
          <w:sz w:val="22"/>
        </w:rPr>
      </w:pPr>
    </w:p>
    <w:p w14:paraId="6317ADE4" w14:textId="77777777" w:rsidR="00C151A1" w:rsidRDefault="00C151A1" w:rsidP="00C151A1">
      <w:pPr>
        <w:spacing w:line="360" w:lineRule="auto"/>
        <w:ind w:left="567" w:right="567"/>
        <w:contextualSpacing/>
        <w:jc w:val="both"/>
        <w:rPr>
          <w:rFonts w:ascii="Palatino Linotype" w:hAnsi="Palatino Linotype"/>
          <w:i/>
          <w:sz w:val="22"/>
        </w:rPr>
      </w:pPr>
    </w:p>
    <w:p w14:paraId="1E76F858" w14:textId="77777777" w:rsidR="00C151A1" w:rsidRDefault="00C151A1" w:rsidP="00C151A1">
      <w:pPr>
        <w:spacing w:line="360" w:lineRule="auto"/>
        <w:ind w:left="567" w:right="567"/>
        <w:contextualSpacing/>
        <w:jc w:val="both"/>
        <w:rPr>
          <w:rFonts w:ascii="Palatino Linotype" w:hAnsi="Palatino Linotype"/>
          <w:i/>
          <w:sz w:val="22"/>
        </w:rPr>
      </w:pPr>
    </w:p>
    <w:p w14:paraId="300F7F7A" w14:textId="77777777" w:rsidR="00C151A1" w:rsidRPr="00AE07C5" w:rsidRDefault="00C151A1" w:rsidP="00C151A1">
      <w:pPr>
        <w:spacing w:line="360" w:lineRule="auto"/>
        <w:ind w:left="567" w:right="567"/>
        <w:contextualSpacing/>
        <w:jc w:val="both"/>
        <w:rPr>
          <w:rFonts w:ascii="Palatino Linotype" w:hAnsi="Palatino Linotype"/>
          <w:i/>
          <w:sz w:val="22"/>
        </w:rPr>
      </w:pPr>
    </w:p>
    <w:p w14:paraId="4342ADFB" w14:textId="77777777" w:rsidR="00A345A3" w:rsidRPr="00A345A3" w:rsidRDefault="00A345A3" w:rsidP="00A345A3">
      <w:pPr>
        <w:pStyle w:val="Ttulo1"/>
        <w:jc w:val="center"/>
        <w:rPr>
          <w:rFonts w:eastAsia="Calibri"/>
          <w:b/>
          <w:szCs w:val="24"/>
          <w:lang w:val="es-ES" w:eastAsia="es-ES"/>
        </w:rPr>
      </w:pPr>
      <w:bookmarkStart w:id="87" w:name="_Toc504500693"/>
      <w:bookmarkStart w:id="88" w:name="_Toc534742545"/>
      <w:bookmarkStart w:id="89" w:name="_Toc9511349"/>
      <w:r w:rsidRPr="00A345A3">
        <w:rPr>
          <w:rFonts w:eastAsia="Calibri"/>
          <w:b/>
          <w:szCs w:val="24"/>
          <w:lang w:val="es-ES" w:eastAsia="es-ES"/>
        </w:rPr>
        <w:lastRenderedPageBreak/>
        <w:t>R E S O L U T I V O S</w:t>
      </w:r>
      <w:bookmarkEnd w:id="87"/>
      <w:bookmarkEnd w:id="88"/>
      <w:bookmarkEnd w:id="89"/>
      <w:r w:rsidRPr="00A345A3">
        <w:rPr>
          <w:rFonts w:eastAsia="Calibri"/>
          <w:b/>
          <w:szCs w:val="24"/>
          <w:lang w:val="es-ES" w:eastAsia="es-ES"/>
        </w:rPr>
        <w:t xml:space="preserve"> </w:t>
      </w:r>
    </w:p>
    <w:p w14:paraId="70193EA3" w14:textId="77777777" w:rsidR="00A345A3" w:rsidRDefault="00A345A3" w:rsidP="00A345A3">
      <w:pPr>
        <w:rPr>
          <w:lang w:val="es-ES"/>
        </w:rPr>
      </w:pPr>
    </w:p>
    <w:p w14:paraId="72674450" w14:textId="77777777" w:rsidR="00C151A1" w:rsidRPr="00BB3371" w:rsidRDefault="00C151A1" w:rsidP="00A345A3">
      <w:pPr>
        <w:rPr>
          <w:lang w:val="es-ES"/>
        </w:rPr>
      </w:pPr>
    </w:p>
    <w:p w14:paraId="2203406C" w14:textId="60385262" w:rsidR="005D3CE5" w:rsidRPr="0010067F" w:rsidRDefault="005D3CE5" w:rsidP="005D3CE5">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Pr>
          <w:rFonts w:ascii="Palatino Linotype" w:hAnsi="Palatino Linotype" w:cs="Arial"/>
          <w:b/>
          <w:bCs/>
        </w:rPr>
        <w:t>01</w:t>
      </w:r>
      <w:r w:rsidR="00F8746F">
        <w:rPr>
          <w:rFonts w:ascii="Palatino Linotype" w:hAnsi="Palatino Linotype" w:cs="Arial"/>
          <w:b/>
          <w:bCs/>
        </w:rPr>
        <w:t>548</w:t>
      </w:r>
      <w:r>
        <w:rPr>
          <w:rFonts w:ascii="Palatino Linotype" w:hAnsi="Palatino Linotype" w:cs="Arial"/>
          <w:b/>
          <w:bCs/>
        </w:rPr>
        <w:t>/INFOEM/IP/RR/2019</w:t>
      </w:r>
      <w:r w:rsidRPr="0010067F">
        <w:rPr>
          <w:rFonts w:ascii="Palatino Linotype" w:hAnsi="Palatino Linotype" w:cs="Arial"/>
          <w:b/>
          <w:bCs/>
          <w:lang w:eastAsia="es-MX"/>
        </w:rPr>
        <w:t xml:space="preserve"> </w:t>
      </w:r>
      <w:r w:rsidRPr="0010067F">
        <w:rPr>
          <w:rFonts w:ascii="Palatino Linotype" w:hAnsi="Palatino Linotype" w:cs="Arial"/>
          <w:bCs/>
          <w:lang w:eastAsia="es-MX"/>
        </w:rPr>
        <w:t>en términos de</w:t>
      </w:r>
      <w:r>
        <w:rPr>
          <w:rFonts w:ascii="Palatino Linotype" w:hAnsi="Palatino Linotype" w:cs="Arial"/>
          <w:bCs/>
          <w:lang w:eastAsia="es-MX"/>
        </w:rPr>
        <w:t>l</w:t>
      </w:r>
      <w:r w:rsidRPr="0010067F">
        <w:rPr>
          <w:rFonts w:ascii="Palatino Linotype" w:hAnsi="Palatino Linotype" w:cs="Arial"/>
          <w:bCs/>
          <w:lang w:eastAsia="es-MX"/>
        </w:rPr>
        <w:t xml:space="preserve"> </w:t>
      </w:r>
      <w:r w:rsidRPr="00884719">
        <w:rPr>
          <w:rFonts w:ascii="Palatino Linotype" w:hAnsi="Palatino Linotype" w:cs="Arial"/>
          <w:bCs/>
          <w:lang w:eastAsia="es-MX"/>
        </w:rPr>
        <w:t>Considerando</w:t>
      </w:r>
      <w:r w:rsidRPr="0010067F">
        <w:rPr>
          <w:rFonts w:ascii="Palatino Linotype" w:hAnsi="Palatino Linotype" w:cs="Arial"/>
          <w:b/>
          <w:bCs/>
          <w:lang w:eastAsia="es-MX"/>
        </w:rPr>
        <w:t xml:space="preserve"> </w:t>
      </w:r>
      <w:r>
        <w:rPr>
          <w:rFonts w:ascii="Palatino Linotype" w:hAnsi="Palatino Linotype" w:cs="Arial"/>
          <w:b/>
          <w:bCs/>
          <w:lang w:eastAsia="es-MX"/>
        </w:rPr>
        <w:t>QUINTO</w:t>
      </w:r>
      <w:r w:rsidRPr="0010067F">
        <w:rPr>
          <w:rFonts w:ascii="Palatino Linotype" w:hAnsi="Palatino Linotype" w:cs="Arial"/>
          <w:b/>
          <w:bCs/>
          <w:lang w:eastAsia="es-MX"/>
        </w:rPr>
        <w:t xml:space="preserve"> </w:t>
      </w:r>
      <w:r w:rsidRPr="0010067F">
        <w:rPr>
          <w:rFonts w:ascii="Palatino Linotype" w:hAnsi="Palatino Linotype" w:cs="Arial"/>
          <w:bCs/>
          <w:lang w:eastAsia="es-MX"/>
        </w:rPr>
        <w:t>de la presente resolución.</w:t>
      </w:r>
    </w:p>
    <w:p w14:paraId="71CB2A46" w14:textId="75289258" w:rsidR="005D3CE5" w:rsidRDefault="005D3CE5" w:rsidP="005D3CE5">
      <w:pPr>
        <w:spacing w:before="240" w:after="240" w:line="360" w:lineRule="auto"/>
        <w:jc w:val="both"/>
        <w:rPr>
          <w:rFonts w:ascii="Palatino Linotype" w:hAnsi="Palatino Linotype" w:cs="Arial"/>
          <w:bCs/>
          <w:shd w:val="clear" w:color="auto" w:fill="FFFFFF"/>
        </w:rPr>
      </w:pPr>
      <w:r w:rsidRPr="00B06FF1">
        <w:rPr>
          <w:rFonts w:ascii="Palatino Linotype" w:hAnsi="Palatino Linotype"/>
          <w:b/>
        </w:rPr>
        <w:t>SEGUNDO.</w:t>
      </w:r>
      <w:r w:rsidRPr="00B06FF1">
        <w:rPr>
          <w:rStyle w:val="Ttulo2Car"/>
          <w:rFonts w:ascii="Palatino Linotype" w:hAnsi="Palatino Linotype"/>
          <w:b/>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sidR="00C441B2">
        <w:rPr>
          <w:rFonts w:ascii="Palatino Linotype" w:hAnsi="Palatino Linotype"/>
          <w:b/>
          <w:bCs/>
          <w:szCs w:val="22"/>
        </w:rPr>
        <w:t>Partido Morena</w:t>
      </w:r>
      <w:r w:rsidRPr="0010067F">
        <w:rPr>
          <w:rFonts w:ascii="Palatino Linotype" w:eastAsia="Times New Roman" w:hAnsi="Palatino Linotype" w:cs="Arial"/>
          <w:lang w:val="es-ES"/>
        </w:rPr>
        <w:t xml:space="preserve"> </w:t>
      </w:r>
      <w:r>
        <w:rPr>
          <w:rFonts w:ascii="Palatino Linotype" w:eastAsia="Calibri" w:hAnsi="Palatino Linotype" w:cs="Arial"/>
          <w:lang w:val="es-ES"/>
        </w:rPr>
        <w:t>entregar</w:t>
      </w:r>
      <w:r w:rsidRPr="0010067F">
        <w:rPr>
          <w:rFonts w:ascii="Palatino Linotype" w:eastAsia="Calibri" w:hAnsi="Palatino Linotype" w:cs="Arial"/>
          <w:lang w:val="es-ES"/>
        </w:rPr>
        <w:t xml:space="preserve"> vía Sistema de Acceso a la Información Mexiquense </w:t>
      </w:r>
      <w:r w:rsidRPr="0010067F">
        <w:rPr>
          <w:rFonts w:ascii="Palatino Linotype" w:eastAsia="Calibri" w:hAnsi="Palatino Linotype" w:cs="Arial"/>
          <w:b/>
          <w:lang w:val="es-ES"/>
        </w:rPr>
        <w:t>(SAIMEX)</w:t>
      </w:r>
      <w:r w:rsidRPr="0010067F">
        <w:rPr>
          <w:rFonts w:ascii="Palatino Linotype" w:hAnsi="Palatino Linotype" w:cs="Arial"/>
          <w:bCs/>
          <w:shd w:val="clear" w:color="auto" w:fill="FFFFFF"/>
        </w:rPr>
        <w:t>,</w:t>
      </w:r>
      <w:r>
        <w:rPr>
          <w:rFonts w:ascii="Palatino Linotype" w:hAnsi="Palatino Linotype" w:cs="Arial"/>
          <w:bCs/>
          <w:shd w:val="clear" w:color="auto" w:fill="FFFFFF"/>
        </w:rPr>
        <w:t xml:space="preserve"> en versión pública,</w:t>
      </w:r>
      <w:r w:rsidR="00C441B2">
        <w:rPr>
          <w:rFonts w:ascii="Palatino Linotype" w:hAnsi="Palatino Linotype" w:cs="Arial"/>
          <w:bCs/>
          <w:shd w:val="clear" w:color="auto" w:fill="FFFFFF"/>
        </w:rPr>
        <w:t xml:space="preserve"> los documentos </w:t>
      </w:r>
      <w:r w:rsidR="00D42512">
        <w:rPr>
          <w:rFonts w:ascii="Palatino Linotype" w:hAnsi="Palatino Linotype" w:cs="Arial"/>
          <w:bCs/>
          <w:shd w:val="clear" w:color="auto" w:fill="FFFFFF"/>
        </w:rPr>
        <w:t>donde</w:t>
      </w:r>
      <w:r w:rsidR="00C441B2">
        <w:rPr>
          <w:rFonts w:ascii="Palatino Linotype" w:hAnsi="Palatino Linotype" w:cs="Arial"/>
          <w:bCs/>
          <w:shd w:val="clear" w:color="auto" w:fill="FFFFFF"/>
        </w:rPr>
        <w:t xml:space="preserve"> conste</w:t>
      </w:r>
      <w:r>
        <w:rPr>
          <w:rFonts w:ascii="Palatino Linotype" w:hAnsi="Palatino Linotype" w:cs="Arial"/>
          <w:bCs/>
          <w:shd w:val="clear" w:color="auto" w:fill="FFFFFF"/>
        </w:rPr>
        <w:t xml:space="preserve"> </w:t>
      </w:r>
      <w:r w:rsidRPr="0010067F">
        <w:rPr>
          <w:rFonts w:ascii="Palatino Linotype" w:hAnsi="Palatino Linotype" w:cs="Arial"/>
          <w:bCs/>
          <w:shd w:val="clear" w:color="auto" w:fill="FFFFFF"/>
        </w:rPr>
        <w:t>lo siguiente:</w:t>
      </w:r>
    </w:p>
    <w:p w14:paraId="21C5A900" w14:textId="7849E86F" w:rsidR="00D42512" w:rsidRDefault="00D42512" w:rsidP="007E596A">
      <w:pPr>
        <w:pStyle w:val="Prrafodelista"/>
        <w:numPr>
          <w:ilvl w:val="0"/>
          <w:numId w:val="12"/>
        </w:numPr>
        <w:spacing w:before="240" w:after="240" w:line="360" w:lineRule="auto"/>
        <w:ind w:left="426" w:hanging="349"/>
        <w:jc w:val="both"/>
        <w:rPr>
          <w:rFonts w:ascii="Palatino Linotype" w:hAnsi="Palatino Linotype" w:cs="Arial"/>
          <w:b/>
          <w:bCs/>
          <w:shd w:val="clear" w:color="auto" w:fill="FFFFFF"/>
        </w:rPr>
      </w:pPr>
      <w:r w:rsidRPr="007E596A">
        <w:rPr>
          <w:rFonts w:ascii="Palatino Linotype" w:hAnsi="Palatino Linotype" w:cs="Arial"/>
          <w:b/>
          <w:bCs/>
          <w:shd w:val="clear" w:color="auto" w:fill="FFFFFF"/>
        </w:rPr>
        <w:t>De la campaña para elección de la Presi</w:t>
      </w:r>
      <w:r w:rsidR="007E596A" w:rsidRPr="007E596A">
        <w:rPr>
          <w:rFonts w:ascii="Palatino Linotype" w:hAnsi="Palatino Linotype" w:cs="Arial"/>
          <w:b/>
          <w:bCs/>
          <w:shd w:val="clear" w:color="auto" w:fill="FFFFFF"/>
        </w:rPr>
        <w:t>denta Municipal de Naucalpan de la administración pública municipal 2019-2021</w:t>
      </w:r>
      <w:r w:rsidRPr="007E596A">
        <w:rPr>
          <w:rFonts w:ascii="Palatino Linotype" w:hAnsi="Palatino Linotype" w:cs="Arial"/>
          <w:b/>
          <w:bCs/>
          <w:shd w:val="clear" w:color="auto" w:fill="FFFFFF"/>
        </w:rPr>
        <w:t xml:space="preserve">: </w:t>
      </w:r>
    </w:p>
    <w:p w14:paraId="1DF757FD" w14:textId="77777777" w:rsidR="00C151A1" w:rsidRPr="007E596A" w:rsidRDefault="00C151A1" w:rsidP="00C151A1">
      <w:pPr>
        <w:pStyle w:val="Prrafodelista"/>
        <w:spacing w:before="240" w:after="240" w:line="360" w:lineRule="auto"/>
        <w:ind w:left="426"/>
        <w:jc w:val="both"/>
        <w:rPr>
          <w:rFonts w:ascii="Palatino Linotype" w:hAnsi="Palatino Linotype" w:cs="Arial"/>
          <w:b/>
          <w:bCs/>
          <w:shd w:val="clear" w:color="auto" w:fill="FFFFFF"/>
        </w:rPr>
      </w:pPr>
    </w:p>
    <w:p w14:paraId="24C7A774" w14:textId="72A41816" w:rsidR="00CF5160" w:rsidRPr="00C151A1" w:rsidRDefault="00D42512" w:rsidP="007E596A">
      <w:pPr>
        <w:pStyle w:val="Prrafodelista"/>
        <w:numPr>
          <w:ilvl w:val="0"/>
          <w:numId w:val="8"/>
        </w:numPr>
        <w:spacing w:before="240" w:after="240" w:line="360" w:lineRule="auto"/>
        <w:ind w:left="993" w:right="49"/>
        <w:jc w:val="both"/>
        <w:rPr>
          <w:rFonts w:ascii="Palatino Linotype" w:eastAsia="Calibri" w:hAnsi="Palatino Linotype" w:cs="Arial"/>
          <w:b/>
        </w:rPr>
      </w:pPr>
      <w:r w:rsidRPr="007E596A">
        <w:rPr>
          <w:rFonts w:ascii="Palatino Linotype" w:eastAsia="Calibri" w:hAnsi="Palatino Linotype" w:cs="Arial"/>
          <w:b/>
          <w:lang w:val="es-ES"/>
        </w:rPr>
        <w:t>Monto máximo autorizado</w:t>
      </w:r>
      <w:r w:rsidR="000B76F3">
        <w:rPr>
          <w:rFonts w:ascii="Palatino Linotype" w:eastAsia="Calibri" w:hAnsi="Palatino Linotype" w:cs="Arial"/>
          <w:b/>
          <w:lang w:val="es-ES"/>
        </w:rPr>
        <w:t xml:space="preserve"> por el Instituto</w:t>
      </w:r>
      <w:r w:rsidR="00DB6374" w:rsidRPr="007E596A">
        <w:rPr>
          <w:rFonts w:ascii="Palatino Linotype" w:eastAsia="Calibri" w:hAnsi="Palatino Linotype" w:cs="Arial"/>
          <w:b/>
          <w:lang w:val="es-ES"/>
        </w:rPr>
        <w:t xml:space="preserve"> Electoral</w:t>
      </w:r>
      <w:r w:rsidR="000B76F3">
        <w:rPr>
          <w:rFonts w:ascii="Palatino Linotype" w:eastAsia="Calibri" w:hAnsi="Palatino Linotype" w:cs="Arial"/>
          <w:b/>
          <w:lang w:val="es-ES"/>
        </w:rPr>
        <w:t xml:space="preserve"> del Estado de México</w:t>
      </w:r>
      <w:r w:rsidRPr="007E596A">
        <w:rPr>
          <w:rFonts w:ascii="Palatino Linotype" w:eastAsia="Calibri" w:hAnsi="Palatino Linotype" w:cs="Arial"/>
          <w:b/>
          <w:lang w:val="es-ES"/>
        </w:rPr>
        <w:t xml:space="preserve"> para gastos de campaña;</w:t>
      </w:r>
    </w:p>
    <w:p w14:paraId="4744C6BB" w14:textId="77777777" w:rsidR="00C151A1" w:rsidRPr="007E596A" w:rsidRDefault="00C151A1" w:rsidP="00C151A1">
      <w:pPr>
        <w:pStyle w:val="Prrafodelista"/>
        <w:spacing w:before="240" w:after="240" w:line="360" w:lineRule="auto"/>
        <w:ind w:left="993" w:right="49"/>
        <w:jc w:val="both"/>
        <w:rPr>
          <w:rFonts w:ascii="Palatino Linotype" w:eastAsia="Calibri" w:hAnsi="Palatino Linotype" w:cs="Arial"/>
          <w:b/>
        </w:rPr>
      </w:pPr>
    </w:p>
    <w:p w14:paraId="36C8567C" w14:textId="5389F5BC" w:rsidR="00C151A1" w:rsidRPr="00C151A1" w:rsidRDefault="00D42512" w:rsidP="00C151A1">
      <w:pPr>
        <w:pStyle w:val="Prrafodelista"/>
        <w:numPr>
          <w:ilvl w:val="0"/>
          <w:numId w:val="8"/>
        </w:numPr>
        <w:spacing w:before="240" w:after="240" w:line="360" w:lineRule="auto"/>
        <w:ind w:left="993" w:right="49"/>
        <w:jc w:val="both"/>
        <w:rPr>
          <w:rFonts w:ascii="Palatino Linotype" w:eastAsia="Calibri" w:hAnsi="Palatino Linotype" w:cs="Arial"/>
          <w:b/>
        </w:rPr>
      </w:pPr>
      <w:r w:rsidRPr="007E596A">
        <w:rPr>
          <w:rFonts w:ascii="Palatino Linotype" w:eastAsia="Calibri" w:hAnsi="Palatino Linotype" w:cs="Arial"/>
          <w:b/>
          <w:lang w:val="es-ES"/>
        </w:rPr>
        <w:t xml:space="preserve">Total de gastos de campaña y detalle del mismo por concepto y cantidad; </w:t>
      </w:r>
    </w:p>
    <w:p w14:paraId="6EA51ED0" w14:textId="77777777" w:rsidR="00C151A1" w:rsidRPr="00C151A1" w:rsidRDefault="00C151A1" w:rsidP="00C151A1">
      <w:pPr>
        <w:spacing w:before="240" w:after="240" w:line="360" w:lineRule="auto"/>
        <w:ind w:right="49"/>
        <w:jc w:val="both"/>
        <w:rPr>
          <w:rFonts w:ascii="Palatino Linotype" w:eastAsia="Calibri" w:hAnsi="Palatino Linotype" w:cs="Arial"/>
          <w:b/>
          <w:sz w:val="12"/>
        </w:rPr>
      </w:pPr>
    </w:p>
    <w:p w14:paraId="0AD46952" w14:textId="152E3902" w:rsidR="00D42512" w:rsidRPr="00C151A1" w:rsidRDefault="00D42512" w:rsidP="007E596A">
      <w:pPr>
        <w:pStyle w:val="Prrafodelista"/>
        <w:numPr>
          <w:ilvl w:val="0"/>
          <w:numId w:val="8"/>
        </w:numPr>
        <w:spacing w:before="240" w:after="240" w:line="360" w:lineRule="auto"/>
        <w:ind w:left="993" w:right="49"/>
        <w:jc w:val="both"/>
        <w:rPr>
          <w:rFonts w:ascii="Palatino Linotype" w:eastAsia="Calibri" w:hAnsi="Palatino Linotype" w:cs="Arial"/>
          <w:b/>
        </w:rPr>
      </w:pPr>
      <w:r w:rsidRPr="007E596A">
        <w:rPr>
          <w:rFonts w:ascii="Palatino Linotype" w:eastAsia="Calibri" w:hAnsi="Palatino Linotype" w:cs="Arial"/>
          <w:b/>
          <w:lang w:val="es-ES"/>
        </w:rPr>
        <w:t>Nombre de los proveedores contratados y su inscripción en el Registro</w:t>
      </w:r>
      <w:r w:rsidR="00DB6374" w:rsidRPr="007E596A">
        <w:rPr>
          <w:rFonts w:ascii="Palatino Linotype" w:eastAsia="Calibri" w:hAnsi="Palatino Linotype" w:cs="Arial"/>
          <w:b/>
          <w:lang w:val="es-ES"/>
        </w:rPr>
        <w:t xml:space="preserve"> Nacional de Proveedores; y, </w:t>
      </w:r>
      <w:r w:rsidRPr="007E596A">
        <w:rPr>
          <w:rFonts w:ascii="Palatino Linotype" w:eastAsia="Calibri" w:hAnsi="Palatino Linotype" w:cs="Arial"/>
          <w:b/>
          <w:lang w:val="es-ES"/>
        </w:rPr>
        <w:t xml:space="preserve"> </w:t>
      </w:r>
    </w:p>
    <w:p w14:paraId="5390A72E" w14:textId="77777777" w:rsidR="00C151A1" w:rsidRPr="00C151A1" w:rsidRDefault="00C151A1" w:rsidP="00C151A1">
      <w:pPr>
        <w:pStyle w:val="Prrafodelista"/>
        <w:rPr>
          <w:rFonts w:ascii="Palatino Linotype" w:eastAsia="Calibri" w:hAnsi="Palatino Linotype" w:cs="Arial"/>
          <w:b/>
        </w:rPr>
      </w:pPr>
    </w:p>
    <w:p w14:paraId="547625B0" w14:textId="77777777" w:rsidR="00C151A1" w:rsidRPr="007E596A" w:rsidRDefault="00C151A1" w:rsidP="00C151A1">
      <w:pPr>
        <w:pStyle w:val="Prrafodelista"/>
        <w:spacing w:before="240" w:after="240" w:line="360" w:lineRule="auto"/>
        <w:ind w:left="993" w:right="49"/>
        <w:jc w:val="both"/>
        <w:rPr>
          <w:rFonts w:ascii="Palatino Linotype" w:eastAsia="Calibri" w:hAnsi="Palatino Linotype" w:cs="Arial"/>
          <w:b/>
        </w:rPr>
      </w:pPr>
    </w:p>
    <w:p w14:paraId="70FD22FA" w14:textId="72CA8B09" w:rsidR="00D42512" w:rsidRPr="00DB6374" w:rsidRDefault="00DB6374" w:rsidP="007E596A">
      <w:pPr>
        <w:pStyle w:val="Prrafodelista"/>
        <w:numPr>
          <w:ilvl w:val="0"/>
          <w:numId w:val="8"/>
        </w:numPr>
        <w:spacing w:before="240" w:after="240" w:line="360" w:lineRule="auto"/>
        <w:ind w:left="993" w:right="49"/>
        <w:jc w:val="both"/>
        <w:rPr>
          <w:rFonts w:ascii="Palatino Linotype" w:eastAsia="Calibri" w:hAnsi="Palatino Linotype" w:cs="Arial"/>
        </w:rPr>
      </w:pPr>
      <w:r w:rsidRPr="007E596A">
        <w:rPr>
          <w:rFonts w:ascii="Palatino Linotype" w:eastAsia="Calibri" w:hAnsi="Palatino Linotype" w:cs="Arial"/>
          <w:b/>
        </w:rPr>
        <w:lastRenderedPageBreak/>
        <w:t xml:space="preserve">Nombre de </w:t>
      </w:r>
      <w:proofErr w:type="gramStart"/>
      <w:r w:rsidRPr="007E596A">
        <w:rPr>
          <w:rFonts w:ascii="Palatino Linotype" w:eastAsia="Calibri" w:hAnsi="Palatino Linotype" w:cs="Arial"/>
          <w:b/>
        </w:rPr>
        <w:t>las personas físicas y jurídico colectivas</w:t>
      </w:r>
      <w:proofErr w:type="gramEnd"/>
      <w:r w:rsidRPr="007E596A">
        <w:rPr>
          <w:rFonts w:ascii="Palatino Linotype" w:eastAsia="Calibri" w:hAnsi="Palatino Linotype" w:cs="Arial"/>
          <w:b/>
        </w:rPr>
        <w:t xml:space="preserve"> que realizaron donacio</w:t>
      </w:r>
      <w:r w:rsidR="007E596A">
        <w:rPr>
          <w:rFonts w:ascii="Palatino Linotype" w:eastAsia="Calibri" w:hAnsi="Palatino Linotype" w:cs="Arial"/>
          <w:b/>
        </w:rPr>
        <w:t>nes o aportaciones a la campaña,</w:t>
      </w:r>
      <w:r w:rsidRPr="007E596A">
        <w:rPr>
          <w:rFonts w:ascii="Palatino Linotype" w:eastAsia="Calibri" w:hAnsi="Palatino Linotype" w:cs="Arial"/>
          <w:b/>
        </w:rPr>
        <w:t xml:space="preserve"> así como el monto de las mismas</w:t>
      </w:r>
      <w:r>
        <w:rPr>
          <w:rFonts w:ascii="Palatino Linotype" w:eastAsia="Calibri" w:hAnsi="Palatino Linotype" w:cs="Arial"/>
          <w:b/>
        </w:rPr>
        <w:t xml:space="preserve">. </w:t>
      </w:r>
    </w:p>
    <w:p w14:paraId="3A601CF6" w14:textId="1443D87F" w:rsidR="00C151A1" w:rsidRDefault="005D3CE5" w:rsidP="00C151A1">
      <w:pPr>
        <w:spacing w:before="240" w:after="240" w:line="360" w:lineRule="auto"/>
        <w:ind w:right="49"/>
        <w:jc w:val="both"/>
        <w:rPr>
          <w:rFonts w:ascii="Palatino Linotype" w:eastAsia="Calibri" w:hAnsi="Palatino Linotype" w:cs="Arial"/>
          <w:lang w:val="es-ES"/>
        </w:rPr>
      </w:pPr>
      <w:r w:rsidRPr="007E596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7E596A">
        <w:rPr>
          <w:rFonts w:ascii="Palatino Linotype" w:eastAsia="Calibri" w:hAnsi="Palatino Linotype" w:cs="Arial"/>
        </w:rPr>
        <w:t xml:space="preserve">l soporte documental respectivo </w:t>
      </w:r>
      <w:r w:rsidRPr="007E596A">
        <w:rPr>
          <w:rFonts w:ascii="Palatino Linotype" w:eastAsia="Calibri" w:hAnsi="Palatino Linotype" w:cs="Arial"/>
        </w:rPr>
        <w:t>objeto de las versiones públicas que se formulen.</w:t>
      </w:r>
    </w:p>
    <w:p w14:paraId="09D52C6C" w14:textId="77777777" w:rsidR="00C151A1" w:rsidRPr="00C151A1" w:rsidRDefault="00C151A1" w:rsidP="00C151A1">
      <w:pPr>
        <w:spacing w:line="360" w:lineRule="auto"/>
        <w:ind w:right="49"/>
        <w:jc w:val="both"/>
        <w:rPr>
          <w:rFonts w:ascii="Palatino Linotype" w:eastAsia="Calibri" w:hAnsi="Palatino Linotype" w:cs="Arial"/>
          <w:lang w:val="es-ES"/>
        </w:rPr>
      </w:pPr>
    </w:p>
    <w:p w14:paraId="45417540" w14:textId="77777777" w:rsidR="005D3CE5" w:rsidRPr="00006BF9"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w:t>
      </w:r>
      <w:r w:rsidRPr="00006BF9">
        <w:rPr>
          <w:rFonts w:ascii="Palatino Linotype" w:eastAsia="Palatino Linotype" w:hAnsi="Palatino Linotype" w:cs="Palatino Linotype"/>
          <w:b/>
        </w:rPr>
        <w:t xml:space="preserve">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B06FF1"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ab/>
      </w:r>
    </w:p>
    <w:p w14:paraId="45E5AC7A" w14:textId="671517D1" w:rsidR="005D3CE5" w:rsidRPr="00B06FF1" w:rsidRDefault="005D3CE5" w:rsidP="005D3CE5">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6E6EFC">
        <w:rPr>
          <w:rFonts w:ascii="Palatino Linotype" w:eastAsia="Times New Roman" w:hAnsi="Palatino Linotype" w:cs="Times New Roman"/>
          <w:b/>
          <w:bCs/>
          <w:color w:val="222222"/>
          <w:lang w:val="es-ES"/>
        </w:rPr>
        <w:t>Notifíquese</w:t>
      </w:r>
      <w:r w:rsidRPr="006E6EFC">
        <w:rPr>
          <w:rFonts w:ascii="Palatino Linotype" w:eastAsia="Times New Roman" w:hAnsi="Palatino Linotype" w:cs="Times New Roman"/>
          <w:bCs/>
          <w:color w:val="222222"/>
          <w:lang w:val="es-ES"/>
        </w:rPr>
        <w:t xml:space="preserve"> a</w:t>
      </w:r>
      <w:r w:rsidRPr="00B06FF1">
        <w:rPr>
          <w:rFonts w:ascii="Palatino Linotype" w:hAnsi="Palatino Linotype"/>
          <w:b/>
        </w:rPr>
        <w:t xml:space="preserve"> </w:t>
      </w:r>
      <w:r w:rsidR="00C750ED" w:rsidRPr="00C750ED">
        <w:rPr>
          <w:rFonts w:ascii="Palatino Linotype" w:hAnsi="Palatino Linotype"/>
          <w:b/>
          <w:highlight w:val="black"/>
        </w:rPr>
        <w:t>--------------------</w:t>
      </w:r>
      <w:r w:rsidR="00C750ED">
        <w:rPr>
          <w:rFonts w:ascii="Palatino Linotype" w:hAnsi="Palatino Linotype"/>
          <w:b/>
          <w:highlight w:val="black"/>
        </w:rPr>
        <w:t>------</w:t>
      </w:r>
      <w:r w:rsidR="00C750ED" w:rsidRPr="00C750ED">
        <w:rPr>
          <w:rFonts w:ascii="Palatino Linotype" w:hAnsi="Palatino Linotype"/>
          <w:b/>
          <w:highlight w:val="black"/>
        </w:rPr>
        <w:t>------</w:t>
      </w:r>
      <w:r w:rsidRPr="00B06FF1">
        <w:rPr>
          <w:rFonts w:ascii="Palatino Linotype" w:hAnsi="Palatino Linotype"/>
        </w:rPr>
        <w:t xml:space="preserve"> la presente</w:t>
      </w:r>
      <w:r w:rsidR="006E6EFC">
        <w:rPr>
          <w:rFonts w:ascii="Palatino Linotype" w:hAnsi="Palatino Linotype"/>
        </w:rPr>
        <w:t xml:space="preserve"> resolución.</w:t>
      </w:r>
    </w:p>
    <w:p w14:paraId="171692C6" w14:textId="77777777" w:rsidR="005D3CE5" w:rsidRPr="00B06FF1" w:rsidRDefault="005D3CE5" w:rsidP="005D3CE5">
      <w:pPr>
        <w:shd w:val="clear" w:color="auto" w:fill="FFFFFF"/>
        <w:spacing w:line="360" w:lineRule="auto"/>
        <w:jc w:val="both"/>
        <w:rPr>
          <w:rFonts w:ascii="Palatino Linotype" w:hAnsi="Palatino Linotype"/>
        </w:rPr>
      </w:pPr>
    </w:p>
    <w:p w14:paraId="58097039" w14:textId="2707CE5B" w:rsidR="005D3CE5" w:rsidRDefault="005D3CE5" w:rsidP="005D3CE5">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 xml:space="preserve">Se hace del conocimiento de </w:t>
      </w:r>
      <w:r w:rsidR="00C750ED" w:rsidRPr="00C750ED">
        <w:rPr>
          <w:rFonts w:ascii="Palatino Linotype" w:hAnsi="Palatino Linotype"/>
          <w:b/>
          <w:highlight w:val="black"/>
        </w:rPr>
        <w:t>------------------------------</w:t>
      </w:r>
      <w:bookmarkStart w:id="90" w:name="_GoBack"/>
      <w:bookmarkEnd w:id="90"/>
      <w:r w:rsidR="00C441B2" w:rsidRPr="00B06FF1">
        <w:rPr>
          <w:rFonts w:ascii="Palatino Linotype" w:hAnsi="Palatino Linotype"/>
        </w:rPr>
        <w:t xml:space="preserve"> </w:t>
      </w:r>
      <w:r w:rsidRPr="00B06FF1">
        <w:rPr>
          <w:rFonts w:ascii="Palatino Linotype" w:eastAsia="MS Mincho" w:hAnsi="Palatino Linotype" w:cs="Times New Roman"/>
          <w:lang w:val="es-ES"/>
        </w:rPr>
        <w:t xml:space="preserve">que, de conformidad con lo establecido en el artículo 196 de la Ley de Transparencia y Acceso a la </w:t>
      </w:r>
      <w:r w:rsidRPr="00B06FF1">
        <w:rPr>
          <w:rFonts w:ascii="Palatino Linotype" w:eastAsia="MS Mincho" w:hAnsi="Palatino Linotype" w:cs="Times New Roman"/>
          <w:lang w:val="es-ES"/>
        </w:rPr>
        <w:lastRenderedPageBreak/>
        <w:t>Información Pública del Estado de México y Municipios, en caso de que considere que la resolución le cause algún perjuicio podrá</w:t>
      </w:r>
      <w:r>
        <w:rPr>
          <w:rFonts w:ascii="Palatino Linotype" w:eastAsia="MS Mincho" w:hAnsi="Palatino Linotype" w:cs="Times New Roman"/>
          <w:lang w:val="es-ES"/>
        </w:rPr>
        <w:t xml:space="preserve">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7D2320AE" w14:textId="77777777" w:rsidR="005D3CE5" w:rsidRDefault="005D3CE5" w:rsidP="005D3CE5">
      <w:pPr>
        <w:spacing w:line="360" w:lineRule="auto"/>
        <w:jc w:val="both"/>
        <w:rPr>
          <w:rFonts w:ascii="Palatino Linotype" w:eastAsia="MS Mincho" w:hAnsi="Palatino Linotype" w:cs="Times New Roman"/>
          <w:lang w:val="es-ES"/>
        </w:rPr>
      </w:pPr>
    </w:p>
    <w:p w14:paraId="47A9BB95" w14:textId="77777777" w:rsidR="005D3CE5" w:rsidRDefault="005D3CE5" w:rsidP="005D3CE5">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84719">
        <w:rPr>
          <w:rFonts w:ascii="Palatino Linotype" w:eastAsia="MS Mincho" w:hAnsi="Palatino Linotype" w:cs="Times New Roman"/>
        </w:rPr>
        <w:t>Considerando</w:t>
      </w:r>
      <w:r>
        <w:rPr>
          <w:rFonts w:ascii="Palatino Linotype" w:eastAsia="MS Mincho" w:hAnsi="Palatino Linotype" w:cs="Times New Roman"/>
          <w:b/>
        </w:rPr>
        <w:t xml:space="preserve"> SÉPTIMO</w:t>
      </w:r>
      <w:r w:rsidRPr="0010067F">
        <w:rPr>
          <w:rFonts w:ascii="Palatino Linotype" w:eastAsia="MS Mincho" w:hAnsi="Palatino Linotype" w:cs="Times New Roman"/>
        </w:rPr>
        <w:t>.</w:t>
      </w:r>
    </w:p>
    <w:p w14:paraId="558E0D15" w14:textId="77777777" w:rsidR="005D3CE5" w:rsidRPr="00D52999" w:rsidRDefault="005D3CE5" w:rsidP="005D3CE5">
      <w:pPr>
        <w:spacing w:line="360" w:lineRule="auto"/>
        <w:jc w:val="both"/>
        <w:rPr>
          <w:rFonts w:ascii="Palatino Linotype" w:eastAsia="MS Mincho" w:hAnsi="Palatino Linotype" w:cs="Times New Roman"/>
          <w:lang w:val="es-ES"/>
        </w:rPr>
      </w:pPr>
    </w:p>
    <w:bookmarkEnd w:id="38"/>
    <w:p w14:paraId="663BC45B" w14:textId="23196298" w:rsidR="009157E2" w:rsidRDefault="009157E2" w:rsidP="001105B5">
      <w:pPr>
        <w:tabs>
          <w:tab w:val="left" w:pos="0"/>
        </w:tabs>
        <w:spacing w:line="360" w:lineRule="auto"/>
        <w:ind w:right="49"/>
        <w:jc w:val="both"/>
        <w:rPr>
          <w:rFonts w:ascii="Palatino Linotype" w:hAnsi="Palatino Linotype" w:cs="Arial"/>
        </w:rPr>
      </w:pPr>
      <w:r w:rsidRPr="001105B5">
        <w:rPr>
          <w:rFonts w:ascii="Palatino Linotype" w:hAnsi="Palatino Linotype" w:cs="Arial"/>
        </w:rPr>
        <w:t>ASÍ LO RE</w:t>
      </w:r>
      <w:r w:rsidRPr="00C151A1">
        <w:rPr>
          <w:rFonts w:ascii="Palatino Linotype" w:hAnsi="Palatino Linotype" w:cs="Arial"/>
        </w:rPr>
        <w:t>SUELVE, POR UNANIMIDAD DE VOTOS</w:t>
      </w:r>
      <w:r w:rsidR="00C577B8">
        <w:rPr>
          <w:rFonts w:ascii="Palatino Linotype" w:hAnsi="Palatino Linotype" w:cs="Arial"/>
        </w:rPr>
        <w:t xml:space="preserve"> DE LOS PRESENTES</w:t>
      </w:r>
      <w:r w:rsidRPr="00C151A1">
        <w:rPr>
          <w:rFonts w:ascii="Palatino Linotype" w:hAnsi="Palatino Linotype" w:cs="Arial"/>
        </w:rPr>
        <w:t>, EL PLENO DEL</w:t>
      </w:r>
      <w:r w:rsidRPr="00C151A1">
        <w:rPr>
          <w:rFonts w:ascii="Palatino Linotype" w:eastAsia="Arial Unicode MS" w:hAnsi="Palatino Linotype" w:cs="Arial"/>
        </w:rPr>
        <w:t xml:space="preserve"> INSTITUTO DE TRANSPARENCIA, ACCESO A LA INFORMACIÓN PÚBLICA Y PROTECCIÓN DE DATOS PERSONALES DEL ESTADO DE MÉXICO Y MUNICIPIOS</w:t>
      </w:r>
      <w:r w:rsidRPr="00C151A1">
        <w:rPr>
          <w:rFonts w:ascii="Palatino Linotype" w:hAnsi="Palatino Linotype" w:cs="Arial"/>
        </w:rPr>
        <w:t xml:space="preserve">, CONFORMADO POR LOS COMISIONADOS ZULEMA MARTÍNEZ </w:t>
      </w:r>
      <w:r w:rsidR="00D70F0E" w:rsidRPr="00C151A1">
        <w:rPr>
          <w:rFonts w:ascii="Palatino Linotype" w:hAnsi="Palatino Linotype" w:cs="Arial"/>
        </w:rPr>
        <w:t>SÁNCHEZ; EVA ABAID YAPUR</w:t>
      </w:r>
      <w:r w:rsidR="00C577B8">
        <w:rPr>
          <w:rFonts w:ascii="Palatino Linotype" w:hAnsi="Palatino Linotype" w:cs="Arial"/>
        </w:rPr>
        <w:t xml:space="preserve"> AUSENCIA JUSTIFICADA</w:t>
      </w:r>
      <w:r w:rsidR="00D70F0E" w:rsidRPr="00C151A1">
        <w:rPr>
          <w:rFonts w:ascii="Palatino Linotype" w:hAnsi="Palatino Linotype" w:cs="Arial"/>
        </w:rPr>
        <w:t>; JOSÉ GUADALUPE LUNA HERNÁNDEZ; JAVIER MARTÍNEZ</w:t>
      </w:r>
      <w:r w:rsidR="00C151A1">
        <w:rPr>
          <w:rFonts w:ascii="Palatino Linotype" w:hAnsi="Palatino Linotype" w:cs="Arial"/>
        </w:rPr>
        <w:t xml:space="preserve"> CRUZ</w:t>
      </w:r>
      <w:r w:rsidR="00C577B8">
        <w:rPr>
          <w:rFonts w:ascii="Palatino Linotype" w:hAnsi="Palatino Linotype" w:cs="Arial"/>
        </w:rPr>
        <w:t xml:space="preserve"> AUSENTE EN VOTACIÓN</w:t>
      </w:r>
      <w:r w:rsidR="00D70F0E" w:rsidRPr="00C151A1">
        <w:rPr>
          <w:rFonts w:ascii="Palatino Linotype" w:hAnsi="Palatino Linotype" w:cs="Arial"/>
        </w:rPr>
        <w:t xml:space="preserve"> Y LUIS GUSTAVO PARRA NORIEGA</w:t>
      </w:r>
      <w:r w:rsidR="00C151A1">
        <w:rPr>
          <w:rFonts w:ascii="Palatino Linotype" w:hAnsi="Palatino Linotype" w:cs="Arial"/>
        </w:rPr>
        <w:t xml:space="preserve">; EN LA VIGÉSIMA </w:t>
      </w:r>
      <w:r w:rsidR="00D70F0E" w:rsidRPr="00C151A1">
        <w:rPr>
          <w:rFonts w:ascii="Palatino Linotype" w:hAnsi="Palatino Linotype" w:cs="Arial"/>
        </w:rPr>
        <w:t xml:space="preserve">SESIÓN </w:t>
      </w:r>
      <w:r w:rsidR="00A345A3" w:rsidRPr="00C151A1">
        <w:rPr>
          <w:rFonts w:ascii="Palatino Linotype" w:hAnsi="Palatino Linotype" w:cs="Arial"/>
        </w:rPr>
        <w:t xml:space="preserve">ORDINARIA CELEBRADA EL </w:t>
      </w:r>
      <w:r w:rsidR="00DB6374" w:rsidRPr="00C151A1">
        <w:rPr>
          <w:rFonts w:ascii="Palatino Linotype" w:hAnsi="Palatino Linotype" w:cs="Arial"/>
        </w:rPr>
        <w:t>VEINTINUEVE</w:t>
      </w:r>
      <w:r w:rsidR="00F77BB6" w:rsidRPr="00C151A1">
        <w:rPr>
          <w:rFonts w:ascii="Palatino Linotype" w:hAnsi="Palatino Linotype" w:cs="Arial"/>
        </w:rPr>
        <w:t xml:space="preserve"> DE </w:t>
      </w:r>
      <w:r w:rsidR="00B439F4" w:rsidRPr="00C151A1">
        <w:rPr>
          <w:rFonts w:ascii="Palatino Linotype" w:hAnsi="Palatino Linotype" w:cs="Arial"/>
        </w:rPr>
        <w:t>MA</w:t>
      </w:r>
      <w:r w:rsidR="007003BF" w:rsidRPr="00C151A1">
        <w:rPr>
          <w:rFonts w:ascii="Palatino Linotype" w:hAnsi="Palatino Linotype" w:cs="Arial"/>
        </w:rPr>
        <w:t>Y</w:t>
      </w:r>
      <w:r w:rsidR="00B439F4" w:rsidRPr="00C151A1">
        <w:rPr>
          <w:rFonts w:ascii="Palatino Linotype" w:hAnsi="Palatino Linotype" w:cs="Arial"/>
        </w:rPr>
        <w:t>O</w:t>
      </w:r>
      <w:r w:rsidR="00D70F0E" w:rsidRPr="00C151A1">
        <w:rPr>
          <w:rFonts w:ascii="Palatino Linotype" w:hAnsi="Palatino Linotype" w:cs="Arial"/>
        </w:rPr>
        <w:t xml:space="preserve"> DE DOS MIL DIECINUEVE, ANTE EL SECRETARIO TÉCNICO </w:t>
      </w:r>
      <w:r w:rsidRPr="00C151A1">
        <w:rPr>
          <w:rFonts w:ascii="Palatino Linotype" w:hAnsi="Palatino Linotype" w:cs="Arial"/>
        </w:rPr>
        <w:t xml:space="preserve">DEL PLENO, </w:t>
      </w:r>
      <w:r w:rsidRPr="00C151A1">
        <w:rPr>
          <w:rFonts w:ascii="Palatino Linotype" w:hAnsi="Palatino Linotype"/>
        </w:rPr>
        <w:t>ALEXIS TAPIA RAMÍREZ</w:t>
      </w:r>
      <w:r w:rsidRPr="00C151A1">
        <w:rPr>
          <w:rFonts w:ascii="Palatino Linotype" w:hAnsi="Palatino Linotype" w:cs="Arial"/>
        </w:rPr>
        <w:t>.</w:t>
      </w:r>
    </w:p>
    <w:p w14:paraId="4D62F15B" w14:textId="77777777" w:rsidR="00DB6374" w:rsidRDefault="00DB6374"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105B5" w14:paraId="605AB817" w14:textId="77777777" w:rsidTr="00E45562">
        <w:trPr>
          <w:jc w:val="center"/>
        </w:trPr>
        <w:tc>
          <w:tcPr>
            <w:tcW w:w="9918" w:type="dxa"/>
            <w:gridSpan w:val="2"/>
          </w:tcPr>
          <w:p w14:paraId="089F96A1" w14:textId="77777777" w:rsidR="009157E2" w:rsidRDefault="009157E2" w:rsidP="00C151A1">
            <w:pPr>
              <w:tabs>
                <w:tab w:val="left" w:pos="0"/>
              </w:tabs>
              <w:spacing w:line="0" w:lineRule="atLeast"/>
              <w:jc w:val="center"/>
              <w:rPr>
                <w:rFonts w:ascii="Palatino Linotype" w:hAnsi="Palatino Linotype" w:cs="Arial"/>
                <w:b/>
              </w:rPr>
            </w:pPr>
          </w:p>
          <w:p w14:paraId="19C62766" w14:textId="77777777" w:rsidR="00C151A1" w:rsidRDefault="00C151A1" w:rsidP="00C151A1">
            <w:pPr>
              <w:tabs>
                <w:tab w:val="left" w:pos="0"/>
              </w:tabs>
              <w:spacing w:line="0" w:lineRule="atLeast"/>
              <w:jc w:val="center"/>
              <w:rPr>
                <w:rFonts w:ascii="Palatino Linotype" w:hAnsi="Palatino Linotype" w:cs="Arial"/>
                <w:b/>
              </w:rPr>
            </w:pPr>
          </w:p>
          <w:p w14:paraId="61E241E7" w14:textId="77777777" w:rsidR="00C151A1" w:rsidRPr="001105B5" w:rsidRDefault="00C151A1" w:rsidP="00C151A1">
            <w:pPr>
              <w:tabs>
                <w:tab w:val="left" w:pos="0"/>
              </w:tabs>
              <w:spacing w:line="0" w:lineRule="atLeast"/>
              <w:jc w:val="center"/>
              <w:rPr>
                <w:rFonts w:ascii="Palatino Linotype" w:hAnsi="Palatino Linotype" w:cs="Arial"/>
                <w:b/>
              </w:rPr>
            </w:pPr>
          </w:p>
          <w:p w14:paraId="70CC5F04" w14:textId="77777777" w:rsidR="00C151A1" w:rsidRDefault="00C151A1" w:rsidP="00C151A1">
            <w:pPr>
              <w:tabs>
                <w:tab w:val="left" w:pos="0"/>
              </w:tabs>
              <w:spacing w:line="0" w:lineRule="atLeast"/>
              <w:jc w:val="center"/>
              <w:rPr>
                <w:rFonts w:ascii="Palatino Linotype" w:hAnsi="Palatino Linotype" w:cs="Arial"/>
                <w:b/>
              </w:rPr>
            </w:pPr>
          </w:p>
          <w:p w14:paraId="6B661B74" w14:textId="77777777" w:rsidR="00C151A1" w:rsidRDefault="00C151A1" w:rsidP="00C151A1">
            <w:pPr>
              <w:tabs>
                <w:tab w:val="left" w:pos="0"/>
              </w:tabs>
              <w:spacing w:line="0" w:lineRule="atLeast"/>
              <w:jc w:val="center"/>
              <w:rPr>
                <w:rFonts w:ascii="Palatino Linotype" w:hAnsi="Palatino Linotype" w:cs="Arial"/>
                <w:b/>
              </w:rPr>
            </w:pPr>
          </w:p>
          <w:p w14:paraId="47382CD9" w14:textId="77777777" w:rsidR="00C151A1" w:rsidRDefault="00C151A1" w:rsidP="00C151A1">
            <w:pPr>
              <w:tabs>
                <w:tab w:val="left" w:pos="0"/>
              </w:tabs>
              <w:spacing w:line="0" w:lineRule="atLeast"/>
              <w:jc w:val="center"/>
              <w:rPr>
                <w:rFonts w:ascii="Palatino Linotype" w:hAnsi="Palatino Linotype" w:cs="Arial"/>
                <w:b/>
              </w:rPr>
            </w:pPr>
          </w:p>
          <w:p w14:paraId="6D624526"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14:paraId="6E03B884"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14:paraId="1FCA8795" w14:textId="511D5679"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t>(R</w:t>
            </w:r>
            <w:r w:rsidR="0073321B">
              <w:rPr>
                <w:rFonts w:ascii="Palatino Linotype" w:hAnsi="Palatino Linotype" w:cs="Arial"/>
                <w:b/>
              </w:rPr>
              <w:t>úbrica</w:t>
            </w:r>
            <w:r w:rsidRPr="001105B5">
              <w:rPr>
                <w:rFonts w:ascii="Palatino Linotype" w:hAnsi="Palatino Linotype" w:cs="Arial"/>
                <w:b/>
              </w:rPr>
              <w:t>)</w:t>
            </w:r>
          </w:p>
          <w:p w14:paraId="57B943C3" w14:textId="77777777" w:rsidR="009157E2" w:rsidRPr="001105B5" w:rsidRDefault="009157E2" w:rsidP="00C151A1">
            <w:pPr>
              <w:tabs>
                <w:tab w:val="left" w:pos="0"/>
              </w:tabs>
              <w:spacing w:line="0" w:lineRule="atLeast"/>
              <w:jc w:val="center"/>
              <w:rPr>
                <w:rFonts w:ascii="Palatino Linotype" w:hAnsi="Palatino Linotype" w:cs="Arial"/>
                <w:b/>
              </w:rPr>
            </w:pPr>
          </w:p>
          <w:p w14:paraId="3E4753DF" w14:textId="77777777" w:rsidR="009157E2" w:rsidRDefault="009157E2" w:rsidP="00C151A1">
            <w:pPr>
              <w:tabs>
                <w:tab w:val="left" w:pos="0"/>
              </w:tabs>
              <w:spacing w:line="0" w:lineRule="atLeast"/>
              <w:jc w:val="center"/>
              <w:rPr>
                <w:rFonts w:ascii="Palatino Linotype" w:hAnsi="Palatino Linotype" w:cs="Arial"/>
                <w:b/>
              </w:rPr>
            </w:pPr>
          </w:p>
          <w:p w14:paraId="79698686" w14:textId="77777777" w:rsidR="00F77BB6" w:rsidRPr="001105B5" w:rsidRDefault="00F77BB6" w:rsidP="00C151A1">
            <w:pPr>
              <w:tabs>
                <w:tab w:val="left" w:pos="0"/>
              </w:tabs>
              <w:spacing w:line="0" w:lineRule="atLeast"/>
              <w:jc w:val="center"/>
              <w:rPr>
                <w:rFonts w:ascii="Palatino Linotype" w:hAnsi="Palatino Linotype" w:cs="Arial"/>
                <w:b/>
              </w:rPr>
            </w:pPr>
          </w:p>
        </w:tc>
      </w:tr>
      <w:tr w:rsidR="009157E2" w:rsidRPr="001105B5" w14:paraId="50EE6E98" w14:textId="77777777" w:rsidTr="00E45562">
        <w:trPr>
          <w:jc w:val="center"/>
        </w:trPr>
        <w:tc>
          <w:tcPr>
            <w:tcW w:w="4905" w:type="dxa"/>
          </w:tcPr>
          <w:p w14:paraId="13553C79"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lastRenderedPageBreak/>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14:paraId="47FDB9EF" w14:textId="77777777" w:rsidR="009157E2" w:rsidRPr="001105B5" w:rsidRDefault="009157E2" w:rsidP="00C151A1">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14:paraId="6BD2E6B4" w14:textId="298AD301" w:rsidR="009157E2" w:rsidRPr="001105B5" w:rsidRDefault="00C577B8" w:rsidP="00C151A1">
            <w:pPr>
              <w:tabs>
                <w:tab w:val="left" w:pos="0"/>
              </w:tabs>
              <w:spacing w:line="0" w:lineRule="atLeast"/>
              <w:jc w:val="center"/>
              <w:rPr>
                <w:rFonts w:ascii="Palatino Linotype" w:hAnsi="Palatino Linotype" w:cs="Arial"/>
                <w:b/>
              </w:rPr>
            </w:pPr>
            <w:r>
              <w:rPr>
                <w:rFonts w:ascii="Palatino Linotype" w:hAnsi="Palatino Linotype" w:cs="Arial"/>
                <w:b/>
              </w:rPr>
              <w:t>(Ausencia Justificada</w:t>
            </w:r>
            <w:r w:rsidR="009157E2" w:rsidRPr="001105B5">
              <w:rPr>
                <w:rFonts w:ascii="Palatino Linotype" w:hAnsi="Palatino Linotype" w:cs="Arial"/>
                <w:b/>
              </w:rPr>
              <w:t>)</w:t>
            </w:r>
          </w:p>
        </w:tc>
        <w:tc>
          <w:tcPr>
            <w:tcW w:w="5013" w:type="dxa"/>
          </w:tcPr>
          <w:p w14:paraId="14E98247"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14:paraId="5D378D12" w14:textId="77777777" w:rsidR="009157E2" w:rsidRPr="001105B5" w:rsidRDefault="009157E2" w:rsidP="00C151A1">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372BDCFB" w14:textId="00E7A113" w:rsidR="009157E2" w:rsidRPr="001105B5" w:rsidRDefault="0073321B" w:rsidP="00C151A1">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p w14:paraId="28C9632D" w14:textId="77777777" w:rsidR="009157E2" w:rsidRPr="001105B5" w:rsidRDefault="009157E2" w:rsidP="00C151A1">
            <w:pPr>
              <w:tabs>
                <w:tab w:val="left" w:pos="0"/>
              </w:tabs>
              <w:spacing w:line="0" w:lineRule="atLeast"/>
              <w:jc w:val="center"/>
              <w:rPr>
                <w:rFonts w:ascii="Palatino Linotype" w:hAnsi="Palatino Linotype" w:cs="Arial"/>
                <w:b/>
              </w:rPr>
            </w:pPr>
          </w:p>
        </w:tc>
      </w:tr>
      <w:tr w:rsidR="009157E2" w:rsidRPr="001105B5" w14:paraId="4B3FD288" w14:textId="77777777" w:rsidTr="00E45562">
        <w:trPr>
          <w:jc w:val="center"/>
        </w:trPr>
        <w:tc>
          <w:tcPr>
            <w:tcW w:w="4905" w:type="dxa"/>
          </w:tcPr>
          <w:p w14:paraId="11CE1D08" w14:textId="77777777" w:rsidR="007003BF" w:rsidRDefault="007003BF" w:rsidP="00C151A1">
            <w:pPr>
              <w:tabs>
                <w:tab w:val="left" w:pos="0"/>
              </w:tabs>
              <w:spacing w:line="0" w:lineRule="atLeast"/>
              <w:jc w:val="center"/>
              <w:rPr>
                <w:rFonts w:ascii="Palatino Linotype" w:hAnsi="Palatino Linotype" w:cs="Arial"/>
                <w:b/>
              </w:rPr>
            </w:pPr>
          </w:p>
          <w:p w14:paraId="2B3C66FE" w14:textId="77777777" w:rsidR="007003BF" w:rsidRDefault="007003BF" w:rsidP="00C151A1">
            <w:pPr>
              <w:tabs>
                <w:tab w:val="left" w:pos="0"/>
              </w:tabs>
              <w:spacing w:line="0" w:lineRule="atLeast"/>
              <w:jc w:val="center"/>
              <w:rPr>
                <w:rFonts w:ascii="Palatino Linotype" w:hAnsi="Palatino Linotype" w:cs="Arial"/>
                <w:b/>
              </w:rPr>
            </w:pPr>
          </w:p>
          <w:p w14:paraId="783A1423"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14:paraId="672380BE" w14:textId="77777777" w:rsidR="009157E2" w:rsidRPr="001105B5" w:rsidRDefault="009157E2" w:rsidP="00C151A1">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580EE6F1" w14:textId="2654BB13" w:rsidR="009157E2" w:rsidRPr="001105B5" w:rsidRDefault="00C577B8" w:rsidP="00C151A1">
            <w:pPr>
              <w:tabs>
                <w:tab w:val="left" w:pos="0"/>
              </w:tabs>
              <w:spacing w:line="0" w:lineRule="atLeast"/>
              <w:jc w:val="center"/>
              <w:rPr>
                <w:rFonts w:ascii="Palatino Linotype" w:hAnsi="Palatino Linotype" w:cs="Arial"/>
                <w:b/>
              </w:rPr>
            </w:pPr>
            <w:r>
              <w:rPr>
                <w:rFonts w:ascii="Palatino Linotype" w:hAnsi="Palatino Linotype" w:cs="Arial"/>
                <w:b/>
              </w:rPr>
              <w:t>(Ausente en Votación</w:t>
            </w:r>
            <w:r w:rsidR="009157E2" w:rsidRPr="001105B5">
              <w:rPr>
                <w:rFonts w:ascii="Palatino Linotype" w:hAnsi="Palatino Linotype" w:cs="Arial"/>
                <w:b/>
              </w:rPr>
              <w:t>)</w:t>
            </w:r>
          </w:p>
        </w:tc>
        <w:tc>
          <w:tcPr>
            <w:tcW w:w="5013" w:type="dxa"/>
          </w:tcPr>
          <w:p w14:paraId="468B5D53" w14:textId="77777777" w:rsidR="00166F03" w:rsidRDefault="00166F03" w:rsidP="00C151A1">
            <w:pPr>
              <w:tabs>
                <w:tab w:val="left" w:pos="0"/>
              </w:tabs>
              <w:spacing w:line="0" w:lineRule="atLeast"/>
              <w:jc w:val="center"/>
              <w:rPr>
                <w:rFonts w:ascii="Palatino Linotype" w:hAnsi="Palatino Linotype" w:cs="Arial"/>
                <w:b/>
              </w:rPr>
            </w:pPr>
          </w:p>
          <w:p w14:paraId="2FF9C536" w14:textId="77777777" w:rsidR="007003BF" w:rsidRDefault="007003BF" w:rsidP="00C151A1">
            <w:pPr>
              <w:tabs>
                <w:tab w:val="left" w:pos="0"/>
              </w:tabs>
              <w:spacing w:line="0" w:lineRule="atLeast"/>
              <w:jc w:val="center"/>
              <w:rPr>
                <w:rFonts w:ascii="Palatino Linotype" w:hAnsi="Palatino Linotype" w:cs="Arial"/>
                <w:b/>
              </w:rPr>
            </w:pPr>
          </w:p>
          <w:p w14:paraId="00338DFF" w14:textId="77777777" w:rsidR="009157E2" w:rsidRPr="001105B5" w:rsidRDefault="009157E2" w:rsidP="00C151A1">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14:paraId="54DB2582" w14:textId="77777777" w:rsidR="009157E2" w:rsidRPr="001105B5" w:rsidRDefault="009157E2" w:rsidP="00C151A1">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763ADD11" w14:textId="72A22EEA" w:rsidR="009157E2" w:rsidRPr="001105B5" w:rsidRDefault="0073321B" w:rsidP="00C151A1">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r>
      <w:tr w:rsidR="009157E2" w:rsidRPr="00E45562" w14:paraId="65A2A8C5" w14:textId="77777777" w:rsidTr="00E45562">
        <w:trPr>
          <w:jc w:val="center"/>
        </w:trPr>
        <w:tc>
          <w:tcPr>
            <w:tcW w:w="9918" w:type="dxa"/>
            <w:gridSpan w:val="2"/>
          </w:tcPr>
          <w:p w14:paraId="6A7C80E6" w14:textId="77777777" w:rsidR="009157E2" w:rsidRPr="00E45562" w:rsidRDefault="009157E2" w:rsidP="00C151A1">
            <w:pPr>
              <w:tabs>
                <w:tab w:val="left" w:pos="0"/>
              </w:tabs>
              <w:spacing w:line="0" w:lineRule="atLeast"/>
              <w:jc w:val="center"/>
              <w:rPr>
                <w:rFonts w:ascii="Palatino Linotype" w:hAnsi="Palatino Linotype" w:cs="Arial"/>
                <w:b/>
                <w:sz w:val="22"/>
              </w:rPr>
            </w:pPr>
          </w:p>
          <w:p w14:paraId="4569DB0F" w14:textId="77777777" w:rsidR="009157E2" w:rsidRDefault="009157E2" w:rsidP="00C151A1">
            <w:pPr>
              <w:tabs>
                <w:tab w:val="left" w:pos="0"/>
              </w:tabs>
              <w:spacing w:line="0" w:lineRule="atLeast"/>
              <w:jc w:val="center"/>
              <w:rPr>
                <w:rFonts w:ascii="Palatino Linotype" w:hAnsi="Palatino Linotype" w:cs="Arial"/>
                <w:b/>
                <w:sz w:val="22"/>
              </w:rPr>
            </w:pPr>
          </w:p>
          <w:p w14:paraId="6B8808CC" w14:textId="77777777" w:rsidR="00166F03" w:rsidRDefault="00166F03" w:rsidP="00C151A1">
            <w:pPr>
              <w:tabs>
                <w:tab w:val="left" w:pos="0"/>
              </w:tabs>
              <w:spacing w:line="0" w:lineRule="atLeast"/>
              <w:jc w:val="center"/>
              <w:rPr>
                <w:rFonts w:ascii="Palatino Linotype" w:hAnsi="Palatino Linotype" w:cs="Arial"/>
                <w:b/>
                <w:sz w:val="22"/>
              </w:rPr>
            </w:pPr>
          </w:p>
          <w:p w14:paraId="0D246BC2" w14:textId="77777777" w:rsidR="009157E2" w:rsidRPr="00E45562" w:rsidRDefault="009157E2" w:rsidP="00C151A1">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Alexis Tapia Ramírez</w:t>
            </w:r>
          </w:p>
          <w:p w14:paraId="4946B270" w14:textId="77777777" w:rsidR="009157E2" w:rsidRPr="00E45562" w:rsidRDefault="009157E2" w:rsidP="00C151A1">
            <w:pPr>
              <w:tabs>
                <w:tab w:val="left" w:pos="0"/>
              </w:tabs>
              <w:spacing w:line="0" w:lineRule="atLeast"/>
              <w:jc w:val="center"/>
              <w:rPr>
                <w:rFonts w:ascii="Palatino Linotype" w:hAnsi="Palatino Linotype" w:cs="Arial"/>
                <w:sz w:val="22"/>
              </w:rPr>
            </w:pPr>
            <w:r w:rsidRPr="00E45562">
              <w:rPr>
                <w:rFonts w:ascii="Palatino Linotype" w:hAnsi="Palatino Linotype" w:cs="Arial"/>
                <w:sz w:val="22"/>
              </w:rPr>
              <w:t>Secretario Técnico del Pleno</w:t>
            </w:r>
          </w:p>
          <w:p w14:paraId="78C5CBBE" w14:textId="2D1E9A9B" w:rsidR="00E45562" w:rsidRPr="00E45562" w:rsidRDefault="0073321B" w:rsidP="00C151A1">
            <w:pPr>
              <w:tabs>
                <w:tab w:val="left" w:pos="0"/>
              </w:tabs>
              <w:spacing w:line="0" w:lineRule="atLeast"/>
              <w:jc w:val="center"/>
              <w:rPr>
                <w:rFonts w:ascii="Palatino Linotype" w:hAnsi="Palatino Linotype" w:cs="Arial"/>
                <w:b/>
                <w:sz w:val="22"/>
              </w:rPr>
            </w:pPr>
            <w:r>
              <w:rPr>
                <w:rFonts w:ascii="Palatino Linotype" w:hAnsi="Palatino Linotype" w:cs="Arial"/>
                <w:b/>
                <w:sz w:val="22"/>
              </w:rPr>
              <w:t>(Rúbrica</w:t>
            </w:r>
            <w:r w:rsidR="009157E2" w:rsidRPr="00E45562">
              <w:rPr>
                <w:rFonts w:ascii="Palatino Linotype" w:hAnsi="Palatino Linotype" w:cs="Arial"/>
                <w:b/>
                <w:sz w:val="22"/>
              </w:rPr>
              <w:t>)</w:t>
            </w:r>
          </w:p>
          <w:p w14:paraId="38385F09" w14:textId="0513CFB1" w:rsidR="00E45562" w:rsidRPr="00E45562" w:rsidRDefault="00E45562" w:rsidP="00C151A1">
            <w:pPr>
              <w:tabs>
                <w:tab w:val="left" w:pos="0"/>
              </w:tabs>
              <w:spacing w:line="0" w:lineRule="atLeast"/>
              <w:jc w:val="center"/>
              <w:rPr>
                <w:rFonts w:ascii="Palatino Linotype" w:hAnsi="Palatino Linotype" w:cs="Arial"/>
                <w:b/>
                <w:sz w:val="22"/>
              </w:rPr>
            </w:pPr>
          </w:p>
        </w:tc>
      </w:tr>
    </w:tbl>
    <w:p w14:paraId="750D3315" w14:textId="77777777" w:rsidR="00DB6374" w:rsidRDefault="00DB6374">
      <w:pPr>
        <w:tabs>
          <w:tab w:val="left" w:pos="0"/>
        </w:tabs>
        <w:spacing w:line="360" w:lineRule="auto"/>
        <w:jc w:val="both"/>
        <w:rPr>
          <w:rFonts w:ascii="Palatino Linotype" w:hAnsi="Palatino Linotype" w:cs="Arial"/>
          <w:sz w:val="22"/>
        </w:rPr>
      </w:pPr>
    </w:p>
    <w:p w14:paraId="24986A6A" w14:textId="0EB49201" w:rsidR="00E45562" w:rsidRPr="00E45562" w:rsidRDefault="009157E2">
      <w:pPr>
        <w:tabs>
          <w:tab w:val="left" w:pos="0"/>
        </w:tabs>
        <w:spacing w:line="360" w:lineRule="auto"/>
        <w:jc w:val="both"/>
        <w:rPr>
          <w:rFonts w:ascii="Palatino Linotype" w:hAnsi="Palatino Linotype" w:cs="Arial"/>
          <w:i/>
          <w:sz w:val="22"/>
        </w:rPr>
      </w:pPr>
      <w:r w:rsidRPr="00E45562">
        <w:rPr>
          <w:rFonts w:ascii="Palatino Linotype" w:hAnsi="Palatino Linotype" w:cs="Arial"/>
          <w:sz w:val="22"/>
        </w:rPr>
        <w:t xml:space="preserve">Esta hoja corresponde a la </w:t>
      </w:r>
      <w:r w:rsidRPr="00C151A1">
        <w:rPr>
          <w:rFonts w:ascii="Palatino Linotype" w:hAnsi="Palatino Linotype" w:cs="Arial"/>
          <w:sz w:val="22"/>
        </w:rPr>
        <w:t xml:space="preserve">resolución de fecha </w:t>
      </w:r>
      <w:r w:rsidR="00DB6374" w:rsidRPr="00C151A1">
        <w:rPr>
          <w:rFonts w:ascii="Palatino Linotype" w:hAnsi="Palatino Linotype" w:cs="Arial"/>
          <w:sz w:val="22"/>
        </w:rPr>
        <w:t>veintinueve</w:t>
      </w:r>
      <w:r w:rsidR="00A82CBB" w:rsidRPr="00C151A1">
        <w:rPr>
          <w:rFonts w:ascii="Palatino Linotype" w:hAnsi="Palatino Linotype" w:cs="Arial"/>
          <w:sz w:val="22"/>
        </w:rPr>
        <w:t xml:space="preserve"> </w:t>
      </w:r>
      <w:r w:rsidR="00137045" w:rsidRPr="00C151A1">
        <w:rPr>
          <w:rFonts w:ascii="Palatino Linotype" w:hAnsi="Palatino Linotype" w:cs="Arial"/>
          <w:sz w:val="22"/>
        </w:rPr>
        <w:t>(</w:t>
      </w:r>
      <w:r w:rsidR="00DB6374" w:rsidRPr="00C151A1">
        <w:rPr>
          <w:rFonts w:ascii="Palatino Linotype" w:hAnsi="Palatino Linotype" w:cs="Arial"/>
          <w:sz w:val="22"/>
        </w:rPr>
        <w:t>29</w:t>
      </w:r>
      <w:r w:rsidR="00137045" w:rsidRPr="00C151A1">
        <w:rPr>
          <w:rFonts w:ascii="Palatino Linotype" w:hAnsi="Palatino Linotype" w:cs="Arial"/>
          <w:sz w:val="22"/>
        </w:rPr>
        <w:t xml:space="preserve">) </w:t>
      </w:r>
      <w:r w:rsidR="00A82CBB" w:rsidRPr="00C151A1">
        <w:rPr>
          <w:rFonts w:ascii="Palatino Linotype" w:hAnsi="Palatino Linotype" w:cs="Arial"/>
          <w:sz w:val="22"/>
        </w:rPr>
        <w:t xml:space="preserve">de </w:t>
      </w:r>
      <w:r w:rsidR="0081249A" w:rsidRPr="00C151A1">
        <w:rPr>
          <w:rFonts w:ascii="Palatino Linotype" w:hAnsi="Palatino Linotype" w:cs="Arial"/>
          <w:sz w:val="22"/>
        </w:rPr>
        <w:t>mayo</w:t>
      </w:r>
      <w:r w:rsidR="00A82CBB">
        <w:rPr>
          <w:rFonts w:ascii="Palatino Linotype" w:hAnsi="Palatino Linotype" w:cs="Arial"/>
          <w:sz w:val="22"/>
        </w:rPr>
        <w:t xml:space="preserve"> de dos mil diecinueve</w:t>
      </w:r>
      <w:r w:rsidRPr="00E45562">
        <w:rPr>
          <w:rFonts w:ascii="Palatino Linotype" w:hAnsi="Palatino Linotype" w:cs="Arial"/>
          <w:sz w:val="22"/>
        </w:rPr>
        <w:t>, emitida en el recurso de revisión</w:t>
      </w:r>
      <w:r w:rsidRPr="00C151A1">
        <w:rPr>
          <w:rFonts w:ascii="Palatino Linotype" w:hAnsi="Palatino Linotype" w:cs="Arial"/>
          <w:b/>
          <w:sz w:val="22"/>
        </w:rPr>
        <w:t xml:space="preserve"> </w:t>
      </w:r>
      <w:r w:rsidRPr="00C151A1">
        <w:rPr>
          <w:rFonts w:ascii="Palatino Linotype" w:hAnsi="Palatino Linotype" w:cs="Arial"/>
          <w:b/>
          <w:bCs/>
          <w:sz w:val="22"/>
        </w:rPr>
        <w:t>0</w:t>
      </w:r>
      <w:r w:rsidR="007003BF" w:rsidRPr="00C151A1">
        <w:rPr>
          <w:rFonts w:ascii="Palatino Linotype" w:hAnsi="Palatino Linotype" w:cs="Arial"/>
          <w:b/>
          <w:bCs/>
          <w:sz w:val="22"/>
        </w:rPr>
        <w:t>1</w:t>
      </w:r>
      <w:r w:rsidR="00DB6374" w:rsidRPr="00C151A1">
        <w:rPr>
          <w:rFonts w:ascii="Palatino Linotype" w:hAnsi="Palatino Linotype" w:cs="Arial"/>
          <w:b/>
          <w:bCs/>
          <w:sz w:val="22"/>
        </w:rPr>
        <w:t>548</w:t>
      </w:r>
      <w:r w:rsidRPr="00C151A1">
        <w:rPr>
          <w:rFonts w:ascii="Palatino Linotype" w:hAnsi="Palatino Linotype" w:cs="Arial"/>
          <w:b/>
          <w:bCs/>
          <w:sz w:val="22"/>
        </w:rPr>
        <w:t>/INFOEM/IP/RR/201</w:t>
      </w:r>
      <w:r w:rsidR="00B439F4" w:rsidRPr="00C151A1">
        <w:rPr>
          <w:rFonts w:ascii="Palatino Linotype" w:hAnsi="Palatino Linotype" w:cs="Arial"/>
          <w:b/>
          <w:bCs/>
          <w:sz w:val="22"/>
        </w:rPr>
        <w:t>9</w:t>
      </w:r>
      <w:r w:rsidRPr="00C151A1">
        <w:rPr>
          <w:rFonts w:ascii="Palatino Linotype" w:hAnsi="Palatino Linotype" w:cs="Arial"/>
          <w:b/>
          <w:bCs/>
          <w:sz w:val="22"/>
        </w:rPr>
        <w:t>.</w:t>
      </w:r>
      <w:bookmarkEnd w:id="39"/>
      <w:bookmarkEnd w:id="40"/>
    </w:p>
    <w:p w14:paraId="46661A2A" w14:textId="77777777" w:rsidR="00C151A1" w:rsidRPr="00E45562" w:rsidRDefault="00C151A1">
      <w:pPr>
        <w:tabs>
          <w:tab w:val="left" w:pos="0"/>
        </w:tabs>
        <w:spacing w:line="360" w:lineRule="auto"/>
        <w:jc w:val="both"/>
        <w:rPr>
          <w:rFonts w:ascii="Palatino Linotype" w:hAnsi="Palatino Linotype" w:cs="Arial"/>
          <w:i/>
          <w:sz w:val="22"/>
        </w:rPr>
      </w:pPr>
    </w:p>
    <w:sectPr w:rsidR="00C151A1" w:rsidRPr="00E45562" w:rsidSect="004B5677">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CE8B4" w14:textId="77777777" w:rsidR="00854EDF" w:rsidRDefault="00854EDF" w:rsidP="00587366">
      <w:r>
        <w:separator/>
      </w:r>
    </w:p>
  </w:endnote>
  <w:endnote w:type="continuationSeparator" w:id="0">
    <w:p w14:paraId="2338091F" w14:textId="77777777" w:rsidR="00854EDF" w:rsidRDefault="00854ED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151A1" w:rsidRPr="00883450" w:rsidRDefault="00C151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50ED">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50ED">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C151A1" w:rsidRDefault="00C151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51A1" w:rsidRPr="00883450" w:rsidRDefault="00C151A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50ED" w:rsidRPr="00C750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50ED" w:rsidRPr="00C750ED">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C151A1" w:rsidRPr="00883450" w:rsidRDefault="00C151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0896E" w14:textId="77777777" w:rsidR="00854EDF" w:rsidRDefault="00854EDF" w:rsidP="00587366">
      <w:r>
        <w:separator/>
      </w:r>
    </w:p>
  </w:footnote>
  <w:footnote w:type="continuationSeparator" w:id="0">
    <w:p w14:paraId="46E70FBF" w14:textId="77777777" w:rsidR="00854EDF" w:rsidRDefault="00854EDF" w:rsidP="00587366">
      <w:r>
        <w:continuationSeparator/>
      </w:r>
    </w:p>
  </w:footnote>
  <w:footnote w:id="1">
    <w:p w14:paraId="4C486D65" w14:textId="77777777" w:rsidR="00C151A1" w:rsidRPr="000C61AA" w:rsidRDefault="00C151A1" w:rsidP="00963918">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11D7B505" w14:textId="77777777" w:rsidR="00C151A1" w:rsidRDefault="00C151A1" w:rsidP="00326BBB">
      <w:pPr>
        <w:pStyle w:val="Textonotapie"/>
      </w:pPr>
      <w:r>
        <w:rPr>
          <w:rStyle w:val="Refdenotaalpie"/>
        </w:rPr>
        <w:footnoteRef/>
      </w:r>
      <w:r>
        <w:t xml:space="preserve"> Convención Americana sobre Derechos Humanos. Artículo 13.</w:t>
      </w:r>
    </w:p>
  </w:footnote>
  <w:footnote w:id="3">
    <w:p w14:paraId="1B484ED2" w14:textId="77777777" w:rsidR="00C151A1" w:rsidRDefault="00C151A1" w:rsidP="00326BBB">
      <w:pPr>
        <w:pStyle w:val="Textonotapie"/>
      </w:pPr>
      <w:r>
        <w:rPr>
          <w:rStyle w:val="Refdenotaalpie"/>
        </w:rPr>
        <w:footnoteRef/>
      </w:r>
      <w:r>
        <w:t xml:space="preserve"> Constitución Política de los Estados Unidos Mexicanos. Artículo sexto, sección A, fracción I.</w:t>
      </w:r>
    </w:p>
  </w:footnote>
  <w:footnote w:id="4">
    <w:p w14:paraId="40048523" w14:textId="77777777" w:rsidR="00C151A1" w:rsidRDefault="00C151A1"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874680F" w14:textId="77777777" w:rsidR="00C151A1" w:rsidRDefault="00C151A1" w:rsidP="00326BBB">
      <w:pPr>
        <w:pStyle w:val="Textonotapie"/>
      </w:pPr>
      <w:r>
        <w:rPr>
          <w:rStyle w:val="Refdenotaalpie"/>
        </w:rPr>
        <w:footnoteRef/>
      </w:r>
      <w:r>
        <w:t xml:space="preserve"> Ibídem. </w:t>
      </w:r>
      <w:proofErr w:type="spellStart"/>
      <w:r>
        <w:t>Parr</w:t>
      </w:r>
      <w:proofErr w:type="spellEnd"/>
      <w:r>
        <w:t>. 87.</w:t>
      </w:r>
    </w:p>
  </w:footnote>
  <w:footnote w:id="6">
    <w:p w14:paraId="2DBC461B" w14:textId="77777777" w:rsidR="00C151A1" w:rsidRDefault="00C151A1" w:rsidP="00326B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DA3827" w14:textId="77777777" w:rsidR="00C151A1" w:rsidRDefault="00C151A1"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C151A1" w:rsidRPr="001E1F95" w:rsidRDefault="00C151A1"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3AE9FA56" w14:textId="77777777" w:rsidR="00C151A1" w:rsidRPr="0037004E" w:rsidRDefault="00C151A1" w:rsidP="00326B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3D35936D" w14:textId="77777777" w:rsidR="00C151A1" w:rsidRDefault="00C151A1" w:rsidP="00326BBB">
      <w:pPr>
        <w:pStyle w:val="Textonotapie"/>
        <w:jc w:val="both"/>
      </w:pPr>
      <w:r>
        <w:rPr>
          <w:rStyle w:val="Refdenotaalpie"/>
        </w:rPr>
        <w:footnoteRef/>
      </w:r>
      <w:r>
        <w:t xml:space="preserve"> Artículo 3. Para los efectos de la presente Ley se entenderá por:</w:t>
      </w:r>
    </w:p>
    <w:p w14:paraId="4B65A2CD" w14:textId="77777777" w:rsidR="00C151A1" w:rsidRDefault="00C151A1" w:rsidP="00326BBB">
      <w:pPr>
        <w:pStyle w:val="Textonotapie"/>
        <w:jc w:val="both"/>
      </w:pPr>
      <w:r>
        <w:t xml:space="preserve"> (…)</w:t>
      </w:r>
    </w:p>
    <w:p w14:paraId="15236306" w14:textId="77777777" w:rsidR="00C151A1" w:rsidRDefault="00C151A1"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151A1" w:rsidRDefault="00C151A1" w:rsidP="001C6012">
    <w:pPr>
      <w:pStyle w:val="Encabezado"/>
      <w:tabs>
        <w:tab w:val="clear" w:pos="4252"/>
        <w:tab w:val="clear" w:pos="8504"/>
        <w:tab w:val="left" w:pos="8460"/>
      </w:tabs>
    </w:pPr>
    <w:r>
      <w:tab/>
    </w:r>
  </w:p>
  <w:p w14:paraId="64F5F23E" w14:textId="390690E5" w:rsidR="00C151A1" w:rsidRDefault="00C151A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151A1" w:rsidRPr="00674A46" w14:paraId="07F2896E" w14:textId="77777777" w:rsidTr="00F3586F">
      <w:trPr>
        <w:trHeight w:val="138"/>
      </w:trPr>
      <w:tc>
        <w:tcPr>
          <w:tcW w:w="3544" w:type="dxa"/>
          <w:vAlign w:val="center"/>
        </w:tcPr>
        <w:p w14:paraId="4A5B1974" w14:textId="3B2AB4E0" w:rsidR="00C151A1" w:rsidRPr="00674A46" w:rsidRDefault="00C151A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56195D8" w:rsidR="00C151A1" w:rsidRPr="0017265D" w:rsidRDefault="00C151A1" w:rsidP="00CC0C5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1548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151A1" w:rsidRPr="00674A46" w14:paraId="1B5D8690" w14:textId="77777777" w:rsidTr="00F3586F">
      <w:trPr>
        <w:trHeight w:val="233"/>
      </w:trPr>
      <w:tc>
        <w:tcPr>
          <w:tcW w:w="3544" w:type="dxa"/>
          <w:vAlign w:val="center"/>
        </w:tcPr>
        <w:p w14:paraId="3903F2C6" w14:textId="35D57A2C" w:rsidR="00C151A1" w:rsidRPr="00674A46" w:rsidRDefault="00C151A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8DFB8C" w:rsidR="00C151A1" w:rsidRPr="00B75F20" w:rsidRDefault="00C151A1" w:rsidP="00877086">
          <w:pPr>
            <w:pStyle w:val="Encabezado"/>
            <w:jc w:val="both"/>
            <w:rPr>
              <w:rFonts w:ascii="Palatino Linotype" w:hAnsi="Palatino Linotype"/>
              <w:b/>
              <w:sz w:val="22"/>
              <w:szCs w:val="22"/>
            </w:rPr>
          </w:pPr>
          <w:r>
            <w:rPr>
              <w:rFonts w:ascii="Palatino Linotype" w:hAnsi="Palatino Linotype"/>
              <w:b/>
              <w:sz w:val="22"/>
              <w:szCs w:val="22"/>
            </w:rPr>
            <w:t>Partido Morena</w:t>
          </w:r>
        </w:p>
      </w:tc>
    </w:tr>
    <w:tr w:rsidR="00C151A1" w:rsidRPr="00674A46" w14:paraId="095EB01B" w14:textId="77777777" w:rsidTr="00F3586F">
      <w:trPr>
        <w:trHeight w:val="321"/>
      </w:trPr>
      <w:tc>
        <w:tcPr>
          <w:tcW w:w="3544" w:type="dxa"/>
          <w:vAlign w:val="center"/>
        </w:tcPr>
        <w:p w14:paraId="6E000A51" w14:textId="25DCC1C7" w:rsidR="00C151A1" w:rsidRPr="00674A46" w:rsidRDefault="00C151A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151A1" w:rsidRPr="00674A46" w:rsidRDefault="00C151A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151A1" w:rsidRDefault="00C151A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151A1" w:rsidRDefault="00C151A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151A1" w:rsidRPr="00674A46" w14:paraId="0A3256F2" w14:textId="77777777" w:rsidTr="00F3586F">
      <w:trPr>
        <w:trHeight w:val="138"/>
      </w:trPr>
      <w:tc>
        <w:tcPr>
          <w:tcW w:w="3261" w:type="dxa"/>
          <w:vAlign w:val="center"/>
        </w:tcPr>
        <w:p w14:paraId="3D80769D" w14:textId="316F11F8" w:rsidR="00C151A1" w:rsidRPr="00674A46" w:rsidRDefault="00C151A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3A8C2D7" w:rsidR="00C151A1" w:rsidRPr="00674A46" w:rsidRDefault="00C151A1" w:rsidP="00CC0C54">
          <w:pPr>
            <w:pStyle w:val="Encabezado"/>
            <w:rPr>
              <w:rFonts w:ascii="Palatino Linotype" w:hAnsi="Palatino Linotype"/>
              <w:b/>
              <w:sz w:val="22"/>
              <w:szCs w:val="22"/>
            </w:rPr>
          </w:pPr>
          <w:r>
            <w:rPr>
              <w:rFonts w:ascii="Palatino Linotype" w:hAnsi="Palatino Linotype" w:cs="Arial"/>
              <w:b/>
              <w:bCs/>
              <w:sz w:val="22"/>
              <w:szCs w:val="22"/>
              <w:lang w:eastAsia="es-MX"/>
            </w:rPr>
            <w:t>01548/INFOEM/IP/RR/2019</w:t>
          </w:r>
        </w:p>
      </w:tc>
    </w:tr>
    <w:tr w:rsidR="00C151A1" w:rsidRPr="00B75F20" w14:paraId="128C8B3C" w14:textId="77777777" w:rsidTr="00F3586F">
      <w:trPr>
        <w:trHeight w:val="233"/>
      </w:trPr>
      <w:tc>
        <w:tcPr>
          <w:tcW w:w="3261" w:type="dxa"/>
          <w:vAlign w:val="center"/>
        </w:tcPr>
        <w:p w14:paraId="483E3371" w14:textId="66B1BC74" w:rsidR="00C151A1" w:rsidRPr="00674A46" w:rsidRDefault="00C151A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796535F" w:rsidR="00C151A1" w:rsidRPr="00B75F20" w:rsidRDefault="00C750ED" w:rsidP="00F0190C">
          <w:pPr>
            <w:pStyle w:val="Encabezado"/>
            <w:ind w:right="234"/>
            <w:rPr>
              <w:rFonts w:ascii="Palatino Linotype" w:hAnsi="Palatino Linotype"/>
              <w:b/>
              <w:sz w:val="22"/>
              <w:szCs w:val="22"/>
            </w:rPr>
          </w:pPr>
          <w:r w:rsidRPr="00C750ED">
            <w:rPr>
              <w:rFonts w:ascii="Palatino Linotype" w:hAnsi="Palatino Linotype"/>
              <w:b/>
              <w:sz w:val="22"/>
              <w:szCs w:val="22"/>
              <w:highlight w:val="black"/>
            </w:rPr>
            <w:t>-------------------------------</w:t>
          </w:r>
        </w:p>
      </w:tc>
    </w:tr>
    <w:tr w:rsidR="00C151A1" w:rsidRPr="00674A46" w14:paraId="41BE0704" w14:textId="77777777" w:rsidTr="00F3586F">
      <w:trPr>
        <w:trHeight w:val="321"/>
      </w:trPr>
      <w:tc>
        <w:tcPr>
          <w:tcW w:w="3261" w:type="dxa"/>
          <w:vAlign w:val="center"/>
        </w:tcPr>
        <w:p w14:paraId="34C64148" w14:textId="10C6C8A9" w:rsidR="00C151A1" w:rsidRPr="00674A46" w:rsidRDefault="00C151A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8512DC0" w:rsidR="00C151A1" w:rsidRPr="00674A46" w:rsidRDefault="00C151A1" w:rsidP="00877086">
          <w:pPr>
            <w:pStyle w:val="Encabezado"/>
            <w:jc w:val="both"/>
            <w:rPr>
              <w:rFonts w:ascii="Palatino Linotype" w:hAnsi="Palatino Linotype"/>
              <w:b/>
              <w:sz w:val="22"/>
              <w:szCs w:val="22"/>
            </w:rPr>
          </w:pPr>
          <w:r>
            <w:rPr>
              <w:rFonts w:ascii="Palatino Linotype" w:hAnsi="Palatino Linotype"/>
              <w:b/>
              <w:bCs/>
              <w:color w:val="000000"/>
              <w:sz w:val="22"/>
              <w:szCs w:val="22"/>
            </w:rPr>
            <w:t>Partido Morena</w:t>
          </w:r>
        </w:p>
      </w:tc>
    </w:tr>
    <w:tr w:rsidR="00C151A1" w:rsidRPr="00674A46" w14:paraId="0C8B6193" w14:textId="77777777" w:rsidTr="00F3586F">
      <w:trPr>
        <w:trHeight w:val="321"/>
      </w:trPr>
      <w:tc>
        <w:tcPr>
          <w:tcW w:w="3261" w:type="dxa"/>
          <w:vAlign w:val="center"/>
        </w:tcPr>
        <w:p w14:paraId="321FFAFF" w14:textId="40E5A678" w:rsidR="00C151A1" w:rsidRPr="00674A46" w:rsidRDefault="00C151A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151A1" w:rsidRPr="00674A46" w:rsidRDefault="00C151A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151A1" w:rsidRDefault="00C151A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FD0"/>
    <w:multiLevelType w:val="hybridMultilevel"/>
    <w:tmpl w:val="2B001F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4CAB112E"/>
    <w:multiLevelType w:val="hybridMultilevel"/>
    <w:tmpl w:val="F8A2E6C8"/>
    <w:lvl w:ilvl="0" w:tplc="7A7C5018">
      <w:start w:val="1"/>
      <w:numFmt w:val="lowerLetter"/>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892A9F"/>
    <w:multiLevelType w:val="hybridMultilevel"/>
    <w:tmpl w:val="0B367338"/>
    <w:lvl w:ilvl="0" w:tplc="BE8C88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B24E17"/>
    <w:multiLevelType w:val="hybridMultilevel"/>
    <w:tmpl w:val="5F50F5DA"/>
    <w:lvl w:ilvl="0" w:tplc="2A40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1"/>
  </w:num>
  <w:num w:numId="5">
    <w:abstractNumId w:val="4"/>
  </w:num>
  <w:num w:numId="6">
    <w:abstractNumId w:val="3"/>
  </w:num>
  <w:num w:numId="7">
    <w:abstractNumId w:val="2"/>
  </w:num>
  <w:num w:numId="8">
    <w:abstractNumId w:val="9"/>
  </w:num>
  <w:num w:numId="9">
    <w:abstractNumId w:val="0"/>
  </w:num>
  <w:num w:numId="10">
    <w:abstractNumId w:val="7"/>
  </w:num>
  <w:num w:numId="11">
    <w:abstractNumId w:val="8"/>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3A5F"/>
    <w:rsid w:val="00024833"/>
    <w:rsid w:val="00024C70"/>
    <w:rsid w:val="00024F35"/>
    <w:rsid w:val="000266F9"/>
    <w:rsid w:val="00026BE9"/>
    <w:rsid w:val="00027112"/>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19D"/>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B76F3"/>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C9A"/>
    <w:rsid w:val="00110F5D"/>
    <w:rsid w:val="0011167C"/>
    <w:rsid w:val="001119B2"/>
    <w:rsid w:val="00112B02"/>
    <w:rsid w:val="00113930"/>
    <w:rsid w:val="00113BB3"/>
    <w:rsid w:val="00113BD3"/>
    <w:rsid w:val="00114097"/>
    <w:rsid w:val="00114A21"/>
    <w:rsid w:val="0011752F"/>
    <w:rsid w:val="0012006D"/>
    <w:rsid w:val="00121571"/>
    <w:rsid w:val="00121D9D"/>
    <w:rsid w:val="001227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52CB"/>
    <w:rsid w:val="0017653A"/>
    <w:rsid w:val="00176D98"/>
    <w:rsid w:val="001770B2"/>
    <w:rsid w:val="001775DF"/>
    <w:rsid w:val="00177CA5"/>
    <w:rsid w:val="00181E9E"/>
    <w:rsid w:val="0018435D"/>
    <w:rsid w:val="001843F5"/>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0A8"/>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0B55"/>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20E"/>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0D7"/>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29B"/>
    <w:rsid w:val="00305F6D"/>
    <w:rsid w:val="00306048"/>
    <w:rsid w:val="003064B8"/>
    <w:rsid w:val="00307227"/>
    <w:rsid w:val="00307D7B"/>
    <w:rsid w:val="003105D0"/>
    <w:rsid w:val="003105D6"/>
    <w:rsid w:val="00310D66"/>
    <w:rsid w:val="003116A6"/>
    <w:rsid w:val="00311874"/>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5F5F"/>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22D"/>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B7FDB"/>
    <w:rsid w:val="005C1A74"/>
    <w:rsid w:val="005C2E4E"/>
    <w:rsid w:val="005C3294"/>
    <w:rsid w:val="005C347F"/>
    <w:rsid w:val="005C42D3"/>
    <w:rsid w:val="005C5787"/>
    <w:rsid w:val="005C5875"/>
    <w:rsid w:val="005C6F55"/>
    <w:rsid w:val="005C79D8"/>
    <w:rsid w:val="005D0D97"/>
    <w:rsid w:val="005D2074"/>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388E"/>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34A3"/>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8A5"/>
    <w:rsid w:val="006E013D"/>
    <w:rsid w:val="006E1056"/>
    <w:rsid w:val="006E1475"/>
    <w:rsid w:val="006E3145"/>
    <w:rsid w:val="006E3985"/>
    <w:rsid w:val="006E3A2A"/>
    <w:rsid w:val="006E3C4C"/>
    <w:rsid w:val="006E4BD4"/>
    <w:rsid w:val="006E4E2A"/>
    <w:rsid w:val="006E5950"/>
    <w:rsid w:val="006E6B65"/>
    <w:rsid w:val="006E6C14"/>
    <w:rsid w:val="006E6EFC"/>
    <w:rsid w:val="006E7637"/>
    <w:rsid w:val="006E7CC5"/>
    <w:rsid w:val="006F1E31"/>
    <w:rsid w:val="006F21C6"/>
    <w:rsid w:val="006F2B0A"/>
    <w:rsid w:val="006F2C12"/>
    <w:rsid w:val="006F2F92"/>
    <w:rsid w:val="006F6271"/>
    <w:rsid w:val="006F729B"/>
    <w:rsid w:val="006F7E87"/>
    <w:rsid w:val="007003BF"/>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2A67"/>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2362"/>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96A"/>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189"/>
    <w:rsid w:val="0081794B"/>
    <w:rsid w:val="00817D8E"/>
    <w:rsid w:val="008200A3"/>
    <w:rsid w:val="00820BF2"/>
    <w:rsid w:val="00821A12"/>
    <w:rsid w:val="00821CED"/>
    <w:rsid w:val="00821D8E"/>
    <w:rsid w:val="00824C4E"/>
    <w:rsid w:val="008252B1"/>
    <w:rsid w:val="00825F72"/>
    <w:rsid w:val="008273C1"/>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4EDF"/>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A94"/>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59"/>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89C"/>
    <w:rsid w:val="00931924"/>
    <w:rsid w:val="00932354"/>
    <w:rsid w:val="0093416D"/>
    <w:rsid w:val="00935346"/>
    <w:rsid w:val="00936B46"/>
    <w:rsid w:val="00937F5A"/>
    <w:rsid w:val="00941D44"/>
    <w:rsid w:val="0094424D"/>
    <w:rsid w:val="009457AE"/>
    <w:rsid w:val="00945A61"/>
    <w:rsid w:val="00945BAD"/>
    <w:rsid w:val="00946D27"/>
    <w:rsid w:val="00950154"/>
    <w:rsid w:val="00950A03"/>
    <w:rsid w:val="00950B66"/>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18"/>
    <w:rsid w:val="00963968"/>
    <w:rsid w:val="009657F8"/>
    <w:rsid w:val="00970F70"/>
    <w:rsid w:val="00971056"/>
    <w:rsid w:val="00971588"/>
    <w:rsid w:val="00971D49"/>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146D"/>
    <w:rsid w:val="009B2EE9"/>
    <w:rsid w:val="009B4676"/>
    <w:rsid w:val="009B475C"/>
    <w:rsid w:val="009B4864"/>
    <w:rsid w:val="009B5504"/>
    <w:rsid w:val="009B5904"/>
    <w:rsid w:val="009B62D6"/>
    <w:rsid w:val="009B649B"/>
    <w:rsid w:val="009B6F16"/>
    <w:rsid w:val="009C05B5"/>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3D06"/>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66"/>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16F7"/>
    <w:rsid w:val="00B018DA"/>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9B5"/>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309D"/>
    <w:rsid w:val="00BE4D38"/>
    <w:rsid w:val="00BE545A"/>
    <w:rsid w:val="00BE54DD"/>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A1"/>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1B2"/>
    <w:rsid w:val="00C44811"/>
    <w:rsid w:val="00C45BF0"/>
    <w:rsid w:val="00C465D1"/>
    <w:rsid w:val="00C47468"/>
    <w:rsid w:val="00C512C4"/>
    <w:rsid w:val="00C53243"/>
    <w:rsid w:val="00C5368D"/>
    <w:rsid w:val="00C53DFD"/>
    <w:rsid w:val="00C540E2"/>
    <w:rsid w:val="00C55FE8"/>
    <w:rsid w:val="00C56396"/>
    <w:rsid w:val="00C577B8"/>
    <w:rsid w:val="00C61307"/>
    <w:rsid w:val="00C6220B"/>
    <w:rsid w:val="00C622AE"/>
    <w:rsid w:val="00C62D19"/>
    <w:rsid w:val="00C63CF2"/>
    <w:rsid w:val="00C648FC"/>
    <w:rsid w:val="00C65DBA"/>
    <w:rsid w:val="00C663BE"/>
    <w:rsid w:val="00C6645C"/>
    <w:rsid w:val="00C66CD8"/>
    <w:rsid w:val="00C66F26"/>
    <w:rsid w:val="00C70508"/>
    <w:rsid w:val="00C711D3"/>
    <w:rsid w:val="00C71858"/>
    <w:rsid w:val="00C722C5"/>
    <w:rsid w:val="00C72EEB"/>
    <w:rsid w:val="00C73C34"/>
    <w:rsid w:val="00C744AE"/>
    <w:rsid w:val="00C74781"/>
    <w:rsid w:val="00C7486D"/>
    <w:rsid w:val="00C750ED"/>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0C54"/>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512"/>
    <w:rsid w:val="00D4287D"/>
    <w:rsid w:val="00D42957"/>
    <w:rsid w:val="00D4409E"/>
    <w:rsid w:val="00D47265"/>
    <w:rsid w:val="00D472EB"/>
    <w:rsid w:val="00D4793C"/>
    <w:rsid w:val="00D50E80"/>
    <w:rsid w:val="00D53F55"/>
    <w:rsid w:val="00D55346"/>
    <w:rsid w:val="00D57066"/>
    <w:rsid w:val="00D5757A"/>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A6F"/>
    <w:rsid w:val="00DB0C0B"/>
    <w:rsid w:val="00DB31E7"/>
    <w:rsid w:val="00DB3A66"/>
    <w:rsid w:val="00DB4240"/>
    <w:rsid w:val="00DB4BEF"/>
    <w:rsid w:val="00DB5DEE"/>
    <w:rsid w:val="00DB6374"/>
    <w:rsid w:val="00DB67EE"/>
    <w:rsid w:val="00DB78B2"/>
    <w:rsid w:val="00DC07E3"/>
    <w:rsid w:val="00DC1421"/>
    <w:rsid w:val="00DC230C"/>
    <w:rsid w:val="00DC2CE7"/>
    <w:rsid w:val="00DC301A"/>
    <w:rsid w:val="00DC31FF"/>
    <w:rsid w:val="00DC6AEA"/>
    <w:rsid w:val="00DC7377"/>
    <w:rsid w:val="00DD04C0"/>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4C78"/>
    <w:rsid w:val="00F452C0"/>
    <w:rsid w:val="00F459E6"/>
    <w:rsid w:val="00F46070"/>
    <w:rsid w:val="00F50129"/>
    <w:rsid w:val="00F5309E"/>
    <w:rsid w:val="00F53C70"/>
    <w:rsid w:val="00F5433C"/>
    <w:rsid w:val="00F54C70"/>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6F"/>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4F0F-7DD6-4E3E-A265-D8BB31C4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9786</Words>
  <Characters>53826</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2019-06-04T00:14:00Z</cp:lastPrinted>
  <dcterms:created xsi:type="dcterms:W3CDTF">2019-05-30T23:13:00Z</dcterms:created>
  <dcterms:modified xsi:type="dcterms:W3CDTF">2019-06-06T16:34:00Z</dcterms:modified>
</cp:coreProperties>
</file>