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00" w:rsidRDefault="003F6900" w:rsidP="0098798B">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 xml:space="preserve"> </w:t>
      </w:r>
      <w:r w:rsidRPr="0073286C">
        <w:rPr>
          <w:rFonts w:ascii="Palatino Linotype" w:hAnsi="Palatino Linotype" w:cs="Arial"/>
          <w:b/>
        </w:rPr>
        <w:t>EN RELACIÓN CON LA RESOLUCIÓN DICTADA POR EL PLENO DEL INSTITUTO DE TRANSPARENCIA, ACCESO A LA INFORMACIÓN PÚBLICA</w:t>
      </w:r>
      <w:r w:rsidR="00C63005">
        <w:rPr>
          <w:rFonts w:ascii="Palatino Linotype" w:hAnsi="Palatino Linotype" w:cs="Arial"/>
          <w:b/>
        </w:rPr>
        <w:t xml:space="preserve"> </w:t>
      </w:r>
      <w:r w:rsidRPr="0073286C">
        <w:rPr>
          <w:rFonts w:ascii="Palatino Linotype" w:hAnsi="Palatino Linotype" w:cs="Arial"/>
          <w:b/>
        </w:rPr>
        <w:t>Y PROTECCIÓN DE DATOS PERSONALES DEL</w:t>
      </w:r>
      <w:r>
        <w:rPr>
          <w:rFonts w:ascii="Palatino Linotype" w:hAnsi="Palatino Linotype" w:cs="Arial"/>
          <w:b/>
        </w:rPr>
        <w:t xml:space="preserve"> ESTADO DE MÉXICO</w:t>
      </w:r>
      <w:r w:rsidR="00C63005">
        <w:rPr>
          <w:rFonts w:ascii="Palatino Linotype" w:hAnsi="Palatino Linotype" w:cs="Arial"/>
          <w:b/>
        </w:rPr>
        <w:t xml:space="preserve"> </w:t>
      </w:r>
      <w:r>
        <w:rPr>
          <w:rFonts w:ascii="Palatino Linotype" w:hAnsi="Palatino Linotype" w:cs="Arial"/>
          <w:b/>
        </w:rPr>
        <w:t xml:space="preserve">Y MUNICIPIOS, </w:t>
      </w:r>
      <w:r w:rsidRPr="00EE70A5">
        <w:rPr>
          <w:rFonts w:ascii="Palatino Linotype" w:hAnsi="Palatino Linotype" w:cs="Arial"/>
          <w:b/>
        </w:rPr>
        <w:t xml:space="preserve">EN LA </w:t>
      </w:r>
      <w:r w:rsidR="004F21A8">
        <w:rPr>
          <w:rFonts w:ascii="Palatino Linotype" w:hAnsi="Palatino Linotype" w:cs="Arial"/>
          <w:b/>
        </w:rPr>
        <w:t xml:space="preserve">TRIGÉSIMA </w:t>
      </w:r>
      <w:r w:rsidR="003A1B0A">
        <w:rPr>
          <w:rFonts w:ascii="Palatino Linotype" w:hAnsi="Palatino Linotype" w:cs="Arial"/>
          <w:b/>
        </w:rPr>
        <w:t xml:space="preserve">NOVENA </w:t>
      </w:r>
      <w:r w:rsidRPr="00FE0A3F">
        <w:rPr>
          <w:rFonts w:ascii="Palatino Linotype" w:hAnsi="Palatino Linotype" w:cs="Arial"/>
          <w:b/>
        </w:rPr>
        <w:t>SESIÓN</w:t>
      </w:r>
      <w:r w:rsidR="007D564D">
        <w:rPr>
          <w:rFonts w:ascii="Palatino Linotype" w:hAnsi="Palatino Linotype" w:cs="Arial"/>
          <w:b/>
        </w:rPr>
        <w:t xml:space="preserve"> ORDINARIA DE</w:t>
      </w:r>
      <w:r w:rsidR="006B4319">
        <w:rPr>
          <w:rFonts w:ascii="Palatino Linotype" w:hAnsi="Palatino Linotype" w:cs="Arial"/>
          <w:b/>
        </w:rPr>
        <w:t xml:space="preserve"> </w:t>
      </w:r>
      <w:r w:rsidR="003A1B0A">
        <w:rPr>
          <w:rFonts w:ascii="Palatino Linotype" w:hAnsi="Palatino Linotype" w:cs="Arial"/>
          <w:b/>
        </w:rPr>
        <w:t xml:space="preserve">VEINTICUATRO </w:t>
      </w:r>
      <w:r w:rsidRPr="00EE70A5">
        <w:rPr>
          <w:rFonts w:ascii="Palatino Linotype" w:hAnsi="Palatino Linotype" w:cs="Arial"/>
          <w:b/>
        </w:rPr>
        <w:t xml:space="preserve">DE </w:t>
      </w:r>
      <w:r w:rsidR="003A1B0A">
        <w:rPr>
          <w:rFonts w:ascii="Palatino Linotype" w:hAnsi="Palatino Linotype" w:cs="Arial"/>
          <w:b/>
        </w:rPr>
        <w:t xml:space="preserve">OCTUBRE </w:t>
      </w:r>
      <w:r w:rsidRPr="00EE70A5">
        <w:rPr>
          <w:rFonts w:ascii="Palatino Linotype" w:hAnsi="Palatino Linotype" w:cs="Arial"/>
          <w:b/>
        </w:rPr>
        <w:t xml:space="preserve">DE DOS MIL DIECINUEVE, </w:t>
      </w:r>
      <w:r w:rsidR="003A1B0A">
        <w:rPr>
          <w:rFonts w:ascii="Palatino Linotype" w:hAnsi="Palatino Linotype" w:cs="Arial"/>
          <w:b/>
        </w:rPr>
        <w:t>EN EL</w:t>
      </w:r>
      <w:r>
        <w:rPr>
          <w:rFonts w:ascii="Palatino Linotype" w:hAnsi="Palatino Linotype" w:cs="Arial"/>
          <w:b/>
        </w:rPr>
        <w:t xml:space="preserve"> RECURSO </w:t>
      </w:r>
      <w:r w:rsidRPr="00EE70A5">
        <w:rPr>
          <w:rFonts w:ascii="Palatino Linotype" w:hAnsi="Palatino Linotype" w:cs="Arial"/>
          <w:b/>
        </w:rPr>
        <w:t>DE REVISIÓN</w:t>
      </w:r>
      <w:r w:rsidR="00C63005">
        <w:rPr>
          <w:rFonts w:ascii="Palatino Linotype" w:hAnsi="Palatino Linotype" w:cs="Arial"/>
          <w:b/>
        </w:rPr>
        <w:t xml:space="preserve"> </w:t>
      </w:r>
      <w:r w:rsidR="003A1B0A">
        <w:rPr>
          <w:rFonts w:ascii="Palatino Linotype" w:hAnsi="Palatino Linotype" w:cs="Arial"/>
          <w:b/>
        </w:rPr>
        <w:t>06720</w:t>
      </w:r>
      <w:r w:rsidR="00CF0636" w:rsidRPr="00CF0636">
        <w:rPr>
          <w:rFonts w:ascii="Palatino Linotype" w:hAnsi="Palatino Linotype" w:cs="Arial"/>
          <w:b/>
        </w:rPr>
        <w:t>/INFOEM/IP/RR/2019</w:t>
      </w:r>
      <w:r w:rsidR="004F21A8">
        <w:rPr>
          <w:rFonts w:ascii="Palatino Linotype" w:hAnsi="Palatino Linotype" w:cs="Arial"/>
          <w:b/>
        </w:rPr>
        <w:t xml:space="preserve">. </w:t>
      </w:r>
    </w:p>
    <w:p w:rsidR="003F6900" w:rsidRDefault="003F6900" w:rsidP="0098798B">
      <w:pPr>
        <w:widowControl w:val="0"/>
        <w:spacing w:before="100" w:beforeAutospacing="1" w:after="100" w:afterAutospacing="1" w:line="360" w:lineRule="auto"/>
        <w:jc w:val="both"/>
        <w:rPr>
          <w:rFonts w:ascii="Palatino Linotype" w:eastAsia="Calibri" w:hAnsi="Palatino Linotype" w:cs="Arial"/>
          <w:b/>
          <w:color w:val="000000"/>
        </w:rPr>
      </w:pPr>
      <w:r w:rsidRPr="00EE70A5">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EE70A5">
        <w:rPr>
          <w:rFonts w:ascii="Palatino Linotype" w:hAnsi="Palatino Linotype" w:cs="Arial"/>
          <w:b/>
          <w:lang w:val="es-ES_tradnl"/>
        </w:rPr>
        <w:t xml:space="preserve"> </w:t>
      </w:r>
      <w:r w:rsidRPr="00FE0A3F">
        <w:rPr>
          <w:rFonts w:ascii="Palatino Linotype" w:hAnsi="Palatino Linotype" w:cs="Arial"/>
          <w:lang w:val="es-ES_tradnl"/>
        </w:rPr>
        <w:t xml:space="preserve">Comisionada </w:t>
      </w:r>
      <w:r w:rsidRPr="00EE70A5">
        <w:rPr>
          <w:rFonts w:ascii="Palatino Linotype" w:hAnsi="Palatino Linotype" w:cs="Arial"/>
          <w:b/>
        </w:rPr>
        <w:t xml:space="preserve">EVA ABAID YAPUR </w:t>
      </w:r>
      <w:r>
        <w:rPr>
          <w:rFonts w:ascii="Palatino Linotype" w:hAnsi="Palatino Linotype" w:cs="Arial"/>
        </w:rPr>
        <w:t xml:space="preserve">emite </w:t>
      </w:r>
      <w:r w:rsidRPr="00EE70A5">
        <w:rPr>
          <w:rFonts w:ascii="Palatino Linotype" w:hAnsi="Palatino Linotype" w:cs="Arial"/>
          <w:b/>
        </w:rPr>
        <w:t xml:space="preserve">VOTO PARTICULAR </w:t>
      </w:r>
      <w:r w:rsidRPr="00EE70A5">
        <w:rPr>
          <w:rFonts w:ascii="Palatino Linotype" w:hAnsi="Palatino Linotype" w:cs="Arial"/>
        </w:rPr>
        <w:t>respecto</w:t>
      </w:r>
      <w:r>
        <w:rPr>
          <w:rFonts w:ascii="Palatino Linotype" w:hAnsi="Palatino Linotype" w:cs="Arial"/>
        </w:rPr>
        <w:t xml:space="preserve"> de la resolución dictada en </w:t>
      </w:r>
      <w:r w:rsidR="003A1B0A">
        <w:rPr>
          <w:rFonts w:ascii="Palatino Linotype" w:hAnsi="Palatino Linotype" w:cs="Arial"/>
        </w:rPr>
        <w:t>e</w:t>
      </w:r>
      <w:r>
        <w:rPr>
          <w:rFonts w:ascii="Palatino Linotype" w:hAnsi="Palatino Linotype" w:cs="Arial"/>
        </w:rPr>
        <w:t xml:space="preserve">l recurso </w:t>
      </w:r>
      <w:r w:rsidRPr="00EE70A5">
        <w:rPr>
          <w:rFonts w:ascii="Palatino Linotype" w:hAnsi="Palatino Linotype" w:cs="Arial"/>
        </w:rPr>
        <w:t>de revisión</w:t>
      </w:r>
      <w:r>
        <w:rPr>
          <w:rFonts w:ascii="Palatino Linotype" w:hAnsi="Palatino Linotype" w:cs="Arial"/>
        </w:rPr>
        <w:t xml:space="preserve"> </w:t>
      </w:r>
      <w:r w:rsidR="003A1B0A">
        <w:rPr>
          <w:rFonts w:ascii="Palatino Linotype" w:hAnsi="Palatino Linotype" w:cs="Arial"/>
          <w:b/>
        </w:rPr>
        <w:t>06720</w:t>
      </w:r>
      <w:r w:rsidR="00CF0636" w:rsidRPr="00CF0636">
        <w:rPr>
          <w:rFonts w:ascii="Palatino Linotype" w:hAnsi="Palatino Linotype" w:cs="Arial"/>
          <w:b/>
        </w:rPr>
        <w:t>/INFOEM/IP/RR/2019</w:t>
      </w:r>
      <w:r w:rsidRPr="00EE70A5">
        <w:rPr>
          <w:rFonts w:ascii="Palatino Linotype" w:hAnsi="Palatino Linotype" w:cs="Arial"/>
        </w:rPr>
        <w:t>, pronunciada por el Pleno de este Instituto a</w:t>
      </w:r>
      <w:r w:rsidR="003A1B0A">
        <w:rPr>
          <w:rFonts w:ascii="Palatino Linotype" w:hAnsi="Palatino Linotype" w:cs="Arial"/>
        </w:rPr>
        <w:t xml:space="preserve">nte el proyecto presentado por la </w:t>
      </w:r>
      <w:r w:rsidRPr="00EE70A5">
        <w:rPr>
          <w:rFonts w:ascii="Palatino Linotype" w:hAnsi="Palatino Linotype" w:cs="Arial"/>
        </w:rPr>
        <w:t>Comisionad</w:t>
      </w:r>
      <w:r w:rsidR="003A1B0A">
        <w:rPr>
          <w:rFonts w:ascii="Palatino Linotype" w:hAnsi="Palatino Linotype" w:cs="Arial"/>
        </w:rPr>
        <w:t xml:space="preserve">a Presidenta </w:t>
      </w:r>
      <w:r w:rsidR="003A1B0A">
        <w:rPr>
          <w:rFonts w:ascii="Palatino Linotype" w:hAnsi="Palatino Linotype" w:cs="Arial"/>
          <w:b/>
        </w:rPr>
        <w:t>ZULEMA MARTÍNEZ CRUZ</w:t>
      </w:r>
      <w:r w:rsidRPr="003F6900">
        <w:rPr>
          <w:rFonts w:ascii="Palatino Linotype" w:hAnsi="Palatino Linotype" w:cs="Arial"/>
          <w:b/>
        </w:rPr>
        <w:t>,</w:t>
      </w:r>
      <w:r w:rsidRPr="00EE70A5">
        <w:rPr>
          <w:rFonts w:ascii="Palatino Linotype" w:hAnsi="Palatino Linotype" w:cs="Arial"/>
        </w:rPr>
        <w:t xml:space="preserve"> que es del tenor siguiente.</w:t>
      </w:r>
    </w:p>
    <w:p w:rsidR="003F6900" w:rsidRDefault="003F6900" w:rsidP="0098798B">
      <w:pPr>
        <w:widowControl w:val="0"/>
        <w:spacing w:before="100" w:beforeAutospacing="1" w:after="100" w:afterAutospacing="1" w:line="360" w:lineRule="auto"/>
        <w:jc w:val="both"/>
        <w:rPr>
          <w:rFonts w:ascii="Palatino Linotype" w:hAnsi="Palatino Linotype"/>
        </w:rPr>
      </w:pPr>
      <w:r w:rsidRPr="00EE70A5">
        <w:rPr>
          <w:rFonts w:ascii="Palatino Linotype" w:hAnsi="Palatino Linotype"/>
        </w:rPr>
        <w:t xml:space="preserve">Es de destacar, que la suscrita comparte </w:t>
      </w:r>
      <w:r>
        <w:rPr>
          <w:rFonts w:ascii="Palatino Linotype" w:hAnsi="Palatino Linotype"/>
        </w:rPr>
        <w:t xml:space="preserve">el sentido de la resolución del recurso </w:t>
      </w:r>
      <w:r w:rsidRPr="00EE70A5">
        <w:rPr>
          <w:rFonts w:ascii="Palatino Linotype" w:hAnsi="Palatino Linotype"/>
        </w:rPr>
        <w:t>de revisión; empero, estimo necesario precisar algunas conside</w:t>
      </w:r>
      <w:r>
        <w:rPr>
          <w:rFonts w:ascii="Palatino Linotype" w:hAnsi="Palatino Linotype"/>
        </w:rPr>
        <w:t>raciones de hecho y de derecho.</w:t>
      </w:r>
    </w:p>
    <w:p w:rsidR="003A1B0A" w:rsidRDefault="003F6900" w:rsidP="00CF0636">
      <w:pPr>
        <w:spacing w:before="100" w:beforeAutospacing="1" w:after="100" w:afterAutospacing="1" w:line="360" w:lineRule="auto"/>
        <w:jc w:val="both"/>
        <w:rPr>
          <w:rFonts w:ascii="Palatino Linotype" w:hAnsi="Palatino Linotype"/>
        </w:rPr>
      </w:pPr>
      <w:r w:rsidRPr="0059794D">
        <w:rPr>
          <w:rFonts w:ascii="Palatino Linotype" w:hAnsi="Palatino Linotype"/>
        </w:rPr>
        <w:t xml:space="preserve">Al respecto, tal y como quedó debidamente asentado en la resolución materia del presente voto, </w:t>
      </w:r>
      <w:r w:rsidR="003A1B0A">
        <w:rPr>
          <w:rFonts w:ascii="Palatino Linotype" w:hAnsi="Palatino Linotype"/>
        </w:rPr>
        <w:t>el</w:t>
      </w:r>
      <w:r w:rsidR="0059794D">
        <w:rPr>
          <w:rFonts w:ascii="Palatino Linotype" w:hAnsi="Palatino Linotype"/>
        </w:rPr>
        <w:t xml:space="preserve"> </w:t>
      </w:r>
      <w:r w:rsidRPr="0059794D">
        <w:rPr>
          <w:rFonts w:ascii="Palatino Linotype" w:hAnsi="Palatino Linotype"/>
        </w:rPr>
        <w:t>particular requirió de</w:t>
      </w:r>
      <w:r w:rsidR="003A1B0A">
        <w:rPr>
          <w:rFonts w:ascii="Palatino Linotype" w:hAnsi="Palatino Linotype"/>
        </w:rPr>
        <w:t xml:space="preserve">l </w:t>
      </w:r>
      <w:r w:rsidR="003A1B0A">
        <w:rPr>
          <w:rFonts w:ascii="Palatino Linotype" w:eastAsia="Calibri" w:hAnsi="Palatino Linotype" w:cs="Tahoma"/>
          <w:b/>
          <w:bCs/>
          <w:lang w:eastAsia="en-US"/>
        </w:rPr>
        <w:t xml:space="preserve">Ayuntamiento de </w:t>
      </w:r>
      <w:proofErr w:type="spellStart"/>
      <w:r w:rsidR="003A1B0A">
        <w:rPr>
          <w:rFonts w:ascii="Palatino Linotype" w:eastAsia="Calibri" w:hAnsi="Palatino Linotype" w:cs="Tahoma"/>
          <w:b/>
          <w:bCs/>
          <w:lang w:eastAsia="en-US"/>
        </w:rPr>
        <w:t>Ayapango</w:t>
      </w:r>
      <w:proofErr w:type="spellEnd"/>
      <w:r w:rsidRPr="0059794D">
        <w:rPr>
          <w:rFonts w:ascii="Palatino Linotype" w:hAnsi="Palatino Linotype" w:cs="Arial"/>
        </w:rPr>
        <w:t>,</w:t>
      </w:r>
      <w:r w:rsidRPr="0059794D">
        <w:rPr>
          <w:rFonts w:ascii="Palatino Linotype" w:hAnsi="Palatino Linotype"/>
        </w:rPr>
        <w:t xml:space="preserve"> en lo sucesivo </w:t>
      </w:r>
      <w:r w:rsidRPr="0059794D">
        <w:rPr>
          <w:rFonts w:ascii="Palatino Linotype" w:hAnsi="Palatino Linotype"/>
          <w:b/>
        </w:rPr>
        <w:t>EL SUJETO OBLIGADO</w:t>
      </w:r>
      <w:r w:rsidRPr="0059794D">
        <w:rPr>
          <w:rFonts w:ascii="Palatino Linotype" w:hAnsi="Palatino Linotype"/>
        </w:rPr>
        <w:t>,</w:t>
      </w:r>
      <w:r w:rsidR="00CF0636">
        <w:rPr>
          <w:rFonts w:ascii="Palatino Linotype" w:hAnsi="Palatino Linotype"/>
        </w:rPr>
        <w:t xml:space="preserve"> </w:t>
      </w:r>
      <w:r w:rsidR="003A1B0A">
        <w:rPr>
          <w:rFonts w:ascii="Palatino Linotype" w:hAnsi="Palatino Linotype"/>
        </w:rPr>
        <w:t>que c</w:t>
      </w:r>
      <w:r w:rsidR="003A1B0A" w:rsidRPr="003A1B0A">
        <w:rPr>
          <w:rFonts w:ascii="Palatino Linotype" w:hAnsi="Palatino Linotype"/>
        </w:rPr>
        <w:t>on base a su oficio de contestación 00078/AYAPANGO/IP/2019,</w:t>
      </w:r>
      <w:r w:rsidR="003A1B0A">
        <w:rPr>
          <w:rFonts w:ascii="Palatino Linotype" w:hAnsi="Palatino Linotype"/>
        </w:rPr>
        <w:t xml:space="preserve"> en</w:t>
      </w:r>
      <w:r w:rsidR="003A1B0A" w:rsidRPr="003A1B0A">
        <w:rPr>
          <w:rFonts w:ascii="Palatino Linotype" w:hAnsi="Palatino Linotype"/>
        </w:rPr>
        <w:t xml:space="preserve"> donde </w:t>
      </w:r>
      <w:r w:rsidR="003A1B0A">
        <w:rPr>
          <w:rFonts w:ascii="Palatino Linotype" w:hAnsi="Palatino Linotype"/>
        </w:rPr>
        <w:t>le</w:t>
      </w:r>
      <w:r w:rsidR="003A1B0A" w:rsidRPr="003A1B0A">
        <w:rPr>
          <w:rFonts w:ascii="Palatino Linotype" w:hAnsi="Palatino Linotype"/>
        </w:rPr>
        <w:t xml:space="preserve"> dieron la información a la designación del </w:t>
      </w:r>
      <w:r w:rsidR="003A1B0A" w:rsidRPr="003A1B0A">
        <w:rPr>
          <w:rFonts w:ascii="Palatino Linotype" w:hAnsi="Palatino Linotype"/>
        </w:rPr>
        <w:lastRenderedPageBreak/>
        <w:t>contralor municipal, exp</w:t>
      </w:r>
      <w:r w:rsidR="003A1B0A">
        <w:rPr>
          <w:rFonts w:ascii="Palatino Linotype" w:hAnsi="Palatino Linotype"/>
        </w:rPr>
        <w:t>uso</w:t>
      </w:r>
      <w:r w:rsidR="003A1B0A" w:rsidRPr="003A1B0A">
        <w:rPr>
          <w:rFonts w:ascii="Palatino Linotype" w:hAnsi="Palatino Linotype"/>
        </w:rPr>
        <w:t xml:space="preserve"> lo siguiente: </w:t>
      </w:r>
      <w:r w:rsidR="003A1B0A">
        <w:rPr>
          <w:rFonts w:ascii="Palatino Linotype" w:hAnsi="Palatino Linotype"/>
        </w:rPr>
        <w:t>“</w:t>
      </w:r>
      <w:r w:rsidR="003A1B0A" w:rsidRPr="003A1B0A">
        <w:rPr>
          <w:rFonts w:ascii="Palatino Linotype" w:hAnsi="Palatino Linotype"/>
          <w:i/>
        </w:rPr>
        <w:t>No se me entrego la información completa, ya que en los art 32 y 113 de la ley orgánica municipal dice muy claro que debe ser licenciado y no pasante, para poder ocupar el cargo, así que espero me puedan informar y documentar porque sigue en funciones la contralor municipal si no cumple con los requisitos.”</w:t>
      </w:r>
      <w:r w:rsidR="003A1B0A">
        <w:rPr>
          <w:rFonts w:ascii="Palatino Linotype" w:hAnsi="Palatino Linotype"/>
          <w:i/>
        </w:rPr>
        <w:t>(Sic)</w:t>
      </w:r>
    </w:p>
    <w:p w:rsidR="00651434" w:rsidRDefault="00032F9B" w:rsidP="00032F9B">
      <w:pPr>
        <w:spacing w:before="100" w:beforeAutospacing="1" w:after="100" w:afterAutospacing="1" w:line="360" w:lineRule="auto"/>
        <w:jc w:val="both"/>
        <w:rPr>
          <w:rFonts w:ascii="Palatino Linotype" w:hAnsi="Palatino Linotype" w:cs="Arial"/>
        </w:rPr>
      </w:pPr>
      <w:r w:rsidRPr="00032F9B">
        <w:rPr>
          <w:rFonts w:ascii="Palatino Linotype" w:hAnsi="Palatino Linotype" w:cs="Arial"/>
          <w:lang w:val="es-ES"/>
        </w:rPr>
        <w:t xml:space="preserve">De las constancias que obran dentro del expediente electrónico del </w:t>
      </w:r>
      <w:r w:rsidRPr="00032F9B">
        <w:rPr>
          <w:rFonts w:ascii="Palatino Linotype" w:hAnsi="Palatino Linotype" w:cs="Arial"/>
          <w:b/>
          <w:lang w:val="es-ES"/>
        </w:rPr>
        <w:t>SAIMEX,</w:t>
      </w:r>
      <w:r w:rsidRPr="00032F9B">
        <w:rPr>
          <w:rFonts w:ascii="Palatino Linotype" w:hAnsi="Palatino Linotype" w:cs="Arial"/>
          <w:lang w:val="es-ES"/>
        </w:rPr>
        <w:t xml:space="preserve"> se advirtió que </w:t>
      </w:r>
      <w:r w:rsidRPr="00032F9B">
        <w:rPr>
          <w:rFonts w:ascii="Palatino Linotype" w:hAnsi="Palatino Linotype" w:cs="Arial"/>
          <w:b/>
          <w:lang w:val="es-ES"/>
        </w:rPr>
        <w:t>EL SUJETO OBLIGADO</w:t>
      </w:r>
      <w:r w:rsidRPr="00032F9B">
        <w:rPr>
          <w:rFonts w:ascii="Palatino Linotype" w:hAnsi="Palatino Linotype" w:cs="Arial"/>
          <w:lang w:val="es-ES"/>
        </w:rPr>
        <w:t>,</w:t>
      </w:r>
      <w:r w:rsidRPr="00032F9B">
        <w:rPr>
          <w:rFonts w:ascii="Palatino Linotype" w:hAnsi="Palatino Linotype" w:cs="Arial"/>
          <w:b/>
        </w:rPr>
        <w:t xml:space="preserve"> </w:t>
      </w:r>
      <w:r w:rsidRPr="00032F9B">
        <w:rPr>
          <w:rFonts w:ascii="Palatino Linotype" w:hAnsi="Palatino Linotype" w:cs="Arial"/>
        </w:rPr>
        <w:t xml:space="preserve">en respuesta </w:t>
      </w:r>
      <w:r w:rsidR="00CF0636" w:rsidRPr="00CF0636">
        <w:rPr>
          <w:rFonts w:ascii="Palatino Linotype" w:hAnsi="Palatino Linotype" w:cs="Arial"/>
        </w:rPr>
        <w:t>refirió que</w:t>
      </w:r>
      <w:r w:rsidR="00651434">
        <w:rPr>
          <w:rFonts w:ascii="Palatino Linotype" w:hAnsi="Palatino Linotype" w:cs="Arial"/>
        </w:rPr>
        <w:t xml:space="preserve"> la información que fue enviada en la solicitud con número de folio 00078/AYAPANGO/IP/2019, es la información con la que se cuenta de la contralor interno municipal de </w:t>
      </w:r>
      <w:proofErr w:type="spellStart"/>
      <w:r w:rsidR="00651434">
        <w:rPr>
          <w:rFonts w:ascii="Palatino Linotype" w:hAnsi="Palatino Linotype" w:cs="Arial"/>
        </w:rPr>
        <w:t>ayapango</w:t>
      </w:r>
      <w:proofErr w:type="spellEnd"/>
      <w:r w:rsidR="00651434">
        <w:rPr>
          <w:rFonts w:ascii="Palatino Linotype" w:hAnsi="Palatino Linotype" w:cs="Arial"/>
        </w:rPr>
        <w:t xml:space="preserve">, por lo que no puede mandar otra información con la que no se cuente de dicha servidora pública. </w:t>
      </w:r>
    </w:p>
    <w:p w:rsidR="004A0EEB" w:rsidRDefault="003F6900" w:rsidP="0098798B">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respuesta,</w:t>
      </w:r>
      <w:r w:rsidR="00003C6B">
        <w:rPr>
          <w:rFonts w:ascii="Palatino Linotype" w:hAnsi="Palatino Linotype" w:cs="Arial"/>
          <w:b/>
        </w:rPr>
        <w:t xml:space="preserve"> </w:t>
      </w:r>
      <w:r w:rsidR="000D4223">
        <w:rPr>
          <w:rFonts w:ascii="Palatino Linotype" w:hAnsi="Palatino Linotype" w:cs="Arial"/>
          <w:b/>
        </w:rPr>
        <w:t>E</w:t>
      </w:r>
      <w:r w:rsidR="00003C6B">
        <w:rPr>
          <w:rFonts w:ascii="Palatino Linotype" w:hAnsi="Palatino Linotype" w:cs="Arial"/>
          <w:b/>
        </w:rPr>
        <w:t xml:space="preserve">L </w:t>
      </w:r>
      <w:r w:rsidRPr="001D08A6">
        <w:rPr>
          <w:rFonts w:ascii="Palatino Linotype" w:hAnsi="Palatino Linotype" w:cs="Arial"/>
          <w:b/>
        </w:rPr>
        <w:t>RECURRENTE</w:t>
      </w:r>
      <w:r w:rsidRPr="001D08A6">
        <w:rPr>
          <w:rFonts w:ascii="Palatino Linotype" w:hAnsi="Palatino Linotype" w:cs="Arial"/>
        </w:rPr>
        <w:t xml:space="preserve"> procedió a interponer </w:t>
      </w:r>
      <w:r w:rsidR="00651434">
        <w:rPr>
          <w:rFonts w:ascii="Palatino Linotype" w:hAnsi="Palatino Linotype" w:cs="Arial"/>
        </w:rPr>
        <w:t>e</w:t>
      </w:r>
      <w:r>
        <w:rPr>
          <w:rFonts w:ascii="Palatino Linotype" w:hAnsi="Palatino Linotype" w:cs="Arial"/>
        </w:rPr>
        <w:t xml:space="preserve">l recurso </w:t>
      </w:r>
      <w:r w:rsidRPr="001D08A6">
        <w:rPr>
          <w:rFonts w:ascii="Palatino Linotype" w:hAnsi="Palatino Linotype" w:cs="Arial"/>
        </w:rPr>
        <w:t>de</w:t>
      </w:r>
      <w:r w:rsidR="00E96CCA">
        <w:rPr>
          <w:rFonts w:ascii="Palatino Linotype" w:hAnsi="Palatino Linotype" w:cs="Arial"/>
        </w:rPr>
        <w:t xml:space="preserve"> revisión de mérito, </w:t>
      </w:r>
      <w:r w:rsidR="00651434">
        <w:rPr>
          <w:rFonts w:ascii="Palatino Linotype" w:hAnsi="Palatino Linotype" w:cs="Arial"/>
        </w:rPr>
        <w:t>en la</w:t>
      </w:r>
      <w:r w:rsidR="005D7441" w:rsidRPr="005D7441">
        <w:rPr>
          <w:rFonts w:ascii="Palatino Linotype" w:hAnsi="Palatino Linotype" w:cs="Arial"/>
        </w:rPr>
        <w:t xml:space="preserve"> que manifestó que </w:t>
      </w:r>
      <w:r w:rsidR="00651434">
        <w:rPr>
          <w:rFonts w:ascii="Palatino Linotype" w:hAnsi="Palatino Linotype" w:cs="Arial"/>
        </w:rPr>
        <w:t xml:space="preserve">se violentaban sus derechos a la información </w:t>
      </w:r>
      <w:r w:rsidR="004A0EEB">
        <w:rPr>
          <w:rFonts w:ascii="Palatino Linotype" w:hAnsi="Palatino Linotype" w:cs="Arial"/>
        </w:rPr>
        <w:t xml:space="preserve">por negarle y no darle una respuesta coherente en cuanto a la designación del contralor municipal. </w:t>
      </w:r>
    </w:p>
    <w:p w:rsidR="00435BA7" w:rsidRDefault="00435BA7" w:rsidP="0098798B">
      <w:pPr>
        <w:spacing w:before="100" w:beforeAutospacing="1" w:after="100" w:afterAutospacing="1" w:line="360" w:lineRule="auto"/>
        <w:jc w:val="both"/>
        <w:rPr>
          <w:rFonts w:ascii="Palatino Linotype" w:hAnsi="Palatino Linotype" w:cs="Arial"/>
          <w:lang w:val="es-ES"/>
        </w:rPr>
      </w:pPr>
      <w:r w:rsidRPr="004910CD">
        <w:rPr>
          <w:rFonts w:ascii="Palatino Linotype" w:hAnsi="Palatino Linotype" w:cs="Arial"/>
          <w:lang w:val="es-ES"/>
        </w:rPr>
        <w:t xml:space="preserve">Bajo ese contexto, la Ponencia </w:t>
      </w:r>
      <w:proofErr w:type="spellStart"/>
      <w:r w:rsidRPr="004910CD">
        <w:rPr>
          <w:rFonts w:ascii="Palatino Linotype" w:hAnsi="Palatino Linotype" w:cs="Arial"/>
          <w:lang w:val="es-ES"/>
        </w:rPr>
        <w:t>Resolutora</w:t>
      </w:r>
      <w:proofErr w:type="spellEnd"/>
      <w:r>
        <w:rPr>
          <w:rFonts w:ascii="Palatino Linotype" w:hAnsi="Palatino Linotype" w:cs="Arial"/>
          <w:lang w:val="es-ES"/>
        </w:rPr>
        <w:t>, previo estudio del fondo del asunto</w:t>
      </w:r>
      <w:r w:rsidRPr="004910CD">
        <w:rPr>
          <w:rFonts w:ascii="Palatino Linotype" w:hAnsi="Palatino Linotype" w:cs="Arial"/>
          <w:lang w:val="es-ES"/>
        </w:rPr>
        <w:t xml:space="preserve">, determinó </w:t>
      </w:r>
      <w:r w:rsidR="004A0EEB" w:rsidRPr="004A0EEB">
        <w:rPr>
          <w:rFonts w:ascii="Palatino Linotype" w:hAnsi="Palatino Linotype" w:cs="Arial"/>
          <w:b/>
          <w:lang w:val="es-ES"/>
        </w:rPr>
        <w:t>MODIFICAR</w:t>
      </w:r>
      <w:r w:rsidR="004A0EEB">
        <w:rPr>
          <w:rFonts w:ascii="Palatino Linotype" w:hAnsi="Palatino Linotype" w:cs="Arial"/>
          <w:lang w:val="es-ES"/>
        </w:rPr>
        <w:t xml:space="preserve"> la respuesta del Sujeto Obligado a la solicitud de información </w:t>
      </w:r>
      <w:r w:rsidR="004A0EEB" w:rsidRPr="004A0EEB">
        <w:rPr>
          <w:rFonts w:ascii="Palatino Linotype" w:hAnsi="Palatino Linotype" w:cs="Arial"/>
          <w:b/>
        </w:rPr>
        <w:t>00078/AYAPANGO/IP/2019</w:t>
      </w:r>
      <w:r w:rsidR="004A0EEB">
        <w:rPr>
          <w:rFonts w:ascii="Palatino Linotype" w:hAnsi="Palatino Linotype" w:cs="Arial"/>
        </w:rPr>
        <w:t xml:space="preserve"> y </w:t>
      </w:r>
      <w:r w:rsidR="00331C13">
        <w:rPr>
          <w:rFonts w:ascii="Palatino Linotype" w:hAnsi="Palatino Linotype" w:cs="Arial"/>
          <w:lang w:val="es-ES"/>
        </w:rPr>
        <w:t xml:space="preserve">ordenar </w:t>
      </w:r>
      <w:r w:rsidR="004A0EEB">
        <w:rPr>
          <w:rFonts w:ascii="Palatino Linotype" w:hAnsi="Palatino Linotype" w:cs="Arial"/>
          <w:lang w:val="es-ES"/>
        </w:rPr>
        <w:t xml:space="preserve">vía </w:t>
      </w:r>
      <w:r w:rsidR="004A0EEB" w:rsidRPr="004A0EEB">
        <w:rPr>
          <w:rFonts w:ascii="Palatino Linotype" w:hAnsi="Palatino Linotype" w:cs="Arial"/>
          <w:b/>
          <w:lang w:val="es-ES"/>
        </w:rPr>
        <w:t>SAIMEX</w:t>
      </w:r>
      <w:r w:rsidR="004A0EEB" w:rsidRPr="004A0EEB">
        <w:rPr>
          <w:rFonts w:ascii="Palatino Linotype" w:hAnsi="Palatino Linotype" w:cs="Arial"/>
          <w:lang w:val="es-ES"/>
        </w:rPr>
        <w:t>,</w:t>
      </w:r>
      <w:r w:rsidR="004A0EEB">
        <w:rPr>
          <w:rFonts w:ascii="Palatino Linotype" w:hAnsi="Palatino Linotype" w:cs="Arial"/>
          <w:lang w:val="es-ES"/>
        </w:rPr>
        <w:t xml:space="preserve"> previa búsqueda exhaustiva y razonable, la versión pública de ser procedente del documento en el que conste </w:t>
      </w:r>
      <w:r>
        <w:rPr>
          <w:rFonts w:ascii="Palatino Linotype" w:hAnsi="Palatino Linotype" w:cs="Arial"/>
          <w:lang w:val="es-ES"/>
        </w:rPr>
        <w:t>lo siguiente:</w:t>
      </w:r>
    </w:p>
    <w:p w:rsidR="004A0EEB" w:rsidRPr="004A0EEB" w:rsidRDefault="004A0EEB" w:rsidP="004A0EEB">
      <w:pPr>
        <w:pStyle w:val="Prrafodelista"/>
        <w:numPr>
          <w:ilvl w:val="0"/>
          <w:numId w:val="28"/>
        </w:numPr>
        <w:ind w:left="851" w:right="902" w:firstLine="0"/>
        <w:jc w:val="both"/>
        <w:rPr>
          <w:rFonts w:ascii="Palatino Linotype" w:eastAsia="Calibri" w:hAnsi="Palatino Linotype" w:cs="Tahoma"/>
          <w:i/>
          <w:iCs/>
          <w:sz w:val="22"/>
          <w:szCs w:val="22"/>
          <w:lang w:val="es-ES" w:eastAsia="es-ES_tradnl"/>
        </w:rPr>
      </w:pPr>
      <w:r w:rsidRPr="004A0EEB">
        <w:rPr>
          <w:rFonts w:ascii="Palatino Linotype" w:eastAsia="Calibri" w:hAnsi="Palatino Linotype" w:cs="Tahoma"/>
          <w:i/>
          <w:iCs/>
          <w:sz w:val="22"/>
          <w:szCs w:val="22"/>
          <w:lang w:val="es-ES" w:eastAsia="es-ES_tradnl"/>
        </w:rPr>
        <w:t>Título profesional del Contralor Interno Municipal.</w:t>
      </w:r>
    </w:p>
    <w:p w:rsidR="004A0EEB" w:rsidRPr="004A0EEB" w:rsidRDefault="004A0EEB" w:rsidP="004A0EEB">
      <w:pPr>
        <w:ind w:left="851" w:right="902"/>
        <w:jc w:val="both"/>
        <w:rPr>
          <w:rFonts w:ascii="Palatino Linotype" w:eastAsia="Calibri" w:hAnsi="Palatino Linotype" w:cs="Tahoma"/>
          <w:i/>
          <w:iCs/>
          <w:sz w:val="22"/>
          <w:szCs w:val="22"/>
          <w:lang w:val="es-ES" w:eastAsia="es-ES_tradnl"/>
        </w:rPr>
      </w:pPr>
    </w:p>
    <w:p w:rsidR="004A0EEB" w:rsidRPr="004A0EEB" w:rsidRDefault="004A0EEB" w:rsidP="004A0EEB">
      <w:pPr>
        <w:ind w:left="851" w:right="902"/>
        <w:jc w:val="both"/>
        <w:rPr>
          <w:rFonts w:ascii="Palatino Linotype" w:eastAsia="Calibri" w:hAnsi="Palatino Linotype" w:cs="Tahoma"/>
          <w:i/>
          <w:iCs/>
          <w:sz w:val="22"/>
          <w:szCs w:val="22"/>
          <w:lang w:val="es-ES" w:eastAsia="es-ES_tradnl"/>
        </w:rPr>
      </w:pPr>
      <w:r w:rsidRPr="004A0EEB">
        <w:rPr>
          <w:rFonts w:ascii="Palatino Linotype" w:eastAsia="Calibri" w:hAnsi="Palatino Linotype" w:cs="Tahoma"/>
          <w:i/>
          <w:iCs/>
          <w:sz w:val="22"/>
          <w:szCs w:val="22"/>
          <w:lang w:val="es-ES" w:eastAsia="es-ES_tradnl"/>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4A0EEB" w:rsidRPr="004A0EEB" w:rsidRDefault="004A0EEB" w:rsidP="004A0EEB">
      <w:pPr>
        <w:ind w:left="851" w:right="902"/>
        <w:jc w:val="both"/>
        <w:rPr>
          <w:rFonts w:ascii="Palatino Linotype" w:eastAsia="Calibri" w:hAnsi="Palatino Linotype" w:cs="Tahoma"/>
          <w:i/>
          <w:iCs/>
          <w:sz w:val="22"/>
          <w:szCs w:val="22"/>
          <w:lang w:val="es-ES" w:eastAsia="es-ES_tradnl"/>
        </w:rPr>
      </w:pPr>
    </w:p>
    <w:p w:rsidR="00435BA7" w:rsidRPr="005B5B19" w:rsidRDefault="004A0EEB" w:rsidP="004A0EEB">
      <w:pPr>
        <w:ind w:left="851" w:right="902"/>
        <w:jc w:val="both"/>
        <w:rPr>
          <w:rFonts w:ascii="Palatino Linotype" w:hAnsi="Palatino Linotype"/>
          <w:i/>
          <w:sz w:val="22"/>
        </w:rPr>
      </w:pPr>
      <w:r w:rsidRPr="004A0EEB">
        <w:rPr>
          <w:rFonts w:ascii="Palatino Linotype" w:eastAsia="Calibri" w:hAnsi="Palatino Linotype" w:cs="Tahoma"/>
          <w:i/>
          <w:iCs/>
          <w:sz w:val="22"/>
          <w:szCs w:val="22"/>
          <w:lang w:val="es-ES" w:eastAsia="es-ES_tradnl"/>
        </w:rPr>
        <w:t>Para el caso de no contar con el Título profesional expedido por autoridad competente, El Sujeto Obligado deberá generar y entregar el acuerdo que sustente la inexistencia de la información, en el que se expliquen las razones de por qué no se cuenta con la información, de manera fundada y motivada, en términos del Considerando Cuarto.</w:t>
      </w:r>
    </w:p>
    <w:p w:rsidR="007B2B82" w:rsidRDefault="00151792" w:rsidP="0098798B">
      <w:pPr>
        <w:spacing w:before="100" w:beforeAutospacing="1" w:after="100" w:afterAutospacing="1" w:line="360" w:lineRule="auto"/>
        <w:jc w:val="both"/>
        <w:rPr>
          <w:rFonts w:ascii="Palatino Linotype" w:hAnsi="Palatino Linotype" w:cs="Arial"/>
        </w:rPr>
      </w:pPr>
      <w:r w:rsidRPr="001D3F57">
        <w:rPr>
          <w:rFonts w:ascii="Palatino Linotype" w:hAnsi="Palatino Linotype" w:cs="Arial"/>
        </w:rPr>
        <w:t>En ese</w:t>
      </w:r>
      <w:r w:rsidR="002D01B0">
        <w:rPr>
          <w:rFonts w:ascii="Palatino Linotype" w:hAnsi="Palatino Linotype" w:cs="Arial"/>
        </w:rPr>
        <w:t xml:space="preserve"> sentido, la que suscribe</w:t>
      </w:r>
      <w:r w:rsidRPr="001D3F57">
        <w:rPr>
          <w:rFonts w:ascii="Palatino Linotype" w:hAnsi="Palatino Linotype" w:cs="Arial"/>
        </w:rPr>
        <w:t xml:space="preserve"> </w:t>
      </w:r>
      <w:r w:rsidR="00A94DE8">
        <w:rPr>
          <w:rFonts w:ascii="Palatino Linotype" w:hAnsi="Palatino Linotype" w:cs="Arial"/>
        </w:rPr>
        <w:t>si bien coincide en términos g</w:t>
      </w:r>
      <w:r w:rsidR="004A0EEB">
        <w:rPr>
          <w:rFonts w:ascii="Palatino Linotype" w:hAnsi="Palatino Linotype" w:cs="Arial"/>
        </w:rPr>
        <w:t>enerales con las causas que di</w:t>
      </w:r>
      <w:r w:rsidR="00A94DE8">
        <w:rPr>
          <w:rFonts w:ascii="Palatino Linotype" w:hAnsi="Palatino Linotype" w:cs="Arial"/>
        </w:rPr>
        <w:t>o</w:t>
      </w:r>
      <w:r w:rsidR="004A0EEB">
        <w:rPr>
          <w:rFonts w:ascii="Palatino Linotype" w:hAnsi="Palatino Linotype" w:cs="Arial"/>
        </w:rPr>
        <w:t xml:space="preserve"> origen al</w:t>
      </w:r>
      <w:r w:rsidR="00A94DE8">
        <w:rPr>
          <w:rFonts w:ascii="Palatino Linotype" w:hAnsi="Palatino Linotype" w:cs="Arial"/>
        </w:rPr>
        <w:t xml:space="preserve"> recurso de revisión en comento, </w:t>
      </w:r>
      <w:r w:rsidR="00821FFE">
        <w:rPr>
          <w:rFonts w:ascii="Palatino Linotype" w:hAnsi="Palatino Linotype" w:cs="Arial"/>
        </w:rPr>
        <w:t>difier</w:t>
      </w:r>
      <w:r w:rsidR="00DF7353">
        <w:rPr>
          <w:rFonts w:ascii="Palatino Linotype" w:hAnsi="Palatino Linotype" w:cs="Arial"/>
        </w:rPr>
        <w:t>o</w:t>
      </w:r>
      <w:r w:rsidR="00821FFE">
        <w:rPr>
          <w:rFonts w:ascii="Palatino Linotype" w:hAnsi="Palatino Linotype" w:cs="Arial"/>
        </w:rPr>
        <w:t xml:space="preserve"> en razón de que </w:t>
      </w:r>
      <w:r w:rsidR="00313A8C">
        <w:rPr>
          <w:rFonts w:ascii="Palatino Linotype" w:hAnsi="Palatino Linotype" w:cs="Arial"/>
        </w:rPr>
        <w:t xml:space="preserve">la Ponencia </w:t>
      </w:r>
      <w:proofErr w:type="spellStart"/>
      <w:r w:rsidR="00313A8C">
        <w:rPr>
          <w:rFonts w:ascii="Palatino Linotype" w:hAnsi="Palatino Linotype" w:cs="Arial"/>
        </w:rPr>
        <w:t>Resolutora</w:t>
      </w:r>
      <w:proofErr w:type="spellEnd"/>
      <w:r w:rsidR="00313A8C">
        <w:rPr>
          <w:rFonts w:ascii="Palatino Linotype" w:hAnsi="Palatino Linotype" w:cs="Arial"/>
        </w:rPr>
        <w:t xml:space="preserve"> en </w:t>
      </w:r>
      <w:r w:rsidR="00821FFE">
        <w:rPr>
          <w:rFonts w:ascii="Palatino Linotype" w:hAnsi="Palatino Linotype" w:cs="Arial"/>
        </w:rPr>
        <w:t xml:space="preserve">su estudio </w:t>
      </w:r>
      <w:r w:rsidR="004A0EEB">
        <w:rPr>
          <w:rFonts w:ascii="Palatino Linotype" w:hAnsi="Palatino Linotype" w:cs="Arial"/>
        </w:rPr>
        <w:t xml:space="preserve">analizara la </w:t>
      </w:r>
      <w:r w:rsidR="00DF7353">
        <w:rPr>
          <w:rFonts w:ascii="Palatino Linotype" w:hAnsi="Palatino Linotype" w:cs="Arial"/>
        </w:rPr>
        <w:t xml:space="preserve">respuesta de una </w:t>
      </w:r>
      <w:r w:rsidR="00313A8C">
        <w:rPr>
          <w:rFonts w:ascii="Palatino Linotype" w:hAnsi="Palatino Linotype" w:cs="Arial"/>
        </w:rPr>
        <w:t>solicitud de acceso a la información pública</w:t>
      </w:r>
      <w:r w:rsidR="00821FFE">
        <w:rPr>
          <w:rFonts w:ascii="Palatino Linotype" w:hAnsi="Palatino Linotype" w:cs="Arial"/>
        </w:rPr>
        <w:t xml:space="preserve"> diversa</w:t>
      </w:r>
      <w:r w:rsidR="007B2B82">
        <w:rPr>
          <w:rFonts w:ascii="Palatino Linotype" w:hAnsi="Palatino Linotype" w:cs="Arial"/>
        </w:rPr>
        <w:t xml:space="preserve">. </w:t>
      </w:r>
    </w:p>
    <w:p w:rsidR="00C6021A" w:rsidRDefault="007B2B82" w:rsidP="00C6021A">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en razón de que</w:t>
      </w:r>
      <w:r w:rsidR="00313A8C">
        <w:rPr>
          <w:rFonts w:ascii="Palatino Linotype" w:hAnsi="Palatino Linotype" w:cs="Arial"/>
        </w:rPr>
        <w:t>,</w:t>
      </w:r>
      <w:r w:rsidR="00821FFE">
        <w:rPr>
          <w:rFonts w:ascii="Palatino Linotype" w:hAnsi="Palatino Linotype" w:cs="Arial"/>
        </w:rPr>
        <w:t xml:space="preserve"> </w:t>
      </w:r>
      <w:r w:rsidR="00C80248">
        <w:rPr>
          <w:rFonts w:ascii="Palatino Linotype" w:hAnsi="Palatino Linotype" w:cs="Arial"/>
        </w:rPr>
        <w:t xml:space="preserve">en la solicitud </w:t>
      </w:r>
      <w:r w:rsidR="00C80248" w:rsidRPr="004A0EEB">
        <w:rPr>
          <w:rFonts w:ascii="Palatino Linotype" w:hAnsi="Palatino Linotype" w:cs="Arial"/>
          <w:b/>
        </w:rPr>
        <w:t>00078/AYAPANGO/IP/2019</w:t>
      </w:r>
      <w:r w:rsidR="00C80248">
        <w:rPr>
          <w:rFonts w:ascii="Palatino Linotype" w:hAnsi="Palatino Linotype" w:cs="Arial"/>
          <w:b/>
        </w:rPr>
        <w:t xml:space="preserve"> </w:t>
      </w:r>
      <w:r w:rsidR="00260869">
        <w:rPr>
          <w:rFonts w:ascii="Palatino Linotype" w:hAnsi="Palatino Linotype" w:cs="Arial"/>
        </w:rPr>
        <w:t>solicitó</w:t>
      </w:r>
      <w:r w:rsidR="00C80248">
        <w:rPr>
          <w:rFonts w:ascii="Palatino Linotype" w:hAnsi="Palatino Linotype" w:cs="Arial"/>
        </w:rPr>
        <w:t xml:space="preserve"> al mismo sujeto obligado el soporte documental por el cual fue nombrado el contralor municipal, misma en la que </w:t>
      </w:r>
      <w:r w:rsidR="00C80248" w:rsidRPr="00C80248">
        <w:rPr>
          <w:rFonts w:ascii="Palatino Linotype" w:hAnsi="Palatino Linotype" w:cs="Arial"/>
        </w:rPr>
        <w:t>la Titular de la Unidad de Transparencia proporciono</w:t>
      </w:r>
      <w:r w:rsidR="00C80248">
        <w:rPr>
          <w:rFonts w:ascii="Palatino Linotype" w:hAnsi="Palatino Linotype" w:cs="Arial"/>
        </w:rPr>
        <w:t xml:space="preserve"> </w:t>
      </w:r>
      <w:r w:rsidR="00C80248" w:rsidRPr="00C80248">
        <w:rPr>
          <w:rFonts w:ascii="Palatino Linotype" w:hAnsi="Palatino Linotype" w:cs="Arial"/>
        </w:rPr>
        <w:t>información al respecto, de acuerdo a los documentos con los que cuenta la persona que se encuentra ocupando el cargo de Contralor Municipal</w:t>
      </w:r>
      <w:r>
        <w:rPr>
          <w:rFonts w:ascii="Palatino Linotype" w:hAnsi="Palatino Linotype" w:cs="Arial"/>
        </w:rPr>
        <w:t>, cabe señalar que el hoy recurrente no se inconform</w:t>
      </w:r>
      <w:r w:rsidR="00260869">
        <w:rPr>
          <w:rFonts w:ascii="Palatino Linotype" w:hAnsi="Palatino Linotype" w:cs="Arial"/>
        </w:rPr>
        <w:t>ó</w:t>
      </w:r>
      <w:r>
        <w:rPr>
          <w:rFonts w:ascii="Palatino Linotype" w:hAnsi="Palatino Linotype" w:cs="Arial"/>
        </w:rPr>
        <w:t xml:space="preserve"> de la de la documentación que le fue entregada en la mencionada solicitud de informaci</w:t>
      </w:r>
      <w:r w:rsidR="00C6021A">
        <w:rPr>
          <w:rFonts w:ascii="Palatino Linotype" w:hAnsi="Palatino Linotype" w:cs="Arial"/>
        </w:rPr>
        <w:t>ón, si no por el contrario opto por realizar una nueva solicitud de información mediante la cual requirió se le informara “</w:t>
      </w:r>
      <w:r w:rsidR="00C6021A" w:rsidRPr="00D128F5">
        <w:rPr>
          <w:rFonts w:ascii="Palatino Linotype" w:hAnsi="Palatino Linotype"/>
          <w:b/>
          <w:i/>
        </w:rPr>
        <w:t>porque sigue en funciones la contralor municipal si no cumple con los requisitos</w:t>
      </w:r>
      <w:r w:rsidR="00C6021A" w:rsidRPr="00D128F5">
        <w:rPr>
          <w:rFonts w:ascii="Palatino Linotype" w:hAnsi="Palatino Linotype"/>
          <w:i/>
        </w:rPr>
        <w:t>”</w:t>
      </w:r>
      <w:r w:rsidR="00C6021A">
        <w:rPr>
          <w:rFonts w:ascii="Palatino Linotype" w:hAnsi="Palatino Linotype" w:cs="Arial"/>
        </w:rPr>
        <w:t xml:space="preserve">; lo cual constituye una consulta. </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Es así, que se considera que lo requerido por el pa</w:t>
      </w:r>
      <w:r w:rsidR="00260869">
        <w:rPr>
          <w:rFonts w:ascii="Palatino Linotype" w:hAnsi="Palatino Linotype" w:cs="Arial"/>
        </w:rPr>
        <w:t>rticular no corresponde</w:t>
      </w:r>
      <w:r>
        <w:rPr>
          <w:rFonts w:ascii="Palatino Linotype" w:hAnsi="Palatino Linotype" w:cs="Arial"/>
        </w:rPr>
        <w:t xml:space="preserve"> a </w:t>
      </w:r>
      <w:r w:rsidR="001533C1">
        <w:rPr>
          <w:rFonts w:ascii="Palatino Linotype" w:hAnsi="Palatino Linotype" w:cs="Arial"/>
        </w:rPr>
        <w:t xml:space="preserve">una </w:t>
      </w:r>
      <w:r>
        <w:rPr>
          <w:rFonts w:ascii="Palatino Linotype" w:hAnsi="Palatino Linotype" w:cs="Arial"/>
        </w:rPr>
        <w:t>solicitud de acceso a la información pública, sino a un Derecho de Petición, e</w:t>
      </w:r>
      <w:r w:rsidRPr="00444E6E">
        <w:rPr>
          <w:rFonts w:ascii="Palatino Linotype" w:hAnsi="Palatino Linotype" w:cs="Arial"/>
        </w:rPr>
        <w:t xml:space="preserve">n este orden de ideas, es </w:t>
      </w:r>
      <w:r>
        <w:rPr>
          <w:rFonts w:ascii="Palatino Linotype" w:hAnsi="Palatino Linotype" w:cs="Arial"/>
        </w:rPr>
        <w:t>importante dejar en claro lo que</w:t>
      </w:r>
      <w:r w:rsidRPr="00444E6E">
        <w:rPr>
          <w:rFonts w:ascii="Palatino Linotype" w:hAnsi="Palatino Linotype" w:cs="Arial"/>
        </w:rPr>
        <w:t xml:space="preserve"> debe entenderse por derecho de petición, así como por derecho de acceso a la información pública, con el objeto de distinguir el ejercicio de ambos derechos.</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Por lo que respecta a la definición de Derecho de Petición, el Maestro Ignacio Burgoa Orihuela refiere: </w:t>
      </w:r>
    </w:p>
    <w:p w:rsidR="00C6021A" w:rsidRPr="00444E6E" w:rsidRDefault="00C6021A" w:rsidP="00C6021A">
      <w:pPr>
        <w:tabs>
          <w:tab w:val="left" w:pos="9214"/>
        </w:tabs>
        <w:ind w:left="709" w:right="709"/>
        <w:jc w:val="both"/>
        <w:rPr>
          <w:rFonts w:ascii="Palatino Linotype" w:hAnsi="Palatino Linotype"/>
          <w:sz w:val="22"/>
          <w:lang w:eastAsia="es-MX"/>
        </w:rPr>
      </w:pPr>
      <w:r w:rsidRPr="00444E6E">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44E6E">
        <w:rPr>
          <w:rFonts w:ascii="Palatino Linotype" w:hAnsi="Palatino Linotype"/>
          <w:sz w:val="22"/>
          <w:lang w:eastAsia="es-MX"/>
        </w:rPr>
        <w:t>Sic)</w:t>
      </w:r>
    </w:p>
    <w:p w:rsidR="00C6021A"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Por su parte, David Cienfuegos Salgado, concibe al derecho de petición como: </w:t>
      </w:r>
    </w:p>
    <w:p w:rsidR="00C6021A" w:rsidRPr="00444E6E" w:rsidRDefault="00C6021A" w:rsidP="00C6021A">
      <w:pPr>
        <w:tabs>
          <w:tab w:val="left" w:pos="9214"/>
        </w:tabs>
        <w:ind w:left="709" w:right="709"/>
        <w:jc w:val="both"/>
        <w:rPr>
          <w:rFonts w:ascii="Palatino Linotype" w:hAnsi="Palatino Linotype"/>
          <w:sz w:val="22"/>
          <w:lang w:eastAsia="es-MX"/>
        </w:rPr>
      </w:pPr>
      <w:r w:rsidRPr="00444E6E">
        <w:rPr>
          <w:rFonts w:ascii="Palatino Linotype" w:hAnsi="Palatino Linotype"/>
          <w:i/>
          <w:sz w:val="22"/>
          <w:lang w:eastAsia="es-MX"/>
        </w:rPr>
        <w:t xml:space="preserve">“… el derecho de toda persona a ser escuchado por quienes ejercen el poder público...” </w:t>
      </w:r>
      <w:r w:rsidRPr="00444E6E">
        <w:rPr>
          <w:rFonts w:ascii="Palatino Linotype" w:hAnsi="Palatino Linotype"/>
          <w:sz w:val="22"/>
          <w:lang w:eastAsia="es-MX"/>
        </w:rPr>
        <w:t xml:space="preserve">(Sic) </w:t>
      </w:r>
    </w:p>
    <w:p w:rsidR="00C6021A"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A</w:t>
      </w:r>
      <w:r>
        <w:rPr>
          <w:rFonts w:ascii="Palatino Linotype" w:hAnsi="Palatino Linotype" w:cs="Arial"/>
        </w:rPr>
        <w:t>sí</w:t>
      </w:r>
      <w:r w:rsidRPr="00444E6E">
        <w:rPr>
          <w:rFonts w:ascii="Palatino Linotype" w:hAnsi="Palatino Linotype" w:cs="Arial"/>
        </w:rPr>
        <w:t xml:space="preserve">, para diferenciar el derecho de petición del derecho de acceso a la información, resulta conducente señalar que José Guadalupe Robles, conceptualiza al derecho a la información como: </w:t>
      </w:r>
    </w:p>
    <w:p w:rsidR="00C6021A" w:rsidRPr="00444E6E" w:rsidRDefault="00C6021A" w:rsidP="00C6021A">
      <w:pPr>
        <w:tabs>
          <w:tab w:val="left" w:pos="9214"/>
        </w:tabs>
        <w:ind w:left="709" w:right="709"/>
        <w:jc w:val="both"/>
        <w:rPr>
          <w:rFonts w:ascii="Palatino Linotype" w:hAnsi="Palatino Linotype"/>
          <w:i/>
          <w:sz w:val="22"/>
          <w:lang w:eastAsia="es-MX"/>
        </w:rPr>
      </w:pPr>
      <w:r w:rsidRPr="00444E6E">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444E6E">
        <w:rPr>
          <w:rFonts w:ascii="Palatino Linotype" w:hAnsi="Palatino Linotype"/>
          <w:sz w:val="22"/>
          <w:lang w:eastAsia="es-MX"/>
        </w:rPr>
        <w:t>(Sic)</w:t>
      </w:r>
      <w:r w:rsidRPr="00444E6E">
        <w:rPr>
          <w:rFonts w:ascii="Palatino Linotype" w:hAnsi="Palatino Linotype"/>
          <w:i/>
          <w:sz w:val="22"/>
          <w:lang w:eastAsia="es-MX"/>
        </w:rPr>
        <w:t xml:space="preserve"> </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rPr>
      </w:pPr>
      <w:r w:rsidRPr="00444E6E">
        <w:rPr>
          <w:rFonts w:ascii="Palatino Linotype" w:hAnsi="Palatino Linotype" w:cs="Arial"/>
        </w:rPr>
        <w:lastRenderedPageBreak/>
        <w:t xml:space="preserve">Ahora bien, el derecho </w:t>
      </w:r>
      <w:r w:rsidRPr="00444E6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6021A" w:rsidRPr="00444E6E" w:rsidRDefault="00C6021A" w:rsidP="00C6021A">
      <w:pPr>
        <w:ind w:left="851" w:right="902"/>
        <w:jc w:val="both"/>
        <w:rPr>
          <w:rFonts w:ascii="Palatino Linotype" w:hAnsi="Palatino Linotype"/>
          <w:i/>
          <w:sz w:val="22"/>
        </w:rPr>
      </w:pPr>
      <w:r w:rsidRPr="00444E6E">
        <w:rPr>
          <w:rFonts w:ascii="Palatino Linotype" w:hAnsi="Palatino Linotype"/>
          <w:sz w:val="22"/>
        </w:rPr>
        <w:t>“</w:t>
      </w:r>
      <w:r w:rsidRPr="00444E6E">
        <w:rPr>
          <w:rFonts w:ascii="Palatino Linotype" w:hAnsi="Palatino Linotype"/>
          <w:b/>
          <w:i/>
          <w:sz w:val="22"/>
        </w:rPr>
        <w:t>Artículo 4.</w:t>
      </w:r>
      <w:r w:rsidRPr="00444E6E">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6021A" w:rsidRPr="00444E6E" w:rsidRDefault="00C6021A" w:rsidP="00C6021A">
      <w:pPr>
        <w:ind w:left="851" w:right="902"/>
        <w:jc w:val="both"/>
        <w:rPr>
          <w:rFonts w:ascii="Palatino Linotype" w:hAnsi="Palatino Linotype"/>
          <w:i/>
          <w:sz w:val="22"/>
        </w:rPr>
      </w:pPr>
    </w:p>
    <w:p w:rsidR="00C6021A" w:rsidRPr="00444E6E" w:rsidRDefault="00C6021A" w:rsidP="00C6021A">
      <w:pPr>
        <w:ind w:left="851" w:right="902"/>
        <w:jc w:val="both"/>
        <w:rPr>
          <w:rFonts w:ascii="Palatino Linotype" w:hAnsi="Palatino Linotype"/>
          <w:i/>
          <w:sz w:val="22"/>
        </w:rPr>
      </w:pPr>
      <w:r w:rsidRPr="00444E6E">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444E6E">
        <w:rPr>
          <w:rFonts w:ascii="Palatino Linotype" w:hAnsi="Palatino Linotype" w:cs="Arial"/>
          <w:i/>
          <w:color w:val="000000"/>
          <w:sz w:val="22"/>
        </w:rPr>
        <w:t>mexicano</w:t>
      </w:r>
      <w:r w:rsidRPr="00444E6E">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6021A" w:rsidRPr="00444E6E" w:rsidRDefault="00C6021A" w:rsidP="00C6021A">
      <w:pPr>
        <w:ind w:left="851" w:right="902"/>
        <w:jc w:val="both"/>
        <w:rPr>
          <w:rFonts w:ascii="Palatino Linotype" w:hAnsi="Palatino Linotype"/>
          <w:i/>
          <w:sz w:val="22"/>
        </w:rPr>
      </w:pPr>
    </w:p>
    <w:p w:rsidR="00C6021A" w:rsidRPr="00444E6E" w:rsidRDefault="00C6021A" w:rsidP="00C6021A">
      <w:pPr>
        <w:ind w:left="851" w:right="902"/>
        <w:jc w:val="both"/>
        <w:rPr>
          <w:rFonts w:ascii="Palatino Linotype" w:hAnsi="Palatino Linotype"/>
          <w:i/>
          <w:sz w:val="22"/>
        </w:rPr>
      </w:pPr>
      <w:r w:rsidRPr="00444E6E">
        <w:rPr>
          <w:rFonts w:ascii="Palatino Linotype" w:hAnsi="Palatino Linotype"/>
          <w:i/>
          <w:sz w:val="22"/>
        </w:rPr>
        <w:t>Los sujetos obligados deben poner en práctica, políticas y programas de acceso a la información</w:t>
      </w:r>
      <w:r w:rsidRPr="00444E6E">
        <w:rPr>
          <w:sz w:val="22"/>
        </w:rPr>
        <w:t xml:space="preserve"> </w:t>
      </w:r>
      <w:r w:rsidRPr="00444E6E">
        <w:rPr>
          <w:rFonts w:ascii="Palatino Linotype" w:hAnsi="Palatino Linotype"/>
          <w:i/>
          <w:sz w:val="22"/>
        </w:rPr>
        <w:t>que se apeguen a criterios de publicidad, veracidad, oportunidad, precisión y suficiencia en beneficio de los solicitantes.”</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Es por ello que, el derecho de acceso a la información pública, implica el conocimiento de los particulares de la información contenida en los documentos que posean los órganos del Estado; incluso</w:t>
      </w:r>
      <w:r>
        <w:rPr>
          <w:rFonts w:ascii="Palatino Linotype" w:hAnsi="Palatino Linotype" w:cs="Arial"/>
        </w:rPr>
        <w:t>,</w:t>
      </w:r>
      <w:r w:rsidRPr="00444E6E">
        <w:rPr>
          <w:rFonts w:ascii="Palatino Linotype" w:hAnsi="Palatino Linotype" w:cs="Arial"/>
        </w:rPr>
        <w:t xml:space="preserve"> se impone la obligación a las autoridades de preservar sus documentos en archivos administrativos actualizados. </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w:t>
      </w:r>
      <w:r w:rsidRPr="00444E6E">
        <w:rPr>
          <w:rFonts w:ascii="Palatino Linotype" w:hAnsi="Palatino Linotype" w:cs="Arial"/>
        </w:rPr>
        <w:lastRenderedPageBreak/>
        <w:t xml:space="preserve">de que toda la información generada, obtenida, adquirida, transformada, administrada o en posesión de los Sujetos Obligados es pública y accesible de manera permanente en los términos y condiciones que se establezcan en los tratados internacionales de los que el Estado </w:t>
      </w:r>
      <w:r>
        <w:rPr>
          <w:rFonts w:ascii="Palatino Linotype" w:hAnsi="Palatino Linotype" w:cs="Arial"/>
        </w:rPr>
        <w:t>M</w:t>
      </w:r>
      <w:r w:rsidRPr="00444E6E">
        <w:rPr>
          <w:rFonts w:ascii="Palatino Linotype" w:hAnsi="Palatino Linotype" w:cs="Arial"/>
        </w:rPr>
        <w:t xml:space="preserve">exicano sea parte, en la Ley de Transparencia </w:t>
      </w:r>
      <w:r>
        <w:rPr>
          <w:rFonts w:ascii="Palatino Linotype" w:hAnsi="Palatino Linotype" w:cs="Arial"/>
        </w:rPr>
        <w:t>y Acceso a la Información Pública del Estado de México y Municipios</w:t>
      </w:r>
      <w:r w:rsidRPr="00444E6E">
        <w:rPr>
          <w:rFonts w:ascii="Palatino Linotype" w:hAnsi="Palatino Linotype" w:cs="Arial"/>
        </w:rPr>
        <w:t xml:space="preserve"> y demás disposiciones de la materia, privilegiando el principio de máxima publicidad de la información. </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r>
        <w:rPr>
          <w:rFonts w:ascii="Palatino Linotype" w:hAnsi="Palatino Linotype" w:cs="Arial"/>
        </w:rPr>
        <w:t>.</w:t>
      </w:r>
    </w:p>
    <w:p w:rsidR="00C6021A"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Lo anterior</w:t>
      </w:r>
      <w:r>
        <w:rPr>
          <w:rFonts w:ascii="Palatino Linotype" w:hAnsi="Palatino Linotype" w:cs="Arial"/>
        </w:rPr>
        <w:t>,</w:t>
      </w:r>
      <w:r w:rsidRPr="00444E6E">
        <w:rPr>
          <w:rFonts w:ascii="Palatino Linotype" w:hAnsi="Palatino Linotype" w:cs="Arial"/>
        </w:rPr>
        <w:t xml:space="preserve"> tiene sustento en los artículos 3 fracciones XI y XXII; 4; 11</w:t>
      </w:r>
      <w:r>
        <w:rPr>
          <w:rFonts w:ascii="Palatino Linotype" w:hAnsi="Palatino Linotype" w:cs="Arial"/>
        </w:rPr>
        <w:t xml:space="preserve">, y 12 </w:t>
      </w:r>
      <w:r w:rsidRPr="00444E6E">
        <w:rPr>
          <w:rFonts w:ascii="Palatino Linotype" w:hAnsi="Palatino Linotype" w:cs="Arial"/>
        </w:rPr>
        <w:t>de la Ley de Transparencia y Acceso a la Información Pública del Estado de México y Municipios</w:t>
      </w:r>
      <w:r>
        <w:rPr>
          <w:rFonts w:ascii="Palatino Linotype" w:hAnsi="Palatino Linotype" w:cs="Arial"/>
        </w:rPr>
        <w:t xml:space="preserve"> que se citan a continuación</w:t>
      </w:r>
      <w:r w:rsidRPr="00444E6E">
        <w:rPr>
          <w:rFonts w:ascii="Palatino Linotype" w:hAnsi="Palatino Linotype" w:cs="Arial"/>
        </w:rPr>
        <w:t>:</w:t>
      </w: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 xml:space="preserve">“Artículo 3. </w:t>
      </w:r>
      <w:r w:rsidRPr="00794FB0">
        <w:rPr>
          <w:rFonts w:ascii="Palatino Linotype" w:hAnsi="Palatino Linotype" w:cs="Arial"/>
          <w:b/>
          <w:bCs/>
          <w:i/>
          <w:sz w:val="22"/>
          <w:szCs w:val="22"/>
          <w:u w:val="single"/>
        </w:rPr>
        <w:t xml:space="preserve">Para los efectos </w:t>
      </w:r>
      <w:r w:rsidRPr="00794FB0">
        <w:rPr>
          <w:rFonts w:ascii="Palatino Linotype" w:hAnsi="Palatino Linotype" w:cs="Arial"/>
          <w:b/>
          <w:i/>
          <w:sz w:val="22"/>
          <w:szCs w:val="22"/>
          <w:u w:val="single"/>
        </w:rPr>
        <w:t>de</w:t>
      </w:r>
      <w:r w:rsidRPr="00794FB0">
        <w:rPr>
          <w:rFonts w:ascii="Palatino Linotype" w:hAnsi="Palatino Linotype" w:cs="Arial"/>
          <w:b/>
          <w:bCs/>
          <w:i/>
          <w:sz w:val="22"/>
          <w:szCs w:val="22"/>
          <w:u w:val="single"/>
        </w:rPr>
        <w:t xml:space="preserve"> la presente Ley se entenderá por</w:t>
      </w:r>
      <w:r w:rsidRPr="00794FB0">
        <w:rPr>
          <w:rFonts w:ascii="Palatino Linotype" w:hAnsi="Palatino Linotype" w:cs="Arial"/>
          <w:b/>
          <w:bCs/>
          <w:i/>
          <w:sz w:val="22"/>
          <w:szCs w:val="22"/>
        </w:rPr>
        <w:t xml:space="preserve">: </w:t>
      </w:r>
      <w:r w:rsidRPr="00794FB0">
        <w:rPr>
          <w:rFonts w:ascii="Palatino Linotype" w:hAnsi="Palatino Linotype" w:cs="Arial"/>
          <w:bCs/>
          <w:i/>
          <w:sz w:val="22"/>
          <w:szCs w:val="22"/>
        </w:rPr>
        <w:t>…</w:t>
      </w: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Cs/>
          <w:i/>
          <w:sz w:val="22"/>
          <w:szCs w:val="22"/>
        </w:rPr>
        <w:t>…</w:t>
      </w: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XI. Documento:</w:t>
      </w:r>
      <w:r w:rsidRPr="00794FB0">
        <w:rPr>
          <w:rFonts w:ascii="Palatino Linotype" w:hAnsi="Palatino Linotype" w:cs="Arial"/>
          <w:bCs/>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794FB0">
        <w:rPr>
          <w:rFonts w:ascii="Palatino Linotype" w:hAnsi="Palatino Linotype" w:cs="Arial"/>
          <w:i/>
          <w:color w:val="000000"/>
          <w:sz w:val="22"/>
          <w:szCs w:val="22"/>
        </w:rPr>
        <w:t>servidores</w:t>
      </w:r>
      <w:r w:rsidRPr="00794FB0">
        <w:rPr>
          <w:rFonts w:ascii="Palatino Linotype" w:hAnsi="Palatino Linotype" w:cs="Arial"/>
          <w:bCs/>
          <w:i/>
          <w:sz w:val="22"/>
          <w:szCs w:val="22"/>
        </w:rPr>
        <w:t xml:space="preserve"> públicos e integrantes, sin importar su fuente o fecha de elaboración. Los documentos podrán estar en cualquier medio, sea escrito, impreso, sonoro, visual, electrónico, informático u holográfico; </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XII. Documento electrónico</w:t>
      </w:r>
      <w:r w:rsidRPr="00794FB0">
        <w:rPr>
          <w:rFonts w:ascii="Palatino Linotype" w:hAnsi="Palatino Linotype" w:cs="Arial"/>
          <w:bCs/>
          <w:i/>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794FB0">
        <w:rPr>
          <w:rFonts w:ascii="Palatino Linotype" w:hAnsi="Palatino Linotype" w:cs="Arial"/>
          <w:bCs/>
          <w:i/>
          <w:sz w:val="22"/>
          <w:szCs w:val="22"/>
        </w:rPr>
        <w:lastRenderedPageBreak/>
        <w:t>hecho y que esté signado con la firma electrónica avanzada y/o en el que se encuentre plasmado el sello electrónico;</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Artículo 4.</w:t>
      </w:r>
      <w:r w:rsidRPr="00794FB0">
        <w:rPr>
          <w:rFonts w:ascii="Palatino Linotype" w:hAnsi="Palatino Linotype" w:cs="Arial"/>
          <w:bCs/>
          <w:i/>
          <w:sz w:val="22"/>
          <w:szCs w:val="22"/>
        </w:rPr>
        <w:t xml:space="preserve"> </w:t>
      </w:r>
      <w:r w:rsidRPr="00794FB0">
        <w:rPr>
          <w:rFonts w:ascii="Palatino Linotype" w:hAnsi="Palatino Linotype" w:cs="Arial"/>
          <w:b/>
          <w:bCs/>
          <w:i/>
          <w:sz w:val="22"/>
          <w:szCs w:val="22"/>
          <w:u w:val="single"/>
        </w:rPr>
        <w:t>El derecho humano de acceso a la información pública es la prerrogativa de las personas para buscar, difundir, investigar, recabar, recibir y solicitar información pública</w:t>
      </w:r>
      <w:r w:rsidRPr="00794FB0">
        <w:rPr>
          <w:rFonts w:ascii="Palatino Linotype" w:hAnsi="Palatino Linotype" w:cs="Arial"/>
          <w:bCs/>
          <w:i/>
          <w:sz w:val="22"/>
          <w:szCs w:val="22"/>
        </w:rPr>
        <w:t xml:space="preserve">, sin necesidad de acreditar personalidad ni interés jurídico. </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Cs/>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94FB0">
        <w:rPr>
          <w:rFonts w:ascii="Palatino Linotype" w:hAnsi="Palatino Linotype" w:cs="Arial"/>
          <w:i/>
          <w:color w:val="000000"/>
          <w:sz w:val="22"/>
          <w:szCs w:val="22"/>
        </w:rPr>
        <w:t>información</w:t>
      </w:r>
      <w:r w:rsidRPr="00794FB0">
        <w:rPr>
          <w:rFonts w:ascii="Palatino Linotype" w:hAnsi="Palatino Linotype" w:cs="Arial"/>
          <w:bCs/>
          <w:i/>
          <w:sz w:val="22"/>
          <w:szCs w:val="22"/>
        </w:rPr>
        <w:t xml:space="preserve">. Solo podrá ser clasificada excepcionalmente como reservada temporalmente por razones de interés público, en los términos de las causas legítimas y estrictamente necesarias previstas por esta Ley. </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Cs/>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Artículo 11.-</w:t>
      </w:r>
      <w:r w:rsidRPr="00794FB0">
        <w:rPr>
          <w:rFonts w:ascii="Palatino Linotype" w:hAnsi="Palatino Linotype" w:cs="Arial"/>
          <w:bCs/>
          <w:i/>
          <w:sz w:val="22"/>
          <w:szCs w:val="22"/>
        </w:rPr>
        <w:t xml:space="preserve"> </w:t>
      </w:r>
      <w:r w:rsidRPr="00794FB0">
        <w:rPr>
          <w:rFonts w:ascii="Palatino Linotype" w:hAnsi="Palatino Linotype" w:cs="Arial"/>
          <w:b/>
          <w:bCs/>
          <w:i/>
          <w:sz w:val="22"/>
          <w:szCs w:val="22"/>
          <w:u w:val="single"/>
        </w:rPr>
        <w:t>Los Sujetos Obligados sólo proporcionarán la información que generen en el ejercicio de sus atribuciones</w:t>
      </w:r>
      <w:r w:rsidRPr="00794FB0">
        <w:rPr>
          <w:rFonts w:ascii="Palatino Linotype" w:hAnsi="Palatino Linotype" w:cs="Arial"/>
          <w:bCs/>
          <w:i/>
          <w:sz w:val="22"/>
          <w:szCs w:val="22"/>
        </w:rPr>
        <w:t>.</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rPr>
        <w:t>Artículo 12.</w:t>
      </w:r>
      <w:r w:rsidRPr="00794FB0">
        <w:rPr>
          <w:rFonts w:ascii="Palatino Linotype" w:hAnsi="Palatino Linotype" w:cs="Arial"/>
          <w:bCs/>
          <w:i/>
          <w:sz w:val="22"/>
          <w:szCs w:val="22"/>
        </w:rPr>
        <w:t xml:space="preserve"> Quienes generen, recopilen, administren, manejen, procesen, archiven o conserven información pública</w:t>
      </w:r>
      <w:r w:rsidRPr="00794FB0">
        <w:rPr>
          <w:rFonts w:ascii="Palatino Linotype" w:hAnsi="Palatino Linotype" w:cs="Arial"/>
          <w:b/>
          <w:bCs/>
          <w:i/>
          <w:sz w:val="22"/>
          <w:szCs w:val="22"/>
        </w:rPr>
        <w:t xml:space="preserve"> </w:t>
      </w:r>
      <w:r w:rsidRPr="00794FB0">
        <w:rPr>
          <w:rFonts w:ascii="Palatino Linotype" w:hAnsi="Palatino Linotype" w:cs="Arial"/>
          <w:bCs/>
          <w:i/>
          <w:sz w:val="22"/>
          <w:szCs w:val="22"/>
        </w:rPr>
        <w:t xml:space="preserve">serán responsables de la misma en los términos de las disposiciones jurídicas </w:t>
      </w:r>
      <w:r w:rsidRPr="00794FB0">
        <w:rPr>
          <w:rFonts w:ascii="Palatino Linotype" w:hAnsi="Palatino Linotype" w:cs="Arial"/>
          <w:i/>
          <w:color w:val="000000"/>
          <w:sz w:val="22"/>
          <w:szCs w:val="22"/>
        </w:rPr>
        <w:t>aplicables</w:t>
      </w:r>
      <w:r w:rsidRPr="00794FB0">
        <w:rPr>
          <w:rFonts w:ascii="Palatino Linotype" w:hAnsi="Palatino Linotype" w:cs="Arial"/>
          <w:bCs/>
          <w:i/>
          <w:sz w:val="22"/>
          <w:szCs w:val="22"/>
        </w:rPr>
        <w:t xml:space="preserve">. </w:t>
      </w:r>
    </w:p>
    <w:p w:rsidR="00C6021A" w:rsidRPr="00794FB0" w:rsidRDefault="00C6021A" w:rsidP="00C6021A">
      <w:pPr>
        <w:tabs>
          <w:tab w:val="left" w:pos="8222"/>
        </w:tabs>
        <w:ind w:left="851" w:right="902"/>
        <w:jc w:val="both"/>
        <w:rPr>
          <w:rFonts w:ascii="Palatino Linotype" w:hAnsi="Palatino Linotype" w:cs="Arial"/>
          <w:bCs/>
          <w:i/>
          <w:sz w:val="22"/>
          <w:szCs w:val="22"/>
        </w:rPr>
      </w:pPr>
    </w:p>
    <w:p w:rsidR="00C6021A" w:rsidRPr="00794FB0" w:rsidRDefault="00C6021A" w:rsidP="00C6021A">
      <w:pPr>
        <w:tabs>
          <w:tab w:val="left" w:pos="8222"/>
        </w:tabs>
        <w:ind w:left="851" w:right="902"/>
        <w:jc w:val="both"/>
        <w:rPr>
          <w:rFonts w:ascii="Palatino Linotype" w:hAnsi="Palatino Linotype" w:cs="Arial"/>
          <w:bCs/>
          <w:i/>
          <w:sz w:val="22"/>
          <w:szCs w:val="22"/>
        </w:rPr>
      </w:pPr>
      <w:r w:rsidRPr="00794FB0">
        <w:rPr>
          <w:rFonts w:ascii="Palatino Linotype" w:hAnsi="Palatino Linotype" w:cs="Arial"/>
          <w:b/>
          <w:bCs/>
          <w:i/>
          <w:sz w:val="22"/>
          <w:szCs w:val="22"/>
          <w:u w:val="single"/>
        </w:rPr>
        <w:t>Los sujetos obligados sólo proporcionarán la información pública que se les requiera y que obre en sus archivos</w:t>
      </w:r>
      <w:r w:rsidRPr="00794FB0">
        <w:rPr>
          <w:rFonts w:ascii="Palatino Linotype" w:hAnsi="Palatino Linotype" w:cs="Arial"/>
          <w:bCs/>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6021A" w:rsidRPr="00444E6E" w:rsidRDefault="00C6021A" w:rsidP="00C6021A">
      <w:pPr>
        <w:tabs>
          <w:tab w:val="left" w:pos="8222"/>
        </w:tabs>
        <w:ind w:left="851" w:right="902"/>
        <w:jc w:val="both"/>
        <w:rPr>
          <w:rFonts w:ascii="Palatino Linotype" w:hAnsi="Palatino Linotype" w:cs="Arial"/>
          <w:color w:val="000000"/>
          <w:sz w:val="22"/>
        </w:rPr>
      </w:pPr>
      <w:r w:rsidRPr="00444E6E">
        <w:rPr>
          <w:rFonts w:ascii="Palatino Linotype" w:hAnsi="Palatino Linotype" w:cs="Arial"/>
          <w:color w:val="000000"/>
          <w:sz w:val="22"/>
        </w:rPr>
        <w:t>(Énfasis añadido)</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En ese contexto, d</w:t>
      </w:r>
      <w:r w:rsidRPr="00444E6E">
        <w:rPr>
          <w:rFonts w:ascii="Palatino Linotype" w:hAnsi="Palatino Linotype" w:cs="Arial"/>
        </w:rPr>
        <w:t xml:space="preserve">e una interpretación sistemática de los artículos anteriores se puede </w:t>
      </w:r>
      <w:r>
        <w:rPr>
          <w:rFonts w:ascii="Palatino Linotype" w:hAnsi="Palatino Linotype" w:cs="Arial"/>
        </w:rPr>
        <w:t>advertir</w:t>
      </w:r>
      <w:r w:rsidRPr="00444E6E">
        <w:rPr>
          <w:rFonts w:ascii="Palatino Linotype" w:hAnsi="Palatino Linotype" w:cs="Arial"/>
        </w:rPr>
        <w:t xml:space="preserve"> que 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Pr>
          <w:rFonts w:ascii="Palatino Linotype" w:hAnsi="Palatino Linotype" w:cs="Arial"/>
        </w:rPr>
        <w:t>S</w:t>
      </w:r>
      <w:r w:rsidRPr="00444E6E">
        <w:rPr>
          <w:rFonts w:ascii="Palatino Linotype" w:hAnsi="Palatino Linotype" w:cs="Arial"/>
        </w:rPr>
        <w:t xml:space="preserve">ujetos </w:t>
      </w:r>
      <w:r>
        <w:rPr>
          <w:rFonts w:ascii="Palatino Linotype" w:hAnsi="Palatino Linotype" w:cs="Arial"/>
        </w:rPr>
        <w:t>O</w:t>
      </w:r>
      <w:r w:rsidRPr="00444E6E">
        <w:rPr>
          <w:rFonts w:ascii="Palatino Linotype" w:hAnsi="Palatino Linotype" w:cs="Arial"/>
        </w:rPr>
        <w:t>bligados, sus servidores públicos e integrantes, sin importar su fuente o fecha de elaboración. Los documentos podrán estar en cualquier medio, sea escrito, impreso, sonoro, visual, electrónico, informático u holográfico.</w:t>
      </w:r>
    </w:p>
    <w:p w:rsidR="00C6021A" w:rsidRPr="00444E6E" w:rsidRDefault="00C6021A" w:rsidP="00C6021A">
      <w:pPr>
        <w:autoSpaceDE w:val="0"/>
        <w:autoSpaceDN w:val="0"/>
        <w:adjustRightInd w:val="0"/>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C6021A" w:rsidRPr="00444E6E" w:rsidRDefault="00C6021A" w:rsidP="00C6021A">
      <w:pPr>
        <w:spacing w:before="100" w:beforeAutospacing="1" w:after="100" w:afterAutospacing="1" w:line="360" w:lineRule="auto"/>
        <w:jc w:val="both"/>
        <w:rPr>
          <w:rFonts w:ascii="Palatino Linotype" w:hAnsi="Palatino Linotype" w:cs="Arial"/>
        </w:rPr>
      </w:pPr>
      <w:r w:rsidRPr="00444E6E">
        <w:rPr>
          <w:rFonts w:ascii="Palatino Linotype" w:hAnsi="Palatino Linotype" w:cs="Arial"/>
        </w:rPr>
        <w:t xml:space="preserve">En síntesis, el derecho de acceso a la información pública se satisface en aquellos casos en que se entregue el soporte documental en que conste la información pública, toda </w:t>
      </w:r>
      <w:r w:rsidRPr="00444E6E">
        <w:rPr>
          <w:rFonts w:ascii="Palatino Linotype" w:hAnsi="Palatino Linotype" w:cs="Arial"/>
        </w:rPr>
        <w:lastRenderedPageBreak/>
        <w:t>vez que los Sujetos Obligados</w:t>
      </w:r>
      <w:r w:rsidRPr="00444E6E">
        <w:rPr>
          <w:rFonts w:ascii="Palatino Linotype" w:hAnsi="Palatino Linotype" w:cs="Arial"/>
          <w:b/>
        </w:rPr>
        <w:t xml:space="preserve"> </w:t>
      </w:r>
      <w:r w:rsidRPr="00444E6E">
        <w:rPr>
          <w:rFonts w:ascii="Palatino Linotype" w:hAnsi="Palatino Linotype" w:cs="Arial"/>
        </w:rPr>
        <w:t xml:space="preserve">no tienen el deber de generar, poseer o administrar la información pública con el grado de detalle que se </w:t>
      </w:r>
      <w:r>
        <w:rPr>
          <w:rFonts w:ascii="Palatino Linotype" w:hAnsi="Palatino Linotype" w:cs="Arial"/>
        </w:rPr>
        <w:t>requiera</w:t>
      </w:r>
      <w:r w:rsidRPr="00444E6E">
        <w:rPr>
          <w:rFonts w:ascii="Palatino Linotype" w:hAnsi="Palatino Linotype" w:cs="Arial"/>
        </w:rPr>
        <w:t xml:space="preserve"> en la solicitud de información pública; esto es, que no tienen el deber de generar un documento </w:t>
      </w:r>
      <w:r w:rsidRPr="00444E6E">
        <w:rPr>
          <w:rFonts w:ascii="Palatino Linotype" w:hAnsi="Palatino Linotype" w:cs="Arial"/>
          <w:b/>
          <w:i/>
        </w:rPr>
        <w:t>ad hoc</w:t>
      </w:r>
      <w:r w:rsidRPr="00444E6E">
        <w:rPr>
          <w:rFonts w:ascii="Palatino Linotype" w:hAnsi="Palatino Linotype" w:cs="Arial"/>
        </w:rPr>
        <w:t xml:space="preserve">, </w:t>
      </w:r>
      <w:r>
        <w:rPr>
          <w:rFonts w:ascii="Palatino Linotype" w:hAnsi="Palatino Linotype" w:cs="Arial"/>
        </w:rPr>
        <w:t>a fin de</w:t>
      </w:r>
      <w:r w:rsidRPr="00444E6E">
        <w:rPr>
          <w:rFonts w:ascii="Palatino Linotype" w:hAnsi="Palatino Linotype" w:cs="Arial"/>
        </w:rPr>
        <w:t xml:space="preserve"> satisfa</w:t>
      </w:r>
      <w:r>
        <w:rPr>
          <w:rFonts w:ascii="Palatino Linotype" w:hAnsi="Palatino Linotype" w:cs="Arial"/>
        </w:rPr>
        <w:t>cer los requerimientos de los particulares.</w:t>
      </w:r>
    </w:p>
    <w:p w:rsidR="00C6021A" w:rsidRDefault="00C6021A" w:rsidP="00C6021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Refuerzo de ello, lo es el criterio 03-17 emitido por el Pleno del </w:t>
      </w:r>
      <w:r w:rsidRPr="00D111DB">
        <w:rPr>
          <w:rFonts w:ascii="Palatino Linotype" w:hAnsi="Palatino Linotype" w:cs="Arial"/>
        </w:rPr>
        <w:t xml:space="preserve">Instituto Nacional de Transparencia, Acceso a la Información y Protección de Datos Personales </w:t>
      </w:r>
      <w:r>
        <w:rPr>
          <w:rFonts w:ascii="Palatino Linotype" w:hAnsi="Palatino Linotype" w:cs="Arial"/>
        </w:rPr>
        <w:t>(</w:t>
      </w:r>
      <w:r w:rsidRPr="00D111DB">
        <w:rPr>
          <w:rFonts w:ascii="Palatino Linotype" w:hAnsi="Palatino Linotype" w:cs="Arial"/>
        </w:rPr>
        <w:t>INAI</w:t>
      </w:r>
      <w:r>
        <w:rPr>
          <w:rFonts w:ascii="Palatino Linotype" w:hAnsi="Palatino Linotype" w:cs="Arial"/>
        </w:rPr>
        <w:t>) que a la letra dicta:</w:t>
      </w:r>
    </w:p>
    <w:p w:rsidR="00C6021A" w:rsidRPr="00D111DB" w:rsidRDefault="00C6021A" w:rsidP="00C6021A">
      <w:pPr>
        <w:ind w:left="709" w:right="760"/>
        <w:jc w:val="both"/>
        <w:rPr>
          <w:rFonts w:ascii="Palatino Linotype" w:hAnsi="Palatino Linotype" w:cs="Arial"/>
          <w:i/>
          <w:sz w:val="22"/>
        </w:rPr>
      </w:pPr>
      <w:r w:rsidRPr="00D111DB">
        <w:rPr>
          <w:rFonts w:ascii="Palatino Linotype" w:hAnsi="Palatino Linotype" w:cs="Arial"/>
          <w:b/>
          <w:i/>
          <w:sz w:val="22"/>
        </w:rPr>
        <w:t>No existe obligación de elaborar documentos ad hoc para atender las solicitudes de acceso a la información</w:t>
      </w:r>
      <w:r w:rsidRPr="00D111DB">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6021A" w:rsidRPr="00D111DB" w:rsidRDefault="00C6021A" w:rsidP="00C6021A">
      <w:pPr>
        <w:ind w:left="709" w:right="760"/>
        <w:jc w:val="both"/>
        <w:rPr>
          <w:rFonts w:ascii="Palatino Linotype" w:hAnsi="Palatino Linotype" w:cs="Arial"/>
          <w:i/>
          <w:sz w:val="22"/>
        </w:rPr>
      </w:pPr>
      <w:r w:rsidRPr="00D111DB">
        <w:rPr>
          <w:rFonts w:ascii="Palatino Linotype" w:hAnsi="Palatino Linotype" w:cs="Arial"/>
          <w:i/>
          <w:sz w:val="22"/>
        </w:rPr>
        <w:t>Resoluciones:</w:t>
      </w:r>
    </w:p>
    <w:p w:rsidR="00C6021A" w:rsidRPr="00D111DB" w:rsidRDefault="00C6021A" w:rsidP="00C6021A">
      <w:pPr>
        <w:ind w:left="993" w:right="760"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0050/16. Instituto Nacional para la Evaluación de la Educación. 13 julio de 2016. Por unanimidad. Comisionado Ponente: Francisco Javier Acuña Llamas.</w:t>
      </w:r>
    </w:p>
    <w:p w:rsidR="00C6021A" w:rsidRPr="00D111DB" w:rsidRDefault="00C6021A" w:rsidP="00C6021A">
      <w:pPr>
        <w:ind w:left="993" w:right="760"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C6021A" w:rsidRPr="00D111DB" w:rsidRDefault="00C6021A" w:rsidP="00C6021A">
      <w:pPr>
        <w:ind w:left="993" w:right="760" w:hanging="284"/>
        <w:jc w:val="both"/>
        <w:rPr>
          <w:rFonts w:ascii="Palatino Linotype" w:hAnsi="Palatino Linotype" w:cs="Arial"/>
          <w:i/>
          <w:sz w:val="22"/>
        </w:rPr>
      </w:pPr>
      <w:r w:rsidRPr="00D111DB">
        <w:rPr>
          <w:rFonts w:ascii="Palatino Linotype" w:hAnsi="Palatino Linotype" w:cs="Arial"/>
          <w:i/>
          <w:sz w:val="22"/>
        </w:rPr>
        <w:t>•</w:t>
      </w:r>
      <w:r w:rsidRPr="00D111DB">
        <w:rPr>
          <w:rFonts w:ascii="Palatino Linotype" w:hAnsi="Palatino Linotype" w:cs="Arial"/>
          <w:i/>
          <w:sz w:val="22"/>
        </w:rPr>
        <w:tab/>
        <w:t>RRA 1889/16. Secretaría de Hacienda y Crédito Público. 05 de octubre de 2016. Por unanimidad. Comisionada Ponente. Ximena Puente de la Mora.</w:t>
      </w:r>
    </w:p>
    <w:p w:rsidR="00C6021A" w:rsidRPr="002F6ECE" w:rsidRDefault="001533C1" w:rsidP="00C6021A">
      <w:pPr>
        <w:spacing w:before="100" w:beforeAutospacing="1" w:after="100" w:afterAutospacing="1" w:line="360" w:lineRule="auto"/>
        <w:jc w:val="both"/>
        <w:rPr>
          <w:rFonts w:ascii="Palatino Linotype" w:hAnsi="Palatino Linotype" w:cs="Arial"/>
        </w:rPr>
      </w:pPr>
      <w:r>
        <w:rPr>
          <w:rFonts w:ascii="Palatino Linotype" w:hAnsi="Palatino Linotype" w:cs="Arial"/>
        </w:rPr>
        <w:t>Así</w:t>
      </w:r>
      <w:r w:rsidR="00C6021A">
        <w:rPr>
          <w:rFonts w:ascii="Palatino Linotype" w:hAnsi="Palatino Linotype" w:cs="Arial"/>
        </w:rPr>
        <w:t xml:space="preserve"> las cosas, debe señalarse que tanto en la</w:t>
      </w:r>
      <w:r w:rsidR="00260869">
        <w:rPr>
          <w:rFonts w:ascii="Palatino Linotype" w:hAnsi="Palatino Linotype" w:cs="Arial"/>
        </w:rPr>
        <w:t xml:space="preserve"> solicitud</w:t>
      </w:r>
      <w:r w:rsidR="00C6021A">
        <w:rPr>
          <w:rFonts w:ascii="Palatino Linotype" w:hAnsi="Palatino Linotype" w:cs="Arial"/>
        </w:rPr>
        <w:t xml:space="preserve"> de información presentada a través del </w:t>
      </w:r>
      <w:r w:rsidR="00C6021A" w:rsidRPr="002F6ECE">
        <w:rPr>
          <w:rFonts w:ascii="Palatino Linotype" w:hAnsi="Palatino Linotype" w:cs="Arial"/>
          <w:b/>
        </w:rPr>
        <w:t>SAIMEX</w:t>
      </w:r>
      <w:r w:rsidR="00C6021A">
        <w:rPr>
          <w:rFonts w:ascii="Palatino Linotype" w:hAnsi="Palatino Linotype" w:cs="Arial"/>
        </w:rPr>
        <w:t xml:space="preserve">, el particular requirió un pronunciamiento por parte del </w:t>
      </w:r>
      <w:r w:rsidR="00C6021A">
        <w:rPr>
          <w:rFonts w:ascii="Palatino Linotype" w:hAnsi="Palatino Linotype" w:cs="Arial"/>
          <w:b/>
        </w:rPr>
        <w:t xml:space="preserve">SUJETO </w:t>
      </w:r>
      <w:r w:rsidR="00C6021A">
        <w:rPr>
          <w:rFonts w:ascii="Palatino Linotype" w:hAnsi="Palatino Linotype" w:cs="Arial"/>
          <w:b/>
        </w:rPr>
        <w:lastRenderedPageBreak/>
        <w:t>OBLIGADO</w:t>
      </w:r>
      <w:r w:rsidR="00C6021A">
        <w:rPr>
          <w:rFonts w:ascii="Palatino Linotype" w:hAnsi="Palatino Linotype" w:cs="Arial"/>
        </w:rPr>
        <w:t xml:space="preserve">; es decir, una contestación puntual y específica, situación que se trata del derecho de petición. </w:t>
      </w:r>
    </w:p>
    <w:p w:rsidR="00C6021A" w:rsidRDefault="00C6021A" w:rsidP="00C6021A">
      <w:pPr>
        <w:spacing w:before="100" w:beforeAutospacing="1" w:after="100" w:afterAutospacing="1" w:line="360" w:lineRule="auto"/>
        <w:ind w:right="49"/>
        <w:jc w:val="both"/>
        <w:rPr>
          <w:rFonts w:ascii="Palatino Linotype" w:hAnsi="Palatino Linotype" w:cs="Arial"/>
        </w:rPr>
      </w:pPr>
      <w:r w:rsidRPr="00444E6E">
        <w:rPr>
          <w:rFonts w:ascii="Palatino Linotype" w:hAnsi="Palatino Linotype" w:cs="Arial"/>
        </w:rPr>
        <w:t xml:space="preserve">Por lo que, la entrega de una </w:t>
      </w:r>
      <w:r>
        <w:rPr>
          <w:rFonts w:ascii="Palatino Linotype" w:hAnsi="Palatino Linotype" w:cs="Arial"/>
        </w:rPr>
        <w:t>respuesta</w:t>
      </w:r>
      <w:r w:rsidRPr="00444E6E">
        <w:rPr>
          <w:rFonts w:ascii="Palatino Linotype" w:hAnsi="Palatino Linotype" w:cs="Arial"/>
        </w:rPr>
        <w:t xml:space="preserve"> o un razonamiento por parte del </w:t>
      </w:r>
      <w:r w:rsidRPr="00444E6E">
        <w:rPr>
          <w:rFonts w:ascii="Palatino Linotype" w:hAnsi="Palatino Linotype" w:cs="Arial"/>
          <w:b/>
        </w:rPr>
        <w:t>SUJETO OBLIGADO</w:t>
      </w:r>
      <w:r>
        <w:rPr>
          <w:rFonts w:ascii="Palatino Linotype" w:hAnsi="Palatino Linotype" w:cs="Arial"/>
          <w:b/>
        </w:rPr>
        <w:t xml:space="preserve"> </w:t>
      </w:r>
      <w:r w:rsidRPr="00D1174B">
        <w:rPr>
          <w:rFonts w:ascii="Palatino Linotype" w:hAnsi="Palatino Linotype" w:cs="Arial"/>
        </w:rPr>
        <w:t xml:space="preserve">en donde se </w:t>
      </w:r>
      <w:r>
        <w:rPr>
          <w:rFonts w:ascii="Palatino Linotype" w:hAnsi="Palatino Linotype" w:cs="Arial"/>
        </w:rPr>
        <w:t xml:space="preserve">defina un cuestionamiento o consulta, </w:t>
      </w:r>
      <w:r w:rsidRPr="00444E6E">
        <w:rPr>
          <w:rFonts w:ascii="Palatino Linotype" w:hAnsi="Palatino Linotype" w:cs="Arial"/>
        </w:rPr>
        <w:t>no es</w:t>
      </w:r>
      <w:r>
        <w:rPr>
          <w:rFonts w:ascii="Palatino Linotype" w:hAnsi="Palatino Linotype" w:cs="Arial"/>
        </w:rPr>
        <w:t xml:space="preserve"> una</w:t>
      </w:r>
      <w:r w:rsidRPr="00444E6E">
        <w:rPr>
          <w:rFonts w:ascii="Palatino Linotype" w:hAnsi="Palatino Linotype" w:cs="Arial"/>
        </w:rPr>
        <w:t xml:space="preserve"> </w:t>
      </w:r>
      <w:r>
        <w:rPr>
          <w:rFonts w:ascii="Palatino Linotype" w:hAnsi="Palatino Linotype" w:cs="Arial"/>
        </w:rPr>
        <w:t xml:space="preserve">facultad </w:t>
      </w:r>
      <w:r w:rsidRPr="00444E6E">
        <w:rPr>
          <w:rFonts w:ascii="Palatino Linotype" w:hAnsi="Palatino Linotype" w:cs="Arial"/>
        </w:rPr>
        <w:t xml:space="preserve">que la </w:t>
      </w:r>
      <w:r>
        <w:rPr>
          <w:rFonts w:ascii="Palatino Linotype" w:hAnsi="Palatino Linotype" w:cs="Arial"/>
        </w:rPr>
        <w:t>Ley establezca como atribución o como</w:t>
      </w:r>
      <w:r w:rsidRPr="00444E6E">
        <w:rPr>
          <w:rFonts w:ascii="Palatino Linotype" w:hAnsi="Palatino Linotype" w:cs="Arial"/>
        </w:rPr>
        <w:t xml:space="preserve"> derecho</w:t>
      </w:r>
      <w:r>
        <w:rPr>
          <w:rFonts w:ascii="Palatino Linotype" w:hAnsi="Palatino Linotype" w:cs="Arial"/>
        </w:rPr>
        <w:t xml:space="preserve"> de acceso a la información pública</w:t>
      </w:r>
      <w:r w:rsidRPr="00444E6E">
        <w:rPr>
          <w:rFonts w:ascii="Palatino Linotype" w:hAnsi="Palatino Linotype" w:cs="Arial"/>
        </w:rPr>
        <w:t xml:space="preserve">, pues ello implicaría un juicio de valor referente a un cuestionamiento realizado, los cuales, al constituir interrogantes, inquietudes y manifestaciones se satisfacen vía derecho de petición. </w:t>
      </w:r>
    </w:p>
    <w:p w:rsidR="00C6021A" w:rsidRDefault="00C6021A" w:rsidP="00C6021A">
      <w:pPr>
        <w:spacing w:before="100" w:beforeAutospacing="1" w:after="100" w:afterAutospacing="1" w:line="360" w:lineRule="auto"/>
        <w:jc w:val="both"/>
        <w:rPr>
          <w:rFonts w:ascii="Palatino Linotype" w:hAnsi="Palatino Linotype" w:cs="Arial"/>
        </w:rPr>
      </w:pPr>
      <w:r w:rsidRPr="00C3241C">
        <w:rPr>
          <w:rFonts w:ascii="Palatino Linotype" w:hAnsi="Palatino Linotype" w:cs="Arial"/>
        </w:rPr>
        <w:t xml:space="preserve">Asimismo, </w:t>
      </w:r>
      <w:r w:rsidRPr="00C3241C">
        <w:rPr>
          <w:rFonts w:ascii="Palatino Linotype" w:hAnsi="Palatino Linotype"/>
        </w:rPr>
        <w:t xml:space="preserve">se reitera que se coincide con lo señalado en la resolución en comento, en cuanto a que no resulta necesario examinar el </w:t>
      </w:r>
      <w:r w:rsidRPr="00C3241C">
        <w:rPr>
          <w:rFonts w:ascii="Palatino Linotype" w:hAnsi="Palatino Linotype" w:cs="Arial"/>
        </w:rPr>
        <w:t xml:space="preserve">fondo del presente asunto, al actualizarse </w:t>
      </w:r>
      <w:r>
        <w:rPr>
          <w:rFonts w:ascii="Palatino Linotype" w:hAnsi="Palatino Linotype" w:cs="Arial"/>
        </w:rPr>
        <w:t xml:space="preserve">los </w:t>
      </w:r>
      <w:r w:rsidRPr="00C3241C">
        <w:rPr>
          <w:rFonts w:ascii="Palatino Linotype" w:hAnsi="Palatino Linotype" w:cs="Arial"/>
        </w:rPr>
        <w:t>supuestos normativos que así lo refieren; sin embargo, no se comparte el proyecto</w:t>
      </w:r>
      <w:r>
        <w:rPr>
          <w:rFonts w:ascii="Palatino Linotype" w:hAnsi="Palatino Linotype" w:cs="Arial"/>
        </w:rPr>
        <w:t xml:space="preserve"> </w:t>
      </w:r>
      <w:r w:rsidRPr="00C3241C">
        <w:rPr>
          <w:rFonts w:ascii="Palatino Linotype" w:hAnsi="Palatino Linotype" w:cs="Arial"/>
        </w:rPr>
        <w:t xml:space="preserve">en cuanto a cuáles son dichas hipótesis normativas que se actualizan, </w:t>
      </w:r>
      <w:r>
        <w:rPr>
          <w:rFonts w:ascii="Palatino Linotype" w:hAnsi="Palatino Linotype" w:cs="Arial"/>
        </w:rPr>
        <w:t>aunado con</w:t>
      </w:r>
      <w:r w:rsidRPr="00C3241C">
        <w:rPr>
          <w:rFonts w:ascii="Palatino Linotype" w:hAnsi="Palatino Linotype" w:cs="Arial"/>
        </w:rPr>
        <w:t xml:space="preserve"> el sentido de la resolución.</w:t>
      </w:r>
    </w:p>
    <w:p w:rsidR="00C6021A" w:rsidRDefault="00C6021A" w:rsidP="00C6021A">
      <w:pPr>
        <w:tabs>
          <w:tab w:val="left" w:pos="8364"/>
        </w:tabs>
        <w:spacing w:before="100" w:beforeAutospacing="1" w:after="100" w:afterAutospacing="1" w:line="360" w:lineRule="auto"/>
        <w:jc w:val="both"/>
        <w:rPr>
          <w:rFonts w:ascii="Palatino Linotype" w:hAnsi="Palatino Linotype"/>
        </w:rPr>
      </w:pPr>
      <w:r w:rsidRPr="00555976">
        <w:rPr>
          <w:rFonts w:ascii="Palatino Linotype" w:hAnsi="Palatino Linotype"/>
        </w:rPr>
        <w:t xml:space="preserve">Atento a lo anterior, a criterio de la suscrita, en el proyecto debió pronunciarse respecto </w:t>
      </w:r>
      <w:r>
        <w:rPr>
          <w:rFonts w:ascii="Palatino Linotype" w:hAnsi="Palatino Linotype"/>
        </w:rPr>
        <w:t>d</w:t>
      </w:r>
      <w:r w:rsidRPr="00C3241C">
        <w:rPr>
          <w:rFonts w:ascii="Palatino Linotype" w:hAnsi="Palatino Linotype"/>
        </w:rPr>
        <w:t>el supuesto normativo que se actu</w:t>
      </w:r>
      <w:r>
        <w:rPr>
          <w:rFonts w:ascii="Palatino Linotype" w:hAnsi="Palatino Linotype"/>
        </w:rPr>
        <w:t>aliza, siendo</w:t>
      </w:r>
      <w:r w:rsidRPr="00555976">
        <w:rPr>
          <w:rFonts w:ascii="Palatino Linotype" w:hAnsi="Palatino Linotype"/>
        </w:rPr>
        <w:t xml:space="preserve"> la causal de improcedencia prevista en la</w:t>
      </w:r>
      <w:r>
        <w:rPr>
          <w:rFonts w:ascii="Palatino Linotype" w:hAnsi="Palatino Linotype"/>
        </w:rPr>
        <w:t xml:space="preserve"> fracción</w:t>
      </w:r>
      <w:r w:rsidRPr="00555976">
        <w:rPr>
          <w:rFonts w:ascii="Palatino Linotype" w:hAnsi="Palatino Linotype"/>
        </w:rPr>
        <w:t xml:space="preserve"> III del artículo 191 de la Ley de Transparencia y Acceso a la Información Pública del Estado de México y Municipios, al no actualizarse alguno de los supuestos previstos en el diverso 179 de la citada Ley, mismo que a continuación se transcribe:</w:t>
      </w:r>
    </w:p>
    <w:p w:rsidR="00C6021A" w:rsidRDefault="00C6021A" w:rsidP="00C6021A">
      <w:pPr>
        <w:ind w:left="709" w:right="760"/>
        <w:jc w:val="both"/>
        <w:rPr>
          <w:rFonts w:ascii="Palatino Linotype" w:hAnsi="Palatino Linotype"/>
          <w:i/>
          <w:sz w:val="22"/>
        </w:rPr>
      </w:pPr>
      <w:r w:rsidRPr="00555976">
        <w:rPr>
          <w:rFonts w:ascii="Palatino Linotype" w:hAnsi="Palatino Linotype"/>
          <w:i/>
          <w:sz w:val="22"/>
        </w:rPr>
        <w:t>“</w:t>
      </w:r>
      <w:r w:rsidRPr="00556CD0">
        <w:rPr>
          <w:rFonts w:ascii="Palatino Linotype" w:hAnsi="Palatino Linotype"/>
          <w:b/>
          <w:i/>
          <w:sz w:val="22"/>
        </w:rPr>
        <w:t>Artículo 179</w:t>
      </w:r>
      <w:r w:rsidRPr="00555976">
        <w:rPr>
          <w:rFonts w:ascii="Palatino Linotype" w:hAnsi="Palatino Linotype"/>
          <w:i/>
          <w:sz w:val="22"/>
        </w:rPr>
        <w:t>. El recurso de revisión es un medio de protección que la Ley otorga a los particulares, para hacer valer su derecho de acceso a la información pública, y procederá en contra de las siguientes causas:</w:t>
      </w:r>
    </w:p>
    <w:p w:rsidR="00C6021A" w:rsidRPr="00555976" w:rsidRDefault="00C6021A" w:rsidP="00C6021A">
      <w:pPr>
        <w:ind w:left="709" w:right="757"/>
        <w:jc w:val="both"/>
        <w:rPr>
          <w:rFonts w:ascii="Palatino Linotype" w:hAnsi="Palatino Linotype"/>
          <w:i/>
          <w:sz w:val="22"/>
        </w:rPr>
      </w:pP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I. La negativa a la información solicitada;</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II. La clasificación de la información;</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III. La declaración de inexistencia de la información;</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IV. La declaración de incompetencia por el sujeto obligado;</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V. La entrega de información incompleta;</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VI. La entrega de información que no corresponda con lo solicitado;</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VII. La falta de respuesta a una solicitud de acceso a la información;</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VIII. La notificación, entrega o puesta a disposición de información en una modalidad o formato distinto al solicitado;</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IX. La entrega o puesta a disposición de información en un formato incomprensible y/o no accesible para el solicitante;</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X. Los costos o tiempos de entrega de la información;</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XI. La falta de trámite a una solicitud;</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XII. La negativa a permitir la consulta directa de la información;</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XIII. La falta, deficiencia o insuficiencia de la fundamentación y/o motivación en la respuesta; y</w:t>
      </w:r>
    </w:p>
    <w:p w:rsidR="00C6021A" w:rsidRPr="00555976" w:rsidRDefault="00C6021A" w:rsidP="00C6021A">
      <w:pPr>
        <w:ind w:left="709" w:right="757"/>
        <w:jc w:val="both"/>
        <w:rPr>
          <w:rFonts w:ascii="Palatino Linotype" w:hAnsi="Palatino Linotype"/>
          <w:i/>
          <w:sz w:val="22"/>
        </w:rPr>
      </w:pPr>
      <w:r w:rsidRPr="00555976">
        <w:rPr>
          <w:rFonts w:ascii="Palatino Linotype" w:hAnsi="Palatino Linotype"/>
          <w:i/>
          <w:sz w:val="22"/>
        </w:rPr>
        <w:t>XIV. La orientación a un trámite específico.</w:t>
      </w:r>
    </w:p>
    <w:p w:rsidR="00C6021A" w:rsidRDefault="00C6021A" w:rsidP="00C6021A">
      <w:pPr>
        <w:ind w:left="709" w:right="757"/>
        <w:jc w:val="both"/>
        <w:rPr>
          <w:rFonts w:ascii="Palatino Linotype" w:hAnsi="Palatino Linotype"/>
          <w:i/>
          <w:sz w:val="22"/>
        </w:rPr>
      </w:pPr>
      <w:r w:rsidRPr="00555976">
        <w:rPr>
          <w:rFonts w:ascii="Palatino Linotype" w:hAnsi="Palatino Linotype"/>
          <w:i/>
          <w:sz w:val="22"/>
        </w:rPr>
        <w:t>La respuesta que den los sujetos obligados derivada de la resolución a un recurso de revisión que proceda por las causales señaladas en las fracciones IV, VII, IX, X, XI y XII es susceptible de ser impugnada de nueva cuenta, mediante recurso de</w:t>
      </w:r>
      <w:r>
        <w:rPr>
          <w:rFonts w:ascii="Palatino Linotype" w:hAnsi="Palatino Linotype"/>
          <w:i/>
          <w:sz w:val="22"/>
        </w:rPr>
        <w:t xml:space="preserve"> </w:t>
      </w:r>
      <w:r w:rsidRPr="00555976">
        <w:rPr>
          <w:rFonts w:ascii="Palatino Linotype" w:hAnsi="Palatino Linotype"/>
          <w:i/>
          <w:sz w:val="22"/>
        </w:rPr>
        <w:t>revisión, ante el Instituto.</w:t>
      </w:r>
    </w:p>
    <w:p w:rsidR="00B149B8" w:rsidRDefault="00595150" w:rsidP="0098798B">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lo señalado con </w:t>
      </w:r>
      <w:r w:rsidR="00B149B8">
        <w:rPr>
          <w:rFonts w:ascii="Palatino Linotype" w:hAnsi="Palatino Linotype" w:cs="Arial"/>
        </w:rPr>
        <w:t>anterior</w:t>
      </w:r>
      <w:r>
        <w:rPr>
          <w:rFonts w:ascii="Palatino Linotype" w:hAnsi="Palatino Linotype" w:cs="Arial"/>
        </w:rPr>
        <w:t>idad, se tiene que</w:t>
      </w:r>
      <w:r w:rsidR="00B149B8">
        <w:rPr>
          <w:rFonts w:ascii="Palatino Linotype" w:hAnsi="Palatino Linotype" w:cs="Arial"/>
        </w:rPr>
        <w:t xml:space="preserve"> este Órgano Garante debe aplicar un criterio exhaustivo y congruente entre la información de la que se debió ordenar su entrega y la</w:t>
      </w:r>
      <w:r>
        <w:rPr>
          <w:rFonts w:ascii="Palatino Linotype" w:hAnsi="Palatino Linotype" w:cs="Arial"/>
        </w:rPr>
        <w:t xml:space="preserve"> solicitud</w:t>
      </w:r>
      <w:r w:rsidR="00B149B8">
        <w:rPr>
          <w:rFonts w:ascii="Palatino Linotype" w:hAnsi="Palatino Linotype" w:cs="Arial"/>
        </w:rPr>
        <w:t xml:space="preserve"> de información; por </w:t>
      </w:r>
      <w:r w:rsidR="00CE4912">
        <w:rPr>
          <w:rFonts w:ascii="Palatino Linotype" w:hAnsi="Palatino Linotype" w:cs="Arial"/>
        </w:rPr>
        <w:t>ello, lo procedente era que se analizara la respuesta del Sujeto Obligado de los expedientes electrónicos materia del presente asunto</w:t>
      </w:r>
      <w:r w:rsidR="004A1D4D">
        <w:rPr>
          <w:rFonts w:ascii="Palatino Linotype" w:hAnsi="Palatino Linotype" w:cs="Arial"/>
        </w:rPr>
        <w:t xml:space="preserve">, a fin de dar cumplimiento a lo dispuesto en el artículo 9, fracciones I y VII, que a la letra dicen: </w:t>
      </w:r>
    </w:p>
    <w:p w:rsidR="00151792" w:rsidRPr="00CB7426" w:rsidRDefault="00151792" w:rsidP="002837B9">
      <w:pPr>
        <w:ind w:left="851" w:right="902"/>
        <w:jc w:val="both"/>
        <w:rPr>
          <w:rFonts w:ascii="Palatino Linotype" w:hAnsi="Palatino Linotype" w:cs="Arial"/>
          <w:bCs/>
          <w:i/>
          <w:sz w:val="22"/>
        </w:rPr>
      </w:pPr>
      <w:r w:rsidRPr="00CB7426">
        <w:rPr>
          <w:rFonts w:ascii="Palatino Linotype" w:hAnsi="Palatino Linotype" w:cs="Arial"/>
          <w:b/>
          <w:bCs/>
          <w:i/>
          <w:sz w:val="22"/>
        </w:rPr>
        <w:t xml:space="preserve">“Artículo 9. </w:t>
      </w:r>
      <w:r w:rsidRPr="00CB7426">
        <w:rPr>
          <w:rFonts w:ascii="Palatino Linotype" w:hAnsi="Palatino Linotype" w:cs="Arial"/>
          <w:bCs/>
          <w:i/>
          <w:sz w:val="22"/>
        </w:rPr>
        <w:t>El Instituto deberá regir su funcionamiento de acuerdo a los siguientes principios:</w:t>
      </w:r>
    </w:p>
    <w:p w:rsidR="00151792" w:rsidRPr="00CB7426" w:rsidRDefault="00151792" w:rsidP="002837B9">
      <w:pPr>
        <w:ind w:left="851" w:right="902"/>
        <w:jc w:val="both"/>
        <w:rPr>
          <w:rFonts w:ascii="Palatino Linotype" w:hAnsi="Palatino Linotype" w:cs="Arial"/>
          <w:b/>
          <w:bCs/>
          <w:i/>
          <w:sz w:val="22"/>
        </w:rPr>
      </w:pPr>
    </w:p>
    <w:p w:rsidR="00151792" w:rsidRPr="004A1D4D" w:rsidRDefault="00151792" w:rsidP="002837B9">
      <w:pPr>
        <w:ind w:left="851" w:right="902"/>
        <w:jc w:val="both"/>
        <w:rPr>
          <w:rFonts w:ascii="Palatino Linotype" w:hAnsi="Palatino Linotype" w:cs="Arial"/>
          <w:bCs/>
          <w:i/>
          <w:sz w:val="22"/>
        </w:rPr>
      </w:pPr>
      <w:r w:rsidRPr="00CB7426">
        <w:rPr>
          <w:rFonts w:ascii="Palatino Linotype" w:hAnsi="Palatino Linotype" w:cs="Arial"/>
          <w:b/>
          <w:bCs/>
          <w:i/>
          <w:sz w:val="22"/>
        </w:rPr>
        <w:lastRenderedPageBreak/>
        <w:t>I. Certeza:</w:t>
      </w:r>
      <w:r w:rsidRPr="00CB7426">
        <w:rPr>
          <w:rFonts w:ascii="Palatino Linotype" w:hAnsi="Palatino Linotype" w:cs="Arial"/>
          <w:bCs/>
          <w:i/>
          <w:sz w:val="22"/>
        </w:rPr>
        <w:t xml:space="preserve"> </w:t>
      </w:r>
      <w:r w:rsidRPr="004A1D4D">
        <w:rPr>
          <w:rFonts w:ascii="Palatino Linotype" w:hAnsi="Palatino Linotype" w:cs="Arial"/>
          <w:bCs/>
          <w:i/>
          <w:sz w:val="22"/>
        </w:rPr>
        <w:t xml:space="preserve">Principio que otorga seguridad y certidumbre jurídica a los particulares, en virtud de que permite conocer si las acciones del Instituto son apegadas a derecho y garantiza que los procedimientos sean completamente verificables, fidedignos y confiables; </w:t>
      </w:r>
    </w:p>
    <w:p w:rsidR="004A1D4D" w:rsidRDefault="00151792" w:rsidP="002837B9">
      <w:pPr>
        <w:ind w:left="851" w:right="902"/>
        <w:jc w:val="both"/>
        <w:rPr>
          <w:rFonts w:ascii="Palatino Linotype" w:hAnsi="Palatino Linotype" w:cs="Arial"/>
          <w:b/>
          <w:bCs/>
          <w:i/>
          <w:sz w:val="22"/>
        </w:rPr>
      </w:pPr>
      <w:r w:rsidRPr="00CB7426">
        <w:rPr>
          <w:rFonts w:ascii="Palatino Linotype" w:hAnsi="Palatino Linotype" w:cs="Arial"/>
          <w:b/>
          <w:bCs/>
          <w:i/>
          <w:sz w:val="22"/>
        </w:rPr>
        <w:t>…</w:t>
      </w:r>
    </w:p>
    <w:p w:rsidR="00151792" w:rsidRPr="004A1D4D" w:rsidRDefault="004A1D4D" w:rsidP="002837B9">
      <w:pPr>
        <w:ind w:left="851" w:right="899"/>
        <w:jc w:val="both"/>
        <w:rPr>
          <w:rFonts w:ascii="Palatino Linotype" w:hAnsi="Palatino Linotype" w:cs="Arial"/>
          <w:b/>
          <w:bCs/>
          <w:i/>
          <w:sz w:val="22"/>
          <w:szCs w:val="22"/>
        </w:rPr>
      </w:pPr>
      <w:r w:rsidRPr="004A1D4D">
        <w:rPr>
          <w:rFonts w:ascii="Palatino Linotype" w:hAnsi="Palatino Linotype" w:cs="Arial"/>
          <w:b/>
          <w:bCs/>
          <w:i/>
          <w:sz w:val="22"/>
          <w:szCs w:val="22"/>
        </w:rPr>
        <w:t>VII. Máxima Publicidad:</w:t>
      </w:r>
      <w:r w:rsidRPr="004A1D4D">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151792" w:rsidRPr="00CB7426" w:rsidRDefault="00151792" w:rsidP="002837B9">
      <w:pPr>
        <w:ind w:left="851" w:right="902"/>
        <w:jc w:val="both"/>
        <w:rPr>
          <w:rFonts w:ascii="Palatino Linotype" w:hAnsi="Palatino Linotype" w:cs="Arial"/>
          <w:bCs/>
          <w:i/>
          <w:sz w:val="22"/>
        </w:rPr>
      </w:pPr>
      <w:r w:rsidRPr="00CB7426">
        <w:rPr>
          <w:rFonts w:ascii="Palatino Linotype" w:hAnsi="Palatino Linotype" w:cs="Arial"/>
          <w:bCs/>
          <w:i/>
          <w:sz w:val="22"/>
        </w:rPr>
        <w:t>(Énfasis añadido)</w:t>
      </w:r>
    </w:p>
    <w:p w:rsidR="00151792" w:rsidRPr="00F5354F" w:rsidRDefault="00151792" w:rsidP="0098798B">
      <w:pPr>
        <w:spacing w:before="100" w:beforeAutospacing="1" w:after="100" w:afterAutospacing="1" w:line="360" w:lineRule="auto"/>
        <w:jc w:val="both"/>
        <w:rPr>
          <w:rFonts w:ascii="Palatino Linotype" w:hAnsi="Palatino Linotype" w:cs="Arial"/>
        </w:rPr>
      </w:pPr>
      <w:r w:rsidRPr="00F5354F">
        <w:rPr>
          <w:rFonts w:ascii="Palatino Linotype" w:hAnsi="Palatino Linotype"/>
        </w:rPr>
        <w:t xml:space="preserve">A fin de robustecer lo expuesto, conviene citar </w:t>
      </w:r>
      <w:r w:rsidRPr="00F5354F">
        <w:rPr>
          <w:rFonts w:ascii="Palatino Linotype" w:hAnsi="Palatino Linotype" w:cs="Segoe UI"/>
        </w:rPr>
        <w:t xml:space="preserve">el criterio orientador </w:t>
      </w:r>
      <w:r w:rsidRPr="00F5354F">
        <w:rPr>
          <w:rFonts w:ascii="Palatino Linotype" w:hAnsi="Palatino Linotype"/>
          <w:lang w:eastAsia="es-MX"/>
        </w:rPr>
        <w:t>002/2017 del Instituto Nacional de Acceso a la Información</w:t>
      </w:r>
      <w:r>
        <w:rPr>
          <w:rFonts w:ascii="Palatino Linotype" w:hAnsi="Palatino Linotype"/>
          <w:lang w:eastAsia="es-MX"/>
        </w:rPr>
        <w:t xml:space="preserve"> y Protección de Datos (INAI)</w:t>
      </w:r>
      <w:r w:rsidRPr="00F5354F">
        <w:rPr>
          <w:rFonts w:ascii="Palatino Linotype" w:hAnsi="Palatino Linotype" w:cs="Arial"/>
        </w:rPr>
        <w:t>, cuyo tenor es el siguiente:</w:t>
      </w:r>
    </w:p>
    <w:p w:rsidR="00151792" w:rsidRPr="004A1D4D" w:rsidRDefault="00151792" w:rsidP="0098798B">
      <w:pPr>
        <w:ind w:left="851" w:right="902"/>
        <w:jc w:val="both"/>
        <w:rPr>
          <w:rFonts w:ascii="Palatino Linotype" w:hAnsi="Palatino Linotype" w:cs="Arial"/>
          <w:b/>
          <w:bCs/>
          <w:i/>
          <w:sz w:val="22"/>
        </w:rPr>
      </w:pPr>
      <w:r w:rsidRPr="004A1D4D">
        <w:rPr>
          <w:rFonts w:ascii="Palatino Linotype" w:hAnsi="Palatino Linotype" w:cs="Arial"/>
          <w:b/>
          <w:bCs/>
          <w:i/>
          <w:sz w:val="22"/>
        </w:rPr>
        <w:t>“Congruencia y exhaustividad.</w:t>
      </w:r>
      <w:r w:rsidRPr="004A1D4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A1D4D">
        <w:rPr>
          <w:rFonts w:ascii="Palatino Linotype" w:hAnsi="Palatino Linotype" w:cs="Arial"/>
          <w:b/>
          <w:bCs/>
          <w:i/>
          <w:sz w:val="22"/>
        </w:rPr>
        <w:t>la congruencia implica que exista concordancia entre el requerimiento formulado por el particular y la respuesta proporcionada por el sujeto obligado;</w:t>
      </w:r>
      <w:r w:rsidRPr="004A1D4D">
        <w:rPr>
          <w:rFonts w:ascii="Palatino Linotype" w:hAnsi="Palatino Linotype" w:cs="Arial"/>
          <w:bCs/>
          <w:i/>
          <w:sz w:val="22"/>
        </w:rPr>
        <w:t xml:space="preserve"> mientras que </w:t>
      </w:r>
      <w:r w:rsidRPr="004A1D4D">
        <w:rPr>
          <w:rFonts w:ascii="Palatino Linotype" w:hAnsi="Palatino Linotype" w:cs="Arial"/>
          <w:b/>
          <w:bCs/>
          <w:i/>
          <w:sz w:val="22"/>
        </w:rPr>
        <w:t xml:space="preserve">la exhaustividad significa que dicha respuesta se refiera expresamente a cada uno de los puntos solicitados. </w:t>
      </w:r>
      <w:r w:rsidRPr="004A1D4D">
        <w:rPr>
          <w:rFonts w:ascii="Palatino Linotype" w:hAnsi="Palatino Linotype" w:cs="Arial"/>
          <w:bCs/>
          <w:i/>
          <w:sz w:val="22"/>
        </w:rPr>
        <w:t xml:space="preserve">Por lo anterior, los sujetos obligados cumplirán con los principios de congruencia y exhaustividad, </w:t>
      </w:r>
      <w:r w:rsidRPr="004A1D4D">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151792" w:rsidRDefault="00151792" w:rsidP="0098798B">
      <w:pPr>
        <w:ind w:left="851" w:right="902"/>
        <w:jc w:val="both"/>
        <w:rPr>
          <w:rFonts w:ascii="Palatino Linotype" w:hAnsi="Palatino Linotype" w:cs="Arial"/>
          <w:b/>
          <w:bCs/>
          <w:i/>
        </w:rPr>
      </w:pPr>
      <w:r w:rsidRPr="004A1D4D">
        <w:rPr>
          <w:rFonts w:ascii="Palatino Linotype" w:hAnsi="Palatino Linotype" w:cs="Arial"/>
          <w:bCs/>
          <w:i/>
          <w:sz w:val="22"/>
        </w:rPr>
        <w:t xml:space="preserve">Resoluciones: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0003/16. Comisión Nacional de las Zonas Áridas. 29 de junio de 2016. Por unanimidad. Comisionado Ponente Oscar Mauricio Guerra Ford.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0100/16. Sindicato Nacional de Trabajadores de la Educación. 13 de julio de 2016. Por unanimidad. Comisionada Ponente. Areli Cano Guadiana. </w:t>
      </w:r>
      <w:r w:rsidRPr="004A1D4D">
        <w:rPr>
          <w:rFonts w:ascii="Palatino Linotype" w:hAnsi="Palatino Linotype" w:cs="Arial"/>
          <w:bCs/>
          <w:i/>
          <w:sz w:val="22"/>
        </w:rPr>
        <w:sym w:font="Symbol" w:char="F0B7"/>
      </w:r>
      <w:r w:rsidRPr="004A1D4D">
        <w:rPr>
          <w:rFonts w:ascii="Palatino Linotype" w:hAnsi="Palatino Linotype" w:cs="Arial"/>
          <w:bCs/>
          <w:i/>
          <w:sz w:val="22"/>
        </w:rPr>
        <w:t xml:space="preserve"> RRA 1419/16. Secretaría de Educación Pública. 14 de septiembre de 2016. Por unanimidad. Comisionado Ponente </w:t>
      </w:r>
      <w:proofErr w:type="spellStart"/>
      <w:r w:rsidRPr="004A1D4D">
        <w:rPr>
          <w:rFonts w:ascii="Palatino Linotype" w:hAnsi="Palatino Linotype" w:cs="Arial"/>
          <w:bCs/>
          <w:i/>
          <w:sz w:val="22"/>
        </w:rPr>
        <w:t>Rosendoevgueni</w:t>
      </w:r>
      <w:proofErr w:type="spellEnd"/>
      <w:r w:rsidRPr="004A1D4D">
        <w:rPr>
          <w:rFonts w:ascii="Palatino Linotype" w:hAnsi="Palatino Linotype" w:cs="Arial"/>
          <w:bCs/>
          <w:i/>
          <w:sz w:val="22"/>
        </w:rPr>
        <w:t xml:space="preserve"> Monterrey </w:t>
      </w:r>
      <w:proofErr w:type="spellStart"/>
      <w:r w:rsidRPr="004A1D4D">
        <w:rPr>
          <w:rFonts w:ascii="Palatino Linotype" w:hAnsi="Palatino Linotype" w:cs="Arial"/>
          <w:bCs/>
          <w:i/>
          <w:sz w:val="22"/>
        </w:rPr>
        <w:t>Chepov</w:t>
      </w:r>
      <w:proofErr w:type="spellEnd"/>
      <w:r w:rsidRPr="004A1D4D">
        <w:rPr>
          <w:rFonts w:ascii="Palatino Linotype" w:hAnsi="Palatino Linotype" w:cs="Arial"/>
          <w:b/>
          <w:bCs/>
          <w:i/>
          <w:sz w:val="22"/>
        </w:rPr>
        <w:t>.</w:t>
      </w:r>
      <w:r w:rsidRPr="007D2ED5">
        <w:rPr>
          <w:rFonts w:ascii="Palatino Linotype" w:hAnsi="Palatino Linotype" w:cs="Arial"/>
          <w:b/>
          <w:bCs/>
          <w:i/>
        </w:rPr>
        <w:t>”</w:t>
      </w:r>
    </w:p>
    <w:p w:rsidR="00435BA7" w:rsidRDefault="00151792" w:rsidP="0098798B">
      <w:pPr>
        <w:spacing w:before="100" w:beforeAutospacing="1" w:after="100" w:afterAutospacing="1" w:line="360" w:lineRule="auto"/>
        <w:jc w:val="both"/>
        <w:rPr>
          <w:rFonts w:ascii="Palatino Linotype" w:hAnsi="Palatino Linotype"/>
          <w:b/>
        </w:rPr>
      </w:pPr>
      <w:r>
        <w:rPr>
          <w:rFonts w:ascii="Palatino Linotype" w:hAnsi="Palatino Linotype" w:cs="Arial"/>
        </w:rPr>
        <w:lastRenderedPageBreak/>
        <w:t xml:space="preserve">Es por lo anteriormente expuesto que, la que suscribe emite </w:t>
      </w:r>
      <w:r>
        <w:rPr>
          <w:rFonts w:ascii="Palatino Linotype" w:hAnsi="Palatino Linotype" w:cs="Arial"/>
          <w:b/>
        </w:rPr>
        <w:t xml:space="preserve">VOTO PARTICULAR, </w:t>
      </w:r>
      <w:r>
        <w:rPr>
          <w:rFonts w:ascii="Palatino Linotype" w:hAnsi="Palatino Linotype" w:cs="Arial"/>
        </w:rPr>
        <w:t xml:space="preserve">pues se insiste que la Ponencia </w:t>
      </w:r>
      <w:proofErr w:type="spellStart"/>
      <w:r>
        <w:rPr>
          <w:rFonts w:ascii="Palatino Linotype" w:hAnsi="Palatino Linotype" w:cs="Arial"/>
        </w:rPr>
        <w:t>Resolutora</w:t>
      </w:r>
      <w:proofErr w:type="spellEnd"/>
      <w:r>
        <w:rPr>
          <w:rFonts w:ascii="Palatino Linotype" w:hAnsi="Palatino Linotype" w:cs="Arial"/>
        </w:rPr>
        <w:t xml:space="preserve"> </w:t>
      </w:r>
      <w:r w:rsidR="00087DA3">
        <w:rPr>
          <w:rFonts w:ascii="Palatino Linotype" w:hAnsi="Palatino Linotype" w:cs="Arial"/>
        </w:rPr>
        <w:t xml:space="preserve">no </w:t>
      </w:r>
      <w:r>
        <w:rPr>
          <w:rFonts w:ascii="Palatino Linotype" w:hAnsi="Palatino Linotype" w:cs="Arial"/>
        </w:rPr>
        <w:t xml:space="preserve">debió </w:t>
      </w:r>
      <w:r w:rsidR="00087DA3">
        <w:rPr>
          <w:rFonts w:ascii="Palatino Linotype" w:hAnsi="Palatino Linotype" w:cs="Arial"/>
        </w:rPr>
        <w:t>versar su estudio en la respuesta q</w:t>
      </w:r>
      <w:r w:rsidR="00547CE7">
        <w:rPr>
          <w:rFonts w:ascii="Palatino Linotype" w:hAnsi="Palatino Linotype" w:cs="Arial"/>
        </w:rPr>
        <w:t xml:space="preserve">ue </w:t>
      </w:r>
      <w:r w:rsidR="00547CE7" w:rsidRPr="00547CE7">
        <w:rPr>
          <w:rFonts w:ascii="Palatino Linotype" w:hAnsi="Palatino Linotype" w:cs="Arial"/>
          <w:b/>
        </w:rPr>
        <w:t>EL SUJETO OBLIGADO</w:t>
      </w:r>
      <w:r w:rsidR="00547CE7">
        <w:rPr>
          <w:rFonts w:ascii="Palatino Linotype" w:hAnsi="Palatino Linotype" w:cs="Arial"/>
        </w:rPr>
        <w:t xml:space="preserve"> proporcionó</w:t>
      </w:r>
      <w:r w:rsidR="00087DA3">
        <w:rPr>
          <w:rFonts w:ascii="Palatino Linotype" w:hAnsi="Palatino Linotype" w:cs="Arial"/>
        </w:rPr>
        <w:t xml:space="preserve"> a </w:t>
      </w:r>
      <w:r w:rsidR="001533C1">
        <w:rPr>
          <w:rFonts w:ascii="Palatino Linotype" w:hAnsi="Palatino Linotype" w:cs="Arial"/>
        </w:rPr>
        <w:t xml:space="preserve">una solicitud </w:t>
      </w:r>
      <w:r w:rsidR="00087DA3">
        <w:rPr>
          <w:rFonts w:ascii="Palatino Linotype" w:hAnsi="Palatino Linotype" w:cs="Arial"/>
        </w:rPr>
        <w:t>diversa de información, misma que no formaban parte de</w:t>
      </w:r>
      <w:r w:rsidR="001533C1">
        <w:rPr>
          <w:rFonts w:ascii="Palatino Linotype" w:hAnsi="Palatino Linotype" w:cs="Arial"/>
        </w:rPr>
        <w:t>l presente asunto, ni obran en el</w:t>
      </w:r>
      <w:r w:rsidR="00087DA3">
        <w:rPr>
          <w:rFonts w:ascii="Palatino Linotype" w:hAnsi="Palatino Linotype" w:cs="Arial"/>
        </w:rPr>
        <w:t xml:space="preserve"> expediente electrónico de</w:t>
      </w:r>
      <w:r w:rsidR="001533C1">
        <w:rPr>
          <w:rFonts w:ascii="Palatino Linotype" w:hAnsi="Palatino Linotype" w:cs="Arial"/>
        </w:rPr>
        <w:t>l</w:t>
      </w:r>
      <w:r w:rsidR="00087DA3">
        <w:rPr>
          <w:rFonts w:ascii="Palatino Linotype" w:hAnsi="Palatino Linotype" w:cs="Arial"/>
        </w:rPr>
        <w:t xml:space="preserve"> recurso de revisión de que se trata</w:t>
      </w:r>
      <w:r w:rsidR="004A1D4D">
        <w:rPr>
          <w:rFonts w:ascii="Palatino Linotype" w:hAnsi="Palatino Linotype" w:cs="Arial"/>
        </w:rPr>
        <w:t>, ello en atención a los</w:t>
      </w:r>
      <w:r>
        <w:rPr>
          <w:rFonts w:ascii="Palatino Linotype" w:hAnsi="Palatino Linotype" w:cs="Arial"/>
        </w:rPr>
        <w:t xml:space="preserve"> principios de exhaustividad y congruencia a fin de otorgar certeza jurídica a</w:t>
      </w:r>
      <w:r w:rsidR="00821FFE">
        <w:rPr>
          <w:rFonts w:ascii="Palatino Linotype" w:hAnsi="Palatino Linotype" w:cs="Arial"/>
        </w:rPr>
        <w:t>l</w:t>
      </w:r>
      <w:r>
        <w:rPr>
          <w:rFonts w:ascii="Palatino Linotype" w:hAnsi="Palatino Linotype" w:cs="Arial"/>
        </w:rPr>
        <w:t xml:space="preserve"> </w:t>
      </w:r>
      <w:r w:rsidR="0007511A" w:rsidRPr="002837B9">
        <w:rPr>
          <w:rFonts w:ascii="Palatino Linotype" w:hAnsi="Palatino Linotype" w:cs="Arial"/>
          <w:b/>
        </w:rPr>
        <w:t>RECURRENTE</w:t>
      </w:r>
      <w:r>
        <w:rPr>
          <w:rFonts w:ascii="Palatino Linotype" w:hAnsi="Palatino Linotype" w:cs="Arial"/>
        </w:rPr>
        <w:t>.</w:t>
      </w:r>
    </w:p>
    <w:p w:rsidR="002837B9" w:rsidRDefault="002837B9" w:rsidP="0098798B">
      <w:pPr>
        <w:jc w:val="center"/>
        <w:rPr>
          <w:rFonts w:ascii="Palatino Linotype" w:hAnsi="Palatino Linotype"/>
          <w:b/>
        </w:rPr>
      </w:pPr>
    </w:p>
    <w:p w:rsidR="00624D3A" w:rsidRDefault="00624D3A" w:rsidP="0098798B">
      <w:pPr>
        <w:jc w:val="center"/>
        <w:rPr>
          <w:rFonts w:ascii="Palatino Linotype" w:hAnsi="Palatino Linotype"/>
          <w:b/>
        </w:rPr>
      </w:pPr>
    </w:p>
    <w:p w:rsidR="00087DA3" w:rsidRDefault="00087DA3" w:rsidP="0098798B">
      <w:pPr>
        <w:jc w:val="center"/>
        <w:rPr>
          <w:rFonts w:ascii="Palatino Linotype" w:hAnsi="Palatino Linotype"/>
          <w:b/>
        </w:rPr>
      </w:pPr>
    </w:p>
    <w:p w:rsidR="00087DA3" w:rsidRDefault="00087DA3" w:rsidP="0098798B">
      <w:pPr>
        <w:jc w:val="center"/>
        <w:rPr>
          <w:rFonts w:ascii="Palatino Linotype" w:hAnsi="Palatino Linotype"/>
          <w:b/>
        </w:rPr>
      </w:pPr>
    </w:p>
    <w:p w:rsidR="00087DA3" w:rsidRDefault="00087DA3" w:rsidP="0098798B">
      <w:pPr>
        <w:jc w:val="center"/>
        <w:rPr>
          <w:rFonts w:ascii="Palatino Linotype" w:hAnsi="Palatino Linotype"/>
          <w:b/>
        </w:rPr>
      </w:pPr>
    </w:p>
    <w:p w:rsidR="00624D3A" w:rsidRDefault="00624D3A" w:rsidP="0098798B">
      <w:pPr>
        <w:jc w:val="center"/>
        <w:rPr>
          <w:rFonts w:ascii="Palatino Linotype" w:hAnsi="Palatino Linotype"/>
          <w:b/>
          <w:sz w:val="20"/>
        </w:rPr>
      </w:pPr>
    </w:p>
    <w:p w:rsidR="002245AE" w:rsidRDefault="002245AE" w:rsidP="0098798B">
      <w:pPr>
        <w:jc w:val="center"/>
        <w:rPr>
          <w:rFonts w:ascii="Palatino Linotype" w:hAnsi="Palatino Linotype"/>
          <w:b/>
          <w:sz w:val="20"/>
        </w:rPr>
      </w:pPr>
    </w:p>
    <w:p w:rsidR="00ED7D81" w:rsidRDefault="00ED7D81" w:rsidP="0098798B">
      <w:pPr>
        <w:jc w:val="center"/>
        <w:rPr>
          <w:rFonts w:ascii="Palatino Linotype" w:hAnsi="Palatino Linotype"/>
          <w:b/>
          <w:sz w:val="20"/>
        </w:rPr>
      </w:pPr>
    </w:p>
    <w:p w:rsidR="00954CB2" w:rsidRDefault="00954CB2" w:rsidP="0098798B">
      <w:pPr>
        <w:jc w:val="center"/>
        <w:rPr>
          <w:rFonts w:ascii="Palatino Linotype" w:hAnsi="Palatino Linotype"/>
          <w:b/>
          <w:sz w:val="20"/>
        </w:rPr>
      </w:pPr>
    </w:p>
    <w:p w:rsidR="00ED7D81" w:rsidRPr="00624D3A" w:rsidRDefault="00ED7D81" w:rsidP="0098798B">
      <w:pPr>
        <w:jc w:val="center"/>
        <w:rPr>
          <w:rFonts w:ascii="Palatino Linotype" w:hAnsi="Palatino Linotype"/>
          <w:b/>
          <w:sz w:val="20"/>
        </w:rPr>
      </w:pPr>
    </w:p>
    <w:p w:rsidR="00435BA7" w:rsidRPr="00535456" w:rsidRDefault="00435BA7" w:rsidP="0098798B">
      <w:pPr>
        <w:jc w:val="center"/>
        <w:rPr>
          <w:rFonts w:ascii="Palatino Linotype" w:hAnsi="Palatino Linotype"/>
          <w:b/>
        </w:rPr>
      </w:pPr>
      <w:r w:rsidRPr="00535456">
        <w:rPr>
          <w:rFonts w:ascii="Palatino Linotype" w:hAnsi="Palatino Linotype"/>
          <w:b/>
        </w:rPr>
        <w:t>EVA ABAID YAPUR</w:t>
      </w:r>
    </w:p>
    <w:p w:rsidR="00435BA7" w:rsidRDefault="00435BA7" w:rsidP="0098798B">
      <w:pPr>
        <w:jc w:val="center"/>
        <w:rPr>
          <w:rFonts w:ascii="Palatino Linotype" w:hAnsi="Palatino Linotype"/>
          <w:b/>
        </w:rPr>
      </w:pPr>
      <w:r w:rsidRPr="00535456">
        <w:rPr>
          <w:rFonts w:ascii="Palatino Linotype" w:hAnsi="Palatino Linotype"/>
          <w:b/>
        </w:rPr>
        <w:t>COMISIONADA</w:t>
      </w:r>
    </w:p>
    <w:p w:rsidR="009C2942" w:rsidRDefault="009C2942" w:rsidP="0098798B">
      <w:pPr>
        <w:jc w:val="center"/>
        <w:rPr>
          <w:rFonts w:ascii="Palatino Linotype" w:hAnsi="Palatino Linotype"/>
          <w:b/>
        </w:rPr>
      </w:pPr>
      <w:r>
        <w:rPr>
          <w:rFonts w:ascii="Palatino Linotype" w:hAnsi="Palatino Linotype"/>
          <w:b/>
        </w:rPr>
        <w:t>(RÚBRICA)</w:t>
      </w:r>
    </w:p>
    <w:p w:rsidR="00ED7D81" w:rsidRDefault="00ED7D81" w:rsidP="0098798B">
      <w:pPr>
        <w:jc w:val="center"/>
        <w:rPr>
          <w:rFonts w:ascii="Palatino Linotype" w:hAnsi="Palatino Linotype"/>
          <w:b/>
        </w:rPr>
      </w:pPr>
      <w:bookmarkStart w:id="0" w:name="_GoBack"/>
      <w:bookmarkEnd w:id="0"/>
    </w:p>
    <w:p w:rsidR="00ED7D81" w:rsidRDefault="00ED7D81" w:rsidP="0098798B">
      <w:pPr>
        <w:jc w:val="center"/>
        <w:rPr>
          <w:rFonts w:ascii="Palatino Linotype" w:hAnsi="Palatino Linotype"/>
          <w:b/>
        </w:rPr>
      </w:pPr>
    </w:p>
    <w:p w:rsidR="00954CB2" w:rsidRDefault="00954CB2" w:rsidP="0098798B">
      <w:pPr>
        <w:jc w:val="center"/>
        <w:rPr>
          <w:rFonts w:ascii="Palatino Linotype" w:hAnsi="Palatino Linotype"/>
          <w:b/>
        </w:rPr>
      </w:pPr>
    </w:p>
    <w:p w:rsidR="00ED7D81" w:rsidRDefault="00ED7D81" w:rsidP="0098798B">
      <w:pPr>
        <w:jc w:val="center"/>
        <w:rPr>
          <w:rFonts w:ascii="Palatino Linotype" w:hAnsi="Palatino Linotype"/>
          <w:b/>
        </w:rPr>
      </w:pPr>
    </w:p>
    <w:p w:rsidR="00ED7D81" w:rsidRDefault="00ED7D81" w:rsidP="0098798B">
      <w:pPr>
        <w:jc w:val="center"/>
        <w:rPr>
          <w:rFonts w:ascii="Palatino Linotype" w:hAnsi="Palatino Linotype"/>
          <w:b/>
        </w:rPr>
      </w:pPr>
    </w:p>
    <w:p w:rsidR="00ED7D81" w:rsidRDefault="00ED7D81" w:rsidP="0098798B">
      <w:pPr>
        <w:jc w:val="center"/>
        <w:rPr>
          <w:rFonts w:ascii="Palatino Linotype" w:hAnsi="Palatino Linotype"/>
          <w:b/>
        </w:rPr>
      </w:pPr>
    </w:p>
    <w:p w:rsidR="002245AE" w:rsidRDefault="002245AE" w:rsidP="0098798B">
      <w:pPr>
        <w:jc w:val="center"/>
        <w:rPr>
          <w:rFonts w:ascii="Palatino Linotype" w:hAnsi="Palatino Linotype"/>
          <w:b/>
        </w:rPr>
      </w:pPr>
    </w:p>
    <w:p w:rsidR="002245AE" w:rsidRDefault="002245AE" w:rsidP="0098798B">
      <w:pPr>
        <w:jc w:val="center"/>
        <w:rPr>
          <w:rFonts w:ascii="Palatino Linotype" w:hAnsi="Palatino Linotype"/>
          <w:b/>
        </w:rPr>
      </w:pPr>
    </w:p>
    <w:p w:rsidR="00624D3A" w:rsidRDefault="00624D3A" w:rsidP="0098798B">
      <w:pPr>
        <w:jc w:val="both"/>
        <w:rPr>
          <w:rFonts w:ascii="Palatino Linotype" w:hAnsi="Palatino Linotype"/>
          <w:b/>
          <w:sz w:val="8"/>
          <w:szCs w:val="8"/>
        </w:rPr>
      </w:pPr>
    </w:p>
    <w:p w:rsidR="00954CB2" w:rsidRDefault="00954CB2" w:rsidP="0098798B">
      <w:pPr>
        <w:jc w:val="both"/>
        <w:rPr>
          <w:rFonts w:ascii="Palatino Linotype" w:hAnsi="Palatino Linotype"/>
          <w:b/>
          <w:sz w:val="8"/>
          <w:szCs w:val="8"/>
        </w:rPr>
      </w:pPr>
    </w:p>
    <w:p w:rsidR="00954CB2" w:rsidRDefault="00954CB2" w:rsidP="0098798B">
      <w:pPr>
        <w:jc w:val="both"/>
        <w:rPr>
          <w:rFonts w:ascii="Palatino Linotype" w:hAnsi="Palatino Linotype"/>
          <w:b/>
          <w:sz w:val="8"/>
          <w:szCs w:val="8"/>
        </w:rPr>
      </w:pPr>
    </w:p>
    <w:p w:rsidR="00435BA7" w:rsidRDefault="00435BA7" w:rsidP="0098798B">
      <w:pPr>
        <w:jc w:val="both"/>
        <w:rPr>
          <w:rFonts w:ascii="Palatino Linotype" w:eastAsia="Calibri" w:hAnsi="Palatino Linotype" w:cs="Arial"/>
          <w:sz w:val="20"/>
        </w:rPr>
      </w:pPr>
      <w:r w:rsidRPr="00535456">
        <w:rPr>
          <w:rFonts w:ascii="Palatino Linotype" w:eastAsia="Calibri" w:hAnsi="Palatino Linotype" w:cs="Arial"/>
          <w:sz w:val="20"/>
        </w:rPr>
        <w:t xml:space="preserve">Esta hoja corresponde al voto particular emitido en la resolución </w:t>
      </w:r>
      <w:r w:rsidR="00665FA9">
        <w:rPr>
          <w:rFonts w:ascii="Palatino Linotype" w:eastAsia="Calibri" w:hAnsi="Palatino Linotype" w:cs="Arial"/>
          <w:sz w:val="20"/>
        </w:rPr>
        <w:t>de</w:t>
      </w:r>
      <w:r w:rsidR="00595150">
        <w:rPr>
          <w:rFonts w:ascii="Palatino Linotype" w:eastAsia="Calibri" w:hAnsi="Palatino Linotype" w:cs="Arial"/>
          <w:sz w:val="20"/>
        </w:rPr>
        <w:t>l</w:t>
      </w:r>
      <w:r w:rsidR="00665FA9">
        <w:rPr>
          <w:rFonts w:ascii="Palatino Linotype" w:eastAsia="Calibri" w:hAnsi="Palatino Linotype" w:cs="Arial"/>
          <w:sz w:val="20"/>
        </w:rPr>
        <w:t xml:space="preserve"> recurso</w:t>
      </w:r>
      <w:r w:rsidR="001533C1">
        <w:rPr>
          <w:rFonts w:ascii="Palatino Linotype" w:eastAsia="Calibri" w:hAnsi="Palatino Linotype" w:cs="Arial"/>
          <w:sz w:val="20"/>
        </w:rPr>
        <w:t xml:space="preserve"> de revisión 06720</w:t>
      </w:r>
      <w:r w:rsidRPr="003049BC">
        <w:rPr>
          <w:rFonts w:ascii="Palatino Linotype" w:eastAsia="Calibri" w:hAnsi="Palatino Linotype" w:cs="Arial"/>
          <w:sz w:val="20"/>
        </w:rPr>
        <w:t>/INFOEM/IP/R</w:t>
      </w:r>
      <w:r>
        <w:rPr>
          <w:rFonts w:ascii="Palatino Linotype" w:eastAsia="Calibri" w:hAnsi="Palatino Linotype" w:cs="Arial"/>
          <w:sz w:val="20"/>
        </w:rPr>
        <w:t>R/2019</w:t>
      </w:r>
      <w:r w:rsidRPr="00535456">
        <w:rPr>
          <w:rFonts w:ascii="Palatino Linotype" w:eastAsia="Calibri" w:hAnsi="Palatino Linotype" w:cs="Arial"/>
          <w:sz w:val="20"/>
        </w:rPr>
        <w:t xml:space="preserve">, aprobada </w:t>
      </w:r>
      <w:r>
        <w:rPr>
          <w:rFonts w:ascii="Palatino Linotype" w:eastAsia="Calibri" w:hAnsi="Palatino Linotype" w:cs="Arial"/>
          <w:sz w:val="20"/>
        </w:rPr>
        <w:t xml:space="preserve">el </w:t>
      </w:r>
      <w:r w:rsidR="001533C1">
        <w:rPr>
          <w:rFonts w:ascii="Palatino Linotype" w:eastAsia="Calibri" w:hAnsi="Palatino Linotype" w:cs="Arial"/>
          <w:sz w:val="20"/>
        </w:rPr>
        <w:t>veinti</w:t>
      </w:r>
      <w:r w:rsidR="002245AE">
        <w:rPr>
          <w:rFonts w:ascii="Palatino Linotype" w:eastAsia="Calibri" w:hAnsi="Palatino Linotype" w:cs="Arial"/>
          <w:sz w:val="20"/>
        </w:rPr>
        <w:t>cuatro</w:t>
      </w:r>
      <w:r w:rsidR="00665FA9">
        <w:rPr>
          <w:rFonts w:ascii="Palatino Linotype" w:eastAsia="Calibri" w:hAnsi="Palatino Linotype" w:cs="Arial"/>
          <w:sz w:val="20"/>
        </w:rPr>
        <w:t xml:space="preserve"> </w:t>
      </w:r>
      <w:r>
        <w:rPr>
          <w:rFonts w:ascii="Palatino Linotype" w:eastAsia="Calibri" w:hAnsi="Palatino Linotype" w:cs="Arial"/>
          <w:sz w:val="20"/>
        </w:rPr>
        <w:t>de</w:t>
      </w:r>
      <w:r w:rsidR="00AD5B7B">
        <w:rPr>
          <w:rFonts w:ascii="Palatino Linotype" w:eastAsia="Calibri" w:hAnsi="Palatino Linotype" w:cs="Arial"/>
          <w:sz w:val="20"/>
        </w:rPr>
        <w:t xml:space="preserve"> </w:t>
      </w:r>
      <w:r w:rsidR="001533C1">
        <w:rPr>
          <w:rFonts w:ascii="Palatino Linotype" w:eastAsia="Calibri" w:hAnsi="Palatino Linotype" w:cs="Arial"/>
          <w:sz w:val="20"/>
        </w:rPr>
        <w:t xml:space="preserve">octubre </w:t>
      </w:r>
      <w:r w:rsidR="00AD5B7B">
        <w:rPr>
          <w:rFonts w:ascii="Palatino Linotype" w:eastAsia="Calibri" w:hAnsi="Palatino Linotype" w:cs="Arial"/>
          <w:sz w:val="20"/>
        </w:rPr>
        <w:t>de</w:t>
      </w:r>
      <w:r>
        <w:rPr>
          <w:rFonts w:ascii="Palatino Linotype" w:eastAsia="Calibri" w:hAnsi="Palatino Linotype" w:cs="Arial"/>
          <w:sz w:val="20"/>
        </w:rPr>
        <w:t xml:space="preserve"> </w:t>
      </w:r>
      <w:r w:rsidRPr="00535456">
        <w:rPr>
          <w:rFonts w:ascii="Palatino Linotype" w:eastAsia="Calibri" w:hAnsi="Palatino Linotype" w:cs="Arial"/>
          <w:sz w:val="20"/>
        </w:rPr>
        <w:t xml:space="preserve">dos mil diecinueve. </w:t>
      </w:r>
    </w:p>
    <w:p w:rsidR="00665FA9" w:rsidRDefault="00665FA9" w:rsidP="0098798B">
      <w:pPr>
        <w:jc w:val="both"/>
        <w:rPr>
          <w:rFonts w:ascii="Palatino Linotype" w:hAnsi="Palatino Linotype"/>
          <w:b/>
          <w:sz w:val="8"/>
          <w:szCs w:val="8"/>
        </w:rPr>
      </w:pPr>
    </w:p>
    <w:p w:rsidR="00A517EA" w:rsidRPr="00535456" w:rsidRDefault="00665FA9" w:rsidP="0098798B">
      <w:pPr>
        <w:jc w:val="both"/>
        <w:rPr>
          <w:rFonts w:ascii="Palatino Linotype" w:hAnsi="Palatino Linotype"/>
          <w:sz w:val="20"/>
        </w:rPr>
      </w:pPr>
      <w:r>
        <w:rPr>
          <w:rFonts w:ascii="Palatino Linotype" w:eastAsia="Calibri" w:hAnsi="Palatino Linotype" w:cs="Arial"/>
          <w:sz w:val="20"/>
        </w:rPr>
        <w:t>YSM</w:t>
      </w:r>
      <w:r w:rsidR="00435BA7" w:rsidRPr="00535456">
        <w:rPr>
          <w:rFonts w:ascii="Palatino Linotype" w:eastAsia="Calibri" w:hAnsi="Palatino Linotype" w:cs="Arial"/>
          <w:sz w:val="20"/>
        </w:rPr>
        <w:t>/</w:t>
      </w:r>
      <w:r w:rsidR="00624D3A">
        <w:rPr>
          <w:rFonts w:ascii="Palatino Linotype" w:eastAsia="Calibri" w:hAnsi="Palatino Linotype" w:cs="Arial"/>
          <w:noProof/>
          <w:sz w:val="20"/>
          <w:lang w:eastAsia="es-MX"/>
        </w:rPr>
        <w:t>ATU/</w:t>
      </w:r>
      <w:r>
        <w:rPr>
          <w:rFonts w:ascii="Palatino Linotype" w:eastAsia="Calibri" w:hAnsi="Palatino Linotype" w:cs="Arial"/>
          <w:noProof/>
          <w:sz w:val="20"/>
          <w:lang w:eastAsia="es-MX"/>
        </w:rPr>
        <w:t>IAHA</w:t>
      </w:r>
      <w:r w:rsidR="002837B9">
        <w:rPr>
          <w:rFonts w:ascii="Palatino Linotype" w:eastAsia="Calibri" w:hAnsi="Palatino Linotype" w:cs="Arial"/>
          <w:noProof/>
          <w:sz w:val="20"/>
          <w:lang w:eastAsia="es-MX"/>
        </w:rPr>
        <w:t xml:space="preserve"> </w:t>
      </w:r>
    </w:p>
    <w:sectPr w:rsidR="00A517EA" w:rsidRPr="00535456" w:rsidSect="006B4319">
      <w:headerReference w:type="default" r:id="rId8"/>
      <w:footerReference w:type="default" r:id="rId9"/>
      <w:pgSz w:w="12240" w:h="15840"/>
      <w:pgMar w:top="2836"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6AF" w:rsidRDefault="00E676AF" w:rsidP="00DB3A83">
      <w:r>
        <w:separator/>
      </w:r>
    </w:p>
  </w:endnote>
  <w:endnote w:type="continuationSeparator" w:id="0">
    <w:p w:rsidR="00E676AF" w:rsidRDefault="00E676AF"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6B4319">
    <w:pPr>
      <w:pStyle w:val="Piedepgina"/>
      <w:tabs>
        <w:tab w:val="clear" w:pos="4252"/>
        <w:tab w:val="left" w:pos="4228"/>
      </w:tabs>
      <w:jc w:val="center"/>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C2942">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C2942">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6AF" w:rsidRDefault="00E676AF" w:rsidP="00DB3A83">
      <w:r>
        <w:separator/>
      </w:r>
    </w:p>
  </w:footnote>
  <w:footnote w:type="continuationSeparator" w:id="0">
    <w:p w:rsidR="00E676AF" w:rsidRDefault="00E676AF"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319" w:rsidRDefault="006B4319" w:rsidP="005A7983">
    <w:pPr>
      <w:pStyle w:val="Encabezado"/>
      <w:tabs>
        <w:tab w:val="clear" w:pos="4252"/>
        <w:tab w:val="clear" w:pos="8504"/>
        <w:tab w:val="left" w:pos="2415"/>
      </w:tabs>
    </w:pPr>
  </w:p>
  <w:p w:rsidR="001454FE" w:rsidRDefault="00D569AE" w:rsidP="005A7983">
    <w:pPr>
      <w:pStyle w:val="Encabezado"/>
      <w:tabs>
        <w:tab w:val="clear" w:pos="4252"/>
        <w:tab w:val="clear" w:pos="8504"/>
        <w:tab w:val="left" w:pos="2415"/>
      </w:tabs>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-311785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5A7983">
      <w:tab/>
    </w:r>
  </w:p>
  <w:p w:rsidR="008B6C66" w:rsidRDefault="009C2942" w:rsidP="008B6C66">
    <w:pPr>
      <w:pStyle w:val="Encabezado"/>
      <w:tabs>
        <w:tab w:val="clear" w:pos="4252"/>
        <w:tab w:val="clear" w:pos="8504"/>
        <w:tab w:val="left" w:pos="2326"/>
      </w:tabs>
      <w:jc w:val="right"/>
    </w:pPr>
    <w:sdt>
      <w:sdtPr>
        <w:id w:val="-216208682"/>
        <w:docPartObj>
          <w:docPartGallery w:val="Watermarks"/>
          <w:docPartUnique/>
        </w:docPartObj>
      </w:sdtPr>
      <w:sdtEndPr/>
      <w:sdtContent/>
    </w:sdt>
  </w:p>
  <w:p w:rsidR="008B6C66" w:rsidRDefault="008B6C66" w:rsidP="00B5435C">
    <w:pPr>
      <w:pStyle w:val="Encabezado"/>
      <w:tabs>
        <w:tab w:val="clear" w:pos="4252"/>
        <w:tab w:val="clear" w:pos="8504"/>
        <w:tab w:val="left" w:pos="2326"/>
      </w:tabs>
      <w:jc w:val="right"/>
      <w:rPr>
        <w:rFonts w:ascii="Palatino Linotype" w:hAnsi="Palatino Linotype"/>
      </w:rPr>
    </w:pPr>
  </w:p>
  <w:p w:rsidR="008B6C66" w:rsidRDefault="005A339C" w:rsidP="005A339C">
    <w:pPr>
      <w:pStyle w:val="Encabezado"/>
      <w:tabs>
        <w:tab w:val="clear" w:pos="4252"/>
        <w:tab w:val="clear" w:pos="8504"/>
        <w:tab w:val="left" w:pos="2326"/>
        <w:tab w:val="left" w:pos="3135"/>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CF0636">
      <w:rPr>
        <w:rFonts w:ascii="Palatino Linotype" w:hAnsi="Palatino Linotype" w:cs="Arial"/>
        <w:sz w:val="20"/>
        <w:szCs w:val="20"/>
      </w:rPr>
      <w:t xml:space="preserve"> </w:t>
    </w:r>
    <w:r w:rsidR="003A1B0A" w:rsidRPr="003764C2">
      <w:rPr>
        <w:rFonts w:ascii="Palatino Linotype" w:hAnsi="Palatino Linotype" w:cs="Arial"/>
        <w:sz w:val="20"/>
        <w:szCs w:val="20"/>
      </w:rPr>
      <w:t>VOTO</w:t>
    </w:r>
    <w:r w:rsidR="003A1B0A" w:rsidRPr="006F01F2">
      <w:rPr>
        <w:rFonts w:ascii="Palatino Linotype" w:hAnsi="Palatino Linotype" w:cs="Arial"/>
        <w:sz w:val="20"/>
        <w:szCs w:val="20"/>
      </w:rPr>
      <w:t xml:space="preserve"> PARTICULAR</w:t>
    </w:r>
  </w:p>
  <w:p w:rsidR="00E90BA5" w:rsidRPr="004F21A8" w:rsidRDefault="009C2942" w:rsidP="005A339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left:0;text-align:left;margin-left:0;margin-top:0;width:678.35pt;height:93.5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r w:rsidR="003A1B0A" w:rsidRPr="00706042">
      <w:rPr>
        <w:rFonts w:ascii="Palatino Linotype" w:hAnsi="Palatino Linotype" w:cs="Arial"/>
        <w:sz w:val="20"/>
        <w:szCs w:val="20"/>
      </w:rPr>
      <w:t>RECURSO DE REVISIÓN</w:t>
    </w:r>
    <w:r w:rsidR="003A1B0A">
      <w:rPr>
        <w:rFonts w:ascii="Palatino Linotype" w:hAnsi="Palatino Linotype" w:cs="Arial"/>
        <w:sz w:val="20"/>
        <w:szCs w:val="20"/>
      </w:rPr>
      <w:t xml:space="preserve"> 06720</w:t>
    </w:r>
    <w:r w:rsidR="003A1B0A" w:rsidRPr="00CF0636">
      <w:rPr>
        <w:rFonts w:ascii="Palatino Linotype" w:hAnsi="Palatino Linotype" w:cs="Arial"/>
        <w:sz w:val="20"/>
        <w:szCs w:val="20"/>
      </w:rPr>
      <w:t>/INFOEM/IP/RR/2019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F2F"/>
    <w:multiLevelType w:val="hybridMultilevel"/>
    <w:tmpl w:val="3A4CF9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E07C4"/>
    <w:multiLevelType w:val="hybridMultilevel"/>
    <w:tmpl w:val="5B3ED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D22E62"/>
    <w:multiLevelType w:val="hybridMultilevel"/>
    <w:tmpl w:val="2BB06A72"/>
    <w:lvl w:ilvl="0" w:tplc="A332663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EE1E1D"/>
    <w:multiLevelType w:val="hybridMultilevel"/>
    <w:tmpl w:val="C6F677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FD6ED6"/>
    <w:multiLevelType w:val="hybridMultilevel"/>
    <w:tmpl w:val="052CA9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7F2B30"/>
    <w:multiLevelType w:val="hybridMultilevel"/>
    <w:tmpl w:val="3880FD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3B5ABF"/>
    <w:multiLevelType w:val="hybridMultilevel"/>
    <w:tmpl w:val="8D1285E4"/>
    <w:lvl w:ilvl="0" w:tplc="A87C313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6A3CD7"/>
    <w:multiLevelType w:val="hybridMultilevel"/>
    <w:tmpl w:val="C3F89F5A"/>
    <w:lvl w:ilvl="0" w:tplc="1472C04C">
      <w:start w:val="1"/>
      <w:numFmt w:val="lowerLetter"/>
      <w:lvlText w:val="%1)"/>
      <w:lvlJc w:val="left"/>
      <w:pPr>
        <w:ind w:left="1211" w:hanging="36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13" w15:restartNumberingAfterBreak="0">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3D5B8E"/>
    <w:multiLevelType w:val="hybridMultilevel"/>
    <w:tmpl w:val="597A1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B5495D"/>
    <w:multiLevelType w:val="hybridMultilevel"/>
    <w:tmpl w:val="F4064E1E"/>
    <w:lvl w:ilvl="0" w:tplc="255239D4">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8738FC"/>
    <w:multiLevelType w:val="hybridMultilevel"/>
    <w:tmpl w:val="A2424A8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01D7CDD"/>
    <w:multiLevelType w:val="hybridMultilevel"/>
    <w:tmpl w:val="EEFE3A14"/>
    <w:lvl w:ilvl="0" w:tplc="81F4DACA">
      <w:start w:val="1"/>
      <w:numFmt w:val="decimal"/>
      <w:lvlText w:val="%1."/>
      <w:lvlJc w:val="center"/>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7B0DEC"/>
    <w:multiLevelType w:val="hybridMultilevel"/>
    <w:tmpl w:val="9A0E9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6B0F72"/>
    <w:multiLevelType w:val="hybridMultilevel"/>
    <w:tmpl w:val="01A209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27" w15:restartNumberingAfterBreak="0">
    <w:nsid w:val="7F564F7B"/>
    <w:multiLevelType w:val="hybridMultilevel"/>
    <w:tmpl w:val="7F488700"/>
    <w:lvl w:ilvl="0" w:tplc="C2FE0248">
      <w:start w:val="1"/>
      <w:numFmt w:val="upp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22"/>
  </w:num>
  <w:num w:numId="2">
    <w:abstractNumId w:val="14"/>
  </w:num>
  <w:num w:numId="3">
    <w:abstractNumId w:val="9"/>
  </w:num>
  <w:num w:numId="4">
    <w:abstractNumId w:val="10"/>
  </w:num>
  <w:num w:numId="5">
    <w:abstractNumId w:val="2"/>
  </w:num>
  <w:num w:numId="6">
    <w:abstractNumId w:val="13"/>
  </w:num>
  <w:num w:numId="7">
    <w:abstractNumId w:val="25"/>
  </w:num>
  <w:num w:numId="8">
    <w:abstractNumId w:val="12"/>
  </w:num>
  <w:num w:numId="9">
    <w:abstractNumId w:val="11"/>
  </w:num>
  <w:num w:numId="10">
    <w:abstractNumId w:val="26"/>
  </w:num>
  <w:num w:numId="11">
    <w:abstractNumId w:val="21"/>
  </w:num>
  <w:num w:numId="12">
    <w:abstractNumId w:val="17"/>
  </w:num>
  <w:num w:numId="13">
    <w:abstractNumId w:val="4"/>
  </w:num>
  <w:num w:numId="14">
    <w:abstractNumId w:val="1"/>
  </w:num>
  <w:num w:numId="15">
    <w:abstractNumId w:val="18"/>
  </w:num>
  <w:num w:numId="16">
    <w:abstractNumId w:val="15"/>
  </w:num>
  <w:num w:numId="17">
    <w:abstractNumId w:val="24"/>
  </w:num>
  <w:num w:numId="18">
    <w:abstractNumId w:val="8"/>
  </w:num>
  <w:num w:numId="19">
    <w:abstractNumId w:val="7"/>
  </w:num>
  <w:num w:numId="20">
    <w:abstractNumId w:val="0"/>
  </w:num>
  <w:num w:numId="21">
    <w:abstractNumId w:val="6"/>
  </w:num>
  <w:num w:numId="22">
    <w:abstractNumId w:val="23"/>
  </w:num>
  <w:num w:numId="23">
    <w:abstractNumId w:val="16"/>
  </w:num>
  <w:num w:numId="24">
    <w:abstractNumId w:val="3"/>
  </w:num>
  <w:num w:numId="25">
    <w:abstractNumId w:val="5"/>
  </w:num>
  <w:num w:numId="26">
    <w:abstractNumId w:val="27"/>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03C6B"/>
    <w:rsid w:val="00003C70"/>
    <w:rsid w:val="00010D6F"/>
    <w:rsid w:val="0001235F"/>
    <w:rsid w:val="000249C3"/>
    <w:rsid w:val="000266D8"/>
    <w:rsid w:val="00030ECF"/>
    <w:rsid w:val="00032F9B"/>
    <w:rsid w:val="00035EF1"/>
    <w:rsid w:val="00043682"/>
    <w:rsid w:val="00051667"/>
    <w:rsid w:val="000520B9"/>
    <w:rsid w:val="00057CA9"/>
    <w:rsid w:val="0007511A"/>
    <w:rsid w:val="00087DA3"/>
    <w:rsid w:val="00090B6C"/>
    <w:rsid w:val="000936CE"/>
    <w:rsid w:val="00097CF5"/>
    <w:rsid w:val="000B471A"/>
    <w:rsid w:val="000B74DA"/>
    <w:rsid w:val="000C0CB4"/>
    <w:rsid w:val="000C3264"/>
    <w:rsid w:val="000C35C4"/>
    <w:rsid w:val="000C5CF3"/>
    <w:rsid w:val="000D4223"/>
    <w:rsid w:val="000D7C3A"/>
    <w:rsid w:val="000E2C82"/>
    <w:rsid w:val="000F0C55"/>
    <w:rsid w:val="000F29FD"/>
    <w:rsid w:val="000F4E57"/>
    <w:rsid w:val="00117480"/>
    <w:rsid w:val="00130D16"/>
    <w:rsid w:val="00131CAC"/>
    <w:rsid w:val="0013225E"/>
    <w:rsid w:val="001454FE"/>
    <w:rsid w:val="00151792"/>
    <w:rsid w:val="0015320A"/>
    <w:rsid w:val="001533C1"/>
    <w:rsid w:val="001659E3"/>
    <w:rsid w:val="00177DF1"/>
    <w:rsid w:val="00191CF3"/>
    <w:rsid w:val="001976FE"/>
    <w:rsid w:val="001A2DF5"/>
    <w:rsid w:val="001B6DD5"/>
    <w:rsid w:val="001C04AC"/>
    <w:rsid w:val="001C7E83"/>
    <w:rsid w:val="001E5D0F"/>
    <w:rsid w:val="001F3218"/>
    <w:rsid w:val="001F45A6"/>
    <w:rsid w:val="001F561D"/>
    <w:rsid w:val="0020168B"/>
    <w:rsid w:val="00213C1A"/>
    <w:rsid w:val="00216380"/>
    <w:rsid w:val="00221CF0"/>
    <w:rsid w:val="002245AE"/>
    <w:rsid w:val="00224A94"/>
    <w:rsid w:val="00224BDD"/>
    <w:rsid w:val="00233EC9"/>
    <w:rsid w:val="00237E06"/>
    <w:rsid w:val="00247E02"/>
    <w:rsid w:val="002506AD"/>
    <w:rsid w:val="00254372"/>
    <w:rsid w:val="00260869"/>
    <w:rsid w:val="00260EA1"/>
    <w:rsid w:val="00266D54"/>
    <w:rsid w:val="002670A2"/>
    <w:rsid w:val="002837B9"/>
    <w:rsid w:val="00296C85"/>
    <w:rsid w:val="002A44C0"/>
    <w:rsid w:val="002C52F0"/>
    <w:rsid w:val="002C6B7D"/>
    <w:rsid w:val="002C6DCC"/>
    <w:rsid w:val="002D01B0"/>
    <w:rsid w:val="002D2DE1"/>
    <w:rsid w:val="002E01EA"/>
    <w:rsid w:val="002F4A84"/>
    <w:rsid w:val="002F7B17"/>
    <w:rsid w:val="00303EAE"/>
    <w:rsid w:val="00306FE3"/>
    <w:rsid w:val="003100E1"/>
    <w:rsid w:val="00313A8C"/>
    <w:rsid w:val="00324EBE"/>
    <w:rsid w:val="00331542"/>
    <w:rsid w:val="00331C13"/>
    <w:rsid w:val="00340950"/>
    <w:rsid w:val="00343E64"/>
    <w:rsid w:val="003530E3"/>
    <w:rsid w:val="0036242B"/>
    <w:rsid w:val="00372460"/>
    <w:rsid w:val="0037730C"/>
    <w:rsid w:val="00384BC2"/>
    <w:rsid w:val="00387039"/>
    <w:rsid w:val="0039638A"/>
    <w:rsid w:val="00396A9B"/>
    <w:rsid w:val="003A1B0A"/>
    <w:rsid w:val="003A3CE3"/>
    <w:rsid w:val="003A6BF6"/>
    <w:rsid w:val="003B0314"/>
    <w:rsid w:val="003C2F6A"/>
    <w:rsid w:val="003C5476"/>
    <w:rsid w:val="003F2066"/>
    <w:rsid w:val="003F6900"/>
    <w:rsid w:val="003F730A"/>
    <w:rsid w:val="00403656"/>
    <w:rsid w:val="00405E2A"/>
    <w:rsid w:val="004177A2"/>
    <w:rsid w:val="00420971"/>
    <w:rsid w:val="00423325"/>
    <w:rsid w:val="004253A0"/>
    <w:rsid w:val="004275EC"/>
    <w:rsid w:val="00435BA7"/>
    <w:rsid w:val="00436FB9"/>
    <w:rsid w:val="00437359"/>
    <w:rsid w:val="00440ADD"/>
    <w:rsid w:val="00445701"/>
    <w:rsid w:val="00460F1A"/>
    <w:rsid w:val="004622F2"/>
    <w:rsid w:val="00464124"/>
    <w:rsid w:val="00474B93"/>
    <w:rsid w:val="00487B66"/>
    <w:rsid w:val="004910CD"/>
    <w:rsid w:val="00497470"/>
    <w:rsid w:val="004A0EEB"/>
    <w:rsid w:val="004A1D4D"/>
    <w:rsid w:val="004B5C25"/>
    <w:rsid w:val="004B6DDA"/>
    <w:rsid w:val="004D446B"/>
    <w:rsid w:val="004D46CE"/>
    <w:rsid w:val="004D5015"/>
    <w:rsid w:val="004F21A8"/>
    <w:rsid w:val="005124B3"/>
    <w:rsid w:val="00522F0D"/>
    <w:rsid w:val="0053148C"/>
    <w:rsid w:val="00535456"/>
    <w:rsid w:val="00536147"/>
    <w:rsid w:val="00547CE7"/>
    <w:rsid w:val="00553BC6"/>
    <w:rsid w:val="00571FCA"/>
    <w:rsid w:val="0057297A"/>
    <w:rsid w:val="00583421"/>
    <w:rsid w:val="00584608"/>
    <w:rsid w:val="00595150"/>
    <w:rsid w:val="005951DD"/>
    <w:rsid w:val="00595E64"/>
    <w:rsid w:val="0059794D"/>
    <w:rsid w:val="005A339C"/>
    <w:rsid w:val="005A4D7F"/>
    <w:rsid w:val="005A7983"/>
    <w:rsid w:val="005B3099"/>
    <w:rsid w:val="005B5198"/>
    <w:rsid w:val="005B5B19"/>
    <w:rsid w:val="005C5991"/>
    <w:rsid w:val="005D2B3B"/>
    <w:rsid w:val="005D7214"/>
    <w:rsid w:val="005D7441"/>
    <w:rsid w:val="005E5BA4"/>
    <w:rsid w:val="005F5164"/>
    <w:rsid w:val="00601B0C"/>
    <w:rsid w:val="00602086"/>
    <w:rsid w:val="00623D4F"/>
    <w:rsid w:val="00624D3A"/>
    <w:rsid w:val="00651434"/>
    <w:rsid w:val="00654FE9"/>
    <w:rsid w:val="00665FA9"/>
    <w:rsid w:val="00666737"/>
    <w:rsid w:val="0066781B"/>
    <w:rsid w:val="00670931"/>
    <w:rsid w:val="006801D4"/>
    <w:rsid w:val="00692313"/>
    <w:rsid w:val="006A33F9"/>
    <w:rsid w:val="006B0D54"/>
    <w:rsid w:val="006B2453"/>
    <w:rsid w:val="006B30CD"/>
    <w:rsid w:val="006B409E"/>
    <w:rsid w:val="006B4319"/>
    <w:rsid w:val="006C63C4"/>
    <w:rsid w:val="006C7D0A"/>
    <w:rsid w:val="006D055D"/>
    <w:rsid w:val="006D731E"/>
    <w:rsid w:val="006E747E"/>
    <w:rsid w:val="007016CB"/>
    <w:rsid w:val="00704C25"/>
    <w:rsid w:val="007120B0"/>
    <w:rsid w:val="007162A6"/>
    <w:rsid w:val="00731320"/>
    <w:rsid w:val="007346D3"/>
    <w:rsid w:val="0074050E"/>
    <w:rsid w:val="00740E0B"/>
    <w:rsid w:val="00773342"/>
    <w:rsid w:val="007745F0"/>
    <w:rsid w:val="00782A45"/>
    <w:rsid w:val="0078728C"/>
    <w:rsid w:val="00793F60"/>
    <w:rsid w:val="007B2AC3"/>
    <w:rsid w:val="007B2B82"/>
    <w:rsid w:val="007B346A"/>
    <w:rsid w:val="007B6C86"/>
    <w:rsid w:val="007B6E35"/>
    <w:rsid w:val="007C0556"/>
    <w:rsid w:val="007C17FB"/>
    <w:rsid w:val="007C3264"/>
    <w:rsid w:val="007C63BC"/>
    <w:rsid w:val="007C7A0C"/>
    <w:rsid w:val="007D2E51"/>
    <w:rsid w:val="007D564D"/>
    <w:rsid w:val="007F5841"/>
    <w:rsid w:val="00803726"/>
    <w:rsid w:val="00811B0B"/>
    <w:rsid w:val="008122B6"/>
    <w:rsid w:val="0081314C"/>
    <w:rsid w:val="00813CD1"/>
    <w:rsid w:val="00814C3D"/>
    <w:rsid w:val="00820DBE"/>
    <w:rsid w:val="0082163A"/>
    <w:rsid w:val="00821FFE"/>
    <w:rsid w:val="00823404"/>
    <w:rsid w:val="0083307C"/>
    <w:rsid w:val="00854CEE"/>
    <w:rsid w:val="00862F43"/>
    <w:rsid w:val="00864D3F"/>
    <w:rsid w:val="00871B03"/>
    <w:rsid w:val="00881092"/>
    <w:rsid w:val="00887C59"/>
    <w:rsid w:val="008918F7"/>
    <w:rsid w:val="008925FC"/>
    <w:rsid w:val="008965AF"/>
    <w:rsid w:val="008A35FA"/>
    <w:rsid w:val="008A5F7B"/>
    <w:rsid w:val="008B0732"/>
    <w:rsid w:val="008B6C66"/>
    <w:rsid w:val="008C0607"/>
    <w:rsid w:val="008C527E"/>
    <w:rsid w:val="008D4407"/>
    <w:rsid w:val="008F5239"/>
    <w:rsid w:val="009033AB"/>
    <w:rsid w:val="00906B91"/>
    <w:rsid w:val="00913E69"/>
    <w:rsid w:val="00922AAE"/>
    <w:rsid w:val="0094319B"/>
    <w:rsid w:val="00954A37"/>
    <w:rsid w:val="00954CB2"/>
    <w:rsid w:val="00960ACD"/>
    <w:rsid w:val="00962C2E"/>
    <w:rsid w:val="00970770"/>
    <w:rsid w:val="0097266B"/>
    <w:rsid w:val="009726DC"/>
    <w:rsid w:val="0097595E"/>
    <w:rsid w:val="00980FA9"/>
    <w:rsid w:val="0098697B"/>
    <w:rsid w:val="0098798B"/>
    <w:rsid w:val="00990B93"/>
    <w:rsid w:val="0099426A"/>
    <w:rsid w:val="00995C97"/>
    <w:rsid w:val="009C2142"/>
    <w:rsid w:val="009C2942"/>
    <w:rsid w:val="009D56CC"/>
    <w:rsid w:val="009F0C59"/>
    <w:rsid w:val="009F3E24"/>
    <w:rsid w:val="00A06423"/>
    <w:rsid w:val="00A12991"/>
    <w:rsid w:val="00A15DD9"/>
    <w:rsid w:val="00A2795F"/>
    <w:rsid w:val="00A517EA"/>
    <w:rsid w:val="00A823DA"/>
    <w:rsid w:val="00A82F41"/>
    <w:rsid w:val="00A863E9"/>
    <w:rsid w:val="00A90E5A"/>
    <w:rsid w:val="00A94DE8"/>
    <w:rsid w:val="00A95F70"/>
    <w:rsid w:val="00A9686B"/>
    <w:rsid w:val="00A96975"/>
    <w:rsid w:val="00AA09B9"/>
    <w:rsid w:val="00AA7C2A"/>
    <w:rsid w:val="00AC2253"/>
    <w:rsid w:val="00AD5B7B"/>
    <w:rsid w:val="00AE1BB7"/>
    <w:rsid w:val="00AE222D"/>
    <w:rsid w:val="00AF01BA"/>
    <w:rsid w:val="00B12945"/>
    <w:rsid w:val="00B149B8"/>
    <w:rsid w:val="00B262F1"/>
    <w:rsid w:val="00B30650"/>
    <w:rsid w:val="00B40C46"/>
    <w:rsid w:val="00B5435C"/>
    <w:rsid w:val="00B6126C"/>
    <w:rsid w:val="00B756DB"/>
    <w:rsid w:val="00B860BF"/>
    <w:rsid w:val="00B872F3"/>
    <w:rsid w:val="00B90FAF"/>
    <w:rsid w:val="00BB3BB0"/>
    <w:rsid w:val="00BB538F"/>
    <w:rsid w:val="00BB74CD"/>
    <w:rsid w:val="00BC7DE6"/>
    <w:rsid w:val="00BE0300"/>
    <w:rsid w:val="00BF70B2"/>
    <w:rsid w:val="00C06571"/>
    <w:rsid w:val="00C5282C"/>
    <w:rsid w:val="00C6021A"/>
    <w:rsid w:val="00C63005"/>
    <w:rsid w:val="00C67C31"/>
    <w:rsid w:val="00C776DE"/>
    <w:rsid w:val="00C80248"/>
    <w:rsid w:val="00C82604"/>
    <w:rsid w:val="00C90A7B"/>
    <w:rsid w:val="00C92A63"/>
    <w:rsid w:val="00CB7020"/>
    <w:rsid w:val="00CC784D"/>
    <w:rsid w:val="00CD7249"/>
    <w:rsid w:val="00CE0D21"/>
    <w:rsid w:val="00CE4912"/>
    <w:rsid w:val="00CF0636"/>
    <w:rsid w:val="00CF70C6"/>
    <w:rsid w:val="00D00572"/>
    <w:rsid w:val="00D03EED"/>
    <w:rsid w:val="00D052DA"/>
    <w:rsid w:val="00D05D82"/>
    <w:rsid w:val="00D0607D"/>
    <w:rsid w:val="00D064C2"/>
    <w:rsid w:val="00D11661"/>
    <w:rsid w:val="00D128F5"/>
    <w:rsid w:val="00D166B0"/>
    <w:rsid w:val="00D25E71"/>
    <w:rsid w:val="00D36CA8"/>
    <w:rsid w:val="00D546E3"/>
    <w:rsid w:val="00D55E6A"/>
    <w:rsid w:val="00D569AE"/>
    <w:rsid w:val="00D666B8"/>
    <w:rsid w:val="00D724F4"/>
    <w:rsid w:val="00D85E4A"/>
    <w:rsid w:val="00D872C4"/>
    <w:rsid w:val="00DA1708"/>
    <w:rsid w:val="00DA1E7A"/>
    <w:rsid w:val="00DA48BD"/>
    <w:rsid w:val="00DB24D1"/>
    <w:rsid w:val="00DB32E2"/>
    <w:rsid w:val="00DB3A83"/>
    <w:rsid w:val="00DB7856"/>
    <w:rsid w:val="00DC4980"/>
    <w:rsid w:val="00DD5275"/>
    <w:rsid w:val="00DD5A32"/>
    <w:rsid w:val="00DF2B74"/>
    <w:rsid w:val="00DF7353"/>
    <w:rsid w:val="00E00C3B"/>
    <w:rsid w:val="00E0177B"/>
    <w:rsid w:val="00E03D63"/>
    <w:rsid w:val="00E05B1A"/>
    <w:rsid w:val="00E11822"/>
    <w:rsid w:val="00E255FE"/>
    <w:rsid w:val="00E355EF"/>
    <w:rsid w:val="00E46292"/>
    <w:rsid w:val="00E676AF"/>
    <w:rsid w:val="00E90BA5"/>
    <w:rsid w:val="00E94262"/>
    <w:rsid w:val="00E96CCA"/>
    <w:rsid w:val="00EA2C55"/>
    <w:rsid w:val="00EA2EC8"/>
    <w:rsid w:val="00EB1D9E"/>
    <w:rsid w:val="00ED7D81"/>
    <w:rsid w:val="00EE5465"/>
    <w:rsid w:val="00EF530D"/>
    <w:rsid w:val="00F054F8"/>
    <w:rsid w:val="00F05ACB"/>
    <w:rsid w:val="00F10238"/>
    <w:rsid w:val="00F2362C"/>
    <w:rsid w:val="00F33B5B"/>
    <w:rsid w:val="00F37E80"/>
    <w:rsid w:val="00F441FF"/>
    <w:rsid w:val="00F51491"/>
    <w:rsid w:val="00F579EE"/>
    <w:rsid w:val="00F64CC1"/>
    <w:rsid w:val="00F733A3"/>
    <w:rsid w:val="00F91A7F"/>
    <w:rsid w:val="00FA0BF5"/>
    <w:rsid w:val="00FA5F51"/>
    <w:rsid w:val="00FB6FE4"/>
    <w:rsid w:val="00FD11BB"/>
    <w:rsid w:val="00FF4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C6EDFCF-D9AD-403A-8CAC-2A41015A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character" w:customStyle="1" w:styleId="apple-style-span">
    <w:name w:val="apple-style-span"/>
    <w:rsid w:val="005F5164"/>
  </w:style>
  <w:style w:type="paragraph" w:styleId="NormalWeb">
    <w:name w:val="Normal (Web)"/>
    <w:basedOn w:val="Normal"/>
    <w:uiPriority w:val="99"/>
    <w:unhideWhenUsed/>
    <w:rsid w:val="003A3CE3"/>
    <w:pPr>
      <w:spacing w:before="100" w:beforeAutospacing="1" w:after="100" w:afterAutospacing="1"/>
    </w:pPr>
    <w:rPr>
      <w:rFonts w:eastAsiaTheme="minorEastAsia"/>
      <w:lang w:eastAsia="es-MX"/>
    </w:rPr>
  </w:style>
  <w:style w:type="character" w:styleId="Hipervnculo">
    <w:name w:val="Hyperlink"/>
    <w:basedOn w:val="Fuentedeprrafopredeter"/>
    <w:uiPriority w:val="99"/>
    <w:semiHidden/>
    <w:unhideWhenUsed/>
    <w:rsid w:val="00DA1708"/>
    <w:rPr>
      <w:color w:val="0000FF"/>
      <w:u w:val="single"/>
    </w:rPr>
  </w:style>
  <w:style w:type="table" w:customStyle="1" w:styleId="Tablaconcuadrcula2">
    <w:name w:val="Tabla con cuadrícula2"/>
    <w:basedOn w:val="Tablanormal"/>
    <w:next w:val="Tablaconcuadrcula"/>
    <w:uiPriority w:val="59"/>
    <w:rsid w:val="00A9686B"/>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3038">
      <w:bodyDiv w:val="1"/>
      <w:marLeft w:val="0"/>
      <w:marRight w:val="0"/>
      <w:marTop w:val="0"/>
      <w:marBottom w:val="0"/>
      <w:divBdr>
        <w:top w:val="none" w:sz="0" w:space="0" w:color="auto"/>
        <w:left w:val="none" w:sz="0" w:space="0" w:color="auto"/>
        <w:bottom w:val="none" w:sz="0" w:space="0" w:color="auto"/>
        <w:right w:val="none" w:sz="0" w:space="0" w:color="auto"/>
      </w:divBdr>
    </w:div>
    <w:div w:id="210852238">
      <w:bodyDiv w:val="1"/>
      <w:marLeft w:val="0"/>
      <w:marRight w:val="0"/>
      <w:marTop w:val="0"/>
      <w:marBottom w:val="0"/>
      <w:divBdr>
        <w:top w:val="none" w:sz="0" w:space="0" w:color="auto"/>
        <w:left w:val="none" w:sz="0" w:space="0" w:color="auto"/>
        <w:bottom w:val="none" w:sz="0" w:space="0" w:color="auto"/>
        <w:right w:val="none" w:sz="0" w:space="0" w:color="auto"/>
      </w:divBdr>
    </w:div>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E55B-2E66-48D3-A478-2945833B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3376</Words>
  <Characters>18572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7</cp:revision>
  <cp:lastPrinted>2019-08-30T16:33:00Z</cp:lastPrinted>
  <dcterms:created xsi:type="dcterms:W3CDTF">2019-10-25T15:43:00Z</dcterms:created>
  <dcterms:modified xsi:type="dcterms:W3CDTF">2019-11-14T21:08:00Z</dcterms:modified>
</cp:coreProperties>
</file>