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25518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255189" w:rsidRDefault="00B64AB6"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134516</wp:posOffset>
                </wp:positionH>
                <wp:positionV relativeFrom="paragraph">
                  <wp:posOffset>-4332</wp:posOffset>
                </wp:positionV>
                <wp:extent cx="5254388" cy="4067033"/>
                <wp:effectExtent l="0" t="0" r="22860" b="29210"/>
                <wp:wrapNone/>
                <wp:docPr id="2" name="Conector recto 2"/>
                <wp:cNvGraphicFramePr/>
                <a:graphic xmlns:a="http://schemas.openxmlformats.org/drawingml/2006/main">
                  <a:graphicData uri="http://schemas.microsoft.com/office/word/2010/wordprocessingShape">
                    <wps:wsp>
                      <wps:cNvCnPr/>
                      <wps:spPr>
                        <a:xfrm>
                          <a:off x="0" y="0"/>
                          <a:ext cx="5254388" cy="40670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01585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6pt,-.35pt" to="424.35pt,3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" strokecolor="#5b9bd5 [3204]" strokeweight=".5pt">
                <v:stroke joinstyle="miter"/>
              </v:line>
            </w:pict>
          </mc:Fallback>
        </mc:AlternateContent>
      </w:r>
    </w:p>
    <w:p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3</w:t>
            </w:r>
            <w:r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10</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14</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21</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26</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34</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36</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38</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39</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41</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44</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45</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46</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47</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51</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AE41D9">
              <w:rPr>
                <w:rFonts w:eastAsiaTheme="minorEastAsia"/>
                <w:noProof/>
                <w:webHidden/>
                <w:szCs w:val="24"/>
                <w:lang w:val="es-ES_tradnl" w:eastAsia="es-ES"/>
              </w:rPr>
              <w:t>51</w:t>
            </w:r>
            <w:r w:rsidR="00255189" w:rsidRPr="00255189">
              <w:rPr>
                <w:rFonts w:eastAsiaTheme="minorEastAsia"/>
                <w:noProof/>
                <w:webHidden/>
                <w:szCs w:val="24"/>
                <w:lang w:val="es-ES_tradnl" w:eastAsia="es-ES"/>
              </w:rPr>
              <w:fldChar w:fldCharType="end"/>
            </w:r>
          </w:hyperlink>
        </w:p>
        <w:p w:rsidR="00255189" w:rsidRPr="00255189" w:rsidRDefault="005A6CE0"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AE41D9">
              <w:rPr>
                <w:rFonts w:eastAsiaTheme="minorEastAsia"/>
                <w:noProof/>
                <w:webHidden/>
                <w:szCs w:val="24"/>
                <w:lang w:val="es-ES_tradnl" w:eastAsia="es-ES"/>
              </w:rPr>
              <w:t>52</w:t>
            </w:r>
            <w:r w:rsidR="00255189" w:rsidRPr="00255189">
              <w:rPr>
                <w:rFonts w:eastAsiaTheme="minorEastAsia"/>
                <w:noProof/>
                <w:webHidden/>
                <w:szCs w:val="24"/>
                <w:lang w:val="es-ES_tradnl" w:eastAsia="es-ES"/>
              </w:rPr>
              <w:fldChar w:fldCharType="end"/>
            </w:r>
          </w:hyperlink>
        </w:p>
        <w:p w:rsidR="00255189" w:rsidRPr="00255189" w:rsidRDefault="005A6CE0"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55</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56</w:t>
            </w:r>
            <w:r w:rsidR="00255189" w:rsidRPr="00255189">
              <w:rPr>
                <w:rFonts w:eastAsiaTheme="minorEastAsia"/>
                <w:noProof/>
                <w:webHidden/>
                <w:sz w:val="24"/>
                <w:szCs w:val="24"/>
                <w:lang w:val="es-ES_tradnl" w:eastAsia="es-ES"/>
              </w:rPr>
              <w:fldChar w:fldCharType="end"/>
            </w:r>
          </w:hyperlink>
        </w:p>
        <w:p w:rsidR="00255189" w:rsidRPr="00255189" w:rsidRDefault="005A6CE0"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E41D9">
              <w:rPr>
                <w:rFonts w:eastAsiaTheme="minorEastAsia"/>
                <w:noProof/>
                <w:webHidden/>
                <w:sz w:val="24"/>
                <w:szCs w:val="24"/>
                <w:lang w:val="es-ES_tradnl" w:eastAsia="es-ES"/>
              </w:rPr>
              <w:t>62</w:t>
            </w:r>
            <w:r w:rsidR="00255189" w:rsidRPr="00255189">
              <w:rPr>
                <w:rFonts w:eastAsiaTheme="minorEastAsia"/>
                <w:noProof/>
                <w:webHidden/>
                <w:sz w:val="24"/>
                <w:szCs w:val="24"/>
                <w:lang w:val="es-ES_tradnl" w:eastAsia="es-ES"/>
              </w:rPr>
              <w:fldChar w:fldCharType="end"/>
            </w:r>
          </w:hyperlink>
        </w:p>
        <w:p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rsidR="00255189" w:rsidRPr="00255189"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120C49">
        <w:rPr>
          <w:rFonts w:ascii="Palatino Linotype" w:eastAsiaTheme="minorEastAsia" w:hAnsi="Palatino Linotype"/>
          <w:sz w:val="24"/>
          <w:szCs w:val="24"/>
          <w:lang w:val="es-ES_tradnl" w:eastAsia="es-ES"/>
        </w:rPr>
        <w:t xml:space="preserve">de fecha </w:t>
      </w:r>
      <w:r w:rsidR="00AE41D9">
        <w:rPr>
          <w:rFonts w:ascii="Palatino Linotype" w:eastAsiaTheme="minorEastAsia" w:hAnsi="Palatino Linotype"/>
          <w:sz w:val="24"/>
          <w:szCs w:val="24"/>
          <w:lang w:val="es-ES_tradnl" w:eastAsia="es-ES"/>
        </w:rPr>
        <w:t>diecinueve</w:t>
      </w:r>
      <w:bookmarkStart w:id="0" w:name="_GoBack"/>
      <w:bookmarkEnd w:id="0"/>
      <w:r w:rsidR="00E4633B">
        <w:rPr>
          <w:rFonts w:ascii="Palatino Linotype" w:eastAsiaTheme="minorEastAsia" w:hAnsi="Palatino Linotype"/>
          <w:sz w:val="24"/>
          <w:szCs w:val="24"/>
          <w:lang w:val="es-ES_tradnl" w:eastAsia="es-ES"/>
        </w:rPr>
        <w:t xml:space="preserve"> (19</w:t>
      </w:r>
      <w:r w:rsidR="00091BC0" w:rsidRPr="00120C49">
        <w:rPr>
          <w:rFonts w:ascii="Palatino Linotype" w:eastAsiaTheme="minorEastAsia" w:hAnsi="Palatino Linotype"/>
          <w:sz w:val="24"/>
          <w:szCs w:val="24"/>
          <w:lang w:val="es-ES_tradnl" w:eastAsia="es-ES"/>
        </w:rPr>
        <w:t xml:space="preserve">) de febrero </w:t>
      </w:r>
      <w:r w:rsidRPr="00120C49">
        <w:rPr>
          <w:rFonts w:ascii="Palatino Linotype" w:eastAsiaTheme="minorEastAsia" w:hAnsi="Palatino Linotype"/>
          <w:sz w:val="24"/>
          <w:szCs w:val="24"/>
          <w:lang w:val="es-ES_tradnl" w:eastAsia="es-ES"/>
        </w:rPr>
        <w:t xml:space="preserve">de dos mil </w:t>
      </w:r>
      <w:r w:rsidR="00D23DA2">
        <w:rPr>
          <w:rFonts w:ascii="Palatino Linotype" w:eastAsiaTheme="minorEastAsia" w:hAnsi="Palatino Linotype"/>
          <w:sz w:val="24"/>
          <w:szCs w:val="24"/>
          <w:lang w:val="es-ES_tradnl" w:eastAsia="es-ES"/>
        </w:rPr>
        <w:t>veinte.</w:t>
      </w:r>
    </w:p>
    <w:p w:rsidR="00255189" w:rsidRPr="00255189"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b/>
          <w:sz w:val="24"/>
          <w:szCs w:val="24"/>
          <w:lang w:val="es-ES_tradnl" w:eastAsia="es-ES"/>
        </w:rPr>
        <w:t>VISTO</w:t>
      </w:r>
      <w:r w:rsidRPr="00255189">
        <w:rPr>
          <w:rFonts w:ascii="Palatino Linotype" w:eastAsiaTheme="minorEastAsia" w:hAnsi="Palatino Linotype"/>
          <w:sz w:val="24"/>
          <w:szCs w:val="24"/>
          <w:lang w:val="es-ES_tradnl" w:eastAsia="es-ES"/>
        </w:rPr>
        <w:t xml:space="preserve"> el expediente electrónico formado con motivo del recurso de revisión</w:t>
      </w:r>
      <w:r w:rsidR="00E4633B">
        <w:rPr>
          <w:rFonts w:ascii="Palatino Linotype" w:eastAsiaTheme="minorEastAsia" w:hAnsi="Palatino Linotype"/>
          <w:sz w:val="24"/>
          <w:szCs w:val="24"/>
          <w:lang w:val="es-ES_tradnl" w:eastAsia="es-ES"/>
        </w:rPr>
        <w:t xml:space="preserve"> </w:t>
      </w:r>
      <w:r w:rsidR="00E4633B" w:rsidRPr="00E4633B">
        <w:rPr>
          <w:rFonts w:ascii="Palatino Linotype" w:eastAsiaTheme="minorEastAsia" w:hAnsi="Palatino Linotype"/>
          <w:b/>
          <w:sz w:val="24"/>
          <w:szCs w:val="24"/>
          <w:lang w:val="es-ES_tradnl" w:eastAsia="es-ES"/>
        </w:rPr>
        <w:t>09608/INFOEM/IP/RR/2019</w:t>
      </w:r>
      <w:r w:rsidR="00091BC0">
        <w:rPr>
          <w:rFonts w:ascii="Palatino Linotype" w:eastAsiaTheme="minorEastAsia" w:hAnsi="Palatino Linotype"/>
          <w:sz w:val="24"/>
          <w:szCs w:val="24"/>
          <w:lang w:val="es-ES_tradnl" w:eastAsia="es-ES"/>
        </w:rPr>
        <w:t xml:space="preserve"> </w:t>
      </w:r>
      <w:hyperlink r:id="rId7" w:tgtFrame="_blank" w:history="1"/>
      <w:r w:rsidR="00091BC0">
        <w:rPr>
          <w:rFonts w:ascii="Palatino Linotype" w:eastAsiaTheme="minorEastAsia" w:hAnsi="Palatino Linotype" w:cs="Arial"/>
          <w:b/>
          <w:bCs/>
          <w:sz w:val="24"/>
          <w:szCs w:val="24"/>
          <w:lang w:val="es-ES_tradnl" w:eastAsia="es-ES"/>
        </w:rPr>
        <w:t xml:space="preserve">, </w:t>
      </w:r>
      <w:r w:rsidRPr="00255189">
        <w:rPr>
          <w:rFonts w:ascii="Palatino Linotype" w:eastAsiaTheme="minorEastAsia" w:hAnsi="Palatino Linotype"/>
          <w:sz w:val="24"/>
          <w:szCs w:val="24"/>
          <w:lang w:val="es-ES_tradnl" w:eastAsia="es-ES"/>
        </w:rPr>
        <w:t>promovido por</w:t>
      </w:r>
      <w:r w:rsidR="008A4244">
        <w:rPr>
          <w:rFonts w:ascii="Palatino Linotype" w:eastAsiaTheme="minorEastAsia" w:hAnsi="Palatino Linotype"/>
          <w:b/>
          <w:sz w:val="24"/>
          <w:szCs w:val="24"/>
          <w:lang w:val="es-ES_tradnl" w:eastAsia="es-ES"/>
        </w:rPr>
        <w:t xml:space="preserve"> </w:t>
      </w:r>
      <w:r w:rsidR="00E4633B" w:rsidRPr="00E4633B">
        <w:rPr>
          <w:rFonts w:ascii="Palatino Linotype" w:eastAsiaTheme="minorEastAsia" w:hAnsi="Palatino Linotype"/>
          <w:sz w:val="24"/>
          <w:szCs w:val="24"/>
          <w:lang w:val="es-ES_tradnl" w:eastAsia="es-ES"/>
        </w:rPr>
        <w:t>una persona usuaria del Sistema de Acceso a la Información Mexiquense (SAIMEX), quien no proporciono ningún nombre, seudónimo o carácter para poder ser identificado, por lo que en lo sucesivo será identificado</w:t>
      </w:r>
      <w:r w:rsidR="00E4633B">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en su calidad de </w:t>
      </w:r>
      <w:r w:rsidRPr="00255189">
        <w:rPr>
          <w:rFonts w:ascii="Palatino Linotype" w:eastAsiaTheme="minorEastAsia" w:hAnsi="Palatino Linotype" w:cs="Arial"/>
          <w:b/>
          <w:sz w:val="24"/>
          <w:szCs w:val="24"/>
          <w:lang w:val="es-ES_tradnl" w:eastAsia="es-ES"/>
        </w:rPr>
        <w:t>RECURRENTE</w:t>
      </w:r>
      <w:r w:rsidRPr="00255189">
        <w:rPr>
          <w:rFonts w:ascii="Palatino Linotype" w:eastAsiaTheme="minorEastAsia" w:hAnsi="Palatino Linotype" w:cs="Arial"/>
          <w:sz w:val="24"/>
          <w:szCs w:val="24"/>
          <w:lang w:val="es-ES_tradnl" w:eastAsia="es-ES"/>
        </w:rPr>
        <w:t xml:space="preserve">, en contra de la falta de respuesta del </w:t>
      </w:r>
      <w:r w:rsidR="00E4633B">
        <w:rPr>
          <w:rFonts w:ascii="Palatino Linotype" w:hAnsi="Palatino Linotype"/>
          <w:b/>
          <w:color w:val="000000"/>
          <w:sz w:val="24"/>
          <w:szCs w:val="24"/>
        </w:rPr>
        <w:t xml:space="preserve">Ayuntamiento de Capulhuac </w:t>
      </w:r>
      <w:r w:rsidRPr="00255189">
        <w:rPr>
          <w:rFonts w:ascii="Palatino Linotype" w:eastAsiaTheme="minorEastAsia" w:hAnsi="Palatino Linotype"/>
          <w:sz w:val="24"/>
          <w:szCs w:val="24"/>
          <w:lang w:val="es-ES_tradnl" w:eastAsia="es-ES"/>
        </w:rPr>
        <w:t>en lo sucesivo el</w:t>
      </w:r>
      <w:r w:rsidRPr="00255189">
        <w:rPr>
          <w:rFonts w:ascii="Palatino Linotype" w:eastAsiaTheme="minorEastAsia" w:hAnsi="Palatino Linotype"/>
          <w:b/>
          <w:sz w:val="24"/>
          <w:szCs w:val="24"/>
          <w:lang w:val="es-ES_tradnl" w:eastAsia="es-ES"/>
        </w:rPr>
        <w:t xml:space="preserve"> SUJETO OBLIGADO, </w:t>
      </w:r>
      <w:r w:rsidRPr="00255189">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255189"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1" w:name="_Toc3467400"/>
      <w:bookmarkStart w:id="2" w:name="_Toc3467934"/>
      <w:r w:rsidRPr="00255189">
        <w:rPr>
          <w:rFonts w:ascii="Palatino Linotype" w:eastAsiaTheme="majorEastAsia" w:hAnsi="Palatino Linotype" w:cstheme="majorBidi"/>
          <w:b/>
          <w:sz w:val="24"/>
          <w:szCs w:val="24"/>
        </w:rPr>
        <w:t>ANTECEDENTES</w:t>
      </w:r>
      <w:bookmarkEnd w:id="1"/>
      <w:bookmarkEnd w:id="2"/>
    </w:p>
    <w:p w:rsidR="00255189" w:rsidRPr="00255189" w:rsidRDefault="00255189" w:rsidP="00E4633B">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255189">
        <w:rPr>
          <w:rFonts w:ascii="Palatino Linotype" w:eastAsia="Calibri" w:hAnsi="Palatino Linotype" w:cs="Arial"/>
          <w:sz w:val="24"/>
          <w:szCs w:val="24"/>
          <w:lang w:val="es-ES" w:eastAsia="es-ES"/>
        </w:rPr>
        <w:t>El día</w:t>
      </w:r>
      <w:r w:rsidR="00E4633B">
        <w:rPr>
          <w:rFonts w:ascii="Palatino Linotype" w:eastAsia="Calibri" w:hAnsi="Palatino Linotype" w:cs="Arial"/>
          <w:sz w:val="24"/>
          <w:szCs w:val="24"/>
          <w:lang w:val="es-ES" w:eastAsia="es-ES"/>
        </w:rPr>
        <w:t xml:space="preserve"> veinte</w:t>
      </w:r>
      <w:r w:rsidR="007C20B3">
        <w:rPr>
          <w:rFonts w:ascii="Palatino Linotype" w:eastAsia="Calibri" w:hAnsi="Palatino Linotype" w:cs="Arial"/>
          <w:sz w:val="24"/>
          <w:szCs w:val="24"/>
          <w:lang w:val="es-ES" w:eastAsia="es-ES"/>
        </w:rPr>
        <w:t xml:space="preserve"> </w:t>
      </w:r>
      <w:r w:rsidR="00E4633B">
        <w:rPr>
          <w:rFonts w:ascii="Palatino Linotype" w:eastAsia="Calibri" w:hAnsi="Palatino Linotype" w:cs="Arial"/>
          <w:sz w:val="24"/>
          <w:szCs w:val="24"/>
          <w:lang w:val="es-ES" w:eastAsia="es-ES"/>
        </w:rPr>
        <w:t>(20</w:t>
      </w:r>
      <w:r w:rsidR="008A4244">
        <w:rPr>
          <w:rFonts w:ascii="Palatino Linotype" w:eastAsia="Calibri" w:hAnsi="Palatino Linotype" w:cs="Arial"/>
          <w:sz w:val="24"/>
          <w:szCs w:val="24"/>
          <w:lang w:val="es-ES" w:eastAsia="es-ES"/>
        </w:rPr>
        <w:t xml:space="preserve">) de noviembre de dos mil diecinueve </w:t>
      </w:r>
      <w:r w:rsidRPr="00255189">
        <w:rPr>
          <w:rFonts w:ascii="Palatino Linotype" w:eastAsia="Calibri" w:hAnsi="Palatino Linotype" w:cs="Arial"/>
          <w:sz w:val="24"/>
          <w:szCs w:val="24"/>
          <w:lang w:val="es-ES" w:eastAsia="es-ES"/>
        </w:rPr>
        <w:t xml:space="preserve">, </w:t>
      </w:r>
      <w:r w:rsidRPr="00255189">
        <w:rPr>
          <w:rFonts w:ascii="Palatino Linotype" w:eastAsia="Calibri" w:hAnsi="Palatino Linotype" w:cs="Times New Roman"/>
          <w:sz w:val="24"/>
          <w:szCs w:val="24"/>
          <w:lang w:val="es-ES" w:eastAsia="es-ES"/>
        </w:rPr>
        <w:t>se</w:t>
      </w:r>
      <w:r w:rsidRPr="00255189">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presentó </w:t>
      </w:r>
      <w:r w:rsidRPr="00255189">
        <w:rPr>
          <w:rFonts w:ascii="Palatino Linotype" w:eastAsia="Calibri" w:hAnsi="Palatino Linotype" w:cs="Arial"/>
          <w:sz w:val="24"/>
          <w:szCs w:val="24"/>
          <w:lang w:val="es-ES" w:eastAsia="es-ES"/>
        </w:rPr>
        <w:t xml:space="preserve">ante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_tradnl" w:eastAsia="es-ES"/>
        </w:rPr>
        <w:t xml:space="preserve"> 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(SAIMEX),</w:t>
      </w:r>
      <w:r w:rsidRPr="00255189">
        <w:rPr>
          <w:rFonts w:ascii="Palatino Linotype" w:eastAsia="Calibri" w:hAnsi="Palatino Linotype" w:cs="Arial"/>
          <w:sz w:val="24"/>
          <w:szCs w:val="24"/>
          <w:lang w:val="es-ES" w:eastAsia="es-ES"/>
        </w:rPr>
        <w:t xml:space="preserve"> la solicitud de información pública registrada con el </w:t>
      </w:r>
      <w:r w:rsidRPr="00A9765D">
        <w:rPr>
          <w:rFonts w:ascii="Palatino Linotype" w:eastAsia="Calibri" w:hAnsi="Palatino Linotype" w:cs="Arial"/>
          <w:sz w:val="24"/>
          <w:szCs w:val="24"/>
          <w:lang w:val="es-ES" w:eastAsia="es-ES"/>
        </w:rPr>
        <w:t>número</w:t>
      </w:r>
      <w:r w:rsidR="00E4633B" w:rsidRPr="00E4633B">
        <w:rPr>
          <w:rFonts w:ascii="Palatino Linotype" w:eastAsia="Calibri" w:hAnsi="Palatino Linotype" w:cs="Arial"/>
          <w:sz w:val="24"/>
          <w:szCs w:val="24"/>
          <w:lang w:val="es-ES" w:eastAsia="es-ES"/>
        </w:rPr>
        <w:t xml:space="preserve"> </w:t>
      </w:r>
      <w:r w:rsidR="00E4633B" w:rsidRPr="00E4633B">
        <w:rPr>
          <w:rFonts w:ascii="Palatino Linotype" w:eastAsia="Calibri" w:hAnsi="Palatino Linotype" w:cs="Arial"/>
          <w:b/>
          <w:sz w:val="24"/>
          <w:szCs w:val="24"/>
          <w:lang w:val="es-ES" w:eastAsia="es-ES"/>
        </w:rPr>
        <w:t>00472/CAPULHUA/IP/2019</w:t>
      </w:r>
      <w:r w:rsidR="008A4244" w:rsidRPr="00A9765D">
        <w:rPr>
          <w:rFonts w:ascii="Palatino Linotype" w:hAnsi="Palatino Linotype"/>
          <w:b/>
          <w:bCs/>
          <w:color w:val="FF0000"/>
          <w:sz w:val="24"/>
          <w:szCs w:val="24"/>
        </w:rPr>
        <w:t> </w:t>
      </w:r>
      <w:r w:rsidRPr="00A9765D">
        <w:rPr>
          <w:rFonts w:ascii="Palatino Linotype" w:eastAsia="Calibri" w:hAnsi="Palatino Linotype" w:cs="Arial"/>
          <w:sz w:val="24"/>
          <w:szCs w:val="24"/>
          <w:lang w:val="es-ES" w:eastAsia="es-ES"/>
        </w:rPr>
        <w:t>, mediante</w:t>
      </w:r>
      <w:r w:rsidRPr="00255189">
        <w:rPr>
          <w:rFonts w:ascii="Palatino Linotype" w:eastAsia="Calibri" w:hAnsi="Palatino Linotype" w:cs="Arial"/>
          <w:sz w:val="24"/>
          <w:szCs w:val="24"/>
          <w:lang w:val="es-ES" w:eastAsia="es-ES"/>
        </w:rPr>
        <w:t xml:space="preserve"> la cual se requirió:</w:t>
      </w:r>
    </w:p>
    <w:p w:rsidR="00255189" w:rsidRPr="00255189"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255189" w:rsidRDefault="007C20B3" w:rsidP="00255189">
      <w:pPr>
        <w:spacing w:after="0" w:line="360" w:lineRule="auto"/>
        <w:ind w:left="851" w:right="709"/>
        <w:jc w:val="both"/>
        <w:rPr>
          <w:rFonts w:ascii="Palatino Linotype" w:eastAsia="Times New Roman" w:hAnsi="Palatino Linotype" w:cs="Times New Roman"/>
          <w:i/>
          <w:szCs w:val="24"/>
          <w:lang w:eastAsia="es-MX"/>
        </w:rPr>
      </w:pPr>
      <w:r>
        <w:rPr>
          <w:rFonts w:ascii="Palatino Linotype" w:hAnsi="Palatino Linotype"/>
          <w:i/>
          <w:color w:val="000000"/>
        </w:rPr>
        <w:t>“</w:t>
      </w:r>
      <w:r w:rsidR="00E4633B" w:rsidRPr="00E4633B">
        <w:rPr>
          <w:rFonts w:ascii="Palatino Linotype" w:hAnsi="Palatino Linotype"/>
          <w:i/>
          <w:color w:val="000000"/>
        </w:rPr>
        <w:t>. Requiero los datos del equipo celular que se asigno al presidente.</w:t>
      </w:r>
      <w:r>
        <w:rPr>
          <w:rFonts w:ascii="Verdana" w:hAnsi="Verdana"/>
          <w:color w:val="000000"/>
          <w:sz w:val="14"/>
          <w:szCs w:val="14"/>
        </w:rPr>
        <w:t>.”</w:t>
      </w:r>
      <w:r w:rsidR="00255189" w:rsidRPr="00255189">
        <w:rPr>
          <w:rFonts w:ascii="Palatino Linotype" w:eastAsiaTheme="minorEastAsia" w:hAnsi="Palatino Linotype"/>
          <w:i/>
          <w:szCs w:val="24"/>
          <w:lang w:val="es-ES_tradnl" w:eastAsia="es-ES"/>
        </w:rPr>
        <w:t xml:space="preserve"> (Sic)</w:t>
      </w:r>
    </w:p>
    <w:p w:rsidR="00255189" w:rsidRPr="00255189"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8A424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A424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8A4244">
        <w:rPr>
          <w:rFonts w:ascii="Palatino Linotype" w:eastAsiaTheme="minorEastAsia" w:hAnsi="Palatino Linotype" w:cs="Arial"/>
          <w:b/>
          <w:sz w:val="24"/>
          <w:szCs w:val="24"/>
          <w:lang w:val="es-ES_tradnl" w:eastAsia="es-ES"/>
        </w:rPr>
        <w:t xml:space="preserve">(SAIMEX). </w:t>
      </w:r>
      <w:r w:rsidR="00472D8A" w:rsidRPr="008A4244">
        <w:rPr>
          <w:rFonts w:ascii="Palatino Linotype" w:eastAsiaTheme="minorEastAsia" w:hAnsi="Palatino Linotype" w:cs="Arial"/>
          <w:b/>
          <w:sz w:val="24"/>
          <w:szCs w:val="24"/>
          <w:lang w:val="es-ES_tradnl" w:eastAsia="es-ES"/>
        </w:rPr>
        <w:t xml:space="preserve"> </w:t>
      </w: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El </w:t>
      </w:r>
      <w:r w:rsidRPr="00255189">
        <w:rPr>
          <w:rFonts w:ascii="Palatino Linotype" w:eastAsiaTheme="minorEastAsia" w:hAnsi="Palatino Linotype" w:cs="Arial"/>
          <w:b/>
          <w:sz w:val="24"/>
          <w:szCs w:val="24"/>
          <w:lang w:val="es-ES_tradnl" w:eastAsia="es-ES"/>
        </w:rPr>
        <w:t xml:space="preserve">SUJETO OBLIGADO </w:t>
      </w:r>
      <w:r w:rsidRPr="00255189">
        <w:rPr>
          <w:rFonts w:ascii="Palatino Linotype" w:eastAsiaTheme="minorEastAsia" w:hAnsi="Palatino Linotype" w:cs="Arial"/>
          <w:sz w:val="24"/>
          <w:szCs w:val="24"/>
          <w:lang w:val="es-ES_tradnl" w:eastAsia="es-ES"/>
        </w:rPr>
        <w:t xml:space="preserve">no dio respuesta a la solicitud de información. </w:t>
      </w:r>
    </w:p>
    <w:p w:rsidR="00255189" w:rsidRPr="0025518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 </w:t>
      </w: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Calibri" w:hAnsi="Palatino Linotype" w:cs="Arial"/>
          <w:sz w:val="24"/>
          <w:szCs w:val="24"/>
          <w:lang w:val="es-AR" w:eastAsia="es-ES"/>
        </w:rPr>
        <w:lastRenderedPageBreak/>
        <w:t>El</w:t>
      </w:r>
      <w:r w:rsidRPr="00255189">
        <w:rPr>
          <w:rFonts w:ascii="Palatino Linotype" w:eastAsia="Times New Roman" w:hAnsi="Palatino Linotype" w:cs="Arial"/>
          <w:sz w:val="24"/>
          <w:szCs w:val="24"/>
          <w:lang w:val="es-ES" w:eastAsia="es-ES"/>
        </w:rPr>
        <w:t xml:space="preserve"> día</w:t>
      </w:r>
      <w:r w:rsidR="00E4633B">
        <w:rPr>
          <w:rFonts w:ascii="Palatino Linotype" w:eastAsia="Times New Roman" w:hAnsi="Palatino Linotype" w:cs="Arial"/>
          <w:sz w:val="24"/>
          <w:szCs w:val="24"/>
          <w:lang w:val="es-ES" w:eastAsia="es-ES"/>
        </w:rPr>
        <w:t xml:space="preserve"> doce (12</w:t>
      </w:r>
      <w:r w:rsidR="008A4244">
        <w:rPr>
          <w:rFonts w:ascii="Palatino Linotype" w:eastAsia="Times New Roman" w:hAnsi="Palatino Linotype" w:cs="Arial"/>
          <w:sz w:val="24"/>
          <w:szCs w:val="24"/>
          <w:lang w:val="es-ES" w:eastAsia="es-ES"/>
        </w:rPr>
        <w:t>) de diciembre de dos mil diecinueve</w:t>
      </w:r>
      <w:r w:rsidRPr="00255189">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255189"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255189">
        <w:rPr>
          <w:rFonts w:ascii="Palatino Linotype" w:eastAsiaTheme="majorEastAsia" w:hAnsi="Palatino Linotype" w:cstheme="majorBidi"/>
          <w:b/>
          <w:sz w:val="24"/>
          <w:szCs w:val="24"/>
          <w:lang w:val="es-ES" w:eastAsia="es-ES"/>
        </w:rPr>
        <w:t>Acto impugnado</w:t>
      </w:r>
      <w:r w:rsidRPr="00255189">
        <w:rPr>
          <w:rFonts w:ascii="Palatino Linotype" w:eastAsiaTheme="majorEastAsia" w:hAnsi="Palatino Linotype" w:cstheme="majorBidi"/>
          <w:b/>
          <w:i/>
          <w:sz w:val="24"/>
          <w:szCs w:val="24"/>
          <w:lang w:val="es-ES" w:eastAsia="es-ES"/>
        </w:rPr>
        <w:t>:</w:t>
      </w:r>
      <w:bookmarkEnd w:id="3"/>
      <w:bookmarkEnd w:id="4"/>
      <w:bookmarkEnd w:id="5"/>
    </w:p>
    <w:p w:rsidR="00255189" w:rsidRPr="00255189"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E4633B">
        <w:rPr>
          <w:rFonts w:ascii="Palatino Linotype" w:eastAsiaTheme="majorEastAsia" w:hAnsi="Palatino Linotype" w:cstheme="majorBidi"/>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7C20B3" w:rsidRPr="00E4633B">
        <w:rPr>
          <w:rFonts w:ascii="Palatino Linotype" w:eastAsiaTheme="majorEastAsia" w:hAnsi="Palatino Linotype" w:cstheme="majorBidi"/>
          <w:i/>
          <w:sz w:val="24"/>
          <w:szCs w:val="24"/>
          <w:lang w:val="es-ES" w:eastAsia="es-ES"/>
        </w:rPr>
        <w:t>“</w:t>
      </w:r>
      <w:r w:rsidR="00E4633B" w:rsidRPr="00E4633B">
        <w:rPr>
          <w:rFonts w:ascii="Palatino Linotype" w:eastAsiaTheme="majorEastAsia" w:hAnsi="Palatino Linotype" w:cstheme="majorBidi"/>
          <w:i/>
          <w:sz w:val="24"/>
          <w:szCs w:val="24"/>
          <w:lang w:val="es-ES" w:eastAsia="es-ES"/>
        </w:rPr>
        <w:t>falta de respuesta a la solicitud</w:t>
      </w:r>
      <w:r w:rsidR="007C20B3">
        <w:rPr>
          <w:rFonts w:ascii="Palatino Linotype" w:hAnsi="Palatino Linotype"/>
          <w:i/>
          <w:color w:val="000000"/>
        </w:rPr>
        <w:t>”</w:t>
      </w:r>
      <w:r w:rsidR="00472D8A">
        <w:rPr>
          <w:rFonts w:ascii="Palatino Linotype" w:eastAsiaTheme="majorEastAsia" w:hAnsi="Palatino Linotype" w:cstheme="majorBidi"/>
          <w:i/>
          <w:sz w:val="24"/>
          <w:szCs w:val="24"/>
          <w:lang w:val="es-ES" w:eastAsia="es-ES"/>
        </w:rPr>
        <w:t xml:space="preserve"> </w:t>
      </w:r>
      <w:r w:rsidRPr="00255189">
        <w:rPr>
          <w:rFonts w:ascii="Palatino Linotype" w:eastAsia="Calibri" w:hAnsi="Palatino Linotype" w:cs="Arial"/>
          <w:i/>
          <w:sz w:val="24"/>
          <w:szCs w:val="24"/>
          <w:lang w:val="es-ES" w:eastAsia="es-ES"/>
        </w:rPr>
        <w:t xml:space="preserve">(Sic) </w:t>
      </w:r>
    </w:p>
    <w:p w:rsidR="00255189" w:rsidRPr="00255189"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255189">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255189" w:rsidRPr="00E4633B" w:rsidRDefault="007C20B3" w:rsidP="00255189">
      <w:pPr>
        <w:spacing w:after="0" w:line="360" w:lineRule="auto"/>
        <w:ind w:left="426" w:right="567"/>
        <w:jc w:val="both"/>
        <w:rPr>
          <w:rFonts w:ascii="Palatino Linotype" w:eastAsiaTheme="majorEastAsia" w:hAnsi="Palatino Linotype" w:cstheme="majorBidi"/>
          <w:sz w:val="24"/>
          <w:szCs w:val="24"/>
          <w:lang w:val="es-ES" w:eastAsia="es-ES"/>
        </w:rPr>
      </w:pPr>
      <w:r w:rsidRPr="00E4633B">
        <w:rPr>
          <w:rFonts w:ascii="Palatino Linotype" w:eastAsiaTheme="majorEastAsia" w:hAnsi="Palatino Linotype" w:cstheme="majorBidi"/>
          <w:i/>
          <w:sz w:val="24"/>
          <w:szCs w:val="24"/>
          <w:lang w:val="es-ES" w:eastAsia="es-ES"/>
        </w:rPr>
        <w:t xml:space="preserve"> </w:t>
      </w:r>
      <w:r w:rsidRPr="00E4633B">
        <w:rPr>
          <w:rFonts w:ascii="Palatino Linotype" w:eastAsiaTheme="majorEastAsia" w:hAnsi="Palatino Linotype" w:cstheme="majorBidi"/>
          <w:i/>
          <w:lang w:val="es-ES" w:eastAsia="es-ES"/>
        </w:rPr>
        <w:t>“</w:t>
      </w:r>
      <w:r w:rsidR="00E4633B" w:rsidRPr="00E4633B">
        <w:rPr>
          <w:rFonts w:ascii="Palatino Linotype" w:eastAsiaTheme="majorEastAsia" w:hAnsi="Palatino Linotype" w:cstheme="majorBidi"/>
          <w:i/>
          <w:lang w:val="es-ES" w:eastAsia="es-ES"/>
        </w:rPr>
        <w:t>NO ATENDIERON LA SOLICITUD DE ACCESO A LA INFORMACIÓN</w:t>
      </w:r>
      <w:r w:rsidRPr="00E4633B">
        <w:rPr>
          <w:rFonts w:ascii="Palatino Linotype" w:hAnsi="Palatino Linotype"/>
          <w:i/>
          <w:color w:val="000000"/>
        </w:rPr>
        <w:t>”</w:t>
      </w:r>
      <w:r w:rsidRPr="00E4633B">
        <w:rPr>
          <w:rFonts w:ascii="Palatino Linotype" w:eastAsiaTheme="majorEastAsia" w:hAnsi="Palatino Linotype" w:cstheme="majorBidi"/>
          <w:i/>
          <w:sz w:val="24"/>
          <w:szCs w:val="24"/>
          <w:lang w:val="es-ES" w:eastAsia="es-ES"/>
        </w:rPr>
        <w:t xml:space="preserve"> </w:t>
      </w:r>
      <w:r w:rsidR="00255189" w:rsidRPr="00E4633B">
        <w:rPr>
          <w:rFonts w:ascii="Palatino Linotype" w:eastAsiaTheme="majorEastAsia" w:hAnsi="Palatino Linotype" w:cstheme="majorBidi"/>
          <w:i/>
          <w:sz w:val="24"/>
          <w:szCs w:val="24"/>
          <w:lang w:val="es-ES" w:eastAsia="es-ES"/>
        </w:rPr>
        <w:t>(</w:t>
      </w:r>
      <w:bookmarkEnd w:id="65"/>
      <w:bookmarkEnd w:id="66"/>
      <w:r w:rsidR="00255189" w:rsidRPr="00E4633B">
        <w:rPr>
          <w:rFonts w:ascii="Palatino Linotype" w:eastAsiaTheme="minorEastAsia" w:hAnsi="Palatino Linotype" w:cs="Arial"/>
          <w:i/>
          <w:sz w:val="24"/>
          <w:szCs w:val="24"/>
          <w:lang w:val="es-ES_tradnl" w:eastAsia="es-ES"/>
        </w:rPr>
        <w:t>Sic)</w:t>
      </w:r>
    </w:p>
    <w:p w:rsidR="00255189" w:rsidRPr="0025518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imes New Roman" w:hAnsi="Palatino Linotype" w:cs="Arial"/>
          <w:sz w:val="24"/>
          <w:szCs w:val="24"/>
          <w:lang w:val="es-ES" w:eastAsia="es-ES"/>
        </w:rPr>
        <w:t xml:space="preserve">Se registró el recurso de revisión bajo el número de expediente </w:t>
      </w:r>
      <w:r w:rsidRPr="00255189">
        <w:rPr>
          <w:rFonts w:ascii="Palatino Linotype" w:eastAsiaTheme="minorEastAsia" w:hAnsi="Palatino Linotype" w:cs="Arial"/>
          <w:bCs/>
          <w:sz w:val="24"/>
          <w:szCs w:val="24"/>
          <w:lang w:val="es-ES_tradnl" w:eastAsia="es-ES"/>
        </w:rPr>
        <w:t xml:space="preserve">al rubro indicado, asimismo con fundamento en lo dispuesto por el </w:t>
      </w:r>
      <w:r w:rsidRPr="00255189">
        <w:rPr>
          <w:rFonts w:ascii="Palatino Linotype" w:eastAsia="Calibri" w:hAnsi="Palatino Linotype" w:cs="Arial"/>
          <w:sz w:val="24"/>
          <w:szCs w:val="24"/>
          <w:lang w:val="es-ES" w:eastAsia="es-ES"/>
        </w:rPr>
        <w:t xml:space="preserve">artículo 185 fracción I de la </w:t>
      </w:r>
      <w:r w:rsidRPr="0025518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55189">
        <w:rPr>
          <w:rFonts w:ascii="Palatino Linotype" w:eastAsia="Times New Roman" w:hAnsi="Palatino Linotype" w:cs="Arial"/>
          <w:sz w:val="24"/>
          <w:szCs w:val="24"/>
          <w:lang w:val="es-ES" w:eastAsia="es-ES"/>
        </w:rPr>
        <w:t xml:space="preserve">se turnó al </w:t>
      </w:r>
      <w:r w:rsidRPr="00255189">
        <w:rPr>
          <w:rFonts w:ascii="Palatino Linotype" w:eastAsia="Times New Roman" w:hAnsi="Palatino Linotype" w:cs="Arial"/>
          <w:b/>
          <w:sz w:val="24"/>
          <w:szCs w:val="24"/>
          <w:lang w:val="es-ES" w:eastAsia="es-ES"/>
        </w:rPr>
        <w:t xml:space="preserve">Comisionado José Guadalupe Luna Hernández, </w:t>
      </w:r>
      <w:r w:rsidRPr="00255189">
        <w:rPr>
          <w:rFonts w:ascii="Palatino Linotype" w:eastAsia="Times New Roman" w:hAnsi="Palatino Linotype" w:cs="Arial"/>
          <w:sz w:val="24"/>
          <w:szCs w:val="24"/>
          <w:lang w:val="es-ES" w:eastAsia="es-ES"/>
        </w:rPr>
        <w:t xml:space="preserve">con el objeto de </w:t>
      </w:r>
      <w:r w:rsidRPr="00255189">
        <w:rPr>
          <w:rFonts w:ascii="Palatino Linotype" w:eastAsia="Times New Roman" w:hAnsi="Palatino Linotype" w:cs="Arial"/>
          <w:sz w:val="24"/>
          <w:szCs w:val="24"/>
          <w:lang w:eastAsia="es-ES"/>
        </w:rPr>
        <w:t>su análisis.</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E4633B">
        <w:rPr>
          <w:rFonts w:ascii="Palatino Linotype" w:eastAsia="Calibri" w:hAnsi="Palatino Linotype" w:cs="Arial"/>
          <w:sz w:val="24"/>
          <w:szCs w:val="24"/>
          <w:lang w:val="es-ES" w:eastAsia="es-ES"/>
        </w:rPr>
        <w:t xml:space="preserve"> de admisión de fecha dieciocho (18</w:t>
      </w:r>
      <w:r w:rsidRPr="00255189">
        <w:rPr>
          <w:rFonts w:ascii="Palatino Linotype" w:eastAsia="Calibri" w:hAnsi="Palatino Linotype" w:cs="Arial"/>
          <w:sz w:val="24"/>
          <w:szCs w:val="24"/>
          <w:lang w:val="es-ES" w:eastAsia="es-ES"/>
        </w:rPr>
        <w:t xml:space="preserve">) de </w:t>
      </w:r>
      <w:r w:rsidR="00A9765D">
        <w:rPr>
          <w:rFonts w:ascii="Palatino Linotype" w:eastAsia="Calibri" w:hAnsi="Palatino Linotype" w:cs="Arial"/>
          <w:sz w:val="24"/>
          <w:szCs w:val="24"/>
          <w:lang w:val="es-ES" w:eastAsia="es-ES"/>
        </w:rPr>
        <w:t xml:space="preserve">diciembre  </w:t>
      </w:r>
      <w:r w:rsidRPr="00255189">
        <w:rPr>
          <w:rFonts w:ascii="Palatino Linotype" w:eastAsia="Calibri" w:hAnsi="Palatino Linotype" w:cs="Arial"/>
          <w:sz w:val="24"/>
          <w:szCs w:val="24"/>
          <w:lang w:val="es-ES" w:eastAsia="es-ES"/>
        </w:rPr>
        <w:t xml:space="preserve">de dos mil diecinueve, puso a disposición de las partes el expediente electrónico </w:t>
      </w:r>
      <w:r w:rsidRPr="00255189">
        <w:rPr>
          <w:rFonts w:ascii="Palatino Linotype" w:eastAsia="Calibri" w:hAnsi="Palatino Linotype" w:cs="Arial"/>
          <w:sz w:val="24"/>
          <w:szCs w:val="24"/>
          <w:lang w:val="es-ES_tradnl" w:eastAsia="es-ES"/>
        </w:rPr>
        <w:t xml:space="preserve">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 xml:space="preserve">SAIMEX </w:t>
      </w:r>
      <w:r w:rsidRPr="0025518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8433F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lastRenderedPageBreak/>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rsidR="008433FC" w:rsidRPr="00255189" w:rsidRDefault="008433FC" w:rsidP="00E4633B">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255189"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Default="00E4633B" w:rsidP="00E4633B">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Pr>
          <w:noProof/>
          <w:lang w:eastAsia="es-MX"/>
        </w:rPr>
        <w:drawing>
          <wp:inline distT="0" distB="0" distL="0" distR="0" wp14:anchorId="5A9491FB" wp14:editId="1C6428A9">
            <wp:extent cx="5617029" cy="3156799"/>
            <wp:effectExtent l="0" t="0" r="317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311" t="5761" r="23468" b="42066"/>
                    <a:stretch/>
                  </pic:blipFill>
                  <pic:spPr bwMode="auto">
                    <a:xfrm>
                      <a:off x="0" y="0"/>
                      <a:ext cx="5643716" cy="3171797"/>
                    </a:xfrm>
                    <a:prstGeom prst="rect">
                      <a:avLst/>
                    </a:prstGeom>
                    <a:ln>
                      <a:noFill/>
                    </a:ln>
                    <a:extLst>
                      <a:ext uri="{53640926-AAD7-44D8-BBD7-CCE9431645EC}">
                        <a14:shadowObscured xmlns:a14="http://schemas.microsoft.com/office/drawing/2010/main"/>
                      </a:ext>
                    </a:extLst>
                  </pic:spPr>
                </pic:pic>
              </a:graphicData>
            </a:graphic>
          </wp:inline>
        </w:drawing>
      </w:r>
    </w:p>
    <w:p w:rsidR="007C20B3"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255189"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mediante acuerdo de fecha </w:t>
      </w:r>
      <w:r w:rsidR="00A9765D">
        <w:rPr>
          <w:rFonts w:ascii="Palatino Linotype" w:eastAsiaTheme="minorEastAsia" w:hAnsi="Palatino Linotype"/>
          <w:sz w:val="24"/>
          <w:szCs w:val="24"/>
          <w:lang w:val="es-ES_tradnl" w:eastAsia="es-ES"/>
        </w:rPr>
        <w:t xml:space="preserve">treinta (30) de enero </w:t>
      </w:r>
      <w:r w:rsidRPr="00255189">
        <w:rPr>
          <w:rFonts w:ascii="Palatino Linotype" w:eastAsiaTheme="minorEastAsia" w:hAnsi="Palatino Linotype"/>
          <w:sz w:val="24"/>
          <w:szCs w:val="24"/>
          <w:lang w:val="es-ES_tradnl" w:eastAsia="es-ES"/>
        </w:rPr>
        <w:t xml:space="preserve">del presente año, </w:t>
      </w:r>
      <w:r w:rsidRPr="00255189">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Default="00255189" w:rsidP="00255189">
      <w:pPr>
        <w:spacing w:after="0" w:line="240" w:lineRule="auto"/>
        <w:rPr>
          <w:rFonts w:eastAsiaTheme="minorEastAsia"/>
          <w:sz w:val="24"/>
          <w:szCs w:val="24"/>
        </w:rPr>
      </w:pPr>
    </w:p>
    <w:p w:rsidR="007C20B3" w:rsidRDefault="007C20B3" w:rsidP="00255189">
      <w:pPr>
        <w:spacing w:after="0" w:line="240" w:lineRule="auto"/>
        <w:rPr>
          <w:rFonts w:eastAsiaTheme="minorEastAsia"/>
          <w:sz w:val="24"/>
          <w:szCs w:val="24"/>
        </w:rPr>
      </w:pPr>
    </w:p>
    <w:p w:rsidR="007C20B3" w:rsidRDefault="007C20B3" w:rsidP="00255189">
      <w:pPr>
        <w:spacing w:after="0" w:line="240" w:lineRule="auto"/>
        <w:rPr>
          <w:rFonts w:eastAsiaTheme="minorEastAsia"/>
          <w:sz w:val="24"/>
          <w:szCs w:val="24"/>
        </w:rPr>
      </w:pPr>
    </w:p>
    <w:p w:rsidR="007C20B3" w:rsidRPr="00255189" w:rsidRDefault="007C20B3" w:rsidP="00255189">
      <w:pPr>
        <w:spacing w:after="0" w:line="240" w:lineRule="auto"/>
        <w:rPr>
          <w:rFonts w:eastAsiaTheme="minorEastAsia"/>
          <w:sz w:val="24"/>
          <w:szCs w:val="24"/>
        </w:rPr>
      </w:pPr>
    </w:p>
    <w:p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7" w:name="_Toc3467937"/>
      <w:r w:rsidRPr="00255189">
        <w:rPr>
          <w:rFonts w:ascii="Palatino Linotype" w:eastAsiaTheme="majorEastAsia" w:hAnsi="Palatino Linotype" w:cstheme="majorBidi"/>
          <w:b/>
          <w:sz w:val="24"/>
          <w:szCs w:val="24"/>
        </w:rPr>
        <w:lastRenderedPageBreak/>
        <w:t>CONSIDERANDO</w:t>
      </w:r>
      <w:bookmarkEnd w:id="67"/>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8"/>
      <w:r w:rsidRPr="00255189">
        <w:rPr>
          <w:rFonts w:ascii="Palatino Linotype" w:eastAsiaTheme="majorEastAsia" w:hAnsi="Palatino Linotype" w:cstheme="majorBidi"/>
          <w:b/>
          <w:sz w:val="24"/>
          <w:szCs w:val="24"/>
        </w:rPr>
        <w:t>PRIMERO. De la competencia.</w:t>
      </w:r>
      <w:bookmarkEnd w:id="68"/>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párrafos </w:t>
      </w:r>
      <w:r w:rsidRPr="00255189">
        <w:rPr>
          <w:rFonts w:ascii="Palatino Linotype" w:eastAsiaTheme="minorEastAsia" w:hAnsi="Palatino Linotype" w:cs="Arial"/>
          <w:bCs/>
          <w:color w:val="222222"/>
          <w:sz w:val="24"/>
          <w:szCs w:val="24"/>
          <w:lang w:val="es-ES" w:eastAsia="es-ES"/>
        </w:rPr>
        <w:t>vigésimo</w:t>
      </w:r>
      <w:r w:rsidR="00582783">
        <w:rPr>
          <w:rFonts w:ascii="Palatino Linotype" w:eastAsiaTheme="minorEastAsia" w:hAnsi="Palatino Linotype" w:cs="Arial"/>
          <w:bCs/>
          <w:color w:val="222222"/>
          <w:sz w:val="24"/>
          <w:szCs w:val="24"/>
          <w:lang w:val="es-ES" w:eastAsia="es-ES"/>
        </w:rPr>
        <w:t xml:space="preserve"> segundo, vigésimo tercero y vigésimo cuarto</w:t>
      </w:r>
      <w:r w:rsidRPr="00255189">
        <w:rPr>
          <w:rFonts w:ascii="Palatino Linotype" w:eastAsiaTheme="minorEastAsia" w:hAnsi="Palatino Linotype" w:cs="Arial"/>
          <w:bCs/>
          <w:color w:val="222222"/>
          <w:sz w:val="24"/>
          <w:szCs w:val="24"/>
          <w:lang w:val="es-ES" w:eastAsia="es-ES"/>
        </w:rPr>
        <w:t xml:space="preserve">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9" w:name="_Toc3467939"/>
      <w:r w:rsidRPr="00255189">
        <w:rPr>
          <w:rFonts w:ascii="Palatino Linotype" w:eastAsiaTheme="majorEastAsia" w:hAnsi="Palatino Linotype" w:cstheme="majorBidi"/>
          <w:b/>
          <w:sz w:val="24"/>
          <w:szCs w:val="24"/>
        </w:rPr>
        <w:t>SEGUNDO. De la oportunidad y procedencia.</w:t>
      </w:r>
      <w:bookmarkEnd w:id="69"/>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25518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E4633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rsidR="00E4633B" w:rsidRPr="00255189" w:rsidRDefault="00E4633B" w:rsidP="00E4633B">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rsidR="00255189" w:rsidRPr="0025518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w:t>
      </w:r>
      <w:r w:rsidRPr="00255189">
        <w:rPr>
          <w:rFonts w:ascii="Palatino Linotype" w:eastAsia="Calibri" w:hAnsi="Palatino Linotype" w:cs="Arial"/>
          <w:i/>
          <w:szCs w:val="24"/>
          <w:lang w:val="es-ES" w:eastAsia="es-ES"/>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heme="minorEastAsia" w:hAnsi="Palatino Linotype"/>
          <w:sz w:val="24"/>
          <w:szCs w:val="24"/>
          <w:lang w:val="es-ES_tradnl" w:eastAsia="es-ES"/>
        </w:rPr>
        <w:t>Por consiguiente, tratándose</w:t>
      </w:r>
      <w:r w:rsidRPr="00255189">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55189" w:rsidRPr="0025518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w:t>
      </w:r>
      <w:r w:rsidRPr="00255189">
        <w:rPr>
          <w:rFonts w:ascii="Palatino Linotype" w:eastAsiaTheme="minorEastAsia" w:hAnsi="Palatino Linotype" w:cs="Arial"/>
          <w:sz w:val="24"/>
          <w:szCs w:val="24"/>
          <w:lang w:val="es-ES" w:eastAsia="es-ES"/>
        </w:rPr>
        <w:lastRenderedPageBreak/>
        <w:t xml:space="preserve">se revisa, tanto en la solicitud de información como en el recurso de revisión no proporciona su nombre para que sea identificada, ni se tiene la certeza sobre su identidad, sin embargo, es importante señalar también que </w:t>
      </w:r>
      <w:r w:rsidRPr="00255189">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255189">
        <w:rPr>
          <w:rFonts w:ascii="Palatino Linotype" w:eastAsiaTheme="minorEastAsia" w:hAnsi="Palatino Linotype" w:cs="Arial"/>
          <w:sz w:val="24"/>
          <w:szCs w:val="24"/>
          <w:lang w:val="es-ES_tradnl" w:eastAsia="es-ES"/>
        </w:rPr>
        <w:t>artículo</w:t>
      </w:r>
      <w:r w:rsidRPr="00255189">
        <w:rPr>
          <w:rFonts w:ascii="Palatino Linotype" w:eastAsiaTheme="minorEastAsia" w:hAnsi="Palatino Linotype" w:cs="Arial"/>
          <w:sz w:val="24"/>
          <w:szCs w:val="24"/>
          <w:lang w:eastAsia="es-ES"/>
        </w:rPr>
        <w:t xml:space="preserve"> 180 del mismo ordenamiento.</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w:t>
      </w:r>
      <w:r w:rsidRPr="00255189">
        <w:rPr>
          <w:rFonts w:ascii="Palatino Linotype" w:eastAsiaTheme="minorEastAsia" w:hAnsi="Palatino Linotype" w:cs="Arial"/>
          <w:sz w:val="24"/>
          <w:szCs w:val="24"/>
          <w:lang w:val="es-ES" w:eastAsia="es-ES"/>
        </w:rPr>
        <w:lastRenderedPageBreak/>
        <w:t>información pueda ser anónima o no contener un nombre que identifique al solicitante o que permita tener certeza sobre su identidad.</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255189">
        <w:rPr>
          <w:rFonts w:ascii="Palatino Linotype" w:eastAsia="Calibri" w:hAnsi="Palatino Linotype" w:cs="Arial"/>
          <w:sz w:val="24"/>
          <w:szCs w:val="24"/>
          <w:lang w:val="es-ES_tradnl" w:eastAsia="es-ES"/>
        </w:rPr>
        <w:t>.</w:t>
      </w:r>
    </w:p>
    <w:p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67940"/>
      <w:r w:rsidRPr="00255189">
        <w:rPr>
          <w:rFonts w:ascii="Palatino Linotype" w:eastAsia="Calibri" w:hAnsi="Palatino Linotype" w:cs="Times New Roman"/>
          <w:b/>
          <w:bCs/>
          <w:sz w:val="24"/>
          <w:szCs w:val="24"/>
          <w:lang w:val="es-ES" w:eastAsia="es-ES"/>
        </w:rPr>
        <w:t>TERCERO. Del planteamiento de la litis.</w:t>
      </w:r>
      <w:bookmarkEnd w:id="77"/>
      <w:r w:rsidRPr="00255189">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902937"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Theme="minorEastAsia" w:hAnsi="Palatino Linotype" w:cs="Arial"/>
          <w:sz w:val="24"/>
          <w:szCs w:val="24"/>
          <w:lang w:val="es-ES_tradnl" w:eastAsia="es-ES"/>
        </w:rPr>
        <w:t xml:space="preserve"> y determinar la confirmación; revocación o modificación; </w:t>
      </w:r>
      <w:r w:rsidRPr="00255189">
        <w:rPr>
          <w:rFonts w:ascii="Palatino Linotype" w:eastAsiaTheme="minorEastAsia" w:hAnsi="Palatino Linotype" w:cs="Arial"/>
          <w:sz w:val="24"/>
          <w:szCs w:val="24"/>
          <w:lang w:val="es-ES_tradnl" w:eastAsia="es-ES"/>
        </w:rPr>
        <w:lastRenderedPageBreak/>
        <w:t xml:space="preserve">desechamiento o sobreseimiento; y en su </w:t>
      </w:r>
      <w:r w:rsidRPr="00902937">
        <w:rPr>
          <w:rFonts w:ascii="Palatino Linotype" w:eastAsiaTheme="minorEastAsia" w:hAnsi="Palatino Linotype" w:cs="Arial"/>
          <w:b/>
          <w:sz w:val="24"/>
          <w:szCs w:val="24"/>
          <w:u w:val="single"/>
          <w:lang w:val="es-ES_tradnl" w:eastAsia="es-ES"/>
        </w:rPr>
        <w:t>caso ordenar la entrega de la información,</w:t>
      </w:r>
      <w:r w:rsidRPr="00255189">
        <w:rPr>
          <w:rFonts w:ascii="Palatino Linotype" w:eastAsiaTheme="minorEastAsia" w:hAnsi="Palatino Linotype" w:cs="Arial"/>
          <w:sz w:val="24"/>
          <w:szCs w:val="24"/>
          <w:lang w:val="es-ES_tradnl" w:eastAsia="es-ES"/>
        </w:rPr>
        <w:t xml:space="preserve"> respecto a las respuestas o falta de ellas de los Sujetos Obligados. </w:t>
      </w:r>
    </w:p>
    <w:p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A9765D"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A9765D">
        <w:rPr>
          <w:rFonts w:ascii="Palatino Linotype" w:eastAsiaTheme="minorEastAsia" w:hAnsi="Palatino Linotype" w:cs="Arial"/>
          <w:sz w:val="24"/>
          <w:szCs w:val="24"/>
          <w:lang w:val="es-ES_tradnl" w:eastAsia="es-ES"/>
        </w:rPr>
        <w:t xml:space="preserve">De las constancias en el expediente al rubro indicado, se </w:t>
      </w:r>
      <w:r w:rsidRPr="0076461F">
        <w:rPr>
          <w:rFonts w:ascii="Palatino Linotype" w:eastAsiaTheme="minorEastAsia" w:hAnsi="Palatino Linotype" w:cs="Arial"/>
          <w:sz w:val="24"/>
          <w:szCs w:val="24"/>
          <w:lang w:val="es-ES_tradnl" w:eastAsia="es-ES"/>
        </w:rPr>
        <w:t>desprende que:</w:t>
      </w:r>
      <w:r w:rsidRPr="0076461F">
        <w:rPr>
          <w:rFonts w:ascii="Palatino Linotype" w:eastAsia="Times New Roman" w:hAnsi="Palatino Linotype"/>
          <w:sz w:val="24"/>
          <w:szCs w:val="24"/>
          <w:lang w:val="es-ES_tradnl" w:eastAsia="es-ES"/>
        </w:rPr>
        <w:t xml:space="preserve"> </w:t>
      </w:r>
      <w:r w:rsidR="00A9765D" w:rsidRPr="0076461F">
        <w:rPr>
          <w:rFonts w:ascii="Palatino Linotype" w:eastAsia="Times New Roman" w:hAnsi="Palatino Linotype"/>
          <w:sz w:val="24"/>
          <w:szCs w:val="24"/>
          <w:lang w:val="es-ES_tradnl" w:eastAsia="es-ES"/>
        </w:rPr>
        <w:t>el</w:t>
      </w:r>
      <w:r w:rsidR="00A9765D" w:rsidRPr="00A9765D">
        <w:rPr>
          <w:rFonts w:ascii="Palatino Linotype" w:eastAsia="Times New Roman" w:hAnsi="Palatino Linotype"/>
          <w:sz w:val="24"/>
          <w:szCs w:val="24"/>
          <w:lang w:val="es-ES_tradnl" w:eastAsia="es-ES"/>
        </w:rPr>
        <w:t xml:space="preserve"> particular solicitó: </w:t>
      </w:r>
      <w:r w:rsidR="00A9765D" w:rsidRPr="00A9765D">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w:t>
      </w:r>
      <w:r w:rsidR="00A9765D">
        <w:rPr>
          <w:rFonts w:ascii="Palatino Linotype" w:eastAsia="Times New Roman" w:hAnsi="Palatino Linotype"/>
          <w:sz w:val="24"/>
          <w:szCs w:val="24"/>
          <w:lang w:eastAsia="es-ES"/>
        </w:rPr>
        <w:t>io de labores del ayuntamiento</w:t>
      </w:r>
      <w:r w:rsidR="00A9765D" w:rsidRPr="00A9765D">
        <w:rPr>
          <w:rFonts w:ascii="Palatino Linotype" w:eastAsiaTheme="minorEastAsia" w:hAnsi="Palatino Linotype"/>
          <w:sz w:val="24"/>
          <w:szCs w:val="24"/>
          <w:lang w:val="es-ES_tradnl" w:eastAsia="es-ES"/>
        </w:rPr>
        <w:t xml:space="preserve">, sin </w:t>
      </w:r>
      <w:r w:rsidR="00A9765D" w:rsidRPr="0076461F">
        <w:rPr>
          <w:rFonts w:ascii="Palatino Linotype" w:eastAsiaTheme="minorEastAsia" w:hAnsi="Palatino Linotype"/>
          <w:sz w:val="24"/>
          <w:szCs w:val="24"/>
          <w:lang w:val="es-ES_tradnl" w:eastAsia="es-ES"/>
        </w:rPr>
        <w:t>embargo</w:t>
      </w:r>
      <w:r w:rsidR="00A9765D" w:rsidRPr="0076461F">
        <w:rPr>
          <w:rFonts w:ascii="Palatino Linotype" w:eastAsiaTheme="minorEastAsia" w:hAnsi="Palatino Linotype"/>
          <w:i/>
          <w:sz w:val="24"/>
          <w:szCs w:val="24"/>
          <w:lang w:val="es-ES_tradnl" w:eastAsia="es-ES"/>
        </w:rPr>
        <w:t xml:space="preserve">, </w:t>
      </w:r>
      <w:r w:rsidRPr="0076461F">
        <w:rPr>
          <w:rFonts w:ascii="Palatino Linotype" w:eastAsia="Times New Roman" w:hAnsi="Palatino Linotype"/>
          <w:sz w:val="24"/>
          <w:szCs w:val="24"/>
          <w:lang w:val="es-ES_tradnl" w:eastAsia="es-ES"/>
        </w:rPr>
        <w:t xml:space="preserve">no fue atendida por el </w:t>
      </w:r>
      <w:r w:rsidRPr="0076461F">
        <w:rPr>
          <w:rFonts w:ascii="Palatino Linotype" w:eastAsia="Times New Roman" w:hAnsi="Palatino Linotype"/>
          <w:b/>
          <w:sz w:val="24"/>
          <w:szCs w:val="24"/>
          <w:lang w:val="es-ES_tradnl" w:eastAsia="es-ES"/>
        </w:rPr>
        <w:t xml:space="preserve">SUJETO OBLIGADO </w:t>
      </w:r>
      <w:r w:rsidRPr="0076461F">
        <w:rPr>
          <w:rFonts w:ascii="Palatino Linotype" w:eastAsia="Times New Roman" w:hAnsi="Palatino Linotype"/>
          <w:sz w:val="24"/>
          <w:szCs w:val="24"/>
          <w:lang w:val="es-ES_tradnl" w:eastAsia="es-ES"/>
        </w:rPr>
        <w:t>por lo que</w:t>
      </w:r>
      <w:r w:rsidRPr="0076461F">
        <w:rPr>
          <w:rFonts w:ascii="Palatino Linotype" w:eastAsiaTheme="minorEastAsia" w:hAnsi="Palatino Linotype" w:cs="Arial"/>
          <w:sz w:val="24"/>
          <w:szCs w:val="24"/>
          <w:lang w:val="es-ES_tradnl" w:eastAsia="es-ES"/>
        </w:rPr>
        <w:t xml:space="preserve">, </w:t>
      </w:r>
      <w:r w:rsidRPr="0076461F">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255189" w:rsidRDefault="00582783"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255189">
        <w:rPr>
          <w:rFonts w:ascii="Palatino Linotype" w:eastAsiaTheme="minorEastAsia" w:hAnsi="Palatino Linotype" w:cs="Arial"/>
          <w:b/>
          <w:sz w:val="24"/>
          <w:szCs w:val="24"/>
          <w:lang w:val="es-ES_tradnl" w:eastAsia="es-ES"/>
        </w:rPr>
        <w:t>SUJETO</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cs="Arial"/>
          <w:b/>
          <w:sz w:val="24"/>
          <w:szCs w:val="24"/>
          <w:lang w:val="es-ES_tradnl" w:eastAsia="es-ES"/>
        </w:rPr>
        <w:t>OBLIGADO</w:t>
      </w:r>
      <w:r w:rsidRPr="00255189">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ante la omisión en proporcionar respuesta a la solicitud de información, violenta el derecho de acceso a la información pública y determinar si puede actualizar las</w:t>
      </w:r>
      <w:r>
        <w:rPr>
          <w:rFonts w:ascii="Palatino Linotype" w:eastAsiaTheme="minorEastAsia" w:hAnsi="Palatino Linotype"/>
          <w:i/>
          <w:sz w:val="24"/>
          <w:szCs w:val="24"/>
          <w:lang w:val="es-ES_tradnl" w:eastAsia="es-ES"/>
        </w:rPr>
        <w:t xml:space="preserve"> </w:t>
      </w:r>
      <w:r w:rsidRPr="00A02380">
        <w:rPr>
          <w:rFonts w:ascii="Palatino Linotype" w:eastAsia="Times New Roman" w:hAnsi="Palatino Linotype"/>
          <w:sz w:val="24"/>
          <w:szCs w:val="24"/>
          <w:lang w:val="es-ES_tradnl" w:eastAsia="es-ES"/>
        </w:rPr>
        <w:t>causales de procedencia</w:t>
      </w:r>
      <w:r w:rsidRPr="00A02380">
        <w:rPr>
          <w:rFonts w:ascii="Palatino Linotype" w:eastAsia="Times New Roman" w:hAnsi="Palatino Linotype"/>
          <w:b/>
          <w:sz w:val="24"/>
          <w:szCs w:val="24"/>
          <w:lang w:val="es-ES_tradnl" w:eastAsia="es-ES"/>
        </w:rPr>
        <w:t xml:space="preserve"> </w:t>
      </w:r>
      <w:r w:rsidRPr="00A02380">
        <w:rPr>
          <w:rFonts w:ascii="Palatino Linotype" w:eastAsia="Times New Roman" w:hAnsi="Palatino Linotype" w:cs="Arial"/>
          <w:sz w:val="24"/>
          <w:szCs w:val="24"/>
          <w:lang w:val="es-ES_tradnl" w:eastAsia="es-MX"/>
        </w:rPr>
        <w:t xml:space="preserve">contenidas en </w:t>
      </w:r>
      <w:r w:rsidRPr="00A02380">
        <w:rPr>
          <w:rFonts w:ascii="Palatino Linotype" w:eastAsia="Times New Roman" w:hAnsi="Palatino Linotype" w:cs="Arial"/>
          <w:sz w:val="24"/>
          <w:szCs w:val="24"/>
          <w:lang w:val="es-ES" w:eastAsia="es-MX"/>
        </w:rPr>
        <w:t xml:space="preserve">el artículo 179 fracciones VII y XI de la </w:t>
      </w:r>
      <w:r w:rsidRPr="00A02380">
        <w:rPr>
          <w:rFonts w:ascii="Palatino Linotype" w:eastAsia="Calibri" w:hAnsi="Palatino Linotype" w:cs="Arial"/>
          <w:b/>
          <w:sz w:val="24"/>
          <w:szCs w:val="24"/>
          <w:lang w:val="es-ES" w:eastAsia="es-ES"/>
        </w:rPr>
        <w:t>Ley de Transparencia y Acceso a la Información Pública del Estado de México y Municipios</w:t>
      </w:r>
      <w:r w:rsidR="00255189" w:rsidRPr="00255189">
        <w:rPr>
          <w:rFonts w:ascii="Palatino Linotype" w:eastAsia="Times New Roman" w:hAnsi="Palatino Linotype" w:cs="Arial"/>
          <w:sz w:val="24"/>
          <w:szCs w:val="24"/>
          <w:lang w:val="es-ES" w:eastAsia="es-MX"/>
        </w:rPr>
        <w:t>.</w:t>
      </w:r>
    </w:p>
    <w:p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4" w:name="_Toc3467941"/>
      <w:bookmarkStart w:id="85" w:name="_Toc499659080"/>
      <w:r w:rsidRPr="00255189">
        <w:rPr>
          <w:rFonts w:ascii="Palatino Linotype" w:eastAsia="MS Gothic" w:hAnsi="Palatino Linotype" w:cstheme="majorBidi"/>
          <w:b/>
          <w:sz w:val="24"/>
          <w:szCs w:val="32"/>
        </w:rPr>
        <w:t xml:space="preserve">CUARTO. </w:t>
      </w:r>
      <w:r w:rsidRPr="00255189">
        <w:rPr>
          <w:rFonts w:ascii="Palatino Linotype" w:eastAsia="MS Gothic" w:hAnsi="Palatino Linotype" w:cs="Times New Roman"/>
          <w:b/>
          <w:sz w:val="24"/>
          <w:szCs w:val="32"/>
        </w:rPr>
        <w:t>Del estudio y resolución del asunto.</w:t>
      </w:r>
      <w:bookmarkEnd w:id="84"/>
    </w:p>
    <w:p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w:t>
      </w:r>
      <w:r w:rsidRPr="00255189">
        <w:rPr>
          <w:rFonts w:ascii="Palatino Linotype" w:eastAsia="Times New Roman" w:hAnsi="Palatino Linotype" w:cs="Arial"/>
          <w:color w:val="000000"/>
          <w:sz w:val="24"/>
          <w:szCs w:val="24"/>
          <w:lang w:val="es-ES_tradnl" w:eastAsia="es-MX"/>
        </w:rPr>
        <w:lastRenderedPageBreak/>
        <w:t>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eastAsia="Times New Roman" w:hAnsi="Palatino Linotype" w:cs="Arial"/>
          <w:b/>
          <w:color w:val="000000"/>
          <w:sz w:val="24"/>
          <w:szCs w:val="24"/>
          <w:lang w:val="es-ES_tradnl" w:eastAsia="es-ES"/>
        </w:rPr>
        <w:t xml:space="preserve">Constitución Política de los Estados Unidos Mexicanos </w:t>
      </w:r>
      <w:r w:rsidRPr="00255189">
        <w:rPr>
          <w:rFonts w:ascii="Palatino Linotype" w:eastAsia="Times New Roman" w:hAnsi="Palatino Linotype" w:cs="Arial"/>
          <w:color w:val="000000"/>
          <w:sz w:val="24"/>
          <w:szCs w:val="24"/>
          <w:lang w:val="es-ES_tradnl" w:eastAsia="es-ES"/>
        </w:rPr>
        <w:t xml:space="preserve">al señalar la obligación de “promover, </w:t>
      </w:r>
      <w:r w:rsidRPr="00255189">
        <w:rPr>
          <w:rFonts w:ascii="Palatino Linotype" w:eastAsia="Times New Roman" w:hAnsi="Palatino Linotype" w:cs="Arial"/>
          <w:b/>
          <w:color w:val="000000"/>
          <w:sz w:val="24"/>
          <w:szCs w:val="24"/>
          <w:lang w:val="es-ES_tradnl" w:eastAsia="es-ES"/>
        </w:rPr>
        <w:t>respetar</w:t>
      </w:r>
      <w:r w:rsidRPr="00255189">
        <w:rPr>
          <w:rFonts w:ascii="Palatino Linotype" w:eastAsia="Times New Roman" w:hAnsi="Palatino Linotype" w:cs="Arial"/>
          <w:color w:val="000000"/>
          <w:sz w:val="24"/>
          <w:szCs w:val="24"/>
          <w:lang w:val="es-ES_tradnl" w:eastAsia="es-ES"/>
        </w:rPr>
        <w:t xml:space="preserve">, proteger y </w:t>
      </w:r>
      <w:r w:rsidRPr="00255189">
        <w:rPr>
          <w:rFonts w:ascii="Palatino Linotype" w:eastAsia="Times New Roman" w:hAnsi="Palatino Linotype" w:cs="Arial"/>
          <w:b/>
          <w:color w:val="000000"/>
          <w:sz w:val="24"/>
          <w:szCs w:val="24"/>
          <w:lang w:val="es-ES_tradnl" w:eastAsia="es-ES"/>
        </w:rPr>
        <w:t>garantizar</w:t>
      </w:r>
      <w:r w:rsidRPr="0025518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25518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que se constituye como una 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w:t>
      </w:r>
      <w:r w:rsidRPr="00255189">
        <w:rPr>
          <w:rFonts w:ascii="Palatino Linotype" w:eastAsiaTheme="minorEastAsia" w:hAnsi="Palatino Linotype"/>
          <w:i/>
          <w:color w:val="000000"/>
          <w:sz w:val="24"/>
          <w:szCs w:val="24"/>
          <w:lang w:val="es-ES_tradnl" w:eastAsia="es-ES"/>
        </w:rPr>
        <w:lastRenderedPageBreak/>
        <w:t>sin lo cual la verdad languidecería y la participación en el gobierno permanecería fragmentada.</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t xml:space="preserve"> </w:t>
      </w: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Por lo tanto, derivado de lo señalado con anterioridad la actuación del </w:t>
      </w:r>
      <w:r w:rsidR="001561B1">
        <w:rPr>
          <w:rFonts w:ascii="Palatino Linotype" w:eastAsia="Times New Roman" w:hAnsi="Palatino Linotype"/>
          <w:b/>
          <w:sz w:val="24"/>
          <w:szCs w:val="24"/>
          <w:lang w:val="es-ES_tradnl" w:eastAsia="es-ES"/>
        </w:rPr>
        <w:t>Ayuntamiento de Capulhuac</w:t>
      </w:r>
      <w:r w:rsidR="00D02C88">
        <w:rPr>
          <w:rFonts w:ascii="Palatino Linotype" w:eastAsia="Times New Roman" w:hAnsi="Palatino Linotype"/>
          <w:sz w:val="24"/>
          <w:szCs w:val="24"/>
          <w:lang w:val="es-ES_tradnl" w:eastAsia="es-ES"/>
        </w:rPr>
        <w:t xml:space="preserve"> </w:t>
      </w:r>
      <w:r w:rsidRPr="0025518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eastAsia="es-ES"/>
        </w:rPr>
        <w:t>prevenir, investigar, sancionar y reparar las violaciones a los derechos humanos</w:t>
      </w:r>
      <w:r w:rsidRPr="00255189">
        <w:rPr>
          <w:rFonts w:ascii="Palatino Linotype" w:eastAsiaTheme="minorEastAsia" w:hAnsi="Palatino Linotype" w:cs="Arial"/>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255189">
        <w:rPr>
          <w:rFonts w:ascii="Palatino Linotype" w:eastAsia="Times New Roman" w:hAnsi="Palatino Linotype"/>
          <w:sz w:val="24"/>
          <w:szCs w:val="24"/>
          <w:lang w:val="es-ES_tradnl" w:eastAsia="es-ES"/>
        </w:rPr>
        <w:lastRenderedPageBreak/>
        <w:t>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el recurso de revisión es la garantía 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255189"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rsidR="00255189" w:rsidRPr="00255189"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8" w:name="_Toc3467943"/>
      <w:r w:rsidRPr="00255189">
        <w:rPr>
          <w:rFonts w:ascii="Palatino Linotype" w:eastAsia="MS Gothic" w:hAnsi="Palatino Linotype" w:cs="Times New Roman"/>
          <w:b/>
          <w:sz w:val="24"/>
          <w:szCs w:val="24"/>
          <w:lang w:val="es-ES_tradnl" w:eastAsia="es-ES"/>
        </w:rPr>
        <w:t>De la naturaleza de la información solicitada.</w:t>
      </w:r>
      <w:bookmarkEnd w:id="88"/>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rsidR="00255189" w:rsidRPr="00255189" w:rsidRDefault="00255189" w:rsidP="00255189">
      <w:pPr>
        <w:spacing w:after="0" w:line="240" w:lineRule="auto"/>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E3DB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1561B1">
        <w:rPr>
          <w:rFonts w:ascii="Palatino Linotype" w:eastAsia="Calibri" w:hAnsi="Palatino Linotype" w:cs="Times New Roman"/>
          <w:b/>
          <w:sz w:val="24"/>
          <w:szCs w:val="24"/>
          <w:lang w:val="es-ES_tradnl" w:eastAsia="es-ES"/>
        </w:rPr>
        <w:t>Ayuntamiento de Capulhuac</w:t>
      </w:r>
      <w:r w:rsidR="00D02C88">
        <w:rPr>
          <w:rFonts w:ascii="Palatino Linotype" w:eastAsia="Calibri" w:hAnsi="Palatino Linotype" w:cs="Times New Roman"/>
          <w:b/>
          <w:sz w:val="24"/>
          <w:szCs w:val="24"/>
          <w:lang w:val="es-ES_tradnl" w:eastAsia="es-ES"/>
        </w:rPr>
        <w:t xml:space="preserve"> </w:t>
      </w:r>
      <w:r w:rsidR="006E3DBF">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E3DB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255189">
        <w:rPr>
          <w:rFonts w:ascii="Palatino Linotype" w:eastAsia="Calibri" w:hAnsi="Palatino Linotype" w:cs="Times New Roman"/>
          <w:b/>
          <w:bCs/>
          <w:i/>
          <w:sz w:val="24"/>
          <w:szCs w:val="24"/>
          <w:lang w:val="es-ES_tradnl" w:eastAsia="es-ES"/>
        </w:rPr>
        <w:t>“Artículo 23.</w:t>
      </w:r>
      <w:r w:rsidRPr="00255189">
        <w:rPr>
          <w:rFonts w:ascii="Palatino Linotype" w:eastAsia="Calibri" w:hAnsi="Palatino Linotype" w:cs="Times New Roman"/>
          <w:bCs/>
          <w:i/>
          <w:sz w:val="24"/>
          <w:szCs w:val="24"/>
          <w:lang w:val="es-ES_tradnl" w:eastAsia="es-ES"/>
        </w:rPr>
        <w:t xml:space="preserve"> </w:t>
      </w:r>
      <w:r w:rsidRPr="006E3DBF">
        <w:rPr>
          <w:rFonts w:ascii="Palatino Linotype" w:eastAsia="Calibri" w:hAnsi="Palatino Linotype" w:cs="Times New Roman"/>
          <w:b/>
          <w:bCs/>
          <w:i/>
          <w:sz w:val="24"/>
          <w:szCs w:val="24"/>
          <w:lang w:val="es-ES_tradnl" w:eastAsia="es-ES"/>
        </w:rPr>
        <w:t xml:space="preserve">Son </w:t>
      </w:r>
      <w:r w:rsidRPr="006E3DB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E3DBF">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255189"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6E3DB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E3DBF">
        <w:rPr>
          <w:rFonts w:ascii="Palatino Linotype" w:eastAsia="Calibri" w:hAnsi="Palatino Linotype" w:cs="Times New Roman"/>
          <w:bCs/>
          <w:i/>
          <w:sz w:val="24"/>
          <w:szCs w:val="24"/>
          <w:lang w:val="es-ES_tradnl" w:eastAsia="es-ES"/>
        </w:rPr>
        <w:t>IV. Los ayuntamientos y las dependencias, organismos, órganos y entidades d</w:t>
      </w:r>
      <w:r w:rsidR="006E3DBF">
        <w:rPr>
          <w:rFonts w:ascii="Palatino Linotype" w:eastAsia="Calibri" w:hAnsi="Palatino Linotype" w:cs="Times New Roman"/>
          <w:bCs/>
          <w:i/>
          <w:sz w:val="24"/>
          <w:szCs w:val="24"/>
          <w:lang w:val="es-ES_tradnl" w:eastAsia="es-ES"/>
        </w:rPr>
        <w:t>e la administración municipal;”</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Así en calidad de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el </w:t>
      </w:r>
      <w:r w:rsidR="001561B1">
        <w:rPr>
          <w:rFonts w:ascii="Palatino Linotype" w:eastAsia="Calibri" w:hAnsi="Palatino Linotype" w:cs="Times New Roman"/>
          <w:b/>
          <w:sz w:val="24"/>
          <w:szCs w:val="24"/>
          <w:lang w:val="es-ES_tradnl" w:eastAsia="es-ES"/>
        </w:rPr>
        <w:t xml:space="preserve">Ayuntamiento de Capulhuac </w:t>
      </w:r>
      <w:r w:rsidRPr="00255189">
        <w:rPr>
          <w:rFonts w:ascii="Palatino Linotype" w:eastAsia="Calibri" w:hAnsi="Palatino Linotype" w:cs="Times New Roman"/>
          <w:sz w:val="24"/>
          <w:szCs w:val="24"/>
          <w:lang w:val="es-ES_tradnl" w:eastAsia="es-ES"/>
        </w:rPr>
        <w:t xml:space="preserve">se encuentra constreñido a respetar y cumplir el </w:t>
      </w:r>
      <w:r w:rsidR="006E3DBF">
        <w:rPr>
          <w:rFonts w:ascii="Palatino Linotype" w:eastAsia="Calibri" w:hAnsi="Palatino Linotype" w:cs="Times New Roman"/>
          <w:sz w:val="24"/>
          <w:szCs w:val="24"/>
          <w:lang w:val="es-ES_tradnl" w:eastAsia="es-ES"/>
        </w:rPr>
        <w:t>Derecho Humano d</w:t>
      </w:r>
      <w:r w:rsidR="006E3DBF" w:rsidRPr="00255189">
        <w:rPr>
          <w:rFonts w:ascii="Palatino Linotype" w:eastAsia="Calibri" w:hAnsi="Palatino Linotype" w:cs="Times New Roman"/>
          <w:sz w:val="24"/>
          <w:szCs w:val="24"/>
          <w:lang w:val="es-ES_tradnl" w:eastAsia="es-ES"/>
        </w:rPr>
        <w:t xml:space="preserve">e Acceso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 xml:space="preserve">En la interpretación de este derecho deberá prevalecer el principio </w:t>
      </w:r>
      <w:r w:rsidRPr="00255189">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w:t>
      </w:r>
      <w:r w:rsidRPr="00255189">
        <w:rPr>
          <w:rFonts w:ascii="Palatino Linotype" w:eastAsiaTheme="minorEastAsia" w:hAnsi="Palatino Linotype" w:cs="Arial"/>
          <w:bCs/>
          <w:i/>
          <w:lang w:val="es-ES_tradnl" w:eastAsia="es-ES"/>
        </w:rPr>
        <w:lastRenderedPageBreak/>
        <w:t xml:space="preserve">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(Énfasis añadido)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Default="00255189" w:rsidP="001561B1">
      <w:pPr>
        <w:spacing w:before="240" w:after="240" w:line="360" w:lineRule="auto"/>
        <w:contextualSpacing/>
        <w:rPr>
          <w:rFonts w:eastAsiaTheme="minorEastAsia"/>
          <w:noProof/>
          <w:sz w:val="24"/>
          <w:szCs w:val="24"/>
          <w:lang w:eastAsia="es-MX"/>
        </w:rPr>
      </w:pPr>
    </w:p>
    <w:p w:rsidR="00255189" w:rsidRDefault="001561B1" w:rsidP="00255189">
      <w:pPr>
        <w:spacing w:before="240" w:after="240" w:line="360" w:lineRule="auto"/>
        <w:contextualSpacing/>
        <w:jc w:val="center"/>
        <w:rPr>
          <w:rFonts w:eastAsiaTheme="minorEastAsia"/>
          <w:noProof/>
          <w:sz w:val="24"/>
          <w:szCs w:val="24"/>
          <w:lang w:eastAsia="es-MX"/>
        </w:rPr>
      </w:pPr>
      <w:r>
        <w:rPr>
          <w:noProof/>
          <w:lang w:eastAsia="es-MX"/>
        </w:rPr>
        <w:drawing>
          <wp:inline distT="0" distB="0" distL="0" distR="0" wp14:anchorId="2B5C1596" wp14:editId="19E3A883">
            <wp:extent cx="4752871" cy="325645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50" t="10242" r="23812" b="26375"/>
                    <a:stretch/>
                  </pic:blipFill>
                  <pic:spPr bwMode="auto">
                    <a:xfrm>
                      <a:off x="0" y="0"/>
                      <a:ext cx="4797360" cy="3286932"/>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255189"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255189"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t>XII. Fomentar la transparencia y accesibilidad al interior del sujeto obligado</w:t>
      </w:r>
      <w:r w:rsidRPr="00255189">
        <w:rPr>
          <w:rFonts w:ascii="Palatino Linotype" w:eastAsiaTheme="minorEastAsia" w:hAnsi="Palatino Linotype"/>
          <w:i/>
          <w:sz w:val="24"/>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9" w:name="_Toc536106972"/>
      <w:bookmarkStart w:id="90" w:name="_Toc3467944"/>
      <w:r w:rsidRPr="00255189">
        <w:rPr>
          <w:rFonts w:ascii="Palatino Linotype" w:eastAsia="Times New Roman" w:hAnsi="Palatino Linotype" w:cstheme="majorBidi"/>
          <w:b/>
          <w:sz w:val="24"/>
          <w:szCs w:val="32"/>
        </w:rPr>
        <w:lastRenderedPageBreak/>
        <w:t>Sobre la respuesta que se emita a la solicitud.</w:t>
      </w:r>
      <w:bookmarkEnd w:id="89"/>
      <w:bookmarkEnd w:id="90"/>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Pr>
          <w:rFonts w:ascii="Palatino Linotype" w:eastAsiaTheme="minorEastAsia" w:hAnsi="Palatino Linotype" w:cs="Arial"/>
          <w:sz w:val="24"/>
          <w:szCs w:val="24"/>
          <w:lang w:val="es-ES_tradnl" w:eastAsia="es-ES"/>
        </w:rPr>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D59C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rsidR="008D59CF" w:rsidRDefault="008D59CF" w:rsidP="008D59CF">
      <w:pPr>
        <w:pStyle w:val="Prrafodelista"/>
        <w:rPr>
          <w:rFonts w:ascii="Palatino Linotype" w:eastAsia="Times New Roman" w:hAnsi="Palatino Linotype" w:cs="Arial"/>
          <w:color w:val="000000"/>
        </w:rPr>
      </w:pPr>
    </w:p>
    <w:p w:rsidR="008D59CF"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resolución,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w:t>
      </w:r>
      <w:r>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Default="008D59CF" w:rsidP="008D59CF">
      <w:pPr>
        <w:pStyle w:val="Prrafodelista"/>
        <w:rPr>
          <w:rFonts w:ascii="Palatino Linotype" w:eastAsia="Times New Roman" w:hAnsi="Palatino Linotype" w:cs="Arial"/>
          <w:color w:val="000000"/>
        </w:rPr>
      </w:pPr>
    </w:p>
    <w:p w:rsidR="008D59CF" w:rsidRPr="00255189"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255189">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91" w:name="_Toc524344194"/>
      <w:bookmarkStart w:id="92" w:name="_Toc526271199"/>
      <w:bookmarkStart w:id="93" w:name="_Toc536105846"/>
      <w:bookmarkStart w:id="94" w:name="_Toc536106973"/>
      <w:bookmarkStart w:id="95" w:name="_Toc3467945"/>
      <w:r w:rsidRPr="00255189">
        <w:rPr>
          <w:rFonts w:ascii="Palatino Linotype" w:eastAsia="Times New Roman" w:hAnsi="Palatino Linotype" w:cstheme="majorBidi"/>
          <w:b/>
          <w:sz w:val="24"/>
          <w:szCs w:val="24"/>
        </w:rPr>
        <w:t>IV. Análisis al que debe someterse la información antes de su entrega.</w:t>
      </w:r>
      <w:bookmarkEnd w:id="91"/>
      <w:bookmarkEnd w:id="92"/>
      <w:bookmarkEnd w:id="93"/>
      <w:bookmarkEnd w:id="94"/>
      <w:bookmarkEnd w:id="95"/>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255189">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 Pueda menoscabar la conducción de las negociaciones y relaciones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2. La recaudación de las contribuciones.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255189">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255189">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255189">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6" w:name="_Toc524344195"/>
      <w:bookmarkStart w:id="97" w:name="_Toc526271200"/>
      <w:bookmarkStart w:id="98" w:name="_Toc536106974"/>
      <w:bookmarkStart w:id="99" w:name="_Toc3467946"/>
      <w:r w:rsidRPr="00255189">
        <w:rPr>
          <w:rFonts w:ascii="Palatino Linotype" w:eastAsia="Times New Roman" w:hAnsi="Palatino Linotype" w:cstheme="majorBidi"/>
          <w:b/>
          <w:sz w:val="24"/>
          <w:szCs w:val="24"/>
        </w:rPr>
        <w:t>QUINTO. El cumplimiento a esta resolución es susceptible de ser impugnado</w:t>
      </w:r>
      <w:bookmarkEnd w:id="96"/>
      <w:bookmarkEnd w:id="97"/>
      <w:r w:rsidRPr="00255189">
        <w:rPr>
          <w:rFonts w:ascii="Palatino Linotype" w:eastAsia="Times New Roman" w:hAnsi="Palatino Linotype" w:cstheme="majorBidi"/>
          <w:b/>
          <w:sz w:val="24"/>
          <w:szCs w:val="24"/>
        </w:rPr>
        <w:t>.</w:t>
      </w:r>
      <w:bookmarkEnd w:id="98"/>
      <w:bookmarkEnd w:id="99"/>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D78F2"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dar atención a la solicitud de información y además de ello entregar la información correspondiente, con las formalidades en tiempo y forma que dispone la normatividad aplicable.</w:t>
      </w:r>
    </w:p>
    <w:p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D78F2"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y  XI</w:t>
      </w:r>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F96B83">
        <w:rPr>
          <w:rFonts w:ascii="Palatino Linotype" w:eastAsiaTheme="minorEastAsia" w:hAnsi="Palatino Linotype" w:cs="Arial"/>
          <w:sz w:val="24"/>
          <w:szCs w:val="24"/>
          <w:lang w:val="es-ES_tradnl" w:eastAsia="es-ES"/>
        </w:rPr>
        <w:lastRenderedPageBreak/>
        <w:t xml:space="preserve">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100" w:name="_Toc487739452"/>
      <w:bookmarkStart w:id="101" w:name="_Toc524344196"/>
      <w:bookmarkStart w:id="102" w:name="_Toc526271201"/>
      <w:bookmarkStart w:id="103" w:name="_Toc536106975"/>
      <w:bookmarkStart w:id="104" w:name="_Toc3467947"/>
      <w:r w:rsidRPr="00255189">
        <w:rPr>
          <w:rFonts w:ascii="Palatino Linotype" w:eastAsia="MS Gothic" w:hAnsi="Palatino Linotype" w:cstheme="majorBidi"/>
          <w:b/>
          <w:sz w:val="24"/>
          <w:szCs w:val="24"/>
        </w:rPr>
        <w:t>SEXTO. Vista a los órganos de control interno</w:t>
      </w:r>
      <w:bookmarkEnd w:id="100"/>
      <w:r w:rsidRPr="00255189">
        <w:rPr>
          <w:rFonts w:ascii="Palatino Linotype" w:eastAsia="MS Gothic" w:hAnsi="Palatino Linotype" w:cstheme="majorBidi"/>
          <w:b/>
          <w:sz w:val="24"/>
          <w:szCs w:val="24"/>
        </w:rPr>
        <w:t>.</w:t>
      </w:r>
      <w:bookmarkEnd w:id="101"/>
      <w:bookmarkEnd w:id="102"/>
      <w:bookmarkEnd w:id="103"/>
      <w:bookmarkEnd w:id="104"/>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lastRenderedPageBreak/>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eastAsiaTheme="minorEastAsia" w:hAnsi="Palatino Linotype"/>
          <w:i/>
          <w:szCs w:val="24"/>
          <w:lang w:val="es-ES_tradnl" w:eastAsia="es-ES"/>
        </w:rPr>
        <w:t xml:space="preserve"> (De Acuerdo al Decreto N°207, Publicado el 30 de mayo de 2017)</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5" w:name="_Toc510638881"/>
      <w:bookmarkStart w:id="106" w:name="_Toc524344197"/>
      <w:bookmarkStart w:id="107" w:name="_Toc526271202"/>
      <w:bookmarkStart w:id="108" w:name="_Toc536106976"/>
      <w:bookmarkStart w:id="109" w:name="_Toc3467948"/>
      <w:r w:rsidRPr="00255189">
        <w:rPr>
          <w:rFonts w:ascii="Palatino Linotype" w:eastAsia="Times New Roman" w:hAnsi="Palatino Linotype" w:cstheme="majorBidi"/>
          <w:b/>
          <w:sz w:val="24"/>
          <w:szCs w:val="24"/>
          <w:lang w:val="es-ES_tradnl" w:eastAsia="es-ES"/>
        </w:rPr>
        <w:t>SÉPTIMO. De la versión pública.</w:t>
      </w:r>
      <w:bookmarkEnd w:id="105"/>
      <w:bookmarkEnd w:id="106"/>
      <w:bookmarkEnd w:id="107"/>
      <w:bookmarkEnd w:id="108"/>
      <w:bookmarkEnd w:id="109"/>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255189" w:rsidRPr="00255189"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t xml:space="preserve">para tal efecto emitirá el </w:t>
      </w:r>
      <w:r w:rsidRPr="00255189">
        <w:rPr>
          <w:rFonts w:ascii="Palatino Linotype" w:eastAsia="Calibri" w:hAnsi="Palatino Linotype" w:cs="Arial"/>
          <w:color w:val="000000" w:themeColor="text1"/>
          <w:sz w:val="24"/>
          <w:szCs w:val="24"/>
          <w:lang w:val="es-ES" w:eastAsia="es-MX"/>
        </w:rPr>
        <w:t xml:space="preserve">Acuerdo del Comité de Transparencia en términos de </w:t>
      </w:r>
      <w:r w:rsidRPr="00255189">
        <w:rPr>
          <w:rFonts w:ascii="Palatino Linotype" w:eastAsia="Calibri" w:hAnsi="Palatino Linotype" w:cs="Arial"/>
          <w:color w:val="000000" w:themeColor="text1"/>
          <w:sz w:val="24"/>
          <w:szCs w:val="24"/>
          <w:lang w:val="es-ES" w:eastAsia="es-MX"/>
        </w:rPr>
        <w:lastRenderedPageBreak/>
        <w:t>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5"/>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10" w:name="_Toc500756709"/>
      <w:bookmarkStart w:id="111" w:name="_Toc536691777"/>
      <w:bookmarkStart w:id="112" w:name="_Toc3467949"/>
      <w:r w:rsidRPr="00255189">
        <w:rPr>
          <w:rFonts w:ascii="Palatino Linotype" w:eastAsiaTheme="majorEastAsia" w:hAnsi="Palatino Linotype" w:cstheme="majorBidi"/>
          <w:b/>
          <w:color w:val="000000" w:themeColor="text1"/>
          <w:sz w:val="24"/>
          <w:szCs w:val="24"/>
        </w:rPr>
        <w:t>I. De la clasificación de la información.</w:t>
      </w:r>
      <w:bookmarkEnd w:id="110"/>
      <w:bookmarkEnd w:id="111"/>
      <w:bookmarkEnd w:id="112"/>
    </w:p>
    <w:p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7"/>
      </w:r>
      <w:r w:rsidRPr="00255189">
        <w:rPr>
          <w:rFonts w:ascii="Palatino Linotype" w:eastAsiaTheme="minorEastAsia" w:hAnsi="Palatino Linotype"/>
          <w:color w:val="000000" w:themeColor="text1"/>
          <w:sz w:val="24"/>
          <w:szCs w:val="24"/>
          <w:lang w:val="es-ES_tradnl" w:eastAsia="es-ES"/>
        </w:rPr>
        <w:t xml:space="preserve"> aunque cualquier límite o </w:t>
      </w:r>
      <w:r w:rsidRPr="00255189">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255189">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341C5"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3" w:name="_Toc485631700"/>
      <w:bookmarkStart w:id="114" w:name="_Toc500756710"/>
      <w:bookmarkStart w:id="115" w:name="_Toc536691778"/>
      <w:bookmarkStart w:id="116" w:name="_Toc3467950"/>
      <w:r w:rsidRPr="00C341C5">
        <w:rPr>
          <w:rFonts w:ascii="Palatino Linotype" w:eastAsiaTheme="majorEastAsia" w:hAnsi="Palatino Linotype" w:cstheme="majorBidi"/>
          <w:b/>
          <w:color w:val="000000" w:themeColor="text1"/>
        </w:rPr>
        <w:t>Requisitos previos.</w:t>
      </w:r>
      <w:bookmarkEnd w:id="113"/>
      <w:bookmarkEnd w:id="114"/>
      <w:bookmarkEnd w:id="115"/>
      <w:bookmarkEnd w:id="116"/>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7" w:name="_Toc485631701"/>
      <w:bookmarkStart w:id="118" w:name="_Toc500756711"/>
      <w:bookmarkStart w:id="119" w:name="_Toc536691779"/>
      <w:bookmarkStart w:id="120" w:name="_Toc3467951"/>
      <w:r w:rsidRPr="00255189">
        <w:rPr>
          <w:rFonts w:ascii="Palatino Linotype" w:eastAsiaTheme="majorEastAsia" w:hAnsi="Palatino Linotype" w:cstheme="majorBidi"/>
          <w:b/>
          <w:color w:val="000000" w:themeColor="text1"/>
          <w:sz w:val="24"/>
          <w:szCs w:val="24"/>
        </w:rPr>
        <w:t>Supuestos de clasificación.</w:t>
      </w:r>
      <w:bookmarkEnd w:id="117"/>
      <w:bookmarkEnd w:id="118"/>
      <w:bookmarkEnd w:id="119"/>
      <w:bookmarkEnd w:id="120"/>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lastRenderedPageBreak/>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9"/>
      </w:r>
      <w:r w:rsidRPr="0025518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1" w:name="_Toc485631702"/>
      <w:bookmarkStart w:id="122" w:name="_Toc500756712"/>
      <w:bookmarkStart w:id="123" w:name="_Toc536691780"/>
      <w:bookmarkStart w:id="124"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1"/>
      <w:bookmarkEnd w:id="122"/>
      <w:bookmarkEnd w:id="123"/>
      <w:bookmarkEnd w:id="124"/>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255189">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ED595C"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5" w:name="_Toc485631703"/>
      <w:bookmarkStart w:id="126" w:name="_Toc500756713"/>
      <w:bookmarkStart w:id="127" w:name="_Toc536691781"/>
      <w:bookmarkStart w:id="128" w:name="_Toc3467953"/>
      <w:r w:rsidRPr="00255189">
        <w:rPr>
          <w:rFonts w:ascii="Palatino Linotype" w:eastAsiaTheme="majorEastAsia" w:hAnsi="Palatino Linotype" w:cstheme="majorBidi"/>
          <w:b/>
          <w:color w:val="000000" w:themeColor="text1"/>
          <w:sz w:val="24"/>
          <w:szCs w:val="24"/>
        </w:rPr>
        <w:t>II. La intervención del Comité de Transparencia.</w:t>
      </w:r>
      <w:bookmarkEnd w:id="125"/>
      <w:bookmarkEnd w:id="126"/>
      <w:bookmarkEnd w:id="127"/>
      <w:bookmarkEnd w:id="128"/>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9" w:name="_Toc485631704"/>
      <w:bookmarkStart w:id="130" w:name="_Toc500756714"/>
      <w:bookmarkStart w:id="131" w:name="_Toc536691782"/>
      <w:bookmarkStart w:id="132" w:name="_Toc3467954"/>
      <w:r w:rsidRPr="00255189">
        <w:rPr>
          <w:rFonts w:ascii="Palatino Linotype" w:eastAsiaTheme="majorEastAsia" w:hAnsi="Palatino Linotype" w:cstheme="majorBidi"/>
          <w:b/>
          <w:color w:val="000000" w:themeColor="text1"/>
          <w:sz w:val="24"/>
          <w:szCs w:val="24"/>
        </w:rPr>
        <w:lastRenderedPageBreak/>
        <w:t>Formalidades para emitir el acuerdo de clasificación.</w:t>
      </w:r>
      <w:bookmarkEnd w:id="129"/>
      <w:bookmarkEnd w:id="130"/>
      <w:bookmarkEnd w:id="131"/>
      <w:bookmarkEnd w:id="132"/>
    </w:p>
    <w:p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rsidR="00255189" w:rsidRPr="00255189"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3" w:name="_Toc485631705"/>
      <w:bookmarkStart w:id="134" w:name="_Toc500756715"/>
      <w:bookmarkStart w:id="135" w:name="_Toc536691783"/>
      <w:bookmarkStart w:id="136"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33"/>
      <w:bookmarkEnd w:id="134"/>
      <w:bookmarkEnd w:id="135"/>
      <w:bookmarkEnd w:id="136"/>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255189">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sz w:val="24"/>
          <w:szCs w:val="24"/>
          <w:vertAlign w:val="superscript"/>
          <w:lang w:val="es-ES_tradnl" w:eastAsia="es-MX"/>
        </w:rPr>
        <w:footnoteReference w:id="10"/>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4650C6">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4650C6">
        <w:rPr>
          <w:rFonts w:ascii="Palatino Linotype" w:eastAsiaTheme="minorEastAsia" w:hAnsi="Palatino Linotype" w:cs="Arial"/>
          <w:i/>
          <w:color w:val="000000" w:themeColor="text1"/>
          <w:vertAlign w:val="superscript"/>
          <w:lang w:val="es-ES_tradnl" w:eastAsia="es-ES"/>
        </w:rPr>
        <w:footnoteReference w:id="11"/>
      </w:r>
    </w:p>
    <w:p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2"/>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582783">
        <w:rPr>
          <w:rFonts w:ascii="Palatino Linotype" w:eastAsia="Calibri" w:hAnsi="Palatino Linotype" w:cs="Arial"/>
          <w:color w:val="000000" w:themeColor="text1"/>
          <w:sz w:val="24"/>
          <w:szCs w:val="24"/>
          <w:lang w:val="es-ES" w:eastAsia="es-MX"/>
        </w:rPr>
        <w:t xml:space="preserve">aja de ahorro, seguro de vida, </w:t>
      </w:r>
      <w:r w:rsidRPr="00255189">
        <w:rPr>
          <w:rFonts w:ascii="Palatino Linotype" w:eastAsia="Calibri" w:hAnsi="Palatino Linotype" w:cs="Arial"/>
          <w:color w:val="000000" w:themeColor="text1"/>
          <w:sz w:val="24"/>
          <w:szCs w:val="24"/>
          <w:lang w:val="es-ES" w:eastAsia="es-MX"/>
        </w:rPr>
        <w:t xml:space="preserve">estos son datos  susceptibles de clasificarse como confidenciales </w:t>
      </w:r>
      <w:r w:rsidRPr="00255189">
        <w:rPr>
          <w:rFonts w:ascii="Palatino Linotype" w:eastAsia="Calibri" w:hAnsi="Palatino Linotype" w:cs="Arial"/>
          <w:color w:val="000000" w:themeColor="text1"/>
          <w:sz w:val="24"/>
          <w:szCs w:val="24"/>
          <w:lang w:val="es-ES" w:eastAsia="es-MX"/>
        </w:rPr>
        <w:lastRenderedPageBreak/>
        <w:t xml:space="preserve">mediante una versión pública que deje a la vista los datos que ofrezcan la información requerida.  </w:t>
      </w:r>
    </w:p>
    <w:p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255189"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7" w:name="_Toc485631706"/>
      <w:bookmarkStart w:id="138" w:name="_Toc500756716"/>
      <w:bookmarkStart w:id="139" w:name="_Toc536691784"/>
      <w:bookmarkStart w:id="140" w:name="_Toc3467956"/>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7"/>
      <w:bookmarkEnd w:id="138"/>
      <w:bookmarkEnd w:id="139"/>
      <w:bookmarkEnd w:id="140"/>
      <w:r w:rsidRPr="00255189">
        <w:rPr>
          <w:rFonts w:ascii="Palatino Linotype" w:eastAsiaTheme="majorEastAsia" w:hAnsi="Palatino Linotype" w:cstheme="majorBidi"/>
          <w:b/>
          <w:color w:val="000000" w:themeColor="text1"/>
          <w:sz w:val="24"/>
          <w:szCs w:val="24"/>
        </w:rPr>
        <w:t xml:space="preserve"> </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1" w:name="_Toc485631707"/>
      <w:bookmarkStart w:id="142" w:name="_Toc500756717"/>
      <w:bookmarkStart w:id="143" w:name="_Toc536691785"/>
      <w:bookmarkStart w:id="144" w:name="_Toc3467957"/>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141"/>
      <w:bookmarkEnd w:id="142"/>
      <w:bookmarkEnd w:id="143"/>
      <w:bookmarkEnd w:id="144"/>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5" w:name="_Toc485631708"/>
      <w:bookmarkStart w:id="146" w:name="_Toc500756718"/>
      <w:bookmarkStart w:id="147" w:name="_Toc536691786"/>
      <w:bookmarkStart w:id="148" w:name="_Toc3467958"/>
      <w:r w:rsidRPr="00255189">
        <w:rPr>
          <w:rFonts w:ascii="Palatino Linotype" w:eastAsiaTheme="majorEastAsia" w:hAnsi="Palatino Linotype" w:cstheme="majorBidi"/>
          <w:b/>
          <w:color w:val="000000" w:themeColor="text1"/>
          <w:sz w:val="24"/>
          <w:szCs w:val="24"/>
          <w:lang w:val="es-ES_tradnl" w:eastAsia="es-ES"/>
        </w:rPr>
        <w:lastRenderedPageBreak/>
        <w:t>La prueba de daño.</w:t>
      </w:r>
      <w:bookmarkEnd w:id="145"/>
      <w:bookmarkEnd w:id="146"/>
      <w:bookmarkEnd w:id="147"/>
      <w:bookmarkEnd w:id="148"/>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650C6"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3"/>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255189">
          <w:rPr>
            <w:rFonts w:ascii="Palatino Linotype" w:hAnsi="Palatino Linotype"/>
            <w:color w:val="000000" w:themeColor="text1"/>
            <w:sz w:val="24"/>
            <w:szCs w:val="24"/>
          </w:rPr>
          <w:t>enseñar</w:t>
        </w:r>
      </w:hyperlink>
      <w:r w:rsidRPr="00255189">
        <w:rPr>
          <w:rFonts w:ascii="Palatino Linotype" w:hAnsi="Palatino Linotype"/>
          <w:color w:val="000000" w:themeColor="text1"/>
          <w:sz w:val="24"/>
          <w:szCs w:val="24"/>
        </w:rPr>
        <w:t xml:space="preserve"> mostrar o exponer algo)”.</w:t>
      </w:r>
      <w:r w:rsidRPr="00255189">
        <w:rPr>
          <w:rFonts w:ascii="Palatino Linotype" w:hAnsi="Palatino Linotype"/>
          <w:color w:val="000000" w:themeColor="text1"/>
          <w:sz w:val="24"/>
          <w:szCs w:val="24"/>
          <w:vertAlign w:val="superscript"/>
        </w:rPr>
        <w:footnoteReference w:id="17"/>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19"/>
      </w: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20"/>
      </w:r>
      <w:r w:rsidRPr="00255189">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21"/>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9" w:name="_Toc485631709"/>
      <w:bookmarkStart w:id="150" w:name="_Toc500756719"/>
      <w:bookmarkStart w:id="151" w:name="_Toc536691787"/>
      <w:bookmarkStart w:id="152" w:name="_Toc3467959"/>
      <w:r w:rsidRPr="00255189">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9"/>
      <w:bookmarkEnd w:id="150"/>
      <w:bookmarkEnd w:id="151"/>
      <w:bookmarkEnd w:id="152"/>
    </w:p>
    <w:p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3" w:name="_Toc485631710"/>
      <w:bookmarkStart w:id="154" w:name="_Toc500756720"/>
      <w:bookmarkStart w:id="155" w:name="_Toc536691788"/>
      <w:bookmarkStart w:id="156" w:name="_Toc3467960"/>
      <w:r w:rsidRPr="0025518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3"/>
      <w:bookmarkEnd w:id="154"/>
      <w:bookmarkEnd w:id="155"/>
      <w:bookmarkEnd w:id="156"/>
    </w:p>
    <w:p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lastRenderedPageBreak/>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Requisitos previos</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se pueden emitir acuerdos de carácter general ni particular</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sujeto obligado debe emitir un acuerdo describiendo y analizando cada documento de un expediente y todos </w:t>
            </w:r>
            <w:r w:rsidRPr="00255189">
              <w:rPr>
                <w:rFonts w:ascii="Palatino Linotype" w:hAnsi="Palatino Linotype"/>
                <w:color w:val="000000" w:themeColor="text1"/>
              </w:rPr>
              <w:lastRenderedPageBreak/>
              <w:t xml:space="preserve">los datos incluidos en un documento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confidencial hay</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considerar la definición de dato personal</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Delitos de lessa humanidad</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255189" w:rsidRPr="00255189" w:rsidTr="00255189">
        <w:tc>
          <w:tcPr>
            <w:tcW w:w="2155" w:type="dxa"/>
            <w:vMerge w:val="restart"/>
            <w:shd w:val="clear" w:color="auto" w:fill="D5DCE4" w:themeFill="text2" w:themeFillTint="33"/>
          </w:tcPr>
          <w:p w:rsidR="00255189" w:rsidRPr="00255189" w:rsidRDefault="00255189" w:rsidP="00255189">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lastRenderedPageBreak/>
              <w:t>Participación del Comité de Transparencia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carga de la prueba para justificar la restricción corresponde al sujeto obligado</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Deber de fundar y motivar</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486"/>
        </w:trPr>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Además se debe aplicar, caso por caso, una prueba de daño.</w:t>
            </w:r>
          </w:p>
        </w:tc>
        <w:tc>
          <w:tcPr>
            <w:tcW w:w="226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entregar la información provoca un riesgo real, demostrable e identificable al interés público o a la seguridad pública</w:t>
            </w:r>
          </w:p>
        </w:tc>
      </w:tr>
      <w:tr w:rsidR="00255189" w:rsidRPr="00255189" w:rsidTr="00255189">
        <w:trPr>
          <w:trHeight w:val="486"/>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vMerge/>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rsidTr="00255189">
        <w:trPr>
          <w:trHeight w:val="145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w:t>
            </w:r>
            <w:r w:rsidRPr="00255189">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 xml:space="preserve">Si se encuentra en los supuestos de dicho artículo se </w:t>
            </w:r>
            <w:r w:rsidRPr="00255189">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340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bl>
    <w:p w:rsidR="00255189" w:rsidRPr="00255189"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rsidR="00255189" w:rsidRPr="0025518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7" w:name="_Toc524344198"/>
      <w:bookmarkStart w:id="158" w:name="_Toc526271203"/>
      <w:bookmarkStart w:id="159" w:name="_Toc536106982"/>
      <w:bookmarkStart w:id="160" w:name="_Toc3467961"/>
      <w:r w:rsidRPr="00255189">
        <w:rPr>
          <w:rFonts w:ascii="Palatino Linotype" w:eastAsia="Calibri" w:hAnsi="Palatino Linotype" w:cstheme="majorBidi"/>
          <w:b/>
          <w:sz w:val="24"/>
          <w:szCs w:val="24"/>
          <w:lang w:val="es-ES" w:eastAsia="es-ES"/>
        </w:rPr>
        <w:t>R E S O L U T I V O S</w:t>
      </w:r>
      <w:bookmarkEnd w:id="157"/>
      <w:bookmarkEnd w:id="158"/>
      <w:bookmarkEnd w:id="159"/>
      <w:bookmarkEnd w:id="160"/>
      <w:r w:rsidRPr="00255189">
        <w:rPr>
          <w:rFonts w:ascii="Palatino Linotype" w:eastAsia="Calibri" w:hAnsi="Palatino Linotype" w:cstheme="majorBidi"/>
          <w:b/>
          <w:sz w:val="24"/>
          <w:szCs w:val="24"/>
          <w:lang w:val="es-ES" w:eastAsia="es-ES"/>
        </w:rPr>
        <w:t xml:space="preserve"> </w:t>
      </w:r>
    </w:p>
    <w:p w:rsidR="00255189" w:rsidRPr="00255189" w:rsidRDefault="00255189" w:rsidP="00255189">
      <w:pPr>
        <w:spacing w:after="0" w:line="240" w:lineRule="auto"/>
        <w:rPr>
          <w:rFonts w:eastAsiaTheme="minorEastAsia"/>
          <w:sz w:val="24"/>
          <w:szCs w:val="24"/>
          <w:lang w:val="es-ES" w:eastAsia="es-ES"/>
        </w:rPr>
      </w:pPr>
    </w:p>
    <w:p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55189">
        <w:rPr>
          <w:rFonts w:ascii="Palatino Linotype" w:eastAsia="Times New Roman" w:hAnsi="Palatino Linotype" w:cs="Arial"/>
          <w:b/>
          <w:sz w:val="24"/>
          <w:szCs w:val="24"/>
          <w:lang w:val="es-ES_tradnl" w:eastAsia="es-ES"/>
        </w:rPr>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255189">
        <w:rPr>
          <w:rFonts w:ascii="Palatino Linotype" w:eastAsia="Times New Roman" w:hAnsi="Palatino Linotype" w:cs="Arial"/>
          <w:sz w:val="24"/>
          <w:szCs w:val="24"/>
          <w:lang w:val="es-ES" w:eastAsia="es-ES"/>
        </w:rPr>
        <w:t>razones o motivos de inconformidad hechos valer en el recurso de revisión</w:t>
      </w:r>
      <w:r w:rsidR="00D02C88">
        <w:rPr>
          <w:rFonts w:ascii="Palatino Linotype" w:eastAsia="Times New Roman" w:hAnsi="Palatino Linotype" w:cs="Arial"/>
          <w:sz w:val="24"/>
          <w:szCs w:val="24"/>
          <w:lang w:val="es-ES" w:eastAsia="es-ES"/>
        </w:rPr>
        <w:t xml:space="preserve"> </w:t>
      </w:r>
      <w:r w:rsidR="001561B1" w:rsidRPr="001561B1">
        <w:rPr>
          <w:rFonts w:ascii="Palatino Linotype" w:eastAsia="Times New Roman" w:hAnsi="Palatino Linotype" w:cs="Arial"/>
          <w:b/>
          <w:sz w:val="24"/>
          <w:szCs w:val="24"/>
          <w:lang w:val="es-ES" w:eastAsia="es-ES"/>
        </w:rPr>
        <w:t>09608/INFOEM/IP/RR/2019</w:t>
      </w:r>
      <w:r w:rsidR="001561B1">
        <w:rPr>
          <w:rFonts w:ascii="Palatino Linotype" w:eastAsia="Times New Roman" w:hAnsi="Palatino Linotype" w:cs="Arial"/>
          <w:sz w:val="24"/>
          <w:szCs w:val="24"/>
          <w:lang w:val="es-ES" w:eastAsia="es-ES"/>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CUARTO </w:t>
      </w:r>
      <w:r w:rsidRPr="00255189">
        <w:rPr>
          <w:rFonts w:ascii="Palatino Linotype" w:eastAsiaTheme="minorEastAsia" w:hAnsi="Palatino Linotype" w:cs="Arial"/>
          <w:bCs/>
          <w:sz w:val="24"/>
          <w:szCs w:val="24"/>
          <w:lang w:val="es-ES_tradnl" w:eastAsia="es-MX"/>
        </w:rPr>
        <w:t>de la presente resolución.</w:t>
      </w:r>
    </w:p>
    <w:p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255189" w:rsidRDefault="00255189" w:rsidP="00255189">
      <w:pPr>
        <w:spacing w:after="0" w:line="360" w:lineRule="auto"/>
        <w:jc w:val="both"/>
        <w:rPr>
          <w:rFonts w:ascii="Palatino Linotype" w:eastAsia="Calibri" w:hAnsi="Palatino Linotype" w:cs="Arial"/>
          <w:b/>
          <w:sz w:val="24"/>
          <w:szCs w:val="24"/>
          <w:lang w:val="es-ES" w:eastAsia="es-ES"/>
        </w:rPr>
      </w:pPr>
      <w:r w:rsidRPr="00255189">
        <w:rPr>
          <w:rFonts w:ascii="Palatino Linotype" w:eastAsia="Calibri" w:hAnsi="Palatino Linotype" w:cs="Arial"/>
          <w:b/>
          <w:bCs/>
          <w:sz w:val="24"/>
          <w:szCs w:val="24"/>
          <w:lang w:val="es-ES" w:eastAsia="es-ES"/>
        </w:rPr>
        <w:t xml:space="preserve">SEGUNDO. </w:t>
      </w:r>
      <w:r w:rsidRPr="00255189">
        <w:rPr>
          <w:rFonts w:ascii="Palatino Linotype" w:eastAsia="Calibri" w:hAnsi="Palatino Linotype" w:cs="Arial"/>
          <w:sz w:val="24"/>
          <w:szCs w:val="24"/>
          <w:lang w:val="es-ES" w:eastAsia="es-ES"/>
        </w:rPr>
        <w:t xml:space="preserve">Se </w:t>
      </w:r>
      <w:r w:rsidRPr="00255189">
        <w:rPr>
          <w:rFonts w:ascii="Palatino Linotype" w:eastAsia="Calibri" w:hAnsi="Palatino Linotype" w:cs="Arial"/>
          <w:b/>
          <w:sz w:val="24"/>
          <w:szCs w:val="24"/>
          <w:lang w:val="es-ES" w:eastAsia="es-ES"/>
        </w:rPr>
        <w:t xml:space="preserve">ORDENA </w:t>
      </w:r>
      <w:r w:rsidRPr="00255189">
        <w:rPr>
          <w:rFonts w:ascii="Palatino Linotype" w:eastAsia="Calibri" w:hAnsi="Palatino Linotype" w:cs="Arial"/>
          <w:sz w:val="24"/>
          <w:szCs w:val="24"/>
          <w:lang w:val="es-ES" w:eastAsia="es-ES"/>
        </w:rPr>
        <w:t>al</w:t>
      </w:r>
      <w:r w:rsidR="001561B1">
        <w:rPr>
          <w:rFonts w:ascii="Palatino Linotype" w:eastAsia="Calibri" w:hAnsi="Palatino Linotype" w:cs="Arial"/>
          <w:b/>
          <w:bCs/>
          <w:sz w:val="24"/>
          <w:szCs w:val="24"/>
          <w:lang w:val="es-ES_tradnl" w:eastAsia="es-ES"/>
        </w:rPr>
        <w:t xml:space="preserve"> Ayuntamiento de Capulhuac </w:t>
      </w:r>
      <w:r w:rsidRPr="00255189">
        <w:rPr>
          <w:rFonts w:ascii="Palatino Linotype" w:eastAsia="Calibri" w:hAnsi="Palatino Linotype" w:cs="Arial"/>
          <w:sz w:val="24"/>
          <w:szCs w:val="24"/>
          <w:lang w:val="es-ES" w:eastAsia="es-ES"/>
        </w:rPr>
        <w:t>dar atención a la solicitud de información</w:t>
      </w:r>
      <w:r w:rsidRPr="00255189">
        <w:rPr>
          <w:rFonts w:ascii="Verdana" w:eastAsiaTheme="minorEastAsia" w:hAnsi="Verdana"/>
          <w:b/>
          <w:bCs/>
          <w:color w:val="FF0000"/>
          <w:sz w:val="24"/>
          <w:szCs w:val="24"/>
          <w:lang w:val="es-ES_tradnl" w:eastAsia="es-ES"/>
        </w:rPr>
        <w:t xml:space="preserve"> </w:t>
      </w:r>
      <w:r w:rsidR="001561B1" w:rsidRPr="001561B1">
        <w:rPr>
          <w:rFonts w:ascii="Palatino Linotype" w:eastAsiaTheme="minorEastAsia" w:hAnsi="Palatino Linotype"/>
          <w:b/>
          <w:bCs/>
          <w:sz w:val="24"/>
          <w:szCs w:val="24"/>
          <w:lang w:val="es-ES_tradnl" w:eastAsia="es-ES"/>
        </w:rPr>
        <w:t>00472/CAPULHUA/IP/2019</w:t>
      </w:r>
      <w:r w:rsidR="001561B1" w:rsidRPr="001561B1">
        <w:rPr>
          <w:rFonts w:ascii="Verdana" w:eastAsiaTheme="minorEastAsia" w:hAnsi="Verdana"/>
          <w:b/>
          <w:bCs/>
          <w:sz w:val="24"/>
          <w:szCs w:val="24"/>
          <w:lang w:val="es-ES_tradnl" w:eastAsia="es-ES"/>
        </w:rPr>
        <w:t xml:space="preserve"> </w:t>
      </w:r>
      <w:r w:rsidRPr="00255189">
        <w:rPr>
          <w:rFonts w:ascii="Palatino Linotype" w:eastAsia="Calibri" w:hAnsi="Palatino Linotype" w:cs="Arial"/>
          <w:sz w:val="24"/>
          <w:szCs w:val="24"/>
          <w:lang w:val="es-ES" w:eastAsia="es-ES"/>
        </w:rPr>
        <w:t xml:space="preserve">y en su caso, entregar la información en la modalidad </w:t>
      </w:r>
      <w:r w:rsidRPr="00255189">
        <w:rPr>
          <w:rFonts w:ascii="Palatino Linotype" w:eastAsia="Calibri" w:hAnsi="Palatino Linotype" w:cs="Arial"/>
          <w:sz w:val="24"/>
          <w:szCs w:val="24"/>
          <w:lang w:val="es-ES_tradnl" w:eastAsia="es-ES"/>
        </w:rPr>
        <w:t>Sistema de Acceso a Información Mexiquense (</w:t>
      </w:r>
      <w:r w:rsidRPr="00255189">
        <w:rPr>
          <w:rFonts w:ascii="Palatino Linotype" w:eastAsia="Calibri" w:hAnsi="Palatino Linotype" w:cs="Arial"/>
          <w:b/>
          <w:sz w:val="24"/>
          <w:szCs w:val="24"/>
          <w:lang w:val="es-ES" w:eastAsia="es-ES"/>
        </w:rPr>
        <w:t>SAIMEX).</w:t>
      </w:r>
    </w:p>
    <w:p w:rsidR="00255189" w:rsidRPr="00255189" w:rsidRDefault="00255189" w:rsidP="00255189">
      <w:pPr>
        <w:spacing w:after="0" w:line="360" w:lineRule="auto"/>
        <w:jc w:val="both"/>
        <w:rPr>
          <w:rFonts w:ascii="Palatino Linotype" w:eastAsia="Calibri" w:hAnsi="Palatino Linotype" w:cs="Arial"/>
          <w:sz w:val="24"/>
          <w:szCs w:val="24"/>
          <w:lang w:val="es-ES" w:eastAsia="es-ES"/>
        </w:rPr>
      </w:pPr>
    </w:p>
    <w:p w:rsidR="00255189" w:rsidRPr="0025518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55189">
        <w:rPr>
          <w:rFonts w:ascii="Palatino Linotype" w:eastAsia="Palatino Linotype" w:hAnsi="Palatino Linotype" w:cs="Palatino Linotype"/>
          <w:b/>
          <w:sz w:val="24"/>
          <w:szCs w:val="24"/>
          <w:lang w:val="es-ES_tradnl" w:eastAsia="es-ES"/>
        </w:rPr>
        <w:t xml:space="preserve">TERCERO. Notifíquese </w:t>
      </w:r>
      <w:r w:rsidRPr="00255189">
        <w:rPr>
          <w:rFonts w:ascii="Palatino Linotype" w:eastAsia="Palatino Linotype" w:hAnsi="Palatino Linotype" w:cs="Palatino Linotype"/>
          <w:sz w:val="24"/>
          <w:szCs w:val="24"/>
          <w:lang w:val="es-ES_tradnl" w:eastAsia="es-ES"/>
        </w:rPr>
        <w:t xml:space="preserve">al Titular de la Unidad de Transparencia del </w:t>
      </w:r>
      <w:r w:rsidRPr="00255189">
        <w:rPr>
          <w:rFonts w:ascii="Palatino Linotype" w:eastAsia="Palatino Linotype" w:hAnsi="Palatino Linotype" w:cs="Palatino Linotype"/>
          <w:b/>
          <w:sz w:val="24"/>
          <w:szCs w:val="24"/>
          <w:lang w:val="es-ES_tradnl" w:eastAsia="es-ES"/>
        </w:rPr>
        <w:t>SUJETO OBLIGADO</w:t>
      </w:r>
      <w:r w:rsidRPr="0025518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25518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55189">
        <w:rPr>
          <w:rFonts w:ascii="Palatino Linotype" w:eastAsia="Times New Roman" w:hAnsi="Palatino Linotype" w:cs="Arial"/>
          <w:b/>
          <w:sz w:val="24"/>
          <w:szCs w:val="24"/>
          <w:lang w:val="es-ES_tradnl" w:eastAsia="es-ES"/>
        </w:rPr>
        <w:t xml:space="preserve">CUARTO. </w:t>
      </w:r>
      <w:r w:rsidRPr="00255189">
        <w:rPr>
          <w:rFonts w:ascii="Palatino Linotype" w:eastAsia="Times New Roman" w:hAnsi="Palatino Linotype" w:cs="Times New Roman"/>
          <w:b/>
          <w:bCs/>
          <w:color w:val="222222"/>
          <w:sz w:val="24"/>
          <w:szCs w:val="24"/>
          <w:lang w:val="es-ES" w:eastAsia="es-ES"/>
        </w:rPr>
        <w:t xml:space="preserve">Notifíquese </w:t>
      </w:r>
      <w:r w:rsidRPr="00255189">
        <w:rPr>
          <w:rFonts w:ascii="Palatino Linotype" w:eastAsia="Times New Roman" w:hAnsi="Palatino Linotype" w:cs="Times New Roman"/>
          <w:bCs/>
          <w:color w:val="222222"/>
          <w:sz w:val="24"/>
          <w:szCs w:val="24"/>
          <w:lang w:val="es-ES" w:eastAsia="es-ES"/>
        </w:rPr>
        <w:t>a</w:t>
      </w:r>
      <w:r w:rsidR="001561B1">
        <w:rPr>
          <w:rFonts w:ascii="Palatino Linotype" w:eastAsia="Times New Roman" w:hAnsi="Palatino Linotype" w:cs="Times New Roman"/>
          <w:bCs/>
          <w:color w:val="222222"/>
          <w:sz w:val="24"/>
          <w:szCs w:val="24"/>
          <w:lang w:val="es-ES" w:eastAsia="es-ES"/>
        </w:rPr>
        <w:t xml:space="preserve"> </w:t>
      </w:r>
      <w:r w:rsidR="001561B1" w:rsidRPr="001561B1">
        <w:rPr>
          <w:rFonts w:ascii="Palatino Linotype" w:eastAsia="Times New Roman" w:hAnsi="Palatino Linotype" w:cs="Times New Roman"/>
          <w:b/>
          <w:bCs/>
          <w:color w:val="222222"/>
          <w:sz w:val="24"/>
          <w:szCs w:val="24"/>
          <w:lang w:val="es-ES" w:eastAsia="es-ES"/>
        </w:rPr>
        <w:t>EL RECURRENTE</w:t>
      </w:r>
      <w:r w:rsidR="001561B1">
        <w:rPr>
          <w:rFonts w:ascii="Palatino Linotype" w:eastAsia="Times New Roman" w:hAnsi="Palatino Linotype" w:cs="Times New Roman"/>
          <w:bCs/>
          <w:color w:val="222222"/>
          <w:sz w:val="24"/>
          <w:szCs w:val="24"/>
          <w:lang w:val="es-ES" w:eastAsia="es-ES"/>
        </w:rPr>
        <w:t xml:space="preserve"> </w:t>
      </w:r>
      <w:r w:rsidRPr="00255189">
        <w:rPr>
          <w:rFonts w:ascii="Palatino Linotype" w:eastAsiaTheme="minorEastAsia" w:hAnsi="Palatino Linotype"/>
          <w:sz w:val="24"/>
          <w:szCs w:val="24"/>
          <w:lang w:val="es-ES_tradnl" w:eastAsia="es-ES"/>
        </w:rPr>
        <w:t>la presente resolución</w:t>
      </w:r>
      <w:r w:rsidRPr="00255189">
        <w:rPr>
          <w:rFonts w:ascii="Palatino Linotype" w:eastAsia="MS Mincho" w:hAnsi="Palatino Linotype" w:cs="Times New Roman"/>
          <w:sz w:val="24"/>
          <w:szCs w:val="24"/>
          <w:lang w:val="es-ES_tradnl" w:eastAsia="es-ES"/>
        </w:rPr>
        <w:t>.</w:t>
      </w:r>
    </w:p>
    <w:p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255189">
        <w:rPr>
          <w:rFonts w:ascii="Palatino Linotype" w:eastAsia="MS Mincho" w:hAnsi="Palatino Linotype" w:cs="Times New Roman"/>
          <w:b/>
          <w:sz w:val="24"/>
          <w:szCs w:val="24"/>
          <w:lang w:eastAsia="es-ES"/>
        </w:rPr>
        <w:t>QUINTO.</w:t>
      </w:r>
      <w:r w:rsidRPr="00255189">
        <w:rPr>
          <w:rFonts w:ascii="Palatino Linotype" w:eastAsia="MS Mincho" w:hAnsi="Palatino Linotype" w:cs="Times New Roman"/>
          <w:sz w:val="24"/>
          <w:szCs w:val="24"/>
          <w:lang w:eastAsia="es-ES"/>
        </w:rPr>
        <w:t xml:space="preserve"> </w:t>
      </w:r>
      <w:r w:rsidRPr="00255189">
        <w:rPr>
          <w:rFonts w:ascii="Palatino Linotype" w:eastAsia="MS Mincho" w:hAnsi="Palatino Linotype" w:cs="Times New Roman"/>
          <w:sz w:val="24"/>
          <w:szCs w:val="24"/>
          <w:lang w:val="es-ES" w:eastAsia="es-ES"/>
        </w:rPr>
        <w:t>Se hace del conocimiento de</w:t>
      </w:r>
      <w:r w:rsidR="005C11D2">
        <w:rPr>
          <w:rFonts w:ascii="Palatino Linotype" w:eastAsia="MS Mincho" w:hAnsi="Palatino Linotype" w:cs="Times New Roman"/>
          <w:sz w:val="24"/>
          <w:szCs w:val="24"/>
          <w:lang w:val="es-ES" w:eastAsia="es-ES"/>
        </w:rPr>
        <w:t xml:space="preserve"> </w:t>
      </w:r>
      <w:r w:rsidR="001561B1">
        <w:rPr>
          <w:rFonts w:ascii="Palatino Linotype" w:eastAsia="MS Mincho" w:hAnsi="Palatino Linotype" w:cs="Times New Roman"/>
          <w:b/>
          <w:sz w:val="24"/>
          <w:szCs w:val="24"/>
          <w:lang w:val="es-ES" w:eastAsia="es-ES"/>
        </w:rPr>
        <w:t xml:space="preserve">EL RECURRENTE </w:t>
      </w:r>
      <w:r w:rsidRPr="00255189">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255189">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rsidR="00B03D6E" w:rsidRDefault="00B03D6E" w:rsidP="00396FB6">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255189" w:rsidRDefault="00396FB6" w:rsidP="00255189">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SEXTO</w:t>
      </w:r>
      <w:r w:rsidR="00255189" w:rsidRPr="00255189">
        <w:rPr>
          <w:rFonts w:ascii="Palatino Linotype" w:eastAsia="MS Mincho" w:hAnsi="Palatino Linotype" w:cs="Times New Roman"/>
          <w:b/>
          <w:sz w:val="24"/>
          <w:szCs w:val="24"/>
          <w:lang w:val="es-ES_tradnl" w:eastAsia="es-ES"/>
        </w:rPr>
        <w:t xml:space="preserve">. </w:t>
      </w:r>
      <w:r w:rsidR="00255189" w:rsidRPr="0025518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255189">
        <w:rPr>
          <w:rFonts w:ascii="Palatino Linotype" w:eastAsia="MS Mincho" w:hAnsi="Palatino Linotype" w:cs="Times New Roman"/>
          <w:b/>
          <w:sz w:val="24"/>
          <w:szCs w:val="24"/>
          <w:lang w:val="es-ES_tradnl" w:eastAsia="es-ES"/>
        </w:rPr>
        <w:t>Considerando SEXTO.</w:t>
      </w: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8"/>
    <w:bookmarkEnd w:id="79"/>
    <w:bookmarkEnd w:id="80"/>
    <w:bookmarkEnd w:id="81"/>
    <w:bookmarkEnd w:id="82"/>
    <w:bookmarkEnd w:id="83"/>
    <w:bookmarkEnd w:id="85"/>
    <w:p w:rsidR="00B64AB6" w:rsidRPr="000B617B" w:rsidRDefault="00B64AB6" w:rsidP="00B64AB6">
      <w:pPr>
        <w:spacing w:before="240" w:after="240" w:line="360" w:lineRule="auto"/>
        <w:ind w:firstLine="1"/>
        <w:jc w:val="both"/>
        <w:rPr>
          <w:rFonts w:ascii="Palatino Linotype" w:eastAsiaTheme="minorEastAsia" w:hAnsi="Palatino Linotype"/>
          <w:sz w:val="24"/>
          <w:szCs w:val="24"/>
          <w:lang w:val="es-ES_tradnl" w:eastAsia="es-ES"/>
        </w:rPr>
      </w:pPr>
      <w:r w:rsidRPr="000B617B">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eastAsiaTheme="minorEastAsia" w:hAnsi="Palatino Linotype"/>
          <w:sz w:val="24"/>
          <w:szCs w:val="24"/>
          <w:lang w:val="es-ES_tradnl" w:eastAsia="es-ES"/>
        </w:rPr>
        <w:t>CON AUSENCIA JUSTIFICADA</w:t>
      </w:r>
      <w:r w:rsidRPr="000B617B">
        <w:rPr>
          <w:rFonts w:ascii="Palatino Linotype" w:eastAsiaTheme="minorEastAsia" w:hAnsi="Palatino Linotype"/>
          <w:sz w:val="24"/>
          <w:szCs w:val="24"/>
          <w:lang w:val="es-ES_tradnl" w:eastAsia="es-ES"/>
        </w:rPr>
        <w:t xml:space="preserve">; JOSÉ GUADALUPE LUNA HERNÁNDEZ; JAVIER MARTÍNEZ CRUZ EMITIENDO VOTO PARTICULAR  Y LUIS GUSTAVO PARRA NORIEGA EN LA </w:t>
      </w:r>
      <w:r>
        <w:rPr>
          <w:rFonts w:ascii="Palatino Linotype" w:eastAsiaTheme="minorEastAsia" w:hAnsi="Palatino Linotype"/>
          <w:sz w:val="24"/>
          <w:szCs w:val="24"/>
          <w:lang w:val="es-ES_tradnl" w:eastAsia="es-ES"/>
        </w:rPr>
        <w:t>SEXTA</w:t>
      </w:r>
      <w:r w:rsidRPr="000B617B">
        <w:rPr>
          <w:rFonts w:ascii="Palatino Linotype" w:eastAsiaTheme="minorEastAsia" w:hAnsi="Palatino Linotype"/>
          <w:sz w:val="24"/>
          <w:szCs w:val="24"/>
          <w:lang w:val="es-ES_tradnl" w:eastAsia="es-ES"/>
        </w:rPr>
        <w:t xml:space="preserve"> SESIÓN ORDINARIA CELEBRADA EL </w:t>
      </w:r>
      <w:r>
        <w:rPr>
          <w:rFonts w:ascii="Palatino Linotype" w:eastAsiaTheme="minorEastAsia" w:hAnsi="Palatino Linotype"/>
          <w:sz w:val="24"/>
          <w:szCs w:val="24"/>
          <w:lang w:val="es-ES_tradnl" w:eastAsia="es-ES"/>
        </w:rPr>
        <w:t>DIECINUEVE</w:t>
      </w:r>
      <w:r w:rsidRPr="000B617B">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19</w:t>
      </w:r>
      <w:r w:rsidRPr="000B617B">
        <w:rPr>
          <w:rFonts w:ascii="Palatino Linotype" w:eastAsiaTheme="minorEastAsia" w:hAnsi="Palatino Linotype"/>
          <w:sz w:val="24"/>
          <w:szCs w:val="24"/>
          <w:lang w:val="es-ES_tradnl" w:eastAsia="es-ES"/>
        </w:rPr>
        <w:t>) DE FEBRERO DEL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B64AB6" w:rsidRPr="000B617B" w:rsidTr="00895EBA">
        <w:trPr>
          <w:trHeight w:val="1639"/>
        </w:trPr>
        <w:tc>
          <w:tcPr>
            <w:tcW w:w="8771" w:type="dxa"/>
            <w:gridSpan w:val="2"/>
            <w:vAlign w:val="center"/>
          </w:tcPr>
          <w:p w:rsidR="00B64AB6" w:rsidRDefault="00B64AB6" w:rsidP="00895EBA">
            <w:pPr>
              <w:spacing w:line="240" w:lineRule="atLeast"/>
              <w:rPr>
                <w:rFonts w:ascii="Palatino Linotype" w:eastAsiaTheme="minorEastAsia" w:hAnsi="Palatino Linotype" w:cs="Times New Roman"/>
                <w:b/>
              </w:rPr>
            </w:pPr>
          </w:p>
          <w:p w:rsidR="00B64AB6" w:rsidRDefault="00B64AB6" w:rsidP="00895EBA">
            <w:pPr>
              <w:spacing w:line="240" w:lineRule="atLeast"/>
              <w:rPr>
                <w:rFonts w:ascii="Palatino Linotype" w:eastAsiaTheme="minorEastAsia" w:hAnsi="Palatino Linotype" w:cs="Times New Roman"/>
                <w:b/>
              </w:rPr>
            </w:pPr>
          </w:p>
          <w:p w:rsidR="00B64AB6" w:rsidRDefault="00B64AB6" w:rsidP="00895EBA">
            <w:pPr>
              <w:spacing w:line="240" w:lineRule="atLeast"/>
              <w:rPr>
                <w:rFonts w:ascii="Palatino Linotype" w:eastAsiaTheme="minorEastAsia" w:hAnsi="Palatino Linotype" w:cs="Times New Roman"/>
                <w:b/>
              </w:rPr>
            </w:pPr>
          </w:p>
          <w:p w:rsidR="00B64AB6" w:rsidRDefault="00B64AB6" w:rsidP="00895EBA">
            <w:pPr>
              <w:spacing w:line="240" w:lineRule="atLeast"/>
              <w:rPr>
                <w:rFonts w:ascii="Palatino Linotype" w:eastAsiaTheme="minorEastAsia" w:hAnsi="Palatino Linotype" w:cs="Times New Roman"/>
                <w:b/>
              </w:rPr>
            </w:pPr>
          </w:p>
          <w:p w:rsidR="00B64AB6" w:rsidRDefault="00B64AB6" w:rsidP="00895EBA">
            <w:pPr>
              <w:spacing w:line="240" w:lineRule="atLeast"/>
              <w:rPr>
                <w:rFonts w:ascii="Palatino Linotype" w:eastAsiaTheme="minorEastAsia" w:hAnsi="Palatino Linotype" w:cs="Times New Roman"/>
                <w:b/>
              </w:rPr>
            </w:pPr>
          </w:p>
          <w:p w:rsidR="00B64AB6" w:rsidRDefault="00B64AB6" w:rsidP="00895EBA">
            <w:pPr>
              <w:spacing w:line="240" w:lineRule="atLeast"/>
              <w:rPr>
                <w:rFonts w:ascii="Palatino Linotype" w:eastAsiaTheme="minorEastAsia" w:hAnsi="Palatino Linotype" w:cs="Times New Roman"/>
                <w:b/>
              </w:rPr>
            </w:pPr>
          </w:p>
          <w:p w:rsidR="00B64AB6" w:rsidRDefault="00B64AB6" w:rsidP="00895EBA">
            <w:pPr>
              <w:spacing w:line="240" w:lineRule="atLeast"/>
              <w:rPr>
                <w:rFonts w:ascii="Palatino Linotype" w:eastAsiaTheme="minorEastAsia" w:hAnsi="Palatino Linotype" w:cs="Times New Roman"/>
                <w:b/>
              </w:rPr>
            </w:pPr>
          </w:p>
          <w:p w:rsidR="00B64AB6" w:rsidRDefault="00B64AB6" w:rsidP="00895EBA">
            <w:pPr>
              <w:spacing w:line="240" w:lineRule="atLeast"/>
              <w:rPr>
                <w:rFonts w:ascii="Palatino Linotype" w:eastAsiaTheme="minorEastAsia" w:hAnsi="Palatino Linotype" w:cs="Times New Roman"/>
                <w:b/>
              </w:rPr>
            </w:pPr>
          </w:p>
          <w:p w:rsidR="00B64AB6" w:rsidRPr="000B617B" w:rsidRDefault="00B64AB6" w:rsidP="00895EBA">
            <w:pPr>
              <w:spacing w:line="240" w:lineRule="atLeast"/>
              <w:rPr>
                <w:rFonts w:ascii="Palatino Linotype" w:eastAsiaTheme="minorEastAsia" w:hAnsi="Palatino Linotype" w:cs="Times New Roman"/>
                <w:b/>
              </w:rPr>
            </w:pPr>
          </w:p>
          <w:p w:rsidR="00B64AB6" w:rsidRPr="000B617B" w:rsidRDefault="00B64AB6" w:rsidP="00895EBA">
            <w:pPr>
              <w:spacing w:line="240" w:lineRule="atLeast"/>
              <w:jc w:val="center"/>
              <w:rPr>
                <w:rFonts w:ascii="Palatino Linotype" w:eastAsiaTheme="minorEastAsia" w:hAnsi="Palatino Linotype" w:cs="Times New Roman"/>
                <w:b/>
              </w:rPr>
            </w:pPr>
          </w:p>
          <w:p w:rsidR="00B64AB6" w:rsidRPr="000B617B" w:rsidRDefault="00B64AB6" w:rsidP="00895EBA">
            <w:pPr>
              <w:spacing w:line="240" w:lineRule="atLeast"/>
              <w:jc w:val="center"/>
              <w:rPr>
                <w:rFonts w:ascii="Palatino Linotype" w:eastAsiaTheme="minorEastAsia" w:hAnsi="Palatino Linotype" w:cs="Times New Roman"/>
                <w:b/>
              </w:rPr>
            </w:pPr>
          </w:p>
          <w:p w:rsidR="00B64AB6" w:rsidRPr="000B617B" w:rsidRDefault="00B64AB6"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Zulema Martínez Sánchez </w:t>
            </w:r>
          </w:p>
          <w:p w:rsidR="00B64AB6" w:rsidRPr="000B617B" w:rsidRDefault="00B64AB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 Presidenta</w:t>
            </w:r>
          </w:p>
          <w:p w:rsidR="00B64AB6" w:rsidRPr="000B617B" w:rsidRDefault="00B64AB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tc>
      </w:tr>
      <w:tr w:rsidR="00B64AB6" w:rsidRPr="000B617B" w:rsidTr="00895EBA">
        <w:trPr>
          <w:trHeight w:val="1956"/>
        </w:trPr>
        <w:tc>
          <w:tcPr>
            <w:tcW w:w="4385" w:type="dxa"/>
            <w:vAlign w:val="center"/>
          </w:tcPr>
          <w:p w:rsidR="00B64AB6" w:rsidRPr="000B617B" w:rsidRDefault="00B64AB6" w:rsidP="00895EBA">
            <w:pPr>
              <w:spacing w:line="240" w:lineRule="atLeast"/>
              <w:rPr>
                <w:rFonts w:ascii="Palatino Linotype" w:eastAsiaTheme="minorEastAsia" w:hAnsi="Palatino Linotype" w:cs="Times New Roman"/>
                <w:b/>
              </w:rPr>
            </w:pPr>
          </w:p>
          <w:p w:rsidR="00B64AB6" w:rsidRDefault="00B64AB6" w:rsidP="00895EBA">
            <w:pPr>
              <w:spacing w:line="240" w:lineRule="atLeast"/>
              <w:jc w:val="center"/>
              <w:rPr>
                <w:rFonts w:ascii="Palatino Linotype" w:eastAsiaTheme="minorEastAsia" w:hAnsi="Palatino Linotype" w:cs="Times New Roman"/>
                <w:b/>
              </w:rPr>
            </w:pPr>
          </w:p>
          <w:p w:rsidR="00B64AB6" w:rsidRPr="000B617B" w:rsidRDefault="00B64AB6" w:rsidP="00895EBA">
            <w:pPr>
              <w:spacing w:line="240" w:lineRule="atLeast"/>
              <w:jc w:val="center"/>
              <w:rPr>
                <w:rFonts w:ascii="Palatino Linotype" w:eastAsiaTheme="minorEastAsia" w:hAnsi="Palatino Linotype" w:cs="Times New Roman"/>
                <w:b/>
              </w:rPr>
            </w:pPr>
          </w:p>
          <w:p w:rsidR="00B64AB6" w:rsidRPr="000B617B" w:rsidRDefault="00B64AB6"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Eva Abaid Yapur</w:t>
            </w:r>
          </w:p>
          <w:p w:rsidR="00B64AB6" w:rsidRPr="000B617B" w:rsidRDefault="00B64AB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w:t>
            </w:r>
          </w:p>
          <w:p w:rsidR="00B64AB6" w:rsidRPr="000B617B" w:rsidRDefault="00B64AB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w:t>
            </w:r>
            <w:r>
              <w:rPr>
                <w:rFonts w:ascii="Palatino Linotype" w:eastAsiaTheme="minorEastAsia" w:hAnsi="Palatino Linotype" w:cs="Times New Roman"/>
              </w:rPr>
              <w:t>Ausencia Justificada</w:t>
            </w:r>
            <w:r w:rsidRPr="000B617B">
              <w:rPr>
                <w:rFonts w:ascii="Palatino Linotype" w:eastAsiaTheme="minorEastAsia" w:hAnsi="Palatino Linotype" w:cs="Times New Roman"/>
              </w:rPr>
              <w:t>)</w:t>
            </w:r>
          </w:p>
          <w:p w:rsidR="00B64AB6" w:rsidRPr="000B617B" w:rsidRDefault="00B64AB6" w:rsidP="00895EBA">
            <w:pPr>
              <w:spacing w:line="240" w:lineRule="atLeast"/>
              <w:jc w:val="center"/>
              <w:rPr>
                <w:rFonts w:ascii="Palatino Linotype" w:eastAsiaTheme="minorEastAsia" w:hAnsi="Palatino Linotype" w:cs="Times New Roman"/>
              </w:rPr>
            </w:pPr>
          </w:p>
          <w:p w:rsidR="00B64AB6" w:rsidRPr="000B617B" w:rsidRDefault="00B64AB6" w:rsidP="00895EBA">
            <w:pPr>
              <w:spacing w:line="240" w:lineRule="atLeast"/>
              <w:rPr>
                <w:rFonts w:ascii="Palatino Linotype" w:eastAsiaTheme="minorEastAsia" w:hAnsi="Palatino Linotype" w:cs="Times New Roman"/>
              </w:rPr>
            </w:pPr>
          </w:p>
        </w:tc>
        <w:tc>
          <w:tcPr>
            <w:tcW w:w="4386" w:type="dxa"/>
            <w:vAlign w:val="center"/>
          </w:tcPr>
          <w:p w:rsidR="00B64AB6" w:rsidRPr="000B617B" w:rsidRDefault="00B64AB6" w:rsidP="00895EBA">
            <w:pPr>
              <w:spacing w:line="240" w:lineRule="atLeast"/>
              <w:rPr>
                <w:rFonts w:ascii="Palatino Linotype" w:eastAsiaTheme="minorEastAsia" w:hAnsi="Palatino Linotype" w:cs="Times New Roman"/>
                <w:b/>
              </w:rPr>
            </w:pPr>
          </w:p>
          <w:p w:rsidR="00B64AB6" w:rsidRDefault="00B64AB6" w:rsidP="00895EBA">
            <w:pPr>
              <w:spacing w:line="240" w:lineRule="atLeast"/>
              <w:jc w:val="center"/>
              <w:rPr>
                <w:rFonts w:ascii="Palatino Linotype" w:eastAsiaTheme="minorEastAsia" w:hAnsi="Palatino Linotype" w:cs="Times New Roman"/>
                <w:b/>
              </w:rPr>
            </w:pPr>
          </w:p>
          <w:p w:rsidR="00B64AB6" w:rsidRDefault="00B64AB6" w:rsidP="00895EBA">
            <w:pPr>
              <w:spacing w:line="240" w:lineRule="atLeast"/>
              <w:jc w:val="center"/>
              <w:rPr>
                <w:rFonts w:ascii="Palatino Linotype" w:eastAsiaTheme="minorEastAsia" w:hAnsi="Palatino Linotype" w:cs="Times New Roman"/>
                <w:b/>
              </w:rPr>
            </w:pPr>
          </w:p>
          <w:p w:rsidR="00B64AB6" w:rsidRPr="000B617B" w:rsidRDefault="00B64AB6" w:rsidP="00895EBA">
            <w:pPr>
              <w:spacing w:line="240" w:lineRule="atLeast"/>
              <w:jc w:val="center"/>
              <w:rPr>
                <w:rFonts w:ascii="Palatino Linotype" w:eastAsiaTheme="minorEastAsia" w:hAnsi="Palatino Linotype" w:cs="Times New Roman"/>
                <w:b/>
              </w:rPr>
            </w:pPr>
          </w:p>
          <w:p w:rsidR="00B64AB6" w:rsidRPr="000B617B" w:rsidRDefault="00B64AB6"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José Guadalupe Luna Hernández</w:t>
            </w:r>
          </w:p>
          <w:p w:rsidR="00B64AB6" w:rsidRPr="000B617B" w:rsidRDefault="00B64AB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B64AB6" w:rsidRPr="000B617B" w:rsidRDefault="00B64AB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B64AB6" w:rsidRPr="000B617B" w:rsidRDefault="00B64AB6" w:rsidP="00895EBA">
            <w:pPr>
              <w:spacing w:line="240" w:lineRule="atLeast"/>
              <w:jc w:val="center"/>
              <w:rPr>
                <w:rFonts w:ascii="Palatino Linotype" w:eastAsiaTheme="minorEastAsia" w:hAnsi="Palatino Linotype" w:cs="Times New Roman"/>
              </w:rPr>
            </w:pPr>
          </w:p>
          <w:p w:rsidR="00B64AB6" w:rsidRPr="000B617B" w:rsidRDefault="00B64AB6" w:rsidP="00895EBA">
            <w:pPr>
              <w:spacing w:line="240" w:lineRule="atLeast"/>
              <w:rPr>
                <w:rFonts w:ascii="Palatino Linotype" w:eastAsiaTheme="minorEastAsia" w:hAnsi="Palatino Linotype" w:cs="Times New Roman"/>
              </w:rPr>
            </w:pPr>
          </w:p>
          <w:p w:rsidR="00B64AB6" w:rsidRPr="000B617B" w:rsidRDefault="00B64AB6" w:rsidP="00895EBA">
            <w:pPr>
              <w:spacing w:line="240" w:lineRule="atLeast"/>
              <w:rPr>
                <w:rFonts w:ascii="Palatino Linotype" w:eastAsiaTheme="minorEastAsia" w:hAnsi="Palatino Linotype" w:cs="Times New Roman"/>
              </w:rPr>
            </w:pPr>
          </w:p>
        </w:tc>
      </w:tr>
      <w:tr w:rsidR="00B64AB6" w:rsidRPr="000B617B" w:rsidTr="00895EBA">
        <w:trPr>
          <w:trHeight w:val="2037"/>
        </w:trPr>
        <w:tc>
          <w:tcPr>
            <w:tcW w:w="4385" w:type="dxa"/>
            <w:vAlign w:val="center"/>
          </w:tcPr>
          <w:p w:rsidR="00B64AB6" w:rsidRPr="000B617B" w:rsidRDefault="00B64AB6" w:rsidP="00895EBA">
            <w:pPr>
              <w:spacing w:line="240" w:lineRule="atLeast"/>
              <w:jc w:val="center"/>
              <w:rPr>
                <w:rFonts w:ascii="Palatino Linotype" w:eastAsiaTheme="minorEastAsia" w:hAnsi="Palatino Linotype" w:cs="Times New Roman"/>
                <w:b/>
              </w:rPr>
            </w:pPr>
          </w:p>
          <w:p w:rsidR="00B64AB6" w:rsidRPr="000B617B" w:rsidRDefault="00B64AB6"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Javier Martínez Cruz</w:t>
            </w:r>
          </w:p>
          <w:p w:rsidR="00B64AB6" w:rsidRPr="000B617B" w:rsidRDefault="00B64AB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B64AB6" w:rsidRPr="000B617B" w:rsidRDefault="00B64AB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B64AB6" w:rsidRPr="000B617B" w:rsidRDefault="00B64AB6" w:rsidP="00895EBA">
            <w:pPr>
              <w:spacing w:line="240" w:lineRule="atLeast"/>
              <w:jc w:val="center"/>
              <w:rPr>
                <w:rFonts w:ascii="Palatino Linotype" w:eastAsiaTheme="minorEastAsia" w:hAnsi="Palatino Linotype" w:cs="Times New Roman"/>
              </w:rPr>
            </w:pPr>
          </w:p>
        </w:tc>
        <w:tc>
          <w:tcPr>
            <w:tcW w:w="4386" w:type="dxa"/>
            <w:vAlign w:val="center"/>
          </w:tcPr>
          <w:p w:rsidR="00B64AB6" w:rsidRPr="000B617B" w:rsidRDefault="00B64AB6" w:rsidP="00895EBA">
            <w:pPr>
              <w:spacing w:line="240" w:lineRule="atLeast"/>
              <w:jc w:val="center"/>
              <w:rPr>
                <w:rFonts w:ascii="Palatino Linotype" w:eastAsiaTheme="minorEastAsia" w:hAnsi="Palatino Linotype" w:cs="Times New Roman"/>
                <w:b/>
              </w:rPr>
            </w:pPr>
          </w:p>
          <w:p w:rsidR="00B64AB6" w:rsidRPr="000B617B" w:rsidRDefault="00B64AB6"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Luis Gustavo Parra Noriega</w:t>
            </w:r>
          </w:p>
          <w:p w:rsidR="00B64AB6" w:rsidRPr="000B617B" w:rsidRDefault="00B64AB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B64AB6" w:rsidRPr="000B617B" w:rsidRDefault="00B64AB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B64AB6" w:rsidRPr="000B617B" w:rsidRDefault="00B64AB6" w:rsidP="00895EBA">
            <w:pPr>
              <w:spacing w:line="240" w:lineRule="atLeast"/>
              <w:jc w:val="center"/>
              <w:rPr>
                <w:rFonts w:ascii="Palatino Linotype" w:eastAsiaTheme="minorEastAsia" w:hAnsi="Palatino Linotype" w:cs="Times New Roman"/>
              </w:rPr>
            </w:pPr>
          </w:p>
        </w:tc>
      </w:tr>
      <w:tr w:rsidR="00B64AB6" w:rsidRPr="000B617B" w:rsidTr="00895EBA">
        <w:trPr>
          <w:trHeight w:val="1773"/>
        </w:trPr>
        <w:tc>
          <w:tcPr>
            <w:tcW w:w="8771" w:type="dxa"/>
            <w:gridSpan w:val="2"/>
            <w:vAlign w:val="center"/>
          </w:tcPr>
          <w:p w:rsidR="00B64AB6" w:rsidRPr="000B617B" w:rsidRDefault="00B64AB6" w:rsidP="00895EBA">
            <w:pPr>
              <w:spacing w:line="240" w:lineRule="atLeast"/>
              <w:jc w:val="center"/>
              <w:rPr>
                <w:rFonts w:ascii="Palatino Linotype" w:eastAsiaTheme="minorEastAsia" w:hAnsi="Palatino Linotype" w:cs="Times New Roman"/>
                <w:b/>
              </w:rPr>
            </w:pPr>
          </w:p>
          <w:p w:rsidR="00B64AB6" w:rsidRPr="000B617B" w:rsidRDefault="00B64AB6" w:rsidP="00895EBA">
            <w:pPr>
              <w:spacing w:line="240" w:lineRule="atLeast"/>
              <w:rPr>
                <w:rFonts w:ascii="Palatino Linotype" w:eastAsiaTheme="minorEastAsia" w:hAnsi="Palatino Linotype" w:cs="Times New Roman"/>
                <w:b/>
              </w:rPr>
            </w:pPr>
          </w:p>
          <w:p w:rsidR="00B64AB6" w:rsidRPr="000B617B" w:rsidRDefault="00B64AB6" w:rsidP="00895EBA">
            <w:pPr>
              <w:spacing w:line="240" w:lineRule="atLeast"/>
              <w:jc w:val="center"/>
              <w:rPr>
                <w:rFonts w:ascii="Palatino Linotype" w:eastAsiaTheme="minorEastAsia" w:hAnsi="Palatino Linotype" w:cs="Times New Roman"/>
                <w:b/>
              </w:rPr>
            </w:pPr>
          </w:p>
          <w:p w:rsidR="00B64AB6" w:rsidRPr="000B617B" w:rsidRDefault="00B64AB6"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Alexis Tapia Ramírez </w:t>
            </w:r>
          </w:p>
          <w:p w:rsidR="00B64AB6" w:rsidRPr="000B617B" w:rsidRDefault="00B64AB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Secretario Técnico del Pleno</w:t>
            </w:r>
          </w:p>
          <w:p w:rsidR="00B64AB6" w:rsidRPr="000B617B" w:rsidRDefault="00B64AB6"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B64AB6" w:rsidRPr="000B617B" w:rsidRDefault="00B64AB6" w:rsidP="00895EBA">
            <w:pPr>
              <w:spacing w:line="240" w:lineRule="atLeast"/>
              <w:jc w:val="center"/>
              <w:rPr>
                <w:rFonts w:ascii="Palatino Linotype" w:eastAsiaTheme="minorEastAsia" w:hAnsi="Palatino Linotype" w:cs="Times New Roman"/>
              </w:rPr>
            </w:pPr>
          </w:p>
        </w:tc>
      </w:tr>
    </w:tbl>
    <w:p w:rsidR="0078762C" w:rsidRPr="00B64AB6" w:rsidRDefault="00B64AB6" w:rsidP="00B64AB6">
      <w:pPr>
        <w:spacing w:before="240" w:after="240" w:line="360" w:lineRule="auto"/>
        <w:jc w:val="both"/>
        <w:rPr>
          <w:rFonts w:ascii="Palatino Linotype" w:eastAsia="Calibri" w:hAnsi="Palatino Linotype" w:cs="Arial"/>
          <w:b/>
          <w:sz w:val="24"/>
          <w:szCs w:val="24"/>
          <w:lang w:val="es-ES_tradnl" w:eastAsia="es-ES"/>
        </w:rPr>
      </w:pPr>
      <w:r w:rsidRPr="000B617B">
        <w:rPr>
          <w:rFonts w:ascii="Palatino Linotype" w:eastAsia="Times New Roman" w:hAnsi="Palatino Linotype" w:cs="Arial"/>
          <w:color w:val="000000" w:themeColor="text1"/>
          <w:sz w:val="24"/>
          <w:szCs w:val="24"/>
          <w:lang w:val="es-ES_tradnl" w:eastAsia="es-ES"/>
        </w:rPr>
        <w:t xml:space="preserve">Esta hoja corresponde a la resolución de </w:t>
      </w:r>
      <w:r>
        <w:rPr>
          <w:rFonts w:ascii="Palatino Linotype" w:eastAsia="Times New Roman" w:hAnsi="Palatino Linotype" w:cs="Arial"/>
          <w:color w:val="000000" w:themeColor="text1"/>
          <w:sz w:val="24"/>
          <w:szCs w:val="24"/>
          <w:lang w:val="es-ES_tradnl" w:eastAsia="es-ES"/>
        </w:rPr>
        <w:t>diecinueve</w:t>
      </w:r>
      <w:r w:rsidRPr="000B617B">
        <w:rPr>
          <w:rFonts w:ascii="Palatino Linotype" w:eastAsia="Times New Roman" w:hAnsi="Palatino Linotype" w:cs="Arial"/>
          <w:color w:val="000000" w:themeColor="text1"/>
          <w:sz w:val="24"/>
          <w:szCs w:val="24"/>
          <w:lang w:val="es-ES_tradnl" w:eastAsia="es-ES"/>
        </w:rPr>
        <w:t xml:space="preserve"> (</w:t>
      </w:r>
      <w:r>
        <w:rPr>
          <w:rFonts w:ascii="Palatino Linotype" w:eastAsia="Times New Roman" w:hAnsi="Palatino Linotype" w:cs="Arial"/>
          <w:color w:val="000000" w:themeColor="text1"/>
          <w:sz w:val="24"/>
          <w:szCs w:val="24"/>
          <w:lang w:val="es-ES_tradnl" w:eastAsia="es-ES"/>
        </w:rPr>
        <w:t>19</w:t>
      </w:r>
      <w:r w:rsidRPr="000B617B">
        <w:rPr>
          <w:rFonts w:ascii="Palatino Linotype" w:eastAsia="Times New Roman" w:hAnsi="Palatino Linotype" w:cs="Arial"/>
          <w:color w:val="000000" w:themeColor="text1"/>
          <w:sz w:val="24"/>
          <w:szCs w:val="24"/>
          <w:lang w:val="es-ES_tradnl" w:eastAsia="es-ES"/>
        </w:rPr>
        <w:t xml:space="preserve">) de </w:t>
      </w:r>
      <w:r>
        <w:rPr>
          <w:rFonts w:ascii="Palatino Linotype" w:eastAsia="Times New Roman" w:hAnsi="Palatino Linotype" w:cs="Arial"/>
          <w:color w:val="000000" w:themeColor="text1"/>
          <w:sz w:val="24"/>
          <w:szCs w:val="24"/>
          <w:lang w:val="es-ES_tradnl" w:eastAsia="es-ES"/>
        </w:rPr>
        <w:t>febrero</w:t>
      </w:r>
      <w:r w:rsidRPr="000B617B">
        <w:rPr>
          <w:rFonts w:ascii="Palatino Linotype" w:eastAsia="Times New Roman" w:hAnsi="Palatino Linotype" w:cs="Arial"/>
          <w:color w:val="000000" w:themeColor="text1"/>
          <w:sz w:val="24"/>
          <w:szCs w:val="24"/>
          <w:lang w:val="es-ES_tradnl" w:eastAsia="es-ES"/>
        </w:rPr>
        <w:t xml:space="preserve"> de dos mil </w:t>
      </w:r>
      <w:r>
        <w:rPr>
          <w:rFonts w:ascii="Palatino Linotype" w:eastAsia="Times New Roman" w:hAnsi="Palatino Linotype" w:cs="Arial"/>
          <w:color w:val="000000" w:themeColor="text1"/>
          <w:sz w:val="24"/>
          <w:szCs w:val="24"/>
          <w:lang w:val="es-ES_tradnl" w:eastAsia="es-ES"/>
        </w:rPr>
        <w:t>veinte</w:t>
      </w:r>
      <w:r w:rsidRPr="000B617B">
        <w:rPr>
          <w:rFonts w:ascii="Palatino Linotype" w:eastAsia="Times New Roman" w:hAnsi="Palatino Linotype" w:cs="Arial"/>
          <w:color w:val="000000" w:themeColor="text1"/>
          <w:sz w:val="24"/>
          <w:szCs w:val="24"/>
          <w:lang w:val="es-ES_tradnl" w:eastAsia="es-ES"/>
        </w:rPr>
        <w:t xml:space="preserve">, emitida en el recurso de revisión </w:t>
      </w:r>
      <w:r>
        <w:rPr>
          <w:rFonts w:ascii="Palatino Linotype" w:eastAsia="Times New Roman" w:hAnsi="Palatino Linotype" w:cs="Arial"/>
          <w:b/>
          <w:color w:val="000000" w:themeColor="text1"/>
          <w:sz w:val="24"/>
          <w:szCs w:val="24"/>
          <w:lang w:val="es-ES_tradnl" w:eastAsia="es-ES"/>
        </w:rPr>
        <w:t>09608</w:t>
      </w:r>
      <w:r w:rsidRPr="000B617B">
        <w:rPr>
          <w:rFonts w:ascii="Palatino Linotype" w:eastAsia="Times New Roman" w:hAnsi="Palatino Linotype" w:cs="Arial"/>
          <w:b/>
          <w:color w:val="000000" w:themeColor="text1"/>
          <w:sz w:val="24"/>
          <w:szCs w:val="24"/>
          <w:lang w:val="es-ES_tradnl" w:eastAsia="es-ES"/>
        </w:rPr>
        <w:t>/INFOEM/IP/RR/2019</w:t>
      </w:r>
      <w:r w:rsidRPr="000B617B">
        <w:rPr>
          <w:rFonts w:ascii="Palatino Linotype" w:eastAsiaTheme="minorEastAsia" w:hAnsi="Palatino Linotype" w:cs="Arial"/>
          <w:b/>
          <w:bCs/>
          <w:sz w:val="24"/>
          <w:szCs w:val="24"/>
          <w:lang w:val="es-ES_tradnl" w:eastAsia="es-ES"/>
        </w:rPr>
        <w:t>.</w:t>
      </w:r>
    </w:p>
    <w:sectPr w:rsidR="0078762C" w:rsidRPr="00B64AB6"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CE0" w:rsidRDefault="005A6CE0" w:rsidP="00255189">
      <w:pPr>
        <w:spacing w:after="0" w:line="240" w:lineRule="auto"/>
      </w:pPr>
      <w:r>
        <w:separator/>
      </w:r>
    </w:p>
  </w:endnote>
  <w:endnote w:type="continuationSeparator" w:id="0">
    <w:p w:rsidR="005A6CE0" w:rsidRDefault="005A6CE0"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4633B" w:rsidRPr="00883450" w:rsidRDefault="00E4633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E41D9">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E41D9">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E4633B" w:rsidRDefault="00E463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3B" w:rsidRPr="00883450" w:rsidRDefault="00E4633B"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E41D9" w:rsidRPr="00AE41D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E41D9" w:rsidRPr="00AE41D9">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CE0" w:rsidRDefault="005A6CE0" w:rsidP="00255189">
      <w:pPr>
        <w:spacing w:after="0" w:line="240" w:lineRule="auto"/>
      </w:pPr>
      <w:r>
        <w:separator/>
      </w:r>
    </w:p>
  </w:footnote>
  <w:footnote w:type="continuationSeparator" w:id="0">
    <w:p w:rsidR="005A6CE0" w:rsidRDefault="005A6CE0" w:rsidP="00255189">
      <w:pPr>
        <w:spacing w:after="0" w:line="240" w:lineRule="auto"/>
      </w:pPr>
      <w:r>
        <w:continuationSeparator/>
      </w:r>
    </w:p>
  </w:footnote>
  <w:footnote w:id="1">
    <w:p w:rsidR="00E4633B" w:rsidRDefault="00E4633B" w:rsidP="00255189">
      <w:pPr>
        <w:pStyle w:val="Textonotapie"/>
      </w:pPr>
      <w:r>
        <w:rPr>
          <w:rStyle w:val="Refdenotaalpie"/>
        </w:rPr>
        <w:footnoteRef/>
      </w:r>
      <w:r>
        <w:t xml:space="preserve"> Convención Americana sobre Derechos Humanos. Artículo 13.</w:t>
      </w:r>
    </w:p>
  </w:footnote>
  <w:footnote w:id="2">
    <w:p w:rsidR="00E4633B" w:rsidRDefault="00E4633B" w:rsidP="00255189">
      <w:pPr>
        <w:pStyle w:val="Textonotapie"/>
      </w:pPr>
      <w:r>
        <w:rPr>
          <w:rStyle w:val="Refdenotaalpie"/>
        </w:rPr>
        <w:footnoteRef/>
      </w:r>
      <w:r>
        <w:t xml:space="preserve"> Constitución Política de los Estados Unidos Mexicanos. Artículo sexto, sección A, fracción I.</w:t>
      </w:r>
    </w:p>
  </w:footnote>
  <w:footnote w:id="3">
    <w:p w:rsidR="00E4633B" w:rsidRDefault="00E4633B"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4633B" w:rsidRDefault="00E4633B" w:rsidP="00255189">
      <w:pPr>
        <w:pStyle w:val="Textonotapie"/>
      </w:pPr>
      <w:r>
        <w:rPr>
          <w:rStyle w:val="Refdenotaalpie"/>
        </w:rPr>
        <w:footnoteRef/>
      </w:r>
      <w:r>
        <w:t xml:space="preserve"> Ibídem. Parr. 87.</w:t>
      </w:r>
    </w:p>
  </w:footnote>
  <w:footnote w:id="5">
    <w:p w:rsidR="00E4633B" w:rsidRPr="00985DD4" w:rsidRDefault="00E4633B"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E4633B" w:rsidRPr="00985DD4" w:rsidRDefault="00E4633B"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E4633B" w:rsidRPr="00985DD4" w:rsidRDefault="00E4633B"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E4633B" w:rsidRPr="00985DD4" w:rsidRDefault="00E4633B" w:rsidP="00255189">
      <w:pPr>
        <w:autoSpaceDE w:val="0"/>
        <w:autoSpaceDN w:val="0"/>
        <w:adjustRightInd w:val="0"/>
        <w:spacing w:line="276" w:lineRule="auto"/>
        <w:jc w:val="both"/>
        <w:rPr>
          <w:sz w:val="20"/>
          <w:szCs w:val="20"/>
        </w:rPr>
      </w:pPr>
    </w:p>
  </w:footnote>
  <w:footnote w:id="6">
    <w:p w:rsidR="00E4633B" w:rsidRPr="00985DD4" w:rsidRDefault="00E4633B"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E4633B" w:rsidRDefault="00E4633B"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4633B" w:rsidRPr="00266430" w:rsidRDefault="00E4633B" w:rsidP="00255189">
      <w:pPr>
        <w:pStyle w:val="Textonotapie"/>
        <w:jc w:val="both"/>
      </w:pPr>
      <w:r w:rsidRPr="00266430">
        <w:t xml:space="preserve">1a./J. 2/2012 (9a.). Primera Sala. Décima Época. Semanario Judicial de la Federación y su Gaceta. Libro V, Febrero de 2012, Pág. 533.  </w:t>
      </w:r>
    </w:p>
  </w:footnote>
  <w:footnote w:id="8">
    <w:p w:rsidR="00E4633B" w:rsidRPr="00A870EF" w:rsidRDefault="00E4633B"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E4633B" w:rsidRDefault="00E4633B"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4633B" w:rsidRDefault="00E4633B"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4633B" w:rsidRPr="001E1F95" w:rsidRDefault="00E4633B"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E4633B" w:rsidRPr="007F43A5" w:rsidRDefault="00E4633B"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rsidR="00E4633B" w:rsidRPr="0037004E" w:rsidRDefault="00E4633B"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E4633B" w:rsidRDefault="00E4633B" w:rsidP="00255189">
      <w:pPr>
        <w:pStyle w:val="Textonotapie"/>
      </w:pPr>
    </w:p>
  </w:footnote>
  <w:footnote w:id="12">
    <w:p w:rsidR="00E4633B" w:rsidRDefault="00E4633B" w:rsidP="00255189">
      <w:pPr>
        <w:pStyle w:val="Textonotapie"/>
        <w:jc w:val="both"/>
      </w:pPr>
      <w:r>
        <w:rPr>
          <w:rStyle w:val="Refdenotaalpie"/>
        </w:rPr>
        <w:footnoteRef/>
      </w:r>
      <w:r>
        <w:t xml:space="preserve"> Artículo 3. Para los efectos de la presente Ley se entenderá por:</w:t>
      </w:r>
    </w:p>
    <w:p w:rsidR="00E4633B" w:rsidRDefault="00E4633B" w:rsidP="00255189">
      <w:pPr>
        <w:pStyle w:val="Textonotapie"/>
        <w:jc w:val="both"/>
      </w:pPr>
      <w:r>
        <w:t xml:space="preserve"> (…)</w:t>
      </w:r>
    </w:p>
    <w:p w:rsidR="00E4633B" w:rsidRDefault="00E4633B"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rsidR="00E4633B" w:rsidRPr="00ED2A04" w:rsidRDefault="00E4633B"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E4633B" w:rsidRPr="00ED2A04" w:rsidRDefault="00E4633B"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E4633B" w:rsidRPr="000406A4" w:rsidRDefault="00E4633B"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E4633B" w:rsidRPr="000406A4" w:rsidRDefault="00E4633B"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E4633B" w:rsidRPr="000406A4" w:rsidRDefault="00E4633B"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E4633B" w:rsidRPr="000406A4" w:rsidRDefault="00E4633B"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E4633B" w:rsidRPr="000406A4" w:rsidRDefault="00E4633B"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E4633B" w:rsidRPr="00042E67" w:rsidRDefault="00E4633B"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E4633B" w:rsidRPr="00A4142C" w:rsidRDefault="00E4633B"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3B" w:rsidRDefault="00E4633B">
    <w:pPr>
      <w:pStyle w:val="Encabezado"/>
    </w:pPr>
  </w:p>
  <w:p w:rsidR="00E4633B" w:rsidRDefault="00E4633B">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E4633B" w:rsidRPr="00EF13C1" w:rsidTr="00255189">
      <w:trPr>
        <w:trHeight w:val="138"/>
      </w:trPr>
      <w:tc>
        <w:tcPr>
          <w:tcW w:w="2551" w:type="dxa"/>
          <w:vAlign w:val="center"/>
        </w:tcPr>
        <w:p w:rsidR="00E4633B" w:rsidRPr="00EF13C1" w:rsidRDefault="00E4633B"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E4633B" w:rsidRPr="00091BC0" w:rsidRDefault="00E4633B" w:rsidP="00091BC0">
          <w:pPr>
            <w:pStyle w:val="Encabezado"/>
            <w:rPr>
              <w:rFonts w:ascii="Palatino Linotype" w:hAnsi="Palatino Linotype"/>
              <w:b/>
              <w:color w:val="000000" w:themeColor="text1"/>
              <w:sz w:val="22"/>
              <w:szCs w:val="22"/>
            </w:rPr>
          </w:pPr>
          <w:r w:rsidRPr="00E4633B">
            <w:rPr>
              <w:rFonts w:ascii="Palatino Linotype" w:hAnsi="Palatino Linotype"/>
              <w:b/>
              <w:color w:val="000000" w:themeColor="text1"/>
              <w:sz w:val="22"/>
              <w:szCs w:val="22"/>
            </w:rPr>
            <w:t>09608/INFOEM/IP/RR/2019</w:t>
          </w:r>
        </w:p>
      </w:tc>
    </w:tr>
    <w:tr w:rsidR="00E4633B" w:rsidRPr="00091BC0" w:rsidTr="00255189">
      <w:trPr>
        <w:gridAfter w:val="1"/>
        <w:wAfter w:w="284" w:type="dxa"/>
        <w:trHeight w:val="321"/>
      </w:trPr>
      <w:tc>
        <w:tcPr>
          <w:tcW w:w="2551" w:type="dxa"/>
          <w:vAlign w:val="center"/>
        </w:tcPr>
        <w:p w:rsidR="00E4633B" w:rsidRPr="00EF13C1" w:rsidRDefault="00E4633B"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E4633B" w:rsidRPr="00091BC0" w:rsidRDefault="00E4633B" w:rsidP="00091BC0">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Ayuntamiento de Capulhuac</w:t>
          </w:r>
        </w:p>
      </w:tc>
    </w:tr>
    <w:tr w:rsidR="00E4633B" w:rsidRPr="00EF13C1" w:rsidTr="00255189">
      <w:trPr>
        <w:trHeight w:val="321"/>
      </w:trPr>
      <w:tc>
        <w:tcPr>
          <w:tcW w:w="2551" w:type="dxa"/>
          <w:vAlign w:val="center"/>
        </w:tcPr>
        <w:p w:rsidR="00E4633B" w:rsidRPr="00EF13C1" w:rsidRDefault="00E4633B"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E4633B" w:rsidRPr="00EF13C1" w:rsidRDefault="00E4633B"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4633B" w:rsidRDefault="00E4633B"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3B" w:rsidRDefault="00E4633B"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E4633B" w:rsidRPr="00182113" w:rsidTr="00255189">
      <w:trPr>
        <w:trHeight w:val="138"/>
      </w:trPr>
      <w:tc>
        <w:tcPr>
          <w:tcW w:w="2552" w:type="dxa"/>
          <w:vAlign w:val="center"/>
        </w:tcPr>
        <w:p w:rsidR="00E4633B" w:rsidRPr="00182113" w:rsidRDefault="00E4633B"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E4633B" w:rsidRPr="00091BC0" w:rsidRDefault="00E4633B" w:rsidP="005C11D2">
          <w:pPr>
            <w:pStyle w:val="Encabezado"/>
            <w:rPr>
              <w:rFonts w:ascii="Palatino Linotype" w:hAnsi="Palatino Linotype"/>
              <w:b/>
              <w:color w:val="000000" w:themeColor="text1"/>
              <w:sz w:val="22"/>
              <w:szCs w:val="22"/>
            </w:rPr>
          </w:pPr>
          <w:r w:rsidRPr="00E4633B">
            <w:rPr>
              <w:rFonts w:ascii="Palatino Linotype" w:hAnsi="Palatino Linotype"/>
              <w:b/>
              <w:color w:val="000000" w:themeColor="text1"/>
              <w:sz w:val="22"/>
              <w:szCs w:val="22"/>
            </w:rPr>
            <w:t>09608/INFOEM/IP/RR/2019</w:t>
          </w:r>
        </w:p>
      </w:tc>
    </w:tr>
    <w:tr w:rsidR="00E4633B" w:rsidRPr="00182113" w:rsidTr="00255189">
      <w:trPr>
        <w:trHeight w:val="227"/>
      </w:trPr>
      <w:tc>
        <w:tcPr>
          <w:tcW w:w="2552" w:type="dxa"/>
          <w:vAlign w:val="center"/>
        </w:tcPr>
        <w:p w:rsidR="00E4633B" w:rsidRPr="00182113" w:rsidRDefault="00E4633B"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E4633B" w:rsidRPr="005C11D2" w:rsidRDefault="00E4633B" w:rsidP="005C11D2">
          <w:pPr>
            <w:pStyle w:val="Encabezado"/>
            <w:tabs>
              <w:tab w:val="clear" w:pos="4252"/>
            </w:tabs>
            <w:ind w:right="-250"/>
            <w:rPr>
              <w:rFonts w:ascii="Palatino Linotype" w:hAnsi="Palatino Linotype"/>
              <w:b/>
              <w:sz w:val="20"/>
              <w:szCs w:val="20"/>
            </w:rPr>
          </w:pPr>
        </w:p>
      </w:tc>
    </w:tr>
    <w:tr w:rsidR="00E4633B" w:rsidRPr="00182113" w:rsidTr="00255189">
      <w:trPr>
        <w:trHeight w:val="232"/>
      </w:trPr>
      <w:tc>
        <w:tcPr>
          <w:tcW w:w="2552" w:type="dxa"/>
          <w:vAlign w:val="center"/>
        </w:tcPr>
        <w:p w:rsidR="00E4633B" w:rsidRPr="00182113" w:rsidRDefault="00E4633B"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E4633B" w:rsidRPr="00182113" w:rsidRDefault="00E4633B" w:rsidP="00E4633B">
          <w:pPr>
            <w:pStyle w:val="Encabezado"/>
            <w:rPr>
              <w:rFonts w:ascii="Palatino Linotype" w:hAnsi="Palatino Linotype"/>
              <w:b/>
              <w:sz w:val="22"/>
              <w:szCs w:val="22"/>
            </w:rPr>
          </w:pPr>
          <w:r>
            <w:rPr>
              <w:rFonts w:ascii="Palatino Linotype" w:hAnsi="Palatino Linotype"/>
              <w:b/>
              <w:color w:val="000000" w:themeColor="text1"/>
              <w:sz w:val="22"/>
              <w:szCs w:val="22"/>
            </w:rPr>
            <w:t>Ayuntamiento de Capulhuac</w:t>
          </w:r>
          <w:r>
            <w:rPr>
              <w:rFonts w:ascii="Palatino Linotype" w:hAnsi="Palatino Linotype"/>
              <w:b/>
              <w:sz w:val="22"/>
              <w:szCs w:val="22"/>
            </w:rPr>
            <w:t xml:space="preserve"> </w:t>
          </w:r>
        </w:p>
      </w:tc>
    </w:tr>
    <w:tr w:rsidR="00E4633B" w:rsidRPr="00182113" w:rsidTr="00255189">
      <w:trPr>
        <w:trHeight w:val="320"/>
      </w:trPr>
      <w:tc>
        <w:tcPr>
          <w:tcW w:w="2552" w:type="dxa"/>
          <w:vAlign w:val="center"/>
        </w:tcPr>
        <w:p w:rsidR="00E4633B" w:rsidRPr="00182113" w:rsidRDefault="00E4633B"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E4633B" w:rsidRPr="00182113" w:rsidRDefault="00E4633B"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E4633B" w:rsidRDefault="00E463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91BC0"/>
    <w:rsid w:val="000A7CC4"/>
    <w:rsid w:val="00120C49"/>
    <w:rsid w:val="001561B1"/>
    <w:rsid w:val="001D3F1C"/>
    <w:rsid w:val="001F62A6"/>
    <w:rsid w:val="0024105F"/>
    <w:rsid w:val="00255189"/>
    <w:rsid w:val="003141EA"/>
    <w:rsid w:val="00396FB6"/>
    <w:rsid w:val="004650C6"/>
    <w:rsid w:val="004660E0"/>
    <w:rsid w:val="00472D8A"/>
    <w:rsid w:val="004E1363"/>
    <w:rsid w:val="004F6D1D"/>
    <w:rsid w:val="00582783"/>
    <w:rsid w:val="00587DB1"/>
    <w:rsid w:val="00597B0C"/>
    <w:rsid w:val="005A6CE0"/>
    <w:rsid w:val="005C11D2"/>
    <w:rsid w:val="005D08D5"/>
    <w:rsid w:val="00606FF3"/>
    <w:rsid w:val="006718BF"/>
    <w:rsid w:val="006E3DBF"/>
    <w:rsid w:val="0074118A"/>
    <w:rsid w:val="0076461F"/>
    <w:rsid w:val="007859A3"/>
    <w:rsid w:val="0078762C"/>
    <w:rsid w:val="007C20B3"/>
    <w:rsid w:val="007D78F2"/>
    <w:rsid w:val="007E61EA"/>
    <w:rsid w:val="008433FC"/>
    <w:rsid w:val="008A4244"/>
    <w:rsid w:val="008D59CF"/>
    <w:rsid w:val="00902937"/>
    <w:rsid w:val="009C22EC"/>
    <w:rsid w:val="009E2862"/>
    <w:rsid w:val="009F495C"/>
    <w:rsid w:val="00A57EC3"/>
    <w:rsid w:val="00A9765D"/>
    <w:rsid w:val="00AE41D9"/>
    <w:rsid w:val="00B00017"/>
    <w:rsid w:val="00B03D6E"/>
    <w:rsid w:val="00B64AB6"/>
    <w:rsid w:val="00B7760C"/>
    <w:rsid w:val="00B80350"/>
    <w:rsid w:val="00C21AC2"/>
    <w:rsid w:val="00C341C5"/>
    <w:rsid w:val="00C921B2"/>
    <w:rsid w:val="00CC73CC"/>
    <w:rsid w:val="00D02C88"/>
    <w:rsid w:val="00D23DA2"/>
    <w:rsid w:val="00E4633B"/>
    <w:rsid w:val="00E877AA"/>
    <w:rsid w:val="00EC26ED"/>
    <w:rsid w:val="00ED595C"/>
    <w:rsid w:val="00F54244"/>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13193</Words>
  <Characters>72562</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4</cp:revision>
  <cp:lastPrinted>2020-02-24T23:00:00Z</cp:lastPrinted>
  <dcterms:created xsi:type="dcterms:W3CDTF">2020-02-13T19:09:00Z</dcterms:created>
  <dcterms:modified xsi:type="dcterms:W3CDTF">2020-02-24T23:00:00Z</dcterms:modified>
</cp:coreProperties>
</file>