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43F2BD31"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con</w:t>
      </w:r>
      <w:r w:rsidR="00A81F29">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4603C">
        <w:rPr>
          <w:rFonts w:ascii="Palatino Linotype" w:eastAsia="Times New Roman" w:hAnsi="Palatino Linotype" w:cs="Arial"/>
          <w:color w:val="000000"/>
          <w:sz w:val="24"/>
          <w:szCs w:val="24"/>
          <w:lang w:eastAsia="es-MX"/>
        </w:rPr>
        <w:t>cinco de marzo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14CB932F"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81F29">
        <w:rPr>
          <w:rFonts w:ascii="Palatino Linotype" w:hAnsi="Palatino Linotype" w:cs="Arial"/>
          <w:b/>
          <w:bCs/>
          <w:sz w:val="24"/>
          <w:lang w:eastAsia="es-MX"/>
        </w:rPr>
        <w:t>1</w:t>
      </w:r>
      <w:r w:rsidR="00A14FD5">
        <w:rPr>
          <w:rFonts w:ascii="Palatino Linotype" w:hAnsi="Palatino Linotype" w:cs="Arial"/>
          <w:b/>
          <w:bCs/>
          <w:sz w:val="24"/>
          <w:lang w:eastAsia="es-MX"/>
        </w:rPr>
        <w:t>12</w:t>
      </w:r>
      <w:r w:rsidR="00A81F29">
        <w:rPr>
          <w:rFonts w:ascii="Palatino Linotype" w:hAnsi="Palatino Linotype" w:cs="Arial"/>
          <w:b/>
          <w:bCs/>
          <w:sz w:val="24"/>
          <w:lang w:eastAsia="es-MX"/>
        </w:rPr>
        <w:t>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A14FD5">
        <w:rPr>
          <w:rFonts w:ascii="Palatino Linotype" w:hAnsi="Palatino Linotype" w:cs="Arial"/>
          <w:sz w:val="24"/>
        </w:rPr>
        <w:t xml:space="preserve">el </w:t>
      </w:r>
      <w:r w:rsidR="00A14FD5" w:rsidRPr="00A14FD5">
        <w:rPr>
          <w:rFonts w:ascii="Palatino Linotype" w:hAnsi="Palatino Linotype" w:cs="Arial"/>
          <w:b/>
          <w:bCs/>
          <w:sz w:val="24"/>
        </w:rPr>
        <w:t xml:space="preserve">C. </w:t>
      </w:r>
      <w:r w:rsidR="00624DBC" w:rsidRPr="00624DBC">
        <w:rPr>
          <w:rFonts w:ascii="Palatino Linotype" w:hAnsi="Palatino Linotype" w:cs="Arial"/>
          <w:b/>
          <w:bCs/>
          <w:sz w:val="24"/>
        </w:rPr>
        <w:t>XXXXXXXXXXXXXX</w:t>
      </w:r>
      <w:bookmarkStart w:id="0" w:name="_GoBack"/>
      <w:bookmarkEnd w:id="0"/>
      <w:r w:rsidR="00A14FD5">
        <w:rPr>
          <w:rFonts w:ascii="Palatino Linotype" w:hAnsi="Palatino Linotype" w:cs="Arial"/>
          <w:sz w:val="24"/>
        </w:rPr>
        <w:t xml:space="preserve">, a quien en lo sucesivo se le denominara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A14FD5" w:rsidRPr="00A14FD5">
        <w:rPr>
          <w:rFonts w:ascii="Palatino Linotype" w:hAnsi="Palatino Linotype" w:cs="Arial"/>
          <w:b/>
          <w:sz w:val="24"/>
          <w:szCs w:val="24"/>
        </w:rPr>
        <w:t>Ayuntamiento de San Simón de Guerrero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3A62FFAE"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14FD5">
        <w:rPr>
          <w:rFonts w:ascii="Palatino Linotype" w:hAnsi="Palatino Linotype" w:cs="Arial"/>
          <w:sz w:val="24"/>
        </w:rPr>
        <w:t>veintiséis</w:t>
      </w:r>
      <w:r w:rsidR="00A81F29">
        <w:rPr>
          <w:rFonts w:ascii="Palatino Linotype" w:hAnsi="Palatino Linotype" w:cs="Arial"/>
          <w:sz w:val="24"/>
        </w:rPr>
        <w:t xml:space="preserv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14FD5" w:rsidRPr="00A14FD5">
        <w:rPr>
          <w:rFonts w:ascii="Palatino Linotype" w:hAnsi="Palatino Linotype" w:cs="Arial"/>
          <w:b/>
          <w:sz w:val="24"/>
        </w:rPr>
        <w:t>00529/SIMOGUER/IP/2019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01241660"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81F29" w:rsidRPr="00A81F29">
        <w:rPr>
          <w:rFonts w:ascii="Palatino Linotype" w:hAnsi="Palatino Linotype"/>
          <w:i/>
          <w:color w:val="000000"/>
        </w:rPr>
        <w:t>Solicito el nombramiento de los titulares de todas las áreas</w:t>
      </w:r>
      <w:r w:rsidR="00C2382D" w:rsidRPr="00C2382D">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F28E3CD" w14:textId="2B0FAE0C"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1394C68C" w14:textId="4D91A793" w:rsidR="00A81F29" w:rsidRDefault="00A81F29"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11AA81CF"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14FD5">
        <w:rPr>
          <w:rFonts w:ascii="Palatino Linotype" w:hAnsi="Palatino Linotype" w:cs="Arial"/>
          <w:sz w:val="24"/>
          <w:szCs w:val="24"/>
        </w:rPr>
        <w:t>dieciocho</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A81F29">
        <w:rPr>
          <w:rFonts w:ascii="Palatino Linotype" w:hAnsi="Palatino Linotype" w:cs="Arial"/>
          <w:b/>
          <w:bCs/>
          <w:sz w:val="24"/>
          <w:szCs w:val="24"/>
          <w:lang w:eastAsia="es-MX"/>
        </w:rPr>
        <w:t>1</w:t>
      </w:r>
      <w:r w:rsidR="00A14FD5">
        <w:rPr>
          <w:rFonts w:ascii="Palatino Linotype" w:hAnsi="Palatino Linotype" w:cs="Arial"/>
          <w:b/>
          <w:bCs/>
          <w:sz w:val="24"/>
          <w:szCs w:val="24"/>
          <w:lang w:eastAsia="es-MX"/>
        </w:rPr>
        <w:t>12</w:t>
      </w:r>
      <w:r w:rsidR="00A81F29">
        <w:rPr>
          <w:rFonts w:ascii="Palatino Linotype" w:hAnsi="Palatino Linotype" w:cs="Arial"/>
          <w:b/>
          <w:bCs/>
          <w:sz w:val="24"/>
          <w:szCs w:val="24"/>
          <w:lang w:eastAsia="es-MX"/>
        </w:rPr>
        <w:t>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106E9130"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A14FD5" w:rsidRPr="00A14FD5">
        <w:rPr>
          <w:rFonts w:ascii="Palatino Linotype" w:hAnsi="Palatino Linotype"/>
          <w:i/>
          <w:color w:val="000000"/>
        </w:rPr>
        <w:t>No me entregan la información que solicite.</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2F049153"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A14FD5" w:rsidRPr="00A14FD5">
        <w:rPr>
          <w:rFonts w:ascii="Palatino Linotype" w:hAnsi="Palatino Linotype" w:cs="Arial"/>
          <w:i/>
        </w:rPr>
        <w:t>No me entregan la información, no atienden mi solicitud</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0A55F033"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14FD5">
        <w:rPr>
          <w:rFonts w:ascii="Palatino Linotype" w:hAnsi="Palatino Linotype" w:cs="Arial"/>
          <w:sz w:val="24"/>
          <w:szCs w:val="24"/>
        </w:rPr>
        <w:t>nueve</w:t>
      </w:r>
      <w:r w:rsidR="000952F9">
        <w:rPr>
          <w:rFonts w:ascii="Palatino Linotype" w:hAnsi="Palatino Linotype" w:cs="Arial"/>
          <w:sz w:val="24"/>
          <w:szCs w:val="24"/>
        </w:rPr>
        <w:t xml:space="preser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2CCD9445"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0952F9">
        <w:rPr>
          <w:rFonts w:ascii="Palatino Linotype" w:hAnsi="Palatino Linotype" w:cs="Arial"/>
          <w:sz w:val="24"/>
          <w:szCs w:val="24"/>
        </w:rPr>
        <w:t>veintiocho</w:t>
      </w:r>
      <w:r w:rsidR="00090733">
        <w:rPr>
          <w:rFonts w:ascii="Palatino Linotype" w:hAnsi="Palatino Linotype" w:cs="Arial"/>
          <w:sz w:val="24"/>
          <w:szCs w:val="24"/>
        </w:rPr>
        <w:t xml:space="preserve">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7D8189D3"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952F9">
        <w:rPr>
          <w:rFonts w:ascii="Palatino Linotype" w:hAnsi="Palatino Linotype" w:cs="Arial"/>
          <w:sz w:val="24"/>
          <w:szCs w:val="24"/>
        </w:rPr>
        <w:t>veinte</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8AC9672" w14:textId="41479E9A" w:rsidR="002A0E7B" w:rsidRPr="009E5FF7" w:rsidRDefault="002A0E7B" w:rsidP="00A14FD5">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De las causas de improcedencia.</w:t>
      </w:r>
    </w:p>
    <w:p w14:paraId="60145832" w14:textId="77777777" w:rsidR="002A0E7B" w:rsidRPr="0014447C"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7886CA1" w14:textId="77777777" w:rsidR="002A0E7B" w:rsidRPr="0014447C"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17BC16A3" w14:textId="77777777" w:rsidR="002A0E7B" w:rsidRDefault="002A0E7B" w:rsidP="002A0E7B">
      <w:pPr>
        <w:pStyle w:val="Sinespaciado"/>
        <w:spacing w:before="240" w:after="240" w:line="360" w:lineRule="auto"/>
        <w:jc w:val="both"/>
        <w:rPr>
          <w:rFonts w:ascii="Palatino Linotype" w:hAnsi="Palatino Linotype"/>
        </w:rPr>
      </w:pPr>
      <w:r w:rsidRPr="0014447C">
        <w:rPr>
          <w:rFonts w:ascii="Palatino Linotype" w:hAnsi="Palatino Linotype"/>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20E6A0C" w14:textId="31117632" w:rsidR="00B0008F" w:rsidRPr="008C3CD8" w:rsidRDefault="00A14FD5"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9E5FF7">
        <w:rPr>
          <w:rFonts w:ascii="Palatino Linotype" w:hAnsi="Palatino Linotype"/>
          <w:b/>
          <w:sz w:val="28"/>
          <w:szCs w:val="28"/>
        </w:rPr>
        <w:t>CUARTO.</w:t>
      </w:r>
      <w:r w:rsidR="00B0008F" w:rsidRPr="008C3CD8">
        <w:rPr>
          <w:rFonts w:ascii="Palatino Linotype" w:hAnsi="Palatino Linotype" w:cs="Arial"/>
          <w:sz w:val="28"/>
          <w:szCs w:val="28"/>
        </w:rPr>
        <w:t xml:space="preserve"> </w:t>
      </w:r>
      <w:r w:rsidR="00B0008F" w:rsidRPr="008C3CD8">
        <w:rPr>
          <w:rFonts w:ascii="Palatino Linotype" w:hAnsi="Palatino Linotype" w:cs="Arial"/>
          <w:b/>
          <w:sz w:val="28"/>
          <w:szCs w:val="28"/>
        </w:rPr>
        <w:t>Estudio y resolución del asunto.</w:t>
      </w:r>
    </w:p>
    <w:p w14:paraId="1E072235"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xml:space="preserve">. El solicitante podrá interponer, por sí mismo o a través de su representante, de manera directa o por medios electrónicos, recurso de revisión ante el Instituto o ante la Unidad de Transparencia que haya conocido de la solicitud </w:t>
      </w:r>
      <w:r w:rsidRPr="00A147CA">
        <w:rPr>
          <w:rFonts w:ascii="Palatino Linotype" w:hAnsi="Palatino Linotype" w:cs="Arial"/>
          <w:i/>
          <w:iCs/>
        </w:rPr>
        <w:lastRenderedPageBreak/>
        <w:t>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lastRenderedPageBreak/>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 xml:space="preserve">el derecho de acceso a la información pública implica que cualquier persona conozca la </w:t>
      </w:r>
      <w:r w:rsidRPr="002E35AF">
        <w:rPr>
          <w:rFonts w:ascii="Palatino Linotype" w:hAnsi="Palatino Linotype" w:cs="Arial"/>
          <w:color w:val="000000" w:themeColor="text1"/>
          <w:sz w:val="24"/>
          <w:szCs w:val="24"/>
        </w:rPr>
        <w:lastRenderedPageBreak/>
        <w:t>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w:t>
      </w:r>
      <w:r w:rsidRPr="002950E6">
        <w:rPr>
          <w:rFonts w:ascii="Palatino Linotype" w:hAnsi="Palatino Linotype" w:cs="Arial"/>
          <w:bCs/>
          <w:i/>
          <w:color w:val="000000" w:themeColor="text1"/>
          <w:sz w:val="24"/>
          <w:szCs w:val="24"/>
        </w:rPr>
        <w:lastRenderedPageBreak/>
        <w:t>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El derecho humano de acceso a la información pública es la prerrogativa de las personas para buscar, difundir, investigar, recabar, recibir 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lastRenderedPageBreak/>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4428FB80"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A14FD5" w:rsidRPr="00A14FD5">
        <w:rPr>
          <w:rFonts w:ascii="Palatino Linotype" w:hAnsi="Palatino Linotype" w:cs="Arial"/>
          <w:i/>
          <w:sz w:val="24"/>
          <w:szCs w:val="24"/>
        </w:rPr>
        <w:t>No me entregan la información, no atienden mi solicitud.</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0D266E61"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 xml:space="preserve">Luego entonces, es </w:t>
      </w:r>
      <w:r w:rsidR="00C94557">
        <w:rPr>
          <w:rFonts w:ascii="Palatino Linotype" w:hAnsi="Palatino Linotype" w:cs="Arial"/>
          <w:iCs/>
          <w:sz w:val="24"/>
          <w:szCs w:val="24"/>
        </w:rPr>
        <w:t xml:space="preserve">de </w:t>
      </w:r>
      <w:r>
        <w:rPr>
          <w:rFonts w:ascii="Palatino Linotype" w:hAnsi="Palatino Linotype" w:cs="Arial"/>
          <w:iCs/>
          <w:sz w:val="24"/>
          <w:szCs w:val="24"/>
        </w:rPr>
        <w:t>recordar que el particular tuvo a bien solicitar lo siguiente:</w:t>
      </w:r>
    </w:p>
    <w:p w14:paraId="5C026283" w14:textId="08039412"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A14FD5" w:rsidRPr="00A14FD5">
        <w:rPr>
          <w:rFonts w:ascii="Palatino Linotype" w:hAnsi="Palatino Linotype" w:cs="Arial"/>
          <w:i/>
          <w:sz w:val="22"/>
        </w:rPr>
        <w:t>Solicito los acuerdos que ha firmado el presidente en este año</w:t>
      </w:r>
      <w:r w:rsidR="00C94557" w:rsidRPr="00C94557">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sz w:val="22"/>
        </w:rPr>
        <w:t>(Sic)</w:t>
      </w:r>
    </w:p>
    <w:p w14:paraId="7D097EB8" w14:textId="77777777"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lastRenderedPageBreak/>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lastRenderedPageBreak/>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w:t>
      </w:r>
      <w:r w:rsidRPr="003A13C9">
        <w:rPr>
          <w:rFonts w:ascii="Palatino Linotype" w:hAnsi="Palatino Linotype" w:cs="Arial"/>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73306C68" w14:textId="47B0B940" w:rsid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de conformidad con el artículo 3, fracción XI de la Ley de Transparencia y Acceso a la Información Pública del Estado de México y Municipios, como se aprecia a continuación:</w:t>
      </w: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5941281"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3A13C9">
        <w:rPr>
          <w:rFonts w:ascii="Palatino Linotype" w:hAnsi="Palatino Linotype" w:cs="Arial"/>
          <w:i/>
          <w:sz w:val="24"/>
          <w:szCs w:val="24"/>
        </w:rPr>
        <w:lastRenderedPageBreak/>
        <w:t xml:space="preserve">fuente o fecha de elaboración. Los documentos podrán estar en cualquier medio, sea escrito, impreso, sonoro, visual, electrónico, informático u </w:t>
      </w:r>
      <w:r w:rsidR="002A0E7B" w:rsidRPr="003A13C9">
        <w:rPr>
          <w:rFonts w:ascii="Palatino Linotype" w:hAnsi="Palatino Linotype" w:cs="Arial"/>
          <w:i/>
          <w:sz w:val="24"/>
          <w:szCs w:val="24"/>
        </w:rPr>
        <w:t>holográfico;</w:t>
      </w:r>
      <w:r w:rsidR="002A0E7B" w:rsidRPr="003A13C9">
        <w:rPr>
          <w:rFonts w:ascii="Palatino Linotype" w:hAnsi="Palatino Linotype" w:cs="Arial"/>
          <w:b/>
          <w:bCs/>
          <w:i/>
          <w:sz w:val="24"/>
          <w:szCs w:val="24"/>
        </w:rPr>
        <w:t xml:space="preserve"> …</w:t>
      </w:r>
      <w:r w:rsidRPr="003A13C9">
        <w:rPr>
          <w:rFonts w:ascii="Palatino Linotype" w:hAnsi="Palatino Linotype" w:cs="Arial"/>
          <w:bCs/>
          <w:i/>
          <w:sz w:val="24"/>
          <w:szCs w:val="24"/>
        </w:rPr>
        <w:t>”</w:t>
      </w:r>
    </w:p>
    <w:p w14:paraId="556C83C9" w14:textId="77777777" w:rsidR="002A0E7B" w:rsidRDefault="002A0E7B" w:rsidP="002A0E7B">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w:t>
      </w:r>
    </w:p>
    <w:p w14:paraId="3F08A62E"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Política de los Estados Unidos Mexicanos al señalar la obligación de “promover, respetar, proteger y garantizar los derechos humanos”, entre los cuales se encuentra dicho derecho.</w:t>
      </w:r>
    </w:p>
    <w:p w14:paraId="49DBFA0B"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17144ED7" w14:textId="77777777" w:rsidR="002A0E7B" w:rsidRPr="00875571" w:rsidRDefault="002A0E7B" w:rsidP="002A0E7B">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1215597" w14:textId="77777777" w:rsidR="002A0E7B" w:rsidRDefault="002A0E7B" w:rsidP="002A0E7B">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875571">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6DD4045"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20F77CAC"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1769D30"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E7917F3"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16989321"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6512842" w14:textId="77777777" w:rsidR="002A0E7B" w:rsidRPr="00875571"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28272ED" w14:textId="77777777" w:rsidR="002A0E7B" w:rsidRPr="00CE24DB" w:rsidRDefault="002A0E7B" w:rsidP="002A0E7B">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39E4F156"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E15B2D" w:rsidRPr="00A14FD5">
        <w:rPr>
          <w:rFonts w:ascii="Palatino Linotype" w:hAnsi="Palatino Linotype" w:cs="Arial"/>
          <w:b/>
          <w:sz w:val="24"/>
        </w:rPr>
        <w:t>00529/SIMOGUER/IP/2019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1C98475C"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18F6450E" w14:textId="77777777" w:rsidR="0034603C" w:rsidRDefault="0034603C" w:rsidP="00A27459">
      <w:pPr>
        <w:spacing w:before="240" w:line="360" w:lineRule="auto"/>
        <w:jc w:val="both"/>
        <w:rPr>
          <w:rFonts w:ascii="Palatino Linotype" w:hAnsi="Palatino Linotype" w:cs="Arial"/>
          <w:sz w:val="24"/>
        </w:rPr>
      </w:pP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356EDD8D" w14:textId="3AC3D924" w:rsidR="00E15B2D" w:rsidRDefault="00E15B2D" w:rsidP="00E15B2D">
      <w:pPr>
        <w:tabs>
          <w:tab w:val="left" w:pos="8647"/>
        </w:tabs>
        <w:spacing w:before="240" w:line="360" w:lineRule="auto"/>
        <w:ind w:right="51"/>
        <w:jc w:val="both"/>
        <w:rPr>
          <w:rFonts w:ascii="Palatino Linotype" w:hAnsi="Palatino Linotype" w:cs="Arial"/>
          <w:sz w:val="24"/>
          <w:szCs w:val="24"/>
        </w:rPr>
      </w:pPr>
      <w:bookmarkStart w:id="1" w:name="_Hlk33646442"/>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066E169E" w14:textId="77777777" w:rsidR="0034603C" w:rsidRDefault="0034603C" w:rsidP="00E15B2D">
      <w:pPr>
        <w:tabs>
          <w:tab w:val="left" w:pos="8647"/>
        </w:tabs>
        <w:spacing w:before="240" w:line="360" w:lineRule="auto"/>
        <w:ind w:right="51"/>
        <w:jc w:val="both"/>
        <w:rPr>
          <w:rFonts w:ascii="Palatino Linotype" w:hAnsi="Palatino Linotype" w:cs="Arial"/>
          <w:sz w:val="24"/>
          <w:szCs w:val="24"/>
        </w:rPr>
      </w:pPr>
    </w:p>
    <w:p w14:paraId="79363D64" w14:textId="48666B63" w:rsidR="00E15B2D" w:rsidRDefault="00E15B2D" w:rsidP="00E15B2D">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A14FD5">
        <w:rPr>
          <w:rFonts w:ascii="Palatino Linotype" w:hAnsi="Palatino Linotype" w:cs="Arial"/>
          <w:b/>
          <w:sz w:val="24"/>
        </w:rPr>
        <w:t>00529/SIMOGUER/IP/2019</w:t>
      </w:r>
      <w:r>
        <w:rPr>
          <w:rFonts w:ascii="Palatino Linotype" w:hAnsi="Palatino Linotype" w:cs="Arial"/>
          <w:b/>
          <w:sz w:val="24"/>
        </w:rPr>
        <w:t xml:space="preserve"> </w:t>
      </w:r>
      <w:r w:rsidR="0026178B" w:rsidRPr="00BE6DF8">
        <w:rPr>
          <w:rFonts w:ascii="Palatino Linotype" w:hAnsi="Palatino Linotype" w:cs="Arial"/>
          <w:sz w:val="24"/>
          <w:szCs w:val="24"/>
        </w:rPr>
        <w:t xml:space="preserve">en términos del considerando </w:t>
      </w:r>
      <w:r w:rsidR="0026178B">
        <w:rPr>
          <w:rFonts w:ascii="Palatino Linotype" w:hAnsi="Palatino Linotype" w:cs="Arial"/>
          <w:sz w:val="24"/>
          <w:szCs w:val="24"/>
        </w:rPr>
        <w:t>Quinto</w:t>
      </w:r>
      <w:r w:rsidR="0026178B" w:rsidRPr="00BE6DF8">
        <w:rPr>
          <w:rFonts w:ascii="Palatino Linotype" w:hAnsi="Palatino Linotype" w:cs="Arial"/>
          <w:sz w:val="24"/>
          <w:szCs w:val="24"/>
        </w:rPr>
        <w:t xml:space="preserve"> de esta resolución, vía Sistema de Acceso a la Información Mexiquense (SAIMEX).</w:t>
      </w:r>
    </w:p>
    <w:p w14:paraId="1C329374" w14:textId="77777777" w:rsidR="0034603C" w:rsidRDefault="0034603C" w:rsidP="00E15B2D">
      <w:pPr>
        <w:tabs>
          <w:tab w:val="left" w:pos="8647"/>
        </w:tabs>
        <w:spacing w:before="240" w:line="360" w:lineRule="auto"/>
        <w:ind w:right="51"/>
        <w:jc w:val="both"/>
        <w:rPr>
          <w:rFonts w:ascii="Palatino Linotype" w:hAnsi="Palatino Linotype" w:cs="Arial"/>
          <w:sz w:val="24"/>
          <w:lang w:eastAsia="es-MX"/>
        </w:rPr>
      </w:pPr>
    </w:p>
    <w:p w14:paraId="30DE16FF" w14:textId="5B4F7E7D" w:rsidR="00E15B2D" w:rsidRDefault="00E15B2D" w:rsidP="00E15B2D">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xml:space="preserve">, para que conforme al artículo 186 último párrafo y 189 segundo párrafo de la Ley de Transparencia y Acceso a la Información Pública </w:t>
      </w:r>
      <w:r w:rsidRPr="00226C6A">
        <w:rPr>
          <w:rFonts w:ascii="Palatino Linotype" w:hAnsi="Palatino Linotype" w:cs="Arial"/>
          <w:sz w:val="24"/>
          <w:szCs w:val="24"/>
        </w:rPr>
        <w:lastRenderedPageBreak/>
        <w:t>del Estado de México y Municipios, dé cumplimiento a lo ordenado dentro del plazo de diez días hábiles, debiendo informar a este Instituto en un plazo de tres días hábiles siguientes sobre el cumplimiento dado a la presente.</w:t>
      </w:r>
    </w:p>
    <w:p w14:paraId="13B467D7" w14:textId="77777777" w:rsidR="0034603C" w:rsidRDefault="0034603C" w:rsidP="00E15B2D">
      <w:pPr>
        <w:tabs>
          <w:tab w:val="left" w:pos="8647"/>
        </w:tabs>
        <w:spacing w:before="240" w:line="360" w:lineRule="auto"/>
        <w:ind w:right="51"/>
        <w:jc w:val="both"/>
        <w:rPr>
          <w:rFonts w:ascii="Palatino Linotype" w:hAnsi="Palatino Linotype" w:cs="Arial"/>
          <w:sz w:val="24"/>
          <w:szCs w:val="24"/>
        </w:rPr>
      </w:pPr>
    </w:p>
    <w:p w14:paraId="5324FD3E" w14:textId="0B006233" w:rsidR="00E15B2D" w:rsidRDefault="00E15B2D" w:rsidP="00E15B2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8C3EFC2" w14:textId="77777777" w:rsidR="0034603C" w:rsidRDefault="0034603C" w:rsidP="00E15B2D">
      <w:pPr>
        <w:autoSpaceDE w:val="0"/>
        <w:autoSpaceDN w:val="0"/>
        <w:adjustRightInd w:val="0"/>
        <w:spacing w:before="240" w:line="360" w:lineRule="auto"/>
        <w:jc w:val="both"/>
        <w:rPr>
          <w:rFonts w:ascii="Palatino Linotype" w:hAnsi="Palatino Linotype" w:cs="Arial"/>
          <w:sz w:val="24"/>
          <w:szCs w:val="24"/>
        </w:rPr>
      </w:pPr>
    </w:p>
    <w:p w14:paraId="4D140DBD" w14:textId="7FD1A5E9" w:rsidR="00E15B2D" w:rsidRDefault="00E15B2D" w:rsidP="00E15B2D">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Pr>
          <w:rFonts w:ascii="Palatino Linotype" w:eastAsia="MS Mincho" w:hAnsi="Palatino Linotype" w:cs="Times New Roman"/>
          <w:sz w:val="24"/>
          <w:szCs w:val="24"/>
          <w:lang w:val="es-ES_tradnl" w:eastAsia="es-ES"/>
        </w:rPr>
        <w:t xml:space="preserve"> Quinto.</w:t>
      </w:r>
    </w:p>
    <w:p w14:paraId="28D6E3F1" w14:textId="77777777" w:rsidR="0034603C" w:rsidRDefault="0034603C" w:rsidP="00E15B2D">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p>
    <w:p w14:paraId="155FD9D0" w14:textId="77777777" w:rsidR="00E15B2D" w:rsidRPr="005F2890" w:rsidRDefault="00E15B2D" w:rsidP="00E15B2D">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5F2890">
        <w:rPr>
          <w:rFonts w:ascii="Palatino Linotype" w:eastAsia="Calibri" w:hAnsi="Palatino Linotype" w:cs="Tahoma"/>
          <w:bCs/>
          <w:iCs/>
          <w:sz w:val="24"/>
          <w:szCs w:val="24"/>
          <w:lang w:eastAsia="es-ES_tradnl"/>
        </w:rPr>
        <w:lastRenderedPageBreak/>
        <w:t>nuevamente Recurso de Revisión ante este Instituto, por la respuesta que proporcione el Sujeto Obligado, en cumplimiento a esta Resolución.</w:t>
      </w:r>
    </w:p>
    <w:bookmarkEnd w:id="1"/>
    <w:p w14:paraId="25A0959C" w14:textId="77777777" w:rsidR="0034603C" w:rsidRDefault="0034603C" w:rsidP="0034603C">
      <w:pPr>
        <w:spacing w:after="0" w:line="360" w:lineRule="auto"/>
        <w:jc w:val="both"/>
        <w:rPr>
          <w:rFonts w:ascii="Palatino Linotype" w:hAnsi="Palatino Linotype" w:cs="Arial"/>
          <w:sz w:val="24"/>
          <w:szCs w:val="24"/>
        </w:rPr>
      </w:pPr>
    </w:p>
    <w:p w14:paraId="1567E1CA" w14:textId="31E1F2D7" w:rsidR="0034603C" w:rsidRDefault="0034603C" w:rsidP="0034603C">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r w:rsidRPr="0034603C">
        <w:rPr>
          <w:rFonts w:ascii="Palatino Linotype" w:hAnsi="Palatino Linotype" w:cs="Arial"/>
          <w:sz w:val="24"/>
          <w:szCs w:val="24"/>
        </w:rPr>
        <w:t xml:space="preserve"> </w:t>
      </w:r>
      <w:r>
        <w:rPr>
          <w:rFonts w:ascii="Palatino Linotype" w:hAnsi="Palatino Linotype" w:cs="Arial"/>
          <w:sz w:val="24"/>
          <w:szCs w:val="24"/>
        </w:rPr>
        <w:t>------------------------------------------------------------------------------------------------------------------------------------------------------------------------------------------------------------------------------------------------------------------------------------------------------------------------------------------------------------------------------------------------------------------------------------------------------------------------------------------------------------------------------------------------------------------------------------------------------------------------------------------------------------------------------------------------------</w:t>
      </w:r>
    </w:p>
    <w:p w14:paraId="4D4DCA17" w14:textId="77777777" w:rsidR="0034603C" w:rsidRDefault="0034603C" w:rsidP="0034603C">
      <w:pPr>
        <w:spacing w:before="240"/>
        <w:jc w:val="both"/>
        <w:rPr>
          <w:rFonts w:ascii="Palatino Linotype" w:hAnsi="Palatino Linotype"/>
        </w:rPr>
      </w:pPr>
    </w:p>
    <w:p w14:paraId="3C4EA7AD" w14:textId="77777777" w:rsidR="0034603C" w:rsidRDefault="0034603C" w:rsidP="0034603C">
      <w:pPr>
        <w:spacing w:before="240"/>
        <w:jc w:val="both"/>
        <w:rPr>
          <w:rFonts w:ascii="Palatino Linotype" w:hAnsi="Palatino Linotype"/>
        </w:rPr>
      </w:pPr>
    </w:p>
    <w:p w14:paraId="30837117" w14:textId="77777777" w:rsidR="0034603C" w:rsidRDefault="0034603C" w:rsidP="0034603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D1CFA28" wp14:editId="3BB5B35D">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AA5C24E" w14:textId="77777777" w:rsidR="0034603C" w:rsidRPr="00EF2FC0" w:rsidRDefault="0034603C" w:rsidP="0034603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41BD98B"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B756D9C"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1CFA2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0AA5C24E" w14:textId="77777777" w:rsidR="0034603C" w:rsidRPr="00EF2FC0" w:rsidRDefault="0034603C" w:rsidP="0034603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41BD98B"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B756D9C"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3D963FA5" w14:textId="77777777" w:rsidR="0034603C" w:rsidRPr="00D54B7D" w:rsidRDefault="0034603C" w:rsidP="0034603C">
      <w:pPr>
        <w:spacing w:before="240"/>
        <w:jc w:val="both"/>
        <w:rPr>
          <w:rFonts w:ascii="Palatino Linotype" w:hAnsi="Palatino Linotype"/>
        </w:rPr>
      </w:pPr>
    </w:p>
    <w:p w14:paraId="481470F0" w14:textId="77777777" w:rsidR="0034603C" w:rsidRPr="00D54B7D" w:rsidRDefault="0034603C" w:rsidP="0034603C">
      <w:pPr>
        <w:spacing w:before="240"/>
        <w:jc w:val="center"/>
        <w:rPr>
          <w:rFonts w:ascii="Palatino Linotype" w:hAnsi="Palatino Linotype"/>
        </w:rPr>
      </w:pPr>
    </w:p>
    <w:p w14:paraId="533D726A" w14:textId="77777777" w:rsidR="0034603C" w:rsidRDefault="0034603C" w:rsidP="0034603C">
      <w:pPr>
        <w:spacing w:before="240"/>
        <w:rPr>
          <w:rFonts w:ascii="Palatino Linotype" w:hAnsi="Palatino Linotype"/>
          <w:b/>
        </w:rPr>
      </w:pPr>
    </w:p>
    <w:p w14:paraId="775B346E" w14:textId="77777777" w:rsidR="0034603C" w:rsidRDefault="0034603C" w:rsidP="0034603C">
      <w:pPr>
        <w:spacing w:before="240"/>
        <w:rPr>
          <w:rFonts w:ascii="Palatino Linotype" w:hAnsi="Palatino Linotype"/>
          <w:b/>
        </w:rPr>
      </w:pPr>
    </w:p>
    <w:p w14:paraId="00F75DB2" w14:textId="77777777" w:rsidR="0034603C" w:rsidRDefault="0034603C" w:rsidP="0034603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4AEC0AA" wp14:editId="7F22175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FAB16B" w14:textId="77777777" w:rsidR="0034603C" w:rsidRPr="00EF2FC0" w:rsidRDefault="0034603C" w:rsidP="0034603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675351B"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983217A"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66A828E6" w14:textId="77777777" w:rsidR="0034603C" w:rsidRDefault="0034603C" w:rsidP="0034603C">
                            <w:pPr>
                              <w:spacing w:line="240" w:lineRule="auto"/>
                              <w:jc w:val="center"/>
                              <w:rPr>
                                <w:rFonts w:ascii="Palatino Linotype" w:hAnsi="Palatino Linotype"/>
                                <w:sz w:val="24"/>
                                <w:szCs w:val="24"/>
                              </w:rPr>
                            </w:pPr>
                          </w:p>
                          <w:p w14:paraId="5C35E8C1" w14:textId="77777777" w:rsidR="0034603C" w:rsidRPr="00797B31" w:rsidRDefault="0034603C" w:rsidP="0034603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EC0AA"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32FAB16B" w14:textId="77777777" w:rsidR="0034603C" w:rsidRPr="00EF2FC0" w:rsidRDefault="0034603C" w:rsidP="0034603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675351B"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983217A"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66A828E6" w14:textId="77777777" w:rsidR="0034603C" w:rsidRDefault="0034603C" w:rsidP="0034603C">
                      <w:pPr>
                        <w:spacing w:line="240" w:lineRule="auto"/>
                        <w:jc w:val="center"/>
                        <w:rPr>
                          <w:rFonts w:ascii="Palatino Linotype" w:hAnsi="Palatino Linotype"/>
                          <w:sz w:val="24"/>
                          <w:szCs w:val="24"/>
                        </w:rPr>
                      </w:pPr>
                    </w:p>
                    <w:p w14:paraId="5C35E8C1" w14:textId="77777777" w:rsidR="0034603C" w:rsidRPr="00797B31" w:rsidRDefault="0034603C" w:rsidP="0034603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9E65FC9" wp14:editId="75F59388">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2F0EDB" w14:textId="77777777" w:rsidR="0034603C" w:rsidRPr="00EF2FC0" w:rsidRDefault="0034603C" w:rsidP="0034603C">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775999C2" w14:textId="77777777" w:rsidR="0034603C" w:rsidRDefault="0034603C" w:rsidP="0034603C">
                            <w:pPr>
                              <w:jc w:val="center"/>
                              <w:rPr>
                                <w:rFonts w:ascii="Palatino Linotype" w:hAnsi="Palatino Linotype"/>
                                <w:sz w:val="24"/>
                                <w:szCs w:val="24"/>
                              </w:rPr>
                            </w:pPr>
                            <w:r w:rsidRPr="00EF2FC0">
                              <w:rPr>
                                <w:rFonts w:ascii="Palatino Linotype" w:hAnsi="Palatino Linotype"/>
                                <w:sz w:val="24"/>
                                <w:szCs w:val="24"/>
                              </w:rPr>
                              <w:t>Comisionada</w:t>
                            </w:r>
                          </w:p>
                          <w:p w14:paraId="436C9C24"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38AEE3E0" w14:textId="77777777" w:rsidR="0034603C" w:rsidRPr="00EF2FC0" w:rsidRDefault="0034603C" w:rsidP="0034603C">
                            <w:pPr>
                              <w:jc w:val="center"/>
                              <w:rPr>
                                <w:rFonts w:ascii="Palatino Linotype" w:hAnsi="Palatino Linotype"/>
                                <w:sz w:val="24"/>
                                <w:szCs w:val="24"/>
                              </w:rPr>
                            </w:pPr>
                          </w:p>
                          <w:p w14:paraId="2868D734" w14:textId="77777777" w:rsidR="0034603C" w:rsidRDefault="0034603C" w:rsidP="0034603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65FC9"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B2F0EDB" w14:textId="77777777" w:rsidR="0034603C" w:rsidRPr="00EF2FC0" w:rsidRDefault="0034603C" w:rsidP="0034603C">
                      <w:pPr>
                        <w:jc w:val="center"/>
                        <w:rPr>
                          <w:rFonts w:ascii="Palatino Linotype" w:hAnsi="Palatino Linotype"/>
                          <w:b/>
                          <w:sz w:val="24"/>
                          <w:szCs w:val="24"/>
                        </w:rPr>
                      </w:pPr>
                      <w:r w:rsidRPr="00EF2FC0">
                        <w:rPr>
                          <w:rFonts w:ascii="Palatino Linotype" w:hAnsi="Palatino Linotype"/>
                          <w:b/>
                          <w:sz w:val="24"/>
                          <w:szCs w:val="24"/>
                        </w:rPr>
                        <w:t>Eva Abaid Yapur</w:t>
                      </w:r>
                    </w:p>
                    <w:p w14:paraId="775999C2" w14:textId="77777777" w:rsidR="0034603C" w:rsidRDefault="0034603C" w:rsidP="0034603C">
                      <w:pPr>
                        <w:jc w:val="center"/>
                        <w:rPr>
                          <w:rFonts w:ascii="Palatino Linotype" w:hAnsi="Palatino Linotype"/>
                          <w:sz w:val="24"/>
                          <w:szCs w:val="24"/>
                        </w:rPr>
                      </w:pPr>
                      <w:r w:rsidRPr="00EF2FC0">
                        <w:rPr>
                          <w:rFonts w:ascii="Palatino Linotype" w:hAnsi="Palatino Linotype"/>
                          <w:sz w:val="24"/>
                          <w:szCs w:val="24"/>
                        </w:rPr>
                        <w:t>Comisionada</w:t>
                      </w:r>
                    </w:p>
                    <w:p w14:paraId="436C9C24"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38AEE3E0" w14:textId="77777777" w:rsidR="0034603C" w:rsidRPr="00EF2FC0" w:rsidRDefault="0034603C" w:rsidP="0034603C">
                      <w:pPr>
                        <w:jc w:val="center"/>
                        <w:rPr>
                          <w:rFonts w:ascii="Palatino Linotype" w:hAnsi="Palatino Linotype"/>
                          <w:sz w:val="24"/>
                          <w:szCs w:val="24"/>
                        </w:rPr>
                      </w:pPr>
                    </w:p>
                    <w:p w14:paraId="2868D734" w14:textId="77777777" w:rsidR="0034603C" w:rsidRDefault="0034603C" w:rsidP="0034603C">
                      <w:pPr>
                        <w:jc w:val="center"/>
                      </w:pPr>
                    </w:p>
                  </w:txbxContent>
                </v:textbox>
                <w10:wrap anchorx="margin"/>
              </v:shape>
            </w:pict>
          </mc:Fallback>
        </mc:AlternateContent>
      </w:r>
    </w:p>
    <w:p w14:paraId="2CD22159" w14:textId="77777777" w:rsidR="0034603C" w:rsidRPr="00D54B7D" w:rsidRDefault="0034603C" w:rsidP="0034603C">
      <w:pPr>
        <w:spacing w:before="240"/>
        <w:rPr>
          <w:rFonts w:ascii="Palatino Linotype" w:hAnsi="Palatino Linotype"/>
          <w:b/>
        </w:rPr>
      </w:pPr>
    </w:p>
    <w:p w14:paraId="14562934" w14:textId="77777777" w:rsidR="0034603C" w:rsidRPr="00D54B7D" w:rsidRDefault="0034603C" w:rsidP="0034603C">
      <w:pPr>
        <w:spacing w:before="240"/>
        <w:rPr>
          <w:rFonts w:ascii="Palatino Linotype" w:hAnsi="Palatino Linotype"/>
          <w:b/>
        </w:rPr>
      </w:pPr>
    </w:p>
    <w:p w14:paraId="48777503" w14:textId="77777777" w:rsidR="0034603C" w:rsidRDefault="0034603C" w:rsidP="0034603C">
      <w:pPr>
        <w:spacing w:before="240"/>
        <w:rPr>
          <w:rFonts w:ascii="Palatino Linotype" w:hAnsi="Palatino Linotype"/>
          <w:b/>
        </w:rPr>
      </w:pPr>
    </w:p>
    <w:p w14:paraId="29D0D05E" w14:textId="77777777" w:rsidR="0034603C" w:rsidRDefault="0034603C" w:rsidP="0034603C">
      <w:pPr>
        <w:spacing w:before="240"/>
        <w:rPr>
          <w:rFonts w:ascii="Palatino Linotype" w:hAnsi="Palatino Linotype"/>
          <w:b/>
          <w:sz w:val="18"/>
          <w:szCs w:val="18"/>
        </w:rPr>
      </w:pPr>
    </w:p>
    <w:p w14:paraId="4AD660E4" w14:textId="77777777" w:rsidR="0034603C" w:rsidRPr="00B93570" w:rsidRDefault="0034603C" w:rsidP="0034603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929CFB9" wp14:editId="0412EE36">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149CA9" w14:textId="77777777" w:rsidR="0034603C" w:rsidRPr="00EF2FC0" w:rsidRDefault="0034603C" w:rsidP="0034603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6CAF722"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7790DE"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0CFD735C" w14:textId="77777777" w:rsidR="0034603C" w:rsidRPr="00EF2FC0" w:rsidRDefault="0034603C" w:rsidP="0034603C">
                            <w:pPr>
                              <w:spacing w:line="240" w:lineRule="auto"/>
                              <w:jc w:val="center"/>
                              <w:rPr>
                                <w:rFonts w:ascii="Palatino Linotype" w:hAnsi="Palatino Linotype"/>
                                <w:sz w:val="24"/>
                                <w:szCs w:val="24"/>
                              </w:rPr>
                            </w:pPr>
                          </w:p>
                          <w:p w14:paraId="723F5AAC" w14:textId="77777777" w:rsidR="0034603C" w:rsidRDefault="0034603C" w:rsidP="00346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9CFB9"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59149CA9" w14:textId="77777777" w:rsidR="0034603C" w:rsidRPr="00EF2FC0" w:rsidRDefault="0034603C" w:rsidP="0034603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6CAF722"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37790DE"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0CFD735C" w14:textId="77777777" w:rsidR="0034603C" w:rsidRPr="00EF2FC0" w:rsidRDefault="0034603C" w:rsidP="0034603C">
                      <w:pPr>
                        <w:spacing w:line="240" w:lineRule="auto"/>
                        <w:jc w:val="center"/>
                        <w:rPr>
                          <w:rFonts w:ascii="Palatino Linotype" w:hAnsi="Palatino Linotype"/>
                          <w:sz w:val="24"/>
                          <w:szCs w:val="24"/>
                        </w:rPr>
                      </w:pPr>
                    </w:p>
                    <w:p w14:paraId="723F5AAC" w14:textId="77777777" w:rsidR="0034603C" w:rsidRDefault="0034603C" w:rsidP="0034603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54946B6" wp14:editId="472A9DB1">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8678EA" w14:textId="77777777" w:rsidR="0034603C" w:rsidRPr="00EF2FC0" w:rsidRDefault="0034603C" w:rsidP="0034603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8D9695F"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7AC3C7A"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1598DB6E" w14:textId="77777777" w:rsidR="0034603C" w:rsidRPr="00EF2FC0" w:rsidRDefault="0034603C" w:rsidP="0034603C">
                            <w:pPr>
                              <w:spacing w:line="240" w:lineRule="auto"/>
                              <w:jc w:val="center"/>
                              <w:rPr>
                                <w:rFonts w:ascii="Palatino Linotype" w:hAnsi="Palatino Linotype"/>
                                <w:sz w:val="24"/>
                                <w:szCs w:val="24"/>
                              </w:rPr>
                            </w:pPr>
                          </w:p>
                          <w:p w14:paraId="2426CCE6" w14:textId="77777777" w:rsidR="0034603C" w:rsidRDefault="0034603C" w:rsidP="00346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946B6"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038678EA" w14:textId="77777777" w:rsidR="0034603C" w:rsidRPr="00EF2FC0" w:rsidRDefault="0034603C" w:rsidP="0034603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8D9695F" w14:textId="77777777" w:rsidR="0034603C" w:rsidRDefault="0034603C" w:rsidP="0034603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7AC3C7A"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1598DB6E" w14:textId="77777777" w:rsidR="0034603C" w:rsidRPr="00EF2FC0" w:rsidRDefault="0034603C" w:rsidP="0034603C">
                      <w:pPr>
                        <w:spacing w:line="240" w:lineRule="auto"/>
                        <w:jc w:val="center"/>
                        <w:rPr>
                          <w:rFonts w:ascii="Palatino Linotype" w:hAnsi="Palatino Linotype"/>
                          <w:sz w:val="24"/>
                          <w:szCs w:val="24"/>
                        </w:rPr>
                      </w:pPr>
                    </w:p>
                    <w:p w14:paraId="2426CCE6" w14:textId="77777777" w:rsidR="0034603C" w:rsidRDefault="0034603C" w:rsidP="0034603C"/>
                  </w:txbxContent>
                </v:textbox>
                <w10:wrap anchorx="page"/>
              </v:shape>
            </w:pict>
          </mc:Fallback>
        </mc:AlternateContent>
      </w:r>
    </w:p>
    <w:p w14:paraId="1D4FF441" w14:textId="77777777" w:rsidR="0034603C" w:rsidRDefault="0034603C" w:rsidP="0034603C">
      <w:pPr>
        <w:spacing w:before="240"/>
        <w:rPr>
          <w:rFonts w:ascii="Palatino Linotype" w:hAnsi="Palatino Linotype"/>
          <w:b/>
        </w:rPr>
      </w:pPr>
    </w:p>
    <w:p w14:paraId="1F5A2AE5" w14:textId="77777777" w:rsidR="0034603C" w:rsidRDefault="0034603C" w:rsidP="0034603C">
      <w:pPr>
        <w:spacing w:before="240"/>
        <w:rPr>
          <w:rFonts w:ascii="Palatino Linotype" w:hAnsi="Palatino Linotype"/>
          <w:b/>
        </w:rPr>
      </w:pPr>
    </w:p>
    <w:p w14:paraId="612C5F64" w14:textId="77777777" w:rsidR="0034603C" w:rsidRDefault="0034603C" w:rsidP="0034603C">
      <w:pPr>
        <w:spacing w:before="240"/>
        <w:rPr>
          <w:rFonts w:ascii="Palatino Linotype" w:hAnsi="Palatino Linotype" w:cs="Arial"/>
          <w:szCs w:val="20"/>
        </w:rPr>
      </w:pPr>
    </w:p>
    <w:p w14:paraId="7E54751D" w14:textId="77777777" w:rsidR="0034603C" w:rsidRDefault="0034603C" w:rsidP="0034603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8F06684" wp14:editId="4999C047">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8F6765" w14:textId="77777777" w:rsidR="0034603C" w:rsidRPr="007F6133" w:rsidRDefault="0034603C" w:rsidP="0034603C">
                            <w:pPr>
                              <w:jc w:val="center"/>
                              <w:rPr>
                                <w:rFonts w:ascii="Palatino Linotype" w:hAnsi="Palatino Linotype"/>
                                <w:b/>
                                <w:sz w:val="24"/>
                                <w:szCs w:val="24"/>
                              </w:rPr>
                            </w:pPr>
                            <w:r w:rsidRPr="00B86F1F">
                              <w:rPr>
                                <w:rFonts w:ascii="Palatino Linotype" w:hAnsi="Palatino Linotype"/>
                                <w:b/>
                                <w:sz w:val="24"/>
                                <w:szCs w:val="24"/>
                              </w:rPr>
                              <w:t>Alexis Tapia Ramírez</w:t>
                            </w:r>
                          </w:p>
                          <w:p w14:paraId="3B7E97B6" w14:textId="77777777" w:rsidR="0034603C" w:rsidRDefault="0034603C" w:rsidP="0034603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28EEB13"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3FDCF618" w14:textId="77777777" w:rsidR="0034603C" w:rsidRDefault="0034603C" w:rsidP="0034603C">
                            <w:pPr>
                              <w:spacing w:after="0" w:line="240" w:lineRule="auto"/>
                              <w:jc w:val="center"/>
                              <w:rPr>
                                <w:rFonts w:ascii="Palatino Linotype" w:hAnsi="Palatino Linotype"/>
                                <w:sz w:val="24"/>
                                <w:szCs w:val="24"/>
                              </w:rPr>
                            </w:pPr>
                          </w:p>
                          <w:p w14:paraId="1AD9C76C" w14:textId="77777777" w:rsidR="0034603C" w:rsidRPr="00EF2FC0" w:rsidRDefault="0034603C" w:rsidP="0034603C">
                            <w:pPr>
                              <w:jc w:val="center"/>
                              <w:rPr>
                                <w:rFonts w:ascii="Palatino Linotype" w:hAnsi="Palatino Linotype"/>
                                <w:sz w:val="24"/>
                                <w:szCs w:val="24"/>
                              </w:rPr>
                            </w:pPr>
                          </w:p>
                          <w:p w14:paraId="2FC43667" w14:textId="77777777" w:rsidR="0034603C" w:rsidRDefault="0034603C" w:rsidP="00346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06684"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7F8F6765" w14:textId="77777777" w:rsidR="0034603C" w:rsidRPr="007F6133" w:rsidRDefault="0034603C" w:rsidP="0034603C">
                      <w:pPr>
                        <w:jc w:val="center"/>
                        <w:rPr>
                          <w:rFonts w:ascii="Palatino Linotype" w:hAnsi="Palatino Linotype"/>
                          <w:b/>
                          <w:sz w:val="24"/>
                          <w:szCs w:val="24"/>
                        </w:rPr>
                      </w:pPr>
                      <w:r w:rsidRPr="00B86F1F">
                        <w:rPr>
                          <w:rFonts w:ascii="Palatino Linotype" w:hAnsi="Palatino Linotype"/>
                          <w:b/>
                          <w:sz w:val="24"/>
                          <w:szCs w:val="24"/>
                        </w:rPr>
                        <w:t>Alexis Tapia Ramírez</w:t>
                      </w:r>
                    </w:p>
                    <w:p w14:paraId="3B7E97B6" w14:textId="77777777" w:rsidR="0034603C" w:rsidRDefault="0034603C" w:rsidP="0034603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28EEB13" w14:textId="77777777" w:rsidR="0034603C" w:rsidRDefault="0034603C" w:rsidP="0034603C">
                      <w:pPr>
                        <w:spacing w:line="240" w:lineRule="auto"/>
                        <w:jc w:val="center"/>
                        <w:rPr>
                          <w:rFonts w:ascii="Palatino Linotype" w:hAnsi="Palatino Linotype"/>
                          <w:sz w:val="24"/>
                          <w:szCs w:val="24"/>
                        </w:rPr>
                      </w:pPr>
                      <w:r>
                        <w:rPr>
                          <w:rFonts w:ascii="Palatino Linotype" w:hAnsi="Palatino Linotype"/>
                          <w:sz w:val="24"/>
                          <w:szCs w:val="24"/>
                        </w:rPr>
                        <w:t>(Rúbrica)</w:t>
                      </w:r>
                    </w:p>
                    <w:p w14:paraId="3FDCF618" w14:textId="77777777" w:rsidR="0034603C" w:rsidRDefault="0034603C" w:rsidP="0034603C">
                      <w:pPr>
                        <w:spacing w:after="0" w:line="240" w:lineRule="auto"/>
                        <w:jc w:val="center"/>
                        <w:rPr>
                          <w:rFonts w:ascii="Palatino Linotype" w:hAnsi="Palatino Linotype"/>
                          <w:sz w:val="24"/>
                          <w:szCs w:val="24"/>
                        </w:rPr>
                      </w:pPr>
                    </w:p>
                    <w:p w14:paraId="1AD9C76C" w14:textId="77777777" w:rsidR="0034603C" w:rsidRPr="00EF2FC0" w:rsidRDefault="0034603C" w:rsidP="0034603C">
                      <w:pPr>
                        <w:jc w:val="center"/>
                        <w:rPr>
                          <w:rFonts w:ascii="Palatino Linotype" w:hAnsi="Palatino Linotype"/>
                          <w:sz w:val="24"/>
                          <w:szCs w:val="24"/>
                        </w:rPr>
                      </w:pPr>
                    </w:p>
                    <w:p w14:paraId="2FC43667" w14:textId="77777777" w:rsidR="0034603C" w:rsidRDefault="0034603C" w:rsidP="0034603C"/>
                  </w:txbxContent>
                </v:textbox>
                <w10:wrap anchorx="page"/>
              </v:shape>
            </w:pict>
          </mc:Fallback>
        </mc:AlternateContent>
      </w:r>
    </w:p>
    <w:p w14:paraId="091DC80F" w14:textId="77777777" w:rsidR="0034603C" w:rsidRDefault="0034603C" w:rsidP="0034603C">
      <w:pPr>
        <w:spacing w:before="240"/>
        <w:rPr>
          <w:rFonts w:ascii="Palatino Linotype" w:hAnsi="Palatino Linotype" w:cs="Arial"/>
          <w:sz w:val="18"/>
          <w:szCs w:val="18"/>
        </w:rPr>
      </w:pPr>
    </w:p>
    <w:p w14:paraId="569097ED" w14:textId="77777777" w:rsidR="0034603C" w:rsidRDefault="0034603C" w:rsidP="0034603C">
      <w:pPr>
        <w:spacing w:before="240"/>
        <w:jc w:val="both"/>
        <w:rPr>
          <w:rFonts w:ascii="Palatino Linotype" w:hAnsi="Palatino Linotype" w:cs="Arial"/>
          <w:sz w:val="18"/>
          <w:szCs w:val="18"/>
        </w:rPr>
      </w:pPr>
    </w:p>
    <w:p w14:paraId="04214CF2" w14:textId="77777777" w:rsidR="0034603C" w:rsidRDefault="0034603C" w:rsidP="0034603C">
      <w:pPr>
        <w:spacing w:before="240"/>
        <w:jc w:val="both"/>
        <w:rPr>
          <w:rFonts w:ascii="Palatino Linotype" w:hAnsi="Palatino Linotype" w:cs="Arial"/>
          <w:sz w:val="18"/>
          <w:szCs w:val="18"/>
        </w:rPr>
      </w:pPr>
    </w:p>
    <w:p w14:paraId="0C919E55" w14:textId="77777777" w:rsidR="0034603C" w:rsidRDefault="0034603C" w:rsidP="0034603C">
      <w:pPr>
        <w:spacing w:after="0" w:line="240" w:lineRule="auto"/>
        <w:jc w:val="both"/>
        <w:rPr>
          <w:rFonts w:ascii="Palatino Linotype" w:hAnsi="Palatino Linotype" w:cs="Arial"/>
          <w:sz w:val="16"/>
          <w:szCs w:val="16"/>
        </w:rPr>
      </w:pPr>
    </w:p>
    <w:p w14:paraId="4973E21E" w14:textId="0C0D5F05" w:rsidR="0034603C" w:rsidRPr="002052F6" w:rsidRDefault="0034603C" w:rsidP="0034603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11225/INFOEM/IP/RR/2019</w:t>
      </w:r>
      <w:r w:rsidRPr="002052F6">
        <w:rPr>
          <w:rFonts w:ascii="Palatino Linotype" w:hAnsi="Palatino Linotype" w:cs="Arial"/>
          <w:sz w:val="16"/>
          <w:szCs w:val="16"/>
        </w:rPr>
        <w:t>.</w:t>
      </w:r>
    </w:p>
    <w:p w14:paraId="35660F7D" w14:textId="6B70A259" w:rsidR="00DD13E2" w:rsidRDefault="0034603C" w:rsidP="0034603C">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973E" w14:textId="77777777" w:rsidR="006067CE" w:rsidRDefault="006067CE" w:rsidP="00E15E85">
      <w:pPr>
        <w:spacing w:after="0" w:line="240" w:lineRule="auto"/>
      </w:pPr>
      <w:r>
        <w:separator/>
      </w:r>
    </w:p>
  </w:endnote>
  <w:endnote w:type="continuationSeparator" w:id="0">
    <w:p w14:paraId="4B69DC96" w14:textId="77777777" w:rsidR="006067CE" w:rsidRDefault="006067C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F4370" w14:textId="77777777" w:rsidR="006067CE" w:rsidRDefault="006067CE" w:rsidP="00E15E85">
      <w:pPr>
        <w:spacing w:after="0" w:line="240" w:lineRule="auto"/>
      </w:pPr>
      <w:r>
        <w:separator/>
      </w:r>
    </w:p>
  </w:footnote>
  <w:footnote w:type="continuationSeparator" w:id="0">
    <w:p w14:paraId="02C3BDC8" w14:textId="77777777" w:rsidR="006067CE" w:rsidRDefault="006067CE" w:rsidP="00E15E85">
      <w:pPr>
        <w:spacing w:after="0" w:line="240" w:lineRule="auto"/>
      </w:pPr>
      <w:r>
        <w:continuationSeparator/>
      </w:r>
    </w:p>
  </w:footnote>
  <w:footnote w:id="1">
    <w:p w14:paraId="25BD1CE5" w14:textId="77777777" w:rsidR="002A0E7B" w:rsidRPr="00615B4B" w:rsidRDefault="002A0E7B" w:rsidP="002A0E7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30A4113" w14:textId="77777777" w:rsidR="002A0E7B" w:rsidRPr="00615B4B" w:rsidRDefault="002A0E7B" w:rsidP="002A0E7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17D91DF2" w:rsidR="002821FA" w:rsidRPr="00D56BC3" w:rsidRDefault="00A81F2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w:t>
          </w:r>
          <w:r w:rsidR="00A14FD5">
            <w:rPr>
              <w:rFonts w:ascii="Palatino Linotype" w:hAnsi="Palatino Linotype" w:cs="Arial"/>
              <w:bCs/>
              <w:sz w:val="24"/>
              <w:lang w:eastAsia="es-MX"/>
            </w:rPr>
            <w:t>12</w:t>
          </w:r>
          <w:r>
            <w:rPr>
              <w:rFonts w:ascii="Palatino Linotype" w:hAnsi="Palatino Linotype" w:cs="Arial"/>
              <w:bCs/>
              <w:sz w:val="24"/>
              <w:lang w:eastAsia="es-MX"/>
            </w:rPr>
            <w:t>25</w:t>
          </w:r>
          <w:r w:rsidR="002821FA"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6FBAC520" w:rsidR="002821FA" w:rsidRPr="005D58CA" w:rsidRDefault="00A14FD5" w:rsidP="00BA65E0">
          <w:pPr>
            <w:spacing w:after="120" w:line="256" w:lineRule="auto"/>
            <w:ind w:left="-486" w:right="214" w:firstLine="284"/>
            <w:jc w:val="right"/>
            <w:rPr>
              <w:rFonts w:ascii="Palatino Linotype" w:hAnsi="Palatino Linotype" w:cs="Arial"/>
              <w:sz w:val="24"/>
            </w:rPr>
          </w:pPr>
          <w:r w:rsidRPr="00A14FD5">
            <w:rPr>
              <w:rFonts w:ascii="Palatino Linotype" w:hAnsi="Palatino Linotype" w:cs="Arial"/>
              <w:sz w:val="24"/>
            </w:rPr>
            <w:t>Ayuntamiento de San Simón de Guerrero</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5841A086" w:rsidR="002821FA" w:rsidRPr="00B4142F" w:rsidRDefault="00A81F29"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w:t>
          </w:r>
          <w:r w:rsidR="00A14FD5">
            <w:rPr>
              <w:rFonts w:ascii="Palatino Linotype" w:hAnsi="Palatino Linotype" w:cs="Arial"/>
              <w:bCs/>
              <w:sz w:val="24"/>
              <w:lang w:eastAsia="es-MX"/>
            </w:rPr>
            <w:t>12</w:t>
          </w:r>
          <w:r>
            <w:rPr>
              <w:rFonts w:ascii="Palatino Linotype" w:hAnsi="Palatino Linotype" w:cs="Arial"/>
              <w:bCs/>
              <w:sz w:val="24"/>
              <w:lang w:eastAsia="es-MX"/>
            </w:rPr>
            <w:t>25</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36CC84D6" w:rsidR="002821FA" w:rsidRPr="005D58CA" w:rsidRDefault="00624DBC" w:rsidP="00E15E85">
          <w:pPr>
            <w:spacing w:after="120" w:line="256" w:lineRule="auto"/>
            <w:ind w:left="-486" w:right="214" w:firstLine="567"/>
            <w:jc w:val="right"/>
            <w:rPr>
              <w:rFonts w:ascii="Palatino Linotype" w:hAnsi="Palatino Linotype" w:cs="Arial"/>
              <w:sz w:val="24"/>
              <w:szCs w:val="24"/>
            </w:rPr>
          </w:pPr>
          <w:r>
            <w:rPr>
              <w:rFonts w:ascii="Palatino Linotype" w:hAnsi="Palatino Linotype" w:cs="Arial"/>
              <w:sz w:val="24"/>
              <w:szCs w:val="24"/>
            </w:rPr>
            <w:t>XXXXXXXXXXXXXX</w:t>
          </w: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48DFAC36" w:rsidR="002821FA" w:rsidRPr="005D58CA" w:rsidRDefault="00A14FD5" w:rsidP="0015550A">
          <w:pPr>
            <w:spacing w:after="120" w:line="256" w:lineRule="auto"/>
            <w:ind w:left="-495" w:right="214" w:firstLine="567"/>
            <w:jc w:val="right"/>
            <w:rPr>
              <w:rFonts w:ascii="Palatino Linotype" w:hAnsi="Palatino Linotype" w:cs="Arial"/>
              <w:sz w:val="24"/>
              <w:szCs w:val="24"/>
            </w:rPr>
          </w:pPr>
          <w:r w:rsidRPr="00A14FD5">
            <w:rPr>
              <w:rFonts w:ascii="Palatino Linotype" w:hAnsi="Palatino Linotype" w:cs="Arial"/>
              <w:sz w:val="24"/>
              <w:szCs w:val="24"/>
            </w:rPr>
            <w:t>Ayuntamiento de San Simón de Guerrero</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8"/>
  </w:num>
  <w:num w:numId="3">
    <w:abstractNumId w:val="25"/>
  </w:num>
  <w:num w:numId="4">
    <w:abstractNumId w:val="16"/>
  </w:num>
  <w:num w:numId="5">
    <w:abstractNumId w:val="29"/>
  </w:num>
  <w:num w:numId="6">
    <w:abstractNumId w:val="10"/>
  </w:num>
  <w:num w:numId="7">
    <w:abstractNumId w:val="36"/>
  </w:num>
  <w:num w:numId="8">
    <w:abstractNumId w:val="19"/>
  </w:num>
  <w:num w:numId="9">
    <w:abstractNumId w:val="11"/>
  </w:num>
  <w:num w:numId="10">
    <w:abstractNumId w:val="34"/>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38"/>
  </w:num>
  <w:num w:numId="21">
    <w:abstractNumId w:val="14"/>
  </w:num>
  <w:num w:numId="22">
    <w:abstractNumId w:val="17"/>
  </w:num>
  <w:num w:numId="23">
    <w:abstractNumId w:val="9"/>
  </w:num>
  <w:num w:numId="24">
    <w:abstractNumId w:val="6"/>
  </w:num>
  <w:num w:numId="25">
    <w:abstractNumId w:val="5"/>
  </w:num>
  <w:num w:numId="26">
    <w:abstractNumId w:val="32"/>
  </w:num>
  <w:num w:numId="27">
    <w:abstractNumId w:val="39"/>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5"/>
  </w:num>
  <w:num w:numId="35">
    <w:abstractNumId w:val="12"/>
  </w:num>
  <w:num w:numId="36">
    <w:abstractNumId w:val="20"/>
  </w:num>
  <w:num w:numId="37">
    <w:abstractNumId w:val="28"/>
  </w:num>
  <w:num w:numId="38">
    <w:abstractNumId w:val="37"/>
  </w:num>
  <w:num w:numId="39">
    <w:abstractNumId w:val="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52F9"/>
    <w:rsid w:val="0009633E"/>
    <w:rsid w:val="000A513A"/>
    <w:rsid w:val="000A7526"/>
    <w:rsid w:val="000B2920"/>
    <w:rsid w:val="000B3927"/>
    <w:rsid w:val="000C22EC"/>
    <w:rsid w:val="000C59EE"/>
    <w:rsid w:val="000C5E86"/>
    <w:rsid w:val="000D17AF"/>
    <w:rsid w:val="000D3ADA"/>
    <w:rsid w:val="000E7EAA"/>
    <w:rsid w:val="000F019E"/>
    <w:rsid w:val="00113310"/>
    <w:rsid w:val="0011750A"/>
    <w:rsid w:val="0012266D"/>
    <w:rsid w:val="00130D58"/>
    <w:rsid w:val="00142F61"/>
    <w:rsid w:val="00152B26"/>
    <w:rsid w:val="0015550A"/>
    <w:rsid w:val="00163618"/>
    <w:rsid w:val="00171BD5"/>
    <w:rsid w:val="00183623"/>
    <w:rsid w:val="00186AB1"/>
    <w:rsid w:val="0019424A"/>
    <w:rsid w:val="001B066D"/>
    <w:rsid w:val="001B3E5E"/>
    <w:rsid w:val="001C28D0"/>
    <w:rsid w:val="001C3E01"/>
    <w:rsid w:val="001C3F41"/>
    <w:rsid w:val="001C7069"/>
    <w:rsid w:val="001F295E"/>
    <w:rsid w:val="001F5D0E"/>
    <w:rsid w:val="00200AFB"/>
    <w:rsid w:val="002052F6"/>
    <w:rsid w:val="00217E99"/>
    <w:rsid w:val="0022069E"/>
    <w:rsid w:val="00222271"/>
    <w:rsid w:val="00223C2F"/>
    <w:rsid w:val="00224181"/>
    <w:rsid w:val="00233D51"/>
    <w:rsid w:val="00240133"/>
    <w:rsid w:val="00240EC2"/>
    <w:rsid w:val="00253101"/>
    <w:rsid w:val="002606F0"/>
    <w:rsid w:val="0026178B"/>
    <w:rsid w:val="0026534C"/>
    <w:rsid w:val="00266972"/>
    <w:rsid w:val="002677ED"/>
    <w:rsid w:val="002821FA"/>
    <w:rsid w:val="00287512"/>
    <w:rsid w:val="002902D7"/>
    <w:rsid w:val="002902FC"/>
    <w:rsid w:val="00294D34"/>
    <w:rsid w:val="002A0E7B"/>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03C"/>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E3297"/>
    <w:rsid w:val="0040048F"/>
    <w:rsid w:val="00415FB5"/>
    <w:rsid w:val="0042338B"/>
    <w:rsid w:val="004254FE"/>
    <w:rsid w:val="00437C82"/>
    <w:rsid w:val="00470C7E"/>
    <w:rsid w:val="00492244"/>
    <w:rsid w:val="004A2BFB"/>
    <w:rsid w:val="004A6292"/>
    <w:rsid w:val="004C28F1"/>
    <w:rsid w:val="004C3693"/>
    <w:rsid w:val="004C5AC6"/>
    <w:rsid w:val="004D0557"/>
    <w:rsid w:val="004E6DB3"/>
    <w:rsid w:val="004F05B2"/>
    <w:rsid w:val="004F5142"/>
    <w:rsid w:val="00523067"/>
    <w:rsid w:val="00527856"/>
    <w:rsid w:val="00527C6A"/>
    <w:rsid w:val="005329E8"/>
    <w:rsid w:val="00537EA8"/>
    <w:rsid w:val="005733EB"/>
    <w:rsid w:val="0057576D"/>
    <w:rsid w:val="00576C26"/>
    <w:rsid w:val="005820BF"/>
    <w:rsid w:val="00587783"/>
    <w:rsid w:val="005C7580"/>
    <w:rsid w:val="005D58CA"/>
    <w:rsid w:val="006067CE"/>
    <w:rsid w:val="00611799"/>
    <w:rsid w:val="00614FDD"/>
    <w:rsid w:val="00616784"/>
    <w:rsid w:val="006221C5"/>
    <w:rsid w:val="00624DBC"/>
    <w:rsid w:val="00631B59"/>
    <w:rsid w:val="00653B08"/>
    <w:rsid w:val="00654B56"/>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5E3E"/>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13CC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0472"/>
    <w:rsid w:val="00A01250"/>
    <w:rsid w:val="00A14247"/>
    <w:rsid w:val="00A14FD5"/>
    <w:rsid w:val="00A27459"/>
    <w:rsid w:val="00A372F6"/>
    <w:rsid w:val="00A459D0"/>
    <w:rsid w:val="00A45C8D"/>
    <w:rsid w:val="00A65C79"/>
    <w:rsid w:val="00A70873"/>
    <w:rsid w:val="00A817AC"/>
    <w:rsid w:val="00A81F29"/>
    <w:rsid w:val="00A902C6"/>
    <w:rsid w:val="00A92C85"/>
    <w:rsid w:val="00A948EF"/>
    <w:rsid w:val="00A94BCE"/>
    <w:rsid w:val="00AA2CB1"/>
    <w:rsid w:val="00AC0682"/>
    <w:rsid w:val="00AC106F"/>
    <w:rsid w:val="00AC1D50"/>
    <w:rsid w:val="00AD3AF6"/>
    <w:rsid w:val="00AE0AFA"/>
    <w:rsid w:val="00AF15FD"/>
    <w:rsid w:val="00AF2D1E"/>
    <w:rsid w:val="00AF385F"/>
    <w:rsid w:val="00AF7B60"/>
    <w:rsid w:val="00B0008F"/>
    <w:rsid w:val="00B04652"/>
    <w:rsid w:val="00B052B4"/>
    <w:rsid w:val="00B10B28"/>
    <w:rsid w:val="00B131CC"/>
    <w:rsid w:val="00B17A1D"/>
    <w:rsid w:val="00B258A2"/>
    <w:rsid w:val="00B3486E"/>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94557"/>
    <w:rsid w:val="00CA6DA1"/>
    <w:rsid w:val="00CD3F31"/>
    <w:rsid w:val="00CF21E5"/>
    <w:rsid w:val="00D120B9"/>
    <w:rsid w:val="00D2047E"/>
    <w:rsid w:val="00D24D6B"/>
    <w:rsid w:val="00D24D81"/>
    <w:rsid w:val="00D36C12"/>
    <w:rsid w:val="00D37A0D"/>
    <w:rsid w:val="00D5302E"/>
    <w:rsid w:val="00D56BC3"/>
    <w:rsid w:val="00D67629"/>
    <w:rsid w:val="00D67CBE"/>
    <w:rsid w:val="00D70FE3"/>
    <w:rsid w:val="00D83D2D"/>
    <w:rsid w:val="00D8485C"/>
    <w:rsid w:val="00D87D47"/>
    <w:rsid w:val="00D9010D"/>
    <w:rsid w:val="00D95936"/>
    <w:rsid w:val="00D95FE9"/>
    <w:rsid w:val="00D9630C"/>
    <w:rsid w:val="00DB09E7"/>
    <w:rsid w:val="00DB2787"/>
    <w:rsid w:val="00DB584E"/>
    <w:rsid w:val="00DC3B85"/>
    <w:rsid w:val="00DD13E2"/>
    <w:rsid w:val="00DE20E1"/>
    <w:rsid w:val="00DF6F40"/>
    <w:rsid w:val="00E10DEE"/>
    <w:rsid w:val="00E11EFA"/>
    <w:rsid w:val="00E158AD"/>
    <w:rsid w:val="00E15B2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42D2-C1FB-384A-81F2-B4FCD5F3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5793</TotalTime>
  <Pages>26</Pages>
  <Words>5432</Words>
  <Characters>29877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73</cp:revision>
  <cp:lastPrinted>2020-03-11T03:05:00Z</cp:lastPrinted>
  <dcterms:created xsi:type="dcterms:W3CDTF">2019-01-22T19:49:00Z</dcterms:created>
  <dcterms:modified xsi:type="dcterms:W3CDTF">2020-04-14T18:35:00Z</dcterms:modified>
</cp:coreProperties>
</file>