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1BF4" w:rsidRPr="00A51BF6" w:rsidRDefault="00651BF4" w:rsidP="00C05991">
      <w:pPr>
        <w:spacing w:before="100" w:beforeAutospacing="1" w:after="100" w:afterAutospacing="1" w:line="360" w:lineRule="auto"/>
        <w:jc w:val="both"/>
        <w:rPr>
          <w:rFonts w:ascii="Palatino Linotype" w:hAnsi="Palatino Linotype"/>
        </w:rPr>
      </w:pPr>
      <w:r w:rsidRPr="00A51BF6">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C05991" w:rsidRPr="00A51BF6">
        <w:rPr>
          <w:rFonts w:ascii="Palatino Linotype" w:hAnsi="Palatino Linotype"/>
        </w:rPr>
        <w:t xml:space="preserve">catorce de agosto </w:t>
      </w:r>
      <w:r w:rsidRPr="00A51BF6">
        <w:rPr>
          <w:rFonts w:ascii="Palatino Linotype" w:hAnsi="Palatino Linotype"/>
        </w:rPr>
        <w:t xml:space="preserve">de dos mil </w:t>
      </w:r>
      <w:r w:rsidR="00B82526" w:rsidRPr="00A51BF6">
        <w:rPr>
          <w:rFonts w:ascii="Palatino Linotype" w:hAnsi="Palatino Linotype"/>
        </w:rPr>
        <w:t>diecinueve</w:t>
      </w:r>
      <w:r w:rsidRPr="00A51BF6">
        <w:rPr>
          <w:rFonts w:ascii="Palatino Linotype" w:hAnsi="Palatino Linotype"/>
        </w:rPr>
        <w:t>.</w:t>
      </w:r>
    </w:p>
    <w:p w:rsidR="00651BF4" w:rsidRPr="00A51BF6" w:rsidRDefault="00651BF4" w:rsidP="00C05991">
      <w:pPr>
        <w:spacing w:before="100" w:beforeAutospacing="1" w:after="100" w:afterAutospacing="1" w:line="360" w:lineRule="auto"/>
        <w:jc w:val="both"/>
        <w:rPr>
          <w:rFonts w:ascii="Palatino Linotype" w:hAnsi="Palatino Linotype"/>
        </w:rPr>
      </w:pPr>
      <w:r w:rsidRPr="00A51BF6">
        <w:rPr>
          <w:rFonts w:ascii="Palatino Linotype" w:hAnsi="Palatino Linotype"/>
          <w:b/>
        </w:rPr>
        <w:t>VISTO</w:t>
      </w:r>
      <w:r w:rsidRPr="00A51BF6">
        <w:rPr>
          <w:rFonts w:ascii="Palatino Linotype" w:hAnsi="Palatino Linotype"/>
        </w:rPr>
        <w:t xml:space="preserve"> el expediente formado con motivo del recurso de revisión </w:t>
      </w:r>
      <w:r w:rsidR="00780F33" w:rsidRPr="00A51BF6">
        <w:rPr>
          <w:rFonts w:ascii="Palatino Linotype" w:hAnsi="Palatino Linotype"/>
          <w:b/>
        </w:rPr>
        <w:t>04027</w:t>
      </w:r>
      <w:r w:rsidR="00547844" w:rsidRPr="00A51BF6">
        <w:rPr>
          <w:rFonts w:ascii="Palatino Linotype" w:hAnsi="Palatino Linotype"/>
          <w:b/>
        </w:rPr>
        <w:t>/INFOEM/IP/RR/201</w:t>
      </w:r>
      <w:r w:rsidR="00B82526" w:rsidRPr="00A51BF6">
        <w:rPr>
          <w:rFonts w:ascii="Palatino Linotype" w:hAnsi="Palatino Linotype"/>
          <w:b/>
        </w:rPr>
        <w:t>9</w:t>
      </w:r>
      <w:r w:rsidRPr="00A51BF6">
        <w:rPr>
          <w:rFonts w:ascii="Palatino Linotype" w:hAnsi="Palatino Linotype"/>
        </w:rPr>
        <w:t xml:space="preserve">, promovido por </w:t>
      </w:r>
      <w:r w:rsidR="00547844" w:rsidRPr="00A51BF6">
        <w:rPr>
          <w:rFonts w:ascii="Palatino Linotype" w:hAnsi="Palatino Linotype"/>
        </w:rPr>
        <w:t>el</w:t>
      </w:r>
      <w:r w:rsidRPr="00A51BF6">
        <w:rPr>
          <w:rFonts w:ascii="Palatino Linotype" w:hAnsi="Palatino Linotype"/>
        </w:rPr>
        <w:t xml:space="preserve"> </w:t>
      </w:r>
      <w:r w:rsidRPr="00A51BF6">
        <w:rPr>
          <w:rFonts w:ascii="Palatino Linotype" w:hAnsi="Palatino Linotype"/>
          <w:b/>
        </w:rPr>
        <w:t>C.</w:t>
      </w:r>
      <w:r w:rsidRPr="00A51BF6">
        <w:rPr>
          <w:rFonts w:ascii="Palatino Linotype" w:hAnsi="Palatino Linotype"/>
        </w:rPr>
        <w:t xml:space="preserve"> </w:t>
      </w:r>
      <w:r w:rsidR="008827B3" w:rsidRPr="008827B3">
        <w:rPr>
          <w:rFonts w:ascii="Palatino Linotype" w:hAnsi="Palatino Linotype"/>
          <w:b/>
          <w:lang w:val="es-ES_tradnl"/>
        </w:rPr>
        <w:t>XXXXX XXXXXXXX XXXXX</w:t>
      </w:r>
      <w:r w:rsidRPr="008827B3">
        <w:rPr>
          <w:rFonts w:ascii="Palatino Linotype" w:hAnsi="Palatino Linotype"/>
        </w:rPr>
        <w:t>, en</w:t>
      </w:r>
      <w:r w:rsidRPr="00A51BF6">
        <w:rPr>
          <w:rFonts w:ascii="Palatino Linotype" w:hAnsi="Palatino Linotype"/>
        </w:rPr>
        <w:t xml:space="preserve"> lo sucesivo </w:t>
      </w:r>
      <w:r w:rsidR="002B6C6F" w:rsidRPr="00A51BF6">
        <w:rPr>
          <w:rFonts w:ascii="Palatino Linotype" w:hAnsi="Palatino Linotype"/>
          <w:b/>
        </w:rPr>
        <w:t>EL RECURRENTE</w:t>
      </w:r>
      <w:r w:rsidRPr="00A51BF6">
        <w:rPr>
          <w:rFonts w:ascii="Palatino Linotype" w:hAnsi="Palatino Linotype"/>
          <w:b/>
        </w:rPr>
        <w:t>,</w:t>
      </w:r>
      <w:r w:rsidRPr="00A51BF6">
        <w:rPr>
          <w:rFonts w:ascii="Palatino Linotype" w:hAnsi="Palatino Linotype"/>
        </w:rPr>
        <w:t xml:space="preserve"> en contra de la respuesta emitida por </w:t>
      </w:r>
      <w:r w:rsidR="00C4501B" w:rsidRPr="00A51BF6">
        <w:rPr>
          <w:rFonts w:ascii="Palatino Linotype" w:hAnsi="Palatino Linotype"/>
        </w:rPr>
        <w:t>el</w:t>
      </w:r>
      <w:r w:rsidRPr="00A51BF6">
        <w:rPr>
          <w:rFonts w:ascii="Palatino Linotype" w:hAnsi="Palatino Linotype"/>
          <w:b/>
        </w:rPr>
        <w:t xml:space="preserve"> </w:t>
      </w:r>
      <w:r w:rsidR="00780F33" w:rsidRPr="00A51BF6">
        <w:rPr>
          <w:rFonts w:ascii="Palatino Linotype" w:hAnsi="Palatino Linotype"/>
          <w:b/>
        </w:rPr>
        <w:t xml:space="preserve">Ayuntamiento de Almoloya del </w:t>
      </w:r>
      <w:r w:rsidR="00C05991" w:rsidRPr="00A51BF6">
        <w:rPr>
          <w:rFonts w:ascii="Palatino Linotype" w:hAnsi="Palatino Linotype"/>
          <w:b/>
        </w:rPr>
        <w:t>Río,</w:t>
      </w:r>
      <w:r w:rsidRPr="00A51BF6">
        <w:rPr>
          <w:rFonts w:ascii="Palatino Linotype" w:hAnsi="Palatino Linotype"/>
        </w:rPr>
        <w:t xml:space="preserve"> en lo sucesi</w:t>
      </w:r>
      <w:bookmarkStart w:id="0" w:name="_GoBack"/>
      <w:bookmarkEnd w:id="0"/>
      <w:r w:rsidRPr="00A51BF6">
        <w:rPr>
          <w:rFonts w:ascii="Palatino Linotype" w:hAnsi="Palatino Linotype"/>
        </w:rPr>
        <w:t xml:space="preserve">vo </w:t>
      </w:r>
      <w:r w:rsidRPr="00A51BF6">
        <w:rPr>
          <w:rFonts w:ascii="Palatino Linotype" w:hAnsi="Palatino Linotype"/>
          <w:b/>
        </w:rPr>
        <w:t>EL SUJETO OBLIGADO</w:t>
      </w:r>
      <w:r w:rsidRPr="00A51BF6">
        <w:rPr>
          <w:rFonts w:ascii="Palatino Linotype" w:hAnsi="Palatino Linotype"/>
        </w:rPr>
        <w:t xml:space="preserve">, se procede a dictar la presente resolución con base en lo </w:t>
      </w:r>
      <w:r w:rsidR="00C657A8" w:rsidRPr="00A51BF6">
        <w:rPr>
          <w:rFonts w:ascii="Palatino Linotype" w:hAnsi="Palatino Linotype"/>
        </w:rPr>
        <w:t>que se expone</w:t>
      </w:r>
      <w:r w:rsidRPr="00A51BF6">
        <w:rPr>
          <w:rFonts w:ascii="Palatino Linotype" w:hAnsi="Palatino Linotype"/>
        </w:rPr>
        <w:t xml:space="preserve">: </w:t>
      </w:r>
    </w:p>
    <w:p w:rsidR="00651BF4" w:rsidRPr="00A51BF6" w:rsidRDefault="00651BF4" w:rsidP="00C05991">
      <w:pPr>
        <w:spacing w:before="100" w:beforeAutospacing="1" w:after="100" w:afterAutospacing="1" w:line="360" w:lineRule="auto"/>
        <w:jc w:val="center"/>
        <w:rPr>
          <w:rFonts w:ascii="Palatino Linotype" w:hAnsi="Palatino Linotype"/>
          <w:b/>
          <w:bCs/>
          <w:spacing w:val="60"/>
          <w:sz w:val="28"/>
        </w:rPr>
      </w:pPr>
      <w:r w:rsidRPr="00A51BF6">
        <w:rPr>
          <w:rFonts w:ascii="Palatino Linotype" w:hAnsi="Palatino Linotype"/>
          <w:b/>
          <w:bCs/>
          <w:spacing w:val="60"/>
          <w:sz w:val="28"/>
        </w:rPr>
        <w:t>RESULTANDO</w:t>
      </w:r>
    </w:p>
    <w:p w:rsidR="00651BF4" w:rsidRPr="00A51BF6" w:rsidRDefault="00C05991"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b/>
          <w:sz w:val="28"/>
          <w:szCs w:val="28"/>
        </w:rPr>
        <w:t>I.</w:t>
      </w:r>
      <w:r w:rsidRPr="00A51BF6">
        <w:rPr>
          <w:rFonts w:ascii="Palatino Linotype" w:hAnsi="Palatino Linotype"/>
        </w:rPr>
        <w:t xml:space="preserve"> </w:t>
      </w:r>
      <w:r w:rsidR="00651BF4" w:rsidRPr="00A51BF6">
        <w:rPr>
          <w:rFonts w:ascii="Palatino Linotype" w:hAnsi="Palatino Linotype"/>
        </w:rPr>
        <w:t xml:space="preserve">En fecha </w:t>
      </w:r>
      <w:r w:rsidRPr="00A51BF6">
        <w:rPr>
          <w:rFonts w:ascii="Palatino Linotype" w:hAnsi="Palatino Linotype"/>
        </w:rPr>
        <w:t>veintitrés</w:t>
      </w:r>
      <w:r w:rsidR="00A4689B" w:rsidRPr="00A51BF6">
        <w:rPr>
          <w:rFonts w:ascii="Palatino Linotype" w:hAnsi="Palatino Linotype"/>
        </w:rPr>
        <w:t xml:space="preserve"> de abril de dos mil diecinueve</w:t>
      </w:r>
      <w:r w:rsidR="00651BF4" w:rsidRPr="00A51BF6">
        <w:rPr>
          <w:rFonts w:ascii="Palatino Linotype" w:hAnsi="Palatino Linotype"/>
        </w:rPr>
        <w:t xml:space="preserve">, </w:t>
      </w:r>
      <w:r w:rsidR="002B6C6F" w:rsidRPr="00A51BF6">
        <w:rPr>
          <w:rFonts w:ascii="Palatino Linotype" w:hAnsi="Palatino Linotype"/>
          <w:b/>
        </w:rPr>
        <w:t>EL RECURRENTE</w:t>
      </w:r>
      <w:r w:rsidR="00651BF4" w:rsidRPr="00A51BF6">
        <w:rPr>
          <w:rFonts w:ascii="Palatino Linotype" w:hAnsi="Palatino Linotype"/>
        </w:rPr>
        <w:t xml:space="preserve"> presentó a través </w:t>
      </w:r>
      <w:r w:rsidR="00C53E3F" w:rsidRPr="00A51BF6">
        <w:rPr>
          <w:rFonts w:ascii="Palatino Linotype" w:hAnsi="Palatino Linotype"/>
        </w:rPr>
        <w:t xml:space="preserve">presentó a través de la Plataforma Nacional de Transparencia y se registró mediante </w:t>
      </w:r>
      <w:r w:rsidR="00651BF4" w:rsidRPr="00A51BF6">
        <w:rPr>
          <w:rFonts w:ascii="Palatino Linotype" w:hAnsi="Palatino Linotype"/>
        </w:rPr>
        <w:t xml:space="preserve">el Sistema de </w:t>
      </w:r>
      <w:r w:rsidR="00651BF4" w:rsidRPr="00A51BF6">
        <w:rPr>
          <w:rFonts w:ascii="Palatino Linotype" w:hAnsi="Palatino Linotype" w:cs="Arial"/>
        </w:rPr>
        <w:t>Acceso</w:t>
      </w:r>
      <w:r w:rsidR="00651BF4" w:rsidRPr="00A51BF6">
        <w:rPr>
          <w:rFonts w:ascii="Palatino Linotype" w:hAnsi="Palatino Linotype"/>
        </w:rPr>
        <w:t xml:space="preserve"> a la Información Mexiquense, en lo subsecuente </w:t>
      </w:r>
      <w:r w:rsidR="00651BF4" w:rsidRPr="00A51BF6">
        <w:rPr>
          <w:rFonts w:ascii="Palatino Linotype" w:hAnsi="Palatino Linotype"/>
          <w:b/>
        </w:rPr>
        <w:t>EL SAIMEX</w:t>
      </w:r>
      <w:r w:rsidR="00651BF4" w:rsidRPr="00A51BF6">
        <w:rPr>
          <w:rFonts w:ascii="Palatino Linotype" w:hAnsi="Palatino Linotype"/>
        </w:rPr>
        <w:t xml:space="preserve">, ante </w:t>
      </w:r>
      <w:r w:rsidR="00651BF4" w:rsidRPr="00A51BF6">
        <w:rPr>
          <w:rFonts w:ascii="Palatino Linotype" w:hAnsi="Palatino Linotype"/>
          <w:b/>
        </w:rPr>
        <w:t>EL SUJETO OBLIGADO</w:t>
      </w:r>
      <w:r w:rsidR="00651BF4" w:rsidRPr="00A51BF6">
        <w:rPr>
          <w:rFonts w:ascii="Palatino Linotype" w:hAnsi="Palatino Linotype"/>
        </w:rPr>
        <w:t xml:space="preserve">, la solicitud de acceso a información pública, a la que se le asignó el número </w:t>
      </w:r>
      <w:r w:rsidR="006B0E18" w:rsidRPr="00A51BF6">
        <w:rPr>
          <w:rFonts w:ascii="Palatino Linotype" w:hAnsi="Palatino Linotype"/>
          <w:b/>
          <w:bCs/>
        </w:rPr>
        <w:t>00045/ALMORI</w:t>
      </w:r>
      <w:r w:rsidR="00A4689B" w:rsidRPr="00A51BF6">
        <w:rPr>
          <w:rFonts w:ascii="Palatino Linotype" w:hAnsi="Palatino Linotype"/>
          <w:b/>
          <w:bCs/>
        </w:rPr>
        <w:t>/IP/2019</w:t>
      </w:r>
      <w:r w:rsidR="002E3B36" w:rsidRPr="00A51BF6">
        <w:rPr>
          <w:rFonts w:ascii="Palatino Linotype" w:hAnsi="Palatino Linotype"/>
          <w:b/>
          <w:bCs/>
        </w:rPr>
        <w:t>,</w:t>
      </w:r>
      <w:r w:rsidR="00651BF4" w:rsidRPr="00A51BF6">
        <w:rPr>
          <w:rFonts w:ascii="Palatino Linotype" w:hAnsi="Palatino Linotype"/>
        </w:rPr>
        <w:t xml:space="preserve"> mediante la cual solicitó, lo </w:t>
      </w:r>
      <w:r w:rsidR="00651BF4" w:rsidRPr="00A51BF6">
        <w:rPr>
          <w:rFonts w:ascii="Palatino Linotype" w:hAnsi="Palatino Linotype" w:cs="Arial"/>
        </w:rPr>
        <w:t>siguiente</w:t>
      </w:r>
      <w:r w:rsidR="00651BF4" w:rsidRPr="00A51BF6">
        <w:rPr>
          <w:rFonts w:ascii="Palatino Linotype" w:hAnsi="Palatino Linotype"/>
        </w:rPr>
        <w:t>:</w:t>
      </w:r>
    </w:p>
    <w:p w:rsidR="00651BF4" w:rsidRPr="00A51BF6" w:rsidRDefault="00651BF4" w:rsidP="00C05991">
      <w:pPr>
        <w:pStyle w:val="Prrafodelista"/>
        <w:spacing w:before="100" w:beforeAutospacing="1" w:after="100" w:afterAutospacing="1" w:line="360" w:lineRule="auto"/>
        <w:ind w:left="709" w:right="757"/>
        <w:jc w:val="both"/>
        <w:rPr>
          <w:rFonts w:ascii="Palatino Linotype" w:hAnsi="Palatino Linotype"/>
          <w:i/>
          <w:sz w:val="22"/>
        </w:rPr>
      </w:pPr>
      <w:r w:rsidRPr="00A51BF6">
        <w:rPr>
          <w:rFonts w:ascii="Palatino Linotype" w:hAnsi="Palatino Linotype"/>
          <w:i/>
          <w:sz w:val="22"/>
        </w:rPr>
        <w:t>“</w:t>
      </w:r>
      <w:r w:rsidR="00432193" w:rsidRPr="00A51BF6">
        <w:rPr>
          <w:rFonts w:ascii="Palatino Linotype" w:hAnsi="Palatino Linotype"/>
          <w:i/>
          <w:sz w:val="22"/>
        </w:rPr>
        <w:t>se adjunta solicitud de nombre ALUMBRADO PÚBLICO.docx</w:t>
      </w:r>
      <w:r w:rsidRPr="00A51BF6">
        <w:rPr>
          <w:rFonts w:ascii="Palatino Linotype" w:hAnsi="Palatino Linotype"/>
          <w:i/>
          <w:sz w:val="22"/>
        </w:rPr>
        <w:t>” (Sic)</w:t>
      </w:r>
    </w:p>
    <w:p w:rsidR="00F75D28" w:rsidRPr="00A51BF6" w:rsidRDefault="00A51BF6" w:rsidP="00C05991">
      <w:pPr>
        <w:pStyle w:val="Prrafodelista"/>
        <w:spacing w:before="100" w:beforeAutospacing="1" w:after="100" w:afterAutospacing="1" w:line="360" w:lineRule="auto"/>
        <w:ind w:left="0"/>
        <w:jc w:val="both"/>
        <w:rPr>
          <w:rFonts w:ascii="Palatino Linotype" w:hAnsi="Palatino Linotype"/>
        </w:rPr>
      </w:pPr>
      <w:r w:rsidRPr="00A51BF6">
        <w:rPr>
          <w:rFonts w:ascii="Palatino Linotype" w:hAnsi="Palatino Linotype"/>
          <w:noProof/>
          <w:lang w:eastAsia="es-MX"/>
        </w:rPr>
        <mc:AlternateContent>
          <mc:Choice Requires="wps">
            <w:drawing>
              <wp:anchor distT="0" distB="0" distL="114300" distR="114300" simplePos="0" relativeHeight="251665408" behindDoc="0" locked="0" layoutInCell="1" allowOverlap="1">
                <wp:simplePos x="0" y="0"/>
                <wp:positionH relativeFrom="column">
                  <wp:posOffset>12065</wp:posOffset>
                </wp:positionH>
                <wp:positionV relativeFrom="paragraph">
                  <wp:posOffset>525145</wp:posOffset>
                </wp:positionV>
                <wp:extent cx="5740400" cy="1301750"/>
                <wp:effectExtent l="15875" t="12700" r="15875" b="9525"/>
                <wp:wrapNone/>
                <wp:docPr id="4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0400" cy="13017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CFAAA6" id="_x0000_t32" coordsize="21600,21600" o:spt="32" o:oned="t" path="m,l21600,21600e" filled="f">
                <v:path arrowok="t" fillok="f" o:connecttype="none"/>
                <o:lock v:ext="edit" shapetype="t"/>
              </v:shapetype>
              <v:shape id="AutoShape 11" o:spid="_x0000_s1026" type="#_x0000_t32" style="position:absolute;margin-left:.95pt;margin-top:41.35pt;width:452pt;height:1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" strokeweight="1.5pt"/>
            </w:pict>
          </mc:Fallback>
        </mc:AlternateContent>
      </w:r>
      <w:r w:rsidR="00FD29D5" w:rsidRPr="00A51BF6">
        <w:rPr>
          <w:rFonts w:ascii="Palatino Linotype" w:hAnsi="Palatino Linotype"/>
        </w:rPr>
        <w:t xml:space="preserve">Asimismo, </w:t>
      </w:r>
      <w:r w:rsidR="00FD29D5" w:rsidRPr="00A51BF6">
        <w:rPr>
          <w:rFonts w:ascii="Palatino Linotype" w:hAnsi="Palatino Linotype"/>
          <w:b/>
        </w:rPr>
        <w:t>EL RECURRENTE</w:t>
      </w:r>
      <w:r w:rsidR="00FD29D5" w:rsidRPr="00A51BF6">
        <w:rPr>
          <w:rFonts w:ascii="Palatino Linotype" w:hAnsi="Palatino Linotype"/>
        </w:rPr>
        <w:t xml:space="preserve"> adjuntó el archivo electrónico denominado </w:t>
      </w:r>
      <w:r w:rsidR="00FD29D5" w:rsidRPr="00A51BF6">
        <w:rPr>
          <w:rFonts w:ascii="Palatino Linotype" w:hAnsi="Palatino Linotype"/>
          <w:b/>
        </w:rPr>
        <w:t>Archivo 1556031992858.docx</w:t>
      </w:r>
      <w:r w:rsidR="00FD29D5" w:rsidRPr="00A51BF6">
        <w:rPr>
          <w:rFonts w:ascii="Palatino Linotype" w:hAnsi="Palatino Linotype"/>
        </w:rPr>
        <w:t xml:space="preserve"> mismo que contenia lo que se inserta</w:t>
      </w:r>
      <w:r w:rsidR="00C05991" w:rsidRPr="00A51BF6">
        <w:rPr>
          <w:rFonts w:ascii="Palatino Linotype" w:hAnsi="Palatino Linotype"/>
        </w:rPr>
        <w:t xml:space="preserve"> a continuación</w:t>
      </w:r>
      <w:r w:rsidR="00FD29D5" w:rsidRPr="00A51BF6">
        <w:rPr>
          <w:rFonts w:ascii="Palatino Linotype" w:hAnsi="Palatino Linotype"/>
        </w:rPr>
        <w:t>:</w:t>
      </w:r>
    </w:p>
    <w:p w:rsidR="00F64FF9" w:rsidRPr="00A51BF6" w:rsidRDefault="00CB3D55"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noProof/>
          <w:lang w:eastAsia="es-MX"/>
        </w:rPr>
        <w:lastRenderedPageBreak/>
        <w:drawing>
          <wp:inline distT="0" distB="0" distL="0" distR="0">
            <wp:extent cx="5732145" cy="4311650"/>
            <wp:effectExtent l="0" t="0" r="0" b="0"/>
            <wp:docPr id="3" name="Imagen 2" descr="Captura de pantalla 2019-08-01 a las 10.5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8.03.png"/>
                    <pic:cNvPicPr/>
                  </pic:nvPicPr>
                  <pic:blipFill>
                    <a:blip r:embed="rId8"/>
                    <a:srcRect l="27128" t="23917" r="26575" b="20374"/>
                    <a:stretch>
                      <a:fillRect/>
                    </a:stretch>
                  </pic:blipFill>
                  <pic:spPr>
                    <a:xfrm>
                      <a:off x="0" y="0"/>
                      <a:ext cx="5739634" cy="4317283"/>
                    </a:xfrm>
                    <a:prstGeom prst="rect">
                      <a:avLst/>
                    </a:prstGeom>
                  </pic:spPr>
                </pic:pic>
              </a:graphicData>
            </a:graphic>
          </wp:inline>
        </w:drawing>
      </w:r>
    </w:p>
    <w:p w:rsidR="00C46A48" w:rsidRPr="00A51BF6" w:rsidRDefault="00CC1861"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noProof/>
          <w:lang w:eastAsia="es-MX"/>
        </w:rPr>
        <w:drawing>
          <wp:inline distT="0" distB="0" distL="0" distR="0">
            <wp:extent cx="5795979" cy="3244146"/>
            <wp:effectExtent l="25400" t="0" r="0" b="0"/>
            <wp:docPr id="8" name="Imagen 3" descr="Captura de pantalla 2019-08-01 a las 10.5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8.15.png"/>
                    <pic:cNvPicPr/>
                  </pic:nvPicPr>
                  <pic:blipFill>
                    <a:blip r:embed="rId9"/>
                    <a:srcRect l="27128" t="26575" r="26575" b="36319"/>
                    <a:stretch>
                      <a:fillRect/>
                    </a:stretch>
                  </pic:blipFill>
                  <pic:spPr>
                    <a:xfrm>
                      <a:off x="0" y="0"/>
                      <a:ext cx="5791835" cy="3241827"/>
                    </a:xfrm>
                    <a:prstGeom prst="rect">
                      <a:avLst/>
                    </a:prstGeom>
                  </pic:spPr>
                </pic:pic>
              </a:graphicData>
            </a:graphic>
          </wp:inline>
        </w:drawing>
      </w:r>
    </w:p>
    <w:p w:rsidR="00CC1861" w:rsidRPr="00A51BF6" w:rsidRDefault="00C46A48"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noProof/>
          <w:lang w:eastAsia="es-MX"/>
        </w:rPr>
        <w:lastRenderedPageBreak/>
        <w:drawing>
          <wp:inline distT="0" distB="0" distL="0" distR="0">
            <wp:extent cx="5799455" cy="3943350"/>
            <wp:effectExtent l="0" t="0" r="0" b="0"/>
            <wp:docPr id="7" name="Imagen 6" descr="Captura de pantalla 2019-08-01 a las 10.5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8.42.png"/>
                    <pic:cNvPicPr/>
                  </pic:nvPicPr>
                  <pic:blipFill>
                    <a:blip r:embed="rId10"/>
                    <a:srcRect l="27682" t="23917" r="26575" b="34547"/>
                    <a:stretch>
                      <a:fillRect/>
                    </a:stretch>
                  </pic:blipFill>
                  <pic:spPr>
                    <a:xfrm>
                      <a:off x="0" y="0"/>
                      <a:ext cx="5818648" cy="3956400"/>
                    </a:xfrm>
                    <a:prstGeom prst="rect">
                      <a:avLst/>
                    </a:prstGeom>
                  </pic:spPr>
                </pic:pic>
              </a:graphicData>
            </a:graphic>
          </wp:inline>
        </w:drawing>
      </w:r>
    </w:p>
    <w:p w:rsidR="00CC1861" w:rsidRPr="00A51BF6" w:rsidRDefault="00CC1861"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noProof/>
          <w:lang w:eastAsia="es-MX"/>
        </w:rPr>
        <w:drawing>
          <wp:inline distT="0" distB="0" distL="0" distR="0">
            <wp:extent cx="5791734" cy="3295650"/>
            <wp:effectExtent l="0" t="0" r="0" b="0"/>
            <wp:docPr id="10" name="Imagen 8" descr="Captura de pantalla 2019-08-01 a las 10.5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8.50.png"/>
                    <pic:cNvPicPr/>
                  </pic:nvPicPr>
                  <pic:blipFill>
                    <a:blip r:embed="rId11"/>
                    <a:srcRect l="27128" t="24803" r="26575" b="39862"/>
                    <a:stretch>
                      <a:fillRect/>
                    </a:stretch>
                  </pic:blipFill>
                  <pic:spPr>
                    <a:xfrm>
                      <a:off x="0" y="0"/>
                      <a:ext cx="5801456" cy="3301182"/>
                    </a:xfrm>
                    <a:prstGeom prst="rect">
                      <a:avLst/>
                    </a:prstGeom>
                  </pic:spPr>
                </pic:pic>
              </a:graphicData>
            </a:graphic>
          </wp:inline>
        </w:drawing>
      </w:r>
    </w:p>
    <w:p w:rsidR="001C4362" w:rsidRPr="00A51BF6" w:rsidRDefault="007A3A62"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noProof/>
          <w:lang w:eastAsia="es-MX"/>
        </w:rPr>
        <w:lastRenderedPageBreak/>
        <w:drawing>
          <wp:inline distT="0" distB="0" distL="0" distR="0">
            <wp:extent cx="5790565" cy="1676400"/>
            <wp:effectExtent l="0" t="0" r="635" b="0"/>
            <wp:docPr id="17" name="Imagen 11" descr="Captura de pantalla 2019-08-01 a las 10.5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9.11.png"/>
                    <pic:cNvPicPr/>
                  </pic:nvPicPr>
                  <pic:blipFill rotWithShape="1">
                    <a:blip r:embed="rId12"/>
                    <a:srcRect l="27128" t="59350" r="26575" b="25247"/>
                    <a:stretch/>
                  </pic:blipFill>
                  <pic:spPr bwMode="auto">
                    <a:xfrm>
                      <a:off x="0" y="0"/>
                      <a:ext cx="5791848" cy="1676771"/>
                    </a:xfrm>
                    <a:prstGeom prst="rect">
                      <a:avLst/>
                    </a:prstGeom>
                    <a:ln>
                      <a:noFill/>
                    </a:ln>
                    <a:extLst>
                      <a:ext uri="{53640926-AAD7-44D8-BBD7-CCE9431645EC}">
                        <a14:shadowObscured xmlns:a14="http://schemas.microsoft.com/office/drawing/2010/main"/>
                      </a:ext>
                    </a:extLst>
                  </pic:spPr>
                </pic:pic>
              </a:graphicData>
            </a:graphic>
          </wp:inline>
        </w:drawing>
      </w:r>
    </w:p>
    <w:p w:rsidR="007A3A62" w:rsidRPr="00A51BF6" w:rsidRDefault="007A3A62" w:rsidP="00C05991">
      <w:pPr>
        <w:pStyle w:val="Prrafodelista"/>
        <w:spacing w:before="100" w:beforeAutospacing="1" w:after="100" w:afterAutospacing="1" w:line="360" w:lineRule="auto"/>
        <w:ind w:left="0"/>
        <w:jc w:val="both"/>
        <w:rPr>
          <w:rFonts w:ascii="Palatino Linotype" w:hAnsi="Palatino Linotype" w:cs="Arial"/>
          <w:color w:val="FF0000"/>
        </w:rPr>
      </w:pPr>
      <w:r w:rsidRPr="00A51BF6">
        <w:rPr>
          <w:rFonts w:ascii="Palatino Linotype" w:hAnsi="Palatino Linotype" w:cs="Arial"/>
          <w:noProof/>
          <w:color w:val="FF0000"/>
          <w:lang w:eastAsia="es-MX"/>
        </w:rPr>
        <w:drawing>
          <wp:inline distT="0" distB="0" distL="0" distR="0">
            <wp:extent cx="5234940" cy="5476875"/>
            <wp:effectExtent l="0" t="0" r="3810" b="9525"/>
            <wp:docPr id="19" name="Imagen 17" descr="Captura de pantalla 2019-08-01 a las 10.5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9.30.png"/>
                    <pic:cNvPicPr/>
                  </pic:nvPicPr>
                  <pic:blipFill>
                    <a:blip r:embed="rId13"/>
                    <a:srcRect l="27128" t="24803" r="26575" b="21260"/>
                    <a:stretch>
                      <a:fillRect/>
                    </a:stretch>
                  </pic:blipFill>
                  <pic:spPr>
                    <a:xfrm>
                      <a:off x="0" y="0"/>
                      <a:ext cx="5246916" cy="5489404"/>
                    </a:xfrm>
                    <a:prstGeom prst="rect">
                      <a:avLst/>
                    </a:prstGeom>
                  </pic:spPr>
                </pic:pic>
              </a:graphicData>
            </a:graphic>
          </wp:inline>
        </w:drawing>
      </w:r>
    </w:p>
    <w:p w:rsidR="001A6F9D" w:rsidRPr="00A51BF6" w:rsidRDefault="008C17B8" w:rsidP="00C53E3F">
      <w:pPr>
        <w:pStyle w:val="Prrafodelista"/>
        <w:spacing w:before="100" w:beforeAutospacing="1" w:after="100" w:afterAutospacing="1" w:line="360" w:lineRule="auto"/>
        <w:ind w:left="0"/>
        <w:jc w:val="center"/>
        <w:rPr>
          <w:rFonts w:ascii="Palatino Linotype" w:hAnsi="Palatino Linotype" w:cs="Arial"/>
          <w:color w:val="FF0000"/>
        </w:rPr>
      </w:pPr>
      <w:r w:rsidRPr="00A51BF6">
        <w:rPr>
          <w:rFonts w:ascii="Palatino Linotype" w:hAnsi="Palatino Linotype" w:cs="Arial"/>
          <w:noProof/>
          <w:color w:val="FF0000"/>
          <w:lang w:eastAsia="es-MX"/>
        </w:rPr>
        <w:lastRenderedPageBreak/>
        <w:drawing>
          <wp:inline distT="0" distB="0" distL="0" distR="0">
            <wp:extent cx="4641850" cy="3125614"/>
            <wp:effectExtent l="0" t="0" r="0" b="0"/>
            <wp:docPr id="23" name="Imagen 21" descr="Captura de pantalla 2019-08-01 a las 10.5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9.41.png"/>
                    <pic:cNvPicPr/>
                  </pic:nvPicPr>
                  <pic:blipFill>
                    <a:blip r:embed="rId14"/>
                    <a:srcRect l="27128" t="24803" r="26575" b="34547"/>
                    <a:stretch>
                      <a:fillRect/>
                    </a:stretch>
                  </pic:blipFill>
                  <pic:spPr>
                    <a:xfrm>
                      <a:off x="0" y="0"/>
                      <a:ext cx="4657817" cy="3136365"/>
                    </a:xfrm>
                    <a:prstGeom prst="rect">
                      <a:avLst/>
                    </a:prstGeom>
                  </pic:spPr>
                </pic:pic>
              </a:graphicData>
            </a:graphic>
          </wp:inline>
        </w:drawing>
      </w:r>
      <w:r w:rsidR="000D3287" w:rsidRPr="00A51BF6">
        <w:rPr>
          <w:rFonts w:ascii="Palatino Linotype" w:hAnsi="Palatino Linotype" w:cs="Arial"/>
          <w:noProof/>
          <w:color w:val="FF0000"/>
          <w:lang w:eastAsia="es-MX"/>
        </w:rPr>
        <w:drawing>
          <wp:inline distT="0" distB="0" distL="0" distR="0">
            <wp:extent cx="5798466" cy="4432300"/>
            <wp:effectExtent l="0" t="0" r="0" b="0"/>
            <wp:docPr id="33" name="Imagen 23" descr="Captura de pantalla 2019-08-01 a las 10.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59.55.png"/>
                    <pic:cNvPicPr/>
                  </pic:nvPicPr>
                  <pic:blipFill>
                    <a:blip r:embed="rId15"/>
                    <a:srcRect l="27128" t="24803" r="26575" b="19488"/>
                    <a:stretch>
                      <a:fillRect/>
                    </a:stretch>
                  </pic:blipFill>
                  <pic:spPr>
                    <a:xfrm>
                      <a:off x="0" y="0"/>
                      <a:ext cx="5886852" cy="4499862"/>
                    </a:xfrm>
                    <a:prstGeom prst="rect">
                      <a:avLst/>
                    </a:prstGeom>
                  </pic:spPr>
                </pic:pic>
              </a:graphicData>
            </a:graphic>
          </wp:inline>
        </w:drawing>
      </w:r>
      <w:r w:rsidR="000D3287" w:rsidRPr="00A51BF6">
        <w:rPr>
          <w:rFonts w:ascii="Palatino Linotype" w:hAnsi="Palatino Linotype" w:cs="Arial"/>
          <w:noProof/>
          <w:color w:val="FF0000"/>
          <w:lang w:eastAsia="es-MX"/>
        </w:rPr>
        <w:lastRenderedPageBreak/>
        <w:drawing>
          <wp:inline distT="0" distB="0" distL="0" distR="0">
            <wp:extent cx="5206852" cy="3600450"/>
            <wp:effectExtent l="0" t="0" r="0" b="0"/>
            <wp:docPr id="32" name="Imagen 30" descr="Captura de pantalla 2019-08-01 a las 11.3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1.35.52.png"/>
                    <pic:cNvPicPr/>
                  </pic:nvPicPr>
                  <pic:blipFill rotWithShape="1">
                    <a:blip r:embed="rId16"/>
                    <a:srcRect l="33170" t="30118" r="32251" b="31835"/>
                    <a:stretch/>
                  </pic:blipFill>
                  <pic:spPr bwMode="auto">
                    <a:xfrm>
                      <a:off x="0" y="0"/>
                      <a:ext cx="5216572" cy="3607171"/>
                    </a:xfrm>
                    <a:prstGeom prst="rect">
                      <a:avLst/>
                    </a:prstGeom>
                    <a:ln>
                      <a:noFill/>
                    </a:ln>
                    <a:extLst>
                      <a:ext uri="{53640926-AAD7-44D8-BBD7-CCE9431645EC}">
                        <a14:shadowObscured xmlns:a14="http://schemas.microsoft.com/office/drawing/2010/main"/>
                      </a:ext>
                    </a:extLst>
                  </pic:spPr>
                </pic:pic>
              </a:graphicData>
            </a:graphic>
          </wp:inline>
        </w:drawing>
      </w:r>
      <w:r w:rsidR="00A51BF6" w:rsidRPr="00A51BF6">
        <w:rPr>
          <w:rFonts w:ascii="Palatino Linotype" w:hAnsi="Palatino Linotype" w:cs="Arial"/>
          <w:noProof/>
          <w:color w:val="FF0000"/>
          <w:lang w:eastAsia="es-MX"/>
        </w:rPr>
        <mc:AlternateContent>
          <mc:Choice Requires="wps">
            <w:drawing>
              <wp:anchor distT="0" distB="0" distL="114300" distR="114300" simplePos="0" relativeHeight="251666432" behindDoc="0" locked="0" layoutInCell="1" allowOverlap="1">
                <wp:simplePos x="0" y="0"/>
                <wp:positionH relativeFrom="column">
                  <wp:posOffset>304165</wp:posOffset>
                </wp:positionH>
                <wp:positionV relativeFrom="paragraph">
                  <wp:posOffset>4632960</wp:posOffset>
                </wp:positionV>
                <wp:extent cx="5511800" cy="3327400"/>
                <wp:effectExtent l="12700" t="9525" r="9525" b="15875"/>
                <wp:wrapNone/>
                <wp:docPr id="40"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1800" cy="33274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2C2F71" id="AutoShape 12" o:spid="_x0000_s1026" type="#_x0000_t32" style="position:absolute;margin-left:23.95pt;margin-top:364.8pt;width:434pt;height:26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" strokeweight="1.5pt"/>
            </w:pict>
          </mc:Fallback>
        </mc:AlternateContent>
      </w:r>
      <w:r w:rsidR="00747C7F" w:rsidRPr="00A51BF6">
        <w:rPr>
          <w:rFonts w:ascii="Palatino Linotype" w:hAnsi="Palatino Linotype" w:cs="Arial"/>
          <w:noProof/>
          <w:color w:val="FF0000"/>
          <w:lang w:eastAsia="es-MX"/>
        </w:rPr>
        <w:drawing>
          <wp:inline distT="0" distB="0" distL="0" distR="0">
            <wp:extent cx="4049117" cy="889000"/>
            <wp:effectExtent l="0" t="0" r="0" b="0"/>
            <wp:docPr id="34" name="Imagen 33" descr="Captura de pantalla 2019-08-01 a las 11.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1.00.05.png"/>
                    <pic:cNvPicPr/>
                  </pic:nvPicPr>
                  <pic:blipFill rotWithShape="1">
                    <a:blip r:embed="rId17"/>
                    <a:srcRect l="37411" t="76161" r="33060" b="13563"/>
                    <a:stretch/>
                  </pic:blipFill>
                  <pic:spPr bwMode="auto">
                    <a:xfrm>
                      <a:off x="0" y="0"/>
                      <a:ext cx="4055419" cy="890384"/>
                    </a:xfrm>
                    <a:prstGeom prst="rect">
                      <a:avLst/>
                    </a:prstGeom>
                    <a:ln>
                      <a:noFill/>
                    </a:ln>
                    <a:extLst>
                      <a:ext uri="{53640926-AAD7-44D8-BBD7-CCE9431645EC}">
                        <a14:shadowObscured xmlns:a14="http://schemas.microsoft.com/office/drawing/2010/main"/>
                      </a:ext>
                    </a:extLst>
                  </pic:spPr>
                </pic:pic>
              </a:graphicData>
            </a:graphic>
          </wp:inline>
        </w:drawing>
      </w:r>
      <w:r w:rsidR="00B35E99" w:rsidRPr="00A51BF6">
        <w:rPr>
          <w:rFonts w:ascii="Palatino Linotype" w:hAnsi="Palatino Linotype" w:cs="Arial"/>
          <w:noProof/>
          <w:color w:val="FF0000"/>
          <w:lang w:eastAsia="es-MX"/>
        </w:rPr>
        <w:lastRenderedPageBreak/>
        <w:drawing>
          <wp:inline distT="0" distB="0" distL="0" distR="0">
            <wp:extent cx="4648200" cy="6064250"/>
            <wp:effectExtent l="0" t="0" r="0" b="0"/>
            <wp:docPr id="36" name="Imagen 34" descr="Captura de pantalla 2019-08-01 a las 11.0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1.00.18.png"/>
                    <pic:cNvPicPr/>
                  </pic:nvPicPr>
                  <pic:blipFill rotWithShape="1">
                    <a:blip r:embed="rId18"/>
                    <a:srcRect l="33512" t="24803" r="32542" b="12009"/>
                    <a:stretch/>
                  </pic:blipFill>
                  <pic:spPr bwMode="auto">
                    <a:xfrm>
                      <a:off x="0" y="0"/>
                      <a:ext cx="4648349" cy="6064444"/>
                    </a:xfrm>
                    <a:prstGeom prst="rect">
                      <a:avLst/>
                    </a:prstGeom>
                    <a:ln>
                      <a:noFill/>
                    </a:ln>
                    <a:extLst>
                      <a:ext uri="{53640926-AAD7-44D8-BBD7-CCE9431645EC}">
                        <a14:shadowObscured xmlns:a14="http://schemas.microsoft.com/office/drawing/2010/main"/>
                      </a:ext>
                    </a:extLst>
                  </pic:spPr>
                </pic:pic>
              </a:graphicData>
            </a:graphic>
          </wp:inline>
        </w:drawing>
      </w:r>
      <w:r w:rsidR="00727EB1" w:rsidRPr="00A51BF6">
        <w:rPr>
          <w:rFonts w:ascii="Palatino Linotype" w:hAnsi="Palatino Linotype" w:cs="Arial"/>
          <w:noProof/>
          <w:color w:val="FF0000"/>
          <w:lang w:eastAsia="es-MX"/>
        </w:rPr>
        <w:drawing>
          <wp:inline distT="0" distB="0" distL="0" distR="0">
            <wp:extent cx="4150360" cy="1434293"/>
            <wp:effectExtent l="0" t="0" r="0" b="0"/>
            <wp:docPr id="37" name="Imagen 36" descr="Captura de pantalla 2019-08-01 a las 11.0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1.00.26.png"/>
                    <pic:cNvPicPr/>
                  </pic:nvPicPr>
                  <pic:blipFill rotWithShape="1">
                    <a:blip r:embed="rId19"/>
                    <a:srcRect l="33918" t="36319" r="32957" b="49606"/>
                    <a:stretch/>
                  </pic:blipFill>
                  <pic:spPr bwMode="auto">
                    <a:xfrm>
                      <a:off x="0" y="0"/>
                      <a:ext cx="4158222" cy="1437010"/>
                    </a:xfrm>
                    <a:prstGeom prst="rect">
                      <a:avLst/>
                    </a:prstGeom>
                    <a:ln>
                      <a:noFill/>
                    </a:ln>
                    <a:extLst>
                      <a:ext uri="{53640926-AAD7-44D8-BBD7-CCE9431645EC}">
                        <a14:shadowObscured xmlns:a14="http://schemas.microsoft.com/office/drawing/2010/main"/>
                      </a:ext>
                    </a:extLst>
                  </pic:spPr>
                </pic:pic>
              </a:graphicData>
            </a:graphic>
          </wp:inline>
        </w:drawing>
      </w:r>
      <w:r w:rsidR="00DD6397" w:rsidRPr="00A51BF6">
        <w:rPr>
          <w:rFonts w:ascii="Palatino Linotype" w:hAnsi="Palatino Linotype" w:cs="Arial"/>
          <w:noProof/>
          <w:color w:val="FF0000"/>
          <w:lang w:eastAsia="es-MX"/>
        </w:rPr>
        <w:lastRenderedPageBreak/>
        <w:drawing>
          <wp:inline distT="0" distB="0" distL="0" distR="0">
            <wp:extent cx="4527020" cy="4469765"/>
            <wp:effectExtent l="0" t="0" r="0" b="0"/>
            <wp:docPr id="38" name="Imagen 37" descr="Captura de pantalla 2019-08-01 a las 11.0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1.00.38.png"/>
                    <pic:cNvPicPr/>
                  </pic:nvPicPr>
                  <pic:blipFill rotWithShape="1">
                    <a:blip r:embed="rId20"/>
                    <a:srcRect l="33107" t="28346" r="32237" b="27461"/>
                    <a:stretch/>
                  </pic:blipFill>
                  <pic:spPr bwMode="auto">
                    <a:xfrm>
                      <a:off x="0" y="0"/>
                      <a:ext cx="4531159" cy="4473852"/>
                    </a:xfrm>
                    <a:prstGeom prst="rect">
                      <a:avLst/>
                    </a:prstGeom>
                    <a:ln>
                      <a:noFill/>
                    </a:ln>
                    <a:extLst>
                      <a:ext uri="{53640926-AAD7-44D8-BBD7-CCE9431645EC}">
                        <a14:shadowObscured xmlns:a14="http://schemas.microsoft.com/office/drawing/2010/main"/>
                      </a:ext>
                    </a:extLst>
                  </pic:spPr>
                </pic:pic>
              </a:graphicData>
            </a:graphic>
          </wp:inline>
        </w:drawing>
      </w:r>
    </w:p>
    <w:p w:rsidR="00C05991" w:rsidRPr="00A51BF6" w:rsidRDefault="00C05991"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rPr>
        <w:t>Modalidad de entrega:</w:t>
      </w:r>
      <w:r w:rsidRPr="00A51BF6">
        <w:rPr>
          <w:rFonts w:ascii="Palatino Linotype" w:hAnsi="Palatino Linotype" w:cs="Arial"/>
        </w:rPr>
        <w:t xml:space="preserve"> Vía correo electrónico personal.</w:t>
      </w:r>
    </w:p>
    <w:p w:rsidR="00CF7E1C" w:rsidRPr="00A51BF6" w:rsidRDefault="00C05991"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sz w:val="28"/>
          <w:szCs w:val="28"/>
        </w:rPr>
        <w:t>II.</w:t>
      </w:r>
      <w:r w:rsidRPr="00A51BF6">
        <w:rPr>
          <w:rFonts w:ascii="Palatino Linotype" w:hAnsi="Palatino Linotype" w:cs="Arial"/>
        </w:rPr>
        <w:t xml:space="preserve"> </w:t>
      </w:r>
      <w:r w:rsidR="00651BF4" w:rsidRPr="00A51BF6">
        <w:rPr>
          <w:rFonts w:ascii="Palatino Linotype" w:hAnsi="Palatino Linotype" w:cs="Arial"/>
        </w:rPr>
        <w:t xml:space="preserve">De las constancias que obran en el expediente electrónico, se puede verificar </w:t>
      </w:r>
      <w:r w:rsidR="00651BF4" w:rsidRPr="00A51BF6">
        <w:rPr>
          <w:rFonts w:ascii="Palatino Linotype" w:hAnsi="Palatino Linotype"/>
        </w:rPr>
        <w:t>que</w:t>
      </w:r>
      <w:r w:rsidR="00651BF4" w:rsidRPr="00A51BF6">
        <w:rPr>
          <w:rFonts w:ascii="Palatino Linotype" w:hAnsi="Palatino Linotype" w:cs="Arial"/>
        </w:rPr>
        <w:t xml:space="preserve"> en fecha </w:t>
      </w:r>
      <w:r w:rsidR="00D41721" w:rsidRPr="00A51BF6">
        <w:rPr>
          <w:rFonts w:ascii="Palatino Linotype" w:hAnsi="Palatino Linotype" w:cs="Arial"/>
        </w:rPr>
        <w:t>nueve</w:t>
      </w:r>
      <w:r w:rsidR="00F64FF9" w:rsidRPr="00A51BF6">
        <w:rPr>
          <w:rFonts w:ascii="Palatino Linotype" w:hAnsi="Palatino Linotype" w:cs="Arial"/>
        </w:rPr>
        <w:t xml:space="preserve"> de mayo</w:t>
      </w:r>
      <w:r w:rsidR="000429F0" w:rsidRPr="00A51BF6">
        <w:rPr>
          <w:rFonts w:ascii="Palatino Linotype" w:hAnsi="Palatino Linotype" w:cs="Arial"/>
        </w:rPr>
        <w:t xml:space="preserve"> </w:t>
      </w:r>
      <w:r w:rsidR="00990BD2" w:rsidRPr="00A51BF6">
        <w:rPr>
          <w:rFonts w:ascii="Palatino Linotype" w:hAnsi="Palatino Linotype" w:cs="Arial"/>
        </w:rPr>
        <w:t>de dos mil diecinueve</w:t>
      </w:r>
      <w:r w:rsidR="00651BF4" w:rsidRPr="00A51BF6">
        <w:rPr>
          <w:rFonts w:ascii="Palatino Linotype" w:hAnsi="Palatino Linotype"/>
        </w:rPr>
        <w:t>,</w:t>
      </w:r>
      <w:r w:rsidR="00651BF4" w:rsidRPr="00A51BF6">
        <w:rPr>
          <w:rFonts w:ascii="Palatino Linotype" w:hAnsi="Palatino Linotype" w:cs="Arial"/>
        </w:rPr>
        <w:t xml:space="preserve"> </w:t>
      </w:r>
      <w:r w:rsidR="00651BF4" w:rsidRPr="00A51BF6">
        <w:rPr>
          <w:rFonts w:ascii="Palatino Linotype" w:hAnsi="Palatino Linotype" w:cs="Arial"/>
          <w:b/>
        </w:rPr>
        <w:t>EL SUJETO OBLIGADO</w:t>
      </w:r>
      <w:r w:rsidR="00651BF4" w:rsidRPr="00A51BF6">
        <w:rPr>
          <w:rFonts w:ascii="Palatino Linotype" w:hAnsi="Palatino Linotype" w:cs="Arial"/>
        </w:rPr>
        <w:t xml:space="preserve"> dio respuesta a la solicitud de acceso a la información pública requerida por </w:t>
      </w:r>
      <w:r w:rsidR="002B6C6F" w:rsidRPr="00A51BF6">
        <w:rPr>
          <w:rFonts w:ascii="Palatino Linotype" w:hAnsi="Palatino Linotype" w:cs="Arial"/>
          <w:b/>
        </w:rPr>
        <w:t>EL RECURRENTE</w:t>
      </w:r>
      <w:r w:rsidR="00651BF4" w:rsidRPr="00A51BF6">
        <w:rPr>
          <w:rFonts w:ascii="Palatino Linotype" w:hAnsi="Palatino Linotype" w:cs="Arial"/>
        </w:rPr>
        <w:t xml:space="preserve">, en </w:t>
      </w:r>
      <w:r w:rsidRPr="00A51BF6">
        <w:rPr>
          <w:rFonts w:ascii="Palatino Linotype" w:hAnsi="Palatino Linotype" w:cs="Arial"/>
        </w:rPr>
        <w:t>lo</w:t>
      </w:r>
      <w:r w:rsidR="00630DC9" w:rsidRPr="00A51BF6">
        <w:rPr>
          <w:rFonts w:ascii="Palatino Linotype" w:hAnsi="Palatino Linotype" w:cs="Arial"/>
        </w:rPr>
        <w:t>s</w:t>
      </w:r>
      <w:r w:rsidR="00651BF4" w:rsidRPr="00A51BF6">
        <w:rPr>
          <w:rFonts w:ascii="Palatino Linotype" w:hAnsi="Palatino Linotype" w:cs="Arial"/>
        </w:rPr>
        <w:t xml:space="preserve"> términos</w:t>
      </w:r>
      <w:r w:rsidRPr="00A51BF6">
        <w:rPr>
          <w:rFonts w:ascii="Palatino Linotype" w:hAnsi="Palatino Linotype" w:cs="Arial"/>
        </w:rPr>
        <w:t xml:space="preserve"> siguientes</w:t>
      </w:r>
      <w:r w:rsidR="00651BF4" w:rsidRPr="00A51BF6">
        <w:rPr>
          <w:rFonts w:ascii="Palatino Linotype" w:hAnsi="Palatino Linotype" w:cs="Arial"/>
        </w:rPr>
        <w:t>:</w:t>
      </w:r>
    </w:p>
    <w:p w:rsidR="00F41225" w:rsidRPr="00A51BF6" w:rsidRDefault="00D41721" w:rsidP="00C05991">
      <w:pPr>
        <w:pStyle w:val="Prrafodelista"/>
        <w:spacing w:before="100" w:beforeAutospacing="1" w:after="100" w:afterAutospacing="1" w:line="360" w:lineRule="auto"/>
        <w:ind w:left="709" w:right="757"/>
        <w:jc w:val="both"/>
        <w:rPr>
          <w:rFonts w:ascii="Palatino Linotype" w:hAnsi="Palatino Linotype"/>
          <w:i/>
          <w:sz w:val="22"/>
        </w:rPr>
      </w:pPr>
      <w:r w:rsidRPr="00A51BF6">
        <w:rPr>
          <w:rFonts w:ascii="Palatino Linotype" w:hAnsi="Palatino Linotype"/>
          <w:i/>
          <w:sz w:val="22"/>
        </w:rPr>
        <w:t>“Se adjunta Información a lo solicitado en oficio 00045/ALMORI/IP/2019.”(Sic)</w:t>
      </w:r>
    </w:p>
    <w:p w:rsidR="000D5086" w:rsidRPr="00A51BF6" w:rsidRDefault="000D5086" w:rsidP="00C05991">
      <w:pPr>
        <w:pStyle w:val="Prrafodelista"/>
        <w:spacing w:before="100" w:beforeAutospacing="1" w:after="100" w:afterAutospacing="1" w:line="360" w:lineRule="auto"/>
        <w:ind w:left="0"/>
        <w:jc w:val="both"/>
        <w:rPr>
          <w:rFonts w:ascii="Palatino Linotype" w:hAnsi="Palatino Linotype"/>
        </w:rPr>
      </w:pPr>
      <w:r w:rsidRPr="00A51BF6">
        <w:rPr>
          <w:rFonts w:ascii="Palatino Linotype" w:hAnsi="Palatino Linotype"/>
        </w:rPr>
        <w:t xml:space="preserve">Asimismo, </w:t>
      </w:r>
      <w:r w:rsidRPr="00A51BF6">
        <w:rPr>
          <w:rFonts w:ascii="Palatino Linotype" w:hAnsi="Palatino Linotype"/>
          <w:b/>
        </w:rPr>
        <w:t>EL SUJETO OBLIGADO</w:t>
      </w:r>
      <w:r w:rsidRPr="00A51BF6">
        <w:rPr>
          <w:rFonts w:ascii="Palatino Linotype" w:hAnsi="Palatino Linotype"/>
        </w:rPr>
        <w:t xml:space="preserve"> adjuntó el archivo electrónico denominado </w:t>
      </w:r>
      <w:r w:rsidRPr="00A51BF6">
        <w:rPr>
          <w:rFonts w:ascii="Palatino Linotype" w:hAnsi="Palatino Linotype"/>
          <w:b/>
        </w:rPr>
        <w:t xml:space="preserve">oficio_45.pdf </w:t>
      </w:r>
      <w:r w:rsidR="00C05991" w:rsidRPr="00A51BF6">
        <w:rPr>
          <w:rFonts w:ascii="Palatino Linotype" w:hAnsi="Palatino Linotype"/>
        </w:rPr>
        <w:t>en el cual se</w:t>
      </w:r>
      <w:r w:rsidR="00565A2E" w:rsidRPr="00A51BF6">
        <w:rPr>
          <w:rFonts w:ascii="Palatino Linotype" w:hAnsi="Palatino Linotype"/>
        </w:rPr>
        <w:t>ñaló:</w:t>
      </w:r>
    </w:p>
    <w:p w:rsidR="000D5086" w:rsidRPr="00A51BF6" w:rsidRDefault="00565A2E" w:rsidP="00565A2E">
      <w:pPr>
        <w:pStyle w:val="Prrafodelista"/>
        <w:spacing w:before="100" w:beforeAutospacing="1" w:after="100" w:afterAutospacing="1" w:line="360" w:lineRule="auto"/>
        <w:ind w:left="0"/>
        <w:jc w:val="center"/>
        <w:rPr>
          <w:rFonts w:ascii="Palatino Linotype" w:hAnsi="Palatino Linotype"/>
        </w:rPr>
      </w:pPr>
      <w:r w:rsidRPr="00A51BF6">
        <w:rPr>
          <w:noProof/>
          <w:lang w:eastAsia="es-MX"/>
        </w:rPr>
        <w:lastRenderedPageBreak/>
        <w:drawing>
          <wp:inline distT="0" distB="0" distL="0" distR="0" wp14:anchorId="2CF258FC" wp14:editId="61D227B3">
            <wp:extent cx="5596890" cy="763172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708" t="13880" r="33813" b="9945"/>
                    <a:stretch/>
                  </pic:blipFill>
                  <pic:spPr bwMode="auto">
                    <a:xfrm>
                      <a:off x="0" y="0"/>
                      <a:ext cx="5632171" cy="7679832"/>
                    </a:xfrm>
                    <a:prstGeom prst="rect">
                      <a:avLst/>
                    </a:prstGeom>
                    <a:ln>
                      <a:noFill/>
                    </a:ln>
                    <a:extLst>
                      <a:ext uri="{53640926-AAD7-44D8-BBD7-CCE9431645EC}">
                        <a14:shadowObscured xmlns:a14="http://schemas.microsoft.com/office/drawing/2010/main"/>
                      </a:ext>
                    </a:extLst>
                  </pic:spPr>
                </pic:pic>
              </a:graphicData>
            </a:graphic>
          </wp:inline>
        </w:drawing>
      </w:r>
    </w:p>
    <w:p w:rsidR="00A86C31" w:rsidRPr="00A51BF6" w:rsidRDefault="00565A2E" w:rsidP="00565A2E">
      <w:pPr>
        <w:pStyle w:val="Prrafodelista"/>
        <w:spacing w:before="100" w:beforeAutospacing="1" w:after="100" w:afterAutospacing="1" w:line="360" w:lineRule="auto"/>
        <w:ind w:left="0"/>
        <w:jc w:val="center"/>
        <w:rPr>
          <w:rFonts w:ascii="Palatino Linotype" w:hAnsi="Palatino Linotype" w:cs="Arial"/>
        </w:rPr>
      </w:pPr>
      <w:r w:rsidRPr="00A51BF6">
        <w:rPr>
          <w:noProof/>
          <w:lang w:eastAsia="es-MX"/>
        </w:rPr>
        <w:lastRenderedPageBreak/>
        <w:drawing>
          <wp:inline distT="0" distB="0" distL="0" distR="0" wp14:anchorId="40181D68" wp14:editId="2167F9B0">
            <wp:extent cx="5598160" cy="765684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924" t="11258" r="33639" b="11797"/>
                    <a:stretch/>
                  </pic:blipFill>
                  <pic:spPr bwMode="auto">
                    <a:xfrm>
                      <a:off x="0" y="0"/>
                      <a:ext cx="5627723" cy="7697278"/>
                    </a:xfrm>
                    <a:prstGeom prst="rect">
                      <a:avLst/>
                    </a:prstGeom>
                    <a:ln>
                      <a:noFill/>
                    </a:ln>
                    <a:extLst>
                      <a:ext uri="{53640926-AAD7-44D8-BBD7-CCE9431645EC}">
                        <a14:shadowObscured xmlns:a14="http://schemas.microsoft.com/office/drawing/2010/main"/>
                      </a:ext>
                    </a:extLst>
                  </pic:spPr>
                </pic:pic>
              </a:graphicData>
            </a:graphic>
          </wp:inline>
        </w:drawing>
      </w:r>
    </w:p>
    <w:p w:rsidR="00565A2E" w:rsidRPr="00A51BF6" w:rsidRDefault="00565A2E" w:rsidP="00565A2E">
      <w:pPr>
        <w:pStyle w:val="Prrafodelista"/>
        <w:spacing w:before="100" w:beforeAutospacing="1" w:after="100" w:afterAutospacing="1" w:line="360" w:lineRule="auto"/>
        <w:ind w:left="0"/>
        <w:jc w:val="center"/>
        <w:rPr>
          <w:rFonts w:ascii="Palatino Linotype" w:hAnsi="Palatino Linotype" w:cs="Arial"/>
        </w:rPr>
      </w:pPr>
      <w:r w:rsidRPr="00A51BF6">
        <w:rPr>
          <w:noProof/>
          <w:lang w:eastAsia="es-MX"/>
        </w:rPr>
        <w:lastRenderedPageBreak/>
        <w:drawing>
          <wp:inline distT="0" distB="0" distL="0" distR="0" wp14:anchorId="189A26B9" wp14:editId="46762A90">
            <wp:extent cx="5568242" cy="303962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62" t="29299" r="4319" b="19352"/>
                    <a:stretch/>
                  </pic:blipFill>
                  <pic:spPr bwMode="auto">
                    <a:xfrm>
                      <a:off x="0" y="0"/>
                      <a:ext cx="5615067" cy="3065188"/>
                    </a:xfrm>
                    <a:prstGeom prst="rect">
                      <a:avLst/>
                    </a:prstGeom>
                    <a:ln>
                      <a:noFill/>
                    </a:ln>
                    <a:extLst>
                      <a:ext uri="{53640926-AAD7-44D8-BBD7-CCE9431645EC}">
                        <a14:shadowObscured xmlns:a14="http://schemas.microsoft.com/office/drawing/2010/main"/>
                      </a:ext>
                    </a:extLst>
                  </pic:spPr>
                </pic:pic>
              </a:graphicData>
            </a:graphic>
          </wp:inline>
        </w:drawing>
      </w:r>
    </w:p>
    <w:p w:rsidR="00565A2E" w:rsidRPr="00A51BF6" w:rsidRDefault="00A51BF6" w:rsidP="00565A2E">
      <w:pPr>
        <w:pStyle w:val="Prrafodelista"/>
        <w:spacing w:before="100" w:beforeAutospacing="1" w:after="100" w:afterAutospacing="1" w:line="360" w:lineRule="auto"/>
        <w:ind w:left="0"/>
        <w:jc w:val="center"/>
        <w:rPr>
          <w:rFonts w:ascii="Palatino Linotype" w:hAnsi="Palatino Linotype" w:cs="Arial"/>
        </w:rPr>
      </w:pPr>
      <w:r w:rsidRPr="00A51BF6">
        <w:rPr>
          <w:noProof/>
          <w:lang w:eastAsia="es-MX"/>
        </w:rPr>
        <mc:AlternateContent>
          <mc:Choice Requires="wps">
            <w:drawing>
              <wp:anchor distT="0" distB="0" distL="114300" distR="114300" simplePos="0" relativeHeight="251659264" behindDoc="0" locked="0" layoutInCell="1" allowOverlap="1">
                <wp:simplePos x="0" y="0"/>
                <wp:positionH relativeFrom="column">
                  <wp:posOffset>301625</wp:posOffset>
                </wp:positionH>
                <wp:positionV relativeFrom="paragraph">
                  <wp:posOffset>2707640</wp:posOffset>
                </wp:positionV>
                <wp:extent cx="5481320" cy="1944370"/>
                <wp:effectExtent l="10160" t="13335" r="13970" b="13970"/>
                <wp:wrapNone/>
                <wp:docPr id="3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1320" cy="194437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24B4A2" id="AutoShape 3" o:spid="_x0000_s1026" type="#_x0000_t32" style="position:absolute;margin-left:23.75pt;margin-top:213.2pt;width:431.6pt;height:15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AKfJQIAAEM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" strokeweight="1.5pt"/>
            </w:pict>
          </mc:Fallback>
        </mc:AlternateContent>
      </w:r>
      <w:r w:rsidR="00565A2E" w:rsidRPr="00A51BF6">
        <w:rPr>
          <w:noProof/>
          <w:lang w:eastAsia="es-MX"/>
        </w:rPr>
        <w:drawing>
          <wp:inline distT="0" distB="0" distL="0" distR="0" wp14:anchorId="012700D4" wp14:editId="2B3F5D59">
            <wp:extent cx="5591212" cy="282358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44" t="25601" r="10305" b="18736"/>
                    <a:stretch/>
                  </pic:blipFill>
                  <pic:spPr bwMode="auto">
                    <a:xfrm>
                      <a:off x="0" y="0"/>
                      <a:ext cx="5635158" cy="2845780"/>
                    </a:xfrm>
                    <a:prstGeom prst="rect">
                      <a:avLst/>
                    </a:prstGeom>
                    <a:ln>
                      <a:noFill/>
                    </a:ln>
                    <a:extLst>
                      <a:ext uri="{53640926-AAD7-44D8-BBD7-CCE9431645EC}">
                        <a14:shadowObscured xmlns:a14="http://schemas.microsoft.com/office/drawing/2010/main"/>
                      </a:ext>
                    </a:extLst>
                  </pic:spPr>
                </pic:pic>
              </a:graphicData>
            </a:graphic>
          </wp:inline>
        </w:drawing>
      </w:r>
    </w:p>
    <w:p w:rsidR="00A86C31" w:rsidRPr="00A51BF6" w:rsidRDefault="00565A2E" w:rsidP="00565A2E">
      <w:pPr>
        <w:pStyle w:val="Prrafodelista"/>
        <w:spacing w:before="100" w:beforeAutospacing="1" w:after="100" w:afterAutospacing="1" w:line="360" w:lineRule="auto"/>
        <w:ind w:left="0"/>
        <w:jc w:val="center"/>
        <w:rPr>
          <w:rFonts w:ascii="Palatino Linotype" w:hAnsi="Palatino Linotype" w:cs="Arial"/>
        </w:rPr>
      </w:pPr>
      <w:r w:rsidRPr="00A51BF6">
        <w:rPr>
          <w:noProof/>
          <w:lang w:eastAsia="es-MX"/>
        </w:rPr>
        <w:lastRenderedPageBreak/>
        <w:drawing>
          <wp:inline distT="0" distB="0" distL="0" distR="0" wp14:anchorId="6B50A112" wp14:editId="13A0702A">
            <wp:extent cx="5586130" cy="244677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70" t="27759" r="14295" b="28604"/>
                    <a:stretch/>
                  </pic:blipFill>
                  <pic:spPr bwMode="auto">
                    <a:xfrm>
                      <a:off x="0" y="0"/>
                      <a:ext cx="5617777" cy="2460636"/>
                    </a:xfrm>
                    <a:prstGeom prst="rect">
                      <a:avLst/>
                    </a:prstGeom>
                    <a:ln>
                      <a:noFill/>
                    </a:ln>
                    <a:extLst>
                      <a:ext uri="{53640926-AAD7-44D8-BBD7-CCE9431645EC}">
                        <a14:shadowObscured xmlns:a14="http://schemas.microsoft.com/office/drawing/2010/main"/>
                      </a:ext>
                    </a:extLst>
                  </pic:spPr>
                </pic:pic>
              </a:graphicData>
            </a:graphic>
          </wp:inline>
        </w:drawing>
      </w:r>
    </w:p>
    <w:p w:rsidR="00A86C31" w:rsidRPr="00A51BF6" w:rsidRDefault="00565A2E" w:rsidP="00565A2E">
      <w:pPr>
        <w:pStyle w:val="Prrafodelista"/>
        <w:spacing w:before="100" w:beforeAutospacing="1" w:after="100" w:afterAutospacing="1" w:line="360" w:lineRule="auto"/>
        <w:ind w:left="0"/>
        <w:jc w:val="center"/>
        <w:rPr>
          <w:rFonts w:ascii="Palatino Linotype" w:hAnsi="Palatino Linotype" w:cs="Arial"/>
        </w:rPr>
      </w:pPr>
      <w:r w:rsidRPr="00A51BF6">
        <w:rPr>
          <w:noProof/>
          <w:lang w:eastAsia="es-MX"/>
        </w:rPr>
        <w:drawing>
          <wp:inline distT="0" distB="0" distL="0" distR="0" wp14:anchorId="6ADE45A7" wp14:editId="026059A6">
            <wp:extent cx="5679946" cy="321547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84" t="10024" r="14469" b="33539"/>
                    <a:stretch/>
                  </pic:blipFill>
                  <pic:spPr bwMode="auto">
                    <a:xfrm>
                      <a:off x="0" y="0"/>
                      <a:ext cx="5712761" cy="3234049"/>
                    </a:xfrm>
                    <a:prstGeom prst="rect">
                      <a:avLst/>
                    </a:prstGeom>
                    <a:ln>
                      <a:noFill/>
                    </a:ln>
                    <a:extLst>
                      <a:ext uri="{53640926-AAD7-44D8-BBD7-CCE9431645EC}">
                        <a14:shadowObscured xmlns:a14="http://schemas.microsoft.com/office/drawing/2010/main"/>
                      </a:ext>
                    </a:extLst>
                  </pic:spPr>
                </pic:pic>
              </a:graphicData>
            </a:graphic>
          </wp:inline>
        </w:drawing>
      </w:r>
    </w:p>
    <w:p w:rsidR="00651BF4" w:rsidRPr="00A51BF6" w:rsidRDefault="00565A2E" w:rsidP="00565A2E">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b/>
          <w:sz w:val="28"/>
          <w:szCs w:val="28"/>
        </w:rPr>
        <w:t>III.</w:t>
      </w:r>
      <w:r w:rsidRPr="00A51BF6">
        <w:rPr>
          <w:rFonts w:ascii="Palatino Linotype" w:hAnsi="Palatino Linotype"/>
        </w:rPr>
        <w:t xml:space="preserve"> </w:t>
      </w:r>
      <w:r w:rsidR="00651BF4" w:rsidRPr="00A51BF6">
        <w:rPr>
          <w:rFonts w:ascii="Palatino Linotype" w:hAnsi="Palatino Linotype"/>
        </w:rPr>
        <w:t xml:space="preserve">Inconforme con la </w:t>
      </w:r>
      <w:r w:rsidR="00651BF4" w:rsidRPr="00A51BF6">
        <w:rPr>
          <w:rFonts w:ascii="Palatino Linotype" w:hAnsi="Palatino Linotype" w:cs="Arial"/>
        </w:rPr>
        <w:t xml:space="preserve">respuesta </w:t>
      </w:r>
      <w:r w:rsidR="00651BF4" w:rsidRPr="00A51BF6">
        <w:rPr>
          <w:rFonts w:ascii="Palatino Linotype" w:hAnsi="Palatino Linotype"/>
        </w:rPr>
        <w:t xml:space="preserve">del </w:t>
      </w:r>
      <w:r w:rsidR="00651BF4" w:rsidRPr="00A51BF6">
        <w:rPr>
          <w:rFonts w:ascii="Palatino Linotype" w:hAnsi="Palatino Linotype"/>
          <w:b/>
        </w:rPr>
        <w:t>SUJETO OBLIGADO</w:t>
      </w:r>
      <w:r w:rsidR="00651BF4" w:rsidRPr="00A51BF6">
        <w:rPr>
          <w:rFonts w:ascii="Palatino Linotype" w:hAnsi="Palatino Linotype"/>
        </w:rPr>
        <w:t>, el</w:t>
      </w:r>
      <w:r w:rsidR="00D6559C" w:rsidRPr="00A51BF6">
        <w:rPr>
          <w:rFonts w:ascii="Palatino Linotype" w:hAnsi="Palatino Linotype"/>
        </w:rPr>
        <w:t xml:space="preserve"> </w:t>
      </w:r>
      <w:r w:rsidR="00FA0041" w:rsidRPr="00A51BF6">
        <w:rPr>
          <w:rFonts w:ascii="Palatino Linotype" w:hAnsi="Palatino Linotype"/>
        </w:rPr>
        <w:t>catorce</w:t>
      </w:r>
      <w:r w:rsidR="00582170">
        <w:rPr>
          <w:rFonts w:ascii="Palatino Linotype" w:hAnsi="Palatino Linotype"/>
        </w:rPr>
        <w:t xml:space="preserve"> de</w:t>
      </w:r>
      <w:r w:rsidR="00FA0041" w:rsidRPr="00A51BF6">
        <w:rPr>
          <w:rFonts w:ascii="Palatino Linotype" w:hAnsi="Palatino Linotype"/>
        </w:rPr>
        <w:t xml:space="preserve"> </w:t>
      </w:r>
      <w:r w:rsidR="0060789A" w:rsidRPr="00A51BF6">
        <w:rPr>
          <w:rFonts w:ascii="Palatino Linotype" w:hAnsi="Palatino Linotype"/>
        </w:rPr>
        <w:t>mayo de dos mil diecinueve</w:t>
      </w:r>
      <w:r w:rsidR="00651BF4" w:rsidRPr="00A51BF6">
        <w:rPr>
          <w:rFonts w:ascii="Palatino Linotype" w:hAnsi="Palatino Linotype"/>
        </w:rPr>
        <w:t xml:space="preserve">, </w:t>
      </w:r>
      <w:r w:rsidR="002B6C6F" w:rsidRPr="00A51BF6">
        <w:rPr>
          <w:rFonts w:ascii="Palatino Linotype" w:hAnsi="Palatino Linotype"/>
          <w:b/>
        </w:rPr>
        <w:t>EL RECURRENTE</w:t>
      </w:r>
      <w:r w:rsidR="00651BF4" w:rsidRPr="00A51BF6">
        <w:rPr>
          <w:rFonts w:ascii="Palatino Linotype" w:hAnsi="Palatino Linotype"/>
        </w:rPr>
        <w:t xml:space="preserve"> interpuso el recurso de revisión objeto del presente estudio, el cual fue registrado en </w:t>
      </w:r>
      <w:r w:rsidR="00651BF4" w:rsidRPr="00A51BF6">
        <w:rPr>
          <w:rFonts w:ascii="Palatino Linotype" w:hAnsi="Palatino Linotype"/>
          <w:b/>
        </w:rPr>
        <w:t>EL SAIMEX</w:t>
      </w:r>
      <w:r w:rsidR="00651BF4" w:rsidRPr="00A51BF6">
        <w:rPr>
          <w:rFonts w:ascii="Palatino Linotype" w:hAnsi="Palatino Linotype"/>
        </w:rPr>
        <w:t xml:space="preserve"> y se le asignó el número de expediente </w:t>
      </w:r>
      <w:r w:rsidR="00651BF4" w:rsidRPr="00A51BF6">
        <w:rPr>
          <w:rFonts w:ascii="Palatino Linotype" w:hAnsi="Palatino Linotype" w:cs="Arial"/>
          <w:b/>
          <w:bCs/>
        </w:rPr>
        <w:t>0</w:t>
      </w:r>
      <w:r w:rsidR="00FA0041" w:rsidRPr="00A51BF6">
        <w:rPr>
          <w:rFonts w:ascii="Palatino Linotype" w:hAnsi="Palatino Linotype" w:cs="Arial"/>
          <w:b/>
          <w:bCs/>
        </w:rPr>
        <w:t>4027</w:t>
      </w:r>
      <w:r w:rsidR="007B2274" w:rsidRPr="00A51BF6">
        <w:rPr>
          <w:rFonts w:ascii="Palatino Linotype" w:hAnsi="Palatino Linotype" w:cs="Arial"/>
          <w:b/>
          <w:bCs/>
        </w:rPr>
        <w:t>/</w:t>
      </w:r>
      <w:r w:rsidR="00651BF4" w:rsidRPr="00A51BF6">
        <w:rPr>
          <w:rFonts w:ascii="Palatino Linotype" w:hAnsi="Palatino Linotype" w:cs="Arial"/>
          <w:b/>
          <w:bCs/>
        </w:rPr>
        <w:t>INFOEM/IP/RR/201</w:t>
      </w:r>
      <w:r w:rsidR="008505D5">
        <w:rPr>
          <w:rFonts w:ascii="Palatino Linotype" w:hAnsi="Palatino Linotype" w:cs="Arial"/>
          <w:b/>
          <w:bCs/>
        </w:rPr>
        <w:t>9</w:t>
      </w:r>
      <w:r w:rsidR="00651BF4" w:rsidRPr="00A51BF6">
        <w:rPr>
          <w:rFonts w:ascii="Palatino Linotype" w:hAnsi="Palatino Linotype" w:cs="Arial"/>
        </w:rPr>
        <w:t>, en el que señaló como acto impugnado lo siguiente:</w:t>
      </w:r>
    </w:p>
    <w:p w:rsidR="00FA0041" w:rsidRPr="00A51BF6" w:rsidRDefault="00651BF4" w:rsidP="00565A2E">
      <w:pPr>
        <w:pStyle w:val="Prrafodelista"/>
        <w:ind w:left="709" w:right="760"/>
        <w:jc w:val="both"/>
        <w:rPr>
          <w:rFonts w:ascii="Palatino Linotype" w:hAnsi="Palatino Linotype" w:cs="Arial"/>
          <w:i/>
          <w:spacing w:val="-6"/>
          <w:sz w:val="22"/>
          <w:lang w:eastAsia="es-MX"/>
        </w:rPr>
      </w:pPr>
      <w:r w:rsidRPr="00A51BF6">
        <w:rPr>
          <w:rFonts w:ascii="Palatino Linotype" w:hAnsi="Palatino Linotype" w:cs="Arial"/>
          <w:i/>
          <w:spacing w:val="-6"/>
          <w:sz w:val="22"/>
          <w:lang w:eastAsia="es-MX"/>
        </w:rPr>
        <w:lastRenderedPageBreak/>
        <w:t>“</w:t>
      </w:r>
      <w:r w:rsidR="00FA0041" w:rsidRPr="00A51BF6">
        <w:rPr>
          <w:rFonts w:ascii="Palatino Linotype" w:hAnsi="Palatino Linotype" w:cs="Arial"/>
          <w:i/>
          <w:spacing w:val="-6"/>
          <w:sz w:val="22"/>
          <w:lang w:eastAsia="es-MX"/>
        </w:rPr>
        <w:t>Folio No. 254631, mediante el cual el Sujeto Obligado (municipio de Almoloya del Rio en el Estado de México) no me ha proporcionado toda la información solicitada. Asimismo, el Sujeto Obligado, en su respuesta de fecha 8 de mayo de 2019 mediante el folio de solicitud: 00045/ALMORI/IP/2019, no respondió y fue omiso al dar respuesta a la solicitud de información realizada por el hoy quejoso, misma que ha sido clara y precisa</w:t>
      </w:r>
      <w:r w:rsidR="00AA3598" w:rsidRPr="00A51BF6">
        <w:rPr>
          <w:rFonts w:ascii="Palatino Linotype" w:hAnsi="Palatino Linotype" w:cs="Arial"/>
          <w:i/>
          <w:spacing w:val="-6"/>
          <w:sz w:val="22"/>
          <w:lang w:eastAsia="es-MX"/>
        </w:rPr>
        <w:t>.</w:t>
      </w:r>
      <w:r w:rsidRPr="00A51BF6">
        <w:rPr>
          <w:rFonts w:ascii="Palatino Linotype" w:hAnsi="Palatino Linotype" w:cs="Arial"/>
          <w:i/>
          <w:spacing w:val="-6"/>
          <w:sz w:val="22"/>
          <w:lang w:eastAsia="es-MX"/>
        </w:rPr>
        <w:t>” (Sic)</w:t>
      </w:r>
    </w:p>
    <w:p w:rsidR="008C706F" w:rsidRPr="00A51BF6" w:rsidRDefault="008C706F" w:rsidP="00C05991">
      <w:pPr>
        <w:spacing w:before="100" w:beforeAutospacing="1" w:after="100" w:afterAutospacing="1" w:line="360" w:lineRule="auto"/>
        <w:ind w:right="709"/>
        <w:jc w:val="both"/>
        <w:rPr>
          <w:rFonts w:ascii="Palatino Linotype" w:hAnsi="Palatino Linotype" w:cs="Arial"/>
        </w:rPr>
      </w:pPr>
      <w:r w:rsidRPr="00A51BF6">
        <w:rPr>
          <w:rFonts w:ascii="Palatino Linotype" w:hAnsi="Palatino Linotype" w:cs="Arial"/>
          <w:spacing w:val="-6"/>
          <w:lang w:eastAsia="es-MX"/>
        </w:rPr>
        <w:t xml:space="preserve">Asimismo, manifestó como </w:t>
      </w:r>
      <w:r w:rsidRPr="00A51BF6">
        <w:rPr>
          <w:rFonts w:ascii="Palatino Linotype" w:hAnsi="Palatino Linotype" w:cs="Arial"/>
        </w:rPr>
        <w:t>razones o motivos de inconformidad:</w:t>
      </w:r>
    </w:p>
    <w:p w:rsidR="00782203" w:rsidRPr="00A51BF6" w:rsidRDefault="001142CE" w:rsidP="00565A2E">
      <w:pPr>
        <w:pStyle w:val="Prrafodelista"/>
        <w:ind w:left="709" w:right="760"/>
        <w:jc w:val="both"/>
        <w:rPr>
          <w:rFonts w:ascii="Palatino Linotype" w:hAnsi="Palatino Linotype" w:cs="Arial"/>
          <w:i/>
          <w:spacing w:val="-6"/>
          <w:sz w:val="22"/>
          <w:lang w:eastAsia="es-MX"/>
        </w:rPr>
      </w:pPr>
      <w:r w:rsidRPr="00A51BF6">
        <w:rPr>
          <w:rFonts w:ascii="Palatino Linotype" w:hAnsi="Palatino Linotype" w:cs="Arial"/>
          <w:i/>
          <w:spacing w:val="-6"/>
          <w:sz w:val="22"/>
          <w:lang w:eastAsia="es-MX"/>
        </w:rPr>
        <w:t>“</w:t>
      </w:r>
      <w:r w:rsidR="00E818A7" w:rsidRPr="00A51BF6">
        <w:rPr>
          <w:rFonts w:ascii="Palatino Linotype" w:hAnsi="Palatino Linotype" w:cs="Arial"/>
          <w:i/>
          <w:spacing w:val="-6"/>
          <w:sz w:val="22"/>
          <w:lang w:eastAsia="es-MX"/>
        </w:rPr>
        <w:t>como puede observar la respuesta del municipio de Almoloya del Rio (sujeto obligada), no da respuesta a ninguna de las preguntas que formule de forma clara, precisa y respetuosa, por lo que se viola la Constitución Política de los Estados Unidos Mexicanos y todas las leyes secundarias relacionadas con el acceso a la información pública gubernamental</w:t>
      </w:r>
      <w:r w:rsidR="006D2778" w:rsidRPr="00A51BF6">
        <w:rPr>
          <w:rFonts w:ascii="Palatino Linotype" w:hAnsi="Palatino Linotype" w:cs="Arial"/>
          <w:i/>
          <w:spacing w:val="-6"/>
          <w:sz w:val="22"/>
          <w:lang w:eastAsia="es-MX"/>
        </w:rPr>
        <w:t>.</w:t>
      </w:r>
      <w:r w:rsidRPr="00A51BF6">
        <w:rPr>
          <w:rFonts w:ascii="Palatino Linotype" w:hAnsi="Palatino Linotype" w:cs="Arial"/>
          <w:i/>
          <w:spacing w:val="-6"/>
          <w:sz w:val="22"/>
          <w:lang w:eastAsia="es-MX"/>
        </w:rPr>
        <w:t>” (Sic)</w:t>
      </w:r>
    </w:p>
    <w:p w:rsidR="00782203" w:rsidRPr="00A51BF6" w:rsidRDefault="00782203" w:rsidP="00C05991">
      <w:pPr>
        <w:pStyle w:val="Prrafodelista"/>
        <w:spacing w:before="100" w:beforeAutospacing="1" w:after="100" w:afterAutospacing="1" w:line="360" w:lineRule="auto"/>
        <w:ind w:left="0"/>
        <w:jc w:val="both"/>
        <w:rPr>
          <w:rFonts w:ascii="Palatino Linotype" w:hAnsi="Palatino Linotype"/>
        </w:rPr>
      </w:pPr>
      <w:r w:rsidRPr="00A51BF6">
        <w:rPr>
          <w:rFonts w:ascii="Palatino Linotype" w:hAnsi="Palatino Linotype"/>
        </w:rPr>
        <w:t xml:space="preserve">Asimismo, </w:t>
      </w:r>
      <w:r w:rsidRPr="00A51BF6">
        <w:rPr>
          <w:rFonts w:ascii="Palatino Linotype" w:hAnsi="Palatino Linotype"/>
          <w:b/>
        </w:rPr>
        <w:t>EL RECURRENTE</w:t>
      </w:r>
      <w:r w:rsidRPr="00A51BF6">
        <w:rPr>
          <w:rFonts w:ascii="Palatino Linotype" w:hAnsi="Palatino Linotype"/>
        </w:rPr>
        <w:t xml:space="preserve"> adjuntó el archivo electrónico denominado </w:t>
      </w:r>
      <w:r w:rsidRPr="00A51BF6">
        <w:rPr>
          <w:rFonts w:ascii="Palatino Linotype" w:hAnsi="Palatino Linotype"/>
          <w:b/>
        </w:rPr>
        <w:t>Queja.pdf</w:t>
      </w:r>
      <w:r w:rsidRPr="00A51BF6">
        <w:rPr>
          <w:rFonts w:ascii="Palatino Linotype" w:hAnsi="Palatino Linotype"/>
        </w:rPr>
        <w:t xml:space="preserve"> que al ser del conocimiento de las partes se omite su inserción en el presente apartado, aunado a que serán objeto de análisis en el considerando de estudio correspondiente.</w:t>
      </w:r>
    </w:p>
    <w:p w:rsidR="00651BF4" w:rsidRPr="00A51BF6" w:rsidRDefault="00565A2E" w:rsidP="00565A2E">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sz w:val="28"/>
          <w:szCs w:val="28"/>
        </w:rPr>
        <w:t>IV.</w:t>
      </w:r>
      <w:r w:rsidRPr="00A51BF6">
        <w:rPr>
          <w:rFonts w:ascii="Palatino Linotype" w:hAnsi="Palatino Linotype" w:cs="Arial"/>
        </w:rPr>
        <w:t xml:space="preserve"> </w:t>
      </w:r>
      <w:r w:rsidR="00651BF4" w:rsidRPr="00A51BF6">
        <w:rPr>
          <w:rFonts w:ascii="Palatino Linotype" w:hAnsi="Palatino Linotype" w:cs="Arial"/>
        </w:rPr>
        <w:t xml:space="preserve">El recurso de que se trata se envió electrónicamente al Instituto de </w:t>
      </w:r>
      <w:r w:rsidR="00651BF4" w:rsidRPr="00A51BF6">
        <w:rPr>
          <w:rFonts w:ascii="Palatino Linotype" w:eastAsia="Arial Unicode MS" w:hAnsi="Palatino Linotype" w:cs="Arial"/>
        </w:rPr>
        <w:t>Transparencia</w:t>
      </w:r>
      <w:r w:rsidR="00651BF4" w:rsidRPr="00A51BF6">
        <w:rPr>
          <w:rFonts w:ascii="Palatino Linotype" w:hAnsi="Palatino Linotype" w:cs="Arial"/>
        </w:rPr>
        <w:t xml:space="preserve">, Acceso a la Información Pública y Protección de Datos Personales del Estado de México y Municipios en fecha </w:t>
      </w:r>
      <w:r w:rsidR="002768D5" w:rsidRPr="00A51BF6">
        <w:rPr>
          <w:rFonts w:ascii="Palatino Linotype" w:hAnsi="Palatino Linotype" w:cs="Arial"/>
        </w:rPr>
        <w:t>catorce de mayo de dos mil diecinueve</w:t>
      </w:r>
      <w:r w:rsidR="008C706F" w:rsidRPr="00A51BF6">
        <w:rPr>
          <w:rFonts w:ascii="Palatino Linotype" w:hAnsi="Palatino Linotype" w:cs="Arial"/>
        </w:rPr>
        <w:t xml:space="preserve"> </w:t>
      </w:r>
      <w:r w:rsidR="00651BF4" w:rsidRPr="00A51BF6">
        <w:rPr>
          <w:rFonts w:ascii="Palatino Linotype" w:hAnsi="Palatino Linotype" w:cs="Arial"/>
        </w:rPr>
        <w:t>y con fundamento en el artículo 185</w:t>
      </w:r>
      <w:r w:rsidR="00B24963" w:rsidRPr="00A51BF6">
        <w:rPr>
          <w:rFonts w:ascii="Palatino Linotype" w:hAnsi="Palatino Linotype" w:cs="Arial"/>
        </w:rPr>
        <w:t>,</w:t>
      </w:r>
      <w:r w:rsidR="00651BF4" w:rsidRPr="00A51BF6">
        <w:rPr>
          <w:rFonts w:ascii="Palatino Linotype" w:hAnsi="Palatino Linotype" w:cs="Arial"/>
        </w:rPr>
        <w:t xml:space="preserve"> fracción I de la </w:t>
      </w:r>
      <w:r w:rsidR="00651BF4" w:rsidRPr="00A51BF6">
        <w:rPr>
          <w:rFonts w:ascii="Palatino Linotype" w:hAnsi="Palatino Linotype"/>
        </w:rPr>
        <w:t>Ley de Transparencia y Acceso a la Información Pública del Estado de México y Municipios</w:t>
      </w:r>
      <w:r w:rsidR="00651BF4" w:rsidRPr="00A51BF6">
        <w:rPr>
          <w:rFonts w:ascii="Palatino Linotype" w:hAnsi="Palatino Linotype" w:cs="Arial"/>
        </w:rPr>
        <w:t>, se turnó, a través del</w:t>
      </w:r>
      <w:r w:rsidR="00651BF4" w:rsidRPr="00A51BF6">
        <w:rPr>
          <w:rFonts w:ascii="Palatino Linotype" w:eastAsia="Arial Unicode MS" w:hAnsi="Palatino Linotype" w:cs="Arial"/>
        </w:rPr>
        <w:t xml:space="preserve"> </w:t>
      </w:r>
      <w:r w:rsidR="00651BF4" w:rsidRPr="00A51BF6">
        <w:rPr>
          <w:rFonts w:ascii="Palatino Linotype" w:eastAsia="Arial Unicode MS" w:hAnsi="Palatino Linotype" w:cs="Arial"/>
          <w:b/>
        </w:rPr>
        <w:t>SAIMEX</w:t>
      </w:r>
      <w:r w:rsidR="00651BF4" w:rsidRPr="00A51BF6">
        <w:rPr>
          <w:rFonts w:ascii="Palatino Linotype" w:hAnsi="Palatino Linotype"/>
        </w:rPr>
        <w:t xml:space="preserve">, a la </w:t>
      </w:r>
      <w:r w:rsidR="00651BF4" w:rsidRPr="00A51BF6">
        <w:rPr>
          <w:rFonts w:ascii="Palatino Linotype" w:hAnsi="Palatino Linotype" w:cs="Arial"/>
        </w:rPr>
        <w:t xml:space="preserve">Comisionada </w:t>
      </w:r>
      <w:r w:rsidR="00651BF4" w:rsidRPr="00A51BF6">
        <w:rPr>
          <w:rFonts w:ascii="Palatino Linotype" w:hAnsi="Palatino Linotype" w:cs="Arial"/>
          <w:b/>
        </w:rPr>
        <w:t>EVA ABAID YAPUR</w:t>
      </w:r>
      <w:r w:rsidR="00651BF4" w:rsidRPr="00A51BF6">
        <w:rPr>
          <w:rFonts w:ascii="Palatino Linotype" w:hAnsi="Palatino Linotype" w:cs="Arial"/>
        </w:rPr>
        <w:t>, a efecto de que decretara su admisión o desechamiento.</w:t>
      </w:r>
    </w:p>
    <w:p w:rsidR="00651BF4" w:rsidRPr="00A51BF6" w:rsidRDefault="00565A2E" w:rsidP="00565A2E">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sz w:val="28"/>
          <w:szCs w:val="28"/>
        </w:rPr>
        <w:t>V.</w:t>
      </w:r>
      <w:r w:rsidRPr="00A51BF6">
        <w:rPr>
          <w:rFonts w:ascii="Palatino Linotype" w:hAnsi="Palatino Linotype" w:cs="Arial"/>
        </w:rPr>
        <w:t xml:space="preserve"> </w:t>
      </w:r>
      <w:r w:rsidR="00651BF4" w:rsidRPr="00A51BF6">
        <w:rPr>
          <w:rFonts w:ascii="Palatino Linotype" w:hAnsi="Palatino Linotype" w:cs="Arial"/>
        </w:rPr>
        <w:t xml:space="preserve">En fecha </w:t>
      </w:r>
      <w:r w:rsidR="003C0F50" w:rsidRPr="00A51BF6">
        <w:rPr>
          <w:rFonts w:ascii="Palatino Linotype" w:hAnsi="Palatino Linotype" w:cs="Arial"/>
        </w:rPr>
        <w:t>veinte</w:t>
      </w:r>
      <w:r w:rsidR="0032798D" w:rsidRPr="00A51BF6">
        <w:rPr>
          <w:rFonts w:ascii="Palatino Linotype" w:hAnsi="Palatino Linotype" w:cs="Arial"/>
        </w:rPr>
        <w:t xml:space="preserve"> de mayo de dos mil diecinueve</w:t>
      </w:r>
      <w:r w:rsidR="00651BF4" w:rsidRPr="00A51BF6">
        <w:rPr>
          <w:rFonts w:ascii="Palatino Linotype" w:hAnsi="Palatino Linotype" w:cs="Arial"/>
        </w:rPr>
        <w:t>, atento a lo dispuesto en el artículo 185</w:t>
      </w:r>
      <w:r w:rsidR="00C657A8" w:rsidRPr="00A51BF6">
        <w:rPr>
          <w:rFonts w:ascii="Palatino Linotype" w:hAnsi="Palatino Linotype" w:cs="Arial"/>
        </w:rPr>
        <w:t>,</w:t>
      </w:r>
      <w:r w:rsidR="00651BF4" w:rsidRPr="00A51BF6">
        <w:rPr>
          <w:rFonts w:ascii="Palatino Linotype" w:hAnsi="Palatino Linotype" w:cs="Arial"/>
        </w:rPr>
        <w:t xml:space="preserve"> fracciones I, II y IV de la </w:t>
      </w:r>
      <w:r w:rsidR="00651BF4" w:rsidRPr="00A51BF6">
        <w:rPr>
          <w:rFonts w:ascii="Palatino Linotype" w:hAnsi="Palatino Linotype"/>
        </w:rPr>
        <w:t>Ley de Transparencia y Acceso a la Información Pública del Estado de México y Municipios, se a</w:t>
      </w:r>
      <w:r w:rsidR="00651BF4" w:rsidRPr="00A51BF6">
        <w:rPr>
          <w:rFonts w:ascii="Palatino Linotype" w:hAnsi="Palatino Linotype" w:cs="Arial"/>
        </w:rPr>
        <w:t xml:space="preserve">cordó la admisión a trámite del referido recurso de revisión, así como la integración del expediente respectivo, mismo que se puso a disposición de las partes, para que, de considerarlo conveniente, en el plazo máximo de siete días hábiles, </w:t>
      </w:r>
      <w:r w:rsidR="002B6C6F" w:rsidRPr="00A51BF6">
        <w:rPr>
          <w:rFonts w:ascii="Palatino Linotype" w:hAnsi="Palatino Linotype" w:cs="Arial"/>
          <w:b/>
        </w:rPr>
        <w:t>EL RECURRENTE</w:t>
      </w:r>
      <w:r w:rsidR="00651BF4" w:rsidRPr="00A51BF6">
        <w:rPr>
          <w:rFonts w:ascii="Palatino Linotype" w:hAnsi="Palatino Linotype" w:cs="Arial"/>
        </w:rPr>
        <w:t xml:space="preserve"> realizara manifestaciones y alegatos, así como </w:t>
      </w:r>
      <w:r w:rsidR="00651BF4" w:rsidRPr="00A51BF6">
        <w:rPr>
          <w:rFonts w:ascii="Palatino Linotype" w:hAnsi="Palatino Linotype" w:cs="Arial"/>
        </w:rPr>
        <w:lastRenderedPageBreak/>
        <w:t>ofreciera las pruebas que a su derecho conviniera y, en el caso del</w:t>
      </w:r>
      <w:r w:rsidR="00651BF4" w:rsidRPr="00A51BF6">
        <w:rPr>
          <w:rFonts w:ascii="Palatino Linotype" w:hAnsi="Palatino Linotype" w:cs="Arial"/>
          <w:b/>
        </w:rPr>
        <w:t xml:space="preserve"> SUJETO OBLIGADO</w:t>
      </w:r>
      <w:r w:rsidR="00651BF4" w:rsidRPr="00A51BF6">
        <w:rPr>
          <w:rFonts w:ascii="Palatino Linotype" w:hAnsi="Palatino Linotype" w:cs="Arial"/>
        </w:rPr>
        <w:t xml:space="preserve"> exhibiera el Informe Justificado. </w:t>
      </w:r>
    </w:p>
    <w:p w:rsidR="00BF0B51" w:rsidRPr="00A51BF6" w:rsidRDefault="004A716C" w:rsidP="004A716C">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sz w:val="28"/>
          <w:szCs w:val="28"/>
        </w:rPr>
        <w:t>VI.</w:t>
      </w:r>
      <w:r w:rsidRPr="00A51BF6">
        <w:rPr>
          <w:rFonts w:ascii="Palatino Linotype" w:hAnsi="Palatino Linotype" w:cs="Arial"/>
        </w:rPr>
        <w:t xml:space="preserve"> </w:t>
      </w:r>
      <w:r w:rsidR="00BF0B51" w:rsidRPr="00A51BF6">
        <w:rPr>
          <w:rFonts w:ascii="Palatino Linotype" w:hAnsi="Palatino Linotype" w:cs="Arial"/>
        </w:rPr>
        <w:t xml:space="preserve">De las constancias que obran en el </w:t>
      </w:r>
      <w:r w:rsidR="00BF0B51" w:rsidRPr="00A51BF6">
        <w:rPr>
          <w:rFonts w:ascii="Palatino Linotype" w:hAnsi="Palatino Linotype" w:cs="Arial"/>
          <w:b/>
        </w:rPr>
        <w:t>SAIMEX,</w:t>
      </w:r>
      <w:r w:rsidR="00BF0B51" w:rsidRPr="00A51BF6">
        <w:rPr>
          <w:rFonts w:ascii="Palatino Linotype" w:hAnsi="Palatino Linotype" w:cs="Arial"/>
        </w:rPr>
        <w:t xml:space="preserve"> se advierte que </w:t>
      </w:r>
      <w:r w:rsidR="00BF0B51" w:rsidRPr="00A51BF6">
        <w:rPr>
          <w:rFonts w:ascii="Palatino Linotype" w:hAnsi="Palatino Linotype" w:cs="Arial"/>
          <w:b/>
        </w:rPr>
        <w:t>EL SUJETO OBLIGADO</w:t>
      </w:r>
      <w:r w:rsidR="00BF0B51" w:rsidRPr="00A51BF6">
        <w:rPr>
          <w:rFonts w:ascii="Palatino Linotype" w:hAnsi="Palatino Linotype" w:cs="Arial"/>
        </w:rPr>
        <w:t xml:space="preserve"> </w:t>
      </w:r>
      <w:r w:rsidR="00FC628E" w:rsidRPr="00A51BF6">
        <w:rPr>
          <w:rFonts w:ascii="Palatino Linotype" w:hAnsi="Palatino Linotype" w:cs="Arial"/>
        </w:rPr>
        <w:t xml:space="preserve">no </w:t>
      </w:r>
      <w:r w:rsidR="00BF0B51" w:rsidRPr="00A51BF6">
        <w:rPr>
          <w:rFonts w:ascii="Palatino Linotype" w:hAnsi="Palatino Linotype" w:cs="Arial"/>
        </w:rPr>
        <w:t xml:space="preserve">rindió </w:t>
      </w:r>
      <w:r w:rsidRPr="00A51BF6">
        <w:rPr>
          <w:rFonts w:ascii="Palatino Linotype" w:hAnsi="Palatino Linotype" w:cs="Arial"/>
        </w:rPr>
        <w:t xml:space="preserve">el </w:t>
      </w:r>
      <w:r w:rsidR="00BF0B51" w:rsidRPr="00A51BF6">
        <w:rPr>
          <w:rFonts w:ascii="Palatino Linotype" w:hAnsi="Palatino Linotype" w:cs="Arial"/>
        </w:rPr>
        <w:t>Informe Justificado</w:t>
      </w:r>
      <w:r w:rsidRPr="00A51BF6">
        <w:rPr>
          <w:rFonts w:ascii="Palatino Linotype" w:hAnsi="Palatino Linotype" w:cs="Arial"/>
        </w:rPr>
        <w:t xml:space="preserve"> correspondiente</w:t>
      </w:r>
      <w:r w:rsidR="00BF0B51" w:rsidRPr="00A51BF6">
        <w:rPr>
          <w:rFonts w:ascii="Palatino Linotype" w:hAnsi="Palatino Linotype" w:cs="Arial"/>
        </w:rPr>
        <w:t xml:space="preserve">; por su parte, </w:t>
      </w:r>
      <w:r w:rsidR="00BF0B51" w:rsidRPr="00A51BF6">
        <w:rPr>
          <w:rFonts w:ascii="Palatino Linotype" w:hAnsi="Palatino Linotype" w:cs="Arial"/>
          <w:b/>
        </w:rPr>
        <w:t>EL RECURRENTE</w:t>
      </w:r>
      <w:r w:rsidR="00BF0B51" w:rsidRPr="00A51BF6">
        <w:rPr>
          <w:rFonts w:ascii="Palatino Linotype" w:hAnsi="Palatino Linotype" w:cs="Arial"/>
        </w:rPr>
        <w:t xml:space="preserve"> no presentó manifestaciones, alegatos ni ofreció los medios de prueba que a su derecho convinieran, tal como se desprende en la siguiente imagen:</w:t>
      </w:r>
    </w:p>
    <w:p w:rsidR="00DB199B" w:rsidRPr="00A51BF6" w:rsidRDefault="00DB070A" w:rsidP="00C05991">
      <w:pPr>
        <w:pStyle w:val="Prrafodelista"/>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noProof/>
          <w:lang w:eastAsia="es-MX"/>
        </w:rPr>
        <w:drawing>
          <wp:inline distT="0" distB="0" distL="0" distR="0">
            <wp:extent cx="5791835" cy="1676316"/>
            <wp:effectExtent l="25400" t="0" r="0" b="0"/>
            <wp:docPr id="2" name="Imagen 0" descr="Captura de pantalla 2019-08-01 a las 10.2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8-01 a las 10.27.43.png"/>
                    <pic:cNvPicPr/>
                  </pic:nvPicPr>
                  <pic:blipFill>
                    <a:blip r:embed="rId27"/>
                    <a:srcRect l="15502" t="44291" r="15502" b="19488"/>
                    <a:stretch>
                      <a:fillRect/>
                    </a:stretch>
                  </pic:blipFill>
                  <pic:spPr>
                    <a:xfrm>
                      <a:off x="0" y="0"/>
                      <a:ext cx="5791835" cy="1676316"/>
                    </a:xfrm>
                    <a:prstGeom prst="rect">
                      <a:avLst/>
                    </a:prstGeom>
                  </pic:spPr>
                </pic:pic>
              </a:graphicData>
            </a:graphic>
          </wp:inline>
        </w:drawing>
      </w:r>
    </w:p>
    <w:p w:rsidR="00651BF4" w:rsidRPr="00A51BF6" w:rsidRDefault="004A716C" w:rsidP="004A716C">
      <w:pPr>
        <w:pStyle w:val="Prrafodelista"/>
        <w:spacing w:before="100" w:beforeAutospacing="1" w:after="100" w:afterAutospacing="1" w:line="360" w:lineRule="auto"/>
        <w:ind w:left="0"/>
        <w:jc w:val="both"/>
        <w:rPr>
          <w:rFonts w:ascii="Palatino Linotype" w:hAnsi="Palatino Linotype"/>
        </w:rPr>
      </w:pPr>
      <w:r w:rsidRPr="00A51BF6">
        <w:rPr>
          <w:rFonts w:ascii="Palatino Linotype" w:hAnsi="Palatino Linotype" w:cs="Arial"/>
          <w:b/>
          <w:sz w:val="28"/>
          <w:szCs w:val="28"/>
        </w:rPr>
        <w:t>VII.</w:t>
      </w:r>
      <w:r w:rsidRPr="00A51BF6">
        <w:rPr>
          <w:rFonts w:ascii="Palatino Linotype" w:hAnsi="Palatino Linotype" w:cs="Arial"/>
        </w:rPr>
        <w:t xml:space="preserve"> </w:t>
      </w:r>
      <w:r w:rsidR="00651BF4" w:rsidRPr="00A51BF6">
        <w:rPr>
          <w:rFonts w:ascii="Palatino Linotype" w:hAnsi="Palatino Linotype" w:cs="Arial"/>
        </w:rPr>
        <w:t xml:space="preserve">Transcurrido el plazo señalado en el párrafo anterior y, una vez analizado el estado procesal que guardaba el expediente, en fecha </w:t>
      </w:r>
      <w:r w:rsidR="005235A9" w:rsidRPr="00A51BF6">
        <w:rPr>
          <w:rFonts w:ascii="Palatino Linotype" w:hAnsi="Palatino Linotype" w:cs="Arial"/>
        </w:rPr>
        <w:t>treinta y uno de mayo</w:t>
      </w:r>
      <w:r w:rsidR="00D511AD" w:rsidRPr="00A51BF6">
        <w:rPr>
          <w:rFonts w:ascii="Palatino Linotype" w:hAnsi="Palatino Linotype" w:cs="Arial"/>
        </w:rPr>
        <w:t xml:space="preserve"> de dos mil diecinueve</w:t>
      </w:r>
      <w:r w:rsidR="00651BF4" w:rsidRPr="00A51BF6">
        <w:rPr>
          <w:rFonts w:ascii="Palatino Linotype" w:hAnsi="Palatino Linotype" w:cs="Arial"/>
        </w:rPr>
        <w:t>,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 y</w:t>
      </w:r>
    </w:p>
    <w:p w:rsidR="004A7130" w:rsidRPr="00A51BF6" w:rsidRDefault="004A716C" w:rsidP="004A716C">
      <w:pPr>
        <w:pStyle w:val="Prrafodelista"/>
        <w:tabs>
          <w:tab w:val="left" w:pos="567"/>
        </w:tabs>
        <w:spacing w:before="100" w:beforeAutospacing="1" w:after="100" w:afterAutospacing="1" w:line="360" w:lineRule="auto"/>
        <w:ind w:left="0"/>
        <w:jc w:val="both"/>
        <w:rPr>
          <w:rFonts w:ascii="Palatino Linotype" w:hAnsi="Palatino Linotype"/>
        </w:rPr>
      </w:pPr>
      <w:r w:rsidRPr="00A51BF6">
        <w:rPr>
          <w:rFonts w:ascii="Palatino Linotype" w:hAnsi="Palatino Linotype"/>
          <w:b/>
          <w:sz w:val="28"/>
          <w:szCs w:val="28"/>
        </w:rPr>
        <w:t>VIII.</w:t>
      </w:r>
      <w:r w:rsidRPr="00A51BF6">
        <w:rPr>
          <w:rFonts w:ascii="Palatino Linotype" w:hAnsi="Palatino Linotype"/>
        </w:rPr>
        <w:t xml:space="preserve"> </w:t>
      </w:r>
      <w:r w:rsidR="00FF56D0" w:rsidRPr="00A51BF6">
        <w:rPr>
          <w:rFonts w:ascii="Palatino Linotype" w:hAnsi="Palatino Linotype"/>
        </w:rPr>
        <w:t>En fecha primero de julio</w:t>
      </w:r>
      <w:r w:rsidR="00D511AD" w:rsidRPr="00A51BF6">
        <w:rPr>
          <w:rFonts w:ascii="Palatino Linotype" w:hAnsi="Palatino Linotype"/>
        </w:rPr>
        <w:t xml:space="preserve"> de dos mil diecinueve</w:t>
      </w:r>
      <w:r w:rsidR="004A7130" w:rsidRPr="00A51BF6">
        <w:rPr>
          <w:rFonts w:ascii="Palatino Linotype" w:hAnsi="Palatino Linotype"/>
        </w:rPr>
        <w:t>,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w:t>
      </w:r>
    </w:p>
    <w:p w:rsidR="00651BF4" w:rsidRPr="00A51BF6" w:rsidRDefault="00651BF4" w:rsidP="00C05991">
      <w:pPr>
        <w:spacing w:before="100" w:beforeAutospacing="1" w:after="100" w:afterAutospacing="1" w:line="360" w:lineRule="auto"/>
        <w:jc w:val="center"/>
        <w:rPr>
          <w:rFonts w:ascii="Palatino Linotype" w:hAnsi="Palatino Linotype"/>
          <w:b/>
          <w:bCs/>
          <w:spacing w:val="60"/>
          <w:sz w:val="28"/>
        </w:rPr>
      </w:pPr>
      <w:r w:rsidRPr="00A51BF6">
        <w:rPr>
          <w:rFonts w:ascii="Palatino Linotype" w:hAnsi="Palatino Linotype"/>
          <w:b/>
          <w:bCs/>
          <w:spacing w:val="60"/>
          <w:sz w:val="28"/>
        </w:rPr>
        <w:lastRenderedPageBreak/>
        <w:t>CONSIDERANDO</w:t>
      </w:r>
    </w:p>
    <w:p w:rsidR="00A229A7" w:rsidRPr="00A51BF6" w:rsidRDefault="004A716C" w:rsidP="004A716C">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sz w:val="28"/>
          <w:szCs w:val="28"/>
        </w:rPr>
        <w:t>PRIMERO</w:t>
      </w:r>
      <w:r w:rsidRPr="00A51BF6">
        <w:rPr>
          <w:rFonts w:ascii="Palatino Linotype" w:hAnsi="Palatino Linotype" w:cs="Arial"/>
          <w:b/>
        </w:rPr>
        <w:t xml:space="preserve">. </w:t>
      </w:r>
      <w:r w:rsidR="00651BF4" w:rsidRPr="00A51BF6">
        <w:rPr>
          <w:rFonts w:ascii="Palatino Linotype" w:hAnsi="Palatino Linotype" w:cs="Arial"/>
          <w:b/>
        </w:rPr>
        <w:t>Competencia.</w:t>
      </w:r>
      <w:r w:rsidR="00651BF4" w:rsidRPr="00A51BF6">
        <w:rPr>
          <w:rFonts w:ascii="Palatino Linotype" w:hAnsi="Palatino Linotype" w:cs="Arial"/>
        </w:rPr>
        <w:t xml:space="preserve"> </w:t>
      </w:r>
      <w:r w:rsidR="00A229A7" w:rsidRPr="00A51BF6">
        <w:rPr>
          <w:rFonts w:ascii="Palatino Linotype" w:hAnsi="Palatino Linotype" w:cs="Arial"/>
        </w:rPr>
        <w:t>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p>
    <w:p w:rsidR="00651BF4" w:rsidRPr="00A51BF6" w:rsidRDefault="004A716C" w:rsidP="004A716C">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sz w:val="28"/>
          <w:szCs w:val="28"/>
        </w:rPr>
        <w:t>SEGUNDO</w:t>
      </w:r>
      <w:r w:rsidRPr="00A51BF6">
        <w:rPr>
          <w:rFonts w:ascii="Palatino Linotype" w:hAnsi="Palatino Linotype" w:cs="Arial"/>
          <w:b/>
        </w:rPr>
        <w:t xml:space="preserve">. </w:t>
      </w:r>
      <w:r w:rsidR="00651BF4" w:rsidRPr="00A51BF6">
        <w:rPr>
          <w:rFonts w:ascii="Palatino Linotype" w:hAnsi="Palatino Linotype" w:cs="Arial"/>
          <w:b/>
        </w:rPr>
        <w:t>Interés.</w:t>
      </w:r>
      <w:r w:rsidR="00651BF4" w:rsidRPr="00A51BF6">
        <w:rPr>
          <w:rFonts w:ascii="Palatino Linotype" w:hAnsi="Palatino Linotype" w:cs="Arial"/>
        </w:rPr>
        <w:t xml:space="preserve"> El recurso de revisión fue interpuesto por parte legítima en atención a que fue presentado por </w:t>
      </w:r>
      <w:r w:rsidR="002B6C6F" w:rsidRPr="00A51BF6">
        <w:rPr>
          <w:rFonts w:ascii="Palatino Linotype" w:hAnsi="Palatino Linotype" w:cs="Arial"/>
          <w:b/>
        </w:rPr>
        <w:t>EL RECURRENTE</w:t>
      </w:r>
      <w:r w:rsidR="00651BF4" w:rsidRPr="00A51BF6">
        <w:rPr>
          <w:rFonts w:ascii="Palatino Linotype" w:hAnsi="Palatino Linotype" w:cs="Arial"/>
          <w:snapToGrid w:val="0"/>
        </w:rPr>
        <w:t xml:space="preserve">, quien </w:t>
      </w:r>
      <w:r w:rsidR="00D26252" w:rsidRPr="00A51BF6">
        <w:rPr>
          <w:rFonts w:ascii="Palatino Linotype" w:hAnsi="Palatino Linotype" w:cs="Arial"/>
          <w:snapToGrid w:val="0"/>
        </w:rPr>
        <w:t>es</w:t>
      </w:r>
      <w:r w:rsidR="00651BF4" w:rsidRPr="00A51BF6">
        <w:rPr>
          <w:rFonts w:ascii="Palatino Linotype" w:hAnsi="Palatino Linotype" w:cs="Arial"/>
          <w:snapToGrid w:val="0"/>
        </w:rPr>
        <w:t xml:space="preserve"> la misma persona que formuló la </w:t>
      </w:r>
      <w:r w:rsidR="00651BF4" w:rsidRPr="00A51BF6">
        <w:rPr>
          <w:rFonts w:ascii="Palatino Linotype" w:hAnsi="Palatino Linotype" w:cs="Arial"/>
        </w:rPr>
        <w:t>solicitud</w:t>
      </w:r>
      <w:r w:rsidR="00651BF4" w:rsidRPr="00A51BF6">
        <w:rPr>
          <w:rFonts w:ascii="Palatino Linotype" w:hAnsi="Palatino Linotype" w:cs="Arial"/>
          <w:snapToGrid w:val="0"/>
        </w:rPr>
        <w:t xml:space="preserve"> de información pública </w:t>
      </w:r>
      <w:r w:rsidR="00592E25" w:rsidRPr="00A51BF6">
        <w:rPr>
          <w:rFonts w:ascii="Palatino Linotype" w:hAnsi="Palatino Linotype" w:cs="Arial"/>
          <w:snapToGrid w:val="0"/>
        </w:rPr>
        <w:t xml:space="preserve">número </w:t>
      </w:r>
      <w:r w:rsidR="00E564FE" w:rsidRPr="00A51BF6">
        <w:rPr>
          <w:rFonts w:ascii="Palatino Linotype" w:hAnsi="Palatino Linotype" w:cs="Arial"/>
          <w:b/>
          <w:bCs/>
          <w:snapToGrid w:val="0"/>
        </w:rPr>
        <w:t>00045/ALMORI</w:t>
      </w:r>
      <w:r w:rsidR="00A229A7" w:rsidRPr="00A51BF6">
        <w:rPr>
          <w:rFonts w:ascii="Palatino Linotype" w:hAnsi="Palatino Linotype" w:cs="Arial"/>
          <w:b/>
          <w:bCs/>
          <w:snapToGrid w:val="0"/>
        </w:rPr>
        <w:t>/IP/2019</w:t>
      </w:r>
      <w:r w:rsidR="00592E25" w:rsidRPr="00A51BF6">
        <w:rPr>
          <w:rFonts w:ascii="Palatino Linotype" w:hAnsi="Palatino Linotype" w:cs="Arial"/>
          <w:b/>
          <w:bCs/>
          <w:snapToGrid w:val="0"/>
        </w:rPr>
        <w:t xml:space="preserve"> </w:t>
      </w:r>
      <w:r w:rsidR="00651BF4" w:rsidRPr="00A51BF6">
        <w:rPr>
          <w:rFonts w:ascii="Palatino Linotype" w:hAnsi="Palatino Linotype" w:cs="Arial"/>
          <w:snapToGrid w:val="0"/>
        </w:rPr>
        <w:t>al</w:t>
      </w:r>
      <w:r w:rsidR="00651BF4" w:rsidRPr="00A51BF6">
        <w:rPr>
          <w:rFonts w:ascii="Palatino Linotype" w:hAnsi="Palatino Linotype" w:cs="Arial"/>
          <w:b/>
          <w:snapToGrid w:val="0"/>
        </w:rPr>
        <w:t xml:space="preserve"> SUJETO OBLIGADO</w:t>
      </w:r>
      <w:r w:rsidR="00651BF4" w:rsidRPr="00A51BF6">
        <w:rPr>
          <w:rFonts w:ascii="Palatino Linotype" w:hAnsi="Palatino Linotype" w:cs="Arial"/>
        </w:rPr>
        <w:t>.</w:t>
      </w:r>
    </w:p>
    <w:p w:rsidR="00651BF4" w:rsidRPr="00A51BF6" w:rsidRDefault="004A716C" w:rsidP="004A716C">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A51BF6">
        <w:rPr>
          <w:rFonts w:ascii="Palatino Linotype" w:hAnsi="Palatino Linotype" w:cs="Arial"/>
          <w:b/>
          <w:sz w:val="28"/>
          <w:szCs w:val="28"/>
        </w:rPr>
        <w:t>TERCERO</w:t>
      </w:r>
      <w:r w:rsidRPr="00A51BF6">
        <w:rPr>
          <w:rFonts w:ascii="Palatino Linotype" w:hAnsi="Palatino Linotype" w:cs="Arial"/>
          <w:b/>
        </w:rPr>
        <w:t xml:space="preserve">. </w:t>
      </w:r>
      <w:r w:rsidR="00651BF4" w:rsidRPr="00A51BF6">
        <w:rPr>
          <w:rFonts w:ascii="Palatino Linotype" w:hAnsi="Palatino Linotype" w:cs="Arial"/>
          <w:b/>
        </w:rPr>
        <w:t xml:space="preserve">Oportunidad. </w:t>
      </w:r>
      <w:r w:rsidR="00651BF4" w:rsidRPr="00A51BF6">
        <w:rPr>
          <w:rFonts w:ascii="Palatino Linotype" w:hAnsi="Palatino Linotype" w:cs="Arial"/>
        </w:rPr>
        <w:t xml:space="preserve">El recurso de revisión fue interpuesto dentro del plazo de quince días hábiles contados a partir del día siguiente a aquel en que </w:t>
      </w:r>
      <w:r w:rsidR="002B6C6F" w:rsidRPr="00A51BF6">
        <w:rPr>
          <w:rFonts w:ascii="Palatino Linotype" w:hAnsi="Palatino Linotype" w:cs="Arial"/>
          <w:b/>
        </w:rPr>
        <w:t>EL RECURRENTE</w:t>
      </w:r>
      <w:r w:rsidR="00651BF4" w:rsidRPr="00A51BF6">
        <w:rPr>
          <w:rFonts w:ascii="Palatino Linotype" w:hAnsi="Palatino Linotype" w:cs="Arial"/>
          <w:b/>
        </w:rPr>
        <w:t xml:space="preserve"> </w:t>
      </w:r>
      <w:r w:rsidR="00651BF4" w:rsidRPr="00A51BF6">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rsidR="00651BF4" w:rsidRPr="00A51BF6" w:rsidRDefault="00651BF4" w:rsidP="004A716C">
      <w:pPr>
        <w:ind w:left="709" w:right="760"/>
        <w:jc w:val="both"/>
        <w:rPr>
          <w:rFonts w:ascii="Palatino Linotype" w:hAnsi="Palatino Linotype" w:cs="Arial"/>
          <w:i/>
          <w:sz w:val="22"/>
        </w:rPr>
      </w:pPr>
      <w:r w:rsidRPr="00A51BF6">
        <w:rPr>
          <w:rFonts w:ascii="Palatino Linotype" w:hAnsi="Palatino Linotype" w:cs="Arial"/>
          <w:i/>
          <w:sz w:val="22"/>
        </w:rPr>
        <w:t>“</w:t>
      </w:r>
      <w:r w:rsidRPr="00A51BF6">
        <w:rPr>
          <w:rFonts w:ascii="Palatino Linotype" w:hAnsi="Palatino Linotype" w:cs="Arial"/>
          <w:b/>
          <w:i/>
          <w:sz w:val="22"/>
        </w:rPr>
        <w:t>Artículo 178.</w:t>
      </w:r>
      <w:r w:rsidRPr="00A51BF6">
        <w:rPr>
          <w:rFonts w:ascii="Palatino Linotype" w:hAnsi="Palatino Linotype" w:cs="Arial"/>
          <w:i/>
          <w:sz w:val="22"/>
        </w:rPr>
        <w:t xml:space="preserve"> El solicitante podrá interponer, por sí mismo o a través de su representante, de manera directa o por medios electrónicos, recurso de revisión ante el </w:t>
      </w:r>
      <w:r w:rsidRPr="00A51BF6">
        <w:rPr>
          <w:rFonts w:ascii="Palatino Linotype" w:hAnsi="Palatino Linotype" w:cs="Arial"/>
          <w:i/>
          <w:sz w:val="22"/>
        </w:rPr>
        <w:lastRenderedPageBreak/>
        <w:t>Instituto o ante la Unidad de Transparencia que haya conocido de la solicitud dentro de los quince días hábiles, siguientes a la fecha de la notificación de la respuesta.</w:t>
      </w:r>
    </w:p>
    <w:p w:rsidR="004A716C" w:rsidRPr="00A51BF6" w:rsidRDefault="004A716C" w:rsidP="004A716C">
      <w:pPr>
        <w:ind w:left="709" w:right="760"/>
        <w:jc w:val="both"/>
        <w:rPr>
          <w:rFonts w:ascii="Palatino Linotype" w:hAnsi="Palatino Linotype" w:cs="Arial"/>
          <w:i/>
          <w:sz w:val="22"/>
        </w:rPr>
      </w:pPr>
    </w:p>
    <w:p w:rsidR="00651BF4" w:rsidRPr="00A51BF6" w:rsidRDefault="00651BF4" w:rsidP="004A716C">
      <w:pPr>
        <w:ind w:left="709" w:right="760"/>
        <w:jc w:val="both"/>
        <w:rPr>
          <w:rFonts w:ascii="Palatino Linotype" w:hAnsi="Palatino Linotype" w:cs="Arial"/>
          <w:i/>
          <w:sz w:val="22"/>
        </w:rPr>
      </w:pPr>
      <w:r w:rsidRPr="00A51BF6">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651BF4" w:rsidRPr="00A51BF6" w:rsidRDefault="00651BF4" w:rsidP="004A716C">
      <w:pPr>
        <w:ind w:left="709" w:right="760"/>
        <w:jc w:val="both"/>
        <w:rPr>
          <w:rFonts w:ascii="Palatino Linotype" w:hAnsi="Palatino Linotype" w:cs="Arial"/>
          <w:i/>
          <w:sz w:val="22"/>
        </w:rPr>
      </w:pPr>
    </w:p>
    <w:p w:rsidR="00651BF4" w:rsidRPr="00A51BF6" w:rsidRDefault="00651BF4" w:rsidP="004A716C">
      <w:pPr>
        <w:ind w:left="709" w:right="760"/>
        <w:jc w:val="both"/>
        <w:rPr>
          <w:rFonts w:ascii="Palatino Linotype" w:hAnsi="Palatino Linotype" w:cs="Arial"/>
          <w:i/>
          <w:sz w:val="22"/>
        </w:rPr>
      </w:pPr>
      <w:r w:rsidRPr="00A51BF6">
        <w:rPr>
          <w:rFonts w:ascii="Palatino Linotype" w:hAnsi="Palatino Linotype" w:cs="Arial"/>
          <w:i/>
          <w:sz w:val="22"/>
        </w:rPr>
        <w:t xml:space="preserve">En el caso de que se interponga ante la Unidad de Transparencia, ésta deberá remitir el recurso de revisión al Instituto a más tardar al día </w:t>
      </w:r>
      <w:r w:rsidRPr="00A51BF6">
        <w:rPr>
          <w:rFonts w:ascii="Palatino Linotype" w:hAnsi="Palatino Linotype" w:cs="Arial"/>
          <w:i/>
          <w:sz w:val="22"/>
          <w:lang w:eastAsia="es-MX"/>
        </w:rPr>
        <w:t>siguiente</w:t>
      </w:r>
      <w:r w:rsidRPr="00A51BF6">
        <w:rPr>
          <w:rFonts w:ascii="Palatino Linotype" w:hAnsi="Palatino Linotype" w:cs="Arial"/>
          <w:i/>
          <w:sz w:val="22"/>
        </w:rPr>
        <w:t xml:space="preserve"> de haberlo recibido.”</w:t>
      </w:r>
    </w:p>
    <w:p w:rsidR="006F431C" w:rsidRPr="00A51BF6" w:rsidRDefault="00651BF4" w:rsidP="00C05991">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En esa tesitura, atendiendo a que </w:t>
      </w:r>
      <w:r w:rsidRPr="00A51BF6">
        <w:rPr>
          <w:rFonts w:ascii="Palatino Linotype" w:hAnsi="Palatino Linotype" w:cs="Arial"/>
          <w:b/>
        </w:rPr>
        <w:t>EL SUJETO OBLIGADO</w:t>
      </w:r>
      <w:r w:rsidRPr="00A51BF6">
        <w:rPr>
          <w:rFonts w:ascii="Palatino Linotype" w:hAnsi="Palatino Linotype" w:cs="Arial"/>
        </w:rPr>
        <w:t xml:space="preserve"> notificó la respuesta a la solicitud de información pública el día</w:t>
      </w:r>
      <w:r w:rsidRPr="00A51BF6">
        <w:rPr>
          <w:rFonts w:ascii="Palatino Linotype" w:hAnsi="Palatino Linotype" w:cs="Arial"/>
          <w:b/>
        </w:rPr>
        <w:t xml:space="preserve"> </w:t>
      </w:r>
      <w:r w:rsidR="00E564FE" w:rsidRPr="00A51BF6">
        <w:rPr>
          <w:rFonts w:ascii="Palatino Linotype" w:hAnsi="Palatino Linotype" w:cs="Arial"/>
          <w:b/>
        </w:rPr>
        <w:t>nueve</w:t>
      </w:r>
      <w:r w:rsidR="006F431C" w:rsidRPr="00A51BF6">
        <w:rPr>
          <w:rFonts w:ascii="Palatino Linotype" w:hAnsi="Palatino Linotype" w:cs="Arial"/>
          <w:b/>
        </w:rPr>
        <w:t xml:space="preserve"> de mayo de dos mil diecinueve</w:t>
      </w:r>
      <w:r w:rsidRPr="00A51BF6">
        <w:rPr>
          <w:rFonts w:ascii="Palatino Linotype" w:hAnsi="Palatino Linotype" w:cs="Arial"/>
        </w:rPr>
        <w:t>; sí, el plazo de quince días hábiles que el artículo 178 de la Ley de la materia otorga a</w:t>
      </w:r>
      <w:r w:rsidR="00E87E5F" w:rsidRPr="00A51BF6">
        <w:rPr>
          <w:rFonts w:ascii="Palatino Linotype" w:hAnsi="Palatino Linotype" w:cs="Arial"/>
        </w:rPr>
        <w:t>l</w:t>
      </w:r>
      <w:r w:rsidR="002B6C6F" w:rsidRPr="00A51BF6">
        <w:rPr>
          <w:rFonts w:ascii="Palatino Linotype" w:hAnsi="Palatino Linotype" w:cs="Arial"/>
          <w:b/>
        </w:rPr>
        <w:t xml:space="preserve"> RECURRENTE</w:t>
      </w:r>
      <w:r w:rsidRPr="00A51BF6">
        <w:rPr>
          <w:rFonts w:ascii="Palatino Linotype" w:hAnsi="Palatino Linotype" w:cs="Arial"/>
        </w:rPr>
        <w:t xml:space="preserve"> para presentar el recurso de revisión, transcurrió del </w:t>
      </w:r>
      <w:r w:rsidR="00E564FE" w:rsidRPr="00A51BF6">
        <w:rPr>
          <w:rFonts w:ascii="Palatino Linotype" w:hAnsi="Palatino Linotype" w:cs="Arial"/>
          <w:b/>
        </w:rPr>
        <w:t xml:space="preserve">diez </w:t>
      </w:r>
      <w:r w:rsidR="00C84767" w:rsidRPr="00A51BF6">
        <w:rPr>
          <w:rFonts w:ascii="Palatino Linotype" w:hAnsi="Palatino Linotype" w:cs="Arial"/>
          <w:b/>
        </w:rPr>
        <w:t>a</w:t>
      </w:r>
      <w:r w:rsidR="003356AF" w:rsidRPr="00A51BF6">
        <w:rPr>
          <w:rFonts w:ascii="Palatino Linotype" w:hAnsi="Palatino Linotype" w:cs="Arial"/>
          <w:b/>
        </w:rPr>
        <w:t xml:space="preserve">l </w:t>
      </w:r>
      <w:r w:rsidR="00E564FE" w:rsidRPr="00A51BF6">
        <w:rPr>
          <w:rFonts w:ascii="Palatino Linotype" w:hAnsi="Palatino Linotype" w:cs="Arial"/>
          <w:b/>
        </w:rPr>
        <w:t>treinta de mayo</w:t>
      </w:r>
      <w:r w:rsidR="00AF5675" w:rsidRPr="00A51BF6">
        <w:rPr>
          <w:rFonts w:ascii="Palatino Linotype" w:hAnsi="Palatino Linotype" w:cs="Arial"/>
          <w:b/>
        </w:rPr>
        <w:t xml:space="preserve"> </w:t>
      </w:r>
      <w:r w:rsidR="006F431C" w:rsidRPr="00A51BF6">
        <w:rPr>
          <w:rFonts w:ascii="Palatino Linotype" w:hAnsi="Palatino Linotype" w:cs="Arial"/>
          <w:b/>
        </w:rPr>
        <w:t>de dos mil diecinueve</w:t>
      </w:r>
      <w:r w:rsidRPr="00A51BF6">
        <w:rPr>
          <w:rFonts w:ascii="Palatino Linotype" w:hAnsi="Palatino Linotype" w:cs="Arial"/>
        </w:rPr>
        <w:t xml:space="preserve">, sin contemplar en el cómputo los días </w:t>
      </w:r>
      <w:r w:rsidR="004A716C" w:rsidRPr="00A51BF6">
        <w:rPr>
          <w:rFonts w:ascii="Palatino Linotype" w:hAnsi="Palatino Linotype" w:cs="Arial"/>
        </w:rPr>
        <w:t xml:space="preserve">once, doce, dieciocho, diecinueve, veinticinco y veintiséis de </w:t>
      </w:r>
      <w:r w:rsidR="006F431C" w:rsidRPr="00A51BF6">
        <w:rPr>
          <w:rFonts w:ascii="Palatino Linotype" w:hAnsi="Palatino Linotype" w:cs="Arial"/>
        </w:rPr>
        <w:t>mayo</w:t>
      </w:r>
      <w:r w:rsidR="004A716C" w:rsidRPr="00A51BF6">
        <w:rPr>
          <w:rFonts w:ascii="Palatino Linotype" w:hAnsi="Palatino Linotype" w:cs="Arial"/>
        </w:rPr>
        <w:t xml:space="preserve"> del presente año</w:t>
      </w:r>
      <w:r w:rsidR="006F431C" w:rsidRPr="00A51BF6">
        <w:rPr>
          <w:rFonts w:ascii="Palatino Linotype" w:hAnsi="Palatino Linotype" w:cs="Arial"/>
        </w:rPr>
        <w:t xml:space="preserve">; </w:t>
      </w:r>
      <w:r w:rsidRPr="00A51BF6">
        <w:rPr>
          <w:rFonts w:ascii="Palatino Linotype" w:hAnsi="Palatino Linotype" w:cs="Arial"/>
        </w:rPr>
        <w:t xml:space="preserve">por corresponder a sábados y domingos, considerados como días inhábiles, en términos del artículo 3 fracción X de la </w:t>
      </w:r>
      <w:r w:rsidRPr="00A51BF6">
        <w:rPr>
          <w:rFonts w:ascii="Palatino Linotype" w:hAnsi="Palatino Linotype"/>
        </w:rPr>
        <w:t>Ley de Transparencia y Acceso a la Información Pública del Estado de México y Municipios</w:t>
      </w:r>
      <w:r w:rsidR="006F431C" w:rsidRPr="00A51BF6">
        <w:rPr>
          <w:rFonts w:ascii="Palatino Linotype" w:hAnsi="Palatino Linotype"/>
        </w:rPr>
        <w:t>.</w:t>
      </w:r>
    </w:p>
    <w:p w:rsidR="00651BF4" w:rsidRPr="00A51BF6" w:rsidRDefault="00651BF4" w:rsidP="00C05991">
      <w:pPr>
        <w:spacing w:before="100" w:beforeAutospacing="1" w:after="100" w:afterAutospacing="1" w:line="360" w:lineRule="auto"/>
        <w:jc w:val="both"/>
        <w:rPr>
          <w:rFonts w:ascii="Palatino Linotype" w:hAnsi="Palatino Linotype" w:cs="Arial"/>
          <w:b/>
          <w:u w:val="single"/>
        </w:rPr>
      </w:pPr>
      <w:r w:rsidRPr="00A51BF6">
        <w:rPr>
          <w:rFonts w:ascii="Palatino Linotype" w:hAnsi="Palatino Linotype" w:cs="Arial"/>
        </w:rPr>
        <w:t>En ese tenor, si el recurso de revisión que nos ocupa, se interpuso el</w:t>
      </w:r>
      <w:r w:rsidRPr="00A51BF6">
        <w:rPr>
          <w:rFonts w:ascii="Palatino Linotype" w:hAnsi="Palatino Linotype" w:cs="Arial"/>
          <w:b/>
        </w:rPr>
        <w:t xml:space="preserve"> </w:t>
      </w:r>
      <w:r w:rsidR="00C478EB" w:rsidRPr="00A51BF6">
        <w:rPr>
          <w:rFonts w:ascii="Palatino Linotype" w:hAnsi="Palatino Linotype" w:cs="Arial"/>
          <w:b/>
        </w:rPr>
        <w:t xml:space="preserve">catorce </w:t>
      </w:r>
      <w:r w:rsidR="006F431C" w:rsidRPr="00A51BF6">
        <w:rPr>
          <w:rFonts w:ascii="Palatino Linotype" w:hAnsi="Palatino Linotype" w:cs="Arial"/>
          <w:b/>
        </w:rPr>
        <w:t>de mayode dos mil diecinueve</w:t>
      </w:r>
      <w:r w:rsidRPr="00A51BF6">
        <w:rPr>
          <w:rFonts w:ascii="Palatino Linotype" w:hAnsi="Palatino Linotype" w:cs="Arial"/>
        </w:rPr>
        <w:t>, éste se encuentra dentro de los márgenes temporales previstos en el precepto legal citado en el párrafo anterior y, por tanto, su interposición se considera oportuna.</w:t>
      </w:r>
    </w:p>
    <w:p w:rsidR="00465EE6" w:rsidRPr="00A51BF6" w:rsidRDefault="00465EE6" w:rsidP="00C05991">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b/>
        </w:rPr>
        <w:t xml:space="preserve">CUARTO. </w:t>
      </w:r>
      <w:r w:rsidR="003356AF" w:rsidRPr="00A51BF6">
        <w:rPr>
          <w:rFonts w:ascii="Palatino Linotype" w:hAnsi="Palatino Linotype" w:cs="Arial"/>
          <w:b/>
        </w:rPr>
        <w:t>Procedibilidad.</w:t>
      </w:r>
      <w:r w:rsidR="003356AF" w:rsidRPr="00A51BF6">
        <w:rPr>
          <w:rFonts w:ascii="Palatino Linotype" w:hAnsi="Palatino Linotype" w:cs="Arial"/>
        </w:rPr>
        <w:t xml:space="preserve"> </w:t>
      </w:r>
      <w:r w:rsidRPr="00A51BF6">
        <w:rPr>
          <w:rFonts w:ascii="Palatino Linotype" w:hAnsi="Palatino Linotype" w:cs="Arial"/>
        </w:rPr>
        <w:t xml:space="preserve">Del análisis efectuado, se advierte la procedibilidad del presente recurso de revisión, en razón de acreditación plena de todos y cada uno de los elementos formales exigidos por el artículo 180 de la Ley de Transparencia y Acceso a la Información Pública del Estado de México y Municipios, en atención a que fue </w:t>
      </w:r>
      <w:r w:rsidRPr="00A51BF6">
        <w:rPr>
          <w:rFonts w:ascii="Palatino Linotype" w:hAnsi="Palatino Linotype" w:cs="Arial"/>
        </w:rPr>
        <w:lastRenderedPageBreak/>
        <w:t xml:space="preserve">presentado mediante el formato visible, a través de la Plataforma Nacional de Trasparencia vinculada al </w:t>
      </w:r>
      <w:r w:rsidRPr="00A51BF6">
        <w:rPr>
          <w:rFonts w:ascii="Palatino Linotype" w:hAnsi="Palatino Linotype" w:cs="Arial"/>
          <w:b/>
        </w:rPr>
        <w:t>SAIMEX.</w:t>
      </w:r>
    </w:p>
    <w:p w:rsidR="00E647D6" w:rsidRPr="00A51BF6" w:rsidRDefault="00E647D6" w:rsidP="00E647D6">
      <w:pPr>
        <w:spacing w:line="360" w:lineRule="auto"/>
        <w:jc w:val="both"/>
        <w:textAlignment w:val="baseline"/>
        <w:rPr>
          <w:rFonts w:ascii="Palatino Linotype" w:hAnsi="Palatino Linotype" w:cs="Arial"/>
          <w:lang w:val="es-ES" w:eastAsia="es-MX"/>
        </w:rPr>
      </w:pPr>
      <w:r w:rsidRPr="00A51BF6">
        <w:rPr>
          <w:rFonts w:ascii="Palatino Linotype" w:hAnsi="Palatino Linotype"/>
          <w:b/>
          <w:color w:val="000000" w:themeColor="text1"/>
          <w:sz w:val="28"/>
          <w:lang w:eastAsia="es-MX"/>
        </w:rPr>
        <w:t>QUINTO</w:t>
      </w:r>
      <w:r w:rsidRPr="00A51BF6">
        <w:rPr>
          <w:rFonts w:ascii="Palatino Linotype" w:hAnsi="Palatino Linotype" w:cs="Arial"/>
          <w:b/>
          <w:color w:val="000000" w:themeColor="text1"/>
          <w:lang w:eastAsia="es-MX"/>
        </w:rPr>
        <w:t xml:space="preserve">. </w:t>
      </w:r>
      <w:r w:rsidRPr="00A51BF6">
        <w:rPr>
          <w:rFonts w:ascii="Palatino Linotype" w:hAnsi="Palatino Linotype" w:cs="Arial"/>
          <w:b/>
          <w:color w:val="000000" w:themeColor="text1"/>
          <w:lang w:val="es-ES" w:eastAsia="es-MX"/>
        </w:rPr>
        <w:t>Estudio y resolución del asunto.</w:t>
      </w:r>
      <w:r w:rsidRPr="00A51BF6">
        <w:rPr>
          <w:rFonts w:ascii="Palatino Linotype" w:hAnsi="Palatino Linotype" w:cs="Arial"/>
          <w:color w:val="000000" w:themeColor="text1"/>
          <w:lang w:val="es-ES" w:eastAsia="es-MX"/>
        </w:rPr>
        <w:t xml:space="preserve"> Del análisis efectuado, se advierte que el </w:t>
      </w:r>
      <w:r w:rsidRPr="00A51BF6">
        <w:rPr>
          <w:rFonts w:ascii="Palatino Linotype" w:hAnsi="Palatino Linotype" w:cs="Arial"/>
          <w:lang w:val="es-ES" w:eastAsia="es-MX"/>
        </w:rPr>
        <w:t>presente recurso de revisión es procedente, pues se actualiza la hipótesis prevista en la fracción V del artículo 179 de la ley de la materia, el cual a la letra dice:</w:t>
      </w:r>
    </w:p>
    <w:p w:rsidR="00E647D6" w:rsidRPr="00A51BF6" w:rsidRDefault="00E647D6" w:rsidP="00E647D6">
      <w:pPr>
        <w:ind w:left="851" w:right="901"/>
        <w:jc w:val="both"/>
        <w:rPr>
          <w:rFonts w:ascii="Palatino Linotype" w:hAnsi="Palatino Linotype" w:cs="Arial"/>
          <w:i/>
          <w:color w:val="000000"/>
          <w:sz w:val="22"/>
          <w:szCs w:val="22"/>
          <w:lang w:val="es-ES"/>
        </w:rPr>
      </w:pPr>
      <w:r w:rsidRPr="00A51BF6">
        <w:rPr>
          <w:rFonts w:ascii="Palatino Linotype" w:hAnsi="Palatino Linotype" w:cs="Arial"/>
          <w:i/>
          <w:color w:val="000000"/>
          <w:sz w:val="22"/>
          <w:szCs w:val="22"/>
          <w:lang w:val="es-ES"/>
        </w:rPr>
        <w:t>“</w:t>
      </w:r>
      <w:r w:rsidRPr="00A51BF6">
        <w:rPr>
          <w:rFonts w:ascii="Palatino Linotype" w:hAnsi="Palatino Linotype" w:cs="Arial"/>
          <w:b/>
          <w:i/>
          <w:color w:val="000000"/>
          <w:sz w:val="22"/>
          <w:szCs w:val="22"/>
          <w:lang w:val="es-ES"/>
        </w:rPr>
        <w:t>Artículo 179.</w:t>
      </w:r>
      <w:r w:rsidRPr="00A51BF6">
        <w:rPr>
          <w:rFonts w:ascii="Palatino Linotype" w:hAnsi="Palatino Linotype" w:cs="Arial"/>
          <w:i/>
          <w:color w:val="000000"/>
          <w:sz w:val="22"/>
          <w:szCs w:val="22"/>
          <w:lang w:val="es-ES"/>
        </w:rPr>
        <w:t xml:space="preserve"> El recurso de revisión es un medio de protección que la Ley otorga a los particulares, para hacer valer su derecho de acceso a la información pública, y procederá en contra de las siguientes causas:</w:t>
      </w:r>
    </w:p>
    <w:p w:rsidR="00E647D6" w:rsidRPr="00A51BF6" w:rsidRDefault="00E647D6" w:rsidP="00E647D6">
      <w:pPr>
        <w:ind w:left="851" w:right="901"/>
        <w:jc w:val="both"/>
        <w:rPr>
          <w:rFonts w:ascii="Palatino Linotype" w:hAnsi="Palatino Linotype" w:cs="Arial"/>
          <w:i/>
          <w:color w:val="000000"/>
          <w:sz w:val="22"/>
          <w:szCs w:val="22"/>
          <w:lang w:val="es-ES"/>
        </w:rPr>
      </w:pPr>
      <w:r w:rsidRPr="00A51BF6">
        <w:rPr>
          <w:rFonts w:ascii="Palatino Linotype" w:hAnsi="Palatino Linotype" w:cs="Arial"/>
          <w:i/>
          <w:color w:val="000000"/>
          <w:sz w:val="22"/>
          <w:szCs w:val="22"/>
          <w:lang w:val="es-ES"/>
        </w:rPr>
        <w:t>…</w:t>
      </w:r>
    </w:p>
    <w:p w:rsidR="00E647D6" w:rsidRPr="00A51BF6" w:rsidRDefault="00E647D6" w:rsidP="00E647D6">
      <w:pPr>
        <w:ind w:left="851" w:right="901"/>
        <w:jc w:val="both"/>
        <w:rPr>
          <w:rFonts w:ascii="Palatino Linotype" w:hAnsi="Palatino Linotype" w:cs="Arial"/>
          <w:i/>
          <w:color w:val="000000"/>
          <w:sz w:val="22"/>
          <w:szCs w:val="22"/>
          <w:lang w:val="es-ES"/>
        </w:rPr>
      </w:pPr>
      <w:r w:rsidRPr="00A51BF6">
        <w:rPr>
          <w:rFonts w:ascii="Palatino Linotype" w:hAnsi="Palatino Linotype" w:cs="Arial"/>
          <w:i/>
          <w:color w:val="000000"/>
          <w:sz w:val="22"/>
          <w:szCs w:val="22"/>
          <w:lang w:val="es-ES"/>
        </w:rPr>
        <w:t>V. La entrega de información incompleta;</w:t>
      </w:r>
    </w:p>
    <w:p w:rsidR="00E647D6" w:rsidRPr="00A51BF6" w:rsidRDefault="00E647D6" w:rsidP="00E647D6">
      <w:pPr>
        <w:ind w:left="851" w:right="901"/>
        <w:jc w:val="both"/>
        <w:rPr>
          <w:rFonts w:ascii="Palatino Linotype" w:hAnsi="Palatino Linotype" w:cs="Arial"/>
          <w:b/>
          <w:i/>
          <w:color w:val="000000"/>
          <w:sz w:val="22"/>
          <w:szCs w:val="22"/>
          <w:lang w:val="es-ES"/>
        </w:rPr>
      </w:pPr>
      <w:r w:rsidRPr="00A51BF6">
        <w:rPr>
          <w:rFonts w:ascii="Palatino Linotype" w:hAnsi="Palatino Linotype" w:cs="Arial"/>
          <w:b/>
          <w:i/>
          <w:color w:val="000000"/>
          <w:sz w:val="22"/>
          <w:szCs w:val="22"/>
          <w:lang w:val="es-ES"/>
        </w:rPr>
        <w:t>…</w:t>
      </w:r>
      <w:r w:rsidRPr="00A51BF6">
        <w:rPr>
          <w:rFonts w:ascii="Palatino Linotype" w:hAnsi="Palatino Linotype" w:cs="Arial"/>
          <w:i/>
          <w:color w:val="000000"/>
          <w:sz w:val="22"/>
          <w:szCs w:val="22"/>
          <w:lang w:val="es-ES"/>
        </w:rPr>
        <w:t>”</w:t>
      </w:r>
    </w:p>
    <w:p w:rsidR="00E647D6" w:rsidRPr="00A51BF6" w:rsidRDefault="00E647D6" w:rsidP="00E647D6">
      <w:pPr>
        <w:ind w:left="851" w:right="901"/>
        <w:jc w:val="both"/>
        <w:rPr>
          <w:rFonts w:ascii="Palatino Linotype" w:hAnsi="Palatino Linotype" w:cs="Arial"/>
          <w:i/>
          <w:color w:val="000000"/>
          <w:sz w:val="22"/>
          <w:szCs w:val="22"/>
          <w:lang w:val="es-ES"/>
        </w:rPr>
      </w:pPr>
      <w:r w:rsidRPr="00A51BF6">
        <w:rPr>
          <w:rFonts w:ascii="Palatino Linotype" w:hAnsi="Palatino Linotype" w:cs="Arial"/>
          <w:i/>
          <w:color w:val="000000"/>
          <w:sz w:val="22"/>
          <w:szCs w:val="22"/>
          <w:lang w:val="es-ES"/>
        </w:rPr>
        <w:t>(Énfasis añadido)</w:t>
      </w:r>
    </w:p>
    <w:p w:rsidR="00E647D6" w:rsidRPr="00A51BF6" w:rsidRDefault="00E647D6" w:rsidP="00E647D6">
      <w:pPr>
        <w:ind w:left="851" w:right="901"/>
        <w:jc w:val="both"/>
        <w:rPr>
          <w:rFonts w:ascii="Palatino Linotype" w:hAnsi="Palatino Linotype" w:cs="Arial"/>
          <w:i/>
          <w:color w:val="000000"/>
          <w:szCs w:val="22"/>
          <w:lang w:val="es-ES"/>
        </w:rPr>
      </w:pPr>
    </w:p>
    <w:p w:rsidR="00E647D6" w:rsidRPr="00A51BF6" w:rsidRDefault="00E647D6" w:rsidP="00C53E3F">
      <w:pPr>
        <w:widowControl w:val="0"/>
        <w:autoSpaceDE w:val="0"/>
        <w:autoSpaceDN w:val="0"/>
        <w:adjustRightInd w:val="0"/>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lang w:val="es-ES"/>
        </w:rPr>
        <w:t xml:space="preserve">El precepto legal citado, establece como supuestos de procedencia del recurso de revisión, en aquellos casos en que se proporcione una respuesta incompleta a lo solicitado; por lo que, en el presente caso, </w:t>
      </w:r>
      <w:r w:rsidRPr="00A51BF6">
        <w:rPr>
          <w:rFonts w:ascii="Palatino Linotype" w:hAnsi="Palatino Linotype" w:cs="Arial"/>
          <w:b/>
          <w:lang w:val="es-ES"/>
        </w:rPr>
        <w:t>EL SUJETO OBLIGADO</w:t>
      </w:r>
      <w:r w:rsidRPr="00A51BF6">
        <w:rPr>
          <w:rFonts w:ascii="Palatino Linotype" w:hAnsi="Palatino Linotype" w:cs="Arial"/>
          <w:lang w:val="es-ES"/>
        </w:rPr>
        <w:t xml:space="preserve"> dio respuesta de forma parcial a lo requerido por </w:t>
      </w:r>
      <w:r w:rsidRPr="00A51BF6">
        <w:rPr>
          <w:rFonts w:ascii="Palatino Linotype" w:hAnsi="Palatino Linotype" w:cs="Arial"/>
          <w:b/>
          <w:lang w:val="es-ES"/>
        </w:rPr>
        <w:t xml:space="preserve">EL RECURRENTE </w:t>
      </w:r>
      <w:r w:rsidRPr="00A51BF6">
        <w:rPr>
          <w:rFonts w:ascii="Palatino Linotype" w:hAnsi="Palatino Linotype" w:cs="Arial"/>
          <w:lang w:val="es-ES"/>
        </w:rPr>
        <w:t>en su solicitud de información pública.</w:t>
      </w:r>
    </w:p>
    <w:p w:rsidR="00CC05D8" w:rsidRPr="00A51BF6" w:rsidRDefault="00CC05D8" w:rsidP="00CC05D8">
      <w:pPr>
        <w:widowControl w:val="0"/>
        <w:autoSpaceDE w:val="0"/>
        <w:autoSpaceDN w:val="0"/>
        <w:adjustRightInd w:val="0"/>
        <w:spacing w:before="120" w:line="360" w:lineRule="auto"/>
        <w:jc w:val="both"/>
        <w:rPr>
          <w:rFonts w:ascii="Palatino Linotype" w:hAnsi="Palatino Linotype" w:cs="Arial"/>
          <w:lang w:val="es-ES"/>
        </w:rPr>
      </w:pPr>
      <w:r w:rsidRPr="00A51BF6">
        <w:rPr>
          <w:rFonts w:ascii="Palatino Linotype" w:hAnsi="Palatino Linotype" w:cs="Arial"/>
        </w:rPr>
        <w:t xml:space="preserve">Una vez determinada la vía, sobre la que versará el presente estudio, </w:t>
      </w:r>
      <w:r w:rsidRPr="00A51BF6">
        <w:rPr>
          <w:rFonts w:ascii="Palatino Linotype" w:hAnsi="Palatino Linotype" w:cs="Arial"/>
          <w:lang w:val="es-ES"/>
        </w:rPr>
        <w:t>se puede advertir que</w:t>
      </w:r>
      <w:r w:rsidRPr="00A51BF6">
        <w:rPr>
          <w:rFonts w:ascii="Palatino Linotype" w:hAnsi="Palatino Linotype" w:cs="Arial"/>
          <w:b/>
          <w:lang w:val="es-ES"/>
        </w:rPr>
        <w:t xml:space="preserve"> EL RECURRENTE </w:t>
      </w:r>
      <w:r w:rsidRPr="00A51BF6">
        <w:rPr>
          <w:rFonts w:ascii="Palatino Linotype" w:hAnsi="Palatino Linotype" w:cs="Arial"/>
          <w:lang w:val="es-ES"/>
        </w:rPr>
        <w:t xml:space="preserve">solicitó del </w:t>
      </w:r>
      <w:r w:rsidRPr="00A51BF6">
        <w:rPr>
          <w:rFonts w:ascii="Palatino Linotype" w:hAnsi="Palatino Linotype" w:cs="Arial"/>
          <w:b/>
        </w:rPr>
        <w:t>SUJETO OBLIGADO</w:t>
      </w:r>
      <w:r w:rsidRPr="00A51BF6">
        <w:rPr>
          <w:rFonts w:ascii="Palatino Linotype" w:hAnsi="Palatino Linotype" w:cs="Arial"/>
          <w:bCs/>
          <w:lang w:val="es-ES"/>
        </w:rPr>
        <w:t>,</w:t>
      </w:r>
      <w:r w:rsidRPr="00A51BF6">
        <w:rPr>
          <w:rFonts w:ascii="Palatino Linotype" w:hAnsi="Palatino Linotype" w:cs="Arial"/>
          <w:lang w:val="es-ES"/>
        </w:rPr>
        <w:t xml:space="preserve"> le remitiera vía </w:t>
      </w:r>
      <w:r w:rsidRPr="00A51BF6">
        <w:rPr>
          <w:rFonts w:ascii="Palatino Linotype" w:hAnsi="Palatino Linotype" w:cs="Arial"/>
          <w:b/>
          <w:lang w:val="es-ES"/>
        </w:rPr>
        <w:t>SAIMEX</w:t>
      </w:r>
      <w:r w:rsidRPr="00A51BF6">
        <w:rPr>
          <w:rFonts w:ascii="Palatino Linotype" w:hAnsi="Palatino Linotype" w:cs="Arial"/>
          <w:lang w:val="es-ES"/>
        </w:rPr>
        <w:t>, lo siguiente:</w:t>
      </w:r>
    </w:p>
    <w:p w:rsidR="00CC05D8" w:rsidRPr="00A51BF6" w:rsidRDefault="00CC05D8" w:rsidP="00625F9A">
      <w:pPr>
        <w:numPr>
          <w:ilvl w:val="0"/>
          <w:numId w:val="3"/>
        </w:numPr>
        <w:ind w:right="899"/>
        <w:contextualSpacing/>
        <w:jc w:val="both"/>
        <w:rPr>
          <w:rFonts w:ascii="Palatino Linotype" w:hAnsi="Palatino Linotype" w:cs="Arial"/>
          <w:sz w:val="22"/>
          <w:szCs w:val="22"/>
        </w:rPr>
      </w:pPr>
      <w:r w:rsidRPr="00A51BF6">
        <w:rPr>
          <w:rFonts w:ascii="Palatino Linotype" w:hAnsi="Palatino Linotype" w:cs="Arial"/>
          <w:i/>
          <w:sz w:val="22"/>
          <w:szCs w:val="22"/>
        </w:rPr>
        <w:t>Se requiere, número de luminarias que se remplazaron en las vías principal y ejes viales (Para referencia de vialidades, ver NOM-013-ENER-2013), vías primarias y colectores, vías secundarias residenciales tipo A, vías secundarias residenciales tipo B, vías residenciales tipo C y áreas verdes, plazas  y techumbres. Así como, un listado con la cantidad de luminarias por cada una de las vías principal y ejes viales, vías primarias y colectores, vías secundarias residenciales tipo A, vías secundarias residenciales tipo B, vías residenciales tipo C y áreas verdes, plazas  y techumbres.</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 xml:space="preserve">Se requiere, la cantidad de vías principal y ejes viales, vías primarias y colectores, vías secundarias residenciales tipo A, vías secundarias residenciales tipo B, vías </w:t>
      </w:r>
      <w:r w:rsidRPr="00A51BF6">
        <w:rPr>
          <w:rFonts w:ascii="Palatino Linotype" w:hAnsi="Palatino Linotype" w:cs="Arial"/>
          <w:i/>
          <w:sz w:val="22"/>
          <w:szCs w:val="22"/>
        </w:rPr>
        <w:lastRenderedPageBreak/>
        <w:t>residenciales tipo C y áreas verdes, plazas y techumbres. Así como, un listado con la cantidad de luminarias por cada una de las vías principal y ejes viales, vías primarias y colectores, vías secundarias residenciales tipo A, vías secundarias residenciales tipo B, vías residenciales tipo C y áreas verdes plazas y techumbres, en las que se ha llevado cambio de luminarias en el alumbrado público del municipio.</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 xml:space="preserve">Se requiere ¿cuánto se factura mensualmente? y </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¿cuánto se recauda por derechos de alumbrado público?</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adeudo que se genera y ¿si ya se pagó o no la diferencia entre facturación y DAP? o si, ¿existe un saldo a favor del municipio?</w:t>
      </w:r>
    </w:p>
    <w:p w:rsidR="00CC05D8" w:rsidRPr="00A51BF6" w:rsidRDefault="00CC05D8" w:rsidP="00CC05D8">
      <w:pPr>
        <w:tabs>
          <w:tab w:val="left" w:pos="851"/>
        </w:tabs>
        <w:ind w:left="720" w:right="901"/>
        <w:contextualSpacing/>
        <w:jc w:val="both"/>
        <w:rPr>
          <w:rFonts w:ascii="Palatino Linotype" w:hAnsi="Palatino Linotype" w:cs="Arial"/>
          <w:i/>
          <w:sz w:val="22"/>
          <w:szCs w:val="22"/>
        </w:rPr>
      </w:pPr>
      <w:r w:rsidRPr="00A51BF6">
        <w:rPr>
          <w:rFonts w:ascii="Palatino Linotype" w:hAnsi="Palatino Linotype" w:cs="Arial"/>
          <w:i/>
          <w:sz w:val="22"/>
          <w:szCs w:val="22"/>
        </w:rPr>
        <w:t>Se requiere la información mes por mes del periodo de 1° de enero de 2014 al 30 de abril de 2019.</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Los estados de cuentas y los avisos recibos emitidos mes con mes por la Comisión Federal de Electricidad por el mismo periodo del 1° de enero de 2014 al 30 de abril de 2019.</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Las empresas que han participado en licitaciones en el periodo del 1° de enero de 2014 al 30 de abril de 2019:</w:t>
      </w:r>
    </w:p>
    <w:p w:rsidR="00CC05D8" w:rsidRPr="00A51BF6" w:rsidRDefault="00CC05D8" w:rsidP="00625F9A">
      <w:pPr>
        <w:numPr>
          <w:ilvl w:val="2"/>
          <w:numId w:val="7"/>
        </w:numPr>
        <w:tabs>
          <w:tab w:val="left" w:pos="851"/>
        </w:tabs>
        <w:ind w:left="993" w:right="901"/>
        <w:contextualSpacing/>
        <w:jc w:val="both"/>
        <w:rPr>
          <w:rFonts w:ascii="Palatino Linotype" w:hAnsi="Palatino Linotype" w:cs="Arial"/>
          <w:i/>
          <w:sz w:val="22"/>
          <w:szCs w:val="22"/>
        </w:rPr>
      </w:pPr>
      <w:r w:rsidRPr="00A51BF6">
        <w:rPr>
          <w:rFonts w:ascii="Palatino Linotype" w:hAnsi="Palatino Linotype" w:cs="Arial"/>
          <w:i/>
          <w:sz w:val="22"/>
          <w:szCs w:val="22"/>
        </w:rPr>
        <w:t>¿Cuántas empresas participantes en la licitación cumplían con las más de 100 000 horas de vida útil del luminario que se solicitaron?</w:t>
      </w:r>
    </w:p>
    <w:p w:rsidR="00CC05D8" w:rsidRPr="00A51BF6" w:rsidRDefault="00CC05D8" w:rsidP="00625F9A">
      <w:pPr>
        <w:numPr>
          <w:ilvl w:val="2"/>
          <w:numId w:val="7"/>
        </w:numPr>
        <w:tabs>
          <w:tab w:val="left" w:pos="851"/>
        </w:tabs>
        <w:ind w:left="993" w:right="901"/>
        <w:contextualSpacing/>
        <w:jc w:val="both"/>
        <w:rPr>
          <w:rFonts w:ascii="Palatino Linotype" w:hAnsi="Palatino Linotype" w:cs="Arial"/>
          <w:i/>
          <w:sz w:val="22"/>
          <w:szCs w:val="22"/>
        </w:rPr>
      </w:pPr>
      <w:r w:rsidRPr="00A51BF6">
        <w:rPr>
          <w:rFonts w:ascii="Palatino Linotype" w:hAnsi="Palatino Linotype" w:cs="Arial"/>
          <w:i/>
          <w:sz w:val="22"/>
          <w:szCs w:val="22"/>
        </w:rPr>
        <w:t>De las empresas que cumplieron con las más de 100 000 horas de vida útil proporcionar los certificados de cumplimiento (prueba de las 6,000 horas)</w:t>
      </w:r>
    </w:p>
    <w:p w:rsidR="00CC05D8" w:rsidRPr="00A51BF6" w:rsidRDefault="00CC05D8" w:rsidP="00625F9A">
      <w:pPr>
        <w:numPr>
          <w:ilvl w:val="2"/>
          <w:numId w:val="7"/>
        </w:numPr>
        <w:tabs>
          <w:tab w:val="left" w:pos="851"/>
        </w:tabs>
        <w:ind w:left="993" w:right="901"/>
        <w:contextualSpacing/>
        <w:jc w:val="both"/>
        <w:rPr>
          <w:rFonts w:ascii="Palatino Linotype" w:hAnsi="Palatino Linotype" w:cs="Arial"/>
          <w:i/>
          <w:sz w:val="22"/>
          <w:szCs w:val="22"/>
        </w:rPr>
      </w:pPr>
      <w:r w:rsidRPr="00A51BF6">
        <w:rPr>
          <w:rFonts w:ascii="Palatino Linotype" w:hAnsi="Palatino Linotype" w:cs="Arial"/>
          <w:i/>
          <w:sz w:val="22"/>
          <w:szCs w:val="22"/>
        </w:rPr>
        <w:t>De las empresas que cumplieron con las más de 100 000 horas de vida útil proporcionar los certificados de cumplimiento.</w:t>
      </w:r>
    </w:p>
    <w:p w:rsidR="00CC05D8" w:rsidRPr="00A51BF6" w:rsidRDefault="00CC05D8" w:rsidP="00625F9A">
      <w:pPr>
        <w:numPr>
          <w:ilvl w:val="2"/>
          <w:numId w:val="7"/>
        </w:numPr>
        <w:tabs>
          <w:tab w:val="left" w:pos="851"/>
        </w:tabs>
        <w:ind w:left="993" w:right="901"/>
        <w:contextualSpacing/>
        <w:jc w:val="both"/>
        <w:rPr>
          <w:rFonts w:ascii="Palatino Linotype" w:hAnsi="Palatino Linotype" w:cs="Arial"/>
          <w:i/>
          <w:sz w:val="22"/>
          <w:szCs w:val="22"/>
        </w:rPr>
      </w:pPr>
      <w:r w:rsidRPr="00A51BF6">
        <w:rPr>
          <w:rFonts w:ascii="Palatino Linotype" w:hAnsi="Palatino Linotype" w:cs="Arial"/>
          <w:i/>
          <w:sz w:val="22"/>
          <w:szCs w:val="22"/>
        </w:rPr>
        <w:t>¿Cuál fue la propuesta económica que presentaron? Y copia simple de la misma.</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De las luminarias que se hayan remplazado en el municipio, ¿Qué tecnología son? ¿Qué marca son? ¿Qué potencian son? Para los años 2016, 2017, 2018 y los meses que van del año.</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 xml:space="preserve">El número de lámparas por potencias que fue sustituida (Tecnología y potencia anterior sustituida por Tecnología LED potencia actual), </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Las bases de licitación que se publicaron y que sirvieron de base para el reemplazo de las luminarias para el ALUMBRADO PÚBLICO en el municipio en los años 2016, 2017, 2018 y los meses que van del año.</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número de quejas que se han presentado por inconformidades en el alumbrado público a partir de la sustitución de la Tecnología LED en el municipio.</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Cuantas luminarias LED ha donado el Gobierno Estatal en el periodo comprendido del año 2016, 2017, 2018 y 2019, referente a: ubicación, potencia, cantidad, marca y modelo.</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importe por concepto de alumbrado público facturado por CFE en el municipio, desglosado ya sea por mes o bimestre, de los años 2013, 2014, 2015, 2016, 2017, 2018 y los meses que van de 2019.</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lastRenderedPageBreak/>
        <w:t>Situación actual de adeudo que tuviera el municipio por concepto de consumo de energía eléctrica en el alumbrado público ante CFE o cualquier otra empresa suministradora o autoabastecedora de energía eléctrica, y de existir el adeudo, favor de informar el desglose de los montos acumulados por mes y año o bien, por fecha desde la cual no se ha realizado pago alguno a la CFE o cualquier otra empresa por este concepto.</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o las partidas presupuestales que se utilizaron y los montos que se erogaron dentro del presupuesto de egresos municipal para el mantenimiento del sistema de alumbrado público durante los años 2013, 2014, 2015, 2016, 2017, 2018 y los meses que van del 2019.</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o las partidas presupuestales que se utilizaron y los montos que se pagaron por mes para cubrir la factura por concepto del consumo de energía eléctrica en el sistema de alumbrado público municipal de los años 2013, 2014, 2015, 2016, 2017, 2018 y los meses que van del 2019.</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En caso de que el mantenimiento preventivo, correctivo o la sustitución de luminarias (total o parcial) que integran el sistema público municipal se haya realizado por el municipio o una empresa privada, de 2013, 2014, 2015, 2016, 2017, 2018 y los meses que van del 2019; se requiere saber cuántas luminarias fueron sustituidas, arregladas o transformadas, así como las características y los lugares (avenidas y calles) donde se sustituyeron, colocaron, corrigieron o arreglaron.</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Cuantas licitaciones para el cambio de luminarias de alumbrado público se llevaron a cabo en los años 2016, 2017, 2018 y los meses que van del 2019 y el monto total que costo la licitación.</w:t>
      </w:r>
    </w:p>
    <w:p w:rsidR="00CC05D8" w:rsidRPr="00A51BF6" w:rsidRDefault="00CC05D8" w:rsidP="00625F9A">
      <w:pPr>
        <w:numPr>
          <w:ilvl w:val="0"/>
          <w:numId w:val="3"/>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censo de alumbrado público de los ejercicios 2016, 2017, 2018, 2019 o en su caso, el censo más reciente del municipio, en el que se desglose la siguiente información:</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1"/>
          <w:numId w:val="1"/>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Cantidad de luminarias y balastros, el tipo de equipos, la capacidad (potencia), la ubicación (calle y/o colonia y/o delegación), y el tipo de poste en el que están montadas las luminarias (lámina, concreto, madera etcétera).</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1"/>
          <w:numId w:val="1"/>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Registro Permanente de Usuario (RPU o RPUs) asignado (s) al servicio de alumbrado público municipal tanto del servicio estimado como del servicio medido.</w:t>
      </w:r>
    </w:p>
    <w:p w:rsidR="00CC05D8" w:rsidRPr="00A51BF6" w:rsidRDefault="00CC05D8" w:rsidP="00625F9A">
      <w:pPr>
        <w:numPr>
          <w:ilvl w:val="1"/>
          <w:numId w:val="1"/>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cantidad desglosada de luminarias y balastros instalados, el tipo de equipos y su capacidad (potencia) instalados en las avenidas principales del municipio.</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1"/>
          <w:numId w:val="1"/>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cantidad de luminarias y balastros instalados, el tipo de equipos y su capacidad (potencia) instalados que poseen equipo de medición.</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lastRenderedPageBreak/>
        <w:t>De las licitaciones, informe del número de luminarias que se cambiaron por tecnología LED, la potencia en W y en que vialidades, colonias se instalaron en los años 2016, 2017, 2018 y los meses que van de 2019.</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Del censo anterior al censo más reciente de luminarias y balastros del sistema de alumbrado público municipal que exista en el municipio, que contenga la siguiente información:</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0"/>
          <w:numId w:val="6"/>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cantidad de luminarias y balastros, el tipo de equipos, la capacidad (potencia), la ubicación (calle y/o colonia y/o delegación) y el tipo de poste en el que están montadas las luminarias (lámina, concreto, madera, etcétera).</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0"/>
          <w:numId w:val="6"/>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Registro Permanente de Usuario (RPU o RPUs) asignado (s) al servicio de alumbrado público municipal tanto del servicio estimado como del servicio medido.</w:t>
      </w:r>
    </w:p>
    <w:p w:rsidR="00CC05D8" w:rsidRPr="00A51BF6" w:rsidRDefault="00CC05D8" w:rsidP="00CC05D8">
      <w:pPr>
        <w:tabs>
          <w:tab w:val="left" w:pos="851"/>
        </w:tabs>
        <w:ind w:right="901"/>
        <w:jc w:val="both"/>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En caso de que el municipio haya realizado un proyecto de electrificación para ampliar el sistema de alumbrado público y ofrecer este servicio a la o las comunidades durante los años 2013, 2014, 2015, 2016, 2017, 2018 y los meses que van de 2019, solicito la siguiente información desglosada:</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El monto total de la inversión,</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El tipo o fuente de financiamiento (recurso propio, recurso estatal, recurso federal, crédito, arrendamiento, APP, etcétera),</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La cantidad de equipos colocados y/o sustituidos,</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El tipo de equipos (Led, VSAP, suburbana, etcétera),</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La capacidad instalada (potencia),</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La ubicación (calle y/o colonia y/o delegación).</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La fecha de inicio y término de obra,</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Así como la fecha de modificación de su nuevo consumo en el sistema de facturación del alumbrado público ante CFE.</w:t>
      </w:r>
    </w:p>
    <w:p w:rsidR="00CC05D8" w:rsidRPr="00A51BF6" w:rsidRDefault="00CC05D8" w:rsidP="00625F9A">
      <w:pPr>
        <w:numPr>
          <w:ilvl w:val="1"/>
          <w:numId w:val="2"/>
        </w:numPr>
        <w:tabs>
          <w:tab w:val="left" w:pos="851"/>
        </w:tabs>
        <w:ind w:left="1635" w:right="901" w:hanging="555"/>
        <w:contextualSpacing/>
        <w:jc w:val="both"/>
        <w:rPr>
          <w:rFonts w:ascii="Palatino Linotype" w:hAnsi="Palatino Linotype" w:cs="Arial"/>
          <w:i/>
          <w:sz w:val="22"/>
          <w:szCs w:val="22"/>
        </w:rPr>
      </w:pPr>
      <w:r w:rsidRPr="00A51BF6">
        <w:rPr>
          <w:rFonts w:ascii="Palatino Linotype" w:hAnsi="Palatino Linotype" w:cs="Arial"/>
          <w:i/>
          <w:sz w:val="22"/>
          <w:szCs w:val="22"/>
        </w:rPr>
        <w:t>En donde se notificaron o publicaron los proyectos.</w:t>
      </w:r>
    </w:p>
    <w:p w:rsidR="00CC05D8" w:rsidRPr="00A51BF6" w:rsidRDefault="00CC05D8" w:rsidP="00CC05D8">
      <w:pPr>
        <w:tabs>
          <w:tab w:val="left" w:pos="851"/>
        </w:tabs>
        <w:ind w:right="901"/>
        <w:jc w:val="both"/>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En caso de que el municipio haya realizado un proyecto parcial o total de modernización de alumbrado público para generar eficiencia energética en sus consumos en los años 2013, 2014, 2015, 2016, 2017, 2018 y los meses que van de 2019, solicito:</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monto total de la inversión,</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tipo o fuente de financiamiento (recurso propio, recurso estatal, recurso federal, crédito, arrendamiento, APP, etcétera),</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lastRenderedPageBreak/>
        <w:t>La cantidad de equipos colocados y/o sustituidos,</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tipo de equipos (Led, VSAP, suburbana, etcétera),</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capacidad instalada (potencia),</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ubicación (calle y/o colonia y/o delegación y/o comunidad y/o avenida).</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fecha de inicio y término de obra,</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georreferenciación de cada uno de los puntos de luz del nuevo alumbrado público,</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 fecha de modificación de su nuevo consumo en el sistema de facturación del alumbrado público ante CFE.</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tipo de contrato celebrado para la adquisición de los nuevos equipos (licitación en su modalidad abierta o restringida, o adjudicación directa)</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Número y nombre de las empresas concursantes o convocadas.</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Los criterios de selección utilizados por el comité de adquisiciones para elegir a la empresa contratada para realizar la modernización del sistema de alumbrado público.</w:t>
      </w:r>
    </w:p>
    <w:p w:rsidR="00CC05D8" w:rsidRPr="00A51BF6" w:rsidRDefault="00CC05D8" w:rsidP="00625F9A">
      <w:pPr>
        <w:numPr>
          <w:ilvl w:val="0"/>
          <w:numId w:val="4"/>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acta de cabildo en el cual se fundamenta, justifica, expone y autoriza el proyecto.</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número de solicitudes ciudadanas formales realizadas al municipio para ampliar el sistema de alumbrado público mediante proyectos de electrificación durante los años 2013, 2014, 2015, 2016, 2017, 2018 y los meses que van de 2019.</w:t>
      </w:r>
    </w:p>
    <w:p w:rsidR="00CC05D8" w:rsidRPr="00A51BF6" w:rsidRDefault="00CC05D8" w:rsidP="00CC05D8">
      <w:pPr>
        <w:tabs>
          <w:tab w:val="left" w:pos="851"/>
        </w:tabs>
        <w:ind w:left="851" w:right="901"/>
        <w:jc w:val="both"/>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número de solicitudes ciudadanas que fueron atendidas y concluidas para ampliar el sistema de alumbrado público durante los años 2013, 2014, 2015, 2016, 2017, 2018 y los meses que van del 2019.</w:t>
      </w:r>
    </w:p>
    <w:p w:rsidR="00CC05D8" w:rsidRPr="00A51BF6" w:rsidRDefault="00CC05D8" w:rsidP="00CC05D8">
      <w:pPr>
        <w:ind w:left="720"/>
        <w:contextualSpacing/>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Copia del contrato de prestación de servicios por concepto de suministro de energía eléctrica por parte de la CFE al municipio (ayuntamiento).</w:t>
      </w:r>
    </w:p>
    <w:p w:rsidR="00CC05D8" w:rsidRPr="00A51BF6" w:rsidRDefault="00CC05D8" w:rsidP="00CC05D8">
      <w:pPr>
        <w:ind w:left="720"/>
        <w:contextualSpacing/>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Copia del convenio de “Peso por Peso” firmado entre la CFE y el municipio (ayuntamiento).</w:t>
      </w:r>
    </w:p>
    <w:p w:rsidR="00CC05D8" w:rsidRPr="00A51BF6" w:rsidRDefault="00CC05D8" w:rsidP="00CC05D8">
      <w:pPr>
        <w:ind w:left="720"/>
        <w:contextualSpacing/>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Copia del convenio para recaudar el Derecho de Alumbrado Público “DAP” firmado entre la CFE y el municipio (ayuntamiento). Así como la recaudación (monto) reportado por CFE al municipio de los años 2013, 2014, 2015, 2016, 2017, 2018 y los meses que van de 2019.</w:t>
      </w:r>
    </w:p>
    <w:p w:rsidR="00CC05D8" w:rsidRPr="00A51BF6" w:rsidRDefault="00CC05D8" w:rsidP="00CC05D8">
      <w:pPr>
        <w:ind w:left="720"/>
        <w:contextualSpacing/>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El listado y/o número de juicios y controversias promovidos por particulares en contra del municipio por el cobro del Derecho de Alumbrado Público “DAP” durante los años 2013, 2014, 2015, 2016, 2017, 2018 y los meses que van de 2019.</w:t>
      </w:r>
    </w:p>
    <w:p w:rsidR="00CC05D8" w:rsidRPr="00A51BF6" w:rsidRDefault="00CC05D8" w:rsidP="00CC05D8">
      <w:pPr>
        <w:ind w:left="720"/>
        <w:contextualSpacing/>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lastRenderedPageBreak/>
        <w:t>El listado y/o número de juicios y controversias perdidos y ganados por el ayuntamiento (municipio) ante los particulares que reclaman el pago indebido del Derecho de Alumbrado Público durante los años 2013, 2014, 2015, 2016, 2017, 2018 y los meses que van de 2019.</w:t>
      </w:r>
    </w:p>
    <w:p w:rsidR="00CC05D8" w:rsidRPr="00A51BF6" w:rsidRDefault="00CC05D8" w:rsidP="00CC05D8">
      <w:pPr>
        <w:ind w:left="720"/>
        <w:contextualSpacing/>
        <w:rPr>
          <w:rFonts w:ascii="Palatino Linotype" w:hAnsi="Palatino Linotype" w:cs="Arial"/>
          <w:i/>
          <w:sz w:val="22"/>
          <w:szCs w:val="22"/>
        </w:rPr>
      </w:pPr>
    </w:p>
    <w:p w:rsidR="00CC05D8" w:rsidRPr="00A51BF6" w:rsidRDefault="00CC05D8" w:rsidP="00625F9A">
      <w:pPr>
        <w:numPr>
          <w:ilvl w:val="0"/>
          <w:numId w:val="5"/>
        </w:numPr>
        <w:tabs>
          <w:tab w:val="left" w:pos="851"/>
        </w:tabs>
        <w:ind w:right="901"/>
        <w:contextualSpacing/>
        <w:jc w:val="both"/>
        <w:rPr>
          <w:rFonts w:ascii="Palatino Linotype" w:hAnsi="Palatino Linotype" w:cs="Arial"/>
          <w:i/>
          <w:sz w:val="22"/>
          <w:szCs w:val="22"/>
        </w:rPr>
      </w:pPr>
      <w:r w:rsidRPr="00A51BF6">
        <w:rPr>
          <w:rFonts w:ascii="Palatino Linotype" w:hAnsi="Palatino Linotype" w:cs="Arial"/>
          <w:i/>
          <w:sz w:val="22"/>
          <w:szCs w:val="22"/>
        </w:rPr>
        <w:t>Las normas y lineamientos que el municipio sigue para operar y proporcionar el servicio de alumbrado público municipal.</w:t>
      </w:r>
    </w:p>
    <w:p w:rsidR="00CC05D8" w:rsidRPr="00A51BF6" w:rsidRDefault="00CC05D8" w:rsidP="00CC05D8">
      <w:pPr>
        <w:tabs>
          <w:tab w:val="left" w:pos="567"/>
        </w:tabs>
        <w:spacing w:before="100" w:beforeAutospacing="1" w:after="100" w:afterAutospacing="1" w:line="360" w:lineRule="auto"/>
        <w:ind w:right="51"/>
        <w:jc w:val="both"/>
        <w:rPr>
          <w:rFonts w:ascii="Palatino Linotype" w:hAnsi="Palatino Linotype" w:cs="Arial"/>
        </w:rPr>
      </w:pPr>
      <w:r w:rsidRPr="00A51BF6">
        <w:rPr>
          <w:rFonts w:ascii="Palatino Linotype" w:hAnsi="Palatino Linotype"/>
          <w:color w:val="000000"/>
        </w:rPr>
        <w:t>E</w:t>
      </w:r>
      <w:r w:rsidRPr="00A51BF6">
        <w:rPr>
          <w:rFonts w:ascii="Palatino Linotype" w:hAnsi="Palatino Linotype" w:cs="Arial"/>
        </w:rPr>
        <w:t xml:space="preserve">n </w:t>
      </w:r>
      <w:r w:rsidRPr="00A51BF6">
        <w:rPr>
          <w:rFonts w:ascii="Palatino Linotype" w:hAnsi="Palatino Linotype"/>
        </w:rPr>
        <w:t>respuesta</w:t>
      </w:r>
      <w:r w:rsidRPr="00A51BF6">
        <w:rPr>
          <w:rFonts w:ascii="Palatino Linotype" w:hAnsi="Palatino Linotype" w:cs="Arial"/>
        </w:rPr>
        <w:t xml:space="preserve"> a la solicitud de acceso a la información pública, </w:t>
      </w:r>
      <w:r w:rsidRPr="00A51BF6">
        <w:rPr>
          <w:rFonts w:ascii="Palatino Linotype" w:hAnsi="Palatino Linotype" w:cs="Arial"/>
          <w:b/>
        </w:rPr>
        <w:t>EL SUJETO OBLIGADO</w:t>
      </w:r>
      <w:r w:rsidRPr="00A51BF6">
        <w:rPr>
          <w:rFonts w:ascii="Palatino Linotype" w:hAnsi="Palatino Linotype" w:cs="Arial"/>
        </w:rPr>
        <w:t xml:space="preserve"> hizo entrega de un archivo electrónico mediante el cual únicamente señaló el </w:t>
      </w:r>
      <w:r w:rsidR="001F2460" w:rsidRPr="00A51BF6">
        <w:rPr>
          <w:rFonts w:ascii="Palatino Linotype" w:hAnsi="Palatino Linotype" w:cs="Arial"/>
        </w:rPr>
        <w:t>número</w:t>
      </w:r>
      <w:r w:rsidRPr="00A51BF6">
        <w:rPr>
          <w:rFonts w:ascii="Palatino Linotype" w:hAnsi="Palatino Linotype" w:cs="Arial"/>
        </w:rPr>
        <w:t xml:space="preserve"> total de </w:t>
      </w:r>
      <w:r w:rsidR="001F2460" w:rsidRPr="00A51BF6">
        <w:rPr>
          <w:rFonts w:ascii="Palatino Linotype" w:hAnsi="Palatino Linotype" w:cs="Arial"/>
        </w:rPr>
        <w:t>lámparas colocadas y el cambio de focos en el Municipio; así como, de un documento a modo poco legible en el que se aprecian diversa cantidades por pagar mensual o bimestralmente a la Comisión Federal de Electricidad (CFE) de los años 2016 al mes de mayo de 2019.</w:t>
      </w:r>
    </w:p>
    <w:p w:rsidR="001F2460" w:rsidRPr="00A51BF6" w:rsidRDefault="001F2460" w:rsidP="001F2460">
      <w:pPr>
        <w:spacing w:before="100" w:beforeAutospacing="1" w:after="100" w:afterAutospacing="1" w:line="360" w:lineRule="auto"/>
        <w:ind w:right="49"/>
        <w:jc w:val="both"/>
        <w:rPr>
          <w:rFonts w:ascii="Palatino Linotype" w:hAnsi="Palatino Linotype"/>
        </w:rPr>
      </w:pPr>
      <w:r w:rsidRPr="00A51BF6">
        <w:rPr>
          <w:rFonts w:ascii="Palatino Linotype" w:hAnsi="Palatino Linotype"/>
        </w:rPr>
        <w:t>Inconforme</w:t>
      </w:r>
      <w:r w:rsidRPr="00A51BF6">
        <w:rPr>
          <w:rFonts w:ascii="Palatino Linotype" w:hAnsi="Palatino Linotype" w:cs="Arial"/>
        </w:rPr>
        <w:t xml:space="preserve"> con la respuesta otorgada por </w:t>
      </w:r>
      <w:r w:rsidRPr="00A51BF6">
        <w:rPr>
          <w:rFonts w:ascii="Palatino Linotype" w:hAnsi="Palatino Linotype" w:cs="Arial"/>
          <w:b/>
        </w:rPr>
        <w:t>EL SUJETO OBLIGADO</w:t>
      </w:r>
      <w:r w:rsidRPr="00A51BF6">
        <w:rPr>
          <w:rFonts w:ascii="Palatino Linotype" w:hAnsi="Palatino Linotype" w:cs="Arial"/>
        </w:rPr>
        <w:t xml:space="preserve">, </w:t>
      </w:r>
      <w:r w:rsidRPr="00A51BF6">
        <w:rPr>
          <w:rFonts w:ascii="Palatino Linotype" w:hAnsi="Palatino Linotype"/>
          <w:b/>
        </w:rPr>
        <w:t>EL RECURRENTE</w:t>
      </w:r>
      <w:r w:rsidRPr="00A51BF6">
        <w:rPr>
          <w:rFonts w:ascii="Palatino Linotype" w:hAnsi="Palatino Linotype" w:cs="Arial"/>
        </w:rPr>
        <w:t xml:space="preserve"> interpuso el presente medio de impugnación; en el cual se</w:t>
      </w:r>
      <w:r w:rsidR="000C60E2" w:rsidRPr="00A51BF6">
        <w:rPr>
          <w:rFonts w:ascii="Palatino Linotype" w:hAnsi="Palatino Linotype" w:cs="Arial"/>
        </w:rPr>
        <w:t>ñaló en razones o motivos de la inconformidad que la respuesta emitida no colma ninguna de las preguntas formuladas</w:t>
      </w:r>
      <w:r w:rsidRPr="00A51BF6">
        <w:rPr>
          <w:rFonts w:ascii="Palatino Linotype" w:hAnsi="Palatino Linotype"/>
        </w:rPr>
        <w:t xml:space="preserve">. </w:t>
      </w:r>
    </w:p>
    <w:p w:rsidR="001F2460" w:rsidRPr="00A51BF6" w:rsidRDefault="001F2460" w:rsidP="001F2460">
      <w:pPr>
        <w:spacing w:before="100" w:beforeAutospacing="1" w:after="100" w:afterAutospacing="1" w:line="360" w:lineRule="auto"/>
        <w:ind w:right="49"/>
        <w:jc w:val="both"/>
        <w:rPr>
          <w:rFonts w:ascii="Palatino Linotype" w:hAnsi="Palatino Linotype" w:cs="Arial"/>
        </w:rPr>
      </w:pPr>
      <w:r w:rsidRPr="00A51BF6">
        <w:rPr>
          <w:rFonts w:ascii="Palatino Linotype" w:hAnsi="Palatino Linotype"/>
        </w:rPr>
        <w:t>P</w:t>
      </w:r>
      <w:r w:rsidRPr="00A51BF6">
        <w:rPr>
          <w:rFonts w:ascii="Palatino Linotype" w:hAnsi="Palatino Linotype" w:cs="Arial"/>
        </w:rPr>
        <w:t xml:space="preserve">or otra parte, de las constancias que obran en el </w:t>
      </w:r>
      <w:r w:rsidRPr="00A51BF6">
        <w:rPr>
          <w:rFonts w:ascii="Palatino Linotype" w:hAnsi="Palatino Linotype" w:cs="Arial"/>
          <w:b/>
        </w:rPr>
        <w:t>SAIMEX,</w:t>
      </w:r>
      <w:r w:rsidRPr="00A51BF6">
        <w:rPr>
          <w:rFonts w:ascii="Palatino Linotype" w:hAnsi="Palatino Linotype" w:cs="Arial"/>
        </w:rPr>
        <w:t xml:space="preserve"> se advierte que las partes fueron omisas en rendir las manifestaciones que a su derecho correspondían.</w:t>
      </w:r>
    </w:p>
    <w:p w:rsidR="001F2460" w:rsidRPr="00A51BF6" w:rsidRDefault="001F2460" w:rsidP="001F2460">
      <w:pPr>
        <w:spacing w:before="100" w:beforeAutospacing="1" w:after="100" w:afterAutospacing="1" w:line="360" w:lineRule="auto"/>
        <w:jc w:val="both"/>
        <w:rPr>
          <w:rFonts w:ascii="Palatino Linotype" w:hAnsi="Palatino Linotype"/>
        </w:rPr>
      </w:pPr>
      <w:r w:rsidRPr="00A51BF6">
        <w:rPr>
          <w:rFonts w:ascii="Palatino Linotype" w:hAnsi="Palatino Linotype"/>
        </w:rPr>
        <w:t xml:space="preserve">Expuesto lo anterior, primeramente, se precisa que se obvia el análisis de la competencia por parte del </w:t>
      </w:r>
      <w:r w:rsidRPr="00A51BF6">
        <w:rPr>
          <w:rFonts w:ascii="Palatino Linotype" w:hAnsi="Palatino Linotype"/>
          <w:b/>
        </w:rPr>
        <w:t>SUJETO OBLIGADO</w:t>
      </w:r>
      <w:r w:rsidRPr="00A51BF6">
        <w:rPr>
          <w:rFonts w:ascii="Palatino Linotype" w:hAnsi="Palatino Linotype"/>
        </w:rPr>
        <w:t>, para generar, administrar o poseer la información solicitada, dado que éste ha asumido la misma, al haber reconocido el cambio de luminarias y adeudos con la CFE por concepto de alumbrado.</w:t>
      </w:r>
    </w:p>
    <w:p w:rsidR="001F2460" w:rsidRPr="00A51BF6" w:rsidRDefault="001F2460" w:rsidP="001F2460">
      <w:pPr>
        <w:spacing w:before="240" w:after="240" w:line="360" w:lineRule="auto"/>
        <w:jc w:val="both"/>
        <w:rPr>
          <w:rFonts w:ascii="Palatino Linotype" w:hAnsi="Palatino Linotype"/>
        </w:rPr>
      </w:pPr>
      <w:r w:rsidRPr="00A51BF6">
        <w:rPr>
          <w:rFonts w:ascii="Palatino Linotype" w:hAnsi="Palatino Linotype"/>
        </w:rPr>
        <w:t xml:space="preserve">En efecto, el hecho de que </w:t>
      </w:r>
      <w:r w:rsidRPr="00A51BF6">
        <w:rPr>
          <w:rFonts w:ascii="Palatino Linotype" w:hAnsi="Palatino Linotype"/>
          <w:b/>
        </w:rPr>
        <w:t>EL SUJETO OBLIGADO</w:t>
      </w:r>
      <w:r w:rsidRPr="00A51BF6">
        <w:rPr>
          <w:rFonts w:ascii="Palatino Linotype" w:hAnsi="Palatino Linotype"/>
        </w:rPr>
        <w:t xml:space="preserve"> haya asumido contar con la información pública solicitada, acepta que la genera, posee y administra, en ejercicio </w:t>
      </w:r>
      <w:r w:rsidRPr="00A51BF6">
        <w:rPr>
          <w:rFonts w:ascii="Palatino Linotype" w:hAnsi="Palatino Linotype"/>
        </w:rPr>
        <w:lastRenderedPageBreak/>
        <w:t xml:space="preserve">de sus funciones, atribuciones y competencias de derecho público, motivo por el cual se actualiza el supuesto jurídico, previsto en el artículo 12 de la Ley de Transparencia y Acceso a la Información Pública del Estado de México y Municipios. </w:t>
      </w:r>
    </w:p>
    <w:p w:rsidR="001F2460" w:rsidRPr="00A51BF6" w:rsidRDefault="001F2460" w:rsidP="001F2460">
      <w:pPr>
        <w:tabs>
          <w:tab w:val="left" w:pos="851"/>
          <w:tab w:val="left" w:pos="8505"/>
        </w:tabs>
        <w:ind w:left="851" w:right="902"/>
        <w:jc w:val="both"/>
        <w:rPr>
          <w:rFonts w:ascii="Palatino Linotype" w:hAnsi="Palatino Linotype" w:cs="Arial"/>
          <w:i/>
          <w:sz w:val="22"/>
          <w:szCs w:val="22"/>
        </w:rPr>
      </w:pPr>
      <w:r w:rsidRPr="00A51BF6">
        <w:rPr>
          <w:rFonts w:ascii="Palatino Linotype" w:hAnsi="Palatino Linotype" w:cs="Arial"/>
          <w:i/>
          <w:sz w:val="22"/>
          <w:szCs w:val="22"/>
        </w:rPr>
        <w:t>“</w:t>
      </w:r>
      <w:r w:rsidRPr="00A51BF6">
        <w:rPr>
          <w:rFonts w:ascii="Palatino Linotype" w:hAnsi="Palatino Linotype" w:cs="Arial"/>
          <w:b/>
          <w:i/>
          <w:sz w:val="22"/>
          <w:szCs w:val="22"/>
        </w:rPr>
        <w:t>Artículo 12.</w:t>
      </w:r>
      <w:r w:rsidRPr="00A51BF6">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 </w:t>
      </w:r>
    </w:p>
    <w:p w:rsidR="001F2460" w:rsidRPr="00A51BF6" w:rsidRDefault="001F2460" w:rsidP="001F2460">
      <w:pPr>
        <w:ind w:left="851" w:right="902"/>
        <w:jc w:val="both"/>
        <w:rPr>
          <w:rFonts w:ascii="Palatino Linotype" w:hAnsi="Palatino Linotype" w:cs="Arial"/>
          <w:i/>
          <w:sz w:val="22"/>
          <w:szCs w:val="22"/>
        </w:rPr>
      </w:pPr>
      <w:r w:rsidRPr="00A51BF6">
        <w:rPr>
          <w:rFonts w:ascii="Palatino Linotype" w:hAnsi="Palatino Linotype" w:cs="Arial"/>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(Sic)</w:t>
      </w:r>
    </w:p>
    <w:p w:rsidR="001F2460" w:rsidRPr="00A51BF6" w:rsidRDefault="001F2460" w:rsidP="001F2460">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A51BF6">
        <w:rPr>
          <w:rFonts w:ascii="Palatino Linotype" w:hAnsi="Palatino Linotype" w:cs="Arial"/>
          <w:lang w:eastAsia="es-MX"/>
        </w:rPr>
        <w:t>Una vez apuntado lo anterior, este Órgano Garante advirtió que</w:t>
      </w:r>
      <w:r w:rsidRPr="00A51BF6">
        <w:rPr>
          <w:rFonts w:ascii="Palatino Linotype" w:eastAsia="Calibri" w:hAnsi="Palatino Linotype" w:cs="Arial"/>
        </w:rPr>
        <w:t xml:space="preserve"> las razones o motivos de inconformidad hechos valer por </w:t>
      </w:r>
      <w:r w:rsidRPr="00A51BF6">
        <w:rPr>
          <w:rFonts w:ascii="Palatino Linotype" w:eastAsia="Calibri" w:hAnsi="Palatino Linotype" w:cs="Arial"/>
          <w:b/>
        </w:rPr>
        <w:t>EL RECURRENTE,</w:t>
      </w:r>
      <w:r w:rsidRPr="00A51BF6">
        <w:rPr>
          <w:rFonts w:ascii="Palatino Linotype" w:eastAsia="Calibri" w:hAnsi="Palatino Linotype" w:cs="Arial"/>
        </w:rPr>
        <w:t xml:space="preserve"> respecto a que</w:t>
      </w:r>
      <w:r w:rsidRPr="00A51BF6">
        <w:t xml:space="preserve"> </w:t>
      </w:r>
      <w:r w:rsidRPr="00A51BF6">
        <w:rPr>
          <w:rFonts w:ascii="Palatino Linotype" w:eastAsia="Calibri" w:hAnsi="Palatino Linotype" w:cs="Arial"/>
        </w:rPr>
        <w:t xml:space="preserve">la respuesta proporcionada por </w:t>
      </w:r>
      <w:r w:rsidRPr="00A51BF6">
        <w:rPr>
          <w:rFonts w:ascii="Palatino Linotype" w:eastAsia="Calibri" w:hAnsi="Palatino Linotype" w:cs="Arial"/>
          <w:b/>
        </w:rPr>
        <w:t>EL SUJETO OBLIGADO</w:t>
      </w:r>
      <w:r w:rsidRPr="00A51BF6">
        <w:rPr>
          <w:rFonts w:ascii="Palatino Linotype" w:eastAsia="Calibri" w:hAnsi="Palatino Linotype" w:cs="Arial"/>
        </w:rPr>
        <w:t xml:space="preserve"> no proporcionó la información que colmara su derecho de acceso a la información pública, resultan </w:t>
      </w:r>
      <w:r w:rsidRPr="00A51BF6">
        <w:rPr>
          <w:rFonts w:ascii="Palatino Linotype" w:eastAsia="Calibri" w:hAnsi="Palatino Linotype" w:cs="Arial"/>
          <w:b/>
        </w:rPr>
        <w:t>fundadas.</w:t>
      </w:r>
    </w:p>
    <w:p w:rsidR="0064139C" w:rsidRPr="00A51BF6" w:rsidRDefault="000C60E2" w:rsidP="0064139C">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A51BF6">
        <w:rPr>
          <w:rFonts w:ascii="Palatino Linotype" w:eastAsia="Calibri" w:hAnsi="Palatino Linotype" w:cs="Arial"/>
        </w:rPr>
        <w:t xml:space="preserve">Es así que, </w:t>
      </w:r>
      <w:r w:rsidR="0064139C" w:rsidRPr="00A51BF6">
        <w:rPr>
          <w:rFonts w:ascii="Palatino Linotype" w:eastAsia="Calibri" w:hAnsi="Palatino Linotype" w:cs="Arial"/>
        </w:rPr>
        <w:t xml:space="preserve">como se advierte en la solicitud de acceso a la información pública, </w:t>
      </w:r>
      <w:r w:rsidR="0064139C" w:rsidRPr="00A51BF6">
        <w:rPr>
          <w:rFonts w:ascii="Palatino Linotype" w:eastAsia="Calibri" w:hAnsi="Palatino Linotype" w:cs="Arial"/>
          <w:b/>
        </w:rPr>
        <w:t>EL RECURRENTE</w:t>
      </w:r>
      <w:r w:rsidR="0064139C" w:rsidRPr="00A51BF6">
        <w:rPr>
          <w:rFonts w:ascii="Palatino Linotype" w:eastAsia="Calibri" w:hAnsi="Palatino Linotype" w:cs="Arial"/>
        </w:rPr>
        <w:t xml:space="preserve">, solicitó de manera específica diversa información relacionada al tema de alumbrado público; mientras que </w:t>
      </w:r>
      <w:r w:rsidR="0064139C" w:rsidRPr="00A51BF6">
        <w:rPr>
          <w:rFonts w:ascii="Palatino Linotype" w:eastAsia="Calibri" w:hAnsi="Palatino Linotype" w:cs="Arial"/>
          <w:b/>
        </w:rPr>
        <w:t>EL SUJETO OBLIGADO</w:t>
      </w:r>
      <w:r w:rsidR="0064139C" w:rsidRPr="00A51BF6">
        <w:rPr>
          <w:rFonts w:ascii="Palatino Linotype" w:eastAsia="Calibri" w:hAnsi="Palatino Linotype" w:cs="Arial"/>
        </w:rPr>
        <w:t>, hizo entrega de información relacionada con el alumbrado público que no satisface el derecho de acceso a la información accionado por el particular.</w:t>
      </w:r>
    </w:p>
    <w:p w:rsidR="0064139C" w:rsidRPr="00A51BF6" w:rsidRDefault="0064139C" w:rsidP="0064139C">
      <w:pPr>
        <w:autoSpaceDE w:val="0"/>
        <w:autoSpaceDN w:val="0"/>
        <w:adjustRightInd w:val="0"/>
        <w:spacing w:line="360" w:lineRule="auto"/>
        <w:ind w:right="51"/>
        <w:jc w:val="both"/>
        <w:rPr>
          <w:rFonts w:ascii="Palatino Linotype" w:hAnsi="Palatino Linotype" w:cs="Arial"/>
        </w:rPr>
      </w:pPr>
      <w:r w:rsidRPr="00A51BF6">
        <w:rPr>
          <w:rFonts w:ascii="Palatino Linotype" w:hAnsi="Palatino Linotype" w:cs="Arial"/>
          <w:lang w:val="es-ES"/>
        </w:rPr>
        <w:t xml:space="preserve">En ese tenor, es importante </w:t>
      </w:r>
      <w:r w:rsidRPr="00A51BF6">
        <w:rPr>
          <w:rFonts w:ascii="Palatino Linotype" w:hAnsi="Palatino Linotype" w:cs="Arial"/>
        </w:rPr>
        <w:t>señalar que el artículo 4, párrafo segundo de la Ley de Transparencia y Acceso a la Información Pública del Estado de México y Municipios dispone:</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sz w:val="22"/>
          <w:szCs w:val="22"/>
        </w:rPr>
        <w:t>“</w:t>
      </w:r>
      <w:r w:rsidRPr="00A51BF6">
        <w:rPr>
          <w:rFonts w:ascii="Palatino Linotype" w:hAnsi="Palatino Linotype" w:cs="Arial"/>
          <w:b/>
          <w:i/>
          <w:color w:val="000000"/>
          <w:sz w:val="22"/>
          <w:szCs w:val="22"/>
        </w:rPr>
        <w:t xml:space="preserve">Artículo 4. </w:t>
      </w:r>
      <w:r w:rsidRPr="00A51BF6">
        <w:rPr>
          <w:rFonts w:ascii="Palatino Linotype" w:hAnsi="Palatino Linotype" w:cs="Arial"/>
          <w:i/>
          <w:color w:val="000000"/>
          <w:sz w:val="22"/>
          <w:szCs w:val="22"/>
        </w:rPr>
        <w:t xml:space="preserve">… </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w:t>
      </w:r>
      <w:r w:rsidRPr="00A51BF6">
        <w:rPr>
          <w:rFonts w:ascii="Palatino Linotype" w:hAnsi="Palatino Linotype" w:cs="Arial"/>
          <w:i/>
          <w:color w:val="000000"/>
          <w:sz w:val="22"/>
          <w:szCs w:val="22"/>
        </w:rPr>
        <w:lastRenderedPageBreak/>
        <w:t xml:space="preserve">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t xml:space="preserve"> </w:t>
      </w:r>
      <w:r w:rsidRPr="00A51BF6">
        <w:rPr>
          <w:rFonts w:ascii="Palatino Linotype" w:hAnsi="Palatino Linotype" w:cs="Arial"/>
          <w:i/>
          <w:sz w:val="22"/>
          <w:szCs w:val="22"/>
        </w:rPr>
        <w:t>...”</w:t>
      </w:r>
    </w:p>
    <w:p w:rsidR="0064139C" w:rsidRPr="00A51BF6" w:rsidRDefault="0064139C" w:rsidP="0064139C">
      <w:pPr>
        <w:spacing w:before="100" w:beforeAutospacing="1" w:after="100" w:afterAutospacing="1" w:line="360" w:lineRule="auto"/>
        <w:jc w:val="both"/>
        <w:rPr>
          <w:rFonts w:ascii="Palatino Linotype" w:hAnsi="Palatino Linotype" w:cs="Arial"/>
          <w:i/>
        </w:rPr>
      </w:pPr>
      <w:r w:rsidRPr="00A51BF6">
        <w:rPr>
          <w:rFonts w:ascii="Palatino Linotype" w:hAnsi="Palatino Linotype" w:cs="Arial"/>
        </w:rPr>
        <w:t>Del precepto legal invocado, se desprende que la información generada, obtenida, adquirida, transmitida, administrada o en posesión de los Sujetos Obligados, será accesible de manera permanente a cualquier persona, privilegiando el principio de máxima publicidad de la información.</w:t>
      </w:r>
    </w:p>
    <w:p w:rsidR="0064139C" w:rsidRPr="00A51BF6" w:rsidRDefault="0064139C" w:rsidP="0064139C">
      <w:pPr>
        <w:spacing w:before="100" w:beforeAutospacing="1" w:after="100" w:afterAutospacing="1" w:line="360" w:lineRule="auto"/>
        <w:jc w:val="both"/>
        <w:rPr>
          <w:rFonts w:ascii="Palatino Linotype" w:hAnsi="Palatino Linotype" w:cs="Arial"/>
          <w:color w:val="000000"/>
        </w:rPr>
      </w:pPr>
      <w:r w:rsidRPr="00A51BF6">
        <w:rPr>
          <w:rFonts w:ascii="Palatino Linotype" w:hAnsi="Palatino Linotype" w:cs="Arial"/>
        </w:rPr>
        <w:t xml:space="preserve">Por su parte, el artículo 12 de la Ley de la materia establece que los Sujetos Obligados sólo proporcionarán la información que generen, recopilen, administren, manejen, procesen, archiven o conserven y sólo facilitarán la que se les requiera y obre en sus archivos, en el estado en el que se encuentre, sin la obligación de generarla, resumirla, efectuar cálculos o practicar investigaciones; así, </w:t>
      </w:r>
      <w:r w:rsidRPr="00A51BF6">
        <w:rPr>
          <w:rFonts w:ascii="Palatino Linotype" w:hAnsi="Palatino Linotype" w:cs="Arial"/>
          <w:color w:val="000000"/>
        </w:rPr>
        <w:t>el Derecho de Acceso a la Información Pública se satisface en aquellos casos en que se entregue el soporte documental en que conste la información pública, toda vez que, los Sujetos Obligados</w:t>
      </w:r>
      <w:r w:rsidRPr="00A51BF6">
        <w:rPr>
          <w:rFonts w:ascii="Palatino Linotype" w:hAnsi="Palatino Linotype" w:cs="Arial"/>
          <w:b/>
          <w:color w:val="000000"/>
        </w:rPr>
        <w:t xml:space="preserve"> </w:t>
      </w:r>
      <w:r w:rsidRPr="00A51BF6">
        <w:rPr>
          <w:rFonts w:ascii="Palatino Linotype" w:hAnsi="Palatino Linotype" w:cs="Arial"/>
          <w:color w:val="000000"/>
        </w:rPr>
        <w:t xml:space="preserve">no tienen el deber de generar, poseer o administrar la información pública con el grado de detalle solicitado; esto es, que no tienen el deber de generar un documento </w:t>
      </w:r>
      <w:r w:rsidRPr="00A51BF6">
        <w:rPr>
          <w:rFonts w:ascii="Palatino Linotype" w:hAnsi="Palatino Linotype" w:cs="Arial"/>
          <w:i/>
          <w:color w:val="000000"/>
        </w:rPr>
        <w:t>ad hoc</w:t>
      </w:r>
      <w:r w:rsidRPr="00A51BF6">
        <w:rPr>
          <w:rFonts w:ascii="Palatino Linotype" w:hAnsi="Palatino Linotype" w:cs="Arial"/>
          <w:color w:val="000000"/>
        </w:rPr>
        <w:t>, para satisfacer el Derecho de Acceso a la Información Pública.</w:t>
      </w:r>
    </w:p>
    <w:p w:rsidR="0064139C" w:rsidRPr="00A51BF6" w:rsidRDefault="0064139C" w:rsidP="0064139C">
      <w:pPr>
        <w:spacing w:line="360" w:lineRule="auto"/>
        <w:jc w:val="both"/>
        <w:rPr>
          <w:rFonts w:ascii="Palatino Linotype" w:hAnsi="Palatino Linotype"/>
          <w:b/>
          <w:bCs/>
          <w:color w:val="000000"/>
        </w:rPr>
      </w:pPr>
      <w:r w:rsidRPr="00A51BF6">
        <w:rPr>
          <w:rFonts w:ascii="Palatino Linotype" w:hAnsi="Palatino Linotype" w:cs="Arial"/>
          <w:color w:val="000000"/>
        </w:rPr>
        <w:t xml:space="preserve">Como apoyo a lo anterior, es aplicable el Criterio 03-17, emitido por </w:t>
      </w:r>
      <w:r w:rsidRPr="00A51BF6">
        <w:rPr>
          <w:rFonts w:ascii="Palatino Linotype" w:eastAsia="Arial Unicode MS" w:hAnsi="Palatino Linotype" w:cs="Arial"/>
          <w:color w:val="000000"/>
        </w:rPr>
        <w:t>el Instituto Nacional de Transparencia, Acceso a la Información y Protección de Datos Personales (INAI),</w:t>
      </w:r>
      <w:r w:rsidRPr="00A51BF6">
        <w:rPr>
          <w:rFonts w:ascii="Palatino Linotype" w:hAnsi="Palatino Linotype"/>
          <w:bCs/>
          <w:color w:val="000000"/>
        </w:rPr>
        <w:t xml:space="preserve"> que dice:</w:t>
      </w:r>
      <w:r w:rsidRPr="00A51BF6">
        <w:rPr>
          <w:rFonts w:ascii="Palatino Linotype" w:hAnsi="Palatino Linotype"/>
          <w:b/>
          <w:bCs/>
          <w:color w:val="000000"/>
        </w:rPr>
        <w:t xml:space="preserve"> </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t>“</w:t>
      </w:r>
      <w:r w:rsidRPr="00A51BF6">
        <w:rPr>
          <w:rFonts w:ascii="Palatino Linotype" w:hAnsi="Palatino Linotype" w:cs="Arial"/>
          <w:b/>
          <w:i/>
          <w:color w:val="000000"/>
          <w:sz w:val="22"/>
          <w:szCs w:val="22"/>
        </w:rPr>
        <w:t>No existe obligación de elaborar documentos ad hoc para atender las solicitudes de acceso a la información.</w:t>
      </w:r>
      <w:r w:rsidRPr="00A51BF6">
        <w:rPr>
          <w:rFonts w:ascii="Palatino Linotype" w:hAnsi="Palatino Linotype" w:cs="Arial"/>
          <w:i/>
          <w:color w:val="000000"/>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w:t>
      </w:r>
      <w:r w:rsidRPr="00A51BF6">
        <w:rPr>
          <w:rFonts w:ascii="Palatino Linotype" w:hAnsi="Palatino Linotype" w:cs="Arial"/>
          <w:i/>
          <w:color w:val="000000"/>
          <w:sz w:val="22"/>
          <w:szCs w:val="22"/>
        </w:rPr>
        <w:lastRenderedPageBreak/>
        <w:t>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t xml:space="preserve">Resoluciones: </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sym w:font="Symbol" w:char="F0B7"/>
      </w:r>
      <w:r w:rsidRPr="00A51BF6">
        <w:rPr>
          <w:rFonts w:ascii="Palatino Linotype" w:hAnsi="Palatino Linotype" w:cs="Arial"/>
          <w:i/>
          <w:color w:val="000000"/>
          <w:sz w:val="22"/>
          <w:szCs w:val="22"/>
        </w:rPr>
        <w:t xml:space="preserve"> RRA 0050/16. Instituto Nacional para la Evaluación de la Educación. 13 julio de 2016. Por unanimidad. Comisionado Ponente: Francisco Javier Acuña Llamas.</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sym w:font="Symbol" w:char="F0B7"/>
      </w:r>
      <w:r w:rsidRPr="00A51BF6">
        <w:rPr>
          <w:rFonts w:ascii="Palatino Linotype" w:hAnsi="Palatino Linotype" w:cs="Arial"/>
          <w:i/>
          <w:color w:val="000000"/>
          <w:sz w:val="22"/>
          <w:szCs w:val="22"/>
        </w:rPr>
        <w:t xml:space="preserve"> RRA 0310/16. Instituto Nacional de Transparencia, Acceso a la Información y Protección de Datos Personales. 10 de agosto de 2016. Por unanimidad. Comisionada Ponente. Areli Cano Guadiana. </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sym w:font="Symbol" w:char="F0B7"/>
      </w:r>
      <w:r w:rsidRPr="00A51BF6">
        <w:rPr>
          <w:rFonts w:ascii="Palatino Linotype" w:hAnsi="Palatino Linotype" w:cs="Arial"/>
          <w:i/>
          <w:color w:val="000000"/>
          <w:sz w:val="22"/>
          <w:szCs w:val="22"/>
        </w:rPr>
        <w:t xml:space="preserve"> RRA 1889/16. Secretaría de Hacienda y Crédito Público. 05 de octubre de 2016. Por unanimidad. Comisionada Ponente. Ximena Puente de la Mora.”</w:t>
      </w:r>
    </w:p>
    <w:p w:rsidR="0064139C" w:rsidRPr="00A51BF6" w:rsidRDefault="0064139C" w:rsidP="0064139C">
      <w:pPr>
        <w:spacing w:before="100" w:beforeAutospacing="1" w:after="100" w:afterAutospacing="1" w:line="360" w:lineRule="auto"/>
        <w:jc w:val="both"/>
        <w:rPr>
          <w:rFonts w:ascii="Palatino Linotype" w:hAnsi="Palatino Linotype" w:cs="Arial"/>
          <w:color w:val="000000" w:themeColor="text1"/>
        </w:rPr>
      </w:pPr>
      <w:r w:rsidRPr="00A51BF6">
        <w:rPr>
          <w:rFonts w:ascii="Palatino Linotype" w:hAnsi="Palatino Linotype" w:cs="Arial"/>
          <w:color w:val="000000" w:themeColor="text1"/>
        </w:rPr>
        <w:t xml:space="preserve">Asimismo, el artículo 24 de la Ley de la materia dispone que los Sujetos Obligados sólo proporcionarán la información pública que </w:t>
      </w:r>
      <w:r w:rsidRPr="00A51BF6">
        <w:rPr>
          <w:rFonts w:ascii="Palatino Linotype" w:hAnsi="Palatino Linotype" w:cs="Arial"/>
        </w:rPr>
        <w:t>generen</w:t>
      </w:r>
      <w:r w:rsidRPr="00A51BF6">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64139C" w:rsidRPr="00A51BF6" w:rsidRDefault="0064139C" w:rsidP="0064139C">
      <w:pPr>
        <w:spacing w:before="100" w:beforeAutospacing="1" w:after="100" w:afterAutospacing="1" w:line="360" w:lineRule="auto"/>
        <w:jc w:val="both"/>
        <w:rPr>
          <w:rFonts w:ascii="Palatino Linotype" w:hAnsi="Palatino Linotype" w:cs="Arial"/>
          <w:color w:val="000000" w:themeColor="text1"/>
        </w:rPr>
      </w:pPr>
      <w:r w:rsidRPr="00A51BF6">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A51BF6">
        <w:rPr>
          <w:rFonts w:ascii="Palatino Linotype" w:hAnsi="Palatino Linotype"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A51BF6">
        <w:rPr>
          <w:rFonts w:ascii="Palatino Linotype" w:hAnsi="Palatino Linotype" w:cs="Arial"/>
          <w:color w:val="000000" w:themeColor="text1"/>
        </w:rPr>
        <w:t xml:space="preserve">; los que, </w:t>
      </w:r>
      <w:r w:rsidRPr="00A51BF6">
        <w:rPr>
          <w:rFonts w:ascii="Palatino Linotype" w:hAnsi="Palatino Linotype" w:cs="Arial"/>
        </w:rPr>
        <w:t>podrán estar en cualquier medio, sea escrito, impreso, sonoro, visual, electrónico, informático u holográfico</w:t>
      </w:r>
      <w:r w:rsidRPr="00A51BF6">
        <w:rPr>
          <w:rFonts w:ascii="Palatino Linotype" w:hAnsi="Palatino Linotype" w:cs="Arial"/>
          <w:color w:val="000000" w:themeColor="text1"/>
        </w:rPr>
        <w:t xml:space="preserve">, de conformidad con el artículo 3, fracción XI de la Ley de la materia, el cual dispone lo siguiente: </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t>“</w:t>
      </w:r>
      <w:r w:rsidRPr="00A51BF6">
        <w:rPr>
          <w:rFonts w:ascii="Palatino Linotype" w:hAnsi="Palatino Linotype" w:cs="Arial"/>
          <w:b/>
          <w:i/>
          <w:color w:val="000000"/>
          <w:sz w:val="22"/>
          <w:szCs w:val="22"/>
        </w:rPr>
        <w:t xml:space="preserve">Artículo 3. </w:t>
      </w:r>
      <w:r w:rsidRPr="00A51BF6">
        <w:rPr>
          <w:rFonts w:ascii="Palatino Linotype" w:hAnsi="Palatino Linotype" w:cs="Arial"/>
          <w:i/>
          <w:color w:val="000000"/>
          <w:sz w:val="22"/>
          <w:szCs w:val="22"/>
        </w:rPr>
        <w:t>Para los efectos de la presente Ley se entenderá por:</w:t>
      </w:r>
    </w:p>
    <w:p w:rsidR="0064139C" w:rsidRPr="00A51BF6" w:rsidRDefault="0064139C" w:rsidP="0064139C">
      <w:pPr>
        <w:ind w:left="851" w:right="850"/>
        <w:jc w:val="both"/>
        <w:rPr>
          <w:rFonts w:ascii="Palatino Linotype" w:hAnsi="Palatino Linotype" w:cs="Arial"/>
          <w:i/>
          <w:color w:val="000000"/>
          <w:sz w:val="22"/>
          <w:szCs w:val="22"/>
        </w:rPr>
      </w:pPr>
      <w:r w:rsidRPr="00A51BF6">
        <w:rPr>
          <w:rFonts w:ascii="Palatino Linotype" w:hAnsi="Palatino Linotype" w:cs="Arial"/>
          <w:i/>
          <w:color w:val="000000"/>
          <w:sz w:val="22"/>
          <w:szCs w:val="22"/>
        </w:rPr>
        <w:t>…</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b/>
          <w:i/>
          <w:color w:val="000000"/>
          <w:sz w:val="22"/>
          <w:szCs w:val="22"/>
        </w:rPr>
        <w:lastRenderedPageBreak/>
        <w:t>XI. Documento:</w:t>
      </w:r>
      <w:r w:rsidRPr="00A51BF6">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64139C" w:rsidRPr="00A51BF6" w:rsidRDefault="0064139C" w:rsidP="0064139C">
      <w:pPr>
        <w:ind w:left="851" w:right="901"/>
        <w:jc w:val="both"/>
        <w:rPr>
          <w:rFonts w:ascii="Palatino Linotype" w:hAnsi="Palatino Linotype" w:cs="Arial"/>
          <w:i/>
          <w:color w:val="000000"/>
          <w:sz w:val="22"/>
          <w:szCs w:val="22"/>
        </w:rPr>
      </w:pPr>
      <w:r w:rsidRPr="00A51BF6">
        <w:rPr>
          <w:rFonts w:ascii="Palatino Linotype" w:hAnsi="Palatino Linotype" w:cs="Arial"/>
          <w:b/>
          <w:i/>
          <w:color w:val="000000"/>
          <w:sz w:val="22"/>
          <w:szCs w:val="22"/>
        </w:rPr>
        <w:t>…</w:t>
      </w:r>
      <w:r w:rsidRPr="00A51BF6">
        <w:rPr>
          <w:rFonts w:ascii="Palatino Linotype" w:hAnsi="Palatino Linotype" w:cs="Arial"/>
          <w:i/>
          <w:color w:val="000000"/>
          <w:sz w:val="22"/>
          <w:szCs w:val="22"/>
        </w:rPr>
        <w:t>”</w:t>
      </w:r>
    </w:p>
    <w:p w:rsidR="0064139C" w:rsidRPr="00A51BF6" w:rsidRDefault="0064139C" w:rsidP="0064139C">
      <w:pPr>
        <w:autoSpaceDE w:val="0"/>
        <w:autoSpaceDN w:val="0"/>
        <w:adjustRightInd w:val="0"/>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Siendo aplicable el Criterio </w:t>
      </w:r>
      <w:r w:rsidRPr="00A51BF6">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A51BF6">
        <w:rPr>
          <w:rFonts w:ascii="Palatino Linotype" w:hAnsi="Palatino Linotype" w:cs="Arial"/>
        </w:rPr>
        <w:t>cuyo rubro y texto dispone:</w:t>
      </w:r>
    </w:p>
    <w:p w:rsidR="0064139C" w:rsidRPr="00A51BF6" w:rsidRDefault="0064139C" w:rsidP="0064139C">
      <w:pPr>
        <w:ind w:left="851" w:right="901"/>
        <w:jc w:val="both"/>
        <w:rPr>
          <w:rFonts w:ascii="Palatino Linotype" w:hAnsi="Palatino Linotype" w:cs="Arial"/>
          <w:b/>
          <w:i/>
          <w:sz w:val="22"/>
          <w:szCs w:val="22"/>
          <w:lang w:eastAsia="es-MX"/>
        </w:rPr>
      </w:pPr>
      <w:r w:rsidRPr="00A51BF6">
        <w:rPr>
          <w:rFonts w:ascii="Palatino Linotype" w:hAnsi="Palatino Linotype" w:cs="Arial"/>
          <w:b/>
          <w:sz w:val="22"/>
          <w:szCs w:val="22"/>
          <w:lang w:eastAsia="es-MX"/>
        </w:rPr>
        <w:t>“</w:t>
      </w:r>
      <w:r w:rsidRPr="00A51BF6">
        <w:rPr>
          <w:rFonts w:ascii="Palatino Linotype" w:hAnsi="Palatino Linotype" w:cs="Arial"/>
          <w:b/>
          <w:i/>
          <w:sz w:val="22"/>
          <w:szCs w:val="22"/>
          <w:lang w:eastAsia="es-MX"/>
        </w:rPr>
        <w:t>CRITERIO 0002-11</w:t>
      </w:r>
    </w:p>
    <w:p w:rsidR="0064139C" w:rsidRPr="00A51BF6" w:rsidRDefault="0064139C" w:rsidP="0064139C">
      <w:pPr>
        <w:ind w:left="851" w:right="901"/>
        <w:jc w:val="both"/>
        <w:rPr>
          <w:rFonts w:ascii="Palatino Linotype" w:hAnsi="Palatino Linotype" w:cs="Arial"/>
          <w:i/>
          <w:sz w:val="22"/>
          <w:szCs w:val="22"/>
          <w:lang w:eastAsia="es-MX"/>
        </w:rPr>
      </w:pPr>
      <w:r w:rsidRPr="00A51BF6">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A51BF6">
        <w:rPr>
          <w:rFonts w:ascii="Palatino Linotype" w:hAnsi="Palatino Linotype" w:cs="Arial"/>
          <w:b/>
          <w:bCs/>
          <w:i/>
          <w:sz w:val="22"/>
          <w:szCs w:val="22"/>
          <w:u w:val="single"/>
          <w:lang w:eastAsia="es-MX"/>
        </w:rPr>
        <w:t xml:space="preserve">V, XV, Y XVI, </w:t>
      </w:r>
      <w:r w:rsidRPr="00A51BF6">
        <w:rPr>
          <w:rFonts w:ascii="Palatino Linotype" w:hAnsi="Palatino Linotype" w:cs="Arial"/>
          <w:b/>
          <w:i/>
          <w:sz w:val="22"/>
          <w:szCs w:val="22"/>
          <w:u w:val="single"/>
          <w:lang w:eastAsia="es-MX"/>
        </w:rPr>
        <w:t>3°, 4°, 11 Y 41.</w:t>
      </w:r>
      <w:r w:rsidRPr="00A51BF6">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64139C" w:rsidRPr="00A51BF6" w:rsidRDefault="0064139C" w:rsidP="0064139C">
      <w:pPr>
        <w:ind w:left="851" w:right="850"/>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En consecuencia el acceso a la información se refiere a que se cumplan cualquiera de los siguientes tres supuestos:</w:t>
      </w:r>
    </w:p>
    <w:p w:rsidR="0064139C" w:rsidRPr="00A51BF6" w:rsidRDefault="0064139C" w:rsidP="0064139C">
      <w:pPr>
        <w:ind w:left="851" w:right="901"/>
        <w:jc w:val="both"/>
        <w:rPr>
          <w:rFonts w:ascii="Palatino Linotype" w:hAnsi="Palatino Linotype" w:cs="Arial"/>
          <w:b/>
          <w:i/>
          <w:sz w:val="22"/>
          <w:szCs w:val="22"/>
          <w:u w:val="single"/>
          <w:lang w:eastAsia="es-MX"/>
        </w:rPr>
      </w:pPr>
      <w:r w:rsidRPr="00A51BF6">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rsidR="0064139C" w:rsidRPr="00A51BF6" w:rsidRDefault="0064139C" w:rsidP="0064139C">
      <w:pPr>
        <w:ind w:left="851" w:right="901"/>
        <w:jc w:val="both"/>
        <w:rPr>
          <w:rFonts w:ascii="Palatino Linotype" w:hAnsi="Palatino Linotype" w:cs="Arial"/>
          <w:i/>
          <w:vanish/>
          <w:sz w:val="22"/>
          <w:szCs w:val="22"/>
          <w:lang w:eastAsia="es-MX"/>
          <w:specVanish/>
        </w:rPr>
      </w:pPr>
      <w:r w:rsidRPr="00A51BF6">
        <w:rPr>
          <w:rFonts w:ascii="Palatino Linotype" w:hAnsi="Palatino Linotype" w:cs="Arial"/>
          <w:i/>
          <w:sz w:val="22"/>
          <w:szCs w:val="22"/>
          <w:lang w:eastAsia="es-MX"/>
        </w:rPr>
        <w:t>2) Q}ue se trate de información registrada en cualquier soporte documental, que en ejercicio de las atribuciones conferidas, sea administrada por los Sujetos Obligados, y</w:t>
      </w:r>
    </w:p>
    <w:p w:rsidR="0064139C" w:rsidRPr="00A51BF6" w:rsidRDefault="0064139C" w:rsidP="0064139C">
      <w:pPr>
        <w:ind w:left="851" w:right="901"/>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 xml:space="preserve"> 3) Que se trate de información registrada en cualquier soporte documental, que en ejercicio de las atribuciones conferidas, se encuentre en posesión de los Sujetos Obligados.” (SIC)</w:t>
      </w:r>
    </w:p>
    <w:p w:rsidR="0064139C" w:rsidRPr="00A51BF6" w:rsidRDefault="0064139C" w:rsidP="0064139C">
      <w:pPr>
        <w:autoSpaceDE w:val="0"/>
        <w:autoSpaceDN w:val="0"/>
        <w:adjustRightInd w:val="0"/>
        <w:spacing w:before="100" w:beforeAutospacing="1" w:after="100" w:afterAutospacing="1" w:line="360" w:lineRule="auto"/>
        <w:jc w:val="both"/>
        <w:rPr>
          <w:rFonts w:ascii="Palatino Linotype" w:eastAsia="MS Mincho" w:hAnsi="Palatino Linotype"/>
        </w:rPr>
      </w:pPr>
      <w:r w:rsidRPr="00A51BF6">
        <w:rPr>
          <w:rFonts w:ascii="Palatino Linotype" w:eastAsia="MS Mincho" w:hAnsi="Palatino Linotype"/>
        </w:rPr>
        <w:t xml:space="preserve">Además, es importante señalar que, de conformidad con el artículo 18 de la Ley de Transparencia y Acceso a la Información Pública del Estado de México y Municipios, </w:t>
      </w:r>
      <w:r w:rsidRPr="00A51BF6">
        <w:rPr>
          <w:rFonts w:ascii="Palatino Linotype" w:eastAsia="MS Mincho" w:hAnsi="Palatino Linotype"/>
        </w:rPr>
        <w:lastRenderedPageBreak/>
        <w:t>los Sujetos Obligados deben documentar todos sus actos que realicen derivado del ejercicio de sus atribuciones, como se aprecia de la lectura del precepto legal en comento:</w:t>
      </w:r>
    </w:p>
    <w:p w:rsidR="0064139C" w:rsidRPr="00A51BF6" w:rsidRDefault="0064139C" w:rsidP="0064139C">
      <w:pPr>
        <w:autoSpaceDE w:val="0"/>
        <w:autoSpaceDN w:val="0"/>
        <w:adjustRightInd w:val="0"/>
        <w:ind w:left="851" w:right="902"/>
        <w:jc w:val="both"/>
        <w:rPr>
          <w:rFonts w:ascii="Palatino Linotype" w:hAnsi="Palatino Linotype" w:cs="Arial"/>
          <w:b/>
          <w:i/>
          <w:sz w:val="22"/>
          <w:szCs w:val="22"/>
        </w:rPr>
      </w:pPr>
      <w:r w:rsidRPr="00A51BF6">
        <w:rPr>
          <w:rFonts w:ascii="Palatino Linotype" w:hAnsi="Palatino Linotype" w:cs="Arial"/>
          <w:b/>
          <w:bCs/>
          <w:i/>
          <w:sz w:val="22"/>
          <w:szCs w:val="22"/>
        </w:rPr>
        <w:t xml:space="preserve">“Artículo 18. </w:t>
      </w:r>
      <w:r w:rsidRPr="00A51BF6">
        <w:rPr>
          <w:rFonts w:ascii="Palatino Linotype" w:hAnsi="Palatino Linotype" w:cs="Arial"/>
          <w:i/>
          <w:sz w:val="22"/>
          <w:szCs w:val="22"/>
        </w:rPr>
        <w:t>Los sujetos obligados deberán documentar todo acto que derive del ejercicio de sus facultades, competencias o funciones, considerando desde su origen la eventual publicidad y reutilización de la información que generen.” (Sic)</w:t>
      </w:r>
    </w:p>
    <w:p w:rsidR="0064139C" w:rsidRPr="00A51BF6" w:rsidRDefault="0064139C" w:rsidP="0064139C">
      <w:pPr>
        <w:autoSpaceDE w:val="0"/>
        <w:autoSpaceDN w:val="0"/>
        <w:adjustRightInd w:val="0"/>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lang w:val="es-ES"/>
        </w:rPr>
        <w:t xml:space="preserve">En conclusión, </w:t>
      </w:r>
      <w:r w:rsidRPr="00A51BF6">
        <w:rPr>
          <w:rFonts w:ascii="Palatino Linotype" w:hAnsi="Palatino Linotype" w:cs="Arial"/>
          <w:b/>
          <w:lang w:val="es-ES"/>
        </w:rPr>
        <w:t xml:space="preserve">EL SUJETO OBLIGADO </w:t>
      </w:r>
      <w:r w:rsidRPr="00A51BF6">
        <w:rPr>
          <w:rFonts w:ascii="Palatino Linotype" w:hAnsi="Palatino Linotype" w:cs="Arial"/>
          <w:lang w:val="es-ES"/>
        </w:rPr>
        <w:t xml:space="preserve">se encuentra constreñido a generar, poseer y administrar la información solicitada por </w:t>
      </w:r>
      <w:r w:rsidRPr="00A51BF6">
        <w:rPr>
          <w:rFonts w:ascii="Palatino Linotype" w:hAnsi="Palatino Linotype" w:cs="Arial"/>
          <w:b/>
          <w:lang w:val="es-ES"/>
        </w:rPr>
        <w:t xml:space="preserve">EL RECURRENTE </w:t>
      </w:r>
      <w:r w:rsidRPr="00A51BF6">
        <w:rPr>
          <w:rFonts w:ascii="Palatino Linotype" w:hAnsi="Palatino Linotype" w:cs="Arial"/>
          <w:lang w:val="es-ES"/>
        </w:rPr>
        <w:t>derivado del ejercicio de sus facultades y atribuciones de derecho público; tal y como, ha quedado expuesto en el estudio de la presente resolución.</w:t>
      </w:r>
    </w:p>
    <w:p w:rsidR="0064139C" w:rsidRPr="00A51BF6" w:rsidRDefault="0064139C" w:rsidP="0064139C">
      <w:pPr>
        <w:autoSpaceDE w:val="0"/>
        <w:autoSpaceDN w:val="0"/>
        <w:adjustRightInd w:val="0"/>
        <w:spacing w:before="100" w:beforeAutospacing="1" w:after="100" w:afterAutospacing="1" w:line="360" w:lineRule="auto"/>
        <w:jc w:val="both"/>
        <w:rPr>
          <w:rFonts w:ascii="Palatino Linotype" w:eastAsia="MS Mincho" w:hAnsi="Palatino Linotype" w:cs="Tahoma"/>
        </w:rPr>
      </w:pPr>
      <w:r w:rsidRPr="00A51BF6">
        <w:rPr>
          <w:rFonts w:ascii="Palatino Linotype" w:hAnsi="Palatino Linotype" w:cs="Arial"/>
          <w:lang w:eastAsia="es-MX"/>
        </w:rPr>
        <w:t xml:space="preserve">De la misma </w:t>
      </w:r>
      <w:r w:rsidRPr="00A51BF6">
        <w:rPr>
          <w:rFonts w:ascii="Palatino Linotype" w:eastAsia="MS Mincho" w:hAnsi="Palatino Linotype"/>
        </w:rPr>
        <w:t>forma</w:t>
      </w:r>
      <w:r w:rsidRPr="00A51BF6">
        <w:rPr>
          <w:rFonts w:ascii="Palatino Linotype" w:hAnsi="Palatino Linotype" w:cs="Arial"/>
          <w:lang w:eastAsia="es-MX"/>
        </w:rPr>
        <w:t xml:space="preserve">, </w:t>
      </w:r>
      <w:r w:rsidRPr="00A51BF6">
        <w:rPr>
          <w:rFonts w:ascii="Palatino Linotype" w:eastAsia="MS Mincho" w:hAnsi="Palatino Linotype"/>
        </w:rPr>
        <w:t>se cita el contenido del artículo 160</w:t>
      </w:r>
      <w:r w:rsidRPr="00A51BF6">
        <w:rPr>
          <w:rFonts w:ascii="Palatino Linotype" w:hAnsi="Palatino Linotype" w:cs="Arial"/>
        </w:rPr>
        <w:t xml:space="preserve"> de la Ley </w:t>
      </w:r>
      <w:r w:rsidRPr="00A51BF6">
        <w:rPr>
          <w:rFonts w:ascii="Palatino Linotype" w:eastAsia="MS Mincho" w:hAnsi="Palatino Linotype" w:cs="Tahoma"/>
        </w:rPr>
        <w:t>General de Transparencia y Acceso a la Información Pública que a la letra dispone:</w:t>
      </w:r>
    </w:p>
    <w:p w:rsidR="0064139C" w:rsidRPr="00A51BF6" w:rsidRDefault="0064139C" w:rsidP="0064139C">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160</w:t>
      </w:r>
      <w:r w:rsidRPr="00A51BF6">
        <w:rPr>
          <w:rFonts w:ascii="Palatino Linotype" w:hAnsi="Palatino Linotype" w:cs="Arial"/>
          <w:i/>
          <w:sz w:val="22"/>
          <w:szCs w:val="22"/>
          <w:lang w:eastAsia="gl-ES"/>
        </w:rPr>
        <w:t xml:space="preserve">. Los </w:t>
      </w:r>
      <w:r w:rsidRPr="00A51BF6">
        <w:rPr>
          <w:rFonts w:ascii="Palatino Linotype" w:hAnsi="Palatino Linotype" w:cs="Arial"/>
          <w:i/>
          <w:sz w:val="22"/>
          <w:szCs w:val="22"/>
          <w:lang w:eastAsia="es-MX"/>
        </w:rPr>
        <w:t>sujetos</w:t>
      </w:r>
      <w:r w:rsidRPr="00A51BF6">
        <w:rPr>
          <w:rFonts w:ascii="Palatino Linotype" w:hAnsi="Palatino Linotype" w:cs="Arial"/>
          <w:i/>
          <w:sz w:val="22"/>
          <w:szCs w:val="22"/>
          <w:lang w:eastAsia="gl-ES"/>
        </w:rPr>
        <w:t xml:space="preserve">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r w:rsidRPr="00A51BF6">
        <w:rPr>
          <w:rFonts w:ascii="Palatino Linotype" w:hAnsi="Palatino Linotype" w:cs="Arial"/>
          <w:i/>
          <w:sz w:val="22"/>
          <w:szCs w:val="22"/>
        </w:rPr>
        <w:t xml:space="preserve"> (Sic)</w:t>
      </w:r>
    </w:p>
    <w:p w:rsidR="0064139C" w:rsidRPr="00A51BF6" w:rsidRDefault="0064139C" w:rsidP="0064139C">
      <w:pPr>
        <w:widowControl w:val="0"/>
        <w:tabs>
          <w:tab w:val="left" w:pos="1701"/>
          <w:tab w:val="left" w:pos="1843"/>
        </w:tabs>
        <w:autoSpaceDE w:val="0"/>
        <w:autoSpaceDN w:val="0"/>
        <w:adjustRightInd w:val="0"/>
        <w:spacing w:before="360" w:after="240" w:line="360" w:lineRule="auto"/>
        <w:jc w:val="both"/>
        <w:rPr>
          <w:rFonts w:ascii="Palatino Linotype" w:hAnsi="Palatino Linotype" w:cs="Arial"/>
        </w:rPr>
      </w:pPr>
      <w:r w:rsidRPr="00A51BF6">
        <w:rPr>
          <w:rFonts w:ascii="Palatino Linotype" w:hAnsi="Palatino Linotype" w:cs="Arial"/>
        </w:rPr>
        <w:t xml:space="preserve">Recapitulando, es necesario precisar que la solitud que nos ocupa, se encuentra formulada en partes; algunas de ellas consisten en cuestionamientos; por lo que, </w:t>
      </w:r>
      <w:r w:rsidRPr="00A51BF6">
        <w:rPr>
          <w:rFonts w:ascii="Palatino Linotype" w:hAnsi="Palatino Linotype"/>
        </w:rPr>
        <w:t xml:space="preserve">es necesario hacer hincapié en que, </w:t>
      </w:r>
      <w:r w:rsidRPr="00A51BF6">
        <w:rPr>
          <w:rFonts w:ascii="Palatino Linotype" w:hAnsi="Palatino Linotype" w:cs="Arial"/>
        </w:rPr>
        <w:t xml:space="preserve">los particulares no necesariamente cuentan con conocimientos técnicos en la materia para poder ejercer el derecho humano de acceso a la información, que les permitan expresar en apego a la normatividad, con exactitud la denominación técnica-jurídica de los documentos que requieren al formular sus solicitudes; de ahí que, cuando exista información relacionada con la solicitud en los archivos de los Sujetos Obligados, o bien, una expresión documental, con la cual puede </w:t>
      </w:r>
      <w:r w:rsidRPr="00A51BF6">
        <w:rPr>
          <w:rFonts w:ascii="Palatino Linotype" w:hAnsi="Palatino Linotype" w:cs="Arial"/>
        </w:rPr>
        <w:lastRenderedPageBreak/>
        <w:t xml:space="preserve">ser atendida o satisfecha la pretensión del solicitante, puede interpretarse de manera que se otorgue respecto de dicha expresión documental. </w:t>
      </w:r>
    </w:p>
    <w:p w:rsidR="0064139C" w:rsidRPr="00A51BF6" w:rsidRDefault="0064139C" w:rsidP="0064139C">
      <w:pPr>
        <w:widowControl w:val="0"/>
        <w:tabs>
          <w:tab w:val="left" w:pos="1701"/>
          <w:tab w:val="left" w:pos="1843"/>
        </w:tabs>
        <w:autoSpaceDE w:val="0"/>
        <w:autoSpaceDN w:val="0"/>
        <w:adjustRightInd w:val="0"/>
        <w:spacing w:before="360" w:after="240" w:line="360" w:lineRule="auto"/>
        <w:jc w:val="both"/>
        <w:rPr>
          <w:rFonts w:ascii="Palatino Linotype" w:hAnsi="Palatino Linotype" w:cs="Arial"/>
        </w:rPr>
      </w:pPr>
      <w:r w:rsidRPr="00A51BF6">
        <w:rPr>
          <w:rFonts w:ascii="Palatino Linotype" w:hAnsi="Palatino Linotype" w:cs="Arial"/>
        </w:rPr>
        <w:t>Lo anterior, tiene apoyo en el Criterio 16/17 de la Segunda Época, emitido por el Pleno del Instituto Nacional de Transparencia, Acceso a la Información y Protección de Datos Personales, que señala literalmente lo siguiente:</w:t>
      </w:r>
    </w:p>
    <w:p w:rsidR="0064139C" w:rsidRPr="00A51BF6" w:rsidRDefault="0064139C" w:rsidP="0064139C">
      <w:pPr>
        <w:spacing w:before="160" w:after="160"/>
        <w:ind w:left="709" w:right="709"/>
        <w:jc w:val="both"/>
        <w:rPr>
          <w:rFonts w:ascii="Palatino Linotype" w:hAnsi="Palatino Linotype" w:cs="Arial"/>
          <w:i/>
          <w:sz w:val="22"/>
          <w:szCs w:val="22"/>
        </w:rPr>
      </w:pPr>
      <w:r w:rsidRPr="00A51BF6">
        <w:rPr>
          <w:rFonts w:ascii="Palatino Linotype" w:hAnsi="Palatino Linotype" w:cs="Arial"/>
          <w:i/>
          <w:sz w:val="22"/>
          <w:szCs w:val="22"/>
        </w:rPr>
        <w:t>“</w:t>
      </w:r>
      <w:r w:rsidRPr="00A51BF6">
        <w:rPr>
          <w:rFonts w:ascii="Palatino Linotype" w:hAnsi="Palatino Linotype" w:cs="Arial"/>
          <w:b/>
          <w:i/>
          <w:sz w:val="22"/>
          <w:szCs w:val="22"/>
        </w:rPr>
        <w:t>Expresión documental</w:t>
      </w:r>
      <w:r w:rsidRPr="00A51BF6">
        <w:rPr>
          <w:rFonts w:ascii="Palatino Linotype" w:hAnsi="Palatino Linotype" w:cs="Arial"/>
          <w:i/>
          <w:sz w:val="22"/>
          <w:szCs w:val="22"/>
        </w:rPr>
        <w:t xml:space="preserve">. </w:t>
      </w:r>
      <w:r w:rsidRPr="00A51BF6">
        <w:rPr>
          <w:rFonts w:ascii="Palatino Linotype" w:hAnsi="Palatino Linotype" w:cs="Arial"/>
          <w:b/>
          <w:i/>
          <w:sz w:val="22"/>
          <w:szCs w:val="22"/>
          <w:u w:val="single"/>
        </w:rPr>
        <w:t>Cuando los particulares presenten solicitudes de acceso a la información sin identificar de forma precisa la documentación que pudiera contener la información de su interés</w:t>
      </w:r>
      <w:r w:rsidRPr="00A51BF6">
        <w:rPr>
          <w:rFonts w:ascii="Palatino Linotype" w:hAnsi="Palatino Linotype" w:cs="Arial"/>
          <w:i/>
          <w:sz w:val="22"/>
          <w:szCs w:val="22"/>
        </w:rPr>
        <w:t xml:space="preserve">, o bien, la solicitud constituya una consulta, pero la respuesta pudiera obrar en algún </w:t>
      </w:r>
      <w:r w:rsidRPr="00A51BF6">
        <w:rPr>
          <w:rFonts w:ascii="Palatino Linotype" w:hAnsi="Palatino Linotype" w:cs="Arial"/>
          <w:bCs/>
          <w:i/>
          <w:noProof/>
          <w:sz w:val="22"/>
          <w:szCs w:val="22"/>
        </w:rPr>
        <w:t>documento</w:t>
      </w:r>
      <w:r w:rsidRPr="00A51BF6">
        <w:rPr>
          <w:rFonts w:ascii="Palatino Linotype" w:hAnsi="Palatino Linotype" w:cs="Arial"/>
          <w:i/>
          <w:sz w:val="22"/>
          <w:szCs w:val="22"/>
        </w:rPr>
        <w:t xml:space="preserve"> en poder de los sujetos obligados, </w:t>
      </w:r>
      <w:r w:rsidRPr="00A51BF6">
        <w:rPr>
          <w:rFonts w:ascii="Palatino Linotype" w:hAnsi="Palatino Linotype" w:cs="Arial"/>
          <w:b/>
          <w:i/>
          <w:sz w:val="22"/>
          <w:szCs w:val="22"/>
          <w:u w:val="single"/>
        </w:rPr>
        <w:t>éstos deben dar a dichas solicitudes una interpretación que les otorgue una expresión documental</w:t>
      </w:r>
      <w:r w:rsidRPr="00A51BF6">
        <w:rPr>
          <w:rFonts w:ascii="Palatino Linotype" w:hAnsi="Palatino Linotype" w:cs="Arial"/>
          <w:i/>
          <w:sz w:val="22"/>
          <w:szCs w:val="22"/>
        </w:rPr>
        <w:t>.</w:t>
      </w:r>
    </w:p>
    <w:p w:rsidR="0064139C" w:rsidRPr="00A51BF6" w:rsidRDefault="0064139C" w:rsidP="0064139C">
      <w:pPr>
        <w:spacing w:before="160" w:after="160"/>
        <w:ind w:left="709" w:right="709"/>
        <w:jc w:val="both"/>
        <w:rPr>
          <w:rFonts w:ascii="Palatino Linotype" w:hAnsi="Palatino Linotype" w:cs="Arial"/>
          <w:i/>
          <w:sz w:val="22"/>
          <w:szCs w:val="22"/>
        </w:rPr>
      </w:pPr>
      <w:r w:rsidRPr="00A51BF6">
        <w:rPr>
          <w:rFonts w:ascii="Palatino Linotype" w:hAnsi="Palatino Linotype" w:cs="Arial"/>
          <w:i/>
          <w:sz w:val="22"/>
          <w:szCs w:val="22"/>
        </w:rPr>
        <w:t>Resoluciones:</w:t>
      </w:r>
    </w:p>
    <w:p w:rsidR="0064139C" w:rsidRPr="00A51BF6" w:rsidRDefault="0064139C" w:rsidP="0064139C">
      <w:pPr>
        <w:spacing w:before="160" w:after="160"/>
        <w:ind w:left="709" w:right="709"/>
        <w:jc w:val="both"/>
        <w:rPr>
          <w:rFonts w:ascii="Palatino Linotype" w:hAnsi="Palatino Linotype" w:cs="Arial"/>
          <w:i/>
          <w:sz w:val="22"/>
          <w:szCs w:val="22"/>
        </w:rPr>
      </w:pPr>
      <w:r w:rsidRPr="00A51BF6">
        <w:rPr>
          <w:rFonts w:ascii="Palatino Linotype" w:hAnsi="Palatino Linotype" w:cs="Arial"/>
          <w:i/>
          <w:sz w:val="22"/>
          <w:szCs w:val="22"/>
        </w:rPr>
        <w:t>• RRA 0774/16. Secretaría de Salud. 31 de agosto de 2016. Por unanimidad. Comisionada Ponente María Patricia Kurczyn Villalobos.</w:t>
      </w:r>
    </w:p>
    <w:p w:rsidR="0064139C" w:rsidRPr="00A51BF6" w:rsidRDefault="0064139C" w:rsidP="0064139C">
      <w:pPr>
        <w:spacing w:before="200" w:after="200"/>
        <w:ind w:left="709" w:right="709"/>
        <w:jc w:val="both"/>
        <w:rPr>
          <w:rFonts w:ascii="Palatino Linotype" w:hAnsi="Palatino Linotype" w:cs="Arial"/>
          <w:i/>
          <w:sz w:val="22"/>
          <w:szCs w:val="22"/>
        </w:rPr>
      </w:pPr>
      <w:r w:rsidRPr="00A51BF6">
        <w:rPr>
          <w:rFonts w:ascii="Palatino Linotype" w:hAnsi="Palatino Linotype" w:cs="Arial"/>
          <w:i/>
          <w:sz w:val="22"/>
          <w:szCs w:val="22"/>
        </w:rPr>
        <w:t xml:space="preserve">• RRA 0143/17. Universidad Autónoma Agraria Antonio Narro. 22 de febrero de 2017. Por unanimidad. </w:t>
      </w:r>
      <w:r w:rsidRPr="00A51BF6">
        <w:rPr>
          <w:rFonts w:ascii="Palatino Linotype" w:hAnsi="Palatino Linotype" w:cs="Arial"/>
          <w:bCs/>
          <w:i/>
          <w:noProof/>
          <w:sz w:val="22"/>
          <w:szCs w:val="22"/>
        </w:rPr>
        <w:t>Comisionado</w:t>
      </w:r>
      <w:r w:rsidRPr="00A51BF6">
        <w:rPr>
          <w:rFonts w:ascii="Palatino Linotype" w:hAnsi="Palatino Linotype" w:cs="Arial"/>
          <w:i/>
          <w:sz w:val="22"/>
          <w:szCs w:val="22"/>
        </w:rPr>
        <w:t xml:space="preserve"> Ponente Oscar Mauricio Guerra Ford. </w:t>
      </w:r>
    </w:p>
    <w:p w:rsidR="0064139C" w:rsidRPr="00A51BF6" w:rsidRDefault="0064139C" w:rsidP="0064139C">
      <w:pPr>
        <w:ind w:left="709" w:right="709"/>
        <w:jc w:val="both"/>
        <w:rPr>
          <w:rFonts w:ascii="Palatino Linotype" w:hAnsi="Palatino Linotype" w:cs="Arial"/>
          <w:i/>
          <w:sz w:val="22"/>
          <w:szCs w:val="22"/>
        </w:rPr>
      </w:pPr>
      <w:r w:rsidRPr="00A51BF6">
        <w:rPr>
          <w:rFonts w:ascii="Palatino Linotype" w:hAnsi="Palatino Linotype" w:cs="Arial"/>
          <w:i/>
          <w:sz w:val="22"/>
          <w:szCs w:val="22"/>
        </w:rPr>
        <w:t xml:space="preserve">• RRA 0540/17. Secretaría de Economía. 08 de marzo del 2017. Por unanimidad. Comisionado Ponente </w:t>
      </w:r>
      <w:r w:rsidRPr="00A51BF6">
        <w:rPr>
          <w:rFonts w:ascii="Palatino Linotype" w:hAnsi="Palatino Linotype" w:cs="Arial"/>
          <w:bCs/>
          <w:i/>
          <w:noProof/>
          <w:sz w:val="22"/>
          <w:szCs w:val="22"/>
        </w:rPr>
        <w:t>Francisco</w:t>
      </w:r>
      <w:r w:rsidRPr="00A51BF6">
        <w:rPr>
          <w:rFonts w:ascii="Palatino Linotype" w:hAnsi="Palatino Linotype" w:cs="Arial"/>
          <w:i/>
          <w:sz w:val="22"/>
          <w:szCs w:val="22"/>
        </w:rPr>
        <w:t xml:space="preserve"> Javier Acuña Llamas.”</w:t>
      </w:r>
    </w:p>
    <w:p w:rsidR="0064139C" w:rsidRPr="00A51BF6" w:rsidRDefault="0064139C" w:rsidP="0064139C">
      <w:pPr>
        <w:spacing w:before="100" w:beforeAutospacing="1" w:after="100" w:afterAutospacing="1" w:line="360" w:lineRule="auto"/>
        <w:jc w:val="both"/>
        <w:rPr>
          <w:rFonts w:ascii="Palatino Linotype" w:hAnsi="Palatino Linotype" w:cs="Arial"/>
          <w:lang w:val="es-ES"/>
        </w:rPr>
      </w:pPr>
      <w:r w:rsidRPr="00A51BF6">
        <w:rPr>
          <w:rFonts w:ascii="Palatino Linotype" w:eastAsia="MS Mincho" w:hAnsi="Palatino Linotype" w:cs="Arial"/>
          <w:color w:val="000000"/>
          <w:lang w:eastAsia="es-MX"/>
        </w:rPr>
        <w:t xml:space="preserve">Una vez señalado lo anterior y entrando </w:t>
      </w:r>
      <w:r w:rsidR="004E2C69" w:rsidRPr="00A51BF6">
        <w:rPr>
          <w:rFonts w:ascii="Palatino Linotype" w:eastAsia="MS Mincho" w:hAnsi="Palatino Linotype" w:cs="Arial"/>
          <w:color w:val="000000"/>
          <w:lang w:eastAsia="es-MX"/>
        </w:rPr>
        <w:t xml:space="preserve">al estudio de la totalidad de la </w:t>
      </w:r>
      <w:r w:rsidRPr="00A51BF6">
        <w:rPr>
          <w:rFonts w:ascii="Palatino Linotype" w:eastAsia="MS Mincho" w:hAnsi="Palatino Linotype" w:cs="Arial"/>
          <w:color w:val="000000"/>
          <w:lang w:eastAsia="es-MX"/>
        </w:rPr>
        <w:t xml:space="preserve">presente resolución; </w:t>
      </w:r>
      <w:r w:rsidRPr="00A51BF6">
        <w:rPr>
          <w:rFonts w:ascii="Palatino Linotype" w:hAnsi="Palatino Linotype"/>
        </w:rPr>
        <w:t xml:space="preserve">primeramente, es importante traer a contexto lo dispuesto </w:t>
      </w:r>
      <w:r w:rsidRPr="00A51BF6">
        <w:rPr>
          <w:rFonts w:ascii="Palatino Linotype" w:hAnsi="Palatino Linotype" w:cs="Arial"/>
        </w:rPr>
        <w:t xml:space="preserve">por el artículo 115, fracción III de la </w:t>
      </w:r>
      <w:r w:rsidRPr="00A51BF6">
        <w:rPr>
          <w:rFonts w:ascii="Palatino Linotype" w:hAnsi="Palatino Linotype" w:cs="Arial"/>
          <w:lang w:val="es-ES"/>
        </w:rPr>
        <w:t>Constitución Política de los Estados Unidos Mexicanos el cual prevé lo siguiente:</w:t>
      </w:r>
    </w:p>
    <w:p w:rsidR="004E2C69" w:rsidRPr="00A51BF6" w:rsidRDefault="004E2C69"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115.</w:t>
      </w:r>
      <w:r w:rsidRPr="00A51BF6">
        <w:rPr>
          <w:rFonts w:ascii="Palatino Linotype" w:hAnsi="Palatino Linotype" w:cs="Arial"/>
          <w:i/>
          <w:sz w:val="22"/>
          <w:szCs w:val="22"/>
          <w:lang w:eastAsia="gl-ES"/>
        </w:rPr>
        <w:t xml:space="preserve"> 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rsidR="004E2C69" w:rsidRPr="00A51BF6" w:rsidRDefault="004E2C69" w:rsidP="004E2C69">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w:t>
      </w:r>
    </w:p>
    <w:p w:rsidR="004E2C69" w:rsidRPr="00A51BF6" w:rsidRDefault="004E2C69"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III.</w:t>
      </w:r>
      <w:r w:rsidRPr="00A51BF6">
        <w:rPr>
          <w:rFonts w:ascii="Palatino Linotype" w:hAnsi="Palatino Linotype" w:cs="Arial"/>
          <w:i/>
          <w:sz w:val="22"/>
          <w:szCs w:val="22"/>
          <w:lang w:eastAsia="gl-ES"/>
        </w:rPr>
        <w:t xml:space="preserve"> Los Municipios tendrán a su cargo las funciones y servicios públicos siguientes:</w:t>
      </w:r>
    </w:p>
    <w:p w:rsidR="004E2C69" w:rsidRPr="00A51BF6" w:rsidRDefault="004E2C69" w:rsidP="004E2C69">
      <w:pPr>
        <w:ind w:left="851" w:right="901"/>
        <w:jc w:val="both"/>
        <w:rPr>
          <w:rFonts w:ascii="Palatino Linotype" w:hAnsi="Palatino Linotype" w:cs="Arial"/>
          <w:i/>
          <w:sz w:val="22"/>
          <w:szCs w:val="22"/>
          <w:lang w:eastAsia="gl-ES"/>
        </w:rPr>
      </w:pP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lastRenderedPageBreak/>
        <w:t>Agua potable, drenaje, alcantarillado, tratamiento y disposición de sus aguas residuales;</w:t>
      </w:r>
    </w:p>
    <w:p w:rsidR="004E2C69" w:rsidRPr="00A51BF6" w:rsidRDefault="004E2C69" w:rsidP="00625F9A">
      <w:pPr>
        <w:numPr>
          <w:ilvl w:val="0"/>
          <w:numId w:val="8"/>
        </w:numPr>
        <w:ind w:left="851" w:right="901" w:firstLine="0"/>
        <w:jc w:val="both"/>
        <w:rPr>
          <w:rFonts w:ascii="Palatino Linotype" w:eastAsia="Calibri" w:hAnsi="Palatino Linotype" w:cs="Arial"/>
          <w:b/>
          <w:i/>
          <w:sz w:val="22"/>
          <w:szCs w:val="22"/>
          <w:u w:val="single"/>
          <w:lang w:val="es-ES"/>
        </w:rPr>
      </w:pPr>
      <w:r w:rsidRPr="00A51BF6">
        <w:rPr>
          <w:rFonts w:ascii="Palatino Linotype" w:eastAsia="Calibri" w:hAnsi="Palatino Linotype" w:cs="Arial"/>
          <w:b/>
          <w:i/>
          <w:sz w:val="22"/>
          <w:szCs w:val="22"/>
          <w:u w:val="single"/>
          <w:lang w:val="es-ES"/>
        </w:rPr>
        <w:t>Alumbrado público.</w:t>
      </w: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Limpia, recolección, traslado, tratamiento y disposición final de residuos;</w:t>
      </w: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Mercados y centrales de abasto.</w:t>
      </w: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Panteones.</w:t>
      </w: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Rastro.</w:t>
      </w: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Calles, parques y jardines y su equipamiento;</w:t>
      </w: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Seguridad pública, en los términos del artículo 21 de esta Constitución, policía preventiva municipal y tránsito; e</w:t>
      </w:r>
    </w:p>
    <w:p w:rsidR="004E2C69" w:rsidRPr="00A51BF6" w:rsidRDefault="004E2C69" w:rsidP="00625F9A">
      <w:pPr>
        <w:numPr>
          <w:ilvl w:val="0"/>
          <w:numId w:val="8"/>
        </w:numPr>
        <w:ind w:left="851" w:right="901" w:firstLine="0"/>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Los demás que las Legislaturas locales determinen según las condiciones territoriales y socio-económicas de los Municipios, así como su capacidad administrativa y financiera.</w:t>
      </w:r>
      <w:r w:rsidRPr="00A51BF6">
        <w:rPr>
          <w:rFonts w:ascii="Palatino Linotype" w:eastAsia="Calibri" w:hAnsi="Palatino Linotype" w:cs="Arial"/>
          <w:b/>
          <w:i/>
          <w:sz w:val="22"/>
          <w:szCs w:val="22"/>
          <w:lang w:val="es-ES"/>
        </w:rPr>
        <w:t>”</w:t>
      </w:r>
    </w:p>
    <w:p w:rsidR="004E2C69" w:rsidRPr="00A51BF6" w:rsidRDefault="004E2C69" w:rsidP="004E2C69">
      <w:pPr>
        <w:ind w:left="851" w:right="901"/>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(Énfasis añadido)</w:t>
      </w:r>
    </w:p>
    <w:p w:rsidR="004E2C69" w:rsidRPr="00A51BF6" w:rsidRDefault="004E2C69" w:rsidP="004E2C69">
      <w:pPr>
        <w:jc w:val="both"/>
        <w:rPr>
          <w:rFonts w:ascii="Palatino Linotype" w:eastAsia="Calibri" w:hAnsi="Palatino Linotype" w:cs="Arial"/>
          <w:szCs w:val="22"/>
          <w:lang w:val="es-ES"/>
        </w:rPr>
      </w:pPr>
    </w:p>
    <w:p w:rsidR="004E2C69" w:rsidRPr="00A51BF6" w:rsidRDefault="004E2C69" w:rsidP="004E2C69">
      <w:pPr>
        <w:spacing w:line="360" w:lineRule="auto"/>
        <w:jc w:val="both"/>
        <w:rPr>
          <w:rFonts w:ascii="Palatino Linotype" w:eastAsia="Calibri" w:hAnsi="Palatino Linotype" w:cs="Arial"/>
          <w:szCs w:val="22"/>
          <w:lang w:val="es-ES"/>
        </w:rPr>
      </w:pPr>
      <w:r w:rsidRPr="00A51BF6">
        <w:rPr>
          <w:rFonts w:ascii="Palatino Linotype" w:eastAsia="Calibri" w:hAnsi="Palatino Linotype" w:cs="Arial"/>
          <w:szCs w:val="22"/>
          <w:lang w:val="es-ES"/>
        </w:rPr>
        <w:t xml:space="preserve">Por su parte, el artículo 126 de la Constitución Política del Estado Libre y Soberano de México establece que los Municipios, previo acuerdo entre sus Ayuntamientos, podrán coordinarse y asociarse para la más eficaz prestación de los servicios públicos o el mejor ejercicio de las funciones que les correspondan; además, establece que éstos podrán asociarse para concesionar los servicios públicos, de conformidad con las disposiciones jurídicas aplicables. </w:t>
      </w:r>
    </w:p>
    <w:p w:rsidR="004E2C69" w:rsidRPr="00A51BF6" w:rsidRDefault="004E2C69" w:rsidP="004E2C69">
      <w:pPr>
        <w:spacing w:before="100" w:beforeAutospacing="1" w:after="100" w:afterAutospacing="1" w:line="360" w:lineRule="auto"/>
        <w:jc w:val="both"/>
        <w:rPr>
          <w:rFonts w:ascii="Palatino Linotype" w:eastAsia="Calibri" w:hAnsi="Palatino Linotype" w:cs="Arial"/>
          <w:szCs w:val="22"/>
          <w:lang w:val="es-ES"/>
        </w:rPr>
      </w:pPr>
      <w:r w:rsidRPr="00A51BF6">
        <w:rPr>
          <w:rFonts w:ascii="Palatino Linotype" w:eastAsia="Calibri" w:hAnsi="Palatino Linotype" w:cs="Arial"/>
          <w:szCs w:val="22"/>
          <w:lang w:val="es-ES"/>
        </w:rPr>
        <w:t>En este mismo sentido, la Ley Orgánica Municipal del Estado de México en su artículo 31, fracciones II y VII establece, entre otras atribuciones del Ayuntamiento, el celebrar convenios para la prestación de los servicios públicos a que se refiere el artículo 115, fracción III de nuestra Carta Magna; así como, convenir, contratar o concesionar la prestación de servicios públicos, con el Estado, con</w:t>
      </w:r>
      <w:r w:rsidRPr="00A51BF6">
        <w:rPr>
          <w:rFonts w:ascii="Palatino Linotype" w:eastAsia="Calibri" w:hAnsi="Palatino Linotype" w:cs="Arial"/>
          <w:szCs w:val="22"/>
          <w:lang w:eastAsia="es-MX"/>
        </w:rPr>
        <w:t xml:space="preserve"> otros </w:t>
      </w:r>
      <w:r w:rsidRPr="00A51BF6">
        <w:rPr>
          <w:rFonts w:ascii="Palatino Linotype" w:eastAsia="Calibri" w:hAnsi="Palatino Linotype" w:cs="Arial"/>
          <w:szCs w:val="22"/>
          <w:lang w:val="es-ES"/>
        </w:rPr>
        <w:t>Municipios de la Entidad o con particulares, recabando, cuando así proceda, la autorización de la</w:t>
      </w:r>
      <w:r w:rsidRPr="00A51BF6">
        <w:rPr>
          <w:rFonts w:ascii="Palatino Linotype" w:eastAsia="Calibri" w:hAnsi="Palatino Linotype" w:cs="Arial"/>
          <w:szCs w:val="22"/>
          <w:lang w:eastAsia="es-MX"/>
        </w:rPr>
        <w:t xml:space="preserve"> </w:t>
      </w:r>
      <w:r w:rsidRPr="00A51BF6">
        <w:rPr>
          <w:rFonts w:ascii="Palatino Linotype" w:eastAsia="Calibri" w:hAnsi="Palatino Linotype" w:cs="Arial"/>
          <w:szCs w:val="22"/>
          <w:lang w:val="es-ES"/>
        </w:rPr>
        <w:t>Legislatura de la Entidad Federativa.</w:t>
      </w:r>
    </w:p>
    <w:p w:rsidR="004E2C69" w:rsidRPr="00A51BF6" w:rsidRDefault="004E2C69" w:rsidP="004E2C69">
      <w:pPr>
        <w:spacing w:before="100" w:beforeAutospacing="1" w:after="100" w:afterAutospacing="1" w:line="360" w:lineRule="auto"/>
        <w:jc w:val="both"/>
        <w:rPr>
          <w:rFonts w:ascii="Palatino Linotype" w:eastAsia="Calibri" w:hAnsi="Palatino Linotype" w:cs="Arial"/>
          <w:szCs w:val="22"/>
          <w:lang w:val="es-ES"/>
        </w:rPr>
      </w:pPr>
      <w:r w:rsidRPr="00A51BF6">
        <w:rPr>
          <w:rFonts w:ascii="Palatino Linotype" w:eastAsia="Calibri" w:hAnsi="Palatino Linotype" w:cs="Arial"/>
          <w:szCs w:val="22"/>
          <w:lang w:val="es-ES"/>
        </w:rPr>
        <w:t xml:space="preserve">En esa tesitura, los artículos: 31, fracción VII; 48, fracción VIII y 126 de la Ley Orgánica Municipal; disponen lo siguiente: </w:t>
      </w:r>
    </w:p>
    <w:p w:rsidR="004E2C69" w:rsidRPr="00A51BF6" w:rsidRDefault="004E2C69" w:rsidP="004E2C69">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lastRenderedPageBreak/>
        <w:t>“</w:t>
      </w:r>
      <w:r w:rsidRPr="00A51BF6">
        <w:rPr>
          <w:rFonts w:ascii="Palatino Linotype" w:hAnsi="Palatino Linotype" w:cs="Arial"/>
          <w:b/>
          <w:i/>
          <w:sz w:val="22"/>
          <w:szCs w:val="22"/>
          <w:lang w:eastAsia="gl-ES"/>
        </w:rPr>
        <w:t>Artículo 31.-</w:t>
      </w:r>
      <w:r w:rsidRPr="00A51BF6">
        <w:rPr>
          <w:rFonts w:ascii="Palatino Linotype" w:hAnsi="Palatino Linotype" w:cs="Arial"/>
          <w:i/>
          <w:sz w:val="22"/>
          <w:szCs w:val="22"/>
          <w:lang w:eastAsia="gl-ES"/>
        </w:rPr>
        <w:t xml:space="preserve"> Son atribuciones de los ayuntamientos:</w:t>
      </w:r>
    </w:p>
    <w:p w:rsidR="004E2C69" w:rsidRPr="00A51BF6" w:rsidRDefault="004E2C69" w:rsidP="004E2C69">
      <w:pPr>
        <w:ind w:left="851" w:right="901"/>
        <w:jc w:val="both"/>
        <w:rPr>
          <w:rFonts w:ascii="Palatino Linotype" w:eastAsia="Calibri" w:hAnsi="Palatino Linotype" w:cs="Arial"/>
          <w:i/>
          <w:sz w:val="22"/>
          <w:szCs w:val="22"/>
          <w:lang w:eastAsia="es-MX"/>
        </w:rPr>
      </w:pPr>
      <w:r w:rsidRPr="00A51BF6">
        <w:rPr>
          <w:rFonts w:ascii="Palatino Linotype" w:eastAsia="Calibri" w:hAnsi="Palatino Linotype" w:cs="Arial"/>
          <w:bCs/>
          <w:i/>
          <w:sz w:val="22"/>
          <w:szCs w:val="22"/>
          <w:lang w:eastAsia="es-MX"/>
        </w:rPr>
        <w:t>…</w:t>
      </w:r>
    </w:p>
    <w:p w:rsidR="004E2C69" w:rsidRPr="00A51BF6" w:rsidRDefault="004E2C69" w:rsidP="004E2C69">
      <w:pPr>
        <w:ind w:left="851" w:right="901"/>
        <w:jc w:val="both"/>
        <w:rPr>
          <w:rFonts w:ascii="Palatino Linotype" w:eastAsia="Calibri" w:hAnsi="Palatino Linotype" w:cs="Arial"/>
          <w:i/>
          <w:sz w:val="22"/>
          <w:szCs w:val="22"/>
          <w:lang w:eastAsia="es-MX"/>
        </w:rPr>
      </w:pPr>
      <w:r w:rsidRPr="00A51BF6">
        <w:rPr>
          <w:rFonts w:ascii="Palatino Linotype" w:eastAsia="Calibri" w:hAnsi="Palatino Linotype" w:cs="Arial"/>
          <w:i/>
          <w:sz w:val="22"/>
          <w:szCs w:val="22"/>
          <w:lang w:eastAsia="es-MX"/>
        </w:rPr>
        <w:t xml:space="preserve">VII. </w:t>
      </w:r>
      <w:r w:rsidRPr="00A51BF6">
        <w:rPr>
          <w:rFonts w:ascii="Palatino Linotype" w:eastAsia="Calibri" w:hAnsi="Palatino Linotype" w:cs="Arial"/>
          <w:b/>
          <w:i/>
          <w:sz w:val="22"/>
          <w:szCs w:val="22"/>
          <w:lang w:eastAsia="es-MX"/>
        </w:rPr>
        <w:t>Convenir, contratar o concesionar</w:t>
      </w:r>
      <w:r w:rsidRPr="00A51BF6">
        <w:rPr>
          <w:rFonts w:ascii="Palatino Linotype" w:eastAsia="Calibri" w:hAnsi="Palatino Linotype" w:cs="Arial"/>
          <w:i/>
          <w:sz w:val="22"/>
          <w:szCs w:val="22"/>
          <w:lang w:eastAsia="es-MX"/>
        </w:rPr>
        <w:t xml:space="preserve">, en términos de ley, la ejecución de obras y </w:t>
      </w:r>
      <w:r w:rsidRPr="00A51BF6">
        <w:rPr>
          <w:rFonts w:ascii="Palatino Linotype" w:eastAsia="Calibri" w:hAnsi="Palatino Linotype" w:cs="Arial"/>
          <w:b/>
          <w:i/>
          <w:sz w:val="22"/>
          <w:szCs w:val="22"/>
          <w:lang w:eastAsia="es-MX"/>
        </w:rPr>
        <w:t>la prestación de servicios públicos</w:t>
      </w:r>
      <w:r w:rsidRPr="00A51BF6">
        <w:rPr>
          <w:rFonts w:ascii="Palatino Linotype" w:eastAsia="Calibri" w:hAnsi="Palatino Linotype" w:cs="Arial"/>
          <w:i/>
          <w:sz w:val="22"/>
          <w:szCs w:val="22"/>
          <w:lang w:eastAsia="es-MX"/>
        </w:rPr>
        <w:t xml:space="preserve">, con el Estado, con otros municipios de la entidad o </w:t>
      </w:r>
      <w:r w:rsidRPr="00A51BF6">
        <w:rPr>
          <w:rFonts w:ascii="Palatino Linotype" w:eastAsia="Calibri" w:hAnsi="Palatino Linotype" w:cs="Arial"/>
          <w:b/>
          <w:i/>
          <w:sz w:val="22"/>
          <w:szCs w:val="22"/>
          <w:lang w:eastAsia="es-MX"/>
        </w:rPr>
        <w:t>con particulares</w:t>
      </w:r>
      <w:r w:rsidRPr="00A51BF6">
        <w:rPr>
          <w:rFonts w:ascii="Palatino Linotype" w:eastAsia="Calibri" w:hAnsi="Palatino Linotype" w:cs="Arial"/>
          <w:i/>
          <w:sz w:val="22"/>
          <w:szCs w:val="22"/>
          <w:lang w:eastAsia="es-MX"/>
        </w:rPr>
        <w:t>, recabando, cuando proceda, la autorización de la Legislatura del Estado;</w:t>
      </w:r>
    </w:p>
    <w:p w:rsidR="004E2C69" w:rsidRPr="00A51BF6" w:rsidRDefault="004E2C69" w:rsidP="004E2C69">
      <w:pPr>
        <w:ind w:left="851" w:right="901"/>
        <w:jc w:val="both"/>
        <w:rPr>
          <w:rFonts w:ascii="Palatino Linotype" w:eastAsia="Calibri" w:hAnsi="Palatino Linotype" w:cs="Arial"/>
          <w:i/>
          <w:sz w:val="22"/>
          <w:szCs w:val="22"/>
          <w:lang w:eastAsia="es-MX"/>
        </w:rPr>
      </w:pPr>
      <w:r w:rsidRPr="00A51BF6">
        <w:rPr>
          <w:rFonts w:ascii="Palatino Linotype" w:eastAsia="Calibri" w:hAnsi="Palatino Linotype" w:cs="Arial"/>
          <w:b/>
          <w:bCs/>
          <w:i/>
          <w:sz w:val="22"/>
          <w:szCs w:val="22"/>
          <w:lang w:eastAsia="es-MX"/>
        </w:rPr>
        <w:t xml:space="preserve">Artículo 48.- </w:t>
      </w:r>
      <w:r w:rsidRPr="00A51BF6">
        <w:rPr>
          <w:rFonts w:ascii="Palatino Linotype" w:eastAsia="Calibri" w:hAnsi="Palatino Linotype" w:cs="Arial"/>
          <w:i/>
          <w:sz w:val="22"/>
          <w:szCs w:val="22"/>
          <w:lang w:eastAsia="es-MX"/>
        </w:rPr>
        <w:t xml:space="preserve">El </w:t>
      </w:r>
      <w:r w:rsidRPr="00A51BF6">
        <w:rPr>
          <w:rFonts w:ascii="Palatino Linotype" w:eastAsia="Calibri" w:hAnsi="Palatino Linotype" w:cs="Arial"/>
          <w:b/>
          <w:i/>
          <w:sz w:val="22"/>
          <w:szCs w:val="22"/>
          <w:lang w:eastAsia="es-MX"/>
        </w:rPr>
        <w:t>presidente municipal</w:t>
      </w:r>
      <w:r w:rsidRPr="00A51BF6">
        <w:rPr>
          <w:rFonts w:ascii="Palatino Linotype" w:eastAsia="Calibri" w:hAnsi="Palatino Linotype" w:cs="Arial"/>
          <w:i/>
          <w:sz w:val="22"/>
          <w:szCs w:val="22"/>
          <w:lang w:eastAsia="es-MX"/>
        </w:rPr>
        <w:t xml:space="preserve"> tiene las siguientes atribuciones:</w:t>
      </w:r>
    </w:p>
    <w:p w:rsidR="004E2C69" w:rsidRPr="00A51BF6" w:rsidRDefault="004E2C69" w:rsidP="004E2C69">
      <w:pPr>
        <w:ind w:left="851" w:right="901"/>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eastAsia="es-MX"/>
        </w:rPr>
        <w:t>…</w:t>
      </w:r>
    </w:p>
    <w:p w:rsidR="004E2C69" w:rsidRPr="00A51BF6" w:rsidRDefault="004E2C69" w:rsidP="004E2C69">
      <w:pPr>
        <w:ind w:left="851" w:right="901"/>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eastAsia="es-MX"/>
        </w:rPr>
        <w:t xml:space="preserve">VIII. </w:t>
      </w:r>
      <w:r w:rsidRPr="00A51BF6">
        <w:rPr>
          <w:rFonts w:ascii="Palatino Linotype" w:eastAsia="Calibri" w:hAnsi="Palatino Linotype" w:cs="Arial"/>
          <w:b/>
          <w:i/>
          <w:sz w:val="22"/>
          <w:szCs w:val="22"/>
          <w:lang w:eastAsia="es-MX"/>
        </w:rPr>
        <w:t>Contratar y concertar en representación del ayuntamiento</w:t>
      </w:r>
      <w:r w:rsidRPr="00A51BF6">
        <w:rPr>
          <w:rFonts w:ascii="Palatino Linotype" w:eastAsia="Calibri" w:hAnsi="Palatino Linotype" w:cs="Arial"/>
          <w:i/>
          <w:sz w:val="22"/>
          <w:szCs w:val="22"/>
          <w:lang w:eastAsia="es-MX"/>
        </w:rPr>
        <w:t xml:space="preserve"> y previo acuerdo de éste, la realización de obras y </w:t>
      </w:r>
      <w:r w:rsidRPr="00A51BF6">
        <w:rPr>
          <w:rFonts w:ascii="Palatino Linotype" w:eastAsia="Calibri" w:hAnsi="Palatino Linotype" w:cs="Arial"/>
          <w:b/>
          <w:i/>
          <w:sz w:val="22"/>
          <w:szCs w:val="22"/>
          <w:lang w:eastAsia="es-MX"/>
        </w:rPr>
        <w:t>la prestación de servicios públicos, por terceros</w:t>
      </w:r>
      <w:r w:rsidRPr="00A51BF6">
        <w:rPr>
          <w:rFonts w:ascii="Palatino Linotype" w:eastAsia="Calibri" w:hAnsi="Palatino Linotype" w:cs="Arial"/>
          <w:i/>
          <w:sz w:val="22"/>
          <w:szCs w:val="22"/>
          <w:lang w:eastAsia="es-MX"/>
        </w:rPr>
        <w:t xml:space="preserve"> o con el concurso del Estado o de otros ayuntamientos;</w:t>
      </w:r>
    </w:p>
    <w:p w:rsidR="004E2C69" w:rsidRPr="00A51BF6" w:rsidRDefault="004E2C69" w:rsidP="004E2C69">
      <w:pPr>
        <w:ind w:left="851" w:right="901"/>
        <w:jc w:val="both"/>
        <w:rPr>
          <w:rFonts w:ascii="Palatino Linotype" w:eastAsia="Calibri" w:hAnsi="Palatino Linotype" w:cs="Arial"/>
          <w:i/>
          <w:sz w:val="22"/>
          <w:szCs w:val="22"/>
          <w:lang w:eastAsia="es-MX"/>
        </w:rPr>
      </w:pPr>
      <w:r w:rsidRPr="00A51BF6">
        <w:rPr>
          <w:rFonts w:ascii="Palatino Linotype" w:eastAsia="Calibri" w:hAnsi="Palatino Linotype" w:cs="Arial"/>
          <w:b/>
          <w:i/>
          <w:sz w:val="22"/>
          <w:szCs w:val="22"/>
          <w:lang w:eastAsia="es-MX"/>
        </w:rPr>
        <w:t>Artículo 126.</w:t>
      </w:r>
      <w:r w:rsidRPr="00A51BF6">
        <w:rPr>
          <w:rFonts w:ascii="Palatino Linotype" w:eastAsia="Calibri" w:hAnsi="Palatino Linotype" w:cs="Arial"/>
          <w:i/>
          <w:sz w:val="22"/>
          <w:szCs w:val="22"/>
          <w:lang w:eastAsia="es-MX"/>
        </w:rPr>
        <w:t xml:space="preserve"> - La prestación de los servicios públicos deberá realizarse por los ayuntamientos, sus unidades administrativas y organismos auxiliares, quienes podrán coordinarse con el Estado o con otros municipios para la eficacia en su prestación.</w:t>
      </w:r>
    </w:p>
    <w:p w:rsidR="004E2C69" w:rsidRPr="00A51BF6" w:rsidRDefault="004E2C69" w:rsidP="004E2C69">
      <w:pPr>
        <w:ind w:left="851" w:right="901"/>
        <w:jc w:val="both"/>
        <w:rPr>
          <w:rFonts w:ascii="Palatino Linotype" w:eastAsia="Calibri" w:hAnsi="Palatino Linotype" w:cs="Arial"/>
          <w:i/>
          <w:sz w:val="22"/>
          <w:szCs w:val="22"/>
          <w:lang w:eastAsia="es-MX"/>
        </w:rPr>
      </w:pPr>
      <w:r w:rsidRPr="00A51BF6">
        <w:rPr>
          <w:rFonts w:ascii="Palatino Linotype" w:eastAsia="Calibri" w:hAnsi="Palatino Linotype" w:cs="Arial"/>
          <w:b/>
          <w:i/>
          <w:sz w:val="22"/>
          <w:szCs w:val="22"/>
          <w:u w:val="single"/>
          <w:lang w:eastAsia="es-MX"/>
        </w:rPr>
        <w:t>Podrá concesionarse a terceros la prestación de servicios públicos municipales</w:t>
      </w:r>
      <w:r w:rsidRPr="00A51BF6">
        <w:rPr>
          <w:rFonts w:ascii="Palatino Linotype" w:eastAsia="Calibri" w:hAnsi="Palatino Linotype" w:cs="Arial"/>
          <w:i/>
          <w:sz w:val="22"/>
          <w:szCs w:val="22"/>
          <w:lang w:eastAsia="es-MX"/>
        </w:rPr>
        <w:t>, a excepción de los de Seguridad Pública y Tránsito, prefiriéndose en igualdad de circunstancias a vecinos del municipio. ”</w:t>
      </w:r>
    </w:p>
    <w:p w:rsidR="004E2C69" w:rsidRPr="00A51BF6" w:rsidRDefault="004E2C69" w:rsidP="004E2C69">
      <w:pPr>
        <w:ind w:left="851" w:right="901"/>
        <w:jc w:val="both"/>
        <w:rPr>
          <w:rFonts w:ascii="Palatino Linotype" w:eastAsia="Calibri" w:hAnsi="Palatino Linotype" w:cs="Arial"/>
          <w:b/>
          <w:i/>
          <w:sz w:val="22"/>
          <w:szCs w:val="22"/>
          <w:lang w:eastAsia="es-MX"/>
        </w:rPr>
      </w:pPr>
      <w:r w:rsidRPr="00A51BF6">
        <w:rPr>
          <w:rFonts w:ascii="Palatino Linotype" w:eastAsia="Calibri" w:hAnsi="Palatino Linotype" w:cs="Arial"/>
          <w:b/>
          <w:i/>
          <w:sz w:val="22"/>
          <w:szCs w:val="22"/>
          <w:lang w:eastAsia="es-MX"/>
        </w:rPr>
        <w:t>(Énfasis añadido)</w:t>
      </w:r>
    </w:p>
    <w:p w:rsidR="004E2C69" w:rsidRPr="00A51BF6" w:rsidRDefault="004E2C69" w:rsidP="004E2C69">
      <w:pPr>
        <w:spacing w:before="100" w:beforeAutospacing="1" w:after="100" w:afterAutospacing="1" w:line="360" w:lineRule="auto"/>
        <w:jc w:val="both"/>
        <w:rPr>
          <w:rFonts w:ascii="Palatino Linotype" w:eastAsia="Calibri" w:hAnsi="Palatino Linotype" w:cs="Arial"/>
          <w:szCs w:val="22"/>
          <w:lang w:val="es-ES"/>
        </w:rPr>
      </w:pPr>
      <w:r w:rsidRPr="00A51BF6">
        <w:rPr>
          <w:rFonts w:ascii="Palatino Linotype" w:eastAsia="Calibri" w:hAnsi="Palatino Linotype" w:cs="Arial"/>
          <w:szCs w:val="22"/>
          <w:lang w:val="es-ES"/>
        </w:rPr>
        <w:t>De lo anterior, se puede advertir que, es competencia del Presidente Municipal, en representación del Ayuntamiento, y previo acuerdo de éste, convenir, contratar o concesionar la prestación de servicios públicos, ya sea por terceros o con el concurso del Estado o de otros Ayuntamientos, siempre y cuando se sujeten a lo establecido por la citada Ley Orgánica, a las cláusulas de la concesión y demás disposiciones aplicables.</w:t>
      </w:r>
    </w:p>
    <w:p w:rsidR="004E2C69" w:rsidRPr="00A51BF6" w:rsidRDefault="004E2C69" w:rsidP="004E2C69">
      <w:pPr>
        <w:spacing w:before="100" w:beforeAutospacing="1" w:after="100" w:afterAutospacing="1" w:line="360" w:lineRule="auto"/>
        <w:jc w:val="both"/>
        <w:rPr>
          <w:rFonts w:ascii="Palatino Linotype" w:eastAsia="Calibri" w:hAnsi="Palatino Linotype" w:cs="Arial"/>
          <w:szCs w:val="22"/>
          <w:lang w:val="es-ES"/>
        </w:rPr>
      </w:pPr>
      <w:r w:rsidRPr="00A51BF6">
        <w:rPr>
          <w:rFonts w:ascii="Palatino Linotype" w:eastAsia="Calibri" w:hAnsi="Palatino Linotype" w:cs="Calibri"/>
          <w:bCs/>
          <w:color w:val="000000"/>
          <w:lang w:eastAsia="en-US"/>
        </w:rPr>
        <w:t>Asimismo, los artículos 1, 2, 3 fracción VII, 22, fracción</w:t>
      </w:r>
      <w:r w:rsidRPr="00A51BF6">
        <w:t xml:space="preserve"> </w:t>
      </w:r>
      <w:r w:rsidRPr="00A51BF6">
        <w:rPr>
          <w:rFonts w:ascii="Palatino Linotype" w:eastAsia="Calibri" w:hAnsi="Palatino Linotype" w:cs="Calibri"/>
          <w:bCs/>
          <w:color w:val="000000"/>
          <w:lang w:eastAsia="en-US"/>
        </w:rPr>
        <w:t>XXIV, 31, fracción</w:t>
      </w:r>
      <w:r w:rsidRPr="00A51BF6">
        <w:t xml:space="preserve"> </w:t>
      </w:r>
      <w:r w:rsidRPr="00A51BF6">
        <w:rPr>
          <w:rFonts w:ascii="Palatino Linotype" w:eastAsia="Calibri" w:hAnsi="Palatino Linotype" w:cs="Calibri"/>
          <w:bCs/>
          <w:color w:val="000000"/>
          <w:lang w:eastAsia="en-US"/>
        </w:rPr>
        <w:t xml:space="preserve">VI, 75, 76, 77 fracción II, 78 y 246 del Bando Municipal 2019 de </w:t>
      </w:r>
      <w:r w:rsidR="00A60C12" w:rsidRPr="00A51BF6">
        <w:rPr>
          <w:rFonts w:ascii="Palatino Linotype" w:eastAsia="Calibri" w:hAnsi="Palatino Linotype" w:cs="Calibri"/>
          <w:bCs/>
          <w:color w:val="000000"/>
          <w:lang w:eastAsia="en-US"/>
        </w:rPr>
        <w:t>Almoloya del Río</w:t>
      </w:r>
      <w:r w:rsidR="00A60C12" w:rsidRPr="00A51BF6">
        <w:rPr>
          <w:rStyle w:val="Refdenotaalpie"/>
          <w:rFonts w:ascii="Palatino Linotype" w:eastAsia="Calibri" w:hAnsi="Palatino Linotype" w:cs="Calibri"/>
          <w:bCs/>
          <w:color w:val="000000"/>
          <w:lang w:eastAsia="en-US"/>
        </w:rPr>
        <w:footnoteReference w:id="1"/>
      </w:r>
      <w:r w:rsidRPr="00A51BF6">
        <w:rPr>
          <w:rFonts w:ascii="Palatino Linotype" w:eastAsia="Calibri" w:hAnsi="Palatino Linotype" w:cs="Calibri"/>
          <w:bCs/>
          <w:color w:val="000000"/>
          <w:lang w:eastAsia="en-US"/>
        </w:rPr>
        <w:t xml:space="preserve">, disponen lo siguiente: </w:t>
      </w:r>
    </w:p>
    <w:p w:rsidR="00A60C12" w:rsidRPr="00A51BF6" w:rsidRDefault="004E2C69"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w:t>
      </w:r>
      <w:r w:rsidR="00A60C12" w:rsidRPr="00A51BF6">
        <w:rPr>
          <w:rFonts w:ascii="Palatino Linotype" w:hAnsi="Palatino Linotype" w:cs="Arial"/>
          <w:b/>
          <w:i/>
          <w:sz w:val="22"/>
          <w:szCs w:val="22"/>
          <w:lang w:eastAsia="gl-ES"/>
        </w:rPr>
        <w:t>Artículo 3.-</w:t>
      </w:r>
      <w:r w:rsidR="00A60C12" w:rsidRPr="00A51BF6">
        <w:rPr>
          <w:rFonts w:ascii="Palatino Linotype" w:hAnsi="Palatino Linotype" w:cs="Arial"/>
          <w:i/>
          <w:sz w:val="22"/>
          <w:szCs w:val="22"/>
          <w:lang w:eastAsia="gl-ES"/>
        </w:rPr>
        <w:t xml:space="preserve"> El Municipio de Almoloya del Río es parte integrante de la división territorial y de la organización político administrativa del Estado Libre y Soberano de México, con facultades exclusivas sobre su territorio y población con una forma de gobierno representativa democrática y popular, con autonomía y personalidad jurídica propia, para administrar su erario, bienes y recursos propios, en términos </w:t>
      </w:r>
      <w:r w:rsidR="00A60C12" w:rsidRPr="00A51BF6">
        <w:rPr>
          <w:rFonts w:ascii="Palatino Linotype" w:hAnsi="Palatino Linotype" w:cs="Arial"/>
          <w:i/>
          <w:sz w:val="22"/>
          <w:szCs w:val="22"/>
          <w:lang w:eastAsia="gl-ES"/>
        </w:rPr>
        <w:lastRenderedPageBreak/>
        <w:t>de lo establecido en los artículos 115 de la Constitución Política de los Estados Unidos Mexicanos y 125 de la Constitución del Estado Libre y Soberano de México.</w:t>
      </w:r>
    </w:p>
    <w:p w:rsidR="00A60C12" w:rsidRPr="00A51BF6" w:rsidRDefault="00A60C12" w:rsidP="004E2C69">
      <w:pPr>
        <w:ind w:left="851" w:right="901"/>
        <w:jc w:val="both"/>
        <w:rPr>
          <w:rFonts w:ascii="Palatino Linotype" w:hAnsi="Palatino Linotype" w:cs="Arial"/>
          <w:b/>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29.-</w:t>
      </w:r>
      <w:r w:rsidRPr="00A51BF6">
        <w:rPr>
          <w:rFonts w:ascii="Palatino Linotype" w:hAnsi="Palatino Linotype" w:cs="Arial"/>
          <w:i/>
          <w:sz w:val="22"/>
          <w:szCs w:val="22"/>
          <w:lang w:eastAsia="gl-ES"/>
        </w:rPr>
        <w:t xml:space="preserve"> El Ayuntamiento es el órgano jerárquicamente superior, responsable del Gobierno Municipal.</w:t>
      </w:r>
    </w:p>
    <w:p w:rsidR="00A60C12" w:rsidRPr="00A51BF6" w:rsidRDefault="00A60C12" w:rsidP="004E2C69">
      <w:pPr>
        <w:ind w:left="851" w:right="901"/>
        <w:jc w:val="both"/>
        <w:rPr>
          <w:rFonts w:ascii="Palatino Linotype" w:hAnsi="Palatino Linotype" w:cs="Arial"/>
          <w:b/>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31.-</w:t>
      </w:r>
      <w:r w:rsidRPr="00A51BF6">
        <w:rPr>
          <w:rFonts w:ascii="Palatino Linotype" w:hAnsi="Palatino Linotype" w:cs="Arial"/>
          <w:i/>
          <w:sz w:val="22"/>
          <w:szCs w:val="22"/>
          <w:lang w:eastAsia="gl-ES"/>
        </w:rPr>
        <w:t xml:space="preserve"> El Ayuntamiento a través de las comisiones que confiera a sus integrantes, inspeccionará y vigilará el cumplimiento de las obligaciones a cargo de las unidades administrativas municipales.</w:t>
      </w:r>
    </w:p>
    <w:p w:rsidR="00A60C12" w:rsidRPr="00A51BF6" w:rsidRDefault="00A60C12" w:rsidP="004E2C69">
      <w:pPr>
        <w:ind w:left="851" w:right="901"/>
        <w:jc w:val="both"/>
        <w:rPr>
          <w:rFonts w:ascii="Palatino Linotype" w:hAnsi="Palatino Linotype" w:cs="Arial"/>
          <w:b/>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 xml:space="preserve">Artículo 34.- </w:t>
      </w:r>
      <w:r w:rsidRPr="00A51BF6">
        <w:rPr>
          <w:rFonts w:ascii="Palatino Linotype" w:hAnsi="Palatino Linotype" w:cs="Arial"/>
          <w:i/>
          <w:sz w:val="22"/>
          <w:szCs w:val="22"/>
          <w:lang w:eastAsia="gl-ES"/>
        </w:rPr>
        <w:t>El ejercicio del poder municipal cuya sede es la presidencia municipal ubicada en Plaza Chignahuapan, Barrio de Texcoapan y la sede de las Regidurías ubicadas en calle Isidro Fabela No. 21, Barrio de Tecalco, Almoloya del Río, Estado de México; Código Postal 52540, se divide en:</w:t>
      </w:r>
    </w:p>
    <w:p w:rsidR="00A60C12" w:rsidRPr="00A51BF6" w:rsidRDefault="00A60C12" w:rsidP="004E2C69">
      <w:pPr>
        <w:ind w:left="851" w:right="901"/>
        <w:jc w:val="both"/>
        <w:rPr>
          <w:rFonts w:ascii="Palatino Linotype" w:hAnsi="Palatino Linotype" w:cs="Arial"/>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I.- Asamblea Deliberante:</w:t>
      </w:r>
      <w:r w:rsidRPr="00A51BF6">
        <w:rPr>
          <w:rFonts w:ascii="Palatino Linotype" w:hAnsi="Palatino Linotype" w:cs="Arial"/>
          <w:i/>
          <w:sz w:val="22"/>
          <w:szCs w:val="22"/>
          <w:lang w:eastAsia="gl-ES"/>
        </w:rPr>
        <w:t xml:space="preserve"> su elección es mediante sufragio universal, libre, secreto y directo; con autoridad y competencia propia dentro de su territorio municipal, y ejecutará los acuerdos a través del Presidente Municipal; la Asamblea Deliberante estará integrada por el Presidente Municipal, un Síndico y diez Regidores.</w:t>
      </w:r>
    </w:p>
    <w:p w:rsidR="00A60C12" w:rsidRPr="00A51BF6" w:rsidRDefault="00A60C12" w:rsidP="00A60C12">
      <w:pPr>
        <w:ind w:left="851" w:right="901" w:firstLine="565"/>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w:t>
      </w:r>
    </w:p>
    <w:p w:rsidR="00A60C12" w:rsidRPr="00A51BF6" w:rsidRDefault="00A60C12" w:rsidP="00A60C12">
      <w:pPr>
        <w:ind w:left="1416"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h) Sexto Regidor: se encargará de las Comisiones de Electrificación, Alumbrado Público, y Fomento Agropecuario.</w:t>
      </w:r>
    </w:p>
    <w:p w:rsidR="00A60C12" w:rsidRPr="00A51BF6" w:rsidRDefault="00A60C12" w:rsidP="004E2C69">
      <w:pPr>
        <w:ind w:left="851" w:right="901"/>
        <w:jc w:val="both"/>
        <w:rPr>
          <w:rFonts w:ascii="Palatino Linotype" w:hAnsi="Palatino Linotype" w:cs="Arial"/>
          <w:b/>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35.-</w:t>
      </w:r>
      <w:r w:rsidRPr="00A51BF6">
        <w:rPr>
          <w:rFonts w:ascii="Palatino Linotype" w:hAnsi="Palatino Linotype" w:cs="Arial"/>
          <w:i/>
          <w:sz w:val="22"/>
          <w:szCs w:val="22"/>
          <w:lang w:eastAsia="gl-ES"/>
        </w:rPr>
        <w:t xml:space="preserve"> Para el eficiente desempeño de sus funciones cada dependencia se integrará con las Direcciones, Unidades Administrativas que resulten necesarias, previa autorización del Ayuntamiento, siendo estas centralizadas y de acuerdo a sus techos presupuestales, así como dependencias descentralizadas que contaran con un presupuesto propio, siendo las siguientes:</w:t>
      </w:r>
    </w:p>
    <w:p w:rsidR="00A60C12" w:rsidRPr="00A51BF6" w:rsidRDefault="00A60C12" w:rsidP="004E2C69">
      <w:pPr>
        <w:ind w:left="851" w:right="901"/>
        <w:jc w:val="both"/>
        <w:rPr>
          <w:rFonts w:ascii="Palatino Linotype" w:hAnsi="Palatino Linotype" w:cs="Arial"/>
          <w:b/>
          <w:i/>
          <w:sz w:val="22"/>
          <w:szCs w:val="22"/>
          <w:lang w:eastAsia="gl-ES"/>
        </w:rPr>
      </w:pPr>
    </w:p>
    <w:p w:rsidR="00A60C12" w:rsidRPr="00A51BF6" w:rsidRDefault="00A60C12" w:rsidP="004E2C69">
      <w:pPr>
        <w:ind w:left="851" w:right="901"/>
        <w:jc w:val="both"/>
        <w:rPr>
          <w:rFonts w:ascii="Palatino Linotype" w:hAnsi="Palatino Linotype" w:cs="Arial"/>
          <w:b/>
          <w:i/>
          <w:sz w:val="22"/>
          <w:szCs w:val="22"/>
          <w:lang w:eastAsia="gl-ES"/>
        </w:rPr>
      </w:pPr>
      <w:r w:rsidRPr="00A51BF6">
        <w:rPr>
          <w:rFonts w:ascii="Palatino Linotype" w:hAnsi="Palatino Linotype" w:cs="Arial"/>
          <w:b/>
          <w:i/>
          <w:sz w:val="22"/>
          <w:szCs w:val="22"/>
          <w:lang w:eastAsia="gl-ES"/>
        </w:rPr>
        <w:t>I. Centralizadas:</w:t>
      </w:r>
    </w:p>
    <w:p w:rsidR="00A60C12" w:rsidRPr="00A51BF6" w:rsidRDefault="00A60C12" w:rsidP="004E2C69">
      <w:pPr>
        <w:ind w:left="851" w:right="901"/>
        <w:jc w:val="both"/>
        <w:rPr>
          <w:rFonts w:ascii="Palatino Linotype" w:hAnsi="Palatino Linotype" w:cs="Arial"/>
          <w:b/>
          <w:i/>
          <w:sz w:val="22"/>
          <w:szCs w:val="22"/>
          <w:lang w:eastAsia="gl-ES"/>
        </w:rPr>
      </w:pPr>
    </w:p>
    <w:p w:rsidR="00A60C12" w:rsidRPr="00A51BF6" w:rsidRDefault="00A60C12" w:rsidP="00A60C12">
      <w:pPr>
        <w:ind w:left="1416"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n) Dirección de Servicios Públicos.</w:t>
      </w:r>
    </w:p>
    <w:p w:rsidR="00A60C12" w:rsidRPr="00A51BF6" w:rsidRDefault="00A60C12" w:rsidP="004E2C69">
      <w:pPr>
        <w:ind w:left="851" w:right="901"/>
        <w:jc w:val="both"/>
        <w:rPr>
          <w:rFonts w:ascii="Palatino Linotype" w:hAnsi="Palatino Linotype" w:cs="Arial"/>
          <w:b/>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54-</w:t>
      </w:r>
      <w:r w:rsidRPr="00A51BF6">
        <w:rPr>
          <w:rFonts w:ascii="Palatino Linotype" w:hAnsi="Palatino Linotype" w:cs="Arial"/>
          <w:i/>
          <w:sz w:val="22"/>
          <w:szCs w:val="22"/>
          <w:lang w:eastAsia="gl-ES"/>
        </w:rPr>
        <w:t xml:space="preserve"> Por servicio público se entiende el conjunto de elementos personales y materiales, coordinados por los órganos de la administración pública, destinados a atender y satisfacer una necesidad de carácter general, la creación, organización, administración y modificación de los mismos estará a cargo del Ayuntamiento.</w:t>
      </w:r>
    </w:p>
    <w:p w:rsidR="00A60C12" w:rsidRPr="00A51BF6" w:rsidRDefault="00A60C12" w:rsidP="004E2C69">
      <w:pPr>
        <w:ind w:left="851" w:right="901"/>
        <w:jc w:val="both"/>
        <w:rPr>
          <w:rFonts w:ascii="Palatino Linotype" w:hAnsi="Palatino Linotype" w:cs="Arial"/>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55-</w:t>
      </w:r>
      <w:r w:rsidRPr="00A51BF6">
        <w:rPr>
          <w:rFonts w:ascii="Palatino Linotype" w:hAnsi="Palatino Linotype" w:cs="Arial"/>
          <w:i/>
          <w:sz w:val="22"/>
          <w:szCs w:val="22"/>
          <w:lang w:eastAsia="gl-ES"/>
        </w:rPr>
        <w:t xml:space="preserve"> Son servicios públicos municipales los que a continuación se señalan en forma enunciativa, más no limitativa:</w:t>
      </w:r>
    </w:p>
    <w:p w:rsidR="00A60C12" w:rsidRPr="00A51BF6" w:rsidRDefault="00A60C12" w:rsidP="004E2C69">
      <w:pPr>
        <w:ind w:left="851" w:right="901"/>
        <w:jc w:val="both"/>
        <w:rPr>
          <w:rFonts w:ascii="Palatino Linotype" w:hAnsi="Palatino Linotype" w:cs="Arial"/>
          <w:i/>
          <w:sz w:val="22"/>
          <w:szCs w:val="22"/>
          <w:lang w:eastAsia="gl-ES"/>
        </w:rPr>
      </w:pPr>
    </w:p>
    <w:p w:rsidR="00A60C12" w:rsidRPr="00A51BF6" w:rsidRDefault="00A60C12"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lastRenderedPageBreak/>
        <w:t>III. Alumbrado público</w:t>
      </w:r>
      <w:r w:rsidRPr="00A51BF6">
        <w:rPr>
          <w:rFonts w:ascii="Palatino Linotype" w:hAnsi="Palatino Linotype" w:cs="Arial"/>
          <w:i/>
          <w:sz w:val="22"/>
          <w:szCs w:val="22"/>
          <w:lang w:eastAsia="gl-ES"/>
        </w:rPr>
        <w:t>; limpia, recolección, traslado, tratamiento, transformación y disposición final de residuos sólidos municipales; cementerios, parques, jardines, áreas verdes, reservas protegidas, aéreas recreativas, jardines, caminos vecinales y de saca cosecha y su equipamiento, mismos que serán prestados a través de la dirección de servidos públicos y ecología en coordinación con las diferentes áreas.</w:t>
      </w:r>
    </w:p>
    <w:p w:rsidR="009866EA" w:rsidRPr="00A51BF6" w:rsidRDefault="009866EA" w:rsidP="004E2C69">
      <w:pPr>
        <w:ind w:left="851" w:right="901"/>
        <w:jc w:val="both"/>
        <w:rPr>
          <w:rFonts w:ascii="Palatino Linotype" w:hAnsi="Palatino Linotype" w:cs="Arial"/>
          <w:i/>
          <w:sz w:val="22"/>
          <w:szCs w:val="22"/>
          <w:lang w:eastAsia="gl-ES"/>
        </w:rPr>
      </w:pPr>
    </w:p>
    <w:p w:rsidR="009866EA" w:rsidRPr="00A51BF6" w:rsidRDefault="009866EA"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56.-</w:t>
      </w:r>
      <w:r w:rsidRPr="00A51BF6">
        <w:rPr>
          <w:rFonts w:ascii="Palatino Linotype" w:hAnsi="Palatino Linotype" w:cs="Arial"/>
          <w:i/>
          <w:sz w:val="22"/>
          <w:szCs w:val="22"/>
          <w:lang w:eastAsia="gl-ES"/>
        </w:rPr>
        <w:t xml:space="preserve"> Los servicios públicos se prestarán con la máxima cobertura y calidad, considerando los recursos con que cuente el Ayuntamiento, que proporcionara las facilidades necesarias para que los ciudadanos participen y colaboren en estas tareas.</w:t>
      </w:r>
    </w:p>
    <w:p w:rsidR="009866EA" w:rsidRPr="00A51BF6" w:rsidRDefault="009866EA" w:rsidP="004E2C69">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57.-</w:t>
      </w:r>
      <w:r w:rsidRPr="00A51BF6">
        <w:rPr>
          <w:rFonts w:ascii="Palatino Linotype" w:hAnsi="Palatino Linotype" w:cs="Arial"/>
          <w:i/>
          <w:sz w:val="22"/>
          <w:szCs w:val="22"/>
          <w:lang w:eastAsia="gl-ES"/>
        </w:rPr>
        <w:t xml:space="preserve"> Los servicios públicos municipales deberán prestarse de la siguiente manera: </w:t>
      </w:r>
    </w:p>
    <w:p w:rsidR="009866EA" w:rsidRPr="00A51BF6" w:rsidRDefault="009866EA" w:rsidP="004E2C69">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 xml:space="preserve">I. Directa, cuando el Ayuntamiento sea el único responsable de su prestación. </w:t>
      </w:r>
    </w:p>
    <w:p w:rsidR="009866EA" w:rsidRPr="00A51BF6" w:rsidRDefault="009866EA" w:rsidP="004E2C69">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 xml:space="preserve">II. Por convenio, cuando el Ayuntamiento lo acuerde de esa manera con el Gobierno Estatal, o bien, cuando se coordine con otros Ayuntamientos para su prestación; tratándose de la asociación de Municipios de dos o más estados para la más eficaz prestación de los servicios públicos, se deberá contar con la aprobación de la Legislatura. </w:t>
      </w:r>
    </w:p>
    <w:p w:rsidR="009866EA" w:rsidRPr="00A51BF6" w:rsidRDefault="009866EA" w:rsidP="004E2C69">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 xml:space="preserve">III. Por colaboración por parte del Ayuntamiento con participación de los particulares. </w:t>
      </w:r>
    </w:p>
    <w:p w:rsidR="009866EA" w:rsidRPr="00A51BF6" w:rsidRDefault="009866EA" w:rsidP="004E2C69">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 xml:space="preserve">IV. El Ayuntamiento podrá, concesionar la prestación de los servicios públicos, en los términos y condiciones que establece la Ley Orgánica Municipal del Estado de México, el título de la concesión respectiva y demás disposiciones legales aplicables, en ningún caso serán concesionados los servicios que brinda la Dirección de Seguridad Pública, así como de la Unidad de Protección Civil. </w:t>
      </w:r>
    </w:p>
    <w:p w:rsidR="009866EA" w:rsidRPr="00A51BF6" w:rsidRDefault="009866EA" w:rsidP="009866EA">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V. Paramunicipal, cuando el Ayuntamiento con la aprobación de la legislatura, constituya una empresa de esa naturaleza para la prestación del servicio público de acuerdo a la Legislación aplicable.</w:t>
      </w:r>
    </w:p>
    <w:p w:rsidR="009866EA" w:rsidRPr="00A51BF6" w:rsidRDefault="009866EA" w:rsidP="009866EA">
      <w:pPr>
        <w:ind w:left="851" w:right="901"/>
        <w:jc w:val="both"/>
        <w:rPr>
          <w:rFonts w:ascii="Palatino Linotype" w:hAnsi="Palatino Linotype" w:cs="Arial"/>
          <w:i/>
          <w:sz w:val="22"/>
          <w:szCs w:val="22"/>
          <w:lang w:eastAsia="gl-ES"/>
        </w:rPr>
      </w:pPr>
    </w:p>
    <w:p w:rsidR="009866EA" w:rsidRPr="00A51BF6" w:rsidRDefault="009866EA" w:rsidP="009866EA">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Artículo 85.-</w:t>
      </w:r>
      <w:r w:rsidRPr="00A51BF6">
        <w:rPr>
          <w:rFonts w:ascii="Palatino Linotype" w:hAnsi="Palatino Linotype" w:cs="Arial"/>
          <w:i/>
          <w:sz w:val="22"/>
          <w:szCs w:val="22"/>
          <w:lang w:eastAsia="gl-ES"/>
        </w:rPr>
        <w:t xml:space="preserve"> El Ayuntamiento por conducto de la Dirección de Servicios Públicos será el responsable de:</w:t>
      </w:r>
    </w:p>
    <w:p w:rsidR="009866EA" w:rsidRPr="00A51BF6" w:rsidRDefault="009866EA" w:rsidP="009866EA">
      <w:pPr>
        <w:ind w:left="851" w:right="901"/>
        <w:jc w:val="both"/>
        <w:rPr>
          <w:rFonts w:ascii="Palatino Linotype" w:hAnsi="Palatino Linotype" w:cs="Arial"/>
          <w:i/>
          <w:sz w:val="22"/>
          <w:szCs w:val="22"/>
          <w:lang w:eastAsia="gl-ES"/>
        </w:rPr>
      </w:pPr>
      <w:r w:rsidRPr="00A51BF6">
        <w:rPr>
          <w:rFonts w:ascii="Palatino Linotype" w:hAnsi="Palatino Linotype" w:cs="Arial"/>
          <w:i/>
          <w:sz w:val="22"/>
          <w:szCs w:val="22"/>
          <w:lang w:eastAsia="gl-ES"/>
        </w:rPr>
        <w:t>…</w:t>
      </w:r>
    </w:p>
    <w:p w:rsidR="009866EA" w:rsidRPr="00A51BF6" w:rsidRDefault="009866EA" w:rsidP="009866EA">
      <w:pPr>
        <w:ind w:left="851" w:right="901"/>
        <w:jc w:val="both"/>
        <w:rPr>
          <w:rFonts w:ascii="Palatino Linotype" w:hAnsi="Palatino Linotype" w:cs="Arial"/>
          <w:i/>
          <w:sz w:val="22"/>
          <w:szCs w:val="22"/>
          <w:lang w:eastAsia="gl-ES"/>
        </w:rPr>
      </w:pPr>
      <w:r w:rsidRPr="00A51BF6">
        <w:rPr>
          <w:rFonts w:ascii="Palatino Linotype" w:hAnsi="Palatino Linotype" w:cs="Arial"/>
          <w:b/>
          <w:i/>
          <w:sz w:val="22"/>
          <w:szCs w:val="22"/>
          <w:lang w:eastAsia="gl-ES"/>
        </w:rPr>
        <w:t>III. Apoyar a las diferentes Regidurías, Direcciones y Áreas Administrativas en los trabajos que tienen encomendados cuando se requiera</w:t>
      </w:r>
      <w:r w:rsidRPr="00A51BF6">
        <w:rPr>
          <w:rFonts w:ascii="Palatino Linotype" w:hAnsi="Palatino Linotype" w:cs="Arial"/>
          <w:i/>
          <w:sz w:val="22"/>
          <w:szCs w:val="22"/>
          <w:lang w:eastAsia="gl-ES"/>
        </w:rPr>
        <w:t>, por tener las herramientas, elementos y mano de obra calificada.</w:t>
      </w:r>
    </w:p>
    <w:p w:rsidR="004E2C69" w:rsidRPr="00A51BF6" w:rsidRDefault="009866EA" w:rsidP="009866EA">
      <w:pPr>
        <w:ind w:left="851" w:right="901"/>
        <w:jc w:val="both"/>
        <w:rPr>
          <w:rFonts w:ascii="Palatino Linotype" w:hAnsi="Palatino Linotype" w:cs="Arial"/>
          <w:i/>
          <w:sz w:val="22"/>
          <w:szCs w:val="22"/>
          <w:lang w:eastAsia="gl-ES"/>
        </w:rPr>
      </w:pPr>
      <w:r w:rsidRPr="00A51BF6">
        <w:t>…</w:t>
      </w:r>
      <w:r w:rsidRPr="00A51BF6">
        <w:rPr>
          <w:rFonts w:ascii="Palatino Linotype" w:hAnsi="Palatino Linotype" w:cs="Arial"/>
          <w:i/>
          <w:sz w:val="22"/>
          <w:szCs w:val="22"/>
          <w:lang w:eastAsia="gl-ES"/>
        </w:rPr>
        <w:t xml:space="preserve">” </w:t>
      </w:r>
      <w:r w:rsidR="004E2C69" w:rsidRPr="00A51BF6">
        <w:rPr>
          <w:rFonts w:ascii="Palatino Linotype" w:hAnsi="Palatino Linotype" w:cs="Arial"/>
          <w:i/>
          <w:sz w:val="22"/>
          <w:szCs w:val="22"/>
          <w:lang w:eastAsia="gl-ES"/>
        </w:rPr>
        <w:t>(Sic)</w:t>
      </w:r>
    </w:p>
    <w:p w:rsidR="004E2C69" w:rsidRPr="00A51BF6" w:rsidRDefault="004E2C69" w:rsidP="004E2C69">
      <w:pPr>
        <w:ind w:left="851" w:right="901"/>
        <w:jc w:val="both"/>
        <w:rPr>
          <w:rFonts w:ascii="Palatino Linotype" w:hAnsi="Palatino Linotype" w:cs="Arial"/>
          <w:i/>
          <w:sz w:val="22"/>
          <w:szCs w:val="22"/>
          <w:lang w:eastAsia="gl-ES"/>
        </w:rPr>
      </w:pPr>
    </w:p>
    <w:p w:rsidR="004E2C69" w:rsidRPr="00A51BF6" w:rsidRDefault="004E2C69" w:rsidP="009866EA">
      <w:pPr>
        <w:spacing w:before="100" w:beforeAutospacing="1" w:after="100" w:afterAutospacing="1" w:line="360" w:lineRule="auto"/>
        <w:jc w:val="both"/>
        <w:rPr>
          <w:rFonts w:ascii="Palatino Linotype" w:eastAsia="Calibri" w:hAnsi="Palatino Linotype"/>
          <w:lang w:val="es-ES"/>
        </w:rPr>
      </w:pPr>
      <w:r w:rsidRPr="00A51BF6">
        <w:rPr>
          <w:rFonts w:ascii="Palatino Linotype" w:eastAsia="Calibri" w:hAnsi="Palatino Linotype" w:cs="Arial"/>
          <w:szCs w:val="22"/>
          <w:lang w:val="es-ES"/>
        </w:rPr>
        <w:t>De los preceptos legales descritos, se puede advertir que los Municipios tienen a su cargo el brindar servicios públicos, entre los cuales se encuentra incluido el alumbrado público</w:t>
      </w:r>
      <w:r w:rsidR="009866EA" w:rsidRPr="00A51BF6">
        <w:rPr>
          <w:rFonts w:ascii="Palatino Linotype" w:eastAsia="Calibri" w:hAnsi="Palatino Linotype"/>
          <w:lang w:val="es-ES"/>
        </w:rPr>
        <w:t>; por lo que,</w:t>
      </w:r>
      <w:r w:rsidRPr="00A51BF6">
        <w:rPr>
          <w:rFonts w:ascii="Palatino Linotype" w:eastAsia="Calibri" w:hAnsi="Palatino Linotype"/>
          <w:lang w:val="es-ES"/>
        </w:rPr>
        <w:t xml:space="preserve"> es importante referir que en su solicitud de información pública, el </w:t>
      </w:r>
      <w:r w:rsidRPr="00A51BF6">
        <w:rPr>
          <w:rFonts w:ascii="Palatino Linotype" w:eastAsia="Calibri" w:hAnsi="Palatino Linotype"/>
          <w:lang w:val="es-ES"/>
        </w:rPr>
        <w:lastRenderedPageBreak/>
        <w:t xml:space="preserve">particular realizó varios requerimientos, en los cuales pidió información de </w:t>
      </w:r>
      <w:r w:rsidRPr="00A51BF6">
        <w:rPr>
          <w:rFonts w:ascii="Palatino Linotype" w:eastAsia="Calibri" w:hAnsi="Palatino Linotype"/>
          <w:i/>
          <w:lang w:val="es-ES"/>
        </w:rPr>
        <w:t>“los meses que van de 2019”;</w:t>
      </w:r>
      <w:r w:rsidRPr="00A51BF6">
        <w:rPr>
          <w:rFonts w:ascii="Palatino Linotype" w:eastAsia="Calibri" w:hAnsi="Palatino Linotype"/>
          <w:lang w:val="es-ES"/>
        </w:rPr>
        <w:t xml:space="preserve"> atento a ello, este Órgano Garante precisa</w:t>
      </w:r>
      <w:r w:rsidRPr="00A51BF6">
        <w:rPr>
          <w:rStyle w:val="Refdenotaalpie"/>
          <w:rFonts w:ascii="Palatino Linotype" w:eastAsia="Calibri" w:hAnsi="Palatino Linotype"/>
        </w:rPr>
        <w:footnoteReference w:id="2"/>
      </w:r>
      <w:r w:rsidRPr="00A51BF6">
        <w:rPr>
          <w:rFonts w:ascii="Palatino Linotype" w:eastAsia="Calibri" w:hAnsi="Palatino Linotype"/>
          <w:lang w:val="es-ES"/>
        </w:rPr>
        <w:t xml:space="preserve"> que al momento de ordenar su entrega, la misma corresponderá del 1 de enero al 23 de abril de 2019, fecha en que fue presentada la solicitud. </w:t>
      </w:r>
    </w:p>
    <w:p w:rsidR="009866EA" w:rsidRPr="00A51BF6" w:rsidRDefault="009866EA" w:rsidP="009866EA">
      <w:pPr>
        <w:spacing w:line="360" w:lineRule="auto"/>
        <w:jc w:val="both"/>
        <w:rPr>
          <w:rFonts w:ascii="Palatino Linotype" w:hAnsi="Palatino Linotype" w:cs="Arial"/>
        </w:rPr>
      </w:pPr>
      <w:r w:rsidRPr="00A51BF6">
        <w:rPr>
          <w:rFonts w:ascii="Palatino Linotype" w:eastAsia="Calibri" w:hAnsi="Palatino Linotype"/>
          <w:lang w:val="es-ES"/>
        </w:rPr>
        <w:t>Una vez apuntado lo anterior, se procede al estudio de la información solicitada por el particular, identificados con los puntos 1, 2, 8, 9, 17, relacionadas</w:t>
      </w:r>
      <w:r w:rsidRPr="00A51BF6">
        <w:rPr>
          <w:rFonts w:ascii="Palatino Linotype" w:hAnsi="Palatino Linotype" w:cs="Arial"/>
        </w:rPr>
        <w:t xml:space="preserve"> con el mantenimiento preventivo, correctivo o la sustitución de luminarias que integran el sistema público municipal, consistente en el número de luminarias que fueron reemplazadas, arregladas o transformadas </w:t>
      </w:r>
      <w:r w:rsidRPr="00A51BF6">
        <w:rPr>
          <w:rFonts w:ascii="Palatino Linotype" w:hAnsi="Palatino Linotype" w:cs="Arial"/>
          <w:b/>
        </w:rPr>
        <w:t>en vías principales y ejes viales</w:t>
      </w:r>
      <w:r w:rsidRPr="00A51BF6">
        <w:rPr>
          <w:rFonts w:ascii="Palatino Linotype" w:hAnsi="Palatino Linotype" w:cs="Arial"/>
        </w:rPr>
        <w:t>,</w:t>
      </w:r>
      <w:r w:rsidRPr="00A51BF6">
        <w:t xml:space="preserve"> </w:t>
      </w:r>
      <w:r w:rsidRPr="00A51BF6">
        <w:rPr>
          <w:rFonts w:ascii="Palatino Linotype" w:hAnsi="Palatino Linotype" w:cs="Arial"/>
        </w:rPr>
        <w:t xml:space="preserve">vías primarias y colectores, vías secundarias residenciales tipo A, vías secundarias residenciales tipo B, vías residenciales tipo C y áreas verdes, plazas y techumbres; las características de las misma, la tecnología con la que cuentan, potencia, las que se cambiaron por tecnología LED y el lugar donde se sustituyeron, colocaron, corrigieron o arreglaron, señalando la cantidad de vías principal y ejes viales, vías primarias y colectores, vías secundarias residenciales tipo A, vías secundarias residenciales tipo B, vías residenciales tipo C y áreas verdes, plazas y techumbres con las que cuenta </w:t>
      </w:r>
      <w:r w:rsidRPr="00A51BF6">
        <w:rPr>
          <w:rFonts w:ascii="Palatino Linotype" w:hAnsi="Palatino Linotype" w:cs="Arial"/>
          <w:b/>
        </w:rPr>
        <w:t>EL SUJETO OBLIGADO</w:t>
      </w:r>
      <w:r w:rsidRPr="00A51BF6">
        <w:rPr>
          <w:rFonts w:ascii="Palatino Linotype" w:hAnsi="Palatino Linotype" w:cs="Arial"/>
        </w:rPr>
        <w:t>.</w:t>
      </w:r>
    </w:p>
    <w:p w:rsidR="009866EA" w:rsidRPr="00A51BF6" w:rsidRDefault="009866EA" w:rsidP="009866EA">
      <w:pPr>
        <w:spacing w:before="100" w:beforeAutospacing="1" w:after="100" w:afterAutospacing="1" w:line="360" w:lineRule="auto"/>
        <w:jc w:val="both"/>
        <w:rPr>
          <w:rFonts w:ascii="Palatino Linotype" w:eastAsia="Calibri" w:hAnsi="Palatino Linotype"/>
          <w:lang w:val="es-ES"/>
        </w:rPr>
      </w:pPr>
      <w:r w:rsidRPr="00A51BF6">
        <w:rPr>
          <w:rFonts w:ascii="Palatino Linotype" w:hAnsi="Palatino Linotype" w:cs="Arial"/>
        </w:rPr>
        <w:t xml:space="preserve">Al respecto, es de señalar que dichos requerimientos, puede ser colmados, de manera enunciativa más no limitativa, con la entrega de la bitácora de reparación o mantenimiento de alumbrado público y vialidades, que se encuentra regulada en los Lineamientos para el Registro y Control del Inventario y la Conciliación y </w:t>
      </w:r>
      <w:r w:rsidRPr="00A51BF6">
        <w:rPr>
          <w:rFonts w:ascii="Palatino Linotype" w:hAnsi="Palatino Linotype" w:cs="Arial"/>
        </w:rPr>
        <w:lastRenderedPageBreak/>
        <w:t>Desincorporación de Bienes Muebles e Inmuebles para las entidades Fiscalizables Municipales del Estado de México</w:t>
      </w:r>
      <w:r w:rsidRPr="00A51BF6">
        <w:rPr>
          <w:rStyle w:val="Refdenotaalpie"/>
          <w:rFonts w:ascii="Palatino Linotype" w:hAnsi="Palatino Linotype" w:cs="Arial"/>
        </w:rPr>
        <w:footnoteReference w:id="3"/>
      </w:r>
      <w:r w:rsidRPr="00A51BF6">
        <w:rPr>
          <w:rFonts w:ascii="Palatino Linotype" w:hAnsi="Palatino Linotype" w:cs="Arial"/>
        </w:rPr>
        <w:t xml:space="preserve">; tal y como, se muestra a continuación: </w:t>
      </w:r>
    </w:p>
    <w:p w:rsidR="009866EA" w:rsidRPr="00A51BF6" w:rsidRDefault="009866EA" w:rsidP="009866EA">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r w:rsidRPr="00A51BF6">
        <w:rPr>
          <w:rFonts w:ascii="Palatino Linotype" w:eastAsia="Calibri" w:hAnsi="Palatino Linotype" w:cs="Arial"/>
          <w:b/>
          <w:i/>
          <w:sz w:val="22"/>
          <w:szCs w:val="22"/>
          <w:lang w:val="es-ES" w:eastAsia="es-MX"/>
        </w:rPr>
        <w:t>VIGÉSIMO NOVENO:</w:t>
      </w:r>
      <w:r w:rsidRPr="00A51BF6">
        <w:rPr>
          <w:rFonts w:ascii="Palatino Linotype" w:eastAsia="Calibri" w:hAnsi="Palatino Linotype" w:cs="Arial"/>
          <w:i/>
          <w:sz w:val="22"/>
          <w:szCs w:val="22"/>
          <w:lang w:val="es-ES" w:eastAsia="es-MX"/>
        </w:rPr>
        <w:t xml:space="preserve"> El </w:t>
      </w:r>
      <w:r w:rsidRPr="00A51BF6">
        <w:rPr>
          <w:rFonts w:ascii="Palatino Linotype" w:eastAsia="Calibri" w:hAnsi="Palatino Linotype" w:cs="Arial"/>
          <w:b/>
          <w:i/>
          <w:sz w:val="22"/>
          <w:szCs w:val="22"/>
          <w:lang w:val="es-ES" w:eastAsia="es-MX"/>
        </w:rPr>
        <w:t>titular del área administrativa en los municipios</w:t>
      </w:r>
      <w:r w:rsidRPr="00A51BF6">
        <w:rPr>
          <w:rFonts w:ascii="Palatino Linotype" w:eastAsia="Calibri" w:hAnsi="Palatino Linotype" w:cs="Arial"/>
          <w:i/>
          <w:sz w:val="22"/>
          <w:szCs w:val="22"/>
          <w:lang w:val="es-ES" w:eastAsia="es-MX"/>
        </w:rPr>
        <w:t xml:space="preserve">, organismos públicos descentralizados y fideicomisos públicos de carácter municipal, </w:t>
      </w:r>
      <w:r w:rsidRPr="00A51BF6">
        <w:rPr>
          <w:rFonts w:ascii="Palatino Linotype" w:eastAsia="Calibri" w:hAnsi="Palatino Linotype" w:cs="Arial"/>
          <w:b/>
          <w:i/>
          <w:sz w:val="22"/>
          <w:szCs w:val="22"/>
          <w:lang w:val="es-ES" w:eastAsia="es-MX"/>
        </w:rPr>
        <w:t>responsable del control de las reparaciones y mantenimiento</w:t>
      </w:r>
      <w:r w:rsidRPr="00A51BF6">
        <w:rPr>
          <w:rFonts w:ascii="Palatino Linotype" w:eastAsia="Calibri" w:hAnsi="Palatino Linotype" w:cs="Arial"/>
          <w:i/>
          <w:sz w:val="22"/>
          <w:szCs w:val="22"/>
          <w:lang w:val="es-ES" w:eastAsia="es-MX"/>
        </w:rPr>
        <w:t xml:space="preserve"> de bienes muebles e inmuebles, así como </w:t>
      </w:r>
      <w:r w:rsidRPr="00A51BF6">
        <w:rPr>
          <w:rFonts w:ascii="Palatino Linotype" w:eastAsia="Calibri" w:hAnsi="Palatino Linotype" w:cs="Arial"/>
          <w:b/>
          <w:i/>
          <w:sz w:val="22"/>
          <w:szCs w:val="22"/>
          <w:lang w:val="es-ES" w:eastAsia="es-MX"/>
        </w:rPr>
        <w:t>del alumbrado público</w:t>
      </w:r>
      <w:r w:rsidRPr="00A51BF6">
        <w:rPr>
          <w:rFonts w:ascii="Palatino Linotype" w:eastAsia="Calibri" w:hAnsi="Palatino Linotype" w:cs="Arial"/>
          <w:i/>
          <w:sz w:val="22"/>
          <w:szCs w:val="22"/>
          <w:lang w:val="es-ES" w:eastAsia="es-MX"/>
        </w:rPr>
        <w:t xml:space="preserve"> y vialidades </w:t>
      </w:r>
      <w:r w:rsidRPr="00A51BF6">
        <w:rPr>
          <w:rFonts w:ascii="Palatino Linotype" w:eastAsia="Calibri" w:hAnsi="Palatino Linotype" w:cs="Arial"/>
          <w:b/>
          <w:i/>
          <w:sz w:val="22"/>
          <w:szCs w:val="22"/>
          <w:lang w:val="es-ES" w:eastAsia="es-MX"/>
        </w:rPr>
        <w:t>deberán llevar un control de los gastos a través de una bitácora</w:t>
      </w:r>
      <w:r w:rsidRPr="00A51BF6">
        <w:rPr>
          <w:rFonts w:ascii="Palatino Linotype" w:eastAsia="Calibri" w:hAnsi="Palatino Linotype" w:cs="Arial"/>
          <w:i/>
          <w:sz w:val="22"/>
          <w:szCs w:val="22"/>
          <w:lang w:val="es-ES" w:eastAsia="es-MX"/>
        </w:rPr>
        <w:t>, aplicar anexos 4A, 4B y 4C, según corresponda.</w:t>
      </w:r>
    </w:p>
    <w:p w:rsidR="009866EA" w:rsidRPr="00A51BF6" w:rsidRDefault="00EF2C8C" w:rsidP="009866EA">
      <w:pPr>
        <w:tabs>
          <w:tab w:val="left" w:pos="709"/>
        </w:tabs>
        <w:ind w:left="851" w:right="900"/>
        <w:jc w:val="both"/>
        <w:rPr>
          <w:rFonts w:ascii="Palatino Linotype" w:eastAsia="Calibri" w:hAnsi="Palatino Linotype" w:cs="Arial"/>
          <w:i/>
          <w:sz w:val="22"/>
          <w:szCs w:val="22"/>
          <w:lang w:val="es-ES" w:eastAsia="es-MX"/>
        </w:rPr>
      </w:pPr>
      <w:r>
        <w:rPr>
          <w:rFonts w:ascii="Palatino Linotype" w:eastAsia="Calibri" w:hAnsi="Palatino Linotype" w:cs="Arial"/>
          <w:i/>
          <w:noProof/>
          <w:sz w:val="22"/>
          <w:szCs w:val="22"/>
          <w:lang w:eastAsia="es-MX"/>
        </w:rPr>
        <mc:AlternateContent>
          <mc:Choice Requires="wps">
            <w:drawing>
              <wp:anchor distT="0" distB="0" distL="114300" distR="114300" simplePos="0" relativeHeight="251670528" behindDoc="0" locked="0" layoutInCell="1" allowOverlap="1">
                <wp:simplePos x="0" y="0"/>
                <wp:positionH relativeFrom="column">
                  <wp:posOffset>-3810</wp:posOffset>
                </wp:positionH>
                <wp:positionV relativeFrom="paragraph">
                  <wp:posOffset>335915</wp:posOffset>
                </wp:positionV>
                <wp:extent cx="5591175" cy="5076825"/>
                <wp:effectExtent l="38100" t="19050" r="66675" b="85725"/>
                <wp:wrapNone/>
                <wp:docPr id="43" name="Conector recto 43"/>
                <wp:cNvGraphicFramePr/>
                <a:graphic xmlns:a="http://schemas.openxmlformats.org/drawingml/2006/main">
                  <a:graphicData uri="http://schemas.microsoft.com/office/word/2010/wordprocessingShape">
                    <wps:wsp>
                      <wps:cNvCnPr/>
                      <wps:spPr>
                        <a:xfrm>
                          <a:off x="0" y="0"/>
                          <a:ext cx="5591175" cy="50768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477D0B" id="Conector recto 4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6.45pt" to="439.95pt,4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" strokecolor="#4f81bd [3204]" strokeweight="2pt">
                <v:shadow on="t" color="black" opacity="24903f" origin=",.5" offset="0,.55556mm"/>
              </v:line>
            </w:pict>
          </mc:Fallback>
        </mc:AlternateContent>
      </w:r>
    </w:p>
    <w:p w:rsidR="009866EA" w:rsidRPr="00A51BF6" w:rsidRDefault="009866EA" w:rsidP="009866EA">
      <w:pPr>
        <w:spacing w:line="360" w:lineRule="auto"/>
        <w:jc w:val="center"/>
        <w:rPr>
          <w:rFonts w:ascii="Palatino Linotype" w:eastAsia="Calibri" w:hAnsi="Palatino Linotype" w:cs="Arial"/>
          <w:i/>
          <w:sz w:val="22"/>
          <w:szCs w:val="22"/>
          <w:lang w:val="es-ES" w:eastAsia="es-MX"/>
        </w:rPr>
      </w:pPr>
      <w:r w:rsidRPr="00A51BF6">
        <w:rPr>
          <w:rFonts w:ascii="Palatino Linotype" w:eastAsia="Calibri" w:hAnsi="Palatino Linotype" w:cs="Arial"/>
          <w:i/>
          <w:noProof/>
          <w:sz w:val="22"/>
          <w:szCs w:val="22"/>
          <w:lang w:eastAsia="es-MX"/>
        </w:rPr>
        <w:lastRenderedPageBreak/>
        <w:drawing>
          <wp:inline distT="0" distB="0" distL="0" distR="0" wp14:anchorId="7A693C2F" wp14:editId="3236CAB1">
            <wp:extent cx="5434827" cy="690321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PNG"/>
                    <pic:cNvPicPr/>
                  </pic:nvPicPr>
                  <pic:blipFill rotWithShape="1">
                    <a:blip r:embed="rId28">
                      <a:extLst>
                        <a:ext uri="{28A0092B-C50C-407E-A947-70E740481C1C}">
                          <a14:useLocalDpi xmlns:a14="http://schemas.microsoft.com/office/drawing/2010/main" val="0"/>
                        </a:ext>
                      </a:extLst>
                    </a:blip>
                    <a:srcRect l="1151" r="1262"/>
                    <a:stretch/>
                  </pic:blipFill>
                  <pic:spPr bwMode="auto">
                    <a:xfrm>
                      <a:off x="0" y="0"/>
                      <a:ext cx="5476024" cy="6955544"/>
                    </a:xfrm>
                    <a:prstGeom prst="rect">
                      <a:avLst/>
                    </a:prstGeom>
                    <a:ln>
                      <a:noFill/>
                    </a:ln>
                    <a:extLst>
                      <a:ext uri="{53640926-AAD7-44D8-BBD7-CCE9431645EC}">
                        <a14:shadowObscured xmlns:a14="http://schemas.microsoft.com/office/drawing/2010/main"/>
                      </a:ext>
                    </a:extLst>
                  </pic:spPr>
                </pic:pic>
              </a:graphicData>
            </a:graphic>
          </wp:inline>
        </w:drawing>
      </w:r>
    </w:p>
    <w:p w:rsidR="009866EA" w:rsidRPr="00A51BF6" w:rsidRDefault="009866EA" w:rsidP="009866EA">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De lo anterior, se advierte que el responsable del control de las reparaciones y mantenimiento de alumbrado público, debe llevar una bitácora; la cual permitirá </w:t>
      </w:r>
      <w:r w:rsidRPr="00A51BF6">
        <w:rPr>
          <w:rFonts w:ascii="Palatino Linotype" w:hAnsi="Palatino Linotype" w:cs="Arial"/>
        </w:rPr>
        <w:lastRenderedPageBreak/>
        <w:t>transparentar el manejo, uso y destino de los bienes y garantizar la legalidad, control y la correcta participación de los servidores públicos municipales.</w:t>
      </w:r>
    </w:p>
    <w:p w:rsidR="009866EA" w:rsidRPr="00A51BF6" w:rsidRDefault="009866EA" w:rsidP="006903D6">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De igual manera, como ya se mencionó con anterioridad, </w:t>
      </w:r>
      <w:r w:rsidRPr="00A51BF6">
        <w:rPr>
          <w:rFonts w:ascii="Palatino Linotype" w:hAnsi="Palatino Linotype" w:cs="Arial"/>
          <w:b/>
        </w:rPr>
        <w:t xml:space="preserve">EL SUJETO OBLIGADO, </w:t>
      </w:r>
      <w:r w:rsidRPr="00A51BF6">
        <w:rPr>
          <w:rFonts w:ascii="Palatino Linotype" w:hAnsi="Palatino Linotype" w:cs="Arial"/>
        </w:rPr>
        <w:t>cuenta con un área operativa encargada del mantenimiento, colocación o sustitución de bienes inmuebles destinados a la prestación de servicio</w:t>
      </w:r>
      <w:r w:rsidR="006903D6" w:rsidRPr="00A51BF6">
        <w:rPr>
          <w:rFonts w:ascii="Palatino Linotype" w:hAnsi="Palatino Linotype" w:cs="Arial"/>
        </w:rPr>
        <w:t>s</w:t>
      </w:r>
      <w:r w:rsidRPr="00A51BF6">
        <w:rPr>
          <w:rFonts w:ascii="Palatino Linotype" w:hAnsi="Palatino Linotype" w:cs="Arial"/>
        </w:rPr>
        <w:t xml:space="preserve"> públicos, denominada Dirección de </w:t>
      </w:r>
      <w:r w:rsidR="006903D6" w:rsidRPr="00A51BF6">
        <w:rPr>
          <w:rFonts w:ascii="Palatino Linotype" w:hAnsi="Palatino Linotype" w:cs="Arial"/>
        </w:rPr>
        <w:t>Servicios Públicos</w:t>
      </w:r>
      <w:r w:rsidRPr="00A51BF6">
        <w:rPr>
          <w:rFonts w:ascii="Palatino Linotype" w:hAnsi="Palatino Linotype" w:cs="Arial"/>
        </w:rPr>
        <w:t xml:space="preserve">; es así que, éste Órgano Garante determina ordenar la entrega del documento o documentos donde se pueda advertir los lugares y número de luminarias que fueron sustituidas, arregladas o transformadas; así como, sus características y demás especificaciones solicitadas por </w:t>
      </w:r>
      <w:r w:rsidRPr="00A51BF6">
        <w:rPr>
          <w:rFonts w:ascii="Palatino Linotype" w:hAnsi="Palatino Linotype" w:cs="Arial"/>
          <w:b/>
        </w:rPr>
        <w:t>EL RECURRENTE</w:t>
      </w:r>
      <w:r w:rsidRPr="00A51BF6">
        <w:rPr>
          <w:rFonts w:ascii="Palatino Linotype" w:hAnsi="Palatino Linotype" w:cs="Arial"/>
        </w:rPr>
        <w:t>, en las temporalidades requeridas.</w:t>
      </w:r>
    </w:p>
    <w:p w:rsidR="006903D6" w:rsidRPr="00A51BF6" w:rsidRDefault="006903D6" w:rsidP="006903D6">
      <w:pPr>
        <w:spacing w:before="100" w:beforeAutospacing="1" w:after="100" w:afterAutospacing="1" w:line="360" w:lineRule="auto"/>
        <w:jc w:val="both"/>
        <w:rPr>
          <w:rFonts w:ascii="Palatino Linotype" w:hAnsi="Palatino Linotype"/>
        </w:rPr>
      </w:pPr>
      <w:r w:rsidRPr="00A51BF6">
        <w:rPr>
          <w:rFonts w:ascii="Palatino Linotype" w:eastAsia="Calibri" w:hAnsi="Palatino Linotype"/>
          <w:lang w:val="es-ES"/>
        </w:rPr>
        <w:t xml:space="preserve">Ahora bien, respecto de los puntos 3, 6 y 13, relativas al importe por concepto de alumbrado público facturado por la Comisión Federal de Electricidad (CFE) al Municipio, desglosado ya sea por mes o bimestre; así como </w:t>
      </w:r>
      <w:r w:rsidRPr="00A51BF6">
        <w:rPr>
          <w:rFonts w:ascii="Palatino Linotype" w:hAnsi="Palatino Linotype"/>
        </w:rPr>
        <w:t>¿cuánto se factura mensualmente? y</w:t>
      </w:r>
      <w:r w:rsidRPr="00A51BF6">
        <w:t xml:space="preserve"> </w:t>
      </w:r>
      <w:r w:rsidRPr="00A51BF6">
        <w:rPr>
          <w:rFonts w:ascii="Palatino Linotype" w:hAnsi="Palatino Linotype"/>
        </w:rPr>
        <w:t xml:space="preserve">los estados de cuentas y los avisos recibos emitidos mes con mes por la Comisión Federal de Electricidad; </w:t>
      </w:r>
      <w:r w:rsidRPr="00A51BF6">
        <w:rPr>
          <w:rFonts w:ascii="Palatino Linotype" w:eastAsia="Calibri" w:hAnsi="Palatino Linotype"/>
          <w:lang w:val="es-ES"/>
        </w:rPr>
        <w:t>al respecto, debe señalarse que dichas solicitudes pudiesen ser satisfechas con la entrega de las facturas o comprobantes que la CFE expidió al Municipio por dicho servicio.</w:t>
      </w:r>
    </w:p>
    <w:p w:rsidR="006903D6" w:rsidRPr="00A51BF6" w:rsidRDefault="006903D6" w:rsidP="006903D6">
      <w:pPr>
        <w:spacing w:before="100" w:beforeAutospacing="1" w:after="100" w:afterAutospacing="1" w:line="360" w:lineRule="auto"/>
        <w:jc w:val="both"/>
        <w:rPr>
          <w:rFonts w:ascii="Palatino Linotype" w:eastAsia="Calibri" w:hAnsi="Palatino Linotype"/>
          <w:lang w:val="es-ES"/>
        </w:rPr>
      </w:pPr>
      <w:r w:rsidRPr="00A51BF6">
        <w:rPr>
          <w:rFonts w:ascii="Palatino Linotype" w:eastAsia="Calibri" w:hAnsi="Palatino Linotype"/>
          <w:lang w:val="es-ES"/>
        </w:rPr>
        <w:t>En esa virtud, es de señalar que las facturas o comprobantes que amparan las erogaciones que se realizan con erario público tienen naturaleza análoga; pues, constituyen los medios idóneos de evidencia del gasto realizado con recursos públicos y que éstos deben ser generados al momento en que se efectúa la erogación correspondiente.</w:t>
      </w:r>
    </w:p>
    <w:p w:rsidR="006903D6" w:rsidRPr="00A51BF6" w:rsidRDefault="006903D6" w:rsidP="006903D6">
      <w:pPr>
        <w:spacing w:before="100" w:beforeAutospacing="1" w:after="100" w:afterAutospacing="1" w:line="360" w:lineRule="auto"/>
        <w:jc w:val="both"/>
        <w:rPr>
          <w:rFonts w:ascii="Palatino Linotype" w:eastAsia="Calibri" w:hAnsi="Palatino Linotype"/>
          <w:lang w:val="es-ES"/>
        </w:rPr>
      </w:pPr>
      <w:r w:rsidRPr="00A51BF6">
        <w:rPr>
          <w:rFonts w:ascii="Palatino Linotype" w:eastAsia="Calibri" w:hAnsi="Palatino Linotype"/>
          <w:lang w:val="es-ES"/>
        </w:rPr>
        <w:lastRenderedPageBreak/>
        <w:t xml:space="preserve">Al respecto, conviene precisar que en el cumplimiento de los principios que rigen la función pública, la Constitución Política del Estado Libre y Soberano de México en su artículo 129 señala que los recursos económicos del Estado, de los Municipios; así como, de los Organismos Autónomos, se administrarán con eficiencia, eficacia y honradez, para cumplir con los objetivos y programas a los que estén destinados. </w:t>
      </w:r>
    </w:p>
    <w:p w:rsidR="006903D6" w:rsidRPr="00A51BF6" w:rsidRDefault="006903D6" w:rsidP="006903D6">
      <w:pPr>
        <w:spacing w:before="100" w:beforeAutospacing="1" w:after="100" w:afterAutospacing="1" w:line="360" w:lineRule="auto"/>
        <w:jc w:val="both"/>
        <w:rPr>
          <w:rFonts w:ascii="Palatino Linotype" w:eastAsia="Calibri" w:hAnsi="Palatino Linotype"/>
          <w:lang w:val="es-ES"/>
        </w:rPr>
      </w:pPr>
      <w:r w:rsidRPr="00A51BF6">
        <w:rPr>
          <w:rFonts w:ascii="Palatino Linotype" w:eastAsia="Calibri" w:hAnsi="Palatino Linotype"/>
          <w:lang w:val="es-ES"/>
        </w:rPr>
        <w:t>Asimismo, señala que todos los pagos se harán mediante orden escrita en la que se expresará la partida del presupuesto a cargo de la cual se realizan; siendo importante en este punto traer a contexto lo establecido en los artículos 31, fracciones XVIII y XIX y 95, fracciones I y IV de la Ley Orgánica Municipal del Estado de México, que disponen lo siguiente:</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b/>
          <w:i/>
          <w:sz w:val="22"/>
          <w:szCs w:val="22"/>
        </w:rPr>
        <w:t>“Artículo 31.-</w:t>
      </w:r>
      <w:r w:rsidRPr="00A51BF6">
        <w:rPr>
          <w:rFonts w:ascii="Palatino Linotype" w:hAnsi="Palatino Linotype" w:cs="Arial"/>
          <w:i/>
          <w:sz w:val="22"/>
          <w:szCs w:val="22"/>
        </w:rPr>
        <w:t xml:space="preserve"> Son </w:t>
      </w:r>
      <w:r w:rsidRPr="00A51BF6">
        <w:rPr>
          <w:rFonts w:ascii="Palatino Linotype" w:hAnsi="Palatino Linotype" w:cs="Arial"/>
          <w:b/>
          <w:i/>
          <w:sz w:val="22"/>
          <w:szCs w:val="22"/>
        </w:rPr>
        <w:t>atribuciones de los ayuntamientos</w:t>
      </w:r>
      <w:r w:rsidRPr="00A51BF6">
        <w:rPr>
          <w:rFonts w:ascii="Palatino Linotype" w:hAnsi="Palatino Linotype" w:cs="Arial"/>
          <w:i/>
          <w:sz w:val="22"/>
          <w:szCs w:val="22"/>
        </w:rPr>
        <w:t>:</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i/>
          <w:sz w:val="22"/>
          <w:szCs w:val="22"/>
        </w:rPr>
        <w:t>…</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b/>
          <w:i/>
          <w:sz w:val="22"/>
          <w:szCs w:val="22"/>
        </w:rPr>
        <w:t>XVIII.</w:t>
      </w:r>
      <w:r w:rsidRPr="00A51BF6">
        <w:rPr>
          <w:rFonts w:ascii="Palatino Linotype" w:hAnsi="Palatino Linotype" w:cs="Arial"/>
          <w:i/>
          <w:sz w:val="22"/>
          <w:szCs w:val="22"/>
        </w:rPr>
        <w:t xml:space="preserve"> Administrar su hacienda en términos de ley, y </w:t>
      </w:r>
      <w:r w:rsidRPr="00A51BF6">
        <w:rPr>
          <w:rFonts w:ascii="Palatino Linotype" w:hAnsi="Palatino Linotype" w:cs="Arial"/>
          <w:b/>
          <w:i/>
          <w:sz w:val="22"/>
          <w:szCs w:val="22"/>
        </w:rPr>
        <w:t>controlar a través del presidente y síndico la aplicación del presupuesto de egresos del municipio</w:t>
      </w:r>
      <w:r w:rsidRPr="00A51BF6">
        <w:rPr>
          <w:rFonts w:ascii="Palatino Linotype" w:hAnsi="Palatino Linotype" w:cs="Arial"/>
          <w:i/>
          <w:sz w:val="22"/>
          <w:szCs w:val="22"/>
        </w:rPr>
        <w:t>;</w:t>
      </w:r>
    </w:p>
    <w:p w:rsidR="006903D6" w:rsidRPr="00A51BF6" w:rsidRDefault="006903D6" w:rsidP="006903D6">
      <w:pPr>
        <w:ind w:left="851" w:right="901"/>
        <w:jc w:val="both"/>
        <w:rPr>
          <w:rFonts w:ascii="Palatino Linotype" w:hAnsi="Palatino Linotype" w:cs="Arial"/>
          <w:b/>
          <w:i/>
          <w:sz w:val="22"/>
          <w:szCs w:val="22"/>
        </w:rPr>
      </w:pPr>
      <w:r w:rsidRPr="00A51BF6">
        <w:rPr>
          <w:rFonts w:ascii="Palatino Linotype" w:hAnsi="Palatino Linotype" w:cs="Arial"/>
          <w:b/>
          <w:i/>
          <w:sz w:val="22"/>
          <w:szCs w:val="22"/>
        </w:rPr>
        <w:t>…</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b/>
          <w:i/>
          <w:sz w:val="22"/>
          <w:szCs w:val="22"/>
        </w:rPr>
        <w:t>XIX.</w:t>
      </w:r>
      <w:r w:rsidRPr="00A51BF6">
        <w:rPr>
          <w:rFonts w:ascii="Palatino Linotype" w:hAnsi="Palatino Linotype" w:cs="Arial"/>
          <w:i/>
          <w:sz w:val="22"/>
          <w:szCs w:val="22"/>
        </w:rPr>
        <w:t xml:space="preserve"> </w:t>
      </w:r>
      <w:r w:rsidRPr="00A51BF6">
        <w:rPr>
          <w:rFonts w:ascii="Palatino Linotype" w:hAnsi="Palatino Linotype" w:cs="Arial"/>
          <w:b/>
          <w:i/>
          <w:sz w:val="22"/>
          <w:szCs w:val="22"/>
        </w:rPr>
        <w:t>Aprobar anualmente a más tardar el 20 de diciembre, su Presupuesto de Egresos, en base a los ingresos presupuestados para el ejercicio que corresponda</w:t>
      </w:r>
      <w:r w:rsidRPr="00A51BF6">
        <w:rPr>
          <w:rFonts w:ascii="Palatino Linotype" w:hAnsi="Palatino Linotype" w:cs="Arial"/>
          <w:i/>
          <w:sz w:val="22"/>
          <w:szCs w:val="22"/>
        </w:rPr>
        <w:t>, el cual podrá ser adecuado en función de las implicaciones que deriven de la aprobación de la Ley de Ingresos Municipal que haga la Legislatura, así como por la asignación de las participaciones y aportaciones federales y estatales</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i/>
          <w:sz w:val="22"/>
          <w:szCs w:val="22"/>
        </w:rPr>
        <w:t>…</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i/>
          <w:sz w:val="22"/>
          <w:szCs w:val="22"/>
        </w:rPr>
        <w:t xml:space="preserve">Artículo 95.- Son </w:t>
      </w:r>
      <w:r w:rsidRPr="00A51BF6">
        <w:rPr>
          <w:rFonts w:ascii="Palatino Linotype" w:hAnsi="Palatino Linotype" w:cs="Arial"/>
          <w:b/>
          <w:i/>
          <w:sz w:val="22"/>
          <w:szCs w:val="22"/>
        </w:rPr>
        <w:t>atribuciones del tesorero municipal</w:t>
      </w:r>
      <w:r w:rsidRPr="00A51BF6">
        <w:rPr>
          <w:rFonts w:ascii="Palatino Linotype" w:hAnsi="Palatino Linotype" w:cs="Arial"/>
          <w:i/>
          <w:sz w:val="22"/>
          <w:szCs w:val="22"/>
        </w:rPr>
        <w:t>:</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i/>
          <w:sz w:val="22"/>
          <w:szCs w:val="22"/>
        </w:rPr>
        <w:t xml:space="preserve">I. </w:t>
      </w:r>
      <w:r w:rsidRPr="00A51BF6">
        <w:rPr>
          <w:rFonts w:ascii="Palatino Linotype" w:hAnsi="Palatino Linotype" w:cs="Arial"/>
          <w:b/>
          <w:i/>
          <w:sz w:val="22"/>
          <w:szCs w:val="22"/>
        </w:rPr>
        <w:t>Administrar la hacienda pública municipal</w:t>
      </w:r>
      <w:r w:rsidRPr="00A51BF6">
        <w:rPr>
          <w:rFonts w:ascii="Palatino Linotype" w:hAnsi="Palatino Linotype" w:cs="Arial"/>
          <w:i/>
          <w:sz w:val="22"/>
          <w:szCs w:val="22"/>
        </w:rPr>
        <w:t>, de conformidad con las disposiciones legales aplicables;</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i/>
          <w:sz w:val="22"/>
          <w:szCs w:val="22"/>
        </w:rPr>
        <w:t>…</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b/>
          <w:i/>
          <w:sz w:val="22"/>
          <w:szCs w:val="22"/>
        </w:rPr>
        <w:t>IV. Llevar los registros contables, financieros y administrativos de los ingresos, egresos, e inventarios;</w:t>
      </w:r>
    </w:p>
    <w:p w:rsidR="006903D6" w:rsidRPr="00A51BF6" w:rsidRDefault="006903D6" w:rsidP="006903D6">
      <w:pPr>
        <w:ind w:left="851" w:right="901"/>
        <w:jc w:val="both"/>
        <w:rPr>
          <w:rFonts w:ascii="Palatino Linotype" w:hAnsi="Palatino Linotype" w:cs="Arial"/>
          <w:i/>
          <w:sz w:val="22"/>
          <w:szCs w:val="22"/>
        </w:rPr>
      </w:pPr>
      <w:r w:rsidRPr="00A51BF6">
        <w:rPr>
          <w:rFonts w:ascii="Palatino Linotype" w:hAnsi="Palatino Linotype" w:cs="Arial"/>
          <w:i/>
          <w:sz w:val="22"/>
          <w:szCs w:val="22"/>
        </w:rPr>
        <w:t>…”</w:t>
      </w:r>
    </w:p>
    <w:p w:rsidR="006903D6" w:rsidRPr="00A51BF6" w:rsidRDefault="006903D6" w:rsidP="006903D6">
      <w:pPr>
        <w:ind w:left="851" w:right="901"/>
        <w:jc w:val="both"/>
        <w:rPr>
          <w:rFonts w:ascii="Palatino Linotype" w:hAnsi="Palatino Linotype" w:cs="Arial"/>
          <w:sz w:val="22"/>
          <w:szCs w:val="22"/>
        </w:rPr>
      </w:pPr>
      <w:r w:rsidRPr="00A51BF6">
        <w:rPr>
          <w:rFonts w:ascii="Palatino Linotype" w:hAnsi="Palatino Linotype" w:cs="Arial"/>
          <w:sz w:val="22"/>
          <w:szCs w:val="22"/>
        </w:rPr>
        <w:t>(Énfasis añadido).</w:t>
      </w:r>
    </w:p>
    <w:p w:rsidR="006903D6" w:rsidRPr="00A51BF6" w:rsidRDefault="006903D6" w:rsidP="006903D6">
      <w:pPr>
        <w:spacing w:before="100" w:beforeAutospacing="1" w:after="100" w:afterAutospacing="1" w:line="360" w:lineRule="auto"/>
        <w:jc w:val="both"/>
        <w:rPr>
          <w:rFonts w:ascii="Palatino Linotype" w:eastAsia="Calibri" w:hAnsi="Palatino Linotype"/>
          <w:lang w:val="es-ES"/>
        </w:rPr>
      </w:pPr>
      <w:r w:rsidRPr="00A51BF6">
        <w:rPr>
          <w:rFonts w:ascii="Palatino Linotype" w:eastAsia="Calibri" w:hAnsi="Palatino Linotype"/>
          <w:lang w:val="es-ES"/>
        </w:rPr>
        <w:t xml:space="preserve">De lo anterior se advierte que, los Ayuntamientos tienen la atribución de administrar libremente su hacienda y controlar la aplicación del presupuesto de egresos aprobado </w:t>
      </w:r>
      <w:r w:rsidRPr="00A51BF6">
        <w:rPr>
          <w:rFonts w:ascii="Palatino Linotype" w:eastAsia="Calibri" w:hAnsi="Palatino Linotype"/>
          <w:lang w:val="es-ES"/>
        </w:rPr>
        <w:lastRenderedPageBreak/>
        <w:t>por dicho cuerpo colegiado, siendo atribución del Tesorero Municipal la de llevar los registros contables, financieros y administrativos de los ingresos, egresos e inventarios.</w:t>
      </w:r>
    </w:p>
    <w:p w:rsidR="006903D6" w:rsidRPr="00A51BF6" w:rsidRDefault="006903D6" w:rsidP="006903D6">
      <w:pPr>
        <w:spacing w:before="100" w:beforeAutospacing="1" w:after="100" w:afterAutospacing="1" w:line="360" w:lineRule="auto"/>
        <w:jc w:val="both"/>
        <w:rPr>
          <w:rFonts w:ascii="Palatino Linotype" w:eastAsia="Calibri" w:hAnsi="Palatino Linotype"/>
          <w:lang w:val="es-ES"/>
        </w:rPr>
      </w:pPr>
      <w:r w:rsidRPr="00A51BF6">
        <w:rPr>
          <w:rFonts w:ascii="Palatino Linotype" w:eastAsia="Calibri" w:hAnsi="Palatino Linotype"/>
          <w:lang w:val="es-ES"/>
        </w:rPr>
        <w:t>En este orden de ideas, es importante referir lo dispuesto en los artículos 342, 343, 344 y 345 del Código Financiero del Estado de México y Municipios, los cuales establecen las políticas que deben seguirse para llevar el registro contable y presupuestal de las operaciones financieras, en los siguientes términos:</w:t>
      </w:r>
    </w:p>
    <w:p w:rsidR="006903D6" w:rsidRPr="00A51BF6" w:rsidRDefault="006903D6" w:rsidP="006903D6">
      <w:pPr>
        <w:ind w:left="851" w:right="901"/>
        <w:jc w:val="both"/>
        <w:rPr>
          <w:rFonts w:ascii="Palatino Linotype" w:hAnsi="Palatino Linotype"/>
          <w:b/>
          <w:i/>
          <w:sz w:val="22"/>
          <w:szCs w:val="22"/>
        </w:rPr>
      </w:pPr>
      <w:r w:rsidRPr="00A51BF6">
        <w:rPr>
          <w:rFonts w:ascii="Palatino Linotype" w:hAnsi="Palatino Linotype" w:cs="Arial"/>
          <w:b/>
          <w:bCs/>
          <w:i/>
          <w:color w:val="000000"/>
          <w:sz w:val="22"/>
          <w:szCs w:val="22"/>
        </w:rPr>
        <w:t>“</w:t>
      </w:r>
      <w:r w:rsidRPr="00A51BF6">
        <w:rPr>
          <w:rFonts w:ascii="Palatino Linotype" w:hAnsi="Palatino Linotype"/>
          <w:b/>
          <w:i/>
          <w:sz w:val="22"/>
          <w:szCs w:val="22"/>
        </w:rPr>
        <w:t>Artículo 342.-</w:t>
      </w:r>
      <w:r w:rsidRPr="00A51BF6">
        <w:rPr>
          <w:rFonts w:ascii="Palatino Linotype" w:hAnsi="Palatino Linotype"/>
          <w:i/>
          <w:sz w:val="22"/>
          <w:szCs w:val="22"/>
        </w:rPr>
        <w:t xml:space="preserve"> </w:t>
      </w:r>
      <w:r w:rsidRPr="00A51BF6">
        <w:rPr>
          <w:rFonts w:ascii="Palatino Linotype" w:hAnsi="Palatino Linotype"/>
          <w:b/>
          <w:i/>
          <w:sz w:val="22"/>
          <w:szCs w:val="22"/>
        </w:rPr>
        <w:t xml:space="preserve">El registro contable del efecto patrimonial y presupuestal de las operaciones financieras, se realizará conforme al sistema y a las disposiciones que se aprueben en materia </w:t>
      </w:r>
      <w:r w:rsidRPr="00A51BF6">
        <w:rPr>
          <w:rFonts w:ascii="Palatino Linotype" w:hAnsi="Palatino Linotype"/>
          <w:i/>
          <w:sz w:val="22"/>
          <w:szCs w:val="22"/>
        </w:rPr>
        <w:t xml:space="preserve">de </w:t>
      </w:r>
      <w:r w:rsidRPr="00A51BF6">
        <w:rPr>
          <w:rFonts w:ascii="Palatino Linotype" w:hAnsi="Palatino Linotype" w:cs="Arial"/>
          <w:i/>
          <w:color w:val="000000"/>
          <w:sz w:val="22"/>
          <w:szCs w:val="22"/>
        </w:rPr>
        <w:t>planeación</w:t>
      </w:r>
      <w:r w:rsidRPr="00A51BF6">
        <w:rPr>
          <w:rFonts w:ascii="Palatino Linotype" w:hAnsi="Palatino Linotype"/>
          <w:i/>
          <w:sz w:val="22"/>
          <w:szCs w:val="22"/>
        </w:rPr>
        <w:t>,</w:t>
      </w:r>
      <w:r w:rsidRPr="00A51BF6">
        <w:rPr>
          <w:rFonts w:ascii="Palatino Linotype" w:hAnsi="Palatino Linotype"/>
          <w:b/>
          <w:i/>
          <w:sz w:val="22"/>
          <w:szCs w:val="22"/>
        </w:rPr>
        <w:t xml:space="preserve"> programación, presupuestación</w:t>
      </w:r>
      <w:r w:rsidRPr="00A51BF6">
        <w:rPr>
          <w:rFonts w:ascii="Palatino Linotype" w:hAnsi="Palatino Linotype"/>
          <w:i/>
          <w:sz w:val="22"/>
          <w:szCs w:val="22"/>
        </w:rPr>
        <w:t xml:space="preserve">, evaluación y </w:t>
      </w:r>
      <w:r w:rsidRPr="00A51BF6">
        <w:rPr>
          <w:rFonts w:ascii="Palatino Linotype" w:hAnsi="Palatino Linotype" w:cs="Arial"/>
          <w:b/>
          <w:i/>
          <w:color w:val="000000"/>
          <w:sz w:val="22"/>
          <w:szCs w:val="22"/>
        </w:rPr>
        <w:t>contabilidad</w:t>
      </w:r>
      <w:r w:rsidRPr="00A51BF6">
        <w:rPr>
          <w:rFonts w:ascii="Palatino Linotype" w:hAnsi="Palatino Linotype"/>
          <w:b/>
          <w:i/>
          <w:sz w:val="22"/>
          <w:szCs w:val="22"/>
        </w:rPr>
        <w:t xml:space="preserve"> gubernamental.</w:t>
      </w:r>
      <w:r w:rsidRPr="00A51BF6">
        <w:rPr>
          <w:rFonts w:ascii="Palatino Linotype" w:hAnsi="Palatino Linotype"/>
          <w:i/>
          <w:sz w:val="22"/>
          <w:szCs w:val="22"/>
        </w:rPr>
        <w:t xml:space="preserve"> </w:t>
      </w:r>
    </w:p>
    <w:p w:rsidR="006903D6" w:rsidRPr="00A51BF6" w:rsidRDefault="006903D6" w:rsidP="006903D6">
      <w:pPr>
        <w:ind w:left="851" w:right="901"/>
        <w:jc w:val="both"/>
        <w:rPr>
          <w:rFonts w:ascii="Palatino Linotype" w:hAnsi="Palatino Linotype"/>
          <w:b/>
          <w:i/>
          <w:sz w:val="22"/>
          <w:szCs w:val="22"/>
        </w:rPr>
      </w:pPr>
      <w:r w:rsidRPr="00A51BF6">
        <w:rPr>
          <w:rFonts w:ascii="Palatino Linotype" w:hAnsi="Palatino Linotype" w:cs="Arial"/>
          <w:b/>
          <w:bCs/>
          <w:i/>
          <w:color w:val="000000"/>
          <w:sz w:val="22"/>
          <w:szCs w:val="22"/>
        </w:rPr>
        <w:t>…</w:t>
      </w:r>
    </w:p>
    <w:p w:rsidR="006903D6" w:rsidRPr="00A51BF6" w:rsidRDefault="006903D6" w:rsidP="006903D6">
      <w:pPr>
        <w:ind w:left="851" w:right="901"/>
        <w:jc w:val="both"/>
        <w:rPr>
          <w:rFonts w:ascii="Palatino Linotype" w:hAnsi="Palatino Linotype"/>
          <w:i/>
          <w:sz w:val="22"/>
          <w:szCs w:val="22"/>
        </w:rPr>
      </w:pPr>
      <w:r w:rsidRPr="00A51BF6">
        <w:rPr>
          <w:rFonts w:ascii="Palatino Linotype" w:hAnsi="Palatino Linotype"/>
          <w:b/>
          <w:i/>
          <w:sz w:val="22"/>
          <w:szCs w:val="22"/>
        </w:rPr>
        <w:t>Artículo 343.-</w:t>
      </w:r>
      <w:r w:rsidRPr="00A51BF6">
        <w:rPr>
          <w:rFonts w:ascii="Palatino Linotype" w:hAnsi="Palatino Linotype"/>
          <w:i/>
          <w:sz w:val="22"/>
          <w:szCs w:val="22"/>
        </w:rPr>
        <w:t xml:space="preserve"> El sistema de contabilidad debe diseñarse sobre base acumulativa total y operarse en forma que facilite la fiscalización de los activos, pasivos, ingresos, egresos y, en general, que posibilite medir la eficacia del gasto público, y contener las medidas de control interno que permitan verificar el registro de la totalidad de las operaciones financieras. </w:t>
      </w:r>
    </w:p>
    <w:p w:rsidR="006903D6" w:rsidRPr="00A51BF6" w:rsidRDefault="006903D6" w:rsidP="006903D6">
      <w:pPr>
        <w:ind w:left="851" w:right="901"/>
        <w:jc w:val="both"/>
        <w:rPr>
          <w:rFonts w:ascii="Palatino Linotype" w:hAnsi="Palatino Linotype"/>
          <w:i/>
          <w:sz w:val="22"/>
          <w:szCs w:val="22"/>
        </w:rPr>
      </w:pPr>
      <w:r w:rsidRPr="00A51BF6">
        <w:rPr>
          <w:rFonts w:ascii="Palatino Linotype" w:hAnsi="Palatino Linotype"/>
          <w:i/>
          <w:sz w:val="22"/>
          <w:szCs w:val="22"/>
        </w:rPr>
        <w:t xml:space="preserve">El sistema de contabilidad sobre base acumulativa total se sustentará en los postulados básicos y el marco conceptual de la contabilidad gubernamental. </w:t>
      </w:r>
    </w:p>
    <w:p w:rsidR="006903D6" w:rsidRPr="00A51BF6" w:rsidRDefault="006903D6" w:rsidP="006903D6">
      <w:pPr>
        <w:ind w:left="851" w:right="901"/>
        <w:jc w:val="both"/>
        <w:rPr>
          <w:rFonts w:ascii="Palatino Linotype" w:hAnsi="Palatino Linotype"/>
          <w:i/>
          <w:sz w:val="22"/>
          <w:szCs w:val="22"/>
        </w:rPr>
      </w:pPr>
      <w:r w:rsidRPr="00A51BF6">
        <w:rPr>
          <w:rFonts w:ascii="Palatino Linotype" w:hAnsi="Palatino Linotype"/>
          <w:b/>
          <w:i/>
          <w:sz w:val="22"/>
          <w:szCs w:val="22"/>
        </w:rPr>
        <w:t xml:space="preserve">Artículo 344.- Las Dependencias, Entidades Públicas y unidades administrativas registrarán contablemente el efecto patrimonial y presupuestal de las operaciones financieras que realicen, en el momento en que ocurran, con base en el sistema y políticas de registro establecidas, </w:t>
      </w:r>
      <w:r w:rsidRPr="00A51BF6">
        <w:rPr>
          <w:rFonts w:ascii="Palatino Linotype" w:hAnsi="Palatino Linotype"/>
          <w:i/>
          <w:sz w:val="22"/>
          <w:szCs w:val="22"/>
        </w:rPr>
        <w:t xml:space="preserve">en el caso de los Municipios se hará por la Tesorería. </w:t>
      </w:r>
    </w:p>
    <w:p w:rsidR="006903D6" w:rsidRPr="00A51BF6" w:rsidRDefault="006903D6" w:rsidP="006903D6">
      <w:pPr>
        <w:ind w:left="851" w:right="901"/>
        <w:jc w:val="both"/>
        <w:rPr>
          <w:rFonts w:ascii="Palatino Linotype" w:hAnsi="Palatino Linotype"/>
          <w:i/>
          <w:sz w:val="22"/>
          <w:szCs w:val="22"/>
        </w:rPr>
      </w:pPr>
      <w:r w:rsidRPr="00A51BF6">
        <w:rPr>
          <w:rFonts w:ascii="Palatino Linotype" w:hAnsi="Palatino Linotype"/>
          <w:i/>
          <w:sz w:val="22"/>
          <w:szCs w:val="22"/>
        </w:rPr>
        <w:t xml:space="preserve">Derogado. </w:t>
      </w:r>
    </w:p>
    <w:p w:rsidR="006903D6" w:rsidRPr="00A51BF6" w:rsidRDefault="006903D6" w:rsidP="006903D6">
      <w:pPr>
        <w:ind w:left="851" w:right="850"/>
        <w:jc w:val="both"/>
        <w:rPr>
          <w:rFonts w:ascii="Palatino Linotype" w:hAnsi="Palatino Linotype"/>
          <w:i/>
          <w:sz w:val="22"/>
          <w:szCs w:val="22"/>
        </w:rPr>
      </w:pPr>
      <w:r w:rsidRPr="00A51BF6">
        <w:rPr>
          <w:rFonts w:ascii="Palatino Linotype" w:hAnsi="Palatino Linotype"/>
          <w:b/>
          <w:i/>
          <w:sz w:val="22"/>
          <w:szCs w:val="22"/>
        </w:rPr>
        <w:t>Todo registro contable y presupuestal deberá estar soportado con los documentos comprobatorios originales, los que deberán permanecer en custodia y conservación de las dependencias, entidades públicas y unidades administrativas que ejercieron el gasto, y a disposición del Órgano Superior de Fiscalización del Estado de México y de los órganos de control interno, por un término de cinco años contados</w:t>
      </w:r>
      <w:r w:rsidRPr="00A51BF6">
        <w:rPr>
          <w:rFonts w:ascii="Palatino Linotype" w:hAnsi="Palatino Linotype"/>
          <w:i/>
          <w:sz w:val="22"/>
          <w:szCs w:val="22"/>
        </w:rPr>
        <w:t xml:space="preserve"> a partir del ejercicio presupuestal siguiente al que corresponda, en el caso de los municipios se hará por la Tesorería. </w:t>
      </w:r>
    </w:p>
    <w:p w:rsidR="006903D6" w:rsidRPr="00A51BF6" w:rsidRDefault="006903D6" w:rsidP="006903D6">
      <w:pPr>
        <w:ind w:left="851" w:right="901"/>
        <w:jc w:val="both"/>
        <w:rPr>
          <w:rFonts w:ascii="Palatino Linotype" w:hAnsi="Palatino Linotype"/>
          <w:i/>
          <w:sz w:val="22"/>
          <w:szCs w:val="22"/>
        </w:rPr>
      </w:pPr>
      <w:r w:rsidRPr="00A51BF6">
        <w:rPr>
          <w:rFonts w:ascii="Palatino Linotype" w:hAnsi="Palatino Linotype"/>
          <w:i/>
          <w:sz w:val="22"/>
          <w:szCs w:val="22"/>
        </w:rPr>
        <w:t>…</w:t>
      </w:r>
    </w:p>
    <w:p w:rsidR="006903D6" w:rsidRPr="00A51BF6" w:rsidRDefault="006903D6" w:rsidP="006903D6">
      <w:pPr>
        <w:ind w:left="851" w:right="901"/>
        <w:jc w:val="both"/>
        <w:rPr>
          <w:rFonts w:ascii="Palatino Linotype" w:hAnsi="Palatino Linotype"/>
          <w:i/>
          <w:sz w:val="22"/>
          <w:szCs w:val="22"/>
        </w:rPr>
      </w:pPr>
      <w:r w:rsidRPr="00A51BF6">
        <w:rPr>
          <w:rFonts w:ascii="Palatino Linotype" w:hAnsi="Palatino Linotype"/>
          <w:b/>
          <w:i/>
          <w:sz w:val="22"/>
          <w:szCs w:val="22"/>
        </w:rPr>
        <w:t>Artículo 345.-</w:t>
      </w:r>
      <w:r w:rsidRPr="00A51BF6">
        <w:rPr>
          <w:rFonts w:ascii="Palatino Linotype" w:hAnsi="Palatino Linotype"/>
          <w:i/>
          <w:sz w:val="22"/>
          <w:szCs w:val="22"/>
        </w:rPr>
        <w:t xml:space="preserve"> </w:t>
      </w:r>
      <w:r w:rsidRPr="00A51BF6">
        <w:rPr>
          <w:rFonts w:ascii="Palatino Linotype" w:hAnsi="Palatino Linotype"/>
          <w:b/>
          <w:i/>
          <w:sz w:val="22"/>
          <w:szCs w:val="22"/>
        </w:rPr>
        <w:t>Las Dependencias, Entidades Públicas y unidades administrativas deberán conservar la documentación contable del año en curso y la de ejercicios anteriores cuyas cuentas públicas hayan sido revisadas y fiscalizadas por la Legislatura</w:t>
      </w:r>
      <w:r w:rsidRPr="00A51BF6">
        <w:rPr>
          <w:rFonts w:ascii="Palatino Linotype" w:hAnsi="Palatino Linotype"/>
          <w:i/>
          <w:sz w:val="22"/>
          <w:szCs w:val="22"/>
        </w:rPr>
        <w:t xml:space="preserve">, la remitirán en un plazo que no </w:t>
      </w:r>
      <w:r w:rsidRPr="00A51BF6">
        <w:rPr>
          <w:rFonts w:ascii="Palatino Linotype" w:hAnsi="Palatino Linotype"/>
          <w:i/>
          <w:sz w:val="22"/>
          <w:szCs w:val="22"/>
        </w:rPr>
        <w:lastRenderedPageBreak/>
        <w:t xml:space="preserve">excederá de seis meses al Archivo Contable Gubernamental. </w:t>
      </w:r>
      <w:r w:rsidRPr="00A51BF6">
        <w:rPr>
          <w:rFonts w:ascii="Palatino Linotype" w:hAnsi="Palatino Linotype"/>
          <w:b/>
          <w:i/>
          <w:sz w:val="22"/>
          <w:szCs w:val="22"/>
        </w:rPr>
        <w:t>Tratándose de los comprobantes fiscales digitales, estos deberán estar agregados en forma electrónica en cada póliza de registro contable</w:t>
      </w:r>
      <w:r w:rsidRPr="00A51BF6">
        <w:rPr>
          <w:rFonts w:ascii="Palatino Linotype" w:hAnsi="Palatino Linotype"/>
          <w:i/>
          <w:sz w:val="22"/>
          <w:szCs w:val="22"/>
        </w:rPr>
        <w:t xml:space="preserve">. </w:t>
      </w:r>
    </w:p>
    <w:p w:rsidR="006903D6" w:rsidRPr="00A51BF6" w:rsidRDefault="006903D6" w:rsidP="006903D6">
      <w:pPr>
        <w:ind w:left="851" w:right="901"/>
        <w:jc w:val="both"/>
        <w:rPr>
          <w:rFonts w:ascii="Palatino Linotype" w:hAnsi="Palatino Linotype" w:cs="Arial"/>
          <w:bCs/>
          <w:i/>
          <w:color w:val="000000"/>
          <w:sz w:val="22"/>
          <w:szCs w:val="22"/>
        </w:rPr>
      </w:pPr>
      <w:r w:rsidRPr="00A51BF6">
        <w:rPr>
          <w:rFonts w:ascii="Palatino Linotype" w:hAnsi="Palatino Linotype"/>
          <w:i/>
          <w:sz w:val="22"/>
          <w:szCs w:val="22"/>
        </w:rPr>
        <w:t>El plazo señalado en el párrafo anterior, empezará a contar a partir de la publicación en el Periódico Oficial, del decreto correspondiente.</w:t>
      </w:r>
      <w:r w:rsidRPr="00A51BF6">
        <w:rPr>
          <w:rFonts w:ascii="Palatino Linotype" w:hAnsi="Palatino Linotype" w:cs="Arial"/>
          <w:bCs/>
          <w:i/>
          <w:color w:val="000000"/>
          <w:sz w:val="22"/>
          <w:szCs w:val="22"/>
        </w:rPr>
        <w:t xml:space="preserve"> “</w:t>
      </w:r>
      <w:r w:rsidRPr="00A51BF6">
        <w:rPr>
          <w:rFonts w:ascii="Palatino Linotype" w:hAnsi="Palatino Linotype" w:cs="Arial"/>
          <w:bCs/>
          <w:i/>
          <w:color w:val="000000"/>
          <w:sz w:val="22"/>
          <w:szCs w:val="22"/>
        </w:rPr>
        <w:cr/>
        <w:t>(Énfasis añadido)</w:t>
      </w:r>
    </w:p>
    <w:p w:rsidR="006903D6" w:rsidRPr="00A51BF6" w:rsidRDefault="006903D6" w:rsidP="006903D6">
      <w:pPr>
        <w:spacing w:before="100" w:beforeAutospacing="1" w:after="100" w:afterAutospacing="1" w:line="360" w:lineRule="auto"/>
        <w:jc w:val="both"/>
        <w:rPr>
          <w:rFonts w:ascii="Palatino Linotype" w:hAnsi="Palatino Linotype" w:cs="Arial"/>
          <w:bCs/>
          <w:color w:val="000000"/>
          <w:lang w:val="es-ES"/>
        </w:rPr>
      </w:pPr>
      <w:r w:rsidRPr="00A51BF6">
        <w:rPr>
          <w:rFonts w:ascii="Palatino Linotype" w:hAnsi="Palatino Linotype" w:cs="Arial"/>
          <w:lang w:val="es-ES"/>
        </w:rPr>
        <w:t>De una interpretación sistemática de los artículos transcritos, se desprende, que el</w:t>
      </w:r>
      <w:r w:rsidRPr="00A51BF6">
        <w:rPr>
          <w:rFonts w:ascii="Palatino Linotype" w:hAnsi="Palatino Linotype" w:cs="Arial"/>
          <w:bCs/>
          <w:color w:val="000000"/>
          <w:lang w:val="es-ES"/>
        </w:rPr>
        <w:t xml:space="preserve"> registro contable del efecto patrimonial y presupuestal de las operaciones financieras se realizará conforme al sistema y a las disposiciones que se aprueben en </w:t>
      </w:r>
      <w:r w:rsidRPr="00A51BF6">
        <w:rPr>
          <w:rFonts w:ascii="Palatino Linotype" w:hAnsi="Palatino Linotype" w:cs="Arial"/>
          <w:bCs/>
          <w:color w:val="000000"/>
          <w:lang w:val="es-ES"/>
        </w:rPr>
        <w:br/>
        <w:t>materia de planeación, programación, presupuestación, evaluación y contabilidad gubernamental.</w:t>
      </w:r>
    </w:p>
    <w:p w:rsidR="006903D6" w:rsidRPr="00A51BF6" w:rsidRDefault="006903D6" w:rsidP="006903D6">
      <w:pPr>
        <w:spacing w:before="100" w:beforeAutospacing="1" w:after="100" w:afterAutospacing="1" w:line="360" w:lineRule="auto"/>
        <w:jc w:val="both"/>
        <w:rPr>
          <w:rFonts w:ascii="Palatino Linotype" w:hAnsi="Palatino Linotype" w:cs="Arial"/>
          <w:lang w:val="es-ES" w:eastAsia="es-MX"/>
        </w:rPr>
      </w:pPr>
      <w:r w:rsidRPr="00A51BF6">
        <w:rPr>
          <w:rFonts w:ascii="Palatino Linotype" w:hAnsi="Palatino Linotype" w:cs="Arial"/>
          <w:lang w:val="es-ES"/>
        </w:rPr>
        <w:t>Al respecto, si bien es cierto que el Código Financiero del Estado de México y Municipios establece la obligación de los Municipios para llevar los registros contables y presupuestales; también lo es, que dicho ordenamiento jurídico no establece que debemos entender por registro contable y presupuestal</w:t>
      </w:r>
      <w:r w:rsidRPr="00A51BF6">
        <w:rPr>
          <w:rFonts w:ascii="Palatino Linotype" w:hAnsi="Palatino Linotype" w:cs="Arial"/>
          <w:lang w:val="es-ES" w:eastAsia="es-MX"/>
        </w:rPr>
        <w:t xml:space="preserve">; sin embargo, el “Glosario de Términos Administrativos”, emitido por el Instituto Nacional de Administración Pública, A.C. y el “Glosario de Términos para el Proceso de Planeación, Programación, Presupuestación y Evaluación en la Administración Pública”, elaborado por el Grupo de Trabajo de Sistemas de Información Financiera, Contable y Presupuestal de la Comisión Permanente de Funcionarios Fiscales del Instituto para el Desarrollo Técnico de las Haciendas Públicas (INDETEC) señalan las siguientes definiciones de las palabras registro contable y registro presupuestario: </w:t>
      </w:r>
    </w:p>
    <w:p w:rsidR="006903D6" w:rsidRPr="00A51BF6" w:rsidRDefault="006903D6" w:rsidP="006903D6">
      <w:pPr>
        <w:ind w:left="851" w:right="850"/>
        <w:jc w:val="both"/>
        <w:rPr>
          <w:rFonts w:ascii="Palatino Linotype" w:hAnsi="Palatino Linotype" w:cs="Arial"/>
          <w:b/>
          <w:i/>
          <w:sz w:val="22"/>
          <w:lang w:val="es-ES" w:eastAsia="es-MX"/>
        </w:rPr>
      </w:pPr>
      <w:r w:rsidRPr="00A51BF6">
        <w:rPr>
          <w:rFonts w:ascii="Palatino Linotype" w:hAnsi="Palatino Linotype" w:cs="Arial"/>
          <w:b/>
          <w:i/>
          <w:sz w:val="22"/>
          <w:lang w:val="es-ES" w:eastAsia="es-MX"/>
        </w:rPr>
        <w:t xml:space="preserve">“REGISTRO CONTABLE </w:t>
      </w:r>
    </w:p>
    <w:p w:rsidR="006903D6" w:rsidRPr="00A51BF6" w:rsidRDefault="006903D6" w:rsidP="006903D6">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Asiento que se realiza en los libros de contabilidad de las actividades relacionadas con el ingreso y egresos de un ente económico.”</w:t>
      </w:r>
    </w:p>
    <w:p w:rsidR="006903D6" w:rsidRPr="00A51BF6" w:rsidRDefault="006903D6" w:rsidP="006903D6">
      <w:pPr>
        <w:ind w:left="851" w:right="850"/>
        <w:jc w:val="both"/>
        <w:rPr>
          <w:rFonts w:ascii="Palatino Linotype" w:hAnsi="Palatino Linotype" w:cs="Arial"/>
          <w:b/>
          <w:i/>
          <w:sz w:val="22"/>
          <w:lang w:val="es-ES" w:eastAsia="es-MX"/>
        </w:rPr>
      </w:pPr>
      <w:r w:rsidRPr="00A51BF6">
        <w:rPr>
          <w:rFonts w:ascii="Palatino Linotype" w:hAnsi="Palatino Linotype" w:cs="Arial"/>
          <w:b/>
          <w:i/>
          <w:sz w:val="22"/>
          <w:lang w:val="es-ES" w:eastAsia="es-MX"/>
        </w:rPr>
        <w:t>“REGISTRO PRESUPUESTARIO</w:t>
      </w:r>
    </w:p>
    <w:p w:rsidR="006903D6" w:rsidRPr="00A51BF6" w:rsidRDefault="006903D6" w:rsidP="006903D6">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lastRenderedPageBreak/>
        <w:t>Asiento contable de las erogaciones realizadas por las dependencias y entidades con relación a la asignación, modificación y ejercicio de los recursos presupuestarios que se les hayan autorizado.”</w:t>
      </w:r>
    </w:p>
    <w:p w:rsidR="006903D6" w:rsidRPr="00A51BF6" w:rsidRDefault="006903D6" w:rsidP="006903D6">
      <w:pPr>
        <w:spacing w:before="100" w:beforeAutospacing="1" w:after="100" w:afterAutospacing="1" w:line="360" w:lineRule="auto"/>
        <w:jc w:val="both"/>
        <w:rPr>
          <w:rFonts w:ascii="Palatino Linotype" w:hAnsi="Palatino Linotype" w:cs="Arial"/>
          <w:bCs/>
          <w:color w:val="000000"/>
          <w:lang w:val="es-ES"/>
        </w:rPr>
      </w:pPr>
      <w:r w:rsidRPr="00A51BF6">
        <w:rPr>
          <w:rFonts w:ascii="Palatino Linotype" w:hAnsi="Palatino Linotype" w:cs="Arial"/>
          <w:bCs/>
          <w:color w:val="000000"/>
          <w:lang w:val="es-ES"/>
        </w:rPr>
        <w:t>Por otra parte, se establece que el sistema de contabilidad sobre base acumulativa total se sustentará en los principios de contabilidad gubernamental, del mismo modo, los preceptos legales citados señalan que, los Sujetos Obligados deben contar con una unidad administrativa que registre contablemente el efecto patrimonial y presupuestal de las operaciones financieras que realizan, en el momento en que ocurran, con base en el sistema y políticas de registro establecidas.</w:t>
      </w:r>
    </w:p>
    <w:p w:rsidR="006903D6" w:rsidRPr="00A51BF6" w:rsidRDefault="006903D6" w:rsidP="006903D6">
      <w:pPr>
        <w:spacing w:before="100" w:beforeAutospacing="1" w:after="100" w:afterAutospacing="1" w:line="360" w:lineRule="auto"/>
        <w:jc w:val="both"/>
        <w:rPr>
          <w:rFonts w:ascii="Palatino Linotype" w:hAnsi="Palatino Linotype" w:cs="Arial"/>
          <w:bCs/>
          <w:color w:val="000000"/>
          <w:lang w:val="es-ES"/>
        </w:rPr>
      </w:pPr>
      <w:r w:rsidRPr="00A51BF6">
        <w:rPr>
          <w:rFonts w:ascii="Palatino Linotype" w:hAnsi="Palatino Linotype" w:cs="Arial"/>
          <w:bCs/>
          <w:color w:val="000000"/>
          <w:lang w:val="es-ES"/>
        </w:rPr>
        <w:t>Cabe destacar, que el ordenamiento legal en cita establece que todo registro contable y presupuestal deberá estar soportado con los documentos comprobatorios originales, los que deberán permanecer en custodia y conservación de la unidad administrativa correspondiente y a disposición del Órgano Superior de Fiscalización del Estado de México (OSFEM), por un término de cinco años contados a partir del ejercicio presupuestal siguiente al que corresponda.</w:t>
      </w:r>
    </w:p>
    <w:p w:rsidR="006903D6" w:rsidRPr="00A51BF6" w:rsidRDefault="006903D6" w:rsidP="009C63B2">
      <w:pPr>
        <w:spacing w:before="100" w:beforeAutospacing="1" w:after="100" w:afterAutospacing="1" w:line="360" w:lineRule="auto"/>
        <w:jc w:val="both"/>
        <w:rPr>
          <w:rFonts w:ascii="Palatino Linotype" w:hAnsi="Palatino Linotype" w:cs="Arial"/>
          <w:bCs/>
          <w:color w:val="000000"/>
          <w:lang w:val="es-ES"/>
        </w:rPr>
      </w:pPr>
      <w:r w:rsidRPr="00A51BF6">
        <w:rPr>
          <w:rFonts w:ascii="Palatino Linotype" w:hAnsi="Palatino Linotype" w:cs="Arial"/>
          <w:bCs/>
          <w:color w:val="000000"/>
          <w:lang w:val="es-ES"/>
        </w:rPr>
        <w:t xml:space="preserve">Atento a lo anterior, es de referir que, en términos del penúltimo párrafo del artículo 23 de la Ley de Transparencia y Acceso a la Información Pública del Estado de México y Municipios, es deber de los Sujetos Obligados hacer pública toda la información relativa a los montos y personas a quienes se entreguen recursos públicos. </w:t>
      </w:r>
    </w:p>
    <w:p w:rsidR="009B6C76" w:rsidRPr="00A51BF6" w:rsidRDefault="009C63B2" w:rsidP="009C63B2">
      <w:pPr>
        <w:spacing w:before="100" w:beforeAutospacing="1" w:after="100" w:afterAutospacing="1" w:line="360" w:lineRule="auto"/>
        <w:jc w:val="both"/>
        <w:rPr>
          <w:rFonts w:ascii="Palatino Linotype" w:hAnsi="Palatino Linotype" w:cs="Arial"/>
          <w:bCs/>
          <w:color w:val="000000"/>
          <w:lang w:val="es-ES"/>
        </w:rPr>
      </w:pPr>
      <w:r w:rsidRPr="00A51BF6">
        <w:rPr>
          <w:rFonts w:ascii="Palatino Linotype" w:hAnsi="Palatino Linotype" w:cs="Arial"/>
          <w:bCs/>
          <w:color w:val="000000"/>
          <w:lang w:val="es-ES"/>
        </w:rPr>
        <w:t xml:space="preserve">Por tal motivo, </w:t>
      </w:r>
      <w:r w:rsidRPr="00A51BF6">
        <w:rPr>
          <w:rFonts w:ascii="Palatino Linotype" w:hAnsi="Palatino Linotype" w:cs="Arial"/>
          <w:b/>
          <w:bCs/>
          <w:color w:val="000000"/>
          <w:lang w:val="es-ES"/>
        </w:rPr>
        <w:t>EL SUJETO OBLIGADO</w:t>
      </w:r>
      <w:r w:rsidRPr="00A51BF6">
        <w:rPr>
          <w:rFonts w:ascii="Palatino Linotype" w:hAnsi="Palatino Linotype" w:cs="Arial"/>
          <w:bCs/>
          <w:color w:val="000000"/>
          <w:lang w:val="es-ES"/>
        </w:rPr>
        <w:t xml:space="preserve"> pudiese satisfacer las solicitudes de acceso a la información marcadas con los puntos </w:t>
      </w:r>
      <w:r w:rsidRPr="00A51BF6">
        <w:rPr>
          <w:rFonts w:ascii="Palatino Linotype" w:eastAsia="Calibri" w:hAnsi="Palatino Linotype"/>
          <w:lang w:val="es-ES"/>
        </w:rPr>
        <w:t>3, 6 y 13</w:t>
      </w:r>
      <w:r w:rsidRPr="00A51BF6">
        <w:rPr>
          <w:rFonts w:ascii="Palatino Linotype" w:hAnsi="Palatino Linotype" w:cs="Arial"/>
          <w:bCs/>
          <w:color w:val="000000"/>
          <w:lang w:val="es-ES"/>
        </w:rPr>
        <w:t xml:space="preserve"> mediante la entrega de las facturas y comprobantes que la CFE haya expedido al Ayuntamiento</w:t>
      </w:r>
      <w:r w:rsidR="009B6C76" w:rsidRPr="00A51BF6">
        <w:rPr>
          <w:rFonts w:ascii="Palatino Linotype" w:hAnsi="Palatino Linotype" w:cs="Arial"/>
          <w:bCs/>
          <w:color w:val="000000"/>
          <w:lang w:val="es-ES"/>
        </w:rPr>
        <w:t>.</w:t>
      </w:r>
    </w:p>
    <w:p w:rsidR="009C63B2" w:rsidRPr="00A51BF6" w:rsidRDefault="009C63B2" w:rsidP="009C63B2">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Ahora bien, por cuanto hace a los numerales 5 y 14, relativos a la situación actual de adeudo del Municipio, por el concepto de consumo de energía eléctrica en el </w:t>
      </w:r>
      <w:r w:rsidRPr="00A51BF6">
        <w:rPr>
          <w:rFonts w:ascii="Palatino Linotype" w:hAnsi="Palatino Linotype" w:cs="Arial"/>
        </w:rPr>
        <w:lastRenderedPageBreak/>
        <w:t xml:space="preserve">alumbrado público; el adeudo  que se genera y si ya se pagó la diferencia entre facturación o DPA o si existe un saldo a favor del Municipio; </w:t>
      </w:r>
      <w:r w:rsidR="00341783" w:rsidRPr="00A51BF6">
        <w:rPr>
          <w:rFonts w:ascii="Palatino Linotype" w:hAnsi="Palatino Linotype" w:cs="Arial"/>
        </w:rPr>
        <w:t xml:space="preserve">en respuesta </w:t>
      </w:r>
      <w:r w:rsidR="00341783" w:rsidRPr="00A51BF6">
        <w:rPr>
          <w:rFonts w:ascii="Palatino Linotype" w:hAnsi="Palatino Linotype" w:cs="Arial"/>
          <w:b/>
        </w:rPr>
        <w:t xml:space="preserve">EL SUJETO OBLIGADO </w:t>
      </w:r>
      <w:r w:rsidR="00341783" w:rsidRPr="00A51BF6">
        <w:rPr>
          <w:rFonts w:ascii="Palatino Linotype" w:hAnsi="Palatino Linotype" w:cs="Arial"/>
        </w:rPr>
        <w:t xml:space="preserve">pretendió entregar las cantidades adeudadas; sin embargo, el formato resulta poco legible y no se tiene certeza de si todas las cantidades señaladas corresponden a deudos o bien ya fueron liquidadas por este; por lo que, a criterio de esta Ponencia Resolutora dicha información no colma los requerimientos del solicitante; razón por la cual, conviene traer a contexto </w:t>
      </w:r>
      <w:r w:rsidRPr="00A51BF6">
        <w:rPr>
          <w:rFonts w:ascii="Palatino Linotype" w:hAnsi="Palatino Linotype" w:cs="Arial"/>
        </w:rPr>
        <w:t>que</w:t>
      </w:r>
      <w:r w:rsidR="00341783" w:rsidRPr="00A51BF6">
        <w:rPr>
          <w:rFonts w:ascii="Palatino Linotype" w:hAnsi="Palatino Linotype" w:cs="Arial"/>
        </w:rPr>
        <w:t xml:space="preserve">, </w:t>
      </w:r>
      <w:r w:rsidRPr="00A51BF6">
        <w:rPr>
          <w:rFonts w:ascii="Palatino Linotype" w:hAnsi="Palatino Linotype" w:cs="Arial"/>
        </w:rPr>
        <w:t xml:space="preserve">el Código Financiero del Estado de México y Municipios, en la parte que nos interesa, dispone lo siguiente: </w:t>
      </w:r>
    </w:p>
    <w:p w:rsidR="009C63B2" w:rsidRPr="00A51BF6" w:rsidRDefault="009C63B2" w:rsidP="009C63B2">
      <w:pPr>
        <w:ind w:left="851" w:right="850"/>
        <w:jc w:val="both"/>
        <w:rPr>
          <w:rFonts w:ascii="Palatino Linotype" w:hAnsi="Palatino Linotype" w:cs="Arial"/>
          <w:b/>
          <w:i/>
          <w:sz w:val="22"/>
          <w:lang w:val="es-ES" w:eastAsia="es-MX"/>
        </w:rPr>
      </w:pPr>
      <w:r w:rsidRPr="00A51BF6">
        <w:rPr>
          <w:rFonts w:ascii="Palatino Linotype" w:hAnsi="Palatino Linotype" w:cs="Arial"/>
          <w:i/>
          <w:sz w:val="22"/>
          <w:lang w:val="es-ES" w:eastAsia="es-MX"/>
        </w:rPr>
        <w:t>“</w:t>
      </w:r>
      <w:r w:rsidRPr="00A51BF6">
        <w:rPr>
          <w:rFonts w:ascii="Palatino Linotype" w:hAnsi="Palatino Linotype" w:cs="Arial"/>
          <w:b/>
          <w:i/>
          <w:sz w:val="22"/>
          <w:lang w:val="es-ES" w:eastAsia="es-MX"/>
        </w:rPr>
        <w:t xml:space="preserve">Artículo 256.- </w:t>
      </w:r>
      <w:r w:rsidRPr="00A51BF6">
        <w:rPr>
          <w:rFonts w:ascii="Palatino Linotype" w:hAnsi="Palatino Linotype" w:cs="Arial"/>
          <w:i/>
          <w:sz w:val="22"/>
          <w:lang w:val="es-ES" w:eastAsia="es-MX"/>
        </w:rPr>
        <w:t xml:space="preserve">Para los efectos de este Código la </w:t>
      </w:r>
      <w:r w:rsidRPr="00A51BF6">
        <w:rPr>
          <w:rFonts w:ascii="Palatino Linotype" w:hAnsi="Palatino Linotype" w:cs="Arial"/>
          <w:b/>
          <w:i/>
          <w:sz w:val="22"/>
          <w:lang w:val="es-ES" w:eastAsia="es-MX"/>
        </w:rPr>
        <w:t>deuda pública está constituida por las obligaciones de pasivo directas, indirectas o contingentes, contraídas por los entes públicos.</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Artículo 258.-</w:t>
      </w:r>
      <w:r w:rsidRPr="00A51BF6">
        <w:rPr>
          <w:rFonts w:ascii="Palatino Linotype" w:hAnsi="Palatino Linotype" w:cs="Arial"/>
          <w:i/>
          <w:sz w:val="22"/>
          <w:lang w:val="es-ES" w:eastAsia="es-MX"/>
        </w:rPr>
        <w:t xml:space="preserve"> Para efectos de este título se entenderá por:</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I. Endeudamiento:</w:t>
      </w:r>
      <w:r w:rsidRPr="00A51BF6">
        <w:rPr>
          <w:rFonts w:ascii="Palatino Linotype" w:hAnsi="Palatino Linotype" w:cs="Arial"/>
          <w:i/>
          <w:sz w:val="22"/>
          <w:lang w:val="es-ES" w:eastAsia="es-MX"/>
        </w:rPr>
        <w:t xml:space="preserve"> Conjunto de financiamientos y obligaciones contratadas con instituciones financieras o empresas.</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VII. Saldo de la deuda pública:</w:t>
      </w:r>
      <w:r w:rsidRPr="00A51BF6">
        <w:rPr>
          <w:rFonts w:ascii="Palatino Linotype" w:hAnsi="Palatino Linotype" w:cs="Arial"/>
          <w:i/>
          <w:sz w:val="22"/>
          <w:lang w:val="es-ES" w:eastAsia="es-MX"/>
        </w:rPr>
        <w:t xml:space="preserve"> Es el adeudo total que se tiene a una fecha determinada.</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w:t>
      </w:r>
    </w:p>
    <w:p w:rsidR="009C63B2" w:rsidRPr="00A51BF6" w:rsidRDefault="009C63B2" w:rsidP="009C63B2">
      <w:pPr>
        <w:ind w:left="851" w:right="850"/>
        <w:jc w:val="both"/>
        <w:rPr>
          <w:rFonts w:ascii="Palatino Linotype" w:hAnsi="Palatino Linotype" w:cs="Arial"/>
          <w:b/>
          <w:i/>
          <w:sz w:val="22"/>
          <w:lang w:val="es-ES" w:eastAsia="es-MX"/>
        </w:rPr>
      </w:pPr>
      <w:r w:rsidRPr="00A51BF6">
        <w:rPr>
          <w:rFonts w:ascii="Palatino Linotype" w:hAnsi="Palatino Linotype" w:cs="Arial"/>
          <w:b/>
          <w:i/>
          <w:sz w:val="22"/>
          <w:lang w:val="es-ES" w:eastAsia="es-MX"/>
        </w:rPr>
        <w:t>Artículo 259.- La deuda pública se integra por:</w:t>
      </w:r>
    </w:p>
    <w:p w:rsidR="009C63B2" w:rsidRPr="00A51BF6" w:rsidRDefault="009C63B2" w:rsidP="009C63B2">
      <w:pPr>
        <w:ind w:left="851" w:right="850"/>
        <w:jc w:val="both"/>
        <w:rPr>
          <w:rFonts w:ascii="Palatino Linotype" w:hAnsi="Palatino Linotype" w:cs="Arial"/>
          <w:b/>
          <w:i/>
          <w:sz w:val="22"/>
          <w:lang w:val="es-ES" w:eastAsia="es-MX"/>
        </w:rPr>
      </w:pPr>
      <w:r w:rsidRPr="00A51BF6">
        <w:rPr>
          <w:rFonts w:ascii="Palatino Linotype" w:hAnsi="Palatino Linotype" w:cs="Arial"/>
          <w:b/>
          <w:i/>
          <w:sz w:val="22"/>
          <w:lang w:val="es-ES" w:eastAsia="es-MX"/>
        </w:rPr>
        <w:t>..</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 xml:space="preserve">II. </w:t>
      </w:r>
      <w:r w:rsidRPr="00A51BF6">
        <w:rPr>
          <w:rFonts w:ascii="Palatino Linotype" w:hAnsi="Palatino Linotype" w:cs="Arial"/>
          <w:b/>
          <w:i/>
          <w:sz w:val="22"/>
          <w:lang w:val="es-ES" w:eastAsia="es-MX"/>
        </w:rPr>
        <w:t>La deuda pública de los municipios:</w:t>
      </w:r>
      <w:r w:rsidRPr="00A51BF6">
        <w:rPr>
          <w:rFonts w:ascii="Palatino Linotype" w:hAnsi="Palatino Linotype" w:cs="Arial"/>
          <w:i/>
          <w:sz w:val="22"/>
          <w:lang w:val="es-ES" w:eastAsia="es-MX"/>
        </w:rPr>
        <w:t xml:space="preserve"> </w:t>
      </w:r>
    </w:p>
    <w:p w:rsidR="009C63B2" w:rsidRPr="00A51BF6" w:rsidRDefault="009C63B2" w:rsidP="009C63B2">
      <w:pPr>
        <w:ind w:left="851" w:right="850"/>
        <w:jc w:val="both"/>
        <w:rPr>
          <w:rFonts w:ascii="Palatino Linotype" w:hAnsi="Palatino Linotype" w:cs="Arial"/>
          <w:b/>
          <w:i/>
          <w:sz w:val="22"/>
          <w:lang w:val="es-ES" w:eastAsia="es-MX"/>
        </w:rPr>
      </w:pPr>
      <w:r w:rsidRPr="00A51BF6">
        <w:rPr>
          <w:rFonts w:ascii="Palatino Linotype" w:hAnsi="Palatino Linotype" w:cs="Arial"/>
          <w:b/>
          <w:i/>
          <w:sz w:val="22"/>
          <w:lang w:val="es-ES" w:eastAsia="es-MX"/>
        </w:rPr>
        <w:t>A).</w:t>
      </w:r>
      <w:r w:rsidRPr="00A51BF6">
        <w:rPr>
          <w:rFonts w:ascii="Palatino Linotype" w:hAnsi="Palatino Linotype" w:cs="Arial"/>
          <w:i/>
          <w:sz w:val="22"/>
          <w:lang w:val="es-ES" w:eastAsia="es-MX"/>
        </w:rPr>
        <w:t xml:space="preserve"> </w:t>
      </w:r>
      <w:r w:rsidRPr="00A51BF6">
        <w:rPr>
          <w:rFonts w:ascii="Palatino Linotype" w:hAnsi="Palatino Linotype" w:cs="Arial"/>
          <w:b/>
          <w:i/>
          <w:sz w:val="22"/>
          <w:lang w:val="es-ES" w:eastAsia="es-MX"/>
        </w:rPr>
        <w:t xml:space="preserve">Directa, la que contraten los ayuntamientos. </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B).</w:t>
      </w:r>
      <w:r w:rsidRPr="00A51BF6">
        <w:rPr>
          <w:rFonts w:ascii="Palatino Linotype" w:hAnsi="Palatino Linotype" w:cs="Arial"/>
          <w:i/>
          <w:sz w:val="22"/>
          <w:lang w:val="es-ES" w:eastAsia="es-MX"/>
        </w:rPr>
        <w:t xml:space="preserve"> Indirecta, la que contraten los organismos públicos descentralizados municipales, empresas de participación municipal mayoritaria y fideicomisos en los que el fideicomitente sea el propio ayuntamiento. </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C).</w:t>
      </w:r>
      <w:r w:rsidRPr="00A51BF6">
        <w:rPr>
          <w:rFonts w:ascii="Palatino Linotype" w:hAnsi="Palatino Linotype" w:cs="Arial"/>
          <w:i/>
          <w:sz w:val="22"/>
          <w:lang w:val="es-ES" w:eastAsia="es-MX"/>
        </w:rPr>
        <w:t xml:space="preserve"> Contingente, cualquier financiamiento sin fuente o garantía de pago definida, que sea asumida de manera solidaria o subsidiaria por los municipios con sus respectivos organismos descentralizados y empresas de participación municipal mayoritaria.</w:t>
      </w:r>
    </w:p>
    <w:p w:rsidR="009C63B2" w:rsidRPr="00A51BF6" w:rsidRDefault="009C63B2" w:rsidP="009C63B2">
      <w:pPr>
        <w:ind w:left="851" w:right="850"/>
        <w:jc w:val="both"/>
        <w:rPr>
          <w:rFonts w:ascii="Palatino Linotype" w:hAnsi="Palatino Linotype" w:cs="Arial"/>
          <w:i/>
          <w:sz w:val="22"/>
          <w:lang w:val="es-ES" w:eastAsia="es-MX"/>
        </w:rPr>
      </w:pP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Artículo 260.-</w:t>
      </w:r>
      <w:r w:rsidRPr="00A51BF6">
        <w:rPr>
          <w:rFonts w:ascii="Palatino Linotype" w:hAnsi="Palatino Linotype" w:cs="Arial"/>
          <w:i/>
          <w:sz w:val="22"/>
          <w:lang w:val="es-ES" w:eastAsia="es-MX"/>
        </w:rPr>
        <w:t xml:space="preserve"> En los términos del artículo 117 fracción VIII de la Constitución Política de los Estados Unidos Mexicanos </w:t>
      </w:r>
      <w:r w:rsidRPr="00A51BF6">
        <w:rPr>
          <w:rFonts w:ascii="Palatino Linotype" w:hAnsi="Palatino Linotype" w:cs="Arial"/>
          <w:b/>
          <w:i/>
          <w:sz w:val="22"/>
          <w:lang w:val="es-ES" w:eastAsia="es-MX"/>
        </w:rPr>
        <w:t xml:space="preserve">las obligaciones de deuda pública estarán destinadas </w:t>
      </w:r>
      <w:r w:rsidRPr="00A51BF6">
        <w:rPr>
          <w:rFonts w:ascii="Palatino Linotype" w:hAnsi="Palatino Linotype" w:cs="Arial"/>
          <w:i/>
          <w:sz w:val="22"/>
          <w:lang w:val="es-ES" w:eastAsia="es-MX"/>
        </w:rPr>
        <w:t xml:space="preserve">al financiamiento de inversiones públicas productivas; </w:t>
      </w:r>
      <w:r w:rsidRPr="00A51BF6">
        <w:rPr>
          <w:rFonts w:ascii="Palatino Linotype" w:hAnsi="Palatino Linotype" w:cs="Arial"/>
          <w:b/>
          <w:i/>
          <w:sz w:val="22"/>
          <w:lang w:val="es-ES" w:eastAsia="es-MX"/>
        </w:rPr>
        <w:t>a la prestación de servicios públicos</w:t>
      </w:r>
      <w:r w:rsidRPr="00A51BF6">
        <w:rPr>
          <w:rFonts w:ascii="Palatino Linotype" w:hAnsi="Palatino Linotype" w:cs="Arial"/>
          <w:i/>
          <w:sz w:val="22"/>
          <w:lang w:val="es-ES" w:eastAsia="es-MX"/>
        </w:rPr>
        <w:t xml:space="preserve"> que en forma directa o mediata generen recursos públicos, incluyendo sin limitar, la contratación de obligaciones de deuda para el pago </w:t>
      </w:r>
      <w:r w:rsidRPr="00A51BF6">
        <w:rPr>
          <w:rFonts w:ascii="Palatino Linotype" w:hAnsi="Palatino Linotype" w:cs="Arial"/>
          <w:i/>
          <w:sz w:val="22"/>
          <w:lang w:val="es-ES" w:eastAsia="es-MX"/>
        </w:rPr>
        <w:lastRenderedPageBreak/>
        <w:t>de pasivos anteriores o la reestructuración de pasivos a cargo del Estado y/o de los Municipios.”</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(Énfasis añadido)</w:t>
      </w:r>
    </w:p>
    <w:p w:rsidR="009C63B2" w:rsidRPr="00A51BF6" w:rsidRDefault="009C63B2" w:rsidP="009C63B2">
      <w:pPr>
        <w:spacing w:before="100" w:beforeAutospacing="1" w:after="100" w:afterAutospacing="1" w:line="360" w:lineRule="auto"/>
        <w:jc w:val="both"/>
        <w:rPr>
          <w:rFonts w:ascii="Palatino Linotype" w:hAnsi="Palatino Linotype"/>
          <w:lang w:val="es-ES"/>
        </w:rPr>
      </w:pPr>
      <w:r w:rsidRPr="00A51BF6">
        <w:rPr>
          <w:rFonts w:ascii="Palatino Linotype" w:hAnsi="Palatino Linotype"/>
          <w:lang w:val="es-ES"/>
        </w:rPr>
        <w:t xml:space="preserve">Es así que, la deuda pública es una obligación contraída por entes públicos; asimismo, es de señalar que la misma se encuentra contenida, de manera enunciativa más no limitativa, en el documento denominado </w:t>
      </w:r>
      <w:r w:rsidRPr="00A51BF6">
        <w:rPr>
          <w:rFonts w:ascii="Palatino Linotype" w:hAnsi="Palatino Linotype"/>
          <w:i/>
          <w:lang w:val="es-ES"/>
        </w:rPr>
        <w:t xml:space="preserve">“Estado Analítico de la Deuda y Otros Pasivos”, </w:t>
      </w:r>
      <w:r w:rsidRPr="00A51BF6">
        <w:rPr>
          <w:rFonts w:ascii="Palatino Linotype" w:hAnsi="Palatino Linotype"/>
          <w:lang w:val="es-ES"/>
        </w:rPr>
        <w:t xml:space="preserve">el cual, conforme al </w:t>
      </w:r>
      <w:r w:rsidRPr="00A51BF6">
        <w:rPr>
          <w:rFonts w:ascii="Palatino Linotype" w:hAnsi="Palatino Linotype" w:cs="Arial"/>
          <w:lang w:val="es-ES"/>
        </w:rPr>
        <w:t xml:space="preserve">Manual </w:t>
      </w:r>
      <w:r w:rsidRPr="00A51BF6">
        <w:rPr>
          <w:rFonts w:ascii="Palatino Linotype" w:hAnsi="Palatino Linotype"/>
          <w:lang w:val="es-ES"/>
        </w:rPr>
        <w:t>Único de Contabilidad Gubernamental para las Dependencias y Entidades Públicas del Gobierno y Municipios del Estado de México,</w:t>
      </w:r>
      <w:r w:rsidRPr="00A51BF6">
        <w:rPr>
          <w:rStyle w:val="Refdenotaalpie"/>
          <w:rFonts w:ascii="Palatino Linotype" w:hAnsi="Palatino Linotype"/>
        </w:rPr>
        <w:footnoteReference w:id="4"/>
      </w:r>
      <w:r w:rsidRPr="00A51BF6">
        <w:rPr>
          <w:rFonts w:ascii="Palatino Linotype" w:hAnsi="Palatino Linotype"/>
        </w:rPr>
        <w:t xml:space="preserve"> establece que </w:t>
      </w:r>
      <w:r w:rsidRPr="00A51BF6">
        <w:rPr>
          <w:rFonts w:ascii="Palatino Linotype" w:hAnsi="Palatino Linotype"/>
          <w:lang w:val="es-ES"/>
        </w:rPr>
        <w:t xml:space="preserve">entes públicos deben generar y presentar en sus estados e información contable; asimismo, refiere como finalidad lo siguiente: </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w:t>
      </w:r>
      <w:r w:rsidRPr="00A51BF6">
        <w:rPr>
          <w:rFonts w:ascii="Palatino Linotype" w:hAnsi="Palatino Linotype" w:cs="Arial"/>
          <w:b/>
          <w:i/>
          <w:sz w:val="22"/>
          <w:lang w:val="es-ES" w:eastAsia="es-MX"/>
        </w:rPr>
        <w:t>ESTADO ANALÍTICO DE LA DEUDA Y OTROS PASIVOS FINALIDAD</w:t>
      </w:r>
      <w:r w:rsidRPr="00A51BF6">
        <w:rPr>
          <w:rFonts w:ascii="Palatino Linotype" w:hAnsi="Palatino Linotype" w:cs="Arial"/>
          <w:i/>
          <w:sz w:val="22"/>
          <w:lang w:val="es-ES" w:eastAsia="es-MX"/>
        </w:rPr>
        <w:t xml:space="preserve"> </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 xml:space="preserve">Su finalidad es mostrar las obligaciones insolutas de los entes públicos, al inicio y fin de cada periodo, derivadas del endeudamiento interno y externo, realizado en el marco de la legislación vigente, así como suministrar a los usuarios información analítica relevante sobre la variación de la deuda del ente público entre el inicio y el fin del período, ya sea que tenga su origen en operaciones de crédito público (deuda pública) o en cualquier otro tipo de endeudamiento. A las operaciones de crédito público, se las muestra clasificadas según su plazo, en interna o externa, originadas en la colocación de títulos y valores o en contratos de préstamo y, en este último, según el país o institución acreedora. Finalmente el cuadro presenta la cuenta “Otros Pasivos” que de presentarse en forma agregada debe reflejar la suma de todo el endeudamiento restante del ente, es decir, el no originado en operaciones de crédito público. </w:t>
      </w:r>
    </w:p>
    <w:p w:rsidR="009C63B2" w:rsidRPr="00A51BF6" w:rsidRDefault="009C63B2" w:rsidP="009C63B2">
      <w:pPr>
        <w:ind w:left="851" w:right="850"/>
        <w:jc w:val="both"/>
        <w:rPr>
          <w:rFonts w:ascii="Palatino Linotype" w:hAnsi="Palatino Linotype" w:cs="Arial"/>
          <w:i/>
          <w:sz w:val="22"/>
          <w:lang w:val="es-ES" w:eastAsia="es-MX"/>
        </w:rPr>
      </w:pP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b/>
          <w:i/>
          <w:sz w:val="22"/>
          <w:lang w:val="es-ES" w:eastAsia="es-MX"/>
        </w:rPr>
        <w:t>CUERPO DEL FORMATO</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 xml:space="preserve">Moneda de Contratación: Representa la divisa en la cual fue contratado el financiamiento. </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 xml:space="preserve">Institución o País Acreedor: Representa el nombre del país o institución con la cual se contrató el financiamiento. </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 xml:space="preserve">Saldo Inicial del Periodo: Representa el saldo final del periodo inmediato anterior. </w:t>
      </w:r>
    </w:p>
    <w:p w:rsidR="009C63B2" w:rsidRPr="00A51BF6" w:rsidRDefault="009C63B2" w:rsidP="009C63B2">
      <w:pPr>
        <w:ind w:left="851" w:right="850"/>
        <w:jc w:val="both"/>
        <w:rPr>
          <w:rFonts w:ascii="Palatino Linotype" w:hAnsi="Palatino Linotype" w:cs="Arial"/>
          <w:i/>
          <w:sz w:val="22"/>
          <w:lang w:val="es-ES" w:eastAsia="es-MX"/>
        </w:rPr>
      </w:pPr>
      <w:r w:rsidRPr="00A51BF6">
        <w:rPr>
          <w:rFonts w:ascii="Palatino Linotype" w:hAnsi="Palatino Linotype" w:cs="Arial"/>
          <w:i/>
          <w:sz w:val="22"/>
          <w:lang w:val="es-ES" w:eastAsia="es-MX"/>
        </w:rPr>
        <w:t>Saldo Final del Periodo: Representa el saldo final del periodo.”</w:t>
      </w:r>
    </w:p>
    <w:p w:rsidR="009C63B2" w:rsidRPr="00A51BF6" w:rsidRDefault="009C63B2" w:rsidP="009C63B2">
      <w:pPr>
        <w:spacing w:before="100" w:beforeAutospacing="1" w:after="100" w:afterAutospacing="1" w:line="360" w:lineRule="auto"/>
        <w:jc w:val="both"/>
        <w:rPr>
          <w:rFonts w:ascii="Palatino Linotype" w:hAnsi="Palatino Linotype" w:cs="Arial"/>
          <w:color w:val="000000"/>
          <w:lang w:val="es-ES"/>
        </w:rPr>
      </w:pPr>
      <w:r w:rsidRPr="00A51BF6">
        <w:rPr>
          <w:rFonts w:ascii="Palatino Linotype" w:hAnsi="Palatino Linotype"/>
          <w:lang w:val="es-ES"/>
        </w:rPr>
        <w:lastRenderedPageBreak/>
        <w:t xml:space="preserve">Ahora bien, es de señalar que </w:t>
      </w:r>
      <w:r w:rsidRPr="00A51BF6">
        <w:rPr>
          <w:rFonts w:ascii="Palatino Linotype" w:hAnsi="Palatino Linotype"/>
          <w:b/>
        </w:rPr>
        <w:t xml:space="preserve">EL SUJETO OBLIGADO </w:t>
      </w:r>
      <w:r w:rsidRPr="00A51BF6">
        <w:rPr>
          <w:rFonts w:ascii="Palatino Linotype" w:hAnsi="Palatino Linotype"/>
        </w:rPr>
        <w:t xml:space="preserve">se encuentra constreñido a entregar mensualmente el </w:t>
      </w:r>
      <w:r w:rsidRPr="00A51BF6">
        <w:rPr>
          <w:rFonts w:ascii="Palatino Linotype" w:hAnsi="Palatino Linotype"/>
          <w:i/>
          <w:lang w:val="es-ES"/>
        </w:rPr>
        <w:t>“Estado Analítico de la Deuda y Otros Pasivos”</w:t>
      </w:r>
      <w:r w:rsidRPr="00A51BF6">
        <w:rPr>
          <w:rFonts w:ascii="Palatino Linotype" w:hAnsi="Palatino Linotype"/>
        </w:rPr>
        <w:t>al OSFEM; correspondiéndole a éste</w:t>
      </w:r>
      <w:r w:rsidRPr="00A51BF6">
        <w:rPr>
          <w:rFonts w:ascii="Palatino Linotype" w:hAnsi="Palatino Linotype" w:cs="Arial"/>
          <w:color w:val="000000"/>
          <w:lang w:val="es-ES"/>
        </w:rPr>
        <w:t xml:space="preserve">, la facultad de emitir los </w:t>
      </w:r>
      <w:r w:rsidRPr="00A51BF6">
        <w:rPr>
          <w:rFonts w:ascii="Palatino Linotype" w:hAnsi="Palatino Linotype" w:cs="Arial"/>
          <w:b/>
          <w:color w:val="000000"/>
          <w:lang w:val="es-ES"/>
        </w:rPr>
        <w:t>Lineamientos para la Integración del Informe Mensual</w:t>
      </w:r>
      <w:r w:rsidRPr="00A51BF6">
        <w:rPr>
          <w:rFonts w:ascii="Palatino Linotype" w:hAnsi="Palatino Linotype" w:cs="Arial"/>
          <w:color w:val="000000"/>
          <w:lang w:val="es-ES"/>
        </w:rPr>
        <w:t xml:space="preserve">, en términos la fracción XI del artículo 8 de la Ley de Fiscalización Superior del Estado de México, que señala: </w:t>
      </w:r>
    </w:p>
    <w:p w:rsidR="009C63B2" w:rsidRPr="00A51BF6" w:rsidRDefault="009C63B2" w:rsidP="009C63B2">
      <w:pPr>
        <w:ind w:left="851" w:right="901"/>
        <w:jc w:val="both"/>
        <w:rPr>
          <w:rFonts w:ascii="Palatino Linotype" w:hAnsi="Palatino Linotype" w:cs="Arial"/>
          <w:i/>
          <w:sz w:val="22"/>
          <w:szCs w:val="22"/>
          <w:lang w:val="es-ES"/>
        </w:rPr>
      </w:pPr>
      <w:r w:rsidRPr="00A51BF6">
        <w:rPr>
          <w:rFonts w:ascii="Palatino Linotype" w:hAnsi="Palatino Linotype" w:cs="Arial"/>
          <w:b/>
          <w:bCs/>
          <w:i/>
          <w:sz w:val="22"/>
          <w:szCs w:val="22"/>
          <w:lang w:val="es-ES"/>
        </w:rPr>
        <w:t xml:space="preserve">“Artículo 8. </w:t>
      </w:r>
      <w:r w:rsidRPr="00A51BF6">
        <w:rPr>
          <w:rFonts w:ascii="Palatino Linotype" w:hAnsi="Palatino Linotype" w:cs="Arial"/>
          <w:i/>
          <w:sz w:val="22"/>
          <w:szCs w:val="22"/>
          <w:lang w:val="es-ES"/>
        </w:rPr>
        <w:t xml:space="preserve">El Órgano Superior tendrá las </w:t>
      </w:r>
      <w:r w:rsidRPr="00A51BF6">
        <w:rPr>
          <w:rFonts w:ascii="Palatino Linotype" w:hAnsi="Palatino Linotype" w:cs="Arial"/>
          <w:i/>
          <w:sz w:val="22"/>
          <w:szCs w:val="22"/>
          <w:lang w:val="es-ES" w:eastAsia="es-MX"/>
        </w:rPr>
        <w:t>siguientes</w:t>
      </w:r>
      <w:r w:rsidRPr="00A51BF6">
        <w:rPr>
          <w:rFonts w:ascii="Palatino Linotype" w:hAnsi="Palatino Linotype" w:cs="Arial"/>
          <w:i/>
          <w:sz w:val="22"/>
          <w:szCs w:val="22"/>
          <w:lang w:val="es-ES"/>
        </w:rPr>
        <w:t xml:space="preserve"> atribuciones:</w:t>
      </w:r>
    </w:p>
    <w:p w:rsidR="009C63B2" w:rsidRPr="00A51BF6" w:rsidRDefault="009C63B2" w:rsidP="009C63B2">
      <w:pPr>
        <w:ind w:left="851" w:right="901"/>
        <w:jc w:val="both"/>
        <w:rPr>
          <w:rFonts w:ascii="Palatino Linotype" w:hAnsi="Palatino Linotype" w:cs="Arial"/>
          <w:i/>
          <w:sz w:val="22"/>
          <w:szCs w:val="22"/>
          <w:lang w:val="es-ES"/>
        </w:rPr>
      </w:pPr>
      <w:r w:rsidRPr="00A51BF6">
        <w:rPr>
          <w:rFonts w:ascii="Palatino Linotype" w:hAnsi="Palatino Linotype" w:cs="Arial"/>
          <w:i/>
          <w:sz w:val="22"/>
          <w:szCs w:val="22"/>
          <w:lang w:val="es-ES"/>
        </w:rPr>
        <w:t>…</w:t>
      </w:r>
    </w:p>
    <w:p w:rsidR="009C63B2" w:rsidRPr="00A51BF6" w:rsidRDefault="009C63B2" w:rsidP="009C63B2">
      <w:pPr>
        <w:ind w:left="851" w:right="901"/>
        <w:jc w:val="both"/>
        <w:rPr>
          <w:rFonts w:ascii="Palatino Linotype" w:hAnsi="Palatino Linotype" w:cs="Arial"/>
          <w:color w:val="000000"/>
          <w:sz w:val="22"/>
          <w:szCs w:val="22"/>
          <w:lang w:val="es-ES"/>
        </w:rPr>
      </w:pPr>
      <w:r w:rsidRPr="00A51BF6">
        <w:rPr>
          <w:rFonts w:ascii="Palatino Linotype" w:hAnsi="Palatino Linotype" w:cs="Arial"/>
          <w:b/>
          <w:bCs/>
          <w:i/>
          <w:sz w:val="22"/>
          <w:szCs w:val="22"/>
          <w:lang w:val="es-ES"/>
        </w:rPr>
        <w:t xml:space="preserve">XI. </w:t>
      </w:r>
      <w:r w:rsidRPr="00A51BF6">
        <w:rPr>
          <w:rFonts w:ascii="Palatino Linotype" w:hAnsi="Palatino Linotype" w:cs="Arial"/>
          <w:i/>
          <w:sz w:val="22"/>
          <w:szCs w:val="22"/>
          <w:lang w:val="es-ES"/>
        </w:rPr>
        <w:t>Establecer los lineamientos, criterios, procedimientos, métodos y sistemas para las acciones de control y evaluación, necesarios para la fiscalización de las cuentas públicas y los informes trimestrales;</w:t>
      </w:r>
      <w:r w:rsidRPr="00A51BF6">
        <w:rPr>
          <w:rFonts w:ascii="Palatino Linotype" w:hAnsi="Palatino Linotype" w:cs="Arial"/>
          <w:color w:val="000000"/>
          <w:sz w:val="22"/>
          <w:szCs w:val="22"/>
          <w:lang w:val="es-ES"/>
        </w:rPr>
        <w:t>”</w:t>
      </w:r>
    </w:p>
    <w:p w:rsidR="009C63B2" w:rsidRPr="00A51BF6" w:rsidRDefault="009C63B2" w:rsidP="009C63B2">
      <w:pPr>
        <w:spacing w:before="100" w:beforeAutospacing="1" w:after="100" w:afterAutospacing="1" w:line="360" w:lineRule="auto"/>
        <w:jc w:val="both"/>
        <w:rPr>
          <w:rFonts w:ascii="Palatino Linotype" w:hAnsi="Palatino Linotype"/>
          <w:lang w:val="es-ES"/>
        </w:rPr>
      </w:pPr>
      <w:r w:rsidRPr="00A51BF6">
        <w:rPr>
          <w:rFonts w:ascii="Palatino Linotype" w:hAnsi="Palatino Linotype"/>
          <w:lang w:val="es-ES"/>
        </w:rPr>
        <w:t>De esta forma, el OSFEM, emite anualmente los Lineamientos para definir los criterios, formatos y documentación necesaria para presentar los informes mensuales, dentro de los cuales destacan –en relación con el análisis que nos ocupa-, el disco 1, relativo a información Patrimonial.</w:t>
      </w:r>
    </w:p>
    <w:p w:rsidR="009C63B2" w:rsidRPr="00A51BF6" w:rsidRDefault="009C63B2" w:rsidP="009C63B2">
      <w:pPr>
        <w:spacing w:before="100" w:beforeAutospacing="1" w:after="100" w:afterAutospacing="1" w:line="360" w:lineRule="auto"/>
        <w:jc w:val="both"/>
        <w:rPr>
          <w:rFonts w:ascii="Palatino Linotype" w:hAnsi="Palatino Linotype"/>
          <w:lang w:val="es-ES"/>
        </w:rPr>
      </w:pPr>
      <w:r w:rsidRPr="00A51BF6">
        <w:rPr>
          <w:rFonts w:ascii="Palatino Linotype" w:hAnsi="Palatino Linotype"/>
          <w:lang w:val="es-ES"/>
        </w:rPr>
        <w:t>Estos lineamientos son de observancia general para todos los servidores públicos de las entidades fiscalizables que desempeñen un empleo, cargo o comisión, de cualquier naturaleza en la administración pública municipal y que manejen recursos públicos como lo son los municipios; en atención a ello, el informe mensual deberá ser presentado al OSFEM, dentro de los 20 días posteriores al término del mes correspondiente, de acuerdo a lo establecido en el artículo 32 de la Ley de Fiscalización Superior del Estado de México, que a la letra dice:</w:t>
      </w:r>
    </w:p>
    <w:p w:rsidR="009C63B2" w:rsidRPr="00A51BF6" w:rsidRDefault="009C63B2" w:rsidP="009C63B2">
      <w:pPr>
        <w:ind w:left="851" w:right="850"/>
        <w:jc w:val="both"/>
        <w:rPr>
          <w:rFonts w:ascii="Palatino Linotype" w:hAnsi="Palatino Linotype"/>
          <w:i/>
          <w:sz w:val="22"/>
          <w:szCs w:val="22"/>
          <w:lang w:val="es-ES"/>
        </w:rPr>
      </w:pPr>
      <w:r w:rsidRPr="00A51BF6">
        <w:rPr>
          <w:rFonts w:ascii="Palatino Linotype" w:hAnsi="Palatino Linotype"/>
          <w:b/>
          <w:i/>
          <w:sz w:val="22"/>
          <w:szCs w:val="22"/>
          <w:lang w:val="es-ES"/>
        </w:rPr>
        <w:t>“Artículo 32.-</w:t>
      </w:r>
      <w:r w:rsidRPr="00A51BF6">
        <w:rPr>
          <w:rFonts w:ascii="Palatino Linotype" w:hAnsi="Palatino Linotype"/>
          <w:i/>
          <w:sz w:val="22"/>
          <w:szCs w:val="22"/>
          <w:lang w:val="es-ES"/>
        </w:rPr>
        <w:t xml:space="preserve"> El Gobernador </w:t>
      </w:r>
      <w:r w:rsidRPr="00A51BF6">
        <w:rPr>
          <w:rFonts w:ascii="Palatino Linotype" w:hAnsi="Palatino Linotype" w:cs="Arial"/>
          <w:i/>
          <w:sz w:val="22"/>
          <w:szCs w:val="22"/>
          <w:lang w:val="es-ES"/>
        </w:rPr>
        <w:t>del</w:t>
      </w:r>
      <w:r w:rsidRPr="00A51BF6">
        <w:rPr>
          <w:rFonts w:ascii="Palatino Linotype" w:hAnsi="Palatino Linotype"/>
          <w:i/>
          <w:sz w:val="22"/>
          <w:szCs w:val="22"/>
          <w:lang w:val="es-ES"/>
        </w:rPr>
        <w:t xml:space="preserve"> Estado, por conducto del titular de la dependencia competente, presentará a la Legislatura la cuenta pública del Gobierno del Estado del ejercicio fiscal inmediato anterior, a más tardar el quince de mayo de cada año.</w:t>
      </w:r>
    </w:p>
    <w:p w:rsidR="009C63B2" w:rsidRPr="00A51BF6" w:rsidRDefault="009C63B2" w:rsidP="009C63B2">
      <w:pPr>
        <w:ind w:left="851" w:right="850"/>
        <w:jc w:val="both"/>
        <w:rPr>
          <w:rFonts w:ascii="Palatino Linotype" w:hAnsi="Palatino Linotype"/>
          <w:b/>
          <w:i/>
          <w:sz w:val="22"/>
          <w:szCs w:val="22"/>
          <w:u w:val="single"/>
          <w:lang w:val="es-ES"/>
        </w:rPr>
      </w:pPr>
      <w:r w:rsidRPr="00A51BF6">
        <w:rPr>
          <w:rFonts w:ascii="Palatino Linotype" w:hAnsi="Palatino Linotype"/>
          <w:b/>
          <w:i/>
          <w:sz w:val="22"/>
          <w:szCs w:val="22"/>
          <w:lang w:val="es-ES"/>
        </w:rPr>
        <w:t>Los Presidentes Municipales presentarán a la Legislatura las cuentas públicas anuales</w:t>
      </w:r>
      <w:r w:rsidRPr="00A51BF6">
        <w:rPr>
          <w:rFonts w:ascii="Palatino Linotype" w:hAnsi="Palatino Linotype"/>
          <w:i/>
          <w:sz w:val="22"/>
          <w:szCs w:val="22"/>
          <w:lang w:val="es-ES"/>
        </w:rPr>
        <w:t xml:space="preserve"> de sus respectivos municipios, del ejercicio fiscal inmediato anterior, </w:t>
      </w:r>
      <w:r w:rsidRPr="00A51BF6">
        <w:rPr>
          <w:rFonts w:ascii="Palatino Linotype" w:hAnsi="Palatino Linotype"/>
          <w:b/>
          <w:i/>
          <w:sz w:val="22"/>
          <w:szCs w:val="22"/>
          <w:lang w:val="es-ES"/>
        </w:rPr>
        <w:t>dentro de los quince primeros días del mes de marzo</w:t>
      </w:r>
      <w:r w:rsidRPr="00A51BF6">
        <w:rPr>
          <w:rFonts w:ascii="Palatino Linotype" w:hAnsi="Palatino Linotype"/>
          <w:i/>
          <w:sz w:val="22"/>
          <w:szCs w:val="22"/>
          <w:lang w:val="es-ES"/>
        </w:rPr>
        <w:t xml:space="preserve"> de cada año; </w:t>
      </w:r>
      <w:r w:rsidRPr="00A51BF6">
        <w:rPr>
          <w:rFonts w:ascii="Palatino Linotype" w:hAnsi="Palatino Linotype"/>
          <w:b/>
          <w:i/>
          <w:sz w:val="22"/>
          <w:szCs w:val="22"/>
          <w:lang w:val="es-ES"/>
        </w:rPr>
        <w:lastRenderedPageBreak/>
        <w:t>asimism</w:t>
      </w:r>
      <w:r w:rsidRPr="00A51BF6">
        <w:rPr>
          <w:rFonts w:ascii="Palatino Linotype" w:hAnsi="Palatino Linotype"/>
          <w:i/>
          <w:sz w:val="22"/>
          <w:szCs w:val="22"/>
          <w:lang w:val="es-ES"/>
        </w:rPr>
        <w:t xml:space="preserve">o, </w:t>
      </w:r>
      <w:r w:rsidRPr="00A51BF6">
        <w:rPr>
          <w:rFonts w:ascii="Palatino Linotype" w:hAnsi="Palatino Linotype"/>
          <w:b/>
          <w:i/>
          <w:sz w:val="22"/>
          <w:szCs w:val="22"/>
          <w:u w:val="single"/>
          <w:lang w:val="es-ES"/>
        </w:rPr>
        <w:t>los informes mensuales</w:t>
      </w:r>
      <w:r w:rsidRPr="00A51BF6">
        <w:rPr>
          <w:rFonts w:ascii="Palatino Linotype" w:hAnsi="Palatino Linotype"/>
          <w:i/>
          <w:sz w:val="22"/>
          <w:szCs w:val="22"/>
          <w:lang w:val="es-ES"/>
        </w:rPr>
        <w:t xml:space="preserve"> los deberán presentar </w:t>
      </w:r>
      <w:r w:rsidRPr="00A51BF6">
        <w:rPr>
          <w:rFonts w:ascii="Palatino Linotype" w:hAnsi="Palatino Linotype"/>
          <w:b/>
          <w:i/>
          <w:sz w:val="22"/>
          <w:szCs w:val="22"/>
          <w:u w:val="single"/>
          <w:lang w:val="es-ES"/>
        </w:rPr>
        <w:t>dentro de los veinte días posteriores al término del mes correspondiente.”</w:t>
      </w:r>
    </w:p>
    <w:p w:rsidR="009C63B2" w:rsidRPr="00A51BF6" w:rsidRDefault="009C63B2" w:rsidP="009C63B2">
      <w:pPr>
        <w:spacing w:before="100" w:beforeAutospacing="1" w:after="100" w:afterAutospacing="1" w:line="360" w:lineRule="auto"/>
        <w:ind w:right="-91"/>
        <w:jc w:val="both"/>
        <w:rPr>
          <w:rFonts w:ascii="Palatino Linotype" w:hAnsi="Palatino Linotype"/>
          <w:lang w:val="es-ES"/>
        </w:rPr>
      </w:pPr>
      <w:r w:rsidRPr="00A51BF6">
        <w:rPr>
          <w:rFonts w:ascii="Palatino Linotype" w:hAnsi="Palatino Linotype"/>
          <w:lang w:val="es-ES"/>
        </w:rPr>
        <w:t xml:space="preserve">La información </w:t>
      </w:r>
      <w:r w:rsidRPr="00A51BF6">
        <w:rPr>
          <w:rFonts w:ascii="Palatino Linotype" w:hAnsi="Palatino Linotype"/>
          <w:b/>
          <w:lang w:val="es-ES"/>
        </w:rPr>
        <w:t>documental comprobatoria</w:t>
      </w:r>
      <w:r w:rsidRPr="00A51BF6">
        <w:rPr>
          <w:rFonts w:ascii="Palatino Linotype" w:hAnsi="Palatino Linotype"/>
          <w:lang w:val="es-ES"/>
        </w:rPr>
        <w:t xml:space="preserve">, </w:t>
      </w:r>
      <w:r w:rsidRPr="00A51BF6">
        <w:rPr>
          <w:rFonts w:ascii="Palatino Linotype" w:hAnsi="Palatino Linotype"/>
          <w:b/>
          <w:lang w:val="es-ES"/>
        </w:rPr>
        <w:t>deberá conservarse en los archivos de la entidad fiscalizada –Municipio</w:t>
      </w:r>
      <w:r w:rsidRPr="00A51BF6">
        <w:rPr>
          <w:rFonts w:ascii="Palatino Linotype" w:hAnsi="Palatino Linotype"/>
          <w:lang w:val="es-ES"/>
        </w:rPr>
        <w:t>-, en original y debidamente integrada, en términos de los lineamientos de referencia, pues son susceptibles de revisión directa por el  OSFEM.</w:t>
      </w:r>
    </w:p>
    <w:p w:rsidR="009C63B2" w:rsidRPr="00A51BF6" w:rsidRDefault="00A51BF6" w:rsidP="009C63B2">
      <w:pPr>
        <w:spacing w:before="100" w:beforeAutospacing="1" w:after="100" w:afterAutospacing="1" w:line="360" w:lineRule="auto"/>
        <w:jc w:val="both"/>
        <w:rPr>
          <w:rFonts w:ascii="Palatino Linotype" w:hAnsi="Palatino Linotype"/>
          <w:color w:val="000000"/>
          <w:lang w:val="es-ES"/>
        </w:rPr>
      </w:pPr>
      <w:r w:rsidRPr="00A51BF6">
        <w:rPr>
          <w:rFonts w:ascii="Palatino Linotype" w:hAnsi="Palatino Linotype"/>
          <w:noProof/>
          <w:lang w:eastAsia="es-MX"/>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2736850</wp:posOffset>
                </wp:positionV>
                <wp:extent cx="5753100" cy="3448050"/>
                <wp:effectExtent l="0" t="0" r="19050" b="19050"/>
                <wp:wrapNone/>
                <wp:docPr id="35"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34480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786030" id="_x0000_t32" coordsize="21600,21600" o:spt="32" o:oned="t" path="m,l21600,21600e" filled="f">
                <v:path arrowok="t" fillok="f" o:connecttype="none"/>
                <o:lock v:ext="edit" shapetype="t"/>
              </v:shapetype>
              <v:shape id="AutoShape 13" o:spid="_x0000_s1026" type="#_x0000_t32" style="position:absolute;margin-left:401.8pt;margin-top:215.5pt;width:453pt;height:271.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" strokeweight="1.5pt">
                <w10:wrap anchorx="margin"/>
              </v:shape>
            </w:pict>
          </mc:Fallback>
        </mc:AlternateContent>
      </w:r>
      <w:r w:rsidR="009C63B2" w:rsidRPr="00A51BF6">
        <w:rPr>
          <w:rFonts w:ascii="Palatino Linotype" w:hAnsi="Palatino Linotype"/>
          <w:lang w:val="es-ES"/>
        </w:rPr>
        <w:t xml:space="preserve">Atento a lo anterior, a manera de ejemplo los </w:t>
      </w:r>
      <w:r w:rsidR="009C63B2" w:rsidRPr="00A51BF6">
        <w:rPr>
          <w:rFonts w:ascii="Palatino Linotype" w:hAnsi="Palatino Linotype"/>
          <w:color w:val="000000"/>
          <w:lang w:val="es-ES"/>
        </w:rPr>
        <w:t>Lineamientos para la Integración</w:t>
      </w:r>
      <w:r w:rsidR="009C63B2" w:rsidRPr="00A51BF6">
        <w:rPr>
          <w:rFonts w:ascii="Palatino Linotype" w:hAnsi="Palatino Linotype"/>
          <w:color w:val="000000"/>
          <w:lang w:val="es-ES"/>
        </w:rPr>
        <w:br/>
        <w:t>del Informe Mensual Municipal 2019, visibles en la página oficial de dicho Órgano</w:t>
      </w:r>
      <w:r w:rsidR="009C63B2" w:rsidRPr="00A51BF6">
        <w:rPr>
          <w:rFonts w:ascii="Palatino Linotype" w:hAnsi="Palatino Linotype"/>
          <w:color w:val="000000"/>
          <w:lang w:val="es-ES"/>
        </w:rPr>
        <w:br/>
        <w:t xml:space="preserve">en el link </w:t>
      </w:r>
      <w:hyperlink r:id="rId29" w:history="1">
        <w:r w:rsidR="009C63B2" w:rsidRPr="00A51BF6">
          <w:rPr>
            <w:rStyle w:val="Hipervnculo"/>
            <w:rFonts w:ascii="Palatino Linotype" w:hAnsi="Palatino Linotype"/>
          </w:rPr>
          <w:t>https://www.osfem.gob.mx/04_Normatividad/doc/Normatividad/2019/19.-LineamInfMensualMpal_2019.pdf</w:t>
        </w:r>
      </w:hyperlink>
      <w:r w:rsidR="009C63B2" w:rsidRPr="00A51BF6">
        <w:rPr>
          <w:rStyle w:val="Hipervnculo"/>
          <w:rFonts w:ascii="Palatino Linotype" w:hAnsi="Palatino Linotype"/>
        </w:rPr>
        <w:t>,</w:t>
      </w:r>
      <w:r w:rsidR="009C63B2" w:rsidRPr="00A51BF6">
        <w:rPr>
          <w:rFonts w:ascii="Palatino Linotype" w:hAnsi="Palatino Linotype"/>
          <w:color w:val="000000"/>
          <w:spacing w:val="-20"/>
          <w:lang w:val="es-ES"/>
        </w:rPr>
        <w:t xml:space="preserve"> </w:t>
      </w:r>
      <w:r w:rsidR="009C63B2" w:rsidRPr="00A51BF6">
        <w:rPr>
          <w:rFonts w:ascii="Palatino Linotype" w:hAnsi="Palatino Linotype"/>
          <w:color w:val="000000"/>
          <w:lang w:val="es-ES"/>
        </w:rPr>
        <w:t xml:space="preserve">se destaca que, dentro de los informes mensuales que los Ayuntamientos tienen la obligación de rendir, se tiene contemplado precisamente la presentación del </w:t>
      </w:r>
      <w:r w:rsidR="009C63B2" w:rsidRPr="00A51BF6">
        <w:rPr>
          <w:rFonts w:ascii="Palatino Linotype" w:hAnsi="Palatino Linotype" w:cs="Arial"/>
          <w:bCs/>
          <w:lang w:val="es-ES"/>
        </w:rPr>
        <w:t>Estado Analítico de la Deuda y Otros Pasivos</w:t>
      </w:r>
      <w:r w:rsidR="009C63B2" w:rsidRPr="00A51BF6">
        <w:rPr>
          <w:rFonts w:ascii="Palatino Linotype" w:hAnsi="Palatino Linotype"/>
          <w:color w:val="000000"/>
          <w:lang w:val="es-ES"/>
        </w:rPr>
        <w:t xml:space="preserve">; </w:t>
      </w:r>
      <w:r w:rsidR="009C63B2" w:rsidRPr="00A51BF6">
        <w:rPr>
          <w:rFonts w:ascii="Palatino Linotype" w:hAnsi="Palatino Linotype" w:cs="Arial"/>
          <w:lang w:val="es-ES"/>
        </w:rPr>
        <w:t>d</w:t>
      </w:r>
      <w:r w:rsidR="009C63B2" w:rsidRPr="00A51BF6">
        <w:rPr>
          <w:rFonts w:ascii="Palatino Linotype" w:hAnsi="Palatino Linotype" w:cs="Arial"/>
          <w:bCs/>
          <w:lang w:val="es-ES"/>
        </w:rPr>
        <w:t xml:space="preserve">e tal manera, que el mismo constituye un soporte documental que la información solicitada, obra en los archivos del </w:t>
      </w:r>
      <w:r w:rsidR="009C63B2" w:rsidRPr="00A51BF6">
        <w:rPr>
          <w:rFonts w:ascii="Palatino Linotype" w:hAnsi="Palatino Linotype" w:cs="Arial"/>
          <w:b/>
          <w:bCs/>
          <w:lang w:val="es-ES"/>
        </w:rPr>
        <w:t>SUJETO OBLIGADO</w:t>
      </w:r>
      <w:r w:rsidR="009C63B2" w:rsidRPr="00A51BF6">
        <w:rPr>
          <w:rFonts w:ascii="Palatino Linotype" w:hAnsi="Palatino Linotype" w:cs="Arial"/>
          <w:bCs/>
          <w:lang w:val="es-ES"/>
        </w:rPr>
        <w:t xml:space="preserve">, </w:t>
      </w:r>
      <w:r w:rsidR="009C63B2" w:rsidRPr="00A51BF6">
        <w:rPr>
          <w:rFonts w:ascii="Palatino Linotype" w:hAnsi="Palatino Linotype"/>
          <w:color w:val="000000"/>
          <w:lang w:val="es-ES"/>
        </w:rPr>
        <w:t xml:space="preserve">tal y como se muestra en las siguientes imágenes: </w:t>
      </w:r>
    </w:p>
    <w:p w:rsidR="009C63B2" w:rsidRPr="00A51BF6" w:rsidRDefault="00A51BF6" w:rsidP="009C63B2">
      <w:pPr>
        <w:spacing w:line="360" w:lineRule="auto"/>
        <w:jc w:val="center"/>
        <w:rPr>
          <w:rFonts w:ascii="Palatino Linotype" w:hAnsi="Palatino Linotype" w:cs="Arial"/>
          <w:bCs/>
          <w:color w:val="000000"/>
          <w:lang w:val="es-ES"/>
        </w:rPr>
      </w:pPr>
      <w:r w:rsidRPr="00A51BF6">
        <w:rPr>
          <w:noProof/>
          <w:lang w:eastAsia="es-MX"/>
        </w:rPr>
        <w:lastRenderedPageBreak/>
        <mc:AlternateContent>
          <mc:Choice Requires="wps">
            <w:drawing>
              <wp:anchor distT="0" distB="0" distL="114300" distR="114300" simplePos="0" relativeHeight="251668480" behindDoc="0" locked="0" layoutInCell="1" allowOverlap="1">
                <wp:simplePos x="0" y="0"/>
                <wp:positionH relativeFrom="column">
                  <wp:posOffset>621665</wp:posOffset>
                </wp:positionH>
                <wp:positionV relativeFrom="paragraph">
                  <wp:posOffset>3280410</wp:posOffset>
                </wp:positionV>
                <wp:extent cx="5207000" cy="4711700"/>
                <wp:effectExtent l="15875" t="9525" r="15875" b="12700"/>
                <wp:wrapNone/>
                <wp:docPr id="3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0" cy="47117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0F2CB1" id="AutoShape 14" o:spid="_x0000_s1026" type="#_x0000_t32" style="position:absolute;margin-left:48.95pt;margin-top:258.3pt;width:410pt;height:37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" strokeweight="1.5pt"/>
            </w:pict>
          </mc:Fallback>
        </mc:AlternateContent>
      </w:r>
      <w:r w:rsidRPr="00A51BF6">
        <w:rPr>
          <w:noProof/>
          <w:lang w:eastAsia="es-MX"/>
        </w:rPr>
        <mc:AlternateContent>
          <mc:Choice Requires="wps">
            <w:drawing>
              <wp:anchor distT="0" distB="0" distL="114300" distR="114300" simplePos="0" relativeHeight="251660288" behindDoc="0" locked="0" layoutInCell="1" allowOverlap="1">
                <wp:simplePos x="0" y="0"/>
                <wp:positionH relativeFrom="column">
                  <wp:posOffset>544830</wp:posOffset>
                </wp:positionH>
                <wp:positionV relativeFrom="paragraph">
                  <wp:posOffset>2186305</wp:posOffset>
                </wp:positionV>
                <wp:extent cx="4471670" cy="259080"/>
                <wp:effectExtent l="15240" t="20320" r="18415" b="15875"/>
                <wp:wrapNone/>
                <wp:docPr id="3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1670" cy="259080"/>
                        </a:xfrm>
                        <a:prstGeom prst="rect">
                          <a:avLst/>
                        </a:prstGeom>
                        <a:noFill/>
                        <a:ln w="2857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E0F1F" id="Rectangle 6" o:spid="_x0000_s1026" style="position:absolute;margin-left:42.9pt;margin-top:172.15pt;width:352.1pt;height:2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" filled="f" strokecolor="#4f81bd [3204]" strokeweight="2.25pt"/>
            </w:pict>
          </mc:Fallback>
        </mc:AlternateContent>
      </w:r>
      <w:r w:rsidR="009C63B2" w:rsidRPr="00A51BF6">
        <w:rPr>
          <w:noProof/>
          <w:lang w:eastAsia="es-MX"/>
        </w:rPr>
        <w:drawing>
          <wp:inline distT="0" distB="0" distL="0" distR="0" wp14:anchorId="260C0FA4" wp14:editId="37C0C119">
            <wp:extent cx="4714890" cy="35115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668" t="18092" r="24021" b="11019"/>
                    <a:stretch/>
                  </pic:blipFill>
                  <pic:spPr bwMode="auto">
                    <a:xfrm>
                      <a:off x="0" y="0"/>
                      <a:ext cx="4730530" cy="3523198"/>
                    </a:xfrm>
                    <a:prstGeom prst="rect">
                      <a:avLst/>
                    </a:prstGeom>
                    <a:ln>
                      <a:noFill/>
                    </a:ln>
                    <a:extLst>
                      <a:ext uri="{53640926-AAD7-44D8-BBD7-CCE9431645EC}">
                        <a14:shadowObscured xmlns:a14="http://schemas.microsoft.com/office/drawing/2010/main"/>
                      </a:ext>
                    </a:extLst>
                  </pic:spPr>
                </pic:pic>
              </a:graphicData>
            </a:graphic>
          </wp:inline>
        </w:drawing>
      </w:r>
    </w:p>
    <w:p w:rsidR="009C63B2" w:rsidRPr="00A51BF6" w:rsidRDefault="00A51BF6" w:rsidP="009C63B2">
      <w:pPr>
        <w:spacing w:line="360" w:lineRule="auto"/>
        <w:jc w:val="center"/>
        <w:rPr>
          <w:rFonts w:ascii="Palatino Linotype" w:hAnsi="Palatino Linotype" w:cs="Arial"/>
          <w:bCs/>
          <w:color w:val="000000"/>
          <w:lang w:val="es-ES"/>
        </w:rPr>
      </w:pPr>
      <w:r w:rsidRPr="00A51BF6">
        <w:rPr>
          <w:noProof/>
          <w:lang w:eastAsia="es-MX"/>
        </w:rPr>
        <w:lastRenderedPageBreak/>
        <mc:AlternateContent>
          <mc:Choice Requires="wps">
            <w:drawing>
              <wp:anchor distT="0" distB="0" distL="114300" distR="114300" simplePos="0" relativeHeight="251661312" behindDoc="0" locked="0" layoutInCell="1" allowOverlap="1">
                <wp:simplePos x="0" y="0"/>
                <wp:positionH relativeFrom="column">
                  <wp:posOffset>874395</wp:posOffset>
                </wp:positionH>
                <wp:positionV relativeFrom="paragraph">
                  <wp:posOffset>995680</wp:posOffset>
                </wp:positionV>
                <wp:extent cx="2025015" cy="306070"/>
                <wp:effectExtent l="11430" t="10795" r="11430" b="16510"/>
                <wp:wrapNone/>
                <wp:docPr id="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015" cy="306070"/>
                        </a:xfrm>
                        <a:prstGeom prst="rect">
                          <a:avLst/>
                        </a:prstGeom>
                        <a:noFill/>
                        <a:ln w="19050">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804BF1" id="Rectangle 7" o:spid="_x0000_s1026" style="position:absolute;margin-left:68.85pt;margin-top:78.4pt;width:159.45pt;height:2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" filled="f" strokecolor="#4f81bd [3204]" strokeweight="1.5pt"/>
            </w:pict>
          </mc:Fallback>
        </mc:AlternateContent>
      </w:r>
      <w:r w:rsidR="009C63B2" w:rsidRPr="00A51BF6">
        <w:rPr>
          <w:noProof/>
          <w:lang w:eastAsia="es-MX"/>
        </w:rPr>
        <w:drawing>
          <wp:inline distT="0" distB="0" distL="0" distR="0" wp14:anchorId="07625EA4" wp14:editId="63D56C3A">
            <wp:extent cx="5133975" cy="76009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904" t="11694" r="32738" b="5282"/>
                    <a:stretch/>
                  </pic:blipFill>
                  <pic:spPr bwMode="auto">
                    <a:xfrm>
                      <a:off x="0" y="0"/>
                      <a:ext cx="5147280" cy="7620648"/>
                    </a:xfrm>
                    <a:prstGeom prst="rect">
                      <a:avLst/>
                    </a:prstGeom>
                    <a:ln>
                      <a:noFill/>
                    </a:ln>
                    <a:extLst>
                      <a:ext uri="{53640926-AAD7-44D8-BBD7-CCE9431645EC}">
                        <a14:shadowObscured xmlns:a14="http://schemas.microsoft.com/office/drawing/2010/main"/>
                      </a:ext>
                    </a:extLst>
                  </pic:spPr>
                </pic:pic>
              </a:graphicData>
            </a:graphic>
          </wp:inline>
        </w:drawing>
      </w:r>
    </w:p>
    <w:p w:rsidR="00CD3049" w:rsidRPr="00A51BF6" w:rsidRDefault="00CD3049" w:rsidP="00F44061">
      <w:pPr>
        <w:widowControl w:val="0"/>
        <w:autoSpaceDE w:val="0"/>
        <w:autoSpaceDN w:val="0"/>
        <w:adjustRightInd w:val="0"/>
        <w:spacing w:before="100" w:beforeAutospacing="1" w:after="100" w:afterAutospacing="1" w:line="360" w:lineRule="auto"/>
        <w:ind w:right="51"/>
        <w:jc w:val="both"/>
        <w:rPr>
          <w:rFonts w:ascii="Palatino Linotype" w:hAnsi="Palatino Linotype" w:cs="Arial"/>
        </w:rPr>
      </w:pPr>
      <w:r w:rsidRPr="00A51BF6">
        <w:rPr>
          <w:rFonts w:ascii="Palatino Linotype" w:hAnsi="Palatino Linotype" w:cs="Arial"/>
          <w:lang w:val="es-ES"/>
        </w:rPr>
        <w:lastRenderedPageBreak/>
        <w:t xml:space="preserve">Por lo tanto, se concluye </w:t>
      </w:r>
      <w:r w:rsidRPr="00A51BF6">
        <w:rPr>
          <w:rFonts w:ascii="Palatino Linotype" w:eastAsia="Arial Unicode MS" w:hAnsi="Palatino Linotype" w:cs="Arial"/>
          <w:lang w:val="es-ES"/>
        </w:rPr>
        <w:t xml:space="preserve">que lo requerido se trata de información pública que genera </w:t>
      </w:r>
      <w:r w:rsidRPr="00A51BF6">
        <w:rPr>
          <w:rFonts w:ascii="Palatino Linotype" w:eastAsia="Arial Unicode MS" w:hAnsi="Palatino Linotype" w:cs="Arial"/>
          <w:b/>
          <w:lang w:val="es-ES"/>
        </w:rPr>
        <w:t>EL SUJETO OBLIGADO,</w:t>
      </w:r>
      <w:r w:rsidRPr="00A51BF6">
        <w:rPr>
          <w:rFonts w:ascii="Palatino Linotype" w:eastAsia="Arial Unicode MS" w:hAnsi="Palatino Linotype" w:cs="Arial"/>
          <w:lang w:val="es-ES"/>
        </w:rPr>
        <w:t xml:space="preserve"> ya que permite una rendición de cuentas eficaz y suficiente para un debido estado de derecho; por lo que, ha quedado demostrado que posee el soporte documental</w:t>
      </w:r>
      <w:r w:rsidRPr="00A51BF6">
        <w:rPr>
          <w:rFonts w:ascii="Palatino Linotype" w:hAnsi="Palatino Linotype" w:cs="Arial"/>
          <w:lang w:val="es-ES"/>
        </w:rPr>
        <w:t>; siendo así, debe obrar en los archivos del</w:t>
      </w:r>
      <w:r w:rsidRPr="00A51BF6">
        <w:rPr>
          <w:rFonts w:ascii="Palatino Linotype" w:hAnsi="Palatino Linotype" w:cs="Arial"/>
          <w:b/>
          <w:lang w:val="es-ES"/>
        </w:rPr>
        <w:t xml:space="preserve"> SUJETO OBLIGADO</w:t>
      </w:r>
      <w:r w:rsidRPr="00A51BF6">
        <w:rPr>
          <w:rFonts w:ascii="Palatino Linotype" w:hAnsi="Palatino Linotype" w:cs="Arial"/>
          <w:lang w:val="es-ES"/>
        </w:rPr>
        <w:t xml:space="preserve">, información a la cual le reviste el carácter de pública, de conformidad con lo dispuesto por los artículos 3, fracción XI y 4 y de la Ley de Transparencia y Acceso a la Información Pública del Estado de México y Municipios; en consecuencia, este Órgano Garante determina ordenar los documentos donde conste lo solicitado en los puntos </w:t>
      </w:r>
      <w:r w:rsidRPr="00A51BF6">
        <w:rPr>
          <w:rFonts w:ascii="Palatino Linotype" w:hAnsi="Palatino Linotype" w:cs="Arial"/>
        </w:rPr>
        <w:t>5 y 14, relativos a la situación actual de adeudo del Municipio, por el concepto de consumo de energía eléctrica en el alumbrado público; el adeudo  que se genera y si ya se pagó la diferencia entre facturación o DPA o si existe un saldo a favor del Municipio, en la temporalidad solicitada.</w:t>
      </w:r>
    </w:p>
    <w:p w:rsidR="00F44061" w:rsidRPr="00A51BF6" w:rsidRDefault="00F44061" w:rsidP="00F44061">
      <w:pPr>
        <w:widowControl w:val="0"/>
        <w:autoSpaceDE w:val="0"/>
        <w:autoSpaceDN w:val="0"/>
        <w:adjustRightInd w:val="0"/>
        <w:spacing w:before="100" w:beforeAutospacing="1" w:after="100" w:afterAutospacing="1" w:line="360" w:lineRule="auto"/>
        <w:ind w:right="51"/>
        <w:jc w:val="both"/>
        <w:rPr>
          <w:rFonts w:ascii="Palatino Linotype" w:hAnsi="Palatino Linotype" w:cs="Arial"/>
          <w:lang w:val="es-ES"/>
        </w:rPr>
      </w:pPr>
      <w:r w:rsidRPr="00A51BF6">
        <w:rPr>
          <w:rFonts w:ascii="Palatino Linotype" w:hAnsi="Palatino Linotype" w:cs="Arial"/>
          <w:lang w:val="es-ES"/>
        </w:rPr>
        <w:t xml:space="preserve">Lo anterior es así, pues conforme a la disposición vigesimotercera del Manual de Disposiciones Relativas al Suministro y Venta de Energía Eléctrica Destinada al Servicio Público, establece que la CFE facturará los servicios normalmente de manera mensual o bimestral; por lo que, </w:t>
      </w:r>
      <w:r w:rsidRPr="00A51BF6">
        <w:rPr>
          <w:rFonts w:ascii="Palatino Linotype" w:hAnsi="Palatino Linotype" w:cs="Arial"/>
          <w:b/>
          <w:lang w:val="es-ES"/>
        </w:rPr>
        <w:t xml:space="preserve">EL SUJETO OBLIGADO </w:t>
      </w:r>
      <w:r w:rsidRPr="00A51BF6">
        <w:rPr>
          <w:rFonts w:ascii="Palatino Linotype" w:hAnsi="Palatino Linotype" w:cs="Arial"/>
          <w:lang w:val="es-ES"/>
        </w:rPr>
        <w:t xml:space="preserve">se encuentra en posibilidad de atender lo ordenado en el párrafo anterior; sin embargo, para el caso de que no se tenga deudo alguno o no exista saldo a favor, bastará con </w:t>
      </w:r>
      <w:r w:rsidRPr="00A51BF6">
        <w:rPr>
          <w:rFonts w:ascii="Palatino Linotype" w:eastAsia="Arial Unicode MS" w:hAnsi="Palatino Linotype" w:cs="Arial"/>
          <w:lang w:val="es-ES"/>
        </w:rPr>
        <w:t xml:space="preserve">hacerlo del conocimiento al particular. </w:t>
      </w:r>
    </w:p>
    <w:p w:rsidR="00F44061" w:rsidRPr="00A51BF6" w:rsidRDefault="00F44061" w:rsidP="002C2636">
      <w:pPr>
        <w:spacing w:before="100" w:beforeAutospacing="1" w:after="100" w:afterAutospacing="1" w:line="360" w:lineRule="auto"/>
        <w:jc w:val="both"/>
        <w:rPr>
          <w:rFonts w:ascii="Palatino Linotype" w:eastAsia="Calibri" w:hAnsi="Palatino Linotype" w:cs="Arial"/>
          <w:lang w:val="es-ES"/>
        </w:rPr>
      </w:pPr>
      <w:r w:rsidRPr="00A51BF6">
        <w:rPr>
          <w:rFonts w:ascii="Palatino Linotype" w:eastAsia="Calibri" w:hAnsi="Palatino Linotype" w:cs="Arial"/>
          <w:lang w:val="es-ES"/>
        </w:rPr>
        <w:t xml:space="preserve">Ahora bien, por cuanto hace a los requerimientos, marcados en los puntos 7, 10, 18, 20, 22 y 23 relativos a los proyectos de electrificación para ampliar el sistema de alumbrado público y ofrecer este servicio a la comunidad; así como, proyectos relacionados con la modernización de alumbrado público para generar eficiencia energética en sus consumos [en los que se incluya: el monto total de la inversión, la fuente de </w:t>
      </w:r>
      <w:r w:rsidRPr="00A51BF6">
        <w:rPr>
          <w:rFonts w:ascii="Palatino Linotype" w:eastAsia="Calibri" w:hAnsi="Palatino Linotype" w:cs="Arial"/>
          <w:lang w:val="es-ES"/>
        </w:rPr>
        <w:lastRenderedPageBreak/>
        <w:t xml:space="preserve">financiamiento, la cantidad de equipos colocados y/o sustituidos, el tipo de equipos, la potencia, la ubicación, la fecha de inicio y término de obra; así como, la fecha de modificación de su nuevo consumo en el sistema de facturación del alumbrado público ante CFE, la notificación o publicación de los proyectos; la </w:t>
      </w:r>
      <w:r w:rsidRPr="00A51BF6">
        <w:rPr>
          <w:rFonts w:ascii="Palatino Linotype" w:eastAsia="Calibri" w:hAnsi="Palatino Linotype" w:cs="Arial"/>
          <w:i/>
          <w:lang w:val="es-ES"/>
        </w:rPr>
        <w:t>georreferenciación</w:t>
      </w:r>
      <w:r w:rsidRPr="00A51BF6">
        <w:rPr>
          <w:rFonts w:ascii="Palatino Linotype" w:eastAsia="Calibri" w:hAnsi="Palatino Linotype" w:cs="Arial"/>
          <w:lang w:val="es-ES"/>
        </w:rPr>
        <w:t xml:space="preserve"> de cada uno de los puntos de luz del nuevo alumbrado público,  e</w:t>
      </w:r>
      <w:r w:rsidRPr="00A51BF6">
        <w:rPr>
          <w:rFonts w:ascii="Palatino Linotype" w:eastAsia="Calibri" w:hAnsi="Palatino Linotype"/>
          <w:lang w:val="es-ES"/>
        </w:rPr>
        <w:t xml:space="preserve">l tipo de contrato celebrado para la adquisición de los nuevos equipos, el número y nombre de las empresas concursantes o convocadas, </w:t>
      </w:r>
      <w:r w:rsidRPr="00A51BF6">
        <w:rPr>
          <w:rFonts w:ascii="Palatino Linotype" w:eastAsia="Calibri" w:hAnsi="Palatino Linotype" w:cs="Arial"/>
          <w:lang w:val="es-ES"/>
        </w:rPr>
        <w:t xml:space="preserve">los </w:t>
      </w:r>
      <w:r w:rsidRPr="00A51BF6">
        <w:rPr>
          <w:rFonts w:ascii="Palatino Linotype" w:eastAsia="Calibri" w:hAnsi="Palatino Linotype"/>
          <w:lang w:val="es-ES"/>
        </w:rPr>
        <w:t>criterios de selección, utilizados por el comité de adquisiciones, para elegir a la empresa contratada y para realizar la modernización del sistema de alumbrado público y las actas de cabildo en la cual se fundamenta, justifica, expone y autoriza el proyecto)], al igual que las empresas que han participado en licitaciones en el periodo del 1° de enero de 2014 al 30 de abril de 2019 y ¿Cuántas empresas participantes en la licitación cumplían con las más de 100 000 horas de vida útil del luminario que se solicitaron?, de las empresas que cumplieron con las más de 100 000 horas de vida útil proporcionar los certificados de cumplimiento (prueba de las 6,000 horas), de las empresas que cumplieron con las más de 100 000 horas de vida útil proporcionar los certificados de cumplimiento, ¿cuál fue la propuesta económica que presentaron? y las bases de licitación que se publicaron y que sirvieron de base para el reemplazo de las luminarias para el alumbrado público en el municipio en los años 2016, 2017, 2018 y los meses que van del año.</w:t>
      </w:r>
    </w:p>
    <w:p w:rsidR="002C2636" w:rsidRPr="00A51BF6" w:rsidRDefault="002C2636" w:rsidP="002C2636">
      <w:pPr>
        <w:spacing w:line="360" w:lineRule="auto"/>
        <w:jc w:val="both"/>
        <w:rPr>
          <w:rFonts w:ascii="Palatino Linotype" w:eastAsia="Calibri" w:hAnsi="Palatino Linotype" w:cs="Arial"/>
          <w:lang w:val="es-ES"/>
        </w:rPr>
      </w:pPr>
      <w:r w:rsidRPr="00A51BF6">
        <w:rPr>
          <w:rFonts w:ascii="Palatino Linotype" w:eastAsia="Calibri" w:hAnsi="Palatino Linotype"/>
          <w:lang w:val="es-ES"/>
        </w:rPr>
        <w:t xml:space="preserve">Al respecto, es de señalar que para el caso de que </w:t>
      </w:r>
      <w:r w:rsidRPr="00A51BF6">
        <w:rPr>
          <w:rFonts w:ascii="Palatino Linotype" w:eastAsia="Calibri" w:hAnsi="Palatino Linotype"/>
          <w:b/>
          <w:lang w:val="es-ES"/>
        </w:rPr>
        <w:t xml:space="preserve">EL SUJETO OBLIGADO </w:t>
      </w:r>
      <w:r w:rsidRPr="00A51BF6">
        <w:rPr>
          <w:rFonts w:ascii="Palatino Linotype" w:eastAsia="Calibri" w:hAnsi="Palatino Linotype"/>
          <w:lang w:val="es-ES"/>
        </w:rPr>
        <w:t xml:space="preserve">no cuente con la información al grado de detalle solicitado por el particular, </w:t>
      </w:r>
      <w:r w:rsidRPr="00A51BF6">
        <w:rPr>
          <w:rFonts w:ascii="Palatino Linotype" w:hAnsi="Palatino Linotype" w:cs="Arial"/>
          <w:lang w:val="es-ES"/>
        </w:rPr>
        <w:t xml:space="preserve">éste debe entregar </w:t>
      </w:r>
      <w:r w:rsidRPr="00A51BF6">
        <w:rPr>
          <w:rFonts w:ascii="Palatino Linotype" w:eastAsia="Calibri" w:hAnsi="Palatino Linotype"/>
          <w:lang w:val="es-ES"/>
        </w:rPr>
        <w:t xml:space="preserve">el documento que obre en sus archivos y el cual contenga el mayor detalle cercano a aquél que fue requerido; atento a ello, </w:t>
      </w:r>
      <w:r w:rsidRPr="00A51BF6">
        <w:rPr>
          <w:rFonts w:ascii="Palatino Linotype" w:eastAsia="Calibri" w:hAnsi="Palatino Linotype" w:cs="Arial"/>
          <w:lang w:val="es-ES"/>
        </w:rPr>
        <w:t xml:space="preserve">este Instituto advierte que la solicitud </w:t>
      </w:r>
      <w:r w:rsidRPr="00A51BF6">
        <w:rPr>
          <w:rFonts w:ascii="Palatino Linotype" w:eastAsia="Calibri" w:hAnsi="Palatino Linotype"/>
          <w:lang w:val="es-ES"/>
        </w:rPr>
        <w:t xml:space="preserve">en comento puede ser satisfecha, de manera enunciativa más no limitativa, con la entrega de los procesos de licitación, adjudicación directa e invitación restringida de obra pública; por </w:t>
      </w:r>
      <w:r w:rsidRPr="00A51BF6">
        <w:rPr>
          <w:rFonts w:ascii="Palatino Linotype" w:eastAsia="Calibri" w:hAnsi="Palatino Linotype"/>
          <w:lang w:val="es-ES"/>
        </w:rPr>
        <w:lastRenderedPageBreak/>
        <w:t xml:space="preserve">lo que, es conveniente </w:t>
      </w:r>
      <w:r w:rsidRPr="00A51BF6">
        <w:rPr>
          <w:rFonts w:ascii="Palatino Linotype" w:eastAsia="Calibri" w:hAnsi="Palatino Linotype" w:cs="Arial"/>
          <w:lang w:val="es-ES"/>
        </w:rPr>
        <w:t xml:space="preserve">mencionar lo que dispone la legislación en materia de obra pública, que para el presente caso es lo dispuesto en el Libro Décimo Segundo del Código Administrativo del Estado de México, el cual refiere: </w:t>
      </w:r>
    </w:p>
    <w:p w:rsidR="002C2636" w:rsidRPr="00A51BF6" w:rsidRDefault="002C2636" w:rsidP="002C2636">
      <w:pPr>
        <w:tabs>
          <w:tab w:val="left" w:pos="8647"/>
        </w:tabs>
        <w:ind w:right="51"/>
        <w:jc w:val="both"/>
        <w:rPr>
          <w:rFonts w:ascii="Palatino Linotype" w:eastAsia="Calibri" w:hAnsi="Palatino Linotype" w:cs="Arial"/>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“Artículo 12.1.- </w:t>
      </w:r>
      <w:r w:rsidRPr="00A51BF6">
        <w:rPr>
          <w:rFonts w:ascii="Palatino Linotype" w:eastAsia="Calibri" w:hAnsi="Palatino Linotype"/>
          <w:b/>
          <w:i/>
          <w:sz w:val="22"/>
          <w:szCs w:val="22"/>
          <w:lang w:val="es-ES"/>
        </w:rPr>
        <w:t>Este Libro tiene por objeto regular los actos relativos a la planeación, programación, presupuestación, adjudicación, contratación, ejecución y control de la obra pública, así como los servicios relacionados con la misma que, por sí o por conducto de terceros, realicen</w:t>
      </w:r>
      <w:r w:rsidRPr="00A51BF6">
        <w:rPr>
          <w:rFonts w:ascii="Palatino Linotype" w:eastAsia="Calibri" w:hAnsi="Palatino Linotype"/>
          <w:i/>
          <w:sz w:val="22"/>
          <w:szCs w:val="22"/>
          <w:lang w:val="es-ES"/>
        </w:rPr>
        <w:t xml:space="preserve">: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III. </w:t>
      </w:r>
      <w:r w:rsidRPr="00A51BF6">
        <w:rPr>
          <w:rFonts w:ascii="Palatino Linotype" w:eastAsia="Calibri" w:hAnsi="Palatino Linotype"/>
          <w:b/>
          <w:i/>
          <w:sz w:val="22"/>
          <w:szCs w:val="22"/>
          <w:lang w:val="es-ES"/>
        </w:rPr>
        <w:t>Los ayuntamientos de los municipios del Estado</w:t>
      </w:r>
      <w:r w:rsidRPr="00A51BF6">
        <w:rPr>
          <w:rFonts w:ascii="Palatino Linotype" w:eastAsia="Calibri" w:hAnsi="Palatino Linotype"/>
          <w:i/>
          <w:sz w:val="22"/>
          <w:szCs w:val="22"/>
          <w:lang w:val="es-ES"/>
        </w:rPr>
        <w:t xml:space="preserve">;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Serán aplicables las disposiciones conducentes de este Libro, a los particulares que tengan el carácter de licitantes o contratistas.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Los poderes Legislativo y Judicial, así como los organismos autónomos, aplicarán los procedimientos previstos en este Libro en todo lo que no se oponga a los ordenamientos legales que los regulan.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No se regirán por las disposiciones de este Libro, la obra pública o servicios relacionados con la misma, derivados de convenios celebrados entre dependencias, entidades, instituciones públicas y ayuntamientos, entre sí o con los de otros estados o de la Federación, excepto cuando intervenga un particular con el carácter de licitante o contratista.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12.4.- Se considera obra pública todo trabajo que tenga por objeto principal construir, instalar, ampliar, adecuar, remodelar, restaurar, conservar, mantener, modificar o demoler bienes inmuebles propiedad</w:t>
      </w:r>
      <w:r w:rsidRPr="00A51BF6">
        <w:rPr>
          <w:rFonts w:ascii="Palatino Linotype" w:eastAsia="Calibri" w:hAnsi="Palatino Linotype"/>
          <w:i/>
          <w:sz w:val="22"/>
          <w:szCs w:val="22"/>
          <w:lang w:val="es-ES"/>
        </w:rPr>
        <w:t xml:space="preserve"> del Estado, de sus dependencias y entidades y de los municipios y sus organismos con cargo </w:t>
      </w:r>
      <w:r w:rsidRPr="00A51BF6">
        <w:rPr>
          <w:rFonts w:ascii="Palatino Linotype" w:eastAsia="Calibri" w:hAnsi="Palatino Linotype"/>
          <w:b/>
          <w:i/>
          <w:sz w:val="22"/>
          <w:szCs w:val="22"/>
          <w:lang w:val="es-ES"/>
        </w:rPr>
        <w:t>a recursos públicos estatales o municipales.</w:t>
      </w:r>
      <w:r w:rsidRPr="00A51BF6">
        <w:rPr>
          <w:rFonts w:ascii="Palatino Linotype" w:eastAsia="Calibri" w:hAnsi="Palatino Linotype"/>
          <w:i/>
          <w:sz w:val="22"/>
          <w:szCs w:val="22"/>
          <w:lang w:val="es-ES"/>
        </w:rPr>
        <w:t xml:space="preserve">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Quedan comprendidos dentro de la obra pública: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I. El mantenimiento, restauración, desmantelamiento o remoción de bienes muebles incorporados o adheridos a un inmueble;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II. Los proyectos integrales o comúnmente denominados llave en mano, en los cuales el contratista se obliga desde el diseño de la obra hasta su terminación total, incluyéndose, cuando se requiera, la transferencia de tecnología;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III. Los trabajos de exploración, localización y perforación; mejoramiento del suelo y/o subsuelo; desmontes y extracción y aquellos similares que tengan por objeto la </w:t>
      </w:r>
      <w:r w:rsidRPr="00A51BF6">
        <w:rPr>
          <w:rFonts w:ascii="Palatino Linotype" w:eastAsia="Calibri" w:hAnsi="Palatino Linotype"/>
          <w:i/>
          <w:sz w:val="22"/>
          <w:szCs w:val="22"/>
          <w:lang w:val="es-ES"/>
        </w:rPr>
        <w:lastRenderedPageBreak/>
        <w:t>explotación y desarrollo de los recursos naturales que se encuentran en el suelo y/o subsuelo;</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IV. Los trabajos de infraestructura agropecuaria e hidroagrícola: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V. La instalación, montaje, colocación y/o aplicación, incluyendo las pruebas de operación de bienes muebles que deban incorporarse, adherirse o destinarse a un inmueble, siempre que dichos muebles sean proporcionados por la convocante al contratista o bien, cuando su adquisición esté incluida en los trabajos que se contraten y su precio sea menor al de estos últimos;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VI. Los demás que tengan por objeto principal alguno de los conceptos a que se refiere el párrafo primero de este artículo, excluyéndose expresamente los trabajos regulados por el Libro Décimo Sexto de este Código.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12.5.-</w:t>
      </w:r>
      <w:r w:rsidRPr="00A51BF6">
        <w:rPr>
          <w:rFonts w:ascii="Palatino Linotype" w:eastAsia="Calibri" w:hAnsi="Palatino Linotype"/>
          <w:i/>
          <w:sz w:val="22"/>
          <w:szCs w:val="22"/>
          <w:lang w:val="es-ES"/>
        </w:rPr>
        <w:t xml:space="preserve"> Se consideran servicios relacionados con la obra pública, los trabajos que tengan por objeto concebir, diseñar y calcular los elementos que integran un proyecto de obra pública; las investigaciones, estudios, asesorías y consultorías que se vinculen con los actos que regula este Libro; la dirección y supervisión de la ejecución de las obras y los estudios que tengan por objeto principal rehabilitar, corregir o incrementar la eficiencia de las instalaciones con excepción de los trabajos regulados por el Libro Décimo Sexto de este Código.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Quedan comprendidos dentro de los servicios relacionados con la obra pública: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I</w:t>
      </w:r>
      <w:r w:rsidRPr="00A51BF6">
        <w:rPr>
          <w:rFonts w:ascii="Palatino Linotype" w:eastAsia="Calibri" w:hAnsi="Palatino Linotype"/>
          <w:i/>
          <w:sz w:val="22"/>
          <w:szCs w:val="22"/>
          <w:lang w:val="es-ES"/>
        </w:rPr>
        <w:t xml:space="preserve">. La planeación, incluyendo los trabajos que tengan por objeto concebir, diseñar, proyectar y calcular los elementos que integran un proyecto de ingeniería básica, estructural de instalaciones, de infraestructura, industrial, electromecánica y de cualquier otra especialidad de la ingeniería que se requiera para integrar un proyecto ejecutivo de obra pública;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III.</w:t>
      </w:r>
      <w:r w:rsidRPr="00A51BF6">
        <w:rPr>
          <w:rFonts w:ascii="Palatino Linotype" w:eastAsia="Calibri" w:hAnsi="Palatino Linotype"/>
          <w:i/>
          <w:sz w:val="22"/>
          <w:szCs w:val="22"/>
          <w:lang w:val="es-ES"/>
        </w:rPr>
        <w:t xml:space="preserve"> La planeación, incluyendo los trabajos que tengan por objeto concebir, diseñar, proyectar y calcular los elementos que integran un proyecto urbanístico, arquitectónico, de diseño gráfico o artístico y de cualquier otra especialidad del diseño, la arquitectura y el urbanismo, que se requiera para integrar un proyecto ejecutivo de obra pública, así como los estudios inherentes al desarrollo urbano en el Estado;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III.</w:t>
      </w:r>
      <w:r w:rsidRPr="00A51BF6">
        <w:rPr>
          <w:rFonts w:ascii="Palatino Linotype" w:eastAsia="Calibri" w:hAnsi="Palatino Linotype"/>
          <w:i/>
          <w:sz w:val="22"/>
          <w:szCs w:val="22"/>
          <w:lang w:val="es-ES"/>
        </w:rPr>
        <w:t xml:space="preserve"> Los estudios técnicos de agrología y desarrollo pecuario, hidrología, mecánica de suelos, sismología, topografía, geología, geodesia, geofísica, geotermia, meteorología, aerofotogrametría, ambientales, ecológicos y de ingeniería de tránsito;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IV.</w:t>
      </w:r>
      <w:r w:rsidRPr="00A51BF6">
        <w:rPr>
          <w:rFonts w:ascii="Palatino Linotype" w:eastAsia="Calibri" w:hAnsi="Palatino Linotype"/>
          <w:i/>
          <w:sz w:val="22"/>
          <w:szCs w:val="22"/>
          <w:lang w:val="es-ES"/>
        </w:rPr>
        <w:t xml:space="preserve"> Los estudios económicos y de planeación de preinversión, factibilidad técnico económica, ecológica o social, de evaluación, adaptación, tenencia de la tierra, financieros, de desarrollo y restitución de la eficiencia de las instalaciones;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V.</w:t>
      </w:r>
      <w:r w:rsidRPr="00A51BF6">
        <w:rPr>
          <w:rFonts w:ascii="Palatino Linotype" w:eastAsia="Calibri" w:hAnsi="Palatino Linotype"/>
          <w:i/>
          <w:sz w:val="22"/>
          <w:szCs w:val="22"/>
          <w:lang w:val="es-ES"/>
        </w:rPr>
        <w:t xml:space="preserve"> Los trabajos de coordinación, supervisión y control de obra; de laboratorio de análisis y control de calidad; de laboratorio de geotecnia, de resistencia de materiales </w:t>
      </w:r>
      <w:r w:rsidRPr="00A51BF6">
        <w:rPr>
          <w:rFonts w:ascii="Palatino Linotype" w:eastAsia="Calibri" w:hAnsi="Palatino Linotype"/>
          <w:i/>
          <w:sz w:val="22"/>
          <w:szCs w:val="22"/>
          <w:lang w:val="es-ES"/>
        </w:rPr>
        <w:lastRenderedPageBreak/>
        <w:t xml:space="preserve">y radiografías industriales; de preparación de especificaciones de construcción, presupuestación o la elaboración de cualquier otro documento o trabajo para la adjudicación del contrato de obra correspondiente;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VI.</w:t>
      </w:r>
      <w:r w:rsidRPr="00A51BF6">
        <w:rPr>
          <w:rFonts w:ascii="Palatino Linotype" w:eastAsia="Calibri" w:hAnsi="Palatino Linotype"/>
          <w:i/>
          <w:sz w:val="22"/>
          <w:szCs w:val="22"/>
          <w:lang w:val="es-ES"/>
        </w:rPr>
        <w:t xml:space="preserve"> Los trabajos de organización, informática, comunicaciones, cibernética y sistemas aplicados a las materias que regulan este Libro;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VII.</w:t>
      </w:r>
      <w:r w:rsidRPr="00A51BF6">
        <w:rPr>
          <w:rFonts w:ascii="Palatino Linotype" w:eastAsia="Calibri" w:hAnsi="Palatino Linotype"/>
          <w:i/>
          <w:sz w:val="22"/>
          <w:szCs w:val="22"/>
          <w:lang w:val="es-ES"/>
        </w:rPr>
        <w:t xml:space="preserve"> Los dictámenes, peritajes, avalúos y auditorías técnico normativas, y estudios aplicables a la obra pública;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VIII.</w:t>
      </w:r>
      <w:r w:rsidRPr="00A51BF6">
        <w:rPr>
          <w:rFonts w:ascii="Palatino Linotype" w:eastAsia="Calibri" w:hAnsi="Palatino Linotype"/>
          <w:i/>
          <w:sz w:val="22"/>
          <w:szCs w:val="22"/>
          <w:lang w:val="es-ES"/>
        </w:rPr>
        <w:t xml:space="preserve"> Los estudios que tengan por objeto rehabilitar, corregir, sustituir o incrementar la eficiencia de las instalaciones en un bien inmueble; </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IX.</w:t>
      </w:r>
      <w:r w:rsidRPr="00A51BF6">
        <w:rPr>
          <w:rFonts w:ascii="Palatino Linotype" w:eastAsia="Calibri" w:hAnsi="Palatino Linotype"/>
          <w:i/>
          <w:sz w:val="22"/>
          <w:szCs w:val="22"/>
          <w:lang w:val="es-ES"/>
        </w:rPr>
        <w:t xml:space="preserve"> Los estudios de apoyo tecnológico, incluyendo los de desarrollo y transferencia de tecnología, entre otros;</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X.</w:t>
      </w:r>
      <w:r w:rsidRPr="00A51BF6">
        <w:rPr>
          <w:rFonts w:ascii="Palatino Linotype" w:eastAsia="Calibri" w:hAnsi="Palatino Linotype"/>
          <w:i/>
          <w:sz w:val="22"/>
          <w:szCs w:val="22"/>
          <w:lang w:val="es-ES"/>
        </w:rPr>
        <w:t xml:space="preserve"> Los demás que tengan por objeto alguno de los conceptos a que se refiere el párrafo primero de este artículo.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12.6.-</w:t>
      </w:r>
      <w:r w:rsidRPr="00A51BF6">
        <w:rPr>
          <w:rFonts w:ascii="Palatino Linotype" w:eastAsia="Calibri" w:hAnsi="Palatino Linotype"/>
          <w:i/>
          <w:sz w:val="22"/>
          <w:szCs w:val="22"/>
          <w:lang w:val="es-ES"/>
        </w:rPr>
        <w:t xml:space="preserve"> La aplicación del presente Libro corresponderá al Ejecutivo, a través de la Secretaría del Ramo, así como a las dependencias, entidades, ayuntamientos y tribunales administrativos, que celebren contratos de obra pública o servicios relacionados con la misma.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Corresponde a la Secretaría del Ramo y a los ayuntamientos, en el ámbito de su respectiva competencia, la expedición de políticas, bases, lineamientos y criterios para la exacta observancia de este Libro y su Reglamento.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12.7.-</w:t>
      </w:r>
      <w:r w:rsidRPr="00A51BF6">
        <w:rPr>
          <w:rFonts w:ascii="Palatino Linotype" w:eastAsia="Calibri" w:hAnsi="Palatino Linotype"/>
          <w:i/>
          <w:sz w:val="22"/>
          <w:szCs w:val="22"/>
          <w:lang w:val="es-ES"/>
        </w:rPr>
        <w:t xml:space="preserve"> La ejecución de la obra pública o servicios relacionados con la misma que realicen las dependencias, entidades o ayuntamientos con cargo total o parcial a fondos aportados por la Federación, estarán sujetas a las disposiciones de la ley federal de la materia, conforme a los convenios respectivos.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12.8.-</w:t>
      </w:r>
      <w:r w:rsidRPr="00A51BF6">
        <w:rPr>
          <w:rFonts w:ascii="Palatino Linotype" w:eastAsia="Calibri" w:hAnsi="Palatino Linotype"/>
          <w:i/>
          <w:sz w:val="22"/>
          <w:szCs w:val="22"/>
          <w:lang w:val="es-ES"/>
        </w:rPr>
        <w:t xml:space="preserve"> Corresponde a la Secretaría del Ramo y a los ayuntamientos, en el ámbito de sus respectivas competencias, ejecutar la obra pública, mediante contrato con terceros o por administración directa.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La Secretaría del Ramo podrá autorizar a las dependencias y entidades estatales, a ejecutar obras, por contrato o por administración directa, cuando a su juicio éstas cuenten con elementos propios y organización necesarios. El acuerdo de autorización deberá publicarse en la Gaceta del Gobierno.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Lo dispuesto en el párrafo anterior será aplicable a los ayuntamientos, tratándose de la realización de obras con cargo a fondos estatales total o parcialmente.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lastRenderedPageBreak/>
        <w:t xml:space="preserve">Para la mejor planeación de la obra pública en el Estado, las dependencias, entidades y ayuntamientos que ejecuten obra, deberán dar aviso a la Secretaría del Ramo, de sus proyectos y programación de ejecución, independientemente del origen de los recursos.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12.9.-</w:t>
      </w:r>
      <w:r w:rsidRPr="00A51BF6">
        <w:rPr>
          <w:rFonts w:ascii="Palatino Linotype" w:eastAsia="Calibri" w:hAnsi="Palatino Linotype"/>
          <w:i/>
          <w:sz w:val="22"/>
          <w:szCs w:val="22"/>
          <w:lang w:val="es-ES"/>
        </w:rPr>
        <w:t xml:space="preserve"> Cuando por las condiciones especiales de la obra pública o de los servicios relacionados con la misma, se requiera la intervención de dos o más dependencias, entidades o ayuntamientos, quedará a cargo de cada una de ellas la responsabilidad sobre la ejecución de la parte de la obra o del servicio que le corresponda, sin perjuicio de la responsabilidad que, en razón de sus respectivas atribuciones, tenga la encargada de la planeación y programación del conjunto.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En los casos a que se refiere el párrafo anterior, las dependencias y entidades deberán contar con autorización de la Secretaría del Ramo, en términos del artículo precedente.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Previamente a la ejecución de las obras a que se refiere este artículo, se deberán establecer, con la participación de la Secretaría del Ramo, convenios mediante los que se especifiquen los términos para la coordinación de las acciones de las dependencias, entidades o ayuntamientos que intervengan.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12.10.-</w:t>
      </w:r>
      <w:r w:rsidRPr="00A51BF6">
        <w:rPr>
          <w:rFonts w:ascii="Palatino Linotype" w:eastAsia="Calibri" w:hAnsi="Palatino Linotype"/>
          <w:i/>
          <w:sz w:val="22"/>
          <w:szCs w:val="22"/>
          <w:lang w:val="es-ES"/>
        </w:rPr>
        <w:t xml:space="preserve"> Las dependencias y entidades que cuenten con autorización de la Secretaría del Ramo, y los ayuntamientos formularán un inventario de la maquinaria y equipo de construcción a su cuidado o de su propiedad, y lo mantendrán actualizado.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Las dependencias, entidades o ayuntamientos, llevarán el catálogo y archivo de los estudios y proyectos que realicen sobre la obra pública o los servicios relacionados con la misma.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cs="Arial"/>
          <w:i/>
          <w:sz w:val="22"/>
          <w:szCs w:val="22"/>
          <w:lang w:val="es-ES"/>
        </w:rPr>
      </w:pPr>
      <w:r w:rsidRPr="00A51BF6">
        <w:rPr>
          <w:rFonts w:ascii="Palatino Linotype" w:eastAsia="Calibri" w:hAnsi="Palatino Linotype"/>
          <w:i/>
          <w:sz w:val="22"/>
          <w:szCs w:val="22"/>
          <w:lang w:val="es-ES"/>
        </w:rPr>
        <w:t>Las dependencias y entidades estatales remitirán sus respectivos inventarios y catálogos a la Secretaría del Ramo.</w:t>
      </w:r>
    </w:p>
    <w:p w:rsidR="002C2636" w:rsidRPr="00A51BF6" w:rsidRDefault="002C2636" w:rsidP="002C2636">
      <w:pPr>
        <w:ind w:left="851" w:right="901"/>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 xml:space="preserve">Artículo 12.15.- Las dependencias, entidades y </w:t>
      </w:r>
      <w:r w:rsidRPr="00A51BF6">
        <w:rPr>
          <w:rFonts w:ascii="Palatino Linotype" w:eastAsia="Calibri" w:hAnsi="Palatino Linotype"/>
          <w:b/>
          <w:i/>
          <w:sz w:val="22"/>
          <w:szCs w:val="22"/>
          <w:lang w:val="es-ES"/>
        </w:rPr>
        <w:t>ayuntamientos, según las características, complejidad y magnitud de los trabajos, formularán los programas de obra pública o de servicios relacionados con la misma, así como sus respectivos presupuestos, con base en las políticas, objetivos y prioridades de la planeación del desarrollo del Estado y municipios</w:t>
      </w:r>
      <w:r w:rsidRPr="00A51BF6">
        <w:rPr>
          <w:rFonts w:ascii="Palatino Linotype" w:eastAsia="Calibri" w:hAnsi="Palatino Linotype"/>
          <w:i/>
          <w:sz w:val="22"/>
          <w:szCs w:val="22"/>
          <w:lang w:val="es-ES"/>
        </w:rPr>
        <w:t>…</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lastRenderedPageBreak/>
        <w:t>Artículo 12.20.-</w:t>
      </w:r>
      <w:r w:rsidRPr="00A51BF6">
        <w:rPr>
          <w:rFonts w:ascii="Palatino Linotype" w:eastAsia="Calibri" w:hAnsi="Palatino Linotype"/>
          <w:i/>
          <w:sz w:val="22"/>
          <w:szCs w:val="22"/>
          <w:lang w:val="es-ES"/>
        </w:rPr>
        <w:t xml:space="preserve"> </w:t>
      </w:r>
      <w:r w:rsidRPr="00A51BF6">
        <w:rPr>
          <w:rFonts w:ascii="Palatino Linotype" w:eastAsia="Calibri" w:hAnsi="Palatino Linotype"/>
          <w:b/>
          <w:i/>
          <w:sz w:val="22"/>
          <w:szCs w:val="22"/>
          <w:lang w:val="es-ES"/>
        </w:rPr>
        <w:t>Los contratos a que se refiere este Libro, se adjudicarán a través de licitaciones públicas, mediante convocatoria pública</w:t>
      </w:r>
      <w:r w:rsidRPr="00A51BF6">
        <w:rPr>
          <w:rFonts w:ascii="Palatino Linotype" w:eastAsia="Calibri" w:hAnsi="Palatino Linotype"/>
          <w:i/>
          <w:sz w:val="22"/>
          <w:szCs w:val="22"/>
          <w:lang w:val="es-ES"/>
        </w:rPr>
        <w:t xml:space="preserve">. </w:t>
      </w:r>
    </w:p>
    <w:p w:rsidR="002C2636" w:rsidRPr="00A51BF6" w:rsidRDefault="002C2636" w:rsidP="002C2636">
      <w:pPr>
        <w:ind w:left="851" w:right="90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b/>
          <w:i/>
          <w:sz w:val="22"/>
          <w:szCs w:val="22"/>
          <w:lang w:val="es-ES"/>
        </w:rPr>
        <w:t>Artículo 12.21.-</w:t>
      </w:r>
      <w:r w:rsidRPr="00A51BF6">
        <w:rPr>
          <w:rFonts w:ascii="Palatino Linotype" w:eastAsia="Calibri" w:hAnsi="Palatino Linotype"/>
          <w:i/>
          <w:sz w:val="22"/>
          <w:szCs w:val="22"/>
          <w:lang w:val="es-ES"/>
        </w:rPr>
        <w:t xml:space="preserve"> Las dependencias, entidades y </w:t>
      </w:r>
      <w:r w:rsidRPr="00A51BF6">
        <w:rPr>
          <w:rFonts w:ascii="Palatino Linotype" w:eastAsia="Calibri" w:hAnsi="Palatino Linotype"/>
          <w:b/>
          <w:i/>
          <w:sz w:val="22"/>
          <w:szCs w:val="22"/>
          <w:lang w:val="es-ES"/>
        </w:rPr>
        <w:t xml:space="preserve">ayuntamientos podrán adjudicar contratos para la ejecución de obra pública o servicios relacionados con la misma mediante las excepciones al procedimiento de licitación siguientes: </w:t>
      </w:r>
    </w:p>
    <w:p w:rsidR="002C2636" w:rsidRPr="00A51BF6" w:rsidRDefault="002C2636" w:rsidP="002C2636">
      <w:pPr>
        <w:ind w:left="851" w:right="901"/>
        <w:jc w:val="both"/>
        <w:rPr>
          <w:rFonts w:ascii="Palatino Linotype" w:eastAsia="Calibri" w:hAnsi="Palatino Linotype"/>
          <w:b/>
          <w:i/>
          <w:sz w:val="22"/>
          <w:szCs w:val="22"/>
          <w:lang w:val="es-ES"/>
        </w:rPr>
      </w:pP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b/>
          <w:i/>
          <w:sz w:val="22"/>
          <w:szCs w:val="22"/>
          <w:lang w:val="es-ES"/>
        </w:rPr>
        <w:t xml:space="preserve">I. Invitación restringida; </w:t>
      </w:r>
    </w:p>
    <w:p w:rsidR="002C2636" w:rsidRPr="00A51BF6" w:rsidRDefault="002C2636" w:rsidP="002C2636">
      <w:pPr>
        <w:ind w:left="851" w:right="901"/>
        <w:jc w:val="both"/>
        <w:rPr>
          <w:rFonts w:ascii="Palatino Linotype" w:eastAsia="Calibri" w:hAnsi="Palatino Linotype" w:cs="Arial"/>
          <w:b/>
          <w:i/>
          <w:sz w:val="22"/>
          <w:szCs w:val="22"/>
          <w:lang w:val="es-ES"/>
        </w:rPr>
      </w:pPr>
      <w:r w:rsidRPr="00A51BF6">
        <w:rPr>
          <w:rFonts w:ascii="Palatino Linotype" w:eastAsia="Calibri" w:hAnsi="Palatino Linotype"/>
          <w:b/>
          <w:i/>
          <w:sz w:val="22"/>
          <w:szCs w:val="22"/>
          <w:lang w:val="es-ES"/>
        </w:rPr>
        <w:t>II. Adjudicación directa.</w:t>
      </w:r>
    </w:p>
    <w:p w:rsidR="002C2636" w:rsidRPr="00A51BF6" w:rsidRDefault="002C2636" w:rsidP="002C2636">
      <w:pPr>
        <w:ind w:left="851" w:right="901"/>
        <w:jc w:val="both"/>
        <w:rPr>
          <w:rFonts w:ascii="Palatino Linotype" w:eastAsia="Calibri" w:hAnsi="Palatino Linotype" w:cs="Arial"/>
          <w:i/>
          <w:sz w:val="22"/>
          <w:szCs w:val="22"/>
          <w:lang w:val="es-ES"/>
        </w:rPr>
      </w:pPr>
      <w:r w:rsidRPr="00A51BF6">
        <w:rPr>
          <w:rFonts w:ascii="Palatino Linotype" w:eastAsia="Calibri" w:hAnsi="Palatino Linotype" w:cs="Arial"/>
          <w:i/>
          <w:sz w:val="22"/>
          <w:szCs w:val="22"/>
          <w:lang w:val="es-ES"/>
        </w:rPr>
        <w:t>…</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12.38.-</w:t>
      </w:r>
      <w:r w:rsidRPr="00A51BF6">
        <w:rPr>
          <w:rFonts w:ascii="Palatino Linotype" w:eastAsia="Calibri" w:hAnsi="Palatino Linotype"/>
          <w:i/>
          <w:sz w:val="22"/>
          <w:szCs w:val="22"/>
          <w:lang w:val="es-ES"/>
        </w:rPr>
        <w:t xml:space="preserve"> </w:t>
      </w:r>
      <w:r w:rsidRPr="00A51BF6">
        <w:rPr>
          <w:rFonts w:ascii="Palatino Linotype" w:eastAsia="Calibri" w:hAnsi="Palatino Linotype"/>
          <w:b/>
          <w:i/>
          <w:sz w:val="22"/>
          <w:szCs w:val="22"/>
          <w:lang w:val="es-ES"/>
        </w:rPr>
        <w:t>La adjudicación de la obra o servicios relacionados con la misma</w:t>
      </w:r>
      <w:r w:rsidRPr="00A51BF6">
        <w:rPr>
          <w:rFonts w:ascii="Palatino Linotype" w:eastAsia="Calibri" w:hAnsi="Palatino Linotype"/>
          <w:i/>
          <w:sz w:val="22"/>
          <w:szCs w:val="22"/>
          <w:lang w:val="es-ES"/>
        </w:rPr>
        <w:t xml:space="preserve"> </w:t>
      </w:r>
      <w:r w:rsidRPr="00A51BF6">
        <w:rPr>
          <w:rFonts w:ascii="Palatino Linotype" w:eastAsia="Calibri" w:hAnsi="Palatino Linotype"/>
          <w:b/>
          <w:i/>
          <w:sz w:val="22"/>
          <w:szCs w:val="22"/>
          <w:lang w:val="es-ES"/>
        </w:rPr>
        <w:t>obligará</w:t>
      </w:r>
      <w:r w:rsidRPr="00A51BF6">
        <w:rPr>
          <w:rFonts w:ascii="Palatino Linotype" w:eastAsia="Calibri" w:hAnsi="Palatino Linotype"/>
          <w:i/>
          <w:sz w:val="22"/>
          <w:szCs w:val="22"/>
          <w:lang w:val="es-ES"/>
        </w:rPr>
        <w:t xml:space="preserve"> a la dependencia, entidad o </w:t>
      </w:r>
      <w:r w:rsidRPr="00A51BF6">
        <w:rPr>
          <w:rFonts w:ascii="Palatino Linotype" w:eastAsia="Calibri" w:hAnsi="Palatino Linotype"/>
          <w:b/>
          <w:i/>
          <w:sz w:val="22"/>
          <w:szCs w:val="22"/>
          <w:lang w:val="es-ES"/>
        </w:rPr>
        <w:t>ayuntamiento y a la persona en que hubiere recaído, a suscribir el contrato respectivo</w:t>
      </w:r>
      <w:r w:rsidRPr="00A51BF6">
        <w:rPr>
          <w:rFonts w:ascii="Palatino Linotype" w:eastAsia="Calibri" w:hAnsi="Palatino Linotype"/>
          <w:i/>
          <w:sz w:val="22"/>
          <w:szCs w:val="22"/>
          <w:lang w:val="es-ES"/>
        </w:rPr>
        <w:t xml:space="preserve"> dentro de los diez días hábiles siguientes al de la notificación del fallo.</w:t>
      </w: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w:t>
      </w: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i/>
          <w:sz w:val="22"/>
          <w:szCs w:val="22"/>
          <w:lang w:val="es-ES"/>
        </w:rPr>
        <w:t xml:space="preserve">Artículo 12.60.- Las dependencias, entidades y </w:t>
      </w:r>
      <w:r w:rsidRPr="00A51BF6">
        <w:rPr>
          <w:rFonts w:ascii="Palatino Linotype" w:eastAsia="Calibri" w:hAnsi="Palatino Linotype"/>
          <w:b/>
          <w:i/>
          <w:sz w:val="22"/>
          <w:szCs w:val="22"/>
          <w:lang w:val="es-ES"/>
        </w:rPr>
        <w:t xml:space="preserve">ayuntamientos podrán realizar obras por administración directa, siempre que posean la capacidad técnica y los elementos necesarios, consistentes en: maquinaria y equipo de construcción, personal técnico, trabajadores y materiales y podrán: </w:t>
      </w: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b/>
          <w:i/>
          <w:sz w:val="22"/>
          <w:szCs w:val="22"/>
          <w:lang w:val="es-ES"/>
        </w:rPr>
        <w:t xml:space="preserve">I. Utilizar mano de obra local complementaria, la que necesariamente deberá contratarse por obra determinada; </w:t>
      </w: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b/>
          <w:i/>
          <w:sz w:val="22"/>
          <w:szCs w:val="22"/>
          <w:lang w:val="es-ES"/>
        </w:rPr>
        <w:t xml:space="preserve">II. Alquilar equipo y maquinaria de construcción complementaria; </w:t>
      </w: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b/>
          <w:i/>
          <w:sz w:val="22"/>
          <w:szCs w:val="22"/>
          <w:lang w:val="es-ES"/>
        </w:rPr>
        <w:t xml:space="preserve">III. Utilizar preferentemente los materiales de la región; </w:t>
      </w: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b/>
          <w:i/>
          <w:sz w:val="22"/>
          <w:szCs w:val="22"/>
          <w:lang w:val="es-ES"/>
        </w:rPr>
        <w:t xml:space="preserve">IV. Contratar equipos, instrumentos, elementos prefabricados terminados y materiales u otros bienes que deban ser instalados, montados, colocados o aplicados; </w:t>
      </w:r>
    </w:p>
    <w:p w:rsidR="002C2636" w:rsidRPr="00A51BF6" w:rsidRDefault="002C2636" w:rsidP="002C2636">
      <w:pPr>
        <w:ind w:left="851" w:right="901"/>
        <w:jc w:val="both"/>
        <w:rPr>
          <w:rFonts w:ascii="Palatino Linotype" w:eastAsia="Calibri" w:hAnsi="Palatino Linotype"/>
          <w:b/>
          <w:i/>
          <w:sz w:val="22"/>
          <w:szCs w:val="22"/>
          <w:lang w:val="es-ES"/>
        </w:rPr>
      </w:pPr>
      <w:r w:rsidRPr="00A51BF6">
        <w:rPr>
          <w:rFonts w:ascii="Palatino Linotype" w:eastAsia="Calibri" w:hAnsi="Palatino Linotype"/>
          <w:b/>
          <w:i/>
          <w:sz w:val="22"/>
          <w:szCs w:val="22"/>
          <w:lang w:val="es-ES"/>
        </w:rPr>
        <w:t>V. Utilizar servicios de fletes y acarreos complementarios.</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12.61.-</w:t>
      </w:r>
      <w:r w:rsidRPr="00A51BF6">
        <w:rPr>
          <w:rFonts w:ascii="Palatino Linotype" w:eastAsia="Calibri" w:hAnsi="Palatino Linotype"/>
          <w:i/>
          <w:sz w:val="22"/>
          <w:szCs w:val="22"/>
          <w:lang w:val="es-ES"/>
        </w:rPr>
        <w:t xml:space="preserve"> En la ejecución de los trabajos por administración directa serán aplicables en lo conducente, las disposiciones de este Libro relativas a la obra pública contratada. </w:t>
      </w:r>
    </w:p>
    <w:p w:rsidR="002C2636" w:rsidRPr="00A51BF6" w:rsidRDefault="002C2636" w:rsidP="002C2636">
      <w:pPr>
        <w:tabs>
          <w:tab w:val="left" w:pos="8647"/>
        </w:tabs>
        <w:ind w:left="567" w:right="851"/>
        <w:jc w:val="both"/>
        <w:rPr>
          <w:rFonts w:ascii="Palatino Linotype" w:eastAsia="Calibri" w:hAnsi="Palatino Linotype"/>
          <w:i/>
          <w:sz w:val="22"/>
          <w:szCs w:val="22"/>
          <w:lang w:val="es-ES"/>
        </w:rPr>
      </w:pPr>
    </w:p>
    <w:p w:rsidR="002C2636" w:rsidRPr="00A51BF6" w:rsidRDefault="002C2636"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b/>
          <w:i/>
          <w:sz w:val="22"/>
          <w:szCs w:val="22"/>
          <w:lang w:val="es-ES"/>
        </w:rPr>
        <w:t>Artículo 12.62.-</w:t>
      </w:r>
      <w:r w:rsidRPr="00A51BF6">
        <w:rPr>
          <w:rFonts w:ascii="Palatino Linotype" w:eastAsia="Calibri" w:hAnsi="Palatino Linotype"/>
          <w:i/>
          <w:sz w:val="22"/>
          <w:szCs w:val="22"/>
          <w:lang w:val="es-ES"/>
        </w:rPr>
        <w:t xml:space="preserve"> En la obra por administración directa bajo ninguna circunstancia podrán participar terceros como contratistas, sean cuales fueren las circunstancias particulares, naturaleza jurídica o modalidades que estos adopten.</w:t>
      </w:r>
      <w:r w:rsidR="00F917D7" w:rsidRPr="00A51BF6">
        <w:rPr>
          <w:rFonts w:ascii="Palatino Linotype" w:eastAsia="Calibri" w:hAnsi="Palatino Linotype"/>
          <w:i/>
          <w:sz w:val="22"/>
          <w:szCs w:val="22"/>
          <w:lang w:val="es-ES"/>
        </w:rPr>
        <w:t>”</w:t>
      </w:r>
    </w:p>
    <w:p w:rsidR="00F917D7" w:rsidRPr="00A51BF6" w:rsidRDefault="00F917D7" w:rsidP="002C2636">
      <w:pPr>
        <w:ind w:left="851" w:right="901"/>
        <w:jc w:val="both"/>
        <w:rPr>
          <w:rFonts w:ascii="Palatino Linotype" w:eastAsia="Calibri" w:hAnsi="Palatino Linotype"/>
          <w:i/>
          <w:sz w:val="22"/>
          <w:szCs w:val="22"/>
          <w:lang w:val="es-ES"/>
        </w:rPr>
      </w:pPr>
    </w:p>
    <w:p w:rsidR="00F917D7" w:rsidRPr="00A51BF6" w:rsidRDefault="00F917D7" w:rsidP="002C2636">
      <w:pPr>
        <w:ind w:left="851" w:right="901"/>
        <w:jc w:val="both"/>
        <w:rPr>
          <w:rFonts w:ascii="Palatino Linotype" w:eastAsia="Calibri" w:hAnsi="Palatino Linotype"/>
          <w:i/>
          <w:sz w:val="22"/>
          <w:szCs w:val="22"/>
          <w:lang w:val="es-ES"/>
        </w:rPr>
      </w:pPr>
      <w:r w:rsidRPr="00A51BF6">
        <w:rPr>
          <w:rFonts w:ascii="Palatino Linotype" w:eastAsia="Calibri" w:hAnsi="Palatino Linotype"/>
          <w:i/>
          <w:sz w:val="22"/>
          <w:szCs w:val="22"/>
          <w:lang w:val="es-ES"/>
        </w:rPr>
        <w:t>(Énfasis añadido)</w:t>
      </w:r>
    </w:p>
    <w:p w:rsidR="002C2636" w:rsidRPr="00A51BF6" w:rsidRDefault="002C2636" w:rsidP="00F917D7">
      <w:pPr>
        <w:tabs>
          <w:tab w:val="left" w:pos="8647"/>
        </w:tabs>
        <w:spacing w:before="100" w:beforeAutospacing="1" w:after="100" w:afterAutospacing="1" w:line="360" w:lineRule="auto"/>
        <w:ind w:right="51"/>
        <w:jc w:val="both"/>
        <w:rPr>
          <w:rFonts w:ascii="Palatino Linotype" w:eastAsia="Calibri" w:hAnsi="Palatino Linotype" w:cs="Arial"/>
          <w:lang w:val="es-ES"/>
        </w:rPr>
      </w:pPr>
      <w:r w:rsidRPr="00A51BF6">
        <w:rPr>
          <w:rFonts w:ascii="Palatino Linotype" w:eastAsia="Calibri" w:hAnsi="Palatino Linotype" w:cs="Arial"/>
          <w:lang w:val="es-ES"/>
        </w:rPr>
        <w:t xml:space="preserve">Es así, que de los preceptos citados se concluye que el Libro Décimo Segundo del Código Administrativo del Estado de México, regula lo concerniente a la obra pública </w:t>
      </w:r>
      <w:r w:rsidRPr="00A51BF6">
        <w:rPr>
          <w:rFonts w:ascii="Palatino Linotype" w:eastAsia="Calibri" w:hAnsi="Palatino Linotype" w:cs="Arial"/>
          <w:lang w:val="es-ES"/>
        </w:rPr>
        <w:lastRenderedPageBreak/>
        <w:t xml:space="preserve">que realicen los Municipios; por lo que, </w:t>
      </w:r>
      <w:r w:rsidRPr="00A51BF6">
        <w:rPr>
          <w:rFonts w:ascii="Palatino Linotype" w:eastAsia="Calibri" w:hAnsi="Palatino Linotype" w:cs="Arial"/>
          <w:b/>
          <w:lang w:val="es-ES"/>
        </w:rPr>
        <w:t>EL SUJETO OBLIGADO</w:t>
      </w:r>
      <w:r w:rsidRPr="00A51BF6">
        <w:rPr>
          <w:rFonts w:ascii="Palatino Linotype" w:eastAsia="Calibri" w:hAnsi="Palatino Linotype" w:cs="Arial"/>
          <w:lang w:val="es-ES"/>
        </w:rPr>
        <w:t>,</w:t>
      </w:r>
      <w:r w:rsidRPr="00A51BF6">
        <w:rPr>
          <w:rFonts w:ascii="Palatino Linotype" w:eastAsia="Calibri" w:hAnsi="Palatino Linotype" w:cs="Arial"/>
          <w:b/>
          <w:lang w:val="es-ES"/>
        </w:rPr>
        <w:t xml:space="preserve"> </w:t>
      </w:r>
      <w:r w:rsidRPr="00A51BF6">
        <w:rPr>
          <w:rFonts w:ascii="Palatino Linotype" w:eastAsia="Calibri" w:hAnsi="Palatino Linotype" w:cs="Arial"/>
          <w:lang w:val="es-ES"/>
        </w:rPr>
        <w:t>al contar con facultades para la realización de actos relativos a la planeación, programación, presupuestación, adjudicación, contratación, ejecución y control de la obra pública; así como, los servicios relacionados con la misma que, por sí o por conducto de terceros, realice; asimismo, al tener el deber de formular los programas de obra pública o de servicios relacionados con la misma, con sus respectivos presupuestos, con base en las políticas, objetivos y prioridades de la planeación del desarrollo del Municipio; las obras se adjudicarán, a través de licitaciones públicas, mediante convocatoria pública o mediante invitación restringida o adjudicación directa; aunado a lo expuesto, es importante referir que dicho Código establece que los Ayuntamientos podrán realizar obras por administración directa, siempre que posean la capacidad técnica y los elementos necesarios, consistentes en: maquinaria y equipo de construcción, personal técnico, trabajadores y materiales, es decir, por sí mismos podrán ejecutar la obra programada siempre que cuenten con la capacidad técnica y los elementos necesarios para realizarla.</w:t>
      </w:r>
    </w:p>
    <w:p w:rsidR="00F917D7" w:rsidRPr="00A51BF6" w:rsidRDefault="00F917D7" w:rsidP="00F917D7">
      <w:pPr>
        <w:spacing w:before="100" w:beforeAutospacing="1" w:after="100" w:afterAutospacing="1" w:line="360" w:lineRule="auto"/>
        <w:jc w:val="both"/>
        <w:rPr>
          <w:rFonts w:ascii="Palatino Linotype" w:eastAsia="Calibri" w:hAnsi="Palatino Linotype"/>
          <w:lang w:val="es-ES"/>
        </w:rPr>
      </w:pPr>
      <w:r w:rsidRPr="00A51BF6">
        <w:rPr>
          <w:rFonts w:ascii="Palatino Linotype" w:eastAsia="Calibri" w:hAnsi="Palatino Linotype"/>
          <w:lang w:val="es-ES"/>
        </w:rPr>
        <w:t>Por otro lado, no debe perderse de vista que la información, relacionada con procesos de licitación, adjudicación directa e invitación restringida de obra pública, es considerada como una de las obligaciones de transparencias comunes que los Sujetos Obligados tienen el deber de poner a disposición del público de manera permanente y actualizada, de forma sencilla, precisa y entendible, en los respectivos medios electrónicos, de acuerdo con sus facultades, atribuciones, funciones u objeto social, según corresponda; esto conforme a lo establecido en el artículo 92 de la de la Ley de Transparencia y Acceso a la Información Pública del Estado de México y Municipios, en su fracción XXIX, dispone lo siguiente:</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lastRenderedPageBreak/>
        <w:t>“Artículo 92. </w:t>
      </w:r>
      <w:r w:rsidRPr="00A51BF6">
        <w:rPr>
          <w:rFonts w:ascii="Palatino Linotype" w:hAnsi="Palatino Linotype" w:cs="Arial"/>
          <w:i/>
          <w:iCs/>
          <w:sz w:val="22"/>
          <w:szCs w:val="22"/>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i/>
          <w:iCs/>
          <w:sz w:val="22"/>
          <w:szCs w:val="22"/>
        </w:rPr>
        <w:t>(…)</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XXIX. </w:t>
      </w:r>
      <w:r w:rsidRPr="00A51BF6">
        <w:rPr>
          <w:rFonts w:ascii="Palatino Linotype" w:hAnsi="Palatino Linotype" w:cs="Arial"/>
          <w:i/>
          <w:iCs/>
          <w:sz w:val="22"/>
          <w:szCs w:val="22"/>
        </w:rPr>
        <w:t>La información sobre los procesos y resultados sobre procedimientos de adjudicación directa, invitación restringida y licitación de cualquier naturaleza, </w:t>
      </w:r>
      <w:r w:rsidRPr="00A51BF6">
        <w:rPr>
          <w:rFonts w:ascii="Palatino Linotype" w:hAnsi="Palatino Linotype" w:cs="Arial"/>
          <w:b/>
          <w:bCs/>
          <w:i/>
          <w:iCs/>
          <w:sz w:val="22"/>
          <w:szCs w:val="22"/>
          <w:u w:val="single"/>
        </w:rPr>
        <w:t>incluyendo la versión pública del expediente respectivo y de los contratos</w:t>
      </w:r>
      <w:r w:rsidRPr="00A51BF6">
        <w:rPr>
          <w:rFonts w:ascii="Palatino Linotype" w:hAnsi="Palatino Linotype" w:cs="Arial"/>
          <w:i/>
          <w:iCs/>
          <w:sz w:val="22"/>
          <w:szCs w:val="22"/>
        </w:rPr>
        <w:t> celebrados, que deberán contener, por los menos, lo siguiente:</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a) </w:t>
      </w:r>
      <w:r w:rsidRPr="00A51BF6">
        <w:rPr>
          <w:rFonts w:ascii="Palatino Linotype" w:hAnsi="Palatino Linotype" w:cs="Arial"/>
          <w:i/>
          <w:iCs/>
          <w:sz w:val="22"/>
          <w:szCs w:val="22"/>
        </w:rPr>
        <w:t>De licitaciones públicas o procedimientos de invitación restringida:</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w:t>
      </w:r>
      <w:r w:rsidRPr="00A51BF6">
        <w:rPr>
          <w:rFonts w:ascii="Palatino Linotype" w:hAnsi="Palatino Linotype" w:cs="Arial"/>
          <w:i/>
          <w:iCs/>
          <w:sz w:val="22"/>
          <w:szCs w:val="22"/>
        </w:rPr>
        <w:t> La convocatoria o invitación emitida, así como los fundamentos legales aplicados para llevarla a cabo;</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2) </w:t>
      </w:r>
      <w:r w:rsidRPr="00A51BF6">
        <w:rPr>
          <w:rFonts w:ascii="Palatino Linotype" w:hAnsi="Palatino Linotype" w:cs="Arial"/>
          <w:i/>
          <w:iCs/>
          <w:sz w:val="22"/>
          <w:szCs w:val="22"/>
        </w:rPr>
        <w:t>Los nombres de los participantes o invitados;</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3)</w:t>
      </w:r>
      <w:r w:rsidRPr="00A51BF6">
        <w:rPr>
          <w:rFonts w:ascii="Palatino Linotype" w:hAnsi="Palatino Linotype" w:cs="Arial"/>
          <w:i/>
          <w:iCs/>
          <w:sz w:val="22"/>
          <w:szCs w:val="22"/>
        </w:rPr>
        <w:t> El nombre del ganador y las razones que lo justifican;</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4) </w:t>
      </w:r>
      <w:r w:rsidRPr="00A51BF6">
        <w:rPr>
          <w:rFonts w:ascii="Palatino Linotype" w:hAnsi="Palatino Linotype" w:cs="Arial"/>
          <w:i/>
          <w:iCs/>
          <w:sz w:val="22"/>
          <w:szCs w:val="22"/>
        </w:rPr>
        <w:t>El área solicitante y la responsable de su ejecución;</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5) </w:t>
      </w:r>
      <w:r w:rsidRPr="00A51BF6">
        <w:rPr>
          <w:rFonts w:ascii="Palatino Linotype" w:hAnsi="Palatino Linotype" w:cs="Arial"/>
          <w:i/>
          <w:iCs/>
          <w:sz w:val="22"/>
          <w:szCs w:val="22"/>
        </w:rPr>
        <w:t>Las convocatorias e invitaciones emitidas;</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6)</w:t>
      </w:r>
      <w:r w:rsidRPr="00A51BF6">
        <w:rPr>
          <w:rFonts w:ascii="Palatino Linotype" w:hAnsi="Palatino Linotype" w:cs="Arial"/>
          <w:i/>
          <w:iCs/>
          <w:sz w:val="22"/>
          <w:szCs w:val="22"/>
        </w:rPr>
        <w:t> Los dictámenes y fallo de adjudicación;</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7)</w:t>
      </w:r>
      <w:r w:rsidRPr="00A51BF6">
        <w:rPr>
          <w:rFonts w:ascii="Palatino Linotype" w:hAnsi="Palatino Linotype" w:cs="Arial"/>
          <w:bCs/>
          <w:i/>
          <w:iCs/>
          <w:sz w:val="22"/>
          <w:szCs w:val="22"/>
        </w:rPr>
        <w:t xml:space="preserve"> El contrato y, en </w:t>
      </w:r>
      <w:r w:rsidRPr="00A51BF6">
        <w:rPr>
          <w:rFonts w:ascii="Palatino Linotype" w:hAnsi="Palatino Linotype" w:cs="Arial"/>
          <w:i/>
          <w:iCs/>
          <w:sz w:val="22"/>
          <w:szCs w:val="22"/>
        </w:rPr>
        <w:t>su</w:t>
      </w:r>
      <w:r w:rsidRPr="00A51BF6">
        <w:rPr>
          <w:rFonts w:ascii="Palatino Linotype" w:hAnsi="Palatino Linotype" w:cs="Arial"/>
          <w:bCs/>
          <w:i/>
          <w:iCs/>
          <w:sz w:val="22"/>
          <w:szCs w:val="22"/>
        </w:rPr>
        <w:t xml:space="preserve"> caso, sus anexos;</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8) </w:t>
      </w:r>
      <w:r w:rsidRPr="00A51BF6">
        <w:rPr>
          <w:rFonts w:ascii="Palatino Linotype" w:hAnsi="Palatino Linotype" w:cs="Arial"/>
          <w:i/>
          <w:iCs/>
          <w:sz w:val="22"/>
          <w:szCs w:val="22"/>
        </w:rPr>
        <w:t>Los mecanismos de vigilancia y supervisión, incluyendo en su caso, los estudios de impacto urbano y ambiental, según corresponda;</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9) </w:t>
      </w:r>
      <w:r w:rsidRPr="00A51BF6">
        <w:rPr>
          <w:rFonts w:ascii="Palatino Linotype" w:hAnsi="Palatino Linotype" w:cs="Arial"/>
          <w:i/>
          <w:iCs/>
          <w:sz w:val="22"/>
          <w:szCs w:val="22"/>
        </w:rPr>
        <w:t>La partida presupuestal, de conformidad con el clasificador por objeto del gasto, en el caso de ser aplicable;</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10) </w:t>
      </w:r>
      <w:r w:rsidRPr="00A51BF6">
        <w:rPr>
          <w:rFonts w:ascii="Palatino Linotype" w:hAnsi="Palatino Linotype" w:cs="Arial"/>
          <w:i/>
          <w:iCs/>
          <w:sz w:val="22"/>
          <w:szCs w:val="22"/>
        </w:rPr>
        <w:t>Origen de los recursos especificando si son federales, estatales o municipales, así como el tipo de fondo de participación o aportación respectiva;</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11) </w:t>
      </w:r>
      <w:r w:rsidRPr="00A51BF6">
        <w:rPr>
          <w:rFonts w:ascii="Palatino Linotype" w:hAnsi="Palatino Linotype" w:cs="Arial"/>
          <w:i/>
          <w:iCs/>
          <w:sz w:val="22"/>
          <w:szCs w:val="22"/>
        </w:rPr>
        <w:t>Los convenios modificatorios que, en su caso, sean firmados, precisando el objeto y la fecha de celebración;</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12) </w:t>
      </w:r>
      <w:r w:rsidRPr="00A51BF6">
        <w:rPr>
          <w:rFonts w:ascii="Palatino Linotype" w:hAnsi="Palatino Linotype" w:cs="Arial"/>
          <w:i/>
          <w:iCs/>
          <w:sz w:val="22"/>
          <w:szCs w:val="22"/>
        </w:rPr>
        <w:t>Los informes de avance físico y financiero sobre las obras o servicios contratados;</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13) </w:t>
      </w:r>
      <w:r w:rsidRPr="00A51BF6">
        <w:rPr>
          <w:rFonts w:ascii="Palatino Linotype" w:hAnsi="Palatino Linotype" w:cs="Arial"/>
          <w:i/>
          <w:iCs/>
          <w:sz w:val="22"/>
          <w:szCs w:val="22"/>
        </w:rPr>
        <w:t>El convenio de terminación; y</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14) </w:t>
      </w:r>
      <w:r w:rsidRPr="00A51BF6">
        <w:rPr>
          <w:rFonts w:ascii="Palatino Linotype" w:hAnsi="Palatino Linotype" w:cs="Arial"/>
          <w:i/>
          <w:iCs/>
          <w:sz w:val="22"/>
          <w:szCs w:val="22"/>
        </w:rPr>
        <w:t>El finiquito.</w:t>
      </w:r>
    </w:p>
    <w:p w:rsidR="00F917D7" w:rsidRPr="00A51BF6" w:rsidRDefault="00F917D7" w:rsidP="00F917D7">
      <w:pPr>
        <w:ind w:left="851" w:right="901"/>
        <w:jc w:val="both"/>
        <w:rPr>
          <w:rFonts w:ascii="Palatino Linotype" w:hAnsi="Palatino Linotype" w:cs="Arial"/>
          <w:b/>
          <w:bCs/>
          <w:i/>
          <w:iCs/>
          <w:sz w:val="22"/>
          <w:szCs w:val="22"/>
        </w:rPr>
      </w:pP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b) </w:t>
      </w:r>
      <w:r w:rsidRPr="00A51BF6">
        <w:rPr>
          <w:rFonts w:ascii="Palatino Linotype" w:hAnsi="Palatino Linotype" w:cs="Arial"/>
          <w:i/>
          <w:iCs/>
          <w:sz w:val="22"/>
          <w:szCs w:val="22"/>
        </w:rPr>
        <w:t>De las adjudicaciones directas:</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 </w:t>
      </w:r>
      <w:r w:rsidRPr="00A51BF6">
        <w:rPr>
          <w:rFonts w:ascii="Palatino Linotype" w:hAnsi="Palatino Linotype" w:cs="Arial"/>
          <w:i/>
          <w:iCs/>
          <w:sz w:val="22"/>
          <w:szCs w:val="22"/>
        </w:rPr>
        <w:t>La propuesta enviada por el participante;</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2) </w:t>
      </w:r>
      <w:r w:rsidRPr="00A51BF6">
        <w:rPr>
          <w:rFonts w:ascii="Palatino Linotype" w:hAnsi="Palatino Linotype" w:cs="Arial"/>
          <w:i/>
          <w:iCs/>
          <w:sz w:val="22"/>
          <w:szCs w:val="22"/>
        </w:rPr>
        <w:t>Los motivos y fundamentos legales aplicados para llevarla a cabo;</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3) </w:t>
      </w:r>
      <w:r w:rsidRPr="00A51BF6">
        <w:rPr>
          <w:rFonts w:ascii="Palatino Linotype" w:hAnsi="Palatino Linotype" w:cs="Arial"/>
          <w:i/>
          <w:iCs/>
          <w:sz w:val="22"/>
          <w:szCs w:val="22"/>
        </w:rPr>
        <w:t>La autorización del ejercicio de la opción;</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4) </w:t>
      </w:r>
      <w:r w:rsidRPr="00A51BF6">
        <w:rPr>
          <w:rFonts w:ascii="Palatino Linotype" w:hAnsi="Palatino Linotype" w:cs="Arial"/>
          <w:i/>
          <w:iCs/>
          <w:sz w:val="22"/>
          <w:szCs w:val="22"/>
        </w:rPr>
        <w:t>En su caso, las cotizaciones consideradas, especificando los nombres de los proveedores y sus montos;</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5) </w:t>
      </w:r>
      <w:r w:rsidRPr="00A51BF6">
        <w:rPr>
          <w:rFonts w:ascii="Palatino Linotype" w:hAnsi="Palatino Linotype" w:cs="Arial"/>
          <w:i/>
          <w:iCs/>
          <w:sz w:val="22"/>
          <w:szCs w:val="22"/>
        </w:rPr>
        <w:t>El nombre de la persona física o jurídica colectiva adjudicada;</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6) </w:t>
      </w:r>
      <w:r w:rsidRPr="00A51BF6">
        <w:rPr>
          <w:rFonts w:ascii="Palatino Linotype" w:hAnsi="Palatino Linotype" w:cs="Arial"/>
          <w:i/>
          <w:iCs/>
          <w:sz w:val="22"/>
          <w:szCs w:val="22"/>
        </w:rPr>
        <w:t>La unidad administrativa solicitante y la responsable de su ejecución;</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7)</w:t>
      </w:r>
      <w:r w:rsidRPr="00A51BF6">
        <w:rPr>
          <w:rFonts w:ascii="Palatino Linotype" w:hAnsi="Palatino Linotype" w:cs="Arial"/>
          <w:bCs/>
          <w:i/>
          <w:iCs/>
          <w:sz w:val="22"/>
          <w:szCs w:val="22"/>
        </w:rPr>
        <w:t> El número, fecha, el monto del contrato y el plazo de entrega o de ejecución de los servicios u obra;</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lastRenderedPageBreak/>
        <w:t>8) </w:t>
      </w:r>
      <w:r w:rsidRPr="00A51BF6">
        <w:rPr>
          <w:rFonts w:ascii="Palatino Linotype" w:hAnsi="Palatino Linotype" w:cs="Arial"/>
          <w:i/>
          <w:iCs/>
          <w:sz w:val="22"/>
          <w:szCs w:val="22"/>
        </w:rPr>
        <w:t>Los mecanismos de vigilancia y supervisión, incluyendo, en su caso, los estudios de impacto urbano y ambiental, según corresponda;</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9) </w:t>
      </w:r>
      <w:r w:rsidRPr="00A51BF6">
        <w:rPr>
          <w:rFonts w:ascii="Palatino Linotype" w:hAnsi="Palatino Linotype" w:cs="Arial"/>
          <w:i/>
          <w:iCs/>
          <w:sz w:val="22"/>
          <w:szCs w:val="22"/>
        </w:rPr>
        <w:t>Los informes de avance sobre las obras o servicios contratados;</w:t>
      </w:r>
    </w:p>
    <w:p w:rsidR="00F917D7" w:rsidRPr="00A51BF6" w:rsidRDefault="00F917D7" w:rsidP="00F917D7">
      <w:pPr>
        <w:ind w:left="851" w:right="901"/>
        <w:jc w:val="both"/>
        <w:rPr>
          <w:rFonts w:ascii="Palatino Linotype" w:hAnsi="Palatino Linotype" w:cs="Arial"/>
          <w:sz w:val="22"/>
          <w:szCs w:val="22"/>
        </w:rPr>
      </w:pPr>
      <w:r w:rsidRPr="00A51BF6">
        <w:rPr>
          <w:rFonts w:ascii="Palatino Linotype" w:hAnsi="Palatino Linotype" w:cs="Arial"/>
          <w:b/>
          <w:bCs/>
          <w:i/>
          <w:iCs/>
          <w:sz w:val="22"/>
          <w:szCs w:val="22"/>
        </w:rPr>
        <w:t>10) </w:t>
      </w:r>
      <w:r w:rsidRPr="00A51BF6">
        <w:rPr>
          <w:rFonts w:ascii="Palatino Linotype" w:hAnsi="Palatino Linotype" w:cs="Arial"/>
          <w:i/>
          <w:iCs/>
          <w:sz w:val="22"/>
          <w:szCs w:val="22"/>
        </w:rPr>
        <w:t>El convenio de terminación; y</w:t>
      </w:r>
    </w:p>
    <w:p w:rsidR="00F917D7" w:rsidRPr="00A51BF6" w:rsidRDefault="00F917D7" w:rsidP="00F917D7">
      <w:pPr>
        <w:ind w:left="851" w:right="901"/>
        <w:jc w:val="both"/>
        <w:rPr>
          <w:rFonts w:ascii="Palatino Linotype" w:hAnsi="Palatino Linotype" w:cs="Arial"/>
          <w:b/>
          <w:i/>
          <w:iCs/>
          <w:sz w:val="22"/>
          <w:szCs w:val="22"/>
        </w:rPr>
      </w:pPr>
      <w:r w:rsidRPr="00A51BF6">
        <w:rPr>
          <w:rFonts w:ascii="Palatino Linotype" w:hAnsi="Palatino Linotype" w:cs="Arial"/>
          <w:b/>
          <w:bCs/>
          <w:i/>
          <w:iCs/>
          <w:sz w:val="22"/>
          <w:szCs w:val="22"/>
        </w:rPr>
        <w:t>11) </w:t>
      </w:r>
      <w:r w:rsidRPr="00A51BF6">
        <w:rPr>
          <w:rFonts w:ascii="Palatino Linotype" w:hAnsi="Palatino Linotype" w:cs="Arial"/>
          <w:i/>
          <w:iCs/>
          <w:sz w:val="22"/>
          <w:szCs w:val="22"/>
        </w:rPr>
        <w:t>El finiquito.</w:t>
      </w:r>
      <w:r w:rsidRPr="00A51BF6">
        <w:rPr>
          <w:rFonts w:ascii="Palatino Linotype" w:hAnsi="Palatino Linotype" w:cs="Arial"/>
          <w:b/>
          <w:i/>
          <w:iCs/>
          <w:sz w:val="22"/>
          <w:szCs w:val="22"/>
        </w:rPr>
        <w:t>”</w:t>
      </w:r>
    </w:p>
    <w:p w:rsidR="00F917D7" w:rsidRPr="00A51BF6" w:rsidRDefault="00F917D7" w:rsidP="00F917D7">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De lo anterior, se desprende que los Sujetos Obligados están constreñidos a poner a disposición del público de manera constante y actualizada, de forma sencilla, precisa y entendible, en los respectivos medios electrónicos, la información referente a los procesos y resultados sobre procedimientos de adjudicación directa, invitación restringida y licitación de cualquier naturaleza, </w:t>
      </w:r>
      <w:r w:rsidRPr="00A51BF6">
        <w:rPr>
          <w:rFonts w:ascii="Palatino Linotype" w:hAnsi="Palatino Linotype" w:cs="Arial"/>
          <w:b/>
        </w:rPr>
        <w:t>en el que se debe incluir dentro de la versión pública del expediente respectivo; contrato celebrado (que debe contener entre otros requisitos, el número, fecha y monto del mismo; así como, el plazo de entrega o de ejecución de los servicios u obra); convenios modificatorios que, en su caso, sean firmados, precisando el objeto y la fecha de celebración; origen de los recursos especificando si son federales, estatales o municipales, así como el tipo de fondo de participación o aportación respectiva, en general la información sobre los procesos y resultados sobre procedimientos de adjudicación directa, invitación restringida y licitación de cualquier naturaleza.</w:t>
      </w:r>
    </w:p>
    <w:p w:rsidR="00F917D7" w:rsidRPr="00A51BF6" w:rsidRDefault="00A51BF6" w:rsidP="00F917D7">
      <w:pPr>
        <w:autoSpaceDE w:val="0"/>
        <w:autoSpaceDN w:val="0"/>
        <w:adjustRightInd w:val="0"/>
        <w:spacing w:before="100" w:beforeAutospacing="1" w:after="100" w:afterAutospacing="1" w:line="360" w:lineRule="auto"/>
        <w:jc w:val="both"/>
        <w:rPr>
          <w:rFonts w:ascii="Palatino Linotype" w:hAnsi="Palatino Linotype" w:cs="Arial"/>
          <w:color w:val="000000"/>
        </w:rPr>
      </w:pPr>
      <w:r w:rsidRPr="00A51BF6">
        <w:rPr>
          <w:rFonts w:ascii="Palatino Linotype" w:hAnsi="Palatino Linotype" w:cs="Arial"/>
          <w:noProof/>
          <w:color w:val="000000"/>
          <w:lang w:eastAsia="es-MX"/>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1783081</wp:posOffset>
                </wp:positionV>
                <wp:extent cx="5753100" cy="876300"/>
                <wp:effectExtent l="0" t="0" r="19050" b="19050"/>
                <wp:wrapNone/>
                <wp:docPr id="2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8763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80BCB" id="AutoShape 8" o:spid="_x0000_s1026" type="#_x0000_t32" style="position:absolute;margin-left:401.8pt;margin-top:140.4pt;width:453pt;height:69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" strokeweight="1.5pt">
                <w10:wrap anchorx="margin"/>
              </v:shape>
            </w:pict>
          </mc:Fallback>
        </mc:AlternateContent>
      </w:r>
      <w:r w:rsidR="00F917D7" w:rsidRPr="00A51BF6">
        <w:rPr>
          <w:rFonts w:ascii="Palatino Linotype" w:hAnsi="Palatino Linotype" w:cs="Arial"/>
          <w:color w:val="000000"/>
        </w:rPr>
        <w:t xml:space="preserve">Aunado a lo anterior, es de precisar que la información relacionada con obra pública, se tiene contemplada dentro de los informes </w:t>
      </w:r>
      <w:r w:rsidR="00F917D7" w:rsidRPr="00A51BF6">
        <w:rPr>
          <w:rFonts w:ascii="Palatino Linotype" w:eastAsia="Calibri" w:hAnsi="Palatino Linotype" w:cs="Arial"/>
          <w:lang w:val="es-ES"/>
        </w:rPr>
        <w:t>mensuales que los Ayuntamientos tienen la obligación de entregar al OSFEM,</w:t>
      </w:r>
      <w:r w:rsidR="00F917D7" w:rsidRPr="00A51BF6">
        <w:rPr>
          <w:rFonts w:ascii="Palatino Linotype" w:hAnsi="Palatino Linotype" w:cs="Arial"/>
        </w:rPr>
        <w:t xml:space="preserve"> mismas que se </w:t>
      </w:r>
      <w:r w:rsidR="00F917D7" w:rsidRPr="00A51BF6">
        <w:rPr>
          <w:rFonts w:ascii="Palatino Linotype" w:hAnsi="Palatino Linotype" w:cs="Arial"/>
          <w:color w:val="000000"/>
        </w:rPr>
        <w:t>encuentra localizables en el Disco 3, para mayor referencia se inserta la imagen obtenida a manera de ejemplo de los Lineamientos para la Elaboración y Presentación del Informe Mensual Municipal 2019, a continuación:</w:t>
      </w:r>
    </w:p>
    <w:p w:rsidR="00F44061" w:rsidRPr="00A51BF6" w:rsidRDefault="00A51BF6" w:rsidP="00F917D7">
      <w:pPr>
        <w:widowControl w:val="0"/>
        <w:autoSpaceDE w:val="0"/>
        <w:autoSpaceDN w:val="0"/>
        <w:adjustRightInd w:val="0"/>
        <w:spacing w:before="100" w:beforeAutospacing="1" w:after="100" w:afterAutospacing="1" w:line="360" w:lineRule="auto"/>
        <w:ind w:right="51"/>
        <w:jc w:val="center"/>
        <w:rPr>
          <w:rFonts w:ascii="Palatino Linotype" w:hAnsi="Palatino Linotype" w:cs="Arial"/>
        </w:rPr>
      </w:pPr>
      <w:r w:rsidRPr="00A51BF6">
        <w:rPr>
          <w:noProof/>
          <w:lang w:eastAsia="es-MX"/>
        </w:rPr>
        <w:lastRenderedPageBreak/>
        <mc:AlternateContent>
          <mc:Choice Requires="wps">
            <w:drawing>
              <wp:anchor distT="0" distB="0" distL="114300" distR="114300" simplePos="0" relativeHeight="251663360" behindDoc="0" locked="0" layoutInCell="1" allowOverlap="1">
                <wp:simplePos x="0" y="0"/>
                <wp:positionH relativeFrom="column">
                  <wp:posOffset>964565</wp:posOffset>
                </wp:positionH>
                <wp:positionV relativeFrom="paragraph">
                  <wp:posOffset>43815</wp:posOffset>
                </wp:positionV>
                <wp:extent cx="3622675" cy="341630"/>
                <wp:effectExtent l="15875" t="20955" r="19050" b="18415"/>
                <wp:wrapNone/>
                <wp:docPr id="1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2675" cy="341630"/>
                        </a:xfrm>
                        <a:prstGeom prst="rect">
                          <a:avLst/>
                        </a:prstGeom>
                        <a:noFill/>
                        <a:ln w="2857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90531" id="Rectangle 9" o:spid="_x0000_s1026" style="position:absolute;margin-left:75.95pt;margin-top:3.45pt;width:285.25pt;height:2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" filled="f" strokecolor="#4f81bd [3204]" strokeweight="2.25pt"/>
            </w:pict>
          </mc:Fallback>
        </mc:AlternateContent>
      </w:r>
      <w:r w:rsidR="00F917D7" w:rsidRPr="00A51BF6">
        <w:rPr>
          <w:noProof/>
          <w:lang w:eastAsia="es-MX"/>
        </w:rPr>
        <w:drawing>
          <wp:inline distT="0" distB="0" distL="0" distR="0" wp14:anchorId="25B0D3ED" wp14:editId="0BBEE758">
            <wp:extent cx="4539613" cy="253720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384" t="37419" r="31915" b="16976"/>
                    <a:stretch/>
                  </pic:blipFill>
                  <pic:spPr bwMode="auto">
                    <a:xfrm>
                      <a:off x="0" y="0"/>
                      <a:ext cx="4565981" cy="2551946"/>
                    </a:xfrm>
                    <a:prstGeom prst="rect">
                      <a:avLst/>
                    </a:prstGeom>
                    <a:ln>
                      <a:noFill/>
                    </a:ln>
                    <a:extLst>
                      <a:ext uri="{53640926-AAD7-44D8-BBD7-CCE9431645EC}">
                        <a14:shadowObscured xmlns:a14="http://schemas.microsoft.com/office/drawing/2010/main"/>
                      </a:ext>
                    </a:extLst>
                  </pic:spPr>
                </pic:pic>
              </a:graphicData>
            </a:graphic>
          </wp:inline>
        </w:drawing>
      </w:r>
    </w:p>
    <w:p w:rsidR="00F917D7" w:rsidRPr="00A51BF6" w:rsidRDefault="00F917D7" w:rsidP="00F917D7">
      <w:pPr>
        <w:widowControl w:val="0"/>
        <w:autoSpaceDE w:val="0"/>
        <w:autoSpaceDN w:val="0"/>
        <w:adjustRightInd w:val="0"/>
        <w:spacing w:before="100" w:beforeAutospacing="1" w:after="100" w:afterAutospacing="1" w:line="360" w:lineRule="auto"/>
        <w:ind w:right="51"/>
        <w:jc w:val="center"/>
        <w:rPr>
          <w:rFonts w:ascii="Palatino Linotype" w:hAnsi="Palatino Linotype" w:cs="Arial"/>
        </w:rPr>
      </w:pPr>
      <w:r w:rsidRPr="00A51BF6">
        <w:rPr>
          <w:noProof/>
          <w:lang w:eastAsia="es-MX"/>
        </w:rPr>
        <w:drawing>
          <wp:inline distT="0" distB="0" distL="0" distR="0" wp14:anchorId="68F9F78B" wp14:editId="589A7207">
            <wp:extent cx="3983859" cy="498398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490" t="17541" r="26324" b="17852"/>
                    <a:stretch/>
                  </pic:blipFill>
                  <pic:spPr bwMode="auto">
                    <a:xfrm>
                      <a:off x="0" y="0"/>
                      <a:ext cx="4008073" cy="5014276"/>
                    </a:xfrm>
                    <a:prstGeom prst="rect">
                      <a:avLst/>
                    </a:prstGeom>
                    <a:ln>
                      <a:noFill/>
                    </a:ln>
                    <a:extLst>
                      <a:ext uri="{53640926-AAD7-44D8-BBD7-CCE9431645EC}">
                        <a14:shadowObscured xmlns:a14="http://schemas.microsoft.com/office/drawing/2010/main"/>
                      </a:ext>
                    </a:extLst>
                  </pic:spPr>
                </pic:pic>
              </a:graphicData>
            </a:graphic>
          </wp:inline>
        </w:drawing>
      </w:r>
    </w:p>
    <w:p w:rsidR="00F917D7" w:rsidRPr="00A51BF6" w:rsidRDefault="00F917D7" w:rsidP="00F917D7">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lastRenderedPageBreak/>
        <w:t xml:space="preserve">En mérito de lo expuesto, resulta claro que los Ayuntamientos deben observar las disposiciones previstas en el Libro Décimo Segundo del Código Administrativo del Estado de México, su Reglamento, la Ley de Transparencia y Acceso a la Información Pública del Estado de México y Municipios, los </w:t>
      </w:r>
      <w:r w:rsidRPr="00A51BF6">
        <w:rPr>
          <w:rFonts w:ascii="Palatino Linotype" w:hAnsi="Palatino Linotype" w:cs="Arial"/>
          <w:color w:val="000000" w:themeColor="text1"/>
          <w:lang w:eastAsia="es-MX"/>
        </w:rPr>
        <w:t xml:space="preserve">Lineamientos para la Integración de los Informes Mensuales 2019, </w:t>
      </w:r>
      <w:r w:rsidRPr="00A51BF6">
        <w:rPr>
          <w:rFonts w:ascii="Palatino Linotype" w:hAnsi="Palatino Linotype" w:cs="Arial"/>
        </w:rPr>
        <w:t>el Acuerdo del Secretario de Infraestructura por el que se establece el índice de expediente único de obra pública e instructivos de llenado en las modalidades de adjudicación directa, invitación restringida y licitación pública e instructivos de llenado en las modalidades de adjudicación directa, invitación restringida y licitación pública; así como, en las demás disposiciones normativas aplicables en materia de obra pública y servicios relacionados con las mismas.</w:t>
      </w:r>
    </w:p>
    <w:p w:rsidR="00F917D7" w:rsidRPr="00A51BF6" w:rsidRDefault="00F917D7" w:rsidP="00F917D7">
      <w:pPr>
        <w:widowControl w:val="0"/>
        <w:autoSpaceDE w:val="0"/>
        <w:autoSpaceDN w:val="0"/>
        <w:adjustRightInd w:val="0"/>
        <w:spacing w:before="100" w:beforeAutospacing="1" w:after="100" w:afterAutospacing="1" w:line="360" w:lineRule="auto"/>
        <w:ind w:right="51"/>
        <w:jc w:val="both"/>
        <w:rPr>
          <w:rFonts w:ascii="Palatino Linotype" w:eastAsia="Arial Unicode MS" w:hAnsi="Palatino Linotype" w:cs="Arial"/>
          <w:lang w:val="es-ES"/>
        </w:rPr>
      </w:pPr>
      <w:r w:rsidRPr="00A51BF6">
        <w:rPr>
          <w:rFonts w:ascii="Palatino Linotype" w:hAnsi="Palatino Linotype" w:cs="Arial"/>
          <w:color w:val="000000"/>
        </w:rPr>
        <w:t xml:space="preserve">Atento a ello, este Órgano Garante advierte que </w:t>
      </w:r>
      <w:r w:rsidRPr="00A51BF6">
        <w:rPr>
          <w:rFonts w:ascii="Palatino Linotype" w:hAnsi="Palatino Linotype" w:cs="Arial"/>
          <w:b/>
          <w:color w:val="000000"/>
        </w:rPr>
        <w:t xml:space="preserve">EL SUJETO OBLIGADO </w:t>
      </w:r>
      <w:r w:rsidRPr="00A51BF6">
        <w:rPr>
          <w:rFonts w:ascii="Palatino Linotype" w:hAnsi="Palatino Linotype" w:cs="Arial"/>
          <w:color w:val="000000"/>
        </w:rPr>
        <w:t>se encuentra en posibilidad de atender los requerimientos señalados en los</w:t>
      </w:r>
      <w:r w:rsidRPr="00A51BF6">
        <w:rPr>
          <w:rFonts w:ascii="Palatino Linotype" w:eastAsia="Calibri" w:hAnsi="Palatino Linotype" w:cs="Arial"/>
          <w:lang w:val="es-ES"/>
        </w:rPr>
        <w:t xml:space="preserve"> puntos 7, 10, 18, 20, 22 y 23 de la solicitud</w:t>
      </w:r>
      <w:r w:rsidRPr="00A51BF6">
        <w:rPr>
          <w:rFonts w:ascii="Palatino Linotype" w:hAnsi="Palatino Linotype" w:cs="Arial"/>
          <w:color w:val="000000"/>
        </w:rPr>
        <w:t xml:space="preserve">, de ser procedente en versión pública, </w:t>
      </w:r>
      <w:r w:rsidRPr="00A51BF6">
        <w:rPr>
          <w:rFonts w:ascii="Palatino Linotype" w:hAnsi="Palatino Linotype" w:cs="Arial"/>
          <w:bCs/>
          <w:color w:val="000000"/>
          <w:lang w:val="es-ES"/>
        </w:rPr>
        <w:t xml:space="preserve">cumpliendo con las formalidades que en líneas posteriores se estudiará; sin embargo, para el caso de no haberlo generado, </w:t>
      </w:r>
      <w:r w:rsidRPr="00A51BF6">
        <w:rPr>
          <w:rFonts w:ascii="Palatino Linotype" w:hAnsi="Palatino Linotype" w:cs="Arial"/>
          <w:lang w:val="es-ES"/>
        </w:rPr>
        <w:t xml:space="preserve">bastará con </w:t>
      </w:r>
      <w:r w:rsidRPr="00A51BF6">
        <w:rPr>
          <w:rFonts w:ascii="Palatino Linotype" w:eastAsia="Arial Unicode MS" w:hAnsi="Palatino Linotype" w:cs="Arial"/>
          <w:lang w:val="es-ES"/>
        </w:rPr>
        <w:t xml:space="preserve">hacerlo del conocimiento a el particular. </w:t>
      </w:r>
    </w:p>
    <w:p w:rsidR="00F917D7" w:rsidRPr="00A51BF6" w:rsidRDefault="00F917D7" w:rsidP="00341783">
      <w:pPr>
        <w:autoSpaceDE w:val="0"/>
        <w:autoSpaceDN w:val="0"/>
        <w:adjustRightInd w:val="0"/>
        <w:spacing w:before="100" w:beforeAutospacing="1" w:after="100" w:afterAutospacing="1" w:line="360" w:lineRule="auto"/>
        <w:jc w:val="both"/>
        <w:rPr>
          <w:rFonts w:ascii="Palatino Linotype" w:eastAsia="Calibri" w:hAnsi="Palatino Linotype" w:cs="Calibri"/>
          <w:bCs/>
          <w:lang w:eastAsia="en-US"/>
        </w:rPr>
      </w:pPr>
      <w:r w:rsidRPr="00A51BF6">
        <w:rPr>
          <w:rFonts w:ascii="Palatino Linotype" w:eastAsia="Calibri" w:hAnsi="Palatino Linotype" w:cs="Calibri"/>
          <w:bCs/>
          <w:lang w:eastAsia="en-US"/>
        </w:rPr>
        <w:t>Por otro lado, en cuanto hace al número de quejas presentadas por inconformidades en alumbrado público a partir de la sustitución de la tecnología led señalada en el punto 11; al respecto, es importa</w:t>
      </w:r>
      <w:r w:rsidR="0067664B" w:rsidRPr="00A51BF6">
        <w:rPr>
          <w:rFonts w:ascii="Palatino Linotype" w:eastAsia="Calibri" w:hAnsi="Palatino Linotype" w:cs="Calibri"/>
          <w:bCs/>
          <w:lang w:eastAsia="en-US"/>
        </w:rPr>
        <w:t>nte mencionar que el artículo 87</w:t>
      </w:r>
      <w:r w:rsidRPr="00A51BF6">
        <w:rPr>
          <w:rFonts w:ascii="Palatino Linotype" w:eastAsia="Calibri" w:hAnsi="Palatino Linotype" w:cs="Calibri"/>
          <w:bCs/>
          <w:lang w:eastAsia="en-US"/>
        </w:rPr>
        <w:t xml:space="preserve"> del Bando Municipal 2019, de</w:t>
      </w:r>
      <w:r w:rsidR="0067664B" w:rsidRPr="00A51BF6">
        <w:rPr>
          <w:rFonts w:ascii="Palatino Linotype" w:eastAsia="Calibri" w:hAnsi="Palatino Linotype" w:cs="Calibri"/>
          <w:bCs/>
          <w:lang w:eastAsia="en-US"/>
        </w:rPr>
        <w:t xml:space="preserve"> Almoloya del Río</w:t>
      </w:r>
      <w:r w:rsidRPr="00A51BF6">
        <w:rPr>
          <w:rFonts w:ascii="Palatino Linotype" w:eastAsia="Calibri" w:hAnsi="Palatino Linotype" w:cs="Calibri"/>
          <w:bCs/>
          <w:lang w:eastAsia="en-US"/>
        </w:rPr>
        <w:t xml:space="preserve">, refiere </w:t>
      </w:r>
      <w:r w:rsidR="0067664B" w:rsidRPr="00A51BF6">
        <w:rPr>
          <w:rFonts w:ascii="Palatino Linotype" w:eastAsia="Calibri" w:hAnsi="Palatino Linotype" w:cs="Calibri"/>
          <w:bCs/>
          <w:lang w:eastAsia="en-US"/>
        </w:rPr>
        <w:t>que los órganos de participación ciudadana supervisaran y vigilaran los servicios públicos, mediante la participación ciudadana.</w:t>
      </w:r>
    </w:p>
    <w:p w:rsidR="00F917D7" w:rsidRPr="00A51BF6" w:rsidRDefault="00F917D7" w:rsidP="00F917D7">
      <w:pPr>
        <w:autoSpaceDE w:val="0"/>
        <w:autoSpaceDN w:val="0"/>
        <w:adjustRightInd w:val="0"/>
        <w:spacing w:line="360" w:lineRule="auto"/>
        <w:jc w:val="both"/>
        <w:rPr>
          <w:rFonts w:ascii="Palatino Linotype" w:eastAsia="Calibri" w:hAnsi="Palatino Linotype" w:cs="Calibri"/>
          <w:bCs/>
          <w:lang w:eastAsia="en-US"/>
        </w:rPr>
      </w:pPr>
      <w:r w:rsidRPr="00A51BF6">
        <w:rPr>
          <w:rFonts w:ascii="Palatino Linotype" w:eastAsia="Calibri" w:hAnsi="Palatino Linotype" w:cs="Calibri"/>
          <w:bCs/>
          <w:lang w:eastAsia="en-US"/>
        </w:rPr>
        <w:t xml:space="preserve">Atento a ello, es oportuno señalar que, si bien el solicitante no señaló puntualmente la denominación del instrumento al que requiere tener acceso, pero sí la información de su interés por lo que la respuesta puede obrar en algún documento que </w:t>
      </w:r>
      <w:r w:rsidR="0067664B" w:rsidRPr="00A51BF6">
        <w:rPr>
          <w:rFonts w:ascii="Palatino Linotype" w:eastAsia="Calibri" w:hAnsi="Palatino Linotype" w:cs="Calibri"/>
          <w:b/>
          <w:bCs/>
          <w:lang w:eastAsia="en-US"/>
        </w:rPr>
        <w:t xml:space="preserve">EL SUJETO </w:t>
      </w:r>
      <w:r w:rsidR="0067664B" w:rsidRPr="00A51BF6">
        <w:rPr>
          <w:rFonts w:ascii="Palatino Linotype" w:eastAsia="Calibri" w:hAnsi="Palatino Linotype" w:cs="Calibri"/>
          <w:b/>
          <w:bCs/>
          <w:lang w:eastAsia="en-US"/>
        </w:rPr>
        <w:lastRenderedPageBreak/>
        <w:t>OBLIGADO</w:t>
      </w:r>
      <w:r w:rsidRPr="00A51BF6">
        <w:rPr>
          <w:rFonts w:ascii="Palatino Linotype" w:eastAsia="Calibri" w:hAnsi="Palatino Linotype" w:cs="Calibri"/>
          <w:bCs/>
          <w:lang w:eastAsia="en-US"/>
        </w:rPr>
        <w:t xml:space="preserve"> esta constreñido a generar, por lo que debe dar a la solicitud una interpretación que le dé una expresión documental.</w:t>
      </w:r>
    </w:p>
    <w:p w:rsidR="0067664B" w:rsidRPr="00A51BF6" w:rsidRDefault="0067664B" w:rsidP="0067664B">
      <w:pPr>
        <w:autoSpaceDE w:val="0"/>
        <w:autoSpaceDN w:val="0"/>
        <w:adjustRightInd w:val="0"/>
        <w:spacing w:before="100" w:beforeAutospacing="1" w:after="100" w:afterAutospacing="1" w:line="360" w:lineRule="auto"/>
        <w:jc w:val="both"/>
        <w:rPr>
          <w:rFonts w:ascii="Palatino Linotype" w:eastAsia="Calibri" w:hAnsi="Palatino Linotype" w:cs="Calibri"/>
          <w:bCs/>
          <w:lang w:eastAsia="en-US"/>
        </w:rPr>
      </w:pPr>
      <w:r w:rsidRPr="00A51BF6">
        <w:rPr>
          <w:rFonts w:ascii="Palatino Linotype" w:eastAsia="Calibri" w:hAnsi="Palatino Linotype" w:cs="Calibri"/>
          <w:bCs/>
          <w:lang w:eastAsia="en-US"/>
        </w:rPr>
        <w:t xml:space="preserve">Conforme a lo anterior, </w:t>
      </w:r>
      <w:r w:rsidRPr="00A51BF6">
        <w:rPr>
          <w:rFonts w:ascii="Palatino Linotype" w:eastAsia="Calibri" w:hAnsi="Palatino Linotype" w:cs="Calibri"/>
          <w:b/>
          <w:bCs/>
          <w:lang w:eastAsia="en-US"/>
        </w:rPr>
        <w:t>EL SUJETO OBLIGADO</w:t>
      </w:r>
      <w:r w:rsidRPr="00A51BF6">
        <w:rPr>
          <w:rFonts w:ascii="Palatino Linotype" w:eastAsia="Calibri" w:hAnsi="Palatino Linotype" w:cs="Calibri"/>
          <w:bCs/>
          <w:lang w:eastAsia="en-US"/>
        </w:rPr>
        <w:t xml:space="preserve"> deberá de proporcionar, de ser procedente en versión pública, el documento o documentos que contengan el número de quejas presentadas por inconformidades en el alumbrado público a partir de la sustitución de la Tecnología Led, en términos del segundo párrafo del artículo 12 de la Ley de Transparencia y Acceso a la Información Pública del Estado de México y Municipios y en el caso, que no haya generado dicha información, por no haber tenido alguna queja, dentro del periodo requerido, deberá hacerlo del conocimiento al particular.</w:t>
      </w:r>
    </w:p>
    <w:p w:rsidR="0067664B" w:rsidRPr="00A51BF6" w:rsidRDefault="00A51BF6" w:rsidP="0067664B">
      <w:pPr>
        <w:shd w:val="clear" w:color="auto" w:fill="FFFFFF" w:themeFill="background1"/>
        <w:spacing w:line="360" w:lineRule="auto"/>
        <w:jc w:val="both"/>
        <w:rPr>
          <w:rFonts w:ascii="Palatino Linotype" w:eastAsia="Calibri" w:hAnsi="Palatino Linotype" w:cs="Tahoma"/>
          <w:bCs/>
          <w:lang w:eastAsia="en-US"/>
        </w:rPr>
      </w:pPr>
      <w:r w:rsidRPr="00A51BF6">
        <w:rPr>
          <w:rFonts w:ascii="Palatino Linotype" w:eastAsia="Calibri" w:hAnsi="Palatino Linotype" w:cs="Tahoma"/>
          <w:bCs/>
          <w:noProof/>
          <w:lang w:eastAsia="es-MX"/>
        </w:rPr>
        <mc:AlternateContent>
          <mc:Choice Requires="wps">
            <w:drawing>
              <wp:anchor distT="0" distB="0" distL="114300" distR="114300" simplePos="0" relativeHeight="251664384" behindDoc="0" locked="0" layoutInCell="1" allowOverlap="1">
                <wp:simplePos x="0" y="0"/>
                <wp:positionH relativeFrom="column">
                  <wp:posOffset>85725</wp:posOffset>
                </wp:positionH>
                <wp:positionV relativeFrom="paragraph">
                  <wp:posOffset>2414905</wp:posOffset>
                </wp:positionV>
                <wp:extent cx="5701030" cy="2080895"/>
                <wp:effectExtent l="13335" t="12065" r="10160" b="12065"/>
                <wp:wrapNone/>
                <wp:docPr id="12"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01030" cy="20808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07B240" id="AutoShape 10" o:spid="_x0000_s1026" type="#_x0000_t32" style="position:absolute;margin-left:6.75pt;margin-top:190.15pt;width:448.9pt;height:163.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" strokeweight="1.5pt"/>
            </w:pict>
          </mc:Fallback>
        </mc:AlternateContent>
      </w:r>
      <w:r w:rsidR="0067664B" w:rsidRPr="00A51BF6">
        <w:rPr>
          <w:rFonts w:ascii="Palatino Linotype" w:eastAsia="Calibri" w:hAnsi="Palatino Linotype" w:cs="Tahoma"/>
          <w:bCs/>
          <w:lang w:eastAsia="en-US"/>
        </w:rPr>
        <w:t xml:space="preserve">En otro punto, el particular requirió conocer el número de luminarias LED, donadas por el Gobierno del Estado, del dos mil dieciséis a la fecha de la solicitud, desglosado por ubicación, potencia, cantidad, marca y modelo de los años 2016 al año 2019 en el punto 12; al respecto, cabe señalar que es obligación del </w:t>
      </w:r>
      <w:r w:rsidR="0067664B" w:rsidRPr="00A51BF6">
        <w:rPr>
          <w:rFonts w:ascii="Palatino Linotype" w:eastAsia="Calibri" w:hAnsi="Palatino Linotype" w:cs="Tahoma"/>
          <w:b/>
          <w:bCs/>
          <w:lang w:eastAsia="en-US"/>
        </w:rPr>
        <w:t>SUJETO OBLIGADO</w:t>
      </w:r>
      <w:r w:rsidR="0067664B" w:rsidRPr="00A51BF6">
        <w:rPr>
          <w:rFonts w:ascii="Palatino Linotype" w:eastAsia="Calibri" w:hAnsi="Palatino Linotype" w:cs="Tahoma"/>
          <w:bCs/>
          <w:lang w:eastAsia="en-US"/>
        </w:rPr>
        <w:t>, publicar de manera permanente, sencilla y accesible la información concerniente a los bienes muebles donados que ha recibido; sin embargo, esta Ponencia Resolutoria advierte que en el portal el sujeto obligado no se encuentra registro alguno, como se aprecia a continuación:</w:t>
      </w:r>
    </w:p>
    <w:p w:rsidR="00F917D7" w:rsidRPr="00A51BF6" w:rsidRDefault="0067664B" w:rsidP="0067664B">
      <w:pPr>
        <w:widowControl w:val="0"/>
        <w:autoSpaceDE w:val="0"/>
        <w:autoSpaceDN w:val="0"/>
        <w:adjustRightInd w:val="0"/>
        <w:spacing w:before="100" w:beforeAutospacing="1" w:after="100" w:afterAutospacing="1" w:line="360" w:lineRule="auto"/>
        <w:ind w:right="51"/>
        <w:jc w:val="center"/>
        <w:rPr>
          <w:rFonts w:ascii="Palatino Linotype" w:eastAsia="Arial Unicode MS" w:hAnsi="Palatino Linotype" w:cs="Arial"/>
          <w:lang w:val="es-ES"/>
        </w:rPr>
      </w:pPr>
      <w:r w:rsidRPr="00A51BF6">
        <w:rPr>
          <w:noProof/>
          <w:lang w:eastAsia="es-MX"/>
        </w:rPr>
        <w:lastRenderedPageBreak/>
        <w:drawing>
          <wp:inline distT="0" distB="0" distL="0" distR="0" wp14:anchorId="09A3F0AA" wp14:editId="758EAB6F">
            <wp:extent cx="5582687" cy="270803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508" t="4010" r="12127" b="25829"/>
                    <a:stretch/>
                  </pic:blipFill>
                  <pic:spPr bwMode="auto">
                    <a:xfrm>
                      <a:off x="0" y="0"/>
                      <a:ext cx="5597035" cy="2714991"/>
                    </a:xfrm>
                    <a:prstGeom prst="rect">
                      <a:avLst/>
                    </a:prstGeom>
                    <a:ln>
                      <a:noFill/>
                    </a:ln>
                    <a:extLst>
                      <a:ext uri="{53640926-AAD7-44D8-BBD7-CCE9431645EC}">
                        <a14:shadowObscured xmlns:a14="http://schemas.microsoft.com/office/drawing/2010/main"/>
                      </a:ext>
                    </a:extLst>
                  </pic:spPr>
                </pic:pic>
              </a:graphicData>
            </a:graphic>
          </wp:inline>
        </w:drawing>
      </w:r>
    </w:p>
    <w:p w:rsidR="0067664B" w:rsidRPr="00A51BF6" w:rsidRDefault="0067664B" w:rsidP="0067664B">
      <w:pPr>
        <w:shd w:val="clear" w:color="auto" w:fill="FFFFFF" w:themeFill="background1"/>
        <w:spacing w:before="100" w:beforeAutospacing="1" w:after="100" w:afterAutospacing="1" w:line="360" w:lineRule="auto"/>
        <w:jc w:val="both"/>
        <w:rPr>
          <w:rFonts w:ascii="Palatino Linotype" w:eastAsia="Calibri" w:hAnsi="Palatino Linotype" w:cs="Tahoma"/>
          <w:bCs/>
          <w:lang w:eastAsia="en-US"/>
        </w:rPr>
      </w:pPr>
      <w:r w:rsidRPr="00A51BF6">
        <w:rPr>
          <w:rFonts w:ascii="Palatino Linotype" w:eastAsia="Calibri" w:hAnsi="Palatino Linotype" w:cs="Tahoma"/>
          <w:bCs/>
          <w:lang w:val="es-ES" w:eastAsia="en-US"/>
        </w:rPr>
        <w:t xml:space="preserve">No obstante a lo anterior, ello no implica que no </w:t>
      </w:r>
      <w:r w:rsidRPr="00A51BF6">
        <w:rPr>
          <w:rFonts w:ascii="Palatino Linotype" w:eastAsia="Calibri" w:hAnsi="Palatino Linotype" w:cs="Tahoma"/>
          <w:b/>
          <w:bCs/>
          <w:lang w:val="es-ES" w:eastAsia="en-US"/>
        </w:rPr>
        <w:t>EL SUJETO OBLIGADO</w:t>
      </w:r>
      <w:r w:rsidRPr="00A51BF6">
        <w:rPr>
          <w:rFonts w:ascii="Palatino Linotype" w:eastAsia="Calibri" w:hAnsi="Palatino Linotype" w:cs="Tahoma"/>
          <w:bCs/>
          <w:lang w:val="es-ES" w:eastAsia="en-US"/>
        </w:rPr>
        <w:t xml:space="preserve">, no haya recibido donaciones de lámparas de LED por parte de la CFE, por lo que deberá atender el requerimiento del particular, </w:t>
      </w:r>
      <w:r w:rsidRPr="00A51BF6">
        <w:rPr>
          <w:rFonts w:ascii="Palatino Linotype" w:eastAsia="Calibri" w:hAnsi="Palatino Linotype" w:cs="Tahoma"/>
          <w:bCs/>
          <w:lang w:eastAsia="en-US"/>
        </w:rPr>
        <w:t xml:space="preserve">con el mayor grado de desagregación posible y en el caso, de que cuente con lámparas de LED y ninguna haya sido donada, deberá hacerlo del conocimiento del </w:t>
      </w:r>
      <w:r w:rsidRPr="00A51BF6">
        <w:rPr>
          <w:rFonts w:ascii="Palatino Linotype" w:eastAsia="Calibri" w:hAnsi="Palatino Linotype" w:cs="Tahoma"/>
          <w:b/>
          <w:bCs/>
          <w:lang w:eastAsia="en-US"/>
        </w:rPr>
        <w:t>RECURRENTE</w:t>
      </w:r>
      <w:r w:rsidRPr="00A51BF6">
        <w:rPr>
          <w:rFonts w:ascii="Palatino Linotype" w:eastAsia="Calibri" w:hAnsi="Palatino Linotype" w:cs="Tahoma"/>
          <w:bCs/>
          <w:lang w:eastAsia="en-US"/>
        </w:rPr>
        <w:t>, en términos del artículo 19, párrafo segundo, de la Ley de Transparencia y Acceso a la Información Pública.</w:t>
      </w:r>
    </w:p>
    <w:p w:rsidR="0067664B" w:rsidRPr="00A51BF6" w:rsidRDefault="0067664B" w:rsidP="0067664B">
      <w:pPr>
        <w:widowControl w:val="0"/>
        <w:autoSpaceDE w:val="0"/>
        <w:autoSpaceDN w:val="0"/>
        <w:adjustRightInd w:val="0"/>
        <w:spacing w:before="100" w:beforeAutospacing="1" w:after="100" w:afterAutospacing="1" w:line="360" w:lineRule="auto"/>
        <w:ind w:right="51"/>
        <w:jc w:val="both"/>
        <w:rPr>
          <w:rFonts w:ascii="Palatino Linotype" w:hAnsi="Palatino Linotype" w:cs="Arial"/>
          <w:lang w:val="es-ES"/>
        </w:rPr>
      </w:pPr>
      <w:r w:rsidRPr="00A51BF6">
        <w:rPr>
          <w:rFonts w:ascii="Palatino Linotype" w:hAnsi="Palatino Linotype" w:cs="Arial"/>
          <w:lang w:val="es-ES"/>
        </w:rPr>
        <w:t>Ahora bien, por cuanto hace a los puntos 15 y 16 consistentes en: “</w:t>
      </w:r>
      <w:r w:rsidRPr="00A51BF6">
        <w:rPr>
          <w:rFonts w:ascii="Palatino Linotype" w:hAnsi="Palatino Linotype" w:cs="Arial"/>
        </w:rPr>
        <w:t>La o las partidas presupuestales que se utilizaron y los montos que se erogaron dentro del presupuesto de egresos municipal para el mantenimiento del sistema de alumbrado público, así como la o las partidas presupuestales que se utilizaron y los montos que se pagaron por mes para cubrir la factura por concepto del consumo de energía eléctrica en el sistema de alumbrado público municipal de los años 2013, 2014, 2015, 2016, 2017, 2018 y los meses que van del 2019</w:t>
      </w:r>
      <w:r w:rsidRPr="00A51BF6">
        <w:rPr>
          <w:rFonts w:ascii="Palatino Linotype" w:hAnsi="Palatino Linotype" w:cs="Arial"/>
          <w:i/>
          <w:lang w:val="es-ES"/>
        </w:rPr>
        <w:t xml:space="preserve">; </w:t>
      </w:r>
      <w:r w:rsidRPr="00A51BF6">
        <w:rPr>
          <w:rFonts w:ascii="Palatino Linotype" w:hAnsi="Palatino Linotype" w:cs="Arial"/>
          <w:lang w:val="es-ES"/>
        </w:rPr>
        <w:t xml:space="preserve">al respecto, es de referir que el Manual para la Planeación, Programación y Presupuestación Municipal para el ejercicio fiscal 2019, publicado en el periódico Oficial del Gobierno del Estado de México, “Gaceta del </w:t>
      </w:r>
      <w:r w:rsidRPr="00A51BF6">
        <w:rPr>
          <w:rFonts w:ascii="Palatino Linotype" w:hAnsi="Palatino Linotype" w:cs="Arial"/>
          <w:lang w:val="es-ES"/>
        </w:rPr>
        <w:lastRenderedPageBreak/>
        <w:t>Gobierno”, en fecha seis de noviembre de dos mil dieciocho, refiere que el Clasificador por Objeto del Gasto es el documento armonizado que ordena e identifica en forma genérica, homogénea y coherente el registro del gasto por los conceptos de servicios personales, materiales y suministros, servicios generales, transferencias, asignaciones subsidios y otras ayudas, bienes muebles, inmuebles e intangibles, inversión pública, inversiones financieras y otras provisiones, participaciones y aportaciones federales, y deuda pública, que requieren las dependencias, entidades públicas, así como los Municipios, para cumplir con los objetivos y programas señalados en el Plan de Desarrollo del Estado de México vigente y en el Plan de Desarrollo Municipal, respectivamente.</w:t>
      </w:r>
    </w:p>
    <w:p w:rsidR="0067664B" w:rsidRPr="00A51BF6" w:rsidRDefault="0067664B" w:rsidP="0067664B">
      <w:pPr>
        <w:autoSpaceDE w:val="0"/>
        <w:autoSpaceDN w:val="0"/>
        <w:adjustRightInd w:val="0"/>
        <w:spacing w:line="360" w:lineRule="auto"/>
        <w:ind w:right="51"/>
        <w:jc w:val="both"/>
        <w:rPr>
          <w:rFonts w:ascii="Palatino Linotype" w:hAnsi="Palatino Linotype" w:cs="Arial"/>
          <w:lang w:val="es-ES"/>
        </w:rPr>
      </w:pPr>
      <w:r w:rsidRPr="00A51BF6">
        <w:rPr>
          <w:rFonts w:ascii="Palatino Linotype" w:hAnsi="Palatino Linotype" w:cs="Arial"/>
          <w:lang w:val="es-ES"/>
        </w:rPr>
        <w:t xml:space="preserve">Por su parte, la estructura del Clasificador por Objeto del Gasto se diseñó con un nivel de desagregación que permite que sus cuentas faciliten el registro único de todas las transacciones con incidencia económica – financiera; es por ello, que la armonización se realiza a tercer dígito que corresponde a la partida genérica, dejando en poder de las entidades federativas, la desagregación e identificación de la partida específica, dando origen a la siguiente estructura: </w:t>
      </w:r>
    </w:p>
    <w:p w:rsidR="00CD3049" w:rsidRPr="00A51BF6" w:rsidRDefault="0067664B" w:rsidP="0067664B">
      <w:pPr>
        <w:widowControl w:val="0"/>
        <w:autoSpaceDE w:val="0"/>
        <w:autoSpaceDN w:val="0"/>
        <w:adjustRightInd w:val="0"/>
        <w:spacing w:line="360" w:lineRule="auto"/>
        <w:ind w:right="51"/>
        <w:jc w:val="center"/>
        <w:rPr>
          <w:rFonts w:ascii="Palatino Linotype" w:hAnsi="Palatino Linotype" w:cs="Arial"/>
          <w:lang w:val="es-ES"/>
        </w:rPr>
      </w:pPr>
      <w:r w:rsidRPr="00A51BF6">
        <w:rPr>
          <w:noProof/>
          <w:lang w:eastAsia="es-MX"/>
        </w:rPr>
        <w:drawing>
          <wp:inline distT="0" distB="0" distL="0" distR="0" wp14:anchorId="387D9579" wp14:editId="44DC1FA5">
            <wp:extent cx="4853994" cy="275324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095" t="31866" r="31258" b="38384"/>
                    <a:stretch/>
                  </pic:blipFill>
                  <pic:spPr bwMode="auto">
                    <a:xfrm>
                      <a:off x="0" y="0"/>
                      <a:ext cx="4892664" cy="2775183"/>
                    </a:xfrm>
                    <a:prstGeom prst="rect">
                      <a:avLst/>
                    </a:prstGeom>
                    <a:ln>
                      <a:noFill/>
                    </a:ln>
                    <a:extLst>
                      <a:ext uri="{53640926-AAD7-44D8-BBD7-CCE9431645EC}">
                        <a14:shadowObscured xmlns:a14="http://schemas.microsoft.com/office/drawing/2010/main"/>
                      </a:ext>
                    </a:extLst>
                  </pic:spPr>
                </pic:pic>
              </a:graphicData>
            </a:graphic>
          </wp:inline>
        </w:drawing>
      </w:r>
    </w:p>
    <w:p w:rsidR="0067664B" w:rsidRPr="00A51BF6" w:rsidRDefault="0067664B" w:rsidP="0067664B">
      <w:pPr>
        <w:autoSpaceDE w:val="0"/>
        <w:autoSpaceDN w:val="0"/>
        <w:adjustRightInd w:val="0"/>
        <w:spacing w:before="100" w:beforeAutospacing="1" w:after="100" w:afterAutospacing="1" w:line="360" w:lineRule="auto"/>
        <w:ind w:right="51"/>
        <w:jc w:val="both"/>
        <w:rPr>
          <w:rFonts w:ascii="Palatino Linotype" w:hAnsi="Palatino Linotype" w:cs="Arial"/>
          <w:lang w:val="es-ES"/>
        </w:rPr>
      </w:pPr>
      <w:r w:rsidRPr="00A51BF6">
        <w:rPr>
          <w:rFonts w:ascii="Palatino Linotype" w:hAnsi="Palatino Linotype" w:cs="Arial"/>
          <w:lang w:val="es-ES"/>
        </w:rPr>
        <w:lastRenderedPageBreak/>
        <w:t xml:space="preserve">Es así que, de acuerdo al nivel de desagregación del Clasificador por Objeto del Gasto y Municipal dentro de la definición de los capítulos de gasto se encuentra comprendidos los capítulos 3000 y 6000, conceptos 3100 y 6100; así como, las partidas genéricas 3110, 3111, 3312 y 6159, en las cuales se considera lo siguiente: </w:t>
      </w: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r w:rsidRPr="00A51BF6">
        <w:rPr>
          <w:rFonts w:ascii="Palatino Linotype" w:eastAsia="Calibri" w:hAnsi="Palatino Linotype" w:cs="Arial"/>
          <w:i/>
          <w:sz w:val="22"/>
          <w:szCs w:val="22"/>
          <w:lang w:val="es-ES" w:eastAsia="es-MX"/>
        </w:rPr>
        <w:t>“</w:t>
      </w:r>
      <w:r w:rsidRPr="00A51BF6">
        <w:rPr>
          <w:rFonts w:ascii="Palatino Linotype" w:eastAsia="Calibri" w:hAnsi="Palatino Linotype" w:cs="Arial"/>
          <w:b/>
          <w:i/>
          <w:sz w:val="22"/>
          <w:szCs w:val="22"/>
          <w:lang w:val="es-ES" w:eastAsia="es-MX"/>
        </w:rPr>
        <w:t>3000 SERVICIOS GENERALES</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3100 SERVICIOS BÁSICOS.</w:t>
      </w:r>
      <w:r w:rsidRPr="00A51BF6">
        <w:rPr>
          <w:rFonts w:ascii="Palatino Linotype" w:eastAsia="Calibri" w:hAnsi="Palatino Linotype" w:cs="Arial"/>
          <w:i/>
          <w:sz w:val="22"/>
          <w:szCs w:val="22"/>
          <w:lang w:val="es-ES" w:eastAsia="es-MX"/>
        </w:rPr>
        <w:t xml:space="preserve"> </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 xml:space="preserve">Asignaciones destinadas a cubrir erogaciones por concepto de servicios básicos necesarios para el funcionamiento de los entes públicos. Comprende servicios tales como: postal, telegráfico, telefónico, energía eléctrica, agua, transmisión de datos, radiocomunicaciones y otros análogos. </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 xml:space="preserve">3110 Energía eléctrica. </w:t>
      </w:r>
      <w:r w:rsidRPr="00A51BF6">
        <w:rPr>
          <w:rFonts w:ascii="Palatino Linotype" w:eastAsia="Calibri" w:hAnsi="Palatino Linotype" w:cs="Arial"/>
          <w:i/>
          <w:sz w:val="22"/>
          <w:szCs w:val="22"/>
          <w:lang w:val="es-ES" w:eastAsia="es-MX"/>
        </w:rPr>
        <w:t xml:space="preserve">Asignaciones destinadas a cubrir el importe del consumo de energía eléctrica, necesarios para el funcionamiento de las instalaciones oficiales. Incluye alumbrado público. </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3111 Servicio de energía eléctrica.</w:t>
      </w:r>
      <w:r w:rsidRPr="00A51BF6">
        <w:rPr>
          <w:rFonts w:ascii="Palatino Linotype" w:eastAsia="Calibri" w:hAnsi="Palatino Linotype" w:cs="Arial"/>
          <w:i/>
          <w:sz w:val="22"/>
          <w:szCs w:val="22"/>
          <w:lang w:val="es-ES" w:eastAsia="es-MX"/>
        </w:rPr>
        <w:t xml:space="preserve"> Asignación para pagar el servicio de energía eléctrica de instalaciones oficiales, el cual deberá racionalizarse y ajustarse a las medidas de control y ahorro que se establezcan. </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3112 Servicio de energía eléctrica para alumbrado público.</w:t>
      </w:r>
      <w:r w:rsidRPr="00A51BF6">
        <w:rPr>
          <w:rFonts w:ascii="Palatino Linotype" w:eastAsia="Calibri" w:hAnsi="Palatino Linotype" w:cs="Arial"/>
          <w:i/>
          <w:sz w:val="22"/>
          <w:szCs w:val="22"/>
          <w:lang w:val="es-ES" w:eastAsia="es-MX"/>
        </w:rPr>
        <w:t xml:space="preserve"> Asignación para el pago del servicio de alumbrado público.</w:t>
      </w: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r w:rsidRPr="00A51BF6">
        <w:rPr>
          <w:rFonts w:ascii="Palatino Linotype" w:eastAsia="Calibri" w:hAnsi="Palatino Linotype" w:cs="Arial"/>
          <w:b/>
          <w:i/>
          <w:sz w:val="22"/>
          <w:szCs w:val="22"/>
          <w:lang w:val="es-ES" w:eastAsia="es-MX"/>
        </w:rPr>
        <w:t xml:space="preserve">6000 INVERSIÓN PÚBLICA </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 xml:space="preserve">6100 OBRA PÚBLICA EN BIENES DE DOMINIO PÚBLICO. </w:t>
      </w:r>
      <w:r w:rsidRPr="00A51BF6">
        <w:rPr>
          <w:rFonts w:ascii="Palatino Linotype" w:eastAsia="Calibri" w:hAnsi="Palatino Linotype" w:cs="Arial"/>
          <w:i/>
          <w:sz w:val="22"/>
          <w:szCs w:val="22"/>
          <w:lang w:val="es-ES" w:eastAsia="es-MX"/>
        </w:rPr>
        <w:t>Asignaciones destinadas para construcciones en bienes de dominio público de acuerdo con lo establecido en el art. 7 de la Ley General de Bienes Nacionales y otras leyes aplicables. Incluye los gastos en estudios de pre‐inversión y preparación del proyecto.</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6159</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Reparación y mantenimiento de vialidades y alumbrado.</w:t>
      </w:r>
      <w:r w:rsidRPr="00A51BF6">
        <w:rPr>
          <w:rFonts w:ascii="Palatino Linotype" w:eastAsia="Calibri" w:hAnsi="Palatino Linotype" w:cs="Arial"/>
          <w:i/>
          <w:sz w:val="22"/>
          <w:szCs w:val="22"/>
          <w:lang w:val="es-ES" w:eastAsia="es-MX"/>
        </w:rPr>
        <w:t xml:space="preserve"> Asignaciones destinadas a los servicios de reparación y mantenimiento de vialidades, señalamientos y alumbrado público.”</w:t>
      </w:r>
    </w:p>
    <w:p w:rsidR="0067664B" w:rsidRPr="00A51BF6" w:rsidRDefault="0067664B" w:rsidP="0067664B">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De lo anterior, se desprende que </w:t>
      </w:r>
      <w:r w:rsidRPr="00A51BF6">
        <w:rPr>
          <w:rFonts w:ascii="Palatino Linotype" w:hAnsi="Palatino Linotype" w:cs="Arial"/>
          <w:b/>
        </w:rPr>
        <w:t xml:space="preserve">EL SUJETO OBLIGADO </w:t>
      </w:r>
      <w:r w:rsidRPr="00A51BF6">
        <w:rPr>
          <w:rFonts w:ascii="Palatino Linotype" w:hAnsi="Palatino Linotype" w:cs="Arial"/>
        </w:rPr>
        <w:t xml:space="preserve">se encuentra en posibilidad de entregar la información solicitada en los puntos 16 y 17, consistentes en la o las partidas presupuestales y montos pagados, por concepto de mantenimiento del sistema de alumbrado público; así como, el consumo de energía eléctrica en el sistema de alumbrado público del 1 de enero de 2013 al 23 de abril de 2019. </w:t>
      </w:r>
    </w:p>
    <w:p w:rsidR="0067664B" w:rsidRPr="00A51BF6" w:rsidRDefault="0067664B" w:rsidP="0067664B">
      <w:pPr>
        <w:spacing w:before="100" w:beforeAutospacing="1" w:after="100" w:afterAutospacing="1" w:line="360" w:lineRule="auto"/>
        <w:jc w:val="both"/>
        <w:rPr>
          <w:rFonts w:ascii="Palatino Linotype" w:eastAsia="Calibri" w:hAnsi="Palatino Linotype" w:cs="Arial"/>
          <w:lang w:val="es-ES"/>
        </w:rPr>
      </w:pPr>
      <w:r w:rsidRPr="00A51BF6">
        <w:rPr>
          <w:rFonts w:ascii="Palatino Linotype" w:hAnsi="Palatino Linotype" w:cs="Arial"/>
        </w:rPr>
        <w:lastRenderedPageBreak/>
        <w:t xml:space="preserve">Ahora bien, por cuanto hace a lo solicitado en los puntos 19 y 21 relacionadas con los censos de alumbrado público; así como, de luminarias y balastros del sistema de alumbrado público municipal; al respecto, es importante referir </w:t>
      </w:r>
      <w:r w:rsidRPr="00A51BF6">
        <w:rPr>
          <w:rFonts w:ascii="Palatino Linotype" w:eastAsia="Calibri" w:hAnsi="Palatino Linotype" w:cs="Arial"/>
          <w:lang w:val="es-ES"/>
        </w:rPr>
        <w:t xml:space="preserve">que los Sujetos Obligados </w:t>
      </w:r>
      <w:r w:rsidRPr="00A51BF6">
        <w:rPr>
          <w:rFonts w:ascii="Palatino Linotype" w:hAnsi="Palatino Linotype" w:cs="Arial"/>
          <w:lang w:val="es-ES"/>
        </w:rPr>
        <w:t xml:space="preserve">sólo proporcionarán la información pública que generen en el </w:t>
      </w:r>
      <w:r w:rsidRPr="00A51BF6">
        <w:rPr>
          <w:rFonts w:ascii="Palatino Linotype" w:eastAsia="Calibri" w:hAnsi="Palatino Linotype" w:cs="Arial"/>
          <w:lang w:val="es-ES"/>
        </w:rPr>
        <w:t xml:space="preserve">ejercicio de sus atribuciones, que se les requiera y que obre en sus archivos; por lo que, no tienen el deber de generar, poseer o administrar la información pública con el grado de detalle solicitado; esto es, que no tienen el deber de generar un documento </w:t>
      </w:r>
      <w:r w:rsidRPr="00A51BF6">
        <w:rPr>
          <w:rFonts w:ascii="Palatino Linotype" w:eastAsia="Calibri" w:hAnsi="Palatino Linotype" w:cs="Arial"/>
          <w:i/>
          <w:lang w:val="es-ES"/>
        </w:rPr>
        <w:t>ad hoc</w:t>
      </w:r>
      <w:r w:rsidRPr="00A51BF6">
        <w:rPr>
          <w:rFonts w:ascii="Palatino Linotype" w:eastAsia="Calibri" w:hAnsi="Palatino Linotype" w:cs="Arial"/>
          <w:lang w:val="es-ES"/>
        </w:rPr>
        <w:t>, para satisfacer el derecho de acceso a la información pública; sin embargo, de contar con la misma tal cual fue solicitada debe entregar ésta a su peticionario.</w:t>
      </w:r>
    </w:p>
    <w:p w:rsidR="0067664B" w:rsidRPr="00A51BF6" w:rsidRDefault="0067664B" w:rsidP="0067664B">
      <w:pPr>
        <w:spacing w:before="100" w:beforeAutospacing="1" w:after="100" w:afterAutospacing="1" w:line="360" w:lineRule="auto"/>
        <w:jc w:val="both"/>
        <w:rPr>
          <w:rFonts w:ascii="Palatino Linotype" w:eastAsia="Calibri" w:hAnsi="Palatino Linotype" w:cs="Arial"/>
          <w:lang w:val="es-ES"/>
        </w:rPr>
      </w:pPr>
      <w:r w:rsidRPr="00A51BF6">
        <w:rPr>
          <w:rFonts w:ascii="Palatino Linotype" w:hAnsi="Palatino Linotype" w:cs="Arial"/>
          <w:lang w:val="es-ES"/>
        </w:rPr>
        <w:t xml:space="preserve">Ahora bien, en caso de que </w:t>
      </w:r>
      <w:r w:rsidRPr="00A51BF6">
        <w:rPr>
          <w:rFonts w:ascii="Palatino Linotype" w:hAnsi="Palatino Linotype" w:cs="Arial"/>
          <w:b/>
          <w:lang w:val="es-ES"/>
        </w:rPr>
        <w:t xml:space="preserve">EL SUJETO OBLIGADO </w:t>
      </w:r>
      <w:r w:rsidRPr="00A51BF6">
        <w:rPr>
          <w:rFonts w:ascii="Palatino Linotype" w:hAnsi="Palatino Linotype" w:cs="Arial"/>
          <w:lang w:val="es-ES"/>
        </w:rPr>
        <w:t xml:space="preserve">no cuente con la información procesada con el detalle referido por el particular, éste debe entregar </w:t>
      </w:r>
      <w:r w:rsidRPr="00A51BF6">
        <w:rPr>
          <w:rFonts w:ascii="Palatino Linotype" w:eastAsia="Calibri" w:hAnsi="Palatino Linotype"/>
          <w:lang w:val="es-ES"/>
        </w:rPr>
        <w:t>el documento que obre en sus archivos y que contenga el mayor nivel de detalle cercano a aquél que fue requerido; esto debido a que, el derecho de acceso a la información</w:t>
      </w:r>
      <w:r w:rsidRPr="00A51BF6">
        <w:rPr>
          <w:rFonts w:ascii="Palatino Linotype" w:eastAsia="Calibri" w:hAnsi="Palatino Linotype" w:cs="Arial"/>
          <w:bCs/>
          <w:lang w:val="es-ES" w:eastAsia="es-CO"/>
        </w:rPr>
        <w:t xml:space="preserve"> se encamina primordialmente a</w:t>
      </w:r>
      <w:r w:rsidRPr="00A51BF6">
        <w:rPr>
          <w:rFonts w:ascii="Palatino Linotype" w:eastAsia="Calibri" w:hAnsi="Palatino Linotype" w:cs="Arial"/>
          <w:lang w:val="es-ES"/>
        </w:rPr>
        <w:t xml:space="preserve"> permitir el </w:t>
      </w:r>
      <w:r w:rsidRPr="00A51BF6">
        <w:rPr>
          <w:rFonts w:ascii="Palatino Linotype" w:eastAsia="Calibri" w:hAnsi="Palatino Linotype" w:cs="Arial"/>
          <w:lang w:val="es-ES" w:eastAsia="es-CO"/>
        </w:rPr>
        <w:t xml:space="preserve">acceso a datos, registros y todo tipo de información pública que conste en documentos, sea generada, administrada o se encuentre en posesión de </w:t>
      </w:r>
      <w:r w:rsidRPr="00A51BF6">
        <w:rPr>
          <w:rFonts w:ascii="Palatino Linotype" w:eastAsia="Calibri" w:hAnsi="Palatino Linotype" w:cs="Arial"/>
          <w:lang w:val="es-ES"/>
        </w:rPr>
        <w:t xml:space="preserve">los Sujetos Obligados. </w:t>
      </w:r>
    </w:p>
    <w:p w:rsidR="0067664B" w:rsidRPr="00A51BF6" w:rsidRDefault="0067664B" w:rsidP="0067664B">
      <w:pPr>
        <w:spacing w:before="100" w:beforeAutospacing="1" w:after="100" w:afterAutospacing="1" w:line="360" w:lineRule="auto"/>
        <w:jc w:val="both"/>
        <w:rPr>
          <w:rFonts w:ascii="Palatino Linotype" w:eastAsia="Calibri" w:hAnsi="Palatino Linotype" w:cs="Arial"/>
          <w:lang w:val="es-ES"/>
        </w:rPr>
      </w:pPr>
      <w:r w:rsidRPr="00A51BF6">
        <w:rPr>
          <w:rFonts w:ascii="Palatino Linotype" w:eastAsia="Calibri" w:hAnsi="Palatino Linotype" w:cs="Arial"/>
          <w:lang w:val="es-ES"/>
        </w:rPr>
        <w:t xml:space="preserve">En esa virtud, si fuese el caso en que </w:t>
      </w:r>
      <w:r w:rsidRPr="00A51BF6">
        <w:rPr>
          <w:rFonts w:ascii="Palatino Linotype" w:eastAsia="Calibri" w:hAnsi="Palatino Linotype" w:cs="Arial"/>
          <w:b/>
          <w:lang w:val="es-ES"/>
        </w:rPr>
        <w:t xml:space="preserve">EL SUJETO OBLIGADO </w:t>
      </w:r>
      <w:r w:rsidRPr="00A51BF6">
        <w:rPr>
          <w:rFonts w:ascii="Palatino Linotype" w:eastAsia="Calibri" w:hAnsi="Palatino Linotype" w:cs="Arial"/>
          <w:lang w:val="es-ES"/>
        </w:rPr>
        <w:t xml:space="preserve">no contara con la información, tal cual le fue solicitada, este Instituto advierte que la solicitud en comento puede ser satisfecha, de manera enunciativa más no limitativa, con la entrega del documento denominado Inventario </w:t>
      </w:r>
      <w:r w:rsidRPr="00A51BF6">
        <w:rPr>
          <w:rFonts w:ascii="Palatino Linotype" w:eastAsia="Arial Unicode MS" w:hAnsi="Palatino Linotype" w:cs="Arial"/>
          <w:lang w:val="es-ES"/>
        </w:rPr>
        <w:t>General de Bienes Muebles.</w:t>
      </w:r>
    </w:p>
    <w:p w:rsidR="0067664B" w:rsidRPr="00A51BF6" w:rsidRDefault="0067664B" w:rsidP="0067664B">
      <w:pPr>
        <w:spacing w:before="100" w:beforeAutospacing="1" w:after="100" w:afterAutospacing="1" w:line="360" w:lineRule="auto"/>
        <w:jc w:val="both"/>
        <w:rPr>
          <w:rFonts w:ascii="Palatino Linotype" w:eastAsia="Arial Unicode MS" w:hAnsi="Palatino Linotype" w:cs="Arial"/>
          <w:lang w:eastAsia="es-MX"/>
        </w:rPr>
      </w:pPr>
      <w:r w:rsidRPr="00A51BF6">
        <w:rPr>
          <w:rFonts w:ascii="Palatino Linotype" w:eastAsia="Arial Unicode MS" w:hAnsi="Palatino Linotype" w:cs="Arial"/>
          <w:lang w:eastAsia="es-MX"/>
        </w:rPr>
        <w:t>Atento a ello, es conveniente señalar que el Código Civil del Estado de México determina que bienes constituyen bienes muebles, en su artículo 5.6, que a la letra establece:</w:t>
      </w:r>
    </w:p>
    <w:p w:rsidR="0067664B" w:rsidRPr="00A51BF6" w:rsidRDefault="0067664B" w:rsidP="0067664B">
      <w:pPr>
        <w:tabs>
          <w:tab w:val="left" w:pos="709"/>
        </w:tabs>
        <w:ind w:left="851" w:right="900"/>
        <w:jc w:val="both"/>
        <w:rPr>
          <w:rFonts w:ascii="Palatino Linotype" w:eastAsia="Calibri" w:hAnsi="Palatino Linotype" w:cs="Arial"/>
          <w:i/>
          <w:sz w:val="22"/>
          <w:szCs w:val="22"/>
          <w:lang w:eastAsia="en-US"/>
        </w:rPr>
      </w:pPr>
      <w:r w:rsidRPr="00A51BF6">
        <w:rPr>
          <w:rFonts w:ascii="Palatino Linotype" w:eastAsia="Calibri" w:hAnsi="Palatino Linotype" w:cs="Arial"/>
          <w:i/>
          <w:sz w:val="22"/>
          <w:szCs w:val="22"/>
          <w:lang w:val="es-ES" w:eastAsia="es-MX"/>
        </w:rPr>
        <w:lastRenderedPageBreak/>
        <w:t>“</w:t>
      </w:r>
      <w:r w:rsidRPr="00A51BF6">
        <w:rPr>
          <w:rFonts w:ascii="Palatino Linotype" w:eastAsia="Calibri" w:hAnsi="Palatino Linotype" w:cs="Arial"/>
          <w:b/>
          <w:i/>
          <w:sz w:val="22"/>
          <w:szCs w:val="22"/>
          <w:lang w:val="es-ES" w:eastAsia="es-MX"/>
        </w:rPr>
        <w:t>Artículo 5.6.-</w:t>
      </w:r>
      <w:r w:rsidRPr="00A51BF6">
        <w:rPr>
          <w:rFonts w:ascii="Palatino Linotype" w:eastAsia="Calibri" w:hAnsi="Palatino Linotype" w:cs="Arial"/>
          <w:i/>
          <w:sz w:val="22"/>
          <w:szCs w:val="22"/>
          <w:lang w:val="es-ES" w:eastAsia="es-MX"/>
        </w:rPr>
        <w:t xml:space="preserve"> Son bienes muebles por su naturaleza, los que pueden trasladarse de un lugar a otro, ya sea por sí mismos, o por efecto de una fuerza exterior.</w:t>
      </w:r>
      <w:r w:rsidRPr="00A51BF6">
        <w:rPr>
          <w:rFonts w:ascii="Palatino Linotype" w:eastAsia="Calibri" w:hAnsi="Palatino Linotype" w:cs="Arial"/>
          <w:i/>
          <w:sz w:val="22"/>
          <w:szCs w:val="22"/>
          <w:lang w:eastAsia="en-US"/>
        </w:rPr>
        <w:t>”(Sic)</w:t>
      </w:r>
    </w:p>
    <w:p w:rsidR="0067664B" w:rsidRPr="00A51BF6" w:rsidRDefault="0067664B" w:rsidP="0067664B">
      <w:pPr>
        <w:spacing w:before="100" w:beforeAutospacing="1" w:after="100" w:afterAutospacing="1" w:line="360" w:lineRule="auto"/>
        <w:jc w:val="both"/>
        <w:rPr>
          <w:rFonts w:ascii="Palatino Linotype" w:eastAsia="Arial Unicode MS" w:hAnsi="Palatino Linotype" w:cs="Arial"/>
          <w:lang w:eastAsia="es-MX"/>
        </w:rPr>
      </w:pPr>
      <w:r w:rsidRPr="00A51BF6">
        <w:rPr>
          <w:rFonts w:ascii="Palatino Linotype" w:eastAsia="Arial Unicode MS" w:hAnsi="Palatino Linotype" w:cs="Arial"/>
          <w:lang w:eastAsia="es-MX"/>
        </w:rPr>
        <w:t xml:space="preserve">Derivado de la definición antes mencionada, este Instituto se avoca al estudio, de manera general, de la información de bienes muebles que </w:t>
      </w:r>
      <w:r w:rsidRPr="00A51BF6">
        <w:rPr>
          <w:rFonts w:ascii="Palatino Linotype" w:eastAsia="Arial Unicode MS" w:hAnsi="Palatino Linotype" w:cs="Arial"/>
          <w:b/>
          <w:lang w:eastAsia="es-MX"/>
        </w:rPr>
        <w:t xml:space="preserve">EL SUJETO OBLIGADO </w:t>
      </w:r>
      <w:r w:rsidRPr="00A51BF6">
        <w:rPr>
          <w:rFonts w:ascii="Palatino Linotype" w:eastAsia="Arial Unicode MS" w:hAnsi="Palatino Linotype" w:cs="Arial"/>
          <w:lang w:eastAsia="es-MX"/>
        </w:rPr>
        <w:t>tiene asignados, para posteriormente precisar lo conducente a la información peticionada, a que se hace referencia en la solicitud de acceso a la información.</w:t>
      </w:r>
    </w:p>
    <w:p w:rsidR="0067664B" w:rsidRPr="00A51BF6" w:rsidRDefault="0067664B" w:rsidP="0067664B">
      <w:pPr>
        <w:spacing w:before="100" w:beforeAutospacing="1" w:after="100" w:afterAutospacing="1" w:line="360" w:lineRule="auto"/>
        <w:jc w:val="both"/>
        <w:rPr>
          <w:rFonts w:ascii="Palatino Linotype" w:eastAsia="Calibri" w:hAnsi="Palatino Linotype" w:cs="Arial"/>
          <w:lang w:val="es-ES"/>
        </w:rPr>
      </w:pPr>
      <w:r w:rsidRPr="00A51BF6">
        <w:rPr>
          <w:rFonts w:ascii="Palatino Linotype" w:eastAsia="Arial Unicode MS" w:hAnsi="Palatino Linotype" w:cs="Arial"/>
          <w:lang w:eastAsia="es-MX"/>
        </w:rPr>
        <w:t xml:space="preserve">Una vez apuntado lo anterior, es importante </w:t>
      </w:r>
      <w:r w:rsidRPr="00A51BF6">
        <w:rPr>
          <w:rFonts w:ascii="Palatino Linotype" w:eastAsia="Calibri" w:hAnsi="Palatino Linotype" w:cs="Arial"/>
          <w:lang w:val="es-ES"/>
        </w:rPr>
        <w:t xml:space="preserve">señalar que la Ley de Bienes </w:t>
      </w:r>
      <w:r w:rsidRPr="00A51BF6">
        <w:rPr>
          <w:rFonts w:ascii="Palatino Linotype" w:eastAsia="Calibri" w:hAnsi="Palatino Linotype" w:cs="Arial"/>
          <w:lang w:eastAsia="en-US"/>
        </w:rPr>
        <w:t xml:space="preserve">del Estado de México y de sus Municipios </w:t>
      </w:r>
      <w:r w:rsidRPr="00A51BF6">
        <w:rPr>
          <w:rFonts w:ascii="Palatino Linotype" w:eastAsia="Calibri" w:hAnsi="Palatino Linotype" w:cs="Arial"/>
          <w:lang w:val="es-ES"/>
        </w:rPr>
        <w:t xml:space="preserve">establece los parámetros generales a seguir en el control, registro, administración y </w:t>
      </w:r>
      <w:r w:rsidRPr="00A51BF6">
        <w:rPr>
          <w:rFonts w:ascii="Palatino Linotype" w:eastAsia="Calibri" w:hAnsi="Palatino Linotype" w:cs="Arial"/>
          <w:lang w:eastAsia="en-US"/>
        </w:rPr>
        <w:t>destino</w:t>
      </w:r>
      <w:r w:rsidRPr="00A51BF6">
        <w:rPr>
          <w:rFonts w:ascii="Palatino Linotype" w:eastAsia="Calibri" w:hAnsi="Palatino Linotype" w:cs="Arial"/>
          <w:lang w:val="es-ES"/>
        </w:rPr>
        <w:t>, en sus artículos 1, 2, fracción III, 5, 11, 12, 18, fracción VI, 52 y 67; para mayor referencia se insertan los preceptos legales en cita:</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r w:rsidRPr="00A51BF6">
        <w:rPr>
          <w:rFonts w:ascii="Palatino Linotype" w:eastAsia="Calibri" w:hAnsi="Palatino Linotype" w:cs="Arial"/>
          <w:b/>
          <w:i/>
          <w:sz w:val="22"/>
          <w:szCs w:val="22"/>
          <w:lang w:val="es-ES" w:eastAsia="es-MX"/>
        </w:rPr>
        <w:t>Artículo 1.-</w:t>
      </w:r>
      <w:r w:rsidRPr="00A51BF6">
        <w:rPr>
          <w:rFonts w:ascii="Palatino Linotype" w:eastAsia="Calibri" w:hAnsi="Palatino Linotype" w:cs="Arial"/>
          <w:i/>
          <w:sz w:val="22"/>
          <w:szCs w:val="22"/>
          <w:lang w:val="es-ES" w:eastAsia="es-MX"/>
        </w:rPr>
        <w:t xml:space="preserve"> La presente ley es de orden público y tiene por objeto </w:t>
      </w:r>
      <w:r w:rsidRPr="00A51BF6">
        <w:rPr>
          <w:rFonts w:ascii="Palatino Linotype" w:eastAsia="Calibri" w:hAnsi="Palatino Linotype" w:cs="Arial"/>
          <w:b/>
          <w:i/>
          <w:sz w:val="22"/>
          <w:szCs w:val="22"/>
          <w:lang w:val="es-ES" w:eastAsia="es-MX"/>
        </w:rPr>
        <w:t>regular el registro, destino, administración, control, posesión, uso, aprovechamiento, desincorporación y destino final de los bienes</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del</w:t>
      </w:r>
      <w:r w:rsidRPr="00A51BF6">
        <w:rPr>
          <w:rFonts w:ascii="Palatino Linotype" w:eastAsia="Calibri" w:hAnsi="Palatino Linotype" w:cs="Arial"/>
          <w:i/>
          <w:sz w:val="22"/>
          <w:szCs w:val="22"/>
          <w:lang w:val="es-ES" w:eastAsia="es-MX"/>
        </w:rPr>
        <w:t xml:space="preserve"> Estado de México y de sus </w:t>
      </w:r>
      <w:r w:rsidRPr="00A51BF6">
        <w:rPr>
          <w:rFonts w:ascii="Palatino Linotype" w:eastAsia="Calibri" w:hAnsi="Palatino Linotype" w:cs="Arial"/>
          <w:b/>
          <w:i/>
          <w:sz w:val="22"/>
          <w:szCs w:val="22"/>
          <w:lang w:val="es-ES" w:eastAsia="es-MX"/>
        </w:rPr>
        <w:t>municipios</w:t>
      </w: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2.-</w:t>
      </w:r>
      <w:r w:rsidRPr="00A51BF6">
        <w:rPr>
          <w:rFonts w:ascii="Palatino Linotype" w:eastAsia="Calibri" w:hAnsi="Palatino Linotype" w:cs="Arial"/>
          <w:i/>
          <w:sz w:val="22"/>
          <w:szCs w:val="22"/>
          <w:lang w:val="es-ES" w:eastAsia="es-MX"/>
        </w:rPr>
        <w:t xml:space="preserve"> La aplicación de esta ley corresponde:</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 xml:space="preserve">III. </w:t>
      </w:r>
      <w:r w:rsidRPr="00A51BF6">
        <w:rPr>
          <w:rFonts w:ascii="Palatino Linotype" w:eastAsia="Calibri" w:hAnsi="Palatino Linotype" w:cs="Arial"/>
          <w:b/>
          <w:i/>
          <w:sz w:val="22"/>
          <w:szCs w:val="22"/>
          <w:lang w:val="es-ES" w:eastAsia="es-MX"/>
        </w:rPr>
        <w:t>En los municipios</w:t>
      </w:r>
      <w:r w:rsidRPr="00A51BF6">
        <w:rPr>
          <w:rFonts w:ascii="Palatino Linotype" w:eastAsia="Calibri" w:hAnsi="Palatino Linotype" w:cs="Arial"/>
          <w:i/>
          <w:sz w:val="22"/>
          <w:szCs w:val="22"/>
          <w:lang w:val="es-ES" w:eastAsia="es-MX"/>
        </w:rPr>
        <w:t xml:space="preserve"> a los órganos que determine la Ley Orgánica Municipal del Estado de México y sus reglamentos.</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5.-</w:t>
      </w:r>
      <w:r w:rsidRPr="00A51BF6">
        <w:rPr>
          <w:rFonts w:ascii="Palatino Linotype" w:eastAsia="Calibri" w:hAnsi="Palatino Linotype" w:cs="Arial"/>
          <w:i/>
          <w:sz w:val="22"/>
          <w:szCs w:val="22"/>
          <w:lang w:val="es-ES" w:eastAsia="es-MX"/>
        </w:rPr>
        <w:t xml:space="preserve"> Corresponde al Ejecutivo del Estado por conducto de la Secretaría de Finanzas y a los </w:t>
      </w:r>
      <w:r w:rsidRPr="00A51BF6">
        <w:rPr>
          <w:rFonts w:ascii="Palatino Linotype" w:eastAsia="Calibri" w:hAnsi="Palatino Linotype" w:cs="Arial"/>
          <w:b/>
          <w:i/>
          <w:sz w:val="22"/>
          <w:szCs w:val="22"/>
          <w:lang w:val="es-ES" w:eastAsia="es-MX"/>
        </w:rPr>
        <w:t>ayuntamientos</w:t>
      </w: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I. La elaboración del padrón de bienes del dominio público y privado</w:t>
      </w:r>
      <w:r w:rsidRPr="00A51BF6">
        <w:rPr>
          <w:rFonts w:ascii="Palatino Linotype" w:eastAsia="Calibri" w:hAnsi="Palatino Linotype" w:cs="Arial"/>
          <w:i/>
          <w:sz w:val="22"/>
          <w:szCs w:val="22"/>
          <w:lang w:val="es-ES" w:eastAsia="es-MX"/>
        </w:rPr>
        <w:t xml:space="preserve"> del Estado y </w:t>
      </w:r>
      <w:r w:rsidRPr="00A51BF6">
        <w:rPr>
          <w:rFonts w:ascii="Palatino Linotype" w:eastAsia="Calibri" w:hAnsi="Palatino Linotype" w:cs="Arial"/>
          <w:b/>
          <w:i/>
          <w:sz w:val="22"/>
          <w:szCs w:val="22"/>
          <w:lang w:val="es-ES" w:eastAsia="es-MX"/>
        </w:rPr>
        <w:t>de los ayuntamientos</w:t>
      </w: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11.-</w:t>
      </w:r>
      <w:r w:rsidRPr="00A51BF6">
        <w:rPr>
          <w:rFonts w:ascii="Palatino Linotype" w:eastAsia="Calibri" w:hAnsi="Palatino Linotype" w:cs="Arial"/>
          <w:i/>
          <w:sz w:val="22"/>
          <w:szCs w:val="22"/>
          <w:lang w:val="es-ES" w:eastAsia="es-MX"/>
        </w:rPr>
        <w:t xml:space="preserve"> Corresponde a cada una de las dependencias, organismos auxiliares y entidades de la </w:t>
      </w:r>
      <w:r w:rsidRPr="00A51BF6">
        <w:rPr>
          <w:rFonts w:ascii="Palatino Linotype" w:eastAsia="Calibri" w:hAnsi="Palatino Linotype" w:cs="Arial"/>
          <w:b/>
          <w:i/>
          <w:sz w:val="22"/>
          <w:szCs w:val="22"/>
          <w:lang w:val="es-ES" w:eastAsia="es-MX"/>
        </w:rPr>
        <w:t>administración pública</w:t>
      </w:r>
      <w:r w:rsidRPr="00A51BF6">
        <w:rPr>
          <w:rFonts w:ascii="Palatino Linotype" w:eastAsia="Calibri" w:hAnsi="Palatino Linotype" w:cs="Arial"/>
          <w:i/>
          <w:sz w:val="22"/>
          <w:szCs w:val="22"/>
          <w:lang w:val="es-ES" w:eastAsia="es-MX"/>
        </w:rPr>
        <w:t xml:space="preserve"> estatal y </w:t>
      </w:r>
      <w:r w:rsidRPr="00A51BF6">
        <w:rPr>
          <w:rFonts w:ascii="Palatino Linotype" w:eastAsia="Calibri" w:hAnsi="Palatino Linotype" w:cs="Arial"/>
          <w:b/>
          <w:i/>
          <w:sz w:val="22"/>
          <w:szCs w:val="22"/>
          <w:lang w:val="es-ES" w:eastAsia="es-MX"/>
        </w:rPr>
        <w:t>municipal</w:t>
      </w:r>
      <w:r w:rsidRPr="00A51BF6">
        <w:rPr>
          <w:rFonts w:ascii="Palatino Linotype" w:eastAsia="Calibri" w:hAnsi="Palatino Linotype" w:cs="Arial"/>
          <w:i/>
          <w:sz w:val="22"/>
          <w:szCs w:val="22"/>
          <w:lang w:val="es-ES" w:eastAsia="es-MX"/>
        </w:rPr>
        <w:t xml:space="preserve">: </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 xml:space="preserve">I. Administrar, </w:t>
      </w:r>
      <w:r w:rsidRPr="00A51BF6">
        <w:rPr>
          <w:rFonts w:ascii="Palatino Linotype" w:eastAsia="Calibri" w:hAnsi="Palatino Linotype" w:cs="Arial"/>
          <w:b/>
          <w:i/>
          <w:sz w:val="22"/>
          <w:szCs w:val="22"/>
          <w:lang w:val="es-ES" w:eastAsia="es-MX"/>
        </w:rPr>
        <w:t>controlar</w:t>
      </w:r>
      <w:r w:rsidRPr="00A51BF6">
        <w:rPr>
          <w:rFonts w:ascii="Palatino Linotype" w:eastAsia="Calibri" w:hAnsi="Palatino Linotype" w:cs="Arial"/>
          <w:i/>
          <w:sz w:val="22"/>
          <w:szCs w:val="22"/>
          <w:lang w:val="es-ES" w:eastAsia="es-MX"/>
        </w:rPr>
        <w:t xml:space="preserve"> y utilizar adecuadamente los bienes </w:t>
      </w:r>
      <w:r w:rsidRPr="00A51BF6">
        <w:rPr>
          <w:rFonts w:ascii="Palatino Linotype" w:eastAsia="Calibri" w:hAnsi="Palatino Linotype" w:cs="Arial"/>
          <w:b/>
          <w:i/>
          <w:sz w:val="22"/>
          <w:szCs w:val="22"/>
          <w:lang w:val="es-ES" w:eastAsia="es-MX"/>
        </w:rPr>
        <w:t>muebles</w:t>
      </w:r>
      <w:r w:rsidRPr="00A51BF6">
        <w:rPr>
          <w:rFonts w:ascii="Palatino Linotype" w:eastAsia="Calibri" w:hAnsi="Palatino Linotype" w:cs="Arial"/>
          <w:i/>
          <w:sz w:val="22"/>
          <w:szCs w:val="22"/>
          <w:lang w:val="es-ES" w:eastAsia="es-MX"/>
        </w:rPr>
        <w:t xml:space="preserve"> e inmuebles que detenten o tengan asignados;</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lastRenderedPageBreak/>
        <w:t>Artículo 12.-</w:t>
      </w:r>
      <w:r w:rsidRPr="00A51BF6">
        <w:rPr>
          <w:rFonts w:ascii="Palatino Linotype" w:eastAsia="Calibri" w:hAnsi="Palatino Linotype" w:cs="Arial"/>
          <w:i/>
          <w:sz w:val="22"/>
          <w:szCs w:val="22"/>
          <w:lang w:val="es-ES" w:eastAsia="es-MX"/>
        </w:rPr>
        <w:t xml:space="preserve"> El Estado de México y sus </w:t>
      </w:r>
      <w:r w:rsidRPr="00A51BF6">
        <w:rPr>
          <w:rFonts w:ascii="Palatino Linotype" w:eastAsia="Calibri" w:hAnsi="Palatino Linotype" w:cs="Arial"/>
          <w:b/>
          <w:i/>
          <w:sz w:val="22"/>
          <w:szCs w:val="22"/>
          <w:lang w:val="es-ES" w:eastAsia="es-MX"/>
        </w:rPr>
        <w:t>municipios tienen personalidad jurídica para adquirir y poseer bienes</w:t>
      </w:r>
      <w:r w:rsidRPr="00A51BF6">
        <w:rPr>
          <w:rFonts w:ascii="Palatino Linotype" w:eastAsia="Calibri" w:hAnsi="Palatino Linotype" w:cs="Arial"/>
          <w:i/>
          <w:sz w:val="22"/>
          <w:szCs w:val="22"/>
          <w:lang w:val="es-ES" w:eastAsia="es-MX"/>
        </w:rPr>
        <w:t xml:space="preserve"> para la prestación de los servicios públicos y el cumplimiento de sus fines.</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18.-</w:t>
      </w:r>
      <w:r w:rsidRPr="00A51BF6">
        <w:rPr>
          <w:rFonts w:ascii="Palatino Linotype" w:eastAsia="Calibri" w:hAnsi="Palatino Linotype" w:cs="Arial"/>
          <w:i/>
          <w:sz w:val="22"/>
          <w:szCs w:val="22"/>
          <w:lang w:val="es-ES" w:eastAsia="es-MX"/>
        </w:rPr>
        <w:t xml:space="preserve"> Son bienes destinados a un servicio público:</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r w:rsidRPr="00A51BF6">
        <w:rPr>
          <w:rFonts w:ascii="Palatino Linotype" w:eastAsia="Calibri" w:hAnsi="Palatino Linotype" w:cs="Arial"/>
          <w:b/>
          <w:i/>
          <w:sz w:val="22"/>
          <w:szCs w:val="22"/>
          <w:lang w:val="es-ES" w:eastAsia="es-MX"/>
        </w:rPr>
        <w:t>VI.</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Los bienes muebles de propiedad estatal o municipal que tengan uso o utilidad en la prestación de un servicio público; y</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r w:rsidRPr="00A51BF6">
        <w:rPr>
          <w:rFonts w:ascii="Palatino Linotype" w:eastAsia="Calibri" w:hAnsi="Palatino Linotype" w:cs="Arial"/>
          <w:b/>
          <w:i/>
          <w:sz w:val="22"/>
          <w:szCs w:val="22"/>
          <w:lang w:val="es-ES" w:eastAsia="es-MX"/>
        </w:rPr>
        <w:t>Artículo 52.-</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Tratándose de muebles, éstos serán considerados en lo individual y en conjunto como integrantes del dominio público</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por lo tanto bastará que los bienes se encuentren inventariados y asignados</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a la dependencia,</w:t>
      </w:r>
      <w:r w:rsidRPr="00A51BF6">
        <w:rPr>
          <w:rFonts w:ascii="Palatino Linotype" w:eastAsia="Calibri" w:hAnsi="Palatino Linotype" w:cs="Arial"/>
          <w:i/>
          <w:sz w:val="22"/>
          <w:szCs w:val="22"/>
          <w:lang w:val="es-ES" w:eastAsia="es-MX"/>
        </w:rPr>
        <w:t xml:space="preserve"> organismo auxiliar estatal o </w:t>
      </w:r>
      <w:r w:rsidRPr="00A51BF6">
        <w:rPr>
          <w:rFonts w:ascii="Palatino Linotype" w:eastAsia="Calibri" w:hAnsi="Palatino Linotype" w:cs="Arial"/>
          <w:b/>
          <w:i/>
          <w:sz w:val="22"/>
          <w:szCs w:val="22"/>
          <w:lang w:val="es-ES" w:eastAsia="es-MX"/>
        </w:rPr>
        <w:t>municipal</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para que se consideren como parte de este dominio.</w:t>
      </w:r>
    </w:p>
    <w:p w:rsidR="0067664B" w:rsidRPr="00A51BF6" w:rsidRDefault="0067664B" w:rsidP="0067664B">
      <w:pPr>
        <w:tabs>
          <w:tab w:val="left" w:pos="709"/>
        </w:tabs>
        <w:ind w:left="851" w:right="900"/>
        <w:jc w:val="both"/>
        <w:rPr>
          <w:rFonts w:ascii="Palatino Linotype" w:eastAsia="Calibri" w:hAnsi="Palatino Linotype" w:cs="Arial"/>
          <w:b/>
          <w:i/>
          <w:sz w:val="22"/>
          <w:szCs w:val="22"/>
          <w:lang w:val="es-ES" w:eastAsia="es-MX"/>
        </w:rPr>
      </w:pP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67.</w:t>
      </w:r>
      <w:r w:rsidRPr="00A51BF6">
        <w:rPr>
          <w:rFonts w:ascii="Palatino Linotype" w:eastAsia="Calibri" w:hAnsi="Palatino Linotype" w:cs="Arial"/>
          <w:i/>
          <w:sz w:val="22"/>
          <w:szCs w:val="22"/>
          <w:lang w:val="es-ES" w:eastAsia="es-MX"/>
        </w:rPr>
        <w:t xml:space="preserve"> La Secretaría de Finanzas y </w:t>
      </w:r>
      <w:r w:rsidRPr="00A51BF6">
        <w:rPr>
          <w:rFonts w:ascii="Palatino Linotype" w:eastAsia="Calibri" w:hAnsi="Palatino Linotype" w:cs="Arial"/>
          <w:b/>
          <w:i/>
          <w:sz w:val="22"/>
          <w:szCs w:val="22"/>
          <w:lang w:val="es-ES" w:eastAsia="es-MX"/>
        </w:rPr>
        <w:t>los ayuntamientos determinarán los procedimientos para integrar el inventario de los bienes del dominio público y privado estatal o municipal.</w:t>
      </w:r>
      <w:r w:rsidRPr="00A51BF6">
        <w:rPr>
          <w:rFonts w:ascii="Palatino Linotype" w:eastAsia="Calibri" w:hAnsi="Palatino Linotype" w:cs="Arial"/>
          <w:i/>
          <w:sz w:val="22"/>
          <w:szCs w:val="22"/>
          <w:lang w:val="es-ES" w:eastAsia="es-MX"/>
        </w:rPr>
        <w:t xml:space="preserve"> “</w:t>
      </w:r>
    </w:p>
    <w:p w:rsidR="0067664B" w:rsidRPr="00A51BF6" w:rsidRDefault="0067664B" w:rsidP="0067664B">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 xml:space="preserve"> (Énfasis añadido)</w:t>
      </w:r>
    </w:p>
    <w:p w:rsidR="0067664B" w:rsidRPr="00A51BF6" w:rsidRDefault="0067664B" w:rsidP="00B6028C">
      <w:pPr>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lang w:val="es-ES"/>
        </w:rPr>
        <w:t xml:space="preserve">De lo anterior, se puede advertir que es una atribución de los Ayuntamientos la elaboración del padrón de bienes del dominio público y privado del Estado y de los Municipios; atento a ello, corresponde a los Ayuntamientos determinar los procedimientos para integrar el inventario de dichos bienes. </w:t>
      </w:r>
    </w:p>
    <w:p w:rsidR="0067664B" w:rsidRPr="00A51BF6" w:rsidRDefault="00EF2C8C" w:rsidP="0067664B">
      <w:pPr>
        <w:spacing w:line="360" w:lineRule="auto"/>
        <w:jc w:val="both"/>
        <w:rPr>
          <w:rFonts w:ascii="Palatino Linotype" w:hAnsi="Palatino Linotype" w:cs="Arial"/>
          <w:lang w:val="es-ES"/>
        </w:rPr>
      </w:pPr>
      <w:r>
        <w:rPr>
          <w:rFonts w:ascii="Palatino Linotype" w:hAnsi="Palatino Linotype" w:cs="Arial"/>
          <w:noProof/>
          <w:lang w:eastAsia="es-MX"/>
        </w:rPr>
        <mc:AlternateContent>
          <mc:Choice Requires="wps">
            <w:drawing>
              <wp:anchor distT="0" distB="0" distL="114300" distR="114300" simplePos="0" relativeHeight="251669504" behindDoc="0" locked="0" layoutInCell="1" allowOverlap="1">
                <wp:simplePos x="0" y="0"/>
                <wp:positionH relativeFrom="margin">
                  <wp:align>left</wp:align>
                </wp:positionH>
                <wp:positionV relativeFrom="paragraph">
                  <wp:posOffset>1779270</wp:posOffset>
                </wp:positionV>
                <wp:extent cx="5724525" cy="819150"/>
                <wp:effectExtent l="38100" t="38100" r="47625" b="95250"/>
                <wp:wrapNone/>
                <wp:docPr id="42" name="Conector recto 42"/>
                <wp:cNvGraphicFramePr/>
                <a:graphic xmlns:a="http://schemas.openxmlformats.org/drawingml/2006/main">
                  <a:graphicData uri="http://schemas.microsoft.com/office/word/2010/wordprocessingShape">
                    <wps:wsp>
                      <wps:cNvCnPr/>
                      <wps:spPr>
                        <a:xfrm>
                          <a:off x="0" y="0"/>
                          <a:ext cx="5724525" cy="8191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A6FCEF" id="Conector recto 42" o:spid="_x0000_s1026" style="position:absolute;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0.1pt" to="450.75pt,2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" strokecolor="#4f81bd [3204]" strokeweight="2pt">
                <v:shadow on="t" color="black" opacity="24903f" origin=",.5" offset="0,.55556mm"/>
                <w10:wrap anchorx="margin"/>
              </v:line>
            </w:pict>
          </mc:Fallback>
        </mc:AlternateContent>
      </w:r>
      <w:r w:rsidR="0067664B" w:rsidRPr="00A51BF6">
        <w:rPr>
          <w:rFonts w:ascii="Palatino Linotype" w:hAnsi="Palatino Linotype" w:cs="Arial"/>
          <w:lang w:val="es-ES"/>
        </w:rPr>
        <w:t>Es así, que los bienes muebles de propiedad municipal que tengan uso o utilidad en la prestación de un servicio público son bienes del dominio público; por lo que, los bienes muebles deben ser considerados en lo individual y en conjunto como integrantes del dominio público; por lo tanto, bastará con que se encuentren inventariados y asignados a la dependencia, organismo auxiliar estatal o municipal, para que se consideren como parte de este dominio.</w:t>
      </w:r>
    </w:p>
    <w:p w:rsidR="00B6028C" w:rsidRPr="00A51BF6" w:rsidRDefault="00B6028C" w:rsidP="00B6028C">
      <w:pPr>
        <w:spacing w:before="100" w:beforeAutospacing="1" w:after="100" w:afterAutospacing="1" w:line="360" w:lineRule="auto"/>
        <w:jc w:val="both"/>
        <w:rPr>
          <w:rFonts w:ascii="Palatino Linotype" w:eastAsia="Calibri" w:hAnsi="Palatino Linotype" w:cs="Arial"/>
          <w:lang w:eastAsia="es-MX"/>
        </w:rPr>
      </w:pPr>
      <w:r w:rsidRPr="00A51BF6">
        <w:rPr>
          <w:rFonts w:ascii="Palatino Linotype" w:hAnsi="Palatino Linotype" w:cs="Arial"/>
          <w:lang w:val="es-ES"/>
        </w:rPr>
        <w:lastRenderedPageBreak/>
        <w:t xml:space="preserve">En síntesis, podemos concluir que </w:t>
      </w:r>
      <w:r w:rsidRPr="00A51BF6">
        <w:rPr>
          <w:rFonts w:ascii="Palatino Linotype" w:eastAsia="Calibri" w:hAnsi="Palatino Linotype" w:cs="Arial"/>
          <w:lang w:val="es-ES"/>
        </w:rPr>
        <w:t>los Municipios están obligados a elaborar sus respectivos inventarios de bienes muebles, para con éstos elaborar el “Padrón de Bienes del Dominio Público y Privado del Estado y de los Ayuntamientos” a que hace referencia el artículo 5, fracción I de la Ley antes mencionada.</w:t>
      </w:r>
    </w:p>
    <w:p w:rsidR="00B6028C" w:rsidRPr="00A51BF6" w:rsidRDefault="00B6028C" w:rsidP="00B6028C">
      <w:pPr>
        <w:autoSpaceDE w:val="0"/>
        <w:autoSpaceDN w:val="0"/>
        <w:adjustRightInd w:val="0"/>
        <w:spacing w:line="360" w:lineRule="auto"/>
        <w:jc w:val="both"/>
        <w:rPr>
          <w:rFonts w:ascii="Palatino Linotype" w:hAnsi="Palatino Linotype" w:cs="Arial"/>
          <w:lang w:val="es-ES"/>
        </w:rPr>
      </w:pPr>
      <w:r w:rsidRPr="00A51BF6">
        <w:rPr>
          <w:rFonts w:ascii="Palatino Linotype" w:hAnsi="Palatino Linotype" w:cs="Arial"/>
          <w:lang w:val="es-ES"/>
        </w:rPr>
        <w:t>Por su parte, la Ley Orgánica Municipal del Estado de México prevé en materia de bienes muebles e inmuebles lo siguiente:</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hAnsi="Palatino Linotype" w:cs="Arial"/>
          <w:b/>
          <w:i/>
          <w:sz w:val="22"/>
          <w:szCs w:val="22"/>
          <w:lang w:val="es-ES"/>
        </w:rPr>
        <w:t>“</w:t>
      </w:r>
      <w:r w:rsidRPr="00A51BF6">
        <w:rPr>
          <w:rFonts w:ascii="Palatino Linotype" w:eastAsia="Calibri" w:hAnsi="Palatino Linotype" w:cs="Arial"/>
          <w:b/>
          <w:i/>
          <w:sz w:val="22"/>
          <w:szCs w:val="22"/>
          <w:lang w:val="es-ES" w:eastAsia="es-MX"/>
        </w:rPr>
        <w:t>Artículo 31.-</w:t>
      </w:r>
      <w:r w:rsidRPr="00A51BF6">
        <w:rPr>
          <w:rFonts w:ascii="Palatino Linotype" w:eastAsia="Calibri" w:hAnsi="Palatino Linotype" w:cs="Arial"/>
          <w:i/>
          <w:sz w:val="22"/>
          <w:szCs w:val="22"/>
          <w:lang w:val="es-ES" w:eastAsia="es-MX"/>
        </w:rPr>
        <w:t xml:space="preserve"> Son atribuciones de los ayuntamientos:</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b/>
          <w:i/>
          <w:sz w:val="22"/>
          <w:szCs w:val="22"/>
          <w:lang w:val="es-ES" w:eastAsia="es-MX"/>
        </w:rPr>
      </w:pPr>
      <w:r w:rsidRPr="00A51BF6">
        <w:rPr>
          <w:rFonts w:ascii="Palatino Linotype" w:eastAsia="Calibri" w:hAnsi="Palatino Linotype" w:cs="Arial"/>
          <w:b/>
          <w:i/>
          <w:sz w:val="22"/>
          <w:szCs w:val="22"/>
          <w:lang w:val="es-ES" w:eastAsia="es-MX"/>
        </w:rPr>
        <w:t>XV. Aprobar en sesión de cabildo los movimientos registrados en el libro especial de bienes muebles e inmuebles;</w:t>
      </w:r>
    </w:p>
    <w:p w:rsidR="00B6028C" w:rsidRPr="00A51BF6" w:rsidRDefault="00B6028C" w:rsidP="00B6028C">
      <w:pPr>
        <w:tabs>
          <w:tab w:val="left" w:pos="709"/>
        </w:tabs>
        <w:ind w:left="851" w:right="900"/>
        <w:jc w:val="both"/>
        <w:rPr>
          <w:rFonts w:ascii="Palatino Linotype" w:hAnsi="Palatino Linotype" w:cs="Arial"/>
          <w:i/>
          <w:sz w:val="22"/>
          <w:szCs w:val="22"/>
          <w:lang w:val="es-ES"/>
        </w:rPr>
      </w:pPr>
      <w:r w:rsidRPr="00A51BF6">
        <w:rPr>
          <w:rFonts w:ascii="Palatino Linotype" w:hAnsi="Palatino Linotype" w:cs="Arial"/>
          <w:i/>
          <w:sz w:val="22"/>
          <w:szCs w:val="22"/>
          <w:lang w:val="es-ES"/>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48.-</w:t>
      </w:r>
      <w:r w:rsidRPr="00A51BF6">
        <w:rPr>
          <w:rFonts w:ascii="Palatino Linotype" w:eastAsia="Calibri" w:hAnsi="Palatino Linotype" w:cs="Arial"/>
          <w:i/>
          <w:sz w:val="22"/>
          <w:szCs w:val="22"/>
          <w:lang w:val="es-ES" w:eastAsia="es-MX"/>
        </w:rPr>
        <w:t xml:space="preserve"> El </w:t>
      </w:r>
      <w:r w:rsidRPr="00A51BF6">
        <w:rPr>
          <w:rFonts w:ascii="Palatino Linotype" w:eastAsia="Calibri" w:hAnsi="Palatino Linotype" w:cs="Arial"/>
          <w:b/>
          <w:i/>
          <w:sz w:val="22"/>
          <w:szCs w:val="22"/>
          <w:lang w:val="es-ES" w:eastAsia="es-MX"/>
        </w:rPr>
        <w:t>presidente municipal</w:t>
      </w:r>
      <w:r w:rsidRPr="00A51BF6">
        <w:rPr>
          <w:rFonts w:ascii="Palatino Linotype" w:eastAsia="Calibri" w:hAnsi="Palatino Linotype" w:cs="Arial"/>
          <w:i/>
          <w:sz w:val="22"/>
          <w:szCs w:val="22"/>
          <w:lang w:val="es-ES" w:eastAsia="es-MX"/>
        </w:rPr>
        <w:t xml:space="preserve"> tiene las siguientes </w:t>
      </w:r>
      <w:r w:rsidRPr="00A51BF6">
        <w:rPr>
          <w:rFonts w:ascii="Palatino Linotype" w:eastAsia="Calibri" w:hAnsi="Palatino Linotype" w:cs="Arial"/>
          <w:b/>
          <w:i/>
          <w:sz w:val="22"/>
          <w:szCs w:val="22"/>
          <w:lang w:val="es-ES" w:eastAsia="es-MX"/>
        </w:rPr>
        <w:t>atribuciones</w:t>
      </w: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b/>
          <w:i/>
          <w:sz w:val="22"/>
          <w:szCs w:val="22"/>
          <w:lang w:val="es-ES" w:eastAsia="es-MX"/>
        </w:rPr>
      </w:pPr>
      <w:r w:rsidRPr="00A51BF6">
        <w:rPr>
          <w:rFonts w:ascii="Palatino Linotype" w:eastAsia="Calibri" w:hAnsi="Palatino Linotype" w:cs="Arial"/>
          <w:b/>
          <w:i/>
          <w:sz w:val="22"/>
          <w:szCs w:val="22"/>
          <w:lang w:val="es-ES" w:eastAsia="es-MX"/>
        </w:rPr>
        <w:t>XI. Supervisar la administración, registro, control, uso, mantenimiento y conservación adecuados de los bienes del municipio;</w:t>
      </w:r>
    </w:p>
    <w:p w:rsidR="00B6028C" w:rsidRPr="00A51BF6" w:rsidRDefault="00B6028C" w:rsidP="00B6028C">
      <w:pPr>
        <w:tabs>
          <w:tab w:val="left" w:pos="709"/>
        </w:tabs>
        <w:ind w:left="851" w:right="900"/>
        <w:jc w:val="both"/>
        <w:rPr>
          <w:rFonts w:ascii="Palatino Linotype" w:eastAsia="Calibri" w:hAnsi="Palatino Linotype" w:cs="Arial"/>
          <w:b/>
          <w:i/>
          <w:sz w:val="22"/>
          <w:szCs w:val="22"/>
          <w:lang w:val="es-ES" w:eastAsia="es-MX"/>
        </w:rPr>
      </w:pPr>
      <w:r w:rsidRPr="00A51BF6">
        <w:rPr>
          <w:rFonts w:ascii="Palatino Linotype" w:eastAsia="Calibri" w:hAnsi="Palatino Linotype" w:cs="Arial"/>
          <w:b/>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53.-</w:t>
      </w:r>
      <w:r w:rsidRPr="00A51BF6">
        <w:rPr>
          <w:rFonts w:ascii="Palatino Linotype" w:eastAsia="Calibri" w:hAnsi="Palatino Linotype" w:cs="Arial"/>
          <w:i/>
          <w:sz w:val="22"/>
          <w:szCs w:val="22"/>
          <w:lang w:val="es-ES" w:eastAsia="es-MX"/>
        </w:rPr>
        <w:t xml:space="preserve"> Los </w:t>
      </w:r>
      <w:r w:rsidRPr="00A51BF6">
        <w:rPr>
          <w:rFonts w:ascii="Palatino Linotype" w:eastAsia="Calibri" w:hAnsi="Palatino Linotype" w:cs="Arial"/>
          <w:b/>
          <w:i/>
          <w:sz w:val="22"/>
          <w:szCs w:val="22"/>
          <w:lang w:val="es-ES" w:eastAsia="es-MX"/>
        </w:rPr>
        <w:t>síndicos</w:t>
      </w:r>
      <w:r w:rsidRPr="00A51BF6">
        <w:rPr>
          <w:rFonts w:ascii="Palatino Linotype" w:eastAsia="Calibri" w:hAnsi="Palatino Linotype" w:cs="Arial"/>
          <w:i/>
          <w:sz w:val="22"/>
          <w:szCs w:val="22"/>
          <w:lang w:val="es-ES" w:eastAsia="es-MX"/>
        </w:rPr>
        <w:t xml:space="preserve"> tendrán las siguientes </w:t>
      </w:r>
      <w:r w:rsidRPr="00A51BF6">
        <w:rPr>
          <w:rFonts w:ascii="Palatino Linotype" w:eastAsia="Calibri" w:hAnsi="Palatino Linotype" w:cs="Arial"/>
          <w:b/>
          <w:i/>
          <w:sz w:val="22"/>
          <w:szCs w:val="22"/>
          <w:lang w:val="es-ES" w:eastAsia="es-MX"/>
        </w:rPr>
        <w:t>atribuciones</w:t>
      </w: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VII.</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Intervenir en la formulación del inventario general de los bienes muebles e</w:t>
      </w:r>
      <w:r w:rsidRPr="00A51BF6">
        <w:rPr>
          <w:rFonts w:ascii="Palatino Linotype" w:hAnsi="Palatino Linotype"/>
          <w:b/>
        </w:rPr>
        <w:t xml:space="preserve"> </w:t>
      </w:r>
      <w:r w:rsidRPr="00A51BF6">
        <w:rPr>
          <w:rFonts w:ascii="Palatino Linotype" w:eastAsia="Calibri" w:hAnsi="Palatino Linotype" w:cs="Arial"/>
          <w:b/>
          <w:i/>
          <w:sz w:val="22"/>
          <w:szCs w:val="22"/>
          <w:lang w:val="es-ES" w:eastAsia="es-MX"/>
        </w:rPr>
        <w:t>inmuebles propiedad del municipio</w:t>
      </w:r>
      <w:r w:rsidRPr="00A51BF6">
        <w:rPr>
          <w:rFonts w:ascii="Palatino Linotype" w:eastAsia="Calibri" w:hAnsi="Palatino Linotype" w:cs="Arial"/>
          <w:i/>
          <w:sz w:val="22"/>
          <w:szCs w:val="22"/>
          <w:lang w:val="es-ES" w:eastAsia="es-MX"/>
        </w:rPr>
        <w:t xml:space="preserve">, haciendo que se inscriban en el libro especial, con expresión de sus valores y de todas las características de identificación, </w:t>
      </w:r>
      <w:r w:rsidRPr="00A51BF6">
        <w:rPr>
          <w:rFonts w:ascii="Palatino Linotype" w:eastAsia="Calibri" w:hAnsi="Palatino Linotype" w:cs="Arial"/>
          <w:b/>
          <w:i/>
          <w:sz w:val="22"/>
          <w:szCs w:val="22"/>
          <w:lang w:val="es-ES" w:eastAsia="es-MX"/>
        </w:rPr>
        <w:t>así como el uso y destino de los mismos</w:t>
      </w: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91.-</w:t>
      </w:r>
      <w:r w:rsidRPr="00A51BF6">
        <w:rPr>
          <w:rFonts w:ascii="Palatino Linotype" w:eastAsia="Calibri" w:hAnsi="Palatino Linotype" w:cs="Arial"/>
          <w:i/>
          <w:sz w:val="22"/>
          <w:szCs w:val="22"/>
          <w:lang w:val="es-ES" w:eastAsia="es-MX"/>
        </w:rPr>
        <w:t xml:space="preserve"> La </w:t>
      </w:r>
      <w:r w:rsidRPr="00A51BF6">
        <w:rPr>
          <w:rFonts w:ascii="Palatino Linotype" w:eastAsia="Calibri" w:hAnsi="Palatino Linotype" w:cs="Arial"/>
          <w:b/>
          <w:i/>
          <w:sz w:val="22"/>
          <w:szCs w:val="22"/>
          <w:lang w:val="es-ES" w:eastAsia="es-MX"/>
        </w:rPr>
        <w:t>Secretaría del Ayuntamiento</w:t>
      </w:r>
      <w:r w:rsidRPr="00A51BF6">
        <w:rPr>
          <w:rFonts w:ascii="Palatino Linotype" w:eastAsia="Calibri" w:hAnsi="Palatino Linotype" w:cs="Arial"/>
          <w:i/>
          <w:sz w:val="22"/>
          <w:szCs w:val="22"/>
          <w:lang w:val="es-ES" w:eastAsia="es-MX"/>
        </w:rPr>
        <w:t xml:space="preserve"> estará a cargo de un Secretario, el que, sin ser miembro del mismo, deberá ser nombrado por el propio Ayuntamiento a propuesta del Presidente Municipal como lo marca el artículo 31 de la presente ley. Sus faltas temporales serán cubiertas por quien designe el Ayuntamiento y sus </w:t>
      </w:r>
      <w:r w:rsidRPr="00A51BF6">
        <w:rPr>
          <w:rFonts w:ascii="Palatino Linotype" w:eastAsia="Calibri" w:hAnsi="Palatino Linotype" w:cs="Arial"/>
          <w:b/>
          <w:i/>
          <w:sz w:val="22"/>
          <w:szCs w:val="22"/>
          <w:lang w:val="es-ES" w:eastAsia="es-MX"/>
        </w:rPr>
        <w:t>atribuciones</w:t>
      </w:r>
      <w:r w:rsidRPr="00A51BF6">
        <w:rPr>
          <w:rFonts w:ascii="Palatino Linotype" w:eastAsia="Calibri" w:hAnsi="Palatino Linotype" w:cs="Arial"/>
          <w:i/>
          <w:sz w:val="22"/>
          <w:szCs w:val="22"/>
          <w:lang w:val="es-ES" w:eastAsia="es-MX"/>
        </w:rPr>
        <w:t xml:space="preserve"> son las siguientes:</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 xml:space="preserve">XI. </w:t>
      </w:r>
      <w:r w:rsidRPr="00A51BF6">
        <w:rPr>
          <w:rFonts w:ascii="Palatino Linotype" w:eastAsia="Calibri" w:hAnsi="Palatino Linotype" w:cs="Arial"/>
          <w:b/>
          <w:i/>
          <w:sz w:val="22"/>
          <w:szCs w:val="22"/>
          <w:lang w:val="es-ES" w:eastAsia="es-MX"/>
        </w:rPr>
        <w:t>Elaborar con la intervención del síndico el inventario general de los bienes muebles</w:t>
      </w:r>
      <w:r w:rsidRPr="00A51BF6">
        <w:rPr>
          <w:rFonts w:ascii="Palatino Linotype" w:eastAsia="Calibri" w:hAnsi="Palatino Linotype" w:cs="Arial"/>
          <w:i/>
          <w:sz w:val="22"/>
          <w:szCs w:val="22"/>
          <w:lang w:val="es-ES" w:eastAsia="es-MX"/>
        </w:rPr>
        <w:t xml:space="preserve"> e inmuebles </w:t>
      </w:r>
      <w:r w:rsidRPr="00A51BF6">
        <w:rPr>
          <w:rFonts w:ascii="Palatino Linotype" w:eastAsia="Calibri" w:hAnsi="Palatino Linotype" w:cs="Arial"/>
          <w:b/>
          <w:i/>
          <w:sz w:val="22"/>
          <w:szCs w:val="22"/>
          <w:lang w:val="es-ES" w:eastAsia="es-MX"/>
        </w:rPr>
        <w:t>municipales</w:t>
      </w:r>
      <w:r w:rsidRPr="00A51BF6">
        <w:rPr>
          <w:rFonts w:ascii="Palatino Linotype" w:eastAsia="Calibri" w:hAnsi="Palatino Linotype" w:cs="Arial"/>
          <w:i/>
          <w:sz w:val="22"/>
          <w:szCs w:val="22"/>
          <w:lang w:val="es-ES" w:eastAsia="es-MX"/>
        </w:rPr>
        <w:t xml:space="preserve">, </w:t>
      </w:r>
      <w:r w:rsidRPr="00A51BF6">
        <w:rPr>
          <w:rFonts w:ascii="Palatino Linotype" w:eastAsia="Calibri" w:hAnsi="Palatino Linotype" w:cs="Arial"/>
          <w:b/>
          <w:i/>
          <w:sz w:val="22"/>
          <w:szCs w:val="22"/>
          <w:lang w:val="es-ES" w:eastAsia="es-MX"/>
        </w:rPr>
        <w:t>así como la integración del sistema de información inmobiliaria, que contemple los bienes del dominio público y privado</w:t>
      </w:r>
      <w:r w:rsidRPr="00A51BF6">
        <w:rPr>
          <w:rFonts w:ascii="Palatino Linotype" w:eastAsia="Calibri" w:hAnsi="Palatino Linotype" w:cs="Arial"/>
          <w:i/>
          <w:sz w:val="22"/>
          <w:szCs w:val="22"/>
          <w:lang w:val="es-ES" w:eastAsia="es-MX"/>
        </w:rPr>
        <w:t>, en un término que no exceda de un año contado a partir de la instalación del ayuntamiento y presentarlo al cabildo para su conocimiento y opinión.</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 xml:space="preserve">En el caso de que el ayuntamiento adquiera por cualquier concepto bienes muebles o inmuebles durante su ejercicio, deberá realizar la actualización del inventario </w:t>
      </w:r>
      <w:r w:rsidRPr="00A51BF6">
        <w:rPr>
          <w:rFonts w:ascii="Palatino Linotype" w:eastAsia="Calibri" w:hAnsi="Palatino Linotype" w:cs="Arial"/>
          <w:i/>
          <w:sz w:val="22"/>
          <w:szCs w:val="22"/>
          <w:lang w:val="es-ES" w:eastAsia="es-MX"/>
        </w:rPr>
        <w:lastRenderedPageBreak/>
        <w:t>general de los bienes mueb1es e inmuebles y del sistema de información inmobiliaria en un plazo de ciento veinte días hábiles a partir de su adquisición y presentar un informe trimestral al cabildo para su conocimiento y opinión.</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95.-</w:t>
      </w:r>
      <w:r w:rsidRPr="00A51BF6">
        <w:rPr>
          <w:rFonts w:ascii="Palatino Linotype" w:eastAsia="Calibri" w:hAnsi="Palatino Linotype" w:cs="Arial"/>
          <w:i/>
          <w:sz w:val="22"/>
          <w:szCs w:val="22"/>
          <w:lang w:val="es-ES" w:eastAsia="es-MX"/>
        </w:rPr>
        <w:t xml:space="preserve"> Son </w:t>
      </w:r>
      <w:r w:rsidRPr="00A51BF6">
        <w:rPr>
          <w:rFonts w:ascii="Palatino Linotype" w:eastAsia="Calibri" w:hAnsi="Palatino Linotype" w:cs="Arial"/>
          <w:b/>
          <w:i/>
          <w:sz w:val="22"/>
          <w:szCs w:val="22"/>
          <w:lang w:val="es-ES" w:eastAsia="es-MX"/>
        </w:rPr>
        <w:t>atribuciones</w:t>
      </w:r>
      <w:r w:rsidRPr="00A51BF6">
        <w:rPr>
          <w:rFonts w:ascii="Palatino Linotype" w:eastAsia="Calibri" w:hAnsi="Palatino Linotype" w:cs="Arial"/>
          <w:i/>
          <w:sz w:val="22"/>
          <w:szCs w:val="22"/>
          <w:lang w:val="es-ES" w:eastAsia="es-MX"/>
        </w:rPr>
        <w:t xml:space="preserve"> del </w:t>
      </w:r>
      <w:r w:rsidRPr="00A51BF6">
        <w:rPr>
          <w:rFonts w:ascii="Palatino Linotype" w:eastAsia="Calibri" w:hAnsi="Palatino Linotype" w:cs="Arial"/>
          <w:b/>
          <w:i/>
          <w:sz w:val="22"/>
          <w:szCs w:val="22"/>
          <w:lang w:val="es-ES" w:eastAsia="es-MX"/>
        </w:rPr>
        <w:t>tesorero municipal</w:t>
      </w: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 xml:space="preserve">IV. </w:t>
      </w:r>
      <w:r w:rsidRPr="00A51BF6">
        <w:rPr>
          <w:rFonts w:ascii="Palatino Linotype" w:eastAsia="Calibri" w:hAnsi="Palatino Linotype" w:cs="Arial"/>
          <w:b/>
          <w:i/>
          <w:sz w:val="22"/>
          <w:szCs w:val="22"/>
          <w:lang w:val="es-ES" w:eastAsia="es-MX"/>
        </w:rPr>
        <w:t>Llevar</w:t>
      </w:r>
      <w:r w:rsidRPr="00A51BF6">
        <w:rPr>
          <w:rFonts w:ascii="Palatino Linotype" w:eastAsia="Calibri" w:hAnsi="Palatino Linotype" w:cs="Arial"/>
          <w:i/>
          <w:sz w:val="22"/>
          <w:szCs w:val="22"/>
          <w:lang w:val="es-ES" w:eastAsia="es-MX"/>
        </w:rPr>
        <w:t xml:space="preserve"> los registros contables, financieros y administrativos de los ingresos, egresos, e </w:t>
      </w:r>
      <w:r w:rsidRPr="00A51BF6">
        <w:rPr>
          <w:rFonts w:ascii="Palatino Linotype" w:eastAsia="Calibri" w:hAnsi="Palatino Linotype" w:cs="Arial"/>
          <w:b/>
          <w:i/>
          <w:sz w:val="22"/>
          <w:szCs w:val="22"/>
          <w:lang w:val="es-ES" w:eastAsia="es-MX"/>
        </w:rPr>
        <w:t>inventarios</w:t>
      </w: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97.-</w:t>
      </w:r>
      <w:r w:rsidRPr="00A51BF6">
        <w:rPr>
          <w:rFonts w:ascii="Palatino Linotype" w:eastAsia="Calibri" w:hAnsi="Palatino Linotype" w:cs="Arial"/>
          <w:i/>
          <w:sz w:val="22"/>
          <w:szCs w:val="22"/>
          <w:lang w:val="es-ES" w:eastAsia="es-MX"/>
        </w:rPr>
        <w:t xml:space="preserve"> La </w:t>
      </w:r>
      <w:r w:rsidRPr="00A51BF6">
        <w:rPr>
          <w:rFonts w:ascii="Palatino Linotype" w:eastAsia="Calibri" w:hAnsi="Palatino Linotype" w:cs="Arial"/>
          <w:b/>
          <w:i/>
          <w:sz w:val="22"/>
          <w:szCs w:val="22"/>
          <w:lang w:val="es-ES" w:eastAsia="es-MX"/>
        </w:rPr>
        <w:t>hacienda pública municipal se integra</w:t>
      </w:r>
      <w:r w:rsidRPr="00A51BF6">
        <w:rPr>
          <w:rFonts w:ascii="Palatino Linotype" w:eastAsia="Calibri" w:hAnsi="Palatino Linotype" w:cs="Arial"/>
          <w:i/>
          <w:sz w:val="22"/>
          <w:szCs w:val="22"/>
          <w:lang w:val="es-ES" w:eastAsia="es-MX"/>
        </w:rPr>
        <w:t xml:space="preserve"> por:</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I</w:t>
      </w:r>
      <w:r w:rsidRPr="00A51BF6">
        <w:rPr>
          <w:rFonts w:ascii="Palatino Linotype" w:eastAsia="Calibri" w:hAnsi="Palatino Linotype" w:cs="Arial"/>
          <w:b/>
          <w:i/>
          <w:sz w:val="22"/>
          <w:szCs w:val="22"/>
          <w:lang w:val="es-ES" w:eastAsia="es-MX"/>
        </w:rPr>
        <w:t>. Los bienes muebles</w:t>
      </w:r>
      <w:r w:rsidRPr="00A51BF6">
        <w:rPr>
          <w:rFonts w:ascii="Palatino Linotype" w:eastAsia="Calibri" w:hAnsi="Palatino Linotype" w:cs="Arial"/>
          <w:i/>
          <w:sz w:val="22"/>
          <w:szCs w:val="22"/>
          <w:lang w:val="es-ES" w:eastAsia="es-MX"/>
        </w:rPr>
        <w:t xml:space="preserve"> e inmuebles </w:t>
      </w:r>
      <w:r w:rsidRPr="00A51BF6">
        <w:rPr>
          <w:rFonts w:ascii="Palatino Linotype" w:eastAsia="Calibri" w:hAnsi="Palatino Linotype" w:cs="Arial"/>
          <w:b/>
          <w:i/>
          <w:sz w:val="22"/>
          <w:szCs w:val="22"/>
          <w:lang w:val="es-ES" w:eastAsia="es-MX"/>
        </w:rPr>
        <w:t>propiedad del municipio</w:t>
      </w: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b/>
          <w:i/>
          <w:sz w:val="22"/>
          <w:szCs w:val="22"/>
          <w:lang w:val="es-ES" w:eastAsia="es-MX"/>
        </w:rPr>
        <w:t>Artículo 112</w:t>
      </w:r>
      <w:r w:rsidRPr="00A51BF6">
        <w:rPr>
          <w:rFonts w:ascii="Palatino Linotype" w:eastAsia="Calibri" w:hAnsi="Palatino Linotype" w:cs="Arial"/>
          <w:i/>
          <w:sz w:val="22"/>
          <w:szCs w:val="22"/>
          <w:lang w:val="es-ES" w:eastAsia="es-MX"/>
        </w:rPr>
        <w:t xml:space="preserve">. El </w:t>
      </w:r>
      <w:r w:rsidRPr="00A51BF6">
        <w:rPr>
          <w:rFonts w:ascii="Palatino Linotype" w:eastAsia="Calibri" w:hAnsi="Palatino Linotype" w:cs="Arial"/>
          <w:b/>
          <w:i/>
          <w:sz w:val="22"/>
          <w:szCs w:val="22"/>
          <w:lang w:val="es-ES" w:eastAsia="es-MX"/>
        </w:rPr>
        <w:t>órgano interno de control municipal</w:t>
      </w:r>
      <w:r w:rsidRPr="00A51BF6">
        <w:rPr>
          <w:rFonts w:ascii="Palatino Linotype" w:eastAsia="Calibri" w:hAnsi="Palatino Linotype" w:cs="Arial"/>
          <w:i/>
          <w:sz w:val="22"/>
          <w:szCs w:val="22"/>
          <w:lang w:val="es-ES" w:eastAsia="es-MX"/>
        </w:rPr>
        <w:t xml:space="preserve">, tendrá a su cargo las </w:t>
      </w:r>
      <w:r w:rsidRPr="00A51BF6">
        <w:rPr>
          <w:rFonts w:ascii="Palatino Linotype" w:eastAsia="Calibri" w:hAnsi="Palatino Linotype" w:cs="Arial"/>
          <w:b/>
          <w:i/>
          <w:sz w:val="22"/>
          <w:szCs w:val="22"/>
          <w:lang w:val="es-ES" w:eastAsia="es-MX"/>
        </w:rPr>
        <w:t>funciones</w:t>
      </w:r>
      <w:r w:rsidRPr="00A51BF6">
        <w:rPr>
          <w:rFonts w:ascii="Palatino Linotype" w:eastAsia="Calibri" w:hAnsi="Palatino Linotype" w:cs="Arial"/>
          <w:i/>
          <w:sz w:val="22"/>
          <w:szCs w:val="22"/>
          <w:lang w:val="es-ES" w:eastAsia="es-MX"/>
        </w:rPr>
        <w:t xml:space="preserve"> siguientes:</w:t>
      </w:r>
    </w:p>
    <w:p w:rsidR="00B6028C" w:rsidRPr="00A51BF6" w:rsidRDefault="00B6028C" w:rsidP="00B6028C">
      <w:pPr>
        <w:tabs>
          <w:tab w:val="left" w:pos="8080"/>
        </w:tabs>
        <w:autoSpaceDE w:val="0"/>
        <w:autoSpaceDN w:val="0"/>
        <w:adjustRightInd w:val="0"/>
        <w:ind w:left="567" w:right="617"/>
        <w:jc w:val="both"/>
        <w:rPr>
          <w:rFonts w:ascii="Palatino Linotype" w:hAnsi="Palatino Linotype" w:cs="Arial"/>
          <w:b/>
          <w:i/>
          <w:sz w:val="22"/>
          <w:szCs w:val="22"/>
          <w:lang w:val="es-ES"/>
        </w:rPr>
      </w:pPr>
    </w:p>
    <w:p w:rsidR="00B6028C" w:rsidRPr="00A51BF6" w:rsidRDefault="00B6028C" w:rsidP="00B6028C">
      <w:pPr>
        <w:tabs>
          <w:tab w:val="left" w:pos="709"/>
        </w:tabs>
        <w:ind w:left="851" w:right="900"/>
        <w:jc w:val="both"/>
        <w:rPr>
          <w:rFonts w:ascii="Palatino Linotype" w:hAnsi="Palatino Linotype" w:cs="Arial"/>
          <w:i/>
          <w:sz w:val="22"/>
          <w:szCs w:val="22"/>
          <w:lang w:val="es-ES"/>
        </w:rPr>
      </w:pPr>
      <w:r w:rsidRPr="00A51BF6">
        <w:rPr>
          <w:rFonts w:ascii="Palatino Linotype" w:hAnsi="Palatino Linotype" w:cs="Arial"/>
          <w:b/>
          <w:i/>
          <w:sz w:val="22"/>
          <w:szCs w:val="22"/>
          <w:lang w:val="es-ES"/>
        </w:rPr>
        <w:t>XV</w:t>
      </w:r>
      <w:r w:rsidRPr="00A51BF6">
        <w:rPr>
          <w:rFonts w:ascii="Palatino Linotype" w:hAnsi="Palatino Linotype" w:cs="Arial"/>
          <w:i/>
          <w:sz w:val="22"/>
          <w:szCs w:val="22"/>
          <w:lang w:val="es-ES"/>
        </w:rPr>
        <w:t xml:space="preserve">. </w:t>
      </w:r>
      <w:r w:rsidRPr="00A51BF6">
        <w:rPr>
          <w:rFonts w:ascii="Palatino Linotype" w:hAnsi="Palatino Linotype" w:cs="Arial"/>
          <w:b/>
          <w:i/>
          <w:sz w:val="22"/>
          <w:szCs w:val="22"/>
          <w:lang w:val="es-ES"/>
        </w:rPr>
        <w:t>Participar en la elaboración y actualización del inventario general de los bienes muebles</w:t>
      </w:r>
      <w:r w:rsidRPr="00A51BF6">
        <w:rPr>
          <w:rFonts w:ascii="Palatino Linotype" w:hAnsi="Palatino Linotype" w:cs="Arial"/>
          <w:i/>
          <w:sz w:val="22"/>
          <w:szCs w:val="22"/>
          <w:lang w:val="es-ES"/>
        </w:rPr>
        <w:t xml:space="preserve"> e inmuebles propiedad del municipio, que </w:t>
      </w:r>
      <w:r w:rsidRPr="00A51BF6">
        <w:rPr>
          <w:rFonts w:ascii="Palatino Linotype" w:hAnsi="Palatino Linotype" w:cs="Arial"/>
          <w:b/>
          <w:i/>
          <w:sz w:val="22"/>
          <w:szCs w:val="22"/>
          <w:lang w:val="es-ES"/>
        </w:rPr>
        <w:t>expresará las características de identificación y destino de los mismos</w:t>
      </w:r>
      <w:r w:rsidRPr="00A51BF6">
        <w:rPr>
          <w:rFonts w:ascii="Palatino Linotype" w:hAnsi="Palatino Linotype" w:cs="Arial"/>
          <w:i/>
          <w:sz w:val="22"/>
          <w:szCs w:val="22"/>
          <w:lang w:val="es-ES"/>
        </w:rPr>
        <w:t>;</w:t>
      </w:r>
    </w:p>
    <w:p w:rsidR="00B6028C" w:rsidRPr="00A51BF6" w:rsidRDefault="00B6028C" w:rsidP="00B6028C">
      <w:pPr>
        <w:tabs>
          <w:tab w:val="left" w:pos="709"/>
        </w:tabs>
        <w:ind w:left="851" w:right="900"/>
        <w:jc w:val="both"/>
        <w:rPr>
          <w:rFonts w:ascii="Palatino Linotype" w:hAnsi="Palatino Linotype" w:cs="Arial"/>
          <w:i/>
          <w:sz w:val="22"/>
          <w:szCs w:val="22"/>
          <w:lang w:val="es-ES"/>
        </w:rPr>
      </w:pPr>
      <w:r w:rsidRPr="00A51BF6">
        <w:rPr>
          <w:rFonts w:ascii="Palatino Linotype" w:hAnsi="Palatino Linotype" w:cs="Arial"/>
          <w:b/>
          <w:i/>
          <w:sz w:val="22"/>
          <w:szCs w:val="22"/>
          <w:lang w:val="es-ES"/>
        </w:rPr>
        <w:t xml:space="preserve"> …</w:t>
      </w:r>
    </w:p>
    <w:p w:rsidR="00B6028C" w:rsidRPr="00A51BF6" w:rsidRDefault="00B6028C" w:rsidP="00B6028C">
      <w:pPr>
        <w:tabs>
          <w:tab w:val="left" w:pos="709"/>
        </w:tabs>
        <w:ind w:left="851" w:right="900"/>
        <w:jc w:val="both"/>
        <w:rPr>
          <w:rFonts w:ascii="Palatino Linotype" w:hAnsi="Palatino Linotype" w:cs="Arial"/>
          <w:i/>
          <w:sz w:val="22"/>
          <w:szCs w:val="22"/>
          <w:lang w:val="es-ES"/>
        </w:rPr>
      </w:pPr>
      <w:r w:rsidRPr="00A51BF6">
        <w:rPr>
          <w:rFonts w:ascii="Palatino Linotype" w:hAnsi="Palatino Linotype" w:cs="Arial"/>
          <w:i/>
          <w:sz w:val="22"/>
          <w:szCs w:val="22"/>
          <w:lang w:val="es-ES"/>
        </w:rPr>
        <w:t>(Énfasis añadido)</w:t>
      </w:r>
    </w:p>
    <w:p w:rsidR="00B6028C" w:rsidRPr="00A51BF6" w:rsidRDefault="00B6028C" w:rsidP="00B6028C">
      <w:pPr>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lang w:val="es-ES"/>
        </w:rPr>
        <w:t>De la interpretación a los preceptos anteriormente citados, se advierte que deben aprobarse por el Cabildo los movimientos de los bienes muebles, supervisando a través de su Presidente Municipal la administración, registro, control, uso, mantenimiento y conservación de dichos bienes.</w:t>
      </w:r>
    </w:p>
    <w:p w:rsidR="00B6028C" w:rsidRPr="00A51BF6" w:rsidRDefault="00B6028C" w:rsidP="00B6028C">
      <w:pPr>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lang w:val="es-ES"/>
        </w:rPr>
        <w:t>De manera particular, se destaca que es atribución del Síndico Municipal la inscripción en el libro especial de todos los bienes muebles, con expresión de sus valores y de todas las características de identificación; así</w:t>
      </w:r>
      <w:r w:rsidRPr="00A51BF6">
        <w:rPr>
          <w:rFonts w:ascii="Palatino Linotype" w:hAnsi="Palatino Linotype" w:cs="Arial"/>
          <w:b/>
          <w:lang w:val="es-ES"/>
        </w:rPr>
        <w:t xml:space="preserve"> </w:t>
      </w:r>
      <w:r w:rsidRPr="00A51BF6">
        <w:rPr>
          <w:rFonts w:ascii="Palatino Linotype" w:hAnsi="Palatino Linotype" w:cs="Arial"/>
          <w:lang w:val="es-ES"/>
        </w:rPr>
        <w:t xml:space="preserve">como, formular de manera conjunta con el Secretario del Ayuntamiento el Inventario General de Bienes Muebles del Ayuntamiento, debiendo participar en su elaboración y actualización el Contralor Interno Municipal. </w:t>
      </w:r>
    </w:p>
    <w:p w:rsidR="00B6028C" w:rsidRPr="00A51BF6" w:rsidRDefault="00B6028C" w:rsidP="00B6028C">
      <w:pPr>
        <w:spacing w:line="360" w:lineRule="auto"/>
        <w:jc w:val="both"/>
        <w:rPr>
          <w:rFonts w:ascii="Palatino Linotype" w:eastAsia="Calibri" w:hAnsi="Palatino Linotype" w:cs="Arial"/>
          <w:lang w:val="es-ES"/>
        </w:rPr>
      </w:pPr>
      <w:r w:rsidRPr="00A51BF6">
        <w:rPr>
          <w:rFonts w:ascii="Palatino Linotype" w:eastAsia="Calibri" w:hAnsi="Palatino Linotype" w:cs="Arial"/>
          <w:lang w:val="es-ES"/>
        </w:rPr>
        <w:lastRenderedPageBreak/>
        <w:t xml:space="preserve">En este orden de ideas, es de señalar que dentro de los informes mensuales que los Ayuntamientos tienen la obligación de entregar al OSFEM, se tiene contemplado precisamente la presentación del formato para el llenado del Inventario General de Bienes Muebles e Inventario de Bienes Muebles de Bajo Costo, a manera de ejemplo se inserta el contenido de los Lineamientos para la Integración del Informe Mensual Municipal 2019, a continuación: </w:t>
      </w:r>
    </w:p>
    <w:p w:rsidR="00CD3049" w:rsidRPr="00A51BF6" w:rsidRDefault="00B6028C" w:rsidP="00B6028C">
      <w:pPr>
        <w:spacing w:before="100" w:beforeAutospacing="1" w:after="100" w:afterAutospacing="1" w:line="360" w:lineRule="auto"/>
        <w:jc w:val="center"/>
        <w:rPr>
          <w:rFonts w:ascii="Palatino Linotype" w:hAnsi="Palatino Linotype" w:cs="Arial"/>
          <w:bCs/>
          <w:color w:val="000000"/>
          <w:lang w:val="es-ES"/>
        </w:rPr>
      </w:pPr>
      <w:r w:rsidRPr="00A51BF6">
        <w:rPr>
          <w:noProof/>
          <w:lang w:eastAsia="es-MX"/>
        </w:rPr>
        <w:drawing>
          <wp:inline distT="0" distB="0" distL="0" distR="0" wp14:anchorId="208D031F" wp14:editId="5CBD83BE">
            <wp:extent cx="5520053" cy="5676900"/>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411" t="39466" r="31093" b="9082"/>
                    <a:stretch/>
                  </pic:blipFill>
                  <pic:spPr bwMode="auto">
                    <a:xfrm>
                      <a:off x="0" y="0"/>
                      <a:ext cx="5574745" cy="5733146"/>
                    </a:xfrm>
                    <a:prstGeom prst="rect">
                      <a:avLst/>
                    </a:prstGeom>
                    <a:ln>
                      <a:noFill/>
                    </a:ln>
                    <a:extLst>
                      <a:ext uri="{53640926-AAD7-44D8-BBD7-CCE9431645EC}">
                        <a14:shadowObscured xmlns:a14="http://schemas.microsoft.com/office/drawing/2010/main"/>
                      </a:ext>
                    </a:extLst>
                  </pic:spPr>
                </pic:pic>
              </a:graphicData>
            </a:graphic>
          </wp:inline>
        </w:drawing>
      </w:r>
    </w:p>
    <w:p w:rsidR="006903D6" w:rsidRPr="00A51BF6" w:rsidRDefault="00B6028C" w:rsidP="00B6028C">
      <w:pPr>
        <w:spacing w:before="100" w:beforeAutospacing="1" w:after="100" w:afterAutospacing="1" w:line="360" w:lineRule="auto"/>
        <w:jc w:val="center"/>
        <w:rPr>
          <w:rFonts w:ascii="Palatino Linotype" w:eastAsia="Calibri" w:hAnsi="Palatino Linotype"/>
          <w:lang w:val="es-ES"/>
        </w:rPr>
      </w:pPr>
      <w:r w:rsidRPr="00A51BF6">
        <w:rPr>
          <w:noProof/>
          <w:lang w:eastAsia="es-MX"/>
        </w:rPr>
        <w:lastRenderedPageBreak/>
        <w:drawing>
          <wp:inline distT="0" distB="0" distL="0" distR="0" wp14:anchorId="0A8AB86F" wp14:editId="06D23286">
            <wp:extent cx="5320603" cy="514919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517" t="26310" r="24515" b="4697"/>
                    <a:stretch/>
                  </pic:blipFill>
                  <pic:spPr bwMode="auto">
                    <a:xfrm>
                      <a:off x="0" y="0"/>
                      <a:ext cx="5345052" cy="5172860"/>
                    </a:xfrm>
                    <a:prstGeom prst="rect">
                      <a:avLst/>
                    </a:prstGeom>
                    <a:ln>
                      <a:noFill/>
                    </a:ln>
                    <a:extLst>
                      <a:ext uri="{53640926-AAD7-44D8-BBD7-CCE9431645EC}">
                        <a14:shadowObscured xmlns:a14="http://schemas.microsoft.com/office/drawing/2010/main"/>
                      </a:ext>
                    </a:extLst>
                  </pic:spPr>
                </pic:pic>
              </a:graphicData>
            </a:graphic>
          </wp:inline>
        </w:drawing>
      </w:r>
    </w:p>
    <w:p w:rsidR="00B6028C" w:rsidRPr="00A51BF6" w:rsidRDefault="00B6028C" w:rsidP="00B6028C">
      <w:pPr>
        <w:tabs>
          <w:tab w:val="left" w:pos="8789"/>
        </w:tabs>
        <w:autoSpaceDE w:val="0"/>
        <w:autoSpaceDN w:val="0"/>
        <w:adjustRightInd w:val="0"/>
        <w:spacing w:before="100" w:beforeAutospacing="1" w:after="100" w:afterAutospacing="1" w:line="360" w:lineRule="auto"/>
        <w:ind w:right="51"/>
        <w:jc w:val="both"/>
        <w:rPr>
          <w:rFonts w:ascii="Palatino Linotype" w:eastAsia="Calibri" w:hAnsi="Palatino Linotype" w:cs="Arial"/>
          <w:lang w:val="es-ES"/>
        </w:rPr>
      </w:pPr>
      <w:r w:rsidRPr="00A51BF6">
        <w:rPr>
          <w:rFonts w:ascii="Palatino Linotype" w:eastAsia="Calibri" w:hAnsi="Palatino Linotype" w:cs="Arial"/>
          <w:lang w:val="es-ES"/>
        </w:rPr>
        <w:t>Derivado de lo anterior, es claro que la información solicitada puede ser ubicada en el Inventario de Bienes Muebles y Bienes Muebles de Bajo Costo.</w:t>
      </w:r>
    </w:p>
    <w:p w:rsidR="00B6028C" w:rsidRPr="00A51BF6" w:rsidRDefault="00B6028C" w:rsidP="00B6028C">
      <w:pPr>
        <w:tabs>
          <w:tab w:val="left" w:pos="8789"/>
        </w:tabs>
        <w:autoSpaceDE w:val="0"/>
        <w:autoSpaceDN w:val="0"/>
        <w:adjustRightInd w:val="0"/>
        <w:spacing w:line="360" w:lineRule="auto"/>
        <w:ind w:right="49"/>
        <w:contextualSpacing/>
        <w:jc w:val="both"/>
        <w:rPr>
          <w:rFonts w:ascii="Palatino Linotype" w:eastAsia="Calibri" w:hAnsi="Palatino Linotype" w:cs="Arial"/>
          <w:lang w:val="es-ES"/>
        </w:rPr>
      </w:pPr>
      <w:r w:rsidRPr="00A51BF6">
        <w:rPr>
          <w:rFonts w:ascii="Palatino Linotype" w:eastAsia="Calibri" w:hAnsi="Palatino Linotype" w:cs="Arial"/>
          <w:lang w:val="es-ES"/>
        </w:rPr>
        <w:t>Sin que obste a lo anterior, atendiendo a los términos en que se requirió la información, debe señalarse que versa específicamente en recursos materiales para otorgar el servicio de alumbrado público municipal; así como, a luminarias y balastros del sistema de alumbrado público municipal; por lo que, deben de localizarse aquellas cédulas que contengan dicha información.</w:t>
      </w:r>
    </w:p>
    <w:p w:rsidR="00B6028C" w:rsidRPr="00A51BF6" w:rsidRDefault="00B6028C" w:rsidP="00B6028C">
      <w:pPr>
        <w:tabs>
          <w:tab w:val="left" w:pos="8789"/>
        </w:tabs>
        <w:autoSpaceDE w:val="0"/>
        <w:autoSpaceDN w:val="0"/>
        <w:adjustRightInd w:val="0"/>
        <w:spacing w:before="100" w:beforeAutospacing="1" w:after="100" w:afterAutospacing="1" w:line="360" w:lineRule="auto"/>
        <w:ind w:right="51"/>
        <w:jc w:val="both"/>
        <w:rPr>
          <w:rFonts w:ascii="Palatino Linotype" w:hAnsi="Palatino Linotype" w:cs="Arial"/>
        </w:rPr>
      </w:pPr>
      <w:r w:rsidRPr="00A51BF6">
        <w:rPr>
          <w:rFonts w:ascii="Palatino Linotype" w:eastAsia="Calibri" w:hAnsi="Palatino Linotype" w:cs="Arial"/>
          <w:lang w:val="es-ES"/>
        </w:rPr>
        <w:lastRenderedPageBreak/>
        <w:t xml:space="preserve">A este respecto, es de señalarse que, de conformidad con el instructivo de llenado del formato de los inventarios referidos, se encuentra contemplado el rubro del nombre del bien mueble patrimonial; en consecuencia, </w:t>
      </w:r>
      <w:r w:rsidRPr="00A51BF6">
        <w:rPr>
          <w:rFonts w:ascii="Palatino Linotype" w:hAnsi="Palatino Linotype" w:cs="Arial"/>
          <w:b/>
        </w:rPr>
        <w:t>EL SUJETO OBLIGADO</w:t>
      </w:r>
      <w:r w:rsidRPr="00A51BF6">
        <w:rPr>
          <w:rFonts w:ascii="Palatino Linotype" w:hAnsi="Palatino Linotype" w:cs="Arial"/>
        </w:rPr>
        <w:t xml:space="preserve"> cuenta con elementos suficientes para localizar, de manera específica, las cédulas inherentes a la solicitud de información.</w:t>
      </w:r>
    </w:p>
    <w:p w:rsidR="00B6028C" w:rsidRPr="00A51BF6" w:rsidRDefault="00B6028C" w:rsidP="00B6028C">
      <w:pPr>
        <w:spacing w:line="360" w:lineRule="auto"/>
        <w:ind w:right="49"/>
        <w:jc w:val="both"/>
        <w:rPr>
          <w:rFonts w:ascii="Palatino Linotype" w:hAnsi="Palatino Linotype"/>
          <w:lang w:val="es-ES"/>
        </w:rPr>
      </w:pPr>
      <w:r w:rsidRPr="00A51BF6">
        <w:rPr>
          <w:rFonts w:ascii="Palatino Linotype" w:hAnsi="Palatino Linotype" w:cs="Arial"/>
        </w:rPr>
        <w:t xml:space="preserve">Ahora bien, con relación a los </w:t>
      </w:r>
      <w:r w:rsidRPr="00A51BF6">
        <w:rPr>
          <w:rFonts w:ascii="Palatino Linotype" w:hAnsi="Palatino Linotype"/>
          <w:color w:val="000000"/>
          <w:lang w:val="es-ES"/>
        </w:rPr>
        <w:t xml:space="preserve">requerimientos en análisis, se advierte que el particular solicitó </w:t>
      </w:r>
      <w:r w:rsidRPr="00A51BF6">
        <w:rPr>
          <w:rFonts w:ascii="Palatino Linotype" w:hAnsi="Palatino Linotype"/>
          <w:lang w:val="es-ES"/>
        </w:rPr>
        <w:t>el “Registro Permanente de Usuario” (RPU) asignado al servicio de alumbrado público, asignado tanto al servicio estimado como al servicio medido.</w:t>
      </w:r>
    </w:p>
    <w:p w:rsidR="00B6028C" w:rsidRPr="00A51BF6" w:rsidRDefault="00B6028C" w:rsidP="00B6028C">
      <w:pPr>
        <w:spacing w:line="360" w:lineRule="auto"/>
        <w:ind w:right="49"/>
        <w:jc w:val="both"/>
        <w:rPr>
          <w:rFonts w:ascii="Palatino Linotype" w:hAnsi="Palatino Linotype"/>
          <w:lang w:val="es-ES"/>
        </w:rPr>
      </w:pPr>
      <w:r w:rsidRPr="00A51BF6">
        <w:rPr>
          <w:rFonts w:ascii="Palatino Linotype" w:hAnsi="Palatino Linotype"/>
          <w:lang w:val="es-ES"/>
        </w:rPr>
        <w:t xml:space="preserve">Término que se encuentra reconocido en el </w:t>
      </w:r>
      <w:r w:rsidRPr="00A51BF6">
        <w:rPr>
          <w:rFonts w:ascii="Palatino Linotype" w:hAnsi="Palatino Linotype"/>
          <w:b/>
          <w:lang w:val="es-ES"/>
        </w:rPr>
        <w:t xml:space="preserve">Acuerdo Número A/031/2016, </w:t>
      </w:r>
      <w:r w:rsidRPr="00A51BF6">
        <w:rPr>
          <w:rFonts w:ascii="Palatino Linotype" w:hAnsi="Palatino Linotype"/>
          <w:lang w:val="es-ES"/>
        </w:rPr>
        <w:t>como el número único de identificación que equivale al número de servicio, según se puede leer enseguida:</w:t>
      </w:r>
    </w:p>
    <w:p w:rsidR="00B6028C" w:rsidRPr="00A51BF6" w:rsidRDefault="00B6028C" w:rsidP="00B6028C">
      <w:pPr>
        <w:tabs>
          <w:tab w:val="left" w:pos="709"/>
        </w:tabs>
        <w:ind w:left="851" w:right="900"/>
        <w:jc w:val="both"/>
        <w:rPr>
          <w:rFonts w:ascii="Palatino Linotype" w:eastAsia="Calibri" w:hAnsi="Palatino Linotype" w:cs="Arial"/>
          <w:i/>
          <w:sz w:val="22"/>
          <w:szCs w:val="22"/>
          <w:lang w:val="es-ES" w:eastAsia="es-MX"/>
        </w:rPr>
      </w:pPr>
      <w:r w:rsidRPr="00A51BF6">
        <w:rPr>
          <w:rFonts w:ascii="Palatino Linotype" w:eastAsia="Calibri" w:hAnsi="Palatino Linotype" w:cs="Arial"/>
          <w:i/>
          <w:sz w:val="22"/>
          <w:szCs w:val="22"/>
          <w:lang w:val="es-ES" w:eastAsia="es-MX"/>
        </w:rPr>
        <w:t>“</w:t>
      </w:r>
      <w:r w:rsidRPr="00A51BF6">
        <w:rPr>
          <w:rFonts w:ascii="Palatino Linotype" w:eastAsia="Calibri" w:hAnsi="Palatino Linotype" w:cs="Arial"/>
          <w:b/>
          <w:i/>
          <w:sz w:val="22"/>
          <w:szCs w:val="22"/>
          <w:lang w:val="es-ES" w:eastAsia="es-MX"/>
        </w:rPr>
        <w:t>OCTAVO</w:t>
      </w:r>
      <w:r w:rsidRPr="00A51BF6">
        <w:rPr>
          <w:rFonts w:ascii="Palatino Linotype" w:eastAsia="Calibri" w:hAnsi="Palatino Linotype" w:cs="Arial"/>
          <w:i/>
          <w:sz w:val="22"/>
          <w:szCs w:val="22"/>
          <w:lang w:val="es-ES" w:eastAsia="es-MX"/>
        </w:rPr>
        <w:t>. Que por su parte, la disposición Octava, fracción II, numeral 2., de las Disposiciones Administrativas detalla los datos del centro de carga a inscribir que el solicitante debe presentar a la Comisión mediante un archivo electrónico. Entre dichos datos está el número único de identificación del centro de carga asignado por el suministrador. Para el caso de los centros de carga que han sido suministrados históricamente por la Comisión Federal de Electricidad, el número único de identificación equivale al número de servicio, también llamado registro permanente de usuario (RPU).” (Sic)</w:t>
      </w:r>
    </w:p>
    <w:p w:rsidR="00B6028C" w:rsidRPr="00A51BF6" w:rsidRDefault="00B6028C" w:rsidP="00B6028C">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lang w:val="es-ES"/>
        </w:rPr>
        <w:t>Así, en términos del numeral I de los Lineamientos para la Asignación del Registro Móvil de Usuario (RMU), el RPU es remplazado por el RMU, utilizado por la CFE, tanto para los usuarios finales de servicios de Suministro Básico, como para los del Suministro Calificado y de Último Recurso; el cual es asignado por el Suministrador, quien deberá aplicar el formato indicado en los Lineamientos, compuestos por 15 caracteres alfanuméricos, agrupados en cuatro campos, como se muestra a continuación:</w:t>
      </w:r>
    </w:p>
    <w:p w:rsidR="00B6028C" w:rsidRPr="00A51BF6" w:rsidRDefault="00B6028C" w:rsidP="00B6028C">
      <w:pPr>
        <w:spacing w:line="360" w:lineRule="auto"/>
        <w:ind w:right="49"/>
        <w:jc w:val="center"/>
        <w:rPr>
          <w:rFonts w:ascii="Palatino Linotype" w:hAnsi="Palatino Linotype"/>
          <w:lang w:val="es-ES"/>
        </w:rPr>
      </w:pPr>
      <w:r w:rsidRPr="00A51BF6">
        <w:rPr>
          <w:rFonts w:ascii="Palatino Linotype" w:hAnsi="Palatino Linotype"/>
          <w:noProof/>
          <w:lang w:eastAsia="es-MX"/>
        </w:rPr>
        <w:lastRenderedPageBreak/>
        <w:drawing>
          <wp:inline distT="0" distB="0" distL="0" distR="0" wp14:anchorId="314933A2" wp14:editId="604E90C3">
            <wp:extent cx="3834765" cy="255878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67325" cy="2580509"/>
                    </a:xfrm>
                    <a:prstGeom prst="rect">
                      <a:avLst/>
                    </a:prstGeom>
                  </pic:spPr>
                </pic:pic>
              </a:graphicData>
            </a:graphic>
          </wp:inline>
        </w:drawing>
      </w:r>
    </w:p>
    <w:p w:rsidR="00B6028C" w:rsidRPr="00A51BF6" w:rsidRDefault="00B6028C" w:rsidP="00B6028C">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lang w:val="es-ES"/>
        </w:rPr>
        <w:t>El RMU, o bien, según fue señalado por el particular en su solicitud de acceso a la información como Registro Permanente de Usuario RPU, se localiza en el “aviso de recibo”, como se observa en la siguiente captura de pantalla:</w:t>
      </w:r>
    </w:p>
    <w:p w:rsidR="006903D6" w:rsidRPr="00A51BF6" w:rsidRDefault="00B6028C" w:rsidP="00B6028C">
      <w:pPr>
        <w:spacing w:before="100" w:beforeAutospacing="1" w:after="100" w:afterAutospacing="1" w:line="360" w:lineRule="auto"/>
        <w:jc w:val="center"/>
        <w:rPr>
          <w:rFonts w:ascii="Palatino Linotype" w:eastAsia="Calibri" w:hAnsi="Palatino Linotype"/>
          <w:lang w:val="es-ES"/>
        </w:rPr>
      </w:pPr>
      <w:r w:rsidRPr="00A51BF6">
        <w:rPr>
          <w:rFonts w:ascii="Palatino Linotype" w:hAnsi="Palatino Linotype"/>
          <w:noProof/>
          <w:lang w:eastAsia="es-MX"/>
        </w:rPr>
        <w:drawing>
          <wp:inline distT="0" distB="0" distL="0" distR="0" wp14:anchorId="3313B31A" wp14:editId="15CAADC9">
            <wp:extent cx="4225332" cy="240955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34408" cy="2414734"/>
                    </a:xfrm>
                    <a:prstGeom prst="rect">
                      <a:avLst/>
                    </a:prstGeom>
                  </pic:spPr>
                </pic:pic>
              </a:graphicData>
            </a:graphic>
          </wp:inline>
        </w:drawing>
      </w:r>
    </w:p>
    <w:p w:rsidR="00B6028C" w:rsidRPr="00A51BF6" w:rsidRDefault="00B6028C" w:rsidP="003C6195">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lang w:val="es-ES"/>
        </w:rPr>
        <w:t xml:space="preserve">En consecuencia, resulta procedente ordenar la entrega del soporte documental, que de manera enunciativa mas no limitativa es, el RMU asignado al servicio de alumbrado público, en el entendido de que dicho registro es único para el servicio, independientemente de que haya una variación entre lo  estimado por el municipio y </w:t>
      </w:r>
      <w:r w:rsidRPr="00A51BF6">
        <w:rPr>
          <w:rFonts w:ascii="Palatino Linotype" w:hAnsi="Palatino Linotype"/>
          <w:lang w:val="es-ES"/>
        </w:rPr>
        <w:lastRenderedPageBreak/>
        <w:t xml:space="preserve">lo </w:t>
      </w:r>
      <w:r w:rsidR="00341783" w:rsidRPr="00A51BF6">
        <w:rPr>
          <w:rFonts w:ascii="Palatino Linotype" w:hAnsi="Palatino Linotype"/>
          <w:lang w:val="es-ES"/>
        </w:rPr>
        <w:t xml:space="preserve">medido y/o facturado por la CFE; ello es así; toda vez que, en la información proporcionada en respuesta, </w:t>
      </w:r>
      <w:r w:rsidR="00341783" w:rsidRPr="00A51BF6">
        <w:rPr>
          <w:rFonts w:ascii="Palatino Linotype" w:hAnsi="Palatino Linotype"/>
          <w:b/>
          <w:lang w:val="es-ES"/>
        </w:rPr>
        <w:t xml:space="preserve">EL SUJETO OBLIGADO </w:t>
      </w:r>
      <w:r w:rsidR="00341783" w:rsidRPr="00A51BF6">
        <w:rPr>
          <w:rFonts w:ascii="Palatino Linotype" w:hAnsi="Palatino Linotype"/>
          <w:lang w:val="es-ES"/>
        </w:rPr>
        <w:t xml:space="preserve">hizo entrega de documentales en las que se advierten las siglas RPU; sin embargo, los </w:t>
      </w:r>
      <w:r w:rsidR="006D6C57" w:rsidRPr="00A51BF6">
        <w:rPr>
          <w:rFonts w:ascii="Palatino Linotype" w:hAnsi="Palatino Linotype"/>
          <w:lang w:val="es-ES"/>
        </w:rPr>
        <w:t>15 caracteres a los que se ha hecho referencia, resultan poco legibles.</w:t>
      </w:r>
    </w:p>
    <w:p w:rsidR="00B6028C" w:rsidRPr="00A51BF6" w:rsidRDefault="00B6028C" w:rsidP="003C6195">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Atento a lo anterior, este Órgano Garante determina ordenar la entrega de los censos de alumbrado público o documento análogo donde conste la cantidad de luminarias y balastros, tipo de equipo, capacidad (potencia), ubicación (calle y/o colonia y/o delegación) y tipo de poste en el que se encuentre (lámina, concreto, madera u otro); el </w:t>
      </w:r>
      <w:r w:rsidRPr="00A51BF6">
        <w:rPr>
          <w:rFonts w:ascii="Palatino Linotype" w:hAnsi="Palatino Linotype" w:cs="Arial"/>
          <w:i/>
        </w:rPr>
        <w:t xml:space="preserve"> </w:t>
      </w:r>
      <w:r w:rsidRPr="00A51BF6">
        <w:rPr>
          <w:rFonts w:ascii="Palatino Linotype" w:hAnsi="Palatino Linotype" w:cs="Arial"/>
        </w:rPr>
        <w:t xml:space="preserve">RMU asignado al servicio de alumbrado público; la cantidad de luminarias y balastros instalados en avenidas principales, señalando el tipo de equipo y capacidad; así como, la cantidad de luminarias y balastros instalados que poseen equipo de medición, señalando el tipo de equipo y capacidad, de los años 2013, 2014, 2015, 2016, 2017, 2018 y el último generado a la fecha de solicitud, es decir al 23 de abril de 2019, con el mayor grado de desegregación posible, en el que se adviertan las precisiones referidas por el particular en su solicitud. </w:t>
      </w:r>
    </w:p>
    <w:p w:rsidR="003C6195" w:rsidRPr="00A51BF6" w:rsidRDefault="003C6195" w:rsidP="003C6195">
      <w:pPr>
        <w:autoSpaceDE w:val="0"/>
        <w:autoSpaceDN w:val="0"/>
        <w:adjustRightInd w:val="0"/>
        <w:spacing w:before="100" w:beforeAutospacing="1" w:after="100" w:afterAutospacing="1" w:line="360" w:lineRule="auto"/>
        <w:jc w:val="both"/>
        <w:rPr>
          <w:rFonts w:ascii="Palatino Linotype" w:hAnsi="Palatino Linotype"/>
          <w:lang w:val="es-ES"/>
        </w:rPr>
      </w:pPr>
      <w:r w:rsidRPr="00A51BF6">
        <w:rPr>
          <w:rFonts w:ascii="Palatino Linotype" w:hAnsi="Palatino Linotype" w:cs="Arial"/>
          <w:color w:val="000000"/>
        </w:rPr>
        <w:t xml:space="preserve">Por otro lado, respecto a los requerimientos señalados en los puntos 24 y 25, relativos al número de solicitudes ciudadanas formales realizadas al municipio para ampliar el sistema de alumbrado público, mediante proyectos de electrificación; así como, el número de éstas que fueron atendidas y concluidas por el periodo referido por el particular en su solicitud; al respecto, </w:t>
      </w:r>
      <w:r w:rsidRPr="00A51BF6">
        <w:rPr>
          <w:rFonts w:ascii="Palatino Linotype" w:hAnsi="Palatino Linotype"/>
          <w:lang w:val="es-ES"/>
        </w:rPr>
        <w:t xml:space="preserve">cabe recordar que </w:t>
      </w:r>
      <w:r w:rsidRPr="00A51BF6">
        <w:rPr>
          <w:rFonts w:ascii="Palatino Linotype" w:hAnsi="Palatino Linotype"/>
          <w:b/>
          <w:lang w:val="es-ES"/>
        </w:rPr>
        <w:t xml:space="preserve">EL SUJETO OBLIGADO </w:t>
      </w:r>
      <w:r w:rsidRPr="00A51BF6">
        <w:rPr>
          <w:rFonts w:ascii="Palatino Linotype" w:hAnsi="Palatino Linotype"/>
          <w:lang w:val="es-ES"/>
        </w:rPr>
        <w:t xml:space="preserve">es responsable de garantizar el derecho fundamental de los gobernados consistente en la iluminación de las vías públicas, parques públicos y demás espacios de libre circulación, el cual se traduce en un servicio público; mismo que se debe prestar de manera eficiente a la población, por ello, cualquier persona tienen derecho a pedir que </w:t>
      </w:r>
      <w:r w:rsidRPr="00A51BF6">
        <w:rPr>
          <w:rFonts w:ascii="Palatino Linotype" w:hAnsi="Palatino Linotype"/>
          <w:lang w:val="es-ES"/>
        </w:rPr>
        <w:lastRenderedPageBreak/>
        <w:t>se amplié el sistema de alumbrado público, como mecanismo de participación ciudadana en los procesos de elaboración, implementación y evaluación de políticas públicas y toma de decisiones.</w:t>
      </w:r>
    </w:p>
    <w:p w:rsidR="003C6195" w:rsidRPr="00A51BF6" w:rsidRDefault="003C6195" w:rsidP="003C6195">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lang w:val="es-ES"/>
        </w:rPr>
        <w:t xml:space="preserve">Acto que tiene como base o sustento el ejercicio de un derecho de petición, consagrado en el artículo 8 de la Constitución Política de los Estados unidos Mexicanos, bajo el texto, de que </w:t>
      </w:r>
      <w:r w:rsidRPr="00A51BF6">
        <w:rPr>
          <w:rFonts w:ascii="Palatino Linotype" w:hAnsi="Palatino Linotype"/>
          <w:i/>
          <w:lang w:val="es-ES"/>
        </w:rPr>
        <w:t xml:space="preserve">los funcionarios y empleados públicos respetarán el ejercicio del derecho de petición, siempre que ésta se formule por escrito, de manera pacífica y respetuosa; </w:t>
      </w:r>
      <w:r w:rsidRPr="00A51BF6">
        <w:rPr>
          <w:rFonts w:ascii="Palatino Linotype" w:hAnsi="Palatino Linotype"/>
          <w:lang w:val="es-ES"/>
        </w:rPr>
        <w:t>a la cual debe recaer un acuerdo escrito por la autoridad que se tiene la obligación de hacer del conocimiento en breve término al peticionario, que según lo dispuesto en el artículo 135 del Código de Procedimientos Administrativos del Estado de México, es de quince días hábiles posteriores a la fecha de la solicitud, según se puede leer enseguida:</w:t>
      </w:r>
    </w:p>
    <w:p w:rsidR="003C6195" w:rsidRPr="00A51BF6" w:rsidRDefault="003C6195" w:rsidP="003C6195">
      <w:pPr>
        <w:ind w:left="851" w:right="902"/>
        <w:jc w:val="both"/>
        <w:rPr>
          <w:rFonts w:ascii="Palatino Linotype" w:hAnsi="Palatino Linotype"/>
          <w:i/>
          <w:sz w:val="20"/>
          <w:szCs w:val="20"/>
          <w:lang w:val="es-ES"/>
        </w:rPr>
      </w:pPr>
      <w:r w:rsidRPr="00A51BF6">
        <w:rPr>
          <w:rFonts w:ascii="Palatino Linotype" w:hAnsi="Palatino Linotype"/>
          <w:b/>
          <w:i/>
          <w:sz w:val="20"/>
          <w:szCs w:val="20"/>
          <w:lang w:val="es-ES"/>
        </w:rPr>
        <w:t>“Artículo 135.-</w:t>
      </w:r>
      <w:r w:rsidRPr="00A51BF6">
        <w:rPr>
          <w:rFonts w:ascii="Palatino Linotype" w:hAnsi="Palatino Linotype"/>
          <w:i/>
          <w:sz w:val="20"/>
          <w:szCs w:val="20"/>
          <w:lang w:val="es-ES"/>
        </w:rPr>
        <w:t xml:space="preserve"> Las peticiones que los particulares hagan a las autoridades del Poder Ejecutivo del Estado, de los municipios y de los organismos descentralizados con funciones de autoridad, de carácter estatal o municipal, deberán ser resueltas en forma escrita y notificada, dentro de un plazo que no exceda de quince días hábiles posteriores a la fecha de su presentación, a excepción de los trámites que tengan plazo establecido en la Ley de la materia, los cuales deberán ser resueltos en el término señalado para tal efecto…”(Sic)</w:t>
      </w:r>
    </w:p>
    <w:p w:rsidR="003C6195" w:rsidRPr="00A51BF6" w:rsidRDefault="003C6195" w:rsidP="003C6195">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lang w:val="es-ES"/>
        </w:rPr>
        <w:t>Así las cosas, debe señalarse que es deber de los entes públicos atender las solicitudes de petición en el ejercicio de las atribuciones que tienen encomendadas; en consecuencia, bien pudiera generar una estadística en cumplimiento de sus facultades, competencia o funciones con el mayor grado de desagregación posible, en el que se contenga la solicitudes de ampliación de alumbrado público, las atendidas y concluidas.</w:t>
      </w:r>
    </w:p>
    <w:p w:rsidR="003C6195" w:rsidRPr="00A51BF6" w:rsidRDefault="003C6195" w:rsidP="003C6195">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lang w:val="es-ES"/>
        </w:rPr>
        <w:t xml:space="preserve">Las cuales en todo caso, tienen el carácter de públicas, en términos del artículo 92, fracción XXXIV de la Ley de Transparencia y Acceso a la Información Pública del Estado de México y Municipios, en relación directa con el 70, fracción XXX de la Ley </w:t>
      </w:r>
      <w:r w:rsidRPr="00A51BF6">
        <w:rPr>
          <w:rFonts w:ascii="Palatino Linotype" w:hAnsi="Palatino Linotype"/>
          <w:lang w:val="es-ES"/>
        </w:rPr>
        <w:lastRenderedPageBreak/>
        <w:t>General de Transparencia y Acceso a la Información Pública y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que en su texto señala lo siguiente:</w:t>
      </w:r>
    </w:p>
    <w:p w:rsidR="003C6195" w:rsidRPr="00A51BF6" w:rsidRDefault="003C6195" w:rsidP="003C6195">
      <w:pPr>
        <w:ind w:left="851" w:right="902"/>
        <w:jc w:val="both"/>
        <w:rPr>
          <w:rFonts w:ascii="Palatino Linotype" w:hAnsi="Palatino Linotype"/>
          <w:b/>
          <w:i/>
          <w:sz w:val="22"/>
          <w:szCs w:val="22"/>
          <w:lang w:val="es-ES"/>
        </w:rPr>
      </w:pPr>
      <w:r w:rsidRPr="00A51BF6">
        <w:rPr>
          <w:rFonts w:ascii="Palatino Linotype" w:hAnsi="Palatino Linotype"/>
          <w:b/>
          <w:i/>
          <w:sz w:val="22"/>
          <w:szCs w:val="22"/>
          <w:lang w:val="es-ES"/>
        </w:rPr>
        <w:t>“XXX. Las estadísticas que generen en cumplimiento de sus facultades, competencias o funciones con la mayor desagregación posible.</w:t>
      </w:r>
    </w:p>
    <w:p w:rsidR="003C6195" w:rsidRPr="00A51BF6" w:rsidRDefault="003C6195" w:rsidP="003C6195">
      <w:pPr>
        <w:ind w:left="851" w:right="902"/>
        <w:jc w:val="both"/>
        <w:rPr>
          <w:rFonts w:ascii="Palatino Linotype" w:hAnsi="Palatino Linotype"/>
          <w:i/>
          <w:sz w:val="22"/>
          <w:szCs w:val="22"/>
          <w:lang w:val="es-ES"/>
        </w:rPr>
      </w:pPr>
      <w:r w:rsidRPr="00A51BF6">
        <w:rPr>
          <w:rFonts w:ascii="Palatino Linotype" w:hAnsi="Palatino Linotype"/>
          <w:i/>
          <w:sz w:val="22"/>
          <w:szCs w:val="22"/>
          <w:lang w:val="es-ES"/>
        </w:rPr>
        <w:t xml:space="preserve">Para dar cumplimiento a lo establecido en esta fracción, todos los sujetos obligados deberán publicar una relación de las estadísticas116 de cualquier tipo que hayan generado en cumplimiento de sus facultades, competencias y/o funciones, y vincular a los documentos, bases de datos y/o sistemas donde se registran los resultados periódicos respectivos, los cuales deberán ofrecerse en formato abierto, de acuerdo con el concepto establecido en la Ley General, artículo 3, fracción X, que a la letra dice: </w:t>
      </w:r>
    </w:p>
    <w:p w:rsidR="003C6195" w:rsidRPr="00A51BF6" w:rsidRDefault="003C6195" w:rsidP="003C6195">
      <w:pPr>
        <w:ind w:left="851" w:right="902"/>
        <w:jc w:val="both"/>
        <w:rPr>
          <w:rFonts w:ascii="Palatino Linotype" w:hAnsi="Palatino Linotype"/>
          <w:i/>
          <w:sz w:val="22"/>
          <w:szCs w:val="22"/>
          <w:lang w:val="es-ES"/>
        </w:rPr>
      </w:pPr>
      <w:r w:rsidRPr="00A51BF6">
        <w:rPr>
          <w:rFonts w:ascii="Palatino Linotype" w:hAnsi="Palatino Linotype"/>
          <w:i/>
          <w:sz w:val="22"/>
          <w:szCs w:val="22"/>
          <w:lang w:val="es-ES"/>
        </w:rPr>
        <w:t xml:space="preserve">“Formatos Abiertos: Conjunto de características técnicas y de presentación de la información que corresponden a la estructura lógica usada para almacenar datos de forma integral y facilitan su procesamiento digital, cuyas especificaciones están disponibles públicamente y que permiten el acceso sin restricción de uso por parte de los usuarios.” Todo sujeto obligado deberá publicar y actualizar la información mínimo trimestralmente, a menos que de conformidad con la normatividad aplicable se establezcan otros periodos de actualización de los resultados estadísticos. Asimismo, se deberá conservar en el sitio de Internet la información de las series históricas que permitan brindar acceso al acervo de las bases de datos y los documentos técnicos relacionados con las estadísticas que generen todos los sujetos obligados en el país y que hayan sido financiadas parcial o totalmente con recursos públicos, durante los últimos seis años. </w:t>
      </w:r>
    </w:p>
    <w:p w:rsidR="003C6195" w:rsidRPr="00A51BF6" w:rsidRDefault="003C6195" w:rsidP="003C6195">
      <w:pPr>
        <w:ind w:left="851" w:right="902"/>
        <w:jc w:val="both"/>
        <w:rPr>
          <w:rFonts w:ascii="Palatino Linotype" w:hAnsi="Palatino Linotype"/>
          <w:i/>
          <w:sz w:val="22"/>
          <w:szCs w:val="22"/>
          <w:lang w:val="es-ES"/>
        </w:rPr>
      </w:pPr>
      <w:r w:rsidRPr="00A51BF6">
        <w:rPr>
          <w:rFonts w:ascii="Palatino Linotype" w:hAnsi="Palatino Linotype"/>
          <w:i/>
          <w:sz w:val="22"/>
          <w:szCs w:val="22"/>
          <w:lang w:val="es-ES"/>
        </w:rPr>
        <w:t xml:space="preserve">Cada sujeto obligado presentará de manera homogénea los resultados de las diferentes estadísticas que genere y sus respectivas bases de datos, cuestionarios, fichas técnicas, descripción de variables y otros documentos, con el objetivo de conjuntar toda la información estadística generada y que se encuentra dispersa en diferentes sitios. </w:t>
      </w:r>
    </w:p>
    <w:p w:rsidR="003C6195" w:rsidRPr="00A51BF6" w:rsidRDefault="003C6195" w:rsidP="003C6195">
      <w:pPr>
        <w:ind w:left="851" w:right="902"/>
        <w:jc w:val="both"/>
        <w:rPr>
          <w:rFonts w:ascii="Palatino Linotype" w:hAnsi="Palatino Linotype"/>
          <w:i/>
          <w:sz w:val="22"/>
          <w:szCs w:val="22"/>
          <w:lang w:val="es-ES"/>
        </w:rPr>
      </w:pPr>
      <w:r w:rsidRPr="00A51BF6">
        <w:rPr>
          <w:rFonts w:ascii="Palatino Linotype" w:hAnsi="Palatino Linotype"/>
          <w:i/>
          <w:sz w:val="22"/>
          <w:szCs w:val="22"/>
          <w:lang w:val="es-ES"/>
        </w:rPr>
        <w:t xml:space="preserve">En caso de que algún sujeto obligado no genere estadísticas en cumplimiento de sus facultades, competencias o funciones, éste deberá especificar mediante una nota fundamentada, motivada y actualizada al periodo correspondiente la falta de información. Asimismo, cuando algún sujeto obligado genere estadísticas cuyos datos sean confidenciales o reservados dada la naturaleza legal de los mismos, éste especificará en su relación de estadísticas cuáles de ellas se encuentran clasificadas </w:t>
      </w:r>
      <w:r w:rsidRPr="00A51BF6">
        <w:rPr>
          <w:rFonts w:ascii="Palatino Linotype" w:hAnsi="Palatino Linotype"/>
          <w:i/>
          <w:sz w:val="22"/>
          <w:szCs w:val="22"/>
          <w:lang w:val="es-ES"/>
        </w:rPr>
        <w:lastRenderedPageBreak/>
        <w:t>por alguna de esas causales. Sin embargo, no se podrán reservar los nombres o títulos con los que se denominan a esas estadísticas, aun cuando existan causales de clasificación respecto a sus datos o contenido.”</w:t>
      </w:r>
    </w:p>
    <w:p w:rsidR="003C6195" w:rsidRPr="00A51BF6" w:rsidRDefault="003C6195" w:rsidP="003C6195">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lang w:val="es-ES"/>
        </w:rPr>
        <w:t xml:space="preserve">Sin que obste, a lo anterior que en todo caso para dar atención a las solitudes de los gobernados para atender el servicio público denominado “Alumbrado Público” deberá generar un documento que permita registrar las solicitudes planteadas y el seguimiento dado a la mismas; en consecuencia en términos del artículo del párrafo segundo del artículo 12 de la Ley de la Materia, </w:t>
      </w:r>
      <w:r w:rsidRPr="00A51BF6">
        <w:rPr>
          <w:rFonts w:ascii="Palatino Linotype" w:hAnsi="Palatino Linotype"/>
          <w:b/>
          <w:lang w:val="es-ES"/>
        </w:rPr>
        <w:t xml:space="preserve">EL SUJETO OBLIGADO </w:t>
      </w:r>
      <w:r w:rsidRPr="00A51BF6">
        <w:rPr>
          <w:rFonts w:ascii="Palatino Linotype" w:hAnsi="Palatino Linotype"/>
          <w:lang w:val="es-ES"/>
        </w:rPr>
        <w:t>tiene el deber de proporcionar la expresión documental en que conste el requerimiento del particular, misma que no está obligado a procesar a efectos de dar cumplimiento a lo solicitado.</w:t>
      </w:r>
    </w:p>
    <w:p w:rsidR="003C6195" w:rsidRPr="00A51BF6" w:rsidRDefault="003C6195" w:rsidP="003C6195">
      <w:pPr>
        <w:spacing w:before="100" w:beforeAutospacing="1" w:after="100" w:afterAutospacing="1" w:line="360" w:lineRule="auto"/>
        <w:ind w:right="51"/>
        <w:jc w:val="both"/>
        <w:rPr>
          <w:rFonts w:ascii="Palatino Linotype" w:hAnsi="Palatino Linotype"/>
          <w:lang w:val="es-ES"/>
        </w:rPr>
      </w:pPr>
      <w:r w:rsidRPr="00A51BF6">
        <w:rPr>
          <w:rFonts w:ascii="Palatino Linotype" w:hAnsi="Palatino Linotype" w:cs="Arial"/>
        </w:rPr>
        <w:t xml:space="preserve">Atento a ello, este Órgano Garante determina su entrega, de ser procedente, en versión pública; sin embargo, </w:t>
      </w:r>
      <w:r w:rsidRPr="00A51BF6">
        <w:rPr>
          <w:rFonts w:ascii="Palatino Linotype" w:hAnsi="Palatino Linotype"/>
          <w:lang w:val="es-ES"/>
        </w:rPr>
        <w:t xml:space="preserve">la generación de dicha información, tiene como naturaleza el ejercicio de un derecho de petición, que puede ser o no ejercido por los particulares, dicho de otra manera, es una facultad potestativa que ejercen los particulares,  por ello, para el caso de que no obre en sus archivos dicha información, por haber registrado solicitudes de ampliación de servicio de alumbrado público, bastara con el sólo pronunciamiento del </w:t>
      </w:r>
      <w:r w:rsidRPr="00A51BF6">
        <w:rPr>
          <w:rFonts w:ascii="Palatino Linotype" w:hAnsi="Palatino Linotype"/>
          <w:b/>
          <w:lang w:val="es-ES"/>
        </w:rPr>
        <w:t xml:space="preserve">SUJETO OBLIGADO </w:t>
      </w:r>
      <w:r w:rsidRPr="00A51BF6">
        <w:rPr>
          <w:rFonts w:ascii="Palatino Linotype" w:hAnsi="Palatino Linotype"/>
          <w:lang w:val="es-ES"/>
        </w:rPr>
        <w:t>para tener por colmado el requerimiento de información.</w:t>
      </w:r>
    </w:p>
    <w:p w:rsidR="003C6195" w:rsidRPr="00A51BF6" w:rsidRDefault="003C6195" w:rsidP="003C6195">
      <w:pPr>
        <w:autoSpaceDE w:val="0"/>
        <w:autoSpaceDN w:val="0"/>
        <w:adjustRightInd w:val="0"/>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rPr>
        <w:t xml:space="preserve">Por otro lado, respecto al requerimiento realizado por el particular, identificado con el numeral 26, relativo al contrato de prestación de servicios por concepto de suministro de energía eléctrica celebrado por el Ayuntamiento con la CFE; al respecto, </w:t>
      </w:r>
      <w:r w:rsidRPr="00A51BF6">
        <w:rPr>
          <w:rFonts w:ascii="Palatino Linotype" w:hAnsi="Palatino Linotype" w:cs="Arial"/>
          <w:lang w:val="es-ES"/>
        </w:rPr>
        <w:t xml:space="preserve">es conveniente recordar que conforme al </w:t>
      </w:r>
      <w:r w:rsidRPr="00A51BF6">
        <w:rPr>
          <w:rFonts w:ascii="Palatino Linotype" w:hAnsi="Palatino Linotype" w:cs="Arial"/>
        </w:rPr>
        <w:t xml:space="preserve">artículo 115, fracción III de la Constitución Política de los Estados Unidos Mexicanos, los municipios tendrán a su cargo </w:t>
      </w:r>
      <w:r w:rsidRPr="00A51BF6">
        <w:rPr>
          <w:rFonts w:ascii="Palatino Linotype" w:hAnsi="Palatino Linotype" w:cs="Arial"/>
          <w:lang w:val="es-ES"/>
        </w:rPr>
        <w:t xml:space="preserve">la prestación de servicios públicos, entre los que destaca el </w:t>
      </w:r>
      <w:r w:rsidRPr="00A51BF6">
        <w:rPr>
          <w:rFonts w:ascii="Palatino Linotype" w:hAnsi="Palatino Linotype" w:cs="Arial"/>
        </w:rPr>
        <w:t>alumbrado público, el cual,</w:t>
      </w:r>
      <w:r w:rsidRPr="00A51BF6">
        <w:rPr>
          <w:rFonts w:ascii="Palatino Linotype" w:hAnsi="Palatino Linotype" w:cs="Arial"/>
          <w:lang w:val="es-ES"/>
        </w:rPr>
        <w:t xml:space="preserve"> </w:t>
      </w:r>
      <w:r w:rsidRPr="00A51BF6">
        <w:rPr>
          <w:rFonts w:ascii="Palatino Linotype" w:hAnsi="Palatino Linotype" w:cs="Arial"/>
          <w:lang w:val="es-ES"/>
        </w:rPr>
        <w:lastRenderedPageBreak/>
        <w:t>conforme a lo dispuesto por el artículo</w:t>
      </w:r>
      <w:r w:rsidRPr="00A51BF6">
        <w:rPr>
          <w:rFonts w:ascii="Palatino Linotype" w:hAnsi="Palatino Linotype" w:cs="Arial"/>
        </w:rPr>
        <w:t xml:space="preserve"> 3</w:t>
      </w:r>
      <w:r w:rsidRPr="00A51BF6">
        <w:rPr>
          <w:rFonts w:ascii="Palatino Linotype" w:hAnsi="Palatino Linotype" w:cs="Arial"/>
          <w:lang w:val="es-ES"/>
        </w:rPr>
        <w:t>1</w:t>
      </w:r>
      <w:r w:rsidRPr="00A51BF6">
        <w:rPr>
          <w:rFonts w:ascii="Palatino Linotype" w:hAnsi="Palatino Linotype" w:cs="Arial"/>
        </w:rPr>
        <w:t>, fracciones II y VII de la Ley Orgánica Municipal</w:t>
      </w:r>
      <w:r w:rsidRPr="00A51BF6">
        <w:rPr>
          <w:rFonts w:ascii="Palatino Linotype" w:hAnsi="Palatino Linotype" w:cs="Arial"/>
          <w:lang w:val="es-ES"/>
        </w:rPr>
        <w:t xml:space="preserve"> del Estado de México, </w:t>
      </w:r>
      <w:r w:rsidRPr="00A51BF6">
        <w:rPr>
          <w:rFonts w:ascii="Palatino Linotype" w:hAnsi="Palatino Linotype" w:cs="Arial"/>
        </w:rPr>
        <w:t>podrá prestarse mediante conven</w:t>
      </w:r>
      <w:r w:rsidRPr="00A51BF6">
        <w:rPr>
          <w:rFonts w:ascii="Palatino Linotype" w:hAnsi="Palatino Linotype" w:cs="Arial"/>
          <w:lang w:val="es-ES"/>
        </w:rPr>
        <w:t>io, contrato o concesión, como se observa a continuación:</w:t>
      </w:r>
    </w:p>
    <w:p w:rsidR="003C6195" w:rsidRPr="00A51BF6" w:rsidRDefault="003C6195" w:rsidP="003C6195">
      <w:pPr>
        <w:autoSpaceDE w:val="0"/>
        <w:autoSpaceDN w:val="0"/>
        <w:adjustRightInd w:val="0"/>
        <w:ind w:left="851" w:right="899"/>
        <w:rPr>
          <w:rFonts w:ascii="Palatino Linotype" w:hAnsi="Palatino Linotype" w:cs="Arial"/>
          <w:sz w:val="22"/>
          <w:szCs w:val="22"/>
          <w:lang w:val="es-ES"/>
        </w:rPr>
      </w:pPr>
      <w:r w:rsidRPr="00A51BF6">
        <w:rPr>
          <w:rFonts w:ascii="Palatino Linotype" w:hAnsi="Palatino Linotype" w:cs="Arial"/>
          <w:b/>
          <w:i/>
          <w:sz w:val="22"/>
          <w:szCs w:val="22"/>
          <w:lang w:val="es-ES"/>
        </w:rPr>
        <w:t>“Artículo 31.-</w:t>
      </w:r>
      <w:r w:rsidRPr="00A51BF6">
        <w:rPr>
          <w:rFonts w:ascii="Palatino Linotype" w:hAnsi="Palatino Linotype" w:cs="Arial"/>
          <w:i/>
          <w:sz w:val="22"/>
          <w:szCs w:val="22"/>
          <w:lang w:val="es-ES"/>
        </w:rPr>
        <w:t xml:space="preserve"> Son atribuciones de los ayuntamientos:</w:t>
      </w:r>
    </w:p>
    <w:p w:rsidR="003C6195" w:rsidRPr="00A51BF6" w:rsidRDefault="003C6195" w:rsidP="003C6195">
      <w:pPr>
        <w:autoSpaceDE w:val="0"/>
        <w:autoSpaceDN w:val="0"/>
        <w:adjustRightInd w:val="0"/>
        <w:ind w:left="851" w:right="899"/>
        <w:jc w:val="both"/>
        <w:rPr>
          <w:rFonts w:ascii="Palatino Linotype" w:hAnsi="Palatino Linotype" w:cs="Arial"/>
          <w:i/>
          <w:sz w:val="22"/>
          <w:szCs w:val="22"/>
          <w:lang w:val="es-ES"/>
        </w:rPr>
      </w:pPr>
      <w:r w:rsidRPr="00A51BF6">
        <w:rPr>
          <w:rFonts w:ascii="Palatino Linotype" w:hAnsi="Palatino Linotype" w:cs="Arial"/>
          <w:i/>
          <w:sz w:val="22"/>
          <w:szCs w:val="22"/>
          <w:lang w:val="es-ES"/>
        </w:rPr>
        <w:t>…</w:t>
      </w:r>
    </w:p>
    <w:p w:rsidR="003C6195" w:rsidRPr="00A51BF6" w:rsidRDefault="003C6195" w:rsidP="003C6195">
      <w:pPr>
        <w:autoSpaceDE w:val="0"/>
        <w:autoSpaceDN w:val="0"/>
        <w:adjustRightInd w:val="0"/>
        <w:ind w:left="851" w:right="899"/>
        <w:jc w:val="both"/>
        <w:rPr>
          <w:rFonts w:ascii="Palatino Linotype" w:hAnsi="Palatino Linotype" w:cs="Arial"/>
          <w:i/>
          <w:sz w:val="22"/>
          <w:szCs w:val="22"/>
          <w:lang w:val="es-ES"/>
        </w:rPr>
      </w:pPr>
      <w:r w:rsidRPr="00A51BF6">
        <w:rPr>
          <w:rFonts w:ascii="Palatino Linotype" w:hAnsi="Palatino Linotype" w:cs="Arial"/>
          <w:i/>
          <w:sz w:val="22"/>
          <w:szCs w:val="22"/>
          <w:lang w:val="es-ES"/>
        </w:rPr>
        <w:t>II. Celebrar convenios, cuando así fuese necesario, con las autoridades estatales competentes; en relación con la prestación de los servicios públicos a que se refiere el artículo 115, fracción III de la Constitución General, así como en lo referente a la administración de contribuciones fiscales;</w:t>
      </w:r>
    </w:p>
    <w:p w:rsidR="003C6195" w:rsidRPr="00A51BF6" w:rsidRDefault="003C6195" w:rsidP="003C6195">
      <w:pPr>
        <w:autoSpaceDE w:val="0"/>
        <w:autoSpaceDN w:val="0"/>
        <w:adjustRightInd w:val="0"/>
        <w:ind w:left="851" w:right="899"/>
        <w:jc w:val="both"/>
        <w:rPr>
          <w:rFonts w:ascii="Palatino Linotype" w:hAnsi="Palatino Linotype" w:cs="Arial"/>
          <w:i/>
          <w:sz w:val="22"/>
          <w:szCs w:val="22"/>
          <w:lang w:val="es-ES"/>
        </w:rPr>
      </w:pPr>
      <w:r w:rsidRPr="00A51BF6">
        <w:rPr>
          <w:rFonts w:ascii="Palatino Linotype" w:hAnsi="Palatino Linotype" w:cs="Arial"/>
          <w:i/>
          <w:sz w:val="22"/>
          <w:szCs w:val="22"/>
          <w:lang w:val="es-ES"/>
        </w:rPr>
        <w:t>…</w:t>
      </w:r>
    </w:p>
    <w:p w:rsidR="003C6195" w:rsidRPr="00A51BF6" w:rsidRDefault="003C6195" w:rsidP="003C6195">
      <w:pPr>
        <w:autoSpaceDE w:val="0"/>
        <w:autoSpaceDN w:val="0"/>
        <w:adjustRightInd w:val="0"/>
        <w:ind w:left="851" w:right="899"/>
        <w:jc w:val="both"/>
        <w:rPr>
          <w:rFonts w:ascii="Palatino Linotype" w:hAnsi="Palatino Linotype" w:cs="Arial"/>
          <w:i/>
          <w:sz w:val="22"/>
          <w:szCs w:val="22"/>
          <w:lang w:val="es-ES"/>
        </w:rPr>
      </w:pPr>
      <w:r w:rsidRPr="00A51BF6">
        <w:rPr>
          <w:rFonts w:ascii="Palatino Linotype" w:hAnsi="Palatino Linotype" w:cs="Arial"/>
          <w:i/>
          <w:sz w:val="22"/>
          <w:szCs w:val="22"/>
          <w:lang w:val="es-ES"/>
        </w:rPr>
        <w:t>VII. Convenir, contratar o concesionar, en términos de ley, la ejecución de obras y la prestación de servicios públicos, con el Estado, con otros municipios de la entidad o con particulares, recabando, cuando proceda, la autorización de la Legislatura del Estado;”</w:t>
      </w:r>
    </w:p>
    <w:p w:rsidR="003C6195" w:rsidRPr="00A51BF6" w:rsidRDefault="003C6195" w:rsidP="003C6195">
      <w:pPr>
        <w:autoSpaceDE w:val="0"/>
        <w:autoSpaceDN w:val="0"/>
        <w:adjustRightInd w:val="0"/>
        <w:spacing w:before="100" w:beforeAutospacing="1" w:after="100" w:afterAutospacing="1" w:line="360" w:lineRule="auto"/>
        <w:ind w:right="-142"/>
        <w:jc w:val="both"/>
        <w:rPr>
          <w:rFonts w:ascii="Palatino Linotype" w:hAnsi="Palatino Linotype" w:cs="Arial"/>
          <w:lang w:val="es-ES"/>
        </w:rPr>
      </w:pPr>
      <w:r w:rsidRPr="00A51BF6">
        <w:rPr>
          <w:rFonts w:ascii="Palatino Linotype" w:eastAsiaTheme="minorHAnsi" w:hAnsi="Palatino Linotype" w:cs="Arial"/>
          <w:lang w:val="es-ES"/>
        </w:rPr>
        <w:t>Vinculado con lo anterior, tenemos que, de acuerdo con la Ley de la Comisión Federal de Electricidad, la CFE es una empresa productiva del Estado de propiedad exclusiva del Gobierno Federal, con personalidad jurídica y patrimonio propio; quien, además, goza de autonomía técnica, operativa y de gestión</w:t>
      </w:r>
      <w:r w:rsidRPr="00A51BF6">
        <w:rPr>
          <w:rFonts w:ascii="Palatino Linotype" w:hAnsi="Palatino Linotype" w:cs="Arial"/>
          <w:vertAlign w:val="superscript"/>
          <w:lang w:val="es-ES"/>
        </w:rPr>
        <w:footnoteReference w:id="5"/>
      </w:r>
      <w:r w:rsidRPr="00A51BF6">
        <w:rPr>
          <w:rFonts w:ascii="Palatino Linotype" w:hAnsi="Palatino Linotype" w:cs="Arial"/>
          <w:lang w:val="es-ES"/>
        </w:rPr>
        <w:t>, dicha empresa tiene como como fin el desarrollo de actividades empresariales, económicas, industriales y comerciales y como objeto la prestación del servicio público de transmisión y distribución de energía eléctrica, por cuenta y orden del Estado Mexicano</w:t>
      </w:r>
      <w:r w:rsidRPr="00A51BF6">
        <w:rPr>
          <w:rFonts w:ascii="Palatino Linotype" w:hAnsi="Palatino Linotype" w:cs="Arial"/>
          <w:vertAlign w:val="superscript"/>
          <w:lang w:val="es-ES"/>
        </w:rPr>
        <w:footnoteReference w:id="6"/>
      </w:r>
      <w:r w:rsidRPr="00A51BF6">
        <w:rPr>
          <w:rFonts w:ascii="Palatino Linotype" w:hAnsi="Palatino Linotype" w:cs="Arial"/>
          <w:lang w:val="es-ES"/>
        </w:rPr>
        <w:t>; asimismo la Ley en comento indica que la CFE podrá realizar actividades, operaciones o servicios necesarios para el cumplimiento de su objeto por sí misma o a través de la celebración de contratos, convenios, alianzas o asociaciones o cualquier acto jurídico con personas físicas o morales de los sectores público, privado, social, nacional o internacional, como se advierte en los artículos 7 y 8 de su ordenamiento jurídico:</w:t>
      </w:r>
    </w:p>
    <w:p w:rsidR="003C6195" w:rsidRPr="00A51BF6" w:rsidRDefault="003C6195" w:rsidP="003C6195">
      <w:pPr>
        <w:autoSpaceDE w:val="0"/>
        <w:autoSpaceDN w:val="0"/>
        <w:adjustRightInd w:val="0"/>
        <w:spacing w:line="259" w:lineRule="auto"/>
        <w:ind w:left="851" w:right="1183"/>
        <w:jc w:val="both"/>
        <w:rPr>
          <w:rFonts w:ascii="Palatino Linotype" w:hAnsi="Palatino Linotype" w:cs="Arial"/>
          <w:i/>
          <w:sz w:val="22"/>
          <w:szCs w:val="22"/>
          <w:lang w:val="es-ES"/>
        </w:rPr>
      </w:pPr>
      <w:r w:rsidRPr="00A51BF6">
        <w:rPr>
          <w:rFonts w:ascii="Palatino Linotype" w:hAnsi="Palatino Linotype" w:cs="Arial"/>
          <w:b/>
          <w:i/>
          <w:sz w:val="22"/>
          <w:szCs w:val="22"/>
          <w:lang w:val="es-ES"/>
        </w:rPr>
        <w:lastRenderedPageBreak/>
        <w:t>“Artículo 7.-</w:t>
      </w:r>
      <w:r w:rsidRPr="00A51BF6">
        <w:rPr>
          <w:rFonts w:ascii="Palatino Linotype" w:hAnsi="Palatino Linotype" w:cs="Arial"/>
          <w:i/>
          <w:sz w:val="22"/>
          <w:szCs w:val="22"/>
          <w:lang w:val="es-ES"/>
        </w:rPr>
        <w:t xml:space="preserve"> Para cumplir con su objeto, la Comisión Federal de Electricidad podrá celebrar con el Gobierno Federal y con personas físicas o morales toda clase de actos, convenios, contratos, suscribir títulos de crédito y otorgar todo tipo de garantías reales y personales de obligaciones contraídas por sí o por sus empresas productivas subsidiarias y empresas filiales, con sujeción a las disposiciones legales aplicables. La Comisión Federal de Electricidad estará facultada para realizar las operaciones relacionadas directa o indirectamente con su objeto. </w:t>
      </w:r>
    </w:p>
    <w:p w:rsidR="003C6195" w:rsidRPr="00A51BF6" w:rsidRDefault="003C6195" w:rsidP="003C6195">
      <w:pPr>
        <w:autoSpaceDE w:val="0"/>
        <w:autoSpaceDN w:val="0"/>
        <w:adjustRightInd w:val="0"/>
        <w:spacing w:line="259" w:lineRule="auto"/>
        <w:ind w:left="851" w:right="1183"/>
        <w:jc w:val="both"/>
        <w:rPr>
          <w:rFonts w:ascii="Palatino Linotype" w:hAnsi="Palatino Linotype" w:cs="Arial"/>
          <w:i/>
          <w:sz w:val="22"/>
          <w:szCs w:val="22"/>
          <w:lang w:val="es-ES"/>
        </w:rPr>
      </w:pPr>
      <w:r w:rsidRPr="00A51BF6">
        <w:rPr>
          <w:rFonts w:ascii="Palatino Linotype" w:hAnsi="Palatino Linotype" w:cs="Arial"/>
          <w:i/>
          <w:sz w:val="22"/>
          <w:szCs w:val="22"/>
          <w:lang w:val="es-ES"/>
        </w:rPr>
        <w:t>Los contratos y, en general, todos los actos jurídicos que celebre la Comisión Federal de Electricidad para el cumplimiento de su objeto, podrán incluir cualquiera de los términos permitidos por la legislación mercantil y común y deberán cumplir con la regulación aplicable en las materias que corresponda.</w:t>
      </w:r>
    </w:p>
    <w:p w:rsidR="006D6C57" w:rsidRPr="00A51BF6" w:rsidRDefault="006D6C57" w:rsidP="003C6195">
      <w:pPr>
        <w:autoSpaceDE w:val="0"/>
        <w:autoSpaceDN w:val="0"/>
        <w:adjustRightInd w:val="0"/>
        <w:ind w:left="851" w:right="1183"/>
        <w:jc w:val="both"/>
        <w:rPr>
          <w:rFonts w:ascii="Palatino Linotype" w:hAnsi="Palatino Linotype" w:cs="Arial"/>
          <w:b/>
          <w:i/>
          <w:sz w:val="22"/>
          <w:szCs w:val="22"/>
          <w:lang w:val="es-ES"/>
        </w:rPr>
      </w:pPr>
    </w:p>
    <w:p w:rsidR="003C6195" w:rsidRPr="00A51BF6" w:rsidRDefault="003C6195" w:rsidP="003C6195">
      <w:pPr>
        <w:autoSpaceDE w:val="0"/>
        <w:autoSpaceDN w:val="0"/>
        <w:adjustRightInd w:val="0"/>
        <w:ind w:left="851" w:right="1183"/>
        <w:jc w:val="both"/>
        <w:rPr>
          <w:rFonts w:ascii="Palatino Linotype" w:hAnsi="Palatino Linotype" w:cs="Arial"/>
          <w:i/>
          <w:sz w:val="22"/>
          <w:szCs w:val="22"/>
          <w:lang w:val="es-ES"/>
        </w:rPr>
      </w:pPr>
      <w:r w:rsidRPr="00A51BF6">
        <w:rPr>
          <w:rFonts w:ascii="Palatino Linotype" w:hAnsi="Palatino Linotype" w:cs="Arial"/>
          <w:b/>
          <w:i/>
          <w:sz w:val="22"/>
          <w:szCs w:val="22"/>
          <w:lang w:val="es-ES"/>
        </w:rPr>
        <w:t>Artículo 8.-</w:t>
      </w:r>
      <w:r w:rsidRPr="00A51BF6">
        <w:rPr>
          <w:rFonts w:ascii="Palatino Linotype" w:hAnsi="Palatino Linotype" w:cs="Arial"/>
          <w:i/>
          <w:sz w:val="22"/>
          <w:szCs w:val="22"/>
          <w:lang w:val="es-ES"/>
        </w:rPr>
        <w:t xml:space="preserve"> Para cumplir con su objeto, la Comisión Federal de Electricidad y sus empresas productivas subsidiarias podrán celebrar contratos con particulares bajo esquemas que les generen una mayor productividad y rentabilidad, incluyendo modalidades que les permitan asociarse y/o compartir costos, gastos, inversiones, riesgos y demás aspectos de las actividades de los que sea titular, conforme a las disposiciones que al efecto emitan sus Consejos de Administración.” (Sic)</w:t>
      </w:r>
    </w:p>
    <w:p w:rsidR="003C6195" w:rsidRPr="00A51BF6" w:rsidRDefault="003C6195" w:rsidP="003C6195">
      <w:pPr>
        <w:autoSpaceDE w:val="0"/>
        <w:autoSpaceDN w:val="0"/>
        <w:adjustRightInd w:val="0"/>
        <w:spacing w:before="100" w:beforeAutospacing="1" w:after="100" w:afterAutospacing="1" w:line="360" w:lineRule="auto"/>
        <w:jc w:val="both"/>
        <w:rPr>
          <w:rFonts w:ascii="Palatino Linotype" w:hAnsi="Palatino Linotype" w:cs="Arial"/>
          <w:bCs/>
        </w:rPr>
      </w:pPr>
      <w:r w:rsidRPr="00A51BF6">
        <w:rPr>
          <w:rFonts w:ascii="Palatino Linotype" w:eastAsiaTheme="minorHAnsi" w:hAnsi="Palatino Linotype" w:cs="Arial"/>
          <w:lang w:val="es-ES"/>
        </w:rPr>
        <w:t xml:space="preserve">De la interpretación de los preceptos jurídicos citados con anterioridad, se advierte que tanto los Municipios como la CFE cuentan con las atribuciones y facultades suficientes para la celebración de contratos y convenios para la prestación de servicios </w:t>
      </w:r>
      <w:r w:rsidRPr="00A51BF6">
        <w:rPr>
          <w:rFonts w:ascii="Palatino Linotype" w:hAnsi="Palatino Linotype" w:cs="Arial"/>
          <w:lang w:val="es-ES"/>
        </w:rPr>
        <w:t>por concepto de suministro de energía eléctrica</w:t>
      </w:r>
      <w:r w:rsidRPr="00A51BF6">
        <w:rPr>
          <w:rFonts w:ascii="Palatino Linotype" w:hAnsi="Palatino Linotype" w:cs="Arial"/>
          <w:bCs/>
        </w:rPr>
        <w:t xml:space="preserve">; en consecuencia, este Órgano Garante determina ordenar la entrega del mismo; siendo importante señalar que el particular al momento de presentar dicha solicitud no precisó la temporalidad, atento a ello, se ordena la entrega del último contrato vigente a la fecha de solicitud. </w:t>
      </w:r>
    </w:p>
    <w:p w:rsidR="003C6195" w:rsidRPr="00A51BF6" w:rsidRDefault="003C6195" w:rsidP="003C6195">
      <w:pPr>
        <w:spacing w:before="100" w:beforeAutospacing="1" w:after="100" w:afterAutospacing="1" w:line="360" w:lineRule="auto"/>
        <w:jc w:val="both"/>
        <w:rPr>
          <w:rFonts w:ascii="Palatino Linotype" w:hAnsi="Palatino Linotype" w:cs="Arial"/>
        </w:rPr>
      </w:pPr>
      <w:r w:rsidRPr="00A51BF6">
        <w:rPr>
          <w:rFonts w:ascii="Palatino Linotype" w:hAnsi="Palatino Linotype"/>
          <w:color w:val="000000" w:themeColor="text1"/>
          <w:lang w:eastAsia="en-US"/>
        </w:rPr>
        <w:t xml:space="preserve">En otro orden de ideas, en relación a la solicitud identificada con el numeral 27, </w:t>
      </w:r>
      <w:r w:rsidRPr="00A51BF6">
        <w:rPr>
          <w:rFonts w:ascii="Palatino Linotype" w:hAnsi="Palatino Linotype" w:cs="Arial"/>
          <w:bCs/>
        </w:rPr>
        <w:t>relativa a</w:t>
      </w:r>
      <w:r w:rsidRPr="00A51BF6">
        <w:rPr>
          <w:rFonts w:ascii="Palatino Linotype" w:hAnsi="Palatino Linotype" w:cs="Arial"/>
        </w:rPr>
        <w:t>l convenio de “</w:t>
      </w:r>
      <w:r w:rsidRPr="00A51BF6">
        <w:rPr>
          <w:rFonts w:ascii="Palatino Linotype" w:hAnsi="Palatino Linotype" w:cs="Arial"/>
          <w:i/>
        </w:rPr>
        <w:t>Peso por Peso</w:t>
      </w:r>
      <w:r w:rsidRPr="00A51BF6">
        <w:rPr>
          <w:rFonts w:ascii="Palatino Linotype" w:hAnsi="Palatino Linotype" w:cs="Arial"/>
        </w:rPr>
        <w:t xml:space="preserve">” firmado entre la CFE y el municipio y ¿cuánto se recauda por derechos de alumbrado público?; al respecto, es importante señalar que en fecha diez de noviembre de dos mil catorce, el Consejo de Administración de la CFE, en su Tercera Sesión Ordinaria, emitió el Acuerdo CA-020/2017, en el que aprobó las </w:t>
      </w:r>
      <w:r w:rsidRPr="00A51BF6">
        <w:rPr>
          <w:rFonts w:ascii="Palatino Linotype" w:hAnsi="Palatino Linotype" w:cs="Arial"/>
          <w:i/>
        </w:rPr>
        <w:t xml:space="preserve">Políticas </w:t>
      </w:r>
      <w:r w:rsidRPr="00A51BF6">
        <w:rPr>
          <w:rFonts w:ascii="Palatino Linotype" w:hAnsi="Palatino Linotype" w:cs="Arial"/>
          <w:i/>
        </w:rPr>
        <w:lastRenderedPageBreak/>
        <w:t xml:space="preserve">Generales para la cancelación de adeudos a cargo de terceros y a favor de la CFE, </w:t>
      </w:r>
      <w:r w:rsidRPr="00A51BF6">
        <w:rPr>
          <w:rFonts w:ascii="Palatino Linotype" w:hAnsi="Palatino Linotype" w:cs="Arial"/>
        </w:rPr>
        <w:t xml:space="preserve">en los que se plantea como Política General la celebración de convenios denominados “Peso por Peso” con gobiernos municipales. </w:t>
      </w:r>
    </w:p>
    <w:p w:rsidR="003C6195" w:rsidRPr="00A51BF6" w:rsidRDefault="003C6195" w:rsidP="003C6195">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Ahora bien, es de precisar que dicho convenio se basa en una política de recuperación de cartera vencida consistente en la formulación de convenios con gobiernos municipales, para estructurar, por una sola vez, los adeudos y aplicar un esquema que garantice el pago oportuno de la facturación. Bajo esa modalidad, el Gobierno Federal puede aportar por conducto de la CFE, un peso para cubrir el adeudo histórico, por cada peso que paguen los municipios la facturación normal; asimismo, los pagos se podrán garantizar con las participaciones federales que le correspondan a cada municipio que firme el convenio. </w:t>
      </w:r>
    </w:p>
    <w:p w:rsidR="003C6195" w:rsidRPr="00A51BF6" w:rsidRDefault="003C6195" w:rsidP="003C6195">
      <w:pPr>
        <w:spacing w:before="100" w:beforeAutospacing="1" w:after="100" w:afterAutospacing="1" w:line="360" w:lineRule="auto"/>
        <w:jc w:val="both"/>
        <w:rPr>
          <w:rFonts w:ascii="Palatino Linotype" w:eastAsia="Arial Unicode MS" w:hAnsi="Palatino Linotype" w:cs="Arial"/>
          <w:lang w:val="es-ES"/>
        </w:rPr>
      </w:pPr>
      <w:r w:rsidRPr="00A51BF6">
        <w:rPr>
          <w:rFonts w:ascii="Palatino Linotype" w:hAnsi="Palatino Linotype" w:cs="Arial"/>
        </w:rPr>
        <w:t xml:space="preserve">Es así que, derivado de dicha Política existe la posibilidad de que </w:t>
      </w:r>
      <w:r w:rsidRPr="00A51BF6">
        <w:rPr>
          <w:rFonts w:ascii="Palatino Linotype" w:hAnsi="Palatino Linotype" w:cs="Arial"/>
          <w:b/>
        </w:rPr>
        <w:t xml:space="preserve">EL SUJETO OBLIGADO </w:t>
      </w:r>
      <w:r w:rsidRPr="00A51BF6">
        <w:rPr>
          <w:rFonts w:ascii="Palatino Linotype" w:hAnsi="Palatino Linotype" w:cs="Arial"/>
        </w:rPr>
        <w:t xml:space="preserve">haya firmado convenio denominado “Peso por Peso”, con la CFE; por lo que, este Órgano Garante determina ordenar el último convenio celebrado, de ser procedente, en versión pública y, para el caso de que no se haya celebrado, </w:t>
      </w:r>
      <w:r w:rsidRPr="00A51BF6">
        <w:rPr>
          <w:rFonts w:ascii="Palatino Linotype" w:eastAsia="Arial Unicode MS" w:hAnsi="Palatino Linotype" w:cs="Arial"/>
          <w:b/>
          <w:lang w:val="es-ES"/>
        </w:rPr>
        <w:t xml:space="preserve">EL SUJETO OBLIGADO </w:t>
      </w:r>
      <w:r w:rsidRPr="00A51BF6">
        <w:rPr>
          <w:rFonts w:ascii="Palatino Linotype" w:eastAsia="Arial Unicode MS" w:hAnsi="Palatino Linotype" w:cs="Arial"/>
          <w:lang w:val="es-ES"/>
        </w:rPr>
        <w:t xml:space="preserve">deberá hacerlo del conocimiento al particular. </w:t>
      </w:r>
    </w:p>
    <w:p w:rsidR="003C6195" w:rsidRPr="00A51BF6" w:rsidRDefault="003C6195" w:rsidP="003C6195">
      <w:pPr>
        <w:spacing w:before="100" w:beforeAutospacing="1" w:after="100" w:afterAutospacing="1" w:line="360" w:lineRule="auto"/>
        <w:ind w:right="51"/>
        <w:jc w:val="both"/>
        <w:rPr>
          <w:rFonts w:ascii="Palatino Linotype" w:hAnsi="Palatino Linotype" w:cs="Arial"/>
          <w:lang w:val="es-ES"/>
        </w:rPr>
      </w:pPr>
      <w:r w:rsidRPr="00A51BF6">
        <w:rPr>
          <w:rFonts w:ascii="Palatino Linotype" w:eastAsia="Calibri" w:hAnsi="Palatino Linotype" w:cs="Times"/>
          <w:shd w:val="clear" w:color="auto" w:fill="FFFFFF"/>
          <w:lang w:val="es-ES"/>
        </w:rPr>
        <w:t>Por otro lado, respecto de las solicitudes identificadas con los puntos 5 y 28, consistente en “</w:t>
      </w:r>
      <w:r w:rsidRPr="00A51BF6">
        <w:rPr>
          <w:rFonts w:ascii="Palatino Linotype" w:eastAsia="Calibri" w:hAnsi="Palatino Linotype" w:cs="Arial"/>
          <w:i/>
          <w:lang w:val="es-ES"/>
        </w:rPr>
        <w:t>Copia del convenio para recaudar el Derecho de Alumbrado Público “DAP” firmado entre la CFE y el municipio (ayuntamiento). Así como la recaudación (monto) reportado por la CFE al municipio”</w:t>
      </w:r>
      <w:r w:rsidRPr="00A51BF6">
        <w:rPr>
          <w:rFonts w:ascii="Palatino Linotype" w:hAnsi="Palatino Linotype"/>
          <w:color w:val="000000" w:themeColor="text1"/>
          <w:lang w:eastAsia="en-US"/>
        </w:rPr>
        <w:t xml:space="preserve"> y ¿Cuánto se recauda por derechos de alumbrado público?</w:t>
      </w:r>
      <w:r w:rsidRPr="00A51BF6">
        <w:rPr>
          <w:rFonts w:ascii="Palatino Linotype" w:eastAsia="Calibri" w:hAnsi="Palatino Linotype" w:cs="Arial"/>
          <w:i/>
          <w:lang w:val="es-ES"/>
        </w:rPr>
        <w:t xml:space="preserve">, </w:t>
      </w:r>
      <w:r w:rsidRPr="00A51BF6">
        <w:rPr>
          <w:rFonts w:ascii="Palatino Linotype" w:eastAsia="Calibri" w:hAnsi="Palatino Linotype" w:cs="Arial"/>
          <w:lang w:val="es-ES"/>
        </w:rPr>
        <w:t xml:space="preserve">del periodo referido por el particular en su solicitud; al respecto, es importante </w:t>
      </w:r>
      <w:r w:rsidRPr="00A51BF6">
        <w:rPr>
          <w:rFonts w:ascii="Palatino Linotype" w:hAnsi="Palatino Linotype" w:cs="Arial"/>
          <w:lang w:val="es-ES"/>
        </w:rPr>
        <w:t xml:space="preserve">precisar que el DAP puede considerarse como un derecho, a través del cual los municipios reciben ingresos después de celebrar un convenio con la CFE, previa aprobación del Congreso, ya que se trata de un servicio público que está a cargo de los municipios, en ese sentido las </w:t>
      </w:r>
      <w:r w:rsidRPr="00A51BF6">
        <w:rPr>
          <w:rFonts w:ascii="Palatino Linotype" w:hAnsi="Palatino Linotype" w:cs="Arial"/>
          <w:lang w:val="es-ES"/>
        </w:rPr>
        <w:lastRenderedPageBreak/>
        <w:t>leyes de ingresos de los municipios de cada estado, determinarán si entre sus ingresos se cobra algún derecho por el servicio de alumbrado público; por ello, al revisar la Ley de Ingresos de los Municipios del Estado de México, para los ejercicios fiscales de 2013 a 2019, se pudo advertir que se encuentra dentro de las mismas el pago por derechos de servicio de alumbrado público.</w:t>
      </w:r>
    </w:p>
    <w:p w:rsidR="003C6195" w:rsidRPr="00A51BF6" w:rsidRDefault="003C6195" w:rsidP="003C6195">
      <w:pPr>
        <w:spacing w:before="100" w:beforeAutospacing="1" w:after="100" w:afterAutospacing="1" w:line="360" w:lineRule="auto"/>
        <w:ind w:right="51"/>
        <w:jc w:val="both"/>
        <w:rPr>
          <w:rFonts w:ascii="Palatino Linotype" w:hAnsi="Palatino Linotype" w:cs="Arial"/>
          <w:lang w:val="es-ES"/>
        </w:rPr>
      </w:pPr>
      <w:r w:rsidRPr="00A51BF6">
        <w:rPr>
          <w:rFonts w:ascii="Palatino Linotype" w:hAnsi="Palatino Linotype" w:cs="Arial"/>
          <w:lang w:val="es-ES"/>
        </w:rPr>
        <w:t xml:space="preserve">De igual manera, el Código Financiero del Estado de México contempla en el Título Cuarto “De los Ingresos de los Municipios” el derecho por servicio de alumbrado público, en sus artículos 161 y 162; indicando que para la prestación de dicho servicio se pagará bimestralmente el 10% del cargo a cubrir por la recepción del servicio contratado cuando se apliquen tarifas 1, 2 y 3 del Acuerdo que autoriza el ajuste de las mismas para el suministro y venta de energía y el 2% en aquellos casos en que se apliquen las tarifas H-M u O-M y H-S o H-T, mismo que no podrá exceder de 5 veces el valor diario de la Unidad de Medida y Actualización vigente; asimismo, señala que los ayuntamientos podrán acordar la aplicación del derecho, en aquellas zonas que no tengan grado relativo de existencia del servicio, a solicitud de los habitantes del área específica del municipio o por convenio expreso entre éstos y el ayuntamiento cuando los importes de su recaudación se detentan a la introducción o ampliación de las redes de alumbrado público faltantes o insuficientes. </w:t>
      </w:r>
    </w:p>
    <w:p w:rsidR="003C6195" w:rsidRPr="00A51BF6" w:rsidRDefault="003C6195" w:rsidP="003C6195">
      <w:pPr>
        <w:spacing w:before="100" w:beforeAutospacing="1" w:after="100" w:afterAutospacing="1" w:line="360" w:lineRule="auto"/>
        <w:jc w:val="both"/>
        <w:rPr>
          <w:rFonts w:ascii="Palatino Linotype" w:eastAsia="Arial Unicode MS" w:hAnsi="Palatino Linotype" w:cs="Arial"/>
          <w:lang w:val="es-ES"/>
        </w:rPr>
      </w:pPr>
      <w:r w:rsidRPr="00A51BF6">
        <w:rPr>
          <w:rFonts w:ascii="Palatino Linotype" w:hAnsi="Palatino Linotype" w:cs="Arial"/>
          <w:lang w:val="es-ES"/>
        </w:rPr>
        <w:t xml:space="preserve">Derivado de lo anterior, se advierte que existe la posibilidad de que el municipio, a través de la CFE haya convenido el cobro del derecho de alumbrado público; por lo que, resulta procedente ordenar la entrega del último convenio celebrado que se hayan firmado con la CFE, así como, el monto recaudado por ese derecho a través de la Comisión, del periodo del 1 de enero de 2013 al 23 de abril de 2019 </w:t>
      </w:r>
      <w:r w:rsidRPr="00A51BF6">
        <w:rPr>
          <w:rFonts w:ascii="Palatino Linotype" w:hAnsi="Palatino Linotype" w:cs="Arial"/>
        </w:rPr>
        <w:t xml:space="preserve">y, para el caso de </w:t>
      </w:r>
      <w:r w:rsidRPr="00A51BF6">
        <w:rPr>
          <w:rFonts w:ascii="Palatino Linotype" w:hAnsi="Palatino Linotype" w:cs="Arial"/>
        </w:rPr>
        <w:lastRenderedPageBreak/>
        <w:t xml:space="preserve">que a la fecha de la solicitud, no haya celebrado convenio alguno, </w:t>
      </w:r>
      <w:r w:rsidRPr="00A51BF6">
        <w:rPr>
          <w:rFonts w:ascii="Palatino Linotype" w:eastAsia="Arial Unicode MS" w:hAnsi="Palatino Linotype" w:cs="Arial"/>
          <w:b/>
          <w:lang w:val="es-ES"/>
        </w:rPr>
        <w:t xml:space="preserve">EL SUJETO OBLIGADO </w:t>
      </w:r>
      <w:r w:rsidRPr="00A51BF6">
        <w:rPr>
          <w:rFonts w:ascii="Palatino Linotype" w:eastAsia="Arial Unicode MS" w:hAnsi="Palatino Linotype" w:cs="Arial"/>
          <w:lang w:val="es-ES"/>
        </w:rPr>
        <w:t xml:space="preserve">deberá hacerlo del conocimiento al particular. </w:t>
      </w:r>
    </w:p>
    <w:p w:rsidR="003C6195" w:rsidRPr="00A51BF6" w:rsidRDefault="003C6195" w:rsidP="003C6195">
      <w:pPr>
        <w:spacing w:before="100" w:beforeAutospacing="1" w:after="100" w:afterAutospacing="1" w:line="360" w:lineRule="auto"/>
        <w:ind w:right="51"/>
        <w:jc w:val="both"/>
        <w:rPr>
          <w:rFonts w:ascii="Palatino Linotype" w:eastAsia="Calibri" w:hAnsi="Palatino Linotype" w:cs="Arial"/>
          <w:b/>
          <w:lang w:val="es-ES"/>
        </w:rPr>
      </w:pPr>
      <w:r w:rsidRPr="00A51BF6">
        <w:rPr>
          <w:rFonts w:ascii="Palatino Linotype" w:eastAsia="Calibri" w:hAnsi="Palatino Linotype" w:cs="Arial"/>
          <w:lang w:val="es-ES"/>
        </w:rPr>
        <w:t>Ahora bien, por cuanto hace a los requerimientos de la solicitud de mérito, en los puntos 29 y 30 consistentes en:</w:t>
      </w:r>
      <w:r w:rsidRPr="00A51BF6">
        <w:rPr>
          <w:rFonts w:ascii="Palatino Linotype" w:eastAsia="Calibri" w:hAnsi="Palatino Linotype" w:cs="Arial"/>
          <w:i/>
          <w:lang w:val="es-ES"/>
        </w:rPr>
        <w:t xml:space="preserve"> “El número de juicios y controversias promovidos por particulares en contra del municipio por el cobro del Derecho de Alumbrado Público “DAP” </w:t>
      </w:r>
      <w:r w:rsidRPr="00A51BF6">
        <w:rPr>
          <w:rFonts w:ascii="Palatino Linotype" w:eastAsia="Calibri" w:hAnsi="Palatino Linotype" w:cs="Arial"/>
          <w:lang w:val="es-ES"/>
        </w:rPr>
        <w:t>y</w:t>
      </w:r>
      <w:r w:rsidRPr="00A51BF6">
        <w:rPr>
          <w:rFonts w:ascii="Palatino Linotype" w:eastAsia="Calibri" w:hAnsi="Palatino Linotype" w:cs="Arial"/>
          <w:i/>
          <w:lang w:val="es-ES"/>
        </w:rPr>
        <w:t xml:space="preserve"> “El número de juicios y controversias perdidos y ganados por el ayuntamiento (municipio) ante los particulares que reclaman el pago indebido del Derecho de Alumbrado Público” </w:t>
      </w:r>
      <w:r w:rsidRPr="00A51BF6">
        <w:rPr>
          <w:rFonts w:ascii="Palatino Linotype" w:eastAsia="Calibri" w:hAnsi="Palatino Linotype" w:cs="Arial"/>
          <w:lang w:val="es-ES"/>
        </w:rPr>
        <w:t>por el periodo precisado por el particular en su solicitud; al respecto, es de señalar que el artículo 48, fracción IV de la Ley Orgánica Municipal del Estado de México señala:</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i/>
          <w:color w:val="000000" w:themeColor="text1"/>
          <w:sz w:val="22"/>
          <w:szCs w:val="22"/>
          <w:lang w:eastAsia="en-US"/>
        </w:rPr>
        <w:t>“</w:t>
      </w:r>
      <w:r w:rsidRPr="00A51BF6">
        <w:rPr>
          <w:rFonts w:ascii="Palatino Linotype" w:hAnsi="Palatino Linotype"/>
          <w:b/>
          <w:i/>
          <w:color w:val="000000" w:themeColor="text1"/>
          <w:sz w:val="22"/>
          <w:szCs w:val="22"/>
          <w:lang w:eastAsia="en-US"/>
        </w:rPr>
        <w:t>Artículo 48.-</w:t>
      </w:r>
      <w:r w:rsidRPr="00A51BF6">
        <w:rPr>
          <w:rFonts w:ascii="Palatino Linotype" w:hAnsi="Palatino Linotype"/>
          <w:i/>
          <w:color w:val="000000" w:themeColor="text1"/>
          <w:sz w:val="22"/>
          <w:szCs w:val="22"/>
          <w:lang w:eastAsia="en-US"/>
        </w:rPr>
        <w:t xml:space="preserve"> El presidente municipal tiene las siguientes atribuciones:</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i/>
          <w:color w:val="000000" w:themeColor="text1"/>
          <w:sz w:val="22"/>
          <w:szCs w:val="22"/>
          <w:lang w:eastAsia="en-US"/>
        </w:rPr>
        <w:t>…</w:t>
      </w:r>
    </w:p>
    <w:p w:rsidR="003C6195" w:rsidRPr="00A51BF6" w:rsidRDefault="003C6195" w:rsidP="003C6195">
      <w:pPr>
        <w:ind w:left="851" w:right="902"/>
        <w:jc w:val="both"/>
        <w:rPr>
          <w:rFonts w:ascii="Palatino Linotype" w:hAnsi="Palatino Linotype"/>
          <w:b/>
          <w:i/>
          <w:color w:val="000000" w:themeColor="text1"/>
          <w:sz w:val="22"/>
          <w:szCs w:val="22"/>
          <w:lang w:eastAsia="en-US"/>
        </w:rPr>
      </w:pPr>
      <w:r w:rsidRPr="00A51BF6">
        <w:rPr>
          <w:rFonts w:ascii="Palatino Linotype" w:hAnsi="Palatino Linotype"/>
          <w:b/>
          <w:i/>
          <w:color w:val="000000" w:themeColor="text1"/>
          <w:sz w:val="22"/>
          <w:szCs w:val="22"/>
          <w:lang w:eastAsia="en-US"/>
        </w:rPr>
        <w:t>IV.-</w:t>
      </w:r>
      <w:r w:rsidRPr="00A51BF6">
        <w:rPr>
          <w:rFonts w:ascii="Palatino Linotype" w:hAnsi="Palatino Linotype"/>
          <w:i/>
          <w:color w:val="000000" w:themeColor="text1"/>
          <w:sz w:val="22"/>
          <w:szCs w:val="22"/>
          <w:lang w:eastAsia="en-US"/>
        </w:rPr>
        <w:t xml:space="preserve"> </w:t>
      </w:r>
      <w:r w:rsidRPr="00A51BF6">
        <w:rPr>
          <w:rFonts w:ascii="Palatino Linotype" w:hAnsi="Palatino Linotype"/>
          <w:b/>
          <w:i/>
          <w:color w:val="000000" w:themeColor="text1"/>
          <w:sz w:val="22"/>
          <w:szCs w:val="22"/>
          <w:lang w:eastAsia="en-US"/>
        </w:rPr>
        <w:t>Asumir la representación jurídica</w:t>
      </w:r>
      <w:r w:rsidRPr="00A51BF6">
        <w:rPr>
          <w:rFonts w:ascii="Palatino Linotype" w:hAnsi="Palatino Linotype"/>
          <w:i/>
          <w:color w:val="000000" w:themeColor="text1"/>
          <w:sz w:val="22"/>
          <w:szCs w:val="22"/>
          <w:lang w:eastAsia="en-US"/>
        </w:rPr>
        <w:t xml:space="preserve"> del Municipio y del ayuntamiento, </w:t>
      </w:r>
      <w:r w:rsidRPr="00A51BF6">
        <w:rPr>
          <w:rFonts w:ascii="Palatino Linotype" w:hAnsi="Palatino Linotype"/>
          <w:b/>
          <w:i/>
          <w:color w:val="000000" w:themeColor="text1"/>
          <w:sz w:val="22"/>
          <w:szCs w:val="22"/>
          <w:lang w:eastAsia="en-US"/>
        </w:rPr>
        <w:t>así como de las dependencias de la Administración Pública Municipal, en los litigios en que este sea parte.</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i/>
          <w:color w:val="000000" w:themeColor="text1"/>
          <w:sz w:val="22"/>
          <w:szCs w:val="22"/>
          <w:lang w:eastAsia="en-US"/>
        </w:rPr>
        <w:t>…</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b/>
          <w:i/>
          <w:color w:val="000000" w:themeColor="text1"/>
          <w:sz w:val="22"/>
          <w:szCs w:val="22"/>
          <w:lang w:eastAsia="en-US"/>
        </w:rPr>
        <w:t>Artículo 50.-</w:t>
      </w:r>
      <w:r w:rsidRPr="00A51BF6">
        <w:rPr>
          <w:rFonts w:ascii="Palatino Linotype" w:hAnsi="Palatino Linotype"/>
          <w:i/>
          <w:color w:val="000000" w:themeColor="text1"/>
          <w:sz w:val="22"/>
          <w:szCs w:val="22"/>
          <w:lang w:eastAsia="en-US"/>
        </w:rPr>
        <w:t xml:space="preserve"> El </w:t>
      </w:r>
      <w:r w:rsidRPr="00A51BF6">
        <w:rPr>
          <w:rFonts w:ascii="Palatino Linotype" w:hAnsi="Palatino Linotype"/>
          <w:b/>
          <w:i/>
          <w:color w:val="000000" w:themeColor="text1"/>
          <w:sz w:val="22"/>
          <w:szCs w:val="22"/>
          <w:lang w:eastAsia="en-US"/>
        </w:rPr>
        <w:t>presidente</w:t>
      </w:r>
      <w:r w:rsidRPr="00A51BF6">
        <w:rPr>
          <w:rFonts w:ascii="Palatino Linotype" w:hAnsi="Palatino Linotype"/>
          <w:i/>
          <w:color w:val="000000" w:themeColor="text1"/>
          <w:sz w:val="22"/>
          <w:szCs w:val="22"/>
          <w:lang w:eastAsia="en-US"/>
        </w:rPr>
        <w:t xml:space="preserve"> </w:t>
      </w:r>
      <w:r w:rsidRPr="00A51BF6">
        <w:rPr>
          <w:rFonts w:ascii="Palatino Linotype" w:hAnsi="Palatino Linotype"/>
          <w:b/>
          <w:i/>
          <w:color w:val="000000" w:themeColor="text1"/>
          <w:sz w:val="22"/>
          <w:szCs w:val="22"/>
          <w:lang w:eastAsia="en-US"/>
        </w:rPr>
        <w:t>asumirá la representación jurídica del ayuntamiento</w:t>
      </w:r>
      <w:r w:rsidRPr="00A51BF6">
        <w:rPr>
          <w:rFonts w:ascii="Palatino Linotype" w:hAnsi="Palatino Linotype"/>
          <w:i/>
          <w:color w:val="000000" w:themeColor="text1"/>
          <w:sz w:val="22"/>
          <w:szCs w:val="22"/>
          <w:lang w:eastAsia="en-US"/>
        </w:rPr>
        <w:t xml:space="preserve"> </w:t>
      </w:r>
      <w:r w:rsidRPr="00A51BF6">
        <w:rPr>
          <w:rFonts w:ascii="Palatino Linotype" w:hAnsi="Palatino Linotype"/>
          <w:b/>
          <w:i/>
          <w:color w:val="000000" w:themeColor="text1"/>
          <w:sz w:val="22"/>
          <w:szCs w:val="22"/>
          <w:lang w:eastAsia="en-US"/>
        </w:rPr>
        <w:t>y de las dependencias de la Administración Pública Municipal, en los litigios en que sean parte,</w:t>
      </w:r>
      <w:r w:rsidRPr="00A51BF6">
        <w:rPr>
          <w:rFonts w:ascii="Palatino Linotype" w:hAnsi="Palatino Linotype"/>
          <w:i/>
          <w:color w:val="000000" w:themeColor="text1"/>
          <w:sz w:val="22"/>
          <w:szCs w:val="22"/>
          <w:lang w:eastAsia="en-US"/>
        </w:rPr>
        <w:t xml:space="preserve"> así como la gestión de los negocios de la hacienda municipal; facultándolo para otorgar y revocar poderes generales y especiales a terceros o mediante oficio para la debida representación jurídica correspondiente pudiendo convenir en los mismos.</w:t>
      </w:r>
      <w:r w:rsidRPr="00A51BF6">
        <w:rPr>
          <w:rFonts w:ascii="Palatino Linotype" w:hAnsi="Palatino Linotype"/>
          <w:b/>
          <w:i/>
          <w:color w:val="000000" w:themeColor="text1"/>
          <w:sz w:val="22"/>
          <w:szCs w:val="22"/>
          <w:lang w:eastAsia="en-US"/>
        </w:rPr>
        <w:t xml:space="preserve"> ”</w:t>
      </w:r>
    </w:p>
    <w:p w:rsidR="003C6195" w:rsidRPr="00A51BF6" w:rsidRDefault="003C6195" w:rsidP="003C6195">
      <w:pPr>
        <w:ind w:left="851" w:right="902"/>
        <w:jc w:val="both"/>
        <w:rPr>
          <w:rFonts w:ascii="Palatino Linotype" w:eastAsia="Calibri" w:hAnsi="Palatino Linotype" w:cs="Bookman Old Style"/>
          <w:i/>
          <w:sz w:val="22"/>
          <w:szCs w:val="22"/>
          <w:lang w:eastAsia="en-US"/>
        </w:rPr>
      </w:pPr>
      <w:r w:rsidRPr="00A51BF6">
        <w:rPr>
          <w:rFonts w:ascii="Palatino Linotype" w:hAnsi="Palatino Linotype"/>
          <w:i/>
          <w:color w:val="000000" w:themeColor="text1"/>
          <w:sz w:val="22"/>
          <w:szCs w:val="22"/>
          <w:lang w:eastAsia="en-US"/>
        </w:rPr>
        <w:t>(Énfasis añadido)</w:t>
      </w:r>
    </w:p>
    <w:p w:rsidR="003C6195" w:rsidRPr="00A51BF6" w:rsidRDefault="003C6195" w:rsidP="003C6195">
      <w:pPr>
        <w:widowControl w:val="0"/>
        <w:autoSpaceDE w:val="0"/>
        <w:autoSpaceDN w:val="0"/>
        <w:adjustRightInd w:val="0"/>
        <w:spacing w:before="100" w:beforeAutospacing="1" w:after="100" w:afterAutospacing="1" w:line="360" w:lineRule="auto"/>
        <w:ind w:right="51"/>
        <w:jc w:val="both"/>
        <w:rPr>
          <w:rFonts w:ascii="Palatino Linotype" w:eastAsia="Arial Unicode MS" w:hAnsi="Palatino Linotype" w:cs="Arial"/>
          <w:lang w:val="es-ES"/>
        </w:rPr>
      </w:pPr>
      <w:r w:rsidRPr="00A51BF6">
        <w:rPr>
          <w:rFonts w:ascii="Palatino Linotype" w:eastAsia="Calibri" w:hAnsi="Palatino Linotype" w:cs="Bookman Old Style"/>
          <w:lang w:eastAsia="en-US"/>
        </w:rPr>
        <w:t>De lo anterior se desprende, que es el Presidente Municipal es quien asume la representación jurídica del Ayuntamiento en los litigios (juicios) en los que el Municipio sea parte; por tanto, se advierte que dicho servidor público es quien cuenta con la información solicitada; en consecuencia, se considera que e</w:t>
      </w:r>
      <w:r w:rsidRPr="00A51BF6">
        <w:rPr>
          <w:rFonts w:ascii="Palatino Linotype" w:eastAsia="Calibri" w:hAnsi="Palatino Linotype" w:cs="Arial"/>
          <w:lang w:eastAsia="es-MX"/>
        </w:rPr>
        <w:t xml:space="preserve">s información que pudiera generar, administrar o poseer </w:t>
      </w:r>
      <w:r w:rsidRPr="00A51BF6">
        <w:rPr>
          <w:rFonts w:ascii="Palatino Linotype" w:eastAsia="Calibri" w:hAnsi="Palatino Linotype" w:cs="Arial"/>
          <w:lang w:val="es-ES"/>
        </w:rPr>
        <w:t xml:space="preserve">en ejercicio de sus atribuciones; atento a ello, éste Órgano Garante determina ordenar su entrega, de ser procedente, en versión pública; cumpliendo con las formalidades que más adelante se detalla; sin embargo, </w:t>
      </w:r>
      <w:r w:rsidRPr="00A51BF6">
        <w:rPr>
          <w:rFonts w:ascii="Palatino Linotype" w:eastAsia="Calibri" w:hAnsi="Palatino Linotype" w:cs="Arial"/>
          <w:lang w:val="es-ES"/>
        </w:rPr>
        <w:lastRenderedPageBreak/>
        <w:t xml:space="preserve">para el caso de que no se haya generado, administrado o poseído dicha información, </w:t>
      </w:r>
      <w:r w:rsidRPr="00A51BF6">
        <w:rPr>
          <w:rFonts w:ascii="Palatino Linotype" w:hAnsi="Palatino Linotype" w:cs="Arial"/>
          <w:lang w:val="es-ES"/>
        </w:rPr>
        <w:t xml:space="preserve">bastará con </w:t>
      </w:r>
      <w:r w:rsidRPr="00A51BF6">
        <w:rPr>
          <w:rFonts w:ascii="Palatino Linotype" w:eastAsia="Arial Unicode MS" w:hAnsi="Palatino Linotype" w:cs="Arial"/>
          <w:lang w:val="es-ES"/>
        </w:rPr>
        <w:t xml:space="preserve">hacerlo del conocimiento al particular. </w:t>
      </w:r>
    </w:p>
    <w:p w:rsidR="003C6195" w:rsidRPr="00A51BF6" w:rsidRDefault="003C6195" w:rsidP="003C6195">
      <w:pPr>
        <w:spacing w:before="100" w:beforeAutospacing="1" w:after="100" w:afterAutospacing="1" w:line="360" w:lineRule="auto"/>
        <w:ind w:right="51"/>
        <w:jc w:val="both"/>
        <w:rPr>
          <w:rFonts w:ascii="Palatino Linotype" w:eastAsia="Calibri" w:hAnsi="Palatino Linotype" w:cs="Arial"/>
          <w:lang w:val="es-ES"/>
        </w:rPr>
      </w:pPr>
      <w:r w:rsidRPr="00A51BF6">
        <w:rPr>
          <w:rFonts w:ascii="Palatino Linotype" w:eastAsia="Calibri" w:hAnsi="Palatino Linotype" w:cs="Arial"/>
          <w:lang w:val="es-ES"/>
        </w:rPr>
        <w:t xml:space="preserve">Ahora bien, por cuanto hace al punto 31 de la solicitud de información consistente en: </w:t>
      </w:r>
      <w:r w:rsidRPr="00A51BF6">
        <w:rPr>
          <w:rFonts w:ascii="Palatino Linotype" w:eastAsia="Calibri" w:hAnsi="Palatino Linotype" w:cs="Arial"/>
          <w:i/>
          <w:lang w:val="es-ES"/>
        </w:rPr>
        <w:t>“Las normas y lineamientos que el municipio sigue para operar y proporcionar el servicio de alumbrado público municipal”,</w:t>
      </w:r>
      <w:r w:rsidRPr="00A51BF6">
        <w:rPr>
          <w:rFonts w:ascii="Palatino Linotype" w:eastAsia="Calibri" w:hAnsi="Palatino Linotype" w:cs="Arial"/>
          <w:b/>
          <w:lang w:val="es-ES"/>
        </w:rPr>
        <w:t xml:space="preserve"> </w:t>
      </w:r>
      <w:r w:rsidRPr="00A51BF6">
        <w:rPr>
          <w:rFonts w:ascii="Palatino Linotype" w:eastAsia="Calibri" w:hAnsi="Palatino Linotype" w:cs="Arial"/>
          <w:lang w:val="es-ES"/>
        </w:rPr>
        <w:t>es de señalarse, que</w:t>
      </w:r>
      <w:r w:rsidRPr="00A51BF6">
        <w:rPr>
          <w:rFonts w:ascii="Palatino Linotype" w:eastAsia="Calibri" w:hAnsi="Palatino Linotype" w:cs="Arial"/>
          <w:b/>
          <w:lang w:val="es-ES"/>
        </w:rPr>
        <w:t xml:space="preserve">, </w:t>
      </w:r>
      <w:r w:rsidRPr="00A51BF6">
        <w:rPr>
          <w:rFonts w:ascii="Palatino Linotype" w:eastAsia="Calibri" w:hAnsi="Palatino Linotype" w:cs="Arial"/>
          <w:lang w:val="es-ES"/>
        </w:rPr>
        <w:t>de conformidad</w:t>
      </w:r>
      <w:r w:rsidRPr="00A51BF6">
        <w:rPr>
          <w:rFonts w:ascii="Palatino Linotype" w:eastAsia="Calibri" w:hAnsi="Palatino Linotype" w:cs="Arial"/>
          <w:i/>
          <w:lang w:val="es-ES"/>
        </w:rPr>
        <w:t xml:space="preserve"> </w:t>
      </w:r>
      <w:r w:rsidRPr="00A51BF6">
        <w:rPr>
          <w:rFonts w:ascii="Palatino Linotype" w:eastAsia="Calibri" w:hAnsi="Palatino Linotype" w:cs="Arial"/>
          <w:lang w:val="es-ES"/>
        </w:rPr>
        <w:t>con los artículos</w:t>
      </w:r>
      <w:r w:rsidRPr="00A51BF6">
        <w:rPr>
          <w:rFonts w:ascii="Palatino Linotype" w:eastAsia="Calibri" w:hAnsi="Palatino Linotype" w:cs="Arial"/>
          <w:i/>
          <w:lang w:val="es-ES"/>
        </w:rPr>
        <w:t xml:space="preserve"> </w:t>
      </w:r>
      <w:r w:rsidRPr="00A51BF6">
        <w:rPr>
          <w:rFonts w:ascii="Palatino Linotype" w:eastAsia="Calibri" w:hAnsi="Palatino Linotype" w:cs="Arial"/>
          <w:lang w:val="es-ES"/>
        </w:rPr>
        <w:t xml:space="preserve">125, fracción II y 126 de la Ley Orgánica Municipal del Estado de México, los </w:t>
      </w:r>
      <w:r w:rsidRPr="00A51BF6">
        <w:rPr>
          <w:rFonts w:ascii="Palatino Linotype" w:eastAsia="Calibri" w:hAnsi="Palatino Linotype" w:cs="Bookman Old Style"/>
          <w:lang w:eastAsia="en-US"/>
        </w:rPr>
        <w:t>municipios tienen a su cargo la prestación, explotación, administración y conservación del servicio público municipal de alumbrado; por lo que, les corresponde a los ayuntamientos, sus unidades administrativas y organismos auxiliares, la presentación de éste servicio, para ello pueden coordinarse con el Estado o con otros municipios para la eficacia, pudiendo además concesionar a terceros la prestación de servicios públicos municipales, a excepción de los de Seguridad Pública y Tránsito, prefiriéndose en igualdad de circunstancias a vecinos del municipio.</w:t>
      </w:r>
    </w:p>
    <w:p w:rsidR="003C6195" w:rsidRPr="00A51BF6" w:rsidRDefault="003C6195" w:rsidP="003C6195">
      <w:pPr>
        <w:spacing w:before="100" w:beforeAutospacing="1" w:after="100" w:afterAutospacing="1" w:line="360" w:lineRule="auto"/>
        <w:ind w:right="51"/>
        <w:jc w:val="both"/>
        <w:rPr>
          <w:rFonts w:ascii="Palatino Linotype" w:eastAsia="Calibri" w:hAnsi="Palatino Linotype" w:cs="Bookman Old Style"/>
          <w:lang w:eastAsia="en-US"/>
        </w:rPr>
      </w:pPr>
      <w:r w:rsidRPr="00A51BF6">
        <w:rPr>
          <w:rFonts w:ascii="Palatino Linotype" w:eastAsia="Calibri" w:hAnsi="Palatino Linotype" w:cs="Bookman Old Style"/>
          <w:bCs/>
          <w:lang w:eastAsia="en-US"/>
        </w:rPr>
        <w:t>Asimismo, el artículo 127 de la Ley Orgánica Municipal del Estado de México establece que</w:t>
      </w:r>
      <w:r w:rsidRPr="00A51BF6">
        <w:rPr>
          <w:rFonts w:ascii="Palatino Linotype" w:eastAsia="Calibri" w:hAnsi="Palatino Linotype" w:cs="Bookman Old Style"/>
          <w:b/>
          <w:bCs/>
          <w:lang w:eastAsia="en-US"/>
        </w:rPr>
        <w:t xml:space="preserve"> </w:t>
      </w:r>
      <w:r w:rsidRPr="00A51BF6">
        <w:rPr>
          <w:rFonts w:ascii="Palatino Linotype" w:eastAsia="Calibri" w:hAnsi="Palatino Linotype" w:cs="Bookman Old Style"/>
          <w:bCs/>
          <w:lang w:eastAsia="en-US"/>
        </w:rPr>
        <w:t>c</w:t>
      </w:r>
      <w:r w:rsidRPr="00A51BF6">
        <w:rPr>
          <w:rFonts w:ascii="Palatino Linotype" w:eastAsia="Calibri" w:hAnsi="Palatino Linotype" w:cs="Bookman Old Style"/>
          <w:lang w:eastAsia="en-US"/>
        </w:rPr>
        <w:t>uando los servicios públicos sean prestados directamente por el Ayuntamiento, serán supervisados por los regidores o por los órganos municipales respectivos, en la forma que determine la Ley y los Reglamentos aplicables, en tanto que, cuando dicho servicio público sea proporcionado por particulares, se estará a las bases de organización y bajo la dirección del Ayuntamiento. En consecuencia, se advierte que, en ambos casos, será el propio Ayuntamiento quien establezca las normas y lineamientos para la operación y prestación del servicio de alumbrado público. Para mayor referencia se insertan los preceptos legales citados:</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i/>
          <w:color w:val="000000" w:themeColor="text1"/>
          <w:sz w:val="22"/>
          <w:szCs w:val="22"/>
          <w:lang w:eastAsia="en-US"/>
        </w:rPr>
        <w:t>“</w:t>
      </w:r>
      <w:r w:rsidRPr="00A51BF6">
        <w:rPr>
          <w:rFonts w:ascii="Palatino Linotype" w:hAnsi="Palatino Linotype"/>
          <w:b/>
          <w:i/>
          <w:color w:val="000000" w:themeColor="text1"/>
          <w:sz w:val="22"/>
          <w:szCs w:val="22"/>
          <w:lang w:eastAsia="en-US"/>
        </w:rPr>
        <w:t>Artículo 125.-</w:t>
      </w:r>
      <w:r w:rsidRPr="00A51BF6">
        <w:rPr>
          <w:rFonts w:ascii="Palatino Linotype" w:hAnsi="Palatino Linotype"/>
          <w:i/>
          <w:color w:val="000000" w:themeColor="text1"/>
          <w:sz w:val="22"/>
          <w:szCs w:val="22"/>
          <w:lang w:eastAsia="en-US"/>
        </w:rPr>
        <w:t xml:space="preserve"> </w:t>
      </w:r>
      <w:r w:rsidRPr="00A51BF6">
        <w:rPr>
          <w:rFonts w:ascii="Palatino Linotype" w:hAnsi="Palatino Linotype"/>
          <w:b/>
          <w:i/>
          <w:color w:val="000000" w:themeColor="text1"/>
          <w:sz w:val="22"/>
          <w:szCs w:val="22"/>
          <w:lang w:eastAsia="en-US"/>
        </w:rPr>
        <w:t>Los municipios</w:t>
      </w:r>
      <w:r w:rsidRPr="00A51BF6">
        <w:rPr>
          <w:rFonts w:ascii="Palatino Linotype" w:hAnsi="Palatino Linotype"/>
          <w:i/>
          <w:color w:val="000000" w:themeColor="text1"/>
          <w:sz w:val="22"/>
          <w:szCs w:val="22"/>
          <w:lang w:eastAsia="en-US"/>
        </w:rPr>
        <w:t xml:space="preserve"> </w:t>
      </w:r>
      <w:r w:rsidRPr="00A51BF6">
        <w:rPr>
          <w:rFonts w:ascii="Palatino Linotype" w:hAnsi="Palatino Linotype"/>
          <w:b/>
          <w:i/>
          <w:color w:val="000000" w:themeColor="text1"/>
          <w:sz w:val="22"/>
          <w:szCs w:val="22"/>
          <w:lang w:eastAsia="en-US"/>
        </w:rPr>
        <w:t>tendrán a su cargo la prestación</w:t>
      </w:r>
      <w:r w:rsidRPr="00A51BF6">
        <w:rPr>
          <w:rFonts w:ascii="Palatino Linotype" w:hAnsi="Palatino Linotype"/>
          <w:i/>
          <w:color w:val="000000" w:themeColor="text1"/>
          <w:sz w:val="22"/>
          <w:szCs w:val="22"/>
          <w:lang w:eastAsia="en-US"/>
        </w:rPr>
        <w:t xml:space="preserve">, explotación, administración y conservación de los </w:t>
      </w:r>
      <w:r w:rsidRPr="00A51BF6">
        <w:rPr>
          <w:rFonts w:ascii="Palatino Linotype" w:hAnsi="Palatino Linotype"/>
          <w:b/>
          <w:i/>
          <w:color w:val="000000" w:themeColor="text1"/>
          <w:sz w:val="22"/>
          <w:szCs w:val="22"/>
          <w:lang w:eastAsia="en-US"/>
        </w:rPr>
        <w:t>servicios públicos municipales</w:t>
      </w:r>
      <w:r w:rsidRPr="00A51BF6">
        <w:rPr>
          <w:rFonts w:ascii="Palatino Linotype" w:hAnsi="Palatino Linotype"/>
          <w:i/>
          <w:color w:val="000000" w:themeColor="text1"/>
          <w:sz w:val="22"/>
          <w:szCs w:val="22"/>
          <w:lang w:eastAsia="en-US"/>
        </w:rPr>
        <w:t>, considerándose enunciativa y no limitativamente, los siguientes:</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i/>
          <w:color w:val="000000" w:themeColor="text1"/>
          <w:sz w:val="22"/>
          <w:szCs w:val="22"/>
          <w:lang w:eastAsia="en-US"/>
        </w:rPr>
        <w:lastRenderedPageBreak/>
        <w:t>…</w:t>
      </w:r>
    </w:p>
    <w:p w:rsidR="003C6195" w:rsidRPr="00A51BF6" w:rsidRDefault="003C6195" w:rsidP="003C6195">
      <w:pPr>
        <w:ind w:left="851" w:right="902"/>
        <w:jc w:val="both"/>
        <w:rPr>
          <w:rFonts w:ascii="Palatino Linotype" w:hAnsi="Palatino Linotype"/>
          <w:b/>
          <w:i/>
          <w:color w:val="000000" w:themeColor="text1"/>
          <w:sz w:val="22"/>
          <w:szCs w:val="22"/>
          <w:lang w:eastAsia="en-US"/>
        </w:rPr>
      </w:pPr>
      <w:r w:rsidRPr="00A51BF6">
        <w:rPr>
          <w:rFonts w:ascii="Palatino Linotype" w:hAnsi="Palatino Linotype"/>
          <w:b/>
          <w:i/>
          <w:color w:val="000000" w:themeColor="text1"/>
          <w:sz w:val="22"/>
          <w:szCs w:val="22"/>
          <w:lang w:eastAsia="en-US"/>
        </w:rPr>
        <w:t>II. Alumbrado público;</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i/>
          <w:color w:val="000000" w:themeColor="text1"/>
          <w:sz w:val="22"/>
          <w:szCs w:val="22"/>
          <w:lang w:eastAsia="en-US"/>
        </w:rPr>
        <w:t>…</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b/>
          <w:i/>
          <w:color w:val="000000" w:themeColor="text1"/>
          <w:sz w:val="22"/>
          <w:szCs w:val="22"/>
          <w:lang w:eastAsia="en-US"/>
        </w:rPr>
        <w:t>Artículo 126.-</w:t>
      </w:r>
      <w:r w:rsidRPr="00A51BF6">
        <w:rPr>
          <w:rFonts w:ascii="Palatino Linotype" w:hAnsi="Palatino Linotype"/>
          <w:i/>
          <w:color w:val="000000" w:themeColor="text1"/>
          <w:sz w:val="22"/>
          <w:szCs w:val="22"/>
          <w:lang w:eastAsia="en-US"/>
        </w:rPr>
        <w:t xml:space="preserve"> </w:t>
      </w:r>
      <w:r w:rsidRPr="00A51BF6">
        <w:rPr>
          <w:rFonts w:ascii="Palatino Linotype" w:hAnsi="Palatino Linotype"/>
          <w:b/>
          <w:i/>
          <w:color w:val="000000" w:themeColor="text1"/>
          <w:sz w:val="22"/>
          <w:szCs w:val="22"/>
          <w:lang w:eastAsia="en-US"/>
        </w:rPr>
        <w:t>La prestación de los servicios públicos deberá realizarse por los ayuntamientos, sus unidades administrativas y organismos auxiliares, quienes podrán coordinarse con el Estado o con otros municipios para la eficacia en su prestación.</w:t>
      </w:r>
      <w:r w:rsidRPr="00A51BF6">
        <w:rPr>
          <w:rFonts w:ascii="Palatino Linotype" w:hAnsi="Palatino Linotype"/>
          <w:i/>
          <w:color w:val="000000" w:themeColor="text1"/>
          <w:sz w:val="22"/>
          <w:szCs w:val="22"/>
          <w:lang w:eastAsia="en-US"/>
        </w:rPr>
        <w:t xml:space="preserve"> </w:t>
      </w:r>
    </w:p>
    <w:p w:rsidR="003C6195" w:rsidRPr="00A51BF6" w:rsidRDefault="003C6195" w:rsidP="003C6195">
      <w:pPr>
        <w:ind w:left="851" w:right="902"/>
        <w:jc w:val="both"/>
        <w:rPr>
          <w:rFonts w:ascii="Palatino Linotype" w:hAnsi="Palatino Linotype"/>
          <w:i/>
          <w:color w:val="000000" w:themeColor="text1"/>
          <w:sz w:val="22"/>
          <w:szCs w:val="22"/>
          <w:lang w:eastAsia="en-US"/>
        </w:rPr>
      </w:pPr>
      <w:r w:rsidRPr="00A51BF6">
        <w:rPr>
          <w:rFonts w:ascii="Palatino Linotype" w:hAnsi="Palatino Linotype"/>
          <w:b/>
          <w:i/>
          <w:color w:val="000000" w:themeColor="text1"/>
          <w:sz w:val="22"/>
          <w:szCs w:val="22"/>
          <w:lang w:eastAsia="en-US"/>
        </w:rPr>
        <w:t>Podrá concesionarse a terceros la prestación de servicios públicos municipales</w:t>
      </w:r>
      <w:r w:rsidRPr="00A51BF6">
        <w:rPr>
          <w:rFonts w:ascii="Palatino Linotype" w:hAnsi="Palatino Linotype"/>
          <w:i/>
          <w:color w:val="000000" w:themeColor="text1"/>
          <w:sz w:val="22"/>
          <w:szCs w:val="22"/>
          <w:lang w:eastAsia="en-US"/>
        </w:rPr>
        <w:t xml:space="preserve">, a excepción de los de Seguridad Pública y Tránsito, prefiriéndose en igualdad de circunstancias a vecinos del municipio. </w:t>
      </w:r>
    </w:p>
    <w:p w:rsidR="003C6195" w:rsidRPr="00A51BF6" w:rsidRDefault="003C6195" w:rsidP="003C6195">
      <w:pPr>
        <w:ind w:left="851" w:right="902"/>
        <w:jc w:val="both"/>
        <w:rPr>
          <w:rFonts w:ascii="Palatino Linotype" w:hAnsi="Palatino Linotype"/>
          <w:b/>
          <w:i/>
          <w:color w:val="000000" w:themeColor="text1"/>
          <w:sz w:val="22"/>
          <w:szCs w:val="22"/>
          <w:lang w:eastAsia="en-US"/>
        </w:rPr>
      </w:pPr>
      <w:r w:rsidRPr="00A51BF6">
        <w:rPr>
          <w:rFonts w:ascii="Palatino Linotype" w:hAnsi="Palatino Linotype"/>
          <w:b/>
          <w:i/>
          <w:color w:val="000000" w:themeColor="text1"/>
          <w:sz w:val="22"/>
          <w:szCs w:val="22"/>
          <w:lang w:eastAsia="en-US"/>
        </w:rPr>
        <w:t>Artículo 127.-</w:t>
      </w:r>
      <w:r w:rsidRPr="00A51BF6">
        <w:rPr>
          <w:rFonts w:ascii="Palatino Linotype" w:hAnsi="Palatino Linotype"/>
          <w:i/>
          <w:color w:val="000000" w:themeColor="text1"/>
          <w:sz w:val="22"/>
          <w:szCs w:val="22"/>
          <w:lang w:eastAsia="en-US"/>
        </w:rPr>
        <w:t xml:space="preserve"> </w:t>
      </w:r>
      <w:r w:rsidRPr="00A51BF6">
        <w:rPr>
          <w:rFonts w:ascii="Palatino Linotype" w:hAnsi="Palatino Linotype"/>
          <w:b/>
          <w:i/>
          <w:color w:val="000000" w:themeColor="text1"/>
          <w:sz w:val="22"/>
          <w:szCs w:val="22"/>
          <w:lang w:eastAsia="en-US"/>
        </w:rPr>
        <w:t xml:space="preserve">Cuando los servicios públicos sean prestados directamente por el ayuntamiento, serán supervisados por los regidores o por los órganos municipales respectivos, en la forma que determine esta Ley y los reglamentos aplicables. </w:t>
      </w:r>
    </w:p>
    <w:p w:rsidR="003C6195" w:rsidRPr="00A51BF6" w:rsidRDefault="003C6195" w:rsidP="003C6195">
      <w:pPr>
        <w:ind w:left="851" w:right="902"/>
        <w:jc w:val="both"/>
        <w:rPr>
          <w:rFonts w:ascii="Palatino Linotype" w:hAnsi="Palatino Linotype"/>
          <w:b/>
          <w:i/>
          <w:color w:val="000000" w:themeColor="text1"/>
          <w:sz w:val="22"/>
          <w:szCs w:val="22"/>
          <w:lang w:eastAsia="en-US"/>
        </w:rPr>
      </w:pPr>
      <w:r w:rsidRPr="00A51BF6">
        <w:rPr>
          <w:rFonts w:ascii="Palatino Linotype" w:hAnsi="Palatino Linotype"/>
          <w:b/>
          <w:i/>
          <w:color w:val="000000" w:themeColor="text1"/>
          <w:sz w:val="22"/>
          <w:szCs w:val="22"/>
          <w:lang w:eastAsia="en-US"/>
        </w:rPr>
        <w:t>Los particulares podrán participar en la prestación de servicios públicos, conforme a las bases de organización y bajo la dirección que acuerden los ayuntamientos.”</w:t>
      </w:r>
    </w:p>
    <w:p w:rsidR="000C7CD9" w:rsidRPr="00A51BF6" w:rsidRDefault="000C7CD9" w:rsidP="003C6195">
      <w:pPr>
        <w:ind w:left="851" w:right="902"/>
        <w:jc w:val="both"/>
        <w:rPr>
          <w:rFonts w:ascii="Palatino Linotype" w:eastAsia="Calibri" w:hAnsi="Palatino Linotype" w:cs="Bookman Old Style"/>
          <w:sz w:val="22"/>
          <w:szCs w:val="22"/>
          <w:lang w:eastAsia="en-US"/>
        </w:rPr>
      </w:pPr>
    </w:p>
    <w:p w:rsidR="003C6195" w:rsidRPr="00A51BF6" w:rsidRDefault="003C6195" w:rsidP="003C6195">
      <w:pPr>
        <w:ind w:left="851" w:right="902"/>
        <w:jc w:val="both"/>
        <w:rPr>
          <w:rFonts w:ascii="Palatino Linotype" w:eastAsia="Calibri" w:hAnsi="Palatino Linotype" w:cs="Bookman Old Style"/>
          <w:sz w:val="22"/>
          <w:szCs w:val="22"/>
          <w:lang w:eastAsia="en-US"/>
        </w:rPr>
      </w:pPr>
      <w:r w:rsidRPr="00A51BF6">
        <w:rPr>
          <w:rFonts w:ascii="Palatino Linotype" w:eastAsia="Calibri" w:hAnsi="Palatino Linotype" w:cs="Bookman Old Style"/>
          <w:sz w:val="22"/>
          <w:szCs w:val="22"/>
          <w:lang w:eastAsia="en-US"/>
        </w:rPr>
        <w:t>(Énfasis añadido)</w:t>
      </w:r>
    </w:p>
    <w:p w:rsidR="003C6195" w:rsidRPr="00A51BF6" w:rsidRDefault="003C6195" w:rsidP="003C6195">
      <w:pPr>
        <w:spacing w:before="100" w:beforeAutospacing="1" w:after="100" w:afterAutospacing="1" w:line="360" w:lineRule="auto"/>
        <w:ind w:right="51"/>
        <w:jc w:val="both"/>
        <w:rPr>
          <w:rFonts w:ascii="Palatino Linotype" w:eastAsia="Calibri" w:hAnsi="Palatino Linotype" w:cs="Arial"/>
          <w:lang w:val="es-ES"/>
        </w:rPr>
      </w:pPr>
      <w:r w:rsidRPr="00A51BF6">
        <w:rPr>
          <w:rFonts w:ascii="Palatino Linotype" w:eastAsia="Calibri" w:hAnsi="Palatino Linotype" w:cs="Arial"/>
          <w:lang w:val="es-ES"/>
        </w:rPr>
        <w:t xml:space="preserve">De lo anterior, se desprende que </w:t>
      </w:r>
      <w:r w:rsidRPr="00A51BF6">
        <w:rPr>
          <w:rFonts w:ascii="Palatino Linotype" w:eastAsia="Calibri" w:hAnsi="Palatino Linotype" w:cs="Arial"/>
          <w:b/>
          <w:lang w:val="es-ES"/>
        </w:rPr>
        <w:t xml:space="preserve">EL SUJETO OBLIGADO </w:t>
      </w:r>
      <w:r w:rsidRPr="00A51BF6">
        <w:rPr>
          <w:rFonts w:ascii="Palatino Linotype" w:eastAsia="Calibri" w:hAnsi="Palatino Linotype" w:cs="Arial"/>
          <w:lang w:val="es-ES"/>
        </w:rPr>
        <w:t>será quien reglamente la creación, organización, administración, funcionamiento, conservación, prestación y explotación de los servicios públicos, es decir, que será quien, en el ámbito de su competencia, emita las normas, lineamientos, políticas y/o procedimientos para la prestación del servicio de alumbrado público.</w:t>
      </w:r>
    </w:p>
    <w:p w:rsidR="003C6195" w:rsidRPr="00A51BF6" w:rsidRDefault="003C6195" w:rsidP="003C6195">
      <w:pPr>
        <w:autoSpaceDE w:val="0"/>
        <w:autoSpaceDN w:val="0"/>
        <w:adjustRightInd w:val="0"/>
        <w:spacing w:before="100" w:beforeAutospacing="1" w:after="100" w:afterAutospacing="1" w:line="360" w:lineRule="auto"/>
        <w:jc w:val="both"/>
        <w:rPr>
          <w:rFonts w:ascii="Palatino Linotype" w:eastAsia="Calibri" w:hAnsi="Palatino Linotype" w:cs="Calibri"/>
          <w:bCs/>
          <w:lang w:eastAsia="en-US"/>
        </w:rPr>
      </w:pPr>
      <w:r w:rsidRPr="00A51BF6">
        <w:rPr>
          <w:rFonts w:ascii="Palatino Linotype" w:eastAsia="Calibri" w:hAnsi="Palatino Linotype" w:cs="Calibri"/>
          <w:bCs/>
          <w:lang w:eastAsia="en-US"/>
        </w:rPr>
        <w:t xml:space="preserve">Atento a ello y en razón de que </w:t>
      </w:r>
      <w:r w:rsidRPr="00A51BF6">
        <w:rPr>
          <w:rFonts w:ascii="Palatino Linotype" w:eastAsia="Calibri" w:hAnsi="Palatino Linotype" w:cs="Calibri"/>
          <w:b/>
          <w:bCs/>
          <w:lang w:eastAsia="en-US"/>
        </w:rPr>
        <w:t xml:space="preserve">EL SUJETO OBLIGADO </w:t>
      </w:r>
      <w:r w:rsidRPr="00A51BF6">
        <w:rPr>
          <w:rFonts w:ascii="Palatino Linotype" w:eastAsia="Calibri" w:hAnsi="Palatino Linotype" w:cs="Calibri"/>
          <w:bCs/>
          <w:lang w:eastAsia="en-US"/>
        </w:rPr>
        <w:t xml:space="preserve">fue omiso en atender la solicitud y derivado de que el particular no precisó la temporalidad respecto al punto en estudio; en consecuencia, el Pleno de este Instituto determina ordenar al </w:t>
      </w:r>
      <w:r w:rsidRPr="00A51BF6">
        <w:rPr>
          <w:rFonts w:ascii="Palatino Linotype" w:eastAsia="Calibri" w:hAnsi="Palatino Linotype" w:cs="Calibri"/>
          <w:b/>
          <w:bCs/>
          <w:lang w:eastAsia="en-US"/>
        </w:rPr>
        <w:t xml:space="preserve">SUJETO OBLIGADO </w:t>
      </w:r>
      <w:r w:rsidRPr="00A51BF6">
        <w:rPr>
          <w:rFonts w:ascii="Palatino Linotype" w:eastAsia="Calibri" w:hAnsi="Palatino Linotype" w:cs="Calibri"/>
          <w:bCs/>
          <w:lang w:eastAsia="en-US"/>
        </w:rPr>
        <w:t xml:space="preserve">haga entrega a </w:t>
      </w:r>
      <w:r w:rsidRPr="00A51BF6">
        <w:rPr>
          <w:rFonts w:ascii="Palatino Linotype" w:eastAsia="Calibri" w:hAnsi="Palatino Linotype" w:cs="Calibri"/>
          <w:b/>
          <w:bCs/>
          <w:lang w:eastAsia="en-US"/>
        </w:rPr>
        <w:t>EL</w:t>
      </w:r>
      <w:r w:rsidRPr="00A51BF6">
        <w:rPr>
          <w:rFonts w:ascii="Palatino Linotype" w:eastAsia="Calibri" w:hAnsi="Palatino Linotype" w:cs="Calibri"/>
          <w:bCs/>
          <w:lang w:eastAsia="en-US"/>
        </w:rPr>
        <w:t xml:space="preserve"> </w:t>
      </w:r>
      <w:r w:rsidRPr="00A51BF6">
        <w:rPr>
          <w:rFonts w:ascii="Palatino Linotype" w:eastAsia="Calibri" w:hAnsi="Palatino Linotype" w:cs="Calibri"/>
          <w:b/>
          <w:bCs/>
          <w:lang w:eastAsia="en-US"/>
        </w:rPr>
        <w:t xml:space="preserve">RECURRENTE </w:t>
      </w:r>
      <w:r w:rsidRPr="00A51BF6">
        <w:rPr>
          <w:rFonts w:ascii="Palatino Linotype" w:eastAsia="Calibri" w:hAnsi="Palatino Linotype" w:cs="Calibri"/>
          <w:bCs/>
          <w:lang w:eastAsia="en-US"/>
        </w:rPr>
        <w:t xml:space="preserve">del documento en el cual consten las normas y lineamientos que el Municipio de </w:t>
      </w:r>
      <w:r w:rsidR="000C7CD9" w:rsidRPr="00A51BF6">
        <w:rPr>
          <w:rFonts w:ascii="Palatino Linotype" w:eastAsia="Calibri" w:hAnsi="Palatino Linotype" w:cs="Calibri"/>
          <w:bCs/>
          <w:lang w:eastAsia="en-US"/>
        </w:rPr>
        <w:t xml:space="preserve">Almoloya del Río </w:t>
      </w:r>
      <w:r w:rsidRPr="00A51BF6">
        <w:rPr>
          <w:rFonts w:ascii="Palatino Linotype" w:eastAsia="Calibri" w:hAnsi="Palatino Linotype" w:cs="Calibri"/>
          <w:bCs/>
          <w:lang w:eastAsia="en-US"/>
        </w:rPr>
        <w:t xml:space="preserve">sigue para la operación y prestación del servicio de alumbrado público, vigentes a la fecha de solicitud; es decir, al 23 de abril de 2019. </w:t>
      </w:r>
    </w:p>
    <w:p w:rsidR="003C6195" w:rsidRPr="00A51BF6" w:rsidRDefault="003C6195" w:rsidP="003C6195">
      <w:pPr>
        <w:widowControl w:val="0"/>
        <w:tabs>
          <w:tab w:val="left" w:pos="1418"/>
        </w:tabs>
        <w:autoSpaceDE w:val="0"/>
        <w:autoSpaceDN w:val="0"/>
        <w:adjustRightInd w:val="0"/>
        <w:spacing w:before="100" w:beforeAutospacing="1" w:after="100" w:afterAutospacing="1" w:line="360" w:lineRule="auto"/>
        <w:jc w:val="both"/>
        <w:rPr>
          <w:rFonts w:ascii="Palatino Linotype" w:hAnsi="Palatino Linotype" w:cs="Arial"/>
          <w:lang w:eastAsia="es-MX"/>
        </w:rPr>
      </w:pPr>
      <w:r w:rsidRPr="00A51BF6">
        <w:rPr>
          <w:rFonts w:ascii="Palatino Linotype" w:hAnsi="Palatino Linotype"/>
          <w:lang w:val="es-ES"/>
        </w:rPr>
        <w:lastRenderedPageBreak/>
        <w:t xml:space="preserve">Por otro lado, es de precisar que si de los documentos de los cuales se ordena su entrega se advierta información clasificada como confidencial, procederá su entrega en </w:t>
      </w:r>
      <w:r w:rsidRPr="00A51BF6">
        <w:rPr>
          <w:rFonts w:ascii="Palatino Linotype" w:hAnsi="Palatino Linotype" w:cs="Arial"/>
          <w:b/>
        </w:rPr>
        <w:t>versión pública</w:t>
      </w:r>
      <w:r w:rsidRPr="00A51BF6">
        <w:rPr>
          <w:rFonts w:ascii="Palatino Linotype" w:hAnsi="Palatino Linotype" w:cs="Arial"/>
        </w:rPr>
        <w:t xml:space="preserve">; </w:t>
      </w:r>
      <w:r w:rsidRPr="00A51BF6">
        <w:rPr>
          <w:rFonts w:ascii="Palatino Linotype" w:hAnsi="Palatino Linotype" w:cs="Arial"/>
          <w:lang w:eastAsia="es-MX"/>
        </w:rPr>
        <w:t xml:space="preserve">toda vez, que ésta tiene por objeto proteger datos personales, entendiéndose por tales, aquéllos que hacen identificable a una persona física, de conformidad con el ordinal 3, fracción IX de la Ley de Transparencia y Acceso a la Información Pública del Estado de México y Municipios y el artículo 4, fracción XI de la </w:t>
      </w:r>
      <w:r w:rsidRPr="00A51BF6">
        <w:rPr>
          <w:rFonts w:ascii="Palatino Linotype" w:hAnsi="Palatino Linotype" w:cs="Arial"/>
          <w:lang w:val="es-ES"/>
        </w:rPr>
        <w:t>Ley de Protección de Datos Personales en posesión de Sujetos Obligados del Estado de México y Municipios</w:t>
      </w:r>
      <w:r w:rsidRPr="00A51BF6">
        <w:rPr>
          <w:rFonts w:ascii="Palatino Linotype" w:hAnsi="Palatino Linotype" w:cs="Arial"/>
          <w:lang w:eastAsia="es-MX"/>
        </w:rPr>
        <w:t xml:space="preserve">. </w:t>
      </w:r>
    </w:p>
    <w:p w:rsidR="003C6195" w:rsidRPr="00A51BF6" w:rsidRDefault="003C6195" w:rsidP="003C6195">
      <w:pPr>
        <w:autoSpaceDE w:val="0"/>
        <w:autoSpaceDN w:val="0"/>
        <w:adjustRightInd w:val="0"/>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lang w:val="es-ES"/>
        </w:rPr>
        <w:t xml:space="preserve">Siendo importante señalar que, para la elaboración de versiones públicas, es necesario que el Comité de Transparencia del </w:t>
      </w:r>
      <w:r w:rsidRPr="00A51BF6">
        <w:rPr>
          <w:rFonts w:ascii="Palatino Linotype" w:hAnsi="Palatino Linotype" w:cs="Arial"/>
          <w:b/>
          <w:lang w:val="es-ES"/>
        </w:rPr>
        <w:t xml:space="preserve">SUJETO OBLIGADO </w:t>
      </w:r>
      <w:r w:rsidRPr="00A51BF6">
        <w:rPr>
          <w:rFonts w:ascii="Palatino Linotype" w:hAnsi="Palatino Linotype" w:cs="Arial"/>
          <w:lang w:val="es-ES"/>
        </w:rPr>
        <w:t xml:space="preserve">emita el respectivo Acuerdo de Clasificación, debidamente fundado y motivado. </w:t>
      </w:r>
    </w:p>
    <w:p w:rsidR="003C6195" w:rsidRPr="00A51BF6" w:rsidRDefault="003C6195" w:rsidP="003C6195">
      <w:pPr>
        <w:spacing w:before="100" w:beforeAutospacing="1" w:after="100" w:afterAutospacing="1" w:line="360" w:lineRule="auto"/>
        <w:jc w:val="both"/>
        <w:rPr>
          <w:rFonts w:ascii="Palatino Linotype" w:hAnsi="Palatino Linotype" w:cs="Arial"/>
          <w:lang w:eastAsia="es-MX"/>
        </w:rPr>
      </w:pPr>
      <w:r w:rsidRPr="00A51BF6">
        <w:rPr>
          <w:rFonts w:ascii="Palatino Linotype" w:hAnsi="Palatino Linotype" w:cs="Arial"/>
          <w:lang w:eastAsia="es-MX"/>
        </w:rPr>
        <w:t xml:space="preserve">Lo anterior es así, en virtud de que toda la información relativa a una persona física o jurídica colectiva que le pueda hacer identificada o identificable y cuya divulgación no abone a la transparencia, constituye un dato personal, en términos del artículo 4, fracción XI de la </w:t>
      </w:r>
      <w:r w:rsidRPr="00A51BF6">
        <w:rPr>
          <w:rFonts w:ascii="Palatino Linotype" w:hAnsi="Palatino Linotype" w:cs="Arial"/>
          <w:lang w:val="es-ES"/>
        </w:rPr>
        <w:t>Ley de Protección de Datos Personales en Posesión de Sujetos Obligados del Estado de México y Municipios</w:t>
      </w:r>
      <w:r w:rsidRPr="00A51BF6">
        <w:rPr>
          <w:rFonts w:ascii="Palatino Linotype" w:hAnsi="Palatino Linotype" w:cs="Arial"/>
          <w:lang w:eastAsia="es-MX"/>
        </w:rPr>
        <w:t xml:space="preserve">; por consiguiente, se trata de información confidencial que debe ser testada por </w:t>
      </w:r>
      <w:r w:rsidRPr="00A51BF6">
        <w:rPr>
          <w:rFonts w:ascii="Palatino Linotype" w:hAnsi="Palatino Linotype" w:cs="Arial"/>
          <w:b/>
          <w:lang w:eastAsia="es-MX"/>
        </w:rPr>
        <w:t>EL SUJETO OBLIGADO</w:t>
      </w:r>
      <w:r w:rsidRPr="00A51BF6">
        <w:rPr>
          <w:rFonts w:ascii="Palatino Linotype" w:hAnsi="Palatino Linotype" w:cs="Arial"/>
          <w:lang w:eastAsia="es-MX"/>
        </w:rPr>
        <w:t>; por lo que, todo dato personal susceptible de clasificación debe ser protegido.</w:t>
      </w:r>
    </w:p>
    <w:p w:rsidR="003C6195" w:rsidRPr="00A51BF6" w:rsidRDefault="003C6195" w:rsidP="003C6195">
      <w:pPr>
        <w:autoSpaceDE w:val="0"/>
        <w:autoSpaceDN w:val="0"/>
        <w:adjustRightInd w:val="0"/>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rPr>
        <w:t xml:space="preserve">Se consideran datos personales susceptibles de ser clasificados, cualquier información concerniente a una persona física o jurídica colectiva identificada o identificable, establecida en cualquier formato o modalidad y que esté almacenada en alguna base de datos, conforme a lo establecido en la </w:t>
      </w:r>
      <w:r w:rsidRPr="00A51BF6">
        <w:rPr>
          <w:rFonts w:ascii="Palatino Linotype" w:hAnsi="Palatino Linotype" w:cs="Arial"/>
          <w:lang w:val="es-ES"/>
        </w:rPr>
        <w:t>Ley de Protección de Datos Personales en posesión de Sujetos Obligados del Estado de México y Municipios</w:t>
      </w:r>
      <w:r w:rsidRPr="00A51BF6">
        <w:rPr>
          <w:rFonts w:ascii="Palatino Linotype" w:hAnsi="Palatino Linotype" w:cs="Arial"/>
        </w:rPr>
        <w:t xml:space="preserve">; atento a ello, al momento de realizar la versión pública se deben proteger datos personales, que de manera enunciativa más no limitativa puede ser el nombre, Registro Federal de </w:t>
      </w:r>
      <w:r w:rsidRPr="00A51BF6">
        <w:rPr>
          <w:rFonts w:ascii="Palatino Linotype" w:hAnsi="Palatino Linotype" w:cs="Arial"/>
        </w:rPr>
        <w:lastRenderedPageBreak/>
        <w:t>Contribuyentes, Clave Única de Registro de Población, entre otros, ya que en nada abonan a la trasparencia y a la rendición de cuentas</w:t>
      </w:r>
      <w:r w:rsidRPr="00A51BF6">
        <w:rPr>
          <w:rFonts w:ascii="Palatino Linotype" w:hAnsi="Palatino Linotype" w:cs="Arial"/>
          <w:lang w:val="es-ES"/>
        </w:rPr>
        <w:t xml:space="preserve">. </w:t>
      </w:r>
    </w:p>
    <w:p w:rsidR="003C6195" w:rsidRPr="00A51BF6" w:rsidRDefault="003C6195" w:rsidP="003C6195">
      <w:pPr>
        <w:autoSpaceDE w:val="0"/>
        <w:autoSpaceDN w:val="0"/>
        <w:adjustRightInd w:val="0"/>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La finalidad de la </w:t>
      </w:r>
      <w:r w:rsidRPr="00A51BF6">
        <w:rPr>
          <w:rFonts w:ascii="Palatino Linotype" w:hAnsi="Palatino Linotype" w:cs="Arial"/>
          <w:b/>
        </w:rPr>
        <w:t>versión pública</w:t>
      </w:r>
      <w:r w:rsidRPr="00A51BF6">
        <w:rPr>
          <w:rFonts w:ascii="Palatino Linotype" w:hAnsi="Palatino Linotype" w:cs="Arial"/>
        </w:rPr>
        <w:t xml:space="preserve"> de la información, es proteger la vida, integridad, seguridad, patrimonio y privacidad de las personas; de tal manera que, todo aquello que no tenga por objeto proteger lo anterior, es susceptible de ser entregado; en otras palabras, la protección de datos personales y su confidencialidad, es una derivación del derecho a la intimidad.</w:t>
      </w:r>
    </w:p>
    <w:p w:rsidR="003C6195" w:rsidRPr="00A51BF6" w:rsidRDefault="003C6195" w:rsidP="003C6195">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rPr>
        <w:t xml:space="preserve">Por ende, en el presente caso </w:t>
      </w:r>
      <w:r w:rsidRPr="00A51BF6">
        <w:rPr>
          <w:rFonts w:ascii="Palatino Linotype" w:hAnsi="Palatino Linotype" w:cs="Arial"/>
          <w:b/>
        </w:rPr>
        <w:t>EL SUJETO OBLIGADO</w:t>
      </w:r>
      <w:r w:rsidRPr="00A51BF6">
        <w:rPr>
          <w:rFonts w:ascii="Palatino Linotype" w:hAnsi="Palatino Linotype" w:cs="Arial"/>
        </w:rPr>
        <w:t xml:space="preserve"> debe testar los datos referidos con antelación, sin pasar por alto que la clasificación respectiva tiene que cumplirse mediante la forma y formalidades que la ley impone; </w:t>
      </w:r>
      <w:r w:rsidRPr="00A51BF6">
        <w:rPr>
          <w:rFonts w:ascii="Palatino Linotype" w:hAnsi="Palatino Linotype" w:cs="Arial"/>
          <w:lang w:val="es-ES"/>
        </w:rPr>
        <w:t>es</w:t>
      </w:r>
      <w:r w:rsidRPr="00A51BF6">
        <w:rPr>
          <w:rFonts w:ascii="Palatino Linotype" w:hAnsi="Palatino Linotype" w:cs="Arial"/>
        </w:rPr>
        <w:t xml:space="preserve"> decir, mediante el Acuerdo de Clasificación de la Información debidamente fundado y motivado, en términos de los numerales 49, fracción VIII y 132, fracciones I,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 xml:space="preserve">“Artículo 49. </w:t>
      </w:r>
      <w:r w:rsidRPr="00A51BF6">
        <w:rPr>
          <w:rFonts w:ascii="Palatino Linotype" w:hAnsi="Palatino Linotype" w:cs="Arial"/>
          <w:i/>
          <w:sz w:val="22"/>
          <w:szCs w:val="22"/>
          <w:lang w:eastAsia="es-MX"/>
        </w:rPr>
        <w:t>Los Comités de Transparencia tendrán las siguientes atribuciones:</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VIII.</w:t>
      </w:r>
      <w:r w:rsidRPr="00A51BF6">
        <w:rPr>
          <w:rFonts w:ascii="Palatino Linotype" w:hAnsi="Palatino Linotype" w:cs="Arial"/>
          <w:i/>
          <w:sz w:val="22"/>
          <w:szCs w:val="22"/>
          <w:lang w:eastAsia="es-MX"/>
        </w:rPr>
        <w:t xml:space="preserve"> Aprobar, modificar o revocar la clasificación de la información;</w:t>
      </w:r>
    </w:p>
    <w:p w:rsidR="003C6195" w:rsidRPr="00A51BF6" w:rsidRDefault="003C6195"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Artículo 132.</w:t>
      </w:r>
      <w:r w:rsidRPr="00A51BF6">
        <w:rPr>
          <w:rFonts w:ascii="Palatino Linotype" w:hAnsi="Palatino Linotype" w:cs="Arial"/>
          <w:i/>
          <w:sz w:val="22"/>
          <w:szCs w:val="22"/>
          <w:lang w:eastAsia="es-MX"/>
        </w:rPr>
        <w:t xml:space="preserve"> La clasificación de la información se llevará a cabo en el momento en que:</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I.</w:t>
      </w:r>
      <w:r w:rsidRPr="00A51BF6">
        <w:rPr>
          <w:rFonts w:ascii="Palatino Linotype" w:hAnsi="Palatino Linotype" w:cs="Arial"/>
          <w:i/>
          <w:sz w:val="22"/>
          <w:szCs w:val="22"/>
          <w:lang w:eastAsia="es-MX"/>
        </w:rPr>
        <w:t xml:space="preserve"> Se reciba una solicitud de acceso a la información;</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II.</w:t>
      </w:r>
      <w:r w:rsidRPr="00A51BF6">
        <w:rPr>
          <w:rFonts w:ascii="Palatino Linotype" w:hAnsi="Palatino Linotype" w:cs="Arial"/>
          <w:i/>
          <w:sz w:val="22"/>
          <w:szCs w:val="22"/>
          <w:lang w:eastAsia="es-MX"/>
        </w:rPr>
        <w:t xml:space="preserve"> Se determine mediante resolución de autoridad competente; o</w:t>
      </w:r>
    </w:p>
    <w:p w:rsidR="003C6195" w:rsidRPr="00A51BF6" w:rsidRDefault="003C6195" w:rsidP="003C6195">
      <w:pPr>
        <w:ind w:left="851" w:right="902"/>
        <w:jc w:val="both"/>
        <w:rPr>
          <w:rFonts w:ascii="Palatino Linotype" w:hAnsi="Palatino Linotype" w:cs="Arial"/>
          <w:b/>
          <w:i/>
          <w:sz w:val="22"/>
          <w:szCs w:val="22"/>
          <w:lang w:eastAsia="es-MX"/>
        </w:rPr>
      </w:pPr>
      <w:r w:rsidRPr="00A51BF6">
        <w:rPr>
          <w:rFonts w:ascii="Palatino Linotype" w:hAnsi="Palatino Linotype" w:cs="Arial"/>
          <w:i/>
          <w:sz w:val="22"/>
          <w:szCs w:val="22"/>
          <w:lang w:eastAsia="es-MX"/>
        </w:rPr>
        <w:t>III. Se generen versiones públicas para dar cumplimiento a las obligaciones de transparencia previstas en esta Ley.</w:t>
      </w:r>
      <w:r w:rsidRPr="00A51BF6">
        <w:rPr>
          <w:rFonts w:ascii="Palatino Linotype" w:hAnsi="Palatino Linotype" w:cs="Arial"/>
          <w:b/>
          <w:i/>
          <w:sz w:val="22"/>
          <w:szCs w:val="22"/>
          <w:lang w:eastAsia="es-MX"/>
        </w:rPr>
        <w:t>”</w:t>
      </w:r>
    </w:p>
    <w:p w:rsidR="000C7CD9" w:rsidRPr="00A51BF6" w:rsidRDefault="000C7CD9"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Segundo.-</w:t>
      </w:r>
      <w:r w:rsidRPr="00A51BF6">
        <w:rPr>
          <w:rFonts w:ascii="Palatino Linotype" w:hAnsi="Palatino Linotype" w:cs="Arial"/>
          <w:i/>
          <w:sz w:val="22"/>
          <w:szCs w:val="22"/>
          <w:lang w:eastAsia="es-MX"/>
        </w:rPr>
        <w:t xml:space="preserve"> Para efectos de los presentes Lineamientos Generales, se entenderá por:</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lastRenderedPageBreak/>
        <w:t>XVIII.</w:t>
      </w:r>
      <w:r w:rsidRPr="00A51BF6">
        <w:rPr>
          <w:rFonts w:ascii="Palatino Linotype" w:hAnsi="Palatino Linotype" w:cs="Arial"/>
          <w:i/>
          <w:sz w:val="22"/>
          <w:szCs w:val="22"/>
          <w:lang w:eastAsia="es-MX"/>
        </w:rPr>
        <w:t xml:space="preserve"> </w:t>
      </w:r>
      <w:r w:rsidRPr="00A51BF6">
        <w:rPr>
          <w:rFonts w:ascii="Palatino Linotype" w:hAnsi="Palatino Linotype" w:cs="Arial"/>
          <w:b/>
          <w:i/>
          <w:sz w:val="22"/>
          <w:szCs w:val="22"/>
          <w:lang w:eastAsia="es-MX"/>
        </w:rPr>
        <w:t>Versión pública:</w:t>
      </w:r>
      <w:r w:rsidRPr="00A51BF6">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0C7CD9" w:rsidRPr="00A51BF6" w:rsidRDefault="000C7CD9"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Cuarto.</w:t>
      </w:r>
      <w:r w:rsidRPr="00A51BF6">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0C7CD9" w:rsidRPr="00A51BF6" w:rsidRDefault="000C7CD9"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Quinto.</w:t>
      </w:r>
      <w:r w:rsidRPr="00A51BF6">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0C7CD9" w:rsidRPr="00A51BF6" w:rsidRDefault="000C7CD9"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Sexto.</w:t>
      </w:r>
      <w:r w:rsidRPr="00A51BF6">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Séptimo.</w:t>
      </w:r>
      <w:r w:rsidRPr="00A51BF6">
        <w:rPr>
          <w:rFonts w:ascii="Palatino Linotype" w:hAnsi="Palatino Linotype" w:cs="Arial"/>
          <w:i/>
          <w:sz w:val="22"/>
          <w:szCs w:val="22"/>
          <w:lang w:eastAsia="es-MX"/>
        </w:rPr>
        <w:t xml:space="preserve"> La clasificación de la información se llevará a cabo en el momento en que:</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I.</w:t>
      </w:r>
      <w:r w:rsidRPr="00A51BF6">
        <w:rPr>
          <w:rFonts w:ascii="Palatino Linotype" w:hAnsi="Palatino Linotype" w:cs="Arial"/>
          <w:i/>
          <w:sz w:val="22"/>
          <w:szCs w:val="22"/>
          <w:lang w:eastAsia="es-MX"/>
        </w:rPr>
        <w:t xml:space="preserve"> Se reciba una solicitud de acceso a la información;</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II.</w:t>
      </w:r>
      <w:r w:rsidRPr="00A51BF6">
        <w:rPr>
          <w:rFonts w:ascii="Palatino Linotype" w:hAnsi="Palatino Linotype" w:cs="Arial"/>
          <w:i/>
          <w:sz w:val="22"/>
          <w:szCs w:val="22"/>
          <w:lang w:eastAsia="es-MX"/>
        </w:rPr>
        <w:t xml:space="preserve"> Se determine mediante resolución de autoridad competente, o</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III.</w:t>
      </w:r>
      <w:r w:rsidRPr="00A51BF6">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0C7CD9" w:rsidRPr="00A51BF6" w:rsidRDefault="000C7CD9"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Octavo.</w:t>
      </w:r>
      <w:r w:rsidRPr="00A51BF6">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lastRenderedPageBreak/>
        <w:t>Para motivar la clasificación se deberán señalar las razones o circunstancias especiales que lo llevaron a concluir que el caso particular se ajusta al supuesto previsto por la norma legal invocada como fundamento.</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0C7CD9" w:rsidRPr="00A51BF6" w:rsidRDefault="000C7CD9"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Noveno.</w:t>
      </w:r>
      <w:r w:rsidRPr="00A51BF6">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0C7CD9" w:rsidRPr="00A51BF6" w:rsidRDefault="000C7CD9" w:rsidP="003C6195">
      <w:pPr>
        <w:ind w:left="851" w:right="902"/>
        <w:jc w:val="both"/>
        <w:rPr>
          <w:rFonts w:ascii="Palatino Linotype" w:hAnsi="Palatino Linotype" w:cs="Arial"/>
          <w:b/>
          <w:i/>
          <w:sz w:val="22"/>
          <w:szCs w:val="22"/>
          <w:lang w:eastAsia="es-MX"/>
        </w:rPr>
      </w:pP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b/>
          <w:i/>
          <w:sz w:val="22"/>
          <w:szCs w:val="22"/>
          <w:lang w:eastAsia="es-MX"/>
        </w:rPr>
        <w:t>Décimo.</w:t>
      </w:r>
      <w:r w:rsidRPr="00A51BF6">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3C6195" w:rsidRPr="00A51BF6" w:rsidRDefault="003C6195" w:rsidP="003C6195">
      <w:pPr>
        <w:ind w:left="851" w:right="902"/>
        <w:jc w:val="both"/>
        <w:rPr>
          <w:rFonts w:ascii="Palatino Linotype" w:hAnsi="Palatino Linotype" w:cs="Arial"/>
          <w:i/>
          <w:sz w:val="22"/>
          <w:szCs w:val="22"/>
          <w:lang w:eastAsia="es-MX"/>
        </w:rPr>
      </w:pPr>
      <w:r w:rsidRPr="00A51BF6">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3C6195" w:rsidRPr="00A51BF6" w:rsidRDefault="003C6195" w:rsidP="003C6195">
      <w:pPr>
        <w:ind w:left="851" w:right="902"/>
        <w:jc w:val="both"/>
        <w:rPr>
          <w:rFonts w:ascii="Palatino Linotype" w:hAnsi="Palatino Linotype" w:cs="Arial"/>
          <w:b/>
          <w:i/>
          <w:sz w:val="22"/>
          <w:szCs w:val="22"/>
          <w:lang w:eastAsia="es-MX"/>
        </w:rPr>
      </w:pPr>
      <w:r w:rsidRPr="00A51BF6">
        <w:rPr>
          <w:rFonts w:ascii="Palatino Linotype" w:hAnsi="Palatino Linotype" w:cs="Arial"/>
          <w:b/>
          <w:i/>
          <w:sz w:val="22"/>
          <w:szCs w:val="22"/>
          <w:lang w:eastAsia="es-MX"/>
        </w:rPr>
        <w:t>Décimo primero.</w:t>
      </w:r>
      <w:r w:rsidRPr="00A51BF6">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A51BF6">
        <w:rPr>
          <w:rFonts w:ascii="Palatino Linotype" w:hAnsi="Palatino Linotype" w:cs="Arial"/>
          <w:b/>
          <w:i/>
          <w:sz w:val="22"/>
          <w:szCs w:val="22"/>
          <w:lang w:eastAsia="es-MX"/>
        </w:rPr>
        <w:t>”</w:t>
      </w:r>
      <w:r w:rsidR="000C7CD9" w:rsidRPr="00A51BF6">
        <w:rPr>
          <w:rFonts w:ascii="Palatino Linotype" w:hAnsi="Palatino Linotype" w:cs="Arial"/>
          <w:b/>
          <w:i/>
          <w:sz w:val="22"/>
          <w:szCs w:val="22"/>
          <w:lang w:eastAsia="es-MX"/>
        </w:rPr>
        <w:t xml:space="preserve"> </w:t>
      </w:r>
      <w:r w:rsidR="000C7CD9" w:rsidRPr="00A51BF6">
        <w:rPr>
          <w:rFonts w:ascii="Palatino Linotype" w:hAnsi="Palatino Linotype" w:cs="Arial"/>
          <w:i/>
          <w:sz w:val="22"/>
          <w:szCs w:val="22"/>
          <w:lang w:eastAsia="es-MX"/>
        </w:rPr>
        <w:t>(Sic)</w:t>
      </w:r>
    </w:p>
    <w:p w:rsidR="003C6195" w:rsidRPr="00A51BF6" w:rsidRDefault="003C6195" w:rsidP="003C6195">
      <w:pPr>
        <w:spacing w:before="100" w:beforeAutospacing="1" w:after="100" w:afterAutospacing="1" w:line="360" w:lineRule="auto"/>
        <w:jc w:val="both"/>
        <w:rPr>
          <w:rFonts w:ascii="Palatino Linotype" w:hAnsi="Palatino Linotype" w:cs="Arial"/>
          <w:lang w:val="es-ES"/>
        </w:rPr>
      </w:pPr>
      <w:r w:rsidRPr="00A51BF6">
        <w:rPr>
          <w:rFonts w:ascii="Palatino Linotype" w:hAnsi="Palatino Linotype" w:cs="Arial"/>
          <w:lang w:val="es-ES"/>
        </w:rPr>
        <w:t xml:space="preserve">Por lo tanto, la entrega de documentos en su versión pública debe acompañarse necesariamente del Acuerdo del Comité de Transparencia del </w:t>
      </w:r>
      <w:r w:rsidRPr="00A51BF6">
        <w:rPr>
          <w:rFonts w:ascii="Palatino Linotype" w:hAnsi="Palatino Linotype" w:cs="Arial"/>
          <w:b/>
          <w:lang w:val="es-ES"/>
        </w:rPr>
        <w:t xml:space="preserve">SUJETO OBLIGADO </w:t>
      </w:r>
      <w:r w:rsidRPr="00A51BF6">
        <w:rPr>
          <w:rFonts w:ascii="Palatino Linotype" w:hAnsi="Palatino Linotype" w:cs="Arial"/>
          <w:lang w:val="es-ES"/>
        </w:rPr>
        <w:t xml:space="preserve">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w:t>
      </w:r>
      <w:r w:rsidRPr="00A51BF6">
        <w:rPr>
          <w:rFonts w:ascii="Palatino Linotype" w:hAnsi="Palatino Linotype" w:cs="Arial"/>
          <w:lang w:val="es-ES"/>
        </w:rPr>
        <w:lastRenderedPageBreak/>
        <w:t>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0C7CD9" w:rsidRPr="00A51BF6" w:rsidRDefault="000C7CD9" w:rsidP="000C7CD9">
      <w:pPr>
        <w:spacing w:before="100" w:beforeAutospacing="1" w:after="100" w:afterAutospacing="1" w:line="360" w:lineRule="auto"/>
        <w:ind w:right="51"/>
        <w:jc w:val="both"/>
        <w:rPr>
          <w:rFonts w:ascii="Palatino Linotype" w:hAnsi="Palatino Linotype" w:cs="Arial"/>
          <w:color w:val="000000" w:themeColor="text1"/>
          <w:lang w:eastAsia="es-CO"/>
        </w:rPr>
      </w:pPr>
      <w:r w:rsidRPr="00A51BF6">
        <w:rPr>
          <w:rFonts w:ascii="Palatino Linotype" w:hAnsi="Palatino Linotype" w:cs="Arial"/>
          <w:color w:val="000000" w:themeColor="text1"/>
          <w:lang w:eastAsia="es-CO"/>
        </w:rPr>
        <w:t xml:space="preserve">Finalmente, es de señalar que </w:t>
      </w:r>
      <w:r w:rsidRPr="00A51BF6">
        <w:rPr>
          <w:rFonts w:ascii="Palatino Linotype" w:hAnsi="Palatino Linotype" w:cs="Arial"/>
          <w:b/>
          <w:color w:val="000000" w:themeColor="text1"/>
          <w:lang w:eastAsia="es-CO"/>
        </w:rPr>
        <w:t xml:space="preserve">EL RECURRENTE </w:t>
      </w:r>
      <w:r w:rsidRPr="00A51BF6">
        <w:rPr>
          <w:rFonts w:ascii="Palatino Linotype" w:hAnsi="Palatino Linotype" w:cs="Arial"/>
          <w:color w:val="000000" w:themeColor="text1"/>
          <w:lang w:eastAsia="es-CO"/>
        </w:rPr>
        <w:t xml:space="preserve">al solicitar en sus razones o motivos de inconformidad que se sancione al </w:t>
      </w:r>
      <w:r w:rsidRPr="00A51BF6">
        <w:rPr>
          <w:rFonts w:ascii="Palatino Linotype" w:hAnsi="Palatino Linotype" w:cs="Arial"/>
          <w:b/>
          <w:color w:val="000000" w:themeColor="text1"/>
          <w:lang w:eastAsia="es-CO"/>
        </w:rPr>
        <w:t>SUJETO OBLIGADO</w:t>
      </w:r>
      <w:r w:rsidRPr="00A51BF6">
        <w:rPr>
          <w:rFonts w:ascii="Palatino Linotype" w:hAnsi="Palatino Linotype" w:cs="Arial"/>
          <w:color w:val="000000" w:themeColor="text1"/>
          <w:lang w:eastAsia="es-CO"/>
        </w:rPr>
        <w:t xml:space="preserve"> imponiéndosele las medidas de apremio establecidas en las leyes aplicables, es que este Órgano Garante considera importante referir que el recurso de revisión no es el medio para determinar o imponer sanciones a los Sujetos Obligados; por lo que, de conformidad con el artículo 190 de la Ley de Transparencia y Acceso a la Información Pública del Estado de México y Municipios, ordena se dé vista al Titular de la Contraloría Interna y Órgano de Control y Vigilancia de este Instituto a fin de que en ejercicio de sus funciones determine lo conducente.</w:t>
      </w:r>
    </w:p>
    <w:p w:rsidR="003C6195" w:rsidRPr="00A51BF6" w:rsidRDefault="003C6195" w:rsidP="003C6195">
      <w:pPr>
        <w:spacing w:line="360" w:lineRule="auto"/>
        <w:jc w:val="both"/>
        <w:rPr>
          <w:rFonts w:ascii="Palatino Linotype" w:eastAsia="Calibri" w:hAnsi="Palatino Linotype" w:cs="Arial"/>
        </w:rPr>
      </w:pPr>
      <w:r w:rsidRPr="00A51BF6">
        <w:rPr>
          <w:rFonts w:ascii="Palatino Linotype" w:eastAsia="Calibri" w:hAnsi="Palatino Linotype" w:cs="Arial"/>
        </w:rPr>
        <w:t xml:space="preserve">Así, con fundamento en lo prescrito en los artículos 5, párrafos </w:t>
      </w:r>
      <w:r w:rsidRPr="00A51BF6">
        <w:rPr>
          <w:rFonts w:ascii="Palatino Linotype" w:hAnsi="Palatino Linotype"/>
        </w:rPr>
        <w:t xml:space="preserve">vigésimo segundo, vigésimo tercero y vigésimo cuarto, fracciones IV y V </w:t>
      </w:r>
      <w:r w:rsidRPr="00A51BF6">
        <w:rPr>
          <w:rFonts w:ascii="Palatino Linotype" w:eastAsia="Calibri" w:hAnsi="Palatino Linotype" w:cs="Arial"/>
        </w:rPr>
        <w:t xml:space="preserve">de la Constitución Política del Estado Libre y Soberano de México; </w:t>
      </w:r>
      <w:r w:rsidRPr="00A51BF6">
        <w:rPr>
          <w:rFonts w:ascii="Palatino Linotype" w:hAnsi="Palatino Linotype" w:cs="Arial"/>
        </w:rPr>
        <w:t>2, fracción II, 9, 29, 36, fracciones I y II, 176, 178, 179, 181, 185, fracción I, 186 y 188</w:t>
      </w:r>
      <w:r w:rsidRPr="00A51BF6">
        <w:rPr>
          <w:rFonts w:ascii="Palatino Linotype" w:eastAsia="Calibri" w:hAnsi="Palatino Linotype" w:cs="Arial"/>
        </w:rPr>
        <w:t xml:space="preserve"> de la Ley de Transparencia y Acceso a la Información Pública del Estado de México y Municipios, este Pleno:</w:t>
      </w:r>
    </w:p>
    <w:p w:rsidR="00465EE6" w:rsidRPr="00A51BF6" w:rsidRDefault="00DB7FA0" w:rsidP="00C05991">
      <w:pPr>
        <w:spacing w:before="100" w:beforeAutospacing="1" w:after="100" w:afterAutospacing="1" w:line="360" w:lineRule="auto"/>
        <w:jc w:val="center"/>
        <w:rPr>
          <w:rFonts w:ascii="Palatino Linotype" w:eastAsia="Calibri" w:hAnsi="Palatino Linotype" w:cs="Arial"/>
          <w:b/>
          <w:sz w:val="28"/>
        </w:rPr>
      </w:pPr>
      <w:r w:rsidRPr="00A51BF6">
        <w:rPr>
          <w:rFonts w:ascii="Palatino Linotype" w:eastAsia="Calibri" w:hAnsi="Palatino Linotype" w:cs="Arial"/>
          <w:b/>
          <w:sz w:val="28"/>
        </w:rPr>
        <w:t>R E S U E L V E</w:t>
      </w:r>
    </w:p>
    <w:p w:rsidR="003C6195" w:rsidRPr="00A51BF6" w:rsidRDefault="003C6195" w:rsidP="000C7CD9">
      <w:pPr>
        <w:spacing w:before="100" w:beforeAutospacing="1" w:after="100" w:afterAutospacing="1" w:line="360" w:lineRule="auto"/>
        <w:jc w:val="both"/>
        <w:rPr>
          <w:rFonts w:ascii="Palatino Linotype" w:hAnsi="Palatino Linotype" w:cs="Arial"/>
        </w:rPr>
      </w:pPr>
      <w:r w:rsidRPr="00A51BF6">
        <w:rPr>
          <w:rFonts w:ascii="Palatino Linotype" w:hAnsi="Palatino Linotype" w:cs="Arial"/>
          <w:b/>
          <w:bCs/>
          <w:color w:val="222222"/>
          <w:sz w:val="28"/>
          <w:lang w:eastAsia="es-MX"/>
        </w:rPr>
        <w:t>PRIMERO</w:t>
      </w:r>
      <w:r w:rsidRPr="00A51BF6">
        <w:rPr>
          <w:rFonts w:ascii="Palatino Linotype" w:hAnsi="Palatino Linotype" w:cs="Arial"/>
        </w:rPr>
        <w:t xml:space="preserve">. Resultan </w:t>
      </w:r>
      <w:r w:rsidRPr="00A51BF6">
        <w:rPr>
          <w:rFonts w:ascii="Palatino Linotype" w:hAnsi="Palatino Linotype" w:cs="Arial"/>
          <w:b/>
        </w:rPr>
        <w:t>fundadas</w:t>
      </w:r>
      <w:r w:rsidRPr="00A51BF6">
        <w:rPr>
          <w:rFonts w:ascii="Palatino Linotype" w:hAnsi="Palatino Linotype" w:cs="Arial"/>
        </w:rPr>
        <w:t xml:space="preserve"> las razones o motivos de inconformidad planteadas por </w:t>
      </w:r>
      <w:r w:rsidRPr="00A51BF6">
        <w:rPr>
          <w:rFonts w:ascii="Palatino Linotype" w:hAnsi="Palatino Linotype" w:cs="Arial"/>
          <w:b/>
        </w:rPr>
        <w:t>EL RECURRENTE</w:t>
      </w:r>
      <w:r w:rsidRPr="00A51BF6">
        <w:rPr>
          <w:rFonts w:ascii="Palatino Linotype" w:hAnsi="Palatino Linotype" w:cs="Arial"/>
        </w:rPr>
        <w:t xml:space="preserve"> en términos del Considerando </w:t>
      </w:r>
      <w:r w:rsidRPr="00A51BF6">
        <w:rPr>
          <w:rFonts w:ascii="Palatino Linotype" w:hAnsi="Palatino Linotype" w:cs="Arial"/>
          <w:b/>
        </w:rPr>
        <w:t xml:space="preserve">QUINTO </w:t>
      </w:r>
      <w:r w:rsidRPr="00A51BF6">
        <w:rPr>
          <w:rFonts w:ascii="Palatino Linotype" w:hAnsi="Palatino Linotype" w:cs="Arial"/>
        </w:rPr>
        <w:t>de esta Resolución.</w:t>
      </w:r>
    </w:p>
    <w:p w:rsidR="003C6195" w:rsidRPr="00A51BF6" w:rsidRDefault="003C6195" w:rsidP="000C7CD9">
      <w:pPr>
        <w:spacing w:before="100" w:beforeAutospacing="1" w:after="100" w:afterAutospacing="1" w:line="360" w:lineRule="auto"/>
        <w:jc w:val="both"/>
        <w:rPr>
          <w:rFonts w:ascii="Palatino Linotype" w:hAnsi="Palatino Linotype"/>
          <w:shd w:val="clear" w:color="auto" w:fill="FFFFFF"/>
        </w:rPr>
      </w:pPr>
      <w:r w:rsidRPr="00A51BF6">
        <w:rPr>
          <w:rFonts w:ascii="Palatino Linotype" w:hAnsi="Palatino Linotype" w:cs="Arial"/>
          <w:b/>
          <w:bCs/>
          <w:color w:val="222222"/>
          <w:sz w:val="28"/>
          <w:lang w:eastAsia="es-MX"/>
        </w:rPr>
        <w:lastRenderedPageBreak/>
        <w:t>SEGUNDO</w:t>
      </w:r>
      <w:r w:rsidRPr="00A51BF6">
        <w:rPr>
          <w:rFonts w:ascii="Palatino Linotype" w:eastAsia="Calibri" w:hAnsi="Palatino Linotype" w:cs="Arial"/>
          <w:b/>
          <w:bCs/>
        </w:rPr>
        <w:t xml:space="preserve">. </w:t>
      </w:r>
      <w:r w:rsidRPr="00A51BF6">
        <w:rPr>
          <w:rFonts w:ascii="Palatino Linotype" w:eastAsia="Calibri" w:hAnsi="Palatino Linotype" w:cs="Arial"/>
          <w:bCs/>
        </w:rPr>
        <w:t>Se</w:t>
      </w:r>
      <w:r w:rsidRPr="00A51BF6">
        <w:rPr>
          <w:rFonts w:ascii="Palatino Linotype" w:eastAsia="Calibri" w:hAnsi="Palatino Linotype" w:cs="Arial"/>
          <w:b/>
          <w:bCs/>
        </w:rPr>
        <w:t xml:space="preserve"> </w:t>
      </w:r>
      <w:r w:rsidR="00F24EB5" w:rsidRPr="00A51BF6">
        <w:rPr>
          <w:rFonts w:ascii="Palatino Linotype" w:eastAsia="Calibri" w:hAnsi="Palatino Linotype" w:cs="Arial"/>
          <w:b/>
        </w:rPr>
        <w:t>REVOCA</w:t>
      </w:r>
      <w:r w:rsidRPr="00A51BF6">
        <w:rPr>
          <w:rFonts w:ascii="Palatino Linotype" w:eastAsia="Calibri" w:hAnsi="Palatino Linotype" w:cs="Arial"/>
          <w:b/>
        </w:rPr>
        <w:t xml:space="preserve"> </w:t>
      </w:r>
      <w:r w:rsidR="00F24EB5" w:rsidRPr="00A51BF6">
        <w:rPr>
          <w:rFonts w:ascii="Palatino Linotype" w:eastAsia="Calibri" w:hAnsi="Palatino Linotype" w:cs="Arial"/>
        </w:rPr>
        <w:t>la respuesta del</w:t>
      </w:r>
      <w:r w:rsidRPr="00A51BF6">
        <w:rPr>
          <w:rFonts w:ascii="Palatino Linotype" w:eastAsia="Calibri" w:hAnsi="Palatino Linotype" w:cs="Arial"/>
        </w:rPr>
        <w:t xml:space="preserve"> </w:t>
      </w:r>
      <w:r w:rsidRPr="00A51BF6">
        <w:rPr>
          <w:rFonts w:ascii="Palatino Linotype" w:eastAsia="Calibri" w:hAnsi="Palatino Linotype" w:cs="Arial"/>
          <w:b/>
        </w:rPr>
        <w:t xml:space="preserve">SUJETO OBLIGADO </w:t>
      </w:r>
      <w:r w:rsidR="00F24EB5" w:rsidRPr="00A51BF6">
        <w:rPr>
          <w:rFonts w:ascii="Palatino Linotype" w:eastAsia="Calibri" w:hAnsi="Palatino Linotype" w:cs="Arial"/>
        </w:rPr>
        <w:t>y se le ordena a</w:t>
      </w:r>
      <w:r w:rsidRPr="00A51BF6">
        <w:rPr>
          <w:rFonts w:ascii="Palatino Linotype" w:eastAsia="Calibri" w:hAnsi="Palatino Linotype" w:cs="Arial"/>
        </w:rPr>
        <w:t>tienda la solicitud de información</w:t>
      </w:r>
      <w:r w:rsidRPr="00A51BF6">
        <w:t xml:space="preserve"> </w:t>
      </w:r>
      <w:r w:rsidR="00F24EB5" w:rsidRPr="00A51BF6">
        <w:rPr>
          <w:rFonts w:ascii="Palatino Linotype" w:eastAsia="Calibri" w:hAnsi="Palatino Linotype" w:cs="Arial"/>
          <w:b/>
        </w:rPr>
        <w:t>00045</w:t>
      </w:r>
      <w:r w:rsidRPr="00A51BF6">
        <w:rPr>
          <w:rFonts w:ascii="Palatino Linotype" w:eastAsia="Calibri" w:hAnsi="Palatino Linotype" w:cs="Arial"/>
          <w:b/>
        </w:rPr>
        <w:t>/</w:t>
      </w:r>
      <w:r w:rsidR="00F24EB5" w:rsidRPr="00A51BF6">
        <w:rPr>
          <w:rFonts w:ascii="Palatino Linotype" w:eastAsia="Calibri" w:hAnsi="Palatino Linotype" w:cs="Arial"/>
          <w:b/>
        </w:rPr>
        <w:t>ALMORI/I</w:t>
      </w:r>
      <w:r w:rsidRPr="00A51BF6">
        <w:rPr>
          <w:rFonts w:ascii="Palatino Linotype" w:eastAsia="Calibri" w:hAnsi="Palatino Linotype" w:cs="Arial"/>
          <w:b/>
        </w:rPr>
        <w:t>P/2019,</w:t>
      </w:r>
      <w:r w:rsidRPr="00A51BF6">
        <w:rPr>
          <w:rFonts w:ascii="Palatino Linotype" w:hAnsi="Palatino Linotype" w:cs="Arial"/>
        </w:rPr>
        <w:t xml:space="preserve"> en términos del Considerando </w:t>
      </w:r>
      <w:r w:rsidRPr="00A51BF6">
        <w:rPr>
          <w:rFonts w:ascii="Palatino Linotype" w:hAnsi="Palatino Linotype" w:cs="Arial"/>
          <w:b/>
        </w:rPr>
        <w:t>QUINTO</w:t>
      </w:r>
      <w:r w:rsidRPr="00A51BF6">
        <w:rPr>
          <w:rFonts w:ascii="Palatino Linotype" w:hAnsi="Palatino Linotype" w:cs="Arial"/>
        </w:rPr>
        <w:t xml:space="preserve"> y, haga entrega al </w:t>
      </w:r>
      <w:r w:rsidRPr="00A51BF6">
        <w:rPr>
          <w:rFonts w:ascii="Palatino Linotype" w:hAnsi="Palatino Linotype" w:cs="Arial"/>
          <w:b/>
        </w:rPr>
        <w:t>RECURRENTE</w:t>
      </w:r>
      <w:r w:rsidRPr="00A51BF6">
        <w:rPr>
          <w:rFonts w:ascii="Palatino Linotype" w:hAnsi="Palatino Linotype" w:cs="Arial"/>
        </w:rPr>
        <w:t>, vía</w:t>
      </w:r>
      <w:r w:rsidR="001B6120" w:rsidRPr="00A51BF6">
        <w:rPr>
          <w:rFonts w:ascii="Palatino Linotype" w:hAnsi="Palatino Linotype" w:cs="Arial"/>
        </w:rPr>
        <w:t xml:space="preserve"> </w:t>
      </w:r>
      <w:r w:rsidR="001B6120" w:rsidRPr="00A51BF6">
        <w:rPr>
          <w:rFonts w:ascii="Palatino Linotype" w:hAnsi="Palatino Linotype" w:cs="Arial"/>
          <w:b/>
        </w:rPr>
        <w:t xml:space="preserve">SAIMEX </w:t>
      </w:r>
      <w:r w:rsidR="001B6120" w:rsidRPr="00A51BF6">
        <w:rPr>
          <w:rFonts w:ascii="Palatino Linotype" w:hAnsi="Palatino Linotype" w:cs="Arial"/>
        </w:rPr>
        <w:t>y correo electrónico señalado en la solicitud</w:t>
      </w:r>
      <w:r w:rsidRPr="00A51BF6">
        <w:rPr>
          <w:rFonts w:ascii="Palatino Linotype" w:hAnsi="Palatino Linotype" w:cs="Arial"/>
          <w:b/>
        </w:rPr>
        <w:t xml:space="preserve"> </w:t>
      </w:r>
      <w:r w:rsidR="001B6120" w:rsidRPr="00A51BF6">
        <w:rPr>
          <w:rFonts w:ascii="Palatino Linotype" w:hAnsi="Palatino Linotype" w:cs="Arial"/>
          <w:b/>
        </w:rPr>
        <w:t>previa búsqueda exhaustiva y razonable</w:t>
      </w:r>
      <w:r w:rsidR="001B6120" w:rsidRPr="00A51BF6">
        <w:rPr>
          <w:rFonts w:ascii="Palatino Linotype" w:hAnsi="Palatino Linotype" w:cs="Arial"/>
        </w:rPr>
        <w:t xml:space="preserve"> </w:t>
      </w:r>
      <w:r w:rsidRPr="00A51BF6">
        <w:rPr>
          <w:rFonts w:ascii="Palatino Linotype" w:hAnsi="Palatino Linotype" w:cs="Arial"/>
        </w:rPr>
        <w:t xml:space="preserve">de ser procedente en </w:t>
      </w:r>
      <w:r w:rsidRPr="00A51BF6">
        <w:rPr>
          <w:rFonts w:ascii="Palatino Linotype" w:hAnsi="Palatino Linotype" w:cs="Arial"/>
          <w:b/>
        </w:rPr>
        <w:t xml:space="preserve">versión pública </w:t>
      </w:r>
      <w:r w:rsidRPr="00A51BF6">
        <w:rPr>
          <w:rFonts w:ascii="Palatino Linotype" w:hAnsi="Palatino Linotype" w:cs="Arial"/>
        </w:rPr>
        <w:t>al mayor grado de desagregación posible, de los documentos en donde conste lo siguiente</w:t>
      </w:r>
      <w:r w:rsidRPr="00A51BF6">
        <w:rPr>
          <w:rFonts w:ascii="Palatino Linotype" w:hAnsi="Palatino Linotype"/>
          <w:shd w:val="clear" w:color="auto" w:fill="FFFFFF"/>
        </w:rPr>
        <w:t>:</w:t>
      </w:r>
    </w:p>
    <w:p w:rsidR="003C6195" w:rsidRPr="00A51BF6" w:rsidRDefault="003C6195" w:rsidP="003C6195">
      <w:pPr>
        <w:pStyle w:val="Prrafodelista"/>
        <w:ind w:left="644" w:right="902" w:hanging="77"/>
        <w:jc w:val="both"/>
        <w:rPr>
          <w:rFonts w:ascii="Palatino Linotype" w:hAnsi="Palatino Linotype" w:cs="Arial"/>
          <w:i/>
          <w:iCs/>
          <w:sz w:val="22"/>
          <w:szCs w:val="22"/>
          <w:lang w:val="es-ES"/>
        </w:rPr>
      </w:pPr>
      <w:r w:rsidRPr="00A51BF6">
        <w:rPr>
          <w:rFonts w:ascii="Palatino Linotype" w:hAnsi="Palatino Linotype" w:cs="Arial"/>
          <w:i/>
          <w:sz w:val="22"/>
          <w:szCs w:val="22"/>
        </w:rPr>
        <w:t>“1.-</w:t>
      </w:r>
      <w:r w:rsidRPr="00A51BF6">
        <w:rPr>
          <w:rFonts w:ascii="Palatino Linotype" w:eastAsia="Calibri" w:hAnsi="Palatino Linotype" w:cs="Tahoma"/>
          <w:i/>
          <w:iCs/>
          <w:sz w:val="22"/>
          <w:szCs w:val="22"/>
          <w:lang w:val="es-ES" w:eastAsia="es-ES_tradnl"/>
        </w:rPr>
        <w:t>Número de luminarias que se remplazaron en las vías principal y ejes viales (Para referencia de vialidades, ver NOM-013-ENER-2013), vías primarias y colectores, vías secundarias residenciales tipo A, vías secundarias residenciales tipo B, vías residenciales tipo C y áreas verdes, plazas  y techumbres, del periodo de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2.-El número de luminarias por cada una de las vías principal y ejes viales, vías primarias y colectores, vías secundarias residenciales tipo A, vías secundarias residenciales tipo B, vías residenciales tipo C y áreas verdes, plazas  y techumbres, del periodo de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3.- El número de vías principales y ejes viales, vías primarias y colectores, vías secundarias residenciales tipo A, vías secundarias residenciales tipo B, vías residenciales tipo C y áreas verdes, plazas y techumbres del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4.-El número de luminarias sustituidas por cada una de las vías señaladas en el punto anterior de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 xml:space="preserve">5.-El monto de facturación mensual por concepto de pago de alumbrado público del </w:t>
      </w:r>
      <w:r w:rsidRPr="00A51BF6">
        <w:rPr>
          <w:rFonts w:ascii="Palatino Linotype" w:hAnsi="Palatino Linotype" w:cs="Arial"/>
          <w:i/>
          <w:iCs/>
          <w:sz w:val="22"/>
          <w:szCs w:val="22"/>
        </w:rPr>
        <w:t>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rPr>
      </w:pPr>
      <w:r w:rsidRPr="00A51BF6">
        <w:rPr>
          <w:rFonts w:ascii="Palatino Linotype" w:hAnsi="Palatino Linotype" w:cs="Arial"/>
          <w:i/>
          <w:iCs/>
          <w:sz w:val="22"/>
          <w:szCs w:val="22"/>
        </w:rPr>
        <w:t xml:space="preserve">6.-La cantidad recaudada por concepto de derechos de alumbrado público </w:t>
      </w:r>
      <w:r w:rsidRPr="00A51BF6">
        <w:rPr>
          <w:rFonts w:ascii="Palatino Linotype" w:hAnsi="Palatino Linotype" w:cs="Arial"/>
          <w:i/>
          <w:iCs/>
          <w:sz w:val="22"/>
          <w:szCs w:val="22"/>
          <w:lang w:val="es-ES"/>
        </w:rPr>
        <w:t xml:space="preserve">del </w:t>
      </w:r>
      <w:r w:rsidRPr="00A51BF6">
        <w:rPr>
          <w:rFonts w:ascii="Palatino Linotype" w:hAnsi="Palatino Linotype" w:cs="Arial"/>
          <w:i/>
          <w:iCs/>
          <w:sz w:val="22"/>
          <w:szCs w:val="22"/>
        </w:rPr>
        <w:t>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rPr>
      </w:pPr>
      <w:r w:rsidRPr="00A51BF6">
        <w:rPr>
          <w:rFonts w:ascii="Palatino Linotype" w:hAnsi="Palatino Linotype" w:cs="Arial"/>
          <w:i/>
          <w:iCs/>
          <w:sz w:val="22"/>
          <w:szCs w:val="22"/>
        </w:rPr>
        <w:t>7.-El monto de adeudo y fecha de pago por consumo de energía eléctrica en el alumbrado público ante la CFE en el Municipio o cualquier otra empresa del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rPr>
      </w:pPr>
      <w:r w:rsidRPr="00A51BF6">
        <w:rPr>
          <w:rFonts w:ascii="Palatino Linotype" w:hAnsi="Palatino Linotype" w:cs="Arial"/>
          <w:i/>
          <w:iCs/>
          <w:sz w:val="22"/>
          <w:szCs w:val="22"/>
        </w:rPr>
        <w:t>8.- Diferencia entre facturación y DAP, del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rPr>
      </w:pPr>
      <w:r w:rsidRPr="00A51BF6">
        <w:rPr>
          <w:rFonts w:ascii="Palatino Linotype" w:hAnsi="Palatino Linotype" w:cs="Arial"/>
          <w:i/>
          <w:iCs/>
          <w:sz w:val="22"/>
          <w:szCs w:val="22"/>
        </w:rPr>
        <w:t>9.- Saldo a favor del Municipio por concepto de alumbrado público, del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rPr>
        <w:t>10.-</w:t>
      </w:r>
      <w:r w:rsidRPr="00A51BF6">
        <w:rPr>
          <w:rFonts w:ascii="Palatino Linotype" w:hAnsi="Palatino Linotype" w:cs="Arial"/>
          <w:i/>
          <w:iCs/>
          <w:sz w:val="22"/>
          <w:szCs w:val="22"/>
          <w:lang w:val="es-ES"/>
        </w:rPr>
        <w:t xml:space="preserve"> Los estados de cuenta, recibos o avisos emitidos mes con mes por la CFE del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rPr>
        <w:t xml:space="preserve">11.- </w:t>
      </w:r>
      <w:r w:rsidRPr="00A51BF6">
        <w:rPr>
          <w:rFonts w:ascii="Palatino Linotype" w:hAnsi="Palatino Linotype" w:cs="Arial"/>
          <w:i/>
          <w:iCs/>
          <w:sz w:val="22"/>
          <w:szCs w:val="22"/>
          <w:lang w:val="es-ES"/>
        </w:rPr>
        <w:t xml:space="preserve">El número de empresas participantes en alguna licitación, que cumplieron con las más de cien mil horas de vida útil del luminario solicitado; así como, los certificados de </w:t>
      </w:r>
      <w:r w:rsidRPr="00A51BF6">
        <w:rPr>
          <w:rFonts w:ascii="Palatino Linotype" w:hAnsi="Palatino Linotype" w:cs="Arial"/>
          <w:i/>
          <w:iCs/>
          <w:sz w:val="22"/>
          <w:szCs w:val="22"/>
          <w:lang w:val="es-ES"/>
        </w:rPr>
        <w:lastRenderedPageBreak/>
        <w:t>cumplimiento (prueba de las seis mil horas) y propuestas económicas del 1 de enero de 2014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12.- La tecnología, marca y potencia de las luminarias remplazadas, del 1 de enero de 2016 al 23 de abril de 2019, así como el número de lámparas, desglosadas por potencia y tecnología a sustituir;</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13.- El número de lámparas sustituidas por tecnología LED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14.- Las bases de licitación que se publicaron y que sirvieron de base para el reemplazo de las luminarias de alumbrado público del 1 de enero de 2016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15.- El Número de quejas presentadas por inconformidades en el alumbrado público</w:t>
      </w:r>
      <w:r w:rsidRPr="00A51BF6">
        <w:t xml:space="preserve"> </w:t>
      </w:r>
      <w:r w:rsidRPr="00A51BF6">
        <w:rPr>
          <w:rFonts w:ascii="Palatino Linotype" w:hAnsi="Palatino Linotype" w:cs="Arial"/>
          <w:i/>
          <w:iCs/>
          <w:sz w:val="22"/>
          <w:szCs w:val="22"/>
          <w:lang w:val="es-ES"/>
        </w:rPr>
        <w:t>a partir de la sustitución de la Tecnología LED en el municipio.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iCs/>
          <w:sz w:val="22"/>
          <w:szCs w:val="22"/>
          <w:lang w:val="es-ES"/>
        </w:rPr>
        <w:t>16.-El número de luminarias LED, donadas por el Gobierno del Estado, del 1 de enero de 2016 al 23 de abril de 2019, en el que se refiera la ubicación, potencia, cantidad, marca y modelo;</w:t>
      </w:r>
    </w:p>
    <w:p w:rsidR="003C6195" w:rsidRPr="00A51BF6" w:rsidRDefault="003C6195" w:rsidP="003C6195">
      <w:pPr>
        <w:pStyle w:val="Prrafodelista"/>
        <w:ind w:left="644" w:right="902"/>
        <w:jc w:val="both"/>
        <w:rPr>
          <w:rFonts w:ascii="Palatino Linotype" w:hAnsi="Palatino Linotype" w:cs="Arial"/>
          <w:i/>
          <w:sz w:val="22"/>
          <w:szCs w:val="22"/>
        </w:rPr>
      </w:pPr>
      <w:r w:rsidRPr="00A51BF6">
        <w:rPr>
          <w:rFonts w:ascii="Palatino Linotype" w:hAnsi="Palatino Linotype" w:cs="Arial"/>
          <w:i/>
          <w:sz w:val="22"/>
          <w:szCs w:val="22"/>
        </w:rPr>
        <w:t xml:space="preserve">17.-El importe por </w:t>
      </w:r>
      <w:r w:rsidRPr="00A51BF6">
        <w:rPr>
          <w:rFonts w:ascii="Palatino Linotype" w:hAnsi="Palatino Linotype" w:cs="Arial"/>
          <w:i/>
          <w:sz w:val="22"/>
          <w:szCs w:val="22"/>
          <w:lang w:eastAsia="es-MX"/>
        </w:rPr>
        <w:t>concepto</w:t>
      </w:r>
      <w:r w:rsidRPr="00A51BF6">
        <w:rPr>
          <w:rFonts w:ascii="Palatino Linotype" w:hAnsi="Palatino Linotype" w:cs="Arial"/>
          <w:i/>
          <w:sz w:val="22"/>
          <w:szCs w:val="22"/>
        </w:rPr>
        <w:t xml:space="preserve"> de alumbrado público facturado por la CFE al Municipio de forma mensual o bimestral, por el periodo comprendido del 1 de enero de 2013 al 23 de abril de 2019.</w:t>
      </w:r>
    </w:p>
    <w:p w:rsidR="003C6195" w:rsidRPr="00A51BF6" w:rsidRDefault="003C6195" w:rsidP="003C6195">
      <w:pPr>
        <w:pStyle w:val="Prrafodelista"/>
        <w:ind w:left="644" w:right="902"/>
        <w:jc w:val="both"/>
        <w:rPr>
          <w:rFonts w:ascii="Palatino Linotype" w:hAnsi="Palatino Linotype" w:cs="Arial"/>
          <w:i/>
          <w:sz w:val="22"/>
          <w:szCs w:val="22"/>
        </w:rPr>
      </w:pPr>
      <w:r w:rsidRPr="00A51BF6">
        <w:rPr>
          <w:rFonts w:ascii="Palatino Linotype" w:hAnsi="Palatino Linotype" w:cs="Arial"/>
          <w:i/>
          <w:sz w:val="22"/>
          <w:szCs w:val="22"/>
        </w:rPr>
        <w:t>18.-La cantidad adeudada por concepto de alumbrado público al 23 de abril de 2019, así como, montos acumulados y fecha desde la cual no se ha realizado pago alguno.</w:t>
      </w:r>
    </w:p>
    <w:p w:rsidR="003C6195" w:rsidRPr="00A51BF6" w:rsidRDefault="003C6195" w:rsidP="003C6195">
      <w:pPr>
        <w:pStyle w:val="Prrafodelista"/>
        <w:ind w:left="644" w:right="902"/>
        <w:jc w:val="both"/>
        <w:rPr>
          <w:rFonts w:ascii="Palatino Linotype" w:hAnsi="Palatino Linotype" w:cs="Arial"/>
          <w:i/>
          <w:sz w:val="22"/>
          <w:szCs w:val="22"/>
        </w:rPr>
      </w:pPr>
      <w:r w:rsidRPr="00A51BF6">
        <w:rPr>
          <w:rFonts w:ascii="Palatino Linotype" w:hAnsi="Palatino Linotype" w:cs="Arial"/>
          <w:i/>
          <w:sz w:val="22"/>
          <w:szCs w:val="22"/>
        </w:rPr>
        <w:t>19.-. Las partidas presupuestales y el monto erogado por concepto de consumo de energía eléctrica, así como, de mantenimiento del sistema de alumbrado público; del 1 de enero de 2013 al 23 de abril de 2019.</w:t>
      </w:r>
    </w:p>
    <w:p w:rsidR="003C6195" w:rsidRPr="00A51BF6" w:rsidRDefault="003C6195" w:rsidP="003C6195">
      <w:pPr>
        <w:pStyle w:val="Prrafodelista"/>
        <w:ind w:left="644" w:right="902"/>
        <w:jc w:val="both"/>
        <w:rPr>
          <w:rFonts w:ascii="Palatino Linotype" w:hAnsi="Palatino Linotype" w:cs="Arial"/>
          <w:i/>
          <w:sz w:val="22"/>
          <w:szCs w:val="22"/>
        </w:rPr>
      </w:pPr>
      <w:r w:rsidRPr="00A51BF6">
        <w:rPr>
          <w:rFonts w:ascii="Palatino Linotype" w:hAnsi="Palatino Linotype" w:cs="Arial"/>
          <w:i/>
          <w:sz w:val="22"/>
          <w:szCs w:val="22"/>
        </w:rPr>
        <w:t>20.- La o las partidas presupuestales que se utilizaron y los montos que se pagaron por mes para cubrir la factura por concepto de consumo de energía eléctrica en el sistema de alumbrado público municipal del 1 de enero de 2013 al 23 de abril de 2019.</w:t>
      </w:r>
    </w:p>
    <w:p w:rsidR="003C6195" w:rsidRPr="00A51BF6" w:rsidRDefault="003C6195" w:rsidP="003C6195">
      <w:pPr>
        <w:pStyle w:val="Prrafodelista"/>
        <w:ind w:left="644" w:right="902"/>
        <w:jc w:val="both"/>
        <w:rPr>
          <w:rFonts w:ascii="Palatino Linotype" w:hAnsi="Palatino Linotype" w:cs="Arial"/>
          <w:i/>
          <w:sz w:val="22"/>
          <w:szCs w:val="22"/>
        </w:rPr>
      </w:pPr>
      <w:r w:rsidRPr="00A51BF6">
        <w:rPr>
          <w:rFonts w:ascii="Palatino Linotype" w:hAnsi="Palatino Linotype" w:cs="Arial"/>
          <w:i/>
          <w:sz w:val="22"/>
          <w:szCs w:val="22"/>
        </w:rPr>
        <w:t>21. Los lugares (avenidas y calles) y número de luminarias que fueron sustituidas, arregladas o transformadas, derivado del mantenimiento preventivo o correctivo del sistema de alumbrado público; así como, sus características, del periodo comprendido del 01 de enero de 2013 al 23 de abril de 2019.</w:t>
      </w:r>
    </w:p>
    <w:p w:rsidR="003C6195" w:rsidRPr="00A51BF6" w:rsidRDefault="003C6195" w:rsidP="003C6195">
      <w:pPr>
        <w:pStyle w:val="Prrafodelista"/>
        <w:ind w:left="644" w:right="902"/>
        <w:jc w:val="both"/>
        <w:rPr>
          <w:rFonts w:ascii="Palatino Linotype" w:hAnsi="Palatino Linotype" w:cs="Arial"/>
          <w:i/>
          <w:sz w:val="22"/>
          <w:szCs w:val="22"/>
        </w:rPr>
      </w:pPr>
      <w:r w:rsidRPr="00A51BF6">
        <w:rPr>
          <w:rFonts w:ascii="Palatino Linotype" w:hAnsi="Palatino Linotype" w:cs="Arial"/>
          <w:i/>
          <w:sz w:val="22"/>
          <w:szCs w:val="22"/>
        </w:rPr>
        <w:t>22.- El número de licitaciones para el cambio de luminarias de alumbrado público que se llevaron a cabo por del 1 de enero de 2016 al 23 de abril de 2019.</w:t>
      </w:r>
    </w:p>
    <w:p w:rsidR="003C6195" w:rsidRPr="00A51BF6" w:rsidRDefault="003C6195" w:rsidP="003C6195">
      <w:pPr>
        <w:pStyle w:val="Prrafodelista"/>
        <w:ind w:left="644" w:right="902"/>
        <w:jc w:val="both"/>
        <w:rPr>
          <w:rFonts w:ascii="Palatino Linotype" w:hAnsi="Palatino Linotype" w:cs="Arial"/>
          <w:i/>
          <w:iCs/>
          <w:sz w:val="22"/>
          <w:szCs w:val="22"/>
          <w:lang w:val="es-ES"/>
        </w:rPr>
      </w:pPr>
      <w:r w:rsidRPr="00A51BF6">
        <w:rPr>
          <w:rFonts w:ascii="Palatino Linotype" w:hAnsi="Palatino Linotype" w:cs="Arial"/>
          <w:i/>
          <w:sz w:val="22"/>
          <w:szCs w:val="22"/>
        </w:rPr>
        <w:t>23. De los censos de alumbrado público de los ejercicios 2016, 2017, 2018  y el último generado al 23 de abril de 2019, o documento análogo en el que se advierta:</w:t>
      </w:r>
    </w:p>
    <w:p w:rsidR="003C6195" w:rsidRPr="00A51BF6" w:rsidRDefault="003C6195" w:rsidP="00625F9A">
      <w:pPr>
        <w:pStyle w:val="Prrafodelista"/>
        <w:numPr>
          <w:ilvl w:val="0"/>
          <w:numId w:val="9"/>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La cantidad de luminarias y balastros instalados, tipo de equipo, capacidad (potencia), ubicación (calle y/o colonia y/o delegación) y tipo de poste en el que se encuentre (lámina, concreto, madera u otro), así como la cantidad de luminarias y balastros instalados que poseen equipo de medición, indicando el tipo de equipo y capacidad.</w:t>
      </w:r>
    </w:p>
    <w:p w:rsidR="003C6195" w:rsidRPr="00A51BF6" w:rsidRDefault="003C6195" w:rsidP="00625F9A">
      <w:pPr>
        <w:pStyle w:val="Prrafodelista"/>
        <w:numPr>
          <w:ilvl w:val="0"/>
          <w:numId w:val="9"/>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El Registro Móvil de Usuario (RMU) asignado al servicio de alumbrado público.</w:t>
      </w:r>
    </w:p>
    <w:p w:rsidR="003C6195" w:rsidRPr="00A51BF6" w:rsidRDefault="003C6195" w:rsidP="003C6195">
      <w:pPr>
        <w:tabs>
          <w:tab w:val="left" w:pos="8222"/>
        </w:tabs>
        <w:ind w:left="709" w:right="899"/>
        <w:jc w:val="both"/>
        <w:rPr>
          <w:rFonts w:ascii="Palatino Linotype" w:hAnsi="Palatino Linotype" w:cs="Arial"/>
          <w:i/>
          <w:sz w:val="22"/>
          <w:szCs w:val="22"/>
        </w:rPr>
      </w:pPr>
      <w:r w:rsidRPr="00A51BF6">
        <w:rPr>
          <w:rFonts w:ascii="Palatino Linotype" w:hAnsi="Palatino Linotype" w:cs="Arial"/>
          <w:i/>
          <w:sz w:val="22"/>
          <w:szCs w:val="22"/>
        </w:rPr>
        <w:lastRenderedPageBreak/>
        <w:t>24.- Derivado de las licitaciones realizadas en el periodo del 1 de enero de 2016 al 23 de abril de 2019, el número de luminarias que se cambiaron por tecnología LED, la potencia en Watts y las vialidades y colonias en que se instalaron.</w:t>
      </w:r>
    </w:p>
    <w:p w:rsidR="003C6195" w:rsidRPr="00A51BF6" w:rsidRDefault="003C6195" w:rsidP="003C6195">
      <w:pPr>
        <w:tabs>
          <w:tab w:val="left" w:pos="8222"/>
        </w:tabs>
        <w:ind w:left="709" w:right="899"/>
        <w:jc w:val="both"/>
        <w:rPr>
          <w:rFonts w:ascii="Palatino Linotype" w:hAnsi="Palatino Linotype" w:cs="Arial"/>
          <w:i/>
          <w:sz w:val="22"/>
          <w:szCs w:val="22"/>
        </w:rPr>
      </w:pPr>
      <w:r w:rsidRPr="00A51BF6">
        <w:rPr>
          <w:rFonts w:ascii="Palatino Linotype" w:hAnsi="Palatino Linotype" w:cs="Arial"/>
          <w:i/>
          <w:sz w:val="22"/>
          <w:szCs w:val="22"/>
        </w:rPr>
        <w:t>25.- Del censo anterior al censo más reciente de luminarias y balastros del sistema de alumbrado público municipal que exista en el Municipio, que contenga la siguiente información:</w:t>
      </w:r>
    </w:p>
    <w:p w:rsidR="003C6195" w:rsidRPr="00A51BF6" w:rsidRDefault="003C6195" w:rsidP="003C6195">
      <w:pPr>
        <w:tabs>
          <w:tab w:val="left" w:pos="8222"/>
        </w:tabs>
        <w:ind w:left="1418" w:right="899"/>
        <w:jc w:val="both"/>
        <w:rPr>
          <w:rFonts w:ascii="Palatino Linotype" w:hAnsi="Palatino Linotype" w:cs="Arial"/>
          <w:i/>
          <w:sz w:val="22"/>
          <w:szCs w:val="22"/>
        </w:rPr>
      </w:pPr>
      <w:r w:rsidRPr="00A51BF6">
        <w:rPr>
          <w:rFonts w:ascii="Palatino Linotype" w:hAnsi="Palatino Linotype" w:cs="Arial"/>
          <w:i/>
          <w:sz w:val="22"/>
          <w:szCs w:val="22"/>
        </w:rPr>
        <w:t>a) La cantidad de luminarias y balastros, el tipo de equipos, la capacidad (potencia), la ubicación (calle y/o colonia y/o delegación) y el tipo de poste en el que están montadas las luminarias (lámina, concreto, madera, etcétera).</w:t>
      </w:r>
    </w:p>
    <w:p w:rsidR="003C6195" w:rsidRPr="00A51BF6" w:rsidRDefault="003C6195" w:rsidP="003C6195">
      <w:pPr>
        <w:tabs>
          <w:tab w:val="left" w:pos="8222"/>
        </w:tabs>
        <w:ind w:left="1418" w:right="899"/>
        <w:jc w:val="both"/>
        <w:rPr>
          <w:rFonts w:ascii="Palatino Linotype" w:hAnsi="Palatino Linotype" w:cs="Arial"/>
          <w:i/>
          <w:sz w:val="22"/>
          <w:szCs w:val="22"/>
        </w:rPr>
      </w:pPr>
      <w:r w:rsidRPr="00A51BF6">
        <w:rPr>
          <w:rFonts w:ascii="Palatino Linotype" w:hAnsi="Palatino Linotype" w:cs="Arial"/>
          <w:i/>
          <w:sz w:val="22"/>
          <w:szCs w:val="22"/>
        </w:rPr>
        <w:t>b) El Registro Móvil de Usuario  asignado (s) al servicio de alumbrado público municipal tanto del servicio estimado como del servicio medido.</w:t>
      </w:r>
    </w:p>
    <w:p w:rsidR="003C6195" w:rsidRPr="00A51BF6" w:rsidRDefault="003C6195" w:rsidP="003C6195">
      <w:pPr>
        <w:tabs>
          <w:tab w:val="left" w:pos="8222"/>
        </w:tabs>
        <w:ind w:left="709" w:right="899"/>
        <w:jc w:val="both"/>
        <w:rPr>
          <w:rFonts w:ascii="Palatino Linotype" w:hAnsi="Palatino Linotype" w:cs="Arial"/>
          <w:i/>
          <w:sz w:val="22"/>
          <w:szCs w:val="22"/>
        </w:rPr>
      </w:pPr>
      <w:r w:rsidRPr="00A51BF6">
        <w:rPr>
          <w:rFonts w:ascii="Palatino Linotype" w:hAnsi="Palatino Linotype" w:cs="Arial"/>
          <w:i/>
          <w:sz w:val="22"/>
          <w:szCs w:val="22"/>
        </w:rPr>
        <w:t xml:space="preserve">26. De los proyectos de electrificación para ampliar el sistema de alumbrado público y ofrecer este servicio a la comunidad, por el periodo comprendido del 1 de enero de 2013 al 23 de abril de 2019: </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El monto total de la inversión.</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La fuente de financiamiento.</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La cantidad de equipos colocados y/o sustituidos.</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El tipo de equipos (Led, VSAP, suburbana, etcétera).</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 xml:space="preserve">La capacidad (potencia). </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 xml:space="preserve">La ubicación (calle, colonia y/o delegación). </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La fecha de inicio y término de obra.</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La fecha de modificación de su nuevo consumo en el sistema de facturación del alumbrado público ante CFE.</w:t>
      </w:r>
    </w:p>
    <w:p w:rsidR="003C6195" w:rsidRPr="00A51BF6" w:rsidRDefault="003C6195" w:rsidP="00625F9A">
      <w:pPr>
        <w:pStyle w:val="Prrafodelista"/>
        <w:numPr>
          <w:ilvl w:val="0"/>
          <w:numId w:val="10"/>
        </w:numPr>
        <w:tabs>
          <w:tab w:val="left" w:pos="8222"/>
        </w:tabs>
        <w:ind w:left="1701" w:right="899" w:hanging="283"/>
        <w:contextualSpacing/>
        <w:jc w:val="both"/>
        <w:rPr>
          <w:rFonts w:ascii="Palatino Linotype" w:hAnsi="Palatino Linotype" w:cs="Arial"/>
          <w:i/>
          <w:sz w:val="22"/>
          <w:szCs w:val="22"/>
        </w:rPr>
      </w:pPr>
      <w:r w:rsidRPr="00A51BF6">
        <w:rPr>
          <w:rFonts w:ascii="Palatino Linotype" w:hAnsi="Palatino Linotype" w:cs="Arial"/>
          <w:i/>
          <w:sz w:val="22"/>
          <w:szCs w:val="22"/>
        </w:rPr>
        <w:t>Medio de publicación de los proyectos.</w:t>
      </w:r>
    </w:p>
    <w:p w:rsidR="003C6195" w:rsidRPr="00A51BF6" w:rsidRDefault="003C6195" w:rsidP="003C6195">
      <w:pPr>
        <w:tabs>
          <w:tab w:val="left" w:pos="7655"/>
        </w:tabs>
        <w:ind w:left="720"/>
        <w:jc w:val="both"/>
        <w:rPr>
          <w:rFonts w:ascii="Palatino Linotype" w:hAnsi="Palatino Linotype" w:cs="Arial"/>
          <w:i/>
          <w:sz w:val="22"/>
          <w:szCs w:val="22"/>
        </w:rPr>
      </w:pP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27. De los proyectos parciales o totales de modernización de alumbrado público para generar eficacia</w:t>
      </w:r>
      <w:r w:rsidRPr="00A51BF6">
        <w:t xml:space="preserve"> </w:t>
      </w:r>
      <w:r w:rsidRPr="00A51BF6">
        <w:rPr>
          <w:rFonts w:ascii="Palatino Linotype" w:hAnsi="Palatino Linotype" w:cs="Arial"/>
          <w:i/>
          <w:sz w:val="22"/>
          <w:szCs w:val="22"/>
        </w:rPr>
        <w:t>energética en sus consumos del 1 de enero de 2013 al 23 de abril de 2019:</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El monto total de la inversión.</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 xml:space="preserve">La fuente de financiamiento. </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La cantidad de equipos colocados y/o sustituidos.</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El tipo de equipos (Led, VSAP, suburbana, etcétera).</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La capacidad (potencia).</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 xml:space="preserve">La ubicación (calle, colonia y/o delegación). </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La fecha de inicio y término de obra.</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La georreferenciación de cada uno de los puntos de luz del nuevo alumbrado público.</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cs="Arial"/>
          <w:i/>
          <w:sz w:val="22"/>
          <w:szCs w:val="22"/>
        </w:rPr>
        <w:t>La fecha de modificación de su nuevo consumo en el sistema de facturación del alumbrado público ante CFE.</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i/>
          <w:sz w:val="22"/>
          <w:szCs w:val="22"/>
        </w:rPr>
        <w:t>El tipo de contrato celebrado para la adquisición de los nuevos equipos.</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i/>
          <w:sz w:val="22"/>
          <w:szCs w:val="22"/>
        </w:rPr>
        <w:lastRenderedPageBreak/>
        <w:t>Número y nombre de las empresas concursantes o convocadas.</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i/>
          <w:sz w:val="22"/>
          <w:szCs w:val="22"/>
        </w:rPr>
        <w:t>Los criterios de selección, utilizados para elegir a la empresa contratada y para realizar la modernización del sistema de alumbrado público.</w:t>
      </w:r>
    </w:p>
    <w:p w:rsidR="003C6195" w:rsidRPr="00A51BF6" w:rsidRDefault="003C6195" w:rsidP="00625F9A">
      <w:pPr>
        <w:pStyle w:val="Prrafodelista"/>
        <w:numPr>
          <w:ilvl w:val="0"/>
          <w:numId w:val="11"/>
        </w:numPr>
        <w:ind w:left="1701" w:right="1466" w:hanging="283"/>
        <w:contextualSpacing/>
        <w:jc w:val="both"/>
        <w:rPr>
          <w:rFonts w:ascii="Palatino Linotype" w:hAnsi="Palatino Linotype" w:cs="Arial"/>
          <w:i/>
          <w:sz w:val="22"/>
          <w:szCs w:val="22"/>
        </w:rPr>
      </w:pPr>
      <w:r w:rsidRPr="00A51BF6">
        <w:rPr>
          <w:rFonts w:ascii="Palatino Linotype" w:hAnsi="Palatino Linotype"/>
          <w:i/>
          <w:sz w:val="22"/>
          <w:szCs w:val="22"/>
        </w:rPr>
        <w:t xml:space="preserve">Las actas de cabildo en la que se autorizó el proyecto. </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28. El número de solicitudes ciudadanas realizadas al municipio para ampliar el sistema de alumbrado público mediante proyectos de electrificación, por el periodo comprendido del 1 de enero de 2013 al 23 de abril de 2019.</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29. El número de solicitudes ciudadanas que fueron atendidas; así como concluidas para ampliar el sistema de alumbrado público, por el periodo comprendido del 1 de enero de 2013 al 23 de abril de 2019.</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30. El contrato de prestación de servicios por concepto de suministro de energía eléctrica por parte de la CFE al Municipio, vigente al 23 de abril de 2019.</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31. El convenio de “Peso por Peso” celebrado entre la CFE y el municipio, vigente al 23 de abril de 2019.</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32. El convenio para recaudar el Derecho de Alumbrado Público “DAP” firmado entre la CFE y el Ayuntamiento. Así como la recaudación (monto) reportado por CFE al Ayuntamiento del periodo que comprende del 1 de enero de 2013 al 23 de abril de 2019.</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33. El número de juicios y/o controversias promovidos por particulares en contra del Municipio por el cobro del derecho por servicio de Alumbrado Público, durante el periodo comprendido del 1 de enero de 2013 al 23 de abril de 2019.</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34. El sentido de la resolución o sentencia de los juicios y/o controversias promovidos por particulares en contra del Municipio por el cobro indebido del derecho al servicio de Alumbrado Público, que se encuentren concluidos del 1 de enero de 2013 al 23 de abril de 2019.</w:t>
      </w:r>
    </w:p>
    <w:p w:rsidR="003C6195" w:rsidRPr="00A51BF6" w:rsidRDefault="003C6195" w:rsidP="003C6195">
      <w:pPr>
        <w:pStyle w:val="Prrafodelista"/>
        <w:ind w:left="851" w:right="902"/>
        <w:jc w:val="both"/>
        <w:rPr>
          <w:rFonts w:ascii="Palatino Linotype" w:hAnsi="Palatino Linotype" w:cs="Arial"/>
          <w:i/>
          <w:sz w:val="22"/>
          <w:szCs w:val="22"/>
        </w:rPr>
      </w:pPr>
      <w:r w:rsidRPr="00A51BF6">
        <w:rPr>
          <w:rFonts w:ascii="Palatino Linotype" w:hAnsi="Palatino Linotype" w:cs="Arial"/>
          <w:i/>
          <w:sz w:val="22"/>
          <w:szCs w:val="22"/>
        </w:rPr>
        <w:t xml:space="preserve">35. Las normas vigentes al 23 de abril de 2019 que el Municipio sigue para la operación y prestación del servicio de alumbrado público. </w:t>
      </w:r>
    </w:p>
    <w:p w:rsidR="003C6195" w:rsidRPr="00A51BF6" w:rsidRDefault="003C6195" w:rsidP="003C6195">
      <w:pPr>
        <w:pStyle w:val="Prrafodelista"/>
        <w:ind w:left="851" w:right="902"/>
        <w:jc w:val="both"/>
        <w:rPr>
          <w:rFonts w:ascii="Palatino Linotype" w:hAnsi="Palatino Linotype" w:cs="Arial"/>
          <w:i/>
          <w:sz w:val="22"/>
          <w:szCs w:val="22"/>
        </w:rPr>
      </w:pPr>
    </w:p>
    <w:p w:rsidR="003C6195" w:rsidRPr="00A51BF6" w:rsidRDefault="003C6195" w:rsidP="003C6195">
      <w:pPr>
        <w:pStyle w:val="Prrafodelista"/>
        <w:ind w:left="567" w:right="902"/>
        <w:jc w:val="both"/>
        <w:rPr>
          <w:rFonts w:ascii="Palatino Linotype" w:hAnsi="Palatino Linotype" w:cs="Arial"/>
          <w:i/>
          <w:sz w:val="22"/>
          <w:szCs w:val="22"/>
        </w:rPr>
      </w:pPr>
      <w:r w:rsidRPr="00A51BF6">
        <w:rPr>
          <w:rFonts w:ascii="Palatino Linotype" w:hAnsi="Palatino Linotype" w:cs="Arial"/>
          <w:i/>
          <w:sz w:val="22"/>
          <w:szCs w:val="22"/>
          <w:lang w:eastAsia="es-MX"/>
        </w:rPr>
        <w:t>Debiendo</w:t>
      </w:r>
      <w:r w:rsidRPr="00A51BF6">
        <w:rPr>
          <w:rFonts w:ascii="Palatino Linotype" w:hAnsi="Palatino Linotype" w:cs="Arial"/>
          <w:i/>
          <w:sz w:val="22"/>
          <w:szCs w:val="22"/>
        </w:rPr>
        <w:t xml:space="preserve"> notificar al </w:t>
      </w:r>
      <w:r w:rsidRPr="00A51BF6">
        <w:rPr>
          <w:rFonts w:ascii="Palatino Linotype" w:hAnsi="Palatino Linotype" w:cs="Arial"/>
          <w:b/>
          <w:i/>
          <w:sz w:val="22"/>
          <w:szCs w:val="22"/>
        </w:rPr>
        <w:t>RECURRENTE</w:t>
      </w:r>
      <w:r w:rsidRPr="00A51BF6">
        <w:rPr>
          <w:rFonts w:ascii="Palatino Linotype" w:hAnsi="Palatino Linotype" w:cs="Arial"/>
          <w:i/>
          <w:sz w:val="22"/>
          <w:szCs w:val="22"/>
        </w:rPr>
        <w:t xml:space="preserve"> el Acuerdo de Clasificación de la información que emita en su caso el Comité de Transparencia con motivo de la versión pública.</w:t>
      </w:r>
    </w:p>
    <w:p w:rsidR="003C6195" w:rsidRPr="00A51BF6" w:rsidRDefault="003C6195" w:rsidP="003C6195">
      <w:pPr>
        <w:pStyle w:val="Prrafodelista"/>
        <w:ind w:left="567" w:right="902"/>
        <w:jc w:val="both"/>
        <w:rPr>
          <w:rFonts w:ascii="Palatino Linotype" w:hAnsi="Palatino Linotype" w:cs="Arial"/>
          <w:i/>
          <w:sz w:val="22"/>
          <w:szCs w:val="22"/>
        </w:rPr>
      </w:pPr>
    </w:p>
    <w:p w:rsidR="003C6195" w:rsidRPr="00A51BF6" w:rsidRDefault="003C6195" w:rsidP="003C6195">
      <w:pPr>
        <w:ind w:left="567" w:right="899"/>
        <w:jc w:val="both"/>
        <w:rPr>
          <w:rFonts w:ascii="Palatino Linotype" w:hAnsi="Palatino Linotype"/>
          <w:i/>
          <w:sz w:val="22"/>
          <w:szCs w:val="22"/>
        </w:rPr>
      </w:pPr>
      <w:r w:rsidRPr="00A51BF6">
        <w:rPr>
          <w:rFonts w:ascii="Palatino Linotype" w:hAnsi="Palatino Linotype"/>
          <w:i/>
          <w:sz w:val="22"/>
          <w:szCs w:val="22"/>
        </w:rPr>
        <w:t xml:space="preserve">Para el caso de que la información de la que se ordena la entrega en los numerales 9, 13, 15, 16, 24, 28, 29, 31, 32, 33 y 34 no obre en sus archivos por no haberse generado, poseído o administrado por </w:t>
      </w:r>
      <w:r w:rsidRPr="00A51BF6">
        <w:rPr>
          <w:rFonts w:ascii="Palatino Linotype" w:hAnsi="Palatino Linotype"/>
          <w:b/>
          <w:i/>
          <w:sz w:val="22"/>
          <w:szCs w:val="22"/>
        </w:rPr>
        <w:t>EL SUJETO OBLIGADO</w:t>
      </w:r>
      <w:r w:rsidRPr="00A51BF6">
        <w:rPr>
          <w:rFonts w:ascii="Palatino Linotype" w:hAnsi="Palatino Linotype"/>
          <w:i/>
          <w:sz w:val="22"/>
          <w:szCs w:val="22"/>
        </w:rPr>
        <w:t xml:space="preserve">, deberá hacerlo del conocimiento al </w:t>
      </w:r>
      <w:r w:rsidRPr="00A51BF6">
        <w:rPr>
          <w:rFonts w:ascii="Palatino Linotype" w:hAnsi="Palatino Linotype"/>
          <w:b/>
          <w:i/>
          <w:sz w:val="22"/>
          <w:szCs w:val="22"/>
        </w:rPr>
        <w:t>RECURRENTE</w:t>
      </w:r>
      <w:r w:rsidRPr="00A51BF6">
        <w:rPr>
          <w:rFonts w:ascii="Palatino Linotype" w:hAnsi="Palatino Linotype"/>
          <w:i/>
          <w:sz w:val="22"/>
          <w:szCs w:val="22"/>
        </w:rPr>
        <w:t>.</w:t>
      </w:r>
      <w:r w:rsidRPr="00A51BF6">
        <w:rPr>
          <w:rFonts w:ascii="Palatino Linotype" w:hAnsi="Palatino Linotype"/>
          <w:i/>
          <w:iCs/>
          <w:color w:val="222222"/>
          <w:sz w:val="22"/>
          <w:szCs w:val="22"/>
          <w:shd w:val="clear" w:color="auto" w:fill="FFFFFF"/>
        </w:rPr>
        <w:t>”</w:t>
      </w:r>
    </w:p>
    <w:p w:rsidR="003C6195" w:rsidRPr="00A51BF6" w:rsidRDefault="003C6195" w:rsidP="000C7CD9">
      <w:pPr>
        <w:spacing w:before="100" w:beforeAutospacing="1" w:after="100" w:afterAutospacing="1" w:line="360" w:lineRule="auto"/>
        <w:jc w:val="both"/>
        <w:rPr>
          <w:rFonts w:ascii="Palatino Linotype" w:hAnsi="Palatino Linotype"/>
          <w:color w:val="222222"/>
          <w:shd w:val="clear" w:color="auto" w:fill="FFFFFF"/>
        </w:rPr>
      </w:pPr>
      <w:r w:rsidRPr="00A51BF6">
        <w:rPr>
          <w:rFonts w:ascii="Palatino Linotype" w:hAnsi="Palatino Linotype"/>
          <w:b/>
          <w:color w:val="222222"/>
          <w:sz w:val="28"/>
          <w:szCs w:val="28"/>
          <w:shd w:val="clear" w:color="auto" w:fill="FFFFFF"/>
        </w:rPr>
        <w:t>TERCERO.</w:t>
      </w:r>
      <w:r w:rsidRPr="00A51BF6">
        <w:rPr>
          <w:rStyle w:val="apple-converted-space"/>
          <w:rFonts w:ascii="Palatino Linotype" w:hAnsi="Palatino Linotype"/>
          <w:b/>
          <w:color w:val="222222"/>
          <w:shd w:val="clear" w:color="auto" w:fill="FFFFFF"/>
        </w:rPr>
        <w:t> </w:t>
      </w:r>
      <w:r w:rsidRPr="00A51BF6">
        <w:rPr>
          <w:rFonts w:ascii="Palatino Linotype" w:hAnsi="Palatino Linotype"/>
          <w:b/>
          <w:color w:val="222222"/>
          <w:lang w:eastAsia="es-ES_tradnl"/>
        </w:rPr>
        <w:t>Notifíquese</w:t>
      </w:r>
      <w:r w:rsidRPr="00A51BF6">
        <w:rPr>
          <w:rFonts w:ascii="Palatino Linotype" w:hAnsi="Palatino Linotype"/>
          <w:color w:val="222222"/>
          <w:lang w:eastAsia="es-ES_tradnl"/>
        </w:rPr>
        <w:t xml:space="preserve"> </w:t>
      </w:r>
      <w:r w:rsidRPr="00A51BF6">
        <w:rPr>
          <w:rFonts w:ascii="Palatino Linotype" w:hAnsi="Palatino Linotype"/>
          <w:color w:val="222222"/>
          <w:shd w:val="clear" w:color="auto" w:fill="FFFFFF"/>
        </w:rPr>
        <w:t>al Titular de la Unidad de Transparencia del</w:t>
      </w:r>
      <w:r w:rsidRPr="00A51BF6">
        <w:rPr>
          <w:rStyle w:val="apple-converted-space"/>
          <w:rFonts w:ascii="Palatino Linotype" w:hAnsi="Palatino Linotype"/>
          <w:b/>
          <w:color w:val="222222"/>
          <w:shd w:val="clear" w:color="auto" w:fill="FFFFFF"/>
        </w:rPr>
        <w:t> </w:t>
      </w:r>
      <w:r w:rsidRPr="00A51BF6">
        <w:rPr>
          <w:rFonts w:ascii="Palatino Linotype" w:hAnsi="Palatino Linotype"/>
          <w:b/>
          <w:color w:val="222222"/>
          <w:shd w:val="clear" w:color="auto" w:fill="FFFFFF"/>
        </w:rPr>
        <w:t>SUJETO OBLIGADO</w:t>
      </w:r>
      <w:r w:rsidRPr="00A51BF6">
        <w:rPr>
          <w:rFonts w:ascii="Palatino Linotype" w:hAnsi="Palatino Linotype"/>
          <w:color w:val="222222"/>
          <w:shd w:val="clear" w:color="auto" w:fill="FFFFFF"/>
        </w:rPr>
        <w:t xml:space="preserve"> para que, conforme a los artículos 186, último párrafo y 189, párrafo segundo de la Ley de </w:t>
      </w:r>
      <w:r w:rsidRPr="00A51BF6">
        <w:rPr>
          <w:rFonts w:ascii="Palatino Linotype" w:hAnsi="Palatino Linotype" w:cs="Arial"/>
        </w:rPr>
        <w:t>Transparencia</w:t>
      </w:r>
      <w:r w:rsidRPr="00A51BF6">
        <w:rPr>
          <w:rFonts w:ascii="Palatino Linotype" w:hAnsi="Palatino Linotype"/>
          <w:color w:val="222222"/>
          <w:shd w:val="clear" w:color="auto" w:fill="FFFFFF"/>
        </w:rPr>
        <w:t xml:space="preserve"> y Acceso a la Información Pública del Estado de </w:t>
      </w:r>
      <w:r w:rsidRPr="00A51BF6">
        <w:rPr>
          <w:rFonts w:ascii="Palatino Linotype" w:hAnsi="Palatino Linotype"/>
          <w:color w:val="222222"/>
          <w:shd w:val="clear" w:color="auto" w:fill="FFFFFF"/>
        </w:rPr>
        <w:lastRenderedPageBreak/>
        <w:t xml:space="preserve">México y Municipios, dé cumplimiento a lo ordenado dentro del plazo de diez días hábiles, debiendo informar a este Instituto en un plazo </w:t>
      </w:r>
      <w:r w:rsidRPr="00A51BF6">
        <w:rPr>
          <w:rFonts w:ascii="Palatino Linotype" w:hAnsi="Palatino Linotype"/>
          <w:color w:val="222222"/>
          <w:lang w:eastAsia="es-ES_tradnl"/>
        </w:rPr>
        <w:t>de</w:t>
      </w:r>
      <w:r w:rsidRPr="00A51BF6">
        <w:rPr>
          <w:rFonts w:ascii="Palatino Linotype" w:hAnsi="Palatino Linotype"/>
          <w:color w:val="222222"/>
          <w:shd w:val="clear" w:color="auto" w:fill="FFFFFF"/>
        </w:rPr>
        <w:t xml:space="preserve"> tres días hábiles siguientes sobre el cumplimiento dado a la presente resolución.</w:t>
      </w:r>
    </w:p>
    <w:p w:rsidR="003C6195" w:rsidRPr="00A51BF6" w:rsidRDefault="003C6195" w:rsidP="000C7CD9">
      <w:pPr>
        <w:spacing w:before="100" w:beforeAutospacing="1" w:after="100" w:afterAutospacing="1" w:line="360" w:lineRule="auto"/>
        <w:ind w:right="49"/>
        <w:jc w:val="both"/>
        <w:rPr>
          <w:rFonts w:ascii="Palatino Linotype" w:hAnsi="Palatino Linotype"/>
          <w:color w:val="222222"/>
          <w:szCs w:val="17"/>
          <w:lang w:eastAsia="es-ES_tradnl"/>
        </w:rPr>
      </w:pPr>
      <w:r w:rsidRPr="00A51BF6">
        <w:rPr>
          <w:rFonts w:ascii="Palatino Linotype" w:hAnsi="Palatino Linotype" w:cs="Arial"/>
          <w:b/>
          <w:bCs/>
          <w:color w:val="222222"/>
          <w:sz w:val="28"/>
          <w:lang w:eastAsia="es-MX"/>
        </w:rPr>
        <w:t xml:space="preserve">CUARTO. </w:t>
      </w:r>
      <w:r w:rsidRPr="00A51BF6">
        <w:rPr>
          <w:rFonts w:ascii="Palatino Linotype" w:hAnsi="Palatino Linotype"/>
          <w:b/>
          <w:color w:val="222222"/>
          <w:lang w:eastAsia="es-ES_tradnl"/>
        </w:rPr>
        <w:t>Notifíquese</w:t>
      </w:r>
      <w:r w:rsidRPr="00A51BF6">
        <w:rPr>
          <w:rFonts w:ascii="Palatino Linotype" w:hAnsi="Palatino Linotype"/>
          <w:color w:val="222222"/>
          <w:lang w:eastAsia="es-ES_tradnl"/>
        </w:rPr>
        <w:t xml:space="preserve"> al </w:t>
      </w:r>
      <w:r w:rsidRPr="00A51BF6">
        <w:rPr>
          <w:rFonts w:ascii="Palatino Linotype" w:hAnsi="Palatino Linotype"/>
          <w:b/>
          <w:color w:val="222222"/>
          <w:lang w:eastAsia="es-ES_tradnl"/>
        </w:rPr>
        <w:t>RECURRENTE</w:t>
      </w:r>
      <w:r w:rsidRPr="00A51BF6">
        <w:rPr>
          <w:rFonts w:ascii="Palatino Linotype" w:hAnsi="Palatino Linotype"/>
          <w:color w:val="222222"/>
          <w:lang w:eastAsia="es-ES_tradnl"/>
        </w:rPr>
        <w:t xml:space="preserve"> la </w:t>
      </w:r>
      <w:r w:rsidRPr="00A51BF6">
        <w:rPr>
          <w:rFonts w:ascii="Palatino Linotype" w:hAnsi="Palatino Linotype" w:cs="Arial"/>
        </w:rPr>
        <w:t>presente</w:t>
      </w:r>
      <w:r w:rsidRPr="00A51BF6">
        <w:rPr>
          <w:rFonts w:ascii="Palatino Linotype" w:hAnsi="Palatino Linotype"/>
          <w:color w:val="222222"/>
          <w:lang w:eastAsia="es-ES_tradnl"/>
        </w:rPr>
        <w:t xml:space="preserve"> resolución</w:t>
      </w:r>
      <w:r w:rsidR="00BB1168">
        <w:rPr>
          <w:rFonts w:ascii="Palatino Linotype" w:hAnsi="Palatino Linotype"/>
          <w:color w:val="222222"/>
          <w:lang w:eastAsia="es-ES_tradnl"/>
        </w:rPr>
        <w:t xml:space="preserve"> vía SAIMEX y a través del correo electrónico señalado para tal efecto</w:t>
      </w:r>
      <w:r w:rsidRPr="00A51BF6">
        <w:rPr>
          <w:rFonts w:ascii="Palatino Linotype" w:hAnsi="Palatino Linotype"/>
          <w:color w:val="222222"/>
          <w:lang w:eastAsia="es-ES_tradnl"/>
        </w:rPr>
        <w:t>.</w:t>
      </w:r>
    </w:p>
    <w:p w:rsidR="003C6195" w:rsidRPr="00225081" w:rsidRDefault="003C6195" w:rsidP="000C7CD9">
      <w:pPr>
        <w:spacing w:before="100" w:beforeAutospacing="1" w:after="100" w:afterAutospacing="1" w:line="360" w:lineRule="auto"/>
        <w:ind w:right="49"/>
        <w:jc w:val="both"/>
        <w:rPr>
          <w:rFonts w:ascii="Palatino Linotype" w:hAnsi="Palatino Linotype"/>
          <w:color w:val="222222"/>
          <w:lang w:eastAsia="es-ES_tradnl"/>
        </w:rPr>
      </w:pPr>
      <w:r w:rsidRPr="00A51BF6">
        <w:rPr>
          <w:rFonts w:ascii="Palatino Linotype" w:hAnsi="Palatino Linotype" w:cs="Arial"/>
          <w:b/>
          <w:bCs/>
          <w:color w:val="222222"/>
          <w:sz w:val="28"/>
          <w:lang w:eastAsia="es-MX"/>
        </w:rPr>
        <w:t>QUINTO.</w:t>
      </w:r>
      <w:r w:rsidRPr="00A51BF6">
        <w:rPr>
          <w:rFonts w:ascii="Palatino Linotype" w:hAnsi="Palatino Linotype"/>
          <w:color w:val="222222"/>
          <w:szCs w:val="17"/>
          <w:lang w:eastAsia="es-ES_tradnl"/>
        </w:rPr>
        <w:t xml:space="preserve"> </w:t>
      </w:r>
      <w:r w:rsidRPr="00A51BF6">
        <w:rPr>
          <w:rFonts w:ascii="Palatino Linotype" w:hAnsi="Palatino Linotype"/>
          <w:b/>
          <w:color w:val="222222"/>
          <w:lang w:eastAsia="es-ES_tradnl"/>
        </w:rPr>
        <w:t>Hágase del conocimiento</w:t>
      </w:r>
      <w:r w:rsidRPr="00A51BF6">
        <w:rPr>
          <w:rFonts w:ascii="Palatino Linotype" w:hAnsi="Palatino Linotype"/>
          <w:color w:val="222222"/>
          <w:lang w:eastAsia="es-ES_tradnl"/>
        </w:rPr>
        <w:t xml:space="preserve"> al </w:t>
      </w:r>
      <w:r w:rsidRPr="00A51BF6">
        <w:rPr>
          <w:rFonts w:ascii="Palatino Linotype" w:hAnsi="Palatino Linotype"/>
          <w:b/>
          <w:color w:val="222222"/>
          <w:lang w:eastAsia="es-ES_tradnl"/>
        </w:rPr>
        <w:t>RECURRENTE</w:t>
      </w:r>
      <w:r w:rsidRPr="00A51BF6">
        <w:rPr>
          <w:rFonts w:ascii="Palatino Linotype" w:hAnsi="Palatino Linotype"/>
          <w:color w:val="222222"/>
          <w:lang w:eastAsia="es-ES_tradnl"/>
        </w:rPr>
        <w:t xml:space="preserve"> que, de conformidad con lo establecido en el artículo 196 de la </w:t>
      </w:r>
      <w:r w:rsidRPr="00A51BF6">
        <w:rPr>
          <w:rFonts w:ascii="Palatino Linotype" w:hAnsi="Palatino Linotype" w:cs="Arial"/>
        </w:rPr>
        <w:t>Ley</w:t>
      </w:r>
      <w:r w:rsidRPr="00A51BF6">
        <w:rPr>
          <w:rFonts w:ascii="Palatino Linotype" w:hAnsi="Palatino Linotype"/>
          <w:color w:val="222222"/>
          <w:lang w:eastAsia="es-ES_tradnl"/>
        </w:rPr>
        <w:t xml:space="preserve"> de Transparencia y Acceso a la Información Pública del Estado de México y Municipios, podrá impugnarla vía Juicio de Amparo en los términos de las leyes aplicables.</w:t>
      </w:r>
    </w:p>
    <w:p w:rsidR="00465EE6" w:rsidRPr="00465EE6" w:rsidRDefault="00EF2C8C" w:rsidP="00EF2C8C">
      <w:pPr>
        <w:spacing w:before="200" w:line="360" w:lineRule="auto"/>
        <w:jc w:val="both"/>
        <w:rPr>
          <w:rFonts w:ascii="Palatino Linotype" w:hAnsi="Palatino Linotype" w:cs="Arial"/>
        </w:rPr>
      </w:pPr>
      <w:r w:rsidRPr="00556908">
        <w:rPr>
          <w:rFonts w:ascii="Palatino Linotype" w:hAnsi="Palatino Linotype" w:cs="Arial"/>
        </w:rPr>
        <w:t xml:space="preserve">ASÍ LO RESUELVE, POR </w:t>
      </w:r>
      <w:r w:rsidRPr="00C55F89">
        <w:rPr>
          <w:rFonts w:ascii="Palatino Linotype" w:hAnsi="Palatino Linotype" w:cs="Arial"/>
        </w:rPr>
        <w:t>UNANIMIDAD</w:t>
      </w:r>
      <w:r w:rsidRPr="00556908">
        <w:rPr>
          <w:rFonts w:ascii="Palatino Linotype" w:hAnsi="Palatino Linotype" w:cs="Arial"/>
        </w:rPr>
        <w:t xml:space="preserve"> DE VOTOS EL PLENO DEL</w:t>
      </w:r>
      <w:r w:rsidRPr="00556908">
        <w:rPr>
          <w:rFonts w:ascii="Palatino Linotype" w:eastAsia="Arial Unicode MS" w:hAnsi="Palatino Linotype" w:cs="Arial"/>
        </w:rPr>
        <w:t xml:space="preserve"> INSTITUTO DE </w:t>
      </w:r>
      <w:r w:rsidRPr="00556908">
        <w:rPr>
          <w:rFonts w:ascii="Palatino Linotype" w:hAnsi="Palatino Linotype"/>
        </w:rPr>
        <w:t>TRANSPARENCIA</w:t>
      </w:r>
      <w:r w:rsidRPr="00556908">
        <w:rPr>
          <w:rFonts w:ascii="Palatino Linotype" w:eastAsia="Arial Unicode MS" w:hAnsi="Palatino Linotype" w:cs="Arial"/>
        </w:rPr>
        <w:t>, ACCESO A LA INFORMACIÓN PÚBLICA Y PROTECCIÓN DE DATOS PERSONALES DEL ESTADO DE MÉXICO Y MUNICIPIOS</w:t>
      </w:r>
      <w:r w:rsidRPr="00556908">
        <w:rPr>
          <w:rFonts w:ascii="Palatino Linotype" w:hAnsi="Palatino Linotype" w:cs="Arial"/>
        </w:rPr>
        <w:t>, CONFORMADO POR LOS COMISIONADOS ZULEMA MARTÍNEZ SÁNCHEZ; EVA ABAID YAPUR; JOSÉ GUADALUPE LUNA HERNÁNDEZ; JAVIER MARTÍNEZ CRUZ Y LUIS GUSTAVO PARRA NORIEGA; EN</w:t>
      </w:r>
      <w:r w:rsidRPr="00556908">
        <w:rPr>
          <w:rFonts w:ascii="Palatino Linotype" w:hAnsi="Palatino Linotype" w:cs="Arial"/>
          <w:shd w:val="clear" w:color="auto" w:fill="FFFFFF" w:themeFill="background1"/>
        </w:rPr>
        <w:t xml:space="preserve"> LA </w:t>
      </w:r>
      <w:r w:rsidRPr="00C55F89">
        <w:rPr>
          <w:rFonts w:ascii="Palatino Linotype" w:hAnsi="Palatino Linotype" w:cs="Arial"/>
        </w:rPr>
        <w:t>VIGÉSIMA NOVENA SESIÓN ORDINARIA CELEBRADA EL DÍA CATORCE DE AGOSTO DE DOS MIL DIECINUEVE,</w:t>
      </w:r>
      <w:r w:rsidRPr="00556908">
        <w:rPr>
          <w:rFonts w:ascii="Palatino Linotype" w:hAnsi="Palatino Linotype" w:cs="Arial"/>
        </w:rPr>
        <w:t xml:space="preserve">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651BF4" w:rsidRPr="00C4501B">
        <w:trPr>
          <w:jc w:val="center"/>
        </w:trPr>
        <w:tc>
          <w:tcPr>
            <w:tcW w:w="10365" w:type="dxa"/>
            <w:gridSpan w:val="2"/>
            <w:shd w:val="clear" w:color="auto" w:fill="auto"/>
          </w:tcPr>
          <w:p w:rsidR="001B6120" w:rsidRDefault="001B6120" w:rsidP="001B6120">
            <w:pPr>
              <w:jc w:val="center"/>
              <w:rPr>
                <w:rFonts w:ascii="Palatino Linotype" w:hAnsi="Palatino Linotype" w:cs="Arial"/>
                <w:b/>
              </w:rPr>
            </w:pPr>
          </w:p>
          <w:p w:rsidR="000C7CD9" w:rsidRDefault="000C7CD9" w:rsidP="001B6120">
            <w:pPr>
              <w:jc w:val="center"/>
              <w:rPr>
                <w:rFonts w:ascii="Palatino Linotype" w:hAnsi="Palatino Linotype" w:cs="Arial"/>
                <w:b/>
              </w:rPr>
            </w:pPr>
          </w:p>
          <w:p w:rsidR="000C7CD9" w:rsidRDefault="000C7CD9"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651BF4" w:rsidRPr="00C4501B" w:rsidRDefault="00DB7FA0" w:rsidP="001B6120">
            <w:pPr>
              <w:jc w:val="center"/>
              <w:rPr>
                <w:rFonts w:ascii="Palatino Linotype" w:hAnsi="Palatino Linotype" w:cs="Arial"/>
                <w:b/>
              </w:rPr>
            </w:pPr>
            <w:r>
              <w:rPr>
                <w:rFonts w:ascii="Palatino Linotype" w:hAnsi="Palatino Linotype" w:cs="Arial"/>
                <w:b/>
              </w:rPr>
              <w:t>Zulema Martínez Sánchez</w:t>
            </w:r>
          </w:p>
          <w:p w:rsidR="00651BF4" w:rsidRPr="00C4501B" w:rsidRDefault="00651BF4" w:rsidP="001B6120">
            <w:pPr>
              <w:jc w:val="center"/>
              <w:rPr>
                <w:rFonts w:ascii="Palatino Linotype" w:hAnsi="Palatino Linotype" w:cs="Arial"/>
                <w:b/>
              </w:rPr>
            </w:pPr>
            <w:r w:rsidRPr="00C4501B">
              <w:rPr>
                <w:rFonts w:ascii="Palatino Linotype" w:hAnsi="Palatino Linotype" w:cs="Arial"/>
              </w:rPr>
              <w:t>Comisionada Presidenta</w:t>
            </w:r>
          </w:p>
          <w:p w:rsidR="00651BF4" w:rsidRPr="00C4501B" w:rsidRDefault="00651BF4" w:rsidP="001B6120">
            <w:pPr>
              <w:jc w:val="center"/>
              <w:rPr>
                <w:rFonts w:ascii="Palatino Linotype" w:hAnsi="Palatino Linotype" w:cs="Arial"/>
                <w:b/>
              </w:rPr>
            </w:pPr>
            <w:r w:rsidRPr="007F0BDD">
              <w:rPr>
                <w:rFonts w:ascii="Palatino Linotype" w:hAnsi="Palatino Linotype" w:cs="Arial"/>
                <w:b/>
                <w:color w:val="FFFFFF" w:themeColor="background1"/>
              </w:rPr>
              <w:t xml:space="preserve">(RÚBRICA) </w:t>
            </w:r>
          </w:p>
        </w:tc>
      </w:tr>
      <w:tr w:rsidR="00651BF4" w:rsidRPr="00C4501B">
        <w:trPr>
          <w:jc w:val="center"/>
        </w:trPr>
        <w:tc>
          <w:tcPr>
            <w:tcW w:w="5182" w:type="dxa"/>
            <w:shd w:val="clear" w:color="auto" w:fill="auto"/>
          </w:tcPr>
          <w:p w:rsidR="004C361B" w:rsidRDefault="004C361B" w:rsidP="001B6120">
            <w:pPr>
              <w:jc w:val="center"/>
              <w:rPr>
                <w:rFonts w:ascii="Palatino Linotype" w:hAnsi="Palatino Linotype" w:cs="Arial"/>
                <w:b/>
              </w:rPr>
            </w:pPr>
          </w:p>
          <w:p w:rsidR="009B6E0A" w:rsidRDefault="009B6E0A"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F2C8C" w:rsidRPr="00C4501B" w:rsidRDefault="00EF2C8C" w:rsidP="001B6120">
            <w:pPr>
              <w:jc w:val="center"/>
              <w:rPr>
                <w:rFonts w:ascii="Palatino Linotype" w:hAnsi="Palatino Linotype" w:cs="Arial"/>
                <w:b/>
              </w:rPr>
            </w:pPr>
          </w:p>
          <w:p w:rsidR="00651BF4" w:rsidRPr="00C4501B" w:rsidRDefault="00651BF4" w:rsidP="001B6120">
            <w:pPr>
              <w:jc w:val="center"/>
              <w:rPr>
                <w:rFonts w:ascii="Palatino Linotype" w:hAnsi="Palatino Linotype" w:cs="Arial"/>
                <w:b/>
              </w:rPr>
            </w:pPr>
            <w:r w:rsidRPr="00C4501B">
              <w:rPr>
                <w:rFonts w:ascii="Palatino Linotype" w:hAnsi="Palatino Linotype" w:cs="Arial"/>
                <w:b/>
              </w:rPr>
              <w:t>Eva Abaid Yapur</w:t>
            </w:r>
          </w:p>
          <w:p w:rsidR="00651BF4" w:rsidRPr="00C4501B" w:rsidRDefault="00651BF4" w:rsidP="001B6120">
            <w:pPr>
              <w:jc w:val="center"/>
              <w:rPr>
                <w:rFonts w:ascii="Palatino Linotype" w:hAnsi="Palatino Linotype" w:cs="Arial"/>
              </w:rPr>
            </w:pPr>
            <w:r w:rsidRPr="00C4501B">
              <w:rPr>
                <w:rFonts w:ascii="Palatino Linotype" w:hAnsi="Palatino Linotype" w:cs="Arial"/>
              </w:rPr>
              <w:t>Comisionada</w:t>
            </w:r>
          </w:p>
          <w:p w:rsidR="00651BF4" w:rsidRPr="00C4501B" w:rsidRDefault="00651BF4" w:rsidP="001B6120">
            <w:pPr>
              <w:jc w:val="center"/>
              <w:rPr>
                <w:rFonts w:ascii="Palatino Linotype" w:hAnsi="Palatino Linotype" w:cs="Arial"/>
                <w:b/>
              </w:rPr>
            </w:pPr>
            <w:r w:rsidRPr="00A15BBB">
              <w:rPr>
                <w:rFonts w:ascii="Palatino Linotype" w:hAnsi="Palatino Linotype" w:cs="Arial"/>
                <w:b/>
                <w:color w:val="FFFFFF" w:themeColor="background1"/>
              </w:rPr>
              <w:t>(RÚBRICA)</w:t>
            </w:r>
          </w:p>
        </w:tc>
        <w:tc>
          <w:tcPr>
            <w:tcW w:w="5183" w:type="dxa"/>
            <w:shd w:val="clear" w:color="auto" w:fill="auto"/>
          </w:tcPr>
          <w:p w:rsidR="001B6120" w:rsidRDefault="001B6120" w:rsidP="001B6120">
            <w:pPr>
              <w:jc w:val="center"/>
              <w:rPr>
                <w:rFonts w:ascii="Palatino Linotype" w:hAnsi="Palatino Linotype" w:cs="Arial"/>
                <w:b/>
              </w:rPr>
            </w:pPr>
          </w:p>
          <w:p w:rsidR="009B6E0A" w:rsidRDefault="009B6E0A"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F2C8C" w:rsidRPr="00C4501B" w:rsidRDefault="00EF2C8C" w:rsidP="001B6120">
            <w:pPr>
              <w:jc w:val="center"/>
              <w:rPr>
                <w:rFonts w:ascii="Palatino Linotype" w:hAnsi="Palatino Linotype" w:cs="Arial"/>
                <w:b/>
              </w:rPr>
            </w:pPr>
          </w:p>
          <w:p w:rsidR="00651BF4" w:rsidRPr="00C4501B" w:rsidRDefault="00651BF4" w:rsidP="001B6120">
            <w:pPr>
              <w:jc w:val="center"/>
              <w:rPr>
                <w:rFonts w:ascii="Palatino Linotype" w:hAnsi="Palatino Linotype" w:cs="Arial"/>
                <w:b/>
              </w:rPr>
            </w:pPr>
            <w:r w:rsidRPr="00C4501B">
              <w:rPr>
                <w:rFonts w:ascii="Palatino Linotype" w:hAnsi="Palatino Linotype" w:cs="Arial"/>
                <w:b/>
              </w:rPr>
              <w:t>José Guadalupe Luna Hernández</w:t>
            </w:r>
          </w:p>
          <w:p w:rsidR="00651BF4" w:rsidRPr="00C4501B" w:rsidRDefault="00651BF4" w:rsidP="001B6120">
            <w:pPr>
              <w:jc w:val="center"/>
              <w:rPr>
                <w:rFonts w:ascii="Palatino Linotype" w:hAnsi="Palatino Linotype" w:cs="Arial"/>
              </w:rPr>
            </w:pPr>
            <w:r w:rsidRPr="00C4501B">
              <w:rPr>
                <w:rFonts w:ascii="Palatino Linotype" w:hAnsi="Palatino Linotype" w:cs="Arial"/>
              </w:rPr>
              <w:t>Comisionado</w:t>
            </w:r>
          </w:p>
          <w:p w:rsidR="00651BF4" w:rsidRPr="00C4501B" w:rsidRDefault="00651BF4" w:rsidP="001B6120">
            <w:pPr>
              <w:jc w:val="center"/>
              <w:rPr>
                <w:rFonts w:ascii="Palatino Linotype" w:hAnsi="Palatino Linotype" w:cs="Arial"/>
                <w:b/>
              </w:rPr>
            </w:pPr>
            <w:r w:rsidRPr="00A15BBB">
              <w:rPr>
                <w:rFonts w:ascii="Palatino Linotype" w:hAnsi="Palatino Linotype" w:cs="Arial"/>
                <w:b/>
                <w:color w:val="FFFFFF" w:themeColor="background1"/>
              </w:rPr>
              <w:t>(RÚBRICA)</w:t>
            </w:r>
          </w:p>
        </w:tc>
      </w:tr>
      <w:tr w:rsidR="00E87E5F" w:rsidRPr="00C4501B">
        <w:trPr>
          <w:jc w:val="center"/>
        </w:trPr>
        <w:tc>
          <w:tcPr>
            <w:tcW w:w="5182" w:type="dxa"/>
            <w:shd w:val="clear" w:color="auto" w:fill="auto"/>
          </w:tcPr>
          <w:p w:rsidR="001B6120" w:rsidRDefault="001B6120" w:rsidP="001B6120">
            <w:pPr>
              <w:jc w:val="center"/>
              <w:rPr>
                <w:rFonts w:ascii="Palatino Linotype" w:hAnsi="Palatino Linotype" w:cs="Arial"/>
                <w:b/>
              </w:rPr>
            </w:pPr>
          </w:p>
          <w:p w:rsidR="001B6120" w:rsidRDefault="001B6120" w:rsidP="001B6120">
            <w:pPr>
              <w:jc w:val="center"/>
              <w:rPr>
                <w:rFonts w:ascii="Palatino Linotype" w:hAnsi="Palatino Linotype" w:cs="Arial"/>
                <w:b/>
              </w:rPr>
            </w:pPr>
          </w:p>
          <w:p w:rsidR="00E87E5F" w:rsidRDefault="00E87E5F"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F2C8C" w:rsidRPr="00C4501B" w:rsidRDefault="00EF2C8C" w:rsidP="001B6120">
            <w:pPr>
              <w:jc w:val="center"/>
              <w:rPr>
                <w:rFonts w:ascii="Palatino Linotype" w:hAnsi="Palatino Linotype" w:cs="Arial"/>
                <w:b/>
              </w:rPr>
            </w:pPr>
          </w:p>
          <w:p w:rsidR="00E87E5F" w:rsidRPr="00C4501B" w:rsidRDefault="00E87E5F" w:rsidP="001B6120">
            <w:pPr>
              <w:jc w:val="center"/>
              <w:rPr>
                <w:rFonts w:ascii="Palatino Linotype" w:hAnsi="Palatino Linotype" w:cs="Arial"/>
                <w:b/>
              </w:rPr>
            </w:pPr>
            <w:r w:rsidRPr="00C4501B">
              <w:rPr>
                <w:rFonts w:ascii="Palatino Linotype" w:hAnsi="Palatino Linotype" w:cs="Arial"/>
                <w:b/>
              </w:rPr>
              <w:t>Javier Martínez Cruz</w:t>
            </w:r>
          </w:p>
          <w:p w:rsidR="00E87E5F" w:rsidRPr="00C4501B" w:rsidRDefault="00E87E5F" w:rsidP="001B6120">
            <w:pPr>
              <w:jc w:val="center"/>
              <w:rPr>
                <w:rFonts w:ascii="Palatino Linotype" w:hAnsi="Palatino Linotype" w:cs="Arial"/>
              </w:rPr>
            </w:pPr>
            <w:r w:rsidRPr="00C4501B">
              <w:rPr>
                <w:rFonts w:ascii="Palatino Linotype" w:hAnsi="Palatino Linotype" w:cs="Arial"/>
              </w:rPr>
              <w:t>Comisionado</w:t>
            </w:r>
          </w:p>
          <w:p w:rsidR="00E87E5F" w:rsidRPr="00C4501B" w:rsidRDefault="00E87E5F" w:rsidP="001B6120">
            <w:pPr>
              <w:jc w:val="center"/>
              <w:rPr>
                <w:rFonts w:ascii="Palatino Linotype" w:hAnsi="Palatino Linotype" w:cs="Arial"/>
                <w:b/>
              </w:rPr>
            </w:pPr>
            <w:r w:rsidRPr="007F0BDD">
              <w:rPr>
                <w:rFonts w:ascii="Palatino Linotype" w:hAnsi="Palatino Linotype" w:cs="Arial"/>
                <w:b/>
                <w:color w:val="FFFFFF" w:themeColor="background1"/>
              </w:rPr>
              <w:t>(RÚBRICA)</w:t>
            </w:r>
          </w:p>
          <w:p w:rsidR="00E87E5F" w:rsidRDefault="00E87E5F" w:rsidP="001B6120">
            <w:pPr>
              <w:jc w:val="center"/>
              <w:rPr>
                <w:rFonts w:ascii="Palatino Linotype" w:hAnsi="Palatino Linotype" w:cs="Arial"/>
                <w:b/>
              </w:rPr>
            </w:pPr>
          </w:p>
          <w:p w:rsidR="00E87E5F" w:rsidRPr="00C4501B" w:rsidRDefault="00E87E5F" w:rsidP="00EF2C8C">
            <w:pPr>
              <w:rPr>
                <w:rFonts w:ascii="Palatino Linotype" w:hAnsi="Palatino Linotype" w:cs="Arial"/>
                <w:b/>
              </w:rPr>
            </w:pPr>
          </w:p>
        </w:tc>
        <w:tc>
          <w:tcPr>
            <w:tcW w:w="5183" w:type="dxa"/>
            <w:shd w:val="clear" w:color="auto" w:fill="auto"/>
          </w:tcPr>
          <w:p w:rsidR="001B6120" w:rsidRDefault="001B6120" w:rsidP="001B6120">
            <w:pPr>
              <w:jc w:val="center"/>
              <w:rPr>
                <w:rFonts w:ascii="Palatino Linotype" w:hAnsi="Palatino Linotype" w:cs="Arial"/>
                <w:b/>
              </w:rPr>
            </w:pPr>
          </w:p>
          <w:p w:rsidR="00E87E5F" w:rsidRPr="00C4501B" w:rsidRDefault="00E87E5F" w:rsidP="001B6120">
            <w:pPr>
              <w:jc w:val="center"/>
              <w:rPr>
                <w:rFonts w:ascii="Palatino Linotype" w:hAnsi="Palatino Linotype" w:cs="Arial"/>
                <w:b/>
              </w:rPr>
            </w:pPr>
          </w:p>
          <w:p w:rsidR="00E87E5F" w:rsidRDefault="00E87E5F"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E87E5F" w:rsidRDefault="00E87E5F" w:rsidP="001B6120">
            <w:pPr>
              <w:jc w:val="center"/>
              <w:rPr>
                <w:rFonts w:ascii="Palatino Linotype" w:hAnsi="Palatino Linotype" w:cs="Arial"/>
                <w:b/>
              </w:rPr>
            </w:pPr>
            <w:r w:rsidRPr="00E87E5F">
              <w:rPr>
                <w:rFonts w:ascii="Palatino Linotype" w:hAnsi="Palatino Linotype" w:cs="Arial"/>
                <w:b/>
              </w:rPr>
              <w:t xml:space="preserve">Luis Gustavo Parra Noriega </w:t>
            </w:r>
          </w:p>
          <w:p w:rsidR="00E87E5F" w:rsidRPr="00C4501B" w:rsidRDefault="00E87E5F" w:rsidP="001B6120">
            <w:pPr>
              <w:jc w:val="center"/>
              <w:rPr>
                <w:rFonts w:ascii="Palatino Linotype" w:hAnsi="Palatino Linotype" w:cs="Arial"/>
              </w:rPr>
            </w:pPr>
            <w:r w:rsidRPr="00C4501B">
              <w:rPr>
                <w:rFonts w:ascii="Palatino Linotype" w:hAnsi="Palatino Linotype" w:cs="Arial"/>
              </w:rPr>
              <w:t>Comisionado</w:t>
            </w:r>
          </w:p>
          <w:p w:rsidR="00E87E5F" w:rsidRPr="007F0BDD" w:rsidRDefault="00E87E5F" w:rsidP="001B6120">
            <w:pPr>
              <w:jc w:val="center"/>
              <w:rPr>
                <w:rFonts w:ascii="Palatino Linotype" w:hAnsi="Palatino Linotype" w:cs="Arial"/>
                <w:b/>
                <w:color w:val="FFFFFF" w:themeColor="background1"/>
              </w:rPr>
            </w:pPr>
            <w:r w:rsidRPr="007F0BDD">
              <w:rPr>
                <w:rFonts w:ascii="Palatino Linotype" w:hAnsi="Palatino Linotype" w:cs="Arial"/>
                <w:b/>
                <w:color w:val="FFFFFF" w:themeColor="background1"/>
              </w:rPr>
              <w:t>(RÚBRICA)</w:t>
            </w:r>
          </w:p>
          <w:p w:rsidR="00E87E5F" w:rsidRPr="00C4501B" w:rsidRDefault="00E87E5F" w:rsidP="001B6120">
            <w:pPr>
              <w:jc w:val="center"/>
              <w:rPr>
                <w:rFonts w:ascii="Palatino Linotype" w:hAnsi="Palatino Linotype" w:cs="Arial"/>
                <w:b/>
              </w:rPr>
            </w:pPr>
          </w:p>
          <w:p w:rsidR="00E87E5F" w:rsidRPr="00C4501B" w:rsidRDefault="00E87E5F" w:rsidP="001B6120">
            <w:pPr>
              <w:rPr>
                <w:rFonts w:ascii="Palatino Linotype" w:hAnsi="Palatino Linotype" w:cs="Arial"/>
                <w:b/>
              </w:rPr>
            </w:pPr>
          </w:p>
        </w:tc>
      </w:tr>
      <w:tr w:rsidR="00651BF4" w:rsidRPr="00C4501B">
        <w:trPr>
          <w:jc w:val="center"/>
        </w:trPr>
        <w:tc>
          <w:tcPr>
            <w:tcW w:w="10365" w:type="dxa"/>
            <w:gridSpan w:val="2"/>
            <w:shd w:val="clear" w:color="auto" w:fill="auto"/>
          </w:tcPr>
          <w:p w:rsidR="001B6120" w:rsidRDefault="001B6120" w:rsidP="001B6120">
            <w:pPr>
              <w:jc w:val="center"/>
              <w:rPr>
                <w:rFonts w:ascii="Palatino Linotype" w:hAnsi="Palatino Linotype" w:cs="Arial"/>
                <w:b/>
              </w:rPr>
            </w:pPr>
          </w:p>
          <w:p w:rsidR="001B6120" w:rsidRDefault="001B6120" w:rsidP="001B6120">
            <w:pPr>
              <w:jc w:val="center"/>
              <w:rPr>
                <w:rFonts w:ascii="Palatino Linotype" w:hAnsi="Palatino Linotype" w:cs="Arial"/>
                <w:b/>
              </w:rPr>
            </w:pPr>
          </w:p>
          <w:p w:rsidR="00EF2C8C" w:rsidRDefault="00EF2C8C" w:rsidP="001B6120">
            <w:pPr>
              <w:jc w:val="center"/>
              <w:rPr>
                <w:rFonts w:ascii="Palatino Linotype" w:hAnsi="Palatino Linotype" w:cs="Arial"/>
                <w:b/>
              </w:rPr>
            </w:pPr>
          </w:p>
          <w:p w:rsidR="00651BF4" w:rsidRPr="00C4501B" w:rsidRDefault="00DB7FA0" w:rsidP="001B6120">
            <w:pPr>
              <w:jc w:val="center"/>
              <w:rPr>
                <w:rFonts w:ascii="Palatino Linotype" w:hAnsi="Palatino Linotype" w:cs="Arial"/>
                <w:b/>
              </w:rPr>
            </w:pPr>
            <w:r>
              <w:rPr>
                <w:rFonts w:ascii="Palatino Linotype" w:hAnsi="Palatino Linotype" w:cs="Arial"/>
                <w:b/>
              </w:rPr>
              <w:t>Alexis Tapia Ramírez</w:t>
            </w:r>
          </w:p>
          <w:p w:rsidR="00651BF4" w:rsidRPr="00C4501B" w:rsidRDefault="00651BF4" w:rsidP="001B6120">
            <w:pPr>
              <w:jc w:val="center"/>
              <w:rPr>
                <w:rFonts w:ascii="Palatino Linotype" w:hAnsi="Palatino Linotype" w:cs="Arial"/>
              </w:rPr>
            </w:pPr>
            <w:r w:rsidRPr="00C4501B">
              <w:rPr>
                <w:rFonts w:ascii="Palatino Linotype" w:hAnsi="Palatino Linotype" w:cs="Arial"/>
              </w:rPr>
              <w:t>Secretari</w:t>
            </w:r>
            <w:r w:rsidR="00DB7FA0">
              <w:rPr>
                <w:rFonts w:ascii="Palatino Linotype" w:hAnsi="Palatino Linotype" w:cs="Arial"/>
              </w:rPr>
              <w:t>o</w:t>
            </w:r>
            <w:r w:rsidRPr="00C4501B">
              <w:rPr>
                <w:rFonts w:ascii="Palatino Linotype" w:hAnsi="Palatino Linotype" w:cs="Arial"/>
              </w:rPr>
              <w:t xml:space="preserve"> Técnic</w:t>
            </w:r>
            <w:r w:rsidR="00DB7FA0">
              <w:rPr>
                <w:rFonts w:ascii="Palatino Linotype" w:hAnsi="Palatino Linotype" w:cs="Arial"/>
              </w:rPr>
              <w:t>o</w:t>
            </w:r>
            <w:r w:rsidRPr="00C4501B">
              <w:rPr>
                <w:rFonts w:ascii="Palatino Linotype" w:hAnsi="Palatino Linotype" w:cs="Arial"/>
              </w:rPr>
              <w:t xml:space="preserve"> del Pleno</w:t>
            </w:r>
          </w:p>
          <w:p w:rsidR="00651BF4" w:rsidRPr="007F0BDD" w:rsidRDefault="00651BF4" w:rsidP="001B6120">
            <w:pPr>
              <w:jc w:val="center"/>
              <w:rPr>
                <w:rFonts w:ascii="Palatino Linotype" w:hAnsi="Palatino Linotype" w:cs="Arial"/>
                <w:b/>
                <w:color w:val="FFFFFF" w:themeColor="background1"/>
              </w:rPr>
            </w:pPr>
            <w:r w:rsidRPr="007F0BDD">
              <w:rPr>
                <w:rFonts w:ascii="Palatino Linotype" w:hAnsi="Palatino Linotype" w:cs="Arial"/>
                <w:b/>
                <w:color w:val="FFFFFF" w:themeColor="background1"/>
              </w:rPr>
              <w:t>(RÚBRICA)</w:t>
            </w:r>
          </w:p>
          <w:p w:rsidR="009B6E0A" w:rsidRPr="00C4501B" w:rsidRDefault="009B6E0A" w:rsidP="001B6120">
            <w:pPr>
              <w:jc w:val="center"/>
              <w:rPr>
                <w:rFonts w:ascii="Palatino Linotype" w:hAnsi="Palatino Linotype" w:cs="Arial"/>
              </w:rPr>
            </w:pPr>
          </w:p>
        </w:tc>
      </w:tr>
    </w:tbl>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EF2C8C" w:rsidRDefault="00EF2C8C" w:rsidP="000C7CD9">
      <w:pPr>
        <w:jc w:val="both"/>
        <w:rPr>
          <w:rFonts w:ascii="Palatino Linotype" w:hAnsi="Palatino Linotype" w:cs="Arial"/>
          <w:sz w:val="20"/>
          <w:szCs w:val="20"/>
        </w:rPr>
      </w:pPr>
    </w:p>
    <w:p w:rsidR="008D70A9" w:rsidRPr="001B6120" w:rsidRDefault="00651BF4" w:rsidP="000C7CD9">
      <w:pPr>
        <w:jc w:val="both"/>
        <w:rPr>
          <w:rFonts w:ascii="Palatino Linotype" w:hAnsi="Palatino Linotype" w:cs="Arial"/>
          <w:sz w:val="20"/>
          <w:szCs w:val="20"/>
        </w:rPr>
      </w:pPr>
      <w:r w:rsidRPr="001B6120">
        <w:rPr>
          <w:rFonts w:ascii="Palatino Linotype" w:hAnsi="Palatino Linotype" w:cs="Arial"/>
          <w:sz w:val="20"/>
          <w:szCs w:val="20"/>
        </w:rPr>
        <w:t xml:space="preserve">Esta hoja corresponde a la resolución de fecha </w:t>
      </w:r>
      <w:r w:rsidR="001B6120" w:rsidRPr="001B6120">
        <w:rPr>
          <w:rFonts w:ascii="Palatino Linotype" w:hAnsi="Palatino Linotype" w:cs="Arial"/>
          <w:sz w:val="20"/>
          <w:szCs w:val="20"/>
        </w:rPr>
        <w:t xml:space="preserve">catorce de agosto de </w:t>
      </w:r>
      <w:r w:rsidR="00BB4C8A" w:rsidRPr="001B6120">
        <w:rPr>
          <w:rFonts w:ascii="Palatino Linotype" w:hAnsi="Palatino Linotype" w:cs="Arial"/>
          <w:sz w:val="20"/>
          <w:szCs w:val="20"/>
        </w:rPr>
        <w:t>dos mil diecinueve,</w:t>
      </w:r>
      <w:r w:rsidRPr="001B6120">
        <w:rPr>
          <w:rFonts w:ascii="Palatino Linotype" w:hAnsi="Palatino Linotype" w:cs="Arial"/>
          <w:sz w:val="20"/>
          <w:szCs w:val="20"/>
        </w:rPr>
        <w:t xml:space="preserve"> emitida en el recurso de revisión número 0</w:t>
      </w:r>
      <w:r w:rsidR="00465EE6" w:rsidRPr="001B6120">
        <w:rPr>
          <w:rFonts w:ascii="Palatino Linotype" w:hAnsi="Palatino Linotype" w:cs="Arial"/>
          <w:sz w:val="20"/>
          <w:szCs w:val="20"/>
        </w:rPr>
        <w:t>402</w:t>
      </w:r>
      <w:r w:rsidR="00BB4C8A" w:rsidRPr="001B6120">
        <w:rPr>
          <w:rFonts w:ascii="Palatino Linotype" w:hAnsi="Palatino Linotype" w:cs="Arial"/>
          <w:sz w:val="20"/>
          <w:szCs w:val="20"/>
        </w:rPr>
        <w:t>7</w:t>
      </w:r>
      <w:r w:rsidRPr="001B6120">
        <w:rPr>
          <w:rFonts w:ascii="Palatino Linotype" w:hAnsi="Palatino Linotype" w:cs="Arial"/>
          <w:sz w:val="20"/>
          <w:szCs w:val="20"/>
        </w:rPr>
        <w:t>/INFOEM/IP/RR/201</w:t>
      </w:r>
      <w:r w:rsidR="00BB4C8A" w:rsidRPr="001B6120">
        <w:rPr>
          <w:rFonts w:ascii="Palatino Linotype" w:hAnsi="Palatino Linotype" w:cs="Arial"/>
          <w:sz w:val="20"/>
          <w:szCs w:val="20"/>
        </w:rPr>
        <w:t>9</w:t>
      </w:r>
      <w:r w:rsidRPr="001B6120">
        <w:rPr>
          <w:rFonts w:ascii="Palatino Linotype" w:hAnsi="Palatino Linotype" w:cs="Arial"/>
          <w:sz w:val="20"/>
          <w:szCs w:val="20"/>
        </w:rPr>
        <w:t xml:space="preserve">. </w:t>
      </w:r>
    </w:p>
    <w:p w:rsidR="003C6789" w:rsidRPr="001B6120" w:rsidRDefault="008D70A9" w:rsidP="000C7CD9">
      <w:pPr>
        <w:jc w:val="both"/>
        <w:rPr>
          <w:rFonts w:ascii="Palatino Linotype" w:hAnsi="Palatino Linotype"/>
          <w:sz w:val="20"/>
          <w:szCs w:val="20"/>
        </w:rPr>
      </w:pPr>
      <w:r w:rsidRPr="001B6120">
        <w:rPr>
          <w:rFonts w:ascii="Palatino Linotype" w:hAnsi="Palatino Linotype" w:cs="Arial"/>
          <w:sz w:val="20"/>
          <w:szCs w:val="20"/>
        </w:rPr>
        <w:t>Y</w:t>
      </w:r>
      <w:r w:rsidR="001B6120">
        <w:rPr>
          <w:rFonts w:ascii="Palatino Linotype" w:hAnsi="Palatino Linotype" w:cs="Arial"/>
          <w:sz w:val="20"/>
          <w:szCs w:val="20"/>
        </w:rPr>
        <w:t>SM/AMV</w:t>
      </w:r>
    </w:p>
    <w:sectPr w:rsidR="003C6789" w:rsidRPr="001B6120" w:rsidSect="00C4501B">
      <w:headerReference w:type="default" r:id="rId40"/>
      <w:footerReference w:type="default" r:id="rId41"/>
      <w:headerReference w:type="first" r:id="rId42"/>
      <w:footerReference w:type="first" r:id="rId43"/>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3920" w:rsidRDefault="00023920" w:rsidP="00C80F8C">
      <w:r>
        <w:separator/>
      </w:r>
    </w:p>
  </w:endnote>
  <w:endnote w:type="continuationSeparator" w:id="0">
    <w:p w:rsidR="00023920" w:rsidRDefault="00023920"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ourier New">
    <w:panose1 w:val="02070309020205020404"/>
    <w:charset w:val="00"/>
    <w:family w:val="modern"/>
    <w:pitch w:val="fixed"/>
    <w:sig w:usb0="E0002AFF" w:usb1="C0007843"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5D5" w:rsidRPr="00A2780F" w:rsidRDefault="008505D5" w:rsidP="00A2780F">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8827B3">
      <w:rPr>
        <w:rFonts w:ascii="Arial" w:hAnsi="Arial" w:cs="Arial"/>
        <w:b/>
        <w:bCs/>
        <w:noProof/>
        <w:sz w:val="20"/>
        <w:szCs w:val="20"/>
      </w:rPr>
      <w:t>2</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8827B3">
      <w:rPr>
        <w:rFonts w:ascii="Arial" w:hAnsi="Arial" w:cs="Arial"/>
        <w:b/>
        <w:bCs/>
        <w:noProof/>
        <w:sz w:val="20"/>
        <w:szCs w:val="20"/>
      </w:rPr>
      <w:t>93</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05D5" w:rsidRPr="00070856" w:rsidRDefault="008505D5" w:rsidP="00070856">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8827B3">
      <w:rPr>
        <w:rFonts w:ascii="Arial" w:hAnsi="Arial" w:cs="Arial"/>
        <w:b/>
        <w:bCs/>
        <w:noProof/>
        <w:sz w:val="20"/>
        <w:szCs w:val="20"/>
      </w:rPr>
      <w:t>1</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8827B3">
      <w:rPr>
        <w:rFonts w:ascii="Arial" w:hAnsi="Arial" w:cs="Arial"/>
        <w:b/>
        <w:bCs/>
        <w:noProof/>
        <w:sz w:val="20"/>
        <w:szCs w:val="20"/>
      </w:rPr>
      <w:t>93</w:t>
    </w:r>
    <w:r w:rsidRPr="00986599">
      <w:rPr>
        <w:rFonts w:ascii="Arial" w:hAnsi="Arial"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3920" w:rsidRDefault="00023920" w:rsidP="00C80F8C">
      <w:r>
        <w:separator/>
      </w:r>
    </w:p>
  </w:footnote>
  <w:footnote w:type="continuationSeparator" w:id="0">
    <w:p w:rsidR="00023920" w:rsidRDefault="00023920" w:rsidP="00C80F8C">
      <w:r>
        <w:continuationSeparator/>
      </w:r>
    </w:p>
  </w:footnote>
  <w:footnote w:id="1">
    <w:p w:rsidR="008505D5" w:rsidRPr="00A60C12" w:rsidRDefault="008505D5">
      <w:pPr>
        <w:pStyle w:val="Textonotapie"/>
        <w:rPr>
          <w:rFonts w:ascii="Palatino Linotype" w:hAnsi="Palatino Linotype"/>
          <w:sz w:val="16"/>
          <w:szCs w:val="16"/>
        </w:rPr>
      </w:pPr>
      <w:r>
        <w:rPr>
          <w:rStyle w:val="Refdenotaalpie"/>
        </w:rPr>
        <w:footnoteRef/>
      </w:r>
      <w:r>
        <w:t xml:space="preserve"> </w:t>
      </w:r>
      <w:hyperlink r:id="rId1" w:history="1">
        <w:r w:rsidRPr="00A60C12">
          <w:rPr>
            <w:rStyle w:val="Hipervnculo"/>
            <w:rFonts w:ascii="Palatino Linotype" w:hAnsi="Palatino Linotype"/>
            <w:color w:val="auto"/>
            <w:sz w:val="16"/>
            <w:szCs w:val="16"/>
          </w:rPr>
          <w:t>https://legislacion.edomex.gob.mx/sites/legislacion.edomex.gob.mx/files/files/pdf/bdo/bdo2019/bdo006.pdf</w:t>
        </w:r>
      </w:hyperlink>
    </w:p>
  </w:footnote>
  <w:footnote w:id="2">
    <w:p w:rsidR="008505D5" w:rsidRPr="009866EA" w:rsidRDefault="008505D5" w:rsidP="004E2C69">
      <w:pPr>
        <w:pStyle w:val="Textonotapie"/>
        <w:jc w:val="both"/>
        <w:rPr>
          <w:rFonts w:ascii="Palatino Linotype" w:hAnsi="Palatino Linotype"/>
          <w:sz w:val="16"/>
          <w:szCs w:val="16"/>
        </w:rPr>
      </w:pPr>
      <w:r w:rsidRPr="008D5670">
        <w:rPr>
          <w:rStyle w:val="Refdenotaalpie"/>
          <w:rFonts w:ascii="Palatino Linotype" w:hAnsi="Palatino Linotype"/>
        </w:rPr>
        <w:footnoteRef/>
      </w:r>
      <w:r w:rsidRPr="008D5670">
        <w:rPr>
          <w:rFonts w:ascii="Palatino Linotype" w:hAnsi="Palatino Linotype"/>
        </w:rPr>
        <w:t xml:space="preserve"> </w:t>
      </w:r>
      <w:r w:rsidRPr="009866EA">
        <w:rPr>
          <w:rFonts w:ascii="Palatino Linotype" w:hAnsi="Palatino Linotype"/>
          <w:sz w:val="16"/>
          <w:szCs w:val="16"/>
        </w:rPr>
        <w:t>De conformidad con los artículos 13 y 181, cuarto párrafo de la Ley de Transparencia y Acceso a la Información Pública del Estado de México y Municipios, los cuales señalan que el Instituto, en el ámbito de sus atribuciones, deberá suplir cualquier deficiencia para garantizar el ejercicio del derecho de acceso a la información, así mismo, durante el procedimiento del  recurso de revisión debe aplicar la suplencia de la queja a favor del recurrente, sin cambiar los hechos expuestos, asegurándose de que las partes puedan presentar, de manera oral o escrita, los argumentos que funden y motiven sus pretensiones.</w:t>
      </w:r>
    </w:p>
  </w:footnote>
  <w:footnote w:id="3">
    <w:p w:rsidR="008505D5" w:rsidRPr="00D96EA7" w:rsidRDefault="008505D5" w:rsidP="009866EA">
      <w:pPr>
        <w:pStyle w:val="Textonotapie"/>
        <w:rPr>
          <w:rFonts w:ascii="Palatino Linotype" w:hAnsi="Palatino Linotype"/>
          <w:sz w:val="16"/>
        </w:rPr>
      </w:pPr>
      <w:r>
        <w:rPr>
          <w:rStyle w:val="Refdenotaalpie"/>
        </w:rPr>
        <w:footnoteRef/>
      </w:r>
      <w:r>
        <w:t xml:space="preserve"> </w:t>
      </w:r>
      <w:r w:rsidRPr="00D96EA7">
        <w:rPr>
          <w:rFonts w:ascii="Palatino Linotype" w:hAnsi="Palatino Linotype"/>
          <w:sz w:val="16"/>
        </w:rPr>
        <w:t>http://legislacion.edomex.gob.mx/sites/legislacion.edomex.gob.mx/files/files/vigentes/jul113.PDF</w:t>
      </w:r>
    </w:p>
  </w:footnote>
  <w:footnote w:id="4">
    <w:p w:rsidR="008505D5" w:rsidRPr="00275ED3" w:rsidRDefault="008505D5" w:rsidP="009C63B2">
      <w:pPr>
        <w:pStyle w:val="Textonotapie"/>
        <w:rPr>
          <w:rFonts w:ascii="Palatino Linotype" w:hAnsi="Palatino Linotype"/>
          <w:sz w:val="16"/>
        </w:rPr>
      </w:pPr>
      <w:r>
        <w:rPr>
          <w:rStyle w:val="Refdenotaalpie"/>
        </w:rPr>
        <w:footnoteRef/>
      </w:r>
      <w:r>
        <w:t xml:space="preserve"> </w:t>
      </w:r>
      <w:r w:rsidRPr="00275ED3">
        <w:rPr>
          <w:rFonts w:ascii="Palatino Linotype" w:hAnsi="Palatino Linotype"/>
          <w:sz w:val="16"/>
        </w:rPr>
        <w:t>http://legislacion.edomex.gob.mx/sites/legislacion.edomex.gob.mx/files/files/pdf/gct/2018/mar124.pdf</w:t>
      </w:r>
    </w:p>
  </w:footnote>
  <w:footnote w:id="5">
    <w:p w:rsidR="008505D5" w:rsidRDefault="008505D5" w:rsidP="003C6195">
      <w:pPr>
        <w:pStyle w:val="Textonotapie"/>
      </w:pPr>
      <w:r>
        <w:rPr>
          <w:rStyle w:val="Refdenotaalpie"/>
        </w:rPr>
        <w:footnoteRef/>
      </w:r>
      <w:r>
        <w:t xml:space="preserve"> </w:t>
      </w:r>
      <w:r w:rsidRPr="008B7EFC">
        <w:rPr>
          <w:rFonts w:ascii="Palatino Linotype" w:hAnsi="Palatino Linotype"/>
          <w:sz w:val="16"/>
          <w:szCs w:val="16"/>
        </w:rPr>
        <w:t>Artículo 2 de la Ley de la Comisión Federal de Electricidad.</w:t>
      </w:r>
    </w:p>
  </w:footnote>
  <w:footnote w:id="6">
    <w:p w:rsidR="008505D5" w:rsidRPr="008B7EFC" w:rsidRDefault="008505D5" w:rsidP="003C6195">
      <w:pPr>
        <w:pStyle w:val="Textonotapie"/>
        <w:rPr>
          <w:rFonts w:ascii="Palatino Linotype" w:hAnsi="Palatino Linotype"/>
        </w:rPr>
      </w:pPr>
      <w:r w:rsidRPr="008B7EFC">
        <w:rPr>
          <w:rStyle w:val="Refdenotaalpie"/>
          <w:rFonts w:ascii="Palatino Linotype" w:hAnsi="Palatino Linotype"/>
        </w:rPr>
        <w:footnoteRef/>
      </w:r>
      <w:r w:rsidRPr="008B7EFC">
        <w:rPr>
          <w:rFonts w:ascii="Palatino Linotype" w:hAnsi="Palatino Linotype"/>
        </w:rPr>
        <w:t xml:space="preserve"> </w:t>
      </w:r>
      <w:r w:rsidRPr="008B7EFC">
        <w:rPr>
          <w:rFonts w:ascii="Palatino Linotype" w:hAnsi="Palatino Linotype"/>
          <w:sz w:val="16"/>
        </w:rPr>
        <w:t>Artículos 4 y 5, ibídem.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Ind w:w="-142" w:type="dxa"/>
      <w:tblLayout w:type="fixed"/>
      <w:tblLook w:val="04A0" w:firstRow="1" w:lastRow="0" w:firstColumn="1" w:lastColumn="0" w:noHBand="0" w:noVBand="1"/>
    </w:tblPr>
    <w:tblGrid>
      <w:gridCol w:w="3256"/>
      <w:gridCol w:w="2556"/>
      <w:gridCol w:w="3539"/>
    </w:tblGrid>
    <w:tr w:rsidR="008505D5" w:rsidRPr="008F2CCC">
      <w:tc>
        <w:tcPr>
          <w:tcW w:w="3256" w:type="dxa"/>
        </w:tcPr>
        <w:p w:rsidR="008505D5" w:rsidRPr="008F2CCC" w:rsidRDefault="008505D5" w:rsidP="009C1BFA">
          <w:pPr>
            <w:rPr>
              <w:rFonts w:ascii="Palatino Linotype" w:hAnsi="Palatino Linotype"/>
              <w:b/>
              <w:sz w:val="22"/>
              <w:szCs w:val="22"/>
              <w:lang w:val="es-ES_tradnl"/>
            </w:rPr>
          </w:pPr>
        </w:p>
      </w:tc>
      <w:tc>
        <w:tcPr>
          <w:tcW w:w="2556" w:type="dxa"/>
          <w:shd w:val="clear" w:color="auto" w:fill="auto"/>
        </w:tcPr>
        <w:p w:rsidR="008505D5" w:rsidRPr="00664658" w:rsidRDefault="008505D5" w:rsidP="009C1BFA">
          <w:pPr>
            <w:rPr>
              <w:rFonts w:ascii="Palatino Linotype" w:hAnsi="Palatino Linotype"/>
              <w:b/>
              <w:sz w:val="22"/>
              <w:szCs w:val="22"/>
              <w:lang w:val="es-ES_tradnl"/>
            </w:rPr>
          </w:pPr>
          <w:r w:rsidRPr="00664658">
            <w:rPr>
              <w:rFonts w:ascii="Palatino Linotype" w:hAnsi="Palatino Linotype"/>
              <w:b/>
              <w:sz w:val="22"/>
              <w:szCs w:val="22"/>
              <w:lang w:val="es-ES_tradnl"/>
            </w:rPr>
            <w:t>Recurso de revisión:</w:t>
          </w:r>
        </w:p>
      </w:tc>
      <w:tc>
        <w:tcPr>
          <w:tcW w:w="3539" w:type="dxa"/>
          <w:shd w:val="clear" w:color="auto" w:fill="auto"/>
          <w:vAlign w:val="center"/>
        </w:tcPr>
        <w:p w:rsidR="008505D5" w:rsidRPr="00664658" w:rsidRDefault="008505D5" w:rsidP="006D2778">
          <w:pPr>
            <w:jc w:val="both"/>
            <w:rPr>
              <w:rFonts w:ascii="Palatino Linotype" w:hAnsi="Palatino Linotype"/>
              <w:b/>
              <w:sz w:val="22"/>
              <w:szCs w:val="22"/>
              <w:lang w:val="es-ES_tradnl"/>
            </w:rPr>
          </w:pPr>
          <w:r w:rsidRPr="00C4501B">
            <w:rPr>
              <w:rFonts w:ascii="Palatino Linotype" w:hAnsi="Palatino Linotype"/>
              <w:b/>
              <w:sz w:val="22"/>
              <w:szCs w:val="22"/>
              <w:lang w:val="es-ES_tradnl"/>
            </w:rPr>
            <w:t>0</w:t>
          </w:r>
          <w:r>
            <w:rPr>
              <w:rFonts w:ascii="Palatino Linotype" w:hAnsi="Palatino Linotype"/>
              <w:b/>
              <w:sz w:val="22"/>
              <w:szCs w:val="22"/>
              <w:lang w:val="es-ES_tradnl"/>
            </w:rPr>
            <w:t>4027/INFOEM/IP/RR/2019</w:t>
          </w:r>
        </w:p>
      </w:tc>
    </w:tr>
    <w:tr w:rsidR="008505D5" w:rsidRPr="008F2CCC">
      <w:tc>
        <w:tcPr>
          <w:tcW w:w="3256" w:type="dxa"/>
        </w:tcPr>
        <w:p w:rsidR="008505D5" w:rsidRPr="008F2CCC" w:rsidRDefault="008505D5" w:rsidP="00070856">
          <w:pPr>
            <w:rPr>
              <w:rFonts w:ascii="Palatino Linotype" w:hAnsi="Palatino Linotype"/>
              <w:b/>
              <w:sz w:val="22"/>
              <w:szCs w:val="22"/>
              <w:lang w:val="es-ES_tradnl"/>
            </w:rPr>
          </w:pPr>
        </w:p>
      </w:tc>
      <w:tc>
        <w:tcPr>
          <w:tcW w:w="2556" w:type="dxa"/>
          <w:shd w:val="clear" w:color="auto" w:fill="auto"/>
        </w:tcPr>
        <w:p w:rsidR="008505D5" w:rsidRPr="00664658" w:rsidRDefault="008505D5" w:rsidP="00070856">
          <w:pPr>
            <w:rPr>
              <w:rFonts w:ascii="Palatino Linotype" w:hAnsi="Palatino Linotype"/>
              <w:b/>
              <w:sz w:val="22"/>
              <w:szCs w:val="22"/>
              <w:lang w:val="es-ES_tradnl"/>
            </w:rPr>
          </w:pPr>
          <w:r w:rsidRPr="00664658">
            <w:rPr>
              <w:rFonts w:ascii="Palatino Linotype" w:hAnsi="Palatino Linotype"/>
              <w:b/>
              <w:sz w:val="22"/>
              <w:szCs w:val="22"/>
              <w:lang w:val="es-ES_tradnl"/>
            </w:rPr>
            <w:t>Sujeto Obligado:</w:t>
          </w:r>
        </w:p>
      </w:tc>
      <w:tc>
        <w:tcPr>
          <w:tcW w:w="3539" w:type="dxa"/>
          <w:shd w:val="clear" w:color="auto" w:fill="auto"/>
          <w:vAlign w:val="center"/>
        </w:tcPr>
        <w:p w:rsidR="008505D5" w:rsidRPr="00664658" w:rsidRDefault="008505D5" w:rsidP="00A3698A">
          <w:pPr>
            <w:jc w:val="both"/>
            <w:rPr>
              <w:rFonts w:ascii="Palatino Linotype" w:hAnsi="Palatino Linotype"/>
              <w:b/>
              <w:sz w:val="22"/>
              <w:szCs w:val="22"/>
              <w:lang w:val="es-ES_tradnl"/>
            </w:rPr>
          </w:pPr>
          <w:r>
            <w:rPr>
              <w:rFonts w:ascii="Palatino Linotype" w:hAnsi="Palatino Linotype"/>
              <w:b/>
              <w:sz w:val="22"/>
              <w:szCs w:val="22"/>
            </w:rPr>
            <w:t>Ayuntamiento de Almoloya del Río</w:t>
          </w:r>
        </w:p>
      </w:tc>
    </w:tr>
    <w:tr w:rsidR="008505D5" w:rsidRPr="008F2CCC">
      <w:trPr>
        <w:trHeight w:val="228"/>
      </w:trPr>
      <w:tc>
        <w:tcPr>
          <w:tcW w:w="3256" w:type="dxa"/>
        </w:tcPr>
        <w:p w:rsidR="008505D5" w:rsidRPr="008F2CCC" w:rsidRDefault="008505D5" w:rsidP="00070856">
          <w:pPr>
            <w:rPr>
              <w:rFonts w:ascii="Palatino Linotype" w:hAnsi="Palatino Linotype"/>
              <w:b/>
              <w:sz w:val="22"/>
              <w:szCs w:val="22"/>
              <w:lang w:val="es-ES_tradnl"/>
            </w:rPr>
          </w:pPr>
        </w:p>
      </w:tc>
      <w:tc>
        <w:tcPr>
          <w:tcW w:w="2556" w:type="dxa"/>
          <w:shd w:val="clear" w:color="auto" w:fill="auto"/>
        </w:tcPr>
        <w:p w:rsidR="008505D5" w:rsidRPr="00664658" w:rsidRDefault="008505D5" w:rsidP="00070856">
          <w:pPr>
            <w:rPr>
              <w:rFonts w:ascii="Palatino Linotype" w:hAnsi="Palatino Linotype"/>
              <w:b/>
              <w:sz w:val="22"/>
              <w:szCs w:val="22"/>
              <w:lang w:val="es-ES_tradnl"/>
            </w:rPr>
          </w:pPr>
          <w:r>
            <w:rPr>
              <w:rFonts w:ascii="Palatino Linotype" w:hAnsi="Palatino Linotype"/>
              <w:b/>
              <w:sz w:val="22"/>
              <w:szCs w:val="22"/>
              <w:lang w:val="es-ES_tradnl"/>
            </w:rPr>
            <w:t>Comisionada</w:t>
          </w:r>
          <w:r w:rsidRPr="00664658">
            <w:rPr>
              <w:rFonts w:ascii="Palatino Linotype" w:hAnsi="Palatino Linotype"/>
              <w:b/>
              <w:sz w:val="22"/>
              <w:szCs w:val="22"/>
              <w:lang w:val="es-ES_tradnl"/>
            </w:rPr>
            <w:t xml:space="preserve"> ponente:</w:t>
          </w:r>
        </w:p>
      </w:tc>
      <w:tc>
        <w:tcPr>
          <w:tcW w:w="3539" w:type="dxa"/>
          <w:shd w:val="clear" w:color="auto" w:fill="auto"/>
        </w:tcPr>
        <w:p w:rsidR="008505D5" w:rsidRPr="00664658" w:rsidRDefault="008505D5"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rsidR="008505D5" w:rsidRPr="00C05991" w:rsidRDefault="008505D5" w:rsidP="00C05991">
    <w:pPr>
      <w:pStyle w:val="Encabezado"/>
      <w:tabs>
        <w:tab w:val="clear" w:pos="4252"/>
        <w:tab w:val="clear" w:pos="8504"/>
        <w:tab w:val="left" w:pos="2326"/>
      </w:tabs>
      <w:rPr>
        <w:rFonts w:ascii="Palatino Linotype" w:hAnsi="Palatino Linotype"/>
        <w:sz w:val="8"/>
        <w:szCs w:val="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142" w:type="dxa"/>
      <w:tblLayout w:type="fixed"/>
      <w:tblLook w:val="04A0" w:firstRow="1" w:lastRow="0" w:firstColumn="1" w:lastColumn="0" w:noHBand="0" w:noVBand="1"/>
    </w:tblPr>
    <w:tblGrid>
      <w:gridCol w:w="3398"/>
      <w:gridCol w:w="2409"/>
      <w:gridCol w:w="3549"/>
    </w:tblGrid>
    <w:tr w:rsidR="008505D5" w:rsidRPr="008F2CCC">
      <w:tc>
        <w:tcPr>
          <w:tcW w:w="3398" w:type="dxa"/>
          <w:vMerge w:val="restart"/>
        </w:tcPr>
        <w:p w:rsidR="008505D5" w:rsidRPr="008F2CCC" w:rsidRDefault="008505D5" w:rsidP="00A2780F">
          <w:pPr>
            <w:rPr>
              <w:rFonts w:ascii="Palatino Linotype" w:hAnsi="Palatino Linotype"/>
              <w:b/>
              <w:sz w:val="22"/>
              <w:szCs w:val="22"/>
              <w:lang w:val="es-ES_tradnl"/>
            </w:rPr>
          </w:pPr>
        </w:p>
      </w:tc>
      <w:tc>
        <w:tcPr>
          <w:tcW w:w="2409" w:type="dxa"/>
          <w:shd w:val="clear" w:color="auto" w:fill="auto"/>
        </w:tcPr>
        <w:p w:rsidR="008505D5" w:rsidRPr="008F2CCC" w:rsidRDefault="008505D5"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Recurso de revisión:</w:t>
          </w:r>
        </w:p>
      </w:tc>
      <w:tc>
        <w:tcPr>
          <w:tcW w:w="3549" w:type="dxa"/>
          <w:shd w:val="clear" w:color="auto" w:fill="auto"/>
          <w:vAlign w:val="center"/>
        </w:tcPr>
        <w:p w:rsidR="008505D5" w:rsidRPr="008F2CCC" w:rsidRDefault="008505D5" w:rsidP="00547844">
          <w:pPr>
            <w:jc w:val="both"/>
            <w:rPr>
              <w:rFonts w:ascii="Palatino Linotype" w:hAnsi="Palatino Linotype"/>
              <w:b/>
              <w:sz w:val="22"/>
              <w:szCs w:val="22"/>
              <w:lang w:val="es-ES_tradnl"/>
            </w:rPr>
          </w:pPr>
          <w:r>
            <w:rPr>
              <w:rFonts w:ascii="Palatino Linotype" w:hAnsi="Palatino Linotype"/>
              <w:b/>
              <w:sz w:val="22"/>
              <w:szCs w:val="22"/>
              <w:lang w:val="es-ES_tradnl"/>
            </w:rPr>
            <w:t>04027/INFOEM/IP/RR/2019</w:t>
          </w:r>
        </w:p>
      </w:tc>
    </w:tr>
    <w:tr w:rsidR="008505D5" w:rsidRPr="008F2CCC">
      <w:tc>
        <w:tcPr>
          <w:tcW w:w="3398" w:type="dxa"/>
          <w:vMerge/>
        </w:tcPr>
        <w:p w:rsidR="008505D5" w:rsidRPr="008F2CCC" w:rsidRDefault="008505D5" w:rsidP="00A2780F">
          <w:pPr>
            <w:rPr>
              <w:rFonts w:ascii="Palatino Linotype" w:hAnsi="Palatino Linotype"/>
              <w:b/>
              <w:sz w:val="22"/>
              <w:szCs w:val="22"/>
              <w:lang w:val="es-ES_tradnl"/>
            </w:rPr>
          </w:pPr>
        </w:p>
      </w:tc>
      <w:tc>
        <w:tcPr>
          <w:tcW w:w="2409" w:type="dxa"/>
          <w:shd w:val="clear" w:color="auto" w:fill="auto"/>
          <w:vAlign w:val="center"/>
        </w:tcPr>
        <w:p w:rsidR="008505D5" w:rsidRPr="008F2CCC" w:rsidRDefault="008505D5"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549" w:type="dxa"/>
          <w:shd w:val="clear" w:color="auto" w:fill="auto"/>
          <w:vAlign w:val="center"/>
        </w:tcPr>
        <w:p w:rsidR="008505D5" w:rsidRPr="008F2CCC" w:rsidRDefault="008827B3" w:rsidP="008827B3">
          <w:pPr>
            <w:jc w:val="both"/>
            <w:rPr>
              <w:rFonts w:ascii="Palatino Linotype" w:hAnsi="Palatino Linotype"/>
              <w:b/>
              <w:sz w:val="22"/>
              <w:szCs w:val="22"/>
              <w:lang w:val="es-ES_tradnl"/>
            </w:rPr>
          </w:pPr>
          <w:r>
            <w:rPr>
              <w:rFonts w:ascii="Palatino Linotype" w:hAnsi="Palatino Linotype"/>
              <w:b/>
              <w:sz w:val="22"/>
              <w:szCs w:val="22"/>
              <w:lang w:val="es-ES_tradnl"/>
            </w:rPr>
            <w:t>XXXXX XXXXXXXX XXXXX</w:t>
          </w:r>
        </w:p>
      </w:tc>
    </w:tr>
    <w:tr w:rsidR="008505D5" w:rsidRPr="008F2CCC">
      <w:trPr>
        <w:trHeight w:val="228"/>
      </w:trPr>
      <w:tc>
        <w:tcPr>
          <w:tcW w:w="3398" w:type="dxa"/>
          <w:vMerge/>
        </w:tcPr>
        <w:p w:rsidR="008505D5" w:rsidRPr="008F2CCC" w:rsidRDefault="008505D5" w:rsidP="00E37C88">
          <w:pPr>
            <w:rPr>
              <w:rFonts w:ascii="Palatino Linotype" w:hAnsi="Palatino Linotype"/>
              <w:b/>
              <w:sz w:val="22"/>
              <w:szCs w:val="22"/>
              <w:lang w:val="es-ES_tradnl"/>
            </w:rPr>
          </w:pPr>
        </w:p>
      </w:tc>
      <w:tc>
        <w:tcPr>
          <w:tcW w:w="2409" w:type="dxa"/>
          <w:shd w:val="clear" w:color="auto" w:fill="auto"/>
        </w:tcPr>
        <w:p w:rsidR="008505D5" w:rsidRPr="008F2CCC" w:rsidRDefault="008505D5"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Sujeto Obligado:</w:t>
          </w:r>
        </w:p>
      </w:tc>
      <w:tc>
        <w:tcPr>
          <w:tcW w:w="3549" w:type="dxa"/>
          <w:shd w:val="clear" w:color="auto" w:fill="auto"/>
          <w:vAlign w:val="center"/>
        </w:tcPr>
        <w:p w:rsidR="008505D5" w:rsidRPr="00462829" w:rsidRDefault="008505D5" w:rsidP="00547844">
          <w:pPr>
            <w:jc w:val="both"/>
            <w:rPr>
              <w:rFonts w:ascii="Palatino Linotype" w:hAnsi="Palatino Linotype"/>
              <w:b/>
              <w:sz w:val="22"/>
              <w:szCs w:val="22"/>
            </w:rPr>
          </w:pPr>
          <w:r>
            <w:rPr>
              <w:rFonts w:ascii="Palatino Linotype" w:hAnsi="Palatino Linotype"/>
              <w:b/>
              <w:sz w:val="22"/>
              <w:szCs w:val="22"/>
            </w:rPr>
            <w:t>Ayuntamiento de Almoloya del Río</w:t>
          </w:r>
        </w:p>
      </w:tc>
    </w:tr>
    <w:tr w:rsidR="008505D5" w:rsidRPr="008F2CCC">
      <w:tc>
        <w:tcPr>
          <w:tcW w:w="3398" w:type="dxa"/>
          <w:vMerge/>
        </w:tcPr>
        <w:p w:rsidR="008505D5" w:rsidRPr="008F2CCC" w:rsidRDefault="008505D5" w:rsidP="00A2780F">
          <w:pPr>
            <w:rPr>
              <w:rFonts w:ascii="Palatino Linotype" w:hAnsi="Palatino Linotype"/>
              <w:b/>
              <w:sz w:val="22"/>
              <w:szCs w:val="22"/>
              <w:lang w:val="es-ES_tradnl"/>
            </w:rPr>
          </w:pPr>
        </w:p>
      </w:tc>
      <w:tc>
        <w:tcPr>
          <w:tcW w:w="2409" w:type="dxa"/>
          <w:shd w:val="clear" w:color="auto" w:fill="auto"/>
        </w:tcPr>
        <w:p w:rsidR="008505D5" w:rsidRPr="008F2CCC" w:rsidRDefault="008505D5" w:rsidP="00547844">
          <w:pPr>
            <w:ind w:right="-959"/>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a</w:t>
          </w:r>
          <w:r w:rsidRPr="008F2CCC">
            <w:rPr>
              <w:rFonts w:ascii="Palatino Linotype" w:hAnsi="Palatino Linotype"/>
              <w:b/>
              <w:sz w:val="22"/>
              <w:szCs w:val="22"/>
              <w:lang w:val="es-ES_tradnl"/>
            </w:rPr>
            <w:t xml:space="preserve"> ponente:</w:t>
          </w:r>
        </w:p>
      </w:tc>
      <w:tc>
        <w:tcPr>
          <w:tcW w:w="3549" w:type="dxa"/>
          <w:shd w:val="clear" w:color="auto" w:fill="auto"/>
        </w:tcPr>
        <w:p w:rsidR="008505D5" w:rsidRPr="008F2CCC" w:rsidRDefault="008505D5" w:rsidP="00547844">
          <w:pPr>
            <w:jc w:val="both"/>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rsidR="008505D5" w:rsidRPr="00C05991" w:rsidRDefault="008505D5">
    <w:pPr>
      <w:pStyle w:val="Encabezad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0C441C"/>
    <w:multiLevelType w:val="hybridMultilevel"/>
    <w:tmpl w:val="E89A0C9C"/>
    <w:lvl w:ilvl="0" w:tplc="2ECE0264">
      <w:start w:val="1"/>
      <w:numFmt w:val="lowerLetter"/>
      <w:lvlText w:val="%1)"/>
      <w:lvlJc w:val="left"/>
      <w:pPr>
        <w:ind w:left="2123" w:hanging="705"/>
      </w:pPr>
      <w:rPr>
        <w:b w:val="0"/>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1">
    <w:nsid w:val="1128601D"/>
    <w:multiLevelType w:val="hybridMultilevel"/>
    <w:tmpl w:val="0F3A8970"/>
    <w:lvl w:ilvl="0" w:tplc="CB8E898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nsid w:val="1B5B21A8"/>
    <w:multiLevelType w:val="hybridMultilevel"/>
    <w:tmpl w:val="0F22D6DA"/>
    <w:lvl w:ilvl="0" w:tplc="641261C0">
      <w:start w:val="7"/>
      <w:numFmt w:val="decimal"/>
      <w:lvlText w:val="%1."/>
      <w:lvlJc w:val="left"/>
      <w:pPr>
        <w:ind w:left="822" w:hanging="348"/>
      </w:pPr>
      <w:rPr>
        <w:rFonts w:ascii="Arial" w:eastAsia="Arial" w:hAnsi="Arial" w:cs="Arial" w:hint="default"/>
        <w:spacing w:val="-22"/>
        <w:w w:val="99"/>
        <w:sz w:val="24"/>
        <w:szCs w:val="24"/>
        <w:lang w:val="es-ES" w:eastAsia="es-ES" w:bidi="es-ES"/>
      </w:rPr>
    </w:lvl>
    <w:lvl w:ilvl="1" w:tplc="027EF8A0">
      <w:start w:val="1"/>
      <w:numFmt w:val="lowerLetter"/>
      <w:lvlText w:val="%2."/>
      <w:lvlJc w:val="left"/>
      <w:pPr>
        <w:ind w:left="1518" w:hanging="336"/>
      </w:pPr>
      <w:rPr>
        <w:rFonts w:ascii="Palatino Linotype" w:eastAsia="Arial" w:hAnsi="Palatino Linotype" w:cs="Arial" w:hint="default"/>
        <w:spacing w:val="-3"/>
        <w:w w:val="99"/>
        <w:sz w:val="22"/>
        <w:szCs w:val="22"/>
        <w:lang w:val="es-ES" w:eastAsia="es-ES" w:bidi="es-ES"/>
      </w:rPr>
    </w:lvl>
    <w:lvl w:ilvl="2" w:tplc="DF8EF81A">
      <w:numFmt w:val="bullet"/>
      <w:lvlText w:val="•"/>
      <w:lvlJc w:val="left"/>
      <w:pPr>
        <w:ind w:left="2357" w:hanging="336"/>
      </w:pPr>
      <w:rPr>
        <w:rFonts w:hint="default"/>
        <w:lang w:val="es-ES" w:eastAsia="es-ES" w:bidi="es-ES"/>
      </w:rPr>
    </w:lvl>
    <w:lvl w:ilvl="3" w:tplc="C7720592">
      <w:numFmt w:val="bullet"/>
      <w:lvlText w:val="•"/>
      <w:lvlJc w:val="left"/>
      <w:pPr>
        <w:ind w:left="3195" w:hanging="336"/>
      </w:pPr>
      <w:rPr>
        <w:rFonts w:hint="default"/>
        <w:lang w:val="es-ES" w:eastAsia="es-ES" w:bidi="es-ES"/>
      </w:rPr>
    </w:lvl>
    <w:lvl w:ilvl="4" w:tplc="25544DF4">
      <w:numFmt w:val="bullet"/>
      <w:lvlText w:val="•"/>
      <w:lvlJc w:val="left"/>
      <w:pPr>
        <w:ind w:left="4033" w:hanging="336"/>
      </w:pPr>
      <w:rPr>
        <w:rFonts w:hint="default"/>
        <w:lang w:val="es-ES" w:eastAsia="es-ES" w:bidi="es-ES"/>
      </w:rPr>
    </w:lvl>
    <w:lvl w:ilvl="5" w:tplc="02DE78C0">
      <w:numFmt w:val="bullet"/>
      <w:lvlText w:val="•"/>
      <w:lvlJc w:val="left"/>
      <w:pPr>
        <w:ind w:left="4871" w:hanging="336"/>
      </w:pPr>
      <w:rPr>
        <w:rFonts w:hint="default"/>
        <w:lang w:val="es-ES" w:eastAsia="es-ES" w:bidi="es-ES"/>
      </w:rPr>
    </w:lvl>
    <w:lvl w:ilvl="6" w:tplc="F9FAB1EE">
      <w:numFmt w:val="bullet"/>
      <w:lvlText w:val="•"/>
      <w:lvlJc w:val="left"/>
      <w:pPr>
        <w:ind w:left="5708" w:hanging="336"/>
      </w:pPr>
      <w:rPr>
        <w:rFonts w:hint="default"/>
        <w:lang w:val="es-ES" w:eastAsia="es-ES" w:bidi="es-ES"/>
      </w:rPr>
    </w:lvl>
    <w:lvl w:ilvl="7" w:tplc="7700B92A">
      <w:numFmt w:val="bullet"/>
      <w:lvlText w:val="•"/>
      <w:lvlJc w:val="left"/>
      <w:pPr>
        <w:ind w:left="6546" w:hanging="336"/>
      </w:pPr>
      <w:rPr>
        <w:rFonts w:hint="default"/>
        <w:lang w:val="es-ES" w:eastAsia="es-ES" w:bidi="es-ES"/>
      </w:rPr>
    </w:lvl>
    <w:lvl w:ilvl="8" w:tplc="20AA9DC6">
      <w:numFmt w:val="bullet"/>
      <w:lvlText w:val="•"/>
      <w:lvlJc w:val="left"/>
      <w:pPr>
        <w:ind w:left="7384" w:hanging="336"/>
      </w:pPr>
      <w:rPr>
        <w:rFonts w:hint="default"/>
        <w:lang w:val="es-ES" w:eastAsia="es-ES" w:bidi="es-ES"/>
      </w:rPr>
    </w:lvl>
  </w:abstractNum>
  <w:abstractNum w:abstractNumId="3">
    <w:nsid w:val="220729B1"/>
    <w:multiLevelType w:val="multilevel"/>
    <w:tmpl w:val="348AE3E4"/>
    <w:lvl w:ilvl="0">
      <w:start w:val="1"/>
      <w:numFmt w:val="lowerLetter"/>
      <w:lvlText w:val="%1."/>
      <w:lvlJc w:val="left"/>
      <w:pPr>
        <w:ind w:left="1406" w:hanging="555"/>
      </w:pPr>
      <w:rPr>
        <w:rFonts w:hint="default"/>
      </w:rPr>
    </w:lvl>
    <w:lvl w:ilvl="1">
      <w:start w:val="1"/>
      <w:numFmt w:val="decimal"/>
      <w:lvlText w:val="%2."/>
      <w:lvlJc w:val="left"/>
      <w:pPr>
        <w:ind w:left="2126" w:hanging="555"/>
      </w:pPr>
      <w:rPr>
        <w:rFonts w:hint="default"/>
      </w:rPr>
    </w:lvl>
    <w:lvl w:ilvl="2" w:tentative="1">
      <w:start w:val="1"/>
      <w:numFmt w:val="lowerRoman"/>
      <w:lvlText w:val="%3."/>
      <w:lvlJc w:val="right"/>
      <w:pPr>
        <w:ind w:left="2651" w:hanging="180"/>
      </w:pPr>
    </w:lvl>
    <w:lvl w:ilvl="3" w:tentative="1">
      <w:start w:val="1"/>
      <w:numFmt w:val="decimal"/>
      <w:lvlText w:val="%4."/>
      <w:lvlJc w:val="left"/>
      <w:pPr>
        <w:ind w:left="3371" w:hanging="360"/>
      </w:pPr>
    </w:lvl>
    <w:lvl w:ilvl="4" w:tentative="1">
      <w:start w:val="1"/>
      <w:numFmt w:val="lowerLetter"/>
      <w:lvlText w:val="%5."/>
      <w:lvlJc w:val="left"/>
      <w:pPr>
        <w:ind w:left="4091" w:hanging="360"/>
      </w:pPr>
    </w:lvl>
    <w:lvl w:ilvl="5" w:tentative="1">
      <w:start w:val="1"/>
      <w:numFmt w:val="lowerRoman"/>
      <w:lvlText w:val="%6."/>
      <w:lvlJc w:val="right"/>
      <w:pPr>
        <w:ind w:left="4811" w:hanging="180"/>
      </w:pPr>
    </w:lvl>
    <w:lvl w:ilvl="6" w:tentative="1">
      <w:start w:val="1"/>
      <w:numFmt w:val="decimal"/>
      <w:lvlText w:val="%7."/>
      <w:lvlJc w:val="left"/>
      <w:pPr>
        <w:ind w:left="5531" w:hanging="360"/>
      </w:pPr>
    </w:lvl>
    <w:lvl w:ilvl="7" w:tentative="1">
      <w:start w:val="1"/>
      <w:numFmt w:val="lowerLetter"/>
      <w:lvlText w:val="%8."/>
      <w:lvlJc w:val="left"/>
      <w:pPr>
        <w:ind w:left="6251" w:hanging="360"/>
      </w:pPr>
    </w:lvl>
    <w:lvl w:ilvl="8" w:tentative="1">
      <w:start w:val="1"/>
      <w:numFmt w:val="lowerRoman"/>
      <w:lvlText w:val="%9."/>
      <w:lvlJc w:val="right"/>
      <w:pPr>
        <w:ind w:left="6971" w:hanging="180"/>
      </w:pPr>
    </w:lvl>
  </w:abstractNum>
  <w:abstractNum w:abstractNumId="4">
    <w:nsid w:val="282008AE"/>
    <w:multiLevelType w:val="hybridMultilevel"/>
    <w:tmpl w:val="1EC4C2D8"/>
    <w:lvl w:ilvl="0" w:tplc="63A2DE36">
      <w:start w:val="20"/>
      <w:numFmt w:val="decimal"/>
      <w:lvlText w:val="%1."/>
      <w:lvlJc w:val="left"/>
      <w:pPr>
        <w:ind w:left="702" w:hanging="348"/>
      </w:pPr>
      <w:rPr>
        <w:rFonts w:ascii="Palatino Linotype" w:eastAsia="Arial" w:hAnsi="Palatino Linotype" w:cs="Arial" w:hint="default"/>
        <w:spacing w:val="-20"/>
        <w:w w:val="99"/>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473615F4"/>
    <w:multiLevelType w:val="hybridMultilevel"/>
    <w:tmpl w:val="DF22A088"/>
    <w:lvl w:ilvl="0" w:tplc="21CCD93C">
      <w:start w:val="4"/>
      <w:numFmt w:val="upperRoman"/>
      <w:lvlText w:val="%1."/>
      <w:lvlJc w:val="left"/>
      <w:pPr>
        <w:ind w:left="714" w:hanging="360"/>
      </w:pPr>
      <w:rPr>
        <w:rFonts w:hint="default"/>
        <w:b/>
        <w:i w:val="0"/>
        <w:caps/>
        <w:color w:val="auto"/>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491E3ACF"/>
    <w:multiLevelType w:val="hybridMultilevel"/>
    <w:tmpl w:val="1520E24A"/>
    <w:lvl w:ilvl="0" w:tplc="CB8E898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nsid w:val="6BCC427E"/>
    <w:multiLevelType w:val="hybridMultilevel"/>
    <w:tmpl w:val="72BE60C4"/>
    <w:lvl w:ilvl="0" w:tplc="C5C4A6DA">
      <w:start w:val="1"/>
      <w:numFmt w:val="lowerLetter"/>
      <w:lvlText w:val="%1."/>
      <w:lvlJc w:val="left"/>
      <w:pPr>
        <w:ind w:left="1518" w:hanging="336"/>
      </w:pPr>
      <w:rPr>
        <w:rFonts w:ascii="Palatino Linotype" w:eastAsia="Arial" w:hAnsi="Palatino Linotype" w:cs="Arial" w:hint="default"/>
        <w:spacing w:val="-3"/>
        <w:w w:val="99"/>
        <w:sz w:val="22"/>
        <w:szCs w:val="22"/>
        <w:lang w:val="es-ES" w:eastAsia="es-ES" w:bidi="es-E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6DF51C2C"/>
    <w:multiLevelType w:val="hybridMultilevel"/>
    <w:tmpl w:val="DE120F48"/>
    <w:lvl w:ilvl="0" w:tplc="89282A16">
      <w:start w:val="1"/>
      <w:numFmt w:val="decimal"/>
      <w:lvlText w:val="%1."/>
      <w:lvlJc w:val="left"/>
      <w:pPr>
        <w:ind w:left="720" w:hanging="360"/>
      </w:pPr>
      <w:rPr>
        <w:i/>
        <w:sz w:val="22"/>
        <w:szCs w:val="22"/>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744F5247"/>
    <w:multiLevelType w:val="hybridMultilevel"/>
    <w:tmpl w:val="15DE313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778B5409"/>
    <w:multiLevelType w:val="hybridMultilevel"/>
    <w:tmpl w:val="6AA6F444"/>
    <w:lvl w:ilvl="0" w:tplc="89282A16">
      <w:start w:val="1"/>
      <w:numFmt w:val="decimal"/>
      <w:lvlText w:val="%1."/>
      <w:lvlJc w:val="left"/>
      <w:pPr>
        <w:ind w:left="720" w:hanging="360"/>
      </w:pPr>
      <w:rPr>
        <w:i/>
        <w:sz w:val="22"/>
        <w:szCs w:val="22"/>
      </w:rPr>
    </w:lvl>
    <w:lvl w:ilvl="1" w:tplc="0C0A0019">
      <w:start w:val="1"/>
      <w:numFmt w:val="lowerLetter"/>
      <w:lvlText w:val="%2."/>
      <w:lvlJc w:val="left"/>
      <w:pPr>
        <w:ind w:left="1440" w:hanging="360"/>
      </w:pPr>
    </w:lvl>
    <w:lvl w:ilvl="2" w:tplc="0C0A0017">
      <w:start w:val="1"/>
      <w:numFmt w:val="lowerLetter"/>
      <w:lvlText w:val="%3)"/>
      <w:lvlJc w:val="lef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
  </w:num>
  <w:num w:numId="2">
    <w:abstractNumId w:val="5"/>
  </w:num>
  <w:num w:numId="3">
    <w:abstractNumId w:val="8"/>
  </w:num>
  <w:num w:numId="4">
    <w:abstractNumId w:val="3"/>
  </w:num>
  <w:num w:numId="5">
    <w:abstractNumId w:val="4"/>
  </w:num>
  <w:num w:numId="6">
    <w:abstractNumId w:val="7"/>
  </w:num>
  <w:num w:numId="7">
    <w:abstractNumId w:val="10"/>
  </w:num>
  <w:num w:numId="8">
    <w:abstractNumId w:val="0"/>
  </w:num>
  <w:num w:numId="9">
    <w:abstractNumId w:val="6"/>
  </w:num>
  <w:num w:numId="10">
    <w:abstractNumId w:val="1"/>
  </w:num>
  <w:num w:numId="11">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A00"/>
    <w:rsid w:val="0000328A"/>
    <w:rsid w:val="0000633D"/>
    <w:rsid w:val="00006EC0"/>
    <w:rsid w:val="00006F2F"/>
    <w:rsid w:val="000074F4"/>
    <w:rsid w:val="000075A8"/>
    <w:rsid w:val="00007FD8"/>
    <w:rsid w:val="000115D3"/>
    <w:rsid w:val="000123CB"/>
    <w:rsid w:val="00013023"/>
    <w:rsid w:val="000142C0"/>
    <w:rsid w:val="000160C6"/>
    <w:rsid w:val="000170A5"/>
    <w:rsid w:val="0001793E"/>
    <w:rsid w:val="0001796B"/>
    <w:rsid w:val="00017EBE"/>
    <w:rsid w:val="00020BD7"/>
    <w:rsid w:val="00020C9F"/>
    <w:rsid w:val="00022DCF"/>
    <w:rsid w:val="00023920"/>
    <w:rsid w:val="0002471C"/>
    <w:rsid w:val="0002472B"/>
    <w:rsid w:val="00024A5F"/>
    <w:rsid w:val="00025DB0"/>
    <w:rsid w:val="000261DB"/>
    <w:rsid w:val="0002685C"/>
    <w:rsid w:val="0002690E"/>
    <w:rsid w:val="00026A3C"/>
    <w:rsid w:val="0003033D"/>
    <w:rsid w:val="00030B10"/>
    <w:rsid w:val="0003134F"/>
    <w:rsid w:val="0003153C"/>
    <w:rsid w:val="000319E2"/>
    <w:rsid w:val="00032403"/>
    <w:rsid w:val="000336D0"/>
    <w:rsid w:val="000337B3"/>
    <w:rsid w:val="000339B9"/>
    <w:rsid w:val="00033B9B"/>
    <w:rsid w:val="00033C79"/>
    <w:rsid w:val="00033E94"/>
    <w:rsid w:val="000356EF"/>
    <w:rsid w:val="00037C19"/>
    <w:rsid w:val="00037DDE"/>
    <w:rsid w:val="00040681"/>
    <w:rsid w:val="0004120D"/>
    <w:rsid w:val="000415DD"/>
    <w:rsid w:val="00041959"/>
    <w:rsid w:val="000423AF"/>
    <w:rsid w:val="00042714"/>
    <w:rsid w:val="000429F0"/>
    <w:rsid w:val="00042A23"/>
    <w:rsid w:val="00042F6A"/>
    <w:rsid w:val="00043943"/>
    <w:rsid w:val="0004406E"/>
    <w:rsid w:val="00044351"/>
    <w:rsid w:val="000446CF"/>
    <w:rsid w:val="00044D0E"/>
    <w:rsid w:val="000464A3"/>
    <w:rsid w:val="00047111"/>
    <w:rsid w:val="00047E38"/>
    <w:rsid w:val="00047E9E"/>
    <w:rsid w:val="00051ADD"/>
    <w:rsid w:val="00051D0A"/>
    <w:rsid w:val="0005265B"/>
    <w:rsid w:val="00052E1B"/>
    <w:rsid w:val="0005363B"/>
    <w:rsid w:val="00053A25"/>
    <w:rsid w:val="00053FA9"/>
    <w:rsid w:val="00054663"/>
    <w:rsid w:val="00055200"/>
    <w:rsid w:val="0005643D"/>
    <w:rsid w:val="00057716"/>
    <w:rsid w:val="000606B4"/>
    <w:rsid w:val="000613E3"/>
    <w:rsid w:val="000618EE"/>
    <w:rsid w:val="00061E9B"/>
    <w:rsid w:val="00062501"/>
    <w:rsid w:val="00062C16"/>
    <w:rsid w:val="00063AEF"/>
    <w:rsid w:val="00064245"/>
    <w:rsid w:val="00065B50"/>
    <w:rsid w:val="00066D71"/>
    <w:rsid w:val="000676DF"/>
    <w:rsid w:val="00070856"/>
    <w:rsid w:val="000725D3"/>
    <w:rsid w:val="0007261F"/>
    <w:rsid w:val="000734E9"/>
    <w:rsid w:val="00073A2F"/>
    <w:rsid w:val="000743DF"/>
    <w:rsid w:val="000755A3"/>
    <w:rsid w:val="00075EA3"/>
    <w:rsid w:val="00076FB1"/>
    <w:rsid w:val="00077B79"/>
    <w:rsid w:val="00077BB8"/>
    <w:rsid w:val="00081B66"/>
    <w:rsid w:val="0008338D"/>
    <w:rsid w:val="00084079"/>
    <w:rsid w:val="0008542A"/>
    <w:rsid w:val="00085973"/>
    <w:rsid w:val="00086980"/>
    <w:rsid w:val="00090CC8"/>
    <w:rsid w:val="000914B9"/>
    <w:rsid w:val="000922B0"/>
    <w:rsid w:val="00092543"/>
    <w:rsid w:val="000925FD"/>
    <w:rsid w:val="00092789"/>
    <w:rsid w:val="00092893"/>
    <w:rsid w:val="00092E31"/>
    <w:rsid w:val="00092F37"/>
    <w:rsid w:val="00095302"/>
    <w:rsid w:val="0009541B"/>
    <w:rsid w:val="0009561B"/>
    <w:rsid w:val="00095950"/>
    <w:rsid w:val="0009628B"/>
    <w:rsid w:val="00096D57"/>
    <w:rsid w:val="00097B14"/>
    <w:rsid w:val="000A0195"/>
    <w:rsid w:val="000A1149"/>
    <w:rsid w:val="000A2B2B"/>
    <w:rsid w:val="000A3D63"/>
    <w:rsid w:val="000A3D76"/>
    <w:rsid w:val="000A4664"/>
    <w:rsid w:val="000A4AAE"/>
    <w:rsid w:val="000A5939"/>
    <w:rsid w:val="000A5A68"/>
    <w:rsid w:val="000A66D7"/>
    <w:rsid w:val="000B11B2"/>
    <w:rsid w:val="000B17FD"/>
    <w:rsid w:val="000B20AC"/>
    <w:rsid w:val="000B3DC6"/>
    <w:rsid w:val="000B3FFD"/>
    <w:rsid w:val="000B5A14"/>
    <w:rsid w:val="000B61F5"/>
    <w:rsid w:val="000B633D"/>
    <w:rsid w:val="000B676D"/>
    <w:rsid w:val="000B68DF"/>
    <w:rsid w:val="000B7784"/>
    <w:rsid w:val="000C0462"/>
    <w:rsid w:val="000C1C1F"/>
    <w:rsid w:val="000C2214"/>
    <w:rsid w:val="000C2832"/>
    <w:rsid w:val="000C2900"/>
    <w:rsid w:val="000C2C6F"/>
    <w:rsid w:val="000C2FB4"/>
    <w:rsid w:val="000C4127"/>
    <w:rsid w:val="000C43BF"/>
    <w:rsid w:val="000C4453"/>
    <w:rsid w:val="000C4806"/>
    <w:rsid w:val="000C4DFA"/>
    <w:rsid w:val="000C53F2"/>
    <w:rsid w:val="000C5B9C"/>
    <w:rsid w:val="000C5D37"/>
    <w:rsid w:val="000C60E2"/>
    <w:rsid w:val="000C617F"/>
    <w:rsid w:val="000C69D0"/>
    <w:rsid w:val="000C7CD9"/>
    <w:rsid w:val="000C7D67"/>
    <w:rsid w:val="000D1B2D"/>
    <w:rsid w:val="000D21C4"/>
    <w:rsid w:val="000D3287"/>
    <w:rsid w:val="000D3AFD"/>
    <w:rsid w:val="000D447F"/>
    <w:rsid w:val="000D4DA5"/>
    <w:rsid w:val="000D5086"/>
    <w:rsid w:val="000D5D68"/>
    <w:rsid w:val="000D6ADD"/>
    <w:rsid w:val="000D6BA3"/>
    <w:rsid w:val="000D75A0"/>
    <w:rsid w:val="000E06D1"/>
    <w:rsid w:val="000E07B7"/>
    <w:rsid w:val="000E0D35"/>
    <w:rsid w:val="000E100D"/>
    <w:rsid w:val="000E3149"/>
    <w:rsid w:val="000E558F"/>
    <w:rsid w:val="000E5C93"/>
    <w:rsid w:val="000E68DA"/>
    <w:rsid w:val="000E6C51"/>
    <w:rsid w:val="000E7182"/>
    <w:rsid w:val="000E71A3"/>
    <w:rsid w:val="000E72D5"/>
    <w:rsid w:val="000E74AC"/>
    <w:rsid w:val="000F0F1C"/>
    <w:rsid w:val="000F2185"/>
    <w:rsid w:val="000F22FE"/>
    <w:rsid w:val="000F2B5F"/>
    <w:rsid w:val="000F2DAA"/>
    <w:rsid w:val="000F304D"/>
    <w:rsid w:val="000F4C20"/>
    <w:rsid w:val="000F528F"/>
    <w:rsid w:val="000F54D4"/>
    <w:rsid w:val="000F55B8"/>
    <w:rsid w:val="000F55EC"/>
    <w:rsid w:val="000F7133"/>
    <w:rsid w:val="000F79EA"/>
    <w:rsid w:val="00100BC0"/>
    <w:rsid w:val="00101BFD"/>
    <w:rsid w:val="001027DA"/>
    <w:rsid w:val="001028C2"/>
    <w:rsid w:val="00102BE0"/>
    <w:rsid w:val="001030D5"/>
    <w:rsid w:val="00104BFE"/>
    <w:rsid w:val="00105E20"/>
    <w:rsid w:val="00106268"/>
    <w:rsid w:val="001063BB"/>
    <w:rsid w:val="00111280"/>
    <w:rsid w:val="00111DBB"/>
    <w:rsid w:val="00111F07"/>
    <w:rsid w:val="00112988"/>
    <w:rsid w:val="00113015"/>
    <w:rsid w:val="00113629"/>
    <w:rsid w:val="001136D3"/>
    <w:rsid w:val="001142CE"/>
    <w:rsid w:val="001149CC"/>
    <w:rsid w:val="00114CC0"/>
    <w:rsid w:val="0011502F"/>
    <w:rsid w:val="0011507B"/>
    <w:rsid w:val="00116272"/>
    <w:rsid w:val="00116376"/>
    <w:rsid w:val="00116D62"/>
    <w:rsid w:val="00120ADA"/>
    <w:rsid w:val="00120C4B"/>
    <w:rsid w:val="00120D8D"/>
    <w:rsid w:val="00121729"/>
    <w:rsid w:val="00121773"/>
    <w:rsid w:val="00121BB3"/>
    <w:rsid w:val="00121CB5"/>
    <w:rsid w:val="00122866"/>
    <w:rsid w:val="00124065"/>
    <w:rsid w:val="00124622"/>
    <w:rsid w:val="001246A7"/>
    <w:rsid w:val="001246D6"/>
    <w:rsid w:val="00124F52"/>
    <w:rsid w:val="001257CB"/>
    <w:rsid w:val="00127558"/>
    <w:rsid w:val="00130303"/>
    <w:rsid w:val="00131466"/>
    <w:rsid w:val="00133607"/>
    <w:rsid w:val="00133D6C"/>
    <w:rsid w:val="0013622C"/>
    <w:rsid w:val="001371A5"/>
    <w:rsid w:val="001378F0"/>
    <w:rsid w:val="00137AEE"/>
    <w:rsid w:val="001406EB"/>
    <w:rsid w:val="00140BE0"/>
    <w:rsid w:val="00141EE7"/>
    <w:rsid w:val="001425F5"/>
    <w:rsid w:val="001433DD"/>
    <w:rsid w:val="0014438A"/>
    <w:rsid w:val="00144BB9"/>
    <w:rsid w:val="00145F32"/>
    <w:rsid w:val="00146D8A"/>
    <w:rsid w:val="00147337"/>
    <w:rsid w:val="00150BAE"/>
    <w:rsid w:val="00151C8C"/>
    <w:rsid w:val="0015349A"/>
    <w:rsid w:val="001554A0"/>
    <w:rsid w:val="00156ECA"/>
    <w:rsid w:val="0016023D"/>
    <w:rsid w:val="00160C20"/>
    <w:rsid w:val="00161318"/>
    <w:rsid w:val="00161664"/>
    <w:rsid w:val="00161908"/>
    <w:rsid w:val="00161EFC"/>
    <w:rsid w:val="00163E4C"/>
    <w:rsid w:val="001642E9"/>
    <w:rsid w:val="0016493E"/>
    <w:rsid w:val="00165069"/>
    <w:rsid w:val="00165420"/>
    <w:rsid w:val="001657E8"/>
    <w:rsid w:val="00166F44"/>
    <w:rsid w:val="001678FD"/>
    <w:rsid w:val="00167D9D"/>
    <w:rsid w:val="0017174F"/>
    <w:rsid w:val="00171E23"/>
    <w:rsid w:val="00172612"/>
    <w:rsid w:val="001757B6"/>
    <w:rsid w:val="00175CC8"/>
    <w:rsid w:val="001779E0"/>
    <w:rsid w:val="00177BBD"/>
    <w:rsid w:val="00177E7F"/>
    <w:rsid w:val="00180098"/>
    <w:rsid w:val="00181250"/>
    <w:rsid w:val="00181D67"/>
    <w:rsid w:val="00182009"/>
    <w:rsid w:val="001820C3"/>
    <w:rsid w:val="001821FD"/>
    <w:rsid w:val="001825CC"/>
    <w:rsid w:val="001826A7"/>
    <w:rsid w:val="001830EE"/>
    <w:rsid w:val="001831E3"/>
    <w:rsid w:val="00183CB1"/>
    <w:rsid w:val="00184442"/>
    <w:rsid w:val="00184A75"/>
    <w:rsid w:val="001854E0"/>
    <w:rsid w:val="00185B0F"/>
    <w:rsid w:val="00187682"/>
    <w:rsid w:val="00187D75"/>
    <w:rsid w:val="001900D7"/>
    <w:rsid w:val="00190588"/>
    <w:rsid w:val="0019119C"/>
    <w:rsid w:val="00191FD4"/>
    <w:rsid w:val="00194C8F"/>
    <w:rsid w:val="00195288"/>
    <w:rsid w:val="0019536A"/>
    <w:rsid w:val="00195662"/>
    <w:rsid w:val="00195F6E"/>
    <w:rsid w:val="001962AC"/>
    <w:rsid w:val="001A0054"/>
    <w:rsid w:val="001A280D"/>
    <w:rsid w:val="001A2917"/>
    <w:rsid w:val="001A328E"/>
    <w:rsid w:val="001A43AC"/>
    <w:rsid w:val="001A4549"/>
    <w:rsid w:val="001A474B"/>
    <w:rsid w:val="001A5211"/>
    <w:rsid w:val="001A59B8"/>
    <w:rsid w:val="001A65E2"/>
    <w:rsid w:val="001A6F9D"/>
    <w:rsid w:val="001B125C"/>
    <w:rsid w:val="001B15F4"/>
    <w:rsid w:val="001B1ABC"/>
    <w:rsid w:val="001B2536"/>
    <w:rsid w:val="001B3698"/>
    <w:rsid w:val="001B3C5C"/>
    <w:rsid w:val="001B3F35"/>
    <w:rsid w:val="001B522E"/>
    <w:rsid w:val="001B5A4E"/>
    <w:rsid w:val="001B6120"/>
    <w:rsid w:val="001C02EC"/>
    <w:rsid w:val="001C074F"/>
    <w:rsid w:val="001C139A"/>
    <w:rsid w:val="001C21AE"/>
    <w:rsid w:val="001C2264"/>
    <w:rsid w:val="001C26E5"/>
    <w:rsid w:val="001C285A"/>
    <w:rsid w:val="001C31CD"/>
    <w:rsid w:val="001C3FB7"/>
    <w:rsid w:val="001C4362"/>
    <w:rsid w:val="001C55E0"/>
    <w:rsid w:val="001C569A"/>
    <w:rsid w:val="001C6036"/>
    <w:rsid w:val="001C60DC"/>
    <w:rsid w:val="001C6BE3"/>
    <w:rsid w:val="001C7515"/>
    <w:rsid w:val="001D0333"/>
    <w:rsid w:val="001D0D4A"/>
    <w:rsid w:val="001D1147"/>
    <w:rsid w:val="001D1592"/>
    <w:rsid w:val="001D197C"/>
    <w:rsid w:val="001D2764"/>
    <w:rsid w:val="001D308C"/>
    <w:rsid w:val="001D308F"/>
    <w:rsid w:val="001D42AE"/>
    <w:rsid w:val="001D4AA3"/>
    <w:rsid w:val="001D4F82"/>
    <w:rsid w:val="001D4F9D"/>
    <w:rsid w:val="001D55E8"/>
    <w:rsid w:val="001D5716"/>
    <w:rsid w:val="001D6003"/>
    <w:rsid w:val="001D61F9"/>
    <w:rsid w:val="001D6F14"/>
    <w:rsid w:val="001D7C26"/>
    <w:rsid w:val="001E1048"/>
    <w:rsid w:val="001E1DDD"/>
    <w:rsid w:val="001E1FBA"/>
    <w:rsid w:val="001E2265"/>
    <w:rsid w:val="001E2AF3"/>
    <w:rsid w:val="001E31B8"/>
    <w:rsid w:val="001E33CF"/>
    <w:rsid w:val="001E3434"/>
    <w:rsid w:val="001E3680"/>
    <w:rsid w:val="001E38B1"/>
    <w:rsid w:val="001E3CCD"/>
    <w:rsid w:val="001E3F74"/>
    <w:rsid w:val="001E3FB1"/>
    <w:rsid w:val="001E47C1"/>
    <w:rsid w:val="001E4855"/>
    <w:rsid w:val="001E6266"/>
    <w:rsid w:val="001E644B"/>
    <w:rsid w:val="001E6B76"/>
    <w:rsid w:val="001E7550"/>
    <w:rsid w:val="001E7B88"/>
    <w:rsid w:val="001F0238"/>
    <w:rsid w:val="001F1F43"/>
    <w:rsid w:val="001F2460"/>
    <w:rsid w:val="001F429F"/>
    <w:rsid w:val="001F4BE7"/>
    <w:rsid w:val="001F5AC5"/>
    <w:rsid w:val="001F6409"/>
    <w:rsid w:val="001F66C9"/>
    <w:rsid w:val="001F6EC4"/>
    <w:rsid w:val="001F6ECB"/>
    <w:rsid w:val="001F6F43"/>
    <w:rsid w:val="001F7F0F"/>
    <w:rsid w:val="001F7FB1"/>
    <w:rsid w:val="00201538"/>
    <w:rsid w:val="002015C4"/>
    <w:rsid w:val="00202781"/>
    <w:rsid w:val="002034BD"/>
    <w:rsid w:val="00204DE3"/>
    <w:rsid w:val="00204FDF"/>
    <w:rsid w:val="00205684"/>
    <w:rsid w:val="00206EF4"/>
    <w:rsid w:val="00212AD4"/>
    <w:rsid w:val="00212E8D"/>
    <w:rsid w:val="00213125"/>
    <w:rsid w:val="002141DB"/>
    <w:rsid w:val="00214EE9"/>
    <w:rsid w:val="0021511B"/>
    <w:rsid w:val="002156E0"/>
    <w:rsid w:val="00215C9B"/>
    <w:rsid w:val="00215DCB"/>
    <w:rsid w:val="002176D1"/>
    <w:rsid w:val="0022088C"/>
    <w:rsid w:val="00220940"/>
    <w:rsid w:val="00220B7B"/>
    <w:rsid w:val="00220EA0"/>
    <w:rsid w:val="00221482"/>
    <w:rsid w:val="0022206C"/>
    <w:rsid w:val="002228CE"/>
    <w:rsid w:val="002235D2"/>
    <w:rsid w:val="002248D9"/>
    <w:rsid w:val="00224F53"/>
    <w:rsid w:val="002252B8"/>
    <w:rsid w:val="002255E0"/>
    <w:rsid w:val="00225A03"/>
    <w:rsid w:val="00226145"/>
    <w:rsid w:val="00227222"/>
    <w:rsid w:val="0022780C"/>
    <w:rsid w:val="00227F49"/>
    <w:rsid w:val="00227FFD"/>
    <w:rsid w:val="00230127"/>
    <w:rsid w:val="00230439"/>
    <w:rsid w:val="00230597"/>
    <w:rsid w:val="0023279B"/>
    <w:rsid w:val="00233ECF"/>
    <w:rsid w:val="00233F58"/>
    <w:rsid w:val="00234622"/>
    <w:rsid w:val="0023487A"/>
    <w:rsid w:val="002362D3"/>
    <w:rsid w:val="002373B0"/>
    <w:rsid w:val="002401C1"/>
    <w:rsid w:val="002419F3"/>
    <w:rsid w:val="00241C56"/>
    <w:rsid w:val="00242562"/>
    <w:rsid w:val="00242F07"/>
    <w:rsid w:val="0024567F"/>
    <w:rsid w:val="002460C9"/>
    <w:rsid w:val="002467A3"/>
    <w:rsid w:val="0024732B"/>
    <w:rsid w:val="00247FF9"/>
    <w:rsid w:val="00250F99"/>
    <w:rsid w:val="00252AFC"/>
    <w:rsid w:val="00253DE8"/>
    <w:rsid w:val="00254045"/>
    <w:rsid w:val="0025472A"/>
    <w:rsid w:val="002552B3"/>
    <w:rsid w:val="00255F02"/>
    <w:rsid w:val="00256CEB"/>
    <w:rsid w:val="00257594"/>
    <w:rsid w:val="0025785D"/>
    <w:rsid w:val="00257FDC"/>
    <w:rsid w:val="00260A74"/>
    <w:rsid w:val="00260C82"/>
    <w:rsid w:val="00261AD7"/>
    <w:rsid w:val="00262D2B"/>
    <w:rsid w:val="00263BFE"/>
    <w:rsid w:val="00265CEC"/>
    <w:rsid w:val="00265D9D"/>
    <w:rsid w:val="002702BD"/>
    <w:rsid w:val="00270723"/>
    <w:rsid w:val="00271AD4"/>
    <w:rsid w:val="00272629"/>
    <w:rsid w:val="002727E6"/>
    <w:rsid w:val="00272BE2"/>
    <w:rsid w:val="002740AF"/>
    <w:rsid w:val="002747B1"/>
    <w:rsid w:val="00274E55"/>
    <w:rsid w:val="0027508D"/>
    <w:rsid w:val="00275106"/>
    <w:rsid w:val="002766F9"/>
    <w:rsid w:val="002768D5"/>
    <w:rsid w:val="00277316"/>
    <w:rsid w:val="00277DD9"/>
    <w:rsid w:val="0028019C"/>
    <w:rsid w:val="002801AF"/>
    <w:rsid w:val="00281159"/>
    <w:rsid w:val="0028167B"/>
    <w:rsid w:val="00281752"/>
    <w:rsid w:val="00281AA4"/>
    <w:rsid w:val="00282679"/>
    <w:rsid w:val="00283929"/>
    <w:rsid w:val="002843D9"/>
    <w:rsid w:val="00284EC9"/>
    <w:rsid w:val="00286B88"/>
    <w:rsid w:val="00290904"/>
    <w:rsid w:val="00290C11"/>
    <w:rsid w:val="002910B6"/>
    <w:rsid w:val="00291CD6"/>
    <w:rsid w:val="00292081"/>
    <w:rsid w:val="002930AD"/>
    <w:rsid w:val="002930F8"/>
    <w:rsid w:val="0029397F"/>
    <w:rsid w:val="00293F4A"/>
    <w:rsid w:val="00294EE7"/>
    <w:rsid w:val="00296F09"/>
    <w:rsid w:val="00297165"/>
    <w:rsid w:val="00297973"/>
    <w:rsid w:val="00297E35"/>
    <w:rsid w:val="002A0A30"/>
    <w:rsid w:val="002A0DD8"/>
    <w:rsid w:val="002A113B"/>
    <w:rsid w:val="002A1156"/>
    <w:rsid w:val="002A1348"/>
    <w:rsid w:val="002A157A"/>
    <w:rsid w:val="002A2814"/>
    <w:rsid w:val="002A3240"/>
    <w:rsid w:val="002A3ABB"/>
    <w:rsid w:val="002A462C"/>
    <w:rsid w:val="002A4B0A"/>
    <w:rsid w:val="002A55D6"/>
    <w:rsid w:val="002A5D39"/>
    <w:rsid w:val="002A707F"/>
    <w:rsid w:val="002A7ADC"/>
    <w:rsid w:val="002B0232"/>
    <w:rsid w:val="002B1EFF"/>
    <w:rsid w:val="002B285A"/>
    <w:rsid w:val="002B29D7"/>
    <w:rsid w:val="002B2AF8"/>
    <w:rsid w:val="002B2F18"/>
    <w:rsid w:val="002B323A"/>
    <w:rsid w:val="002B4301"/>
    <w:rsid w:val="002B53D2"/>
    <w:rsid w:val="002B578D"/>
    <w:rsid w:val="002B6C6F"/>
    <w:rsid w:val="002B7094"/>
    <w:rsid w:val="002B7129"/>
    <w:rsid w:val="002B7403"/>
    <w:rsid w:val="002B7D32"/>
    <w:rsid w:val="002C18C0"/>
    <w:rsid w:val="002C2636"/>
    <w:rsid w:val="002C3FEF"/>
    <w:rsid w:val="002C451D"/>
    <w:rsid w:val="002C6866"/>
    <w:rsid w:val="002C79B8"/>
    <w:rsid w:val="002D2928"/>
    <w:rsid w:val="002D2D55"/>
    <w:rsid w:val="002D334A"/>
    <w:rsid w:val="002D51F7"/>
    <w:rsid w:val="002D5962"/>
    <w:rsid w:val="002D6F1A"/>
    <w:rsid w:val="002D7159"/>
    <w:rsid w:val="002D79D3"/>
    <w:rsid w:val="002E0326"/>
    <w:rsid w:val="002E1112"/>
    <w:rsid w:val="002E1339"/>
    <w:rsid w:val="002E1819"/>
    <w:rsid w:val="002E1BB7"/>
    <w:rsid w:val="002E1EE7"/>
    <w:rsid w:val="002E22AA"/>
    <w:rsid w:val="002E2C96"/>
    <w:rsid w:val="002E3112"/>
    <w:rsid w:val="002E3B36"/>
    <w:rsid w:val="002E45A1"/>
    <w:rsid w:val="002E570A"/>
    <w:rsid w:val="002E5C58"/>
    <w:rsid w:val="002E5E0D"/>
    <w:rsid w:val="002F0C82"/>
    <w:rsid w:val="002F0E65"/>
    <w:rsid w:val="002F18E7"/>
    <w:rsid w:val="002F1A7D"/>
    <w:rsid w:val="002F274B"/>
    <w:rsid w:val="002F281F"/>
    <w:rsid w:val="002F3CC3"/>
    <w:rsid w:val="002F59FA"/>
    <w:rsid w:val="002F60DF"/>
    <w:rsid w:val="002F6259"/>
    <w:rsid w:val="002F69BB"/>
    <w:rsid w:val="002F6E11"/>
    <w:rsid w:val="002F7564"/>
    <w:rsid w:val="002F7A42"/>
    <w:rsid w:val="003010C6"/>
    <w:rsid w:val="00301368"/>
    <w:rsid w:val="0030219F"/>
    <w:rsid w:val="00303AF8"/>
    <w:rsid w:val="003044B2"/>
    <w:rsid w:val="00304BA5"/>
    <w:rsid w:val="003056B1"/>
    <w:rsid w:val="00305F6C"/>
    <w:rsid w:val="00306BCD"/>
    <w:rsid w:val="003071EB"/>
    <w:rsid w:val="003109E6"/>
    <w:rsid w:val="00310EF9"/>
    <w:rsid w:val="003115D4"/>
    <w:rsid w:val="0031165B"/>
    <w:rsid w:val="0031182B"/>
    <w:rsid w:val="0031305F"/>
    <w:rsid w:val="00313499"/>
    <w:rsid w:val="003135FC"/>
    <w:rsid w:val="0031406E"/>
    <w:rsid w:val="00315203"/>
    <w:rsid w:val="003154CE"/>
    <w:rsid w:val="0031694E"/>
    <w:rsid w:val="00316C42"/>
    <w:rsid w:val="00317EC0"/>
    <w:rsid w:val="00320139"/>
    <w:rsid w:val="003204FC"/>
    <w:rsid w:val="00320CD2"/>
    <w:rsid w:val="00321325"/>
    <w:rsid w:val="003226EE"/>
    <w:rsid w:val="00322B03"/>
    <w:rsid w:val="00323088"/>
    <w:rsid w:val="0032361C"/>
    <w:rsid w:val="00324949"/>
    <w:rsid w:val="00324D82"/>
    <w:rsid w:val="0032570C"/>
    <w:rsid w:val="00326BB0"/>
    <w:rsid w:val="00326E8E"/>
    <w:rsid w:val="00326F37"/>
    <w:rsid w:val="0032798D"/>
    <w:rsid w:val="00331A1A"/>
    <w:rsid w:val="003347AD"/>
    <w:rsid w:val="003356AF"/>
    <w:rsid w:val="00335D6D"/>
    <w:rsid w:val="00335EB8"/>
    <w:rsid w:val="00336276"/>
    <w:rsid w:val="003416A0"/>
    <w:rsid w:val="00341783"/>
    <w:rsid w:val="00341E44"/>
    <w:rsid w:val="003421CC"/>
    <w:rsid w:val="00342818"/>
    <w:rsid w:val="00342F46"/>
    <w:rsid w:val="003434BE"/>
    <w:rsid w:val="003442CD"/>
    <w:rsid w:val="00344740"/>
    <w:rsid w:val="00345255"/>
    <w:rsid w:val="003455EA"/>
    <w:rsid w:val="003464F8"/>
    <w:rsid w:val="00351F0F"/>
    <w:rsid w:val="003524B2"/>
    <w:rsid w:val="00352D8A"/>
    <w:rsid w:val="00353134"/>
    <w:rsid w:val="003545CA"/>
    <w:rsid w:val="0035481E"/>
    <w:rsid w:val="00354CDD"/>
    <w:rsid w:val="003552BF"/>
    <w:rsid w:val="003561CB"/>
    <w:rsid w:val="00356E5D"/>
    <w:rsid w:val="003576E8"/>
    <w:rsid w:val="00357994"/>
    <w:rsid w:val="003604F7"/>
    <w:rsid w:val="003605BA"/>
    <w:rsid w:val="003628F4"/>
    <w:rsid w:val="0036306A"/>
    <w:rsid w:val="00365921"/>
    <w:rsid w:val="00365DB3"/>
    <w:rsid w:val="00366317"/>
    <w:rsid w:val="003663F5"/>
    <w:rsid w:val="00366DDB"/>
    <w:rsid w:val="0036781E"/>
    <w:rsid w:val="00367DBB"/>
    <w:rsid w:val="00367DDA"/>
    <w:rsid w:val="00370A22"/>
    <w:rsid w:val="00371F4F"/>
    <w:rsid w:val="003733D9"/>
    <w:rsid w:val="0037348F"/>
    <w:rsid w:val="003734EC"/>
    <w:rsid w:val="00373E0C"/>
    <w:rsid w:val="003745A3"/>
    <w:rsid w:val="00374A74"/>
    <w:rsid w:val="00374B8F"/>
    <w:rsid w:val="00374CA1"/>
    <w:rsid w:val="00375D8B"/>
    <w:rsid w:val="0037796A"/>
    <w:rsid w:val="003801C2"/>
    <w:rsid w:val="003807A8"/>
    <w:rsid w:val="00382A1D"/>
    <w:rsid w:val="00383839"/>
    <w:rsid w:val="00383ACB"/>
    <w:rsid w:val="00384274"/>
    <w:rsid w:val="00384D4E"/>
    <w:rsid w:val="00385020"/>
    <w:rsid w:val="00385BDA"/>
    <w:rsid w:val="0038708D"/>
    <w:rsid w:val="003921AF"/>
    <w:rsid w:val="00392921"/>
    <w:rsid w:val="00392A69"/>
    <w:rsid w:val="003937C6"/>
    <w:rsid w:val="00393881"/>
    <w:rsid w:val="003943AD"/>
    <w:rsid w:val="0039481C"/>
    <w:rsid w:val="00394A80"/>
    <w:rsid w:val="00394C6A"/>
    <w:rsid w:val="00395B29"/>
    <w:rsid w:val="00396D14"/>
    <w:rsid w:val="00397407"/>
    <w:rsid w:val="003A0091"/>
    <w:rsid w:val="003A021D"/>
    <w:rsid w:val="003A04C3"/>
    <w:rsid w:val="003A10A9"/>
    <w:rsid w:val="003A1C98"/>
    <w:rsid w:val="003A3FBF"/>
    <w:rsid w:val="003A52A9"/>
    <w:rsid w:val="003A546B"/>
    <w:rsid w:val="003A5764"/>
    <w:rsid w:val="003A71DD"/>
    <w:rsid w:val="003A79AE"/>
    <w:rsid w:val="003A7A3C"/>
    <w:rsid w:val="003A7F6E"/>
    <w:rsid w:val="003B443B"/>
    <w:rsid w:val="003B4C16"/>
    <w:rsid w:val="003B5491"/>
    <w:rsid w:val="003B5716"/>
    <w:rsid w:val="003B5891"/>
    <w:rsid w:val="003B5C9D"/>
    <w:rsid w:val="003B7AA0"/>
    <w:rsid w:val="003C04E5"/>
    <w:rsid w:val="003C0C03"/>
    <w:rsid w:val="003C0C4B"/>
    <w:rsid w:val="003C0F0A"/>
    <w:rsid w:val="003C0F50"/>
    <w:rsid w:val="003C20B9"/>
    <w:rsid w:val="003C2568"/>
    <w:rsid w:val="003C3640"/>
    <w:rsid w:val="003C3ACE"/>
    <w:rsid w:val="003C3D09"/>
    <w:rsid w:val="003C492A"/>
    <w:rsid w:val="003C549A"/>
    <w:rsid w:val="003C5973"/>
    <w:rsid w:val="003C5BE8"/>
    <w:rsid w:val="003C5FA2"/>
    <w:rsid w:val="003C6195"/>
    <w:rsid w:val="003C65F0"/>
    <w:rsid w:val="003C6789"/>
    <w:rsid w:val="003C718E"/>
    <w:rsid w:val="003D1122"/>
    <w:rsid w:val="003D15B4"/>
    <w:rsid w:val="003D2E78"/>
    <w:rsid w:val="003D2F4B"/>
    <w:rsid w:val="003D355C"/>
    <w:rsid w:val="003D392A"/>
    <w:rsid w:val="003D3A0C"/>
    <w:rsid w:val="003D3EC8"/>
    <w:rsid w:val="003D4F06"/>
    <w:rsid w:val="003D53DD"/>
    <w:rsid w:val="003D5A25"/>
    <w:rsid w:val="003D6B0A"/>
    <w:rsid w:val="003E1926"/>
    <w:rsid w:val="003E2C19"/>
    <w:rsid w:val="003E3AFA"/>
    <w:rsid w:val="003E4A99"/>
    <w:rsid w:val="003E728E"/>
    <w:rsid w:val="003E77DB"/>
    <w:rsid w:val="003E7D00"/>
    <w:rsid w:val="003F012C"/>
    <w:rsid w:val="003F01CE"/>
    <w:rsid w:val="003F1D4C"/>
    <w:rsid w:val="003F1FF7"/>
    <w:rsid w:val="003F216F"/>
    <w:rsid w:val="003F38D6"/>
    <w:rsid w:val="003F4BAB"/>
    <w:rsid w:val="003F614E"/>
    <w:rsid w:val="003F623D"/>
    <w:rsid w:val="004005B5"/>
    <w:rsid w:val="00400744"/>
    <w:rsid w:val="00401583"/>
    <w:rsid w:val="00402A09"/>
    <w:rsid w:val="00402F3F"/>
    <w:rsid w:val="00402FAA"/>
    <w:rsid w:val="004034A7"/>
    <w:rsid w:val="0040454A"/>
    <w:rsid w:val="00404E42"/>
    <w:rsid w:val="0040561A"/>
    <w:rsid w:val="004057A1"/>
    <w:rsid w:val="0040599D"/>
    <w:rsid w:val="00406028"/>
    <w:rsid w:val="0040615F"/>
    <w:rsid w:val="00406EEC"/>
    <w:rsid w:val="00407744"/>
    <w:rsid w:val="00410421"/>
    <w:rsid w:val="00410E81"/>
    <w:rsid w:val="0041135E"/>
    <w:rsid w:val="00411874"/>
    <w:rsid w:val="004130E0"/>
    <w:rsid w:val="00414A19"/>
    <w:rsid w:val="0041542A"/>
    <w:rsid w:val="00416281"/>
    <w:rsid w:val="00417988"/>
    <w:rsid w:val="00420F39"/>
    <w:rsid w:val="00421224"/>
    <w:rsid w:val="00421A22"/>
    <w:rsid w:val="004222D4"/>
    <w:rsid w:val="00422477"/>
    <w:rsid w:val="00422715"/>
    <w:rsid w:val="004234DA"/>
    <w:rsid w:val="004246A4"/>
    <w:rsid w:val="00424C87"/>
    <w:rsid w:val="00424E6C"/>
    <w:rsid w:val="004251B6"/>
    <w:rsid w:val="0042596D"/>
    <w:rsid w:val="00430DA8"/>
    <w:rsid w:val="0043163B"/>
    <w:rsid w:val="00432193"/>
    <w:rsid w:val="004325CE"/>
    <w:rsid w:val="00432DE2"/>
    <w:rsid w:val="0043310A"/>
    <w:rsid w:val="0043395D"/>
    <w:rsid w:val="00433CF2"/>
    <w:rsid w:val="00434C7F"/>
    <w:rsid w:val="0043508A"/>
    <w:rsid w:val="00435CB4"/>
    <w:rsid w:val="004360B6"/>
    <w:rsid w:val="00440391"/>
    <w:rsid w:val="00440475"/>
    <w:rsid w:val="00441D14"/>
    <w:rsid w:val="0044223C"/>
    <w:rsid w:val="00442CA8"/>
    <w:rsid w:val="004435D7"/>
    <w:rsid w:val="00443FDB"/>
    <w:rsid w:val="0044466E"/>
    <w:rsid w:val="00444E6E"/>
    <w:rsid w:val="004456A0"/>
    <w:rsid w:val="004460D0"/>
    <w:rsid w:val="00447744"/>
    <w:rsid w:val="00447789"/>
    <w:rsid w:val="004479AC"/>
    <w:rsid w:val="00447A27"/>
    <w:rsid w:val="00451515"/>
    <w:rsid w:val="0045240E"/>
    <w:rsid w:val="0045460F"/>
    <w:rsid w:val="00455350"/>
    <w:rsid w:val="00456EDA"/>
    <w:rsid w:val="00457A14"/>
    <w:rsid w:val="00460083"/>
    <w:rsid w:val="00460A6E"/>
    <w:rsid w:val="00462595"/>
    <w:rsid w:val="00462829"/>
    <w:rsid w:val="00462E97"/>
    <w:rsid w:val="004631D8"/>
    <w:rsid w:val="00464E47"/>
    <w:rsid w:val="0046557C"/>
    <w:rsid w:val="004656C4"/>
    <w:rsid w:val="00465EE6"/>
    <w:rsid w:val="00466005"/>
    <w:rsid w:val="004678B5"/>
    <w:rsid w:val="004678F1"/>
    <w:rsid w:val="00471C89"/>
    <w:rsid w:val="0047262D"/>
    <w:rsid w:val="00472B2F"/>
    <w:rsid w:val="00472EEC"/>
    <w:rsid w:val="00473992"/>
    <w:rsid w:val="004746D0"/>
    <w:rsid w:val="0047651B"/>
    <w:rsid w:val="00480259"/>
    <w:rsid w:val="00480967"/>
    <w:rsid w:val="00480FD0"/>
    <w:rsid w:val="00481024"/>
    <w:rsid w:val="004810CC"/>
    <w:rsid w:val="00482B20"/>
    <w:rsid w:val="004836DF"/>
    <w:rsid w:val="00483AF3"/>
    <w:rsid w:val="004857CA"/>
    <w:rsid w:val="0048603B"/>
    <w:rsid w:val="004864D1"/>
    <w:rsid w:val="0048694F"/>
    <w:rsid w:val="004873C3"/>
    <w:rsid w:val="00492D24"/>
    <w:rsid w:val="004935D2"/>
    <w:rsid w:val="00493E3D"/>
    <w:rsid w:val="00495278"/>
    <w:rsid w:val="00495E84"/>
    <w:rsid w:val="004A087A"/>
    <w:rsid w:val="004A088B"/>
    <w:rsid w:val="004A2567"/>
    <w:rsid w:val="004A45F9"/>
    <w:rsid w:val="004A475B"/>
    <w:rsid w:val="004A506A"/>
    <w:rsid w:val="004A61CA"/>
    <w:rsid w:val="004A6BB5"/>
    <w:rsid w:val="004A6CD2"/>
    <w:rsid w:val="004A7130"/>
    <w:rsid w:val="004A716C"/>
    <w:rsid w:val="004A7AEE"/>
    <w:rsid w:val="004B1A91"/>
    <w:rsid w:val="004B2C2F"/>
    <w:rsid w:val="004B2E59"/>
    <w:rsid w:val="004B3B51"/>
    <w:rsid w:val="004B3DAC"/>
    <w:rsid w:val="004B4CB8"/>
    <w:rsid w:val="004B5AC6"/>
    <w:rsid w:val="004B5C8D"/>
    <w:rsid w:val="004B5D0B"/>
    <w:rsid w:val="004B60B8"/>
    <w:rsid w:val="004B6890"/>
    <w:rsid w:val="004B705B"/>
    <w:rsid w:val="004C060B"/>
    <w:rsid w:val="004C1AE2"/>
    <w:rsid w:val="004C361B"/>
    <w:rsid w:val="004C4245"/>
    <w:rsid w:val="004C45EE"/>
    <w:rsid w:val="004C4C2C"/>
    <w:rsid w:val="004C64C2"/>
    <w:rsid w:val="004C652E"/>
    <w:rsid w:val="004D0041"/>
    <w:rsid w:val="004D06D1"/>
    <w:rsid w:val="004D0A26"/>
    <w:rsid w:val="004D2AAD"/>
    <w:rsid w:val="004D455F"/>
    <w:rsid w:val="004D5D80"/>
    <w:rsid w:val="004D5EF3"/>
    <w:rsid w:val="004D617C"/>
    <w:rsid w:val="004D6483"/>
    <w:rsid w:val="004E0611"/>
    <w:rsid w:val="004E2C69"/>
    <w:rsid w:val="004E2E1D"/>
    <w:rsid w:val="004E2FC6"/>
    <w:rsid w:val="004E3429"/>
    <w:rsid w:val="004E38AF"/>
    <w:rsid w:val="004E4332"/>
    <w:rsid w:val="004E49DF"/>
    <w:rsid w:val="004E54B5"/>
    <w:rsid w:val="004E5727"/>
    <w:rsid w:val="004E5A11"/>
    <w:rsid w:val="004E6445"/>
    <w:rsid w:val="004E6C22"/>
    <w:rsid w:val="004E7738"/>
    <w:rsid w:val="004F2412"/>
    <w:rsid w:val="004F4C74"/>
    <w:rsid w:val="004F542F"/>
    <w:rsid w:val="004F73FB"/>
    <w:rsid w:val="004F768B"/>
    <w:rsid w:val="005002A6"/>
    <w:rsid w:val="005017C0"/>
    <w:rsid w:val="00502DA2"/>
    <w:rsid w:val="00502E1B"/>
    <w:rsid w:val="00502F43"/>
    <w:rsid w:val="005045D8"/>
    <w:rsid w:val="00504ECD"/>
    <w:rsid w:val="00506111"/>
    <w:rsid w:val="005071D8"/>
    <w:rsid w:val="0051056F"/>
    <w:rsid w:val="005107B7"/>
    <w:rsid w:val="00512195"/>
    <w:rsid w:val="005134D5"/>
    <w:rsid w:val="005135F1"/>
    <w:rsid w:val="0051376A"/>
    <w:rsid w:val="00514973"/>
    <w:rsid w:val="005154C2"/>
    <w:rsid w:val="00522A1D"/>
    <w:rsid w:val="005235A9"/>
    <w:rsid w:val="0052391C"/>
    <w:rsid w:val="00525019"/>
    <w:rsid w:val="00525D52"/>
    <w:rsid w:val="00525ED0"/>
    <w:rsid w:val="00526AFB"/>
    <w:rsid w:val="00527D00"/>
    <w:rsid w:val="00527E43"/>
    <w:rsid w:val="00530750"/>
    <w:rsid w:val="005313A1"/>
    <w:rsid w:val="00532191"/>
    <w:rsid w:val="00532293"/>
    <w:rsid w:val="00532734"/>
    <w:rsid w:val="00533289"/>
    <w:rsid w:val="00534597"/>
    <w:rsid w:val="0053469A"/>
    <w:rsid w:val="005349EA"/>
    <w:rsid w:val="005356F6"/>
    <w:rsid w:val="00537422"/>
    <w:rsid w:val="005377CF"/>
    <w:rsid w:val="005406A4"/>
    <w:rsid w:val="00540F26"/>
    <w:rsid w:val="00541A1C"/>
    <w:rsid w:val="005424CA"/>
    <w:rsid w:val="005426EE"/>
    <w:rsid w:val="00542A86"/>
    <w:rsid w:val="00542CBE"/>
    <w:rsid w:val="005446F5"/>
    <w:rsid w:val="005449EB"/>
    <w:rsid w:val="00545A2E"/>
    <w:rsid w:val="00546C2E"/>
    <w:rsid w:val="00547844"/>
    <w:rsid w:val="00547D0B"/>
    <w:rsid w:val="00550E43"/>
    <w:rsid w:val="0055235E"/>
    <w:rsid w:val="005529BF"/>
    <w:rsid w:val="0055375E"/>
    <w:rsid w:val="00553E83"/>
    <w:rsid w:val="00553FB2"/>
    <w:rsid w:val="00555F0D"/>
    <w:rsid w:val="005560E0"/>
    <w:rsid w:val="0055647C"/>
    <w:rsid w:val="005573C0"/>
    <w:rsid w:val="0055797E"/>
    <w:rsid w:val="00557B6A"/>
    <w:rsid w:val="0056137D"/>
    <w:rsid w:val="00561B68"/>
    <w:rsid w:val="00561FDC"/>
    <w:rsid w:val="00562849"/>
    <w:rsid w:val="0056290A"/>
    <w:rsid w:val="00564773"/>
    <w:rsid w:val="0056486B"/>
    <w:rsid w:val="00564FE3"/>
    <w:rsid w:val="00565A2E"/>
    <w:rsid w:val="0056625C"/>
    <w:rsid w:val="00571B8B"/>
    <w:rsid w:val="00571E5C"/>
    <w:rsid w:val="00572D72"/>
    <w:rsid w:val="0057305F"/>
    <w:rsid w:val="00573869"/>
    <w:rsid w:val="005743E7"/>
    <w:rsid w:val="00574A7B"/>
    <w:rsid w:val="00575715"/>
    <w:rsid w:val="00575767"/>
    <w:rsid w:val="00576B1B"/>
    <w:rsid w:val="00576BEF"/>
    <w:rsid w:val="00576C21"/>
    <w:rsid w:val="005774DB"/>
    <w:rsid w:val="00577656"/>
    <w:rsid w:val="00577849"/>
    <w:rsid w:val="00577F5C"/>
    <w:rsid w:val="005806E5"/>
    <w:rsid w:val="00582170"/>
    <w:rsid w:val="00583CBF"/>
    <w:rsid w:val="00583FFA"/>
    <w:rsid w:val="00584500"/>
    <w:rsid w:val="00585C00"/>
    <w:rsid w:val="00586A9F"/>
    <w:rsid w:val="00587C28"/>
    <w:rsid w:val="005905BE"/>
    <w:rsid w:val="00591EBB"/>
    <w:rsid w:val="005925F3"/>
    <w:rsid w:val="0059283C"/>
    <w:rsid w:val="00592E25"/>
    <w:rsid w:val="0059325B"/>
    <w:rsid w:val="00593535"/>
    <w:rsid w:val="0059401A"/>
    <w:rsid w:val="005942DF"/>
    <w:rsid w:val="00594446"/>
    <w:rsid w:val="00594C1D"/>
    <w:rsid w:val="0059663D"/>
    <w:rsid w:val="00596BF0"/>
    <w:rsid w:val="005A0DD9"/>
    <w:rsid w:val="005A1529"/>
    <w:rsid w:val="005A1F9F"/>
    <w:rsid w:val="005A5D7B"/>
    <w:rsid w:val="005A7E33"/>
    <w:rsid w:val="005B12C5"/>
    <w:rsid w:val="005B1BAB"/>
    <w:rsid w:val="005B23C8"/>
    <w:rsid w:val="005B331F"/>
    <w:rsid w:val="005B5474"/>
    <w:rsid w:val="005B6C71"/>
    <w:rsid w:val="005B7AD1"/>
    <w:rsid w:val="005C1FEE"/>
    <w:rsid w:val="005C21E7"/>
    <w:rsid w:val="005C295E"/>
    <w:rsid w:val="005C3141"/>
    <w:rsid w:val="005C320D"/>
    <w:rsid w:val="005C4E35"/>
    <w:rsid w:val="005C5151"/>
    <w:rsid w:val="005C54BB"/>
    <w:rsid w:val="005C57AE"/>
    <w:rsid w:val="005C6109"/>
    <w:rsid w:val="005C6463"/>
    <w:rsid w:val="005C6980"/>
    <w:rsid w:val="005C71FF"/>
    <w:rsid w:val="005C748D"/>
    <w:rsid w:val="005C7B8A"/>
    <w:rsid w:val="005D0128"/>
    <w:rsid w:val="005D0FD8"/>
    <w:rsid w:val="005D1B56"/>
    <w:rsid w:val="005D2966"/>
    <w:rsid w:val="005D4B10"/>
    <w:rsid w:val="005D4C5B"/>
    <w:rsid w:val="005D5829"/>
    <w:rsid w:val="005D5EC5"/>
    <w:rsid w:val="005D64DA"/>
    <w:rsid w:val="005D7558"/>
    <w:rsid w:val="005E0559"/>
    <w:rsid w:val="005E0B7F"/>
    <w:rsid w:val="005E0DF3"/>
    <w:rsid w:val="005E1D28"/>
    <w:rsid w:val="005E3AB6"/>
    <w:rsid w:val="005E63B2"/>
    <w:rsid w:val="005E6947"/>
    <w:rsid w:val="005E6E3C"/>
    <w:rsid w:val="005E7228"/>
    <w:rsid w:val="005F02F1"/>
    <w:rsid w:val="005F0962"/>
    <w:rsid w:val="005F0E0A"/>
    <w:rsid w:val="005F1C83"/>
    <w:rsid w:val="005F28D3"/>
    <w:rsid w:val="005F2A5D"/>
    <w:rsid w:val="005F39C1"/>
    <w:rsid w:val="005F4830"/>
    <w:rsid w:val="005F4A88"/>
    <w:rsid w:val="005F4E30"/>
    <w:rsid w:val="005F50D7"/>
    <w:rsid w:val="005F54BC"/>
    <w:rsid w:val="005F56AF"/>
    <w:rsid w:val="005F7B54"/>
    <w:rsid w:val="006017E2"/>
    <w:rsid w:val="00604AE6"/>
    <w:rsid w:val="0060623C"/>
    <w:rsid w:val="0060628C"/>
    <w:rsid w:val="00606759"/>
    <w:rsid w:val="0060789A"/>
    <w:rsid w:val="006079D6"/>
    <w:rsid w:val="00611280"/>
    <w:rsid w:val="00612E97"/>
    <w:rsid w:val="00613AB3"/>
    <w:rsid w:val="00613DEA"/>
    <w:rsid w:val="00613E66"/>
    <w:rsid w:val="00613E98"/>
    <w:rsid w:val="00614B17"/>
    <w:rsid w:val="00615999"/>
    <w:rsid w:val="0061607B"/>
    <w:rsid w:val="006160FE"/>
    <w:rsid w:val="006170DA"/>
    <w:rsid w:val="0061732F"/>
    <w:rsid w:val="0061758F"/>
    <w:rsid w:val="00622336"/>
    <w:rsid w:val="00622B4B"/>
    <w:rsid w:val="0062454D"/>
    <w:rsid w:val="00624FE2"/>
    <w:rsid w:val="00625D6F"/>
    <w:rsid w:val="00625F9A"/>
    <w:rsid w:val="006269D2"/>
    <w:rsid w:val="0063015E"/>
    <w:rsid w:val="00630876"/>
    <w:rsid w:val="00630CA9"/>
    <w:rsid w:val="00630DC9"/>
    <w:rsid w:val="00631025"/>
    <w:rsid w:val="00631622"/>
    <w:rsid w:val="00631B28"/>
    <w:rsid w:val="0063355C"/>
    <w:rsid w:val="00633FD4"/>
    <w:rsid w:val="006340C7"/>
    <w:rsid w:val="00634485"/>
    <w:rsid w:val="00634511"/>
    <w:rsid w:val="00634890"/>
    <w:rsid w:val="00635154"/>
    <w:rsid w:val="00635E0E"/>
    <w:rsid w:val="00636140"/>
    <w:rsid w:val="00637D80"/>
    <w:rsid w:val="00640222"/>
    <w:rsid w:val="0064139C"/>
    <w:rsid w:val="006419FA"/>
    <w:rsid w:val="00643765"/>
    <w:rsid w:val="006457A5"/>
    <w:rsid w:val="006464C4"/>
    <w:rsid w:val="0064650B"/>
    <w:rsid w:val="00646DD0"/>
    <w:rsid w:val="00650174"/>
    <w:rsid w:val="006505CC"/>
    <w:rsid w:val="006509D6"/>
    <w:rsid w:val="00651BF4"/>
    <w:rsid w:val="0065218E"/>
    <w:rsid w:val="00652941"/>
    <w:rsid w:val="00653CF4"/>
    <w:rsid w:val="00655403"/>
    <w:rsid w:val="0065631D"/>
    <w:rsid w:val="00660118"/>
    <w:rsid w:val="00660136"/>
    <w:rsid w:val="0066224A"/>
    <w:rsid w:val="00662929"/>
    <w:rsid w:val="00662A81"/>
    <w:rsid w:val="00662E7F"/>
    <w:rsid w:val="00664658"/>
    <w:rsid w:val="00665A47"/>
    <w:rsid w:val="0066688F"/>
    <w:rsid w:val="006673CA"/>
    <w:rsid w:val="00667C5C"/>
    <w:rsid w:val="00670A10"/>
    <w:rsid w:val="00670CC2"/>
    <w:rsid w:val="00670FB6"/>
    <w:rsid w:val="006711CB"/>
    <w:rsid w:val="0067124E"/>
    <w:rsid w:val="00671B0E"/>
    <w:rsid w:val="00671CB6"/>
    <w:rsid w:val="00672ABF"/>
    <w:rsid w:val="0067335C"/>
    <w:rsid w:val="00673E2D"/>
    <w:rsid w:val="006750BA"/>
    <w:rsid w:val="00675509"/>
    <w:rsid w:val="0067591A"/>
    <w:rsid w:val="00676296"/>
    <w:rsid w:val="0067664B"/>
    <w:rsid w:val="00676933"/>
    <w:rsid w:val="0067797F"/>
    <w:rsid w:val="00677D71"/>
    <w:rsid w:val="006808E7"/>
    <w:rsid w:val="00681BBD"/>
    <w:rsid w:val="00681D62"/>
    <w:rsid w:val="00682357"/>
    <w:rsid w:val="0068264A"/>
    <w:rsid w:val="00682EA5"/>
    <w:rsid w:val="006836CA"/>
    <w:rsid w:val="00684A1C"/>
    <w:rsid w:val="006855C3"/>
    <w:rsid w:val="00686102"/>
    <w:rsid w:val="0068633E"/>
    <w:rsid w:val="00686869"/>
    <w:rsid w:val="006868B0"/>
    <w:rsid w:val="006903D6"/>
    <w:rsid w:val="00693878"/>
    <w:rsid w:val="00693E86"/>
    <w:rsid w:val="006957B1"/>
    <w:rsid w:val="00696111"/>
    <w:rsid w:val="006961B7"/>
    <w:rsid w:val="00697028"/>
    <w:rsid w:val="00697C3B"/>
    <w:rsid w:val="00697E10"/>
    <w:rsid w:val="006A02F2"/>
    <w:rsid w:val="006A0D4C"/>
    <w:rsid w:val="006A0DC7"/>
    <w:rsid w:val="006A1BFC"/>
    <w:rsid w:val="006A2EE3"/>
    <w:rsid w:val="006A497F"/>
    <w:rsid w:val="006A5B63"/>
    <w:rsid w:val="006A6BEF"/>
    <w:rsid w:val="006A71F6"/>
    <w:rsid w:val="006A7765"/>
    <w:rsid w:val="006B03BE"/>
    <w:rsid w:val="006B0914"/>
    <w:rsid w:val="006B0962"/>
    <w:rsid w:val="006B0E18"/>
    <w:rsid w:val="006B0FB9"/>
    <w:rsid w:val="006B1DC7"/>
    <w:rsid w:val="006B235C"/>
    <w:rsid w:val="006B298B"/>
    <w:rsid w:val="006B3F4F"/>
    <w:rsid w:val="006B51F8"/>
    <w:rsid w:val="006C02C7"/>
    <w:rsid w:val="006C3A17"/>
    <w:rsid w:val="006C5127"/>
    <w:rsid w:val="006C7581"/>
    <w:rsid w:val="006C767D"/>
    <w:rsid w:val="006D071E"/>
    <w:rsid w:val="006D0C2A"/>
    <w:rsid w:val="006D0E52"/>
    <w:rsid w:val="006D1B0A"/>
    <w:rsid w:val="006D2023"/>
    <w:rsid w:val="006D2625"/>
    <w:rsid w:val="006D2778"/>
    <w:rsid w:val="006D2CA2"/>
    <w:rsid w:val="006D2D7F"/>
    <w:rsid w:val="006D4A76"/>
    <w:rsid w:val="006D4D7E"/>
    <w:rsid w:val="006D5B86"/>
    <w:rsid w:val="006D6201"/>
    <w:rsid w:val="006D6969"/>
    <w:rsid w:val="006D6C57"/>
    <w:rsid w:val="006D6EB9"/>
    <w:rsid w:val="006E1976"/>
    <w:rsid w:val="006E1BB0"/>
    <w:rsid w:val="006E1CD4"/>
    <w:rsid w:val="006E3012"/>
    <w:rsid w:val="006E410B"/>
    <w:rsid w:val="006E4335"/>
    <w:rsid w:val="006E6389"/>
    <w:rsid w:val="006E68E3"/>
    <w:rsid w:val="006E6CFD"/>
    <w:rsid w:val="006E79F3"/>
    <w:rsid w:val="006F0744"/>
    <w:rsid w:val="006F2C62"/>
    <w:rsid w:val="006F30F8"/>
    <w:rsid w:val="006F3599"/>
    <w:rsid w:val="006F3D42"/>
    <w:rsid w:val="006F3F86"/>
    <w:rsid w:val="006F431C"/>
    <w:rsid w:val="006F4369"/>
    <w:rsid w:val="006F55F2"/>
    <w:rsid w:val="006F5A76"/>
    <w:rsid w:val="006F5AB6"/>
    <w:rsid w:val="006F5AD6"/>
    <w:rsid w:val="006F5F90"/>
    <w:rsid w:val="006F61D7"/>
    <w:rsid w:val="006F7279"/>
    <w:rsid w:val="00700436"/>
    <w:rsid w:val="007004CA"/>
    <w:rsid w:val="00700CBB"/>
    <w:rsid w:val="00701189"/>
    <w:rsid w:val="0070224A"/>
    <w:rsid w:val="00703C28"/>
    <w:rsid w:val="007047FD"/>
    <w:rsid w:val="00705741"/>
    <w:rsid w:val="00706079"/>
    <w:rsid w:val="00706CCE"/>
    <w:rsid w:val="007075F2"/>
    <w:rsid w:val="00710016"/>
    <w:rsid w:val="00710255"/>
    <w:rsid w:val="0071255C"/>
    <w:rsid w:val="00712EE0"/>
    <w:rsid w:val="00717401"/>
    <w:rsid w:val="007220B8"/>
    <w:rsid w:val="007221C6"/>
    <w:rsid w:val="0072346E"/>
    <w:rsid w:val="00723616"/>
    <w:rsid w:val="00723C97"/>
    <w:rsid w:val="00723D0D"/>
    <w:rsid w:val="0072452F"/>
    <w:rsid w:val="00724EC4"/>
    <w:rsid w:val="007257BF"/>
    <w:rsid w:val="007263FB"/>
    <w:rsid w:val="00726A39"/>
    <w:rsid w:val="00726D8F"/>
    <w:rsid w:val="00727EB1"/>
    <w:rsid w:val="007304F5"/>
    <w:rsid w:val="00730974"/>
    <w:rsid w:val="007312A1"/>
    <w:rsid w:val="007328BA"/>
    <w:rsid w:val="00732FA0"/>
    <w:rsid w:val="00736C06"/>
    <w:rsid w:val="00740238"/>
    <w:rsid w:val="00740494"/>
    <w:rsid w:val="00740AFD"/>
    <w:rsid w:val="00741046"/>
    <w:rsid w:val="007416A3"/>
    <w:rsid w:val="00742EDD"/>
    <w:rsid w:val="00743F63"/>
    <w:rsid w:val="0074437E"/>
    <w:rsid w:val="00745354"/>
    <w:rsid w:val="007465F0"/>
    <w:rsid w:val="00747261"/>
    <w:rsid w:val="00747331"/>
    <w:rsid w:val="00747C7F"/>
    <w:rsid w:val="00747F64"/>
    <w:rsid w:val="00750D6F"/>
    <w:rsid w:val="00751099"/>
    <w:rsid w:val="00752248"/>
    <w:rsid w:val="007566BA"/>
    <w:rsid w:val="00756B7E"/>
    <w:rsid w:val="00756CF1"/>
    <w:rsid w:val="00756F19"/>
    <w:rsid w:val="007571CA"/>
    <w:rsid w:val="007575DF"/>
    <w:rsid w:val="00757974"/>
    <w:rsid w:val="007613EC"/>
    <w:rsid w:val="00761694"/>
    <w:rsid w:val="00762EBE"/>
    <w:rsid w:val="007631BF"/>
    <w:rsid w:val="007631D9"/>
    <w:rsid w:val="00763C13"/>
    <w:rsid w:val="00766985"/>
    <w:rsid w:val="00767B3E"/>
    <w:rsid w:val="007707A0"/>
    <w:rsid w:val="00771858"/>
    <w:rsid w:val="00772EB1"/>
    <w:rsid w:val="007731FC"/>
    <w:rsid w:val="00773E88"/>
    <w:rsid w:val="00774904"/>
    <w:rsid w:val="00774E92"/>
    <w:rsid w:val="00775764"/>
    <w:rsid w:val="00775786"/>
    <w:rsid w:val="00775F47"/>
    <w:rsid w:val="0077675A"/>
    <w:rsid w:val="00777972"/>
    <w:rsid w:val="00777DB8"/>
    <w:rsid w:val="00777E09"/>
    <w:rsid w:val="00777F9D"/>
    <w:rsid w:val="00780BA2"/>
    <w:rsid w:val="00780F33"/>
    <w:rsid w:val="007811A7"/>
    <w:rsid w:val="00781CF8"/>
    <w:rsid w:val="00782203"/>
    <w:rsid w:val="00782CD2"/>
    <w:rsid w:val="00783CBA"/>
    <w:rsid w:val="0078534B"/>
    <w:rsid w:val="00785735"/>
    <w:rsid w:val="0078687F"/>
    <w:rsid w:val="007873F9"/>
    <w:rsid w:val="007925D7"/>
    <w:rsid w:val="00792819"/>
    <w:rsid w:val="00792979"/>
    <w:rsid w:val="007930FE"/>
    <w:rsid w:val="00793619"/>
    <w:rsid w:val="007943FF"/>
    <w:rsid w:val="00795322"/>
    <w:rsid w:val="00795DB8"/>
    <w:rsid w:val="007A09B0"/>
    <w:rsid w:val="007A15D0"/>
    <w:rsid w:val="007A2245"/>
    <w:rsid w:val="007A227B"/>
    <w:rsid w:val="007A2F02"/>
    <w:rsid w:val="007A30B1"/>
    <w:rsid w:val="007A3822"/>
    <w:rsid w:val="007A39BA"/>
    <w:rsid w:val="007A3A62"/>
    <w:rsid w:val="007A3D06"/>
    <w:rsid w:val="007A4A82"/>
    <w:rsid w:val="007A5ABD"/>
    <w:rsid w:val="007A5E71"/>
    <w:rsid w:val="007A7982"/>
    <w:rsid w:val="007A7FA6"/>
    <w:rsid w:val="007B01E2"/>
    <w:rsid w:val="007B0311"/>
    <w:rsid w:val="007B0B34"/>
    <w:rsid w:val="007B0B8B"/>
    <w:rsid w:val="007B0F8F"/>
    <w:rsid w:val="007B141A"/>
    <w:rsid w:val="007B1AEE"/>
    <w:rsid w:val="007B1DCE"/>
    <w:rsid w:val="007B1E73"/>
    <w:rsid w:val="007B2274"/>
    <w:rsid w:val="007B261B"/>
    <w:rsid w:val="007B2B6A"/>
    <w:rsid w:val="007B314D"/>
    <w:rsid w:val="007B3CAD"/>
    <w:rsid w:val="007B4C03"/>
    <w:rsid w:val="007B564E"/>
    <w:rsid w:val="007B5C61"/>
    <w:rsid w:val="007B6A1B"/>
    <w:rsid w:val="007C1493"/>
    <w:rsid w:val="007C1D0D"/>
    <w:rsid w:val="007C1FBE"/>
    <w:rsid w:val="007C250D"/>
    <w:rsid w:val="007C2BC5"/>
    <w:rsid w:val="007C2C4B"/>
    <w:rsid w:val="007C46D7"/>
    <w:rsid w:val="007C4AA6"/>
    <w:rsid w:val="007C644A"/>
    <w:rsid w:val="007C64DA"/>
    <w:rsid w:val="007C6664"/>
    <w:rsid w:val="007C6E51"/>
    <w:rsid w:val="007C744C"/>
    <w:rsid w:val="007C74F6"/>
    <w:rsid w:val="007C7DB0"/>
    <w:rsid w:val="007D0F53"/>
    <w:rsid w:val="007D1D94"/>
    <w:rsid w:val="007D2170"/>
    <w:rsid w:val="007D2BC3"/>
    <w:rsid w:val="007D3CE4"/>
    <w:rsid w:val="007D4FF9"/>
    <w:rsid w:val="007D5250"/>
    <w:rsid w:val="007D5FCF"/>
    <w:rsid w:val="007D6583"/>
    <w:rsid w:val="007D6C89"/>
    <w:rsid w:val="007D6D1F"/>
    <w:rsid w:val="007D7B8B"/>
    <w:rsid w:val="007D7E2B"/>
    <w:rsid w:val="007E029A"/>
    <w:rsid w:val="007E050D"/>
    <w:rsid w:val="007E1641"/>
    <w:rsid w:val="007E24D5"/>
    <w:rsid w:val="007E2DEB"/>
    <w:rsid w:val="007E341D"/>
    <w:rsid w:val="007E36A0"/>
    <w:rsid w:val="007E3E3F"/>
    <w:rsid w:val="007E4B86"/>
    <w:rsid w:val="007E4CB2"/>
    <w:rsid w:val="007E4FC7"/>
    <w:rsid w:val="007E552B"/>
    <w:rsid w:val="007E5E4E"/>
    <w:rsid w:val="007E75A5"/>
    <w:rsid w:val="007E7685"/>
    <w:rsid w:val="007F0BDD"/>
    <w:rsid w:val="007F4430"/>
    <w:rsid w:val="007F502F"/>
    <w:rsid w:val="007F5600"/>
    <w:rsid w:val="00802451"/>
    <w:rsid w:val="0080273A"/>
    <w:rsid w:val="00804212"/>
    <w:rsid w:val="00804442"/>
    <w:rsid w:val="00804B03"/>
    <w:rsid w:val="00805A5B"/>
    <w:rsid w:val="00806853"/>
    <w:rsid w:val="00806C71"/>
    <w:rsid w:val="00806D9B"/>
    <w:rsid w:val="00811E51"/>
    <w:rsid w:val="0081501A"/>
    <w:rsid w:val="00815DC6"/>
    <w:rsid w:val="00815F8D"/>
    <w:rsid w:val="0081688A"/>
    <w:rsid w:val="008170E4"/>
    <w:rsid w:val="008170FC"/>
    <w:rsid w:val="008175CE"/>
    <w:rsid w:val="008178E3"/>
    <w:rsid w:val="00817F88"/>
    <w:rsid w:val="00820488"/>
    <w:rsid w:val="0082051C"/>
    <w:rsid w:val="00820B9B"/>
    <w:rsid w:val="00820D1B"/>
    <w:rsid w:val="00821FD5"/>
    <w:rsid w:val="0082293F"/>
    <w:rsid w:val="00824389"/>
    <w:rsid w:val="008245DA"/>
    <w:rsid w:val="008256D6"/>
    <w:rsid w:val="0082576A"/>
    <w:rsid w:val="00826BFD"/>
    <w:rsid w:val="0082710A"/>
    <w:rsid w:val="00827366"/>
    <w:rsid w:val="00827601"/>
    <w:rsid w:val="00827A68"/>
    <w:rsid w:val="008306AF"/>
    <w:rsid w:val="00830EC9"/>
    <w:rsid w:val="00831D36"/>
    <w:rsid w:val="00831DA4"/>
    <w:rsid w:val="00831FA8"/>
    <w:rsid w:val="008320A5"/>
    <w:rsid w:val="00832810"/>
    <w:rsid w:val="00832E2C"/>
    <w:rsid w:val="00833070"/>
    <w:rsid w:val="008345ED"/>
    <w:rsid w:val="00835927"/>
    <w:rsid w:val="008367EE"/>
    <w:rsid w:val="00836CAA"/>
    <w:rsid w:val="00836EA5"/>
    <w:rsid w:val="00840312"/>
    <w:rsid w:val="008403E9"/>
    <w:rsid w:val="008404D4"/>
    <w:rsid w:val="0084074D"/>
    <w:rsid w:val="00840B86"/>
    <w:rsid w:val="00841E4A"/>
    <w:rsid w:val="008422EC"/>
    <w:rsid w:val="00842C7F"/>
    <w:rsid w:val="00844279"/>
    <w:rsid w:val="008448E0"/>
    <w:rsid w:val="00845969"/>
    <w:rsid w:val="008463B5"/>
    <w:rsid w:val="008465C6"/>
    <w:rsid w:val="008467B8"/>
    <w:rsid w:val="00847359"/>
    <w:rsid w:val="00850321"/>
    <w:rsid w:val="008505AA"/>
    <w:rsid w:val="008505D5"/>
    <w:rsid w:val="0085064A"/>
    <w:rsid w:val="00850D60"/>
    <w:rsid w:val="008526EF"/>
    <w:rsid w:val="00853266"/>
    <w:rsid w:val="00853AB4"/>
    <w:rsid w:val="008542F2"/>
    <w:rsid w:val="00854AA7"/>
    <w:rsid w:val="008556EF"/>
    <w:rsid w:val="00855F9F"/>
    <w:rsid w:val="00855FA9"/>
    <w:rsid w:val="008564C8"/>
    <w:rsid w:val="00856541"/>
    <w:rsid w:val="0085683B"/>
    <w:rsid w:val="008570AA"/>
    <w:rsid w:val="008577A8"/>
    <w:rsid w:val="008602B6"/>
    <w:rsid w:val="008603DA"/>
    <w:rsid w:val="008614F0"/>
    <w:rsid w:val="008625E1"/>
    <w:rsid w:val="008632C9"/>
    <w:rsid w:val="008635A5"/>
    <w:rsid w:val="00864429"/>
    <w:rsid w:val="008648F0"/>
    <w:rsid w:val="00864BAF"/>
    <w:rsid w:val="008652F0"/>
    <w:rsid w:val="00865318"/>
    <w:rsid w:val="00865519"/>
    <w:rsid w:val="008661A4"/>
    <w:rsid w:val="00870190"/>
    <w:rsid w:val="00870DC0"/>
    <w:rsid w:val="00871372"/>
    <w:rsid w:val="008718F3"/>
    <w:rsid w:val="00871A0A"/>
    <w:rsid w:val="00872A08"/>
    <w:rsid w:val="0087324A"/>
    <w:rsid w:val="008744AE"/>
    <w:rsid w:val="008755AD"/>
    <w:rsid w:val="008758A6"/>
    <w:rsid w:val="0087604D"/>
    <w:rsid w:val="00876FED"/>
    <w:rsid w:val="00877DA5"/>
    <w:rsid w:val="00881F95"/>
    <w:rsid w:val="008827B3"/>
    <w:rsid w:val="008831C0"/>
    <w:rsid w:val="0088335C"/>
    <w:rsid w:val="00883602"/>
    <w:rsid w:val="008851BF"/>
    <w:rsid w:val="0088649D"/>
    <w:rsid w:val="00886768"/>
    <w:rsid w:val="008876FD"/>
    <w:rsid w:val="00890136"/>
    <w:rsid w:val="0089181D"/>
    <w:rsid w:val="0089193E"/>
    <w:rsid w:val="00892AFC"/>
    <w:rsid w:val="00895F47"/>
    <w:rsid w:val="008978A4"/>
    <w:rsid w:val="008A1390"/>
    <w:rsid w:val="008A1FD4"/>
    <w:rsid w:val="008A1FE7"/>
    <w:rsid w:val="008A2C94"/>
    <w:rsid w:val="008A3331"/>
    <w:rsid w:val="008A3B8A"/>
    <w:rsid w:val="008A4488"/>
    <w:rsid w:val="008A4873"/>
    <w:rsid w:val="008A5B0A"/>
    <w:rsid w:val="008A622A"/>
    <w:rsid w:val="008A6446"/>
    <w:rsid w:val="008A65E6"/>
    <w:rsid w:val="008A7023"/>
    <w:rsid w:val="008A78C5"/>
    <w:rsid w:val="008B0908"/>
    <w:rsid w:val="008B11CC"/>
    <w:rsid w:val="008B1DD6"/>
    <w:rsid w:val="008B2966"/>
    <w:rsid w:val="008B34DD"/>
    <w:rsid w:val="008B5001"/>
    <w:rsid w:val="008B63C9"/>
    <w:rsid w:val="008B756B"/>
    <w:rsid w:val="008C01A1"/>
    <w:rsid w:val="008C17B8"/>
    <w:rsid w:val="008C201B"/>
    <w:rsid w:val="008C2DDE"/>
    <w:rsid w:val="008C3FD5"/>
    <w:rsid w:val="008C473A"/>
    <w:rsid w:val="008C48E7"/>
    <w:rsid w:val="008C706F"/>
    <w:rsid w:val="008C737C"/>
    <w:rsid w:val="008C7D57"/>
    <w:rsid w:val="008D1526"/>
    <w:rsid w:val="008D15E0"/>
    <w:rsid w:val="008D2354"/>
    <w:rsid w:val="008D2B26"/>
    <w:rsid w:val="008D4D58"/>
    <w:rsid w:val="008D4F81"/>
    <w:rsid w:val="008D535D"/>
    <w:rsid w:val="008D564E"/>
    <w:rsid w:val="008D589C"/>
    <w:rsid w:val="008D5E09"/>
    <w:rsid w:val="008D6050"/>
    <w:rsid w:val="008D68C3"/>
    <w:rsid w:val="008D70A9"/>
    <w:rsid w:val="008D773B"/>
    <w:rsid w:val="008D7748"/>
    <w:rsid w:val="008D7EDA"/>
    <w:rsid w:val="008D7FA9"/>
    <w:rsid w:val="008E0597"/>
    <w:rsid w:val="008E06FC"/>
    <w:rsid w:val="008E0942"/>
    <w:rsid w:val="008E1A1B"/>
    <w:rsid w:val="008E1B4E"/>
    <w:rsid w:val="008E1CFD"/>
    <w:rsid w:val="008E2D60"/>
    <w:rsid w:val="008E33FE"/>
    <w:rsid w:val="008E3D18"/>
    <w:rsid w:val="008E4388"/>
    <w:rsid w:val="008E43D6"/>
    <w:rsid w:val="008E5500"/>
    <w:rsid w:val="008E5682"/>
    <w:rsid w:val="008E7111"/>
    <w:rsid w:val="008F0748"/>
    <w:rsid w:val="008F0CD9"/>
    <w:rsid w:val="008F1368"/>
    <w:rsid w:val="008F2E51"/>
    <w:rsid w:val="008F3479"/>
    <w:rsid w:val="008F35D8"/>
    <w:rsid w:val="008F437C"/>
    <w:rsid w:val="008F4E04"/>
    <w:rsid w:val="008F5255"/>
    <w:rsid w:val="008F5667"/>
    <w:rsid w:val="008F5901"/>
    <w:rsid w:val="008F5EEB"/>
    <w:rsid w:val="008F66CC"/>
    <w:rsid w:val="00900F9F"/>
    <w:rsid w:val="009012A7"/>
    <w:rsid w:val="009022B6"/>
    <w:rsid w:val="00902A0B"/>
    <w:rsid w:val="00902B67"/>
    <w:rsid w:val="00902CD7"/>
    <w:rsid w:val="00902F2F"/>
    <w:rsid w:val="00903B60"/>
    <w:rsid w:val="00905581"/>
    <w:rsid w:val="0090705B"/>
    <w:rsid w:val="00910EFB"/>
    <w:rsid w:val="00911D17"/>
    <w:rsid w:val="0091205B"/>
    <w:rsid w:val="009123D8"/>
    <w:rsid w:val="00912424"/>
    <w:rsid w:val="00912DF0"/>
    <w:rsid w:val="00913E2D"/>
    <w:rsid w:val="0091420B"/>
    <w:rsid w:val="00914C1D"/>
    <w:rsid w:val="00914EEA"/>
    <w:rsid w:val="009164CA"/>
    <w:rsid w:val="009168EC"/>
    <w:rsid w:val="00916A02"/>
    <w:rsid w:val="00920678"/>
    <w:rsid w:val="00921AD7"/>
    <w:rsid w:val="0092226E"/>
    <w:rsid w:val="00922BAC"/>
    <w:rsid w:val="00925DA5"/>
    <w:rsid w:val="00926554"/>
    <w:rsid w:val="00926DDC"/>
    <w:rsid w:val="00927577"/>
    <w:rsid w:val="00927AFB"/>
    <w:rsid w:val="00927BD5"/>
    <w:rsid w:val="00931194"/>
    <w:rsid w:val="009317DB"/>
    <w:rsid w:val="00934200"/>
    <w:rsid w:val="0093427C"/>
    <w:rsid w:val="0093517B"/>
    <w:rsid w:val="00936631"/>
    <w:rsid w:val="00936C1A"/>
    <w:rsid w:val="00936EED"/>
    <w:rsid w:val="00937DB0"/>
    <w:rsid w:val="009418EA"/>
    <w:rsid w:val="0094215F"/>
    <w:rsid w:val="0094327C"/>
    <w:rsid w:val="00943778"/>
    <w:rsid w:val="009437EF"/>
    <w:rsid w:val="00943BBB"/>
    <w:rsid w:val="00944D4B"/>
    <w:rsid w:val="00944F4A"/>
    <w:rsid w:val="00944FA4"/>
    <w:rsid w:val="00946543"/>
    <w:rsid w:val="00946719"/>
    <w:rsid w:val="00947C72"/>
    <w:rsid w:val="00947F59"/>
    <w:rsid w:val="009507C2"/>
    <w:rsid w:val="00953838"/>
    <w:rsid w:val="00953A6E"/>
    <w:rsid w:val="00955F29"/>
    <w:rsid w:val="00960DC7"/>
    <w:rsid w:val="00961CA2"/>
    <w:rsid w:val="00961DB2"/>
    <w:rsid w:val="00962209"/>
    <w:rsid w:val="00962A1E"/>
    <w:rsid w:val="00962B7C"/>
    <w:rsid w:val="0096752B"/>
    <w:rsid w:val="00967D92"/>
    <w:rsid w:val="00970496"/>
    <w:rsid w:val="00970E84"/>
    <w:rsid w:val="00970EA0"/>
    <w:rsid w:val="0097283E"/>
    <w:rsid w:val="00972F05"/>
    <w:rsid w:val="009739DD"/>
    <w:rsid w:val="00973BFF"/>
    <w:rsid w:val="00973D02"/>
    <w:rsid w:val="009749E3"/>
    <w:rsid w:val="00975208"/>
    <w:rsid w:val="00975616"/>
    <w:rsid w:val="0097580B"/>
    <w:rsid w:val="00975EB9"/>
    <w:rsid w:val="009776B8"/>
    <w:rsid w:val="00977935"/>
    <w:rsid w:val="009805B5"/>
    <w:rsid w:val="00980E78"/>
    <w:rsid w:val="009813F7"/>
    <w:rsid w:val="009818CF"/>
    <w:rsid w:val="009823F1"/>
    <w:rsid w:val="0098313A"/>
    <w:rsid w:val="009840D9"/>
    <w:rsid w:val="009842F7"/>
    <w:rsid w:val="0098434B"/>
    <w:rsid w:val="0098504C"/>
    <w:rsid w:val="00985DC3"/>
    <w:rsid w:val="009861A9"/>
    <w:rsid w:val="0098667C"/>
    <w:rsid w:val="009866EA"/>
    <w:rsid w:val="00986D99"/>
    <w:rsid w:val="00986F93"/>
    <w:rsid w:val="00990BC0"/>
    <w:rsid w:val="00990BD2"/>
    <w:rsid w:val="00990E33"/>
    <w:rsid w:val="00990FB1"/>
    <w:rsid w:val="00991261"/>
    <w:rsid w:val="0099157D"/>
    <w:rsid w:val="009941A8"/>
    <w:rsid w:val="0099621E"/>
    <w:rsid w:val="00996500"/>
    <w:rsid w:val="009979DE"/>
    <w:rsid w:val="00997A76"/>
    <w:rsid w:val="00997CE9"/>
    <w:rsid w:val="009A0245"/>
    <w:rsid w:val="009A134D"/>
    <w:rsid w:val="009A1C6B"/>
    <w:rsid w:val="009A24A3"/>
    <w:rsid w:val="009A274E"/>
    <w:rsid w:val="009A30EF"/>
    <w:rsid w:val="009A3CAE"/>
    <w:rsid w:val="009A415B"/>
    <w:rsid w:val="009A5A47"/>
    <w:rsid w:val="009A729F"/>
    <w:rsid w:val="009A7391"/>
    <w:rsid w:val="009A76E0"/>
    <w:rsid w:val="009B0B6A"/>
    <w:rsid w:val="009B1C13"/>
    <w:rsid w:val="009B1FA7"/>
    <w:rsid w:val="009B2269"/>
    <w:rsid w:val="009B2ABF"/>
    <w:rsid w:val="009B506E"/>
    <w:rsid w:val="009B5BC1"/>
    <w:rsid w:val="009B6C76"/>
    <w:rsid w:val="009B6E0A"/>
    <w:rsid w:val="009B756F"/>
    <w:rsid w:val="009C0DF7"/>
    <w:rsid w:val="009C1BFA"/>
    <w:rsid w:val="009C1CDE"/>
    <w:rsid w:val="009C2BF8"/>
    <w:rsid w:val="009C34D3"/>
    <w:rsid w:val="009C36D2"/>
    <w:rsid w:val="009C4EB4"/>
    <w:rsid w:val="009C63B2"/>
    <w:rsid w:val="009C6744"/>
    <w:rsid w:val="009D00C1"/>
    <w:rsid w:val="009D044E"/>
    <w:rsid w:val="009D0ED6"/>
    <w:rsid w:val="009D102D"/>
    <w:rsid w:val="009D1831"/>
    <w:rsid w:val="009D25E2"/>
    <w:rsid w:val="009D27E2"/>
    <w:rsid w:val="009D2EC8"/>
    <w:rsid w:val="009D374B"/>
    <w:rsid w:val="009D3EC7"/>
    <w:rsid w:val="009D5C26"/>
    <w:rsid w:val="009D60EF"/>
    <w:rsid w:val="009D617D"/>
    <w:rsid w:val="009D6335"/>
    <w:rsid w:val="009D6B5A"/>
    <w:rsid w:val="009D79B3"/>
    <w:rsid w:val="009E0403"/>
    <w:rsid w:val="009E0DF7"/>
    <w:rsid w:val="009E37B2"/>
    <w:rsid w:val="009E3EB1"/>
    <w:rsid w:val="009E44AB"/>
    <w:rsid w:val="009E4748"/>
    <w:rsid w:val="009E536C"/>
    <w:rsid w:val="009E6ABE"/>
    <w:rsid w:val="009E7309"/>
    <w:rsid w:val="009F07E0"/>
    <w:rsid w:val="009F0961"/>
    <w:rsid w:val="009F0D06"/>
    <w:rsid w:val="009F0EA8"/>
    <w:rsid w:val="009F1AB6"/>
    <w:rsid w:val="009F1CCE"/>
    <w:rsid w:val="009F2705"/>
    <w:rsid w:val="009F2CCB"/>
    <w:rsid w:val="009F40B2"/>
    <w:rsid w:val="009F65C8"/>
    <w:rsid w:val="009F68BC"/>
    <w:rsid w:val="009F6BD2"/>
    <w:rsid w:val="009F6E60"/>
    <w:rsid w:val="009F6F9F"/>
    <w:rsid w:val="009F70E8"/>
    <w:rsid w:val="00A01E11"/>
    <w:rsid w:val="00A0253F"/>
    <w:rsid w:val="00A02787"/>
    <w:rsid w:val="00A033DA"/>
    <w:rsid w:val="00A05730"/>
    <w:rsid w:val="00A060F8"/>
    <w:rsid w:val="00A11C34"/>
    <w:rsid w:val="00A127A4"/>
    <w:rsid w:val="00A139D8"/>
    <w:rsid w:val="00A14A4E"/>
    <w:rsid w:val="00A15BBB"/>
    <w:rsid w:val="00A16374"/>
    <w:rsid w:val="00A166EE"/>
    <w:rsid w:val="00A16D9E"/>
    <w:rsid w:val="00A17BA1"/>
    <w:rsid w:val="00A2014B"/>
    <w:rsid w:val="00A201A9"/>
    <w:rsid w:val="00A20EF5"/>
    <w:rsid w:val="00A21103"/>
    <w:rsid w:val="00A21711"/>
    <w:rsid w:val="00A21B39"/>
    <w:rsid w:val="00A21CFC"/>
    <w:rsid w:val="00A2220E"/>
    <w:rsid w:val="00A2270F"/>
    <w:rsid w:val="00A229A7"/>
    <w:rsid w:val="00A2318E"/>
    <w:rsid w:val="00A2325A"/>
    <w:rsid w:val="00A23E37"/>
    <w:rsid w:val="00A243A0"/>
    <w:rsid w:val="00A24A09"/>
    <w:rsid w:val="00A24B17"/>
    <w:rsid w:val="00A25ADE"/>
    <w:rsid w:val="00A264D3"/>
    <w:rsid w:val="00A2674B"/>
    <w:rsid w:val="00A2780F"/>
    <w:rsid w:val="00A3120A"/>
    <w:rsid w:val="00A317FC"/>
    <w:rsid w:val="00A3183F"/>
    <w:rsid w:val="00A318F1"/>
    <w:rsid w:val="00A31908"/>
    <w:rsid w:val="00A33C9D"/>
    <w:rsid w:val="00A3617A"/>
    <w:rsid w:val="00A3698A"/>
    <w:rsid w:val="00A40452"/>
    <w:rsid w:val="00A40899"/>
    <w:rsid w:val="00A41149"/>
    <w:rsid w:val="00A41CEF"/>
    <w:rsid w:val="00A43E5A"/>
    <w:rsid w:val="00A43ED6"/>
    <w:rsid w:val="00A44239"/>
    <w:rsid w:val="00A44768"/>
    <w:rsid w:val="00A44DC1"/>
    <w:rsid w:val="00A462EE"/>
    <w:rsid w:val="00A464E2"/>
    <w:rsid w:val="00A4689B"/>
    <w:rsid w:val="00A50849"/>
    <w:rsid w:val="00A50948"/>
    <w:rsid w:val="00A51621"/>
    <w:rsid w:val="00A51681"/>
    <w:rsid w:val="00A51BF6"/>
    <w:rsid w:val="00A525E0"/>
    <w:rsid w:val="00A52DF0"/>
    <w:rsid w:val="00A535FE"/>
    <w:rsid w:val="00A56129"/>
    <w:rsid w:val="00A56AE1"/>
    <w:rsid w:val="00A579FB"/>
    <w:rsid w:val="00A57C21"/>
    <w:rsid w:val="00A57CBA"/>
    <w:rsid w:val="00A57EAE"/>
    <w:rsid w:val="00A60552"/>
    <w:rsid w:val="00A60C12"/>
    <w:rsid w:val="00A62F19"/>
    <w:rsid w:val="00A6338B"/>
    <w:rsid w:val="00A635DE"/>
    <w:rsid w:val="00A63958"/>
    <w:rsid w:val="00A640E4"/>
    <w:rsid w:val="00A6429F"/>
    <w:rsid w:val="00A651C5"/>
    <w:rsid w:val="00A65A34"/>
    <w:rsid w:val="00A66E61"/>
    <w:rsid w:val="00A72439"/>
    <w:rsid w:val="00A72FE9"/>
    <w:rsid w:val="00A7350D"/>
    <w:rsid w:val="00A75489"/>
    <w:rsid w:val="00A75EE0"/>
    <w:rsid w:val="00A76DA1"/>
    <w:rsid w:val="00A770A2"/>
    <w:rsid w:val="00A77A85"/>
    <w:rsid w:val="00A81140"/>
    <w:rsid w:val="00A81414"/>
    <w:rsid w:val="00A823C3"/>
    <w:rsid w:val="00A83E7A"/>
    <w:rsid w:val="00A84060"/>
    <w:rsid w:val="00A84169"/>
    <w:rsid w:val="00A846BC"/>
    <w:rsid w:val="00A84790"/>
    <w:rsid w:val="00A84AC9"/>
    <w:rsid w:val="00A84D7E"/>
    <w:rsid w:val="00A8527E"/>
    <w:rsid w:val="00A856F2"/>
    <w:rsid w:val="00A85CA7"/>
    <w:rsid w:val="00A85CB9"/>
    <w:rsid w:val="00A85EFA"/>
    <w:rsid w:val="00A86773"/>
    <w:rsid w:val="00A86C31"/>
    <w:rsid w:val="00A903D4"/>
    <w:rsid w:val="00A905D7"/>
    <w:rsid w:val="00A90A3C"/>
    <w:rsid w:val="00A91766"/>
    <w:rsid w:val="00A91863"/>
    <w:rsid w:val="00A9247A"/>
    <w:rsid w:val="00A92E17"/>
    <w:rsid w:val="00A931CE"/>
    <w:rsid w:val="00A9392A"/>
    <w:rsid w:val="00A94BA0"/>
    <w:rsid w:val="00A95050"/>
    <w:rsid w:val="00A9538C"/>
    <w:rsid w:val="00A95556"/>
    <w:rsid w:val="00A957B8"/>
    <w:rsid w:val="00A957C8"/>
    <w:rsid w:val="00A95AF4"/>
    <w:rsid w:val="00A96B5B"/>
    <w:rsid w:val="00AA034F"/>
    <w:rsid w:val="00AA0A8A"/>
    <w:rsid w:val="00AA1022"/>
    <w:rsid w:val="00AA140F"/>
    <w:rsid w:val="00AA1ED9"/>
    <w:rsid w:val="00AA3251"/>
    <w:rsid w:val="00AA3598"/>
    <w:rsid w:val="00AA3C87"/>
    <w:rsid w:val="00AA48A5"/>
    <w:rsid w:val="00AA4CB1"/>
    <w:rsid w:val="00AA53AA"/>
    <w:rsid w:val="00AA5C2A"/>
    <w:rsid w:val="00AA6C3A"/>
    <w:rsid w:val="00AA6EBE"/>
    <w:rsid w:val="00AA7019"/>
    <w:rsid w:val="00AA766D"/>
    <w:rsid w:val="00AB0425"/>
    <w:rsid w:val="00AB0613"/>
    <w:rsid w:val="00AB159D"/>
    <w:rsid w:val="00AB1847"/>
    <w:rsid w:val="00AB1ECD"/>
    <w:rsid w:val="00AB2802"/>
    <w:rsid w:val="00AB2C63"/>
    <w:rsid w:val="00AB4B9D"/>
    <w:rsid w:val="00AB4D70"/>
    <w:rsid w:val="00AB4E0B"/>
    <w:rsid w:val="00AB5702"/>
    <w:rsid w:val="00AB64B8"/>
    <w:rsid w:val="00AB6C73"/>
    <w:rsid w:val="00AB7563"/>
    <w:rsid w:val="00AC0987"/>
    <w:rsid w:val="00AC0C4F"/>
    <w:rsid w:val="00AC1F74"/>
    <w:rsid w:val="00AC2A1E"/>
    <w:rsid w:val="00AC308B"/>
    <w:rsid w:val="00AC373B"/>
    <w:rsid w:val="00AC3EFF"/>
    <w:rsid w:val="00AC45BA"/>
    <w:rsid w:val="00AC4F7E"/>
    <w:rsid w:val="00AC50B6"/>
    <w:rsid w:val="00AC5434"/>
    <w:rsid w:val="00AC56B7"/>
    <w:rsid w:val="00AC5DE9"/>
    <w:rsid w:val="00AC6A06"/>
    <w:rsid w:val="00AC7B97"/>
    <w:rsid w:val="00AC7C43"/>
    <w:rsid w:val="00AD18F9"/>
    <w:rsid w:val="00AD1D42"/>
    <w:rsid w:val="00AD1F41"/>
    <w:rsid w:val="00AD2F55"/>
    <w:rsid w:val="00AD370C"/>
    <w:rsid w:val="00AD66B5"/>
    <w:rsid w:val="00AD743B"/>
    <w:rsid w:val="00AE18D5"/>
    <w:rsid w:val="00AE281B"/>
    <w:rsid w:val="00AE3DC4"/>
    <w:rsid w:val="00AE4585"/>
    <w:rsid w:val="00AE4B07"/>
    <w:rsid w:val="00AE6F5F"/>
    <w:rsid w:val="00AE7F1F"/>
    <w:rsid w:val="00AF0113"/>
    <w:rsid w:val="00AF1159"/>
    <w:rsid w:val="00AF1B03"/>
    <w:rsid w:val="00AF2545"/>
    <w:rsid w:val="00AF2575"/>
    <w:rsid w:val="00AF320B"/>
    <w:rsid w:val="00AF5032"/>
    <w:rsid w:val="00AF5675"/>
    <w:rsid w:val="00AF5801"/>
    <w:rsid w:val="00AF5EF6"/>
    <w:rsid w:val="00AF6C24"/>
    <w:rsid w:val="00AF7A0B"/>
    <w:rsid w:val="00AF7B90"/>
    <w:rsid w:val="00B017EC"/>
    <w:rsid w:val="00B01A7C"/>
    <w:rsid w:val="00B020EB"/>
    <w:rsid w:val="00B0244B"/>
    <w:rsid w:val="00B02D12"/>
    <w:rsid w:val="00B031BD"/>
    <w:rsid w:val="00B040E3"/>
    <w:rsid w:val="00B04104"/>
    <w:rsid w:val="00B045AD"/>
    <w:rsid w:val="00B05845"/>
    <w:rsid w:val="00B0677A"/>
    <w:rsid w:val="00B072E0"/>
    <w:rsid w:val="00B073C8"/>
    <w:rsid w:val="00B07D28"/>
    <w:rsid w:val="00B10086"/>
    <w:rsid w:val="00B11130"/>
    <w:rsid w:val="00B1168D"/>
    <w:rsid w:val="00B117F2"/>
    <w:rsid w:val="00B11F86"/>
    <w:rsid w:val="00B12535"/>
    <w:rsid w:val="00B13AD8"/>
    <w:rsid w:val="00B1458C"/>
    <w:rsid w:val="00B14AC4"/>
    <w:rsid w:val="00B15F43"/>
    <w:rsid w:val="00B162E4"/>
    <w:rsid w:val="00B17371"/>
    <w:rsid w:val="00B17BDF"/>
    <w:rsid w:val="00B20BC5"/>
    <w:rsid w:val="00B2226C"/>
    <w:rsid w:val="00B2247C"/>
    <w:rsid w:val="00B23010"/>
    <w:rsid w:val="00B245DB"/>
    <w:rsid w:val="00B24963"/>
    <w:rsid w:val="00B24DBF"/>
    <w:rsid w:val="00B2544D"/>
    <w:rsid w:val="00B257FC"/>
    <w:rsid w:val="00B259C8"/>
    <w:rsid w:val="00B2622D"/>
    <w:rsid w:val="00B271AA"/>
    <w:rsid w:val="00B27553"/>
    <w:rsid w:val="00B277B4"/>
    <w:rsid w:val="00B27C2B"/>
    <w:rsid w:val="00B3074B"/>
    <w:rsid w:val="00B30B2F"/>
    <w:rsid w:val="00B310EE"/>
    <w:rsid w:val="00B313B7"/>
    <w:rsid w:val="00B31734"/>
    <w:rsid w:val="00B32746"/>
    <w:rsid w:val="00B33EC7"/>
    <w:rsid w:val="00B34B99"/>
    <w:rsid w:val="00B34C7B"/>
    <w:rsid w:val="00B35AE6"/>
    <w:rsid w:val="00B35E99"/>
    <w:rsid w:val="00B36DCE"/>
    <w:rsid w:val="00B403B0"/>
    <w:rsid w:val="00B40B8E"/>
    <w:rsid w:val="00B41D98"/>
    <w:rsid w:val="00B424CE"/>
    <w:rsid w:val="00B4296F"/>
    <w:rsid w:val="00B43884"/>
    <w:rsid w:val="00B444BC"/>
    <w:rsid w:val="00B4520E"/>
    <w:rsid w:val="00B4556B"/>
    <w:rsid w:val="00B45B35"/>
    <w:rsid w:val="00B46087"/>
    <w:rsid w:val="00B47F2A"/>
    <w:rsid w:val="00B51B64"/>
    <w:rsid w:val="00B51F55"/>
    <w:rsid w:val="00B52542"/>
    <w:rsid w:val="00B52646"/>
    <w:rsid w:val="00B52E43"/>
    <w:rsid w:val="00B539F4"/>
    <w:rsid w:val="00B53DDD"/>
    <w:rsid w:val="00B57D62"/>
    <w:rsid w:val="00B6028C"/>
    <w:rsid w:val="00B61C6C"/>
    <w:rsid w:val="00B626DA"/>
    <w:rsid w:val="00B62A7E"/>
    <w:rsid w:val="00B64959"/>
    <w:rsid w:val="00B653D3"/>
    <w:rsid w:val="00B65923"/>
    <w:rsid w:val="00B661B4"/>
    <w:rsid w:val="00B66639"/>
    <w:rsid w:val="00B66671"/>
    <w:rsid w:val="00B6672B"/>
    <w:rsid w:val="00B66D4D"/>
    <w:rsid w:val="00B7008A"/>
    <w:rsid w:val="00B7136F"/>
    <w:rsid w:val="00B74E84"/>
    <w:rsid w:val="00B75029"/>
    <w:rsid w:val="00B7536D"/>
    <w:rsid w:val="00B76130"/>
    <w:rsid w:val="00B76548"/>
    <w:rsid w:val="00B77A3F"/>
    <w:rsid w:val="00B77C4F"/>
    <w:rsid w:val="00B81C6A"/>
    <w:rsid w:val="00B820BE"/>
    <w:rsid w:val="00B82511"/>
    <w:rsid w:val="00B82526"/>
    <w:rsid w:val="00B8264C"/>
    <w:rsid w:val="00B83B4B"/>
    <w:rsid w:val="00B8484A"/>
    <w:rsid w:val="00B849A7"/>
    <w:rsid w:val="00B84B58"/>
    <w:rsid w:val="00B86264"/>
    <w:rsid w:val="00B902A7"/>
    <w:rsid w:val="00B90BF5"/>
    <w:rsid w:val="00B91454"/>
    <w:rsid w:val="00B91B9B"/>
    <w:rsid w:val="00B93C07"/>
    <w:rsid w:val="00B93CE3"/>
    <w:rsid w:val="00B94EB1"/>
    <w:rsid w:val="00B95FBB"/>
    <w:rsid w:val="00B966F1"/>
    <w:rsid w:val="00B97192"/>
    <w:rsid w:val="00BA1C82"/>
    <w:rsid w:val="00BA2445"/>
    <w:rsid w:val="00BA2582"/>
    <w:rsid w:val="00BA2714"/>
    <w:rsid w:val="00BA7149"/>
    <w:rsid w:val="00BA723D"/>
    <w:rsid w:val="00BB1168"/>
    <w:rsid w:val="00BB1EE1"/>
    <w:rsid w:val="00BB35EE"/>
    <w:rsid w:val="00BB3883"/>
    <w:rsid w:val="00BB46DF"/>
    <w:rsid w:val="00BB4778"/>
    <w:rsid w:val="00BB499D"/>
    <w:rsid w:val="00BB4C8A"/>
    <w:rsid w:val="00BB57A0"/>
    <w:rsid w:val="00BB7927"/>
    <w:rsid w:val="00BB79B4"/>
    <w:rsid w:val="00BC0A60"/>
    <w:rsid w:val="00BC11A0"/>
    <w:rsid w:val="00BC18E8"/>
    <w:rsid w:val="00BC1BB3"/>
    <w:rsid w:val="00BC22E3"/>
    <w:rsid w:val="00BC2A6E"/>
    <w:rsid w:val="00BC3F7E"/>
    <w:rsid w:val="00BC45B2"/>
    <w:rsid w:val="00BC5569"/>
    <w:rsid w:val="00BC5979"/>
    <w:rsid w:val="00BC6735"/>
    <w:rsid w:val="00BD05CA"/>
    <w:rsid w:val="00BD0F19"/>
    <w:rsid w:val="00BD1E82"/>
    <w:rsid w:val="00BD2733"/>
    <w:rsid w:val="00BD3D97"/>
    <w:rsid w:val="00BD44FE"/>
    <w:rsid w:val="00BD4F5C"/>
    <w:rsid w:val="00BD5937"/>
    <w:rsid w:val="00BD5D75"/>
    <w:rsid w:val="00BD6296"/>
    <w:rsid w:val="00BD728E"/>
    <w:rsid w:val="00BD7483"/>
    <w:rsid w:val="00BD7A91"/>
    <w:rsid w:val="00BE0399"/>
    <w:rsid w:val="00BE067D"/>
    <w:rsid w:val="00BE0740"/>
    <w:rsid w:val="00BE173C"/>
    <w:rsid w:val="00BE18C8"/>
    <w:rsid w:val="00BE215C"/>
    <w:rsid w:val="00BE3446"/>
    <w:rsid w:val="00BE48D7"/>
    <w:rsid w:val="00BE6432"/>
    <w:rsid w:val="00BE6516"/>
    <w:rsid w:val="00BE6CA4"/>
    <w:rsid w:val="00BE7D42"/>
    <w:rsid w:val="00BE7E7B"/>
    <w:rsid w:val="00BF04BB"/>
    <w:rsid w:val="00BF0B51"/>
    <w:rsid w:val="00BF16AA"/>
    <w:rsid w:val="00BF1C7F"/>
    <w:rsid w:val="00BF242E"/>
    <w:rsid w:val="00BF26E9"/>
    <w:rsid w:val="00BF402A"/>
    <w:rsid w:val="00BF4087"/>
    <w:rsid w:val="00BF520E"/>
    <w:rsid w:val="00BF6B76"/>
    <w:rsid w:val="00BF6E95"/>
    <w:rsid w:val="00BF77F3"/>
    <w:rsid w:val="00BF780D"/>
    <w:rsid w:val="00BF7837"/>
    <w:rsid w:val="00BF7944"/>
    <w:rsid w:val="00C003F2"/>
    <w:rsid w:val="00C00901"/>
    <w:rsid w:val="00C02182"/>
    <w:rsid w:val="00C02547"/>
    <w:rsid w:val="00C03F7A"/>
    <w:rsid w:val="00C0486E"/>
    <w:rsid w:val="00C052B7"/>
    <w:rsid w:val="00C0585D"/>
    <w:rsid w:val="00C05991"/>
    <w:rsid w:val="00C06F89"/>
    <w:rsid w:val="00C10812"/>
    <w:rsid w:val="00C108DF"/>
    <w:rsid w:val="00C12D95"/>
    <w:rsid w:val="00C135D2"/>
    <w:rsid w:val="00C14A98"/>
    <w:rsid w:val="00C14B05"/>
    <w:rsid w:val="00C15C58"/>
    <w:rsid w:val="00C162C5"/>
    <w:rsid w:val="00C171C5"/>
    <w:rsid w:val="00C20432"/>
    <w:rsid w:val="00C2054E"/>
    <w:rsid w:val="00C2059F"/>
    <w:rsid w:val="00C20B4C"/>
    <w:rsid w:val="00C20CDD"/>
    <w:rsid w:val="00C22708"/>
    <w:rsid w:val="00C22BFF"/>
    <w:rsid w:val="00C24971"/>
    <w:rsid w:val="00C24D89"/>
    <w:rsid w:val="00C266A8"/>
    <w:rsid w:val="00C26DD8"/>
    <w:rsid w:val="00C27064"/>
    <w:rsid w:val="00C2731F"/>
    <w:rsid w:val="00C310E6"/>
    <w:rsid w:val="00C32263"/>
    <w:rsid w:val="00C355C2"/>
    <w:rsid w:val="00C36ABA"/>
    <w:rsid w:val="00C37D77"/>
    <w:rsid w:val="00C37FD9"/>
    <w:rsid w:val="00C40542"/>
    <w:rsid w:val="00C40603"/>
    <w:rsid w:val="00C4098D"/>
    <w:rsid w:val="00C416A1"/>
    <w:rsid w:val="00C41B10"/>
    <w:rsid w:val="00C41F05"/>
    <w:rsid w:val="00C421C2"/>
    <w:rsid w:val="00C4253A"/>
    <w:rsid w:val="00C4343E"/>
    <w:rsid w:val="00C436EB"/>
    <w:rsid w:val="00C441CD"/>
    <w:rsid w:val="00C4501B"/>
    <w:rsid w:val="00C45C4C"/>
    <w:rsid w:val="00C46A48"/>
    <w:rsid w:val="00C478EB"/>
    <w:rsid w:val="00C507F4"/>
    <w:rsid w:val="00C51BDD"/>
    <w:rsid w:val="00C52B72"/>
    <w:rsid w:val="00C5359C"/>
    <w:rsid w:val="00C536F2"/>
    <w:rsid w:val="00C53C4A"/>
    <w:rsid w:val="00C53E3F"/>
    <w:rsid w:val="00C56191"/>
    <w:rsid w:val="00C569C1"/>
    <w:rsid w:val="00C56E89"/>
    <w:rsid w:val="00C574EA"/>
    <w:rsid w:val="00C576E0"/>
    <w:rsid w:val="00C57DE6"/>
    <w:rsid w:val="00C60F50"/>
    <w:rsid w:val="00C61F59"/>
    <w:rsid w:val="00C63735"/>
    <w:rsid w:val="00C649F1"/>
    <w:rsid w:val="00C65056"/>
    <w:rsid w:val="00C657A8"/>
    <w:rsid w:val="00C66C21"/>
    <w:rsid w:val="00C673CF"/>
    <w:rsid w:val="00C70810"/>
    <w:rsid w:val="00C724A7"/>
    <w:rsid w:val="00C72FC7"/>
    <w:rsid w:val="00C73084"/>
    <w:rsid w:val="00C748B8"/>
    <w:rsid w:val="00C75A16"/>
    <w:rsid w:val="00C75EC5"/>
    <w:rsid w:val="00C801B1"/>
    <w:rsid w:val="00C80F8C"/>
    <w:rsid w:val="00C8219A"/>
    <w:rsid w:val="00C835BF"/>
    <w:rsid w:val="00C83685"/>
    <w:rsid w:val="00C8430A"/>
    <w:rsid w:val="00C84767"/>
    <w:rsid w:val="00C857D8"/>
    <w:rsid w:val="00C87924"/>
    <w:rsid w:val="00C9040D"/>
    <w:rsid w:val="00C919C5"/>
    <w:rsid w:val="00C91E7D"/>
    <w:rsid w:val="00C91EF9"/>
    <w:rsid w:val="00C92FC4"/>
    <w:rsid w:val="00C93FD5"/>
    <w:rsid w:val="00C9571F"/>
    <w:rsid w:val="00CA0FFF"/>
    <w:rsid w:val="00CA1AF4"/>
    <w:rsid w:val="00CA2D89"/>
    <w:rsid w:val="00CA392C"/>
    <w:rsid w:val="00CA40D9"/>
    <w:rsid w:val="00CA538C"/>
    <w:rsid w:val="00CA5C7C"/>
    <w:rsid w:val="00CA5F76"/>
    <w:rsid w:val="00CA7AC5"/>
    <w:rsid w:val="00CA7F00"/>
    <w:rsid w:val="00CB05C2"/>
    <w:rsid w:val="00CB0700"/>
    <w:rsid w:val="00CB14A3"/>
    <w:rsid w:val="00CB22AE"/>
    <w:rsid w:val="00CB3007"/>
    <w:rsid w:val="00CB3D55"/>
    <w:rsid w:val="00CB4447"/>
    <w:rsid w:val="00CB51FB"/>
    <w:rsid w:val="00CB5833"/>
    <w:rsid w:val="00CB5B25"/>
    <w:rsid w:val="00CB6118"/>
    <w:rsid w:val="00CB6556"/>
    <w:rsid w:val="00CB75B4"/>
    <w:rsid w:val="00CC05D8"/>
    <w:rsid w:val="00CC0C98"/>
    <w:rsid w:val="00CC1351"/>
    <w:rsid w:val="00CC1861"/>
    <w:rsid w:val="00CC2167"/>
    <w:rsid w:val="00CC2ADC"/>
    <w:rsid w:val="00CC3E12"/>
    <w:rsid w:val="00CC4AB6"/>
    <w:rsid w:val="00CC4D5D"/>
    <w:rsid w:val="00CC53DC"/>
    <w:rsid w:val="00CC56D5"/>
    <w:rsid w:val="00CC5CB4"/>
    <w:rsid w:val="00CC7872"/>
    <w:rsid w:val="00CD0754"/>
    <w:rsid w:val="00CD22CF"/>
    <w:rsid w:val="00CD2DE8"/>
    <w:rsid w:val="00CD3049"/>
    <w:rsid w:val="00CD39AB"/>
    <w:rsid w:val="00CD3AEA"/>
    <w:rsid w:val="00CD3DDA"/>
    <w:rsid w:val="00CD4055"/>
    <w:rsid w:val="00CD4BF1"/>
    <w:rsid w:val="00CD53BE"/>
    <w:rsid w:val="00CD5C5E"/>
    <w:rsid w:val="00CD5EA2"/>
    <w:rsid w:val="00CD6FCD"/>
    <w:rsid w:val="00CE094D"/>
    <w:rsid w:val="00CE0EA7"/>
    <w:rsid w:val="00CE14A0"/>
    <w:rsid w:val="00CE343F"/>
    <w:rsid w:val="00CE37E4"/>
    <w:rsid w:val="00CE38AB"/>
    <w:rsid w:val="00CE3BDF"/>
    <w:rsid w:val="00CE495A"/>
    <w:rsid w:val="00CE577F"/>
    <w:rsid w:val="00CE720B"/>
    <w:rsid w:val="00CE7A2C"/>
    <w:rsid w:val="00CF08B0"/>
    <w:rsid w:val="00CF0C23"/>
    <w:rsid w:val="00CF175F"/>
    <w:rsid w:val="00CF1933"/>
    <w:rsid w:val="00CF19BD"/>
    <w:rsid w:val="00CF1D8A"/>
    <w:rsid w:val="00CF212D"/>
    <w:rsid w:val="00CF23B8"/>
    <w:rsid w:val="00CF268C"/>
    <w:rsid w:val="00CF26F9"/>
    <w:rsid w:val="00CF30B2"/>
    <w:rsid w:val="00CF329B"/>
    <w:rsid w:val="00CF39C6"/>
    <w:rsid w:val="00CF3BA6"/>
    <w:rsid w:val="00CF3CC5"/>
    <w:rsid w:val="00CF5A72"/>
    <w:rsid w:val="00CF5B6A"/>
    <w:rsid w:val="00CF6421"/>
    <w:rsid w:val="00CF7515"/>
    <w:rsid w:val="00CF7C57"/>
    <w:rsid w:val="00CF7E1C"/>
    <w:rsid w:val="00D00664"/>
    <w:rsid w:val="00D00A64"/>
    <w:rsid w:val="00D00B6E"/>
    <w:rsid w:val="00D014AE"/>
    <w:rsid w:val="00D01D8E"/>
    <w:rsid w:val="00D0244B"/>
    <w:rsid w:val="00D034AE"/>
    <w:rsid w:val="00D10920"/>
    <w:rsid w:val="00D10BB0"/>
    <w:rsid w:val="00D12C93"/>
    <w:rsid w:val="00D1422D"/>
    <w:rsid w:val="00D148A0"/>
    <w:rsid w:val="00D14A1A"/>
    <w:rsid w:val="00D159D4"/>
    <w:rsid w:val="00D16391"/>
    <w:rsid w:val="00D16559"/>
    <w:rsid w:val="00D16CAB"/>
    <w:rsid w:val="00D20212"/>
    <w:rsid w:val="00D205A3"/>
    <w:rsid w:val="00D20A11"/>
    <w:rsid w:val="00D212DF"/>
    <w:rsid w:val="00D22638"/>
    <w:rsid w:val="00D23C5B"/>
    <w:rsid w:val="00D245DE"/>
    <w:rsid w:val="00D2486D"/>
    <w:rsid w:val="00D255A8"/>
    <w:rsid w:val="00D25D8E"/>
    <w:rsid w:val="00D26144"/>
    <w:rsid w:val="00D26252"/>
    <w:rsid w:val="00D30461"/>
    <w:rsid w:val="00D31DB2"/>
    <w:rsid w:val="00D324AA"/>
    <w:rsid w:val="00D32E6B"/>
    <w:rsid w:val="00D34690"/>
    <w:rsid w:val="00D348AC"/>
    <w:rsid w:val="00D34FEF"/>
    <w:rsid w:val="00D36C25"/>
    <w:rsid w:val="00D36CAC"/>
    <w:rsid w:val="00D375BF"/>
    <w:rsid w:val="00D41721"/>
    <w:rsid w:val="00D422A1"/>
    <w:rsid w:val="00D43343"/>
    <w:rsid w:val="00D437BA"/>
    <w:rsid w:val="00D43A22"/>
    <w:rsid w:val="00D440CC"/>
    <w:rsid w:val="00D4423C"/>
    <w:rsid w:val="00D4474E"/>
    <w:rsid w:val="00D44C70"/>
    <w:rsid w:val="00D4518A"/>
    <w:rsid w:val="00D4624B"/>
    <w:rsid w:val="00D46933"/>
    <w:rsid w:val="00D46EFB"/>
    <w:rsid w:val="00D5022C"/>
    <w:rsid w:val="00D50504"/>
    <w:rsid w:val="00D50AE3"/>
    <w:rsid w:val="00D50C8F"/>
    <w:rsid w:val="00D511AD"/>
    <w:rsid w:val="00D514BB"/>
    <w:rsid w:val="00D51725"/>
    <w:rsid w:val="00D522A4"/>
    <w:rsid w:val="00D526C7"/>
    <w:rsid w:val="00D53E8C"/>
    <w:rsid w:val="00D53FB7"/>
    <w:rsid w:val="00D5480B"/>
    <w:rsid w:val="00D54AF1"/>
    <w:rsid w:val="00D55B77"/>
    <w:rsid w:val="00D56DF4"/>
    <w:rsid w:val="00D57293"/>
    <w:rsid w:val="00D57CB6"/>
    <w:rsid w:val="00D60074"/>
    <w:rsid w:val="00D60251"/>
    <w:rsid w:val="00D611EE"/>
    <w:rsid w:val="00D61554"/>
    <w:rsid w:val="00D62A02"/>
    <w:rsid w:val="00D64204"/>
    <w:rsid w:val="00D642C4"/>
    <w:rsid w:val="00D6559C"/>
    <w:rsid w:val="00D66DEF"/>
    <w:rsid w:val="00D67B93"/>
    <w:rsid w:val="00D71480"/>
    <w:rsid w:val="00D7177B"/>
    <w:rsid w:val="00D72689"/>
    <w:rsid w:val="00D7271E"/>
    <w:rsid w:val="00D72A7D"/>
    <w:rsid w:val="00D72E97"/>
    <w:rsid w:val="00D73F30"/>
    <w:rsid w:val="00D75113"/>
    <w:rsid w:val="00D75F1C"/>
    <w:rsid w:val="00D774E5"/>
    <w:rsid w:val="00D77A78"/>
    <w:rsid w:val="00D812BF"/>
    <w:rsid w:val="00D8363F"/>
    <w:rsid w:val="00D83902"/>
    <w:rsid w:val="00D84F12"/>
    <w:rsid w:val="00D85FDC"/>
    <w:rsid w:val="00D8682D"/>
    <w:rsid w:val="00D86DB5"/>
    <w:rsid w:val="00D9089F"/>
    <w:rsid w:val="00D90F34"/>
    <w:rsid w:val="00D91286"/>
    <w:rsid w:val="00D91438"/>
    <w:rsid w:val="00D9186C"/>
    <w:rsid w:val="00D91E6A"/>
    <w:rsid w:val="00D9206C"/>
    <w:rsid w:val="00D92984"/>
    <w:rsid w:val="00D92BD7"/>
    <w:rsid w:val="00D9389A"/>
    <w:rsid w:val="00D93D58"/>
    <w:rsid w:val="00D94B2E"/>
    <w:rsid w:val="00D952FA"/>
    <w:rsid w:val="00D9736C"/>
    <w:rsid w:val="00D9765D"/>
    <w:rsid w:val="00D977AF"/>
    <w:rsid w:val="00DA015F"/>
    <w:rsid w:val="00DA0234"/>
    <w:rsid w:val="00DA2987"/>
    <w:rsid w:val="00DA3028"/>
    <w:rsid w:val="00DA3DCE"/>
    <w:rsid w:val="00DA4230"/>
    <w:rsid w:val="00DA4CD1"/>
    <w:rsid w:val="00DA5165"/>
    <w:rsid w:val="00DA6336"/>
    <w:rsid w:val="00DA6C7E"/>
    <w:rsid w:val="00DA7E3E"/>
    <w:rsid w:val="00DB070A"/>
    <w:rsid w:val="00DB07A9"/>
    <w:rsid w:val="00DB1878"/>
    <w:rsid w:val="00DB199B"/>
    <w:rsid w:val="00DB1F38"/>
    <w:rsid w:val="00DB20B1"/>
    <w:rsid w:val="00DB26B9"/>
    <w:rsid w:val="00DB2967"/>
    <w:rsid w:val="00DB2C3C"/>
    <w:rsid w:val="00DB38FF"/>
    <w:rsid w:val="00DB4197"/>
    <w:rsid w:val="00DB4FA7"/>
    <w:rsid w:val="00DB5EC6"/>
    <w:rsid w:val="00DB6554"/>
    <w:rsid w:val="00DB6E17"/>
    <w:rsid w:val="00DB70F1"/>
    <w:rsid w:val="00DB7976"/>
    <w:rsid w:val="00DB7B10"/>
    <w:rsid w:val="00DB7FA0"/>
    <w:rsid w:val="00DC09C5"/>
    <w:rsid w:val="00DC1A69"/>
    <w:rsid w:val="00DC1D35"/>
    <w:rsid w:val="00DC2F57"/>
    <w:rsid w:val="00DC32D0"/>
    <w:rsid w:val="00DC41C8"/>
    <w:rsid w:val="00DC492F"/>
    <w:rsid w:val="00DC4CA2"/>
    <w:rsid w:val="00DC4E59"/>
    <w:rsid w:val="00DC4FD1"/>
    <w:rsid w:val="00DC5D75"/>
    <w:rsid w:val="00DC70DE"/>
    <w:rsid w:val="00DC7579"/>
    <w:rsid w:val="00DC79CF"/>
    <w:rsid w:val="00DC7B79"/>
    <w:rsid w:val="00DD022B"/>
    <w:rsid w:val="00DD0A94"/>
    <w:rsid w:val="00DD1CC3"/>
    <w:rsid w:val="00DD2B60"/>
    <w:rsid w:val="00DD3673"/>
    <w:rsid w:val="00DD5205"/>
    <w:rsid w:val="00DD589B"/>
    <w:rsid w:val="00DD6397"/>
    <w:rsid w:val="00DD642E"/>
    <w:rsid w:val="00DD6881"/>
    <w:rsid w:val="00DD7161"/>
    <w:rsid w:val="00DD72E4"/>
    <w:rsid w:val="00DD739D"/>
    <w:rsid w:val="00DE0132"/>
    <w:rsid w:val="00DE0781"/>
    <w:rsid w:val="00DE121A"/>
    <w:rsid w:val="00DE143F"/>
    <w:rsid w:val="00DE219D"/>
    <w:rsid w:val="00DE3177"/>
    <w:rsid w:val="00DE3E34"/>
    <w:rsid w:val="00DE43CA"/>
    <w:rsid w:val="00DE4856"/>
    <w:rsid w:val="00DE5140"/>
    <w:rsid w:val="00DE5F75"/>
    <w:rsid w:val="00DE6DC2"/>
    <w:rsid w:val="00DE75D3"/>
    <w:rsid w:val="00DE777B"/>
    <w:rsid w:val="00DF0034"/>
    <w:rsid w:val="00DF023A"/>
    <w:rsid w:val="00DF0F92"/>
    <w:rsid w:val="00DF1D8C"/>
    <w:rsid w:val="00DF227E"/>
    <w:rsid w:val="00DF2858"/>
    <w:rsid w:val="00DF2862"/>
    <w:rsid w:val="00DF2D90"/>
    <w:rsid w:val="00DF306F"/>
    <w:rsid w:val="00DF3808"/>
    <w:rsid w:val="00DF3AE3"/>
    <w:rsid w:val="00DF4780"/>
    <w:rsid w:val="00DF73B1"/>
    <w:rsid w:val="00DF7AD5"/>
    <w:rsid w:val="00DF7CD7"/>
    <w:rsid w:val="00E003F7"/>
    <w:rsid w:val="00E010B1"/>
    <w:rsid w:val="00E01B94"/>
    <w:rsid w:val="00E01D16"/>
    <w:rsid w:val="00E02F72"/>
    <w:rsid w:val="00E03B27"/>
    <w:rsid w:val="00E044F7"/>
    <w:rsid w:val="00E053C7"/>
    <w:rsid w:val="00E0755D"/>
    <w:rsid w:val="00E14FC1"/>
    <w:rsid w:val="00E15BE0"/>
    <w:rsid w:val="00E16208"/>
    <w:rsid w:val="00E16B06"/>
    <w:rsid w:val="00E17435"/>
    <w:rsid w:val="00E1761A"/>
    <w:rsid w:val="00E17EFF"/>
    <w:rsid w:val="00E20628"/>
    <w:rsid w:val="00E20649"/>
    <w:rsid w:val="00E20CC6"/>
    <w:rsid w:val="00E20CF0"/>
    <w:rsid w:val="00E22056"/>
    <w:rsid w:val="00E23838"/>
    <w:rsid w:val="00E23D31"/>
    <w:rsid w:val="00E24FF2"/>
    <w:rsid w:val="00E25BCA"/>
    <w:rsid w:val="00E26180"/>
    <w:rsid w:val="00E26508"/>
    <w:rsid w:val="00E27E55"/>
    <w:rsid w:val="00E30B7B"/>
    <w:rsid w:val="00E314FE"/>
    <w:rsid w:val="00E328E4"/>
    <w:rsid w:val="00E32ADE"/>
    <w:rsid w:val="00E32AF2"/>
    <w:rsid w:val="00E32EC8"/>
    <w:rsid w:val="00E33726"/>
    <w:rsid w:val="00E33E6D"/>
    <w:rsid w:val="00E3421B"/>
    <w:rsid w:val="00E34344"/>
    <w:rsid w:val="00E37846"/>
    <w:rsid w:val="00E37C88"/>
    <w:rsid w:val="00E37D1E"/>
    <w:rsid w:val="00E4075E"/>
    <w:rsid w:val="00E41A1C"/>
    <w:rsid w:val="00E422A0"/>
    <w:rsid w:val="00E42905"/>
    <w:rsid w:val="00E42F1E"/>
    <w:rsid w:val="00E44599"/>
    <w:rsid w:val="00E463ED"/>
    <w:rsid w:val="00E468BF"/>
    <w:rsid w:val="00E4702B"/>
    <w:rsid w:val="00E475D2"/>
    <w:rsid w:val="00E4783B"/>
    <w:rsid w:val="00E47C5C"/>
    <w:rsid w:val="00E47E04"/>
    <w:rsid w:val="00E47F88"/>
    <w:rsid w:val="00E501C2"/>
    <w:rsid w:val="00E50CDB"/>
    <w:rsid w:val="00E52DD5"/>
    <w:rsid w:val="00E53410"/>
    <w:rsid w:val="00E53498"/>
    <w:rsid w:val="00E5460E"/>
    <w:rsid w:val="00E5559D"/>
    <w:rsid w:val="00E564FE"/>
    <w:rsid w:val="00E5676C"/>
    <w:rsid w:val="00E56E8D"/>
    <w:rsid w:val="00E56EE0"/>
    <w:rsid w:val="00E612B9"/>
    <w:rsid w:val="00E6340C"/>
    <w:rsid w:val="00E63640"/>
    <w:rsid w:val="00E636BB"/>
    <w:rsid w:val="00E63CFD"/>
    <w:rsid w:val="00E64308"/>
    <w:rsid w:val="00E647D6"/>
    <w:rsid w:val="00E650AB"/>
    <w:rsid w:val="00E65825"/>
    <w:rsid w:val="00E65E3A"/>
    <w:rsid w:val="00E66083"/>
    <w:rsid w:val="00E66855"/>
    <w:rsid w:val="00E66CEF"/>
    <w:rsid w:val="00E6742C"/>
    <w:rsid w:val="00E67DC4"/>
    <w:rsid w:val="00E7065A"/>
    <w:rsid w:val="00E70A12"/>
    <w:rsid w:val="00E70A61"/>
    <w:rsid w:val="00E714FC"/>
    <w:rsid w:val="00E71A52"/>
    <w:rsid w:val="00E72C63"/>
    <w:rsid w:val="00E736AA"/>
    <w:rsid w:val="00E73A3B"/>
    <w:rsid w:val="00E75D62"/>
    <w:rsid w:val="00E76B3A"/>
    <w:rsid w:val="00E76BC6"/>
    <w:rsid w:val="00E77037"/>
    <w:rsid w:val="00E800C8"/>
    <w:rsid w:val="00E808C7"/>
    <w:rsid w:val="00E818A7"/>
    <w:rsid w:val="00E82955"/>
    <w:rsid w:val="00E832F8"/>
    <w:rsid w:val="00E84715"/>
    <w:rsid w:val="00E848B6"/>
    <w:rsid w:val="00E84EE1"/>
    <w:rsid w:val="00E8666F"/>
    <w:rsid w:val="00E868B0"/>
    <w:rsid w:val="00E86E4F"/>
    <w:rsid w:val="00E870C4"/>
    <w:rsid w:val="00E87645"/>
    <w:rsid w:val="00E87E5F"/>
    <w:rsid w:val="00E92585"/>
    <w:rsid w:val="00E925FB"/>
    <w:rsid w:val="00E945EB"/>
    <w:rsid w:val="00E947D0"/>
    <w:rsid w:val="00E96568"/>
    <w:rsid w:val="00E96CDD"/>
    <w:rsid w:val="00E96EA4"/>
    <w:rsid w:val="00EA0F34"/>
    <w:rsid w:val="00EA1079"/>
    <w:rsid w:val="00EA11CE"/>
    <w:rsid w:val="00EA131F"/>
    <w:rsid w:val="00EA1EE4"/>
    <w:rsid w:val="00EA2F4B"/>
    <w:rsid w:val="00EA4949"/>
    <w:rsid w:val="00EA4B56"/>
    <w:rsid w:val="00EA50AB"/>
    <w:rsid w:val="00EA52F7"/>
    <w:rsid w:val="00EA57A9"/>
    <w:rsid w:val="00EA5992"/>
    <w:rsid w:val="00EA652B"/>
    <w:rsid w:val="00EA706D"/>
    <w:rsid w:val="00EB0013"/>
    <w:rsid w:val="00EB3302"/>
    <w:rsid w:val="00EB5645"/>
    <w:rsid w:val="00EB6371"/>
    <w:rsid w:val="00EB64EB"/>
    <w:rsid w:val="00EB6691"/>
    <w:rsid w:val="00EB6711"/>
    <w:rsid w:val="00EB6742"/>
    <w:rsid w:val="00EB6FA9"/>
    <w:rsid w:val="00EB7686"/>
    <w:rsid w:val="00EB7F61"/>
    <w:rsid w:val="00EC04D8"/>
    <w:rsid w:val="00EC1280"/>
    <w:rsid w:val="00EC3861"/>
    <w:rsid w:val="00EC509C"/>
    <w:rsid w:val="00EC5301"/>
    <w:rsid w:val="00EC64B5"/>
    <w:rsid w:val="00EC715C"/>
    <w:rsid w:val="00EC761D"/>
    <w:rsid w:val="00ED2644"/>
    <w:rsid w:val="00ED360F"/>
    <w:rsid w:val="00ED5486"/>
    <w:rsid w:val="00ED6B01"/>
    <w:rsid w:val="00ED72CB"/>
    <w:rsid w:val="00EE0CD9"/>
    <w:rsid w:val="00EE0FBD"/>
    <w:rsid w:val="00EE196A"/>
    <w:rsid w:val="00EE1C1E"/>
    <w:rsid w:val="00EE1EE0"/>
    <w:rsid w:val="00EE2AB3"/>
    <w:rsid w:val="00EE3398"/>
    <w:rsid w:val="00EE3FEF"/>
    <w:rsid w:val="00EE4CD3"/>
    <w:rsid w:val="00EE76EB"/>
    <w:rsid w:val="00EE77DC"/>
    <w:rsid w:val="00EE7A5A"/>
    <w:rsid w:val="00EE7F79"/>
    <w:rsid w:val="00EF06BF"/>
    <w:rsid w:val="00EF1C96"/>
    <w:rsid w:val="00EF2C8C"/>
    <w:rsid w:val="00EF377C"/>
    <w:rsid w:val="00EF3E64"/>
    <w:rsid w:val="00EF5FEF"/>
    <w:rsid w:val="00EF7AE9"/>
    <w:rsid w:val="00F01DBA"/>
    <w:rsid w:val="00F025F3"/>
    <w:rsid w:val="00F02ADE"/>
    <w:rsid w:val="00F03506"/>
    <w:rsid w:val="00F0389E"/>
    <w:rsid w:val="00F045B2"/>
    <w:rsid w:val="00F05FE2"/>
    <w:rsid w:val="00F067FC"/>
    <w:rsid w:val="00F06D75"/>
    <w:rsid w:val="00F071B6"/>
    <w:rsid w:val="00F076B0"/>
    <w:rsid w:val="00F128EA"/>
    <w:rsid w:val="00F13D3C"/>
    <w:rsid w:val="00F14D7D"/>
    <w:rsid w:val="00F15864"/>
    <w:rsid w:val="00F15FC2"/>
    <w:rsid w:val="00F17345"/>
    <w:rsid w:val="00F17AC9"/>
    <w:rsid w:val="00F218FF"/>
    <w:rsid w:val="00F22441"/>
    <w:rsid w:val="00F235BC"/>
    <w:rsid w:val="00F24EB5"/>
    <w:rsid w:val="00F25156"/>
    <w:rsid w:val="00F261E6"/>
    <w:rsid w:val="00F27831"/>
    <w:rsid w:val="00F27ADA"/>
    <w:rsid w:val="00F30154"/>
    <w:rsid w:val="00F30B2E"/>
    <w:rsid w:val="00F31281"/>
    <w:rsid w:val="00F31E00"/>
    <w:rsid w:val="00F33560"/>
    <w:rsid w:val="00F3460E"/>
    <w:rsid w:val="00F363B0"/>
    <w:rsid w:val="00F3712D"/>
    <w:rsid w:val="00F407CB"/>
    <w:rsid w:val="00F408A1"/>
    <w:rsid w:val="00F40912"/>
    <w:rsid w:val="00F41225"/>
    <w:rsid w:val="00F413DE"/>
    <w:rsid w:val="00F41917"/>
    <w:rsid w:val="00F44061"/>
    <w:rsid w:val="00F452B7"/>
    <w:rsid w:val="00F456AB"/>
    <w:rsid w:val="00F478CD"/>
    <w:rsid w:val="00F50049"/>
    <w:rsid w:val="00F50054"/>
    <w:rsid w:val="00F50057"/>
    <w:rsid w:val="00F504D2"/>
    <w:rsid w:val="00F50E52"/>
    <w:rsid w:val="00F50E53"/>
    <w:rsid w:val="00F50EB0"/>
    <w:rsid w:val="00F515E8"/>
    <w:rsid w:val="00F52126"/>
    <w:rsid w:val="00F521B2"/>
    <w:rsid w:val="00F52CBC"/>
    <w:rsid w:val="00F5331E"/>
    <w:rsid w:val="00F540C0"/>
    <w:rsid w:val="00F541E1"/>
    <w:rsid w:val="00F567DB"/>
    <w:rsid w:val="00F575DD"/>
    <w:rsid w:val="00F6315F"/>
    <w:rsid w:val="00F63352"/>
    <w:rsid w:val="00F640FB"/>
    <w:rsid w:val="00F64B57"/>
    <w:rsid w:val="00F64B73"/>
    <w:rsid w:val="00F64F8E"/>
    <w:rsid w:val="00F64FF9"/>
    <w:rsid w:val="00F66025"/>
    <w:rsid w:val="00F66C5F"/>
    <w:rsid w:val="00F66CDA"/>
    <w:rsid w:val="00F67BAF"/>
    <w:rsid w:val="00F710AB"/>
    <w:rsid w:val="00F71157"/>
    <w:rsid w:val="00F7149E"/>
    <w:rsid w:val="00F71583"/>
    <w:rsid w:val="00F71D98"/>
    <w:rsid w:val="00F71FE6"/>
    <w:rsid w:val="00F72CCA"/>
    <w:rsid w:val="00F73129"/>
    <w:rsid w:val="00F73E2D"/>
    <w:rsid w:val="00F745D1"/>
    <w:rsid w:val="00F74E4E"/>
    <w:rsid w:val="00F75366"/>
    <w:rsid w:val="00F75C16"/>
    <w:rsid w:val="00F75D28"/>
    <w:rsid w:val="00F75F32"/>
    <w:rsid w:val="00F76849"/>
    <w:rsid w:val="00F8044C"/>
    <w:rsid w:val="00F8063F"/>
    <w:rsid w:val="00F81FCF"/>
    <w:rsid w:val="00F82819"/>
    <w:rsid w:val="00F836BA"/>
    <w:rsid w:val="00F83EA1"/>
    <w:rsid w:val="00F842A4"/>
    <w:rsid w:val="00F8531B"/>
    <w:rsid w:val="00F85FB2"/>
    <w:rsid w:val="00F8715B"/>
    <w:rsid w:val="00F87384"/>
    <w:rsid w:val="00F91553"/>
    <w:rsid w:val="00F915EF"/>
    <w:rsid w:val="00F917D7"/>
    <w:rsid w:val="00F91A00"/>
    <w:rsid w:val="00F9454F"/>
    <w:rsid w:val="00F9477D"/>
    <w:rsid w:val="00F963C8"/>
    <w:rsid w:val="00F96A5D"/>
    <w:rsid w:val="00F96EF1"/>
    <w:rsid w:val="00FA0041"/>
    <w:rsid w:val="00FA0690"/>
    <w:rsid w:val="00FA1A30"/>
    <w:rsid w:val="00FA22CC"/>
    <w:rsid w:val="00FA257E"/>
    <w:rsid w:val="00FA259E"/>
    <w:rsid w:val="00FA2745"/>
    <w:rsid w:val="00FA3A48"/>
    <w:rsid w:val="00FA5EC8"/>
    <w:rsid w:val="00FB080F"/>
    <w:rsid w:val="00FB271D"/>
    <w:rsid w:val="00FB3456"/>
    <w:rsid w:val="00FB3ECF"/>
    <w:rsid w:val="00FB48D6"/>
    <w:rsid w:val="00FB509D"/>
    <w:rsid w:val="00FB5365"/>
    <w:rsid w:val="00FB5C39"/>
    <w:rsid w:val="00FB6B8E"/>
    <w:rsid w:val="00FC09B1"/>
    <w:rsid w:val="00FC0D3F"/>
    <w:rsid w:val="00FC0D78"/>
    <w:rsid w:val="00FC0DC9"/>
    <w:rsid w:val="00FC13E0"/>
    <w:rsid w:val="00FC1687"/>
    <w:rsid w:val="00FC28DB"/>
    <w:rsid w:val="00FC32F9"/>
    <w:rsid w:val="00FC4A45"/>
    <w:rsid w:val="00FC52D9"/>
    <w:rsid w:val="00FC5C23"/>
    <w:rsid w:val="00FC628E"/>
    <w:rsid w:val="00FC673F"/>
    <w:rsid w:val="00FC675E"/>
    <w:rsid w:val="00FC682F"/>
    <w:rsid w:val="00FC6BD0"/>
    <w:rsid w:val="00FD29D5"/>
    <w:rsid w:val="00FD387E"/>
    <w:rsid w:val="00FD3CA5"/>
    <w:rsid w:val="00FD41F6"/>
    <w:rsid w:val="00FD4D5E"/>
    <w:rsid w:val="00FD50ED"/>
    <w:rsid w:val="00FD5206"/>
    <w:rsid w:val="00FD6506"/>
    <w:rsid w:val="00FD6F87"/>
    <w:rsid w:val="00FE22BC"/>
    <w:rsid w:val="00FE23AD"/>
    <w:rsid w:val="00FE2F48"/>
    <w:rsid w:val="00FE435E"/>
    <w:rsid w:val="00FE49AC"/>
    <w:rsid w:val="00FE4EC9"/>
    <w:rsid w:val="00FE4FB6"/>
    <w:rsid w:val="00FE556C"/>
    <w:rsid w:val="00FF08B7"/>
    <w:rsid w:val="00FF1A93"/>
    <w:rsid w:val="00FF2316"/>
    <w:rsid w:val="00FF2CCD"/>
    <w:rsid w:val="00FF40E7"/>
    <w:rsid w:val="00FF5232"/>
    <w:rsid w:val="00FF56D0"/>
    <w:rsid w:val="00FF62F6"/>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5882E966-DF72-4BE2-9CA5-C9B5F7253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0" w:defSemiHidden="0" w:defUnhideWhenUsed="0" w:defQFormat="0" w:count="37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7AFB"/>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0115D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semiHidden/>
    <w:unhideWhenUsed/>
    <w:qFormat/>
    <w:rsid w:val="001C569A"/>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B8264C"/>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table" w:customStyle="1" w:styleId="Tabladecuadrcula1clara-nfasis11">
    <w:name w:val="Tabla de cuadrícula 1 clara - Énfasis 11"/>
    <w:basedOn w:val="Tablanormal"/>
    <w:uiPriority w:val="46"/>
    <w:rsid w:val="008D4F81"/>
    <w:rPr>
      <w:rFonts w:eastAsiaTheme="minorHAnsi"/>
      <w:sz w:val="22"/>
      <w:szCs w:val="22"/>
      <w:lang w:val="es-MX" w:eastAsia="en-US"/>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Ttulo4Car">
    <w:name w:val="Título 4 Car"/>
    <w:basedOn w:val="Fuentedeprrafopredeter"/>
    <w:link w:val="Ttulo4"/>
    <w:uiPriority w:val="9"/>
    <w:semiHidden/>
    <w:rsid w:val="001C569A"/>
    <w:rPr>
      <w:rFonts w:asciiTheme="majorHAnsi" w:eastAsiaTheme="majorEastAsia" w:hAnsiTheme="majorHAnsi" w:cstheme="majorBidi"/>
      <w:i/>
      <w:iCs/>
      <w:color w:val="365F91" w:themeColor="accent1" w:themeShade="BF"/>
      <w:lang w:val="es-MX"/>
    </w:rPr>
  </w:style>
  <w:style w:type="character" w:customStyle="1" w:styleId="Ttulo1Car">
    <w:name w:val="Título 1 Car"/>
    <w:basedOn w:val="Fuentedeprrafopredeter"/>
    <w:link w:val="Ttulo1"/>
    <w:uiPriority w:val="9"/>
    <w:rsid w:val="000115D3"/>
    <w:rPr>
      <w:rFonts w:asciiTheme="majorHAnsi" w:eastAsiaTheme="majorEastAsia" w:hAnsiTheme="majorHAnsi" w:cstheme="majorBidi"/>
      <w:color w:val="365F91" w:themeColor="accent1" w:themeShade="BF"/>
      <w:sz w:val="32"/>
      <w:szCs w:val="32"/>
      <w:lang w:val="es-MX"/>
    </w:rPr>
  </w:style>
  <w:style w:type="character" w:customStyle="1" w:styleId="Ttulo5Car">
    <w:name w:val="Título 5 Car"/>
    <w:basedOn w:val="Fuentedeprrafopredeter"/>
    <w:link w:val="Ttulo5"/>
    <w:uiPriority w:val="9"/>
    <w:semiHidden/>
    <w:rsid w:val="00B8264C"/>
    <w:rPr>
      <w:rFonts w:asciiTheme="majorHAnsi" w:eastAsiaTheme="majorEastAsia" w:hAnsiTheme="majorHAnsi" w:cstheme="majorBidi"/>
      <w:color w:val="365F91" w:themeColor="accent1" w:themeShade="BF"/>
      <w:lang w:val="es-MX"/>
    </w:rPr>
  </w:style>
  <w:style w:type="paragraph" w:customStyle="1" w:styleId="paragraph">
    <w:name w:val="paragraph"/>
    <w:basedOn w:val="Normal"/>
    <w:rsid w:val="009C63B2"/>
    <w:pPr>
      <w:spacing w:before="100" w:beforeAutospacing="1" w:after="100" w:afterAutospacing="1" w:line="264" w:lineRule="auto"/>
    </w:pPr>
    <w:rPr>
      <w:rFonts w:asciiTheme="minorHAnsi" w:eastAsiaTheme="minorEastAsia" w:hAnsiTheme="minorHAnsi" w:cstheme="minorBidi"/>
      <w:sz w:val="20"/>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829531">
      <w:bodyDiv w:val="1"/>
      <w:marLeft w:val="0"/>
      <w:marRight w:val="0"/>
      <w:marTop w:val="0"/>
      <w:marBottom w:val="0"/>
      <w:divBdr>
        <w:top w:val="none" w:sz="0" w:space="0" w:color="auto"/>
        <w:left w:val="none" w:sz="0" w:space="0" w:color="auto"/>
        <w:bottom w:val="none" w:sz="0" w:space="0" w:color="auto"/>
        <w:right w:val="none" w:sz="0" w:space="0" w:color="auto"/>
      </w:divBdr>
    </w:div>
    <w:div w:id="88163002">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71262498">
      <w:bodyDiv w:val="1"/>
      <w:marLeft w:val="0"/>
      <w:marRight w:val="0"/>
      <w:marTop w:val="0"/>
      <w:marBottom w:val="0"/>
      <w:divBdr>
        <w:top w:val="none" w:sz="0" w:space="0" w:color="auto"/>
        <w:left w:val="none" w:sz="0" w:space="0" w:color="auto"/>
        <w:bottom w:val="none" w:sz="0" w:space="0" w:color="auto"/>
        <w:right w:val="none" w:sz="0" w:space="0" w:color="auto"/>
      </w:divBdr>
    </w:div>
    <w:div w:id="241645954">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67349899">
      <w:bodyDiv w:val="1"/>
      <w:marLeft w:val="0"/>
      <w:marRight w:val="0"/>
      <w:marTop w:val="0"/>
      <w:marBottom w:val="0"/>
      <w:divBdr>
        <w:top w:val="none" w:sz="0" w:space="0" w:color="auto"/>
        <w:left w:val="none" w:sz="0" w:space="0" w:color="auto"/>
        <w:bottom w:val="none" w:sz="0" w:space="0" w:color="auto"/>
        <w:right w:val="none" w:sz="0" w:space="0" w:color="auto"/>
      </w:divBdr>
    </w:div>
    <w:div w:id="286858887">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92319087">
      <w:bodyDiv w:val="1"/>
      <w:marLeft w:val="0"/>
      <w:marRight w:val="0"/>
      <w:marTop w:val="0"/>
      <w:marBottom w:val="0"/>
      <w:divBdr>
        <w:top w:val="none" w:sz="0" w:space="0" w:color="auto"/>
        <w:left w:val="none" w:sz="0" w:space="0" w:color="auto"/>
        <w:bottom w:val="none" w:sz="0" w:space="0" w:color="auto"/>
        <w:right w:val="none" w:sz="0" w:space="0" w:color="auto"/>
      </w:divBdr>
    </w:div>
    <w:div w:id="409159817">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528488422">
      <w:bodyDiv w:val="1"/>
      <w:marLeft w:val="0"/>
      <w:marRight w:val="0"/>
      <w:marTop w:val="0"/>
      <w:marBottom w:val="0"/>
      <w:divBdr>
        <w:top w:val="none" w:sz="0" w:space="0" w:color="auto"/>
        <w:left w:val="none" w:sz="0" w:space="0" w:color="auto"/>
        <w:bottom w:val="none" w:sz="0" w:space="0" w:color="auto"/>
        <w:right w:val="none" w:sz="0" w:space="0" w:color="auto"/>
      </w:divBdr>
      <w:divsChild>
        <w:div w:id="2098211061">
          <w:marLeft w:val="0"/>
          <w:marRight w:val="0"/>
          <w:marTop w:val="0"/>
          <w:marBottom w:val="0"/>
          <w:divBdr>
            <w:top w:val="none" w:sz="0" w:space="0" w:color="auto"/>
            <w:left w:val="none" w:sz="0" w:space="0" w:color="auto"/>
            <w:bottom w:val="none" w:sz="0" w:space="0" w:color="auto"/>
            <w:right w:val="none" w:sz="0" w:space="0" w:color="auto"/>
          </w:divBdr>
          <w:divsChild>
            <w:div w:id="723989277">
              <w:marLeft w:val="0"/>
              <w:marRight w:val="0"/>
              <w:marTop w:val="0"/>
              <w:marBottom w:val="0"/>
              <w:divBdr>
                <w:top w:val="none" w:sz="0" w:space="0" w:color="auto"/>
                <w:left w:val="none" w:sz="0" w:space="0" w:color="auto"/>
                <w:bottom w:val="none" w:sz="0" w:space="0" w:color="auto"/>
                <w:right w:val="none" w:sz="0" w:space="0" w:color="auto"/>
              </w:divBdr>
            </w:div>
          </w:divsChild>
        </w:div>
        <w:div w:id="1748110024">
          <w:marLeft w:val="0"/>
          <w:marRight w:val="0"/>
          <w:marTop w:val="0"/>
          <w:marBottom w:val="0"/>
          <w:divBdr>
            <w:top w:val="none" w:sz="0" w:space="0" w:color="auto"/>
            <w:left w:val="none" w:sz="0" w:space="0" w:color="auto"/>
            <w:bottom w:val="none" w:sz="0" w:space="0" w:color="auto"/>
            <w:right w:val="none" w:sz="0" w:space="0" w:color="auto"/>
          </w:divBdr>
          <w:divsChild>
            <w:div w:id="1426030211">
              <w:marLeft w:val="0"/>
              <w:marRight w:val="0"/>
              <w:marTop w:val="0"/>
              <w:marBottom w:val="0"/>
              <w:divBdr>
                <w:top w:val="none" w:sz="0" w:space="0" w:color="auto"/>
                <w:left w:val="none" w:sz="0" w:space="0" w:color="auto"/>
                <w:bottom w:val="none" w:sz="0" w:space="0" w:color="auto"/>
                <w:right w:val="none" w:sz="0" w:space="0" w:color="auto"/>
              </w:divBdr>
            </w:div>
            <w:div w:id="64921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92740003">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66515494">
      <w:bodyDiv w:val="1"/>
      <w:marLeft w:val="0"/>
      <w:marRight w:val="0"/>
      <w:marTop w:val="0"/>
      <w:marBottom w:val="0"/>
      <w:divBdr>
        <w:top w:val="none" w:sz="0" w:space="0" w:color="auto"/>
        <w:left w:val="none" w:sz="0" w:space="0" w:color="auto"/>
        <w:bottom w:val="none" w:sz="0" w:space="0" w:color="auto"/>
        <w:right w:val="none" w:sz="0" w:space="0" w:color="auto"/>
      </w:divBdr>
    </w:div>
    <w:div w:id="710617787">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93671314">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7044023">
      <w:bodyDiv w:val="1"/>
      <w:marLeft w:val="0"/>
      <w:marRight w:val="0"/>
      <w:marTop w:val="0"/>
      <w:marBottom w:val="0"/>
      <w:divBdr>
        <w:top w:val="none" w:sz="0" w:space="0" w:color="auto"/>
        <w:left w:val="none" w:sz="0" w:space="0" w:color="auto"/>
        <w:bottom w:val="none" w:sz="0" w:space="0" w:color="auto"/>
        <w:right w:val="none" w:sz="0" w:space="0" w:color="auto"/>
      </w:divBdr>
    </w:div>
    <w:div w:id="863052552">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946815768">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8480752">
      <w:bodyDiv w:val="1"/>
      <w:marLeft w:val="0"/>
      <w:marRight w:val="0"/>
      <w:marTop w:val="0"/>
      <w:marBottom w:val="0"/>
      <w:divBdr>
        <w:top w:val="none" w:sz="0" w:space="0" w:color="auto"/>
        <w:left w:val="none" w:sz="0" w:space="0" w:color="auto"/>
        <w:bottom w:val="none" w:sz="0" w:space="0" w:color="auto"/>
        <w:right w:val="none" w:sz="0" w:space="0" w:color="auto"/>
      </w:divBdr>
    </w:div>
    <w:div w:id="993067288">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84644493">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9621512">
      <w:bodyDiv w:val="1"/>
      <w:marLeft w:val="0"/>
      <w:marRight w:val="0"/>
      <w:marTop w:val="0"/>
      <w:marBottom w:val="0"/>
      <w:divBdr>
        <w:top w:val="none" w:sz="0" w:space="0" w:color="auto"/>
        <w:left w:val="none" w:sz="0" w:space="0" w:color="auto"/>
        <w:bottom w:val="none" w:sz="0" w:space="0" w:color="auto"/>
        <w:right w:val="none" w:sz="0" w:space="0" w:color="auto"/>
      </w:divBdr>
    </w:div>
    <w:div w:id="1114209028">
      <w:bodyDiv w:val="1"/>
      <w:marLeft w:val="0"/>
      <w:marRight w:val="0"/>
      <w:marTop w:val="0"/>
      <w:marBottom w:val="0"/>
      <w:divBdr>
        <w:top w:val="none" w:sz="0" w:space="0" w:color="auto"/>
        <w:left w:val="none" w:sz="0" w:space="0" w:color="auto"/>
        <w:bottom w:val="none" w:sz="0" w:space="0" w:color="auto"/>
        <w:right w:val="none" w:sz="0" w:space="0" w:color="auto"/>
      </w:divBdr>
    </w:div>
    <w:div w:id="1133673811">
      <w:bodyDiv w:val="1"/>
      <w:marLeft w:val="0"/>
      <w:marRight w:val="0"/>
      <w:marTop w:val="0"/>
      <w:marBottom w:val="0"/>
      <w:divBdr>
        <w:top w:val="none" w:sz="0" w:space="0" w:color="auto"/>
        <w:left w:val="none" w:sz="0" w:space="0" w:color="auto"/>
        <w:bottom w:val="none" w:sz="0" w:space="0" w:color="auto"/>
        <w:right w:val="none" w:sz="0" w:space="0" w:color="auto"/>
      </w:divBdr>
    </w:div>
    <w:div w:id="1214348578">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0581855">
      <w:bodyDiv w:val="1"/>
      <w:marLeft w:val="0"/>
      <w:marRight w:val="0"/>
      <w:marTop w:val="0"/>
      <w:marBottom w:val="0"/>
      <w:divBdr>
        <w:top w:val="none" w:sz="0" w:space="0" w:color="auto"/>
        <w:left w:val="none" w:sz="0" w:space="0" w:color="auto"/>
        <w:bottom w:val="none" w:sz="0" w:space="0" w:color="auto"/>
        <w:right w:val="none" w:sz="0" w:space="0" w:color="auto"/>
      </w:divBdr>
    </w:div>
    <w:div w:id="1232882617">
      <w:bodyDiv w:val="1"/>
      <w:marLeft w:val="0"/>
      <w:marRight w:val="0"/>
      <w:marTop w:val="0"/>
      <w:marBottom w:val="0"/>
      <w:divBdr>
        <w:top w:val="none" w:sz="0" w:space="0" w:color="auto"/>
        <w:left w:val="none" w:sz="0" w:space="0" w:color="auto"/>
        <w:bottom w:val="none" w:sz="0" w:space="0" w:color="auto"/>
        <w:right w:val="none" w:sz="0" w:space="0" w:color="auto"/>
      </w:divBdr>
    </w:div>
    <w:div w:id="1345277711">
      <w:bodyDiv w:val="1"/>
      <w:marLeft w:val="0"/>
      <w:marRight w:val="0"/>
      <w:marTop w:val="0"/>
      <w:marBottom w:val="0"/>
      <w:divBdr>
        <w:top w:val="none" w:sz="0" w:space="0" w:color="auto"/>
        <w:left w:val="none" w:sz="0" w:space="0" w:color="auto"/>
        <w:bottom w:val="none" w:sz="0" w:space="0" w:color="auto"/>
        <w:right w:val="none" w:sz="0" w:space="0" w:color="auto"/>
      </w:divBdr>
    </w:div>
    <w:div w:id="1354067545">
      <w:bodyDiv w:val="1"/>
      <w:marLeft w:val="0"/>
      <w:marRight w:val="0"/>
      <w:marTop w:val="0"/>
      <w:marBottom w:val="0"/>
      <w:divBdr>
        <w:top w:val="none" w:sz="0" w:space="0" w:color="auto"/>
        <w:left w:val="none" w:sz="0" w:space="0" w:color="auto"/>
        <w:bottom w:val="none" w:sz="0" w:space="0" w:color="auto"/>
        <w:right w:val="none" w:sz="0" w:space="0" w:color="auto"/>
      </w:divBdr>
    </w:div>
    <w:div w:id="1399673478">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22264180">
      <w:bodyDiv w:val="1"/>
      <w:marLeft w:val="0"/>
      <w:marRight w:val="0"/>
      <w:marTop w:val="0"/>
      <w:marBottom w:val="0"/>
      <w:divBdr>
        <w:top w:val="none" w:sz="0" w:space="0" w:color="auto"/>
        <w:left w:val="none" w:sz="0" w:space="0" w:color="auto"/>
        <w:bottom w:val="none" w:sz="0" w:space="0" w:color="auto"/>
        <w:right w:val="none" w:sz="0" w:space="0" w:color="auto"/>
      </w:divBdr>
      <w:divsChild>
        <w:div w:id="963272130">
          <w:marLeft w:val="0"/>
          <w:marRight w:val="0"/>
          <w:marTop w:val="750"/>
          <w:marBottom w:val="0"/>
          <w:divBdr>
            <w:top w:val="none" w:sz="0" w:space="0" w:color="auto"/>
            <w:left w:val="none" w:sz="0" w:space="0" w:color="auto"/>
            <w:bottom w:val="none" w:sz="0" w:space="0" w:color="auto"/>
            <w:right w:val="none" w:sz="0" w:space="0" w:color="auto"/>
          </w:divBdr>
          <w:divsChild>
            <w:div w:id="1554848307">
              <w:marLeft w:val="0"/>
              <w:marRight w:val="0"/>
              <w:marTop w:val="0"/>
              <w:marBottom w:val="0"/>
              <w:divBdr>
                <w:top w:val="none" w:sz="0" w:space="0" w:color="auto"/>
                <w:left w:val="none" w:sz="0" w:space="0" w:color="auto"/>
                <w:bottom w:val="none" w:sz="0" w:space="0" w:color="auto"/>
                <w:right w:val="none" w:sz="0" w:space="0" w:color="auto"/>
              </w:divBdr>
            </w:div>
          </w:divsChild>
        </w:div>
        <w:div w:id="470756100">
          <w:marLeft w:val="1179"/>
          <w:marRight w:val="0"/>
          <w:marTop w:val="750"/>
          <w:marBottom w:val="0"/>
          <w:divBdr>
            <w:top w:val="none" w:sz="0" w:space="0" w:color="auto"/>
            <w:left w:val="none" w:sz="0" w:space="0" w:color="auto"/>
            <w:bottom w:val="none" w:sz="0" w:space="0" w:color="auto"/>
            <w:right w:val="none" w:sz="0" w:space="0" w:color="auto"/>
          </w:divBdr>
          <w:divsChild>
            <w:div w:id="2115708416">
              <w:marLeft w:val="0"/>
              <w:marRight w:val="0"/>
              <w:marTop w:val="0"/>
              <w:marBottom w:val="0"/>
              <w:divBdr>
                <w:top w:val="none" w:sz="0" w:space="0" w:color="auto"/>
                <w:left w:val="none" w:sz="0" w:space="0" w:color="auto"/>
                <w:bottom w:val="none" w:sz="0" w:space="0" w:color="auto"/>
                <w:right w:val="none" w:sz="0" w:space="0" w:color="auto"/>
              </w:divBdr>
            </w:div>
            <w:div w:id="191438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43477">
      <w:bodyDiv w:val="1"/>
      <w:marLeft w:val="0"/>
      <w:marRight w:val="0"/>
      <w:marTop w:val="0"/>
      <w:marBottom w:val="0"/>
      <w:divBdr>
        <w:top w:val="none" w:sz="0" w:space="0" w:color="auto"/>
        <w:left w:val="none" w:sz="0" w:space="0" w:color="auto"/>
        <w:bottom w:val="none" w:sz="0" w:space="0" w:color="auto"/>
        <w:right w:val="none" w:sz="0" w:space="0" w:color="auto"/>
      </w:divBdr>
    </w:div>
    <w:div w:id="1456871133">
      <w:bodyDiv w:val="1"/>
      <w:marLeft w:val="0"/>
      <w:marRight w:val="0"/>
      <w:marTop w:val="0"/>
      <w:marBottom w:val="0"/>
      <w:divBdr>
        <w:top w:val="none" w:sz="0" w:space="0" w:color="auto"/>
        <w:left w:val="none" w:sz="0" w:space="0" w:color="auto"/>
        <w:bottom w:val="none" w:sz="0" w:space="0" w:color="auto"/>
        <w:right w:val="none" w:sz="0" w:space="0" w:color="auto"/>
      </w:divBdr>
    </w:div>
    <w:div w:id="1461067088">
      <w:bodyDiv w:val="1"/>
      <w:marLeft w:val="0"/>
      <w:marRight w:val="0"/>
      <w:marTop w:val="0"/>
      <w:marBottom w:val="0"/>
      <w:divBdr>
        <w:top w:val="none" w:sz="0" w:space="0" w:color="auto"/>
        <w:left w:val="none" w:sz="0" w:space="0" w:color="auto"/>
        <w:bottom w:val="none" w:sz="0" w:space="0" w:color="auto"/>
        <w:right w:val="none" w:sz="0" w:space="0" w:color="auto"/>
      </w:divBdr>
    </w:div>
    <w:div w:id="1463381348">
      <w:bodyDiv w:val="1"/>
      <w:marLeft w:val="0"/>
      <w:marRight w:val="0"/>
      <w:marTop w:val="0"/>
      <w:marBottom w:val="0"/>
      <w:divBdr>
        <w:top w:val="none" w:sz="0" w:space="0" w:color="auto"/>
        <w:left w:val="none" w:sz="0" w:space="0" w:color="auto"/>
        <w:bottom w:val="none" w:sz="0" w:space="0" w:color="auto"/>
        <w:right w:val="none" w:sz="0" w:space="0" w:color="auto"/>
      </w:divBdr>
    </w:div>
    <w:div w:id="1487821479">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90115132">
      <w:bodyDiv w:val="1"/>
      <w:marLeft w:val="0"/>
      <w:marRight w:val="0"/>
      <w:marTop w:val="0"/>
      <w:marBottom w:val="0"/>
      <w:divBdr>
        <w:top w:val="none" w:sz="0" w:space="0" w:color="auto"/>
        <w:left w:val="none" w:sz="0" w:space="0" w:color="auto"/>
        <w:bottom w:val="none" w:sz="0" w:space="0" w:color="auto"/>
        <w:right w:val="none" w:sz="0" w:space="0" w:color="auto"/>
      </w:divBdr>
    </w:div>
    <w:div w:id="1600288901">
      <w:bodyDiv w:val="1"/>
      <w:marLeft w:val="0"/>
      <w:marRight w:val="0"/>
      <w:marTop w:val="0"/>
      <w:marBottom w:val="0"/>
      <w:divBdr>
        <w:top w:val="none" w:sz="0" w:space="0" w:color="auto"/>
        <w:left w:val="none" w:sz="0" w:space="0" w:color="auto"/>
        <w:bottom w:val="none" w:sz="0" w:space="0" w:color="auto"/>
        <w:right w:val="none" w:sz="0" w:space="0" w:color="auto"/>
      </w:divBdr>
    </w:div>
    <w:div w:id="1617981478">
      <w:bodyDiv w:val="1"/>
      <w:marLeft w:val="0"/>
      <w:marRight w:val="0"/>
      <w:marTop w:val="0"/>
      <w:marBottom w:val="0"/>
      <w:divBdr>
        <w:top w:val="none" w:sz="0" w:space="0" w:color="auto"/>
        <w:left w:val="none" w:sz="0" w:space="0" w:color="auto"/>
        <w:bottom w:val="none" w:sz="0" w:space="0" w:color="auto"/>
        <w:right w:val="none" w:sz="0" w:space="0" w:color="auto"/>
      </w:divBdr>
    </w:div>
    <w:div w:id="1686980717">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32843966">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9368142">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9633762">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2014187376">
      <w:bodyDiv w:val="1"/>
      <w:marLeft w:val="0"/>
      <w:marRight w:val="0"/>
      <w:marTop w:val="0"/>
      <w:marBottom w:val="0"/>
      <w:divBdr>
        <w:top w:val="none" w:sz="0" w:space="0" w:color="auto"/>
        <w:left w:val="none" w:sz="0" w:space="0" w:color="auto"/>
        <w:bottom w:val="none" w:sz="0" w:space="0" w:color="auto"/>
        <w:right w:val="none" w:sz="0" w:space="0" w:color="auto"/>
      </w:divBdr>
    </w:div>
    <w:div w:id="2027099017">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2123732">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31626796">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osfem.gob.mx/04_Normatividad/doc/Normatividad/2019/19.-LineamInfMensualMpal_2019.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3.png"/><Relationship Id="rId41"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legislacion.edomex.gob.mx/sites/legislacion.edomex.gob.mx/files/files/pdf/bdo/bdo2019/bdo006.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4731EA-3128-4A50-924C-81A91E106F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93</Pages>
  <Words>22764</Words>
  <Characters>125203</Characters>
  <Application>Microsoft Office Word</Application>
  <DocSecurity>0</DocSecurity>
  <Lines>1043</Lines>
  <Paragraphs>295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147672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8</cp:revision>
  <cp:lastPrinted>2019-08-20T18:51:00Z</cp:lastPrinted>
  <dcterms:created xsi:type="dcterms:W3CDTF">2019-08-08T23:49:00Z</dcterms:created>
  <dcterms:modified xsi:type="dcterms:W3CDTF">2019-08-30T15:35:00Z</dcterms:modified>
</cp:coreProperties>
</file>