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7B06A0">
      <w:pPr>
        <w:widowControl w:val="0"/>
        <w:spacing w:before="100" w:beforeAutospacing="1" w:after="100" w:afterAutospacing="1" w:line="360" w:lineRule="auto"/>
        <w:ind w:right="49"/>
        <w:contextualSpacing/>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C6AB8">
        <w:rPr>
          <w:rFonts w:ascii="Palatino Linotype" w:hAnsi="Palatino Linotype" w:cs="Arial"/>
          <w:b/>
        </w:rPr>
        <w:t xml:space="preserve">NOVENA </w:t>
      </w:r>
      <w:r>
        <w:rPr>
          <w:rFonts w:ascii="Palatino Linotype" w:hAnsi="Palatino Linotype" w:cs="Arial"/>
          <w:b/>
        </w:rPr>
        <w:t>SESIÓN ORDINARIA DE</w:t>
      </w:r>
      <w:r w:rsidR="00616912">
        <w:rPr>
          <w:rFonts w:ascii="Palatino Linotype" w:hAnsi="Palatino Linotype" w:cs="Arial"/>
          <w:b/>
        </w:rPr>
        <w:t xml:space="preserve"> </w:t>
      </w:r>
      <w:r w:rsidR="00EC6AB8">
        <w:rPr>
          <w:rFonts w:ascii="Palatino Linotype" w:hAnsi="Palatino Linotype" w:cs="Arial"/>
          <w:b/>
        </w:rPr>
        <w:t xml:space="preserve">ONCE DE MARZO </w:t>
      </w:r>
      <w:r w:rsidR="00BD1BCE">
        <w:rPr>
          <w:rFonts w:ascii="Palatino Linotype" w:hAnsi="Palatino Linotype" w:cs="Arial"/>
          <w:b/>
        </w:rPr>
        <w:t xml:space="preserve">DE DOS MIL </w:t>
      </w:r>
      <w:r w:rsidR="00AD0717">
        <w:rPr>
          <w:rFonts w:ascii="Palatino Linotype" w:hAnsi="Palatino Linotype" w:cs="Arial"/>
          <w:b/>
        </w:rPr>
        <w:t>VEINTE</w:t>
      </w:r>
      <w:r w:rsidRPr="0007653D">
        <w:rPr>
          <w:rFonts w:ascii="Palatino Linotype" w:hAnsi="Palatino Linotype" w:cs="Arial"/>
          <w:b/>
        </w:rPr>
        <w:t xml:space="preserve">, EN </w:t>
      </w:r>
      <w:r>
        <w:rPr>
          <w:rFonts w:ascii="Palatino Linotype" w:hAnsi="Palatino Linotype" w:cs="Arial"/>
          <w:b/>
        </w:rPr>
        <w:t xml:space="preserve">EL </w:t>
      </w:r>
      <w:r w:rsidR="00EC6AB8">
        <w:rPr>
          <w:rFonts w:ascii="Palatino Linotype" w:hAnsi="Palatino Linotype" w:cs="Arial"/>
          <w:b/>
        </w:rPr>
        <w:t>RECURSO DE REVISIÓN 1011</w:t>
      </w:r>
      <w:r w:rsidR="009740B8">
        <w:rPr>
          <w:rFonts w:ascii="Palatino Linotype" w:hAnsi="Palatino Linotype" w:cs="Arial"/>
          <w:b/>
        </w:rPr>
        <w:t>3</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0B025D" w:rsidRDefault="000B025D" w:rsidP="007B06A0">
      <w:pPr>
        <w:spacing w:before="100" w:beforeAutospacing="1" w:after="100" w:afterAutospacing="1" w:line="360" w:lineRule="auto"/>
        <w:ind w:right="49"/>
        <w:contextualSpacing/>
        <w:jc w:val="both"/>
        <w:rPr>
          <w:rFonts w:ascii="Palatino Linotype" w:hAnsi="Palatino Linotype" w:cs="Arial"/>
        </w:rPr>
      </w:pPr>
    </w:p>
    <w:p w:rsidR="00F7009C" w:rsidRPr="004B17F5" w:rsidRDefault="00F7009C" w:rsidP="007B06A0">
      <w:pPr>
        <w:spacing w:before="100" w:beforeAutospacing="1" w:after="100" w:afterAutospacing="1" w:line="360" w:lineRule="auto"/>
        <w:ind w:right="49"/>
        <w:contextualSpacing/>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00EC6AB8">
        <w:rPr>
          <w:rFonts w:ascii="Palatino Linotype" w:hAnsi="Palatino Linotype" w:cs="Arial"/>
          <w:b/>
        </w:rPr>
        <w:t>1011</w:t>
      </w:r>
      <w:r w:rsidR="009740B8">
        <w:rPr>
          <w:rFonts w:ascii="Palatino Linotype" w:hAnsi="Palatino Linotype" w:cs="Arial"/>
          <w:b/>
        </w:rPr>
        <w:t>3</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EE0A11">
        <w:rPr>
          <w:rFonts w:ascii="Palatino Linotype" w:hAnsi="Palatino Linotype" w:cs="Arial"/>
          <w:b/>
        </w:rPr>
        <w:t>JOSÉ GUADALUPE LUNA HERNÁNDEZ</w:t>
      </w:r>
      <w:r w:rsidRPr="0007653D">
        <w:rPr>
          <w:rFonts w:ascii="Palatino Linotype" w:hAnsi="Palatino Linotype" w:cs="Arial"/>
        </w:rPr>
        <w:t xml:space="preserve">, </w:t>
      </w:r>
      <w:r w:rsidR="00F35195">
        <w:rPr>
          <w:rFonts w:ascii="Palatino Linotype" w:hAnsi="Palatino Linotype" w:cs="Arial"/>
        </w:rPr>
        <w:t>que es del tenor siguiente.</w:t>
      </w:r>
    </w:p>
    <w:p w:rsidR="000B025D" w:rsidRDefault="000B025D" w:rsidP="007B06A0">
      <w:pPr>
        <w:spacing w:before="100" w:beforeAutospacing="1" w:after="100" w:afterAutospacing="1" w:line="360" w:lineRule="auto"/>
        <w:ind w:right="49"/>
        <w:contextualSpacing/>
        <w:jc w:val="both"/>
        <w:rPr>
          <w:rFonts w:ascii="Palatino Linotype" w:hAnsi="Palatino Linotype"/>
        </w:rPr>
      </w:pPr>
    </w:p>
    <w:p w:rsidR="00D21672" w:rsidRDefault="00F7009C" w:rsidP="007B06A0">
      <w:pPr>
        <w:spacing w:before="100" w:beforeAutospacing="1" w:after="100" w:afterAutospacing="1" w:line="360" w:lineRule="auto"/>
        <w:ind w:right="49"/>
        <w:contextualSpacing/>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Pr="00D93A88">
        <w:rPr>
          <w:rFonts w:ascii="Palatino Linotype" w:hAnsi="Palatino Linotype"/>
        </w:rPr>
        <w:t>.</w:t>
      </w:r>
    </w:p>
    <w:p w:rsidR="000B025D" w:rsidRDefault="000B025D" w:rsidP="007B06A0">
      <w:pPr>
        <w:spacing w:before="100" w:beforeAutospacing="1" w:after="100" w:afterAutospacing="1" w:line="360" w:lineRule="auto"/>
        <w:ind w:right="49"/>
        <w:contextualSpacing/>
        <w:jc w:val="both"/>
        <w:rPr>
          <w:rFonts w:ascii="Palatino Linotype" w:hAnsi="Palatino Linotype"/>
        </w:rPr>
      </w:pPr>
    </w:p>
    <w:p w:rsidR="004D34A9" w:rsidRDefault="00F7009C" w:rsidP="007B06A0">
      <w:pPr>
        <w:spacing w:before="100" w:beforeAutospacing="1" w:after="100" w:afterAutospacing="1" w:line="360" w:lineRule="auto"/>
        <w:ind w:right="49"/>
        <w:contextualSpacing/>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AD0717">
        <w:rPr>
          <w:rFonts w:ascii="Palatino Linotype" w:hAnsi="Palatino Linotype"/>
        </w:rPr>
        <w:t xml:space="preserve">l </w:t>
      </w:r>
      <w:r w:rsidR="00AD0717">
        <w:rPr>
          <w:rFonts w:ascii="Palatino Linotype" w:hAnsi="Palatino Linotype"/>
          <w:b/>
        </w:rPr>
        <w:t>Ayuntamiento d</w:t>
      </w:r>
      <w:r w:rsidR="00EC6AB8">
        <w:rPr>
          <w:rFonts w:ascii="Palatino Linotype" w:hAnsi="Palatino Linotype"/>
          <w:b/>
        </w:rPr>
        <w:t xml:space="preserve">e </w:t>
      </w:r>
      <w:proofErr w:type="spellStart"/>
      <w:r w:rsidR="00EC6AB8">
        <w:rPr>
          <w:rFonts w:ascii="Palatino Linotype" w:hAnsi="Palatino Linotype"/>
          <w:b/>
        </w:rPr>
        <w:t>Ecatzingo</w:t>
      </w:r>
      <w:proofErr w:type="spellEnd"/>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6739B1">
        <w:rPr>
          <w:rFonts w:ascii="Palatino Linotype" w:hAnsi="Palatino Linotype"/>
        </w:rPr>
        <w:t>la siguiente información:</w:t>
      </w:r>
    </w:p>
    <w:p w:rsidR="00F61512" w:rsidRPr="009740B8" w:rsidRDefault="004A60FC" w:rsidP="00EC6AB8">
      <w:pPr>
        <w:pStyle w:val="Prrafodelista"/>
        <w:tabs>
          <w:tab w:val="left" w:pos="4962"/>
        </w:tabs>
        <w:spacing w:before="100" w:beforeAutospacing="1" w:after="100" w:afterAutospacing="1"/>
        <w:ind w:left="851" w:right="902"/>
        <w:jc w:val="both"/>
        <w:rPr>
          <w:rFonts w:ascii="Palatino Linotype" w:hAnsi="Palatino Linotype"/>
          <w:i/>
          <w:color w:val="000000"/>
          <w:sz w:val="22"/>
          <w:szCs w:val="22"/>
        </w:rPr>
      </w:pPr>
      <w:r>
        <w:rPr>
          <w:rFonts w:ascii="Palatino Linotype" w:hAnsi="Palatino Linotype"/>
          <w:i/>
          <w:color w:val="000000"/>
          <w:sz w:val="22"/>
          <w:szCs w:val="22"/>
        </w:rPr>
        <w:lastRenderedPageBreak/>
        <w:t>“</w:t>
      </w:r>
      <w:r w:rsidR="00EC6AB8" w:rsidRPr="00EC6AB8">
        <w:rPr>
          <w:rFonts w:ascii="Palatino Linotype" w:hAnsi="Palatino Linotype"/>
          <w:i/>
          <w:sz w:val="22"/>
          <w:szCs w:val="22"/>
        </w:rPr>
        <w:t>Solicito los procedimientos administrativos que se tengan registrados en contra de servidores públicos del municipio</w:t>
      </w:r>
      <w:r w:rsidRPr="009740B8">
        <w:rPr>
          <w:rFonts w:ascii="Palatino Linotype" w:hAnsi="Palatino Linotype"/>
          <w:i/>
          <w:color w:val="000000"/>
          <w:sz w:val="22"/>
          <w:szCs w:val="22"/>
        </w:rPr>
        <w:t>”</w:t>
      </w:r>
    </w:p>
    <w:p w:rsidR="00990B21" w:rsidRDefault="00F7009C" w:rsidP="007B06A0">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AD0717">
        <w:rPr>
          <w:rFonts w:ascii="Palatino Linotype" w:hAnsi="Palatino Linotype" w:cs="Arial"/>
        </w:rPr>
        <w:t>emitió su respuesta en los siguientes términos:</w:t>
      </w:r>
    </w:p>
    <w:p w:rsidR="00AD0717" w:rsidRDefault="00AD0717" w:rsidP="007B06A0">
      <w:pPr>
        <w:spacing w:before="100" w:beforeAutospacing="1" w:after="100" w:afterAutospacing="1" w:line="360" w:lineRule="auto"/>
        <w:contextualSpacing/>
        <w:jc w:val="both"/>
        <w:rPr>
          <w:rFonts w:ascii="Palatino Linotype" w:hAnsi="Palatino Linotype" w:cs="Arial"/>
        </w:rPr>
      </w:pPr>
    </w:p>
    <w:p w:rsidR="00EC6AB8" w:rsidRPr="00EC6AB8" w:rsidRDefault="00AD0717" w:rsidP="00EC6AB8">
      <w:pPr>
        <w:spacing w:before="100" w:beforeAutospacing="1" w:after="100" w:afterAutospacing="1"/>
        <w:ind w:left="851" w:right="902"/>
        <w:contextualSpacing/>
        <w:jc w:val="both"/>
        <w:rPr>
          <w:rFonts w:ascii="Palatino Linotype" w:hAnsi="Palatino Linotype"/>
          <w:i/>
          <w:sz w:val="22"/>
          <w:szCs w:val="22"/>
        </w:rPr>
      </w:pPr>
      <w:r w:rsidRPr="00AD0717">
        <w:rPr>
          <w:rFonts w:ascii="Palatino Linotype" w:hAnsi="Palatino Linotype"/>
          <w:i/>
          <w:sz w:val="22"/>
          <w:szCs w:val="22"/>
        </w:rPr>
        <w:t>“</w:t>
      </w:r>
      <w:r w:rsidR="00EC6AB8" w:rsidRPr="00EC6AB8">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C6AB8" w:rsidRPr="00EC6AB8" w:rsidRDefault="00EC6AB8" w:rsidP="00EC6AB8">
      <w:pPr>
        <w:spacing w:before="100" w:beforeAutospacing="1" w:after="100" w:afterAutospacing="1"/>
        <w:ind w:left="851" w:right="902"/>
        <w:contextualSpacing/>
        <w:jc w:val="both"/>
        <w:rPr>
          <w:rFonts w:ascii="Palatino Linotype" w:hAnsi="Palatino Linotype"/>
          <w:i/>
          <w:sz w:val="22"/>
          <w:szCs w:val="22"/>
        </w:rPr>
      </w:pPr>
    </w:p>
    <w:p w:rsidR="00EC6AB8" w:rsidRPr="00EC6AB8" w:rsidRDefault="00EC6AB8" w:rsidP="00EC6AB8">
      <w:pPr>
        <w:spacing w:before="100" w:beforeAutospacing="1" w:after="100" w:afterAutospacing="1"/>
        <w:ind w:left="851" w:right="902"/>
        <w:contextualSpacing/>
        <w:jc w:val="both"/>
        <w:rPr>
          <w:rFonts w:ascii="Palatino Linotype" w:hAnsi="Palatino Linotype"/>
          <w:i/>
          <w:sz w:val="22"/>
          <w:szCs w:val="22"/>
        </w:rPr>
      </w:pPr>
      <w:r w:rsidRPr="00EC6AB8">
        <w:rPr>
          <w:rFonts w:ascii="Palatino Linotype" w:hAnsi="Palatino Linotype"/>
          <w:i/>
          <w:sz w:val="22"/>
          <w:szCs w:val="22"/>
        </w:rPr>
        <w:t>ECAT/CIM/IP/001/2019, ECA/CM/INV/01/2019, ECA/CM/INV/02/2019</w:t>
      </w:r>
    </w:p>
    <w:p w:rsidR="00EC6AB8" w:rsidRPr="00EC6AB8" w:rsidRDefault="00EC6AB8" w:rsidP="00EC6AB8">
      <w:pPr>
        <w:spacing w:before="100" w:beforeAutospacing="1" w:after="100" w:afterAutospacing="1"/>
        <w:ind w:left="851" w:right="902"/>
        <w:contextualSpacing/>
        <w:jc w:val="both"/>
        <w:rPr>
          <w:rFonts w:ascii="Palatino Linotype" w:hAnsi="Palatino Linotype"/>
          <w:i/>
          <w:sz w:val="22"/>
          <w:szCs w:val="22"/>
        </w:rPr>
      </w:pPr>
    </w:p>
    <w:p w:rsidR="00EC6AB8" w:rsidRPr="00EC6AB8" w:rsidRDefault="00EC6AB8" w:rsidP="00EC6AB8">
      <w:pPr>
        <w:spacing w:before="100" w:beforeAutospacing="1" w:after="100" w:afterAutospacing="1"/>
        <w:ind w:left="851" w:right="902"/>
        <w:contextualSpacing/>
        <w:jc w:val="both"/>
        <w:rPr>
          <w:rFonts w:ascii="Palatino Linotype" w:hAnsi="Palatino Linotype"/>
          <w:i/>
          <w:sz w:val="22"/>
          <w:szCs w:val="22"/>
        </w:rPr>
      </w:pPr>
      <w:r w:rsidRPr="00EC6AB8">
        <w:rPr>
          <w:rFonts w:ascii="Palatino Linotype" w:hAnsi="Palatino Linotype"/>
          <w:i/>
          <w:sz w:val="22"/>
          <w:szCs w:val="22"/>
        </w:rPr>
        <w:t>ATENTAMENTE</w:t>
      </w:r>
    </w:p>
    <w:p w:rsidR="00EC6AB8" w:rsidRPr="00EC6AB8" w:rsidRDefault="00EC6AB8" w:rsidP="00EC6AB8">
      <w:pPr>
        <w:spacing w:before="100" w:beforeAutospacing="1" w:after="100" w:afterAutospacing="1"/>
        <w:ind w:left="851" w:right="902"/>
        <w:contextualSpacing/>
        <w:jc w:val="both"/>
        <w:rPr>
          <w:rFonts w:ascii="Palatino Linotype" w:hAnsi="Palatino Linotype"/>
          <w:i/>
          <w:sz w:val="22"/>
          <w:szCs w:val="22"/>
        </w:rPr>
      </w:pPr>
    </w:p>
    <w:p w:rsidR="00AD0717" w:rsidRPr="00AD0717" w:rsidRDefault="00EC6AB8" w:rsidP="00EC6AB8">
      <w:pPr>
        <w:spacing w:before="100" w:beforeAutospacing="1" w:after="100" w:afterAutospacing="1"/>
        <w:ind w:left="851" w:right="902"/>
        <w:contextualSpacing/>
        <w:jc w:val="both"/>
        <w:rPr>
          <w:rFonts w:ascii="Palatino Linotype" w:hAnsi="Palatino Linotype" w:cs="Arial"/>
          <w:i/>
          <w:sz w:val="22"/>
          <w:szCs w:val="22"/>
        </w:rPr>
      </w:pPr>
      <w:r w:rsidRPr="00EC6AB8">
        <w:rPr>
          <w:rFonts w:ascii="Palatino Linotype" w:hAnsi="Palatino Linotype"/>
          <w:i/>
          <w:sz w:val="22"/>
          <w:szCs w:val="22"/>
        </w:rPr>
        <w:t>ING. BRANDON TOLEDANO YÁÑEZ</w:t>
      </w:r>
      <w:r>
        <w:rPr>
          <w:rFonts w:ascii="Palatino Linotype" w:hAnsi="Palatino Linotype"/>
          <w:i/>
          <w:sz w:val="22"/>
          <w:szCs w:val="22"/>
        </w:rPr>
        <w:t>.</w:t>
      </w:r>
      <w:r w:rsidR="009740B8">
        <w:rPr>
          <w:rFonts w:ascii="Palatino Linotype" w:hAnsi="Palatino Linotype"/>
          <w:i/>
          <w:sz w:val="22"/>
          <w:szCs w:val="22"/>
        </w:rPr>
        <w:t xml:space="preserve"> </w:t>
      </w:r>
      <w:r w:rsidR="00AD0717" w:rsidRPr="00AD0717">
        <w:rPr>
          <w:rFonts w:ascii="Palatino Linotype" w:hAnsi="Palatino Linotype" w:cs="Arial"/>
          <w:i/>
          <w:sz w:val="22"/>
          <w:szCs w:val="22"/>
        </w:rPr>
        <w:t>(Sic)</w:t>
      </w:r>
      <w:r>
        <w:rPr>
          <w:rFonts w:ascii="Palatino Linotype" w:hAnsi="Palatino Linotype" w:cs="Arial"/>
          <w:i/>
          <w:sz w:val="22"/>
          <w:szCs w:val="22"/>
        </w:rPr>
        <w:t>”</w:t>
      </w:r>
    </w:p>
    <w:p w:rsidR="00AD0717" w:rsidRPr="003223C2" w:rsidRDefault="00AD0717" w:rsidP="007B06A0">
      <w:pPr>
        <w:spacing w:before="100" w:beforeAutospacing="1" w:after="100" w:afterAutospacing="1" w:line="360" w:lineRule="auto"/>
        <w:contextualSpacing/>
        <w:jc w:val="both"/>
        <w:rPr>
          <w:rFonts w:ascii="Palatino Linotype" w:eastAsia="MS Mincho" w:hAnsi="Palatino Linotype" w:cstheme="majorBidi"/>
        </w:rPr>
      </w:pPr>
    </w:p>
    <w:p w:rsidR="00754E11" w:rsidRPr="009740B8" w:rsidRDefault="000D1731" w:rsidP="007B06A0">
      <w:pPr>
        <w:spacing w:before="100" w:beforeAutospacing="1" w:after="100" w:afterAutospacing="1" w:line="360" w:lineRule="auto"/>
        <w:contextualSpacing/>
        <w:jc w:val="both"/>
        <w:rPr>
          <w:rFonts w:ascii="Palatino Linotype" w:hAnsi="Palatino Linotype"/>
          <w:b/>
          <w:i/>
        </w:rPr>
      </w:pPr>
      <w:r w:rsidRPr="006B517F">
        <w:rPr>
          <w:rFonts w:ascii="Palatino Linotype" w:hAnsi="Palatino Linotype" w:cs="Arial"/>
        </w:rPr>
        <w:t>Inconforme con la respuesta,</w:t>
      </w:r>
      <w:r w:rsidR="000603E1">
        <w:rPr>
          <w:rFonts w:ascii="Palatino Linotype" w:hAnsi="Palatino Linotype" w:cs="Arial"/>
        </w:rPr>
        <w:t xml:space="preserve">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w:t>
      </w:r>
      <w:r w:rsidR="00E82989">
        <w:rPr>
          <w:rFonts w:ascii="Palatino Linotype" w:hAnsi="Palatino Linotype" w:cs="Arial"/>
        </w:rPr>
        <w:t xml:space="preserve"> </w:t>
      </w:r>
      <w:r w:rsidR="004A60FC">
        <w:rPr>
          <w:rFonts w:ascii="Palatino Linotype" w:hAnsi="Palatino Linotype" w:cs="Arial"/>
        </w:rPr>
        <w:t>como acto impugnado:</w:t>
      </w:r>
    </w:p>
    <w:p w:rsidR="004A60FC" w:rsidRDefault="004A60FC" w:rsidP="007B06A0">
      <w:pPr>
        <w:spacing w:before="100" w:beforeAutospacing="1" w:after="100" w:afterAutospacing="1" w:line="360" w:lineRule="auto"/>
        <w:contextualSpacing/>
        <w:jc w:val="both"/>
        <w:rPr>
          <w:rFonts w:ascii="Palatino Linotype" w:hAnsi="Palatino Linotype" w:cs="Arial"/>
        </w:rPr>
      </w:pPr>
    </w:p>
    <w:p w:rsidR="00AD0717" w:rsidRDefault="007B09D8" w:rsidP="007B06A0">
      <w:pPr>
        <w:spacing w:before="100" w:beforeAutospacing="1" w:after="100" w:afterAutospacing="1"/>
        <w:ind w:left="851" w:right="902"/>
        <w:contextualSpacing/>
        <w:jc w:val="both"/>
        <w:rPr>
          <w:rFonts w:ascii="Palatino Linotype" w:hAnsi="Palatino Linotype" w:cs="Arial"/>
        </w:rPr>
      </w:pPr>
      <w:r w:rsidRPr="007B09D8">
        <w:rPr>
          <w:rFonts w:ascii="Palatino Linotype" w:hAnsi="Palatino Linotype"/>
          <w:i/>
          <w:color w:val="000000"/>
          <w:sz w:val="22"/>
          <w:szCs w:val="22"/>
        </w:rPr>
        <w:t>“</w:t>
      </w:r>
      <w:r w:rsidR="00EC6AB8" w:rsidRPr="00EC6AB8">
        <w:rPr>
          <w:rFonts w:ascii="Palatino Linotype" w:hAnsi="Palatino Linotype"/>
          <w:i/>
          <w:color w:val="000000"/>
          <w:sz w:val="22"/>
          <w:szCs w:val="22"/>
        </w:rPr>
        <w:t>Se viola mi derecho a la información ya que la respuesta no es clara”</w:t>
      </w:r>
      <w:r w:rsidRPr="007B09D8">
        <w:rPr>
          <w:rFonts w:ascii="Palatino Linotype" w:hAnsi="Palatino Linotype"/>
          <w:i/>
          <w:color w:val="000000"/>
          <w:sz w:val="22"/>
          <w:szCs w:val="22"/>
        </w:rPr>
        <w:t>”</w:t>
      </w:r>
    </w:p>
    <w:p w:rsidR="007B09D8" w:rsidRDefault="007B09D8" w:rsidP="007B06A0">
      <w:pPr>
        <w:spacing w:before="100" w:beforeAutospacing="1" w:after="100" w:afterAutospacing="1" w:line="360" w:lineRule="auto"/>
        <w:contextualSpacing/>
        <w:jc w:val="both"/>
        <w:rPr>
          <w:rFonts w:ascii="Palatino Linotype" w:hAnsi="Palatino Linotype" w:cs="Arial"/>
        </w:rPr>
      </w:pPr>
    </w:p>
    <w:p w:rsidR="004A60FC" w:rsidRDefault="004A60FC" w:rsidP="007B06A0">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Asimismo, como razones o motivos de inconformidad:</w:t>
      </w:r>
    </w:p>
    <w:p w:rsidR="004A60FC" w:rsidRPr="004A60FC" w:rsidRDefault="004A60FC" w:rsidP="007B06A0">
      <w:pPr>
        <w:spacing w:before="100" w:beforeAutospacing="1" w:after="100" w:afterAutospacing="1"/>
        <w:ind w:left="851" w:right="902"/>
        <w:contextualSpacing/>
        <w:jc w:val="both"/>
        <w:rPr>
          <w:rFonts w:ascii="Palatino Linotype" w:hAnsi="Palatino Linotype" w:cs="Arial"/>
          <w:sz w:val="22"/>
          <w:szCs w:val="22"/>
        </w:rPr>
      </w:pPr>
    </w:p>
    <w:p w:rsidR="004A60FC" w:rsidRDefault="00AD0717" w:rsidP="007B06A0">
      <w:pPr>
        <w:spacing w:before="100" w:beforeAutospacing="1" w:after="100" w:afterAutospacing="1"/>
        <w:ind w:left="851" w:right="902"/>
        <w:contextualSpacing/>
        <w:jc w:val="both"/>
        <w:rPr>
          <w:rFonts w:ascii="Palatino Linotype" w:hAnsi="Palatino Linotype" w:cs="Arial"/>
        </w:rPr>
      </w:pPr>
      <w:r w:rsidRPr="00AD0717">
        <w:rPr>
          <w:rFonts w:ascii="Palatino Linotype" w:hAnsi="Palatino Linotype"/>
          <w:i/>
          <w:color w:val="000000"/>
          <w:sz w:val="22"/>
          <w:szCs w:val="22"/>
        </w:rPr>
        <w:t>“</w:t>
      </w:r>
      <w:r w:rsidR="00EC6AB8" w:rsidRPr="00EC6AB8">
        <w:rPr>
          <w:rFonts w:ascii="Palatino Linotype" w:hAnsi="Palatino Linotype"/>
          <w:i/>
          <w:color w:val="000000"/>
          <w:sz w:val="22"/>
          <w:szCs w:val="22"/>
        </w:rPr>
        <w:t xml:space="preserve">La repuesta del sujeto obligado no </w:t>
      </w:r>
      <w:proofErr w:type="spellStart"/>
      <w:r w:rsidR="00EC6AB8" w:rsidRPr="00EC6AB8">
        <w:rPr>
          <w:rFonts w:ascii="Palatino Linotype" w:hAnsi="Palatino Linotype"/>
          <w:i/>
          <w:color w:val="000000"/>
          <w:sz w:val="22"/>
          <w:szCs w:val="22"/>
        </w:rPr>
        <w:t>esta</w:t>
      </w:r>
      <w:proofErr w:type="spellEnd"/>
      <w:r w:rsidR="00EC6AB8" w:rsidRPr="00EC6AB8">
        <w:rPr>
          <w:rFonts w:ascii="Palatino Linotype" w:hAnsi="Palatino Linotype"/>
          <w:i/>
          <w:color w:val="000000"/>
          <w:sz w:val="22"/>
          <w:szCs w:val="22"/>
        </w:rPr>
        <w:t xml:space="preserve"> clara "ECAT/CIM/IP/001/2019, ECA/CM/INV/01/2019, ECA/CM/INV/02/2019" no se ajunta ningún archivo ni se da respuesta clara, LA MAFIA DEL PRIAN VIOLA MI DERECHO A LA INFORMACIÓN</w:t>
      </w:r>
      <w:proofErr w:type="gramStart"/>
      <w:r w:rsidR="00EC6AB8">
        <w:rPr>
          <w:rFonts w:ascii="Palatino Linotype" w:hAnsi="Palatino Linotype" w:cs="Arial"/>
          <w:i/>
          <w:sz w:val="22"/>
          <w:szCs w:val="22"/>
        </w:rPr>
        <w:t>.</w:t>
      </w:r>
      <w:r w:rsidRPr="00AD0717">
        <w:rPr>
          <w:rFonts w:ascii="Palatino Linotype" w:hAnsi="Palatino Linotype"/>
          <w:i/>
          <w:color w:val="000000"/>
          <w:sz w:val="22"/>
          <w:szCs w:val="22"/>
        </w:rPr>
        <w:t>“</w:t>
      </w:r>
      <w:proofErr w:type="gramEnd"/>
      <w:r w:rsidRPr="00AD0717">
        <w:rPr>
          <w:rFonts w:ascii="Palatino Linotype" w:hAnsi="Palatino Linotype"/>
          <w:i/>
          <w:color w:val="000000"/>
          <w:sz w:val="22"/>
          <w:szCs w:val="22"/>
        </w:rPr>
        <w:t>(Sic)</w:t>
      </w:r>
    </w:p>
    <w:p w:rsidR="00AD0717" w:rsidRDefault="00AD0717" w:rsidP="007B06A0">
      <w:pPr>
        <w:spacing w:before="100" w:beforeAutospacing="1" w:after="100" w:afterAutospacing="1" w:line="360" w:lineRule="auto"/>
        <w:contextualSpacing/>
        <w:jc w:val="both"/>
        <w:rPr>
          <w:rFonts w:ascii="Palatino Linotype" w:hAnsi="Palatino Linotype" w:cs="Arial"/>
        </w:rPr>
      </w:pPr>
    </w:p>
    <w:p w:rsidR="00754E11" w:rsidRPr="00984770" w:rsidRDefault="004526B8" w:rsidP="007B06A0">
      <w:pPr>
        <w:spacing w:before="100" w:beforeAutospacing="1" w:after="100" w:afterAutospacing="1" w:line="360" w:lineRule="auto"/>
        <w:contextualSpacing/>
        <w:jc w:val="both"/>
        <w:rPr>
          <w:rFonts w:ascii="Palatino Linotype" w:hAnsi="Palatino Linotype" w:cs="Arial"/>
          <w:bCs/>
          <w:shd w:val="clear" w:color="auto" w:fill="FFFFFF"/>
        </w:rPr>
      </w:pPr>
      <w:r>
        <w:rPr>
          <w:rFonts w:ascii="Palatino Linotype" w:hAnsi="Palatino Linotype" w:cs="Arial"/>
        </w:rPr>
        <w:lastRenderedPageBreak/>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4A60FC">
        <w:rPr>
          <w:rFonts w:ascii="Palatino Linotype" w:hAnsi="Palatino Linotype" w:cs="Arial"/>
          <w:b/>
        </w:rPr>
        <w:t>ORDENAR</w:t>
      </w:r>
      <w:r w:rsidRPr="006078FA">
        <w:rPr>
          <w:rFonts w:ascii="Palatino Linotype" w:hAnsi="Palatino Linotype" w:cs="Arial"/>
        </w:rPr>
        <w:t xml:space="preserve"> </w:t>
      </w:r>
      <w:r w:rsidR="000B025D">
        <w:rPr>
          <w:rFonts w:ascii="Palatino Linotype" w:hAnsi="Palatino Linotype" w:cs="Arial"/>
        </w:rPr>
        <w:t>al</w:t>
      </w:r>
      <w:r w:rsidR="005831CB">
        <w:rPr>
          <w:rFonts w:ascii="Palatino Linotype" w:hAnsi="Palatino Linotype" w:cs="Arial"/>
        </w:rPr>
        <w:t xml:space="preserve"> </w:t>
      </w:r>
      <w:r w:rsidRPr="000D1731">
        <w:rPr>
          <w:rFonts w:ascii="Palatino Linotype" w:hAnsi="Palatino Linotype" w:cs="Arial"/>
          <w:b/>
        </w:rPr>
        <w:t>SUJETO OBLIGADO</w:t>
      </w:r>
      <w:r w:rsidR="00885249" w:rsidRPr="00634CC8">
        <w:rPr>
          <w:rFonts w:ascii="Palatino Linotype" w:hAnsi="Palatino Linotype" w:cs="Tahoma"/>
          <w:bCs/>
          <w:szCs w:val="22"/>
          <w:lang w:eastAsia="es-MX"/>
        </w:rPr>
        <w:t xml:space="preserve">, </w:t>
      </w:r>
      <w:r w:rsidR="00885249" w:rsidRPr="00634CC8">
        <w:rPr>
          <w:rFonts w:ascii="Palatino Linotype" w:hAnsi="Palatino Linotype" w:cs="Tahoma"/>
          <w:szCs w:val="22"/>
        </w:rPr>
        <w:t xml:space="preserve">el documento </w:t>
      </w:r>
      <w:r w:rsidR="000B025D">
        <w:rPr>
          <w:rFonts w:ascii="Palatino Linotype" w:hAnsi="Palatino Linotype" w:cs="Tahoma"/>
          <w:szCs w:val="22"/>
        </w:rPr>
        <w:t>siguiente:</w:t>
      </w:r>
    </w:p>
    <w:p w:rsidR="004A60FC" w:rsidRDefault="004A60FC" w:rsidP="007B06A0">
      <w:pPr>
        <w:spacing w:before="100" w:beforeAutospacing="1" w:after="100" w:afterAutospacing="1"/>
        <w:ind w:left="720" w:right="708"/>
        <w:contextualSpacing/>
        <w:jc w:val="both"/>
        <w:rPr>
          <w:rFonts w:ascii="Palatino Linotype" w:eastAsia="Calibri" w:hAnsi="Palatino Linotype" w:cs="Tahoma"/>
          <w:i/>
          <w:iCs/>
          <w:sz w:val="22"/>
          <w:szCs w:val="22"/>
          <w:lang w:eastAsia="es-ES_tradnl"/>
        </w:rPr>
      </w:pPr>
    </w:p>
    <w:p w:rsidR="00EC6AB8" w:rsidRPr="00EC6AB8" w:rsidRDefault="00EC6AB8" w:rsidP="00EC6AB8">
      <w:pPr>
        <w:spacing w:before="100" w:beforeAutospacing="1" w:after="100" w:afterAutospacing="1"/>
        <w:ind w:left="851" w:right="902"/>
        <w:contextualSpacing/>
        <w:jc w:val="both"/>
        <w:rPr>
          <w:rFonts w:ascii="Palatino Linotype" w:eastAsia="Calibri" w:hAnsi="Palatino Linotype" w:cs="Tahoma"/>
          <w:i/>
          <w:iCs/>
          <w:sz w:val="22"/>
          <w:szCs w:val="22"/>
          <w:lang w:val="es-MX" w:eastAsia="es-ES_tradnl"/>
        </w:rPr>
      </w:pPr>
      <w:r>
        <w:rPr>
          <w:rFonts w:ascii="Palatino Linotype" w:eastAsia="Calibri" w:hAnsi="Palatino Linotype" w:cs="Tahoma"/>
          <w:i/>
          <w:iCs/>
          <w:sz w:val="22"/>
          <w:szCs w:val="22"/>
          <w:lang w:val="es-MX" w:eastAsia="es-ES_tradnl"/>
        </w:rPr>
        <w:t>“</w:t>
      </w:r>
      <w:r w:rsidRPr="00EC6AB8">
        <w:rPr>
          <w:rFonts w:ascii="Palatino Linotype" w:eastAsia="Calibri" w:hAnsi="Palatino Linotype" w:cs="Tahoma"/>
          <w:i/>
          <w:iCs/>
          <w:sz w:val="22"/>
          <w:szCs w:val="22"/>
          <w:lang w:val="es-MX" w:eastAsia="es-ES_tradnl"/>
        </w:rPr>
        <w:t>a)</w:t>
      </w:r>
      <w:r w:rsidRPr="00EC6AB8">
        <w:rPr>
          <w:rFonts w:ascii="Palatino Linotype" w:eastAsia="Calibri" w:hAnsi="Palatino Linotype" w:cs="Tahoma"/>
          <w:i/>
          <w:iCs/>
          <w:sz w:val="22"/>
          <w:szCs w:val="22"/>
          <w:lang w:val="es-MX" w:eastAsia="es-ES_tradnl"/>
        </w:rPr>
        <w:tab/>
        <w:t xml:space="preserve">Procedimientos administrativos con sanciones graves que hayan concluido, del periodo comprendido del veintiséis (26) de noviembre de dos mil dieciocho al veintiséis (26) de noviembre de dos mil diecinueve. </w:t>
      </w:r>
    </w:p>
    <w:p w:rsidR="00EC6AB8" w:rsidRPr="00EC6AB8" w:rsidRDefault="00EC6AB8" w:rsidP="00EC6AB8">
      <w:pPr>
        <w:spacing w:before="100" w:beforeAutospacing="1" w:after="100" w:afterAutospacing="1"/>
        <w:ind w:left="851" w:right="902"/>
        <w:contextualSpacing/>
        <w:jc w:val="both"/>
        <w:rPr>
          <w:rFonts w:ascii="Palatino Linotype" w:eastAsia="Calibri" w:hAnsi="Palatino Linotype" w:cs="Tahoma"/>
          <w:i/>
          <w:iCs/>
          <w:sz w:val="22"/>
          <w:szCs w:val="22"/>
          <w:lang w:val="es-MX" w:eastAsia="es-ES_tradnl"/>
        </w:rPr>
      </w:pPr>
    </w:p>
    <w:p w:rsidR="00EC6AB8" w:rsidRPr="00EC6AB8" w:rsidRDefault="00EC6AB8" w:rsidP="00EC6AB8">
      <w:pPr>
        <w:spacing w:before="100" w:beforeAutospacing="1" w:after="100" w:afterAutospacing="1"/>
        <w:ind w:left="851" w:right="902"/>
        <w:contextualSpacing/>
        <w:jc w:val="both"/>
        <w:rPr>
          <w:rFonts w:ascii="Palatino Linotype" w:eastAsia="Calibri" w:hAnsi="Palatino Linotype" w:cs="Tahoma"/>
          <w:i/>
          <w:iCs/>
          <w:sz w:val="22"/>
          <w:szCs w:val="22"/>
          <w:lang w:val="es-MX" w:eastAsia="es-ES_tradnl"/>
        </w:rPr>
      </w:pPr>
      <w:r w:rsidRPr="00EC6AB8">
        <w:rPr>
          <w:rFonts w:ascii="Palatino Linotype" w:eastAsia="Calibri" w:hAnsi="Palatino Linotype" w:cs="Tahoma"/>
          <w:i/>
          <w:iCs/>
          <w:sz w:val="22"/>
          <w:szCs w:val="22"/>
          <w:lang w:val="es-MX" w:eastAsia="es-ES_tradnl"/>
        </w:rPr>
        <w:t>b)</w:t>
      </w:r>
      <w:r w:rsidRPr="00EC6AB8">
        <w:rPr>
          <w:rFonts w:ascii="Palatino Linotype" w:eastAsia="Calibri" w:hAnsi="Palatino Linotype" w:cs="Tahoma"/>
          <w:i/>
          <w:iCs/>
          <w:sz w:val="22"/>
          <w:szCs w:val="22"/>
          <w:lang w:val="es-MX" w:eastAsia="es-ES_tradnl"/>
        </w:rPr>
        <w:tab/>
        <w:t>Acuerdo emitido por el Comité de Transparencia, mediante el cual se clasifique como confidencial la información relativa a las sanciones administrativas NO graves cometidas por los servidores públicos; y</w:t>
      </w:r>
    </w:p>
    <w:p w:rsidR="00EC6AB8" w:rsidRPr="00EC6AB8" w:rsidRDefault="00EC6AB8" w:rsidP="00EC6AB8">
      <w:pPr>
        <w:spacing w:before="100" w:beforeAutospacing="1" w:after="100" w:afterAutospacing="1"/>
        <w:ind w:left="851" w:right="902"/>
        <w:contextualSpacing/>
        <w:jc w:val="both"/>
        <w:rPr>
          <w:rFonts w:ascii="Palatino Linotype" w:eastAsia="Calibri" w:hAnsi="Palatino Linotype" w:cs="Tahoma"/>
          <w:i/>
          <w:iCs/>
          <w:sz w:val="22"/>
          <w:szCs w:val="22"/>
          <w:lang w:val="es-MX" w:eastAsia="es-ES_tradnl"/>
        </w:rPr>
      </w:pPr>
      <w:r w:rsidRPr="00EC6AB8">
        <w:rPr>
          <w:rFonts w:ascii="Palatino Linotype" w:eastAsia="Calibri" w:hAnsi="Palatino Linotype" w:cs="Tahoma"/>
          <w:i/>
          <w:iCs/>
          <w:sz w:val="22"/>
          <w:szCs w:val="22"/>
          <w:lang w:val="es-MX" w:eastAsia="es-ES_tradnl"/>
        </w:rPr>
        <w:t>c)</w:t>
      </w:r>
      <w:r w:rsidRPr="00EC6AB8">
        <w:rPr>
          <w:rFonts w:ascii="Palatino Linotype" w:eastAsia="Calibri" w:hAnsi="Palatino Linotype" w:cs="Tahoma"/>
          <w:i/>
          <w:iCs/>
          <w:sz w:val="22"/>
          <w:szCs w:val="22"/>
          <w:lang w:val="es-MX" w:eastAsia="es-ES_tradnl"/>
        </w:rPr>
        <w:tab/>
        <w:t xml:space="preserve">Acuerdo emitido por el Comité de Transparencia, mediante el cual se clasifique como información reservada para el caso de que los procedimientos administrativos aún se encuentren en proceso. </w:t>
      </w:r>
    </w:p>
    <w:p w:rsidR="00EC6AB8" w:rsidRPr="00EC6AB8" w:rsidRDefault="00EC6AB8" w:rsidP="00EC6AB8">
      <w:pPr>
        <w:spacing w:before="100" w:beforeAutospacing="1" w:after="100" w:afterAutospacing="1"/>
        <w:ind w:left="851" w:right="902"/>
        <w:contextualSpacing/>
        <w:jc w:val="both"/>
        <w:rPr>
          <w:rFonts w:ascii="Palatino Linotype" w:eastAsia="Calibri" w:hAnsi="Palatino Linotype" w:cs="Tahoma"/>
          <w:i/>
          <w:iCs/>
          <w:sz w:val="22"/>
          <w:szCs w:val="22"/>
          <w:lang w:val="es-MX" w:eastAsia="es-ES_tradnl"/>
        </w:rPr>
      </w:pPr>
    </w:p>
    <w:p w:rsidR="007B09D8" w:rsidRDefault="00EC6AB8" w:rsidP="00EC6AB8">
      <w:pPr>
        <w:spacing w:before="100" w:beforeAutospacing="1" w:after="100" w:afterAutospacing="1"/>
        <w:ind w:left="851" w:right="902"/>
        <w:contextualSpacing/>
        <w:jc w:val="both"/>
        <w:rPr>
          <w:rFonts w:ascii="Palatino Linotype" w:hAnsi="Palatino Linotype" w:cs="Arial"/>
        </w:rPr>
      </w:pPr>
      <w:r w:rsidRPr="00EC6AB8">
        <w:rPr>
          <w:rFonts w:ascii="Palatino Linotype" w:eastAsia="Calibri" w:hAnsi="Palatino Linotype" w:cs="Tahoma"/>
          <w:i/>
          <w:iCs/>
          <w:sz w:val="22"/>
          <w:szCs w:val="22"/>
          <w:lang w:val="es-MX" w:eastAsia="es-ES_tradnl"/>
        </w:rPr>
        <w:t>Para efectos de lo anterior se deberá emitir el Acuerdo del Comité de Transparencia en términos del Considerando Quinto y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Pr>
          <w:rFonts w:ascii="Palatino Linotype" w:eastAsia="Calibri" w:hAnsi="Palatino Linotype" w:cs="Tahoma"/>
          <w:i/>
          <w:iCs/>
          <w:sz w:val="22"/>
          <w:szCs w:val="22"/>
          <w:lang w:val="es-MX" w:eastAsia="es-ES_tradnl"/>
        </w:rPr>
        <w:t xml:space="preserve"> del RECURRENTE.”</w:t>
      </w:r>
      <w:r w:rsidR="00DA4FF5" w:rsidRPr="00DA4FF5">
        <w:rPr>
          <w:rFonts w:ascii="Palatino Linotype" w:eastAsia="Calibri" w:hAnsi="Palatino Linotype" w:cs="Tahoma"/>
          <w:i/>
          <w:iCs/>
          <w:sz w:val="22"/>
          <w:szCs w:val="22"/>
          <w:lang w:val="es-MX" w:eastAsia="es-ES_tradnl"/>
        </w:rPr>
        <w:t xml:space="preserve"> </w:t>
      </w:r>
      <w:r>
        <w:rPr>
          <w:rFonts w:ascii="Palatino Linotype" w:eastAsia="Calibri" w:hAnsi="Palatino Linotype" w:cs="Tahoma"/>
          <w:i/>
          <w:iCs/>
          <w:sz w:val="22"/>
          <w:szCs w:val="22"/>
          <w:lang w:val="es-MX" w:eastAsia="es-ES_tradnl"/>
        </w:rPr>
        <w:t>(Sic)</w:t>
      </w:r>
    </w:p>
    <w:p w:rsidR="00DA4FF5" w:rsidRDefault="00DA4FF5" w:rsidP="007B06A0">
      <w:pPr>
        <w:spacing w:before="100" w:beforeAutospacing="1" w:after="100" w:afterAutospacing="1" w:line="360" w:lineRule="auto"/>
        <w:ind w:right="49"/>
        <w:contextualSpacing/>
        <w:jc w:val="both"/>
        <w:rPr>
          <w:rFonts w:ascii="Palatino Linotype" w:hAnsi="Palatino Linotype" w:cs="Arial"/>
        </w:rPr>
      </w:pPr>
    </w:p>
    <w:p w:rsidR="00DA4FF5" w:rsidRDefault="005831CB" w:rsidP="007B06A0">
      <w:pPr>
        <w:spacing w:before="100" w:beforeAutospacing="1" w:after="100" w:afterAutospacing="1" w:line="360" w:lineRule="auto"/>
        <w:ind w:right="49"/>
        <w:contextualSpacing/>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4A7F3B">
        <w:rPr>
          <w:rFonts w:ascii="Palatino Linotype" w:hAnsi="Palatino Linotype" w:cs="Arial"/>
        </w:rPr>
        <w:t>en el resolutivo 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DA4FF5" w:rsidRDefault="00DA4FF5" w:rsidP="007B06A0">
      <w:pPr>
        <w:spacing w:before="100" w:beforeAutospacing="1" w:after="100" w:afterAutospacing="1" w:line="360" w:lineRule="auto"/>
        <w:ind w:right="49"/>
        <w:contextualSpacing/>
        <w:jc w:val="both"/>
        <w:rPr>
          <w:rFonts w:ascii="Palatino Linotype" w:hAnsi="Palatino Linotype" w:cs="Arial"/>
        </w:rPr>
      </w:pPr>
    </w:p>
    <w:p w:rsidR="00DA4FF5" w:rsidRDefault="00885249" w:rsidP="007B06A0">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lastRenderedPageBreak/>
        <w:t>Lo anterior, obedece a que tanto en respuesta como en informe justificado no se advierte que</w:t>
      </w:r>
      <w:r w:rsidRPr="00984770">
        <w:rPr>
          <w:rFonts w:ascii="Palatino Linotype" w:hAnsi="Palatino Linotype" w:cs="Arial"/>
          <w:b/>
        </w:rPr>
        <w:t xml:space="preserve"> EL SUJETO OBLIGADO</w:t>
      </w:r>
      <w:r>
        <w:rPr>
          <w:rFonts w:ascii="Palatino Linotype" w:hAnsi="Palatino Linotype" w:cs="Arial"/>
        </w:rPr>
        <w:t xml:space="preserve"> haya proporcionado un </w:t>
      </w:r>
      <w:r w:rsidR="001F4610">
        <w:rPr>
          <w:rFonts w:ascii="Palatino Linotype" w:hAnsi="Palatino Linotype" w:cs="Arial"/>
        </w:rPr>
        <w:t xml:space="preserve">Acuerdo </w:t>
      </w:r>
      <w:r>
        <w:rPr>
          <w:rFonts w:ascii="Palatino Linotype" w:hAnsi="Palatino Linotype" w:cs="Arial"/>
        </w:rPr>
        <w:t xml:space="preserve">de </w:t>
      </w:r>
      <w:r w:rsidR="001F4610">
        <w:rPr>
          <w:rFonts w:ascii="Palatino Linotype" w:hAnsi="Palatino Linotype" w:cs="Arial"/>
        </w:rPr>
        <w:t xml:space="preserve">Clasificación </w:t>
      </w:r>
      <w:r>
        <w:rPr>
          <w:rFonts w:ascii="Palatino Linotype" w:hAnsi="Palatino Linotype" w:cs="Arial"/>
        </w:rPr>
        <w:t>de la información, de manera formal como lo establece la Ley de la materia</w:t>
      </w:r>
      <w:r w:rsidR="00F61512">
        <w:rPr>
          <w:rFonts w:ascii="Palatino Linotype" w:hAnsi="Palatino Linotype" w:cs="Arial"/>
        </w:rPr>
        <w:t>.</w:t>
      </w:r>
    </w:p>
    <w:p w:rsidR="00DA4FF5" w:rsidRDefault="00DA4FF5" w:rsidP="007B06A0">
      <w:pPr>
        <w:spacing w:before="100" w:beforeAutospacing="1" w:after="100" w:afterAutospacing="1" w:line="360" w:lineRule="auto"/>
        <w:ind w:right="49"/>
        <w:contextualSpacing/>
        <w:jc w:val="both"/>
        <w:rPr>
          <w:rFonts w:ascii="Palatino Linotype" w:hAnsi="Palatino Linotype" w:cs="Arial"/>
        </w:rPr>
      </w:pPr>
    </w:p>
    <w:p w:rsidR="005831CB" w:rsidRDefault="005831CB" w:rsidP="007B06A0">
      <w:pPr>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0B025D" w:rsidRDefault="000B025D" w:rsidP="007B06A0">
      <w:pPr>
        <w:spacing w:before="100" w:beforeAutospacing="1" w:after="100" w:afterAutospacing="1"/>
        <w:ind w:left="709" w:right="757"/>
        <w:contextualSpacing/>
        <w:jc w:val="both"/>
        <w:rPr>
          <w:rFonts w:ascii="Palatino Linotype" w:hAnsi="Palatino Linotype"/>
          <w:i/>
          <w:sz w:val="22"/>
          <w:szCs w:val="22"/>
        </w:rPr>
      </w:pPr>
    </w:p>
    <w:p w:rsidR="005831CB" w:rsidRDefault="005831CB" w:rsidP="007B06A0">
      <w:pPr>
        <w:spacing w:before="100" w:beforeAutospacing="1" w:after="100" w:afterAutospacing="1"/>
        <w:ind w:left="709" w:right="757"/>
        <w:contextualSpacing/>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7B06A0">
      <w:pPr>
        <w:spacing w:before="100" w:beforeAutospacing="1" w:after="100" w:afterAutospacing="1"/>
        <w:ind w:left="709" w:right="757"/>
        <w:contextualSpacing/>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7B06A0">
      <w:pPr>
        <w:spacing w:before="100" w:beforeAutospacing="1" w:after="100" w:afterAutospacing="1"/>
        <w:ind w:left="709" w:right="757"/>
        <w:contextualSpacing/>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7B06A0">
      <w:pPr>
        <w:spacing w:before="100" w:beforeAutospacing="1" w:after="100" w:afterAutospacing="1"/>
        <w:ind w:left="709" w:right="757"/>
        <w:contextualSpacing/>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Default="005831CB" w:rsidP="007B06A0">
      <w:pPr>
        <w:spacing w:before="100" w:beforeAutospacing="1" w:after="100" w:afterAutospacing="1"/>
        <w:ind w:left="709" w:right="757"/>
        <w:contextualSpacing/>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F61512" w:rsidRPr="00D642EC" w:rsidRDefault="00F61512" w:rsidP="007B06A0">
      <w:pPr>
        <w:spacing w:before="100" w:beforeAutospacing="1" w:after="100" w:afterAutospacing="1"/>
        <w:ind w:left="709" w:right="757"/>
        <w:contextualSpacing/>
        <w:jc w:val="both"/>
        <w:rPr>
          <w:rFonts w:ascii="Palatino Linotype" w:hAnsi="Palatino Linotype"/>
          <w:i/>
          <w:sz w:val="22"/>
          <w:szCs w:val="22"/>
        </w:rPr>
      </w:pPr>
    </w:p>
    <w:p w:rsidR="005831CB" w:rsidRDefault="005831CB" w:rsidP="007B06A0">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Así, de lo anterior se advierte que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no clasificó formalmente la información requerida por el particular; aunado a que el recurso de revisión fue resuelto conforme al plazo señalado en el numeral 181 de la Ley de Transparencia y </w:t>
      </w:r>
      <w:r>
        <w:rPr>
          <w:rFonts w:ascii="Palatino Linotype" w:hAnsi="Palatino Linotype" w:cs="Arial"/>
        </w:rPr>
        <w:lastRenderedPageBreak/>
        <w:t xml:space="preserve">Acceso a la Información Pública del Estado de México y Municipios; por ende, no se actualizan </w:t>
      </w:r>
      <w:r w:rsidR="00EE547D">
        <w:rPr>
          <w:rFonts w:ascii="Palatino Linotype" w:hAnsi="Palatino Linotype" w:cs="Arial"/>
        </w:rPr>
        <w:t>alguno</w:t>
      </w:r>
      <w:r>
        <w:rPr>
          <w:rFonts w:ascii="Palatino Linotype" w:hAnsi="Palatino Linotype" w:cs="Arial"/>
        </w:rPr>
        <w:t xml:space="preserve"> de los supuestos legales anteriormente citados.</w:t>
      </w:r>
    </w:p>
    <w:p w:rsidR="000B025D" w:rsidRDefault="000B025D" w:rsidP="007B06A0">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5831CB" w:rsidRDefault="005831CB" w:rsidP="007B06A0">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w:t>
      </w:r>
      <w:r w:rsidR="000603E1">
        <w:rPr>
          <w:rFonts w:ascii="Palatino Linotype" w:hAnsi="Palatino Linotype" w:cs="Arial"/>
        </w:rPr>
        <w:t xml:space="preserve">a través </w:t>
      </w:r>
      <w:r>
        <w:rPr>
          <w:rFonts w:ascii="Palatino Linotype" w:hAnsi="Palatino Linotype" w:cs="Arial"/>
        </w:rPr>
        <w:t xml:space="preserve">del Comité de Transparencia </w:t>
      </w:r>
      <w:r w:rsidR="000603E1">
        <w:rPr>
          <w:rFonts w:ascii="Palatino Linotype" w:hAnsi="Palatino Linotype" w:cs="Arial"/>
        </w:rPr>
        <w:t>en virtud del cual se clasificara</w:t>
      </w:r>
      <w:r>
        <w:rPr>
          <w:rFonts w:ascii="Palatino Linotype" w:hAnsi="Palatino Linotype" w:cs="Arial"/>
        </w:rPr>
        <w:t xml:space="preserve"> la información requerida</w:t>
      </w:r>
      <w:r w:rsidR="00A83AA6">
        <w:rPr>
          <w:rFonts w:ascii="Palatino Linotype" w:hAnsi="Palatino Linotype" w:cs="Arial"/>
        </w:rPr>
        <w:t xml:space="preserve"> de manera fundada y motivada</w:t>
      </w:r>
      <w:r>
        <w:rPr>
          <w:rFonts w:ascii="Palatino Linotype" w:hAnsi="Palatino Linotype" w:cs="Arial"/>
        </w:rPr>
        <w:t xml:space="preserve">, como confidencial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7B06A0" w:rsidRDefault="007B06A0" w:rsidP="007B06A0">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4526B8" w:rsidRPr="00A83AA6" w:rsidRDefault="005831CB" w:rsidP="007B06A0">
      <w:pPr>
        <w:widowControl w:val="0"/>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11384E">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634CC8" w:rsidRDefault="00634CC8"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DA4FF5" w:rsidRDefault="00DA4FF5"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DA4FF5" w:rsidRDefault="00DA4FF5"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7B06A0" w:rsidRDefault="007B06A0" w:rsidP="007B06A0">
      <w:pPr>
        <w:spacing w:before="100" w:beforeAutospacing="1" w:after="100" w:afterAutospacing="1"/>
        <w:ind w:right="49"/>
        <w:contextualSpacing/>
        <w:jc w:val="center"/>
        <w:rPr>
          <w:rFonts w:ascii="Palatino Linotype" w:hAnsi="Palatino Linotype" w:cs="Arial"/>
          <w:b/>
        </w:rPr>
      </w:pPr>
      <w:r w:rsidRPr="0061470D">
        <w:rPr>
          <w:rFonts w:ascii="Palatino Linotype" w:hAnsi="Palatino Linotype" w:cs="Arial"/>
          <w:b/>
        </w:rPr>
        <w:t>EVA ABAID YAPUR</w:t>
      </w:r>
    </w:p>
    <w:p w:rsidR="007B06A0" w:rsidRDefault="007B06A0" w:rsidP="007B06A0">
      <w:pPr>
        <w:spacing w:before="100" w:beforeAutospacing="1" w:after="100" w:afterAutospacing="1"/>
        <w:ind w:right="49"/>
        <w:contextualSpacing/>
        <w:jc w:val="center"/>
        <w:rPr>
          <w:rFonts w:ascii="Palatino Linotype" w:hAnsi="Palatino Linotype" w:cs="Arial"/>
          <w:b/>
        </w:rPr>
      </w:pPr>
      <w:r w:rsidRPr="0061470D">
        <w:rPr>
          <w:rFonts w:ascii="Palatino Linotype" w:hAnsi="Palatino Linotype" w:cs="Arial"/>
          <w:b/>
        </w:rPr>
        <w:t>COMISIONADA</w:t>
      </w:r>
    </w:p>
    <w:p w:rsidR="00634CC8" w:rsidRPr="00A34555" w:rsidRDefault="007B06A0" w:rsidP="007B06A0">
      <w:pPr>
        <w:tabs>
          <w:tab w:val="left" w:pos="5010"/>
        </w:tabs>
        <w:spacing w:before="100" w:beforeAutospacing="1" w:after="100" w:afterAutospacing="1"/>
        <w:ind w:right="49"/>
        <w:contextualSpacing/>
        <w:jc w:val="center"/>
        <w:rPr>
          <w:rFonts w:ascii="Palatino Linotype" w:eastAsia="Calibri" w:hAnsi="Palatino Linotype" w:cs="Arial"/>
          <w:sz w:val="18"/>
          <w:szCs w:val="20"/>
        </w:rPr>
      </w:pPr>
      <w:r w:rsidRPr="00A34555">
        <w:rPr>
          <w:rFonts w:ascii="Palatino Linotype" w:hAnsi="Palatino Linotype" w:cs="Arial"/>
          <w:b/>
        </w:rPr>
        <w:t>(RÚBRICA)</w:t>
      </w:r>
    </w:p>
    <w:p w:rsidR="00DA4FF5" w:rsidRDefault="00DA4FF5"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DA4FF5" w:rsidRDefault="00DA4FF5"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DA4FF5" w:rsidRDefault="00DA4FF5"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bookmarkStart w:id="0" w:name="_GoBack"/>
      <w:bookmarkEnd w:id="0"/>
    </w:p>
    <w:p w:rsidR="00DA4FF5" w:rsidRDefault="00DA4FF5"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EC6AB8" w:rsidRDefault="00EC6AB8"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p>
    <w:p w:rsidR="00F14A3E" w:rsidRPr="0099561F" w:rsidRDefault="00F7009C" w:rsidP="007B06A0">
      <w:pPr>
        <w:spacing w:before="100" w:beforeAutospacing="1" w:after="100" w:afterAutospacing="1"/>
        <w:ind w:right="49"/>
        <w:contextualSpacing/>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EC6AB8">
        <w:rPr>
          <w:rFonts w:ascii="Palatino Linotype" w:eastAsia="Calibri" w:hAnsi="Palatino Linotype" w:cs="Arial"/>
          <w:color w:val="000000" w:themeColor="text1"/>
          <w:sz w:val="18"/>
          <w:szCs w:val="20"/>
        </w:rPr>
        <w:t>el recurso de revisión 10113</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EC6AB8">
        <w:rPr>
          <w:rFonts w:ascii="Palatino Linotype" w:eastAsia="Calibri" w:hAnsi="Palatino Linotype" w:cs="Arial"/>
          <w:color w:val="000000" w:themeColor="text1"/>
          <w:sz w:val="18"/>
          <w:szCs w:val="20"/>
        </w:rPr>
        <w:t xml:space="preserve">once de marzo </w:t>
      </w:r>
      <w:r w:rsidR="00787892">
        <w:rPr>
          <w:rFonts w:ascii="Palatino Linotype" w:eastAsia="Calibri" w:hAnsi="Palatino Linotype" w:cs="Arial"/>
          <w:color w:val="000000" w:themeColor="text1"/>
          <w:sz w:val="18"/>
          <w:szCs w:val="20"/>
        </w:rPr>
        <w:t xml:space="preserve">de dos mil </w:t>
      </w:r>
      <w:r w:rsidR="00AD0717">
        <w:rPr>
          <w:rFonts w:ascii="Palatino Linotype" w:eastAsia="Calibri" w:hAnsi="Palatino Linotype" w:cs="Arial"/>
          <w:color w:val="000000" w:themeColor="text1"/>
          <w:sz w:val="18"/>
          <w:szCs w:val="20"/>
        </w:rPr>
        <w:t>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99561F" w:rsidRDefault="00552AEB" w:rsidP="007B06A0">
      <w:pPr>
        <w:spacing w:before="100" w:beforeAutospacing="1" w:after="100" w:afterAutospacing="1"/>
        <w:ind w:right="49"/>
        <w:contextualSpacing/>
        <w:jc w:val="both"/>
        <w:rPr>
          <w:rFonts w:ascii="Palatino Linotype" w:eastAsia="Calibri" w:hAnsi="Palatino Linotype" w:cs="Arial"/>
          <w:color w:val="000000" w:themeColor="text1"/>
          <w:sz w:val="20"/>
          <w:szCs w:val="21"/>
        </w:rPr>
      </w:pPr>
      <w:r>
        <w:rPr>
          <w:rFonts w:ascii="Palatino Linotype" w:eastAsia="Calibri" w:hAnsi="Palatino Linotype" w:cs="Arial"/>
          <w:color w:val="000000" w:themeColor="text1"/>
          <w:sz w:val="20"/>
          <w:szCs w:val="21"/>
        </w:rPr>
        <w:t>YSM</w:t>
      </w:r>
      <w:r w:rsidR="00A12170" w:rsidRPr="0099561F">
        <w:rPr>
          <w:rFonts w:ascii="Palatino Linotype" w:eastAsia="Calibri" w:hAnsi="Palatino Linotype" w:cs="Arial"/>
          <w:color w:val="000000" w:themeColor="text1"/>
          <w:sz w:val="20"/>
          <w:szCs w:val="21"/>
        </w:rPr>
        <w:t>/</w:t>
      </w:r>
      <w:r w:rsidR="000B025D">
        <w:rPr>
          <w:rFonts w:ascii="Palatino Linotype" w:eastAsia="Calibri" w:hAnsi="Palatino Linotype" w:cs="Arial"/>
          <w:color w:val="000000" w:themeColor="text1"/>
          <w:sz w:val="20"/>
          <w:szCs w:val="21"/>
        </w:rPr>
        <w:t>LGMJ</w:t>
      </w:r>
    </w:p>
    <w:sectPr w:rsidR="00F7009C" w:rsidRPr="0099561F"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D35" w:rsidRDefault="00011D35" w:rsidP="00C80F8C">
      <w:r>
        <w:separator/>
      </w:r>
    </w:p>
  </w:endnote>
  <w:endnote w:type="continuationSeparator" w:id="0">
    <w:p w:rsidR="00011D35" w:rsidRDefault="00011D3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2B2" w:rsidRDefault="003D12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A0" w:rsidRDefault="007B06A0" w:rsidP="003056D9">
    <w:pPr>
      <w:pStyle w:val="Piedepgina"/>
      <w:tabs>
        <w:tab w:val="clear" w:pos="4252"/>
        <w:tab w:val="left" w:pos="4228"/>
      </w:tabs>
      <w:rPr>
        <w:rFonts w:ascii="Palatino Linotype" w:hAnsi="Palatino Linotype" w:cs="Arial"/>
        <w:b/>
        <w:bCs/>
        <w:sz w:val="20"/>
        <w:szCs w:val="20"/>
      </w:rPr>
    </w:pPr>
  </w:p>
  <w:p w:rsidR="007B06A0" w:rsidRDefault="007B06A0" w:rsidP="003056D9">
    <w:pPr>
      <w:pStyle w:val="Piedepgina"/>
      <w:tabs>
        <w:tab w:val="clear" w:pos="4252"/>
        <w:tab w:val="left" w:pos="4228"/>
      </w:tabs>
      <w:rPr>
        <w:rFonts w:ascii="Palatino Linotype" w:hAnsi="Palatino Linotype" w:cs="Arial"/>
        <w:b/>
        <w:bCs/>
        <w:sz w:val="20"/>
        <w:szCs w:val="20"/>
      </w:rPr>
    </w:pPr>
  </w:p>
  <w:p w:rsidR="007B06A0" w:rsidRDefault="007B06A0" w:rsidP="003056D9">
    <w:pPr>
      <w:pStyle w:val="Piedepgina"/>
      <w:tabs>
        <w:tab w:val="clear" w:pos="4252"/>
        <w:tab w:val="left" w:pos="4228"/>
      </w:tabs>
      <w:rPr>
        <w:rFonts w:ascii="Palatino Linotype" w:hAnsi="Palatino Linotype" w:cs="Arial"/>
        <w:b/>
        <w:bCs/>
        <w:sz w:val="20"/>
        <w:szCs w:val="20"/>
      </w:rPr>
    </w:pPr>
  </w:p>
  <w:p w:rsidR="007B06A0" w:rsidRDefault="007B06A0" w:rsidP="000E2B1A">
    <w:pPr>
      <w:pStyle w:val="Piedepgina"/>
      <w:rPr>
        <w:rFonts w:ascii="Palatino Linotype" w:hAnsi="Palatino Linotype" w:cs="Arial"/>
        <w:b/>
        <w:bCs/>
        <w:sz w:val="20"/>
        <w:szCs w:val="20"/>
      </w:rPr>
    </w:pPr>
  </w:p>
  <w:p w:rsidR="007B06A0" w:rsidRPr="00F12350" w:rsidRDefault="007B06A0"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34555">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3455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7B06A0" w:rsidRDefault="007B06A0"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2B2" w:rsidRDefault="003D12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D35" w:rsidRDefault="00011D35" w:rsidP="00C80F8C">
      <w:r>
        <w:separator/>
      </w:r>
    </w:p>
  </w:footnote>
  <w:footnote w:type="continuationSeparator" w:id="0">
    <w:p w:rsidR="00011D35" w:rsidRDefault="00011D3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A0" w:rsidRDefault="00011D3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42985"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A0" w:rsidRDefault="007B06A0"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7B06A0" w:rsidRDefault="007B06A0" w:rsidP="00F7009C">
    <w:pPr>
      <w:pStyle w:val="Encabezado"/>
      <w:tabs>
        <w:tab w:val="clear" w:pos="4252"/>
        <w:tab w:val="clear" w:pos="8504"/>
        <w:tab w:val="left" w:pos="2326"/>
      </w:tabs>
      <w:ind w:right="-93"/>
      <w:jc w:val="right"/>
      <w:rPr>
        <w:rFonts w:ascii="Palatino Linotype" w:hAnsi="Palatino Linotype"/>
      </w:rPr>
    </w:pPr>
  </w:p>
  <w:p w:rsidR="007B06A0" w:rsidRDefault="007B06A0" w:rsidP="00BD1BCE">
    <w:pPr>
      <w:pStyle w:val="Encabezado"/>
      <w:tabs>
        <w:tab w:val="clear" w:pos="4252"/>
        <w:tab w:val="clear" w:pos="8504"/>
        <w:tab w:val="left" w:pos="2326"/>
      </w:tabs>
      <w:ind w:right="-93"/>
      <w:jc w:val="right"/>
      <w:rPr>
        <w:rFonts w:ascii="Palatino Linotype" w:hAnsi="Palatino Linotype" w:cs="Arial"/>
        <w:sz w:val="20"/>
        <w:szCs w:val="20"/>
      </w:rPr>
    </w:pPr>
  </w:p>
  <w:p w:rsidR="007B06A0" w:rsidRDefault="007B06A0"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7B06A0" w:rsidRDefault="00011D35"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42986"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7B06A0" w:rsidRPr="00706042">
      <w:rPr>
        <w:rFonts w:ascii="Palatino Linotype" w:hAnsi="Palatino Linotype" w:cs="Arial"/>
        <w:sz w:val="20"/>
        <w:szCs w:val="20"/>
      </w:rPr>
      <w:t xml:space="preserve">RECURSO DE REVISIÓN </w:t>
    </w:r>
    <w:r w:rsidR="00EC6AB8">
      <w:rPr>
        <w:rFonts w:ascii="Palatino Linotype" w:hAnsi="Palatino Linotype" w:cs="Arial"/>
        <w:sz w:val="20"/>
        <w:szCs w:val="20"/>
      </w:rPr>
      <w:t>1011</w:t>
    </w:r>
    <w:r w:rsidR="009740B8">
      <w:rPr>
        <w:rFonts w:ascii="Palatino Linotype" w:hAnsi="Palatino Linotype" w:cs="Arial"/>
        <w:sz w:val="20"/>
        <w:szCs w:val="20"/>
      </w:rPr>
      <w:t>3</w:t>
    </w:r>
    <w:r w:rsidR="007B06A0">
      <w:rPr>
        <w:rFonts w:ascii="Palatino Linotype" w:hAnsi="Palatino Linotype" w:cs="Arial"/>
        <w:sz w:val="20"/>
        <w:szCs w:val="20"/>
      </w:rPr>
      <w:t>/INFOEM/IP</w:t>
    </w:r>
    <w:r w:rsidR="007B06A0" w:rsidRPr="00706042">
      <w:rPr>
        <w:rFonts w:ascii="Palatino Linotype" w:hAnsi="Palatino Linotype" w:cs="Arial"/>
        <w:sz w:val="20"/>
        <w:szCs w:val="20"/>
      </w:rPr>
      <w:t>/RR/201</w:t>
    </w:r>
    <w:r w:rsidR="007B06A0">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6A0" w:rsidRDefault="00011D3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42984"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207569"/>
    <w:multiLevelType w:val="hybridMultilevel"/>
    <w:tmpl w:val="3C9C7B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15:restartNumberingAfterBreak="0">
    <w:nsid w:val="7D6613A0"/>
    <w:multiLevelType w:val="hybridMultilevel"/>
    <w:tmpl w:val="0FA0DC14"/>
    <w:lvl w:ilvl="0" w:tplc="080A0019">
      <w:start w:val="1"/>
      <w:numFmt w:val="lowerLetter"/>
      <w:lvlText w:val="%1."/>
      <w:lvlJc w:val="left"/>
      <w:pPr>
        <w:ind w:left="3621" w:hanging="360"/>
      </w:p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2"/>
  </w:num>
  <w:num w:numId="8">
    <w:abstractNumId w:val="10"/>
  </w:num>
  <w:num w:numId="9">
    <w:abstractNumId w:val="14"/>
  </w:num>
  <w:num w:numId="10">
    <w:abstractNumId w:val="4"/>
  </w:num>
  <w:num w:numId="11">
    <w:abstractNumId w:val="15"/>
  </w:num>
  <w:num w:numId="12">
    <w:abstractNumId w:val="9"/>
  </w:num>
  <w:num w:numId="13">
    <w:abstractNumId w:val="21"/>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20"/>
  </w:num>
  <w:num w:numId="21">
    <w:abstractNumId w:val="17"/>
  </w:num>
  <w:num w:numId="22">
    <w:abstractNumId w:val="19"/>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1D35"/>
    <w:rsid w:val="0001751C"/>
    <w:rsid w:val="00017D16"/>
    <w:rsid w:val="0003370F"/>
    <w:rsid w:val="000412FB"/>
    <w:rsid w:val="000473A1"/>
    <w:rsid w:val="00055107"/>
    <w:rsid w:val="000603E1"/>
    <w:rsid w:val="0006079D"/>
    <w:rsid w:val="0007653D"/>
    <w:rsid w:val="00082101"/>
    <w:rsid w:val="0008542A"/>
    <w:rsid w:val="0008745A"/>
    <w:rsid w:val="00092678"/>
    <w:rsid w:val="00095B30"/>
    <w:rsid w:val="00097D44"/>
    <w:rsid w:val="000A435F"/>
    <w:rsid w:val="000B025D"/>
    <w:rsid w:val="000B3FFD"/>
    <w:rsid w:val="000C1A85"/>
    <w:rsid w:val="000C2CF9"/>
    <w:rsid w:val="000C4453"/>
    <w:rsid w:val="000D136C"/>
    <w:rsid w:val="000D1731"/>
    <w:rsid w:val="000D2238"/>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5DD5"/>
    <w:rsid w:val="001C17D2"/>
    <w:rsid w:val="001D3F57"/>
    <w:rsid w:val="001E757E"/>
    <w:rsid w:val="001E763C"/>
    <w:rsid w:val="001F4610"/>
    <w:rsid w:val="00220AB6"/>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0DDC"/>
    <w:rsid w:val="003031E1"/>
    <w:rsid w:val="003056D9"/>
    <w:rsid w:val="003102FA"/>
    <w:rsid w:val="003169F5"/>
    <w:rsid w:val="003223C2"/>
    <w:rsid w:val="0033370B"/>
    <w:rsid w:val="0034309A"/>
    <w:rsid w:val="00351129"/>
    <w:rsid w:val="0037321B"/>
    <w:rsid w:val="00383924"/>
    <w:rsid w:val="003A6F70"/>
    <w:rsid w:val="003B03E0"/>
    <w:rsid w:val="003C23BE"/>
    <w:rsid w:val="003C28FC"/>
    <w:rsid w:val="003C2D10"/>
    <w:rsid w:val="003C7226"/>
    <w:rsid w:val="003D12B2"/>
    <w:rsid w:val="003D1C14"/>
    <w:rsid w:val="003D683A"/>
    <w:rsid w:val="003E7C23"/>
    <w:rsid w:val="003F0C49"/>
    <w:rsid w:val="003F4C9C"/>
    <w:rsid w:val="0040475C"/>
    <w:rsid w:val="00410D1F"/>
    <w:rsid w:val="0041327F"/>
    <w:rsid w:val="00414E48"/>
    <w:rsid w:val="00414E7B"/>
    <w:rsid w:val="004179B7"/>
    <w:rsid w:val="004315BB"/>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60FC"/>
    <w:rsid w:val="004A7F3B"/>
    <w:rsid w:val="004B17F5"/>
    <w:rsid w:val="004B7325"/>
    <w:rsid w:val="004C40EA"/>
    <w:rsid w:val="004C64D9"/>
    <w:rsid w:val="004D0A26"/>
    <w:rsid w:val="004D34A9"/>
    <w:rsid w:val="004F206F"/>
    <w:rsid w:val="004F250E"/>
    <w:rsid w:val="004F5ABF"/>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4CC8"/>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1B41"/>
    <w:rsid w:val="006E489E"/>
    <w:rsid w:val="006E6389"/>
    <w:rsid w:val="006F30F8"/>
    <w:rsid w:val="006F35B6"/>
    <w:rsid w:val="00712BC2"/>
    <w:rsid w:val="0071346B"/>
    <w:rsid w:val="00716A47"/>
    <w:rsid w:val="00721966"/>
    <w:rsid w:val="00723D18"/>
    <w:rsid w:val="00724599"/>
    <w:rsid w:val="00724F66"/>
    <w:rsid w:val="00736C06"/>
    <w:rsid w:val="007416E3"/>
    <w:rsid w:val="00742010"/>
    <w:rsid w:val="00744D22"/>
    <w:rsid w:val="007542BA"/>
    <w:rsid w:val="00754E11"/>
    <w:rsid w:val="00772360"/>
    <w:rsid w:val="0078087A"/>
    <w:rsid w:val="00787892"/>
    <w:rsid w:val="007957C4"/>
    <w:rsid w:val="007A4AB6"/>
    <w:rsid w:val="007A70D2"/>
    <w:rsid w:val="007B06A0"/>
    <w:rsid w:val="007B09D8"/>
    <w:rsid w:val="007B2ACC"/>
    <w:rsid w:val="007B5FBC"/>
    <w:rsid w:val="007B6E55"/>
    <w:rsid w:val="007C0FDA"/>
    <w:rsid w:val="007C3C0E"/>
    <w:rsid w:val="007C4E7D"/>
    <w:rsid w:val="007D0FEE"/>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40B8"/>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EDA"/>
    <w:rsid w:val="009E7E02"/>
    <w:rsid w:val="00A032F1"/>
    <w:rsid w:val="00A04C79"/>
    <w:rsid w:val="00A12170"/>
    <w:rsid w:val="00A14B1D"/>
    <w:rsid w:val="00A34555"/>
    <w:rsid w:val="00A35217"/>
    <w:rsid w:val="00A40057"/>
    <w:rsid w:val="00A4593D"/>
    <w:rsid w:val="00A53958"/>
    <w:rsid w:val="00A60D1E"/>
    <w:rsid w:val="00A62DC1"/>
    <w:rsid w:val="00A73612"/>
    <w:rsid w:val="00A73A50"/>
    <w:rsid w:val="00A77B24"/>
    <w:rsid w:val="00A81140"/>
    <w:rsid w:val="00A824CA"/>
    <w:rsid w:val="00A83AA6"/>
    <w:rsid w:val="00A913AB"/>
    <w:rsid w:val="00A97D3C"/>
    <w:rsid w:val="00AA7C1B"/>
    <w:rsid w:val="00AB21DA"/>
    <w:rsid w:val="00AB7173"/>
    <w:rsid w:val="00AC248E"/>
    <w:rsid w:val="00AC3F99"/>
    <w:rsid w:val="00AD0717"/>
    <w:rsid w:val="00AD0AF6"/>
    <w:rsid w:val="00AD13E4"/>
    <w:rsid w:val="00AD2624"/>
    <w:rsid w:val="00AD5651"/>
    <w:rsid w:val="00AD6AAD"/>
    <w:rsid w:val="00AE2B18"/>
    <w:rsid w:val="00AF0B38"/>
    <w:rsid w:val="00AF3F82"/>
    <w:rsid w:val="00AF7EE8"/>
    <w:rsid w:val="00B106EA"/>
    <w:rsid w:val="00B151A8"/>
    <w:rsid w:val="00B164E9"/>
    <w:rsid w:val="00B23FB2"/>
    <w:rsid w:val="00B27BE5"/>
    <w:rsid w:val="00B32406"/>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93CE4"/>
    <w:rsid w:val="00DA4FF5"/>
    <w:rsid w:val="00DA5071"/>
    <w:rsid w:val="00DA5209"/>
    <w:rsid w:val="00DC223E"/>
    <w:rsid w:val="00DD6A6C"/>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56446"/>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C6AB8"/>
    <w:rsid w:val="00ED00A9"/>
    <w:rsid w:val="00ED5EE9"/>
    <w:rsid w:val="00EE0A11"/>
    <w:rsid w:val="00EE547D"/>
    <w:rsid w:val="00EF062F"/>
    <w:rsid w:val="00F00FB4"/>
    <w:rsid w:val="00F06505"/>
    <w:rsid w:val="00F14A3E"/>
    <w:rsid w:val="00F15420"/>
    <w:rsid w:val="00F30035"/>
    <w:rsid w:val="00F35195"/>
    <w:rsid w:val="00F36CDE"/>
    <w:rsid w:val="00F44E84"/>
    <w:rsid w:val="00F45BF1"/>
    <w:rsid w:val="00F5073D"/>
    <w:rsid w:val="00F51B8C"/>
    <w:rsid w:val="00F548A9"/>
    <w:rsid w:val="00F54D8B"/>
    <w:rsid w:val="00F57D55"/>
    <w:rsid w:val="00F61512"/>
    <w:rsid w:val="00F7009C"/>
    <w:rsid w:val="00F75801"/>
    <w:rsid w:val="00F82336"/>
    <w:rsid w:val="00F92AF0"/>
    <w:rsid w:val="00F92F15"/>
    <w:rsid w:val="00F955C8"/>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282C6-D4C2-4CDD-8D68-1982E5CE7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1106</Words>
  <Characters>6089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4</cp:revision>
  <cp:lastPrinted>2020-01-27T21:22:00Z</cp:lastPrinted>
  <dcterms:created xsi:type="dcterms:W3CDTF">2020-04-17T17:56:00Z</dcterms:created>
  <dcterms:modified xsi:type="dcterms:W3CDTF">2020-04-29T19:45:00Z</dcterms:modified>
</cp:coreProperties>
</file>