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B93C5" w14:textId="77777777" w:rsidR="006A26BC" w:rsidRDefault="006A26BC" w:rsidP="006A26B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D93A88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>QUE FORMULA</w:t>
      </w:r>
      <w:r>
        <w:rPr>
          <w:rFonts w:ascii="Palatino Linotype" w:hAnsi="Palatino Linotype" w:cs="Arial"/>
          <w:b/>
        </w:rPr>
        <w:t>N</w:t>
      </w:r>
      <w:r w:rsidRPr="00D93A88">
        <w:rPr>
          <w:rFonts w:ascii="Palatino Linotype" w:hAnsi="Palatino Linotype" w:cs="Arial"/>
          <w:b/>
        </w:rPr>
        <w:t xml:space="preserve"> </w:t>
      </w:r>
      <w:r w:rsidRPr="00637892">
        <w:rPr>
          <w:rFonts w:ascii="Palatino Linotype" w:hAnsi="Palatino Linotype" w:cs="Arial"/>
          <w:b/>
          <w:szCs w:val="22"/>
        </w:rPr>
        <w:t>LA COMISIONADA EVA ABAID YAPUR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 xml:space="preserve">EN RELACIÓN CON LA RESOLUCIÓN DICTADA POR EL PLENO DEL INSTITUTO DE TRANSPARENCIA, ACCESO A LA INFORMACIÓN PÚBLICA Y PROTECCIÓN DE </w:t>
      </w:r>
      <w:r w:rsidRPr="00E42755">
        <w:rPr>
          <w:rFonts w:ascii="Palatino Linotype" w:hAnsi="Palatino Linotype" w:cs="Arial"/>
          <w:b/>
        </w:rPr>
        <w:t xml:space="preserve">DATOS PERSONALES DEL ESTADO DE MÉXICO Y MUNICIPIOS, EN LA </w:t>
      </w:r>
      <w:r>
        <w:rPr>
          <w:rFonts w:ascii="Palatino Linotype" w:hAnsi="Palatino Linotype" w:cs="Arial"/>
          <w:b/>
        </w:rPr>
        <w:t xml:space="preserve">TRIGÉSIMA OCTAVA </w:t>
      </w:r>
      <w:r w:rsidRPr="00E42755">
        <w:rPr>
          <w:rFonts w:ascii="Palatino Linotype" w:hAnsi="Palatino Linotype" w:cs="Arial"/>
          <w:b/>
        </w:rPr>
        <w:t xml:space="preserve">SESIÓN ORDINARIA DE </w:t>
      </w:r>
      <w:r>
        <w:rPr>
          <w:rFonts w:ascii="Palatino Linotype" w:hAnsi="Palatino Linotype" w:cs="Arial"/>
          <w:b/>
        </w:rPr>
        <w:t xml:space="preserve">DIECISÉIS DE OCTUBRE DE DOS MIL DIECINUEVE, EN EL RECURSO DE REVISIÓN </w:t>
      </w:r>
      <w:r>
        <w:rPr>
          <w:rFonts w:ascii="Palatino Linotype" w:eastAsia="Calibri" w:hAnsi="Palatino Linotype" w:cs="Arial"/>
          <w:b/>
          <w:color w:val="000000"/>
        </w:rPr>
        <w:t>06623/INFOEM/IP/RR/2019.</w:t>
      </w:r>
    </w:p>
    <w:p w14:paraId="2530A91C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</w:t>
      </w:r>
      <w:r w:rsidRPr="00E42755">
        <w:rPr>
          <w:rFonts w:ascii="Palatino Linotype" w:hAnsi="Palatino Linotype" w:cs="Arial"/>
        </w:rPr>
        <w:t xml:space="preserve"> la</w:t>
      </w:r>
      <w:r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Pr="00E42755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 xml:space="preserve">o de la resolución dictada en el </w:t>
      </w:r>
      <w:r w:rsidRPr="00E42755">
        <w:rPr>
          <w:rFonts w:ascii="Palatino Linotype" w:hAnsi="Palatino Linotype" w:cs="Arial"/>
        </w:rPr>
        <w:t>recurso</w:t>
      </w:r>
      <w:r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</w:rPr>
        <w:t xml:space="preserve">de revisión </w:t>
      </w:r>
      <w:r>
        <w:rPr>
          <w:rFonts w:ascii="Palatino Linotype" w:eastAsia="Calibri" w:hAnsi="Palatino Linotype" w:cs="Arial"/>
          <w:b/>
          <w:color w:val="000000"/>
        </w:rPr>
        <w:t>06623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</w:t>
      </w:r>
      <w:r>
        <w:rPr>
          <w:rFonts w:ascii="Palatino Linotype" w:hAnsi="Palatino Linotype" w:cs="Arial"/>
        </w:rPr>
        <w:t>proyecto presentado por el Comisionado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JOSÉ GUADALUPE LUNA HERNÁNDEZ</w:t>
      </w:r>
      <w:r w:rsidRPr="00E42755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14:paraId="56D46805" w14:textId="77777777" w:rsidR="006A26BC" w:rsidRPr="00E42755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Es de </w:t>
      </w:r>
      <w:r>
        <w:rPr>
          <w:rFonts w:ascii="Palatino Linotype" w:hAnsi="Palatino Linotype"/>
        </w:rPr>
        <w:t>destacar, que la suscrita comparte</w:t>
      </w:r>
      <w:r w:rsidRPr="00E42755">
        <w:rPr>
          <w:rFonts w:ascii="Palatino Linotype" w:hAnsi="Palatino Linotype"/>
        </w:rPr>
        <w:t xml:space="preserve"> las razones que motivaron la emisión del recurso de revisión en comento; empero,</w:t>
      </w:r>
      <w:r>
        <w:rPr>
          <w:rFonts w:ascii="Palatino Linotype" w:hAnsi="Palatino Linotype"/>
        </w:rPr>
        <w:t xml:space="preserve"> estimo</w:t>
      </w:r>
      <w:r w:rsidRPr="00E42755">
        <w:rPr>
          <w:rFonts w:ascii="Palatino Linotype" w:hAnsi="Palatino Linotype"/>
        </w:rPr>
        <w:t xml:space="preserve"> necesario precisar algunas conside</w:t>
      </w:r>
      <w:r>
        <w:rPr>
          <w:rFonts w:ascii="Palatino Linotype" w:hAnsi="Palatino Linotype"/>
        </w:rPr>
        <w:t>raciones de hecho y de derecho, en cuanto al</w:t>
      </w:r>
      <w:r w:rsidRPr="00E42755">
        <w:rPr>
          <w:rFonts w:ascii="Palatino Linotype" w:hAnsi="Palatino Linotype"/>
        </w:rPr>
        <w:t xml:space="preserve"> sentido de la resolución correspondiente.</w:t>
      </w:r>
    </w:p>
    <w:p w14:paraId="2DA76148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Al respecto, tal y como quedó debidamente asentado en la resolución materia del presente voto, </w:t>
      </w:r>
      <w:r>
        <w:rPr>
          <w:rFonts w:ascii="Palatino Linotype" w:hAnsi="Palatino Linotype"/>
        </w:rPr>
        <w:t xml:space="preserve">el particular requirió de </w:t>
      </w:r>
      <w:r w:rsidRPr="003B19DA">
        <w:rPr>
          <w:rFonts w:ascii="Palatino Linotype" w:hAnsi="Palatino Linotype" w:cs="Arial"/>
          <w:b/>
        </w:rPr>
        <w:t xml:space="preserve">Secretaría de </w:t>
      </w:r>
      <w:r>
        <w:rPr>
          <w:rFonts w:ascii="Palatino Linotype" w:hAnsi="Palatino Linotype" w:cs="Arial"/>
          <w:b/>
        </w:rPr>
        <w:t>Finanzas</w:t>
      </w:r>
      <w:r>
        <w:rPr>
          <w:rFonts w:ascii="Palatino Linotype" w:hAnsi="Palatino Linotype"/>
        </w:rPr>
        <w:t xml:space="preserve">, en lo subsecuente </w:t>
      </w:r>
      <w:r w:rsidRPr="00591A90">
        <w:rPr>
          <w:rFonts w:ascii="Palatino Linotype" w:hAnsi="Palatino Linotype"/>
          <w:b/>
        </w:rPr>
        <w:t>EL</w:t>
      </w:r>
      <w:r w:rsidRPr="008162B0">
        <w:rPr>
          <w:rFonts w:ascii="Palatino Linotype" w:hAnsi="Palatino Linotype"/>
        </w:rPr>
        <w:t xml:space="preserve"> </w:t>
      </w:r>
      <w:r w:rsidRPr="008162B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>lo que se desagrega a continuación:</w:t>
      </w:r>
    </w:p>
    <w:p w14:paraId="094BDC5A" w14:textId="77777777" w:rsidR="006A26BC" w:rsidRPr="00F80243" w:rsidRDefault="006A26BC" w:rsidP="006A26BC">
      <w:pPr>
        <w:pStyle w:val="Prrafodelista"/>
        <w:numPr>
          <w:ilvl w:val="0"/>
          <w:numId w:val="19"/>
        </w:numPr>
        <w:spacing w:before="100" w:beforeAutospacing="1" w:after="100" w:afterAutospacing="1"/>
        <w:ind w:left="851" w:right="899" w:firstLine="0"/>
        <w:jc w:val="both"/>
        <w:rPr>
          <w:rFonts w:ascii="Palatino Linotype" w:hAnsi="Palatino Linotype"/>
          <w:i/>
          <w:sz w:val="22"/>
          <w:szCs w:val="22"/>
        </w:rPr>
      </w:pPr>
      <w:r w:rsidRPr="00F80243">
        <w:rPr>
          <w:rFonts w:ascii="Palatino Linotype" w:hAnsi="Palatino Linotype"/>
          <w:i/>
          <w:sz w:val="22"/>
          <w:szCs w:val="22"/>
        </w:rPr>
        <w:lastRenderedPageBreak/>
        <w:t>En relación con el expediente 929/2011 y acumulados, radicado en la Quinta Sala del Tribunal de Justicia Administrativa del Estado de México:</w:t>
      </w:r>
    </w:p>
    <w:p w14:paraId="3E513054" w14:textId="77777777" w:rsidR="006A26BC" w:rsidRPr="00F80243" w:rsidRDefault="006A26BC" w:rsidP="006A26BC">
      <w:pPr>
        <w:pStyle w:val="Prrafodelista"/>
        <w:numPr>
          <w:ilvl w:val="0"/>
          <w:numId w:val="20"/>
        </w:numPr>
        <w:spacing w:before="100" w:beforeAutospacing="1" w:after="100" w:afterAutospacing="1"/>
        <w:ind w:left="851" w:right="899" w:firstLine="0"/>
        <w:jc w:val="both"/>
        <w:rPr>
          <w:rFonts w:ascii="Palatino Linotype" w:hAnsi="Palatino Linotype"/>
          <w:i/>
          <w:sz w:val="22"/>
          <w:szCs w:val="22"/>
        </w:rPr>
      </w:pPr>
      <w:r w:rsidRPr="00F80243">
        <w:rPr>
          <w:rFonts w:ascii="Palatino Linotype" w:hAnsi="Palatino Linotype"/>
          <w:i/>
          <w:sz w:val="22"/>
          <w:szCs w:val="22"/>
        </w:rPr>
        <w:t>Conocer a partir de qué fecha se dejaron de pagar o cubrir las cuotas de seguridad social del entonces solicitante, por parte de la Secretaría de Seguridad Ciudadana.</w:t>
      </w:r>
    </w:p>
    <w:p w14:paraId="4BB7D2DE" w14:textId="77777777" w:rsidR="006A26BC" w:rsidRPr="00F80243" w:rsidRDefault="006A26BC" w:rsidP="006A26BC">
      <w:pPr>
        <w:pStyle w:val="Prrafodelista"/>
        <w:numPr>
          <w:ilvl w:val="0"/>
          <w:numId w:val="20"/>
        </w:numPr>
        <w:spacing w:before="100" w:beforeAutospacing="1" w:after="100" w:afterAutospacing="1"/>
        <w:ind w:left="851" w:right="899" w:firstLine="0"/>
        <w:jc w:val="both"/>
        <w:rPr>
          <w:rFonts w:ascii="Palatino Linotype" w:hAnsi="Palatino Linotype"/>
          <w:i/>
          <w:sz w:val="22"/>
          <w:szCs w:val="22"/>
        </w:rPr>
      </w:pPr>
      <w:r w:rsidRPr="00F80243">
        <w:rPr>
          <w:rFonts w:ascii="Palatino Linotype" w:hAnsi="Palatino Linotype"/>
          <w:i/>
          <w:sz w:val="22"/>
          <w:szCs w:val="22"/>
        </w:rPr>
        <w:t>Saber por qué se dejaron de pagar las cuotas de Seguridad Social y del Impuesto Sobre la Renta del particular, cuando aún no se ha determinado por mandamiento judicial la separación de su cargo.</w:t>
      </w:r>
    </w:p>
    <w:p w14:paraId="66216C02" w14:textId="77777777" w:rsidR="006A26BC" w:rsidRPr="00F80243" w:rsidRDefault="006A26BC" w:rsidP="006A26BC">
      <w:pPr>
        <w:pStyle w:val="Prrafodelista"/>
        <w:numPr>
          <w:ilvl w:val="0"/>
          <w:numId w:val="20"/>
        </w:numPr>
        <w:spacing w:before="100" w:beforeAutospacing="1" w:after="100" w:afterAutospacing="1"/>
        <w:ind w:left="851" w:right="899" w:firstLine="0"/>
        <w:jc w:val="both"/>
        <w:rPr>
          <w:rFonts w:ascii="Palatino Linotype" w:hAnsi="Palatino Linotype"/>
          <w:i/>
          <w:sz w:val="22"/>
          <w:szCs w:val="22"/>
        </w:rPr>
      </w:pPr>
      <w:r w:rsidRPr="00F80243">
        <w:rPr>
          <w:rFonts w:ascii="Palatino Linotype" w:hAnsi="Palatino Linotype"/>
          <w:i/>
          <w:sz w:val="22"/>
          <w:szCs w:val="22"/>
        </w:rPr>
        <w:t>Conocer por qué no se han reportado las cuotas correspondientes al Servicio de Administración Tributaria</w:t>
      </w:r>
    </w:p>
    <w:p w14:paraId="2B396F01" w14:textId="77777777" w:rsidR="006A26BC" w:rsidRPr="00F80243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162B0">
        <w:rPr>
          <w:rFonts w:ascii="Palatino Linotype" w:hAnsi="Palatino Linotype" w:cs="Arial"/>
        </w:rPr>
        <w:t xml:space="preserve">En </w:t>
      </w:r>
      <w:r w:rsidRPr="002C2F04">
        <w:rPr>
          <w:rFonts w:ascii="Palatino Linotype" w:hAnsi="Palatino Linotype"/>
        </w:rPr>
        <w:t>respuesta</w:t>
      </w:r>
      <w:r w:rsidRPr="008162B0">
        <w:rPr>
          <w:rFonts w:ascii="Palatino Linotype" w:hAnsi="Palatino Linotype" w:cs="Arial"/>
        </w:rPr>
        <w:t xml:space="preserve">, </w:t>
      </w:r>
      <w:r w:rsidRPr="008162B0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manifestó, que </w:t>
      </w:r>
      <w:r w:rsidRPr="00F80243">
        <w:rPr>
          <w:rFonts w:ascii="Palatino Linotype" w:hAnsi="Palatino Linotype" w:cs="Arial"/>
        </w:rPr>
        <w:t>los cuestionamientos formulados en su solicitud de información no encuadraban en la materia del derecho de acceso a la información, sino que más bien se apreciaba como el ejercicio del derecho de petición, por lo que no realizó manifestación alguna sobre lo solicitado.</w:t>
      </w:r>
    </w:p>
    <w:p w14:paraId="556450E1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otorgada, </w:t>
      </w:r>
      <w:r>
        <w:rPr>
          <w:rFonts w:ascii="Palatino Linotype" w:hAnsi="Palatino Linotype" w:cs="Arial"/>
          <w:b/>
        </w:rPr>
        <w:t xml:space="preserve">EL RECURRENTE </w:t>
      </w:r>
      <w:r>
        <w:rPr>
          <w:rFonts w:ascii="Palatino Linotype" w:hAnsi="Palatino Linotype" w:cs="Arial"/>
        </w:rPr>
        <w:t>interpuso el recurso de revisión de mérito, señalando como acto impugnado lo siguiente:</w:t>
      </w:r>
    </w:p>
    <w:p w14:paraId="047FA793" w14:textId="77777777" w:rsidR="006A26BC" w:rsidRPr="00A435E2" w:rsidRDefault="006A26BC" w:rsidP="006A26BC">
      <w:pPr>
        <w:spacing w:before="100" w:beforeAutospacing="1" w:after="100" w:afterAutospacing="1" w:line="360" w:lineRule="auto"/>
        <w:ind w:left="851" w:right="850"/>
        <w:jc w:val="both"/>
        <w:rPr>
          <w:rFonts w:ascii="Palatino Linotype" w:hAnsi="Palatino Linotype"/>
          <w:i/>
          <w:color w:val="000000"/>
        </w:rPr>
      </w:pPr>
      <w:r w:rsidRPr="00A435E2">
        <w:rPr>
          <w:rFonts w:ascii="Palatino Linotype" w:hAnsi="Palatino Linotype"/>
          <w:i/>
          <w:color w:val="000000"/>
        </w:rPr>
        <w:t>“</w:t>
      </w:r>
      <w:r w:rsidRPr="00F80243">
        <w:rPr>
          <w:rFonts w:ascii="Palatino Linotype" w:hAnsi="Palatino Linotype"/>
          <w:i/>
          <w:color w:val="000000"/>
          <w:sz w:val="22"/>
          <w:szCs w:val="22"/>
        </w:rPr>
        <w:t>falta de respuesta precisa y concisa.</w:t>
      </w:r>
      <w:r w:rsidRPr="00412CE3">
        <w:rPr>
          <w:rFonts w:ascii="Palatino Linotype" w:hAnsi="Palatino Linotype"/>
          <w:i/>
          <w:color w:val="000000"/>
          <w:sz w:val="22"/>
          <w:szCs w:val="22"/>
        </w:rPr>
        <w:t>"[Sic]</w:t>
      </w:r>
    </w:p>
    <w:p w14:paraId="304C7218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manifestó como razones o motivos de inconformidad:</w:t>
      </w:r>
    </w:p>
    <w:p w14:paraId="7FC1C554" w14:textId="77777777" w:rsidR="006A26BC" w:rsidRPr="002931D7" w:rsidRDefault="006A26BC" w:rsidP="006A26BC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i/>
          <w:color w:val="000000"/>
          <w:sz w:val="22"/>
          <w:szCs w:val="20"/>
        </w:rPr>
      </w:pPr>
      <w:r w:rsidRPr="00FE078E">
        <w:rPr>
          <w:rFonts w:ascii="Palatino Linotype" w:hAnsi="Palatino Linotype"/>
          <w:i/>
          <w:color w:val="000000"/>
          <w:sz w:val="22"/>
          <w:szCs w:val="20"/>
        </w:rPr>
        <w:t>“</w:t>
      </w:r>
      <w:r>
        <w:rPr>
          <w:rFonts w:ascii="Palatino Linotype" w:hAnsi="Palatino Linotype"/>
          <w:i/>
          <w:color w:val="000000"/>
          <w:sz w:val="22"/>
          <w:szCs w:val="20"/>
        </w:rPr>
        <w:t>l</w:t>
      </w:r>
      <w:r w:rsidRPr="00F80243">
        <w:rPr>
          <w:rFonts w:ascii="Palatino Linotype" w:hAnsi="Palatino Linotype"/>
          <w:i/>
          <w:color w:val="000000"/>
        </w:rPr>
        <w:t xml:space="preserve">as preguntas son concretas: EL ACCESO A LA INFORMACIÓN. EL EJERCICIO DE ESTE DERECHO NO GARANTIZA OBTENER UN PRONUNCIAMIENTO SOBRE LA JUSTIFICACIÓN LEGAL DE LOS ACTOS DE UN ÓRGANO DEL ESTADO O SOBRE LA INTERPRETACIÓN QUE DEBE DARSE A UN DETERMINADO PRECEPTO LEGAL, SALVO QUE EXISTA UN DOCUMENTO EN EL QUE PREVIAMENTE SE HAYAN REALIZADO ESOS ACTOS. </w:t>
      </w:r>
      <w:proofErr w:type="gramStart"/>
      <w:r w:rsidRPr="00F80243">
        <w:rPr>
          <w:rFonts w:ascii="Palatino Linotype" w:hAnsi="Palatino Linotype"/>
          <w:i/>
          <w:color w:val="000000"/>
        </w:rPr>
        <w:t>en</w:t>
      </w:r>
      <w:proofErr w:type="gramEnd"/>
      <w:r w:rsidRPr="00F80243">
        <w:rPr>
          <w:rFonts w:ascii="Palatino Linotype" w:hAnsi="Palatino Linotype"/>
          <w:i/>
          <w:color w:val="000000"/>
        </w:rPr>
        <w:t xml:space="preserve"> este tenor se </w:t>
      </w:r>
      <w:proofErr w:type="spellStart"/>
      <w:r w:rsidRPr="00F80243">
        <w:rPr>
          <w:rFonts w:ascii="Palatino Linotype" w:hAnsi="Palatino Linotype"/>
          <w:i/>
          <w:color w:val="000000"/>
        </w:rPr>
        <w:t>esta</w:t>
      </w:r>
      <w:proofErr w:type="spellEnd"/>
      <w:r w:rsidRPr="00F80243">
        <w:rPr>
          <w:rFonts w:ascii="Palatino Linotype" w:hAnsi="Palatino Linotype"/>
          <w:i/>
          <w:color w:val="000000"/>
        </w:rPr>
        <w:t xml:space="preserve"> solicitando información, toda </w:t>
      </w:r>
      <w:proofErr w:type="spellStart"/>
      <w:r w:rsidRPr="00F80243">
        <w:rPr>
          <w:rFonts w:ascii="Palatino Linotype" w:hAnsi="Palatino Linotype"/>
          <w:i/>
          <w:color w:val="000000"/>
        </w:rPr>
        <w:t>ves</w:t>
      </w:r>
      <w:proofErr w:type="spellEnd"/>
      <w:r w:rsidRPr="00F80243">
        <w:rPr>
          <w:rFonts w:ascii="Palatino Linotype" w:hAnsi="Palatino Linotype"/>
          <w:i/>
          <w:color w:val="000000"/>
        </w:rPr>
        <w:t xml:space="preserve"> que diversas autoridades han sido omisas al realizar el pago de diversas prestaciones, salarios caídos, y otros. </w:t>
      </w:r>
      <w:proofErr w:type="gramStart"/>
      <w:r w:rsidRPr="00F80243">
        <w:rPr>
          <w:rFonts w:ascii="Palatino Linotype" w:hAnsi="Palatino Linotype"/>
          <w:i/>
          <w:color w:val="000000"/>
        </w:rPr>
        <w:lastRenderedPageBreak/>
        <w:t>como</w:t>
      </w:r>
      <w:proofErr w:type="gramEnd"/>
      <w:r w:rsidRPr="00F80243">
        <w:rPr>
          <w:rFonts w:ascii="Palatino Linotype" w:hAnsi="Palatino Linotype"/>
          <w:i/>
          <w:color w:val="000000"/>
        </w:rPr>
        <w:t xml:space="preserve"> ya se refirió en la petición obra todo lo anteriormente solicitado en autos del expediente 929/2011 y anexos radicado en la quinta sala del tribunal de justicia administrativa del estado de </w:t>
      </w:r>
      <w:proofErr w:type="spellStart"/>
      <w:r w:rsidRPr="00F80243">
        <w:rPr>
          <w:rFonts w:ascii="Palatino Linotype" w:hAnsi="Palatino Linotype"/>
          <w:i/>
          <w:color w:val="000000"/>
        </w:rPr>
        <w:t>mexico</w:t>
      </w:r>
      <w:proofErr w:type="spellEnd"/>
      <w:r w:rsidRPr="00F80243">
        <w:rPr>
          <w:rFonts w:ascii="Palatino Linotype" w:hAnsi="Palatino Linotype"/>
          <w:i/>
          <w:color w:val="000000"/>
        </w:rPr>
        <w:t>, por ende no pueden deslindarse de dar respuesta precisa y concisa a los planteamientos realizados.</w:t>
      </w:r>
      <w:r w:rsidRPr="00FE078E">
        <w:rPr>
          <w:rFonts w:ascii="Palatino Linotype" w:hAnsi="Palatino Linotype"/>
          <w:i/>
          <w:color w:val="000000"/>
          <w:sz w:val="22"/>
          <w:szCs w:val="20"/>
        </w:rPr>
        <w:t>” (Sic)</w:t>
      </w:r>
    </w:p>
    <w:p w14:paraId="47BC13B6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</w:t>
      </w:r>
      <w:r w:rsidRPr="00722925">
        <w:rPr>
          <w:rFonts w:ascii="Palatino Linotype" w:hAnsi="Palatino Linotype" w:cs="Arial"/>
        </w:rPr>
        <w:t>e lo anterior,</w:t>
      </w:r>
      <w:r>
        <w:rPr>
          <w:rFonts w:ascii="Palatino Linotype" w:hAnsi="Palatino Linotype" w:cs="Arial"/>
        </w:rPr>
        <w:t xml:space="preserve"> conforme al análisis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 xml:space="preserve">expediente electrónico del </w:t>
      </w:r>
      <w:r w:rsidRPr="00086CEA">
        <w:rPr>
          <w:rFonts w:ascii="Palatino Linotype" w:hAnsi="Palatino Linotype"/>
          <w:b/>
        </w:rPr>
        <w:t>SAIMEX</w:t>
      </w:r>
      <w:r>
        <w:rPr>
          <w:rFonts w:ascii="Palatino Linotype" w:hAnsi="Palatino Linotype" w:cs="Arial"/>
        </w:rPr>
        <w:t xml:space="preserve">, </w:t>
      </w:r>
      <w:r w:rsidRPr="00722925">
        <w:rPr>
          <w:rFonts w:ascii="Palatino Linotype" w:hAnsi="Palatino Linotype" w:cs="Arial"/>
        </w:rPr>
        <w:t xml:space="preserve">la Ponencia </w:t>
      </w:r>
      <w:proofErr w:type="spellStart"/>
      <w:r w:rsidRPr="00722925">
        <w:rPr>
          <w:rFonts w:ascii="Palatino Linotype" w:hAnsi="Palatino Linotype" w:cs="Arial"/>
        </w:rPr>
        <w:t>Resolut</w:t>
      </w:r>
      <w:r>
        <w:rPr>
          <w:rFonts w:ascii="Palatino Linotype" w:hAnsi="Palatino Linotype" w:cs="Arial"/>
        </w:rPr>
        <w:t>o</w:t>
      </w:r>
      <w:r w:rsidRPr="00722925">
        <w:rPr>
          <w:rFonts w:ascii="Palatino Linotype" w:hAnsi="Palatino Linotype" w:cs="Arial"/>
        </w:rPr>
        <w:t>ra</w:t>
      </w:r>
      <w:proofErr w:type="spellEnd"/>
      <w:r w:rsidRPr="00722925">
        <w:rPr>
          <w:rFonts w:ascii="Palatino Linotype" w:hAnsi="Palatino Linotype" w:cs="Arial"/>
        </w:rPr>
        <w:t xml:space="preserve"> determinó </w:t>
      </w:r>
      <w:r>
        <w:rPr>
          <w:rFonts w:ascii="Palatino Linotype" w:hAnsi="Palatino Linotype" w:cs="Arial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y ordenar la entrega vía SAIMEX, previa acreditación de la identidad del particular, el documento donde conste lo siguiente: </w:t>
      </w:r>
    </w:p>
    <w:p w14:paraId="154D120C" w14:textId="77777777" w:rsidR="006A26BC" w:rsidRPr="00305D04" w:rsidRDefault="006A26BC" w:rsidP="006A26BC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 w:cs="Arial"/>
          <w:i/>
          <w:sz w:val="22"/>
          <w:szCs w:val="22"/>
        </w:rPr>
      </w:pPr>
      <w:r w:rsidRPr="00305D04">
        <w:rPr>
          <w:rFonts w:ascii="Palatino Linotype" w:hAnsi="Palatino Linotype" w:cs="Arial"/>
          <w:i/>
          <w:sz w:val="22"/>
          <w:szCs w:val="22"/>
        </w:rPr>
        <w:t>Fecha del último pago o retención por Impuesto Sobre la Renta y Seguridad Social sobre nómina del particular como servidor público de la Secretaría de Seguridad Ciudadana.</w:t>
      </w:r>
    </w:p>
    <w:p w14:paraId="48BA2389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así, de acuerdo con lo siguiente.</w:t>
      </w:r>
    </w:p>
    <w:p w14:paraId="27F21C0F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primer término, es necesario precisar que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14:paraId="0E2B2466" w14:textId="77777777" w:rsidR="006A26BC" w:rsidRPr="00274EF7" w:rsidRDefault="006A26BC" w:rsidP="006A26B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Desechar o sobreseer el recurso; </w:t>
      </w:r>
    </w:p>
    <w:p w14:paraId="28201255" w14:textId="77777777" w:rsidR="006A26BC" w:rsidRPr="00F119A7" w:rsidRDefault="006A26BC" w:rsidP="006A26B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F119A7">
        <w:rPr>
          <w:rFonts w:ascii="Palatino Linotype" w:hAnsi="Palatino Linotype"/>
        </w:rPr>
        <w:t xml:space="preserve">Confirmar la respuesta del sujeto obligado; </w:t>
      </w:r>
    </w:p>
    <w:p w14:paraId="716BFFF9" w14:textId="77777777" w:rsidR="006A26BC" w:rsidRPr="00274EF7" w:rsidRDefault="006A26BC" w:rsidP="006A26B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  <w:b/>
          <w:u w:val="single"/>
        </w:rPr>
        <w:t>Revocar o modificar la respuesta del sujeto obligado</w:t>
      </w:r>
      <w:r w:rsidRPr="00274EF7">
        <w:rPr>
          <w:rFonts w:ascii="Palatino Linotype" w:hAnsi="Palatino Linotype"/>
        </w:rPr>
        <w:t xml:space="preserve">; y </w:t>
      </w:r>
    </w:p>
    <w:p w14:paraId="5747DD08" w14:textId="77777777" w:rsidR="006A26BC" w:rsidRDefault="006A26BC" w:rsidP="006A26B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14:paraId="7AF75332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En el caso particular de la fracción III y en relación a dichos sentidos, se debe entender que se procede a </w:t>
      </w:r>
      <w:r w:rsidRPr="00630280">
        <w:rPr>
          <w:rFonts w:ascii="Palatino Linotype" w:hAnsi="Palatino Linotype"/>
          <w:b/>
        </w:rPr>
        <w:t>REVOCAR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la respuesta de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os</w:t>
      </w:r>
      <w:r w:rsidRPr="00630280">
        <w:rPr>
          <w:rFonts w:ascii="Palatino Linotype" w:hAnsi="Palatino Linotype"/>
        </w:rPr>
        <w:t xml:space="preserve"> Sujeto</w:t>
      </w:r>
      <w:r>
        <w:rPr>
          <w:rFonts w:ascii="Palatino Linotype" w:hAnsi="Palatino Linotype"/>
        </w:rPr>
        <w:t>s</w:t>
      </w:r>
      <w:r w:rsidRPr="00630280">
        <w:rPr>
          <w:rFonts w:ascii="Palatino Linotype" w:hAnsi="Palatino Linotype"/>
        </w:rPr>
        <w:t xml:space="preserve"> Obligado</w:t>
      </w:r>
      <w:r>
        <w:rPr>
          <w:rFonts w:ascii="Palatino Linotype" w:hAnsi="Palatino Linotype"/>
        </w:rPr>
        <w:t xml:space="preserve">s, cuando ésta no satisfaga en su </w:t>
      </w:r>
      <w:r w:rsidRPr="00FE078E">
        <w:rPr>
          <w:rFonts w:ascii="Palatino Linotype" w:hAnsi="Palatino Linotype"/>
          <w:b/>
        </w:rPr>
        <w:t>totalidad</w:t>
      </w:r>
      <w:r>
        <w:rPr>
          <w:rFonts w:ascii="Palatino Linotype" w:hAnsi="Palatino Linotype"/>
        </w:rPr>
        <w:t xml:space="preserve"> la información pública requerida por los particulares en sus solicitudes; mientras que, se procede a </w:t>
      </w:r>
      <w:r w:rsidRPr="00630280">
        <w:rPr>
          <w:rFonts w:ascii="Palatino Linotype" w:hAnsi="Palatino Linotype"/>
          <w:b/>
        </w:rPr>
        <w:t>MODIFICAR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dicha respuesta, en los casos en que se atienda de manera </w:t>
      </w:r>
      <w:r w:rsidRPr="00FE078E">
        <w:rPr>
          <w:rFonts w:ascii="Palatino Linotype" w:hAnsi="Palatino Linotype"/>
          <w:b/>
        </w:rPr>
        <w:t>parcial</w:t>
      </w:r>
      <w:r>
        <w:rPr>
          <w:rFonts w:ascii="Palatino Linotype" w:hAnsi="Palatino Linotype"/>
        </w:rPr>
        <w:t xml:space="preserve"> la solicitud de información pública, por mínima que pudiera resultar la aportación de los Sujetos Obligados para dar respuesta.</w:t>
      </w:r>
    </w:p>
    <w:p w14:paraId="7D3F9674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en el presente caso si bien es cierto en 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considero que por cuanto hace a los puntos señalados con los numerales 2 y 3</w:t>
      </w:r>
      <w:r w:rsidRPr="00305D04">
        <w:rPr>
          <w:rFonts w:ascii="Palatino Linotype" w:hAnsi="Palatino Linotype"/>
        </w:rPr>
        <w:t>, resulta</w:t>
      </w:r>
      <w:r>
        <w:rPr>
          <w:rFonts w:ascii="Palatino Linotype" w:hAnsi="Palatino Linotype"/>
        </w:rPr>
        <w:t>ba</w:t>
      </w:r>
      <w:r w:rsidRPr="00305D04">
        <w:rPr>
          <w:rFonts w:ascii="Palatino Linotype" w:hAnsi="Palatino Linotype"/>
        </w:rPr>
        <w:t xml:space="preserve">n ser pretensiones imposibles de estudiar o analizar por este Órgano Garante, toda vez que el particular no </w:t>
      </w:r>
      <w:r>
        <w:rPr>
          <w:rFonts w:ascii="Palatino Linotype" w:hAnsi="Palatino Linotype"/>
        </w:rPr>
        <w:t xml:space="preserve">solicitó </w:t>
      </w:r>
      <w:r w:rsidRPr="00305D04">
        <w:rPr>
          <w:rFonts w:ascii="Palatino Linotype" w:hAnsi="Palatino Linotype"/>
        </w:rPr>
        <w:t>documentación en la que obre información determinada, sino que requiri</w:t>
      </w:r>
      <w:r>
        <w:rPr>
          <w:rFonts w:ascii="Palatino Linotype" w:hAnsi="Palatino Linotype"/>
        </w:rPr>
        <w:t>ó</w:t>
      </w:r>
      <w:r w:rsidRPr="00305D04">
        <w:rPr>
          <w:rFonts w:ascii="Palatino Linotype" w:hAnsi="Palatino Linotype"/>
        </w:rPr>
        <w:t xml:space="preserve"> un pronunciamiento especial, directo y específico por parte del </w:t>
      </w:r>
      <w:r w:rsidRPr="00305D04">
        <w:rPr>
          <w:rFonts w:ascii="Palatino Linotype" w:hAnsi="Palatino Linotype"/>
          <w:b/>
        </w:rPr>
        <w:t>SUJETO OBLIGADO</w:t>
      </w:r>
      <w:r w:rsidRPr="00305D04">
        <w:rPr>
          <w:rFonts w:ascii="Palatino Linotype" w:hAnsi="Palatino Linotype"/>
        </w:rPr>
        <w:t xml:space="preserve"> para </w:t>
      </w:r>
      <w:r>
        <w:rPr>
          <w:rFonts w:ascii="Palatino Linotype" w:hAnsi="Palatino Linotype"/>
        </w:rPr>
        <w:t>atender sus pretensiones; d</w:t>
      </w:r>
      <w:r w:rsidRPr="00305D04">
        <w:rPr>
          <w:rFonts w:ascii="Palatino Linotype" w:hAnsi="Palatino Linotype"/>
        </w:rPr>
        <w:t>e tal manera que</w:t>
      </w:r>
      <w:r>
        <w:rPr>
          <w:rFonts w:ascii="Palatino Linotype" w:hAnsi="Palatino Linotype"/>
        </w:rPr>
        <w:t>,</w:t>
      </w:r>
      <w:r w:rsidRPr="00305D04">
        <w:rPr>
          <w:rFonts w:ascii="Palatino Linotype" w:hAnsi="Palatino Linotype"/>
        </w:rPr>
        <w:t xml:space="preserve"> lo que </w:t>
      </w:r>
      <w:r>
        <w:rPr>
          <w:rFonts w:ascii="Palatino Linotype" w:hAnsi="Palatino Linotype"/>
        </w:rPr>
        <w:t>requirió</w:t>
      </w:r>
      <w:r w:rsidRPr="00305D04">
        <w:rPr>
          <w:rFonts w:ascii="Palatino Linotype" w:hAnsi="Palatino Linotype"/>
        </w:rPr>
        <w:t xml:space="preserve"> el particular resulta ser ajeno al derecho de acceso a la información pública, y en su lugar, como fuera señalado por </w:t>
      </w:r>
      <w:r w:rsidRPr="00AD4D94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 xml:space="preserve"> </w:t>
      </w:r>
      <w:r w:rsidRPr="00AD4D94">
        <w:rPr>
          <w:rFonts w:ascii="Palatino Linotype" w:hAnsi="Palatino Linotype"/>
        </w:rPr>
        <w:t>en respuesta</w:t>
      </w:r>
      <w:r w:rsidRPr="00305D04">
        <w:rPr>
          <w:rFonts w:ascii="Palatino Linotype" w:hAnsi="Palatino Linotype"/>
        </w:rPr>
        <w:t xml:space="preserve">, </w:t>
      </w:r>
      <w:r w:rsidRPr="00AD4D94">
        <w:rPr>
          <w:rFonts w:ascii="Palatino Linotype" w:hAnsi="Palatino Linotype"/>
          <w:b/>
        </w:rPr>
        <w:t>se encuentra ejerciendo su derecho de petición</w:t>
      </w:r>
      <w:r w:rsidRPr="00305D04">
        <w:rPr>
          <w:rFonts w:ascii="Palatino Linotype" w:hAnsi="Palatino Linotype"/>
        </w:rPr>
        <w:t>, el cual resulta ser, en esencia, un pla</w:t>
      </w:r>
      <w:r>
        <w:rPr>
          <w:rFonts w:ascii="Palatino Linotype" w:hAnsi="Palatino Linotype"/>
        </w:rPr>
        <w:t xml:space="preserve">nteamiento hecho a la autoridad, por lo que a criterio de la suscrita, con el pronunciamiento del sujeto obligado colmó parcialmente lo peticionado por el particular. </w:t>
      </w:r>
    </w:p>
    <w:p w14:paraId="0B7BD28F" w14:textId="77777777" w:rsidR="006A26BC" w:rsidRPr="00040231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ese sentido, la que suscribe emite </w:t>
      </w:r>
      <w:r w:rsidRPr="00C94710"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pues se insiste en que </w:t>
      </w:r>
      <w:r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, con su respuesta colmó parcialmente la solicitud de información requerida, esto ya que atendió lo solicitado en los numerales marcados como 2 y 3 de la solicitud, señalando que los </w:t>
      </w:r>
      <w:r w:rsidRPr="00040231">
        <w:rPr>
          <w:rFonts w:ascii="Palatino Linotype" w:hAnsi="Palatino Linotype"/>
        </w:rPr>
        <w:t xml:space="preserve">cuestionamientos formulados en su </w:t>
      </w:r>
      <w:r w:rsidRPr="00040231">
        <w:rPr>
          <w:rFonts w:ascii="Palatino Linotype" w:hAnsi="Palatino Linotype"/>
        </w:rPr>
        <w:lastRenderedPageBreak/>
        <w:t xml:space="preserve">solicitud de información no encuadraban en la materia del derecho de acceso a la información, sino que más bien se apreciaba como el ejercicio del derecho de petición, </w:t>
      </w:r>
      <w:r>
        <w:rPr>
          <w:rFonts w:ascii="Palatino Linotype" w:hAnsi="Palatino Linotype"/>
        </w:rPr>
        <w:t xml:space="preserve">razón por la que a criterio de la que suscribe, lo conducente era </w:t>
      </w:r>
      <w:r>
        <w:rPr>
          <w:rFonts w:ascii="Palatino Linotype" w:hAnsi="Palatino Linotype"/>
          <w:b/>
        </w:rPr>
        <w:t xml:space="preserve">MODIFICAR </w:t>
      </w:r>
      <w:r>
        <w:rPr>
          <w:rFonts w:ascii="Palatino Linotype" w:hAnsi="Palatino Linotype"/>
        </w:rPr>
        <w:t>la respuesta y ordenar la entrega de la información faltante, misma que fue referida con antelación.</w:t>
      </w:r>
    </w:p>
    <w:p w14:paraId="28497983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25C76DF5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6ED221E6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0E6B62DA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bookmarkStart w:id="0" w:name="_GoBack"/>
      <w:bookmarkEnd w:id="0"/>
    </w:p>
    <w:p w14:paraId="48BC070F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pPr w:leftFromText="141" w:rightFromText="141" w:vertAnchor="text" w:tblpXSpec="center" w:tblpY="1"/>
        <w:tblOverlap w:val="never"/>
        <w:tblW w:w="2777" w:type="dxa"/>
        <w:tblLayout w:type="fixed"/>
        <w:tblLook w:val="04A0" w:firstRow="1" w:lastRow="0" w:firstColumn="1" w:lastColumn="0" w:noHBand="0" w:noVBand="1"/>
      </w:tblPr>
      <w:tblGrid>
        <w:gridCol w:w="2777"/>
      </w:tblGrid>
      <w:tr w:rsidR="006A26BC" w:rsidRPr="007B291C" w14:paraId="26FBEDD7" w14:textId="77777777" w:rsidTr="00E40392">
        <w:trPr>
          <w:trHeight w:val="1443"/>
        </w:trPr>
        <w:tc>
          <w:tcPr>
            <w:tcW w:w="2777" w:type="dxa"/>
          </w:tcPr>
          <w:p w14:paraId="70679753" w14:textId="77777777" w:rsidR="006A26BC" w:rsidRPr="007B291C" w:rsidRDefault="006A26BC" w:rsidP="00E40392">
            <w:pPr>
              <w:jc w:val="center"/>
              <w:rPr>
                <w:rFonts w:ascii="Palatino Linotype" w:hAnsi="Palatino Linotype" w:cs="Arial"/>
                <w:b/>
              </w:rPr>
            </w:pPr>
            <w:r w:rsidRPr="007B291C">
              <w:rPr>
                <w:rFonts w:ascii="Palatino Linotype" w:hAnsi="Palatino Linotype" w:cs="Arial"/>
                <w:b/>
              </w:rPr>
              <w:t>EVA ABAID YAPUR</w:t>
            </w:r>
          </w:p>
          <w:p w14:paraId="77A2B114" w14:textId="77777777" w:rsidR="006A26BC" w:rsidRDefault="006A26BC" w:rsidP="00463EE1">
            <w:pPr>
              <w:jc w:val="center"/>
              <w:rPr>
                <w:rFonts w:ascii="Palatino Linotype" w:hAnsi="Palatino Linotype" w:cs="Arial"/>
                <w:b/>
              </w:rPr>
            </w:pPr>
            <w:r w:rsidRPr="007B291C">
              <w:rPr>
                <w:rFonts w:ascii="Palatino Linotype" w:hAnsi="Palatino Linotype" w:cs="Arial"/>
                <w:b/>
              </w:rPr>
              <w:t>COMISIONADA</w:t>
            </w:r>
          </w:p>
          <w:p w14:paraId="1B1F9DF8" w14:textId="3770432D" w:rsidR="00E53CC3" w:rsidRPr="007B291C" w:rsidRDefault="00E53CC3" w:rsidP="00463EE1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14:paraId="29E0142B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14727EE7" w14:textId="77777777" w:rsidR="006A26BC" w:rsidRPr="005D7FFE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077B3020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14:paraId="1BF1E4B0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14:paraId="6A79FB7C" w14:textId="77777777" w:rsidR="006A26BC" w:rsidRDefault="006A26BC" w:rsidP="006A26BC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14:paraId="3952B0F5" w14:textId="77777777" w:rsidR="00463EE1" w:rsidRDefault="00463EE1" w:rsidP="006A26B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</w:p>
    <w:p w14:paraId="64B1AAEC" w14:textId="77777777" w:rsidR="006A26BC" w:rsidRPr="00A51306" w:rsidRDefault="006A26BC" w:rsidP="006A26B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  <w:r w:rsidRPr="00A51306">
        <w:rPr>
          <w:rFonts w:ascii="Palatino Linotype" w:eastAsia="Calibri" w:hAnsi="Palatino Linotype" w:cs="Arial"/>
          <w:color w:val="000000" w:themeColor="text1"/>
          <w:sz w:val="20"/>
          <w:szCs w:val="18"/>
        </w:rPr>
        <w:t>Esta hoja corresponde al voto particular emitido en la resolución del recurso de revisión 06623/INFOEM/IP/RR/2019, aprobada el dieciséis de octubre de dos mil diecinueve.</w:t>
      </w:r>
    </w:p>
    <w:p w14:paraId="0EF708A3" w14:textId="77777777" w:rsidR="006A26BC" w:rsidRPr="00A51306" w:rsidRDefault="006A26BC" w:rsidP="006A26BC">
      <w:pPr>
        <w:jc w:val="both"/>
        <w:rPr>
          <w:rFonts w:ascii="Palatino Linotype" w:eastAsia="Calibri" w:hAnsi="Palatino Linotype" w:cs="Arial"/>
          <w:color w:val="000000" w:themeColor="text1"/>
          <w:sz w:val="10"/>
          <w:szCs w:val="8"/>
        </w:rPr>
      </w:pPr>
    </w:p>
    <w:p w14:paraId="7C3B3DB8" w14:textId="345B6951" w:rsidR="00F15420" w:rsidRPr="006A26BC" w:rsidRDefault="006A26BC" w:rsidP="00463EE1">
      <w:pPr>
        <w:jc w:val="both"/>
        <w:rPr>
          <w:rFonts w:eastAsia="Calibri"/>
        </w:rPr>
      </w:pPr>
      <w:r w:rsidRPr="00A51306"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YSM/ATU/IAHA</w:t>
      </w:r>
    </w:p>
    <w:sectPr w:rsidR="00F15420" w:rsidRPr="006A26BC" w:rsidSect="00AF338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573BB" w14:textId="77777777" w:rsidR="004B7F7B" w:rsidRDefault="004B7F7B" w:rsidP="00C80F8C">
      <w:r>
        <w:separator/>
      </w:r>
    </w:p>
  </w:endnote>
  <w:endnote w:type="continuationSeparator" w:id="0">
    <w:p w14:paraId="728096E9" w14:textId="77777777" w:rsidR="004B7F7B" w:rsidRDefault="004B7F7B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5DB74" w14:textId="77777777"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DF0DE50" w14:textId="77777777" w:rsidR="0087455A" w:rsidRDefault="0087455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5C8D6F7D" w14:textId="77777777"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8FAF2BD" w14:textId="77777777" w:rsidR="008A03F8" w:rsidRDefault="008A03F8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0E3F1ED2" w14:textId="77777777" w:rsidR="008A03F8" w:rsidRPr="00F12350" w:rsidRDefault="008A03F8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53CC3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53CC3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268E0FD2" w14:textId="77777777" w:rsidR="008A03F8" w:rsidRDefault="008A03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677AB" w14:textId="77777777" w:rsidR="004B7F7B" w:rsidRDefault="004B7F7B" w:rsidP="00C80F8C">
      <w:r>
        <w:separator/>
      </w:r>
    </w:p>
  </w:footnote>
  <w:footnote w:type="continuationSeparator" w:id="0">
    <w:p w14:paraId="62BD1C89" w14:textId="77777777" w:rsidR="004B7F7B" w:rsidRDefault="004B7F7B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1D3FD" w14:textId="77777777" w:rsidR="008A03F8" w:rsidRDefault="00E53CC3">
    <w:pPr>
      <w:pStyle w:val="Encabezado"/>
    </w:pPr>
    <w:r>
      <w:rPr>
        <w:noProof/>
      </w:rPr>
      <w:pict w14:anchorId="60C38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8A66A" w14:textId="190028B2" w:rsidR="008A03F8" w:rsidRDefault="008A03F8" w:rsidP="00B85432">
    <w:pPr>
      <w:pStyle w:val="Encabezado"/>
      <w:tabs>
        <w:tab w:val="clear" w:pos="4252"/>
        <w:tab w:val="clear" w:pos="8504"/>
        <w:tab w:val="left" w:pos="2326"/>
      </w:tabs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8DA805F" wp14:editId="017B8E7D">
          <wp:simplePos x="0" y="0"/>
          <wp:positionH relativeFrom="column">
            <wp:posOffset>-660400</wp:posOffset>
          </wp:positionH>
          <wp:positionV relativeFrom="paragraph">
            <wp:posOffset>-328930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5D4EB8D" w14:textId="77777777" w:rsidR="008A03F8" w:rsidRDefault="008A03F8" w:rsidP="00F7009C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</w:p>
  <w:p w14:paraId="145D5F29" w14:textId="77777777" w:rsidR="008A03F8" w:rsidRDefault="008A03F8" w:rsidP="00F7009C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</w:p>
  <w:p w14:paraId="5D1860B0" w14:textId="77777777" w:rsidR="00B85432" w:rsidRDefault="00B85432" w:rsidP="00F7009C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B85432">
      <w:rPr>
        <w:rFonts w:ascii="Palatino Linotype" w:hAnsi="Palatino Linotype" w:cs="Arial"/>
        <w:sz w:val="20"/>
        <w:szCs w:val="20"/>
      </w:rPr>
      <w:t>VOTO PARTICULAR</w:t>
    </w:r>
  </w:p>
  <w:p w14:paraId="0B423401" w14:textId="6284F6B1" w:rsidR="00B85432" w:rsidRPr="00F8583B" w:rsidRDefault="00B85432" w:rsidP="00F8583B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C70E2B">
      <w:rPr>
        <w:rFonts w:ascii="Palatino Linotype" w:hAnsi="Palatino Linotype" w:cs="Arial"/>
        <w:sz w:val="20"/>
        <w:szCs w:val="20"/>
      </w:rPr>
      <w:t>066</w:t>
    </w:r>
    <w:r w:rsidR="00546978">
      <w:rPr>
        <w:rFonts w:ascii="Palatino Linotype" w:hAnsi="Palatino Linotype" w:cs="Arial"/>
        <w:sz w:val="20"/>
        <w:szCs w:val="20"/>
      </w:rPr>
      <w:t>23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F8583B">
      <w:rPr>
        <w:rFonts w:ascii="Palatino Linotype" w:hAnsi="Palatino Linotype" w:cs="Arial"/>
        <w:sz w:val="20"/>
        <w:szCs w:val="20"/>
      </w:rPr>
      <w:t>9</w:t>
    </w:r>
  </w:p>
  <w:p w14:paraId="05D1CBB4" w14:textId="3625EA2A" w:rsidR="0087455A" w:rsidRDefault="00E53CC3" w:rsidP="00B8543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7C15F9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83.5pt;margin-top:233.05pt;width:656.5pt;height:93.55pt;rotation:315;z-index:-251652096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3729B" w14:textId="77777777" w:rsidR="008A03F8" w:rsidRDefault="00E53CC3">
    <w:pPr>
      <w:pStyle w:val="Encabezado"/>
    </w:pPr>
    <w:r>
      <w:rPr>
        <w:noProof/>
      </w:rPr>
      <w:pict w14:anchorId="72229D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522"/>
    <w:multiLevelType w:val="hybridMultilevel"/>
    <w:tmpl w:val="D9A2A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4826"/>
    <w:multiLevelType w:val="hybridMultilevel"/>
    <w:tmpl w:val="F5A8CA4A"/>
    <w:lvl w:ilvl="0" w:tplc="3BCC83B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54"/>
    <w:multiLevelType w:val="hybridMultilevel"/>
    <w:tmpl w:val="52748F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462E0"/>
    <w:multiLevelType w:val="hybridMultilevel"/>
    <w:tmpl w:val="D1986A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41B70"/>
    <w:multiLevelType w:val="hybridMultilevel"/>
    <w:tmpl w:val="05B43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FA2545"/>
    <w:multiLevelType w:val="hybridMultilevel"/>
    <w:tmpl w:val="E97E4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C4517"/>
    <w:multiLevelType w:val="hybridMultilevel"/>
    <w:tmpl w:val="8E72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080CCF"/>
    <w:multiLevelType w:val="hybridMultilevel"/>
    <w:tmpl w:val="1018C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D927AA"/>
    <w:multiLevelType w:val="hybridMultilevel"/>
    <w:tmpl w:val="C80CEAB6"/>
    <w:lvl w:ilvl="0" w:tplc="9F7AB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025274"/>
    <w:multiLevelType w:val="hybridMultilevel"/>
    <w:tmpl w:val="F3468B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964AD"/>
    <w:multiLevelType w:val="hybridMultilevel"/>
    <w:tmpl w:val="7C5C51F0"/>
    <w:lvl w:ilvl="0" w:tplc="F5B246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57F9F"/>
    <w:multiLevelType w:val="hybridMultilevel"/>
    <w:tmpl w:val="BAD8989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695495"/>
    <w:multiLevelType w:val="hybridMultilevel"/>
    <w:tmpl w:val="93F801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16"/>
  </w:num>
  <w:num w:numId="6">
    <w:abstractNumId w:val="13"/>
  </w:num>
  <w:num w:numId="7">
    <w:abstractNumId w:val="19"/>
  </w:num>
  <w:num w:numId="8">
    <w:abstractNumId w:val="11"/>
  </w:num>
  <w:num w:numId="9">
    <w:abstractNumId w:val="14"/>
  </w:num>
  <w:num w:numId="10">
    <w:abstractNumId w:val="3"/>
  </w:num>
  <w:num w:numId="11">
    <w:abstractNumId w:val="15"/>
  </w:num>
  <w:num w:numId="12">
    <w:abstractNumId w:val="10"/>
  </w:num>
  <w:num w:numId="13">
    <w:abstractNumId w:val="17"/>
  </w:num>
  <w:num w:numId="14">
    <w:abstractNumId w:val="7"/>
  </w:num>
  <w:num w:numId="15">
    <w:abstractNumId w:val="18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412FB"/>
    <w:rsid w:val="00055107"/>
    <w:rsid w:val="0006079D"/>
    <w:rsid w:val="000609D5"/>
    <w:rsid w:val="00060C81"/>
    <w:rsid w:val="0007653D"/>
    <w:rsid w:val="00082101"/>
    <w:rsid w:val="0008542A"/>
    <w:rsid w:val="0008745A"/>
    <w:rsid w:val="00092678"/>
    <w:rsid w:val="00095B30"/>
    <w:rsid w:val="000A307E"/>
    <w:rsid w:val="000B3FFD"/>
    <w:rsid w:val="000C1A85"/>
    <w:rsid w:val="000C2CF9"/>
    <w:rsid w:val="000C4453"/>
    <w:rsid w:val="000D136C"/>
    <w:rsid w:val="000D66DE"/>
    <w:rsid w:val="000E2B1A"/>
    <w:rsid w:val="000E4C17"/>
    <w:rsid w:val="00102EEC"/>
    <w:rsid w:val="0010583C"/>
    <w:rsid w:val="001059D0"/>
    <w:rsid w:val="00111722"/>
    <w:rsid w:val="00117749"/>
    <w:rsid w:val="001215FC"/>
    <w:rsid w:val="00123644"/>
    <w:rsid w:val="00136F2D"/>
    <w:rsid w:val="0013735C"/>
    <w:rsid w:val="00140058"/>
    <w:rsid w:val="0015604F"/>
    <w:rsid w:val="00161C25"/>
    <w:rsid w:val="001749F7"/>
    <w:rsid w:val="00175DEE"/>
    <w:rsid w:val="00187FFD"/>
    <w:rsid w:val="001950C9"/>
    <w:rsid w:val="001A5699"/>
    <w:rsid w:val="001B28D2"/>
    <w:rsid w:val="001D3F57"/>
    <w:rsid w:val="001E2C98"/>
    <w:rsid w:val="001E757E"/>
    <w:rsid w:val="001E763C"/>
    <w:rsid w:val="00205FB4"/>
    <w:rsid w:val="00220AB6"/>
    <w:rsid w:val="00224957"/>
    <w:rsid w:val="002314AA"/>
    <w:rsid w:val="00234022"/>
    <w:rsid w:val="0023504D"/>
    <w:rsid w:val="00237A37"/>
    <w:rsid w:val="0024119C"/>
    <w:rsid w:val="0025202C"/>
    <w:rsid w:val="002562CC"/>
    <w:rsid w:val="00260589"/>
    <w:rsid w:val="00265F75"/>
    <w:rsid w:val="002940F8"/>
    <w:rsid w:val="002B0148"/>
    <w:rsid w:val="002B5E6F"/>
    <w:rsid w:val="002B7856"/>
    <w:rsid w:val="002D3BBD"/>
    <w:rsid w:val="002D4526"/>
    <w:rsid w:val="002D69E1"/>
    <w:rsid w:val="002E1E4C"/>
    <w:rsid w:val="002E5711"/>
    <w:rsid w:val="002F5CF7"/>
    <w:rsid w:val="0030072F"/>
    <w:rsid w:val="003031E1"/>
    <w:rsid w:val="003056D9"/>
    <w:rsid w:val="003102FA"/>
    <w:rsid w:val="003108DA"/>
    <w:rsid w:val="003126B1"/>
    <w:rsid w:val="003169F5"/>
    <w:rsid w:val="0033370B"/>
    <w:rsid w:val="0034309A"/>
    <w:rsid w:val="00351129"/>
    <w:rsid w:val="00352705"/>
    <w:rsid w:val="00370CB6"/>
    <w:rsid w:val="0037321B"/>
    <w:rsid w:val="003A6F70"/>
    <w:rsid w:val="003B03E0"/>
    <w:rsid w:val="003C23BE"/>
    <w:rsid w:val="003C28FC"/>
    <w:rsid w:val="003C2D10"/>
    <w:rsid w:val="003C7226"/>
    <w:rsid w:val="003D1C14"/>
    <w:rsid w:val="003D3414"/>
    <w:rsid w:val="003E7C23"/>
    <w:rsid w:val="003F0C49"/>
    <w:rsid w:val="003F4140"/>
    <w:rsid w:val="003F4C9C"/>
    <w:rsid w:val="003F6A8D"/>
    <w:rsid w:val="0040475C"/>
    <w:rsid w:val="00406EB0"/>
    <w:rsid w:val="00410D1F"/>
    <w:rsid w:val="0041327F"/>
    <w:rsid w:val="00414E48"/>
    <w:rsid w:val="00414E7B"/>
    <w:rsid w:val="004179B7"/>
    <w:rsid w:val="004221D4"/>
    <w:rsid w:val="004255B8"/>
    <w:rsid w:val="004315BB"/>
    <w:rsid w:val="00435F66"/>
    <w:rsid w:val="0044271B"/>
    <w:rsid w:val="00443646"/>
    <w:rsid w:val="0044475B"/>
    <w:rsid w:val="00455CB3"/>
    <w:rsid w:val="00460257"/>
    <w:rsid w:val="00463208"/>
    <w:rsid w:val="00463EE1"/>
    <w:rsid w:val="004661D2"/>
    <w:rsid w:val="004776FF"/>
    <w:rsid w:val="00493D28"/>
    <w:rsid w:val="004A1AA1"/>
    <w:rsid w:val="004B7325"/>
    <w:rsid w:val="004B7F7B"/>
    <w:rsid w:val="004C40EA"/>
    <w:rsid w:val="004C64D9"/>
    <w:rsid w:val="004D0A26"/>
    <w:rsid w:val="004E02CE"/>
    <w:rsid w:val="004E729A"/>
    <w:rsid w:val="004F0BA3"/>
    <w:rsid w:val="004F206F"/>
    <w:rsid w:val="004F56F1"/>
    <w:rsid w:val="00500FFD"/>
    <w:rsid w:val="00516914"/>
    <w:rsid w:val="00522F6A"/>
    <w:rsid w:val="005236B6"/>
    <w:rsid w:val="005318AB"/>
    <w:rsid w:val="005321E3"/>
    <w:rsid w:val="00532CA2"/>
    <w:rsid w:val="005431DB"/>
    <w:rsid w:val="00546978"/>
    <w:rsid w:val="00551E45"/>
    <w:rsid w:val="00552317"/>
    <w:rsid w:val="0055590B"/>
    <w:rsid w:val="00562649"/>
    <w:rsid w:val="00575235"/>
    <w:rsid w:val="0058067E"/>
    <w:rsid w:val="0058639E"/>
    <w:rsid w:val="005870DF"/>
    <w:rsid w:val="0058776D"/>
    <w:rsid w:val="00592A18"/>
    <w:rsid w:val="005B773B"/>
    <w:rsid w:val="005C66D4"/>
    <w:rsid w:val="005D14C4"/>
    <w:rsid w:val="005D1946"/>
    <w:rsid w:val="005E093F"/>
    <w:rsid w:val="00612544"/>
    <w:rsid w:val="0061616C"/>
    <w:rsid w:val="00622C6C"/>
    <w:rsid w:val="006301B2"/>
    <w:rsid w:val="006338F2"/>
    <w:rsid w:val="00634485"/>
    <w:rsid w:val="0063673D"/>
    <w:rsid w:val="00645B0C"/>
    <w:rsid w:val="00646A97"/>
    <w:rsid w:val="00663A16"/>
    <w:rsid w:val="00672211"/>
    <w:rsid w:val="00680208"/>
    <w:rsid w:val="00680764"/>
    <w:rsid w:val="006824EF"/>
    <w:rsid w:val="00683A81"/>
    <w:rsid w:val="00684492"/>
    <w:rsid w:val="006914AA"/>
    <w:rsid w:val="00694EB3"/>
    <w:rsid w:val="00695DA7"/>
    <w:rsid w:val="006967D4"/>
    <w:rsid w:val="006A164B"/>
    <w:rsid w:val="006A26BC"/>
    <w:rsid w:val="006A496D"/>
    <w:rsid w:val="006B59E1"/>
    <w:rsid w:val="006C0991"/>
    <w:rsid w:val="006D21B1"/>
    <w:rsid w:val="006D6457"/>
    <w:rsid w:val="006E6389"/>
    <w:rsid w:val="006F30F8"/>
    <w:rsid w:val="006F62CE"/>
    <w:rsid w:val="0071182B"/>
    <w:rsid w:val="00712BC2"/>
    <w:rsid w:val="0071346B"/>
    <w:rsid w:val="007216EA"/>
    <w:rsid w:val="00721966"/>
    <w:rsid w:val="00723D18"/>
    <w:rsid w:val="00724599"/>
    <w:rsid w:val="0072757B"/>
    <w:rsid w:val="00736C06"/>
    <w:rsid w:val="007416E3"/>
    <w:rsid w:val="00742010"/>
    <w:rsid w:val="00744D22"/>
    <w:rsid w:val="00772360"/>
    <w:rsid w:val="007747E6"/>
    <w:rsid w:val="0078087A"/>
    <w:rsid w:val="00792F7F"/>
    <w:rsid w:val="007957C4"/>
    <w:rsid w:val="007A4AB6"/>
    <w:rsid w:val="007B291C"/>
    <w:rsid w:val="007B2ACC"/>
    <w:rsid w:val="007B52C8"/>
    <w:rsid w:val="007B6E55"/>
    <w:rsid w:val="007C0FDA"/>
    <w:rsid w:val="007C3C0E"/>
    <w:rsid w:val="007C4E7D"/>
    <w:rsid w:val="007D0FEE"/>
    <w:rsid w:val="0081298B"/>
    <w:rsid w:val="008217CD"/>
    <w:rsid w:val="00827787"/>
    <w:rsid w:val="00832B51"/>
    <w:rsid w:val="00835ADD"/>
    <w:rsid w:val="00837174"/>
    <w:rsid w:val="00846A21"/>
    <w:rsid w:val="008556C3"/>
    <w:rsid w:val="008562AB"/>
    <w:rsid w:val="00870BFA"/>
    <w:rsid w:val="00873969"/>
    <w:rsid w:val="0087455A"/>
    <w:rsid w:val="00892AFC"/>
    <w:rsid w:val="0089676F"/>
    <w:rsid w:val="008A03F8"/>
    <w:rsid w:val="008B0D27"/>
    <w:rsid w:val="008B2A5B"/>
    <w:rsid w:val="008B7C6D"/>
    <w:rsid w:val="008C0700"/>
    <w:rsid w:val="008C0C70"/>
    <w:rsid w:val="008C17F2"/>
    <w:rsid w:val="008C5597"/>
    <w:rsid w:val="008D1526"/>
    <w:rsid w:val="008D4437"/>
    <w:rsid w:val="008D584A"/>
    <w:rsid w:val="008E1FCA"/>
    <w:rsid w:val="008E3D9C"/>
    <w:rsid w:val="009141A6"/>
    <w:rsid w:val="009161B0"/>
    <w:rsid w:val="00924E23"/>
    <w:rsid w:val="00926A92"/>
    <w:rsid w:val="0093343E"/>
    <w:rsid w:val="00941A9C"/>
    <w:rsid w:val="00953EC8"/>
    <w:rsid w:val="00955551"/>
    <w:rsid w:val="00957456"/>
    <w:rsid w:val="00966E59"/>
    <w:rsid w:val="00970252"/>
    <w:rsid w:val="00970839"/>
    <w:rsid w:val="00975AA3"/>
    <w:rsid w:val="00975EB9"/>
    <w:rsid w:val="0097629D"/>
    <w:rsid w:val="00976BAB"/>
    <w:rsid w:val="009773AF"/>
    <w:rsid w:val="00983759"/>
    <w:rsid w:val="00986740"/>
    <w:rsid w:val="009A1464"/>
    <w:rsid w:val="009A271C"/>
    <w:rsid w:val="009A67F5"/>
    <w:rsid w:val="009A706B"/>
    <w:rsid w:val="009B65F4"/>
    <w:rsid w:val="009C2F32"/>
    <w:rsid w:val="009C46BF"/>
    <w:rsid w:val="009C4EFA"/>
    <w:rsid w:val="009C73B7"/>
    <w:rsid w:val="009D0AB3"/>
    <w:rsid w:val="009D3292"/>
    <w:rsid w:val="009D63A9"/>
    <w:rsid w:val="009E40FB"/>
    <w:rsid w:val="009E5EDA"/>
    <w:rsid w:val="00A032F1"/>
    <w:rsid w:val="00A0442E"/>
    <w:rsid w:val="00A04C79"/>
    <w:rsid w:val="00A14B1D"/>
    <w:rsid w:val="00A35217"/>
    <w:rsid w:val="00A40057"/>
    <w:rsid w:val="00A4593D"/>
    <w:rsid w:val="00A52D06"/>
    <w:rsid w:val="00A53958"/>
    <w:rsid w:val="00A60D1E"/>
    <w:rsid w:val="00A62DC1"/>
    <w:rsid w:val="00A73612"/>
    <w:rsid w:val="00A81140"/>
    <w:rsid w:val="00A824CA"/>
    <w:rsid w:val="00A85A7B"/>
    <w:rsid w:val="00A87E8E"/>
    <w:rsid w:val="00A913AB"/>
    <w:rsid w:val="00AA31E0"/>
    <w:rsid w:val="00AA79A1"/>
    <w:rsid w:val="00AA7C1B"/>
    <w:rsid w:val="00AB21DA"/>
    <w:rsid w:val="00AC248E"/>
    <w:rsid w:val="00AC3F99"/>
    <w:rsid w:val="00AD0AF6"/>
    <w:rsid w:val="00AD13E4"/>
    <w:rsid w:val="00AD2624"/>
    <w:rsid w:val="00AD6AAD"/>
    <w:rsid w:val="00AE0CD2"/>
    <w:rsid w:val="00AE2B18"/>
    <w:rsid w:val="00AF0B38"/>
    <w:rsid w:val="00AF3382"/>
    <w:rsid w:val="00AF3F82"/>
    <w:rsid w:val="00B106EA"/>
    <w:rsid w:val="00B151A8"/>
    <w:rsid w:val="00B23FB2"/>
    <w:rsid w:val="00B27BE5"/>
    <w:rsid w:val="00B337A5"/>
    <w:rsid w:val="00B3561F"/>
    <w:rsid w:val="00B35A45"/>
    <w:rsid w:val="00B36D1D"/>
    <w:rsid w:val="00B4641E"/>
    <w:rsid w:val="00B46E78"/>
    <w:rsid w:val="00B5072E"/>
    <w:rsid w:val="00B53290"/>
    <w:rsid w:val="00B57FE6"/>
    <w:rsid w:val="00B611BF"/>
    <w:rsid w:val="00B64C77"/>
    <w:rsid w:val="00B650A8"/>
    <w:rsid w:val="00B77237"/>
    <w:rsid w:val="00B80485"/>
    <w:rsid w:val="00B85432"/>
    <w:rsid w:val="00B95BF7"/>
    <w:rsid w:val="00BC0341"/>
    <w:rsid w:val="00BC5D71"/>
    <w:rsid w:val="00BD4760"/>
    <w:rsid w:val="00BD7483"/>
    <w:rsid w:val="00BE2776"/>
    <w:rsid w:val="00C06D9C"/>
    <w:rsid w:val="00C0779E"/>
    <w:rsid w:val="00C1644D"/>
    <w:rsid w:val="00C16C5B"/>
    <w:rsid w:val="00C22B05"/>
    <w:rsid w:val="00C30621"/>
    <w:rsid w:val="00C307F0"/>
    <w:rsid w:val="00C360A2"/>
    <w:rsid w:val="00C4493E"/>
    <w:rsid w:val="00C70E2B"/>
    <w:rsid w:val="00C766EF"/>
    <w:rsid w:val="00C80F8C"/>
    <w:rsid w:val="00CA047D"/>
    <w:rsid w:val="00CB4015"/>
    <w:rsid w:val="00CC56EA"/>
    <w:rsid w:val="00CC5EAB"/>
    <w:rsid w:val="00CD13BC"/>
    <w:rsid w:val="00CF30E8"/>
    <w:rsid w:val="00D01B99"/>
    <w:rsid w:val="00D12B23"/>
    <w:rsid w:val="00D16EA1"/>
    <w:rsid w:val="00D22D87"/>
    <w:rsid w:val="00D26C0E"/>
    <w:rsid w:val="00D31EEF"/>
    <w:rsid w:val="00D34604"/>
    <w:rsid w:val="00D42804"/>
    <w:rsid w:val="00D45865"/>
    <w:rsid w:val="00D46C00"/>
    <w:rsid w:val="00D557C2"/>
    <w:rsid w:val="00D61026"/>
    <w:rsid w:val="00D64F32"/>
    <w:rsid w:val="00D66D4C"/>
    <w:rsid w:val="00D74C44"/>
    <w:rsid w:val="00D811E0"/>
    <w:rsid w:val="00D93CE4"/>
    <w:rsid w:val="00D95878"/>
    <w:rsid w:val="00DA157D"/>
    <w:rsid w:val="00DA4E7A"/>
    <w:rsid w:val="00DA5071"/>
    <w:rsid w:val="00DA5209"/>
    <w:rsid w:val="00DC223E"/>
    <w:rsid w:val="00DD6A6C"/>
    <w:rsid w:val="00DE6440"/>
    <w:rsid w:val="00DF015D"/>
    <w:rsid w:val="00DF733A"/>
    <w:rsid w:val="00E04840"/>
    <w:rsid w:val="00E10A96"/>
    <w:rsid w:val="00E141A5"/>
    <w:rsid w:val="00E146AA"/>
    <w:rsid w:val="00E15181"/>
    <w:rsid w:val="00E170E8"/>
    <w:rsid w:val="00E27A4A"/>
    <w:rsid w:val="00E27F2A"/>
    <w:rsid w:val="00E313C4"/>
    <w:rsid w:val="00E3480F"/>
    <w:rsid w:val="00E401F1"/>
    <w:rsid w:val="00E414B3"/>
    <w:rsid w:val="00E42755"/>
    <w:rsid w:val="00E43B8E"/>
    <w:rsid w:val="00E45B76"/>
    <w:rsid w:val="00E46383"/>
    <w:rsid w:val="00E50E30"/>
    <w:rsid w:val="00E53CC3"/>
    <w:rsid w:val="00E74EDE"/>
    <w:rsid w:val="00E76ECF"/>
    <w:rsid w:val="00E77EA8"/>
    <w:rsid w:val="00E8209A"/>
    <w:rsid w:val="00E91550"/>
    <w:rsid w:val="00E91A10"/>
    <w:rsid w:val="00EA27CB"/>
    <w:rsid w:val="00EA5EEB"/>
    <w:rsid w:val="00EA7874"/>
    <w:rsid w:val="00EB7480"/>
    <w:rsid w:val="00EB7DE6"/>
    <w:rsid w:val="00EB7F1A"/>
    <w:rsid w:val="00EC0002"/>
    <w:rsid w:val="00ED5EE9"/>
    <w:rsid w:val="00ED77C8"/>
    <w:rsid w:val="00EF79A6"/>
    <w:rsid w:val="00EF7F7A"/>
    <w:rsid w:val="00F00A8E"/>
    <w:rsid w:val="00F01984"/>
    <w:rsid w:val="00F01E1B"/>
    <w:rsid w:val="00F05BE0"/>
    <w:rsid w:val="00F06505"/>
    <w:rsid w:val="00F069BC"/>
    <w:rsid w:val="00F15420"/>
    <w:rsid w:val="00F1579C"/>
    <w:rsid w:val="00F2752A"/>
    <w:rsid w:val="00F36CDE"/>
    <w:rsid w:val="00F44E84"/>
    <w:rsid w:val="00F45BF1"/>
    <w:rsid w:val="00F50313"/>
    <w:rsid w:val="00F5073D"/>
    <w:rsid w:val="00F548A9"/>
    <w:rsid w:val="00F54D8B"/>
    <w:rsid w:val="00F57D55"/>
    <w:rsid w:val="00F67F8E"/>
    <w:rsid w:val="00F7009C"/>
    <w:rsid w:val="00F75801"/>
    <w:rsid w:val="00F84DB8"/>
    <w:rsid w:val="00F8583B"/>
    <w:rsid w:val="00F92AF0"/>
    <w:rsid w:val="00F92F15"/>
    <w:rsid w:val="00F9624E"/>
    <w:rsid w:val="00FA05FB"/>
    <w:rsid w:val="00FA6221"/>
    <w:rsid w:val="00FB48D6"/>
    <w:rsid w:val="00FD048A"/>
    <w:rsid w:val="00FE6B43"/>
    <w:rsid w:val="00FE72F4"/>
    <w:rsid w:val="00FE7408"/>
    <w:rsid w:val="00FF039F"/>
    <w:rsid w:val="00FF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BA9A97"/>
  <w15:docId w15:val="{9634DDB0-D30B-41FA-A807-297C001B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1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  <w:style w:type="character" w:styleId="Refdecomentario">
    <w:name w:val="annotation reference"/>
    <w:basedOn w:val="Fuentedeprrafopredeter"/>
    <w:uiPriority w:val="99"/>
    <w:semiHidden/>
    <w:unhideWhenUsed/>
    <w:rsid w:val="006914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14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14AA"/>
    <w:rPr>
      <w:rFonts w:ascii="Times New Roman" w:eastAsia="Times New Roman" w:hAnsi="Times New Roman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14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14AA"/>
    <w:rPr>
      <w:rFonts w:ascii="Times New Roman" w:eastAsia="Times New Roman" w:hAnsi="Times New Roman" w:cs="Times New Roman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7382B-5E48-4EAD-A3D1-9B12DA7A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1045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Itze Hdz.</cp:lastModifiedBy>
  <cp:revision>6</cp:revision>
  <cp:lastPrinted>2019-10-18T20:01:00Z</cp:lastPrinted>
  <dcterms:created xsi:type="dcterms:W3CDTF">2019-10-22T23:31:00Z</dcterms:created>
  <dcterms:modified xsi:type="dcterms:W3CDTF">2019-10-25T18:53:00Z</dcterms:modified>
</cp:coreProperties>
</file>