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B7B" w:rsidRPr="00E42755" w:rsidRDefault="003C7B7B" w:rsidP="003C7B7B">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DÉCIMA </w:t>
      </w:r>
      <w:r w:rsidR="00FF5E95">
        <w:rPr>
          <w:rFonts w:ascii="Palatino Linotype" w:hAnsi="Palatino Linotype" w:cs="Arial"/>
          <w:b/>
        </w:rPr>
        <w:t>NOVENA</w:t>
      </w:r>
      <w:r>
        <w:rPr>
          <w:rFonts w:ascii="Palatino Linotype" w:hAnsi="Palatino Linotype" w:cs="Arial"/>
          <w:b/>
        </w:rPr>
        <w:t xml:space="preserve"> </w:t>
      </w:r>
      <w:r w:rsidRPr="0007653D">
        <w:rPr>
          <w:rFonts w:ascii="Palatino Linotype" w:hAnsi="Palatino Linotype" w:cs="Arial"/>
          <w:b/>
        </w:rPr>
        <w:t xml:space="preserve">SESIÓN ORDINARIA DE </w:t>
      </w:r>
      <w:r w:rsidR="00FF5E95">
        <w:rPr>
          <w:rFonts w:ascii="Palatino Linotype" w:hAnsi="Palatino Linotype" w:cs="Arial"/>
          <w:b/>
        </w:rPr>
        <w:t xml:space="preserve">VEINTIDÓS </w:t>
      </w:r>
      <w:r w:rsidR="00CA38A0">
        <w:rPr>
          <w:rFonts w:ascii="Palatino Linotype" w:hAnsi="Palatino Linotype" w:cs="Arial"/>
          <w:b/>
        </w:rPr>
        <w:t>DE MAY</w:t>
      </w:r>
      <w:r>
        <w:rPr>
          <w:rFonts w:ascii="Palatino Linotype" w:hAnsi="Palatino Linotype" w:cs="Arial"/>
          <w:b/>
        </w:rPr>
        <w:t>O DE DOS MIL DIECINUEVE</w:t>
      </w:r>
      <w:r w:rsidRPr="0007653D">
        <w:rPr>
          <w:rFonts w:ascii="Palatino Linotype" w:hAnsi="Palatino Linotype" w:cs="Arial"/>
          <w:b/>
        </w:rPr>
        <w:t xml:space="preserve">, EN </w:t>
      </w:r>
      <w:r>
        <w:rPr>
          <w:rFonts w:ascii="Palatino Linotype" w:hAnsi="Palatino Linotype" w:cs="Arial"/>
          <w:b/>
        </w:rPr>
        <w:t>L</w:t>
      </w:r>
      <w:r w:rsidR="00FF5E95">
        <w:rPr>
          <w:rFonts w:ascii="Palatino Linotype" w:hAnsi="Palatino Linotype" w:cs="Arial"/>
          <w:b/>
        </w:rPr>
        <w:t>OS</w:t>
      </w:r>
      <w:r>
        <w:rPr>
          <w:rFonts w:ascii="Palatino Linotype" w:hAnsi="Palatino Linotype" w:cs="Arial"/>
          <w:b/>
        </w:rPr>
        <w:t xml:space="preserve"> </w:t>
      </w:r>
      <w:r w:rsidRPr="0007653D">
        <w:rPr>
          <w:rFonts w:ascii="Palatino Linotype" w:hAnsi="Palatino Linotype" w:cs="Arial"/>
          <w:b/>
        </w:rPr>
        <w:t>RECURSO</w:t>
      </w:r>
      <w:r w:rsidR="00FF5E95">
        <w:rPr>
          <w:rFonts w:ascii="Palatino Linotype" w:hAnsi="Palatino Linotype" w:cs="Arial"/>
          <w:b/>
        </w:rPr>
        <w:t>S</w:t>
      </w:r>
      <w:r w:rsidRPr="0007653D">
        <w:rPr>
          <w:rFonts w:ascii="Palatino Linotype" w:hAnsi="Palatino Linotype" w:cs="Arial"/>
          <w:b/>
        </w:rPr>
        <w:t xml:space="preserve"> DE REVISIÓN </w:t>
      </w:r>
      <w:r w:rsidR="00FF5E95" w:rsidRPr="00C038C4">
        <w:rPr>
          <w:rFonts w:ascii="Palatino Linotype" w:hAnsi="Palatino Linotype" w:cs="Arial"/>
          <w:b/>
          <w:bCs/>
        </w:rPr>
        <w:t>01376</w:t>
      </w:r>
      <w:r w:rsidRPr="00C038C4">
        <w:rPr>
          <w:rFonts w:ascii="Palatino Linotype" w:hAnsi="Palatino Linotype" w:cs="Arial"/>
          <w:b/>
          <w:bCs/>
        </w:rPr>
        <w:t>/INFOEM/IP/RR/2019</w:t>
      </w:r>
      <w:r w:rsidR="00FF5E95" w:rsidRPr="00C038C4">
        <w:rPr>
          <w:rFonts w:ascii="Palatino Linotype" w:hAnsi="Palatino Linotype" w:cs="Arial"/>
          <w:b/>
          <w:bCs/>
        </w:rPr>
        <w:t xml:space="preserve"> Y 01377/INFOEM/IP/RR/2019 ACUMULADO</w:t>
      </w:r>
      <w:r w:rsidRPr="00C038C4">
        <w:rPr>
          <w:rFonts w:ascii="Palatino Linotype" w:eastAsia="Calibri" w:hAnsi="Palatino Linotype" w:cs="Arial"/>
          <w:b/>
          <w:color w:val="000000"/>
        </w:rPr>
        <w:t>.</w:t>
      </w:r>
    </w:p>
    <w:p w:rsidR="003C7B7B" w:rsidRPr="00E42755" w:rsidRDefault="003C7B7B" w:rsidP="003C7B7B">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FF5E95">
        <w:rPr>
          <w:rFonts w:ascii="Palatino Linotype" w:hAnsi="Palatino Linotype" w:cs="Arial"/>
        </w:rPr>
        <w:t>o de la resolución dictada en los</w:t>
      </w:r>
      <w:r>
        <w:rPr>
          <w:rFonts w:ascii="Palatino Linotype" w:hAnsi="Palatino Linotype" w:cs="Arial"/>
        </w:rPr>
        <w:t xml:space="preserve"> </w:t>
      </w:r>
      <w:r w:rsidRPr="00E42755">
        <w:rPr>
          <w:rFonts w:ascii="Palatino Linotype" w:hAnsi="Palatino Linotype" w:cs="Arial"/>
        </w:rPr>
        <w:t>recurso</w:t>
      </w:r>
      <w:r w:rsidR="00FF5E95">
        <w:rPr>
          <w:rFonts w:ascii="Palatino Linotype" w:hAnsi="Palatino Linotype" w:cs="Arial"/>
        </w:rPr>
        <w:t>s</w:t>
      </w:r>
      <w:r w:rsidRPr="00E42755">
        <w:rPr>
          <w:rFonts w:ascii="Palatino Linotype" w:hAnsi="Palatino Linotype" w:cs="Arial"/>
        </w:rPr>
        <w:t xml:space="preserve"> de revisión</w:t>
      </w:r>
      <w:r>
        <w:rPr>
          <w:rFonts w:ascii="Palatino Linotype" w:hAnsi="Palatino Linotype" w:cs="Arial"/>
        </w:rPr>
        <w:t xml:space="preserve"> </w:t>
      </w:r>
      <w:r w:rsidR="00FF5E95" w:rsidRPr="00FF5E95">
        <w:rPr>
          <w:rFonts w:ascii="Palatino Linotype" w:hAnsi="Palatino Linotype" w:cs="Arial"/>
          <w:b/>
          <w:bCs/>
          <w:sz w:val="23"/>
          <w:szCs w:val="23"/>
        </w:rPr>
        <w:t xml:space="preserve">01376/INFOEM/IP/RR/2019 </w:t>
      </w:r>
      <w:r w:rsidR="00FF5E95" w:rsidRPr="00FF5E95">
        <w:rPr>
          <w:rFonts w:ascii="Palatino Linotype" w:hAnsi="Palatino Linotype" w:cs="Arial"/>
          <w:bCs/>
          <w:sz w:val="23"/>
          <w:szCs w:val="23"/>
        </w:rPr>
        <w:t>y</w:t>
      </w:r>
      <w:r w:rsidR="00FF5E95" w:rsidRPr="00FF5E95">
        <w:rPr>
          <w:rFonts w:ascii="Palatino Linotype" w:hAnsi="Palatino Linotype" w:cs="Arial"/>
          <w:b/>
          <w:bCs/>
          <w:sz w:val="23"/>
          <w:szCs w:val="23"/>
        </w:rPr>
        <w:t xml:space="preserve"> 01377/INFOEM/IP/RR/2019 </w:t>
      </w:r>
      <w:r w:rsidR="00FF5E95">
        <w:rPr>
          <w:rFonts w:ascii="Palatino Linotype" w:hAnsi="Palatino Linotype" w:cs="Arial"/>
          <w:bCs/>
          <w:sz w:val="23"/>
          <w:szCs w:val="23"/>
        </w:rPr>
        <w:t>acumulado,</w:t>
      </w:r>
      <w:r w:rsidRPr="00E42755">
        <w:rPr>
          <w:rFonts w:ascii="Palatino Linotype" w:hAnsi="Palatino Linotype" w:cs="Arial"/>
        </w:rPr>
        <w:t xml:space="preserve"> pronunciada por el Pleno de este Instituto ante el proyecto presentado por </w:t>
      </w:r>
      <w:proofErr w:type="spellStart"/>
      <w:r w:rsidR="00FF5E95">
        <w:rPr>
          <w:rFonts w:ascii="Palatino Linotype" w:hAnsi="Palatino Linotype" w:cs="Arial"/>
        </w:rPr>
        <w:t>Returno</w:t>
      </w:r>
      <w:proofErr w:type="spellEnd"/>
      <w:r w:rsidR="00FF5E95">
        <w:rPr>
          <w:rFonts w:ascii="Palatino Linotype" w:hAnsi="Palatino Linotype" w:cs="Arial"/>
        </w:rPr>
        <w:t xml:space="preserve"> de la </w:t>
      </w:r>
      <w:r w:rsidRPr="00E42755">
        <w:rPr>
          <w:rFonts w:ascii="Palatino Linotype" w:hAnsi="Palatino Linotype" w:cs="Arial"/>
        </w:rPr>
        <w:t>Comisionad</w:t>
      </w:r>
      <w:r w:rsidR="00FF5E95">
        <w:rPr>
          <w:rFonts w:ascii="Palatino Linotype" w:hAnsi="Palatino Linotype" w:cs="Arial"/>
        </w:rPr>
        <w:t>a Presidenta</w:t>
      </w:r>
      <w:r>
        <w:rPr>
          <w:rFonts w:ascii="Palatino Linotype" w:hAnsi="Palatino Linotype" w:cs="Arial"/>
        </w:rPr>
        <w:t xml:space="preserve"> </w:t>
      </w:r>
      <w:r w:rsidR="00FF5E95">
        <w:rPr>
          <w:rFonts w:ascii="Palatino Linotype" w:hAnsi="Palatino Linotype" w:cs="Arial"/>
          <w:b/>
        </w:rPr>
        <w:t>ZULEMA MARTÍNEZ SÁNCHEZ</w:t>
      </w:r>
      <w:r w:rsidRPr="0007653D">
        <w:rPr>
          <w:rFonts w:ascii="Palatino Linotype" w:hAnsi="Palatino Linotype" w:cs="Arial"/>
        </w:rPr>
        <w:t xml:space="preserve">, </w:t>
      </w:r>
      <w:r>
        <w:rPr>
          <w:rFonts w:ascii="Palatino Linotype" w:hAnsi="Palatino Linotype" w:cs="Arial"/>
        </w:rPr>
        <w:t xml:space="preserve">que es del tenor </w:t>
      </w:r>
      <w:proofErr w:type="gramStart"/>
      <w:r>
        <w:rPr>
          <w:rFonts w:ascii="Palatino Linotype" w:hAnsi="Palatino Linotype" w:cs="Arial"/>
        </w:rPr>
        <w:t>siguiente</w:t>
      </w:r>
      <w:proofErr w:type="gramEnd"/>
      <w:r>
        <w:rPr>
          <w:rFonts w:ascii="Palatino Linotype" w:hAnsi="Palatino Linotype" w:cs="Arial"/>
        </w:rPr>
        <w:t>.</w:t>
      </w:r>
    </w:p>
    <w:p w:rsidR="003C7B7B" w:rsidRDefault="003C7B7B" w:rsidP="003C7B7B">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el sentido de la resolución de</w:t>
      </w:r>
      <w:r w:rsidR="00FF5E95">
        <w:rPr>
          <w:rFonts w:ascii="Palatino Linotype" w:hAnsi="Palatino Linotype"/>
        </w:rPr>
        <w:t xml:space="preserve"> </w:t>
      </w:r>
      <w:r>
        <w:rPr>
          <w:rFonts w:ascii="Palatino Linotype" w:hAnsi="Palatino Linotype"/>
        </w:rPr>
        <w:t>l</w:t>
      </w:r>
      <w:r w:rsidR="00FF5E95">
        <w:rPr>
          <w:rFonts w:ascii="Palatino Linotype" w:hAnsi="Palatino Linotype"/>
        </w:rPr>
        <w:t>os</w:t>
      </w:r>
      <w:r>
        <w:rPr>
          <w:rFonts w:ascii="Palatino Linotype" w:hAnsi="Palatino Linotype"/>
        </w:rPr>
        <w:t xml:space="preserve"> </w:t>
      </w:r>
      <w:r w:rsidRPr="00D93A88">
        <w:rPr>
          <w:rFonts w:ascii="Palatino Linotype" w:hAnsi="Palatino Linotype"/>
        </w:rPr>
        <w:t>recurso</w:t>
      </w:r>
      <w:r w:rsidR="00FF5E95">
        <w:rPr>
          <w:rFonts w:ascii="Palatino Linotype" w:hAnsi="Palatino Linotype"/>
        </w:rPr>
        <w:t>s</w:t>
      </w:r>
      <w:r w:rsidRPr="00D93A88">
        <w:rPr>
          <w:rFonts w:ascii="Palatino Linotype" w:hAnsi="Palatino Linotype"/>
        </w:rPr>
        <w:t xml:space="preserve"> de revis</w:t>
      </w:r>
      <w:r>
        <w:rPr>
          <w:rFonts w:ascii="Palatino Linotype" w:hAnsi="Palatino Linotype"/>
        </w:rPr>
        <w:t>ión; sin embargo, estimo</w:t>
      </w:r>
      <w:r w:rsidRPr="00D93A88">
        <w:rPr>
          <w:rFonts w:ascii="Palatino Linotype" w:hAnsi="Palatino Linotype"/>
        </w:rPr>
        <w:t xml:space="preserve"> necesario precisar algunas consideraciones de hecho y de derecho</w:t>
      </w:r>
      <w:r>
        <w:rPr>
          <w:rFonts w:ascii="Palatino Linotype" w:hAnsi="Palatino Linotype"/>
        </w:rPr>
        <w:t>, tocante a</w:t>
      </w:r>
      <w:r w:rsidR="000B0299">
        <w:rPr>
          <w:rFonts w:ascii="Palatino Linotype" w:hAnsi="Palatino Linotype"/>
        </w:rPr>
        <w:t xml:space="preserve">l fundamento señalado en el </w:t>
      </w:r>
      <w:r w:rsidR="001A2784">
        <w:rPr>
          <w:rFonts w:ascii="Palatino Linotype" w:hAnsi="Palatino Linotype"/>
        </w:rPr>
        <w:t xml:space="preserve">Resolutivo </w:t>
      </w:r>
      <w:r w:rsidR="00CA38A0">
        <w:rPr>
          <w:rFonts w:ascii="Palatino Linotype" w:hAnsi="Palatino Linotype"/>
        </w:rPr>
        <w:t xml:space="preserve">Cuarto </w:t>
      </w:r>
      <w:r w:rsidR="000B0299">
        <w:rPr>
          <w:rFonts w:ascii="Palatino Linotype" w:hAnsi="Palatino Linotype"/>
        </w:rPr>
        <w:t>de la resolución de mérito</w:t>
      </w:r>
      <w:r>
        <w:rPr>
          <w:rFonts w:ascii="Palatino Linotype" w:hAnsi="Palatino Linotype"/>
        </w:rPr>
        <w:t>.</w:t>
      </w:r>
    </w:p>
    <w:p w:rsidR="003C7B7B" w:rsidRDefault="003C7B7B" w:rsidP="003C7B7B">
      <w:pPr>
        <w:spacing w:before="100" w:beforeAutospacing="1" w:after="100" w:afterAutospacing="1" w:line="360" w:lineRule="auto"/>
        <w:jc w:val="both"/>
        <w:rPr>
          <w:rFonts w:ascii="Palatino Linotype" w:hAnsi="Palatino Linotype" w:cs="Arial"/>
        </w:rPr>
      </w:pPr>
      <w:r>
        <w:rPr>
          <w:rFonts w:ascii="Palatino Linotype" w:hAnsi="Palatino Linotype"/>
        </w:rPr>
        <w:t>Al respecto, t</w:t>
      </w:r>
      <w:r w:rsidRPr="00D93A88">
        <w:rPr>
          <w:rFonts w:ascii="Palatino Linotype" w:hAnsi="Palatino Linotype"/>
        </w:rPr>
        <w:t>al y como quedó debidamente asentado en la resoluci</w:t>
      </w:r>
      <w:r>
        <w:rPr>
          <w:rFonts w:ascii="Palatino Linotype" w:hAnsi="Palatino Linotype"/>
        </w:rPr>
        <w:t>ón materia del presente voto, el</w:t>
      </w:r>
      <w:r w:rsidRPr="00D93A88">
        <w:rPr>
          <w:rFonts w:ascii="Palatino Linotype" w:hAnsi="Palatino Linotype"/>
        </w:rPr>
        <w:t xml:space="preserve"> particular </w:t>
      </w:r>
      <w:r>
        <w:rPr>
          <w:rFonts w:ascii="Palatino Linotype" w:hAnsi="Palatino Linotype"/>
        </w:rPr>
        <w:t>requirió de</w:t>
      </w:r>
      <w:r w:rsidR="00FF5E95">
        <w:rPr>
          <w:rFonts w:ascii="Palatino Linotype" w:hAnsi="Palatino Linotype"/>
        </w:rPr>
        <w:t xml:space="preserve">l </w:t>
      </w:r>
      <w:r w:rsidR="00FF5E95">
        <w:rPr>
          <w:rFonts w:ascii="Palatino Linotype" w:hAnsi="Palatino Linotype"/>
          <w:b/>
          <w:color w:val="000000" w:themeColor="text1"/>
        </w:rPr>
        <w:t xml:space="preserve">Tribunal de Justicia Administrativa del </w:t>
      </w:r>
      <w:r w:rsidR="00FF5E95">
        <w:rPr>
          <w:rFonts w:ascii="Palatino Linotype" w:hAnsi="Palatino Linotype"/>
          <w:b/>
          <w:color w:val="000000" w:themeColor="text1"/>
        </w:rPr>
        <w:lastRenderedPageBreak/>
        <w:t>Estado de México</w:t>
      </w:r>
      <w:r>
        <w:rPr>
          <w:rFonts w:ascii="Palatino Linotype" w:hAnsi="Palatino Linotype"/>
          <w:b/>
          <w:color w:val="000000" w:themeColor="text1"/>
        </w:rPr>
        <w:t>,</w:t>
      </w:r>
      <w:r>
        <w:rPr>
          <w:rFonts w:ascii="Palatino Linotype" w:hAnsi="Palatino Linotype" w:cs="Arial"/>
        </w:rPr>
        <w:t xml:space="preserve"> 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w:t>
      </w:r>
      <w:r w:rsidR="00FF5E95">
        <w:rPr>
          <w:rFonts w:ascii="Palatino Linotype" w:hAnsi="Palatino Linotype"/>
        </w:rPr>
        <w:t xml:space="preserve">la versión pública de </w:t>
      </w:r>
      <w:r w:rsidR="00FF5E95" w:rsidRPr="00FF5E95">
        <w:rPr>
          <w:rFonts w:ascii="Palatino Linotype" w:hAnsi="Palatino Linotype"/>
        </w:rPr>
        <w:t>las actas de las sesiones del Pleno del Tribunal de Justicia Admi</w:t>
      </w:r>
      <w:r w:rsidR="00FF5E95">
        <w:rPr>
          <w:rFonts w:ascii="Palatino Linotype" w:hAnsi="Palatino Linotype"/>
        </w:rPr>
        <w:t xml:space="preserve">nistrativa del Estado de México celebradas en los año 2018 y 2019. </w:t>
      </w:r>
    </w:p>
    <w:p w:rsidR="00D63E4C" w:rsidRPr="00D63E4C" w:rsidRDefault="003C7B7B" w:rsidP="00D63E4C">
      <w:pPr>
        <w:spacing w:before="100" w:beforeAutospacing="1" w:after="100" w:afterAutospacing="1" w:line="360" w:lineRule="auto"/>
        <w:jc w:val="both"/>
        <w:rPr>
          <w:rFonts w:ascii="Palatino Linotype" w:eastAsia="Calibri" w:hAnsi="Palatino Linotype"/>
          <w:color w:val="000000"/>
          <w:szCs w:val="22"/>
          <w:lang w:eastAsia="en-US"/>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sidRPr="00D408F1">
        <w:rPr>
          <w:rFonts w:ascii="Palatino Linotype" w:eastAsia="Calibri" w:hAnsi="Palatino Linotype"/>
          <w:color w:val="000000"/>
          <w:szCs w:val="22"/>
          <w:lang w:eastAsia="en-US"/>
        </w:rPr>
        <w:t xml:space="preserve">mediante </w:t>
      </w:r>
      <w:r>
        <w:rPr>
          <w:rFonts w:ascii="Palatino Linotype" w:eastAsia="Calibri" w:hAnsi="Palatino Linotype"/>
          <w:color w:val="000000"/>
          <w:szCs w:val="22"/>
          <w:lang w:eastAsia="en-US"/>
        </w:rPr>
        <w:t>su</w:t>
      </w:r>
      <w:r w:rsidR="00D63E4C">
        <w:rPr>
          <w:rFonts w:ascii="Palatino Linotype" w:eastAsia="Calibri" w:hAnsi="Palatino Linotype"/>
          <w:color w:val="000000"/>
          <w:szCs w:val="22"/>
          <w:lang w:eastAsia="en-US"/>
        </w:rPr>
        <w:t>s</w:t>
      </w:r>
      <w:r>
        <w:rPr>
          <w:rFonts w:ascii="Palatino Linotype" w:eastAsia="Calibri" w:hAnsi="Palatino Linotype"/>
          <w:color w:val="000000"/>
          <w:szCs w:val="22"/>
          <w:lang w:eastAsia="en-US"/>
        </w:rPr>
        <w:t xml:space="preserve"> respuesta</w:t>
      </w:r>
      <w:r w:rsidR="00D63E4C">
        <w:rPr>
          <w:rFonts w:ascii="Palatino Linotype" w:eastAsia="Calibri" w:hAnsi="Palatino Linotype"/>
          <w:color w:val="000000"/>
          <w:szCs w:val="22"/>
          <w:lang w:eastAsia="en-US"/>
        </w:rPr>
        <w:t>s</w:t>
      </w:r>
      <w:r>
        <w:rPr>
          <w:rFonts w:ascii="Palatino Linotype" w:eastAsia="Calibri" w:hAnsi="Palatino Linotype"/>
          <w:color w:val="000000"/>
          <w:szCs w:val="22"/>
          <w:lang w:eastAsia="en-US"/>
        </w:rPr>
        <w:t xml:space="preserve"> </w:t>
      </w:r>
      <w:r w:rsidR="006E204E">
        <w:rPr>
          <w:rFonts w:ascii="Palatino Linotype" w:eastAsia="Calibri" w:hAnsi="Palatino Linotype"/>
          <w:color w:val="000000"/>
          <w:szCs w:val="22"/>
          <w:lang w:eastAsia="en-US"/>
        </w:rPr>
        <w:t xml:space="preserve">remitió los Acuerdos número TJA/00040/TRIJAEM/IP/2019 y TJA/00041/TRIJAEM/IP/2019, </w:t>
      </w:r>
      <w:r w:rsidR="00D63E4C">
        <w:rPr>
          <w:rFonts w:ascii="Palatino Linotype" w:eastAsia="Calibri" w:hAnsi="Palatino Linotype"/>
          <w:color w:val="000000"/>
          <w:szCs w:val="22"/>
          <w:lang w:eastAsia="en-US"/>
        </w:rPr>
        <w:t xml:space="preserve">en las cuales señalo </w:t>
      </w:r>
      <w:r w:rsidR="00D63E4C" w:rsidRPr="00D63E4C">
        <w:rPr>
          <w:rFonts w:ascii="Palatino Linotype" w:eastAsia="Calibri" w:hAnsi="Palatino Linotype"/>
          <w:color w:val="000000"/>
          <w:szCs w:val="22"/>
          <w:lang w:eastAsia="en-US"/>
        </w:rPr>
        <w:t xml:space="preserve">que </w:t>
      </w:r>
      <w:r w:rsidR="00D63E4C">
        <w:rPr>
          <w:rFonts w:ascii="Palatino Linotype" w:eastAsia="Calibri" w:hAnsi="Palatino Linotype"/>
          <w:color w:val="000000"/>
          <w:szCs w:val="22"/>
          <w:lang w:eastAsia="en-US"/>
        </w:rPr>
        <w:t xml:space="preserve">dicha </w:t>
      </w:r>
      <w:r w:rsidR="00D63E4C" w:rsidRPr="00D63E4C">
        <w:rPr>
          <w:rFonts w:ascii="Palatino Linotype" w:eastAsia="Calibri" w:hAnsi="Palatino Linotype"/>
          <w:color w:val="000000"/>
          <w:szCs w:val="22"/>
          <w:lang w:eastAsia="en-US"/>
        </w:rPr>
        <w:t>información</w:t>
      </w:r>
      <w:r w:rsidR="00D63E4C">
        <w:rPr>
          <w:rFonts w:ascii="Palatino Linotype" w:eastAsia="Calibri" w:hAnsi="Palatino Linotype"/>
          <w:color w:val="000000"/>
          <w:szCs w:val="22"/>
          <w:lang w:eastAsia="en-US"/>
        </w:rPr>
        <w:t xml:space="preserve"> era</w:t>
      </w:r>
      <w:r w:rsidR="00D63E4C" w:rsidRPr="00D63E4C">
        <w:rPr>
          <w:rFonts w:ascii="Palatino Linotype" w:eastAsia="Calibri" w:hAnsi="Palatino Linotype"/>
          <w:color w:val="000000"/>
          <w:szCs w:val="22"/>
          <w:lang w:eastAsia="en-US"/>
        </w:rPr>
        <w:t xml:space="preserve"> pública de oficio; además precisó que durante el dos mil dieciocho, se celebraron las siguientes sesiones:</w:t>
      </w:r>
    </w:p>
    <w:p w:rsidR="00D63E4C" w:rsidRPr="00D63E4C" w:rsidRDefault="00D63E4C" w:rsidP="00D63E4C">
      <w:pPr>
        <w:ind w:left="851" w:right="899" w:hanging="284"/>
        <w:jc w:val="both"/>
        <w:rPr>
          <w:rFonts w:ascii="Palatino Linotype" w:eastAsia="Calibri" w:hAnsi="Palatino Linotype"/>
          <w:i/>
          <w:color w:val="000000"/>
          <w:sz w:val="22"/>
          <w:szCs w:val="22"/>
          <w:lang w:eastAsia="en-US"/>
        </w:rPr>
      </w:pPr>
      <w:r w:rsidRPr="00D63E4C">
        <w:rPr>
          <w:rFonts w:ascii="Palatino Linotype" w:eastAsia="Calibri" w:hAnsi="Palatino Linotype"/>
          <w:i/>
          <w:color w:val="000000"/>
          <w:sz w:val="22"/>
          <w:szCs w:val="22"/>
          <w:lang w:eastAsia="en-US"/>
        </w:rPr>
        <w:t>•</w:t>
      </w:r>
      <w:r w:rsidRPr="00D63E4C">
        <w:rPr>
          <w:rFonts w:ascii="Palatino Linotype" w:eastAsia="Calibri" w:hAnsi="Palatino Linotype"/>
          <w:i/>
          <w:color w:val="000000"/>
          <w:sz w:val="22"/>
          <w:szCs w:val="22"/>
          <w:lang w:eastAsia="en-US"/>
        </w:rPr>
        <w:tab/>
        <w:t>Primera Sesión Ordinaria, del veintiséis de enero de dos mil dieciocho;</w:t>
      </w:r>
    </w:p>
    <w:p w:rsidR="00D63E4C" w:rsidRPr="00D63E4C" w:rsidRDefault="00D63E4C" w:rsidP="00D63E4C">
      <w:pPr>
        <w:ind w:left="851" w:right="899" w:hanging="284"/>
        <w:jc w:val="both"/>
        <w:rPr>
          <w:rFonts w:ascii="Palatino Linotype" w:eastAsia="Calibri" w:hAnsi="Palatino Linotype"/>
          <w:i/>
          <w:color w:val="000000"/>
          <w:sz w:val="22"/>
          <w:szCs w:val="22"/>
          <w:lang w:eastAsia="en-US"/>
        </w:rPr>
      </w:pPr>
      <w:r w:rsidRPr="00D63E4C">
        <w:rPr>
          <w:rFonts w:ascii="Palatino Linotype" w:eastAsia="Calibri" w:hAnsi="Palatino Linotype"/>
          <w:i/>
          <w:color w:val="000000"/>
          <w:sz w:val="22"/>
          <w:szCs w:val="22"/>
          <w:lang w:eastAsia="en-US"/>
        </w:rPr>
        <w:t>•</w:t>
      </w:r>
      <w:r w:rsidRPr="00D63E4C">
        <w:rPr>
          <w:rFonts w:ascii="Palatino Linotype" w:eastAsia="Calibri" w:hAnsi="Palatino Linotype"/>
          <w:i/>
          <w:color w:val="000000"/>
          <w:sz w:val="22"/>
          <w:szCs w:val="22"/>
          <w:lang w:eastAsia="en-US"/>
        </w:rPr>
        <w:tab/>
        <w:t>Segunda Sesión Ordinaria, del veintiocho de febrero de dos mil dieciocho;</w:t>
      </w:r>
    </w:p>
    <w:p w:rsidR="00D63E4C" w:rsidRPr="00D63E4C" w:rsidRDefault="00D63E4C" w:rsidP="00D63E4C">
      <w:pPr>
        <w:ind w:left="851" w:right="899" w:hanging="284"/>
        <w:jc w:val="both"/>
        <w:rPr>
          <w:rFonts w:ascii="Palatino Linotype" w:eastAsia="Calibri" w:hAnsi="Palatino Linotype"/>
          <w:i/>
          <w:color w:val="000000"/>
          <w:sz w:val="22"/>
          <w:szCs w:val="22"/>
          <w:lang w:eastAsia="en-US"/>
        </w:rPr>
      </w:pPr>
      <w:r w:rsidRPr="00D63E4C">
        <w:rPr>
          <w:rFonts w:ascii="Palatino Linotype" w:eastAsia="Calibri" w:hAnsi="Palatino Linotype"/>
          <w:i/>
          <w:color w:val="000000"/>
          <w:sz w:val="22"/>
          <w:szCs w:val="22"/>
          <w:lang w:eastAsia="en-US"/>
        </w:rPr>
        <w:t>•</w:t>
      </w:r>
      <w:r w:rsidRPr="00D63E4C">
        <w:rPr>
          <w:rFonts w:ascii="Palatino Linotype" w:eastAsia="Calibri" w:hAnsi="Palatino Linotype"/>
          <w:i/>
          <w:color w:val="000000"/>
          <w:sz w:val="22"/>
          <w:szCs w:val="22"/>
          <w:lang w:eastAsia="en-US"/>
        </w:rPr>
        <w:tab/>
        <w:t>Tercera Sesión Ordinaria, del veinte de marzo de dos mil dieciocho;</w:t>
      </w:r>
    </w:p>
    <w:p w:rsidR="00D63E4C" w:rsidRPr="00D63E4C" w:rsidRDefault="00D63E4C" w:rsidP="00D63E4C">
      <w:pPr>
        <w:ind w:left="851" w:right="899" w:hanging="284"/>
        <w:jc w:val="both"/>
        <w:rPr>
          <w:rFonts w:ascii="Palatino Linotype" w:eastAsia="Calibri" w:hAnsi="Palatino Linotype"/>
          <w:i/>
          <w:color w:val="000000"/>
          <w:sz w:val="22"/>
          <w:szCs w:val="22"/>
          <w:lang w:eastAsia="en-US"/>
        </w:rPr>
      </w:pPr>
      <w:r w:rsidRPr="00D63E4C">
        <w:rPr>
          <w:rFonts w:ascii="Palatino Linotype" w:eastAsia="Calibri" w:hAnsi="Palatino Linotype"/>
          <w:i/>
          <w:color w:val="000000"/>
          <w:sz w:val="22"/>
          <w:szCs w:val="22"/>
          <w:lang w:eastAsia="en-US"/>
        </w:rPr>
        <w:t>•</w:t>
      </w:r>
      <w:r w:rsidRPr="00D63E4C">
        <w:rPr>
          <w:rFonts w:ascii="Palatino Linotype" w:eastAsia="Calibri" w:hAnsi="Palatino Linotype"/>
          <w:i/>
          <w:color w:val="000000"/>
          <w:sz w:val="22"/>
          <w:szCs w:val="22"/>
          <w:lang w:eastAsia="en-US"/>
        </w:rPr>
        <w:tab/>
        <w:t>Cuarta Sesión Ordinaria, del veintisiete de abril de dos mil dieciocho;</w:t>
      </w:r>
    </w:p>
    <w:p w:rsidR="00D63E4C" w:rsidRPr="00D63E4C" w:rsidRDefault="00D63E4C" w:rsidP="00D63E4C">
      <w:pPr>
        <w:ind w:left="851" w:right="899" w:hanging="284"/>
        <w:jc w:val="both"/>
        <w:rPr>
          <w:rFonts w:ascii="Palatino Linotype" w:eastAsia="Calibri" w:hAnsi="Palatino Linotype"/>
          <w:i/>
          <w:color w:val="000000"/>
          <w:sz w:val="22"/>
          <w:szCs w:val="22"/>
          <w:lang w:eastAsia="en-US"/>
        </w:rPr>
      </w:pPr>
      <w:r w:rsidRPr="00D63E4C">
        <w:rPr>
          <w:rFonts w:ascii="Palatino Linotype" w:eastAsia="Calibri" w:hAnsi="Palatino Linotype"/>
          <w:i/>
          <w:color w:val="000000"/>
          <w:sz w:val="22"/>
          <w:szCs w:val="22"/>
          <w:lang w:eastAsia="en-US"/>
        </w:rPr>
        <w:t>•</w:t>
      </w:r>
      <w:r w:rsidRPr="00D63E4C">
        <w:rPr>
          <w:rFonts w:ascii="Palatino Linotype" w:eastAsia="Calibri" w:hAnsi="Palatino Linotype"/>
          <w:i/>
          <w:color w:val="000000"/>
          <w:sz w:val="22"/>
          <w:szCs w:val="22"/>
          <w:lang w:eastAsia="en-US"/>
        </w:rPr>
        <w:tab/>
        <w:t>Quinta Sesión Ordinaria, del veintinueve de mayo de dos mil dieciocho;</w:t>
      </w:r>
    </w:p>
    <w:p w:rsidR="00D63E4C" w:rsidRPr="00D63E4C" w:rsidRDefault="00D63E4C" w:rsidP="00D63E4C">
      <w:pPr>
        <w:ind w:left="851" w:right="899" w:hanging="284"/>
        <w:jc w:val="both"/>
        <w:rPr>
          <w:rFonts w:ascii="Palatino Linotype" w:eastAsia="Calibri" w:hAnsi="Palatino Linotype"/>
          <w:i/>
          <w:color w:val="000000"/>
          <w:sz w:val="22"/>
          <w:szCs w:val="22"/>
          <w:lang w:eastAsia="en-US"/>
        </w:rPr>
      </w:pPr>
      <w:r w:rsidRPr="00D63E4C">
        <w:rPr>
          <w:rFonts w:ascii="Palatino Linotype" w:eastAsia="Calibri" w:hAnsi="Palatino Linotype"/>
          <w:i/>
          <w:color w:val="000000"/>
          <w:sz w:val="22"/>
          <w:szCs w:val="22"/>
          <w:lang w:eastAsia="en-US"/>
        </w:rPr>
        <w:t>•</w:t>
      </w:r>
      <w:r w:rsidRPr="00D63E4C">
        <w:rPr>
          <w:rFonts w:ascii="Palatino Linotype" w:eastAsia="Calibri" w:hAnsi="Palatino Linotype"/>
          <w:i/>
          <w:color w:val="000000"/>
          <w:sz w:val="22"/>
          <w:szCs w:val="22"/>
          <w:lang w:eastAsia="en-US"/>
        </w:rPr>
        <w:tab/>
        <w:t>Sexta Sesión Ordinaria, del veintinueve de junio de dos mil dieciocho;</w:t>
      </w:r>
    </w:p>
    <w:p w:rsidR="00D63E4C" w:rsidRPr="00D63E4C" w:rsidRDefault="00D63E4C" w:rsidP="00D63E4C">
      <w:pPr>
        <w:ind w:left="851" w:right="899" w:hanging="284"/>
        <w:jc w:val="both"/>
        <w:rPr>
          <w:rFonts w:ascii="Palatino Linotype" w:eastAsia="Calibri" w:hAnsi="Palatino Linotype"/>
          <w:i/>
          <w:color w:val="000000"/>
          <w:sz w:val="22"/>
          <w:szCs w:val="22"/>
          <w:lang w:eastAsia="en-US"/>
        </w:rPr>
      </w:pPr>
      <w:r w:rsidRPr="00D63E4C">
        <w:rPr>
          <w:rFonts w:ascii="Palatino Linotype" w:eastAsia="Calibri" w:hAnsi="Palatino Linotype"/>
          <w:i/>
          <w:color w:val="000000"/>
          <w:sz w:val="22"/>
          <w:szCs w:val="22"/>
          <w:lang w:eastAsia="en-US"/>
        </w:rPr>
        <w:t>•</w:t>
      </w:r>
      <w:r w:rsidRPr="00D63E4C">
        <w:rPr>
          <w:rFonts w:ascii="Palatino Linotype" w:eastAsia="Calibri" w:hAnsi="Palatino Linotype"/>
          <w:i/>
          <w:color w:val="000000"/>
          <w:sz w:val="22"/>
          <w:szCs w:val="22"/>
          <w:lang w:eastAsia="en-US"/>
        </w:rPr>
        <w:tab/>
        <w:t>Séptima Sesión Ordinaria, del treinta y uno de julio de dos mil dieciocho;</w:t>
      </w:r>
    </w:p>
    <w:p w:rsidR="00D63E4C" w:rsidRPr="00D63E4C" w:rsidRDefault="00D63E4C" w:rsidP="00D63E4C">
      <w:pPr>
        <w:ind w:left="851" w:right="899" w:hanging="284"/>
        <w:jc w:val="both"/>
        <w:rPr>
          <w:rFonts w:ascii="Palatino Linotype" w:eastAsia="Calibri" w:hAnsi="Palatino Linotype"/>
          <w:i/>
          <w:color w:val="000000"/>
          <w:sz w:val="22"/>
          <w:szCs w:val="22"/>
          <w:lang w:eastAsia="en-US"/>
        </w:rPr>
      </w:pPr>
      <w:r w:rsidRPr="00D63E4C">
        <w:rPr>
          <w:rFonts w:ascii="Palatino Linotype" w:eastAsia="Calibri" w:hAnsi="Palatino Linotype"/>
          <w:i/>
          <w:color w:val="000000"/>
          <w:sz w:val="22"/>
          <w:szCs w:val="22"/>
          <w:lang w:eastAsia="en-US"/>
        </w:rPr>
        <w:t>•</w:t>
      </w:r>
      <w:r w:rsidRPr="00D63E4C">
        <w:rPr>
          <w:rFonts w:ascii="Palatino Linotype" w:eastAsia="Calibri" w:hAnsi="Palatino Linotype"/>
          <w:i/>
          <w:color w:val="000000"/>
          <w:sz w:val="22"/>
          <w:szCs w:val="22"/>
          <w:lang w:eastAsia="en-US"/>
        </w:rPr>
        <w:tab/>
        <w:t>Octava Sesión Ordinaria, del treinta y uno de agosto de dos mil dieciocho;</w:t>
      </w:r>
    </w:p>
    <w:p w:rsidR="00D63E4C" w:rsidRPr="00D63E4C" w:rsidRDefault="00D63E4C" w:rsidP="00D63E4C">
      <w:pPr>
        <w:ind w:left="851" w:right="899" w:hanging="284"/>
        <w:jc w:val="both"/>
        <w:rPr>
          <w:rFonts w:ascii="Palatino Linotype" w:eastAsia="Calibri" w:hAnsi="Palatino Linotype"/>
          <w:i/>
          <w:color w:val="000000"/>
          <w:sz w:val="22"/>
          <w:szCs w:val="22"/>
          <w:lang w:eastAsia="en-US"/>
        </w:rPr>
      </w:pPr>
      <w:r w:rsidRPr="00D63E4C">
        <w:rPr>
          <w:rFonts w:ascii="Palatino Linotype" w:eastAsia="Calibri" w:hAnsi="Palatino Linotype"/>
          <w:i/>
          <w:color w:val="000000"/>
          <w:sz w:val="22"/>
          <w:szCs w:val="22"/>
          <w:lang w:eastAsia="en-US"/>
        </w:rPr>
        <w:t>•</w:t>
      </w:r>
      <w:r w:rsidRPr="00D63E4C">
        <w:rPr>
          <w:rFonts w:ascii="Palatino Linotype" w:eastAsia="Calibri" w:hAnsi="Palatino Linotype"/>
          <w:i/>
          <w:color w:val="000000"/>
          <w:sz w:val="22"/>
          <w:szCs w:val="22"/>
          <w:lang w:eastAsia="en-US"/>
        </w:rPr>
        <w:tab/>
        <w:t>Novena Sesión Ordinaria, del catorce de septiembre de dos mil dieciocho, y</w:t>
      </w:r>
    </w:p>
    <w:p w:rsidR="00D63E4C" w:rsidRPr="00D63E4C" w:rsidRDefault="00D63E4C" w:rsidP="00D63E4C">
      <w:pPr>
        <w:ind w:left="851" w:right="899" w:hanging="284"/>
        <w:jc w:val="both"/>
        <w:rPr>
          <w:rFonts w:ascii="Palatino Linotype" w:eastAsia="Calibri" w:hAnsi="Palatino Linotype"/>
          <w:i/>
          <w:color w:val="000000"/>
          <w:sz w:val="22"/>
          <w:szCs w:val="22"/>
          <w:lang w:eastAsia="en-US"/>
        </w:rPr>
      </w:pPr>
      <w:r w:rsidRPr="00D63E4C">
        <w:rPr>
          <w:rFonts w:ascii="Palatino Linotype" w:eastAsia="Calibri" w:hAnsi="Palatino Linotype"/>
          <w:i/>
          <w:color w:val="000000"/>
          <w:sz w:val="22"/>
          <w:szCs w:val="22"/>
          <w:lang w:eastAsia="en-US"/>
        </w:rPr>
        <w:t>•</w:t>
      </w:r>
      <w:r w:rsidRPr="00D63E4C">
        <w:rPr>
          <w:rFonts w:ascii="Palatino Linotype" w:eastAsia="Calibri" w:hAnsi="Palatino Linotype"/>
          <w:i/>
          <w:color w:val="000000"/>
          <w:sz w:val="22"/>
          <w:szCs w:val="22"/>
          <w:lang w:eastAsia="en-US"/>
        </w:rPr>
        <w:tab/>
        <w:t>Primera Sesión Extraordinaria, del tres de julio de dos mil dieciocho.</w:t>
      </w:r>
    </w:p>
    <w:p w:rsidR="00D63E4C" w:rsidRDefault="00D63E4C" w:rsidP="00D63E4C">
      <w:pPr>
        <w:spacing w:before="100" w:beforeAutospacing="1" w:after="100" w:afterAutospacing="1" w:line="360" w:lineRule="auto"/>
        <w:jc w:val="both"/>
        <w:rPr>
          <w:rFonts w:ascii="Palatino Linotype" w:eastAsia="Calibri" w:hAnsi="Palatino Linotype"/>
          <w:color w:val="000000"/>
          <w:szCs w:val="22"/>
          <w:lang w:eastAsia="en-US"/>
        </w:rPr>
      </w:pPr>
      <w:r>
        <w:rPr>
          <w:rFonts w:ascii="Palatino Linotype" w:eastAsia="Calibri" w:hAnsi="Palatino Linotype"/>
          <w:color w:val="000000"/>
          <w:szCs w:val="22"/>
          <w:lang w:eastAsia="en-US"/>
        </w:rPr>
        <w:t>En ese mismo se</w:t>
      </w:r>
      <w:r w:rsidRPr="00D63E4C">
        <w:rPr>
          <w:rFonts w:ascii="Palatino Linotype" w:eastAsia="Calibri" w:hAnsi="Palatino Linotype"/>
          <w:color w:val="000000"/>
          <w:szCs w:val="22"/>
          <w:lang w:eastAsia="en-US"/>
        </w:rPr>
        <w:t xml:space="preserve">ntido, precisó que dichas sesiones se encontraban en la liga electrónica </w:t>
      </w:r>
      <w:hyperlink r:id="rId7" w:history="1">
        <w:r w:rsidRPr="00244F79">
          <w:rPr>
            <w:rStyle w:val="Hipervnculo"/>
            <w:rFonts w:ascii="Palatino Linotype" w:eastAsia="Calibri" w:hAnsi="Palatino Linotype"/>
            <w:szCs w:val="22"/>
            <w:lang w:eastAsia="en-US"/>
          </w:rPr>
          <w:t>https://www.ipomex.org.mx/ipo3/lgt/indice/TRIJAEM/art_96_iii/0.web</w:t>
        </w:r>
      </w:hyperlink>
      <w:r>
        <w:rPr>
          <w:rFonts w:ascii="Palatino Linotype" w:eastAsia="Calibri" w:hAnsi="Palatino Linotype"/>
          <w:color w:val="000000"/>
          <w:szCs w:val="22"/>
          <w:lang w:eastAsia="en-US"/>
        </w:rPr>
        <w:t>. Y po</w:t>
      </w:r>
      <w:r w:rsidRPr="00D63E4C">
        <w:rPr>
          <w:rFonts w:ascii="Palatino Linotype" w:eastAsia="Calibri" w:hAnsi="Palatino Linotype"/>
          <w:color w:val="000000"/>
          <w:szCs w:val="22"/>
          <w:lang w:eastAsia="en-US"/>
        </w:rPr>
        <w:t>r lo que hace a la información del dos mil diecinueve, indicó que al veintisiete de febrero de dos mil diecinueve, el Pleno del Tribunal de Justicia Administrativa del Estado de México, solamente había sesionado una ocasión,</w:t>
      </w:r>
      <w:r>
        <w:rPr>
          <w:rFonts w:ascii="Palatino Linotype" w:eastAsia="Calibri" w:hAnsi="Palatino Linotype"/>
          <w:color w:val="000000"/>
          <w:szCs w:val="22"/>
          <w:lang w:eastAsia="en-US"/>
        </w:rPr>
        <w:t xml:space="preserve"> señalando como</w:t>
      </w:r>
      <w:r w:rsidRPr="00D63E4C">
        <w:rPr>
          <w:rFonts w:ascii="Palatino Linotype" w:eastAsia="Calibri" w:hAnsi="Palatino Linotype"/>
          <w:color w:val="000000"/>
          <w:szCs w:val="22"/>
          <w:lang w:eastAsia="en-US"/>
        </w:rPr>
        <w:t xml:space="preserve"> el veintinueve de enero de dos mil diecinueve; asimismo, </w:t>
      </w:r>
      <w:r w:rsidR="006307BC">
        <w:rPr>
          <w:rFonts w:ascii="Palatino Linotype" w:eastAsia="Calibri" w:hAnsi="Palatino Linotype"/>
          <w:color w:val="000000"/>
          <w:szCs w:val="22"/>
          <w:lang w:eastAsia="en-US"/>
        </w:rPr>
        <w:t>precisó</w:t>
      </w:r>
      <w:r>
        <w:rPr>
          <w:rFonts w:ascii="Palatino Linotype" w:eastAsia="Calibri" w:hAnsi="Palatino Linotype"/>
          <w:color w:val="000000"/>
          <w:szCs w:val="22"/>
          <w:lang w:eastAsia="en-US"/>
        </w:rPr>
        <w:t xml:space="preserve"> que el  acta de dicha sesión</w:t>
      </w:r>
      <w:r w:rsidRPr="00D63E4C">
        <w:rPr>
          <w:rFonts w:ascii="Palatino Linotype" w:eastAsia="Calibri" w:hAnsi="Palatino Linotype"/>
          <w:color w:val="000000"/>
          <w:szCs w:val="22"/>
          <w:lang w:eastAsia="en-US"/>
        </w:rPr>
        <w:t xml:space="preserve"> aún no se encontraba </w:t>
      </w:r>
      <w:r w:rsidRPr="00D63E4C">
        <w:rPr>
          <w:rFonts w:ascii="Palatino Linotype" w:eastAsia="Calibri" w:hAnsi="Palatino Linotype"/>
          <w:color w:val="000000"/>
          <w:szCs w:val="22"/>
          <w:lang w:eastAsia="en-US"/>
        </w:rPr>
        <w:lastRenderedPageBreak/>
        <w:t>aprobada por dicho Pleno, al ser materia de aprobación en la siguiente sesión ordinaria, en términos de los Lineamientos que</w:t>
      </w:r>
      <w:r>
        <w:rPr>
          <w:rFonts w:ascii="Palatino Linotype" w:eastAsia="Calibri" w:hAnsi="Palatino Linotype"/>
          <w:color w:val="000000"/>
          <w:szCs w:val="22"/>
          <w:lang w:eastAsia="en-US"/>
        </w:rPr>
        <w:t xml:space="preserve"> Regulan las Sesiones del Pleno. </w:t>
      </w:r>
    </w:p>
    <w:p w:rsidR="00D63E4C" w:rsidRDefault="003C7B7B" w:rsidP="003C7B7B">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t>Inconforme con la</w:t>
      </w:r>
      <w:r w:rsidR="00D63E4C">
        <w:rPr>
          <w:rFonts w:ascii="Palatino Linotype" w:hAnsi="Palatino Linotype"/>
          <w:color w:val="000000"/>
          <w:lang w:val="es-MX" w:eastAsia="es-MX"/>
        </w:rPr>
        <w:t>s</w:t>
      </w:r>
      <w:r>
        <w:rPr>
          <w:rFonts w:ascii="Palatino Linotype" w:hAnsi="Palatino Linotype"/>
          <w:color w:val="000000"/>
          <w:lang w:val="es-MX" w:eastAsia="es-MX"/>
        </w:rPr>
        <w:t xml:space="preserve"> respuesta</w:t>
      </w:r>
      <w:r w:rsidR="00D63E4C">
        <w:rPr>
          <w:rFonts w:ascii="Palatino Linotype" w:hAnsi="Palatino Linotype"/>
          <w:color w:val="000000"/>
          <w:lang w:val="es-MX" w:eastAsia="es-MX"/>
        </w:rPr>
        <w:t>s</w:t>
      </w:r>
      <w:r>
        <w:rPr>
          <w:rFonts w:ascii="Palatino Linotype" w:hAnsi="Palatino Linotype"/>
          <w:color w:val="000000"/>
          <w:lang w:val="es-MX" w:eastAsia="es-MX"/>
        </w:rPr>
        <w:t xml:space="preserve">, </w:t>
      </w:r>
      <w:r w:rsidR="003369AB">
        <w:rPr>
          <w:rFonts w:ascii="Palatino Linotype" w:hAnsi="Palatino Linotype"/>
          <w:b/>
          <w:color w:val="000000"/>
          <w:lang w:val="es-MX" w:eastAsia="es-MX"/>
        </w:rPr>
        <w:t>EL</w:t>
      </w:r>
      <w:r>
        <w:rPr>
          <w:rFonts w:ascii="Palatino Linotype" w:hAnsi="Palatino Linotype"/>
          <w:b/>
          <w:color w:val="000000"/>
          <w:lang w:val="es-MX" w:eastAsia="es-MX"/>
        </w:rPr>
        <w:t xml:space="preserve">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sidR="006E204E">
        <w:rPr>
          <w:rFonts w:ascii="Palatino Linotype" w:hAnsi="Palatino Linotype" w:cs="Arial"/>
        </w:rPr>
        <w:t xml:space="preserve">interpuso </w:t>
      </w:r>
      <w:r w:rsidR="003369AB">
        <w:rPr>
          <w:rFonts w:ascii="Palatino Linotype" w:hAnsi="Palatino Linotype" w:cs="Arial"/>
        </w:rPr>
        <w:t>l</w:t>
      </w:r>
      <w:r w:rsidR="006E204E">
        <w:rPr>
          <w:rFonts w:ascii="Palatino Linotype" w:hAnsi="Palatino Linotype" w:cs="Arial"/>
        </w:rPr>
        <w:t>os</w:t>
      </w:r>
      <w:r w:rsidR="003369AB">
        <w:rPr>
          <w:rFonts w:ascii="Palatino Linotype" w:hAnsi="Palatino Linotype" w:cs="Arial"/>
        </w:rPr>
        <w:t xml:space="preserve"> </w:t>
      </w:r>
      <w:r>
        <w:rPr>
          <w:rFonts w:ascii="Palatino Linotype" w:hAnsi="Palatino Linotype" w:cs="Arial"/>
        </w:rPr>
        <w:t>recurso</w:t>
      </w:r>
      <w:r w:rsidR="006E204E">
        <w:rPr>
          <w:rFonts w:ascii="Palatino Linotype" w:hAnsi="Palatino Linotype" w:cs="Arial"/>
        </w:rPr>
        <w:t>s</w:t>
      </w:r>
      <w:r w:rsidR="00A70CE2">
        <w:rPr>
          <w:rFonts w:ascii="Palatino Linotype" w:hAnsi="Palatino Linotype" w:cs="Arial"/>
        </w:rPr>
        <w:t xml:space="preserve"> de revisión de mérito, </w:t>
      </w:r>
      <w:r w:rsidR="00D63E4C">
        <w:rPr>
          <w:rFonts w:ascii="Palatino Linotype" w:hAnsi="Palatino Linotype" w:cs="Arial"/>
        </w:rPr>
        <w:t xml:space="preserve">mismos en los que se </w:t>
      </w:r>
      <w:r w:rsidR="00D63E4C" w:rsidRPr="00D63E4C">
        <w:rPr>
          <w:rFonts w:ascii="Palatino Linotype" w:hAnsi="Palatino Linotype" w:cs="Arial"/>
        </w:rPr>
        <w:t>agrav</w:t>
      </w:r>
      <w:r w:rsidR="00D63E4C">
        <w:rPr>
          <w:rFonts w:ascii="Palatino Linotype" w:hAnsi="Palatino Linotype" w:cs="Arial"/>
        </w:rPr>
        <w:t xml:space="preserve">ió de la entrega de información, </w:t>
      </w:r>
      <w:r w:rsidR="00D63E4C" w:rsidRPr="00D63E4C">
        <w:rPr>
          <w:rFonts w:ascii="Palatino Linotype" w:hAnsi="Palatino Linotype" w:cs="Arial"/>
        </w:rPr>
        <w:t>al señalar que se le había negado la entrega, a través del Sistema de Acceso a la Información Mexiquense, al dirigirlo a</w:t>
      </w:r>
      <w:r w:rsidR="00C038C4">
        <w:rPr>
          <w:rFonts w:ascii="Palatino Linotype" w:hAnsi="Palatino Linotype" w:cs="Arial"/>
        </w:rPr>
        <w:t>l</w:t>
      </w:r>
      <w:r w:rsidR="00D63E4C" w:rsidRPr="00D63E4C">
        <w:rPr>
          <w:rFonts w:ascii="Palatino Linotype" w:hAnsi="Palatino Linotype" w:cs="Arial"/>
        </w:rPr>
        <w:t xml:space="preserve"> Portal de Información Pública de Oficio Mexiquense (IPOMEX</w:t>
      </w:r>
      <w:r w:rsidR="00C038C4">
        <w:rPr>
          <w:rFonts w:ascii="Palatino Linotype" w:hAnsi="Palatino Linotype" w:cs="Arial"/>
        </w:rPr>
        <w:t>)</w:t>
      </w:r>
      <w:r w:rsidR="00D63E4C">
        <w:rPr>
          <w:rFonts w:ascii="Palatino Linotype" w:hAnsi="Palatino Linotype" w:cs="Arial"/>
        </w:rPr>
        <w:t xml:space="preserve">. </w:t>
      </w:r>
    </w:p>
    <w:p w:rsidR="00E20760" w:rsidRDefault="00A70CE2" w:rsidP="003C7B7B">
      <w:pPr>
        <w:spacing w:before="100" w:beforeAutospacing="1" w:after="100" w:afterAutospacing="1" w:line="360" w:lineRule="auto"/>
        <w:jc w:val="both"/>
        <w:rPr>
          <w:rFonts w:ascii="Palatino Linotype" w:hAnsi="Palatino Linotype" w:cs="Arial"/>
        </w:rPr>
      </w:pPr>
      <w:r>
        <w:rPr>
          <w:rFonts w:ascii="Palatino Linotype" w:hAnsi="Palatino Linotype" w:cs="Arial"/>
        </w:rPr>
        <w:t>Derivado de la interposición de</w:t>
      </w:r>
      <w:r w:rsidR="00D63E4C">
        <w:rPr>
          <w:rFonts w:ascii="Palatino Linotype" w:hAnsi="Palatino Linotype" w:cs="Arial"/>
        </w:rPr>
        <w:t xml:space="preserve"> los </w:t>
      </w:r>
      <w:r>
        <w:rPr>
          <w:rFonts w:ascii="Palatino Linotype" w:hAnsi="Palatino Linotype" w:cs="Arial"/>
        </w:rPr>
        <w:t>medio</w:t>
      </w:r>
      <w:r w:rsidR="00D63E4C">
        <w:rPr>
          <w:rFonts w:ascii="Palatino Linotype" w:hAnsi="Palatino Linotype" w:cs="Arial"/>
        </w:rPr>
        <w:t>s</w:t>
      </w:r>
      <w:r w:rsidR="00E20760">
        <w:rPr>
          <w:rFonts w:ascii="Palatino Linotype" w:hAnsi="Palatino Linotype" w:cs="Arial"/>
        </w:rPr>
        <w:t xml:space="preserve"> de impugnación de parte d</w:t>
      </w:r>
      <w:r>
        <w:rPr>
          <w:rFonts w:ascii="Palatino Linotype" w:hAnsi="Palatino Linotype" w:cs="Arial"/>
        </w:rPr>
        <w:t xml:space="preserve">el particular, </w:t>
      </w:r>
      <w:r>
        <w:rPr>
          <w:rFonts w:ascii="Palatino Linotype" w:hAnsi="Palatino Linotype" w:cs="Arial"/>
          <w:b/>
        </w:rPr>
        <w:t xml:space="preserve">EL SUJETO OBLIGADO </w:t>
      </w:r>
      <w:r>
        <w:rPr>
          <w:rFonts w:ascii="Palatino Linotype" w:hAnsi="Palatino Linotype" w:cs="Arial"/>
        </w:rPr>
        <w:t xml:space="preserve">rindió </w:t>
      </w:r>
      <w:r w:rsidR="00E20760">
        <w:rPr>
          <w:rFonts w:ascii="Palatino Linotype" w:hAnsi="Palatino Linotype" w:cs="Arial"/>
        </w:rPr>
        <w:t>sus</w:t>
      </w:r>
      <w:r>
        <w:rPr>
          <w:rFonts w:ascii="Palatino Linotype" w:hAnsi="Palatino Linotype" w:cs="Arial"/>
        </w:rPr>
        <w:t xml:space="preserve"> Informe</w:t>
      </w:r>
      <w:r w:rsidR="00E20760">
        <w:rPr>
          <w:rFonts w:ascii="Palatino Linotype" w:hAnsi="Palatino Linotype" w:cs="Arial"/>
        </w:rPr>
        <w:t>s</w:t>
      </w:r>
      <w:r>
        <w:rPr>
          <w:rFonts w:ascii="Palatino Linotype" w:hAnsi="Palatino Linotype" w:cs="Arial"/>
        </w:rPr>
        <w:t xml:space="preserve"> Just</w:t>
      </w:r>
      <w:r w:rsidR="00525597">
        <w:rPr>
          <w:rFonts w:ascii="Palatino Linotype" w:hAnsi="Palatino Linotype" w:cs="Arial"/>
        </w:rPr>
        <w:t>ificado</w:t>
      </w:r>
      <w:r w:rsidR="00E20760">
        <w:rPr>
          <w:rFonts w:ascii="Palatino Linotype" w:hAnsi="Palatino Linotype" w:cs="Arial"/>
        </w:rPr>
        <w:t>s</w:t>
      </w:r>
      <w:r w:rsidR="00525597">
        <w:rPr>
          <w:rFonts w:ascii="Palatino Linotype" w:hAnsi="Palatino Linotype" w:cs="Arial"/>
        </w:rPr>
        <w:t xml:space="preserve"> </w:t>
      </w:r>
      <w:r w:rsidR="00E20760">
        <w:rPr>
          <w:rFonts w:ascii="Palatino Linotype" w:hAnsi="Palatino Linotype" w:cs="Arial"/>
        </w:rPr>
        <w:t xml:space="preserve">en los que ratificó sus respuestas </w:t>
      </w:r>
      <w:r w:rsidR="00E20760" w:rsidRPr="00E20760">
        <w:rPr>
          <w:rFonts w:ascii="Palatino Linotype" w:hAnsi="Palatino Linotype" w:cs="Arial"/>
        </w:rPr>
        <w:t>y precis</w:t>
      </w:r>
      <w:r w:rsidR="00E20760">
        <w:rPr>
          <w:rFonts w:ascii="Palatino Linotype" w:hAnsi="Palatino Linotype" w:cs="Arial"/>
        </w:rPr>
        <w:t xml:space="preserve">ando </w:t>
      </w:r>
      <w:r w:rsidR="00E20760" w:rsidRPr="00E20760">
        <w:rPr>
          <w:rFonts w:ascii="Palatino Linotype" w:hAnsi="Palatino Linotype" w:cs="Arial"/>
        </w:rPr>
        <w:t>que había cumplido con el artículo 161 de la Ley de Transparencia y Acceso a la Información Pública del Estado de México y Municipios, al señalar la fuente, el lugar y la forma en que se podían consultar, reproducir o adquirir la sesiones del Pleno.</w:t>
      </w:r>
    </w:p>
    <w:p w:rsidR="003369AB" w:rsidRDefault="003C7B7B" w:rsidP="003C7B7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3369AB">
        <w:rPr>
          <w:rFonts w:ascii="Palatino Linotype" w:hAnsi="Palatino Linotype" w:cs="Arial"/>
        </w:rPr>
        <w:t>lo siguiente:</w:t>
      </w:r>
    </w:p>
    <w:p w:rsidR="00E20760" w:rsidRPr="00E20760" w:rsidRDefault="00E63F7F" w:rsidP="00E20760">
      <w:pPr>
        <w:ind w:left="851" w:right="902"/>
        <w:jc w:val="both"/>
        <w:rPr>
          <w:rFonts w:ascii="Palatino Linotype" w:hAnsi="Palatino Linotype" w:cs="Arial"/>
          <w:i/>
          <w:sz w:val="22"/>
        </w:rPr>
      </w:pPr>
      <w:r w:rsidRPr="00E20760">
        <w:rPr>
          <w:rFonts w:ascii="Palatino Linotype" w:hAnsi="Palatino Linotype" w:cs="Arial"/>
          <w:i/>
          <w:sz w:val="22"/>
        </w:rPr>
        <w:t>“</w:t>
      </w:r>
      <w:r w:rsidR="00E20760" w:rsidRPr="00E20760">
        <w:rPr>
          <w:rFonts w:ascii="Palatino Linotype" w:hAnsi="Palatino Linotype" w:cs="Arial"/>
          <w:b/>
          <w:i/>
          <w:sz w:val="22"/>
        </w:rPr>
        <w:t>PRIMERO</w:t>
      </w:r>
      <w:r w:rsidR="00E20760" w:rsidRPr="00E20760">
        <w:rPr>
          <w:rFonts w:ascii="Palatino Linotype" w:hAnsi="Palatino Linotype" w:cs="Arial"/>
          <w:i/>
          <w:sz w:val="22"/>
        </w:rPr>
        <w:t xml:space="preserve">. Se </w:t>
      </w:r>
      <w:r w:rsidR="00E20760" w:rsidRPr="00E20760">
        <w:rPr>
          <w:rFonts w:ascii="Palatino Linotype" w:hAnsi="Palatino Linotype" w:cs="Arial"/>
          <w:b/>
          <w:i/>
          <w:sz w:val="22"/>
        </w:rPr>
        <w:t>MODIFICAN</w:t>
      </w:r>
      <w:r w:rsidR="00E20760" w:rsidRPr="00E20760">
        <w:rPr>
          <w:rFonts w:ascii="Palatino Linotype" w:hAnsi="Palatino Linotype" w:cs="Arial"/>
          <w:i/>
          <w:sz w:val="22"/>
        </w:rPr>
        <w:t xml:space="preserve"> las respuestas entregadas por el Sujeto Obligado a las solicitudes de acceso a la información con número 00040/TRIJAEM/IP/2019 y 00041/TRIJAEM/IP/2019, por resultar </w:t>
      </w:r>
      <w:r w:rsidR="00E20760" w:rsidRPr="00E20760">
        <w:rPr>
          <w:rFonts w:ascii="Palatino Linotype" w:hAnsi="Palatino Linotype" w:cs="Arial"/>
          <w:b/>
          <w:i/>
          <w:sz w:val="22"/>
        </w:rPr>
        <w:t>PARCIALMENTE FUNDADOS</w:t>
      </w:r>
      <w:r w:rsidR="00E20760" w:rsidRPr="00E20760">
        <w:rPr>
          <w:rFonts w:ascii="Palatino Linotype" w:hAnsi="Palatino Linotype" w:cs="Arial"/>
          <w:i/>
          <w:sz w:val="22"/>
        </w:rPr>
        <w:t xml:space="preserve"> los motivos de inconformidad vertidos por el Recurrente, en términos de los Considerandos </w:t>
      </w:r>
      <w:r w:rsidR="00E20760" w:rsidRPr="00E20760">
        <w:rPr>
          <w:rFonts w:ascii="Palatino Linotype" w:hAnsi="Palatino Linotype" w:cs="Arial"/>
          <w:b/>
          <w:i/>
          <w:sz w:val="22"/>
        </w:rPr>
        <w:t>QUINTO y SEXTO</w:t>
      </w:r>
      <w:r w:rsidR="00E20760" w:rsidRPr="00E20760">
        <w:rPr>
          <w:rFonts w:ascii="Palatino Linotype" w:hAnsi="Palatino Linotype" w:cs="Arial"/>
          <w:i/>
          <w:sz w:val="22"/>
        </w:rPr>
        <w:t xml:space="preserve"> de la presente Resolución.</w:t>
      </w:r>
    </w:p>
    <w:p w:rsidR="00E20760" w:rsidRPr="00E20760" w:rsidRDefault="00E20760" w:rsidP="00E20760">
      <w:pPr>
        <w:ind w:left="851" w:right="902"/>
        <w:jc w:val="both"/>
        <w:rPr>
          <w:rFonts w:ascii="Palatino Linotype" w:hAnsi="Palatino Linotype" w:cs="Arial"/>
          <w:i/>
          <w:sz w:val="22"/>
        </w:rPr>
      </w:pPr>
    </w:p>
    <w:p w:rsidR="00E20760" w:rsidRPr="00E20760" w:rsidRDefault="00E20760" w:rsidP="00E20760">
      <w:pPr>
        <w:ind w:left="851" w:right="902"/>
        <w:jc w:val="both"/>
        <w:rPr>
          <w:rFonts w:ascii="Palatino Linotype" w:hAnsi="Palatino Linotype" w:cs="Arial"/>
          <w:i/>
          <w:sz w:val="22"/>
        </w:rPr>
      </w:pPr>
      <w:r w:rsidRPr="00E20760">
        <w:rPr>
          <w:rFonts w:ascii="Palatino Linotype" w:hAnsi="Palatino Linotype" w:cs="Arial"/>
          <w:b/>
          <w:i/>
          <w:sz w:val="22"/>
        </w:rPr>
        <w:t>SEGUNDO.</w:t>
      </w:r>
      <w:r w:rsidRPr="00E20760">
        <w:rPr>
          <w:rFonts w:ascii="Palatino Linotype" w:hAnsi="Palatino Linotype" w:cs="Arial"/>
          <w:i/>
          <w:sz w:val="22"/>
        </w:rPr>
        <w:t xml:space="preserve"> Se </w:t>
      </w:r>
      <w:r w:rsidRPr="00E20760">
        <w:rPr>
          <w:rFonts w:ascii="Palatino Linotype" w:hAnsi="Palatino Linotype" w:cs="Arial"/>
          <w:b/>
          <w:i/>
          <w:sz w:val="22"/>
        </w:rPr>
        <w:t>ORDENA</w:t>
      </w:r>
      <w:r w:rsidRPr="00E20760">
        <w:rPr>
          <w:rFonts w:ascii="Palatino Linotype" w:hAnsi="Palatino Linotype" w:cs="Arial"/>
          <w:i/>
          <w:sz w:val="22"/>
        </w:rPr>
        <w:t xml:space="preserve"> al Tribunal de Justicia Administrativa del Estado de México, a que entregue, al Recurrente, a través del Sistema de Acceso a la Información Mexiquense (SAIMEX):</w:t>
      </w:r>
    </w:p>
    <w:p w:rsidR="00E20760" w:rsidRPr="00E20760" w:rsidRDefault="00E20760" w:rsidP="00E20760">
      <w:pPr>
        <w:ind w:left="851" w:right="902"/>
        <w:jc w:val="both"/>
        <w:rPr>
          <w:rFonts w:ascii="Palatino Linotype" w:hAnsi="Palatino Linotype" w:cs="Arial"/>
          <w:i/>
          <w:sz w:val="22"/>
        </w:rPr>
      </w:pPr>
    </w:p>
    <w:p w:rsidR="00E20760" w:rsidRPr="00763680" w:rsidRDefault="00E20760" w:rsidP="00763680">
      <w:pPr>
        <w:pStyle w:val="Prrafodelista"/>
        <w:numPr>
          <w:ilvl w:val="0"/>
          <w:numId w:val="8"/>
        </w:numPr>
        <w:ind w:right="902"/>
        <w:jc w:val="both"/>
        <w:rPr>
          <w:rFonts w:ascii="Palatino Linotype" w:hAnsi="Palatino Linotype" w:cs="Arial"/>
          <w:i/>
          <w:sz w:val="22"/>
        </w:rPr>
      </w:pPr>
      <w:r w:rsidRPr="00763680">
        <w:rPr>
          <w:rFonts w:ascii="Palatino Linotype" w:hAnsi="Palatino Linotype" w:cs="Arial"/>
          <w:i/>
          <w:sz w:val="22"/>
        </w:rPr>
        <w:lastRenderedPageBreak/>
        <w:t>El Acuerdo del Comité de Transparencia, donde confirme la inexistencia de las actas de Sesiones del Pleno de la Sala Superior, de octubre a diciembre de dos mil dieciocho, en términos de los artículos 19, párrafo tercero y 169 de la Ley de Transparencia y Acceso a la Información Pública del Estado de México y Municipios.</w:t>
      </w:r>
    </w:p>
    <w:p w:rsidR="00E20760" w:rsidRPr="00E20760" w:rsidRDefault="00E20760" w:rsidP="00E20760">
      <w:pPr>
        <w:ind w:left="851" w:right="902"/>
        <w:jc w:val="both"/>
        <w:rPr>
          <w:rFonts w:ascii="Palatino Linotype" w:hAnsi="Palatino Linotype" w:cs="Arial"/>
          <w:i/>
          <w:sz w:val="22"/>
        </w:rPr>
      </w:pPr>
    </w:p>
    <w:p w:rsidR="00E20760" w:rsidRPr="00E20760" w:rsidRDefault="00E20760" w:rsidP="00E20760">
      <w:pPr>
        <w:ind w:left="851" w:right="902"/>
        <w:jc w:val="both"/>
        <w:rPr>
          <w:rFonts w:ascii="Palatino Linotype" w:hAnsi="Palatino Linotype" w:cs="Arial"/>
          <w:i/>
          <w:sz w:val="22"/>
        </w:rPr>
      </w:pPr>
      <w:r w:rsidRPr="00E20760">
        <w:rPr>
          <w:rFonts w:ascii="Palatino Linotype" w:hAnsi="Palatino Linotype" w:cs="Arial"/>
          <w:b/>
          <w:i/>
          <w:sz w:val="22"/>
        </w:rPr>
        <w:t>TERCERO. NOTIFÍQUESE</w:t>
      </w:r>
      <w:r w:rsidRPr="00E20760">
        <w:rPr>
          <w:rFonts w:ascii="Palatino Linotype" w:hAnsi="Palatino Linotype" w:cs="Arial"/>
          <w:i/>
          <w:sz w:val="22"/>
        </w:rPr>
        <w:t xml:space="preserve"> la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E20760" w:rsidRPr="00E20760" w:rsidRDefault="00E20760" w:rsidP="00E20760">
      <w:pPr>
        <w:ind w:left="851" w:right="902"/>
        <w:jc w:val="both"/>
        <w:rPr>
          <w:rFonts w:ascii="Palatino Linotype" w:hAnsi="Palatino Linotype" w:cs="Arial"/>
          <w:i/>
          <w:sz w:val="22"/>
        </w:rPr>
      </w:pPr>
    </w:p>
    <w:p w:rsidR="00E20760" w:rsidRPr="00E20760" w:rsidRDefault="00E20760" w:rsidP="00E20760">
      <w:pPr>
        <w:ind w:left="851" w:right="902"/>
        <w:jc w:val="both"/>
      </w:pPr>
      <w:r w:rsidRPr="00E20760">
        <w:rPr>
          <w:rFonts w:ascii="Palatino Linotype" w:hAnsi="Palatino Linotype" w:cs="Arial"/>
          <w:b/>
          <w:i/>
          <w:sz w:val="22"/>
        </w:rPr>
        <w:t>CUARTO. NOTIFÍQUESE</w:t>
      </w:r>
      <w:r w:rsidRPr="00E20760">
        <w:rPr>
          <w:rFonts w:ascii="Palatino Linotype" w:hAnsi="Palatino Linotype" w:cs="Arial"/>
          <w:i/>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r w:rsidRPr="00E20760">
        <w:rPr>
          <w:rFonts w:ascii="Palatino Linotype" w:hAnsi="Palatino Linotype" w:cs="Arial"/>
          <w:b/>
          <w:i/>
          <w:sz w:val="22"/>
        </w:rPr>
        <w:t>Asimismo que podrá interponer el medio de defensa establecido en los artículos 159 y 160 de la Ley General de Transparencia y Acceso a la Información Pública.</w:t>
      </w:r>
      <w:r>
        <w:rPr>
          <w:rFonts w:ascii="Palatino Linotype" w:hAnsi="Palatino Linotype" w:cs="Arial"/>
          <w:b/>
          <w:i/>
          <w:sz w:val="22"/>
        </w:rPr>
        <w:t xml:space="preserve"> </w:t>
      </w:r>
      <w:proofErr w:type="gramStart"/>
      <w:r>
        <w:rPr>
          <w:rFonts w:ascii="Palatino Linotype" w:hAnsi="Palatino Linotype" w:cs="Arial"/>
          <w:i/>
          <w:sz w:val="22"/>
        </w:rPr>
        <w:t>“ (</w:t>
      </w:r>
      <w:proofErr w:type="gramEnd"/>
      <w:r>
        <w:rPr>
          <w:rFonts w:ascii="Palatino Linotype" w:hAnsi="Palatino Linotype" w:cs="Arial"/>
          <w:i/>
          <w:sz w:val="22"/>
        </w:rPr>
        <w:t>Sic)</w:t>
      </w:r>
    </w:p>
    <w:p w:rsidR="00E20760" w:rsidRPr="00E20760" w:rsidRDefault="00E20760" w:rsidP="00E20760"/>
    <w:p w:rsidR="003C7B7B" w:rsidRPr="00E20760" w:rsidRDefault="003C7B7B" w:rsidP="00E20760">
      <w:pPr>
        <w:spacing w:before="100" w:beforeAutospacing="1" w:after="100" w:afterAutospacing="1" w:line="360" w:lineRule="auto"/>
        <w:jc w:val="both"/>
        <w:rPr>
          <w:rFonts w:ascii="Palatino Linotype" w:hAnsi="Palatino Linotype"/>
        </w:rPr>
      </w:pPr>
      <w:r w:rsidRPr="00E20760">
        <w:rPr>
          <w:rFonts w:ascii="Palatino Linotype" w:hAnsi="Palatino Linotype"/>
        </w:rPr>
        <w:t>En ese sentido, la suscrita reitera, que si bien coincide en términos generales con el sentido de la resolución en comento, difiero respecto a que se invoquen los artículos 159 y 160 de la Ley General de Transparencia y Acceso a la Inform</w:t>
      </w:r>
      <w:r w:rsidR="00E63F7F" w:rsidRPr="00E20760">
        <w:rPr>
          <w:rFonts w:ascii="Palatino Linotype" w:hAnsi="Palatino Linotype"/>
        </w:rPr>
        <w:t xml:space="preserve">ación Pública en el Resolutivo Cuarto </w:t>
      </w:r>
      <w:r w:rsidR="001A2784" w:rsidRPr="00E20760">
        <w:rPr>
          <w:rFonts w:ascii="Palatino Linotype" w:hAnsi="Palatino Linotype"/>
        </w:rPr>
        <w:t>de la resolución en comento</w:t>
      </w:r>
      <w:r w:rsidRPr="00E20760">
        <w:rPr>
          <w:rFonts w:ascii="Palatino Linotype" w:hAnsi="Palatino Linotype"/>
        </w:rPr>
        <w:t>.</w:t>
      </w:r>
    </w:p>
    <w:p w:rsidR="003C7B7B" w:rsidRPr="00351302" w:rsidRDefault="003C7B7B" w:rsidP="003C7B7B">
      <w:pPr>
        <w:spacing w:before="100" w:beforeAutospacing="1" w:after="100" w:afterAutospacing="1" w:line="360" w:lineRule="auto"/>
        <w:jc w:val="both"/>
        <w:rPr>
          <w:rFonts w:ascii="Palatino Linotype" w:hAnsi="Palatino Linotype" w:cs="Arial"/>
        </w:rPr>
      </w:pPr>
      <w:r>
        <w:rPr>
          <w:rFonts w:ascii="Palatino Linotype" w:hAnsi="Palatino Linotype" w:cs="Arial"/>
        </w:rPr>
        <w:t>Lo anterior, obedece a que</w:t>
      </w:r>
      <w:r w:rsidR="00351302">
        <w:rPr>
          <w:rFonts w:ascii="Palatino Linotype" w:hAnsi="Palatino Linotype" w:cs="Arial"/>
        </w:rPr>
        <w:t xml:space="preserve"> </w:t>
      </w:r>
      <w:r>
        <w:rPr>
          <w:rFonts w:ascii="Palatino Linotype" w:hAnsi="Palatino Linotype" w:cs="Arial"/>
        </w:rPr>
        <w:t xml:space="preserve">el sentido en que se resolvió el recurso de revisión no encuadra con alguna de las hipótesis contenidas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351302">
        <w:rPr>
          <w:rFonts w:ascii="Palatino Linotype" w:hAnsi="Palatino Linotype" w:cs="Arial"/>
        </w:rPr>
        <w:t xml:space="preserve">en el Resolutivo </w:t>
      </w:r>
      <w:r w:rsidR="00E63F7F">
        <w:rPr>
          <w:rFonts w:ascii="Palatino Linotype" w:hAnsi="Palatino Linotype" w:cs="Arial"/>
        </w:rPr>
        <w:t xml:space="preserve">Cuarto </w:t>
      </w:r>
      <w:r>
        <w:rPr>
          <w:rFonts w:ascii="Palatino Linotype" w:hAnsi="Palatino Linotype" w:cs="Arial"/>
        </w:rPr>
        <w:t xml:space="preserve">de la resolución de mérito, a fin de interponer el </w:t>
      </w:r>
      <w:r>
        <w:rPr>
          <w:rFonts w:ascii="Palatino Linotype" w:hAnsi="Palatino Linotype" w:cs="Arial"/>
        </w:rPr>
        <w:lastRenderedPageBreak/>
        <w:t xml:space="preserve">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3C7B7B" w:rsidRDefault="003C7B7B" w:rsidP="003C7B7B">
      <w:pPr>
        <w:spacing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3C7B7B" w:rsidRPr="009F7867" w:rsidRDefault="003C7B7B" w:rsidP="003C7B7B">
      <w:pPr>
        <w:ind w:left="851" w:right="899"/>
        <w:jc w:val="both"/>
        <w:rPr>
          <w:rFonts w:ascii="Palatino Linotype" w:hAnsi="Palatino Linotype"/>
          <w:i/>
          <w:sz w:val="22"/>
          <w:szCs w:val="22"/>
        </w:rPr>
      </w:pPr>
      <w:r w:rsidRPr="009F7867">
        <w:rPr>
          <w:rFonts w:ascii="Palatino Linotype" w:hAnsi="Palatino Linotype"/>
          <w:i/>
          <w:sz w:val="22"/>
          <w:szCs w:val="22"/>
        </w:rPr>
        <w:t>“</w:t>
      </w:r>
      <w:r w:rsidRPr="009F7867">
        <w:rPr>
          <w:rFonts w:ascii="Palatino Linotype" w:hAnsi="Palatino Linotype"/>
          <w:b/>
          <w:i/>
          <w:sz w:val="22"/>
          <w:szCs w:val="22"/>
        </w:rPr>
        <w:t>Artículo 159</w:t>
      </w:r>
      <w:r w:rsidRPr="009F7867">
        <w:rPr>
          <w:rFonts w:ascii="Palatino Linotype" w:hAnsi="Palatino Linotype"/>
          <w:i/>
          <w:sz w:val="22"/>
          <w:szCs w:val="22"/>
        </w:rPr>
        <w:t>. Tratándose de las resoluciones a los recursos de revisión de los Organismos garantes de las Entidades Federativas, los particulares podrán optar por acudir ante el Instituto o ante el Poder Judicial de la Federación.</w:t>
      </w:r>
    </w:p>
    <w:p w:rsidR="003C7B7B" w:rsidRPr="009F7867" w:rsidRDefault="003C7B7B" w:rsidP="003C7B7B">
      <w:pPr>
        <w:ind w:left="851" w:right="899"/>
        <w:jc w:val="both"/>
        <w:rPr>
          <w:rFonts w:ascii="Palatino Linotype" w:hAnsi="Palatino Linotype"/>
          <w:i/>
          <w:sz w:val="22"/>
          <w:szCs w:val="22"/>
        </w:rPr>
      </w:pPr>
    </w:p>
    <w:p w:rsidR="003C7B7B" w:rsidRPr="009F7867" w:rsidRDefault="003C7B7B" w:rsidP="003C7B7B">
      <w:pPr>
        <w:ind w:left="851" w:right="899"/>
        <w:jc w:val="both"/>
        <w:rPr>
          <w:rFonts w:ascii="Palatino Linotype" w:hAnsi="Palatino Linotype"/>
          <w:i/>
          <w:sz w:val="22"/>
          <w:szCs w:val="22"/>
        </w:rPr>
      </w:pPr>
      <w:r w:rsidRPr="009F7867">
        <w:rPr>
          <w:rFonts w:ascii="Palatino Linotype" w:hAnsi="Palatino Linotype"/>
          <w:b/>
          <w:i/>
          <w:sz w:val="22"/>
          <w:szCs w:val="22"/>
        </w:rPr>
        <w:t>Artículo 160</w:t>
      </w:r>
      <w:r w:rsidRPr="009F7867">
        <w:rPr>
          <w:rFonts w:ascii="Palatino Linotype" w:hAnsi="Palatino Linotype"/>
          <w:i/>
          <w:sz w:val="22"/>
          <w:szCs w:val="22"/>
        </w:rPr>
        <w:t>. El recurso de inconformidad procede contra las resoluciones emitidas por los Organismos garantes de las Entidades Federativas que:</w:t>
      </w:r>
    </w:p>
    <w:p w:rsidR="003C7B7B" w:rsidRPr="009F7867" w:rsidRDefault="003C7B7B" w:rsidP="003C7B7B">
      <w:pPr>
        <w:ind w:left="851" w:right="899"/>
        <w:jc w:val="both"/>
        <w:rPr>
          <w:rFonts w:ascii="Palatino Linotype" w:hAnsi="Palatino Linotype"/>
          <w:i/>
          <w:sz w:val="22"/>
          <w:szCs w:val="22"/>
        </w:rPr>
      </w:pPr>
      <w:r w:rsidRPr="009F7867">
        <w:rPr>
          <w:rFonts w:ascii="Palatino Linotype" w:hAnsi="Palatino Linotype"/>
          <w:i/>
          <w:sz w:val="22"/>
          <w:szCs w:val="22"/>
        </w:rPr>
        <w:t>I.</w:t>
      </w:r>
      <w:r w:rsidRPr="009F7867">
        <w:rPr>
          <w:rFonts w:ascii="Palatino Linotype" w:hAnsi="Palatino Linotype"/>
          <w:i/>
          <w:sz w:val="22"/>
          <w:szCs w:val="22"/>
        </w:rPr>
        <w:tab/>
        <w:t>Confirmen o modifiquen la clasificación de la información, o</w:t>
      </w:r>
    </w:p>
    <w:p w:rsidR="003C7B7B" w:rsidRPr="009F7867" w:rsidRDefault="003C7B7B" w:rsidP="003C7B7B">
      <w:pPr>
        <w:ind w:left="851" w:right="899"/>
        <w:jc w:val="both"/>
        <w:rPr>
          <w:rFonts w:ascii="Palatino Linotype" w:hAnsi="Palatino Linotype"/>
          <w:i/>
          <w:sz w:val="22"/>
          <w:szCs w:val="22"/>
        </w:rPr>
      </w:pPr>
      <w:r w:rsidRPr="009F7867">
        <w:rPr>
          <w:rFonts w:ascii="Palatino Linotype" w:hAnsi="Palatino Linotype"/>
          <w:i/>
          <w:sz w:val="22"/>
          <w:szCs w:val="22"/>
        </w:rPr>
        <w:t>II.</w:t>
      </w:r>
      <w:r w:rsidRPr="009F7867">
        <w:rPr>
          <w:rFonts w:ascii="Palatino Linotype" w:hAnsi="Palatino Linotype"/>
          <w:i/>
          <w:sz w:val="22"/>
          <w:szCs w:val="22"/>
        </w:rPr>
        <w:tab/>
        <w:t>Confirmen la inexistencia o negativa de información.</w:t>
      </w:r>
    </w:p>
    <w:p w:rsidR="003C7B7B" w:rsidRDefault="003C7B7B" w:rsidP="003C7B7B">
      <w:pPr>
        <w:ind w:left="851" w:right="899"/>
        <w:jc w:val="both"/>
        <w:rPr>
          <w:rFonts w:ascii="Palatino Linotype" w:hAnsi="Palatino Linotype"/>
          <w:i/>
          <w:sz w:val="22"/>
          <w:szCs w:val="22"/>
        </w:rPr>
      </w:pPr>
      <w:r w:rsidRPr="009F7867">
        <w:rPr>
          <w:rFonts w:ascii="Palatino Linotype" w:hAnsi="Palatino Linotype"/>
          <w:i/>
          <w:sz w:val="22"/>
          <w:szCs w:val="22"/>
        </w:rPr>
        <w:t>Se entenderá como negativa de acceso a la información la falta de resolución de los Organismos garantes de las Entidades Federativas dentro del plazo previsto para ello.”</w:t>
      </w:r>
      <w:r>
        <w:rPr>
          <w:rFonts w:ascii="Palatino Linotype" w:hAnsi="Palatino Linotype"/>
          <w:i/>
          <w:sz w:val="22"/>
          <w:szCs w:val="22"/>
        </w:rPr>
        <w:t>(Sic)</w:t>
      </w:r>
    </w:p>
    <w:p w:rsidR="00763680" w:rsidRPr="00763680" w:rsidRDefault="00763680" w:rsidP="00763680">
      <w:pPr>
        <w:spacing w:before="100" w:beforeAutospacing="1" w:after="100" w:afterAutospacing="1" w:line="360" w:lineRule="auto"/>
        <w:jc w:val="both"/>
        <w:rPr>
          <w:rFonts w:ascii="Palatino Linotype" w:hAnsi="Palatino Linotype" w:cs="Arial"/>
        </w:rPr>
      </w:pPr>
      <w:r w:rsidRPr="00763680">
        <w:rPr>
          <w:rFonts w:ascii="Palatino Linotype" w:hAnsi="Palatino Linotype" w:cs="Arial"/>
        </w:rPr>
        <w:t xml:space="preserve">Así, de lo anterior se advierte que, los artículos en cita no resultan aplicables al asunto en concreto, toda vez que </w:t>
      </w:r>
      <w:r w:rsidRPr="00763680">
        <w:rPr>
          <w:rFonts w:ascii="Palatino Linotype" w:hAnsi="Palatino Linotype" w:cs="Arial"/>
          <w:b/>
        </w:rPr>
        <w:t>EL SUJETO OBLIGADO</w:t>
      </w:r>
      <w:r w:rsidRPr="00763680">
        <w:rPr>
          <w:rFonts w:ascii="Palatino Linotype" w:hAnsi="Palatino Linotype" w:cs="Arial"/>
        </w:rPr>
        <w:t xml:space="preserve"> en su</w:t>
      </w:r>
      <w:r>
        <w:rPr>
          <w:rFonts w:ascii="Palatino Linotype" w:hAnsi="Palatino Linotype" w:cs="Arial"/>
        </w:rPr>
        <w:t>s</w:t>
      </w:r>
      <w:r w:rsidRPr="00763680">
        <w:rPr>
          <w:rFonts w:ascii="Palatino Linotype" w:hAnsi="Palatino Linotype" w:cs="Arial"/>
        </w:rPr>
        <w:t xml:space="preserve"> respuesta</w:t>
      </w:r>
      <w:r>
        <w:rPr>
          <w:rFonts w:ascii="Palatino Linotype" w:hAnsi="Palatino Linotype" w:cs="Arial"/>
        </w:rPr>
        <w:t>s</w:t>
      </w:r>
      <w:r w:rsidRPr="00763680">
        <w:rPr>
          <w:rFonts w:ascii="Palatino Linotype" w:hAnsi="Palatino Linotype" w:cs="Arial"/>
        </w:rPr>
        <w:t xml:space="preserve">, se pronunció respecto de cada uno de los cuestionamientos que le fueron planteados por el solicitante y de los mismos no se advierte que en alguno de ellos se hubiera declarado formalmente la Inexistencia de la información, por lo que, si bien el proyecto presentado por la Ponencia </w:t>
      </w:r>
      <w:proofErr w:type="spellStart"/>
      <w:r w:rsidRPr="00763680">
        <w:rPr>
          <w:rFonts w:ascii="Palatino Linotype" w:hAnsi="Palatino Linotype" w:cs="Arial"/>
        </w:rPr>
        <w:t>Resolutora</w:t>
      </w:r>
      <w:proofErr w:type="spellEnd"/>
      <w:r w:rsidRPr="00763680">
        <w:rPr>
          <w:rFonts w:ascii="Palatino Linotype" w:hAnsi="Palatino Linotype" w:cs="Arial"/>
        </w:rPr>
        <w:t xml:space="preserve"> contempló en el Resolutivo SEGUNDO el </w:t>
      </w:r>
      <w:r w:rsidRPr="00763680">
        <w:rPr>
          <w:rFonts w:ascii="Palatino Linotype" w:hAnsi="Palatino Linotype" w:cs="Arial"/>
        </w:rPr>
        <w:lastRenderedPageBreak/>
        <w:t xml:space="preserve">ordenar la entrega de un Acuerdo de Inexistencia de la información, lo cierto es que el mismo deriva del análisis realizado en la resolución de mérito a la fuente obligacional que lo constriñe, es decir, </w:t>
      </w:r>
      <w:r>
        <w:rPr>
          <w:rFonts w:ascii="Palatino Linotype" w:hAnsi="Palatino Linotype" w:cs="Arial"/>
        </w:rPr>
        <w:t xml:space="preserve">que en base a </w:t>
      </w:r>
      <w:r w:rsidRPr="00763680">
        <w:rPr>
          <w:rFonts w:ascii="Palatino Linotype" w:hAnsi="Palatino Linotype" w:cs="Arial"/>
        </w:rPr>
        <w:t xml:space="preserve">que sólo se llevaron sesiones de Pleno, de enero a septiembre de dos mil dieciocho, se puede colegir que las actas de sesiones ordinarias del mes de octubre a diciembre de la anualidad previamente referida, </w:t>
      </w:r>
      <w:r w:rsidR="001A7C1C">
        <w:rPr>
          <w:rFonts w:ascii="Palatino Linotype" w:hAnsi="Palatino Linotype" w:cs="Arial"/>
        </w:rPr>
        <w:t xml:space="preserve">eran inexistentes; por lo que </w:t>
      </w:r>
      <w:r w:rsidRPr="00763680">
        <w:rPr>
          <w:rFonts w:ascii="Palatino Linotype" w:hAnsi="Palatino Linotype" w:cs="Arial"/>
          <w:b/>
        </w:rPr>
        <w:t xml:space="preserve">EL SUJETO OBLIGADO </w:t>
      </w:r>
      <w:r w:rsidR="001A7C1C">
        <w:rPr>
          <w:rFonts w:ascii="Palatino Linotype" w:hAnsi="Palatino Linotype" w:cs="Arial"/>
        </w:rPr>
        <w:t>al</w:t>
      </w:r>
      <w:r w:rsidRPr="00763680">
        <w:rPr>
          <w:rFonts w:ascii="Palatino Linotype" w:hAnsi="Palatino Linotype" w:cs="Arial"/>
        </w:rPr>
        <w:t xml:space="preserve"> no </w:t>
      </w:r>
      <w:r w:rsidR="001A7C1C">
        <w:rPr>
          <w:rFonts w:ascii="Palatino Linotype" w:hAnsi="Palatino Linotype" w:cs="Arial"/>
        </w:rPr>
        <w:t xml:space="preserve">encontrarla información </w:t>
      </w:r>
      <w:r w:rsidRPr="00763680">
        <w:rPr>
          <w:rFonts w:ascii="Palatino Linotype" w:hAnsi="Palatino Linotype" w:cs="Arial"/>
        </w:rPr>
        <w:t xml:space="preserve">dentro de sus archivos, su Comité de Transparencia debería declarar de manera fundada y motivada las razones por las que no obra la </w:t>
      </w:r>
      <w:r w:rsidR="001A7C1C">
        <w:rPr>
          <w:rFonts w:ascii="Palatino Linotype" w:hAnsi="Palatino Linotype" w:cs="Arial"/>
        </w:rPr>
        <w:t xml:space="preserve">documental </w:t>
      </w:r>
      <w:r w:rsidRPr="00763680">
        <w:rPr>
          <w:rFonts w:ascii="Palatino Linotype" w:hAnsi="Palatino Linotype" w:cs="Arial"/>
        </w:rPr>
        <w:t>solicitada en sus archivos; por lo que, se advierte que éste Órgano Garante no está confirmando la inexistencia de la información,</w:t>
      </w:r>
      <w:r w:rsidR="006307BC">
        <w:rPr>
          <w:rFonts w:ascii="Palatino Linotype" w:hAnsi="Palatino Linotype" w:cs="Arial"/>
        </w:rPr>
        <w:t xml:space="preserve"> debido a que no hubo un Acuerdo previo al que se está ordenando, sino que de las constancias que obran </w:t>
      </w:r>
      <w:r w:rsidR="004A6635">
        <w:rPr>
          <w:rFonts w:ascii="Palatino Linotype" w:hAnsi="Palatino Linotype" w:cs="Arial"/>
        </w:rPr>
        <w:t xml:space="preserve">en SAIMEX </w:t>
      </w:r>
      <w:r w:rsidR="006307BC">
        <w:rPr>
          <w:rFonts w:ascii="Palatino Linotype" w:hAnsi="Palatino Linotype" w:cs="Arial"/>
        </w:rPr>
        <w:t xml:space="preserve">se puede advertir </w:t>
      </w:r>
      <w:r w:rsidR="004A6635">
        <w:rPr>
          <w:rFonts w:ascii="Palatino Linotype" w:hAnsi="Palatino Linotype" w:cs="Arial"/>
        </w:rPr>
        <w:t xml:space="preserve">que </w:t>
      </w:r>
      <w:r w:rsidR="004A6635" w:rsidRPr="004A6635">
        <w:rPr>
          <w:rFonts w:ascii="Palatino Linotype" w:hAnsi="Palatino Linotype" w:cs="Arial"/>
          <w:b/>
        </w:rPr>
        <w:t>EL SUJETO OBLIGADO</w:t>
      </w:r>
      <w:r w:rsidR="004A6635">
        <w:rPr>
          <w:rFonts w:ascii="Palatino Linotype" w:hAnsi="Palatino Linotype" w:cs="Arial"/>
        </w:rPr>
        <w:t xml:space="preserve"> en respuesta no se pronunció del mes de octubre a diciembre, sino que fue la Ponencia </w:t>
      </w:r>
      <w:proofErr w:type="spellStart"/>
      <w:r w:rsidR="004A6635">
        <w:rPr>
          <w:rFonts w:ascii="Palatino Linotype" w:hAnsi="Palatino Linotype" w:cs="Arial"/>
        </w:rPr>
        <w:t>Resolutora</w:t>
      </w:r>
      <w:proofErr w:type="spellEnd"/>
      <w:r w:rsidR="004A6635">
        <w:rPr>
          <w:rFonts w:ascii="Palatino Linotype" w:hAnsi="Palatino Linotype" w:cs="Arial"/>
        </w:rPr>
        <w:t xml:space="preserve"> quien en su estudio señaló que el Sujeto Obligado al manifestar que eran las únicas sesiones que se habían llevado</w:t>
      </w:r>
      <w:r w:rsidR="00E42B30">
        <w:rPr>
          <w:rFonts w:ascii="Palatino Linotype" w:hAnsi="Palatino Linotype" w:cs="Arial"/>
        </w:rPr>
        <w:t xml:space="preserve"> a cabo </w:t>
      </w:r>
      <w:r w:rsidR="004A6635">
        <w:rPr>
          <w:rFonts w:ascii="Palatino Linotype" w:hAnsi="Palatino Linotype" w:cs="Arial"/>
        </w:rPr>
        <w:t>durante el año,</w:t>
      </w:r>
      <w:r w:rsidR="00E42B30">
        <w:rPr>
          <w:rFonts w:ascii="Palatino Linotype" w:hAnsi="Palatino Linotype" w:cs="Arial"/>
        </w:rPr>
        <w:t xml:space="preserve"> se podía concluir que las actas ordinarias del mes de octubre a diciembre eran inexistentes, </w:t>
      </w:r>
      <w:r w:rsidRPr="00763680">
        <w:rPr>
          <w:rFonts w:ascii="Palatino Linotype" w:hAnsi="Palatino Linotype" w:cs="Arial"/>
        </w:rPr>
        <w:t>aunado a que resolvió el recurso de revisión dentro del plazo previsto para ello, por lo que, en consecuencia no puede considerarse como negativa de la información, siendo que no se actualizan ninguno de los supuestos legales anteriormente citados, específicamente en la fracción II del artículo 160 de la Ley en comento.</w:t>
      </w:r>
    </w:p>
    <w:p w:rsidR="003C7B7B" w:rsidRDefault="00763680" w:rsidP="00763680">
      <w:pPr>
        <w:spacing w:before="100" w:beforeAutospacing="1" w:after="100" w:afterAutospacing="1" w:line="360" w:lineRule="auto"/>
        <w:jc w:val="both"/>
        <w:rPr>
          <w:rFonts w:ascii="Palatino Linotype" w:hAnsi="Palatino Linotype" w:cs="Arial"/>
        </w:rPr>
      </w:pPr>
      <w:r w:rsidRPr="00763680">
        <w:rPr>
          <w:rFonts w:ascii="Palatino Linotype" w:hAnsi="Palatino Linotype" w:cs="Arial"/>
        </w:rPr>
        <w:t xml:space="preserve">En ese contexto, la que suscribe emite </w:t>
      </w:r>
      <w:r w:rsidRPr="001A7C1C">
        <w:rPr>
          <w:rFonts w:ascii="Palatino Linotype" w:hAnsi="Palatino Linotype" w:cs="Arial"/>
          <w:b/>
        </w:rPr>
        <w:t>VOTO PARTICULAR</w:t>
      </w:r>
      <w:r w:rsidRPr="00763680">
        <w:rPr>
          <w:rFonts w:ascii="Palatino Linotype" w:hAnsi="Palatino Linotype" w:cs="Arial"/>
        </w:rPr>
        <w:t xml:space="preserve"> pues se insiste en que la Ponencia </w:t>
      </w:r>
      <w:proofErr w:type="spellStart"/>
      <w:r w:rsidRPr="00763680">
        <w:rPr>
          <w:rFonts w:ascii="Palatino Linotype" w:hAnsi="Palatino Linotype" w:cs="Arial"/>
        </w:rPr>
        <w:t>Resolutora</w:t>
      </w:r>
      <w:proofErr w:type="spellEnd"/>
      <w:r w:rsidRPr="00763680">
        <w:rPr>
          <w:rFonts w:ascii="Palatino Linotype" w:hAnsi="Palatino Linotype" w:cs="Arial"/>
        </w:rPr>
        <w:t xml:space="preserve"> no debió invocar los artículos  159 y 160 de la Ley General de </w:t>
      </w:r>
      <w:r w:rsidRPr="00763680">
        <w:rPr>
          <w:rFonts w:ascii="Palatino Linotype" w:hAnsi="Palatino Linotype" w:cs="Arial"/>
        </w:rPr>
        <w:lastRenderedPageBreak/>
        <w:t>Transparencia y Acceso a la Información Pública en el Resolutivo CUARTO de la resolución ya que de las constancias del expediente no se advierten actos que encuadren en los supuestos legales de procedencia.</w:t>
      </w:r>
    </w:p>
    <w:tbl>
      <w:tblPr>
        <w:tblW w:w="4393" w:type="dxa"/>
        <w:jc w:val="center"/>
        <w:tblLayout w:type="fixed"/>
        <w:tblLook w:val="04A0" w:firstRow="1" w:lastRow="0" w:firstColumn="1" w:lastColumn="0" w:noHBand="0" w:noVBand="1"/>
      </w:tblPr>
      <w:tblGrid>
        <w:gridCol w:w="4393"/>
      </w:tblGrid>
      <w:tr w:rsidR="003C7B7B" w:rsidRPr="001950C9" w:rsidTr="004E0AD9">
        <w:trPr>
          <w:jc w:val="center"/>
        </w:trPr>
        <w:tc>
          <w:tcPr>
            <w:tcW w:w="4393" w:type="dxa"/>
          </w:tcPr>
          <w:p w:rsidR="00496910" w:rsidRDefault="00496910" w:rsidP="004E0AD9">
            <w:pPr>
              <w:jc w:val="center"/>
              <w:rPr>
                <w:rFonts w:ascii="Palatino Linotype" w:hAnsi="Palatino Linotype"/>
                <w:b/>
                <w:sz w:val="16"/>
                <w:szCs w:val="16"/>
              </w:rPr>
            </w:pPr>
          </w:p>
          <w:p w:rsidR="00E42B30" w:rsidRDefault="00E42B30" w:rsidP="004E0AD9">
            <w:pPr>
              <w:jc w:val="center"/>
              <w:rPr>
                <w:rFonts w:ascii="Palatino Linotype" w:hAnsi="Palatino Linotype"/>
                <w:b/>
                <w:sz w:val="16"/>
                <w:szCs w:val="16"/>
              </w:rPr>
            </w:pPr>
          </w:p>
          <w:p w:rsidR="00E42B30" w:rsidRDefault="00E42B30" w:rsidP="004E0AD9">
            <w:pPr>
              <w:jc w:val="center"/>
              <w:rPr>
                <w:rFonts w:ascii="Palatino Linotype" w:hAnsi="Palatino Linotype"/>
                <w:b/>
                <w:sz w:val="16"/>
                <w:szCs w:val="16"/>
              </w:rPr>
            </w:pPr>
          </w:p>
          <w:p w:rsidR="00E42B30" w:rsidRDefault="00E42B30" w:rsidP="004E0AD9">
            <w:pPr>
              <w:jc w:val="center"/>
              <w:rPr>
                <w:rFonts w:ascii="Palatino Linotype" w:hAnsi="Palatino Linotype"/>
                <w:b/>
                <w:sz w:val="16"/>
                <w:szCs w:val="16"/>
              </w:rPr>
            </w:pPr>
          </w:p>
          <w:p w:rsidR="00E42B30" w:rsidRDefault="00E42B30" w:rsidP="004E0AD9">
            <w:pPr>
              <w:jc w:val="center"/>
              <w:rPr>
                <w:rFonts w:ascii="Palatino Linotype" w:hAnsi="Palatino Linotype"/>
                <w:b/>
                <w:sz w:val="16"/>
                <w:szCs w:val="16"/>
              </w:rPr>
            </w:pPr>
          </w:p>
          <w:p w:rsidR="00E42B30" w:rsidRDefault="00E42B30" w:rsidP="004E0AD9">
            <w:pPr>
              <w:jc w:val="center"/>
              <w:rPr>
                <w:rFonts w:ascii="Palatino Linotype" w:hAnsi="Palatino Linotype"/>
                <w:b/>
                <w:sz w:val="16"/>
                <w:szCs w:val="16"/>
              </w:rPr>
            </w:pPr>
          </w:p>
          <w:p w:rsidR="00E42B30" w:rsidRDefault="00E42B30" w:rsidP="004E0AD9">
            <w:pPr>
              <w:jc w:val="center"/>
              <w:rPr>
                <w:rFonts w:ascii="Palatino Linotype" w:hAnsi="Palatino Linotype"/>
                <w:b/>
                <w:sz w:val="16"/>
                <w:szCs w:val="16"/>
              </w:rPr>
            </w:pPr>
          </w:p>
          <w:p w:rsidR="00E42B30" w:rsidRDefault="00E42B30" w:rsidP="004E0AD9">
            <w:pPr>
              <w:jc w:val="center"/>
              <w:rPr>
                <w:rFonts w:ascii="Palatino Linotype" w:hAnsi="Palatino Linotype"/>
                <w:b/>
                <w:sz w:val="16"/>
                <w:szCs w:val="16"/>
              </w:rPr>
            </w:pPr>
          </w:p>
          <w:p w:rsidR="00E42B30" w:rsidRDefault="00E42B30" w:rsidP="004E0AD9">
            <w:pPr>
              <w:jc w:val="center"/>
              <w:rPr>
                <w:rFonts w:ascii="Palatino Linotype" w:hAnsi="Palatino Linotype"/>
                <w:b/>
                <w:sz w:val="16"/>
                <w:szCs w:val="16"/>
              </w:rPr>
            </w:pPr>
          </w:p>
          <w:p w:rsidR="00C038C4" w:rsidRDefault="00C038C4" w:rsidP="004E0AD9">
            <w:pPr>
              <w:jc w:val="center"/>
              <w:rPr>
                <w:rFonts w:ascii="Palatino Linotype" w:hAnsi="Palatino Linotype"/>
                <w:b/>
                <w:sz w:val="16"/>
                <w:szCs w:val="16"/>
              </w:rPr>
            </w:pPr>
          </w:p>
          <w:p w:rsidR="00E42B30" w:rsidRDefault="00E42B30" w:rsidP="004E0AD9">
            <w:pPr>
              <w:jc w:val="center"/>
              <w:rPr>
                <w:rFonts w:ascii="Palatino Linotype" w:hAnsi="Palatino Linotype"/>
                <w:b/>
                <w:sz w:val="16"/>
                <w:szCs w:val="16"/>
              </w:rPr>
            </w:pPr>
          </w:p>
          <w:p w:rsidR="00E42B30" w:rsidRDefault="00E42B30" w:rsidP="004E0AD9">
            <w:pPr>
              <w:jc w:val="center"/>
              <w:rPr>
                <w:rFonts w:ascii="Palatino Linotype" w:hAnsi="Palatino Linotype"/>
                <w:b/>
                <w:sz w:val="16"/>
                <w:szCs w:val="16"/>
              </w:rPr>
            </w:pPr>
          </w:p>
          <w:p w:rsidR="00E42B30" w:rsidRDefault="00E42B30" w:rsidP="004E0AD9">
            <w:pPr>
              <w:jc w:val="center"/>
              <w:rPr>
                <w:rFonts w:ascii="Palatino Linotype" w:hAnsi="Palatino Linotype"/>
                <w:b/>
                <w:sz w:val="16"/>
                <w:szCs w:val="16"/>
              </w:rPr>
            </w:pPr>
          </w:p>
          <w:p w:rsidR="00E42B30" w:rsidRDefault="00E42B30" w:rsidP="004E0AD9">
            <w:pPr>
              <w:jc w:val="center"/>
              <w:rPr>
                <w:rFonts w:ascii="Palatino Linotype" w:hAnsi="Palatino Linotype"/>
                <w:b/>
                <w:sz w:val="16"/>
                <w:szCs w:val="16"/>
              </w:rPr>
            </w:pPr>
          </w:p>
          <w:p w:rsidR="00E42B30" w:rsidRDefault="00E42B30" w:rsidP="004E0AD9">
            <w:pPr>
              <w:jc w:val="center"/>
              <w:rPr>
                <w:rFonts w:ascii="Palatino Linotype" w:hAnsi="Palatino Linotype"/>
                <w:b/>
                <w:sz w:val="16"/>
                <w:szCs w:val="16"/>
              </w:rPr>
            </w:pPr>
          </w:p>
          <w:p w:rsidR="00E42B30" w:rsidRDefault="00E42B30" w:rsidP="004E0AD9">
            <w:pPr>
              <w:jc w:val="center"/>
              <w:rPr>
                <w:rFonts w:ascii="Palatino Linotype" w:hAnsi="Palatino Linotype"/>
                <w:b/>
                <w:sz w:val="16"/>
                <w:szCs w:val="16"/>
              </w:rPr>
            </w:pPr>
          </w:p>
          <w:p w:rsidR="00E42B30" w:rsidRDefault="00E42B30" w:rsidP="004E0AD9">
            <w:pPr>
              <w:jc w:val="center"/>
              <w:rPr>
                <w:rFonts w:ascii="Palatino Linotype" w:hAnsi="Palatino Linotype"/>
                <w:b/>
                <w:sz w:val="16"/>
                <w:szCs w:val="16"/>
              </w:rPr>
            </w:pPr>
            <w:bookmarkStart w:id="0" w:name="_GoBack"/>
            <w:bookmarkEnd w:id="0"/>
          </w:p>
          <w:p w:rsidR="003C7B7B" w:rsidRPr="001950C9" w:rsidRDefault="003C7B7B" w:rsidP="004E0AD9">
            <w:pPr>
              <w:jc w:val="center"/>
              <w:rPr>
                <w:rFonts w:ascii="Palatino Linotype" w:hAnsi="Palatino Linotype"/>
                <w:b/>
              </w:rPr>
            </w:pPr>
            <w:r w:rsidRPr="001950C9">
              <w:rPr>
                <w:rFonts w:ascii="Palatino Linotype" w:hAnsi="Palatino Linotype"/>
                <w:b/>
              </w:rPr>
              <w:t>EVA ABAID YAPUR</w:t>
            </w:r>
          </w:p>
          <w:p w:rsidR="003C7B7B" w:rsidRDefault="003C7B7B" w:rsidP="00C038C4">
            <w:pPr>
              <w:jc w:val="center"/>
              <w:rPr>
                <w:rFonts w:ascii="Palatino Linotype" w:hAnsi="Palatino Linotype"/>
                <w:b/>
              </w:rPr>
            </w:pPr>
            <w:r w:rsidRPr="001950C9">
              <w:rPr>
                <w:rFonts w:ascii="Palatino Linotype" w:hAnsi="Palatino Linotype"/>
                <w:b/>
              </w:rPr>
              <w:t>COMISIONADA</w:t>
            </w:r>
          </w:p>
          <w:p w:rsidR="00992D5A" w:rsidRPr="001950C9" w:rsidRDefault="00992D5A" w:rsidP="00C038C4">
            <w:pPr>
              <w:jc w:val="center"/>
              <w:rPr>
                <w:rFonts w:ascii="Palatino Linotype" w:hAnsi="Palatino Linotype"/>
                <w:b/>
              </w:rPr>
            </w:pPr>
            <w:r>
              <w:rPr>
                <w:rFonts w:ascii="Palatino Linotype" w:hAnsi="Palatino Linotype" w:cs="Arial"/>
                <w:b/>
              </w:rPr>
              <w:t>(RÚBRICA)</w:t>
            </w:r>
          </w:p>
        </w:tc>
      </w:tr>
    </w:tbl>
    <w:p w:rsidR="00496910" w:rsidRDefault="00496910" w:rsidP="00496910">
      <w:pPr>
        <w:jc w:val="both"/>
        <w:rPr>
          <w:rFonts w:ascii="Palatino Linotype" w:eastAsia="Calibri" w:hAnsi="Palatino Linotype" w:cs="Arial"/>
          <w:color w:val="000000" w:themeColor="text1"/>
          <w:sz w:val="6"/>
          <w:szCs w:val="6"/>
        </w:rPr>
      </w:pPr>
    </w:p>
    <w:p w:rsidR="001A7C1C" w:rsidRDefault="001A7C1C" w:rsidP="00496910">
      <w:pPr>
        <w:jc w:val="both"/>
        <w:rPr>
          <w:rFonts w:ascii="Palatino Linotype" w:eastAsia="Calibri" w:hAnsi="Palatino Linotype" w:cs="Arial"/>
          <w:color w:val="000000" w:themeColor="text1"/>
          <w:sz w:val="6"/>
          <w:szCs w:val="6"/>
        </w:rPr>
      </w:pPr>
    </w:p>
    <w:p w:rsidR="001A7C1C" w:rsidRDefault="001A7C1C" w:rsidP="00496910">
      <w:pPr>
        <w:jc w:val="both"/>
        <w:rPr>
          <w:rFonts w:ascii="Palatino Linotype" w:eastAsia="Calibri" w:hAnsi="Palatino Linotype" w:cs="Arial"/>
          <w:color w:val="000000" w:themeColor="text1"/>
          <w:sz w:val="6"/>
          <w:szCs w:val="6"/>
        </w:rPr>
      </w:pPr>
    </w:p>
    <w:p w:rsidR="001A7C1C" w:rsidRDefault="001A7C1C" w:rsidP="00496910">
      <w:pPr>
        <w:jc w:val="both"/>
        <w:rPr>
          <w:rFonts w:ascii="Palatino Linotype" w:eastAsia="Calibri" w:hAnsi="Palatino Linotype" w:cs="Arial"/>
          <w:color w:val="000000" w:themeColor="text1"/>
          <w:sz w:val="6"/>
          <w:szCs w:val="6"/>
        </w:rPr>
      </w:pPr>
    </w:p>
    <w:p w:rsidR="001A7C1C" w:rsidRDefault="001A7C1C" w:rsidP="00496910">
      <w:pPr>
        <w:jc w:val="both"/>
        <w:rPr>
          <w:rFonts w:ascii="Palatino Linotype" w:eastAsia="Calibri" w:hAnsi="Palatino Linotype" w:cs="Arial"/>
          <w:color w:val="000000" w:themeColor="text1"/>
          <w:sz w:val="6"/>
          <w:szCs w:val="6"/>
        </w:rPr>
      </w:pPr>
    </w:p>
    <w:p w:rsidR="001A7C1C" w:rsidRDefault="001A7C1C" w:rsidP="00496910">
      <w:pPr>
        <w:jc w:val="both"/>
        <w:rPr>
          <w:rFonts w:ascii="Palatino Linotype" w:eastAsia="Calibri" w:hAnsi="Palatino Linotype" w:cs="Arial"/>
          <w:color w:val="000000" w:themeColor="text1"/>
          <w:sz w:val="6"/>
          <w:szCs w:val="6"/>
        </w:rPr>
      </w:pPr>
    </w:p>
    <w:p w:rsidR="001A7C1C" w:rsidRDefault="001A7C1C" w:rsidP="00496910">
      <w:pPr>
        <w:jc w:val="both"/>
        <w:rPr>
          <w:rFonts w:ascii="Palatino Linotype" w:eastAsia="Calibri" w:hAnsi="Palatino Linotype" w:cs="Arial"/>
          <w:color w:val="000000" w:themeColor="text1"/>
          <w:sz w:val="6"/>
          <w:szCs w:val="6"/>
        </w:rPr>
      </w:pPr>
    </w:p>
    <w:p w:rsidR="001A7C1C" w:rsidRDefault="001A7C1C"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C038C4" w:rsidRDefault="00C038C4" w:rsidP="00496910">
      <w:pPr>
        <w:jc w:val="both"/>
        <w:rPr>
          <w:rFonts w:ascii="Palatino Linotype" w:eastAsia="Calibri" w:hAnsi="Palatino Linotype" w:cs="Arial"/>
          <w:color w:val="000000" w:themeColor="text1"/>
          <w:sz w:val="6"/>
          <w:szCs w:val="6"/>
        </w:rPr>
      </w:pPr>
    </w:p>
    <w:p w:rsidR="00C038C4" w:rsidRDefault="00C038C4" w:rsidP="00496910">
      <w:pPr>
        <w:jc w:val="both"/>
        <w:rPr>
          <w:rFonts w:ascii="Palatino Linotype" w:eastAsia="Calibri" w:hAnsi="Palatino Linotype" w:cs="Arial"/>
          <w:color w:val="000000" w:themeColor="text1"/>
          <w:sz w:val="6"/>
          <w:szCs w:val="6"/>
        </w:rPr>
      </w:pPr>
    </w:p>
    <w:p w:rsidR="00E42B30" w:rsidRDefault="00E42B30" w:rsidP="00496910">
      <w:pPr>
        <w:jc w:val="both"/>
        <w:rPr>
          <w:rFonts w:ascii="Palatino Linotype" w:eastAsia="Calibri" w:hAnsi="Palatino Linotype" w:cs="Arial"/>
          <w:color w:val="000000" w:themeColor="text1"/>
          <w:sz w:val="6"/>
          <w:szCs w:val="6"/>
        </w:rPr>
      </w:pPr>
    </w:p>
    <w:p w:rsidR="00E42B30" w:rsidRPr="00496910" w:rsidRDefault="00E42B30" w:rsidP="00496910">
      <w:pPr>
        <w:jc w:val="both"/>
        <w:rPr>
          <w:rFonts w:ascii="Palatino Linotype" w:eastAsia="Calibri" w:hAnsi="Palatino Linotype" w:cs="Arial"/>
          <w:color w:val="000000" w:themeColor="text1"/>
          <w:sz w:val="6"/>
          <w:szCs w:val="6"/>
        </w:rPr>
      </w:pPr>
    </w:p>
    <w:p w:rsidR="003C7B7B" w:rsidRDefault="003C7B7B" w:rsidP="00496910">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00351302">
        <w:rPr>
          <w:rFonts w:ascii="Palatino Linotype" w:eastAsia="Calibri" w:hAnsi="Palatino Linotype" w:cs="Arial"/>
          <w:color w:val="000000" w:themeColor="text1"/>
          <w:sz w:val="20"/>
          <w:szCs w:val="20"/>
        </w:rPr>
        <w:t>e</w:t>
      </w:r>
      <w:r w:rsidR="001A7C1C">
        <w:rPr>
          <w:rFonts w:ascii="Palatino Linotype" w:eastAsia="Calibri" w:hAnsi="Palatino Linotype" w:cs="Arial"/>
          <w:color w:val="000000" w:themeColor="text1"/>
          <w:sz w:val="20"/>
          <w:szCs w:val="20"/>
        </w:rPr>
        <w:t xml:space="preserve"> </w:t>
      </w:r>
      <w:r w:rsidR="00351302">
        <w:rPr>
          <w:rFonts w:ascii="Palatino Linotype" w:eastAsia="Calibri" w:hAnsi="Palatino Linotype" w:cs="Arial"/>
          <w:color w:val="000000" w:themeColor="text1"/>
          <w:sz w:val="20"/>
          <w:szCs w:val="20"/>
        </w:rPr>
        <w:t>l</w:t>
      </w:r>
      <w:r w:rsidR="001A7C1C">
        <w:rPr>
          <w:rFonts w:ascii="Palatino Linotype" w:eastAsia="Calibri" w:hAnsi="Palatino Linotype" w:cs="Arial"/>
          <w:color w:val="000000" w:themeColor="text1"/>
          <w:sz w:val="20"/>
          <w:szCs w:val="20"/>
        </w:rPr>
        <w:t>os</w:t>
      </w:r>
      <w:r w:rsidRPr="001950C9">
        <w:rPr>
          <w:rFonts w:ascii="Palatino Linotype" w:eastAsia="Calibri" w:hAnsi="Palatino Linotype" w:cs="Arial"/>
          <w:color w:val="000000" w:themeColor="text1"/>
          <w:sz w:val="20"/>
          <w:szCs w:val="20"/>
        </w:rPr>
        <w:t xml:space="preserve"> </w:t>
      </w:r>
      <w:r w:rsidR="00496910" w:rsidRPr="001950C9">
        <w:rPr>
          <w:rFonts w:ascii="Palatino Linotype" w:eastAsia="Calibri" w:hAnsi="Palatino Linotype" w:cs="Arial"/>
          <w:color w:val="000000" w:themeColor="text1"/>
          <w:sz w:val="20"/>
          <w:szCs w:val="20"/>
        </w:rPr>
        <w:t>Recurso</w:t>
      </w:r>
      <w:r w:rsidR="001A7C1C">
        <w:rPr>
          <w:rFonts w:ascii="Palatino Linotype" w:eastAsia="Calibri" w:hAnsi="Palatino Linotype" w:cs="Arial"/>
          <w:color w:val="000000" w:themeColor="text1"/>
          <w:sz w:val="20"/>
          <w:szCs w:val="20"/>
        </w:rPr>
        <w:t>s</w:t>
      </w:r>
      <w:r w:rsidR="00496910" w:rsidRPr="001950C9">
        <w:rPr>
          <w:rFonts w:ascii="Palatino Linotype" w:eastAsia="Calibri" w:hAnsi="Palatino Linotype" w:cs="Arial"/>
          <w:color w:val="000000" w:themeColor="text1"/>
          <w:sz w:val="20"/>
          <w:szCs w:val="20"/>
        </w:rPr>
        <w:t xml:space="preserve"> </w:t>
      </w:r>
      <w:r w:rsidRPr="001950C9">
        <w:rPr>
          <w:rFonts w:ascii="Palatino Linotype" w:eastAsia="Calibri" w:hAnsi="Palatino Linotype" w:cs="Arial"/>
          <w:color w:val="000000" w:themeColor="text1"/>
          <w:sz w:val="20"/>
          <w:szCs w:val="20"/>
        </w:rPr>
        <w:t xml:space="preserve">de </w:t>
      </w:r>
      <w:r w:rsidR="00496910" w:rsidRPr="001950C9">
        <w:rPr>
          <w:rFonts w:ascii="Palatino Linotype" w:eastAsia="Calibri" w:hAnsi="Palatino Linotype" w:cs="Arial"/>
          <w:color w:val="000000" w:themeColor="text1"/>
          <w:sz w:val="20"/>
          <w:szCs w:val="20"/>
        </w:rPr>
        <w:t xml:space="preserve">Revisión </w:t>
      </w:r>
      <w:r w:rsidRPr="001950C9">
        <w:rPr>
          <w:rFonts w:ascii="Palatino Linotype" w:eastAsia="Calibri" w:hAnsi="Palatino Linotype" w:cs="Arial"/>
          <w:color w:val="000000" w:themeColor="text1"/>
          <w:sz w:val="20"/>
          <w:szCs w:val="20"/>
        </w:rPr>
        <w:t>0</w:t>
      </w:r>
      <w:r w:rsidR="001A7C1C">
        <w:rPr>
          <w:rFonts w:ascii="Palatino Linotype" w:eastAsia="Calibri" w:hAnsi="Palatino Linotype" w:cs="Arial"/>
          <w:color w:val="000000" w:themeColor="text1"/>
          <w:sz w:val="20"/>
          <w:szCs w:val="20"/>
        </w:rPr>
        <w:t>1376</w:t>
      </w:r>
      <w:r w:rsidRPr="001950C9">
        <w:rPr>
          <w:rFonts w:ascii="Palatino Linotype" w:eastAsia="Calibri" w:hAnsi="Palatino Linotype" w:cs="Arial"/>
          <w:color w:val="000000" w:themeColor="text1"/>
          <w:sz w:val="20"/>
          <w:szCs w:val="20"/>
        </w:rPr>
        <w:t>/INFOEM/IP/RR/201</w:t>
      </w:r>
      <w:r w:rsidR="00351302">
        <w:rPr>
          <w:rFonts w:ascii="Palatino Linotype" w:eastAsia="Calibri" w:hAnsi="Palatino Linotype" w:cs="Arial"/>
          <w:color w:val="000000" w:themeColor="text1"/>
          <w:sz w:val="20"/>
          <w:szCs w:val="20"/>
        </w:rPr>
        <w:t>9</w:t>
      </w:r>
      <w:r w:rsidR="001A7C1C">
        <w:rPr>
          <w:rFonts w:ascii="Palatino Linotype" w:eastAsia="Calibri" w:hAnsi="Palatino Linotype" w:cs="Arial"/>
          <w:color w:val="000000" w:themeColor="text1"/>
          <w:sz w:val="20"/>
          <w:szCs w:val="20"/>
        </w:rPr>
        <w:t xml:space="preserve"> y acumulado</w:t>
      </w:r>
      <w:r w:rsidR="00351302">
        <w:rPr>
          <w:rFonts w:ascii="Palatino Linotype" w:eastAsia="Calibri" w:hAnsi="Palatino Linotype" w:cs="Arial"/>
          <w:color w:val="000000" w:themeColor="text1"/>
          <w:sz w:val="20"/>
          <w:szCs w:val="20"/>
        </w:rPr>
        <w:t>, aprobad</w:t>
      </w:r>
      <w:r w:rsidR="00496910">
        <w:rPr>
          <w:rFonts w:ascii="Palatino Linotype" w:eastAsia="Calibri" w:hAnsi="Palatino Linotype" w:cs="Arial"/>
          <w:color w:val="000000" w:themeColor="text1"/>
          <w:sz w:val="20"/>
          <w:szCs w:val="20"/>
        </w:rPr>
        <w:t xml:space="preserve">a el </w:t>
      </w:r>
      <w:r w:rsidR="001A7C1C">
        <w:rPr>
          <w:rFonts w:ascii="Palatino Linotype" w:eastAsia="Calibri" w:hAnsi="Palatino Linotype" w:cs="Arial"/>
          <w:color w:val="000000" w:themeColor="text1"/>
          <w:sz w:val="20"/>
          <w:szCs w:val="20"/>
        </w:rPr>
        <w:t xml:space="preserve">veintidós </w:t>
      </w:r>
      <w:r w:rsidR="00496910">
        <w:rPr>
          <w:rFonts w:ascii="Palatino Linotype" w:eastAsia="Calibri" w:hAnsi="Palatino Linotype" w:cs="Arial"/>
          <w:color w:val="000000" w:themeColor="text1"/>
          <w:sz w:val="20"/>
          <w:szCs w:val="20"/>
        </w:rPr>
        <w:t>de may</w:t>
      </w:r>
      <w:r w:rsidR="00351302">
        <w:rPr>
          <w:rFonts w:ascii="Palatino Linotype" w:eastAsia="Calibri" w:hAnsi="Palatino Linotype" w:cs="Arial"/>
          <w:color w:val="000000" w:themeColor="text1"/>
          <w:sz w:val="20"/>
          <w:szCs w:val="20"/>
        </w:rPr>
        <w:t>o</w:t>
      </w:r>
      <w:r>
        <w:rPr>
          <w:rFonts w:ascii="Palatino Linotype" w:eastAsia="Calibri" w:hAnsi="Palatino Linotype" w:cs="Arial"/>
          <w:color w:val="000000" w:themeColor="text1"/>
          <w:sz w:val="20"/>
          <w:szCs w:val="20"/>
        </w:rPr>
        <w:t xml:space="preserve"> de dos mil dieci</w:t>
      </w:r>
      <w:r w:rsidR="00351302">
        <w:rPr>
          <w:rFonts w:ascii="Palatino Linotype" w:eastAsia="Calibri" w:hAnsi="Palatino Linotype" w:cs="Arial"/>
          <w:color w:val="000000" w:themeColor="text1"/>
          <w:sz w:val="20"/>
          <w:szCs w:val="20"/>
        </w:rPr>
        <w:t>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1A7C1C" w:rsidRPr="001A7C1C" w:rsidRDefault="001A7C1C" w:rsidP="00496910">
      <w:pPr>
        <w:jc w:val="both"/>
        <w:rPr>
          <w:rFonts w:ascii="Palatino Linotype" w:eastAsia="Calibri" w:hAnsi="Palatino Linotype" w:cs="Arial"/>
          <w:color w:val="000000" w:themeColor="text1"/>
          <w:sz w:val="8"/>
          <w:szCs w:val="8"/>
        </w:rPr>
      </w:pPr>
    </w:p>
    <w:p w:rsidR="00C23B43" w:rsidRDefault="00351302" w:rsidP="00496910">
      <w:pPr>
        <w:jc w:val="both"/>
      </w:pPr>
      <w:r>
        <w:rPr>
          <w:rFonts w:ascii="Palatino Linotype" w:eastAsia="Calibri" w:hAnsi="Palatino Linotype" w:cs="Arial"/>
          <w:color w:val="000000" w:themeColor="text1"/>
          <w:sz w:val="18"/>
          <w:szCs w:val="18"/>
        </w:rPr>
        <w:t>ATU</w:t>
      </w:r>
      <w:r w:rsidR="00496910">
        <w:rPr>
          <w:rFonts w:ascii="Palatino Linotype" w:eastAsia="Calibri" w:hAnsi="Palatino Linotype" w:cs="Arial"/>
          <w:color w:val="000000" w:themeColor="text1"/>
          <w:sz w:val="18"/>
          <w:szCs w:val="18"/>
        </w:rPr>
        <w:t>/IAHA</w:t>
      </w:r>
    </w:p>
    <w:sectPr w:rsidR="00C23B43"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9D2" w:rsidRDefault="00C659D2" w:rsidP="003C7B7B">
      <w:r>
        <w:separator/>
      </w:r>
    </w:p>
  </w:endnote>
  <w:endnote w:type="continuationSeparator" w:id="0">
    <w:p w:rsidR="00C659D2" w:rsidRDefault="00C659D2" w:rsidP="003C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92D5A" w:rsidP="00DC5C4E">
    <w:pPr>
      <w:pStyle w:val="Piedepgina"/>
      <w:tabs>
        <w:tab w:val="clear" w:pos="4252"/>
        <w:tab w:val="left" w:pos="4228"/>
      </w:tabs>
      <w:rPr>
        <w:rFonts w:ascii="Palatino Linotype" w:hAnsi="Palatino Linotype" w:cs="Arial"/>
        <w:b/>
        <w:bCs/>
        <w:sz w:val="20"/>
        <w:szCs w:val="20"/>
      </w:rPr>
    </w:pPr>
  </w:p>
  <w:p w:rsidR="00E42B30" w:rsidRDefault="00E42B30" w:rsidP="00DC5C4E">
    <w:pPr>
      <w:pStyle w:val="Piedepgina"/>
      <w:tabs>
        <w:tab w:val="clear" w:pos="4252"/>
        <w:tab w:val="left" w:pos="4228"/>
      </w:tabs>
      <w:rPr>
        <w:rFonts w:ascii="Palatino Linotype" w:hAnsi="Palatino Linotype" w:cs="Arial"/>
        <w:b/>
        <w:bCs/>
        <w:sz w:val="20"/>
        <w:szCs w:val="20"/>
      </w:rPr>
    </w:pPr>
  </w:p>
  <w:p w:rsidR="00496910" w:rsidRDefault="00496910" w:rsidP="00DC5C4E">
    <w:pPr>
      <w:pStyle w:val="Piedepgina"/>
      <w:tabs>
        <w:tab w:val="clear" w:pos="4252"/>
        <w:tab w:val="left" w:pos="4228"/>
      </w:tabs>
      <w:rPr>
        <w:rFonts w:ascii="Palatino Linotype" w:hAnsi="Palatino Linotype" w:cs="Arial"/>
        <w:b/>
        <w:bCs/>
        <w:sz w:val="20"/>
        <w:szCs w:val="20"/>
      </w:rPr>
    </w:pPr>
  </w:p>
  <w:p w:rsidR="005C7C8F" w:rsidRDefault="00992D5A" w:rsidP="00DC5C4E">
    <w:pPr>
      <w:pStyle w:val="Piedepgina"/>
      <w:tabs>
        <w:tab w:val="clear" w:pos="4252"/>
        <w:tab w:val="left" w:pos="4228"/>
      </w:tabs>
      <w:rPr>
        <w:rFonts w:ascii="Palatino Linotype" w:hAnsi="Palatino Linotype" w:cs="Arial"/>
        <w:b/>
        <w:bCs/>
        <w:sz w:val="20"/>
        <w:szCs w:val="20"/>
      </w:rPr>
    </w:pPr>
  </w:p>
  <w:p w:rsidR="005C7C8F" w:rsidRDefault="00992D5A" w:rsidP="00DC5C4E">
    <w:pPr>
      <w:pStyle w:val="Piedepgina"/>
      <w:rPr>
        <w:rFonts w:ascii="Palatino Linotype" w:hAnsi="Palatino Linotype" w:cs="Arial"/>
        <w:b/>
        <w:bCs/>
        <w:sz w:val="20"/>
        <w:szCs w:val="20"/>
      </w:rPr>
    </w:pPr>
  </w:p>
  <w:p w:rsidR="005C7C8F" w:rsidRPr="00F12350" w:rsidRDefault="00511E69"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92D5A">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92D5A">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992D5A"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9D2" w:rsidRDefault="00C659D2" w:rsidP="003C7B7B">
      <w:r>
        <w:separator/>
      </w:r>
    </w:p>
  </w:footnote>
  <w:footnote w:type="continuationSeparator" w:id="0">
    <w:p w:rsidR="00C659D2" w:rsidRDefault="00C659D2" w:rsidP="003C7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92D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11E69"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723ADF00" wp14:editId="5789EC59">
          <wp:simplePos x="0" y="0"/>
          <wp:positionH relativeFrom="column">
            <wp:posOffset>-688975</wp:posOffset>
          </wp:positionH>
          <wp:positionV relativeFrom="paragraph">
            <wp:posOffset>-448945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3C7B7B" w:rsidRDefault="00FF5E95" w:rsidP="003C7B7B">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3C7B7B" w:rsidRPr="003C7B7B" w:rsidRDefault="00FF5E95" w:rsidP="003C7B7B">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01376/INFOEM/IP</w:t>
    </w:r>
    <w:r w:rsidRPr="00706042">
      <w:rPr>
        <w:rFonts w:ascii="Palatino Linotype" w:hAnsi="Palatino Linotype" w:cs="Arial"/>
        <w:sz w:val="20"/>
        <w:szCs w:val="20"/>
      </w:rPr>
      <w:t>/RR/201</w:t>
    </w:r>
    <w:r>
      <w:rPr>
        <w:rFonts w:ascii="Palatino Linotype" w:hAnsi="Palatino Linotype" w:cs="Arial"/>
        <w:sz w:val="20"/>
        <w:szCs w:val="20"/>
      </w:rPr>
      <w:t>9 Y</w:t>
    </w:r>
  </w:p>
  <w:p w:rsidR="005C7C8F" w:rsidRDefault="00FF5E95" w:rsidP="00DC5C4E">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01377/INFOEM/IP</w:t>
    </w:r>
    <w:r w:rsidRPr="00706042">
      <w:rPr>
        <w:rFonts w:ascii="Palatino Linotype" w:hAnsi="Palatino Linotype" w:cs="Arial"/>
        <w:sz w:val="20"/>
        <w:szCs w:val="20"/>
      </w:rPr>
      <w:t>/RR/201</w:t>
    </w:r>
    <w:r>
      <w:rPr>
        <w:rFonts w:ascii="Palatino Linotype" w:hAnsi="Palatino Linotype" w:cs="Arial"/>
        <w:sz w:val="20"/>
        <w:szCs w:val="20"/>
      </w:rPr>
      <w:t>9 ACUMULADO</w:t>
    </w:r>
  </w:p>
  <w:p w:rsidR="001A7C1C" w:rsidRDefault="00992D5A"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68.2pt;height:94.8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92D5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14B41"/>
    <w:multiLevelType w:val="hybridMultilevel"/>
    <w:tmpl w:val="9A0E8192"/>
    <w:lvl w:ilvl="0" w:tplc="080A0017">
      <w:start w:val="1"/>
      <w:numFmt w:val="lowerLetter"/>
      <w:lvlText w:val="%1)"/>
      <w:lvlJc w:val="left"/>
      <w:pPr>
        <w:ind w:left="2912" w:hanging="360"/>
      </w:p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 w15:restartNumberingAfterBreak="0">
    <w:nsid w:val="170D0331"/>
    <w:multiLevelType w:val="hybridMultilevel"/>
    <w:tmpl w:val="2EA85A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1F311A"/>
    <w:multiLevelType w:val="hybridMultilevel"/>
    <w:tmpl w:val="F15C1B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26413F"/>
    <w:multiLevelType w:val="hybridMultilevel"/>
    <w:tmpl w:val="8892D904"/>
    <w:lvl w:ilvl="0" w:tplc="46E8952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85F4330"/>
    <w:multiLevelType w:val="hybridMultilevel"/>
    <w:tmpl w:val="7E7E3AF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4B33B77"/>
    <w:multiLevelType w:val="hybridMultilevel"/>
    <w:tmpl w:val="D7705AF6"/>
    <w:lvl w:ilvl="0" w:tplc="080A000F">
      <w:start w:val="1"/>
      <w:numFmt w:val="decimal"/>
      <w:lvlText w:val="%1."/>
      <w:lvlJc w:val="left"/>
      <w:pPr>
        <w:ind w:left="5605" w:hanging="360"/>
      </w:pPr>
      <w:rPr>
        <w:rFonts w:hint="default"/>
      </w:rPr>
    </w:lvl>
    <w:lvl w:ilvl="1" w:tplc="080A0003" w:tentative="1">
      <w:start w:val="1"/>
      <w:numFmt w:val="bullet"/>
      <w:lvlText w:val="o"/>
      <w:lvlJc w:val="left"/>
      <w:pPr>
        <w:ind w:left="6325" w:hanging="360"/>
      </w:pPr>
      <w:rPr>
        <w:rFonts w:ascii="Courier New" w:hAnsi="Courier New" w:cs="Courier New" w:hint="default"/>
      </w:rPr>
    </w:lvl>
    <w:lvl w:ilvl="2" w:tplc="080A0005" w:tentative="1">
      <w:start w:val="1"/>
      <w:numFmt w:val="bullet"/>
      <w:lvlText w:val=""/>
      <w:lvlJc w:val="left"/>
      <w:pPr>
        <w:ind w:left="7045" w:hanging="360"/>
      </w:pPr>
      <w:rPr>
        <w:rFonts w:ascii="Wingdings" w:hAnsi="Wingdings" w:hint="default"/>
      </w:rPr>
    </w:lvl>
    <w:lvl w:ilvl="3" w:tplc="080A0001" w:tentative="1">
      <w:start w:val="1"/>
      <w:numFmt w:val="bullet"/>
      <w:lvlText w:val=""/>
      <w:lvlJc w:val="left"/>
      <w:pPr>
        <w:ind w:left="7765" w:hanging="360"/>
      </w:pPr>
      <w:rPr>
        <w:rFonts w:ascii="Symbol" w:hAnsi="Symbol" w:hint="default"/>
      </w:rPr>
    </w:lvl>
    <w:lvl w:ilvl="4" w:tplc="080A0003" w:tentative="1">
      <w:start w:val="1"/>
      <w:numFmt w:val="bullet"/>
      <w:lvlText w:val="o"/>
      <w:lvlJc w:val="left"/>
      <w:pPr>
        <w:ind w:left="8485" w:hanging="360"/>
      </w:pPr>
      <w:rPr>
        <w:rFonts w:ascii="Courier New" w:hAnsi="Courier New" w:cs="Courier New" w:hint="default"/>
      </w:rPr>
    </w:lvl>
    <w:lvl w:ilvl="5" w:tplc="080A0005" w:tentative="1">
      <w:start w:val="1"/>
      <w:numFmt w:val="bullet"/>
      <w:lvlText w:val=""/>
      <w:lvlJc w:val="left"/>
      <w:pPr>
        <w:ind w:left="9205" w:hanging="360"/>
      </w:pPr>
      <w:rPr>
        <w:rFonts w:ascii="Wingdings" w:hAnsi="Wingdings" w:hint="default"/>
      </w:rPr>
    </w:lvl>
    <w:lvl w:ilvl="6" w:tplc="080A0001" w:tentative="1">
      <w:start w:val="1"/>
      <w:numFmt w:val="bullet"/>
      <w:lvlText w:val=""/>
      <w:lvlJc w:val="left"/>
      <w:pPr>
        <w:ind w:left="9925" w:hanging="360"/>
      </w:pPr>
      <w:rPr>
        <w:rFonts w:ascii="Symbol" w:hAnsi="Symbol" w:hint="default"/>
      </w:rPr>
    </w:lvl>
    <w:lvl w:ilvl="7" w:tplc="080A0003" w:tentative="1">
      <w:start w:val="1"/>
      <w:numFmt w:val="bullet"/>
      <w:lvlText w:val="o"/>
      <w:lvlJc w:val="left"/>
      <w:pPr>
        <w:ind w:left="10645" w:hanging="360"/>
      </w:pPr>
      <w:rPr>
        <w:rFonts w:ascii="Courier New" w:hAnsi="Courier New" w:cs="Courier New" w:hint="default"/>
      </w:rPr>
    </w:lvl>
    <w:lvl w:ilvl="8" w:tplc="080A0005" w:tentative="1">
      <w:start w:val="1"/>
      <w:numFmt w:val="bullet"/>
      <w:lvlText w:val=""/>
      <w:lvlJc w:val="left"/>
      <w:pPr>
        <w:ind w:left="11365" w:hanging="360"/>
      </w:pPr>
      <w:rPr>
        <w:rFonts w:ascii="Wingdings" w:hAnsi="Wingdings" w:hint="default"/>
      </w:rPr>
    </w:lvl>
  </w:abstractNum>
  <w:num w:numId="1">
    <w:abstractNumId w:val="7"/>
  </w:num>
  <w:num w:numId="2">
    <w:abstractNumId w:val="6"/>
  </w:num>
  <w:num w:numId="3">
    <w:abstractNumId w:val="1"/>
  </w:num>
  <w:num w:numId="4">
    <w:abstractNumId w:val="3"/>
  </w:num>
  <w:num w:numId="5">
    <w:abstractNumId w:val="0"/>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7B"/>
    <w:rsid w:val="000B0299"/>
    <w:rsid w:val="000E5C5D"/>
    <w:rsid w:val="001A2784"/>
    <w:rsid w:val="001A7C1C"/>
    <w:rsid w:val="0027001F"/>
    <w:rsid w:val="002712B6"/>
    <w:rsid w:val="003369AB"/>
    <w:rsid w:val="00351302"/>
    <w:rsid w:val="003B14D6"/>
    <w:rsid w:val="003C7B7B"/>
    <w:rsid w:val="004213D6"/>
    <w:rsid w:val="004551C6"/>
    <w:rsid w:val="00476B67"/>
    <w:rsid w:val="0048382F"/>
    <w:rsid w:val="00496910"/>
    <w:rsid w:val="004A6635"/>
    <w:rsid w:val="00511E69"/>
    <w:rsid w:val="00525597"/>
    <w:rsid w:val="006307BC"/>
    <w:rsid w:val="006E204E"/>
    <w:rsid w:val="00763680"/>
    <w:rsid w:val="00816772"/>
    <w:rsid w:val="008B5B02"/>
    <w:rsid w:val="0099230D"/>
    <w:rsid w:val="00992D5A"/>
    <w:rsid w:val="009C3D97"/>
    <w:rsid w:val="00A70CE2"/>
    <w:rsid w:val="00AB5857"/>
    <w:rsid w:val="00C038C4"/>
    <w:rsid w:val="00C23B43"/>
    <w:rsid w:val="00C659D2"/>
    <w:rsid w:val="00C9714C"/>
    <w:rsid w:val="00CA38A0"/>
    <w:rsid w:val="00D222B6"/>
    <w:rsid w:val="00D63E4C"/>
    <w:rsid w:val="00E20760"/>
    <w:rsid w:val="00E42B30"/>
    <w:rsid w:val="00E63F7F"/>
    <w:rsid w:val="00E924B7"/>
    <w:rsid w:val="00EB12E4"/>
    <w:rsid w:val="00EC0B30"/>
    <w:rsid w:val="00FA2775"/>
    <w:rsid w:val="00FB2BB9"/>
    <w:rsid w:val="00FF5E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14246F3-C090-45D4-A15A-E6234A26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B7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369AB"/>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B7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C7B7B"/>
    <w:rPr>
      <w:rFonts w:eastAsiaTheme="minorEastAsia"/>
      <w:sz w:val="24"/>
      <w:szCs w:val="24"/>
      <w:lang w:val="es-ES_tradnl" w:eastAsia="es-ES"/>
    </w:rPr>
  </w:style>
  <w:style w:type="paragraph" w:styleId="Piedepgina">
    <w:name w:val="footer"/>
    <w:basedOn w:val="Normal"/>
    <w:link w:val="PiedepginaCar"/>
    <w:uiPriority w:val="99"/>
    <w:unhideWhenUsed/>
    <w:rsid w:val="003C7B7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C7B7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C7B7B"/>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C7B7B"/>
    <w:rPr>
      <w:rFonts w:eastAsiaTheme="minorEastAsia"/>
      <w:sz w:val="24"/>
      <w:szCs w:val="24"/>
      <w:lang w:val="es-ES_tradnl" w:eastAsia="es-ES"/>
    </w:rPr>
  </w:style>
  <w:style w:type="paragraph" w:customStyle="1" w:styleId="paragraph">
    <w:name w:val="paragraph"/>
    <w:basedOn w:val="Normal"/>
    <w:rsid w:val="003C7B7B"/>
    <w:pPr>
      <w:spacing w:before="100" w:beforeAutospacing="1" w:after="100" w:afterAutospacing="1"/>
    </w:pPr>
    <w:rPr>
      <w:lang w:val="es-MX" w:eastAsia="es-MX"/>
    </w:rPr>
  </w:style>
  <w:style w:type="character" w:customStyle="1" w:styleId="Ttulo2Car">
    <w:name w:val="Título 2 Car"/>
    <w:basedOn w:val="Fuentedeprrafopredeter"/>
    <w:link w:val="Ttulo2"/>
    <w:uiPriority w:val="9"/>
    <w:rsid w:val="003369AB"/>
    <w:rPr>
      <w:rFonts w:asciiTheme="majorHAnsi" w:eastAsiaTheme="majorEastAsia" w:hAnsiTheme="majorHAnsi" w:cstheme="majorBidi"/>
      <w:color w:val="2E74B5" w:themeColor="accent1" w:themeShade="BF"/>
      <w:sz w:val="26"/>
      <w:szCs w:val="26"/>
      <w:lang w:val="es-ES_tradnl"/>
    </w:rPr>
  </w:style>
  <w:style w:type="paragraph" w:styleId="Textodeglobo">
    <w:name w:val="Balloon Text"/>
    <w:basedOn w:val="Normal"/>
    <w:link w:val="TextodegloboCar"/>
    <w:uiPriority w:val="99"/>
    <w:semiHidden/>
    <w:unhideWhenUsed/>
    <w:rsid w:val="003513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1302"/>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D63E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pomex.org.mx/ipo3/lgt/indice/TRIJAEM/art_96_iii/0.we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1668</Words>
  <Characters>9180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cp:revision>
  <cp:lastPrinted>2019-05-27T19:07:00Z</cp:lastPrinted>
  <dcterms:created xsi:type="dcterms:W3CDTF">2019-05-24T00:15:00Z</dcterms:created>
  <dcterms:modified xsi:type="dcterms:W3CDTF">2019-06-24T15:44:00Z</dcterms:modified>
</cp:coreProperties>
</file>