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3938B0">
        <w:rPr>
          <w:rFonts w:ascii="Palatino Linotype" w:hAnsi="Palatino Linotype"/>
          <w:b/>
          <w:bCs/>
          <w:sz w:val="24"/>
          <w:szCs w:val="24"/>
          <w:lang w:eastAsia="es-MX"/>
        </w:rPr>
        <w:t>0</w:t>
      </w:r>
      <w:r w:rsidR="00BD7B15">
        <w:rPr>
          <w:rFonts w:ascii="Palatino Linotype" w:hAnsi="Palatino Linotype"/>
          <w:b/>
          <w:bCs/>
          <w:sz w:val="24"/>
          <w:szCs w:val="24"/>
          <w:lang w:eastAsia="es-MX"/>
        </w:rPr>
        <w:t>8</w:t>
      </w:r>
      <w:r w:rsidR="000B01FC">
        <w:rPr>
          <w:rFonts w:ascii="Palatino Linotype" w:hAnsi="Palatino Linotype"/>
          <w:b/>
          <w:bCs/>
          <w:sz w:val="24"/>
          <w:szCs w:val="24"/>
          <w:lang w:eastAsia="es-MX"/>
        </w:rPr>
        <w:t>7</w:t>
      </w:r>
      <w:r w:rsidR="00525BC2">
        <w:rPr>
          <w:rFonts w:ascii="Palatino Linotype" w:hAnsi="Palatino Linotype"/>
          <w:b/>
          <w:bCs/>
          <w:sz w:val="24"/>
          <w:szCs w:val="24"/>
          <w:lang w:eastAsia="es-MX"/>
        </w:rPr>
        <w:t>5</w:t>
      </w:r>
      <w:r w:rsidR="00BD7B15">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2B4BA5">
        <w:rPr>
          <w:rFonts w:ascii="Palatino Linotype" w:hAnsi="Palatino Linotype" w:cs="Arial"/>
          <w:b/>
          <w:sz w:val="24"/>
          <w:szCs w:val="24"/>
        </w:rPr>
        <w:t>xxxx</w:t>
      </w:r>
      <w:bookmarkStart w:id="0" w:name="_GoBack"/>
      <w:bookmarkEnd w:id="0"/>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Ayuntamiento de Coatepec Harinas</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D3CC1">
        <w:rPr>
          <w:rFonts w:ascii="Palatino Linotype" w:hAnsi="Palatino Linotype"/>
          <w:sz w:val="24"/>
          <w:szCs w:val="24"/>
        </w:rPr>
        <w:t>ocho</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BD7B15">
        <w:rPr>
          <w:rFonts w:ascii="Palatino Linotype" w:hAnsi="Palatino Linotype"/>
          <w:sz w:val="24"/>
          <w:szCs w:val="24"/>
        </w:rPr>
        <w:t>los</w:t>
      </w:r>
      <w:r w:rsidRPr="00C35F18">
        <w:rPr>
          <w:rFonts w:ascii="Palatino Linotype" w:hAnsi="Palatino Linotype"/>
          <w:sz w:val="24"/>
          <w:szCs w:val="24"/>
        </w:rPr>
        <w:t xml:space="preserve"> número</w:t>
      </w:r>
      <w:r w:rsidR="00BD7B15">
        <w:rPr>
          <w:rFonts w:ascii="Palatino Linotype" w:hAnsi="Palatino Linotype"/>
          <w:sz w:val="24"/>
          <w:szCs w:val="24"/>
        </w:rPr>
        <w:t>s</w:t>
      </w:r>
      <w:r w:rsidRPr="00C35F18">
        <w:rPr>
          <w:rFonts w:ascii="Palatino Linotype" w:hAnsi="Palatino Linotype"/>
          <w:sz w:val="24"/>
          <w:szCs w:val="24"/>
        </w:rPr>
        <w:t xml:space="preserve"> de </w:t>
      </w:r>
      <w:r w:rsidRPr="007D3CC1">
        <w:rPr>
          <w:rFonts w:ascii="Palatino Linotype" w:hAnsi="Palatino Linotype"/>
          <w:sz w:val="24"/>
          <w:szCs w:val="24"/>
        </w:rPr>
        <w:t>expediente</w:t>
      </w:r>
      <w:r w:rsidR="007D3CC1">
        <w:rPr>
          <w:rFonts w:ascii="Palatino Linotype" w:hAnsi="Palatino Linotype"/>
          <w:b/>
          <w:sz w:val="24"/>
          <w:szCs w:val="24"/>
        </w:rPr>
        <w:t xml:space="preserve"> </w:t>
      </w:r>
      <w:r w:rsidR="007D3CC1" w:rsidRPr="007D3CC1">
        <w:rPr>
          <w:rFonts w:ascii="Palatino Linotype" w:hAnsi="Palatino Linotype"/>
          <w:b/>
          <w:sz w:val="24"/>
          <w:szCs w:val="24"/>
        </w:rPr>
        <w:t>00097/COATHAR/IP/2019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6D38BF" w:rsidRDefault="006D38BF" w:rsidP="006D38BF">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7D3CC1" w:rsidRPr="007D3CC1">
        <w:rPr>
          <w:rFonts w:ascii="Palatino Linotype" w:hAnsi="Palatino Linotype"/>
          <w:i/>
          <w:sz w:val="24"/>
          <w:szCs w:val="24"/>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007D3CC1" w:rsidRPr="007D3CC1">
        <w:rPr>
          <w:rFonts w:ascii="Palatino Linotype" w:hAnsi="Palatino Linotype"/>
          <w:i/>
          <w:sz w:val="24"/>
          <w:szCs w:val="24"/>
        </w:rPr>
        <w:lastRenderedPageBreak/>
        <w:t>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Modalidad de entrega</w:t>
      </w:r>
      <w:r w:rsidR="006D38BF" w:rsidRPr="00A16988">
        <w:rPr>
          <w:rFonts w:ascii="Palatino Linotype" w:eastAsia="Times New Roman" w:hAnsi="Palatino Linotype" w:cs="Times New Roman"/>
          <w:sz w:val="24"/>
          <w:szCs w:val="24"/>
          <w:lang w:val="es-ES_tradnl" w:eastAsia="es-ES"/>
        </w:rPr>
        <w:t>, en ambos casos</w:t>
      </w:r>
      <w:r w:rsidRPr="00A16988">
        <w:rPr>
          <w:rFonts w:ascii="Palatino Linotype" w:eastAsia="Times New Roman" w:hAnsi="Palatino Linotype" w:cs="Times New Roman"/>
          <w:sz w:val="24"/>
          <w:szCs w:val="24"/>
          <w:lang w:val="es-ES_tradnl" w:eastAsia="es-ES"/>
        </w:rPr>
        <w:t xml:space="preserve">: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A16988" w:rsidRPr="00A16988">
        <w:rPr>
          <w:rFonts w:ascii="Palatino Linotype" w:hAnsi="Palatino Linotype"/>
          <w:b/>
          <w:sz w:val="24"/>
        </w:rPr>
        <w:t>once</w:t>
      </w:r>
      <w:r w:rsidR="001E40B4" w:rsidRPr="00A16988">
        <w:rPr>
          <w:rFonts w:ascii="Palatino Linotype" w:hAnsi="Palatino Linotype"/>
          <w:b/>
          <w:sz w:val="24"/>
        </w:rPr>
        <w:t xml:space="preserve"> de </w:t>
      </w:r>
      <w:r w:rsidR="006D38BF" w:rsidRPr="00A16988">
        <w:rPr>
          <w:rFonts w:ascii="Palatino Linotype" w:hAnsi="Palatino Linotype"/>
          <w:b/>
          <w:sz w:val="24"/>
        </w:rPr>
        <w:t>noviembre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A16988" w:rsidRPr="00A16988"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Pr="00A16988">
        <w:rPr>
          <w:rFonts w:ascii="Palatino Linotype" w:hAnsi="Palatino Linotype"/>
          <w:i/>
          <w:sz w:val="24"/>
          <w:szCs w:val="24"/>
        </w:rPr>
        <w:t xml:space="preserve">Sin otro particular y atento a cualquier observación, me despido quedando a sus órdenes, en calle Benito Juárez esq. José María Morelos s/n, centro de Coatepec Harinas, México, cp. 51700. En un horario de 9:00 a 18:00 horas de lunes a viernes </w:t>
      </w:r>
      <w:r w:rsidRPr="00A16988">
        <w:rPr>
          <w:rFonts w:ascii="Palatino Linotype" w:hAnsi="Palatino Linotype"/>
          <w:i/>
          <w:sz w:val="24"/>
          <w:szCs w:val="24"/>
        </w:rPr>
        <w:lastRenderedPageBreak/>
        <w:t>o vía correo electrónico utransparenciach@gmail.com ATENTAMENTE LIC. OSWALDO GUADARRAMA ORTIZ TITULAR DE LA UNIDAD DE TRANSPARENCIA</w:t>
      </w:r>
      <w:r>
        <w:rPr>
          <w:rFonts w:ascii="Palatino Linotype" w:hAnsi="Palatino Linotype"/>
          <w:i/>
          <w:sz w:val="24"/>
          <w:szCs w:val="24"/>
        </w:rPr>
        <w:t>”</w:t>
      </w:r>
    </w:p>
    <w:p w:rsidR="00A16988" w:rsidRDefault="00A16988" w:rsidP="00D017F5">
      <w:pPr>
        <w:pStyle w:val="Sinespaciado"/>
        <w:spacing w:line="360" w:lineRule="auto"/>
        <w:jc w:val="both"/>
        <w:rPr>
          <w:rFonts w:ascii="Palatino Linotype" w:hAnsi="Palatino Linotype"/>
          <w:sz w:val="24"/>
        </w:rPr>
      </w:pPr>
    </w:p>
    <w:p w:rsidR="00D017F5" w:rsidRPr="005F58B1" w:rsidRDefault="00A16988" w:rsidP="00D017F5">
      <w:pPr>
        <w:pStyle w:val="Sinespaciado"/>
        <w:spacing w:line="360" w:lineRule="auto"/>
        <w:jc w:val="both"/>
        <w:rPr>
          <w:rFonts w:ascii="Palatino Linotype" w:hAnsi="Palatino Linotype"/>
          <w:sz w:val="24"/>
        </w:rPr>
      </w:pPr>
      <w:r>
        <w:rPr>
          <w:rFonts w:ascii="Palatino Linotype" w:hAnsi="Palatino Linotype"/>
          <w:sz w:val="24"/>
        </w:rPr>
        <w:t>A</w:t>
      </w:r>
      <w:r w:rsidR="00D017F5">
        <w:rPr>
          <w:rFonts w:ascii="Palatino Linotype" w:hAnsi="Palatino Linotype"/>
          <w:sz w:val="24"/>
        </w:rPr>
        <w:t>djuntando un archivo electrónico en PDF, denominado: “</w:t>
      </w:r>
      <w:r w:rsidRPr="00A16988">
        <w:rPr>
          <w:rFonts w:ascii="Palatino Linotype" w:hAnsi="Palatino Linotype"/>
          <w:sz w:val="24"/>
        </w:rPr>
        <w:t>RESPUESTA A SOLICITUD 00097.pdf</w:t>
      </w:r>
      <w:r w:rsidR="00D017F5">
        <w:rPr>
          <w:rFonts w:ascii="Palatino Linotype" w:hAnsi="Palatino Linotype"/>
          <w:sz w:val="24"/>
        </w:rPr>
        <w:t xml:space="preserve">”, </w:t>
      </w:r>
      <w:r w:rsidR="00CC2A3A">
        <w:rPr>
          <w:rFonts w:ascii="Palatino Linotype" w:hAnsi="Palatino Linotype"/>
          <w:sz w:val="24"/>
        </w:rPr>
        <w:t>documento adjunto que será analizado en la parte considerativa de la presente resolución.</w:t>
      </w: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5E6B88">
        <w:rPr>
          <w:rFonts w:ascii="Palatino Linotype" w:hAnsi="Palatino Linotype"/>
          <w:b/>
          <w:sz w:val="24"/>
          <w:szCs w:val="24"/>
        </w:rPr>
        <w:t>quince</w:t>
      </w:r>
      <w:r w:rsidR="00BA6922" w:rsidRPr="00CC2A3A">
        <w:rPr>
          <w:rFonts w:ascii="Palatino Linotype" w:hAnsi="Palatino Linotype"/>
          <w:b/>
          <w:sz w:val="24"/>
          <w:szCs w:val="24"/>
        </w:rPr>
        <w:t xml:space="preserve"> de </w:t>
      </w:r>
      <w:r w:rsidR="00CC2A3A" w:rsidRPr="00CC2A3A">
        <w:rPr>
          <w:rFonts w:ascii="Palatino Linotype" w:hAnsi="Palatino Linotype"/>
          <w:b/>
          <w:sz w:val="24"/>
          <w:szCs w:val="24"/>
        </w:rPr>
        <w:t>noviembre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w:t>
      </w:r>
      <w:r w:rsidR="00CC2A3A">
        <w:rPr>
          <w:rFonts w:ascii="Palatino Linotype" w:hAnsi="Palatino Linotype"/>
          <w:sz w:val="24"/>
          <w:szCs w:val="24"/>
        </w:rPr>
        <w:t>s</w:t>
      </w:r>
      <w:r w:rsidRPr="00D04234">
        <w:rPr>
          <w:rFonts w:ascii="Palatino Linotype" w:hAnsi="Palatino Linotype"/>
          <w:sz w:val="24"/>
          <w:szCs w:val="24"/>
        </w:rPr>
        <w:t xml:space="preserve"> </w:t>
      </w:r>
      <w:r w:rsidR="00CF505E">
        <w:rPr>
          <w:rFonts w:ascii="Palatino Linotype" w:hAnsi="Palatino Linotype"/>
          <w:b/>
          <w:bCs/>
          <w:sz w:val="24"/>
          <w:szCs w:val="24"/>
          <w:lang w:eastAsia="es-MX"/>
        </w:rPr>
        <w:t>0</w:t>
      </w:r>
      <w:r w:rsidR="00065879">
        <w:rPr>
          <w:rFonts w:ascii="Palatino Linotype" w:hAnsi="Palatino Linotype"/>
          <w:b/>
          <w:bCs/>
          <w:sz w:val="24"/>
          <w:szCs w:val="24"/>
          <w:lang w:eastAsia="es-MX"/>
        </w:rPr>
        <w:t>8</w:t>
      </w:r>
      <w:r w:rsidR="005E6B88">
        <w:rPr>
          <w:rFonts w:ascii="Palatino Linotype" w:hAnsi="Palatino Linotype"/>
          <w:b/>
          <w:bCs/>
          <w:sz w:val="24"/>
          <w:szCs w:val="24"/>
          <w:lang w:eastAsia="es-MX"/>
        </w:rPr>
        <w:t>7</w:t>
      </w:r>
      <w:r w:rsidR="00065879">
        <w:rPr>
          <w:rFonts w:ascii="Palatino Linotype" w:hAnsi="Palatino Linotype"/>
          <w:b/>
          <w:bCs/>
          <w:sz w:val="24"/>
          <w:szCs w:val="24"/>
          <w:lang w:eastAsia="es-MX"/>
        </w:rPr>
        <w:t>50</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2E697B"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r w:rsidR="00227096">
        <w:rPr>
          <w:rFonts w:ascii="Palatino Linotype" w:hAnsi="Palatino Linotype" w:cs="Arial"/>
          <w:b/>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i/>
          <w:sz w:val="24"/>
          <w:szCs w:val="24"/>
        </w:rPr>
      </w:pPr>
    </w:p>
    <w:p w:rsidR="00065879" w:rsidRPr="005E6B88"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5E6B88" w:rsidRPr="005E6B88">
        <w:rPr>
          <w:rFonts w:ascii="Palatino Linotype" w:hAnsi="Palatino Linotype"/>
          <w:i/>
          <w:sz w:val="24"/>
          <w:szCs w:val="24"/>
        </w:rPr>
        <w:t>LA RESPUESTA NO CORRESPONDE A LA INFORMACIÓN SOLICITADA.</w:t>
      </w:r>
      <w:r w:rsidRPr="00065879">
        <w:rPr>
          <w:rFonts w:ascii="Palatino Linotype" w:hAnsi="Palatino Linotype"/>
          <w:i/>
          <w:sz w:val="24"/>
          <w:szCs w:val="24"/>
        </w:rPr>
        <w:t>”</w:t>
      </w:r>
      <w:r w:rsidR="00065879" w:rsidRPr="005E6B88">
        <w:rPr>
          <w:rFonts w:ascii="Palatino Linotype" w:hAnsi="Palatino Linotype"/>
          <w:i/>
          <w:sz w:val="24"/>
          <w:szCs w:val="24"/>
        </w:rPr>
        <w:t>.</w:t>
      </w:r>
    </w:p>
    <w:p w:rsidR="00065879" w:rsidRPr="005E6B88" w:rsidRDefault="00065879" w:rsidP="005E6B88">
      <w:pPr>
        <w:pStyle w:val="Sinespaciado"/>
        <w:spacing w:line="360" w:lineRule="auto"/>
        <w:ind w:left="1571"/>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cs="Arial"/>
          <w:sz w:val="24"/>
          <w:szCs w:val="24"/>
        </w:rPr>
      </w:pP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5E6B88" w:rsidRPr="005E6B88">
        <w:rPr>
          <w:rFonts w:ascii="Palatino Linotype" w:hAnsi="Palatino Linotype"/>
          <w:i/>
          <w:sz w:val="24"/>
          <w:szCs w:val="24"/>
        </w:rPr>
        <w:t xml:space="preserve">AL PARECER EXISTE UNA CONFUSIÓN POR EL SUJETO OBLIGADO ACERCA DE LA OBLIGACIÓN QUE TIENEN LOS MUNICIPIOS </w:t>
      </w:r>
      <w:r w:rsidR="005E6B88" w:rsidRPr="005E6B88">
        <w:rPr>
          <w:rFonts w:ascii="Palatino Linotype" w:hAnsi="Palatino Linotype"/>
          <w:i/>
          <w:sz w:val="24"/>
          <w:szCs w:val="24"/>
        </w:rPr>
        <w:lastRenderedPageBreak/>
        <w:t xml:space="preserve">DERIVADO DEL DECRETO 309 DE FECHA 10 DE MAYO DE 2018, DE INSTALAR LAS UNIDADES DE IGUALDAD DE GÉNERO Y ERRADICACIÓN DE LA VIOLENCIA CON EL SISTEMA MUNICIPAL PARA LA IGUALDAD DE TRATO Y OPORTUNIDADES ENTRE MUJERES Y HOMBRES Y PARA PREVENIR, ATENDER, SANCIONAR Y ERRADICAR LA VIOLENCIA CONTRA LAS MUJERES ESTE ULTIMO FUNDAMENTADO EN LOS SIGUIENTE: DE ACUERDO AL ARTICULO 35 DE LA LEY GENERAL DE ACCESO DE LAS MUJERES A UNA VIDA LIBRE DE VIOLENCIA LOS MUNICIPIOS ESTAN OBLIGADOS A INSTALAR EL SISTEMA: TITULO III CAPÍTULO I DEL SISTEMA NACIONAL PARA PREVENIR, ATENDER, SANCIONAR Y ERRADICAR LA VIOLENCIA CONTRA LAS MUJERES ARTÍCULO 35. La Federación, las entidades federativas, el Distrito Federal y los municipios, se coordinarán para la integración y funcionamiento del Sistema, el cual tiene por objeto la conjunción de esfuerzos, instrumentos, políticas, servicios y acciones interinstitucionales para la prevención, atención, sanción y erradicación de la violencia contra las mujeres. Aunado a LEY DE ACCESO DE LAS MUJERES A UNA VIDA LIBRE DE VIOLENCIA DEL ESTADO DE MÉXICO que señala: CAPÍTULO I BIS DEL SISTEMA ESTATAL PARA LA IGUALDAD DE TRATO Y OPORTUNIDADES ENTRE MUJERES Y HOMBRES Y PARA PREVENIR, ATENDER, SANCIONAR Y ERRADICAR LA VIOLENCIA CONTRA LAS MUJERES. Artículo 34.- El Sistema Estatal y los Sistemas Municipales tienen por objeto la conjunción de esfuerzos, instrumentos, políticas, servicios y acciones interinstitucionales para la prevención, atención, sanción y erradicación de la violencia contra las mujeres y las </w:t>
      </w:r>
      <w:r w:rsidR="005E6B88" w:rsidRPr="005E6B88">
        <w:rPr>
          <w:rFonts w:ascii="Palatino Linotype" w:hAnsi="Palatino Linotype"/>
          <w:i/>
          <w:sz w:val="24"/>
          <w:szCs w:val="24"/>
        </w:rPr>
        <w:lastRenderedPageBreak/>
        <w:t>niñas. El Sistema Estatal estará en coordinación con el Sistema Nacional y los Sistemas Municipales, y deberá crear los mecanismos para recabar, de manera homogénea, la información sobre la violencia contra las mujeres, e integrarla al Banco Estatal de Datos e Información sobre casos de violencia de género, así como a los Diagnósticos Estatal y Municipal sobre todas las formas de violencia contra las mujeres y las niñas en todos los ámbitos. CON FUNDAMENTO EN LO ANTERIOR ES QUE ME PERMITO SOLICITAR NUEVAMENTE LA INFORMACIÓN REQUERIDA.</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4D4AEE" w:rsidRPr="004D4AEE">
        <w:rPr>
          <w:rFonts w:ascii="Palatino Linotype" w:hAnsi="Palatino Linotype"/>
          <w:b/>
          <w:sz w:val="24"/>
          <w:szCs w:val="24"/>
        </w:rPr>
        <w:t>veintidós</w:t>
      </w:r>
      <w:r w:rsidR="00CF505E" w:rsidRPr="006A729B">
        <w:rPr>
          <w:rFonts w:ascii="Palatino Linotype" w:hAnsi="Palatino Linotype"/>
          <w:b/>
          <w:sz w:val="24"/>
          <w:szCs w:val="24"/>
        </w:rPr>
        <w:t xml:space="preserve"> de </w:t>
      </w:r>
      <w:r w:rsidR="0033729E">
        <w:rPr>
          <w:rFonts w:ascii="Palatino Linotype" w:hAnsi="Palatino Linotype"/>
          <w:b/>
          <w:sz w:val="24"/>
          <w:szCs w:val="24"/>
        </w:rPr>
        <w:t>noviembre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2E697B" w:rsidRPr="00BC1DCE" w:rsidRDefault="002E697B"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4D4AEE">
        <w:rPr>
          <w:rFonts w:ascii="Palatino Linotype" w:hAnsi="Palatino Linotype"/>
          <w:b/>
          <w:sz w:val="24"/>
          <w:szCs w:val="24"/>
        </w:rPr>
        <w:t xml:space="preserve">seis </w:t>
      </w:r>
      <w:r w:rsidR="00B40D19" w:rsidRPr="000D26E6">
        <w:rPr>
          <w:rFonts w:ascii="Palatino Linotype" w:hAnsi="Palatino Linotype"/>
          <w:b/>
          <w:sz w:val="24"/>
          <w:szCs w:val="24"/>
        </w:rPr>
        <w:t xml:space="preserve">de </w:t>
      </w:r>
      <w:r w:rsidR="004D4AEE">
        <w:rPr>
          <w:rFonts w:ascii="Palatino Linotype" w:hAnsi="Palatino Linotype"/>
          <w:b/>
          <w:sz w:val="24"/>
          <w:szCs w:val="24"/>
        </w:rPr>
        <w:t>diciembre</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2E697B" w:rsidRDefault="002E697B" w:rsidP="00541B17">
      <w:pPr>
        <w:pStyle w:val="Sinespaciado"/>
        <w:spacing w:line="360" w:lineRule="auto"/>
        <w:rPr>
          <w:rFonts w:ascii="Palatino Linotype" w:hAnsi="Palatino Linotype"/>
          <w:b/>
          <w:sz w:val="24"/>
          <w:szCs w:val="24"/>
        </w:rPr>
      </w:pPr>
    </w:p>
    <w:p w:rsidR="0065519D" w:rsidRPr="00136A4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541B17" w:rsidP="00541B17">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En fecha </w:t>
      </w:r>
      <w:r w:rsidR="004D4AEE">
        <w:rPr>
          <w:rFonts w:ascii="Palatino Linotype" w:hAnsi="Palatino Linotype"/>
          <w:b/>
          <w:sz w:val="24"/>
          <w:szCs w:val="24"/>
        </w:rPr>
        <w:t>veintiuno</w:t>
      </w:r>
      <w:r w:rsidR="005D6173" w:rsidRPr="000D26E6">
        <w:rPr>
          <w:rFonts w:ascii="Palatino Linotype" w:hAnsi="Palatino Linotype"/>
          <w:b/>
          <w:sz w:val="24"/>
          <w:szCs w:val="24"/>
        </w:rPr>
        <w:t xml:space="preserve"> d</w:t>
      </w:r>
      <w:r w:rsidR="00B40D19" w:rsidRPr="000D26E6">
        <w:rPr>
          <w:rFonts w:ascii="Palatino Linotype" w:hAnsi="Palatino Linotype"/>
          <w:b/>
          <w:sz w:val="24"/>
          <w:szCs w:val="24"/>
        </w:rPr>
        <w:t xml:space="preserve">e </w:t>
      </w:r>
      <w:r w:rsidR="000D26E6" w:rsidRPr="000D26E6">
        <w:rPr>
          <w:rFonts w:ascii="Palatino Linotype" w:hAnsi="Palatino Linotype"/>
          <w:b/>
          <w:sz w:val="24"/>
          <w:szCs w:val="24"/>
        </w:rPr>
        <w:t>enero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344583">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B1E76">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w:t>
      </w:r>
      <w:r w:rsidRPr="00257CC0">
        <w:rPr>
          <w:rFonts w:ascii="Palatino Linotype" w:hAnsi="Palatino Linotype" w:cs="Arial"/>
          <w:i/>
          <w:iCs/>
          <w:color w:val="2222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BC1DCE" w:rsidRPr="006D38BF" w:rsidRDefault="002E697B" w:rsidP="002974B4">
      <w:pPr>
        <w:pStyle w:val="Sinespaciado"/>
        <w:ind w:left="567" w:right="567"/>
        <w:jc w:val="both"/>
        <w:rPr>
          <w:rFonts w:ascii="Palatino Linotype" w:hAnsi="Palatino Linotype"/>
          <w:i/>
          <w:sz w:val="24"/>
          <w:szCs w:val="24"/>
        </w:rPr>
      </w:pPr>
      <w:r>
        <w:rPr>
          <w:rFonts w:ascii="Palatino Linotype" w:hAnsi="Palatino Linotype"/>
          <w:i/>
          <w:sz w:val="24"/>
          <w:szCs w:val="24"/>
        </w:rPr>
        <w:t>“</w:t>
      </w:r>
      <w:r w:rsidRPr="007D3CC1">
        <w:rPr>
          <w:rFonts w:ascii="Palatino Linotype" w:hAnsi="Palatino Linotype"/>
          <w:i/>
          <w:sz w:val="24"/>
          <w:szCs w:val="24"/>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w:t>
      </w:r>
      <w:r w:rsidRPr="007D3CC1">
        <w:rPr>
          <w:rFonts w:ascii="Palatino Linotype" w:hAnsi="Palatino Linotype"/>
          <w:i/>
          <w:sz w:val="24"/>
          <w:szCs w:val="24"/>
        </w:rPr>
        <w:lastRenderedPageBreak/>
        <w:t>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hAnsi="Palatino Linotype"/>
          <w:i/>
          <w:sz w:val="24"/>
          <w:szCs w:val="24"/>
        </w:rPr>
        <w:t>” (sic)</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2E697B" w:rsidRDefault="002E697B"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Para</w:t>
      </w:r>
      <w:r w:rsidR="00407BC1">
        <w:rPr>
          <w:rFonts w:ascii="Palatino Linotype" w:hAnsi="Palatino Linotype" w:cs="Arial"/>
          <w:sz w:val="24"/>
          <w:szCs w:val="24"/>
        </w:rPr>
        <w:t xml:space="preserve"> tal efecto el sujeto obligado dio contestación</w:t>
      </w:r>
      <w:r w:rsidR="002974B4">
        <w:rPr>
          <w:rFonts w:ascii="Palatino Linotype" w:hAnsi="Palatino Linotype" w:cs="Arial"/>
          <w:sz w:val="24"/>
          <w:szCs w:val="24"/>
        </w:rPr>
        <w:t xml:space="preserve"> en los siguientes términos</w:t>
      </w:r>
      <w:r w:rsidR="00407BC1">
        <w:rPr>
          <w:rFonts w:ascii="Palatino Linotype" w:hAnsi="Palatino Linotype" w:cs="Arial"/>
          <w:sz w:val="24"/>
          <w:szCs w:val="24"/>
        </w:rPr>
        <w:t xml:space="preserve">: </w:t>
      </w:r>
    </w:p>
    <w:p w:rsidR="002E697B" w:rsidRDefault="002E697B" w:rsidP="00622EBF">
      <w:pPr>
        <w:tabs>
          <w:tab w:val="left" w:pos="567"/>
          <w:tab w:val="left" w:pos="7938"/>
        </w:tabs>
        <w:spacing w:after="0" w:line="360" w:lineRule="auto"/>
        <w:jc w:val="both"/>
        <w:rPr>
          <w:rFonts w:ascii="Palatino Linotype" w:hAnsi="Palatino Linotype" w:cs="Arial"/>
          <w:sz w:val="24"/>
          <w:szCs w:val="24"/>
        </w:rPr>
      </w:pPr>
    </w:p>
    <w:tbl>
      <w:tblPr>
        <w:tblStyle w:val="Tablaconcuadrcula"/>
        <w:tblW w:w="9210" w:type="dxa"/>
        <w:tblLook w:val="04A0" w:firstRow="1" w:lastRow="0" w:firstColumn="1" w:lastColumn="0" w:noHBand="0" w:noVBand="1"/>
      </w:tblPr>
      <w:tblGrid>
        <w:gridCol w:w="5524"/>
        <w:gridCol w:w="3686"/>
      </w:tblGrid>
      <w:tr w:rsidR="00407BC1" w:rsidTr="00B17522">
        <w:tc>
          <w:tcPr>
            <w:tcW w:w="5524" w:type="dxa"/>
            <w:tcBorders>
              <w:right w:val="double" w:sz="4" w:space="0" w:color="auto"/>
            </w:tcBorders>
            <w:shd w:val="clear" w:color="auto" w:fill="000000" w:themeFill="text1"/>
          </w:tcPr>
          <w:p w:rsidR="00407BC1" w:rsidRDefault="00407BC1" w:rsidP="00407BC1">
            <w:pPr>
              <w:tabs>
                <w:tab w:val="left" w:pos="567"/>
                <w:tab w:val="left" w:pos="7938"/>
              </w:tabs>
              <w:spacing w:line="360" w:lineRule="auto"/>
              <w:jc w:val="center"/>
              <w:rPr>
                <w:rFonts w:ascii="Palatino Linotype" w:hAnsi="Palatino Linotype" w:cs="Arial"/>
                <w:sz w:val="24"/>
                <w:szCs w:val="24"/>
              </w:rPr>
            </w:pPr>
            <w:r>
              <w:rPr>
                <w:rFonts w:ascii="Palatino Linotype" w:hAnsi="Palatino Linotype" w:cs="Arial"/>
                <w:sz w:val="24"/>
                <w:szCs w:val="24"/>
              </w:rPr>
              <w:t>Solicitud de información</w:t>
            </w:r>
          </w:p>
        </w:tc>
        <w:tc>
          <w:tcPr>
            <w:tcW w:w="3686" w:type="dxa"/>
            <w:tcBorders>
              <w:left w:val="double" w:sz="4" w:space="0" w:color="auto"/>
            </w:tcBorders>
            <w:shd w:val="clear" w:color="auto" w:fill="000000" w:themeFill="text1"/>
          </w:tcPr>
          <w:p w:rsidR="00407BC1" w:rsidRDefault="00407BC1" w:rsidP="00407BC1">
            <w:pPr>
              <w:tabs>
                <w:tab w:val="left" w:pos="567"/>
                <w:tab w:val="left" w:pos="7938"/>
              </w:tabs>
              <w:spacing w:line="360" w:lineRule="auto"/>
              <w:jc w:val="center"/>
              <w:rPr>
                <w:rFonts w:ascii="Palatino Linotype" w:hAnsi="Palatino Linotype" w:cs="Arial"/>
                <w:sz w:val="24"/>
                <w:szCs w:val="24"/>
              </w:rPr>
            </w:pPr>
            <w:r>
              <w:rPr>
                <w:rFonts w:ascii="Palatino Linotype" w:hAnsi="Palatino Linotype" w:cs="Arial"/>
                <w:sz w:val="24"/>
                <w:szCs w:val="24"/>
              </w:rPr>
              <w:t>Contestación</w:t>
            </w:r>
          </w:p>
        </w:tc>
      </w:tr>
      <w:tr w:rsidR="00407BC1" w:rsidTr="00B17522">
        <w:tc>
          <w:tcPr>
            <w:tcW w:w="5524" w:type="dxa"/>
          </w:tcPr>
          <w:p w:rsidR="00407BC1" w:rsidRDefault="00407BC1" w:rsidP="00B17522">
            <w:pPr>
              <w:tabs>
                <w:tab w:val="left" w:pos="567"/>
                <w:tab w:val="left" w:pos="7938"/>
              </w:tabs>
              <w:jc w:val="both"/>
              <w:rPr>
                <w:rFonts w:ascii="Palatino Linotype" w:hAnsi="Palatino Linotype" w:cs="Arial"/>
                <w:sz w:val="24"/>
                <w:szCs w:val="24"/>
              </w:rPr>
            </w:pPr>
            <w:r>
              <w:rPr>
                <w:rFonts w:ascii="Palatino Linotype" w:hAnsi="Palatino Linotype"/>
                <w:i/>
                <w:sz w:val="24"/>
                <w:szCs w:val="24"/>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w:t>
            </w:r>
          </w:p>
        </w:tc>
        <w:tc>
          <w:tcPr>
            <w:tcW w:w="3686" w:type="dxa"/>
          </w:tcPr>
          <w:p w:rsidR="00407BC1" w:rsidRPr="00407BC1" w:rsidRDefault="00407BC1" w:rsidP="00B17522">
            <w:pPr>
              <w:pStyle w:val="Prrafodelista"/>
              <w:numPr>
                <w:ilvl w:val="0"/>
                <w:numId w:val="28"/>
              </w:numPr>
              <w:tabs>
                <w:tab w:val="left" w:pos="567"/>
                <w:tab w:val="left" w:pos="7938"/>
              </w:tabs>
              <w:spacing w:line="360" w:lineRule="auto"/>
              <w:ind w:left="33" w:hanging="75"/>
              <w:jc w:val="both"/>
              <w:rPr>
                <w:rFonts w:ascii="Palatino Linotype" w:hAnsi="Palatino Linotype" w:cstheme="minorBidi"/>
                <w:i/>
              </w:rPr>
            </w:pPr>
            <w:r w:rsidRPr="00407BC1">
              <w:rPr>
                <w:rFonts w:ascii="Palatino Linotype" w:hAnsi="Palatino Linotype"/>
                <w:i/>
              </w:rPr>
              <w:t>El municipio de Coatepec Harinas cuenta con una unidad llamada Sistema Municipal para la Igualdad de Trato y Oportunidades Entre Mujeres y Hombres para prevenir, atender, sancionar y erradicar la violencia contra las mujeres.</w:t>
            </w:r>
          </w:p>
        </w:tc>
      </w:tr>
      <w:tr w:rsidR="00407BC1" w:rsidTr="00B17522">
        <w:tc>
          <w:tcPr>
            <w:tcW w:w="5524" w:type="dxa"/>
          </w:tcPr>
          <w:p w:rsidR="00407BC1" w:rsidRDefault="00407BC1" w:rsidP="00407BC1">
            <w:pPr>
              <w:tabs>
                <w:tab w:val="left" w:pos="567"/>
                <w:tab w:val="left" w:pos="7938"/>
              </w:tabs>
              <w:spacing w:line="360" w:lineRule="auto"/>
              <w:jc w:val="both"/>
              <w:rPr>
                <w:rFonts w:ascii="Palatino Linotype" w:hAnsi="Palatino Linotype" w:cs="Arial"/>
                <w:sz w:val="24"/>
                <w:szCs w:val="24"/>
              </w:rPr>
            </w:pPr>
            <w:r>
              <w:rPr>
                <w:rFonts w:ascii="Palatino Linotype" w:hAnsi="Palatino Linotype"/>
                <w:i/>
                <w:sz w:val="24"/>
                <w:szCs w:val="24"/>
              </w:rPr>
              <w:t xml:space="preserve">2.- ¿En caso de contar con la Unidad, mencione en qué fecha se creó y como está integrada? </w:t>
            </w:r>
          </w:p>
        </w:tc>
        <w:tc>
          <w:tcPr>
            <w:tcW w:w="3686" w:type="dxa"/>
          </w:tcPr>
          <w:p w:rsidR="00407BC1" w:rsidRPr="00407BC1" w:rsidRDefault="00B17522" w:rsidP="00B17522">
            <w:pPr>
              <w:pStyle w:val="Prrafodelista"/>
              <w:numPr>
                <w:ilvl w:val="0"/>
                <w:numId w:val="28"/>
              </w:numPr>
              <w:tabs>
                <w:tab w:val="left" w:pos="567"/>
                <w:tab w:val="left" w:pos="7938"/>
              </w:tabs>
              <w:ind w:left="34" w:hanging="74"/>
              <w:jc w:val="both"/>
              <w:rPr>
                <w:rFonts w:ascii="Palatino Linotype" w:hAnsi="Palatino Linotype" w:cstheme="minorBidi"/>
                <w:i/>
              </w:rPr>
            </w:pPr>
            <w:r>
              <w:rPr>
                <w:rFonts w:ascii="Palatino Linotype" w:hAnsi="Palatino Linotype" w:cstheme="minorBidi"/>
                <w:i/>
              </w:rPr>
              <w:t xml:space="preserve"> </w:t>
            </w:r>
            <w:r w:rsidR="00407BC1" w:rsidRPr="00B17522">
              <w:rPr>
                <w:rFonts w:ascii="Palatino Linotype" w:hAnsi="Palatino Linotype" w:cstheme="minorBidi"/>
                <w:i/>
              </w:rPr>
              <w:t>Se creó en fecha 29 de Mayo, 2019 y está conformada por 6 miembros, incluyendo la Coordinadora del Instituto Municipal de la Mujer.</w:t>
            </w:r>
          </w:p>
        </w:tc>
      </w:tr>
      <w:tr w:rsidR="00407BC1" w:rsidTr="00B17522">
        <w:tc>
          <w:tcPr>
            <w:tcW w:w="5524" w:type="dxa"/>
          </w:tcPr>
          <w:p w:rsidR="00407BC1" w:rsidRDefault="00407BC1" w:rsidP="00B17522">
            <w:pPr>
              <w:tabs>
                <w:tab w:val="left" w:pos="567"/>
                <w:tab w:val="left" w:pos="7938"/>
              </w:tabs>
              <w:jc w:val="both"/>
              <w:rPr>
                <w:rFonts w:ascii="Palatino Linotype" w:hAnsi="Palatino Linotype" w:cs="Arial"/>
                <w:sz w:val="24"/>
                <w:szCs w:val="24"/>
              </w:rPr>
            </w:pPr>
            <w:r>
              <w:rPr>
                <w:rFonts w:ascii="Palatino Linotype" w:hAnsi="Palatino Linotype"/>
                <w:i/>
                <w:sz w:val="24"/>
                <w:szCs w:val="24"/>
              </w:rPr>
              <w:lastRenderedPageBreak/>
              <w:t>“…3.-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(sic)</w:t>
            </w:r>
          </w:p>
        </w:tc>
        <w:tc>
          <w:tcPr>
            <w:tcW w:w="3686" w:type="dxa"/>
          </w:tcPr>
          <w:p w:rsidR="00407BC1" w:rsidRPr="00B17522" w:rsidRDefault="00B17522" w:rsidP="00B17522">
            <w:pPr>
              <w:pStyle w:val="Prrafodelista"/>
              <w:numPr>
                <w:ilvl w:val="0"/>
                <w:numId w:val="28"/>
              </w:numPr>
              <w:tabs>
                <w:tab w:val="left" w:pos="567"/>
                <w:tab w:val="left" w:pos="7938"/>
              </w:tabs>
              <w:spacing w:line="360" w:lineRule="auto"/>
              <w:ind w:left="33" w:hanging="75"/>
              <w:jc w:val="both"/>
              <w:rPr>
                <w:rFonts w:ascii="Palatino Linotype" w:hAnsi="Palatino Linotype" w:cstheme="minorBidi"/>
                <w:i/>
              </w:rPr>
            </w:pPr>
            <w:r w:rsidRPr="00B17522">
              <w:rPr>
                <w:rFonts w:ascii="Palatino Linotype" w:hAnsi="Palatino Linotype"/>
                <w:i/>
              </w:rPr>
              <w:t xml:space="preserve"> No contamos con ningún protocolo que haya sido aprobado mediante cabildo.</w:t>
            </w:r>
          </w:p>
        </w:tc>
      </w:tr>
    </w:tbl>
    <w:p w:rsidR="00407BC1" w:rsidRDefault="00407BC1" w:rsidP="00622EBF">
      <w:pPr>
        <w:tabs>
          <w:tab w:val="left" w:pos="567"/>
          <w:tab w:val="left" w:pos="7938"/>
        </w:tabs>
        <w:spacing w:after="0" w:line="360" w:lineRule="auto"/>
        <w:jc w:val="both"/>
        <w:rPr>
          <w:rFonts w:ascii="Palatino Linotype" w:hAnsi="Palatino Linotype" w:cs="Arial"/>
          <w:sz w:val="24"/>
          <w:szCs w:val="24"/>
        </w:rPr>
      </w:pPr>
    </w:p>
    <w:p w:rsidR="00407BC1" w:rsidRDefault="00B17522" w:rsidP="00622EBF">
      <w:pPr>
        <w:tabs>
          <w:tab w:val="left" w:pos="567"/>
          <w:tab w:val="left" w:pos="7938"/>
        </w:tabs>
        <w:spacing w:after="0" w:line="360" w:lineRule="auto"/>
        <w:jc w:val="both"/>
        <w:rPr>
          <w:rFonts w:ascii="Palatino Linotype" w:hAnsi="Palatino Linotype" w:cs="Arial"/>
          <w:sz w:val="24"/>
          <w:szCs w:val="24"/>
        </w:rPr>
      </w:pPr>
      <w:r w:rsidRPr="006E6A5A">
        <w:rPr>
          <w:rFonts w:ascii="Palatino Linotype" w:hAnsi="Palatino Linotype" w:cs="Arial"/>
          <w:sz w:val="24"/>
          <w:szCs w:val="24"/>
        </w:rPr>
        <w:t>Como podemos ver quedaron atendidos los puntos 1 y 3</w:t>
      </w:r>
      <w:r>
        <w:rPr>
          <w:rFonts w:ascii="Palatino Linotype" w:hAnsi="Palatino Linotype" w:cs="Arial"/>
          <w:sz w:val="24"/>
          <w:szCs w:val="24"/>
        </w:rPr>
        <w:t xml:space="preserve"> </w:t>
      </w:r>
      <w:r w:rsidR="006E6A5A">
        <w:rPr>
          <w:rFonts w:ascii="Palatino Linotype" w:hAnsi="Palatino Linotype" w:cs="Arial"/>
          <w:sz w:val="24"/>
          <w:szCs w:val="24"/>
        </w:rPr>
        <w:t xml:space="preserve">y respecto del punto 2, fue colmado parcialmente, pues si bien refiere el sujeto obligado la fecha en que se creó la Unidad </w:t>
      </w:r>
      <w:r w:rsidR="006E6A5A" w:rsidRPr="006E6A5A">
        <w:rPr>
          <w:rFonts w:ascii="Palatino Linotype" w:hAnsi="Palatino Linotype" w:cs="Arial"/>
          <w:sz w:val="24"/>
          <w:szCs w:val="24"/>
        </w:rPr>
        <w:t>para la Igualdad de Trato y Oportunidades Entre Mujeres y Hombres para prevenir, atender, sancionar y erradicar la violencia contra las mujeres</w:t>
      </w:r>
      <w:r w:rsidR="006E6A5A">
        <w:rPr>
          <w:rFonts w:ascii="Palatino Linotype" w:hAnsi="Palatino Linotype" w:cs="Arial"/>
          <w:sz w:val="24"/>
          <w:szCs w:val="24"/>
        </w:rPr>
        <w:t>, asimismo informó que dicha Unidad se conforma por 6 personas incluidas la Coordinadora.</w:t>
      </w:r>
    </w:p>
    <w:p w:rsidR="006E6A5A" w:rsidRDefault="006E6A5A" w:rsidP="00622EBF">
      <w:pPr>
        <w:tabs>
          <w:tab w:val="left" w:pos="567"/>
          <w:tab w:val="left" w:pos="7938"/>
        </w:tabs>
        <w:spacing w:after="0" w:line="360" w:lineRule="auto"/>
        <w:jc w:val="both"/>
        <w:rPr>
          <w:rFonts w:ascii="Palatino Linotype" w:hAnsi="Palatino Linotype" w:cs="Arial"/>
          <w:sz w:val="24"/>
          <w:szCs w:val="24"/>
        </w:rPr>
      </w:pPr>
    </w:p>
    <w:p w:rsidR="006640D9" w:rsidRPr="00A32414" w:rsidRDefault="006E6A5A" w:rsidP="006640D9">
      <w:pPr>
        <w:tabs>
          <w:tab w:val="left" w:pos="7938"/>
        </w:tabs>
        <w:spacing w:after="0" w:line="360" w:lineRule="auto"/>
        <w:jc w:val="both"/>
        <w:rPr>
          <w:rFonts w:ascii="Palatino Linotype" w:eastAsia="Arial Unicode MS" w:hAnsi="Palatino Linotype" w:cs="Arial"/>
          <w:sz w:val="24"/>
        </w:rPr>
      </w:pPr>
      <w:r>
        <w:rPr>
          <w:rFonts w:ascii="Palatino Linotype" w:hAnsi="Palatino Linotype" w:cs="Arial"/>
          <w:sz w:val="24"/>
          <w:szCs w:val="24"/>
        </w:rPr>
        <w:t>Sin embargo</w:t>
      </w:r>
      <w:r w:rsidR="00553EB4">
        <w:rPr>
          <w:rFonts w:ascii="Palatino Linotype" w:hAnsi="Palatino Linotype" w:cs="Arial"/>
          <w:sz w:val="24"/>
          <w:szCs w:val="24"/>
        </w:rPr>
        <w:t>,</w:t>
      </w:r>
      <w:r>
        <w:rPr>
          <w:rFonts w:ascii="Palatino Linotype" w:hAnsi="Palatino Linotype" w:cs="Arial"/>
          <w:sz w:val="24"/>
          <w:szCs w:val="24"/>
        </w:rPr>
        <w:t xml:space="preserve"> el hoy </w:t>
      </w:r>
      <w:r w:rsidR="00C04890">
        <w:rPr>
          <w:rFonts w:ascii="Palatino Linotype" w:hAnsi="Palatino Linotype" w:cs="Arial"/>
          <w:sz w:val="24"/>
          <w:szCs w:val="24"/>
        </w:rPr>
        <w:t>recurrente</w:t>
      </w:r>
      <w:r>
        <w:rPr>
          <w:rFonts w:ascii="Palatino Linotype" w:hAnsi="Palatino Linotype" w:cs="Arial"/>
          <w:sz w:val="24"/>
          <w:szCs w:val="24"/>
        </w:rPr>
        <w:t xml:space="preserve"> solicitó como </w:t>
      </w:r>
      <w:r w:rsidR="00553EB4">
        <w:rPr>
          <w:rFonts w:ascii="Palatino Linotype" w:hAnsi="Palatino Linotype" w:cs="Arial"/>
          <w:sz w:val="24"/>
          <w:szCs w:val="24"/>
        </w:rPr>
        <w:t>esta integrada</w:t>
      </w:r>
      <w:r>
        <w:rPr>
          <w:rFonts w:ascii="Palatino Linotype" w:hAnsi="Palatino Linotype" w:cs="Arial"/>
          <w:sz w:val="24"/>
          <w:szCs w:val="24"/>
        </w:rPr>
        <w:t xml:space="preserve"> dicha Unidad </w:t>
      </w:r>
      <w:r w:rsidR="00C04890">
        <w:rPr>
          <w:rFonts w:ascii="Palatino Linotype" w:hAnsi="Palatino Linotype" w:cs="Arial"/>
          <w:sz w:val="24"/>
          <w:szCs w:val="24"/>
        </w:rPr>
        <w:t>administrativa</w:t>
      </w:r>
      <w:r>
        <w:rPr>
          <w:rFonts w:ascii="Palatino Linotype" w:hAnsi="Palatino Linotype" w:cs="Arial"/>
          <w:sz w:val="24"/>
          <w:szCs w:val="24"/>
        </w:rPr>
        <w:t xml:space="preserve">, por lo que sólo referir que son 6 </w:t>
      </w:r>
      <w:r w:rsidR="00C04890">
        <w:rPr>
          <w:rFonts w:ascii="Palatino Linotype" w:hAnsi="Palatino Linotype" w:cs="Arial"/>
          <w:sz w:val="24"/>
          <w:szCs w:val="24"/>
        </w:rPr>
        <w:t>personas</w:t>
      </w:r>
      <w:r>
        <w:rPr>
          <w:rFonts w:ascii="Palatino Linotype" w:hAnsi="Palatino Linotype" w:cs="Arial"/>
          <w:sz w:val="24"/>
          <w:szCs w:val="24"/>
        </w:rPr>
        <w:t xml:space="preserve"> no co</w:t>
      </w:r>
      <w:r w:rsidR="00553EB4">
        <w:rPr>
          <w:rFonts w:ascii="Palatino Linotype" w:hAnsi="Palatino Linotype" w:cs="Arial"/>
          <w:sz w:val="24"/>
          <w:szCs w:val="24"/>
        </w:rPr>
        <w:t xml:space="preserve">lma dicho punto de la solicitud, por ende </w:t>
      </w:r>
      <w:r w:rsidR="00C369B7">
        <w:rPr>
          <w:rFonts w:ascii="Palatino Linotype" w:hAnsi="Palatino Linotype" w:cs="Arial"/>
          <w:sz w:val="24"/>
          <w:szCs w:val="24"/>
        </w:rPr>
        <w:t>de forma enunciativa más no limitativa, el sujeto obligado podrá dar atención a dicho punto mediante la plantilla de personal</w:t>
      </w:r>
      <w:r w:rsidR="006640D9">
        <w:rPr>
          <w:rFonts w:ascii="Palatino Linotype" w:hAnsi="Palatino Linotype" w:cs="Arial"/>
          <w:sz w:val="24"/>
          <w:szCs w:val="24"/>
        </w:rPr>
        <w:t xml:space="preserve"> u organigrama, </w:t>
      </w:r>
      <w:r w:rsidR="006640D9">
        <w:rPr>
          <w:rFonts w:ascii="Palatino Linotype" w:hAnsi="Palatino Linotype"/>
          <w:color w:val="000000"/>
          <w:sz w:val="24"/>
          <w:szCs w:val="24"/>
        </w:rPr>
        <w:t xml:space="preserve">el sujeto obligado sólo habrá de entregar la plantilla conforme la genere, posea o administre, </w:t>
      </w:r>
      <w:r w:rsidR="006640D9" w:rsidRPr="00A32414">
        <w:rPr>
          <w:rFonts w:ascii="Palatino Linotype" w:eastAsia="Arial Unicode MS" w:hAnsi="Palatino Linotype" w:cs="Arial"/>
          <w:sz w:val="24"/>
        </w:rPr>
        <w:t xml:space="preserve">apodícticamente se tiene el juicio sintético a posteriori de su representación como un listado donde constan los nombres de los servidores públicos y demás datos atingentes a ellos, no obstante puede cambiar según la aplicabilidad de la norma, el documento </w:t>
      </w:r>
      <w:r w:rsidR="006640D9" w:rsidRPr="00A32414">
        <w:rPr>
          <w:rFonts w:ascii="Palatino Linotype" w:eastAsia="Arial Unicode MS" w:hAnsi="Palatino Linotype" w:cs="Arial"/>
          <w:sz w:val="24"/>
        </w:rPr>
        <w:lastRenderedPageBreak/>
        <w:t xml:space="preserve">que contiene el número de servidores públicos que laboran en una institución pública, con referencia a la plaza autorizada por puesto, categoría y unidad de adscripción. </w:t>
      </w:r>
    </w:p>
    <w:p w:rsidR="006640D9" w:rsidRPr="00A32414" w:rsidRDefault="006640D9" w:rsidP="006640D9">
      <w:pPr>
        <w:tabs>
          <w:tab w:val="left" w:pos="7938"/>
        </w:tabs>
        <w:spacing w:after="0" w:line="360" w:lineRule="auto"/>
        <w:jc w:val="both"/>
        <w:rPr>
          <w:rFonts w:ascii="Palatino Linotype" w:eastAsia="Arial Unicode MS" w:hAnsi="Palatino Linotype" w:cs="Arial"/>
          <w:sz w:val="24"/>
        </w:rPr>
      </w:pPr>
    </w:p>
    <w:p w:rsidR="006640D9" w:rsidRDefault="006640D9" w:rsidP="006640D9">
      <w:pPr>
        <w:tabs>
          <w:tab w:val="left" w:pos="7938"/>
        </w:tabs>
        <w:spacing w:after="0" w:line="360" w:lineRule="auto"/>
        <w:jc w:val="both"/>
        <w:rPr>
          <w:rFonts w:ascii="Palatino Linotype" w:hAnsi="Palatino Linotype" w:cs="Arial"/>
          <w:sz w:val="24"/>
          <w:szCs w:val="24"/>
        </w:rPr>
      </w:pPr>
      <w:r w:rsidRPr="004A0BEA">
        <w:rPr>
          <w:rFonts w:ascii="Palatino Linotype" w:eastAsia="Arial Unicode MS" w:hAnsi="Palatino Linotype" w:cs="Arial"/>
          <w:sz w:val="24"/>
        </w:rPr>
        <w:t>Por su parte, el Manual</w:t>
      </w:r>
      <w:r w:rsidRPr="008E7FF5">
        <w:rPr>
          <w:rFonts w:ascii="Palatino Linotype" w:hAnsi="Palatino Linotype" w:cs="Arial"/>
          <w:sz w:val="24"/>
          <w:szCs w:val="24"/>
        </w:rPr>
        <w:t xml:space="preserve"> para la Planeación, Programación y Presupuestación Municip</w:t>
      </w:r>
      <w:r>
        <w:rPr>
          <w:rFonts w:ascii="Palatino Linotype" w:hAnsi="Palatino Linotype" w:cs="Arial"/>
          <w:sz w:val="24"/>
          <w:szCs w:val="24"/>
        </w:rPr>
        <w:t>al para el ejercicio fiscal 2019</w:t>
      </w:r>
      <w:r w:rsidRPr="008E7FF5">
        <w:rPr>
          <w:rFonts w:ascii="Palatino Linotype" w:hAnsi="Palatino Linotype" w:cs="Arial"/>
          <w:sz w:val="24"/>
          <w:szCs w:val="24"/>
        </w:rPr>
        <w:t xml:space="preserve">, publicado en el periódico oficial “Gaceta del Gobierno” de fecha </w:t>
      </w:r>
      <w:r>
        <w:rPr>
          <w:rFonts w:ascii="Palatino Linotype" w:hAnsi="Palatino Linotype" w:cs="Arial"/>
          <w:sz w:val="24"/>
          <w:szCs w:val="24"/>
        </w:rPr>
        <w:t>seis</w:t>
      </w:r>
      <w:r w:rsidRPr="008E7FF5">
        <w:rPr>
          <w:rFonts w:ascii="Palatino Linotype" w:hAnsi="Palatino Linotype" w:cs="Arial"/>
          <w:sz w:val="24"/>
          <w:szCs w:val="24"/>
        </w:rPr>
        <w:t xml:space="preserve"> de </w:t>
      </w:r>
      <w:r>
        <w:rPr>
          <w:rFonts w:ascii="Palatino Linotype" w:hAnsi="Palatino Linotype" w:cs="Arial"/>
          <w:sz w:val="24"/>
          <w:szCs w:val="24"/>
        </w:rPr>
        <w:t>noviembre</w:t>
      </w:r>
      <w:r w:rsidRPr="008E7FF5">
        <w:rPr>
          <w:rFonts w:ascii="Palatino Linotype" w:hAnsi="Palatino Linotype" w:cs="Arial"/>
          <w:sz w:val="24"/>
          <w:szCs w:val="24"/>
        </w:rPr>
        <w:t xml:space="preserve"> de dos mil </w:t>
      </w:r>
      <w:r>
        <w:rPr>
          <w:rFonts w:ascii="Palatino Linotype" w:hAnsi="Palatino Linotype" w:cs="Arial"/>
          <w:sz w:val="24"/>
          <w:szCs w:val="24"/>
        </w:rPr>
        <w:t>dieciocho</w:t>
      </w:r>
      <w:r w:rsidRPr="008E7FF5">
        <w:rPr>
          <w:rFonts w:ascii="Palatino Linotype" w:hAnsi="Palatino Linotype" w:cs="Arial"/>
          <w:sz w:val="24"/>
          <w:szCs w:val="24"/>
        </w:rPr>
        <w:t xml:space="preserve">, establece en su apartado III.2.3, denominado Lineamientos para la determinación del Presupuesto de Gasto Corriente,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w:t>
      </w:r>
      <w:r>
        <w:rPr>
          <w:rFonts w:ascii="Palatino Linotype" w:hAnsi="Palatino Linotype" w:cs="Arial"/>
          <w:sz w:val="24"/>
          <w:szCs w:val="24"/>
        </w:rPr>
        <w:t>2019</w:t>
      </w:r>
      <w:r w:rsidRPr="008E7FF5">
        <w:rPr>
          <w:rFonts w:ascii="Palatino Linotype" w:hAnsi="Palatino Linotype" w:cs="Arial"/>
          <w:sz w:val="24"/>
          <w:szCs w:val="24"/>
        </w:rPr>
        <w:t>, identificando los recursos necesarios, para lo cual, entre otras cosas deberá atender el costo de las plantillas de personal autorizadas para las dependencias del Municipio</w:t>
      </w:r>
      <w:r>
        <w:rPr>
          <w:rFonts w:ascii="Palatino Linotype" w:hAnsi="Palatino Linotype" w:cs="Arial"/>
          <w:sz w:val="24"/>
          <w:szCs w:val="24"/>
        </w:rPr>
        <w:t>, que señala:</w:t>
      </w:r>
    </w:p>
    <w:p w:rsidR="006640D9" w:rsidRDefault="006640D9" w:rsidP="006640D9">
      <w:pPr>
        <w:tabs>
          <w:tab w:val="left" w:pos="709"/>
        </w:tabs>
        <w:spacing w:after="0" w:line="360" w:lineRule="auto"/>
        <w:jc w:val="both"/>
        <w:rPr>
          <w:rFonts w:ascii="Palatino Linotype" w:hAnsi="Palatino Linotype" w:cs="Arial"/>
          <w:sz w:val="24"/>
          <w:szCs w:val="24"/>
        </w:rPr>
      </w:pPr>
    </w:p>
    <w:p w:rsidR="006640D9" w:rsidRPr="002F4499" w:rsidRDefault="006640D9" w:rsidP="006640D9">
      <w:pPr>
        <w:spacing w:after="0" w:line="240" w:lineRule="auto"/>
        <w:ind w:left="567" w:right="618"/>
        <w:contextualSpacing/>
        <w:jc w:val="both"/>
        <w:rPr>
          <w:rFonts w:ascii="Palatino Linotype" w:eastAsia="MS Mincho" w:hAnsi="Palatino Linotype" w:cs="Times New Roman"/>
          <w:b/>
          <w:i/>
          <w:szCs w:val="24"/>
        </w:rPr>
      </w:pPr>
      <w:r w:rsidRPr="002F4499">
        <w:rPr>
          <w:rFonts w:ascii="Palatino Linotype" w:eastAsia="MS Mincho" w:hAnsi="Palatino Linotype" w:cs="Times New Roman"/>
          <w:b/>
          <w:i/>
          <w:szCs w:val="24"/>
        </w:rPr>
        <w:t xml:space="preserve">“III.2.3 Lineamientos para la determinación del Presupuesto de Gasto Corriente </w:t>
      </w:r>
    </w:p>
    <w:p w:rsidR="006640D9" w:rsidRDefault="006640D9" w:rsidP="006640D9">
      <w:pPr>
        <w:spacing w:after="0" w:line="240" w:lineRule="auto"/>
        <w:ind w:left="567" w:right="618"/>
        <w:contextualSpacing/>
        <w:jc w:val="both"/>
        <w:rPr>
          <w:rFonts w:ascii="Palatino Linotype" w:eastAsia="MS Mincho" w:hAnsi="Palatino Linotype" w:cs="Times New Roman"/>
          <w:i/>
          <w:szCs w:val="24"/>
        </w:rPr>
      </w:pPr>
    </w:p>
    <w:p w:rsidR="006640D9" w:rsidRDefault="006640D9" w:rsidP="006640D9">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Para dar orden y congruencia a las funciones </w:t>
      </w:r>
      <w:r w:rsidRPr="007E1C83">
        <w:rPr>
          <w:rFonts w:ascii="Palatino Linotype" w:eastAsia="MS Mincho" w:hAnsi="Palatino Linotype" w:cs="Times New Roman"/>
          <w:b/>
          <w:i/>
          <w:szCs w:val="24"/>
          <w:u w:val="single"/>
        </w:rPr>
        <w:t>de la Administración Pública Municipal</w:t>
      </w:r>
      <w:r w:rsidRPr="002F4499">
        <w:rPr>
          <w:rFonts w:ascii="Palatino Linotype" w:eastAsia="MS Mincho" w:hAnsi="Palatino Linotype" w:cs="Times New Roman"/>
          <w:i/>
          <w:szCs w:val="24"/>
        </w:rPr>
        <w:t xml:space="preserve">,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 </w:t>
      </w:r>
    </w:p>
    <w:p w:rsidR="006640D9" w:rsidRDefault="006640D9" w:rsidP="006640D9">
      <w:pPr>
        <w:spacing w:after="0" w:line="240" w:lineRule="auto"/>
        <w:ind w:left="567" w:right="618"/>
        <w:contextualSpacing/>
        <w:jc w:val="both"/>
        <w:rPr>
          <w:rFonts w:ascii="Palatino Linotype" w:eastAsia="MS Mincho" w:hAnsi="Palatino Linotype" w:cs="Times New Roman"/>
          <w:i/>
          <w:szCs w:val="24"/>
        </w:rPr>
      </w:pPr>
    </w:p>
    <w:p w:rsidR="006640D9" w:rsidRDefault="006640D9" w:rsidP="006640D9">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Los anteproyectos de presupuesto deben identificar los recursos necesarios para: </w:t>
      </w:r>
    </w:p>
    <w:p w:rsidR="006640D9" w:rsidRDefault="006640D9" w:rsidP="006640D9">
      <w:pPr>
        <w:spacing w:after="0" w:line="240" w:lineRule="auto"/>
        <w:ind w:left="567" w:right="618"/>
        <w:contextualSpacing/>
        <w:jc w:val="both"/>
        <w:rPr>
          <w:rFonts w:ascii="Palatino Linotype" w:eastAsia="MS Mincho" w:hAnsi="Palatino Linotype" w:cs="Times New Roman"/>
          <w:i/>
          <w:szCs w:val="24"/>
        </w:rPr>
      </w:pPr>
    </w:p>
    <w:p w:rsidR="006640D9" w:rsidRPr="002F4499" w:rsidRDefault="006640D9" w:rsidP="006640D9">
      <w:pPr>
        <w:pStyle w:val="Prrafodelista"/>
        <w:numPr>
          <w:ilvl w:val="0"/>
          <w:numId w:val="29"/>
        </w:numPr>
        <w:ind w:right="618"/>
        <w:contextualSpacing/>
        <w:jc w:val="both"/>
        <w:rPr>
          <w:rFonts w:ascii="Palatino Linotype" w:eastAsia="MS Mincho" w:hAnsi="Palatino Linotype"/>
          <w:i/>
          <w:sz w:val="22"/>
        </w:rPr>
      </w:pPr>
      <w:r w:rsidRPr="002F4499">
        <w:rPr>
          <w:rFonts w:ascii="Palatino Linotype" w:eastAsia="MS Mincho" w:hAnsi="Palatino Linotype"/>
          <w:i/>
        </w:rPr>
        <w:t xml:space="preserve">Atender el costo de </w:t>
      </w:r>
      <w:r w:rsidRPr="002F4499">
        <w:rPr>
          <w:rFonts w:ascii="Palatino Linotype" w:eastAsia="MS Mincho" w:hAnsi="Palatino Linotype"/>
          <w:b/>
          <w:i/>
          <w:u w:val="single"/>
        </w:rPr>
        <w:t>las plantillas de personal</w:t>
      </w:r>
      <w:r w:rsidRPr="002F4499">
        <w:rPr>
          <w:rFonts w:ascii="Palatino Linotype" w:eastAsia="MS Mincho" w:hAnsi="Palatino Linotype"/>
          <w:i/>
        </w:rPr>
        <w:t xml:space="preserve"> autorizadas de cada Dependencia General, Auxiliar u Organismo Municipal, para lo cual deberán considerar las partidas específicas del gasto, que permitan dar </w:t>
      </w:r>
      <w:r w:rsidRPr="002F4499">
        <w:rPr>
          <w:rFonts w:ascii="Palatino Linotype" w:eastAsia="MS Mincho" w:hAnsi="Palatino Linotype"/>
          <w:i/>
        </w:rPr>
        <w:lastRenderedPageBreak/>
        <w:t>cumplimiento a los compromisos laborales; es decir, aquellos que por ley deben pagarse a cada servidor público, además de los que a través de la firma de los convenios con el Sindicato Único de Trabajadores del Estado y Municipios se realicen;”</w:t>
      </w:r>
    </w:p>
    <w:p w:rsidR="006640D9" w:rsidRPr="008E7FF5" w:rsidRDefault="006640D9" w:rsidP="006640D9">
      <w:pPr>
        <w:tabs>
          <w:tab w:val="left" w:pos="709"/>
        </w:tabs>
        <w:spacing w:after="0" w:line="360" w:lineRule="auto"/>
        <w:jc w:val="both"/>
        <w:rPr>
          <w:rFonts w:ascii="Palatino Linotype" w:hAnsi="Palatino Linotype" w:cs="Arial"/>
          <w:sz w:val="24"/>
          <w:szCs w:val="24"/>
        </w:rPr>
      </w:pPr>
    </w:p>
    <w:p w:rsidR="006640D9" w:rsidRPr="008E7FF5" w:rsidRDefault="006640D9" w:rsidP="006640D9">
      <w:pPr>
        <w:spacing w:after="0" w:line="360" w:lineRule="auto"/>
        <w:jc w:val="both"/>
        <w:rPr>
          <w:rFonts w:ascii="Palatino Linotype" w:hAnsi="Palatino Linotype"/>
          <w:i/>
          <w:sz w:val="24"/>
          <w:szCs w:val="24"/>
        </w:rPr>
      </w:pPr>
      <w:r w:rsidRPr="008E7FF5">
        <w:rPr>
          <w:rFonts w:ascii="Palatino Linotype" w:hAnsi="Palatino Linotype"/>
          <w:sz w:val="24"/>
          <w:szCs w:val="24"/>
        </w:rPr>
        <w:t>Además señala de manera textual que: ”</w:t>
      </w:r>
      <w:r w:rsidRPr="002F4499">
        <w:rPr>
          <w:rFonts w:ascii="Palatino Linotype" w:hAnsi="Palatino Linotype"/>
          <w:sz w:val="24"/>
          <w:szCs w:val="24"/>
        </w:rPr>
        <w:t xml:space="preserve"> </w:t>
      </w:r>
      <w:r w:rsidRPr="002F4499">
        <w:rPr>
          <w:rFonts w:ascii="Palatino Linotype" w:hAnsi="Palatino Linotype"/>
          <w:i/>
          <w:sz w:val="24"/>
          <w:szCs w:val="24"/>
        </w:rPr>
        <w:t xml:space="preserve">La propuesta de presupuesto deberá integrarse en los formatos PbRM-03 al PbRM-07 en todas sus series, para ello, </w:t>
      </w:r>
      <w:r w:rsidRPr="002F4499">
        <w:rPr>
          <w:rFonts w:ascii="Palatino Linotype" w:hAnsi="Palatino Linotype"/>
          <w:b/>
          <w:i/>
          <w:sz w:val="24"/>
          <w:szCs w:val="24"/>
          <w:u w:val="single"/>
        </w:rPr>
        <w:t>es necesario tener la plantilla de personal autorizada</w:t>
      </w:r>
      <w:r w:rsidRPr="002F4499">
        <w:rPr>
          <w:rFonts w:ascii="Palatino Linotype" w:hAnsi="Palatino Linotype"/>
          <w:i/>
          <w:sz w:val="24"/>
          <w:szCs w:val="24"/>
        </w:rPr>
        <w:t xml:space="preserve"> que incluya el desglose sobre el total de percepciones ordinarias y extraordinarias, un estudio actuarial de las pensiones de sus trabajadores, una propuesta de insumos y requerimientos a nivel de cada una de las Dependencias Generales, Auxiliares y Organismos Municipales, así como los catálogos y anexos que se presentan en este manual</w:t>
      </w:r>
      <w:r w:rsidRPr="002F4499">
        <w:rPr>
          <w:rFonts w:ascii="Palatino Linotype" w:hAnsi="Palatino Linotype"/>
          <w:sz w:val="24"/>
          <w:szCs w:val="24"/>
        </w:rPr>
        <w:t>.”</w:t>
      </w:r>
    </w:p>
    <w:p w:rsidR="006640D9" w:rsidRPr="00C33DE7" w:rsidRDefault="006640D9" w:rsidP="006640D9">
      <w:pPr>
        <w:spacing w:after="0" w:line="360" w:lineRule="auto"/>
        <w:jc w:val="both"/>
        <w:rPr>
          <w:rFonts w:ascii="Palatino Linotype" w:hAnsi="Palatino Linotype"/>
          <w:sz w:val="24"/>
          <w:szCs w:val="24"/>
        </w:rPr>
      </w:pPr>
    </w:p>
    <w:p w:rsidR="006640D9" w:rsidRDefault="006640D9" w:rsidP="006640D9">
      <w:pPr>
        <w:tabs>
          <w:tab w:val="left" w:pos="7938"/>
        </w:tabs>
        <w:spacing w:after="0" w:line="360" w:lineRule="auto"/>
        <w:jc w:val="both"/>
        <w:rPr>
          <w:rFonts w:ascii="Palatino Linotype" w:hAnsi="Palatino Linotype"/>
          <w:sz w:val="24"/>
          <w:szCs w:val="24"/>
        </w:rPr>
      </w:pPr>
      <w:r w:rsidRPr="00C33DE7">
        <w:rPr>
          <w:rFonts w:ascii="Palatino Linotype" w:hAnsi="Palatino Linotype"/>
          <w:sz w:val="24"/>
          <w:szCs w:val="24"/>
        </w:rPr>
        <w:t xml:space="preserve">Así las cosas, resulta evidente que la plantilla de personal en caso de los municipios resulta ser una parte integrante del presupuesto de egresos que se proponga por parte del Presidente Municipal y posteriormente se apruebe por el Ayuntamiento, </w:t>
      </w:r>
      <w:r w:rsidRPr="00602448">
        <w:rPr>
          <w:rFonts w:ascii="Palatino Linotype" w:hAnsi="Palatino Linotype"/>
          <w:sz w:val="24"/>
          <w:szCs w:val="24"/>
        </w:rPr>
        <w:t xml:space="preserve">por lo que son documentos que el Sujeto Obligado debió de haber generado en el ejercicio de dichas atribuciones y en consecuencia le reviste el </w:t>
      </w:r>
      <w:r>
        <w:rPr>
          <w:rFonts w:ascii="Palatino Linotype" w:hAnsi="Palatino Linotype"/>
          <w:sz w:val="24"/>
          <w:szCs w:val="24"/>
        </w:rPr>
        <w:t>carácter de información pública, y con lo cual se tendrá por satisfecho lo referente al n</w:t>
      </w:r>
      <w:r w:rsidRPr="002B120B">
        <w:rPr>
          <w:rFonts w:ascii="Palatino Linotype" w:hAnsi="Palatino Linotype"/>
          <w:color w:val="000000"/>
          <w:sz w:val="24"/>
          <w:szCs w:val="24"/>
        </w:rPr>
        <w:t>úmero total de empleados del ayuntamiento, pormenorizando cuantos pertenecen a cada dirección o coordinación</w:t>
      </w:r>
      <w:r>
        <w:rPr>
          <w:rFonts w:ascii="Palatino Linotype" w:hAnsi="Palatino Linotype"/>
          <w:sz w:val="24"/>
          <w:szCs w:val="24"/>
        </w:rPr>
        <w:t xml:space="preserve"> del municipio, pues el mismo Manual establece en el mismo apartado:</w:t>
      </w:r>
    </w:p>
    <w:p w:rsidR="006640D9" w:rsidRDefault="006640D9" w:rsidP="006640D9">
      <w:pPr>
        <w:tabs>
          <w:tab w:val="left" w:pos="7938"/>
        </w:tabs>
        <w:spacing w:after="0" w:line="360" w:lineRule="auto"/>
        <w:jc w:val="both"/>
        <w:rPr>
          <w:rFonts w:ascii="Palatino Linotype" w:hAnsi="Palatino Linotype"/>
          <w:sz w:val="24"/>
          <w:szCs w:val="24"/>
        </w:rPr>
      </w:pPr>
    </w:p>
    <w:p w:rsidR="006640D9" w:rsidRPr="002F4499" w:rsidRDefault="006640D9" w:rsidP="006640D9">
      <w:pPr>
        <w:pStyle w:val="Prrafodelista"/>
        <w:ind w:left="1287" w:right="618"/>
        <w:contextualSpacing/>
        <w:jc w:val="both"/>
        <w:rPr>
          <w:rFonts w:ascii="Palatino Linotype" w:eastAsia="MS Mincho" w:hAnsi="Palatino Linotype"/>
          <w:i/>
        </w:rPr>
      </w:pPr>
      <w:r>
        <w:rPr>
          <w:rFonts w:ascii="Palatino Linotype" w:eastAsia="MS Mincho" w:hAnsi="Palatino Linotype"/>
          <w:i/>
        </w:rPr>
        <w:t>“</w:t>
      </w:r>
      <w:r w:rsidRPr="002F4499">
        <w:rPr>
          <w:rFonts w:ascii="Palatino Linotype" w:eastAsia="MS Mincho" w:hAnsi="Palatino Linotype"/>
          <w:i/>
        </w:rPr>
        <w:t xml:space="preserve">Para la asignación de los recursos del Capítulo 1000 Servicios Personales, es necesario identificar el </w:t>
      </w:r>
      <w:r w:rsidRPr="002F4499">
        <w:rPr>
          <w:rFonts w:ascii="Palatino Linotype" w:eastAsia="MS Mincho" w:hAnsi="Palatino Linotype"/>
          <w:b/>
          <w:i/>
          <w:u w:val="single"/>
        </w:rPr>
        <w:t>costo de la plantilla de personal actual</w:t>
      </w:r>
      <w:r w:rsidRPr="002F4499">
        <w:rPr>
          <w:rFonts w:ascii="Palatino Linotype" w:eastAsia="MS Mincho" w:hAnsi="Palatino Linotype"/>
          <w:i/>
        </w:rPr>
        <w:t xml:space="preserve"> y estimar montos para cumplir con posibles compromisos laborales que respondan a la firma de convenios, así como a los recursos que se </w:t>
      </w:r>
      <w:r w:rsidRPr="002F4499">
        <w:rPr>
          <w:rFonts w:ascii="Palatino Linotype" w:eastAsia="MS Mincho" w:hAnsi="Palatino Linotype"/>
          <w:i/>
        </w:rPr>
        <w:lastRenderedPageBreak/>
        <w:t>comuniquen como asignaciones presupuestarias para este capítulo, por lo que es necesario incluir el tabulador salarial que incluya el total de percepciones ordinarias y extraordinarias</w:t>
      </w:r>
      <w:r>
        <w:rPr>
          <w:rFonts w:ascii="Palatino Linotype" w:eastAsia="MS Mincho" w:hAnsi="Palatino Linotype"/>
          <w:i/>
        </w:rPr>
        <w:t>.”</w:t>
      </w:r>
    </w:p>
    <w:p w:rsidR="006640D9" w:rsidRDefault="006640D9" w:rsidP="006640D9">
      <w:pPr>
        <w:tabs>
          <w:tab w:val="left" w:pos="7938"/>
        </w:tabs>
        <w:spacing w:after="0" w:line="360" w:lineRule="auto"/>
        <w:jc w:val="both"/>
        <w:rPr>
          <w:rFonts w:ascii="Palatino Linotype" w:hAnsi="Palatino Linotype"/>
          <w:sz w:val="24"/>
          <w:szCs w:val="24"/>
        </w:rPr>
      </w:pPr>
    </w:p>
    <w:p w:rsidR="006640D9" w:rsidRPr="007E1C83" w:rsidRDefault="006640D9" w:rsidP="006640D9">
      <w:pPr>
        <w:tabs>
          <w:tab w:val="left" w:pos="7938"/>
        </w:tabs>
        <w:spacing w:after="0" w:line="360" w:lineRule="auto"/>
        <w:jc w:val="both"/>
        <w:rPr>
          <w:rFonts w:ascii="Palatino Linotype" w:hAnsi="Palatino Linotype"/>
          <w:sz w:val="24"/>
          <w:szCs w:val="24"/>
        </w:rPr>
      </w:pPr>
      <w:r w:rsidRPr="007E1C83">
        <w:rPr>
          <w:rFonts w:ascii="Palatino Linotype" w:hAnsi="Palatino Linotype"/>
          <w:sz w:val="24"/>
          <w:szCs w:val="24"/>
        </w:rPr>
        <w:t xml:space="preserve">Por lo cual la plantilla de personal al ser el documento que contiene el número de servidores públicos que laboran en una institución pública, con referencia a la plaza autorizada por puesto, categoría y unidad de adscripción así como los nombres de los servidores público, </w:t>
      </w:r>
      <w:r w:rsidRPr="00A263AC">
        <w:rPr>
          <w:rFonts w:ascii="Palatino Linotype" w:hAnsi="Palatino Linotype"/>
          <w:sz w:val="24"/>
          <w:szCs w:val="24"/>
        </w:rPr>
        <w:t xml:space="preserve">deberá </w:t>
      </w:r>
      <w:r>
        <w:rPr>
          <w:rFonts w:ascii="Palatino Linotype" w:hAnsi="Palatino Linotype"/>
          <w:sz w:val="24"/>
          <w:szCs w:val="24"/>
        </w:rPr>
        <w:t xml:space="preserve">ser entregada vía SAIMEX, </w:t>
      </w:r>
      <w:r w:rsidRPr="00767952">
        <w:rPr>
          <w:rFonts w:ascii="Palatino Linotype" w:hAnsi="Palatino Linotype"/>
          <w:sz w:val="24"/>
          <w:szCs w:val="24"/>
        </w:rPr>
        <w:t>y toda vez que el recurrente en este punto no establece temporalidad, en aras de dar</w:t>
      </w:r>
      <w:r w:rsidRPr="00F419FE">
        <w:rPr>
          <w:rFonts w:ascii="Palatino Linotype" w:hAnsi="Palatino Linotype"/>
          <w:sz w:val="24"/>
          <w:szCs w:val="24"/>
        </w:rPr>
        <w:t xml:space="preserve"> precisión a la información que habrá que entregarse</w:t>
      </w:r>
      <w:r w:rsidR="004E085C">
        <w:rPr>
          <w:rFonts w:ascii="Palatino Linotype" w:hAnsi="Palatino Linotype"/>
          <w:sz w:val="24"/>
          <w:szCs w:val="24"/>
        </w:rPr>
        <w:t>,</w:t>
      </w:r>
      <w:r w:rsidRPr="00F419FE">
        <w:rPr>
          <w:rFonts w:ascii="Palatino Linotype" w:hAnsi="Palatino Linotype"/>
          <w:sz w:val="24"/>
          <w:szCs w:val="24"/>
        </w:rPr>
        <w:t xml:space="preserve"> deberá </w:t>
      </w:r>
      <w:r w:rsidR="004E085C">
        <w:rPr>
          <w:rFonts w:ascii="Palatino Linotype" w:hAnsi="Palatino Linotype"/>
          <w:sz w:val="24"/>
          <w:szCs w:val="24"/>
        </w:rPr>
        <w:t>ser la actualizada a la fecha de la solicitud de información es decir, al 0</w:t>
      </w:r>
      <w:r w:rsidRPr="00F419FE">
        <w:rPr>
          <w:rFonts w:ascii="Palatino Linotype" w:hAnsi="Palatino Linotype"/>
          <w:sz w:val="24"/>
          <w:szCs w:val="24"/>
        </w:rPr>
        <w:t xml:space="preserve">8 de </w:t>
      </w:r>
      <w:r w:rsidR="004E085C">
        <w:rPr>
          <w:rFonts w:ascii="Palatino Linotype" w:hAnsi="Palatino Linotype"/>
          <w:sz w:val="24"/>
          <w:szCs w:val="24"/>
        </w:rPr>
        <w:t>noviembre</w:t>
      </w:r>
      <w:r w:rsidRPr="00F419FE">
        <w:rPr>
          <w:rFonts w:ascii="Palatino Linotype" w:hAnsi="Palatino Linotype"/>
          <w:sz w:val="24"/>
          <w:szCs w:val="24"/>
        </w:rPr>
        <w:t xml:space="preserve"> de 2019.</w:t>
      </w:r>
      <w:r>
        <w:rPr>
          <w:rFonts w:ascii="Palatino Linotype" w:hAnsi="Palatino Linotype"/>
          <w:sz w:val="24"/>
          <w:szCs w:val="24"/>
        </w:rPr>
        <w:t xml:space="preserve"> </w:t>
      </w:r>
    </w:p>
    <w:p w:rsidR="006640D9" w:rsidRPr="00767952" w:rsidRDefault="006640D9" w:rsidP="006640D9">
      <w:pPr>
        <w:tabs>
          <w:tab w:val="left" w:pos="7938"/>
        </w:tabs>
        <w:spacing w:after="0" w:line="360" w:lineRule="auto"/>
        <w:jc w:val="both"/>
        <w:rPr>
          <w:rFonts w:ascii="Palatino Linotype" w:hAnsi="Palatino Linotype"/>
          <w:sz w:val="24"/>
          <w:szCs w:val="24"/>
        </w:rPr>
      </w:pPr>
    </w:p>
    <w:p w:rsidR="006640D9" w:rsidRDefault="006640D9" w:rsidP="006640D9">
      <w:pPr>
        <w:spacing w:after="0" w:line="360" w:lineRule="auto"/>
        <w:jc w:val="both"/>
        <w:rPr>
          <w:rFonts w:ascii="Palatino Linotype" w:eastAsia="Times New Roman" w:hAnsi="Palatino Linotype" w:cs="Arial"/>
          <w:color w:val="000000"/>
          <w:sz w:val="24"/>
          <w:szCs w:val="24"/>
          <w:lang w:eastAsia="es-MX"/>
        </w:rPr>
      </w:pPr>
      <w:r>
        <w:rPr>
          <w:rFonts w:ascii="Palatino Linotype" w:hAnsi="Palatino Linotype"/>
          <w:color w:val="000000"/>
          <w:sz w:val="24"/>
          <w:szCs w:val="24"/>
        </w:rPr>
        <w:t xml:space="preserve">Por cuanto hace al </w:t>
      </w:r>
      <w:r w:rsidRPr="004E085C">
        <w:rPr>
          <w:rFonts w:ascii="Palatino Linotype" w:hAnsi="Palatino Linotype"/>
          <w:color w:val="000000"/>
          <w:sz w:val="24"/>
          <w:szCs w:val="24"/>
        </w:rPr>
        <w:t>Organigrama,</w:t>
      </w:r>
      <w:r>
        <w:rPr>
          <w:rFonts w:ascii="Palatino Linotype" w:hAnsi="Palatino Linotype"/>
          <w:color w:val="000000"/>
          <w:sz w:val="24"/>
          <w:szCs w:val="24"/>
        </w:rPr>
        <w:t xml:space="preserve"> es necesario referir que por organigrama nos referiremos a la estructura orgánica, el derecho positivo vigente en materia de acceso a la información pública establece tal conceptualización como estructura orgánica, como se puede apreciar a continuación: </w:t>
      </w:r>
      <w:r>
        <w:rPr>
          <w:rFonts w:ascii="Palatino Linotype" w:hAnsi="Palatino Linotype" w:cs="Arial"/>
          <w:sz w:val="24"/>
          <w:szCs w:val="24"/>
        </w:rPr>
        <w:t xml:space="preserve">Ley de </w:t>
      </w:r>
      <w:r>
        <w:rPr>
          <w:rFonts w:ascii="Palatino Linotype" w:eastAsia="Times New Roman" w:hAnsi="Palatino Linotype" w:cs="Arial"/>
          <w:color w:val="000000"/>
          <w:sz w:val="24"/>
          <w:szCs w:val="24"/>
          <w:lang w:eastAsia="es-MX"/>
        </w:rPr>
        <w:t>Transparencia y Acceso a la Información Pública del Estado de México y Municipios:</w:t>
      </w:r>
    </w:p>
    <w:p w:rsidR="006640D9" w:rsidRDefault="006640D9" w:rsidP="006640D9">
      <w:pPr>
        <w:spacing w:after="0" w:line="360" w:lineRule="auto"/>
        <w:jc w:val="both"/>
        <w:rPr>
          <w:rFonts w:ascii="Palatino Linotype" w:hAnsi="Palatino Linotype" w:cs="Arial"/>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Pr>
          <w:rFonts w:ascii="Palatino Linotype" w:hAnsi="Palatino Linotype"/>
          <w:i/>
          <w:color w:val="000000"/>
          <w:sz w:val="24"/>
          <w:szCs w:val="24"/>
        </w:rPr>
        <w:t>“</w:t>
      </w:r>
      <w:r w:rsidRPr="003D05D5">
        <w:rPr>
          <w:rFonts w:ascii="Palatino Linotype" w:hAnsi="Palatino Linotype"/>
          <w:i/>
          <w:color w:val="000000"/>
          <w:sz w:val="24"/>
          <w:szCs w:val="24"/>
        </w:rPr>
        <w:t>Artículo 92. Los sujetos obligados deberán poner a disposición del público de manera permanente y actualizada de forma</w:t>
      </w:r>
      <w:r>
        <w:rPr>
          <w:rFonts w:ascii="Palatino Linotype" w:hAnsi="Palatino Linotype"/>
          <w:i/>
          <w:color w:val="000000"/>
          <w:sz w:val="24"/>
          <w:szCs w:val="24"/>
        </w:rPr>
        <w:t xml:space="preserve"> </w:t>
      </w:r>
      <w:r w:rsidRPr="003D05D5">
        <w:rPr>
          <w:rFonts w:ascii="Palatino Linotype" w:hAnsi="Palatino Linotype"/>
          <w:i/>
          <w:color w:val="000000"/>
          <w:sz w:val="24"/>
          <w:szCs w:val="24"/>
        </w:rPr>
        <w:t>sencilla, precisa y entendible, en los respectivos medios electrónicos, de acuerdo con sus facultades, atribuciones, funciones</w:t>
      </w:r>
      <w:r>
        <w:rPr>
          <w:rFonts w:ascii="Palatino Linotype" w:hAnsi="Palatino Linotype"/>
          <w:i/>
          <w:color w:val="000000"/>
          <w:sz w:val="24"/>
          <w:szCs w:val="24"/>
        </w:rPr>
        <w:t xml:space="preserve"> </w:t>
      </w:r>
      <w:r w:rsidRPr="003D05D5">
        <w:rPr>
          <w:rFonts w:ascii="Palatino Linotype" w:hAnsi="Palatino Linotype"/>
          <w:i/>
          <w:color w:val="000000"/>
          <w:sz w:val="24"/>
          <w:szCs w:val="24"/>
        </w:rPr>
        <w:t>u objeto social, según corresponda, la información, por lo menos, de los temas, documentos y políticas que a continuación</w:t>
      </w:r>
      <w:r>
        <w:rPr>
          <w:rFonts w:ascii="Palatino Linotype" w:hAnsi="Palatino Linotype"/>
          <w:i/>
          <w:color w:val="000000"/>
          <w:sz w:val="24"/>
          <w:szCs w:val="24"/>
        </w:rPr>
        <w:t xml:space="preserve"> </w:t>
      </w:r>
      <w:r w:rsidRPr="003D05D5">
        <w:rPr>
          <w:rFonts w:ascii="Palatino Linotype" w:hAnsi="Palatino Linotype"/>
          <w:i/>
          <w:color w:val="000000"/>
          <w:sz w:val="24"/>
          <w:szCs w:val="24"/>
        </w:rPr>
        <w:t>se señalan:</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Pr>
          <w:rFonts w:ascii="Palatino Linotype" w:hAnsi="Palatino Linotype"/>
          <w:i/>
          <w:color w:val="000000"/>
          <w:sz w:val="24"/>
          <w:szCs w:val="24"/>
        </w:rPr>
        <w:t>…</w:t>
      </w:r>
    </w:p>
    <w:p w:rsidR="006640D9" w:rsidRPr="003D05D5"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3D05D5">
        <w:rPr>
          <w:rFonts w:ascii="Palatino Linotype" w:hAnsi="Palatino Linotype"/>
          <w:i/>
          <w:color w:val="000000"/>
          <w:sz w:val="24"/>
          <w:szCs w:val="24"/>
        </w:rPr>
        <w:t>II. Su estructura orgánica completa, en un formato que permita vincular cada parte de la estructura, las atribuciones y</w:t>
      </w:r>
      <w:r>
        <w:rPr>
          <w:rFonts w:ascii="Palatino Linotype" w:hAnsi="Palatino Linotype"/>
          <w:i/>
          <w:color w:val="000000"/>
          <w:sz w:val="24"/>
          <w:szCs w:val="24"/>
        </w:rPr>
        <w:t xml:space="preserve"> </w:t>
      </w:r>
      <w:r w:rsidRPr="003D05D5">
        <w:rPr>
          <w:rFonts w:ascii="Palatino Linotype" w:hAnsi="Palatino Linotype"/>
          <w:i/>
          <w:color w:val="000000"/>
          <w:sz w:val="24"/>
          <w:szCs w:val="24"/>
        </w:rPr>
        <w:t xml:space="preserve">responsabilidades que le corresponden a cada servidor público, prestador de servicios profesionales </w:t>
      </w:r>
      <w:r w:rsidRPr="003D05D5">
        <w:rPr>
          <w:rFonts w:ascii="Palatino Linotype" w:hAnsi="Palatino Linotype"/>
          <w:i/>
          <w:color w:val="000000"/>
          <w:sz w:val="24"/>
          <w:szCs w:val="24"/>
        </w:rPr>
        <w:lastRenderedPageBreak/>
        <w:t>o miembro de los</w:t>
      </w:r>
      <w:r>
        <w:rPr>
          <w:rFonts w:ascii="Palatino Linotype" w:hAnsi="Palatino Linotype"/>
          <w:i/>
          <w:color w:val="000000"/>
          <w:sz w:val="24"/>
          <w:szCs w:val="24"/>
        </w:rPr>
        <w:t xml:space="preserve"> </w:t>
      </w:r>
      <w:r w:rsidRPr="003D05D5">
        <w:rPr>
          <w:rFonts w:ascii="Palatino Linotype" w:hAnsi="Palatino Linotype"/>
          <w:i/>
          <w:color w:val="000000"/>
          <w:sz w:val="24"/>
          <w:szCs w:val="24"/>
        </w:rPr>
        <w:t>sujetos obligados, de conformidad con las disposiciones jurídicas aplicables;</w:t>
      </w:r>
      <w:r>
        <w:rPr>
          <w:rFonts w:ascii="Palatino Linotype" w:hAnsi="Palatino Linotype"/>
          <w:i/>
          <w:color w:val="000000"/>
          <w:sz w:val="24"/>
          <w:szCs w:val="24"/>
        </w:rPr>
        <w:t>”</w:t>
      </w:r>
    </w:p>
    <w:p w:rsidR="006640D9" w:rsidRDefault="006640D9" w:rsidP="006640D9">
      <w:pPr>
        <w:spacing w:after="0" w:line="360" w:lineRule="auto"/>
        <w:jc w:val="both"/>
        <w:rPr>
          <w:rFonts w:ascii="Palatino Linotype" w:hAnsi="Palatino Linotype" w:cs="Arial"/>
          <w:sz w:val="24"/>
          <w:szCs w:val="24"/>
        </w:rPr>
      </w:pPr>
    </w:p>
    <w:p w:rsidR="006640D9" w:rsidRDefault="006640D9" w:rsidP="006640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la publicación de la estructura orgánica es una obligación que el sujeto obligado debe observar en todo momento, y procurar que en la página se encuentre disponible para el público en general, en ese orden de ideas el </w:t>
      </w:r>
      <w:r w:rsidRPr="0095771B">
        <w:rPr>
          <w:rFonts w:ascii="Palatino Linotype" w:hAnsi="Palatino Linotype" w:cs="Arial"/>
          <w:b/>
          <w:sz w:val="24"/>
          <w:szCs w:val="24"/>
        </w:rPr>
        <w:t>Lineamientos para la Integración del Informe Mensual 2019</w:t>
      </w:r>
      <w:r w:rsidRPr="0095771B">
        <w:rPr>
          <w:rFonts w:ascii="Palatino Linotype" w:hAnsi="Palatino Linotype" w:cs="Arial"/>
          <w:sz w:val="24"/>
          <w:szCs w:val="24"/>
        </w:rPr>
        <w:t xml:space="preserve"> emitidos por el Órgano Superior de Fiscalización del Estado de México</w:t>
      </w:r>
      <w:r>
        <w:rPr>
          <w:rFonts w:ascii="Palatino Linotype" w:hAnsi="Palatino Linotype" w:cs="Arial"/>
          <w:sz w:val="24"/>
          <w:szCs w:val="24"/>
        </w:rPr>
        <w:t>, al respecto establecen lo siguiente:</w:t>
      </w:r>
    </w:p>
    <w:p w:rsidR="006640D9" w:rsidRDefault="006640D9" w:rsidP="006640D9">
      <w:pPr>
        <w:spacing w:after="0" w:line="360" w:lineRule="auto"/>
        <w:jc w:val="both"/>
        <w:rPr>
          <w:rFonts w:ascii="Palatino Linotype" w:hAnsi="Palatino Linotype" w:cs="Arial"/>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Pr>
          <w:rFonts w:ascii="Palatino Linotype" w:hAnsi="Palatino Linotype"/>
          <w:i/>
          <w:color w:val="000000"/>
          <w:sz w:val="24"/>
          <w:szCs w:val="24"/>
        </w:rPr>
        <w:t>“</w:t>
      </w:r>
      <w:r w:rsidRPr="0095771B">
        <w:rPr>
          <w:rFonts w:ascii="Palatino Linotype" w:hAnsi="Palatino Linotype"/>
          <w:i/>
          <w:color w:val="000000"/>
          <w:sz w:val="24"/>
          <w:szCs w:val="24"/>
        </w:rPr>
        <w:t>Con el fin de seguir impulsando la profesionalización y gestión de la administración pública municipal, el OSFEM mantendrá los siguientes indicadores con la periodicidad que se señala:</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Pr>
          <w:rFonts w:ascii="Palatino Linotype" w:hAnsi="Palatino Linotype"/>
          <w:i/>
          <w:color w:val="000000"/>
          <w:sz w:val="24"/>
          <w:szCs w:val="24"/>
        </w:rPr>
        <w:t>…</w:t>
      </w:r>
    </w:p>
    <w:tbl>
      <w:tblPr>
        <w:tblStyle w:val="Tablaconcuadrcula"/>
        <w:tblW w:w="9072" w:type="dxa"/>
        <w:tblInd w:w="-5" w:type="dxa"/>
        <w:tblLook w:val="04A0" w:firstRow="1" w:lastRow="0" w:firstColumn="1" w:lastColumn="0" w:noHBand="0" w:noVBand="1"/>
      </w:tblPr>
      <w:tblGrid>
        <w:gridCol w:w="2268"/>
        <w:gridCol w:w="3402"/>
        <w:gridCol w:w="1701"/>
        <w:gridCol w:w="1701"/>
      </w:tblGrid>
      <w:tr w:rsidR="006640D9" w:rsidTr="00DC2577">
        <w:tc>
          <w:tcPr>
            <w:tcW w:w="2268" w:type="dxa"/>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b/>
                <w:i/>
                <w:color w:val="000000"/>
                <w:sz w:val="18"/>
                <w:szCs w:val="24"/>
              </w:rPr>
            </w:pPr>
            <w:r>
              <w:rPr>
                <w:rFonts w:ascii="Palatino Linotype" w:hAnsi="Palatino Linotype"/>
                <w:b/>
                <w:i/>
                <w:color w:val="000000"/>
                <w:sz w:val="18"/>
                <w:szCs w:val="24"/>
              </w:rPr>
              <w:t>Indicadores de Puntos</w:t>
            </w:r>
          </w:p>
        </w:tc>
        <w:tc>
          <w:tcPr>
            <w:tcW w:w="3402" w:type="dxa"/>
            <w:vAlign w:val="center"/>
          </w:tcPr>
          <w:p w:rsidR="006640D9" w:rsidRPr="00DC0414"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sidRPr="00DC0414">
              <w:rPr>
                <w:rFonts w:ascii="Palatino Linotype" w:hAnsi="Palatino Linotype"/>
                <w:i/>
                <w:color w:val="000000"/>
                <w:sz w:val="18"/>
                <w:szCs w:val="24"/>
              </w:rPr>
              <w:t>Requerimiento</w:t>
            </w:r>
          </w:p>
        </w:tc>
        <w:tc>
          <w:tcPr>
            <w:tcW w:w="1701" w:type="dxa"/>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Pr>
                <w:rFonts w:ascii="Palatino Linotype" w:hAnsi="Palatino Linotype"/>
                <w:i/>
                <w:color w:val="000000"/>
                <w:sz w:val="18"/>
                <w:szCs w:val="24"/>
              </w:rPr>
              <w:t>Periodicidad</w:t>
            </w:r>
          </w:p>
        </w:tc>
        <w:tc>
          <w:tcPr>
            <w:tcW w:w="1701" w:type="dxa"/>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Pr>
                <w:rFonts w:ascii="Palatino Linotype" w:hAnsi="Palatino Linotype"/>
                <w:i/>
                <w:color w:val="000000"/>
                <w:sz w:val="18"/>
                <w:szCs w:val="24"/>
              </w:rPr>
              <w:t xml:space="preserve">Formato de Presentación </w:t>
            </w:r>
          </w:p>
        </w:tc>
      </w:tr>
      <w:tr w:rsidR="006640D9" w:rsidTr="00DC2577">
        <w:tc>
          <w:tcPr>
            <w:tcW w:w="2268" w:type="dxa"/>
            <w:vMerge w:val="restart"/>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b/>
                <w:i/>
                <w:color w:val="000000"/>
                <w:sz w:val="18"/>
                <w:szCs w:val="24"/>
              </w:rPr>
            </w:pPr>
            <w:r w:rsidRPr="0095771B">
              <w:rPr>
                <w:rFonts w:ascii="Palatino Linotype" w:hAnsi="Palatino Linotype"/>
                <w:b/>
                <w:i/>
                <w:color w:val="000000"/>
                <w:sz w:val="18"/>
                <w:szCs w:val="24"/>
              </w:rPr>
              <w:t>Documentos para el Desarrollo Institucional</w:t>
            </w:r>
          </w:p>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sidRPr="0095771B">
              <w:rPr>
                <w:rFonts w:ascii="Palatino Linotype" w:hAnsi="Palatino Linotype"/>
                <w:i/>
                <w:color w:val="000000"/>
                <w:sz w:val="18"/>
                <w:szCs w:val="24"/>
              </w:rPr>
              <w:t>(Autorizados por la entidad municipal)</w:t>
            </w:r>
          </w:p>
        </w:tc>
        <w:tc>
          <w:tcPr>
            <w:tcW w:w="3402" w:type="dxa"/>
          </w:tcPr>
          <w:p w:rsidR="006640D9" w:rsidRPr="0095771B" w:rsidRDefault="006640D9" w:rsidP="00DC2577">
            <w:pPr>
              <w:autoSpaceDE w:val="0"/>
              <w:autoSpaceDN w:val="0"/>
              <w:adjustRightInd w:val="0"/>
              <w:jc w:val="both"/>
              <w:rPr>
                <w:rFonts w:ascii="Palatino Linotype" w:hAnsi="Palatino Linotype"/>
                <w:i/>
                <w:color w:val="000000"/>
                <w:sz w:val="18"/>
                <w:szCs w:val="18"/>
              </w:rPr>
            </w:pPr>
            <w:r w:rsidRPr="0095771B">
              <w:rPr>
                <w:rFonts w:ascii="Palatino Linotype" w:hAnsi="Palatino Linotype"/>
                <w:i/>
                <w:color w:val="000000"/>
                <w:sz w:val="18"/>
                <w:szCs w:val="18"/>
              </w:rPr>
              <w:t>Manual de Organización</w:t>
            </w:r>
          </w:p>
        </w:tc>
        <w:tc>
          <w:tcPr>
            <w:tcW w:w="1701" w:type="dxa"/>
            <w:vMerge w:val="restart"/>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sidRPr="0095771B">
              <w:rPr>
                <w:rFonts w:ascii="Palatino Linotype" w:hAnsi="Palatino Linotype"/>
                <w:i/>
                <w:color w:val="000000"/>
                <w:sz w:val="18"/>
                <w:szCs w:val="24"/>
              </w:rPr>
              <w:t>Semestral (junio y diciembre)</w:t>
            </w:r>
          </w:p>
        </w:tc>
        <w:tc>
          <w:tcPr>
            <w:tcW w:w="1701" w:type="dxa"/>
            <w:vMerge w:val="restart"/>
            <w:vAlign w:val="center"/>
          </w:tcPr>
          <w:p w:rsidR="006640D9" w:rsidRPr="0095771B" w:rsidRDefault="006640D9" w:rsidP="00DC2577">
            <w:pPr>
              <w:shd w:val="clear" w:color="auto" w:fill="FFFFFF" w:themeFill="background1"/>
              <w:autoSpaceDE w:val="0"/>
              <w:autoSpaceDN w:val="0"/>
              <w:adjustRightInd w:val="0"/>
              <w:ind w:left="34"/>
              <w:jc w:val="center"/>
              <w:rPr>
                <w:rFonts w:ascii="Palatino Linotype" w:hAnsi="Palatino Linotype"/>
                <w:i/>
                <w:color w:val="000000"/>
                <w:sz w:val="18"/>
                <w:szCs w:val="24"/>
              </w:rPr>
            </w:pPr>
            <w:r w:rsidRPr="0095771B">
              <w:rPr>
                <w:rFonts w:ascii="Palatino Linotype" w:hAnsi="Palatino Linotype"/>
                <w:i/>
                <w:color w:val="000000"/>
                <w:sz w:val="18"/>
                <w:szCs w:val="24"/>
              </w:rPr>
              <w:t>Archivo digital en PDF</w:t>
            </w:r>
          </w:p>
        </w:tc>
      </w:tr>
      <w:tr w:rsidR="006640D9" w:rsidTr="00DC2577">
        <w:tc>
          <w:tcPr>
            <w:tcW w:w="2268"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3402" w:type="dxa"/>
          </w:tcPr>
          <w:p w:rsidR="006640D9" w:rsidRPr="0095771B" w:rsidRDefault="006640D9" w:rsidP="00DC2577">
            <w:pPr>
              <w:autoSpaceDE w:val="0"/>
              <w:autoSpaceDN w:val="0"/>
              <w:adjustRightInd w:val="0"/>
              <w:ind w:right="33"/>
              <w:jc w:val="both"/>
              <w:rPr>
                <w:rFonts w:ascii="Palatino Linotype" w:hAnsi="Palatino Linotype"/>
                <w:i/>
                <w:color w:val="000000"/>
                <w:sz w:val="18"/>
                <w:szCs w:val="18"/>
              </w:rPr>
            </w:pPr>
            <w:r w:rsidRPr="0095771B">
              <w:rPr>
                <w:rFonts w:ascii="Palatino Linotype" w:hAnsi="Palatino Linotype"/>
                <w:i/>
                <w:color w:val="000000"/>
                <w:sz w:val="18"/>
                <w:szCs w:val="18"/>
              </w:rPr>
              <w:t>Manual de</w:t>
            </w:r>
            <w:r>
              <w:rPr>
                <w:rFonts w:ascii="Palatino Linotype" w:hAnsi="Palatino Linotype"/>
                <w:i/>
                <w:color w:val="000000"/>
                <w:sz w:val="18"/>
                <w:szCs w:val="18"/>
              </w:rPr>
              <w:t xml:space="preserve"> Procedimientos</w:t>
            </w: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r>
      <w:tr w:rsidR="006640D9" w:rsidTr="00DC2577">
        <w:tc>
          <w:tcPr>
            <w:tcW w:w="2268"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3402" w:type="dxa"/>
          </w:tcPr>
          <w:p w:rsidR="006640D9" w:rsidRPr="00DC0414" w:rsidRDefault="006640D9" w:rsidP="00DC2577">
            <w:pPr>
              <w:autoSpaceDE w:val="0"/>
              <w:autoSpaceDN w:val="0"/>
              <w:adjustRightInd w:val="0"/>
              <w:ind w:right="1134"/>
              <w:jc w:val="both"/>
              <w:rPr>
                <w:rFonts w:ascii="Palatino Linotype" w:hAnsi="Palatino Linotype"/>
                <w:b/>
                <w:i/>
                <w:color w:val="000000"/>
                <w:sz w:val="18"/>
                <w:szCs w:val="18"/>
                <w:u w:val="single"/>
              </w:rPr>
            </w:pPr>
            <w:r w:rsidRPr="00DC0414">
              <w:rPr>
                <w:rFonts w:ascii="Palatino Linotype" w:hAnsi="Palatino Linotype"/>
                <w:b/>
                <w:i/>
                <w:color w:val="000000"/>
                <w:sz w:val="18"/>
                <w:szCs w:val="18"/>
                <w:u w:val="single"/>
              </w:rPr>
              <w:t xml:space="preserve">Organigrama </w:t>
            </w: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r>
      <w:tr w:rsidR="006640D9" w:rsidTr="00DC2577">
        <w:tc>
          <w:tcPr>
            <w:tcW w:w="2268"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3402" w:type="dxa"/>
          </w:tcPr>
          <w:p w:rsidR="006640D9" w:rsidRPr="0095771B" w:rsidRDefault="006640D9" w:rsidP="00DC2577">
            <w:pPr>
              <w:autoSpaceDE w:val="0"/>
              <w:autoSpaceDN w:val="0"/>
              <w:adjustRightInd w:val="0"/>
              <w:ind w:right="1134"/>
              <w:jc w:val="both"/>
              <w:rPr>
                <w:rFonts w:ascii="Palatino Linotype" w:hAnsi="Palatino Linotype"/>
                <w:i/>
                <w:color w:val="000000"/>
                <w:sz w:val="18"/>
                <w:szCs w:val="18"/>
              </w:rPr>
            </w:pPr>
            <w:r>
              <w:rPr>
                <w:rFonts w:ascii="Palatino Linotype" w:hAnsi="Palatino Linotype"/>
                <w:i/>
                <w:color w:val="000000"/>
                <w:sz w:val="18"/>
                <w:szCs w:val="18"/>
              </w:rPr>
              <w:t>Reglamento Interior</w:t>
            </w: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c>
          <w:tcPr>
            <w:tcW w:w="1701" w:type="dxa"/>
            <w:vMerge/>
          </w:tcPr>
          <w:p w:rsidR="006640D9" w:rsidRDefault="006640D9" w:rsidP="00DC2577">
            <w:pPr>
              <w:autoSpaceDE w:val="0"/>
              <w:autoSpaceDN w:val="0"/>
              <w:adjustRightInd w:val="0"/>
              <w:ind w:right="1134"/>
              <w:jc w:val="both"/>
              <w:rPr>
                <w:rFonts w:ascii="Palatino Linotype" w:hAnsi="Palatino Linotype"/>
                <w:i/>
                <w:color w:val="000000"/>
                <w:sz w:val="24"/>
                <w:szCs w:val="24"/>
              </w:rPr>
            </w:pPr>
          </w:p>
        </w:tc>
      </w:tr>
    </w:tbl>
    <w:p w:rsidR="006640D9" w:rsidRDefault="006640D9" w:rsidP="006640D9">
      <w:pPr>
        <w:spacing w:after="0" w:line="360" w:lineRule="auto"/>
        <w:jc w:val="both"/>
        <w:rPr>
          <w:rFonts w:ascii="Palatino Linotype" w:hAnsi="Palatino Linotype" w:cs="Arial"/>
          <w:sz w:val="24"/>
          <w:szCs w:val="24"/>
        </w:rPr>
      </w:pPr>
    </w:p>
    <w:p w:rsidR="006640D9" w:rsidRDefault="006640D9" w:rsidP="006640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los </w:t>
      </w:r>
      <w:r w:rsidRPr="00BF2D49">
        <w:rPr>
          <w:rFonts w:ascii="Palatino Linotype" w:hAnsi="Palatino Linotype" w:cs="Arial"/>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sz w:val="24"/>
          <w:szCs w:val="24"/>
        </w:rPr>
        <w:t xml:space="preserve">, respecto de la fracción II, (estructura orgánica), establece: </w:t>
      </w:r>
    </w:p>
    <w:p w:rsidR="006640D9" w:rsidRPr="00BF2D49" w:rsidRDefault="006640D9" w:rsidP="006640D9">
      <w:pPr>
        <w:spacing w:after="0" w:line="360" w:lineRule="auto"/>
        <w:jc w:val="both"/>
        <w:rPr>
          <w:rFonts w:ascii="Palatino Linotype" w:hAnsi="Palatino Linotype" w:cs="Arial"/>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BF2D49">
        <w:rPr>
          <w:rFonts w:ascii="Palatino Linotype" w:hAnsi="Palatino Linotype"/>
          <w:i/>
          <w:color w:val="000000"/>
          <w:sz w:val="24"/>
          <w:szCs w:val="24"/>
        </w:rPr>
        <w:t xml:space="preserve">II. Su estructura orgánica completa, en un formato que permita vincular cada parte de la estructura, las atribuciones y responsabilidades que le </w:t>
      </w:r>
      <w:r w:rsidRPr="00BF2D49">
        <w:rPr>
          <w:rFonts w:ascii="Palatino Linotype" w:hAnsi="Palatino Linotype"/>
          <w:i/>
          <w:color w:val="000000"/>
          <w:sz w:val="24"/>
          <w:szCs w:val="24"/>
        </w:rPr>
        <w:lastRenderedPageBreak/>
        <w:t xml:space="preserve">corresponden a cada servidor público, prestador de servicios profesionales o miembro de los sujetos obligados de conformidad con las disposiciones aplicables </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BF2D49">
        <w:rPr>
          <w:rFonts w:ascii="Palatino Linotype" w:hAnsi="Palatino Linotype"/>
          <w:i/>
          <w:color w:val="000000"/>
          <w:sz w:val="24"/>
          <w:szCs w:val="24"/>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BF2D49">
        <w:rPr>
          <w:rFonts w:ascii="Palatino Linotype" w:hAnsi="Palatino Linotype"/>
          <w:i/>
          <w:color w:val="000000"/>
          <w:sz w:val="24"/>
          <w:szCs w:val="24"/>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w:t>
      </w:r>
      <w:r>
        <w:rPr>
          <w:rFonts w:ascii="Palatino Linotype" w:hAnsi="Palatino Linotype"/>
          <w:i/>
          <w:color w:val="000000"/>
          <w:sz w:val="24"/>
          <w:szCs w:val="24"/>
        </w:rPr>
        <w:t xml:space="preserve"> </w:t>
      </w:r>
      <w:r w:rsidRPr="003342A8">
        <w:rPr>
          <w:rFonts w:ascii="Palatino Linotype" w:hAnsi="Palatino Linotype"/>
          <w:i/>
          <w:color w:val="000000"/>
          <w:sz w:val="24"/>
          <w:szCs w:val="24"/>
        </w:rPr>
        <w:t xml:space="preserve">desaparecieron. Esta leyenda se conservará durante un trimestre, el cual empezará a contar a partir de la actualización de la fracción. </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3342A8">
        <w:rPr>
          <w:rFonts w:ascii="Palatino Linotype" w:hAnsi="Palatino Linotype"/>
          <w:i/>
          <w:color w:val="000000"/>
          <w:sz w:val="24"/>
          <w:szCs w:val="24"/>
        </w:rPr>
        <w:t>Los sujetos obligados que no tengan estructura orgánica autorizada deberán incluir una leyenda fundamentada, motivada y actualizada al periodo que corresponda, que explique la situación del sujeto obligado.</w:t>
      </w:r>
    </w:p>
    <w:p w:rsidR="006640D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Pr>
          <w:rFonts w:ascii="Palatino Linotype" w:hAnsi="Palatino Linotype"/>
          <w:i/>
          <w:color w:val="000000"/>
          <w:sz w:val="24"/>
          <w:szCs w:val="24"/>
        </w:rPr>
        <w:t>…</w:t>
      </w:r>
    </w:p>
    <w:p w:rsidR="006640D9" w:rsidRPr="000D4FC3"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b/>
          <w:i/>
          <w:color w:val="000000"/>
          <w:sz w:val="24"/>
          <w:szCs w:val="24"/>
          <w:u w:val="single"/>
        </w:rPr>
      </w:pPr>
      <w:r w:rsidRPr="000D4FC3">
        <w:rPr>
          <w:rFonts w:ascii="Palatino Linotype" w:hAnsi="Palatino Linotype"/>
          <w:b/>
          <w:i/>
          <w:color w:val="000000"/>
          <w:sz w:val="24"/>
          <w:szCs w:val="24"/>
          <w:u w:val="single"/>
        </w:rPr>
        <w:t xml:space="preserve">Periodo de actualización: trimestral </w:t>
      </w:r>
    </w:p>
    <w:p w:rsidR="006640D9" w:rsidRPr="004B1322"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4B1322">
        <w:rPr>
          <w:rFonts w:ascii="Palatino Linotype" w:hAnsi="Palatino Linotype"/>
          <w:i/>
          <w:color w:val="000000"/>
          <w:sz w:val="24"/>
          <w:szCs w:val="24"/>
        </w:rPr>
        <w:t xml:space="preserve">En su caso, 15 días hábiles después de la aprobación de alguna modificación a la estructura orgánica. </w:t>
      </w:r>
    </w:p>
    <w:p w:rsidR="006640D9" w:rsidRPr="004B1322"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4B1322">
        <w:rPr>
          <w:rFonts w:ascii="Palatino Linotype" w:hAnsi="Palatino Linotype"/>
          <w:i/>
          <w:color w:val="000000"/>
          <w:sz w:val="24"/>
          <w:szCs w:val="24"/>
        </w:rPr>
        <w:t xml:space="preserve">Conservar en el sitio de Internet: información vigente </w:t>
      </w:r>
    </w:p>
    <w:p w:rsidR="006640D9" w:rsidRPr="00BF2D49" w:rsidRDefault="006640D9" w:rsidP="006640D9">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sz w:val="24"/>
          <w:szCs w:val="24"/>
        </w:rPr>
      </w:pPr>
      <w:r w:rsidRPr="004B1322">
        <w:rPr>
          <w:rFonts w:ascii="Palatino Linotype" w:hAnsi="Palatino Linotype"/>
          <w:i/>
          <w:color w:val="000000"/>
          <w:sz w:val="24"/>
          <w:szCs w:val="24"/>
        </w:rPr>
        <w:t>Aplica a: todos los sujetos obligados</w:t>
      </w:r>
    </w:p>
    <w:p w:rsidR="006640D9" w:rsidRDefault="006640D9" w:rsidP="006640D9">
      <w:pPr>
        <w:spacing w:after="0" w:line="360" w:lineRule="auto"/>
        <w:jc w:val="both"/>
        <w:rPr>
          <w:rFonts w:ascii="Palatino Linotype" w:hAnsi="Palatino Linotype" w:cs="Arial"/>
          <w:sz w:val="24"/>
          <w:szCs w:val="24"/>
        </w:rPr>
      </w:pPr>
    </w:p>
    <w:p w:rsidR="006640D9" w:rsidRDefault="006640D9" w:rsidP="006640D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podemos apreciar la generación del organigrama es una obligación irrestricta para el sujeto obligado, tan es así que los </w:t>
      </w:r>
      <w:r w:rsidRPr="0095771B">
        <w:rPr>
          <w:rFonts w:ascii="Palatino Linotype" w:hAnsi="Palatino Linotype" w:cs="Arial"/>
          <w:b/>
          <w:sz w:val="24"/>
          <w:szCs w:val="24"/>
        </w:rPr>
        <w:t>Lineamientos para la Integración del Informe Mensual 2019</w:t>
      </w:r>
      <w:r w:rsidRPr="0095771B">
        <w:rPr>
          <w:rFonts w:ascii="Palatino Linotype" w:hAnsi="Palatino Linotype" w:cs="Arial"/>
          <w:sz w:val="24"/>
          <w:szCs w:val="24"/>
        </w:rPr>
        <w:t xml:space="preserve"> emitidos por el Órgano Superior de Fiscalización del Estado de México</w:t>
      </w:r>
      <w:r>
        <w:rPr>
          <w:rFonts w:ascii="Palatino Linotype" w:hAnsi="Palatino Linotype" w:cs="Arial"/>
          <w:sz w:val="24"/>
          <w:szCs w:val="24"/>
        </w:rPr>
        <w:t xml:space="preserve">, le imponen actualizarlo de forma semestral, sin embargo, </w:t>
      </w:r>
      <w:r w:rsidRPr="00BF2D49">
        <w:rPr>
          <w:rFonts w:ascii="Palatino Linotype" w:hAnsi="Palatino Linotype" w:cs="Arial"/>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sz w:val="24"/>
          <w:szCs w:val="24"/>
        </w:rPr>
        <w:t xml:space="preserve">, establece que debe ser trimestral su actualización, es decir, existen dos periodos en los que es compelido a cumplir con la fracción II del artículo 92 de la Ley en cita, por ende, es que se considera que el sujeto al dar atención a la presente resolución </w:t>
      </w:r>
      <w:r w:rsidR="004E085C">
        <w:rPr>
          <w:rFonts w:ascii="Palatino Linotype" w:hAnsi="Palatino Linotype" w:cs="Arial"/>
          <w:sz w:val="24"/>
          <w:szCs w:val="24"/>
        </w:rPr>
        <w:t>deberá</w:t>
      </w:r>
      <w:r>
        <w:rPr>
          <w:rFonts w:ascii="Palatino Linotype" w:hAnsi="Palatino Linotype" w:cs="Arial"/>
          <w:sz w:val="24"/>
          <w:szCs w:val="24"/>
        </w:rPr>
        <w:t xml:space="preserve"> entregar </w:t>
      </w:r>
      <w:r w:rsidR="004E085C">
        <w:rPr>
          <w:rFonts w:ascii="Palatino Linotype" w:hAnsi="Palatino Linotype" w:cs="Arial"/>
          <w:sz w:val="24"/>
          <w:szCs w:val="24"/>
        </w:rPr>
        <w:t xml:space="preserve">de forma enunciativa más no limitativa </w:t>
      </w:r>
      <w:r>
        <w:rPr>
          <w:rFonts w:ascii="Palatino Linotype" w:hAnsi="Palatino Linotype" w:cs="Arial"/>
          <w:sz w:val="24"/>
          <w:szCs w:val="24"/>
        </w:rPr>
        <w:t>el organigrama actualizado</w:t>
      </w:r>
      <w:r w:rsidR="004E085C">
        <w:rPr>
          <w:rFonts w:ascii="Palatino Linotype" w:hAnsi="Palatino Linotype" w:cs="Arial"/>
          <w:sz w:val="24"/>
          <w:szCs w:val="24"/>
        </w:rPr>
        <w:t xml:space="preserve"> 08 de noviembre de 2019</w:t>
      </w:r>
      <w:r w:rsidRPr="005E26C2">
        <w:rPr>
          <w:rFonts w:ascii="Palatino Linotype" w:hAnsi="Palatino Linotype" w:cs="Arial"/>
          <w:sz w:val="24"/>
          <w:szCs w:val="24"/>
        </w:rPr>
        <w:t>.</w:t>
      </w:r>
    </w:p>
    <w:p w:rsidR="006E6A5A" w:rsidRDefault="006E6A5A" w:rsidP="00622EBF">
      <w:pPr>
        <w:tabs>
          <w:tab w:val="left" w:pos="567"/>
          <w:tab w:val="left" w:pos="7938"/>
        </w:tabs>
        <w:spacing w:after="0" w:line="360" w:lineRule="auto"/>
        <w:jc w:val="both"/>
        <w:rPr>
          <w:rFonts w:ascii="Palatino Linotype" w:hAnsi="Palatino Linotype" w:cs="Arial"/>
          <w:sz w:val="24"/>
          <w:szCs w:val="24"/>
        </w:rPr>
      </w:pPr>
    </w:p>
    <w:p w:rsidR="002F6B8E" w:rsidRPr="00D313B5" w:rsidRDefault="002F6B8E" w:rsidP="002F6B8E">
      <w:pPr>
        <w:spacing w:after="0" w:line="360" w:lineRule="auto"/>
        <w:jc w:val="both"/>
        <w:rPr>
          <w:rFonts w:ascii="Palatino Linotype" w:hAnsi="Palatino Linotype" w:cs="Arial"/>
          <w:sz w:val="24"/>
          <w:szCs w:val="24"/>
        </w:rPr>
      </w:pPr>
      <w:r w:rsidRPr="002F6B8E">
        <w:rPr>
          <w:rFonts w:ascii="Palatino Linotype" w:hAnsi="Palatino Linotype" w:cs="Arial"/>
          <w:sz w:val="24"/>
          <w:szCs w:val="24"/>
        </w:rPr>
        <w:t>En ese mismo</w:t>
      </w:r>
      <w:r w:rsidRPr="00D313B5">
        <w:rPr>
          <w:rFonts w:ascii="Palatino Linotype" w:hAnsi="Palatino Linotype" w:cs="Arial"/>
          <w:sz w:val="24"/>
          <w:szCs w:val="24"/>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2F6B8E" w:rsidRPr="00D313B5" w:rsidRDefault="002F6B8E" w:rsidP="002F6B8E">
      <w:pPr>
        <w:pStyle w:val="Sinespaciado"/>
        <w:spacing w:line="360" w:lineRule="auto"/>
        <w:rPr>
          <w:rFonts w:ascii="Palatino Linotype" w:hAnsi="Palatino Linotype"/>
          <w:sz w:val="24"/>
          <w:szCs w:val="24"/>
        </w:rPr>
      </w:pPr>
    </w:p>
    <w:p w:rsidR="002F6B8E" w:rsidRPr="00D313B5" w:rsidRDefault="002F6B8E" w:rsidP="002F6B8E">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2F6B8E" w:rsidRPr="00D313B5" w:rsidRDefault="002F6B8E" w:rsidP="002F6B8E">
      <w:pPr>
        <w:pStyle w:val="Sinespaciado"/>
        <w:spacing w:line="360" w:lineRule="auto"/>
        <w:ind w:left="851" w:right="850"/>
        <w:jc w:val="both"/>
        <w:rPr>
          <w:rFonts w:ascii="Palatino Linotype" w:hAnsi="Palatino Linotype"/>
          <w:i/>
          <w:sz w:val="24"/>
          <w:szCs w:val="24"/>
        </w:rPr>
      </w:pPr>
    </w:p>
    <w:p w:rsidR="002F6B8E" w:rsidRPr="00D313B5" w:rsidRDefault="002F6B8E" w:rsidP="002F6B8E">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lastRenderedPageBreak/>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F6B8E" w:rsidRPr="00D313B5" w:rsidRDefault="002F6B8E" w:rsidP="002F6B8E">
      <w:pPr>
        <w:autoSpaceDE w:val="0"/>
        <w:autoSpaceDN w:val="0"/>
        <w:adjustRightInd w:val="0"/>
        <w:spacing w:after="0" w:line="360" w:lineRule="auto"/>
        <w:jc w:val="both"/>
        <w:rPr>
          <w:rFonts w:ascii="Palatino Linotype" w:hAnsi="Palatino Linotype" w:cs="Arial"/>
          <w:sz w:val="24"/>
          <w:szCs w:val="24"/>
        </w:rPr>
      </w:pPr>
    </w:p>
    <w:p w:rsidR="002F6B8E" w:rsidRDefault="002F6B8E" w:rsidP="004E085C">
      <w:pPr>
        <w:spacing w:after="0" w:line="360" w:lineRule="auto"/>
        <w:jc w:val="both"/>
        <w:rPr>
          <w:rFonts w:ascii="Palatino Linotype" w:hAnsi="Palatino Linotype" w:cs="Arial"/>
          <w:sz w:val="24"/>
          <w:szCs w:val="24"/>
        </w:rPr>
      </w:pPr>
      <w:r>
        <w:rPr>
          <w:rFonts w:ascii="Palatino Linotype" w:hAnsi="Palatino Linotype" w:cs="Arial"/>
          <w:sz w:val="24"/>
          <w:szCs w:val="24"/>
          <w:lang w:val="es-ES_tradnl"/>
        </w:rPr>
        <w:t>Por todo lo anterior, c</w:t>
      </w:r>
      <w:r w:rsidRPr="00B7030B">
        <w:rPr>
          <w:rFonts w:ascii="Palatino Linotype" w:hAnsi="Palatino Linotype" w:cs="Arial"/>
          <w:sz w:val="24"/>
          <w:szCs w:val="24"/>
          <w:lang w:val="es-ES_tradnl"/>
        </w:rPr>
        <w:t xml:space="preserve">onviene subrayar que, </w:t>
      </w:r>
      <w:r>
        <w:rPr>
          <w:rFonts w:ascii="Palatino Linotype" w:hAnsi="Palatino Linotype" w:cs="Arial"/>
          <w:sz w:val="24"/>
          <w:szCs w:val="24"/>
          <w:lang w:val="es-ES_tradnl"/>
        </w:rPr>
        <w:t xml:space="preserve">las funciones de </w:t>
      </w:r>
      <w:r w:rsidRPr="00B7030B">
        <w:rPr>
          <w:rFonts w:ascii="Palatino Linotype" w:hAnsi="Palatino Linotype" w:cs="Arial"/>
          <w:sz w:val="24"/>
          <w:szCs w:val="24"/>
          <w:lang w:val="es-ES_tradnl"/>
        </w:rPr>
        <w:t xml:space="preserve">este Órgano Garante </w:t>
      </w:r>
      <w:r>
        <w:rPr>
          <w:rFonts w:ascii="Palatino Linotype" w:hAnsi="Palatino Linotype" w:cs="Arial"/>
          <w:sz w:val="24"/>
          <w:szCs w:val="24"/>
          <w:lang w:val="es-ES_tradnl"/>
        </w:rPr>
        <w:t xml:space="preserve">se encuentra puntualizadas en el </w:t>
      </w:r>
      <w:r w:rsidRPr="00B7030B">
        <w:rPr>
          <w:rFonts w:ascii="Palatino Linotype" w:hAnsi="Palatino Linotype" w:cs="Arial"/>
          <w:sz w:val="24"/>
          <w:szCs w:val="24"/>
          <w:lang w:val="es-ES_tradnl"/>
        </w:rPr>
        <w:t xml:space="preserve">artículo 36, </w:t>
      </w:r>
      <w:r>
        <w:rPr>
          <w:rFonts w:ascii="Palatino Linotype" w:hAnsi="Palatino Linotype" w:cs="Arial"/>
          <w:sz w:val="24"/>
          <w:szCs w:val="24"/>
          <w:lang w:val="es-ES_tradnl"/>
        </w:rPr>
        <w:t>de</w:t>
      </w:r>
      <w:r w:rsidRPr="00B7030B">
        <w:rPr>
          <w:rFonts w:ascii="Palatino Linotype" w:hAnsi="Palatino Linotype" w:cs="Arial"/>
          <w:sz w:val="24"/>
          <w:szCs w:val="24"/>
          <w:lang w:val="es-ES_tradnl"/>
        </w:rPr>
        <w:t xml:space="preserve"> la Ley de la Materia,</w:t>
      </w:r>
      <w:r>
        <w:rPr>
          <w:rFonts w:ascii="Palatino Linotype" w:hAnsi="Palatino Linotype" w:cs="Arial"/>
          <w:sz w:val="24"/>
          <w:szCs w:val="24"/>
          <w:lang w:val="es-ES_tradnl"/>
        </w:rPr>
        <w:t xml:space="preserve"> y de la lectura de las mismas </w:t>
      </w:r>
      <w:r w:rsidRPr="00B7030B">
        <w:rPr>
          <w:rFonts w:ascii="Palatino Linotype" w:hAnsi="Palatino Linotype" w:cs="Arial"/>
          <w:sz w:val="24"/>
          <w:szCs w:val="24"/>
          <w:lang w:val="es-ES_tradnl"/>
        </w:rPr>
        <w:t>no se encuentra</w:t>
      </w:r>
      <w:r>
        <w:rPr>
          <w:rFonts w:ascii="Palatino Linotype" w:hAnsi="Palatino Linotype" w:cs="Arial"/>
          <w:sz w:val="24"/>
          <w:szCs w:val="24"/>
          <w:lang w:val="es-ES_tradnl"/>
        </w:rPr>
        <w:t xml:space="preserve"> alguna que</w:t>
      </w:r>
      <w:r w:rsidRPr="00B7030B">
        <w:rPr>
          <w:rFonts w:ascii="Palatino Linotype" w:hAnsi="Palatino Linotype" w:cs="Arial"/>
          <w:sz w:val="24"/>
          <w:szCs w:val="24"/>
          <w:lang w:val="es-ES_tradnl"/>
        </w:rPr>
        <w:t xml:space="preserve"> facul</w:t>
      </w:r>
      <w:r>
        <w:rPr>
          <w:rFonts w:ascii="Palatino Linotype" w:hAnsi="Palatino Linotype" w:cs="Arial"/>
          <w:sz w:val="24"/>
          <w:szCs w:val="24"/>
          <w:lang w:val="es-ES_tradnl"/>
        </w:rPr>
        <w:t>te</w:t>
      </w:r>
      <w:r w:rsidRPr="00B7030B">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a este Órgano Garante </w:t>
      </w:r>
      <w:r w:rsidRPr="00B7030B">
        <w:rPr>
          <w:rFonts w:ascii="Palatino Linotype" w:hAnsi="Palatino Linotype" w:cs="Arial"/>
          <w:sz w:val="24"/>
          <w:szCs w:val="24"/>
          <w:lang w:val="es-ES_tradnl"/>
        </w:rPr>
        <w:t>para pronunciarse acerca de la veracidad de la información rem</w:t>
      </w:r>
      <w:r>
        <w:rPr>
          <w:rFonts w:ascii="Palatino Linotype" w:hAnsi="Palatino Linotype" w:cs="Arial"/>
          <w:sz w:val="24"/>
          <w:szCs w:val="24"/>
          <w:lang w:val="es-ES_tradnl"/>
        </w:rPr>
        <w:t>itida por los Sujetos Obligados, es decir,</w:t>
      </w:r>
      <w:r>
        <w:rPr>
          <w:rFonts w:ascii="Palatino Linotype" w:hAnsi="Palatino Linotype" w:cs="Arial"/>
          <w:sz w:val="24"/>
          <w:szCs w:val="24"/>
        </w:rPr>
        <w:t xml:space="preserve"> </w:t>
      </w:r>
      <w:r w:rsidRPr="00E9538B">
        <w:rPr>
          <w:rFonts w:ascii="Palatino Linotype" w:hAnsi="Palatino Linotype" w:cs="Arial"/>
          <w:sz w:val="24"/>
          <w:szCs w:val="24"/>
        </w:rPr>
        <w:t>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2F6B8E" w:rsidRDefault="002F6B8E" w:rsidP="004E085C">
      <w:pPr>
        <w:spacing w:after="0" w:line="360" w:lineRule="auto"/>
        <w:jc w:val="both"/>
        <w:rPr>
          <w:rFonts w:ascii="Palatino Linotype" w:hAnsi="Palatino Linotype" w:cs="Arial"/>
          <w:sz w:val="24"/>
          <w:szCs w:val="24"/>
          <w:lang w:val="es-ES_tradnl"/>
        </w:rPr>
      </w:pPr>
    </w:p>
    <w:p w:rsidR="002F6B8E" w:rsidRDefault="002F6B8E" w:rsidP="004E085C">
      <w:pPr>
        <w:spacing w:after="0" w:line="360" w:lineRule="auto"/>
        <w:jc w:val="both"/>
        <w:rPr>
          <w:rFonts w:ascii="Palatino Linotype" w:hAnsi="Palatino Linotype" w:cs="Arial"/>
          <w:color w:val="000000"/>
          <w:sz w:val="24"/>
          <w:lang w:val="es-ES_tradnl"/>
        </w:rPr>
      </w:pPr>
      <w:r w:rsidRPr="00B7030B">
        <w:rPr>
          <w:rFonts w:ascii="Palatino Linotype" w:hAnsi="Palatino Linotype" w:cs="Arial"/>
          <w:color w:val="000000"/>
          <w:sz w:val="24"/>
          <w:lang w:val="es-ES_tradnl"/>
        </w:rPr>
        <w:t>Sirve de sustento a lo anterior, el criterio 31/10 emitido por el entonces Instituto Federal de Acceso a la Información y Protección de Datos, ahora Instituto Nacional de Acceso a la Información y Protección de D</w:t>
      </w:r>
      <w:r w:rsidR="004E085C">
        <w:rPr>
          <w:rFonts w:ascii="Palatino Linotype" w:hAnsi="Palatino Linotype" w:cs="Arial"/>
          <w:color w:val="000000"/>
          <w:sz w:val="24"/>
          <w:lang w:val="es-ES_tradnl"/>
        </w:rPr>
        <w:t>atos, que enuncia lo siguiente:</w:t>
      </w:r>
    </w:p>
    <w:p w:rsidR="004E085C" w:rsidRPr="00E35E77" w:rsidRDefault="004E085C" w:rsidP="004E085C">
      <w:pPr>
        <w:spacing w:after="0" w:line="360" w:lineRule="auto"/>
        <w:jc w:val="both"/>
        <w:rPr>
          <w:rFonts w:ascii="Palatino Linotype" w:hAnsi="Palatino Linotype" w:cs="Arial"/>
          <w:sz w:val="24"/>
          <w:szCs w:val="24"/>
          <w:lang w:val="es-ES_tradnl"/>
        </w:rPr>
      </w:pPr>
    </w:p>
    <w:p w:rsidR="002F6B8E" w:rsidRPr="00567185" w:rsidRDefault="002F6B8E" w:rsidP="002F6B8E">
      <w:pPr>
        <w:spacing w:after="0" w:line="240" w:lineRule="auto"/>
        <w:ind w:left="851" w:right="1134"/>
        <w:jc w:val="both"/>
        <w:rPr>
          <w:rFonts w:ascii="Palatino Linotype" w:hAnsi="Palatino Linotype" w:cs="Arial"/>
          <w:i/>
          <w:sz w:val="24"/>
          <w:szCs w:val="24"/>
        </w:rPr>
      </w:pPr>
      <w:r w:rsidRPr="00567185">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sz w:val="24"/>
          <w:szCs w:val="24"/>
        </w:rPr>
        <w:t xml:space="preserve">. El Instituto Federal de Acceso a la Información y Protección </w:t>
      </w:r>
      <w:r w:rsidRPr="00567185">
        <w:rPr>
          <w:rFonts w:ascii="Palatino Linotype" w:hAnsi="Palatino Linotype" w:cs="Arial"/>
          <w:i/>
          <w:sz w:val="24"/>
          <w:szCs w:val="24"/>
        </w:rPr>
        <w:lastRenderedPageBreak/>
        <w:t xml:space="preserve">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2F6B8E" w:rsidRPr="00567185" w:rsidRDefault="002F6B8E" w:rsidP="002F6B8E">
      <w:pPr>
        <w:spacing w:after="0" w:line="240" w:lineRule="auto"/>
        <w:ind w:left="851" w:right="1134"/>
        <w:jc w:val="both"/>
        <w:rPr>
          <w:rFonts w:ascii="Palatino Linotype" w:hAnsi="Palatino Linotype" w:cs="Arial"/>
          <w:i/>
          <w:sz w:val="24"/>
          <w:szCs w:val="24"/>
        </w:rPr>
      </w:pPr>
      <w:r w:rsidRPr="00567185">
        <w:rPr>
          <w:rFonts w:ascii="Palatino Linotype" w:hAnsi="Palatino Linotype" w:cs="Arial"/>
          <w:i/>
          <w:sz w:val="24"/>
          <w:szCs w:val="24"/>
        </w:rPr>
        <w:t>Criterio 31/10</w:t>
      </w:r>
    </w:p>
    <w:p w:rsidR="00C61A53" w:rsidRDefault="00C61A53" w:rsidP="00DF1643">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B47F3A">
        <w:rPr>
          <w:rFonts w:ascii="Palatino Linotype" w:hAnsi="Palatino Linotype" w:cs="Arial"/>
          <w:b/>
          <w:sz w:val="24"/>
          <w:szCs w:val="24"/>
        </w:rPr>
        <w:t>MODIFICA</w:t>
      </w:r>
      <w:r w:rsidRPr="00B47F3A">
        <w:rPr>
          <w:rFonts w:ascii="Palatino Linotype" w:hAnsi="Palatino Linotype" w:cs="Arial"/>
          <w:sz w:val="24"/>
          <w:szCs w:val="24"/>
        </w:rPr>
        <w:t xml:space="preserve"> la respuesta del sujeto obligado a la solicitud de información número </w:t>
      </w:r>
      <w:r w:rsidRPr="007D3CC1">
        <w:rPr>
          <w:rFonts w:ascii="Palatino Linotype" w:hAnsi="Palatino Linotype"/>
          <w:b/>
          <w:sz w:val="24"/>
          <w:szCs w:val="24"/>
        </w:rPr>
        <w:t>00097/COATHAR/IP/2019</w:t>
      </w:r>
      <w:r w:rsidRPr="00B47F3A">
        <w:rPr>
          <w:rFonts w:ascii="Palatino Linotype" w:hAnsi="Palatino Linotype"/>
          <w:sz w:val="24"/>
          <w:szCs w:val="24"/>
        </w:rPr>
        <w:t xml:space="preserve"> </w:t>
      </w:r>
      <w:r w:rsidRPr="00B47F3A">
        <w:rPr>
          <w:rFonts w:ascii="Palatino Linotype" w:hAnsi="Palatino Linotype" w:cs="Arial"/>
          <w:sz w:val="24"/>
          <w:szCs w:val="24"/>
        </w:rPr>
        <w:t>que ha sido materia del presente fallo.</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lastRenderedPageBreak/>
        <w:t>Por lo antes expuesto y fundado es de resolverse y;</w:t>
      </w:r>
    </w:p>
    <w:p w:rsidR="004E085C" w:rsidRPr="00B47F3A" w:rsidRDefault="004E085C" w:rsidP="004E085C">
      <w:pPr>
        <w:tabs>
          <w:tab w:val="left" w:pos="7938"/>
        </w:tabs>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t>SE    RESUELVE</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Pr="00B47F3A">
        <w:rPr>
          <w:rFonts w:ascii="Palatino Linotype" w:hAnsi="Palatino Linotype" w:cs="Arial"/>
          <w:b/>
          <w:sz w:val="24"/>
          <w:szCs w:val="24"/>
          <w:lang w:val="es-ES_tradnl"/>
        </w:rPr>
        <w:t>MODIFICA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Pr="007D3CC1">
        <w:rPr>
          <w:rFonts w:ascii="Palatino Linotype" w:hAnsi="Palatino Linotype"/>
          <w:b/>
          <w:sz w:val="24"/>
          <w:szCs w:val="24"/>
        </w:rPr>
        <w:t>00097/COATHAR/IP/2019</w:t>
      </w:r>
      <w:r w:rsidRPr="00B47F3A">
        <w:rPr>
          <w:rFonts w:ascii="Palatino Linotype" w:hAnsi="Palatino Linotype" w:cs="Arial"/>
          <w:sz w:val="24"/>
          <w:szCs w:val="24"/>
        </w:rPr>
        <w:t>, al resultar</w:t>
      </w:r>
      <w:r>
        <w:rPr>
          <w:rFonts w:ascii="Palatino Linotype" w:hAnsi="Palatino Linotype" w:cs="Arial"/>
          <w:sz w:val="24"/>
          <w:szCs w:val="24"/>
        </w:rPr>
        <w:t xml:space="preserve"> parcialmente</w:t>
      </w:r>
      <w:r w:rsidRPr="00B47F3A">
        <w:rPr>
          <w:rFonts w:ascii="Palatino Linotype" w:hAnsi="Palatino Linotype" w:cs="Arial"/>
          <w:sz w:val="24"/>
          <w:szCs w:val="24"/>
        </w:rPr>
        <w:t xml:space="preserve"> 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previa búsqueda razonable y exhaustiva, haga entrega al recurrente en términos del Considerando Cuarto de la presente resolución,</w:t>
      </w:r>
      <w:r w:rsidR="004A13AC">
        <w:rPr>
          <w:rFonts w:ascii="Palatino Linotype" w:hAnsi="Palatino Linotype" w:cs="Arial"/>
          <w:sz w:val="24"/>
          <w:szCs w:val="24"/>
        </w:rPr>
        <w:t xml:space="preserve"> a través del SAIMEX,</w:t>
      </w:r>
      <w:r w:rsidRPr="00B47F3A">
        <w:rPr>
          <w:rFonts w:ascii="Palatino Linotype" w:hAnsi="Palatino Linotype" w:cs="Arial"/>
          <w:sz w:val="24"/>
          <w:szCs w:val="24"/>
        </w:rPr>
        <w:t xml:space="preserve"> de lo siguiente:</w:t>
      </w: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p>
    <w:p w:rsidR="004E085C" w:rsidRPr="004E085C" w:rsidRDefault="004E085C" w:rsidP="004E085C">
      <w:pPr>
        <w:pStyle w:val="Prrafodelista"/>
        <w:numPr>
          <w:ilvl w:val="0"/>
          <w:numId w:val="30"/>
        </w:numPr>
        <w:tabs>
          <w:tab w:val="left" w:pos="7938"/>
        </w:tabs>
        <w:spacing w:line="360" w:lineRule="auto"/>
        <w:contextualSpacing/>
        <w:jc w:val="both"/>
        <w:rPr>
          <w:rFonts w:ascii="Palatino Linotype" w:hAnsi="Palatino Linotype" w:cs="Arial"/>
        </w:rPr>
      </w:pPr>
      <w:r>
        <w:rPr>
          <w:rFonts w:ascii="Palatino Linotype" w:hAnsi="Palatino Linotype" w:cs="Arial"/>
        </w:rPr>
        <w:t xml:space="preserve">El documento donde conste </w:t>
      </w:r>
      <w:r w:rsidRPr="004E085C">
        <w:rPr>
          <w:rFonts w:ascii="Palatino Linotype" w:hAnsi="Palatino Linotype" w:cs="Arial"/>
        </w:rPr>
        <w:t>como está integrad</w:t>
      </w:r>
      <w:r>
        <w:rPr>
          <w:rFonts w:ascii="Palatino Linotype" w:hAnsi="Palatino Linotype" w:cs="Arial"/>
        </w:rPr>
        <w:t xml:space="preserve">o el </w:t>
      </w:r>
      <w:r w:rsidRPr="004E085C">
        <w:rPr>
          <w:rFonts w:ascii="Palatino Linotype" w:hAnsi="Palatino Linotype" w:cs="Arial"/>
        </w:rPr>
        <w:t>Sistema Municipal para la Igualdad de Trato y Oportunidades Entre Mujeres y Hombres para prevenir, atender, sancionar y erradicar la violencia contra las mujeres</w:t>
      </w:r>
      <w:r>
        <w:rPr>
          <w:rFonts w:ascii="Palatino Linotype" w:hAnsi="Palatino Linotype" w:cs="Arial"/>
        </w:rPr>
        <w:t>, actualizado al 08 de noviembre de 2019.</w:t>
      </w:r>
    </w:p>
    <w:p w:rsidR="004E085C" w:rsidRPr="00B47F3A" w:rsidRDefault="004E085C" w:rsidP="004E085C">
      <w:pPr>
        <w:autoSpaceDE w:val="0"/>
        <w:autoSpaceDN w:val="0"/>
        <w:adjustRightInd w:val="0"/>
        <w:spacing w:after="0" w:line="360" w:lineRule="auto"/>
        <w:jc w:val="both"/>
        <w:rPr>
          <w:rFonts w:ascii="Palatino Linotype" w:hAnsi="Palatino Linotype"/>
          <w:sz w:val="24"/>
          <w:szCs w:val="24"/>
          <w:lang w:eastAsia="es-MX"/>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BF442A">
        <w:rPr>
          <w:rFonts w:ascii="Palatino Linotype" w:hAnsi="Palatino Linotype" w:cs="Arial"/>
          <w:sz w:val="24"/>
          <w:szCs w:val="24"/>
        </w:rPr>
        <w:t xml:space="preserve"> a través del SAIMEX</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CUADRAGÉSIMA 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lastRenderedPageBreak/>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0C0566">
        <w:rPr>
          <w:rFonts w:ascii="Palatino Linotype" w:hAnsi="Palatino Linotype" w:cs="Arial"/>
          <w:bCs/>
          <w:sz w:val="20"/>
          <w:szCs w:val="20"/>
          <w:lang w:eastAsia="es-MX"/>
        </w:rPr>
        <w:t>7655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DF" w:rsidRDefault="002740DF" w:rsidP="007E2E80">
      <w:pPr>
        <w:spacing w:after="0" w:line="240" w:lineRule="auto"/>
      </w:pPr>
      <w:r>
        <w:separator/>
      </w:r>
    </w:p>
  </w:endnote>
  <w:endnote w:type="continuationSeparator" w:id="0">
    <w:p w:rsidR="002740DF" w:rsidRDefault="002740D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4BA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4BA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4B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4BA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DF" w:rsidRDefault="002740DF" w:rsidP="007E2E80">
      <w:pPr>
        <w:spacing w:after="0" w:line="240" w:lineRule="auto"/>
      </w:pPr>
      <w:r>
        <w:separator/>
      </w:r>
    </w:p>
  </w:footnote>
  <w:footnote w:type="continuationSeparator" w:id="0">
    <w:p w:rsidR="002740DF" w:rsidRDefault="002740DF"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349" w:type="dxa"/>
      <w:tblInd w:w="-851" w:type="dxa"/>
      <w:tblCellMar>
        <w:left w:w="70" w:type="dxa"/>
        <w:right w:w="70" w:type="dxa"/>
      </w:tblCellMar>
      <w:tblLook w:val="04A0" w:firstRow="1" w:lastRow="0" w:firstColumn="1" w:lastColumn="0" w:noHBand="0" w:noVBand="1"/>
    </w:tblPr>
    <w:tblGrid>
      <w:gridCol w:w="5671"/>
      <w:gridCol w:w="4678"/>
    </w:tblGrid>
    <w:tr w:rsidR="00295503" w:rsidTr="005353A8">
      <w:trPr>
        <w:trHeight w:val="227"/>
      </w:trPr>
      <w:tc>
        <w:tcPr>
          <w:tcW w:w="5671"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295503" w:rsidRDefault="005353A8" w:rsidP="000B01FC">
          <w:pPr>
            <w:spacing w:after="120" w:line="256" w:lineRule="auto"/>
            <w:ind w:right="72"/>
            <w:rPr>
              <w:rFonts w:ascii="Palatino Linotype" w:hAnsi="Palatino Linotype" w:cs="Arial"/>
              <w:szCs w:val="20"/>
            </w:rPr>
          </w:pPr>
          <w:r>
            <w:rPr>
              <w:rFonts w:ascii="Palatino Linotype" w:hAnsi="Palatino Linotype" w:cs="Arial"/>
              <w:bCs/>
              <w:sz w:val="24"/>
              <w:lang w:eastAsia="es-MX"/>
            </w:rPr>
            <w:t>08</w:t>
          </w:r>
          <w:r w:rsidR="000B01FC">
            <w:rPr>
              <w:rFonts w:ascii="Palatino Linotype" w:hAnsi="Palatino Linotype" w:cs="Arial"/>
              <w:bCs/>
              <w:sz w:val="24"/>
              <w:lang w:eastAsia="es-MX"/>
            </w:rPr>
            <w:t>7</w:t>
          </w:r>
          <w:r>
            <w:rPr>
              <w:rFonts w:ascii="Palatino Linotype" w:hAnsi="Palatino Linotype" w:cs="Arial"/>
              <w:bCs/>
              <w:sz w:val="24"/>
              <w:lang w:eastAsia="es-MX"/>
            </w:rPr>
            <w:t xml:space="preserve">50/INFOEM/IP/RR/2019 </w:t>
          </w:r>
        </w:p>
      </w:tc>
    </w:tr>
    <w:tr w:rsidR="00295503" w:rsidTr="005353A8">
      <w:trPr>
        <w:trHeight w:val="242"/>
      </w:trPr>
      <w:tc>
        <w:tcPr>
          <w:tcW w:w="5671"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295503" w:rsidRDefault="000B01FC" w:rsidP="005353A8">
          <w:pPr>
            <w:spacing w:after="120" w:line="256" w:lineRule="auto"/>
            <w:ind w:right="72"/>
            <w:rPr>
              <w:rFonts w:ascii="Palatino Linotype" w:hAnsi="Palatino Linotype" w:cs="Arial"/>
              <w:szCs w:val="20"/>
            </w:rPr>
          </w:pPr>
          <w:r>
            <w:rPr>
              <w:rFonts w:ascii="Palatino Linotype" w:hAnsi="Palatino Linotype" w:cs="Arial"/>
              <w:bCs/>
              <w:sz w:val="24"/>
              <w:lang w:eastAsia="es-MX"/>
            </w:rPr>
            <w:t>Ayuntamiento de Coatepec Harinas</w:t>
          </w:r>
        </w:p>
      </w:tc>
    </w:tr>
    <w:tr w:rsidR="00295503" w:rsidTr="005353A8">
      <w:trPr>
        <w:trHeight w:val="342"/>
      </w:trPr>
      <w:tc>
        <w:tcPr>
          <w:tcW w:w="5671"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1" w:type="dxa"/>
      <w:tblInd w:w="-5" w:type="dxa"/>
      <w:tblLayout w:type="fixed"/>
      <w:tblCellMar>
        <w:left w:w="70" w:type="dxa"/>
        <w:right w:w="70" w:type="dxa"/>
      </w:tblCellMar>
      <w:tblLook w:val="04A0" w:firstRow="1" w:lastRow="0" w:firstColumn="1" w:lastColumn="0" w:noHBand="0" w:noVBand="1"/>
    </w:tblPr>
    <w:tblGrid>
      <w:gridCol w:w="4683"/>
      <w:gridCol w:w="4678"/>
    </w:tblGrid>
    <w:tr w:rsidR="00295503" w:rsidTr="00BD7B15">
      <w:trPr>
        <w:trHeight w:val="227"/>
      </w:trPr>
      <w:tc>
        <w:tcPr>
          <w:tcW w:w="4683"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1B082D" w:rsidRPr="000B01FC" w:rsidRDefault="00295503" w:rsidP="00BD7B15">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0</w:t>
          </w:r>
          <w:r w:rsidR="001B082D">
            <w:rPr>
              <w:rFonts w:ascii="Palatino Linotype" w:hAnsi="Palatino Linotype" w:cs="Arial"/>
              <w:bCs/>
              <w:sz w:val="24"/>
              <w:lang w:eastAsia="es-MX"/>
            </w:rPr>
            <w:t>8</w:t>
          </w:r>
          <w:r w:rsidR="000B01FC">
            <w:rPr>
              <w:rFonts w:ascii="Palatino Linotype" w:hAnsi="Palatino Linotype" w:cs="Arial"/>
              <w:bCs/>
              <w:sz w:val="24"/>
              <w:lang w:eastAsia="es-MX"/>
            </w:rPr>
            <w:t>7</w:t>
          </w:r>
          <w:r w:rsidR="00525BC2">
            <w:rPr>
              <w:rFonts w:ascii="Palatino Linotype" w:hAnsi="Palatino Linotype" w:cs="Arial"/>
              <w:bCs/>
              <w:sz w:val="24"/>
              <w:lang w:eastAsia="es-MX"/>
            </w:rPr>
            <w:t>5</w:t>
          </w:r>
          <w:r w:rsidR="001B082D">
            <w:rPr>
              <w:rFonts w:ascii="Palatino Linotype" w:hAnsi="Palatino Linotype" w:cs="Arial"/>
              <w:bCs/>
              <w:sz w:val="24"/>
              <w:lang w:eastAsia="es-MX"/>
            </w:rPr>
            <w:t>0</w:t>
          </w:r>
          <w:r>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y </w:t>
          </w:r>
        </w:p>
      </w:tc>
    </w:tr>
    <w:tr w:rsidR="00295503" w:rsidTr="00BD7B15">
      <w:trPr>
        <w:trHeight w:val="196"/>
      </w:trPr>
      <w:tc>
        <w:tcPr>
          <w:tcW w:w="4683"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rsidR="00295503" w:rsidRPr="00F06FED" w:rsidRDefault="002B4BA5"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BD7B15">
      <w:trPr>
        <w:trHeight w:val="242"/>
      </w:trPr>
      <w:tc>
        <w:tcPr>
          <w:tcW w:w="4683"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295503" w:rsidRPr="00BD7B15" w:rsidRDefault="000B01FC" w:rsidP="00BD7B15">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Ayuntamiento de Coatepec Harinas</w:t>
          </w:r>
        </w:p>
      </w:tc>
    </w:tr>
    <w:tr w:rsidR="00295503" w:rsidTr="00BD7B15">
      <w:trPr>
        <w:trHeight w:val="342"/>
      </w:trPr>
      <w:tc>
        <w:tcPr>
          <w:tcW w:w="4683"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8"/>
  </w:num>
  <w:num w:numId="5">
    <w:abstractNumId w:val="4"/>
  </w:num>
  <w:num w:numId="6">
    <w:abstractNumId w:val="3"/>
  </w:num>
  <w:num w:numId="7">
    <w:abstractNumId w:val="20"/>
  </w:num>
  <w:num w:numId="8">
    <w:abstractNumId w:val="18"/>
  </w:num>
  <w:num w:numId="9">
    <w:abstractNumId w:val="26"/>
  </w:num>
  <w:num w:numId="10">
    <w:abstractNumId w:val="5"/>
  </w:num>
  <w:num w:numId="11">
    <w:abstractNumId w:val="27"/>
  </w:num>
  <w:num w:numId="12">
    <w:abstractNumId w:val="22"/>
  </w:num>
  <w:num w:numId="13">
    <w:abstractNumId w:val="21"/>
  </w:num>
  <w:num w:numId="14">
    <w:abstractNumId w:val="14"/>
  </w:num>
  <w:num w:numId="15">
    <w:abstractNumId w:val="2"/>
  </w:num>
  <w:num w:numId="16">
    <w:abstractNumId w:val="7"/>
  </w:num>
  <w:num w:numId="17">
    <w:abstractNumId w:val="17"/>
  </w:num>
  <w:num w:numId="18">
    <w:abstractNumId w:val="25"/>
  </w:num>
  <w:num w:numId="19">
    <w:abstractNumId w:val="24"/>
  </w:num>
  <w:num w:numId="20">
    <w:abstractNumId w:val="15"/>
  </w:num>
  <w:num w:numId="21">
    <w:abstractNumId w:val="9"/>
  </w:num>
  <w:num w:numId="22">
    <w:abstractNumId w:val="16"/>
  </w:num>
  <w:num w:numId="23">
    <w:abstractNumId w:val="12"/>
  </w:num>
  <w:num w:numId="24">
    <w:abstractNumId w:val="19"/>
  </w:num>
  <w:num w:numId="25">
    <w:abstractNumId w:val="10"/>
  </w:num>
  <w:num w:numId="26">
    <w:abstractNumId w:val="8"/>
  </w:num>
  <w:num w:numId="27">
    <w:abstractNumId w:val="13"/>
  </w:num>
  <w:num w:numId="28">
    <w:abstractNumId w:val="29"/>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D203E"/>
    <w:rsid w:val="000D26E6"/>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21FB5"/>
    <w:rsid w:val="00122CD0"/>
    <w:rsid w:val="0012508A"/>
    <w:rsid w:val="0013112A"/>
    <w:rsid w:val="001324C5"/>
    <w:rsid w:val="00132E9F"/>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80B7B"/>
    <w:rsid w:val="00282690"/>
    <w:rsid w:val="0028585E"/>
    <w:rsid w:val="00287072"/>
    <w:rsid w:val="00290397"/>
    <w:rsid w:val="00295503"/>
    <w:rsid w:val="00296F49"/>
    <w:rsid w:val="002974B4"/>
    <w:rsid w:val="002A1927"/>
    <w:rsid w:val="002A6F1B"/>
    <w:rsid w:val="002B1519"/>
    <w:rsid w:val="002B4BA5"/>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6EDF"/>
    <w:rsid w:val="0033729E"/>
    <w:rsid w:val="00344583"/>
    <w:rsid w:val="00347674"/>
    <w:rsid w:val="00353E3E"/>
    <w:rsid w:val="00363308"/>
    <w:rsid w:val="00365ADF"/>
    <w:rsid w:val="00366574"/>
    <w:rsid w:val="003666BD"/>
    <w:rsid w:val="00366D3F"/>
    <w:rsid w:val="00374450"/>
    <w:rsid w:val="00375FF5"/>
    <w:rsid w:val="0037690F"/>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4FE7"/>
    <w:rsid w:val="003C6B46"/>
    <w:rsid w:val="003C71D4"/>
    <w:rsid w:val="003C74AF"/>
    <w:rsid w:val="003D2672"/>
    <w:rsid w:val="003D2A1C"/>
    <w:rsid w:val="003D3420"/>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E572E"/>
    <w:rsid w:val="008E63C2"/>
    <w:rsid w:val="008F3BD7"/>
    <w:rsid w:val="008F741F"/>
    <w:rsid w:val="00903599"/>
    <w:rsid w:val="00905CE1"/>
    <w:rsid w:val="00912536"/>
    <w:rsid w:val="009151CF"/>
    <w:rsid w:val="009242AD"/>
    <w:rsid w:val="009272C6"/>
    <w:rsid w:val="00930F68"/>
    <w:rsid w:val="009339EC"/>
    <w:rsid w:val="00936CE7"/>
    <w:rsid w:val="0093743A"/>
    <w:rsid w:val="009375FB"/>
    <w:rsid w:val="00942349"/>
    <w:rsid w:val="00943711"/>
    <w:rsid w:val="00943B37"/>
    <w:rsid w:val="00950ABA"/>
    <w:rsid w:val="00954DC1"/>
    <w:rsid w:val="00960D8F"/>
    <w:rsid w:val="0096284F"/>
    <w:rsid w:val="0096359D"/>
    <w:rsid w:val="00963E20"/>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6551"/>
    <w:rsid w:val="00A066AD"/>
    <w:rsid w:val="00A10000"/>
    <w:rsid w:val="00A10775"/>
    <w:rsid w:val="00A112EB"/>
    <w:rsid w:val="00A16988"/>
    <w:rsid w:val="00A2199B"/>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2A3A"/>
    <w:rsid w:val="00CD1397"/>
    <w:rsid w:val="00CD410A"/>
    <w:rsid w:val="00CD4230"/>
    <w:rsid w:val="00CD5D9E"/>
    <w:rsid w:val="00CE15C8"/>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889"/>
    <w:rsid w:val="00D57072"/>
    <w:rsid w:val="00D57A8D"/>
    <w:rsid w:val="00D57C7A"/>
    <w:rsid w:val="00D61A59"/>
    <w:rsid w:val="00D633B6"/>
    <w:rsid w:val="00D64F6D"/>
    <w:rsid w:val="00D70758"/>
    <w:rsid w:val="00D72377"/>
    <w:rsid w:val="00D75DD0"/>
    <w:rsid w:val="00D760EF"/>
    <w:rsid w:val="00D77F62"/>
    <w:rsid w:val="00D80239"/>
    <w:rsid w:val="00D8226B"/>
    <w:rsid w:val="00D82C3F"/>
    <w:rsid w:val="00D849BC"/>
    <w:rsid w:val="00D84D1B"/>
    <w:rsid w:val="00D85C97"/>
    <w:rsid w:val="00D867E7"/>
    <w:rsid w:val="00DA0E70"/>
    <w:rsid w:val="00DA1B7C"/>
    <w:rsid w:val="00DA21DB"/>
    <w:rsid w:val="00DA5A00"/>
    <w:rsid w:val="00DA6917"/>
    <w:rsid w:val="00DB01B2"/>
    <w:rsid w:val="00DB07E3"/>
    <w:rsid w:val="00DB3486"/>
    <w:rsid w:val="00DB5FF7"/>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B2F77"/>
    <w:rsid w:val="00FB55E9"/>
    <w:rsid w:val="00FB59DF"/>
    <w:rsid w:val="00FC716A"/>
    <w:rsid w:val="00FC7D8B"/>
    <w:rsid w:val="00FD27EA"/>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E898-F049-4E5E-91BC-DB44D2E7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6216</Words>
  <Characters>34192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2019-08-09T18:01:00Z</cp:lastPrinted>
  <dcterms:created xsi:type="dcterms:W3CDTF">2020-04-20T17:03:00Z</dcterms:created>
  <dcterms:modified xsi:type="dcterms:W3CDTF">2020-04-20T17:03:00Z</dcterms:modified>
</cp:coreProperties>
</file>