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widowControl w:val="0"/>
        <w:spacing w:after="0" w:line="360" w:lineRule="auto"/>
        <w:jc w:val="both"/>
        <w:rPr>
          <w:rFonts w:ascii="Palatino Linotype" w:cs="Palatino Linotype" w:eastAsia="Palatino Linotype" w:hAnsi="Palatino Linotype"/>
          <w:b w:val="1"/>
          <w:color w:val="000000"/>
        </w:rPr>
      </w:pPr>
      <w:r w:rsidDel="00000000" w:rsidR="00000000" w:rsidRPr="00000000">
        <w:rPr>
          <w:rFonts w:ascii="Palatino Linotype" w:cs="Palatino Linotype" w:eastAsia="Palatino Linotype" w:hAnsi="Palatino Linotype"/>
          <w:b w:val="1"/>
          <w:rtl w:val="0"/>
        </w:rPr>
        <w:t xml:space="preserve">VOTO PARTICULAR QUE FORMULA LA COMISIONADA EVA ABAID YAPUR, EN RELACIÓN CON LA RESOLUCIÓN DICTADA POR EL PLENO DEL INSTITUTO DE TRANSPARENCIA, ACCESO A LA INFORMACIÓN PÚBLICA Y PROTECCIÓN DE DATOS PERSONALES DEL ESTADO DE MÉXICO Y MUNICIPIOS, EN LA CUARTA SESIÓN ORDINARIA DE SEIS DE FEBRERO DE DOS MIL VEINTE, EN EL RECURSO DE REVISIÓN 08603/INFOEM/IP/RR/2019</w:t>
      </w:r>
      <w:r w:rsidDel="00000000" w:rsidR="00000000" w:rsidRPr="00000000">
        <w:rPr>
          <w:rFonts w:ascii="Palatino Linotype" w:cs="Palatino Linotype" w:eastAsia="Palatino Linotype" w:hAnsi="Palatino Linotype"/>
          <w:b w:val="1"/>
          <w:color w:val="000000"/>
          <w:rtl w:val="0"/>
        </w:rPr>
        <w:t xml:space="preserve">.</w:t>
      </w:r>
    </w:p>
    <w:p w:rsidR="00000000" w:rsidDel="00000000" w:rsidP="00000000" w:rsidRDefault="00000000" w:rsidRPr="00000000" w14:paraId="00000003">
      <w:pPr>
        <w:widowControl w:val="0"/>
        <w:spacing w:after="0" w:before="0" w:line="360" w:lineRule="auto"/>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04">
      <w:pPr>
        <w:spacing w:after="0" w:before="0"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rtl w:val="0"/>
        </w:rPr>
        <w:t xml:space="preserve">Con fundamento en lo dispuesto por el artículo 14, fracciones X y XI del Reglamento Interior del Instituto de Transparencia, Acceso a la Información Pública y Protección de Datos Personales del Estado de México y Municipios, la que suscribe Comisionada </w:t>
      </w:r>
      <w:r w:rsidDel="00000000" w:rsidR="00000000" w:rsidRPr="00000000">
        <w:rPr>
          <w:rFonts w:ascii="Palatino Linotype" w:cs="Palatino Linotype" w:eastAsia="Palatino Linotype" w:hAnsi="Palatino Linotype"/>
          <w:b w:val="1"/>
          <w:rtl w:val="0"/>
        </w:rPr>
        <w:t xml:space="preserve">EVA ABAID YAPUR</w:t>
      </w:r>
      <w:r w:rsidDel="00000000" w:rsidR="00000000" w:rsidRPr="00000000">
        <w:rPr>
          <w:rFonts w:ascii="Palatino Linotype" w:cs="Palatino Linotype" w:eastAsia="Palatino Linotype" w:hAnsi="Palatino Linotype"/>
          <w:rtl w:val="0"/>
        </w:rPr>
        <w:t xml:space="preserve"> emite </w:t>
      </w:r>
      <w:r w:rsidDel="00000000" w:rsidR="00000000" w:rsidRPr="00000000">
        <w:rPr>
          <w:rFonts w:ascii="Palatino Linotype" w:cs="Palatino Linotype" w:eastAsia="Palatino Linotype" w:hAnsi="Palatino Linotype"/>
          <w:b w:val="1"/>
          <w:rtl w:val="0"/>
        </w:rPr>
        <w:t xml:space="preserve">VOTO PARTICULAR </w:t>
      </w:r>
      <w:r w:rsidDel="00000000" w:rsidR="00000000" w:rsidRPr="00000000">
        <w:rPr>
          <w:rFonts w:ascii="Palatino Linotype" w:cs="Palatino Linotype" w:eastAsia="Palatino Linotype" w:hAnsi="Palatino Linotype"/>
          <w:rtl w:val="0"/>
        </w:rPr>
        <w:t xml:space="preserve">respecto de la resolución dictada en el recurso de revisión </w:t>
      </w:r>
      <w:r w:rsidDel="00000000" w:rsidR="00000000" w:rsidRPr="00000000">
        <w:rPr>
          <w:rFonts w:ascii="Palatino Linotype" w:cs="Palatino Linotype" w:eastAsia="Palatino Linotype" w:hAnsi="Palatino Linotype"/>
          <w:b w:val="1"/>
          <w:rtl w:val="0"/>
        </w:rPr>
        <w:t xml:space="preserve">08603/INFOEM/IP/RR/2019</w:t>
      </w:r>
      <w:r w:rsidDel="00000000" w:rsidR="00000000" w:rsidRPr="00000000">
        <w:rPr>
          <w:rFonts w:ascii="Palatino Linotype" w:cs="Palatino Linotype" w:eastAsia="Palatino Linotype" w:hAnsi="Palatino Linotype"/>
          <w:rtl w:val="0"/>
        </w:rPr>
        <w:t xml:space="preserve">, pronunciada por el Pleno de este Instituto ante el proyecto presentado por el Comisionado </w:t>
      </w:r>
      <w:r w:rsidDel="00000000" w:rsidR="00000000" w:rsidRPr="00000000">
        <w:rPr>
          <w:rFonts w:ascii="Palatino Linotype" w:cs="Palatino Linotype" w:eastAsia="Palatino Linotype" w:hAnsi="Palatino Linotype"/>
          <w:b w:val="1"/>
          <w:rtl w:val="0"/>
        </w:rPr>
        <w:t xml:space="preserve">JOSÉ GUADALUPE LUNA HERNÁNDEZ</w:t>
      </w:r>
      <w:r w:rsidDel="00000000" w:rsidR="00000000" w:rsidRPr="00000000">
        <w:rPr>
          <w:rFonts w:ascii="Palatino Linotype" w:cs="Palatino Linotype" w:eastAsia="Palatino Linotype" w:hAnsi="Palatino Linotype"/>
          <w:rtl w:val="0"/>
        </w:rPr>
        <w:t xml:space="preserve">, que es del tenor siguiente.</w:t>
      </w:r>
      <w:r w:rsidDel="00000000" w:rsidR="00000000" w:rsidRPr="00000000">
        <w:rPr>
          <w:rtl w:val="0"/>
        </w:rPr>
      </w:r>
    </w:p>
    <w:p w:rsidR="00000000" w:rsidDel="00000000" w:rsidP="00000000" w:rsidRDefault="00000000" w:rsidRPr="00000000" w14:paraId="00000005">
      <w:pPr>
        <w:widowControl w:val="0"/>
        <w:spacing w:after="0" w:before="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06">
      <w:pPr>
        <w:spacing w:after="0" w:before="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Es de destacar, que la suscrita comparte esencialmente el estudio realizado en la resolución del recurso de revisión; empero, estimo necesario precisar algunas consideraciones de hecho y de derecho, tocante a parte de la información que se ordena en la resolución correspondiente.</w:t>
      </w:r>
    </w:p>
    <w:p w:rsidR="00000000" w:rsidDel="00000000" w:rsidP="00000000" w:rsidRDefault="00000000" w:rsidRPr="00000000" w14:paraId="00000007">
      <w:pPr>
        <w:spacing w:after="0" w:before="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08">
      <w:pPr>
        <w:spacing w:after="0" w:before="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Al respecto, tal y como quedó debidamente asentado en la resolución materia del presente voto, el particular requirió del </w:t>
      </w:r>
      <w:r w:rsidDel="00000000" w:rsidR="00000000" w:rsidRPr="00000000">
        <w:rPr>
          <w:rFonts w:ascii="Palatino Linotype" w:cs="Palatino Linotype" w:eastAsia="Palatino Linotype" w:hAnsi="Palatino Linotype"/>
          <w:b w:val="1"/>
          <w:rtl w:val="0"/>
        </w:rPr>
        <w:t xml:space="preserve">Ayuntamiento de Atizapán, </w:t>
      </w:r>
      <w:r w:rsidDel="00000000" w:rsidR="00000000" w:rsidRPr="00000000">
        <w:rPr>
          <w:rFonts w:ascii="Palatino Linotype" w:cs="Palatino Linotype" w:eastAsia="Palatino Linotype" w:hAnsi="Palatino Linotype"/>
          <w:rtl w:val="0"/>
        </w:rPr>
        <w:t xml:space="preserve">en lo sucesivo </w:t>
      </w:r>
      <w:r w:rsidDel="00000000" w:rsidR="00000000" w:rsidRPr="00000000">
        <w:rPr>
          <w:rFonts w:ascii="Palatino Linotype" w:cs="Palatino Linotype" w:eastAsia="Palatino Linotype" w:hAnsi="Palatino Linotype"/>
          <w:b w:val="1"/>
          <w:rtl w:val="0"/>
        </w:rPr>
        <w:t xml:space="preserve">EL</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vía </w:t>
      </w:r>
      <w:r w:rsidDel="00000000" w:rsidR="00000000" w:rsidRPr="00000000">
        <w:rPr>
          <w:rFonts w:ascii="Palatino Linotype" w:cs="Palatino Linotype" w:eastAsia="Palatino Linotype" w:hAnsi="Palatino Linotype"/>
          <w:b w:val="1"/>
          <w:rtl w:val="0"/>
        </w:rPr>
        <w:t xml:space="preserve">SAIMEX</w:t>
      </w:r>
      <w:r w:rsidDel="00000000" w:rsidR="00000000" w:rsidRPr="00000000">
        <w:rPr>
          <w:rFonts w:ascii="Palatino Linotype" w:cs="Palatino Linotype" w:eastAsia="Palatino Linotype" w:hAnsi="Palatino Linotype"/>
          <w:rtl w:val="0"/>
        </w:rPr>
        <w:t xml:space="preserve">, la información que a continuación se desagrega:</w:t>
      </w:r>
    </w:p>
    <w:p w:rsidR="00000000" w:rsidDel="00000000" w:rsidP="00000000" w:rsidRDefault="00000000" w:rsidRPr="00000000" w14:paraId="00000009">
      <w:pPr>
        <w:spacing w:after="280" w:before="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280" w:line="240" w:lineRule="auto"/>
        <w:ind w:left="851" w:right="902"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“1.- Organigrama básico del ejecutivo municipal (Dependencias que reportan directamente al presidente municipal). </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902"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2.- Número de empleados por cada dependencia. </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280" w:before="0" w:line="240" w:lineRule="auto"/>
        <w:ind w:left="851" w:right="902" w:firstLine="0"/>
        <w:jc w:val="both"/>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3.- Dependencias que tienen procedimientos de aseguramiento de calidad certificadas de acuerdo a normas ISO u otras normas internacionales (Por ejemplo CALEA para seguridad pública).” </w:t>
      </w:r>
      <w:r w:rsidDel="00000000" w:rsidR="00000000" w:rsidRPr="00000000">
        <w:rPr>
          <w:rtl w:val="0"/>
        </w:rPr>
      </w:r>
    </w:p>
    <w:p w:rsidR="00000000" w:rsidDel="00000000" w:rsidP="00000000" w:rsidRDefault="00000000" w:rsidRPr="00000000" w14:paraId="0000000D">
      <w:pPr>
        <w:spacing w:after="0" w:before="28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0E">
      <w:pPr>
        <w:spacing w:after="0" w:before="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las constancias que obran dentro del expediente electrónico del </w:t>
      </w:r>
      <w:r w:rsidDel="00000000" w:rsidR="00000000" w:rsidRPr="00000000">
        <w:rPr>
          <w:rFonts w:ascii="Palatino Linotype" w:cs="Palatino Linotype" w:eastAsia="Palatino Linotype" w:hAnsi="Palatino Linotype"/>
          <w:b w:val="1"/>
          <w:rtl w:val="0"/>
        </w:rPr>
        <w:t xml:space="preserve">SAIMEX,</w:t>
      </w:r>
      <w:r w:rsidDel="00000000" w:rsidR="00000000" w:rsidRPr="00000000">
        <w:rPr>
          <w:rFonts w:ascii="Palatino Linotype" w:cs="Palatino Linotype" w:eastAsia="Palatino Linotype" w:hAnsi="Palatino Linotype"/>
          <w:rtl w:val="0"/>
        </w:rPr>
        <w:t xml:space="preserve"> se advirtió que </w:t>
      </w:r>
      <w:r w:rsidDel="00000000" w:rsidR="00000000" w:rsidRPr="00000000">
        <w:rPr>
          <w:rFonts w:ascii="Palatino Linotype" w:cs="Palatino Linotype" w:eastAsia="Palatino Linotype" w:hAnsi="Palatino Linotype"/>
          <w:b w:val="1"/>
          <w:rtl w:val="0"/>
        </w:rPr>
        <w:t xml:space="preserve">EL SUJETO OBLIGADO, </w:t>
      </w:r>
      <w:r w:rsidDel="00000000" w:rsidR="00000000" w:rsidRPr="00000000">
        <w:rPr>
          <w:rFonts w:ascii="Palatino Linotype" w:cs="Palatino Linotype" w:eastAsia="Palatino Linotype" w:hAnsi="Palatino Linotype"/>
          <w:rtl w:val="0"/>
        </w:rPr>
        <w:t xml:space="preserve">se manifestó refiriendo:</w:t>
      </w:r>
    </w:p>
    <w:p w:rsidR="00000000" w:rsidDel="00000000" w:rsidP="00000000" w:rsidRDefault="00000000" w:rsidRPr="00000000" w14:paraId="0000000F">
      <w:pPr>
        <w:spacing w:after="0" w:before="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10">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Como lo emana el artículo 155 de la ley competente al acceso público donde refiere para presentar una solicitud, no se podrán exigir mayores requisitos; sin embargo en el mismo artículo manifiesta que queda prohibido para los sujetos obligados recabar datos a indagatorias sobre las motivaciones de la solicitud de información, esté siendo el caso de donde en su solicitud no se mencionan: ni el nombre del solicitante o en su caso datos generales, menos domicilio o en su caso correo electrónico. Por lo que, son motivos procedentes para que dicha solicitud no se de curso, por no contar con elementos necesarios.</w:t>
      </w:r>
    </w:p>
    <w:p w:rsidR="00000000" w:rsidDel="00000000" w:rsidP="00000000" w:rsidRDefault="00000000" w:rsidRPr="00000000" w14:paraId="00000011">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12">
      <w:pPr>
        <w:spacing w:after="0" w:before="0" w:lineRule="auto"/>
        <w:ind w:left="851" w:right="902"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i w:val="1"/>
          <w:sz w:val="22"/>
          <w:szCs w:val="22"/>
          <w:rtl w:val="0"/>
        </w:rPr>
        <w:t xml:space="preserve">En virtud de lo anterior, se archiva la presente solicitud como concluida. Se hacen de su conocimiento que tiene derecho de interponer recurso de revisión dentro del plazo de 15 días hábiles contados a partir de la fecha en que se realice la notificación vía electrónica, a través del SAIMEX.</w:t>
      </w:r>
      <w:r w:rsidDel="00000000" w:rsidR="00000000" w:rsidRPr="00000000">
        <w:rPr>
          <w:rtl w:val="0"/>
        </w:rPr>
      </w:r>
    </w:p>
    <w:p w:rsidR="00000000" w:rsidDel="00000000" w:rsidP="00000000" w:rsidRDefault="00000000" w:rsidRPr="00000000" w14:paraId="00000013">
      <w:pPr>
        <w:spacing w:after="0" w:before="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14">
      <w:pPr>
        <w:spacing w:after="0" w:before="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Inconforme con la respuesta,</w:t>
      </w:r>
      <w:r w:rsidDel="00000000" w:rsidR="00000000" w:rsidRPr="00000000">
        <w:rPr>
          <w:rFonts w:ascii="Palatino Linotype" w:cs="Palatino Linotype" w:eastAsia="Palatino Linotype" w:hAnsi="Palatino Linotype"/>
          <w:b w:val="1"/>
          <w:rtl w:val="0"/>
        </w:rPr>
        <w:t xml:space="preserve"> EL RECURRENTE</w:t>
      </w:r>
      <w:r w:rsidDel="00000000" w:rsidR="00000000" w:rsidRPr="00000000">
        <w:rPr>
          <w:rFonts w:ascii="Palatino Linotype" w:cs="Palatino Linotype" w:eastAsia="Palatino Linotype" w:hAnsi="Palatino Linotype"/>
          <w:rtl w:val="0"/>
        </w:rPr>
        <w:t xml:space="preserve"> procedió a interponer el recurso de revisión de mérito, manifestando en acto impugnado:</w:t>
      </w:r>
    </w:p>
    <w:p w:rsidR="00000000" w:rsidDel="00000000" w:rsidP="00000000" w:rsidRDefault="00000000" w:rsidRPr="00000000" w14:paraId="00000015">
      <w:pPr>
        <w:spacing w:after="0" w:before="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16">
      <w:pPr>
        <w:spacing w:after="0" w:before="0" w:lineRule="auto"/>
        <w:ind w:left="851" w:right="902"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i w:val="1"/>
          <w:sz w:val="22"/>
          <w:szCs w:val="22"/>
          <w:rtl w:val="0"/>
        </w:rPr>
        <w:t xml:space="preserve">Negativa a otorgar la información solicitada. Bajo argumento no válido, ni sesionado por su comité de transparencia”</w:t>
      </w:r>
      <w:r w:rsidDel="00000000" w:rsidR="00000000" w:rsidRPr="00000000">
        <w:rPr>
          <w:rtl w:val="0"/>
        </w:rPr>
      </w:r>
    </w:p>
    <w:p w:rsidR="00000000" w:rsidDel="00000000" w:rsidP="00000000" w:rsidRDefault="00000000" w:rsidRPr="00000000" w14:paraId="00000017">
      <w:pPr>
        <w:spacing w:after="0" w:before="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Asimismo, como en motivos o razones de inconformidad:</w:t>
      </w:r>
    </w:p>
    <w:p w:rsidR="00000000" w:rsidDel="00000000" w:rsidP="00000000" w:rsidRDefault="00000000" w:rsidRPr="00000000" w14:paraId="00000018">
      <w:pPr>
        <w:spacing w:after="0" w:before="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19">
      <w:pPr>
        <w:spacing w:after="0" w:before="0" w:lineRule="auto"/>
        <w:ind w:left="851" w:right="902" w:firstLine="0"/>
        <w:jc w:val="both"/>
        <w:rPr>
          <w:rFonts w:ascii="Palatino Linotype" w:cs="Palatino Linotype" w:eastAsia="Palatino Linotype" w:hAnsi="Palatino Linotype"/>
          <w:i w:val="1"/>
          <w:color w:val="000000"/>
          <w:sz w:val="22"/>
          <w:szCs w:val="22"/>
        </w:rPr>
      </w:pPr>
      <w:r w:rsidDel="00000000" w:rsidR="00000000" w:rsidRPr="00000000">
        <w:rPr>
          <w:rFonts w:ascii="Palatino Linotype" w:cs="Palatino Linotype" w:eastAsia="Palatino Linotype" w:hAnsi="Palatino Linotype"/>
          <w:i w:val="1"/>
          <w:color w:val="000000"/>
          <w:sz w:val="22"/>
          <w:szCs w:val="22"/>
          <w:rtl w:val="0"/>
        </w:rPr>
        <w:t xml:space="preserve">“El sujeto obligado se negó a otorgar respuesta a mi solicitud de información argumentando una absurda interpretación a la ley. Por lo que vulnera mi derecho al acceso a la información” (Sic.)</w:t>
      </w:r>
    </w:p>
    <w:p w:rsidR="00000000" w:rsidDel="00000000" w:rsidP="00000000" w:rsidRDefault="00000000" w:rsidRPr="00000000" w14:paraId="0000001A">
      <w:pPr>
        <w:spacing w:after="0" w:before="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1B">
      <w:pPr>
        <w:spacing w:after="280" w:before="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Así, del estudio realizado al expediente electrónico, la Ponencia Resolutora determinó </w:t>
      </w:r>
      <w:r w:rsidDel="00000000" w:rsidR="00000000" w:rsidRPr="00000000">
        <w:rPr>
          <w:rFonts w:ascii="Palatino Linotype" w:cs="Palatino Linotype" w:eastAsia="Palatino Linotype" w:hAnsi="Palatino Linotype"/>
          <w:b w:val="1"/>
          <w:rtl w:val="0"/>
        </w:rPr>
        <w:t xml:space="preserve">ORDENAR </w:t>
      </w:r>
      <w:r w:rsidDel="00000000" w:rsidR="00000000" w:rsidRPr="00000000">
        <w:rPr>
          <w:rFonts w:ascii="Palatino Linotype" w:cs="Palatino Linotype" w:eastAsia="Palatino Linotype" w:hAnsi="Palatino Linotype"/>
          <w:rtl w:val="0"/>
        </w:rPr>
        <w:t xml:space="preserve">la entrega vía el </w:t>
      </w:r>
      <w:r w:rsidDel="00000000" w:rsidR="00000000" w:rsidRPr="00000000">
        <w:rPr>
          <w:rFonts w:ascii="Palatino Linotype" w:cs="Palatino Linotype" w:eastAsia="Palatino Linotype" w:hAnsi="Palatino Linotype"/>
          <w:b w:val="1"/>
          <w:rtl w:val="0"/>
        </w:rPr>
        <w:t xml:space="preserve">SAIMEX</w:t>
      </w:r>
      <w:r w:rsidDel="00000000" w:rsidR="00000000" w:rsidRPr="00000000">
        <w:rPr>
          <w:rFonts w:ascii="Palatino Linotype" w:cs="Palatino Linotype" w:eastAsia="Palatino Linotype" w:hAnsi="Palatino Linotype"/>
          <w:rtl w:val="0"/>
        </w:rPr>
        <w:t xml:space="preserve">:</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left" w:pos="142"/>
          <w:tab w:val="left" w:pos="284"/>
        </w:tabs>
        <w:spacing w:after="0" w:before="280" w:line="240" w:lineRule="auto"/>
        <w:ind w:left="851" w:right="902"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a) Organigrama;</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left" w:pos="142"/>
          <w:tab w:val="left" w:pos="284"/>
        </w:tabs>
        <w:spacing w:after="0" w:before="0" w:line="240" w:lineRule="auto"/>
        <w:ind w:left="851" w:right="902"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b) Número de empleados por cada dependencia; y, </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left" w:pos="142"/>
          <w:tab w:val="left" w:pos="284"/>
        </w:tabs>
        <w:spacing w:after="0" w:before="0" w:line="240" w:lineRule="auto"/>
        <w:ind w:left="851" w:right="902"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c) Dependencias que cuentan con procedimientos de aseguramiento de calidad certificadas de acuerdo a normas internacionales.</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left" w:pos="142"/>
          <w:tab w:val="left" w:pos="284"/>
        </w:tabs>
        <w:spacing w:after="0" w:before="0" w:line="240" w:lineRule="auto"/>
        <w:ind w:left="851" w:right="902"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left" w:pos="142"/>
          <w:tab w:val="left" w:pos="284"/>
        </w:tabs>
        <w:spacing w:after="280" w:before="0" w:line="240" w:lineRule="auto"/>
        <w:ind w:left="851" w:right="902"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Para el caso de que la información que se ordena entregar en el inciso c) no haya sido generada, poseída o administrada, el SUJETO OBLIGADO deberá manifestar de manera clara y precisa las razones que expliquen las causas por las cuales no se cuente con la información.</w:t>
      </w:r>
    </w:p>
    <w:p w:rsidR="00000000" w:rsidDel="00000000" w:rsidP="00000000" w:rsidRDefault="00000000" w:rsidRPr="00000000" w14:paraId="00000021">
      <w:pPr>
        <w:spacing w:after="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ese sentido, la que suscribe reitera, que si bien coincido en términos generales con el estudio de la resolución en comento, considero se debió ordenar de ser procedente la versión pública de los documentos.</w:t>
      </w:r>
    </w:p>
    <w:p w:rsidR="00000000" w:rsidDel="00000000" w:rsidP="00000000" w:rsidRDefault="00000000" w:rsidRPr="00000000" w14:paraId="00000022">
      <w:pPr>
        <w:spacing w:after="0" w:before="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23">
      <w:pPr>
        <w:spacing w:after="0" w:before="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Lo anterior obedece a que, de la información que pudiera remitir </w:t>
      </w:r>
      <w:r w:rsidDel="00000000" w:rsidR="00000000" w:rsidRPr="00000000">
        <w:rPr>
          <w:rFonts w:ascii="Palatino Linotype" w:cs="Palatino Linotype" w:eastAsia="Palatino Linotype" w:hAnsi="Palatino Linotype"/>
          <w:b w:val="1"/>
          <w:rtl w:val="0"/>
        </w:rPr>
        <w:t xml:space="preserve">EL SUJETO OBLIGADO</w:t>
      </w:r>
      <w:r w:rsidDel="00000000" w:rsidR="00000000" w:rsidRPr="00000000">
        <w:rPr>
          <w:rFonts w:ascii="Palatino Linotype" w:cs="Palatino Linotype" w:eastAsia="Palatino Linotype" w:hAnsi="Palatino Linotype"/>
          <w:rtl w:val="0"/>
        </w:rPr>
        <w:t xml:space="preserve"> podría contener información de carácter confidencial, por ende de la información que se ponga a disposición, deberá ser en versión pública en la que se suprima aquella información relacionada con la vida privada de los servidores públicos.</w:t>
      </w:r>
    </w:p>
    <w:p w:rsidR="00000000" w:rsidDel="00000000" w:rsidP="00000000" w:rsidRDefault="00000000" w:rsidRPr="00000000" w14:paraId="00000024">
      <w:pPr>
        <w:spacing w:after="0" w:before="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25">
      <w:pPr>
        <w:spacing w:after="0" w:before="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Esto, por que no se tiene certeza del contenido del documento que entregará para atender lo referido, por lo que se debió prever el ordenar la entrega, de ser procedente en versión pública.</w:t>
      </w:r>
    </w:p>
    <w:p w:rsidR="00000000" w:rsidDel="00000000" w:rsidP="00000000" w:rsidRDefault="00000000" w:rsidRPr="00000000" w14:paraId="00000026">
      <w:pPr>
        <w:spacing w:after="0" w:before="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27">
      <w:pPr>
        <w:spacing w:after="0" w:before="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Ahora bien, respecto al Acuerdo de Clasificación correspondiente debidamente fundado y motivado, en el cual se sustente la versión pública,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000000" w:rsidDel="00000000" w:rsidP="00000000" w:rsidRDefault="00000000" w:rsidRPr="00000000" w14:paraId="00000028">
      <w:pPr>
        <w:spacing w:after="0" w:before="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29">
      <w:pPr>
        <w:spacing w:after="0" w:before="0" w:lineRule="auto"/>
        <w:ind w:left="851" w:right="902" w:firstLine="0"/>
        <w:jc w:val="center"/>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Ley de Transparencia y Acceso a la Información Pública del Estado de México y Municipios</w:t>
      </w:r>
    </w:p>
    <w:p w:rsidR="00000000" w:rsidDel="00000000" w:rsidP="00000000" w:rsidRDefault="00000000" w:rsidRPr="00000000" w14:paraId="0000002A">
      <w:pPr>
        <w:spacing w:after="0" w:before="0" w:lineRule="auto"/>
        <w:ind w:left="851" w:right="902" w:firstLine="0"/>
        <w:jc w:val="center"/>
        <w:rPr>
          <w:rFonts w:ascii="Palatino Linotype" w:cs="Palatino Linotype" w:eastAsia="Palatino Linotype" w:hAnsi="Palatino Linotype"/>
          <w:b w:val="1"/>
          <w:i w:val="1"/>
          <w:sz w:val="22"/>
          <w:szCs w:val="22"/>
        </w:rPr>
      </w:pPr>
      <w:r w:rsidDel="00000000" w:rsidR="00000000" w:rsidRPr="00000000">
        <w:rPr>
          <w:rtl w:val="0"/>
        </w:rPr>
      </w:r>
    </w:p>
    <w:p w:rsidR="00000000" w:rsidDel="00000000" w:rsidP="00000000" w:rsidRDefault="00000000" w:rsidRPr="00000000" w14:paraId="0000002B">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 49. </w:t>
      </w:r>
      <w:r w:rsidDel="00000000" w:rsidR="00000000" w:rsidRPr="00000000">
        <w:rPr>
          <w:rFonts w:ascii="Palatino Linotype" w:cs="Palatino Linotype" w:eastAsia="Palatino Linotype" w:hAnsi="Palatino Linotype"/>
          <w:i w:val="1"/>
          <w:sz w:val="22"/>
          <w:szCs w:val="22"/>
          <w:rtl w:val="0"/>
        </w:rPr>
        <w:t xml:space="preserve">Los Comités de Transparencia tendrán las siguientes atribuciones:</w:t>
      </w:r>
    </w:p>
    <w:p w:rsidR="00000000" w:rsidDel="00000000" w:rsidP="00000000" w:rsidRDefault="00000000" w:rsidRPr="00000000" w14:paraId="0000002C">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VIII.</w:t>
      </w:r>
      <w:r w:rsidDel="00000000" w:rsidR="00000000" w:rsidRPr="00000000">
        <w:rPr>
          <w:rFonts w:ascii="Palatino Linotype" w:cs="Palatino Linotype" w:eastAsia="Palatino Linotype" w:hAnsi="Palatino Linotype"/>
          <w:i w:val="1"/>
          <w:sz w:val="22"/>
          <w:szCs w:val="22"/>
          <w:rtl w:val="0"/>
        </w:rPr>
        <w:t xml:space="preserve"> Aprobar, modificar o revocar la clasificación de la información;</w:t>
      </w:r>
    </w:p>
    <w:p w:rsidR="00000000" w:rsidDel="00000000" w:rsidP="00000000" w:rsidRDefault="00000000" w:rsidRPr="00000000" w14:paraId="0000002D">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2E">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132.</w:t>
      </w:r>
      <w:r w:rsidDel="00000000" w:rsidR="00000000" w:rsidRPr="00000000">
        <w:rPr>
          <w:rFonts w:ascii="Palatino Linotype" w:cs="Palatino Linotype" w:eastAsia="Palatino Linotype" w:hAnsi="Palatino Linotype"/>
          <w:i w:val="1"/>
          <w:sz w:val="22"/>
          <w:szCs w:val="22"/>
          <w:rtl w:val="0"/>
        </w:rPr>
        <w:t xml:space="preserve"> La clasificación de la información se llevará a cabo en el momento en que:</w:t>
      </w:r>
    </w:p>
    <w:p w:rsidR="00000000" w:rsidDel="00000000" w:rsidP="00000000" w:rsidRDefault="00000000" w:rsidRPr="00000000" w14:paraId="0000002F">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30">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II.</w:t>
      </w:r>
      <w:r w:rsidDel="00000000" w:rsidR="00000000" w:rsidRPr="00000000">
        <w:rPr>
          <w:rFonts w:ascii="Palatino Linotype" w:cs="Palatino Linotype" w:eastAsia="Palatino Linotype" w:hAnsi="Palatino Linotype"/>
          <w:i w:val="1"/>
          <w:sz w:val="22"/>
          <w:szCs w:val="22"/>
          <w:rtl w:val="0"/>
        </w:rPr>
        <w:t xml:space="preserve"> Se determine mediante resolución de autoridad competente; o</w:t>
      </w:r>
    </w:p>
    <w:p w:rsidR="00000000" w:rsidDel="00000000" w:rsidP="00000000" w:rsidRDefault="00000000" w:rsidRPr="00000000" w14:paraId="00000031">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32">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III</w:t>
      </w:r>
      <w:r w:rsidDel="00000000" w:rsidR="00000000" w:rsidRPr="00000000">
        <w:rPr>
          <w:rFonts w:ascii="Palatino Linotype" w:cs="Palatino Linotype" w:eastAsia="Palatino Linotype" w:hAnsi="Palatino Linotype"/>
          <w:i w:val="1"/>
          <w:sz w:val="22"/>
          <w:szCs w:val="22"/>
          <w:rtl w:val="0"/>
        </w:rPr>
        <w:t xml:space="preserve">. Se generen versiones públicas para dar cumplimiento a las obligaciones de transparencia previstas en esta Ley.”</w:t>
      </w:r>
    </w:p>
    <w:p w:rsidR="00000000" w:rsidDel="00000000" w:rsidP="00000000" w:rsidRDefault="00000000" w:rsidRPr="00000000" w14:paraId="00000033">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34">
      <w:pPr>
        <w:spacing w:after="0" w:before="0" w:lineRule="auto"/>
        <w:ind w:left="851" w:right="902" w:firstLine="0"/>
        <w:jc w:val="center"/>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Lineamientos Generales en materia de Clasificación y Desclasificación de la Información, así como para la elaboración de Versiones Públicas</w:t>
      </w:r>
    </w:p>
    <w:p w:rsidR="00000000" w:rsidDel="00000000" w:rsidP="00000000" w:rsidRDefault="00000000" w:rsidRPr="00000000" w14:paraId="00000035">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Segundo.-</w:t>
      </w:r>
      <w:r w:rsidDel="00000000" w:rsidR="00000000" w:rsidRPr="00000000">
        <w:rPr>
          <w:rFonts w:ascii="Palatino Linotype" w:cs="Palatino Linotype" w:eastAsia="Palatino Linotype" w:hAnsi="Palatino Linotype"/>
          <w:i w:val="1"/>
          <w:sz w:val="22"/>
          <w:szCs w:val="22"/>
          <w:rtl w:val="0"/>
        </w:rPr>
        <w:t xml:space="preserve"> Para efectos de los presentes Lineamientos Generales, se entenderá por:</w:t>
      </w:r>
    </w:p>
    <w:p w:rsidR="00000000" w:rsidDel="00000000" w:rsidP="00000000" w:rsidRDefault="00000000" w:rsidRPr="00000000" w14:paraId="00000036">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37">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XVIII.</w:t>
      </w: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Versión pública:</w:t>
      </w:r>
      <w:r w:rsidDel="00000000" w:rsidR="00000000" w:rsidRPr="00000000">
        <w:rPr>
          <w:rFonts w:ascii="Palatino Linotype" w:cs="Palatino Linotype" w:eastAsia="Palatino Linotype" w:hAnsi="Palatino Linotype"/>
          <w:i w:val="1"/>
          <w:sz w:val="22"/>
          <w:szCs w:val="22"/>
          <w:rtl w:val="0"/>
        </w:rPr>
        <w:t xml:space="preserve"> El documento a partir del que se otorga acceso a la información, en el que se testan partes o secciones clasificadas, indicando el contenido de éstas de manera genérica, </w:t>
      </w:r>
      <w:r w:rsidDel="00000000" w:rsidR="00000000" w:rsidRPr="00000000">
        <w:rPr>
          <w:rFonts w:ascii="Palatino Linotype" w:cs="Palatino Linotype" w:eastAsia="Palatino Linotype" w:hAnsi="Palatino Linotype"/>
          <w:b w:val="1"/>
          <w:i w:val="1"/>
          <w:sz w:val="22"/>
          <w:szCs w:val="22"/>
          <w:u w:val="single"/>
          <w:rtl w:val="0"/>
        </w:rPr>
        <w:t xml:space="preserve">fundando y motivando la</w:t>
      </w:r>
      <w:r w:rsidDel="00000000" w:rsidR="00000000" w:rsidRPr="00000000">
        <w:rPr>
          <w:rFonts w:ascii="Palatino Linotype" w:cs="Palatino Linotype" w:eastAsia="Palatino Linotype" w:hAnsi="Palatino Linotype"/>
          <w:i w:val="1"/>
          <w:sz w:val="22"/>
          <w:szCs w:val="22"/>
          <w:rtl w:val="0"/>
        </w:rPr>
        <w:t xml:space="preserve"> reserva o </w:t>
      </w:r>
      <w:r w:rsidDel="00000000" w:rsidR="00000000" w:rsidRPr="00000000">
        <w:rPr>
          <w:rFonts w:ascii="Palatino Linotype" w:cs="Palatino Linotype" w:eastAsia="Palatino Linotype" w:hAnsi="Palatino Linotype"/>
          <w:b w:val="1"/>
          <w:i w:val="1"/>
          <w:sz w:val="22"/>
          <w:szCs w:val="22"/>
          <w:u w:val="single"/>
          <w:rtl w:val="0"/>
        </w:rPr>
        <w:t xml:space="preserve">confidencialidad</w:t>
      </w:r>
      <w:r w:rsidDel="00000000" w:rsidR="00000000" w:rsidRPr="00000000">
        <w:rPr>
          <w:rFonts w:ascii="Palatino Linotype" w:cs="Palatino Linotype" w:eastAsia="Palatino Linotype" w:hAnsi="Palatino Linotype"/>
          <w:i w:val="1"/>
          <w:sz w:val="22"/>
          <w:szCs w:val="22"/>
          <w:rtl w:val="0"/>
        </w:rPr>
        <w:t xml:space="preserve">, a través de la resolución que para tal efecto emita el Comité de Transparencia.</w:t>
      </w:r>
    </w:p>
    <w:p w:rsidR="00000000" w:rsidDel="00000000" w:rsidP="00000000" w:rsidRDefault="00000000" w:rsidRPr="00000000" w14:paraId="00000038">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39">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Cuarto.</w:t>
      </w:r>
      <w:r w:rsidDel="00000000" w:rsidR="00000000" w:rsidRPr="00000000">
        <w:rPr>
          <w:rFonts w:ascii="Palatino Linotype" w:cs="Palatino Linotype" w:eastAsia="Palatino Linotype" w:hAnsi="Palatino Linotype"/>
          <w:i w:val="1"/>
          <w:sz w:val="22"/>
          <w:szCs w:val="22"/>
          <w:rtl w:val="0"/>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000000" w:rsidDel="00000000" w:rsidP="00000000" w:rsidRDefault="00000000" w:rsidRPr="00000000" w14:paraId="0000003A">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3B">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Los sujetos obligados deberán aplicar, de manera estricta, las excepciones al derecho de acceso a la información y sólo podrán invocarlas cuando acrediten su procedencia.</w:t>
      </w:r>
    </w:p>
    <w:p w:rsidR="00000000" w:rsidDel="00000000" w:rsidP="00000000" w:rsidRDefault="00000000" w:rsidRPr="00000000" w14:paraId="0000003C">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Quinto.</w:t>
      </w:r>
      <w:r w:rsidDel="00000000" w:rsidR="00000000" w:rsidRPr="00000000">
        <w:rPr>
          <w:rFonts w:ascii="Palatino Linotype" w:cs="Palatino Linotype" w:eastAsia="Palatino Linotype" w:hAnsi="Palatino Linotype"/>
          <w:i w:val="1"/>
          <w:sz w:val="22"/>
          <w:szCs w:val="22"/>
          <w:rtl w:val="0"/>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000000" w:rsidDel="00000000" w:rsidP="00000000" w:rsidRDefault="00000000" w:rsidRPr="00000000" w14:paraId="0000003D">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3E">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Sexto.</w:t>
      </w:r>
      <w:r w:rsidDel="00000000" w:rsidR="00000000" w:rsidRPr="00000000">
        <w:rPr>
          <w:rFonts w:ascii="Palatino Linotype" w:cs="Palatino Linotype" w:eastAsia="Palatino Linotype" w:hAnsi="Palatino Linotype"/>
          <w:i w:val="1"/>
          <w:sz w:val="22"/>
          <w:szCs w:val="22"/>
          <w:rtl w:val="0"/>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000000" w:rsidDel="00000000" w:rsidP="00000000" w:rsidRDefault="00000000" w:rsidRPr="00000000" w14:paraId="0000003F">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40">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La clasificación de información se realizará conforme a un análisis caso por caso, mediante la aplicación de la prueba de daño y de interés público.</w:t>
      </w:r>
    </w:p>
    <w:p w:rsidR="00000000" w:rsidDel="00000000" w:rsidP="00000000" w:rsidRDefault="00000000" w:rsidRPr="00000000" w14:paraId="00000041">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42">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Séptimo.</w:t>
      </w:r>
      <w:r w:rsidDel="00000000" w:rsidR="00000000" w:rsidRPr="00000000">
        <w:rPr>
          <w:rFonts w:ascii="Palatino Linotype" w:cs="Palatino Linotype" w:eastAsia="Palatino Linotype" w:hAnsi="Palatino Linotype"/>
          <w:i w:val="1"/>
          <w:sz w:val="22"/>
          <w:szCs w:val="22"/>
          <w:rtl w:val="0"/>
        </w:rPr>
        <w:t xml:space="preserve"> La clasificación de la información se llevará a cabo en el momento en que:</w:t>
      </w:r>
    </w:p>
    <w:p w:rsidR="00000000" w:rsidDel="00000000" w:rsidP="00000000" w:rsidRDefault="00000000" w:rsidRPr="00000000" w14:paraId="00000043">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44">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w:t>
      </w:r>
      <w:r w:rsidDel="00000000" w:rsidR="00000000" w:rsidRPr="00000000">
        <w:rPr>
          <w:rFonts w:ascii="Palatino Linotype" w:cs="Palatino Linotype" w:eastAsia="Palatino Linotype" w:hAnsi="Palatino Linotype"/>
          <w:i w:val="1"/>
          <w:sz w:val="22"/>
          <w:szCs w:val="22"/>
          <w:rtl w:val="0"/>
        </w:rPr>
        <w:t xml:space="preserve"> Se reciba una solicitud de acceso a la información;</w:t>
      </w:r>
    </w:p>
    <w:p w:rsidR="00000000" w:rsidDel="00000000" w:rsidP="00000000" w:rsidRDefault="00000000" w:rsidRPr="00000000" w14:paraId="00000045">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46">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II.</w:t>
      </w:r>
      <w:r w:rsidDel="00000000" w:rsidR="00000000" w:rsidRPr="00000000">
        <w:rPr>
          <w:rFonts w:ascii="Palatino Linotype" w:cs="Palatino Linotype" w:eastAsia="Palatino Linotype" w:hAnsi="Palatino Linotype"/>
          <w:i w:val="1"/>
          <w:sz w:val="22"/>
          <w:szCs w:val="22"/>
          <w:rtl w:val="0"/>
        </w:rPr>
        <w:t xml:space="preserve"> Se determine mediante resolución de autoridad competente, o</w:t>
      </w:r>
    </w:p>
    <w:p w:rsidR="00000000" w:rsidDel="00000000" w:rsidP="00000000" w:rsidRDefault="00000000" w:rsidRPr="00000000" w14:paraId="00000047">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48">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III.</w:t>
      </w:r>
      <w:r w:rsidDel="00000000" w:rsidR="00000000" w:rsidRPr="00000000">
        <w:rPr>
          <w:rFonts w:ascii="Palatino Linotype" w:cs="Palatino Linotype" w:eastAsia="Palatino Linotype" w:hAnsi="Palatino Linotype"/>
          <w:i w:val="1"/>
          <w:sz w:val="22"/>
          <w:szCs w:val="22"/>
          <w:rtl w:val="0"/>
        </w:rPr>
        <w:t xml:space="preserve"> Se generen versiones públicas para dar cumplimiento a las obligaciones de transparencia previstas en la Ley General, la Ley Federal y las correspondientes de las entidades federativas.</w:t>
      </w:r>
    </w:p>
    <w:p w:rsidR="00000000" w:rsidDel="00000000" w:rsidP="00000000" w:rsidRDefault="00000000" w:rsidRPr="00000000" w14:paraId="00000049">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4A">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Los titulares de las áreas deberán revisar la clasificación al momento de la recepción de una solicitud de acceso a la información, para verificar si encuadra en una causal de reserva o de confidencialidad.</w:t>
      </w:r>
    </w:p>
    <w:p w:rsidR="00000000" w:rsidDel="00000000" w:rsidP="00000000" w:rsidRDefault="00000000" w:rsidRPr="00000000" w14:paraId="0000004B">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4C">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Octavo.</w:t>
      </w:r>
      <w:r w:rsidDel="00000000" w:rsidR="00000000" w:rsidRPr="00000000">
        <w:rPr>
          <w:rFonts w:ascii="Palatino Linotype" w:cs="Palatino Linotype" w:eastAsia="Palatino Linotype" w:hAnsi="Palatino Linotype"/>
          <w:i w:val="1"/>
          <w:sz w:val="22"/>
          <w:szCs w:val="22"/>
          <w:rtl w:val="0"/>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000000" w:rsidDel="00000000" w:rsidP="00000000" w:rsidRDefault="00000000" w:rsidRPr="00000000" w14:paraId="0000004D">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4E">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Para motivar la clasificación se deberán señalar las razones o circunstancias especiales que lo llevaron a concluir que el caso particular se ajusta al supuesto previsto por la norma legal invocada como fundamento.</w:t>
      </w:r>
    </w:p>
    <w:p w:rsidR="00000000" w:rsidDel="00000000" w:rsidP="00000000" w:rsidRDefault="00000000" w:rsidRPr="00000000" w14:paraId="0000004F">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50">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En caso de referirse a información reservada, la motivación de la clasificación también deberá comprender las circunstancias que justifican el establecimiento de determinado plazo de reserva.</w:t>
      </w:r>
    </w:p>
    <w:p w:rsidR="00000000" w:rsidDel="00000000" w:rsidP="00000000" w:rsidRDefault="00000000" w:rsidRPr="00000000" w14:paraId="00000051">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52">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Tratándose de información clasificada como confidencial respecto de la cual se haya determinado su conservación permanente por tener valor histórico, ésta conservará tal carácter de conformidad con la normativa aplicable en materia de archivos.</w:t>
      </w:r>
    </w:p>
    <w:p w:rsidR="00000000" w:rsidDel="00000000" w:rsidP="00000000" w:rsidRDefault="00000000" w:rsidRPr="00000000" w14:paraId="00000053">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Los documentos contenidos en los archivos históricos y los identificados como históricos confidenciales no serán susceptibles de clasificación como reservados.</w:t>
      </w:r>
    </w:p>
    <w:p w:rsidR="00000000" w:rsidDel="00000000" w:rsidP="00000000" w:rsidRDefault="00000000" w:rsidRPr="00000000" w14:paraId="00000054">
      <w:pPr>
        <w:spacing w:after="0" w:before="0" w:lineRule="auto"/>
        <w:ind w:left="851" w:right="902" w:firstLine="0"/>
        <w:jc w:val="both"/>
        <w:rPr>
          <w:rFonts w:ascii="Palatino Linotype" w:cs="Palatino Linotype" w:eastAsia="Palatino Linotype" w:hAnsi="Palatino Linotype"/>
          <w:b w:val="1"/>
          <w:i w:val="1"/>
          <w:sz w:val="22"/>
          <w:szCs w:val="22"/>
        </w:rPr>
      </w:pPr>
      <w:r w:rsidDel="00000000" w:rsidR="00000000" w:rsidRPr="00000000">
        <w:rPr>
          <w:rtl w:val="0"/>
        </w:rPr>
      </w:r>
    </w:p>
    <w:p w:rsidR="00000000" w:rsidDel="00000000" w:rsidP="00000000" w:rsidRDefault="00000000" w:rsidRPr="00000000" w14:paraId="00000055">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Noveno.</w:t>
      </w:r>
      <w:r w:rsidDel="00000000" w:rsidR="00000000" w:rsidRPr="00000000">
        <w:rPr>
          <w:rFonts w:ascii="Palatino Linotype" w:cs="Palatino Linotype" w:eastAsia="Palatino Linotype" w:hAnsi="Palatino Linotype"/>
          <w:i w:val="1"/>
          <w:sz w:val="22"/>
          <w:szCs w:val="22"/>
          <w:rtl w:val="0"/>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000000" w:rsidDel="00000000" w:rsidP="00000000" w:rsidRDefault="00000000" w:rsidRPr="00000000" w14:paraId="00000056">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57">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Décimo.</w:t>
      </w:r>
      <w:r w:rsidDel="00000000" w:rsidR="00000000" w:rsidRPr="00000000">
        <w:rPr>
          <w:rFonts w:ascii="Palatino Linotype" w:cs="Palatino Linotype" w:eastAsia="Palatino Linotype" w:hAnsi="Palatino Linotype"/>
          <w:i w:val="1"/>
          <w:sz w:val="22"/>
          <w:szCs w:val="22"/>
          <w:rtl w:val="0"/>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000000" w:rsidDel="00000000" w:rsidP="00000000" w:rsidRDefault="00000000" w:rsidRPr="00000000" w14:paraId="00000058">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59">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En ausencia de los titulares de las áreas, la información será clasificada o desclasificada por la persona que lo supla, en términos de la normativa que rija la actuación del sujeto obligado.</w:t>
      </w:r>
    </w:p>
    <w:p w:rsidR="00000000" w:rsidDel="00000000" w:rsidP="00000000" w:rsidRDefault="00000000" w:rsidRPr="00000000" w14:paraId="0000005A">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5B">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Décimo primero.</w:t>
      </w:r>
      <w:r w:rsidDel="00000000" w:rsidR="00000000" w:rsidRPr="00000000">
        <w:rPr>
          <w:rFonts w:ascii="Palatino Linotype" w:cs="Palatino Linotype" w:eastAsia="Palatino Linotype" w:hAnsi="Palatino Linotype"/>
          <w:i w:val="1"/>
          <w:sz w:val="22"/>
          <w:szCs w:val="22"/>
          <w:rtl w:val="0"/>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000000" w:rsidDel="00000000" w:rsidP="00000000" w:rsidRDefault="00000000" w:rsidRPr="00000000" w14:paraId="0000005C">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5D">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5E">
      <w:pPr>
        <w:spacing w:after="0" w:before="0" w:lineRule="auto"/>
        <w:ind w:left="851" w:right="902" w:firstLine="0"/>
        <w:jc w:val="center"/>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CAPÍTULO VIII</w:t>
      </w:r>
    </w:p>
    <w:p w:rsidR="00000000" w:rsidDel="00000000" w:rsidP="00000000" w:rsidRDefault="00000000" w:rsidRPr="00000000" w14:paraId="0000005F">
      <w:pPr>
        <w:spacing w:after="0" w:before="0" w:lineRule="auto"/>
        <w:ind w:left="851" w:right="902" w:firstLine="0"/>
        <w:jc w:val="center"/>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DE LA LEYENDA DE CLASIFICACIÓN</w:t>
      </w:r>
    </w:p>
    <w:p w:rsidR="00000000" w:rsidDel="00000000" w:rsidP="00000000" w:rsidRDefault="00000000" w:rsidRPr="00000000" w14:paraId="00000060">
      <w:pPr>
        <w:spacing w:after="0" w:before="0" w:lineRule="auto"/>
        <w:ind w:left="851" w:right="902" w:firstLine="0"/>
        <w:jc w:val="center"/>
        <w:rPr>
          <w:rFonts w:ascii="Palatino Linotype" w:cs="Palatino Linotype" w:eastAsia="Palatino Linotype" w:hAnsi="Palatino Linotype"/>
          <w:b w:val="1"/>
          <w:i w:val="1"/>
          <w:sz w:val="22"/>
          <w:szCs w:val="22"/>
        </w:rPr>
      </w:pPr>
      <w:r w:rsidDel="00000000" w:rsidR="00000000" w:rsidRPr="00000000">
        <w:rPr>
          <w:rtl w:val="0"/>
        </w:rPr>
      </w:r>
    </w:p>
    <w:p w:rsidR="00000000" w:rsidDel="00000000" w:rsidP="00000000" w:rsidRDefault="00000000" w:rsidRPr="00000000" w14:paraId="00000061">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Quincuagésimo. </w:t>
      </w:r>
      <w:r w:rsidDel="00000000" w:rsidR="00000000" w:rsidRPr="00000000">
        <w:rPr>
          <w:rFonts w:ascii="Palatino Linotype" w:cs="Palatino Linotype" w:eastAsia="Palatino Linotype" w:hAnsi="Palatino Linotype"/>
          <w:b w:val="1"/>
          <w:i w:val="1"/>
          <w:sz w:val="22"/>
          <w:szCs w:val="22"/>
          <w:u w:val="single"/>
          <w:rtl w:val="0"/>
        </w:rPr>
        <w:t xml:space="preserve">Los titulares de las áreas de los sujetos obligados podrán utilizar los formatos contenidos en el presente Capítulo como modelo</w:t>
      </w:r>
      <w:r w:rsidDel="00000000" w:rsidR="00000000" w:rsidRPr="00000000">
        <w:rPr>
          <w:rFonts w:ascii="Palatino Linotype" w:cs="Palatino Linotype" w:eastAsia="Palatino Linotype" w:hAnsi="Palatino Linotype"/>
          <w:i w:val="1"/>
          <w:sz w:val="22"/>
          <w:szCs w:val="22"/>
          <w:rtl w:val="0"/>
        </w:rPr>
        <w:t xml:space="preserve"> para señalar la clasificación de documentos o expedientes, sin perjuicio de que establezcan los propios.</w:t>
      </w:r>
    </w:p>
    <w:p w:rsidR="00000000" w:rsidDel="00000000" w:rsidP="00000000" w:rsidRDefault="00000000" w:rsidRPr="00000000" w14:paraId="00000062">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63">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64">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Quincuagésimo tercero. </w:t>
      </w:r>
      <w:r w:rsidDel="00000000" w:rsidR="00000000" w:rsidRPr="00000000">
        <w:rPr>
          <w:rFonts w:ascii="Palatino Linotype" w:cs="Palatino Linotype" w:eastAsia="Palatino Linotype" w:hAnsi="Palatino Linotype"/>
          <w:b w:val="1"/>
          <w:i w:val="1"/>
          <w:sz w:val="22"/>
          <w:szCs w:val="22"/>
          <w:u w:val="single"/>
          <w:rtl w:val="0"/>
        </w:rPr>
        <w:t xml:space="preserve">El formato para señalar la clasificación parcial de un documento</w:t>
      </w:r>
      <w:r w:rsidDel="00000000" w:rsidR="00000000" w:rsidRPr="00000000">
        <w:rPr>
          <w:rFonts w:ascii="Palatino Linotype" w:cs="Palatino Linotype" w:eastAsia="Palatino Linotype" w:hAnsi="Palatino Linotype"/>
          <w:i w:val="1"/>
          <w:sz w:val="22"/>
          <w:szCs w:val="22"/>
          <w:rtl w:val="0"/>
        </w:rPr>
        <w:t xml:space="preserve">, es el siguiente:</w:t>
      </w:r>
    </w:p>
    <w:p w:rsidR="00000000" w:rsidDel="00000000" w:rsidP="00000000" w:rsidRDefault="00000000" w:rsidRPr="00000000" w14:paraId="00000065">
      <w:pPr>
        <w:spacing w:after="28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tl w:val="0"/>
        </w:rPr>
      </w:r>
    </w:p>
    <w:tbl>
      <w:tblPr>
        <w:tblStyle w:val="Table1"/>
        <w:tblW w:w="7795.999999999999" w:type="dxa"/>
        <w:jc w:val="left"/>
        <w:tblInd w:w="70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9"/>
        <w:gridCol w:w="1990"/>
        <w:gridCol w:w="4677"/>
        <w:tblGridChange w:id="0">
          <w:tblGrid>
            <w:gridCol w:w="1129"/>
            <w:gridCol w:w="1990"/>
            <w:gridCol w:w="4677"/>
          </w:tblGrid>
        </w:tblGridChange>
      </w:tblGrid>
      <w:tr>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66">
            <w:pPr>
              <w:jc w:val="both"/>
              <w:rPr>
                <w:rFonts w:ascii="Palatino Linotype" w:cs="Palatino Linotype" w:eastAsia="Palatino Linotype" w:hAnsi="Palatino Linotype"/>
                <w:i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7">
            <w:pPr>
              <w:jc w:val="center"/>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Concepto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8">
            <w:pPr>
              <w:jc w:val="center"/>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Dónde:</w:t>
            </w:r>
          </w:p>
        </w:tc>
      </w:tr>
      <w:tr>
        <w:tc>
          <w:tcPr>
            <w:vMerge w:val="restart"/>
            <w:tcBorders>
              <w:top w:color="000000" w:space="0" w:sz="4" w:val="single"/>
            </w:tcBorders>
            <w:shd w:fill="auto" w:val="clear"/>
            <w:vAlign w:val="center"/>
          </w:tcPr>
          <w:p w:rsidR="00000000" w:rsidDel="00000000" w:rsidP="00000000" w:rsidRDefault="00000000" w:rsidRPr="00000000" w14:paraId="00000069">
            <w:pPr>
              <w:jc w:val="center"/>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Sello oficial o logotipo del sujeto obligado</w:t>
            </w:r>
          </w:p>
        </w:tc>
        <w:tc>
          <w:tcPr>
            <w:tcBorders>
              <w:top w:color="000000" w:space="0" w:sz="4" w:val="single"/>
            </w:tcBorders>
            <w:shd w:fill="auto" w:val="clear"/>
          </w:tcPr>
          <w:p w:rsidR="00000000" w:rsidDel="00000000" w:rsidP="00000000" w:rsidRDefault="00000000" w:rsidRPr="00000000" w14:paraId="0000006A">
            <w:pPr>
              <w:jc w:val="center"/>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Fecha de clasificación</w:t>
            </w:r>
          </w:p>
        </w:tc>
        <w:tc>
          <w:tcPr>
            <w:tcBorders>
              <w:top w:color="000000" w:space="0" w:sz="4" w:val="single"/>
            </w:tcBorders>
            <w:shd w:fill="auto" w:val="clear"/>
          </w:tcPr>
          <w:p w:rsidR="00000000" w:rsidDel="00000000" w:rsidP="00000000" w:rsidRDefault="00000000" w:rsidRPr="00000000" w14:paraId="0000006B">
            <w:pPr>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Se anotará la fecha en la que el Comité de Transparencia confirmó la clasificación del documento, en su caso.</w:t>
            </w:r>
          </w:p>
        </w:tc>
      </w:tr>
      <w:tr>
        <w:tc>
          <w:tcPr>
            <w:vMerge w:val="continue"/>
            <w:tcBorders>
              <w:top w:color="000000" w:space="0" w:sz="4" w:val="single"/>
            </w:tcBorders>
            <w:shd w:fill="auto" w:val="clear"/>
            <w:vAlign w:val="center"/>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i w:val="1"/>
                <w:sz w:val="22"/>
                <w:szCs w:val="22"/>
              </w:rPr>
            </w:pPr>
            <w:r w:rsidDel="00000000" w:rsidR="00000000" w:rsidRPr="00000000">
              <w:rPr>
                <w:rtl w:val="0"/>
              </w:rPr>
            </w:r>
          </w:p>
        </w:tc>
        <w:tc>
          <w:tcPr>
            <w:shd w:fill="auto" w:val="clear"/>
          </w:tcPr>
          <w:p w:rsidR="00000000" w:rsidDel="00000000" w:rsidP="00000000" w:rsidRDefault="00000000" w:rsidRPr="00000000" w14:paraId="0000006D">
            <w:pPr>
              <w:jc w:val="center"/>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Área</w:t>
            </w:r>
          </w:p>
        </w:tc>
        <w:tc>
          <w:tcPr>
            <w:shd w:fill="auto" w:val="clear"/>
          </w:tcPr>
          <w:p w:rsidR="00000000" w:rsidDel="00000000" w:rsidP="00000000" w:rsidRDefault="00000000" w:rsidRPr="00000000" w14:paraId="0000006E">
            <w:pPr>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Se señalará el nombre del área del cual es titular quien clasifica.</w:t>
            </w:r>
          </w:p>
        </w:tc>
      </w:tr>
      <w:tr>
        <w:tc>
          <w:tcPr>
            <w:vMerge w:val="continue"/>
            <w:tcBorders>
              <w:top w:color="000000" w:space="0" w:sz="4" w:val="single"/>
            </w:tcBorders>
            <w:shd w:fill="auto" w:val="clear"/>
            <w:vAlign w:val="center"/>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i w:val="1"/>
                <w:sz w:val="22"/>
                <w:szCs w:val="22"/>
              </w:rPr>
            </w:pPr>
            <w:r w:rsidDel="00000000" w:rsidR="00000000" w:rsidRPr="00000000">
              <w:rPr>
                <w:rtl w:val="0"/>
              </w:rPr>
            </w:r>
          </w:p>
        </w:tc>
        <w:tc>
          <w:tcPr>
            <w:shd w:fill="auto" w:val="clear"/>
          </w:tcPr>
          <w:p w:rsidR="00000000" w:rsidDel="00000000" w:rsidP="00000000" w:rsidRDefault="00000000" w:rsidRPr="00000000" w14:paraId="00000070">
            <w:pPr>
              <w:jc w:val="center"/>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Información reservada</w:t>
            </w:r>
          </w:p>
        </w:tc>
        <w:tc>
          <w:tcPr>
            <w:shd w:fill="auto" w:val="clear"/>
          </w:tcPr>
          <w:p w:rsidR="00000000" w:rsidDel="00000000" w:rsidP="00000000" w:rsidRDefault="00000000" w:rsidRPr="00000000" w14:paraId="00000071">
            <w:pPr>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tc>
          <w:tcPr>
            <w:vMerge w:val="continue"/>
            <w:tcBorders>
              <w:top w:color="000000" w:space="0" w:sz="4" w:val="single"/>
            </w:tcBorders>
            <w:shd w:fill="auto" w:val="clear"/>
            <w:vAlign w:val="center"/>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i w:val="1"/>
                <w:sz w:val="22"/>
                <w:szCs w:val="22"/>
              </w:rPr>
            </w:pPr>
            <w:r w:rsidDel="00000000" w:rsidR="00000000" w:rsidRPr="00000000">
              <w:rPr>
                <w:rtl w:val="0"/>
              </w:rPr>
            </w:r>
          </w:p>
        </w:tc>
        <w:tc>
          <w:tcPr>
            <w:shd w:fill="auto" w:val="clear"/>
          </w:tcPr>
          <w:p w:rsidR="00000000" w:rsidDel="00000000" w:rsidP="00000000" w:rsidRDefault="00000000" w:rsidRPr="00000000" w14:paraId="00000073">
            <w:pPr>
              <w:jc w:val="center"/>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Periodo de reserva</w:t>
            </w:r>
          </w:p>
        </w:tc>
        <w:tc>
          <w:tcPr>
            <w:shd w:fill="auto" w:val="clear"/>
          </w:tcPr>
          <w:p w:rsidR="00000000" w:rsidDel="00000000" w:rsidP="00000000" w:rsidRDefault="00000000" w:rsidRPr="00000000" w14:paraId="00000074">
            <w:pPr>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Se anotará el número de años o meses por los que se mantendrá el documento o las partes del mismo como reservado.</w:t>
            </w:r>
          </w:p>
        </w:tc>
      </w:tr>
      <w:tr>
        <w:tc>
          <w:tcPr>
            <w:vMerge w:val="continue"/>
            <w:tcBorders>
              <w:top w:color="000000" w:space="0" w:sz="4" w:val="single"/>
            </w:tcBorders>
            <w:shd w:fill="auto" w:val="clear"/>
            <w:vAlign w:val="center"/>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i w:val="1"/>
                <w:sz w:val="22"/>
                <w:szCs w:val="22"/>
              </w:rPr>
            </w:pPr>
            <w:r w:rsidDel="00000000" w:rsidR="00000000" w:rsidRPr="00000000">
              <w:rPr>
                <w:rtl w:val="0"/>
              </w:rPr>
            </w:r>
          </w:p>
        </w:tc>
        <w:tc>
          <w:tcPr>
            <w:shd w:fill="auto" w:val="clear"/>
          </w:tcPr>
          <w:p w:rsidR="00000000" w:rsidDel="00000000" w:rsidP="00000000" w:rsidRDefault="00000000" w:rsidRPr="00000000" w14:paraId="00000076">
            <w:pPr>
              <w:jc w:val="center"/>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Fundamento legal</w:t>
            </w:r>
          </w:p>
        </w:tc>
        <w:tc>
          <w:tcPr>
            <w:shd w:fill="auto" w:val="clear"/>
          </w:tcPr>
          <w:p w:rsidR="00000000" w:rsidDel="00000000" w:rsidP="00000000" w:rsidRDefault="00000000" w:rsidRPr="00000000" w14:paraId="00000077">
            <w:pPr>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Se señalará el nombre del ordenamiento, el o los artículos, fracción(es), párrafo(s) con base en los cuales se sustente la reserva.</w:t>
            </w:r>
          </w:p>
        </w:tc>
      </w:tr>
      <w:tr>
        <w:tc>
          <w:tcPr>
            <w:vMerge w:val="continue"/>
            <w:tcBorders>
              <w:top w:color="000000" w:space="0" w:sz="4" w:val="single"/>
            </w:tcBorders>
            <w:shd w:fill="auto" w:val="clear"/>
            <w:vAlign w:val="center"/>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i w:val="1"/>
                <w:sz w:val="22"/>
                <w:szCs w:val="22"/>
              </w:rPr>
            </w:pPr>
            <w:r w:rsidDel="00000000" w:rsidR="00000000" w:rsidRPr="00000000">
              <w:rPr>
                <w:rtl w:val="0"/>
              </w:rPr>
            </w:r>
          </w:p>
        </w:tc>
        <w:tc>
          <w:tcPr>
            <w:shd w:fill="auto" w:val="clear"/>
          </w:tcPr>
          <w:p w:rsidR="00000000" w:rsidDel="00000000" w:rsidP="00000000" w:rsidRDefault="00000000" w:rsidRPr="00000000" w14:paraId="00000079">
            <w:pPr>
              <w:jc w:val="center"/>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Ampliación del periodo de reserva</w:t>
            </w:r>
          </w:p>
        </w:tc>
        <w:tc>
          <w:tcPr>
            <w:shd w:fill="auto" w:val="clear"/>
          </w:tcPr>
          <w:p w:rsidR="00000000" w:rsidDel="00000000" w:rsidP="00000000" w:rsidRDefault="00000000" w:rsidRPr="00000000" w14:paraId="0000007A">
            <w:pPr>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En caso de haber solicitado la ampliación del periodo de reserva originalmente establecido, se deberá anotar el número de años o meses por los que se amplía la reserva.</w:t>
            </w:r>
          </w:p>
        </w:tc>
      </w:tr>
      <w:tr>
        <w:tc>
          <w:tcPr>
            <w:vMerge w:val="continue"/>
            <w:tcBorders>
              <w:top w:color="000000" w:space="0" w:sz="4" w:val="single"/>
            </w:tcBorders>
            <w:shd w:fill="auto" w:val="clear"/>
            <w:vAlign w:val="center"/>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i w:val="1"/>
                <w:sz w:val="22"/>
                <w:szCs w:val="22"/>
              </w:rPr>
            </w:pPr>
            <w:r w:rsidDel="00000000" w:rsidR="00000000" w:rsidRPr="00000000">
              <w:rPr>
                <w:rtl w:val="0"/>
              </w:rPr>
            </w:r>
          </w:p>
        </w:tc>
        <w:tc>
          <w:tcPr>
            <w:shd w:fill="auto" w:val="clear"/>
          </w:tcPr>
          <w:p w:rsidR="00000000" w:rsidDel="00000000" w:rsidP="00000000" w:rsidRDefault="00000000" w:rsidRPr="00000000" w14:paraId="0000007C">
            <w:pPr>
              <w:jc w:val="center"/>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Confidencial</w:t>
            </w:r>
          </w:p>
        </w:tc>
        <w:tc>
          <w:tcPr>
            <w:shd w:fill="auto" w:val="clear"/>
          </w:tcPr>
          <w:p w:rsidR="00000000" w:rsidDel="00000000" w:rsidP="00000000" w:rsidRDefault="00000000" w:rsidRPr="00000000" w14:paraId="0000007D">
            <w:pPr>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tc>
          <w:tcPr>
            <w:vMerge w:val="continue"/>
            <w:tcBorders>
              <w:top w:color="000000" w:space="0" w:sz="4" w:val="single"/>
            </w:tcBorders>
            <w:shd w:fill="auto" w:val="clear"/>
            <w:vAlign w:val="center"/>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i w:val="1"/>
                <w:sz w:val="22"/>
                <w:szCs w:val="22"/>
              </w:rPr>
            </w:pPr>
            <w:r w:rsidDel="00000000" w:rsidR="00000000" w:rsidRPr="00000000">
              <w:rPr>
                <w:rtl w:val="0"/>
              </w:rPr>
            </w:r>
          </w:p>
        </w:tc>
        <w:tc>
          <w:tcPr>
            <w:shd w:fill="auto" w:val="clear"/>
          </w:tcPr>
          <w:p w:rsidR="00000000" w:rsidDel="00000000" w:rsidP="00000000" w:rsidRDefault="00000000" w:rsidRPr="00000000" w14:paraId="0000007F">
            <w:pPr>
              <w:jc w:val="center"/>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Fundamento legal</w:t>
            </w:r>
          </w:p>
        </w:tc>
        <w:tc>
          <w:tcPr>
            <w:shd w:fill="auto" w:val="clear"/>
          </w:tcPr>
          <w:p w:rsidR="00000000" w:rsidDel="00000000" w:rsidP="00000000" w:rsidRDefault="00000000" w:rsidRPr="00000000" w14:paraId="00000080">
            <w:pPr>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Se señalará el nombre del ordenamiento, el o los artículos, fracción(es), párrafo(s) con base en los cuales se sustente la confidencialidad.</w:t>
            </w:r>
          </w:p>
        </w:tc>
      </w:tr>
      <w:tr>
        <w:tc>
          <w:tcPr>
            <w:vMerge w:val="continue"/>
            <w:tcBorders>
              <w:top w:color="000000" w:space="0" w:sz="4" w:val="single"/>
            </w:tcBorders>
            <w:shd w:fill="auto" w:val="clear"/>
            <w:vAlign w:val="center"/>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i w:val="1"/>
                <w:sz w:val="22"/>
                <w:szCs w:val="22"/>
              </w:rPr>
            </w:pPr>
            <w:r w:rsidDel="00000000" w:rsidR="00000000" w:rsidRPr="00000000">
              <w:rPr>
                <w:rtl w:val="0"/>
              </w:rPr>
            </w:r>
          </w:p>
        </w:tc>
        <w:tc>
          <w:tcPr>
            <w:shd w:fill="auto" w:val="clear"/>
          </w:tcPr>
          <w:p w:rsidR="00000000" w:rsidDel="00000000" w:rsidP="00000000" w:rsidRDefault="00000000" w:rsidRPr="00000000" w14:paraId="00000082">
            <w:pPr>
              <w:jc w:val="center"/>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Rúbrica del titular del área</w:t>
            </w:r>
          </w:p>
        </w:tc>
        <w:tc>
          <w:tcPr>
            <w:shd w:fill="auto" w:val="clear"/>
          </w:tcPr>
          <w:p w:rsidR="00000000" w:rsidDel="00000000" w:rsidP="00000000" w:rsidRDefault="00000000" w:rsidRPr="00000000" w14:paraId="00000083">
            <w:pPr>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Rúbrica autógrafa de quien clasifica.</w:t>
            </w:r>
          </w:p>
        </w:tc>
      </w:tr>
      <w:tr>
        <w:tc>
          <w:tcPr>
            <w:vMerge w:val="continue"/>
            <w:tcBorders>
              <w:top w:color="000000" w:space="0" w:sz="4" w:val="single"/>
            </w:tcBorders>
            <w:shd w:fill="auto" w:val="clear"/>
            <w:vAlign w:val="center"/>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i w:val="1"/>
                <w:sz w:val="22"/>
                <w:szCs w:val="22"/>
              </w:rPr>
            </w:pPr>
            <w:r w:rsidDel="00000000" w:rsidR="00000000" w:rsidRPr="00000000">
              <w:rPr>
                <w:rtl w:val="0"/>
              </w:rPr>
            </w:r>
          </w:p>
        </w:tc>
        <w:tc>
          <w:tcPr>
            <w:shd w:fill="auto" w:val="clear"/>
          </w:tcPr>
          <w:p w:rsidR="00000000" w:rsidDel="00000000" w:rsidP="00000000" w:rsidRDefault="00000000" w:rsidRPr="00000000" w14:paraId="00000085">
            <w:pPr>
              <w:jc w:val="center"/>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Fecha de desclasificación</w:t>
            </w:r>
          </w:p>
        </w:tc>
        <w:tc>
          <w:tcPr>
            <w:shd w:fill="auto" w:val="clear"/>
          </w:tcPr>
          <w:p w:rsidR="00000000" w:rsidDel="00000000" w:rsidP="00000000" w:rsidRDefault="00000000" w:rsidRPr="00000000" w14:paraId="00000086">
            <w:pPr>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Se anotará la fecha en que se desclasifica el documento.</w:t>
            </w:r>
          </w:p>
        </w:tc>
      </w:tr>
      <w:tr>
        <w:tc>
          <w:tcPr>
            <w:vMerge w:val="continue"/>
            <w:tcBorders>
              <w:top w:color="000000" w:space="0" w:sz="4" w:val="single"/>
            </w:tcBorders>
            <w:shd w:fill="auto" w:val="clear"/>
            <w:vAlign w:val="center"/>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i w:val="1"/>
                <w:sz w:val="22"/>
                <w:szCs w:val="22"/>
              </w:rPr>
            </w:pPr>
            <w:r w:rsidDel="00000000" w:rsidR="00000000" w:rsidRPr="00000000">
              <w:rPr>
                <w:rtl w:val="0"/>
              </w:rPr>
            </w:r>
          </w:p>
        </w:tc>
        <w:tc>
          <w:tcPr>
            <w:shd w:fill="auto" w:val="clear"/>
          </w:tcPr>
          <w:p w:rsidR="00000000" w:rsidDel="00000000" w:rsidP="00000000" w:rsidRDefault="00000000" w:rsidRPr="00000000" w14:paraId="00000088">
            <w:pPr>
              <w:jc w:val="center"/>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Rúbrica y cargo del servidor público</w:t>
            </w:r>
          </w:p>
        </w:tc>
        <w:tc>
          <w:tcPr>
            <w:shd w:fill="auto" w:val="clear"/>
            <w:vAlign w:val="center"/>
          </w:tcPr>
          <w:p w:rsidR="00000000" w:rsidDel="00000000" w:rsidP="00000000" w:rsidRDefault="00000000" w:rsidRPr="00000000" w14:paraId="00000089">
            <w:pPr>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Rúbrica autógrafa de quien desclasifica.</w:t>
            </w:r>
          </w:p>
        </w:tc>
      </w:tr>
    </w:tbl>
    <w:p w:rsidR="00000000" w:rsidDel="00000000" w:rsidP="00000000" w:rsidRDefault="00000000" w:rsidRPr="00000000" w14:paraId="0000008A">
      <w:pPr>
        <w:spacing w:after="0" w:before="280" w:lineRule="auto"/>
        <w:ind w:left="709" w:right="709"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8B">
      <w:pPr>
        <w:spacing w:after="0" w:before="0" w:lineRule="auto"/>
        <w:ind w:left="709" w:right="709"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(Énfasis Añadido)</w:t>
      </w:r>
    </w:p>
    <w:p w:rsidR="00000000" w:rsidDel="00000000" w:rsidP="00000000" w:rsidRDefault="00000000" w:rsidRPr="00000000" w14:paraId="0000008C">
      <w:pPr>
        <w:spacing w:after="0" w:before="0" w:lineRule="auto"/>
        <w:ind w:left="709" w:right="709" w:firstLine="0"/>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8D">
      <w:pPr>
        <w:widowControl w:val="0"/>
        <w:spacing w:after="0" w:before="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lo tanto, es importante referir que </w:t>
      </w:r>
      <w:r w:rsidDel="00000000" w:rsidR="00000000" w:rsidRPr="00000000">
        <w:rPr>
          <w:rFonts w:ascii="Palatino Linotype" w:cs="Palatino Linotype" w:eastAsia="Palatino Linotype" w:hAnsi="Palatino Linotype"/>
          <w:b w:val="1"/>
          <w:rtl w:val="0"/>
        </w:rPr>
        <w:t xml:space="preserve">EL SUJETO OBLIGADO</w:t>
      </w:r>
      <w:r w:rsidDel="00000000" w:rsidR="00000000" w:rsidRPr="00000000">
        <w:rPr>
          <w:rFonts w:ascii="Palatino Linotype" w:cs="Palatino Linotype" w:eastAsia="Palatino Linotype" w:hAnsi="Palatino Linotype"/>
          <w:rtl w:val="0"/>
        </w:rPr>
        <w:t xml:space="preserve"> deberá seguir el procedimiento legal establecido para su clasificación, esto es, que su Comité de Transparencia emitir un Acuerdo de Clasificación que cumpla con las formalidades previstas, antes citadas</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000000" w:rsidDel="00000000" w:rsidP="00000000" w:rsidRDefault="00000000" w:rsidRPr="00000000" w14:paraId="0000008E">
      <w:pPr>
        <w:spacing w:after="0" w:before="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8F">
      <w:pPr>
        <w:spacing w:after="0" w:before="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Así, atento a lo que señalan los artículos 3 y 143, fracción I de la Ley de Transparencia y Acceso a la Información Pública del Estado de México y Municipios, así como el artículo 4, fracción VII de la Ley de Protección de Datos Personales del Estado de México que rezan: </w:t>
      </w:r>
    </w:p>
    <w:p w:rsidR="00000000" w:rsidDel="00000000" w:rsidP="00000000" w:rsidRDefault="00000000" w:rsidRPr="00000000" w14:paraId="00000090">
      <w:pPr>
        <w:spacing w:after="0" w:before="0" w:line="360" w:lineRule="auto"/>
        <w:ind w:right="-164"/>
        <w:jc w:val="both"/>
        <w:rPr>
          <w:rFonts w:ascii="Palatino Linotype" w:cs="Palatino Linotype" w:eastAsia="Palatino Linotype" w:hAnsi="Palatino Linotype"/>
          <w:b w:val="1"/>
          <w:i w:val="1"/>
          <w:sz w:val="22"/>
          <w:szCs w:val="22"/>
        </w:rPr>
      </w:pPr>
      <w:r w:rsidDel="00000000" w:rsidR="00000000" w:rsidRPr="00000000">
        <w:rPr>
          <w:rtl w:val="0"/>
        </w:rPr>
      </w:r>
    </w:p>
    <w:p w:rsidR="00000000" w:rsidDel="00000000" w:rsidP="00000000" w:rsidRDefault="00000000" w:rsidRPr="00000000" w14:paraId="00000091">
      <w:pPr>
        <w:spacing w:after="0" w:before="0" w:lineRule="auto"/>
        <w:ind w:left="1416" w:right="902" w:firstLine="0"/>
        <w:jc w:val="center"/>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Ley de Transparencia y Acceso a la Información Pública del Estado de México y Municipios</w:t>
      </w:r>
    </w:p>
    <w:p w:rsidR="00000000" w:rsidDel="00000000" w:rsidP="00000000" w:rsidRDefault="00000000" w:rsidRPr="00000000" w14:paraId="00000092">
      <w:pPr>
        <w:spacing w:after="0" w:before="0" w:lineRule="auto"/>
        <w:ind w:left="1416" w:right="902" w:firstLine="0"/>
        <w:jc w:val="center"/>
        <w:rPr>
          <w:rFonts w:ascii="Palatino Linotype" w:cs="Palatino Linotype" w:eastAsia="Palatino Linotype" w:hAnsi="Palatino Linotype"/>
          <w:b w:val="1"/>
          <w:i w:val="1"/>
          <w:sz w:val="22"/>
          <w:szCs w:val="22"/>
        </w:rPr>
      </w:pPr>
      <w:r w:rsidDel="00000000" w:rsidR="00000000" w:rsidRPr="00000000">
        <w:rPr>
          <w:rtl w:val="0"/>
        </w:rPr>
      </w:r>
    </w:p>
    <w:p w:rsidR="00000000" w:rsidDel="00000000" w:rsidP="00000000" w:rsidRDefault="00000000" w:rsidRPr="00000000" w14:paraId="00000093">
      <w:pPr>
        <w:spacing w:after="0" w:before="0" w:lineRule="auto"/>
        <w:ind w:left="1416"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3</w:t>
      </w:r>
      <w:r w:rsidDel="00000000" w:rsidR="00000000" w:rsidRPr="00000000">
        <w:rPr>
          <w:rFonts w:ascii="Palatino Linotype" w:cs="Palatino Linotype" w:eastAsia="Palatino Linotype" w:hAnsi="Palatino Linotype"/>
          <w:i w:val="1"/>
          <w:sz w:val="22"/>
          <w:szCs w:val="22"/>
          <w:rtl w:val="0"/>
        </w:rPr>
        <w:t xml:space="preserve">. Para los efectos de la presente Ley se entenderá por:</w:t>
      </w:r>
    </w:p>
    <w:p w:rsidR="00000000" w:rsidDel="00000000" w:rsidP="00000000" w:rsidRDefault="00000000" w:rsidRPr="00000000" w14:paraId="00000094">
      <w:pPr>
        <w:spacing w:after="0" w:before="0" w:lineRule="auto"/>
        <w:ind w:left="1416"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95">
      <w:pPr>
        <w:spacing w:after="0" w:before="0" w:lineRule="auto"/>
        <w:ind w:left="1416"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XXI</w:t>
      </w: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Información confidencial</w:t>
      </w:r>
      <w:r w:rsidDel="00000000" w:rsidR="00000000" w:rsidRPr="00000000">
        <w:rPr>
          <w:rFonts w:ascii="Palatino Linotype" w:cs="Palatino Linotype" w:eastAsia="Palatino Linotype" w:hAnsi="Palatino Linotype"/>
          <w:i w:val="1"/>
          <w:sz w:val="22"/>
          <w:szCs w:val="22"/>
          <w:rtl w:val="0"/>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000000" w:rsidDel="00000000" w:rsidP="00000000" w:rsidRDefault="00000000" w:rsidRPr="00000000" w14:paraId="00000096">
      <w:pPr>
        <w:spacing w:after="0" w:before="0" w:lineRule="auto"/>
        <w:ind w:left="1416" w:right="902" w:firstLine="0"/>
        <w:jc w:val="both"/>
        <w:rPr>
          <w:rFonts w:ascii="Palatino Linotype" w:cs="Palatino Linotype" w:eastAsia="Palatino Linotype" w:hAnsi="Palatino Linotype"/>
          <w:b w:val="1"/>
          <w:i w:val="1"/>
          <w:sz w:val="22"/>
          <w:szCs w:val="22"/>
        </w:rPr>
      </w:pPr>
      <w:r w:rsidDel="00000000" w:rsidR="00000000" w:rsidRPr="00000000">
        <w:rPr>
          <w:rtl w:val="0"/>
        </w:rPr>
      </w:r>
    </w:p>
    <w:p w:rsidR="00000000" w:rsidDel="00000000" w:rsidP="00000000" w:rsidRDefault="00000000" w:rsidRPr="00000000" w14:paraId="00000097">
      <w:pPr>
        <w:spacing w:after="0" w:before="0" w:lineRule="auto"/>
        <w:ind w:left="1416"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143</w:t>
      </w:r>
      <w:r w:rsidDel="00000000" w:rsidR="00000000" w:rsidRPr="00000000">
        <w:rPr>
          <w:rFonts w:ascii="Palatino Linotype" w:cs="Palatino Linotype" w:eastAsia="Palatino Linotype" w:hAnsi="Palatino Linotype"/>
          <w:i w:val="1"/>
          <w:sz w:val="22"/>
          <w:szCs w:val="22"/>
          <w:rtl w:val="0"/>
        </w:rPr>
        <w:t xml:space="preserve">. Para los efectos de esta Ley se considera información confidencial, la clasificada como tal, de manera permanente, por su naturaleza, cuando:</w:t>
      </w:r>
    </w:p>
    <w:p w:rsidR="00000000" w:rsidDel="00000000" w:rsidP="00000000" w:rsidRDefault="00000000" w:rsidRPr="00000000" w14:paraId="00000098">
      <w:pPr>
        <w:spacing w:after="0" w:before="0" w:lineRule="auto"/>
        <w:ind w:left="1416"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w:t>
      </w:r>
      <w:r w:rsidDel="00000000" w:rsidR="00000000" w:rsidRPr="00000000">
        <w:rPr>
          <w:rFonts w:ascii="Palatino Linotype" w:cs="Palatino Linotype" w:eastAsia="Palatino Linotype" w:hAnsi="Palatino Linotype"/>
          <w:i w:val="1"/>
          <w:sz w:val="22"/>
          <w:szCs w:val="22"/>
          <w:rtl w:val="0"/>
        </w:rPr>
        <w:t xml:space="preserve">. Se refiera a la información privada y los datos personales concernientes a una persona física o jurídico colectiva identificada o identificable;</w:t>
      </w:r>
    </w:p>
    <w:p w:rsidR="00000000" w:rsidDel="00000000" w:rsidP="00000000" w:rsidRDefault="00000000" w:rsidRPr="00000000" w14:paraId="00000099">
      <w:pPr>
        <w:spacing w:after="0" w:before="0" w:lineRule="auto"/>
        <w:ind w:left="1416"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9A">
      <w:pPr>
        <w:spacing w:after="0" w:before="0" w:lineRule="auto"/>
        <w:ind w:left="1416"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La información confidencial no estará sujeta a temporalidad alguna y sólo podrán tener acceso a ella los titulares de la misma, sus representantes y los servidores públicos facultados para ello.</w:t>
      </w:r>
    </w:p>
    <w:p w:rsidR="00000000" w:rsidDel="00000000" w:rsidP="00000000" w:rsidRDefault="00000000" w:rsidRPr="00000000" w14:paraId="0000009B">
      <w:pPr>
        <w:spacing w:after="0" w:before="0" w:lineRule="auto"/>
        <w:ind w:left="1416" w:right="902"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9C">
      <w:pPr>
        <w:spacing w:after="0" w:before="0" w:lineRule="auto"/>
        <w:ind w:left="1416"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No se considerará confidencial la información que se encuentre en los registros públicos o en fuentes de acceso público, ni tampoco la que sea considerada por la presente ley como información pública.”</w:t>
      </w:r>
    </w:p>
    <w:p w:rsidR="00000000" w:rsidDel="00000000" w:rsidP="00000000" w:rsidRDefault="00000000" w:rsidRPr="00000000" w14:paraId="0000009D">
      <w:pPr>
        <w:spacing w:after="0" w:before="0" w:lineRule="auto"/>
        <w:ind w:left="1416" w:right="902"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9E">
      <w:pPr>
        <w:spacing w:after="0" w:before="0" w:lineRule="auto"/>
        <w:ind w:left="1416" w:right="902" w:firstLine="0"/>
        <w:jc w:val="center"/>
        <w:rPr>
          <w:rFonts w:ascii="Palatino Linotype" w:cs="Palatino Linotype" w:eastAsia="Palatino Linotype" w:hAnsi="Palatino Linotype"/>
          <w:b w:val="1"/>
          <w:i w:val="1"/>
          <w:sz w:val="22"/>
          <w:szCs w:val="22"/>
        </w:rPr>
      </w:pPr>
      <w:r w:rsidDel="00000000" w:rsidR="00000000" w:rsidRPr="00000000">
        <w:rPr>
          <w:rtl w:val="0"/>
        </w:rPr>
      </w:r>
    </w:p>
    <w:p w:rsidR="00000000" w:rsidDel="00000000" w:rsidP="00000000" w:rsidRDefault="00000000" w:rsidRPr="00000000" w14:paraId="0000009F">
      <w:pPr>
        <w:spacing w:after="0" w:before="0" w:lineRule="auto"/>
        <w:ind w:left="1416" w:right="902" w:firstLine="0"/>
        <w:jc w:val="center"/>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Ley de Protección de Datos Personales</w:t>
      </w:r>
    </w:p>
    <w:p w:rsidR="00000000" w:rsidDel="00000000" w:rsidP="00000000" w:rsidRDefault="00000000" w:rsidRPr="00000000" w14:paraId="000000A0">
      <w:pPr>
        <w:spacing w:after="0" w:before="0" w:lineRule="auto"/>
        <w:ind w:left="1416" w:right="902" w:firstLine="0"/>
        <w:jc w:val="center"/>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en Posesión de Sujetos Obligados del Estado de México y Municipios</w:t>
      </w:r>
    </w:p>
    <w:p w:rsidR="00000000" w:rsidDel="00000000" w:rsidP="00000000" w:rsidRDefault="00000000" w:rsidRPr="00000000" w14:paraId="000000A1">
      <w:pPr>
        <w:spacing w:after="0" w:before="0" w:lineRule="auto"/>
        <w:ind w:left="1416" w:right="902" w:firstLine="0"/>
        <w:jc w:val="center"/>
        <w:rPr>
          <w:rFonts w:ascii="Palatino Linotype" w:cs="Palatino Linotype" w:eastAsia="Palatino Linotype" w:hAnsi="Palatino Linotype"/>
          <w:b w:val="1"/>
          <w:i w:val="1"/>
          <w:sz w:val="22"/>
          <w:szCs w:val="22"/>
        </w:rPr>
      </w:pPr>
      <w:r w:rsidDel="00000000" w:rsidR="00000000" w:rsidRPr="00000000">
        <w:rPr>
          <w:rtl w:val="0"/>
        </w:rPr>
      </w:r>
    </w:p>
    <w:p w:rsidR="00000000" w:rsidDel="00000000" w:rsidP="00000000" w:rsidRDefault="00000000" w:rsidRPr="00000000" w14:paraId="000000A2">
      <w:pPr>
        <w:spacing w:after="0" w:before="0" w:lineRule="auto"/>
        <w:ind w:left="1416" w:right="902"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4</w:t>
      </w:r>
      <w:r w:rsidDel="00000000" w:rsidR="00000000" w:rsidRPr="00000000">
        <w:rPr>
          <w:rFonts w:ascii="Palatino Linotype" w:cs="Palatino Linotype" w:eastAsia="Palatino Linotype" w:hAnsi="Palatino Linotype"/>
          <w:i w:val="1"/>
          <w:sz w:val="22"/>
          <w:szCs w:val="22"/>
          <w:rtl w:val="0"/>
        </w:rPr>
        <w:t xml:space="preserve">.- Para los efectos de esta Ley se entenderá por:</w:t>
        <w:br w:type="textWrapping"/>
      </w:r>
      <w:r w:rsidDel="00000000" w:rsidR="00000000" w:rsidRPr="00000000">
        <w:rPr>
          <w:rFonts w:ascii="Palatino Linotype" w:cs="Palatino Linotype" w:eastAsia="Palatino Linotype" w:hAnsi="Palatino Linotype"/>
          <w:sz w:val="22"/>
          <w:szCs w:val="22"/>
          <w:rtl w:val="0"/>
        </w:rPr>
        <w:t xml:space="preserve">…</w:t>
      </w:r>
    </w:p>
    <w:p w:rsidR="00000000" w:rsidDel="00000000" w:rsidP="00000000" w:rsidRDefault="00000000" w:rsidRPr="00000000" w14:paraId="000000A3">
      <w:pPr>
        <w:spacing w:after="0" w:before="0" w:lineRule="auto"/>
        <w:ind w:left="1416"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XI. Datos personales: </w:t>
      </w:r>
      <w:r w:rsidDel="00000000" w:rsidR="00000000" w:rsidRPr="00000000">
        <w:rPr>
          <w:rFonts w:ascii="Palatino Linotype" w:cs="Palatino Linotype" w:eastAsia="Palatino Linotype" w:hAnsi="Palatino Linotype"/>
          <w:i w:val="1"/>
          <w:sz w:val="22"/>
          <w:szCs w:val="22"/>
          <w:rtl w:val="0"/>
        </w:rPr>
        <w:t xml:space="preserve">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rsidR="00000000" w:rsidDel="00000000" w:rsidP="00000000" w:rsidRDefault="00000000" w:rsidRPr="00000000" w14:paraId="000000A4">
      <w:pPr>
        <w:spacing w:after="0" w:before="0" w:lineRule="auto"/>
        <w:ind w:left="1416" w:right="902" w:firstLine="0"/>
        <w:jc w:val="both"/>
        <w:rPr>
          <w:rFonts w:ascii="Palatino Linotype" w:cs="Palatino Linotype" w:eastAsia="Palatino Linotype" w:hAnsi="Palatino Linotype"/>
          <w:b w:val="1"/>
          <w:i w:val="1"/>
          <w:sz w:val="22"/>
          <w:szCs w:val="22"/>
        </w:rPr>
      </w:pPr>
      <w:r w:rsidDel="00000000" w:rsidR="00000000" w:rsidRPr="00000000">
        <w:rPr>
          <w:rtl w:val="0"/>
        </w:rPr>
      </w:r>
    </w:p>
    <w:p w:rsidR="00000000" w:rsidDel="00000000" w:rsidP="00000000" w:rsidRDefault="00000000" w:rsidRPr="00000000" w14:paraId="000000A5">
      <w:pPr>
        <w:spacing w:after="0" w:before="0" w:lineRule="auto"/>
        <w:ind w:left="1416"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XII. Datos personales sensibles: </w:t>
      </w:r>
      <w:r w:rsidDel="00000000" w:rsidR="00000000" w:rsidRPr="00000000">
        <w:rPr>
          <w:rFonts w:ascii="Palatino Linotype" w:cs="Palatino Linotype" w:eastAsia="Palatino Linotype" w:hAnsi="Palatino Linotype"/>
          <w:i w:val="1"/>
          <w:sz w:val="22"/>
          <w:szCs w:val="22"/>
          <w:rtl w:val="0"/>
        </w:rPr>
        <w:t xml:space="preserve">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rsidR="00000000" w:rsidDel="00000000" w:rsidP="00000000" w:rsidRDefault="00000000" w:rsidRPr="00000000" w14:paraId="000000A6">
      <w:pPr>
        <w:spacing w:after="0" w:before="0" w:lineRule="auto"/>
        <w:ind w:left="1416" w:right="902"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A7">
      <w:pPr>
        <w:spacing w:after="0" w:before="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ese contexto, la que suscribe emite </w:t>
      </w:r>
      <w:r w:rsidDel="00000000" w:rsidR="00000000" w:rsidRPr="00000000">
        <w:rPr>
          <w:rFonts w:ascii="Palatino Linotype" w:cs="Palatino Linotype" w:eastAsia="Palatino Linotype" w:hAnsi="Palatino Linotype"/>
          <w:b w:val="1"/>
          <w:rtl w:val="0"/>
        </w:rPr>
        <w:t xml:space="preserve">VOTO PARTICULAR, </w:t>
      </w:r>
      <w:r w:rsidDel="00000000" w:rsidR="00000000" w:rsidRPr="00000000">
        <w:rPr>
          <w:rFonts w:ascii="Palatino Linotype" w:cs="Palatino Linotype" w:eastAsia="Palatino Linotype" w:hAnsi="Palatino Linotype"/>
          <w:rtl w:val="0"/>
        </w:rPr>
        <w:t xml:space="preserve">pues se reitera que la Ponencia Resolutora debió considerar pronunciarse respecto a la entrega de la versión pública de ser procedente acompañada del Acuerdo de Clasificación del Comité de Transparencia de </w:t>
      </w:r>
      <w:r w:rsidDel="00000000" w:rsidR="00000000" w:rsidRPr="00000000">
        <w:rPr>
          <w:rFonts w:ascii="Palatino Linotype" w:cs="Palatino Linotype" w:eastAsia="Palatino Linotype" w:hAnsi="Palatino Linotype"/>
          <w:b w:val="1"/>
          <w:rtl w:val="0"/>
        </w:rPr>
        <w:t xml:space="preserve">EL SUJETO OBLIGADO </w:t>
      </w:r>
      <w:r w:rsidDel="00000000" w:rsidR="00000000" w:rsidRPr="00000000">
        <w:rPr>
          <w:rFonts w:ascii="Palatino Linotype" w:cs="Palatino Linotype" w:eastAsia="Palatino Linotype" w:hAnsi="Palatino Linotype"/>
          <w:rtl w:val="0"/>
        </w:rPr>
        <w:t xml:space="preserve">que sustentara la misma al desconocer el contenido de los documentos de los que se ordena la entrega</w:t>
      </w:r>
    </w:p>
    <w:p w:rsidR="00000000" w:rsidDel="00000000" w:rsidP="00000000" w:rsidRDefault="00000000" w:rsidRPr="00000000" w14:paraId="000000A8">
      <w:pPr>
        <w:spacing w:after="0" w:before="0" w:lineRule="auto"/>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A9">
      <w:pPr>
        <w:spacing w:after="0" w:before="0" w:lineRule="auto"/>
        <w:jc w:val="cente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AA">
      <w:pPr>
        <w:spacing w:after="0" w:before="0" w:lineRule="auto"/>
        <w:jc w:val="cente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AB">
      <w:pPr>
        <w:spacing w:after="0" w:before="0" w:lineRule="auto"/>
        <w:jc w:val="cente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AC">
      <w:pPr>
        <w:spacing w:after="0" w:before="0" w:lineRule="auto"/>
        <w:jc w:val="cente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AD">
      <w:pPr>
        <w:spacing w:after="0" w:before="0" w:lineRule="auto"/>
        <w:jc w:val="cente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AE">
      <w:pPr>
        <w:spacing w:after="0" w:before="0" w:lineRule="auto"/>
        <w:jc w:val="cente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AF">
      <w:pPr>
        <w:spacing w:after="0" w:before="0" w:lineRule="auto"/>
        <w:jc w:val="cente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B0">
      <w:pPr>
        <w:spacing w:after="0" w:before="0" w:lineRule="auto"/>
        <w:jc w:val="cente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B1">
      <w:pPr>
        <w:spacing w:after="0" w:before="0" w:lineRule="auto"/>
        <w:jc w:val="cente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B2">
      <w:pPr>
        <w:spacing w:after="0" w:before="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EVA ABAID YAPUR</w:t>
      </w:r>
    </w:p>
    <w:p w:rsidR="00000000" w:rsidDel="00000000" w:rsidP="00000000" w:rsidRDefault="00000000" w:rsidRPr="00000000" w14:paraId="000000B3">
      <w:pPr>
        <w:spacing w:after="0" w:before="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COMISIONADA</w:t>
      </w:r>
    </w:p>
    <w:p w:rsidR="00000000" w:rsidDel="00000000" w:rsidP="00000000" w:rsidRDefault="00000000" w:rsidRPr="00000000" w14:paraId="000000B4">
      <w:pPr>
        <w:spacing w:after="0" w:before="0" w:lineRule="auto"/>
        <w:jc w:val="center"/>
        <w:rPr>
          <w:rFonts w:ascii="Palatino Linotype" w:cs="Palatino Linotype" w:eastAsia="Palatino Linotype" w:hAnsi="Palatino Linotype"/>
          <w:b w:val="1"/>
        </w:rPr>
      </w:pPr>
      <w:bookmarkStart w:colFirst="0" w:colLast="0" w:name="_heading=h.30j0zll" w:id="1"/>
      <w:bookmarkEnd w:id="1"/>
      <w:r w:rsidDel="00000000" w:rsidR="00000000" w:rsidRPr="00000000">
        <w:rPr>
          <w:rFonts w:ascii="Palatino Linotype" w:cs="Palatino Linotype" w:eastAsia="Palatino Linotype" w:hAnsi="Palatino Linotype"/>
          <w:b w:val="1"/>
          <w:rtl w:val="0"/>
        </w:rPr>
        <w:t xml:space="preserve">(RÚBRICA)</w:t>
      </w:r>
    </w:p>
    <w:p w:rsidR="00000000" w:rsidDel="00000000" w:rsidP="00000000" w:rsidRDefault="00000000" w:rsidRPr="00000000" w14:paraId="000000B5">
      <w:pPr>
        <w:spacing w:after="0" w:before="0" w:lineRule="auto"/>
        <w:jc w:val="both"/>
        <w:rPr>
          <w:rFonts w:ascii="Palatino Linotype" w:cs="Palatino Linotype" w:eastAsia="Palatino Linotype" w:hAnsi="Palatino Linotype"/>
          <w:color w:val="000000"/>
          <w:sz w:val="20"/>
          <w:szCs w:val="20"/>
        </w:rPr>
      </w:pPr>
      <w:r w:rsidDel="00000000" w:rsidR="00000000" w:rsidRPr="00000000">
        <w:rPr>
          <w:rtl w:val="0"/>
        </w:rPr>
      </w:r>
    </w:p>
    <w:p w:rsidR="00000000" w:rsidDel="00000000" w:rsidP="00000000" w:rsidRDefault="00000000" w:rsidRPr="00000000" w14:paraId="000000B6">
      <w:pPr>
        <w:spacing w:after="0" w:before="0" w:lineRule="auto"/>
        <w:jc w:val="both"/>
        <w:rPr>
          <w:rFonts w:ascii="Palatino Linotype" w:cs="Palatino Linotype" w:eastAsia="Palatino Linotype" w:hAnsi="Palatino Linotype"/>
          <w:color w:val="000000"/>
          <w:sz w:val="20"/>
          <w:szCs w:val="20"/>
        </w:rPr>
      </w:pPr>
      <w:r w:rsidDel="00000000" w:rsidR="00000000" w:rsidRPr="00000000">
        <w:rPr>
          <w:rtl w:val="0"/>
        </w:rPr>
      </w:r>
    </w:p>
    <w:p w:rsidR="00000000" w:rsidDel="00000000" w:rsidP="00000000" w:rsidRDefault="00000000" w:rsidRPr="00000000" w14:paraId="000000B7">
      <w:pPr>
        <w:spacing w:after="0" w:before="0" w:lineRule="auto"/>
        <w:jc w:val="both"/>
        <w:rPr>
          <w:rFonts w:ascii="Palatino Linotype" w:cs="Palatino Linotype" w:eastAsia="Palatino Linotype" w:hAnsi="Palatino Linotype"/>
          <w:color w:val="000000"/>
          <w:sz w:val="20"/>
          <w:szCs w:val="20"/>
        </w:rPr>
      </w:pPr>
      <w:r w:rsidDel="00000000" w:rsidR="00000000" w:rsidRPr="00000000">
        <w:rPr>
          <w:rtl w:val="0"/>
        </w:rPr>
      </w:r>
    </w:p>
    <w:p w:rsidR="00000000" w:rsidDel="00000000" w:rsidP="00000000" w:rsidRDefault="00000000" w:rsidRPr="00000000" w14:paraId="000000B8">
      <w:pPr>
        <w:spacing w:after="0" w:before="0" w:lineRule="auto"/>
        <w:jc w:val="both"/>
        <w:rPr>
          <w:rFonts w:ascii="Palatino Linotype" w:cs="Palatino Linotype" w:eastAsia="Palatino Linotype" w:hAnsi="Palatino Linotype"/>
          <w:color w:val="000000"/>
          <w:sz w:val="20"/>
          <w:szCs w:val="20"/>
        </w:rPr>
      </w:pPr>
      <w:r w:rsidDel="00000000" w:rsidR="00000000" w:rsidRPr="00000000">
        <w:rPr>
          <w:rtl w:val="0"/>
        </w:rPr>
      </w:r>
    </w:p>
    <w:p w:rsidR="00000000" w:rsidDel="00000000" w:rsidP="00000000" w:rsidRDefault="00000000" w:rsidRPr="00000000" w14:paraId="000000B9">
      <w:pPr>
        <w:spacing w:after="0" w:before="0" w:lineRule="auto"/>
        <w:jc w:val="both"/>
        <w:rPr>
          <w:rFonts w:ascii="Palatino Linotype" w:cs="Palatino Linotype" w:eastAsia="Palatino Linotype" w:hAnsi="Palatino Linotype"/>
          <w:color w:val="000000"/>
          <w:sz w:val="20"/>
          <w:szCs w:val="20"/>
        </w:rPr>
      </w:pPr>
      <w:r w:rsidDel="00000000" w:rsidR="00000000" w:rsidRPr="00000000">
        <w:rPr>
          <w:rtl w:val="0"/>
        </w:rPr>
      </w:r>
    </w:p>
    <w:p w:rsidR="00000000" w:rsidDel="00000000" w:rsidP="00000000" w:rsidRDefault="00000000" w:rsidRPr="00000000" w14:paraId="000000BA">
      <w:pPr>
        <w:spacing w:after="0" w:before="0" w:lineRule="auto"/>
        <w:jc w:val="both"/>
        <w:rPr>
          <w:rFonts w:ascii="Palatino Linotype" w:cs="Palatino Linotype" w:eastAsia="Palatino Linotype" w:hAnsi="Palatino Linotype"/>
          <w:color w:val="000000"/>
          <w:sz w:val="20"/>
          <w:szCs w:val="20"/>
        </w:rPr>
      </w:pPr>
      <w:r w:rsidDel="00000000" w:rsidR="00000000" w:rsidRPr="00000000">
        <w:rPr>
          <w:rtl w:val="0"/>
        </w:rPr>
      </w:r>
    </w:p>
    <w:p w:rsidR="00000000" w:rsidDel="00000000" w:rsidP="00000000" w:rsidRDefault="00000000" w:rsidRPr="00000000" w14:paraId="000000BB">
      <w:pPr>
        <w:spacing w:after="0" w:before="0" w:lineRule="auto"/>
        <w:jc w:val="both"/>
        <w:rPr>
          <w:rFonts w:ascii="Palatino Linotype" w:cs="Palatino Linotype" w:eastAsia="Palatino Linotype" w:hAnsi="Palatino Linotype"/>
          <w:color w:val="000000"/>
          <w:sz w:val="20"/>
          <w:szCs w:val="20"/>
        </w:rPr>
      </w:pPr>
      <w:r w:rsidDel="00000000" w:rsidR="00000000" w:rsidRPr="00000000">
        <w:rPr>
          <w:rtl w:val="0"/>
        </w:rPr>
      </w:r>
    </w:p>
    <w:p w:rsidR="00000000" w:rsidDel="00000000" w:rsidP="00000000" w:rsidRDefault="00000000" w:rsidRPr="00000000" w14:paraId="000000BC">
      <w:pPr>
        <w:spacing w:after="0" w:before="0" w:lineRule="auto"/>
        <w:jc w:val="both"/>
        <w:rPr>
          <w:rFonts w:ascii="Palatino Linotype" w:cs="Palatino Linotype" w:eastAsia="Palatino Linotype" w:hAnsi="Palatino Linotype"/>
          <w:color w:val="000000"/>
          <w:sz w:val="20"/>
          <w:szCs w:val="20"/>
        </w:rPr>
      </w:pPr>
      <w:r w:rsidDel="00000000" w:rsidR="00000000" w:rsidRPr="00000000">
        <w:rPr>
          <w:rFonts w:ascii="Palatino Linotype" w:cs="Palatino Linotype" w:eastAsia="Palatino Linotype" w:hAnsi="Palatino Linotype"/>
          <w:color w:val="000000"/>
          <w:sz w:val="20"/>
          <w:szCs w:val="20"/>
          <w:rtl w:val="0"/>
        </w:rPr>
        <w:t xml:space="preserve">Esta hoja corresponde al voto particular emitido en la resolución del recurso de revisión 08603/INFOEM/IP/RR/2019, aprobada el seis de febrero de dos mil veinte.</w:t>
      </w:r>
    </w:p>
    <w:p w:rsidR="00000000" w:rsidDel="00000000" w:rsidP="00000000" w:rsidRDefault="00000000" w:rsidRPr="00000000" w14:paraId="000000BD">
      <w:pPr>
        <w:spacing w:after="0" w:before="0" w:lineRule="auto"/>
        <w:jc w:val="both"/>
        <w:rPr>
          <w:rFonts w:ascii="Palatino Linotype" w:cs="Palatino Linotype" w:eastAsia="Palatino Linotype" w:hAnsi="Palatino Linotype"/>
          <w:color w:val="000000"/>
          <w:sz w:val="8"/>
          <w:szCs w:val="8"/>
        </w:rPr>
      </w:pPr>
      <w:r w:rsidDel="00000000" w:rsidR="00000000" w:rsidRPr="00000000">
        <w:rPr>
          <w:rtl w:val="0"/>
        </w:rPr>
      </w:r>
    </w:p>
    <w:p w:rsidR="00000000" w:rsidDel="00000000" w:rsidP="00000000" w:rsidRDefault="00000000" w:rsidRPr="00000000" w14:paraId="000000BE">
      <w:pPr>
        <w:spacing w:before="0" w:lineRule="auto"/>
        <w:jc w:val="both"/>
        <w:rPr>
          <w:rFonts w:ascii="Palatino Linotype" w:cs="Palatino Linotype" w:eastAsia="Palatino Linotype" w:hAnsi="Palatino Linotype"/>
          <w:color w:val="000000"/>
          <w:sz w:val="20"/>
          <w:szCs w:val="20"/>
        </w:rPr>
      </w:pPr>
      <w:r w:rsidDel="00000000" w:rsidR="00000000" w:rsidRPr="00000000">
        <w:rPr>
          <w:rFonts w:ascii="Palatino Linotype" w:cs="Palatino Linotype" w:eastAsia="Palatino Linotype" w:hAnsi="Palatino Linotype"/>
          <w:color w:val="000000"/>
          <w:sz w:val="20"/>
          <w:szCs w:val="20"/>
          <w:rtl w:val="0"/>
        </w:rPr>
        <w:t xml:space="preserve">YSM/LGMJ</w:t>
      </w:r>
    </w:p>
    <w:sectPr>
      <w:headerReference r:id="rId7" w:type="default"/>
      <w:headerReference r:id="rId8" w:type="first"/>
      <w:headerReference r:id="rId9" w:type="even"/>
      <w:footerReference r:id="rId10" w:type="default"/>
      <w:pgSz w:h="15840" w:w="12240"/>
      <w:pgMar w:bottom="1418" w:top="1418" w:left="1701" w:right="1418" w:header="709" w:footer="59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mbria"/>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tabs>
        <w:tab w:val="left" w:pos="4228"/>
      </w:tabs>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tabs>
        <w:tab w:val="left" w:pos="4228"/>
      </w:tabs>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tabs>
        <w:tab w:val="left" w:pos="4228"/>
      </w:tabs>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0"/>
        <w:szCs w:val="20"/>
        <w:u w:val="none"/>
        <w:shd w:fill="auto" w:val="clear"/>
        <w:vertAlign w:val="baseline"/>
        <w:rtl w:val="0"/>
      </w:rPr>
      <w:t xml:space="preserve">Página </w:t>
    </w:r>
    <w:r w:rsidDel="00000000" w:rsidR="00000000" w:rsidRPr="00000000">
      <w:rPr>
        <w:rFonts w:ascii="Palatino Linotype" w:cs="Palatino Linotype" w:eastAsia="Palatino Linotype" w:hAnsi="Palatino Linotype"/>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Palatino Linotype" w:cs="Palatino Linotype" w:eastAsia="Palatino Linotype" w:hAnsi="Palatino Linotype"/>
        <w:b w:val="0"/>
        <w:i w:val="0"/>
        <w:smallCaps w:val="0"/>
        <w:strike w:val="0"/>
        <w:color w:val="000000"/>
        <w:sz w:val="20"/>
        <w:szCs w:val="20"/>
        <w:u w:val="none"/>
        <w:shd w:fill="auto" w:val="clear"/>
        <w:vertAlign w:val="baseline"/>
        <w:rtl w:val="0"/>
      </w:rPr>
      <w:t xml:space="preserve"> de </w:t>
    </w:r>
    <w:r w:rsidDel="00000000" w:rsidR="00000000" w:rsidRPr="00000000">
      <w:rPr>
        <w:rFonts w:ascii="Palatino Linotype" w:cs="Palatino Linotype" w:eastAsia="Palatino Linotype" w:hAnsi="Palatino Linotype"/>
        <w:b w:val="1"/>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708"/>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tabs>
        <w:tab w:val="left" w:pos="2326"/>
      </w:tabs>
      <w:spacing w:after="0" w:before="0" w:line="240" w:lineRule="auto"/>
      <w:ind w:left="0" w:right="0"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tabs>
        <w:tab w:val="left" w:pos="2326"/>
      </w:tabs>
      <w:spacing w:after="0" w:before="0" w:line="240" w:lineRule="auto"/>
      <w:ind w:left="0" w:right="0" w:firstLine="0"/>
      <w:jc w:val="righ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tabs>
        <w:tab w:val="left" w:pos="2326"/>
      </w:tabs>
      <w:spacing w:after="0" w:before="0" w:line="240" w:lineRule="auto"/>
      <w:ind w:left="0" w:right="0" w:firstLine="0"/>
      <w:jc w:val="righ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tabs>
        <w:tab w:val="left" w:pos="2326"/>
      </w:tabs>
      <w:spacing w:after="0" w:before="0" w:line="240" w:lineRule="auto"/>
      <w:ind w:left="0" w:right="0" w:firstLine="0"/>
      <w:jc w:val="righ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0"/>
        <w:szCs w:val="20"/>
        <w:u w:val="none"/>
        <w:shd w:fill="auto" w:val="clear"/>
        <w:vertAlign w:val="baseline"/>
        <w:rtl w:val="0"/>
      </w:rPr>
      <w:t xml:space="preserve">VOTO PARTICULAR</w:t>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tabs>
        <w:tab w:val="left" w:pos="2326"/>
      </w:tabs>
      <w:spacing w:after="0" w:before="0" w:line="240" w:lineRule="auto"/>
      <w:ind w:left="0" w:right="0" w:firstLine="0"/>
      <w:jc w:val="righ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0"/>
        <w:szCs w:val="20"/>
        <w:u w:val="none"/>
        <w:shd w:fill="auto" w:val="clear"/>
        <w:vertAlign w:val="baseline"/>
        <w:rtl w:val="0"/>
      </w:rPr>
      <w:t xml:space="preserve">RECURSO DE REVISIÓN 08603/INFOEM/IP/RR/2019</w:t>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tabs>
        <w:tab w:val="left" w:pos="2326"/>
      </w:tabs>
      <w:spacing w:after="0" w:before="0" w:line="240" w:lineRule="auto"/>
      <w:ind w:left="0" w:right="0" w:firstLine="0"/>
      <w:jc w:val="righ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MX"/>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C80F8C"/>
    <w:rPr>
      <w:rFonts w:ascii="Times New Roman" w:cs="Times New Roman" w:eastAsia="Times New Roman" w:hAnsi="Times New Roman"/>
      <w:lang w:val="es-MX"/>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C80F8C"/>
    <w:pPr>
      <w:tabs>
        <w:tab w:val="center" w:pos="4252"/>
        <w:tab w:val="right" w:pos="8504"/>
      </w:tabs>
    </w:pPr>
    <w:rPr>
      <w:rFonts w:asciiTheme="minorHAnsi" w:cstheme="minorBidi" w:eastAsiaTheme="minorEastAsia" w:hAnsiTheme="minorHAnsi"/>
      <w:lang w:val="es-ES_tradnl"/>
    </w:rPr>
  </w:style>
  <w:style w:type="character" w:styleId="EncabezadoCar" w:customStyle="1">
    <w:name w:val="Encabezado Car"/>
    <w:basedOn w:val="Fuentedeprrafopredeter"/>
    <w:link w:val="Encabezado"/>
    <w:uiPriority w:val="99"/>
    <w:rsid w:val="00C80F8C"/>
  </w:style>
  <w:style w:type="paragraph" w:styleId="Piedepgina">
    <w:name w:val="footer"/>
    <w:basedOn w:val="Normal"/>
    <w:link w:val="PiedepginaCar"/>
    <w:uiPriority w:val="99"/>
    <w:unhideWhenUsed w:val="1"/>
    <w:rsid w:val="00C80F8C"/>
    <w:pPr>
      <w:tabs>
        <w:tab w:val="center" w:pos="4252"/>
        <w:tab w:val="right" w:pos="8504"/>
      </w:tabs>
    </w:pPr>
    <w:rPr>
      <w:rFonts w:asciiTheme="minorHAnsi" w:cstheme="minorBidi" w:eastAsiaTheme="minorEastAsia" w:hAnsiTheme="minorHAnsi"/>
      <w:lang w:val="es-ES_tradnl"/>
    </w:rPr>
  </w:style>
  <w:style w:type="character" w:styleId="PiedepginaCar" w:customStyle="1">
    <w:name w:val="Pie de página Car"/>
    <w:basedOn w:val="Fuentedeprrafopredeter"/>
    <w:link w:val="Piedepgina"/>
    <w:uiPriority w:val="99"/>
    <w:rsid w:val="00C80F8C"/>
  </w:style>
  <w:style w:type="paragraph" w:styleId="Textodeglobo">
    <w:name w:val="Balloon Text"/>
    <w:basedOn w:val="Normal"/>
    <w:link w:val="TextodegloboCar"/>
    <w:uiPriority w:val="99"/>
    <w:semiHidden w:val="1"/>
    <w:unhideWhenUsed w:val="1"/>
    <w:rsid w:val="00C80F8C"/>
    <w:rPr>
      <w:rFonts w:ascii="Lucida Grande" w:cs="Lucida Grande" w:hAnsi="Lucida Grande" w:eastAsiaTheme="minorEastAsia"/>
      <w:sz w:val="18"/>
      <w:szCs w:val="18"/>
      <w:lang w:val="es-ES_tradnl"/>
    </w:rPr>
  </w:style>
  <w:style w:type="character" w:styleId="TextodegloboCar" w:customStyle="1">
    <w:name w:val="Texto de globo Car"/>
    <w:basedOn w:val="Fuentedeprrafopredeter"/>
    <w:link w:val="Textodeglobo"/>
    <w:uiPriority w:val="99"/>
    <w:semiHidden w:val="1"/>
    <w:rsid w:val="00C80F8C"/>
    <w:rPr>
      <w:rFonts w:ascii="Lucida Grande" w:cs="Lucida Grande" w:hAnsi="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val="1"/>
    <w:rsid w:val="0058639E"/>
    <w:pPr>
      <w:ind w:left="720"/>
      <w:contextualSpacing w:val="1"/>
    </w:pPr>
  </w:style>
  <w:style w:type="paragraph" w:styleId="Default" w:customStyle="1">
    <w:name w:val="Default"/>
    <w:rsid w:val="0058639E"/>
    <w:pPr>
      <w:autoSpaceDE w:val="0"/>
      <w:autoSpaceDN w:val="0"/>
      <w:adjustRightInd w:val="0"/>
    </w:pPr>
    <w:rPr>
      <w:rFonts w:ascii="Arial" w:cs="Arial" w:hAnsi="Arial"/>
      <w:color w:val="000000"/>
      <w:lang w:val="es-MX"/>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val="1"/>
    <w:locked w:val="1"/>
    <w:rsid w:val="000E2B1A"/>
    <w:rPr>
      <w:rFonts w:ascii="Times New Roman" w:cs="Times New Roman" w:eastAsia="Times New Roman" w:hAnsi="Times New Roman"/>
      <w:lang w:val="es-ES"/>
    </w:rPr>
  </w:style>
  <w:style w:type="paragraph" w:styleId="Sinespaciado">
    <w:name w:val="No Spacing"/>
    <w:aliases w:val="Francesa"/>
    <w:link w:val="SinespaciadoCar"/>
    <w:uiPriority w:val="1"/>
    <w:qFormat w:val="1"/>
    <w:rsid w:val="008C0700"/>
    <w:rPr>
      <w:rFonts w:ascii="Times New Roman" w:cs="Times New Roman" w:eastAsia="Times New Roman" w:hAnsi="Times New Roman"/>
      <w:lang w:val="es-MX"/>
    </w:rPr>
  </w:style>
  <w:style w:type="character" w:styleId="SinespaciadoCar" w:customStyle="1">
    <w:name w:val="Sin espaciado Car"/>
    <w:aliases w:val="Francesa Car"/>
    <w:link w:val="Sinespaciado"/>
    <w:uiPriority w:val="1"/>
    <w:locked w:val="1"/>
    <w:rsid w:val="008C0700"/>
    <w:rPr>
      <w:rFonts w:ascii="Times New Roman" w:cs="Times New Roman" w:eastAsia="Times New Roman" w:hAnsi="Times New Roman"/>
      <w:lang w:val="es-MX"/>
    </w:rPr>
  </w:style>
  <w:style w:type="character" w:styleId="normaltextrun" w:customStyle="1">
    <w:name w:val="normaltextrun"/>
    <w:basedOn w:val="Fuentedeprrafopredeter"/>
    <w:rsid w:val="002D69E1"/>
  </w:style>
  <w:style w:type="paragraph" w:styleId="paragraph" w:customStyle="1">
    <w:name w:val="paragraph"/>
    <w:basedOn w:val="Normal"/>
    <w:rsid w:val="002D69E1"/>
    <w:pPr>
      <w:spacing w:after="100" w:afterAutospacing="1" w:before="100" w:beforeAutospacing="1"/>
    </w:pPr>
    <w:rPr>
      <w:lang w:eastAsia="es-MX"/>
    </w:rPr>
  </w:style>
  <w:style w:type="table" w:styleId="Tablaconcuadrcula">
    <w:name w:val="Table Grid"/>
    <w:basedOn w:val="Tablanormal"/>
    <w:uiPriority w:val="59"/>
    <w:rsid w:val="00D93CE4"/>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pple-converted-space" w:customStyle="1">
    <w:name w:val="apple-converted-space"/>
    <w:basedOn w:val="Fuentedeprrafopredeter"/>
    <w:rsid w:val="00D93CE4"/>
  </w:style>
  <w:style w:type="paragraph" w:styleId="Cuerpo" w:customStyle="1">
    <w:name w:val="Cuerpo"/>
    <w:rsid w:val="00573C53"/>
    <w:pPr>
      <w:pBdr>
        <w:top w:space="0" w:sz="0" w:val="nil"/>
        <w:left w:space="0" w:sz="0" w:val="nil"/>
        <w:bottom w:space="0" w:sz="0" w:val="nil"/>
        <w:right w:space="0" w:sz="0" w:val="nil"/>
        <w:between w:space="0" w:sz="0" w:val="nil"/>
        <w:bar w:space="0" w:sz="0" w:val="nil"/>
      </w:pBdr>
      <w:spacing w:after="160" w:line="259" w:lineRule="auto"/>
    </w:pPr>
    <w:rPr>
      <w:rFonts w:ascii="Calibri" w:cs="Calibri" w:eastAsia="Calibri" w:hAnsi="Calibri"/>
      <w:color w:val="000000"/>
      <w:sz w:val="22"/>
      <w:szCs w:val="22"/>
      <w:u w:color="000000"/>
      <w:bdr w:space="0" w:sz="0" w:val="nil"/>
      <w:lang w:val="de-D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Yd5uMmUtUU/yRvWa6dy9j/k8xQ==">AMUW2mUqgS7QmEreb2KH59Wtf7JEaZYItMU0pLc86jN0LrjX/5NszJl8wtEEPPHAnof1pXLWJvwvRKcL+ZgQT8+D5P/WnTprEHnNwns4rdc1eWPbrwcPq18OMnPKqSD+KK4cBrf8gHgO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2020-02-10T18:40:00Z</dcterms:created>
  <dc:creator>iMac</dc:creator>
</cp:coreProperties>
</file>